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C7DD" w14:textId="0974BCF8" w:rsidR="00040C3A" w:rsidRPr="009D1618" w:rsidRDefault="00C0075D" w:rsidP="00627C9F">
      <w:pPr>
        <w:jc w:val="both"/>
        <w:rPr>
          <w:rFonts w:ascii="Cambria" w:hAnsi="Cambria" w:cs="Univers"/>
          <w:b/>
          <w:bCs/>
          <w:sz w:val="20"/>
          <w:szCs w:val="20"/>
          <w:lang w:val="es-ES_tradnl"/>
        </w:rPr>
      </w:pPr>
      <w:r w:rsidRPr="009D1618">
        <w:rPr>
          <w:rFonts w:ascii="Cambria" w:hAnsi="Cambria"/>
          <w:noProof/>
          <w:sz w:val="20"/>
          <w:szCs w:val="20"/>
          <w:lang w:val="es-UY" w:eastAsia="es-UY"/>
        </w:rPr>
        <mc:AlternateContent>
          <mc:Choice Requires="wps">
            <w:drawing>
              <wp:anchor distT="0" distB="0" distL="114300" distR="114300" simplePos="0" relativeHeight="251673600" behindDoc="0" locked="0" layoutInCell="1" allowOverlap="1" wp14:anchorId="670438B4" wp14:editId="280044EF">
                <wp:simplePos x="0" y="0"/>
                <wp:positionH relativeFrom="column">
                  <wp:posOffset>1306749</wp:posOffset>
                </wp:positionH>
                <wp:positionV relativeFrom="paragraph">
                  <wp:posOffset>-344089</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F9377" w14:textId="77777777" w:rsidR="00BD2651" w:rsidRDefault="00BD2651" w:rsidP="00AE5488">
                            <w:r>
                              <w:rPr>
                                <w:noProof/>
                                <w:lang w:val="es-UY" w:eastAsia="es-UY"/>
                              </w:rPr>
                              <w:drawing>
                                <wp:inline distT="0" distB="0" distL="0" distR="0" wp14:anchorId="36641579" wp14:editId="3898A4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2.9pt;margin-top:-27.1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1Qov8OEAAAALAQAADwAAAGRycy9kb3ducmV2LnhtbEyPzU7DMBCE70i8g7VI&#10;3FqblNIQ4lQVggsSqiiVELdtvMQB/wTbbcPb457gOJrRzDf1crSGHSjE3jsJV1MBjFzrVe86CdvX&#10;x0kJLCZ0Co13JOGHIiyb87MaK+WP7oUOm9SxXOJihRJ0SkPFeWw1WYxTP5DL3ocPFlOWoeMq4DGX&#10;W8MLIW64xd7lBY0D3WtqvzZ7K2FRviv9GZ7G7dvz6luvB24ekEt5eTGu7oAlGtNfGE74GR2azLTz&#10;e6ciMxIKMc/oScJkfl0AOyXErJgB20koF7fAm5r//9D8AgAA//8DAFBLAQItABQABgAIAAAAIQC2&#10;gziS/gAAAOEBAAATAAAAAAAAAAAAAAAAAAAAAABbQ29udGVudF9UeXBlc10ueG1sUEsBAi0AFAAG&#10;AAgAAAAhADj9If/WAAAAlAEAAAsAAAAAAAAAAAAAAAAALwEAAF9yZWxzLy5yZWxzUEsBAi0AFAAG&#10;AAgAAAAhAGa4LZCKAgAAfQUAAA4AAAAAAAAAAAAAAAAALgIAAGRycy9lMm9Eb2MueG1sUEsBAi0A&#10;FAAGAAgAAAAhANUKL/DhAAAACwEAAA8AAAAAAAAAAAAAAAAA5AQAAGRycy9kb3ducmV2LnhtbFBL&#10;BQYAAAAABAAEAPMAAADyBQAAAAA=&#10;" filled="f" stroked="f" strokeweight=".5pt">
                <v:path arrowok="t"/>
                <v:textbox>
                  <w:txbxContent>
                    <w:p w14:paraId="67AF9377" w14:textId="77777777" w:rsidR="00BD2651" w:rsidRDefault="00BD2651" w:rsidP="00AE5488">
                      <w:r>
                        <w:rPr>
                          <w:noProof/>
                          <w:lang w:val="es-UY" w:eastAsia="es-UY"/>
                        </w:rPr>
                        <w:drawing>
                          <wp:inline distT="0" distB="0" distL="0" distR="0" wp14:anchorId="36641579" wp14:editId="3898A4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9D1618">
        <w:rPr>
          <w:rFonts w:ascii="Cambria" w:hAnsi="Cambria"/>
          <w:noProof/>
          <w:sz w:val="20"/>
          <w:szCs w:val="20"/>
          <w:lang w:val="es-UY" w:eastAsia="es-UY"/>
        </w:rPr>
        <mc:AlternateContent>
          <mc:Choice Requires="wps">
            <w:drawing>
              <wp:anchor distT="0" distB="0" distL="114300" distR="114300" simplePos="0" relativeHeight="251661311" behindDoc="0" locked="0" layoutInCell="1" allowOverlap="1" wp14:anchorId="2D613BC0" wp14:editId="063DEDB3">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D91C6A">
        <w:rPr>
          <w:rFonts w:ascii="Cambria" w:hAnsi="Cambria" w:cs="Univers"/>
          <w:b/>
          <w:bCs/>
          <w:sz w:val="20"/>
          <w:szCs w:val="20"/>
          <w:lang w:val="es-ES_tradnl"/>
        </w:rPr>
        <w:t>99</w:t>
      </w:r>
    </w:p>
    <w:p w14:paraId="37661FFC" w14:textId="77777777" w:rsidR="00040C3A" w:rsidRPr="009D1618" w:rsidRDefault="00040C3A" w:rsidP="00040C3A">
      <w:pPr>
        <w:tabs>
          <w:tab w:val="center" w:pos="5400"/>
        </w:tabs>
        <w:suppressAutoHyphens/>
        <w:jc w:val="both"/>
        <w:rPr>
          <w:rFonts w:ascii="Cambria" w:hAnsi="Cambria"/>
          <w:sz w:val="20"/>
          <w:szCs w:val="20"/>
          <w:lang w:val="es-ES_tradnl"/>
        </w:rPr>
      </w:pPr>
    </w:p>
    <w:p w14:paraId="63E5D0F3" w14:textId="77777777" w:rsidR="00040C3A" w:rsidRPr="009D1618" w:rsidRDefault="00040C3A" w:rsidP="00040C3A">
      <w:pPr>
        <w:tabs>
          <w:tab w:val="center" w:pos="5400"/>
        </w:tabs>
        <w:suppressAutoHyphens/>
        <w:jc w:val="both"/>
        <w:rPr>
          <w:rFonts w:ascii="Cambria" w:hAnsi="Cambria"/>
          <w:sz w:val="20"/>
          <w:szCs w:val="20"/>
          <w:lang w:val="es-ES_tradnl"/>
        </w:rPr>
      </w:pPr>
    </w:p>
    <w:p w14:paraId="028DE248" w14:textId="77777777" w:rsidR="005128E4" w:rsidRPr="009D1618" w:rsidRDefault="005128E4" w:rsidP="00040C3A">
      <w:pPr>
        <w:tabs>
          <w:tab w:val="center" w:pos="5400"/>
        </w:tabs>
        <w:suppressAutoHyphens/>
        <w:rPr>
          <w:rFonts w:ascii="Cambria" w:hAnsi="Cambria"/>
          <w:sz w:val="20"/>
          <w:szCs w:val="20"/>
          <w:lang w:val="es-ES_tradnl"/>
        </w:rPr>
      </w:pPr>
    </w:p>
    <w:p w14:paraId="182E9C21" w14:textId="77777777" w:rsidR="005128E4" w:rsidRPr="009D1618" w:rsidRDefault="005128E4" w:rsidP="00040C3A">
      <w:pPr>
        <w:tabs>
          <w:tab w:val="center" w:pos="5400"/>
        </w:tabs>
        <w:suppressAutoHyphens/>
        <w:rPr>
          <w:rFonts w:ascii="Cambria" w:hAnsi="Cambria"/>
          <w:sz w:val="20"/>
          <w:szCs w:val="20"/>
          <w:lang w:val="es-ES_tradnl"/>
        </w:rPr>
      </w:pPr>
    </w:p>
    <w:p w14:paraId="4F286BC4" w14:textId="77777777" w:rsidR="005128E4" w:rsidRPr="009D1618" w:rsidRDefault="005128E4" w:rsidP="00040C3A">
      <w:pPr>
        <w:tabs>
          <w:tab w:val="center" w:pos="5400"/>
        </w:tabs>
        <w:suppressAutoHyphens/>
        <w:rPr>
          <w:rFonts w:ascii="Cambria" w:hAnsi="Cambria"/>
          <w:sz w:val="20"/>
          <w:szCs w:val="20"/>
          <w:lang w:val="es-ES_tradnl"/>
        </w:rPr>
      </w:pPr>
    </w:p>
    <w:p w14:paraId="5CBB1D83" w14:textId="77777777" w:rsidR="00040C3A" w:rsidRPr="009D1618" w:rsidRDefault="00040C3A" w:rsidP="005128E4">
      <w:pPr>
        <w:tabs>
          <w:tab w:val="center" w:pos="5400"/>
        </w:tabs>
        <w:suppressAutoHyphens/>
        <w:jc w:val="center"/>
        <w:rPr>
          <w:rFonts w:ascii="Cambria" w:hAnsi="Cambria"/>
          <w:sz w:val="20"/>
          <w:szCs w:val="20"/>
          <w:lang w:val="es-ES_tradnl"/>
        </w:rPr>
      </w:pPr>
    </w:p>
    <w:p w14:paraId="1168063B" w14:textId="77777777" w:rsidR="00040C3A" w:rsidRPr="009D1618" w:rsidRDefault="00040C3A" w:rsidP="005128E4">
      <w:pPr>
        <w:tabs>
          <w:tab w:val="center" w:pos="5400"/>
        </w:tabs>
        <w:suppressAutoHyphens/>
        <w:jc w:val="center"/>
        <w:rPr>
          <w:rFonts w:ascii="Cambria" w:hAnsi="Cambria"/>
          <w:sz w:val="20"/>
          <w:szCs w:val="20"/>
          <w:lang w:val="es-ES_tradnl"/>
        </w:rPr>
      </w:pPr>
    </w:p>
    <w:p w14:paraId="5EC3BE87" w14:textId="77777777" w:rsidR="005B52B0" w:rsidRPr="009D1618" w:rsidRDefault="005B52B0" w:rsidP="005128E4">
      <w:pPr>
        <w:tabs>
          <w:tab w:val="center" w:pos="5400"/>
        </w:tabs>
        <w:suppressAutoHyphens/>
        <w:jc w:val="center"/>
        <w:rPr>
          <w:rFonts w:ascii="Cambria" w:hAnsi="Cambria"/>
          <w:sz w:val="20"/>
          <w:szCs w:val="20"/>
          <w:lang w:val="es-ES_tradnl"/>
        </w:rPr>
      </w:pPr>
    </w:p>
    <w:p w14:paraId="16712A9F" w14:textId="77777777" w:rsidR="005B52B0" w:rsidRPr="009D1618" w:rsidRDefault="005B52B0" w:rsidP="005128E4">
      <w:pPr>
        <w:tabs>
          <w:tab w:val="center" w:pos="5400"/>
        </w:tabs>
        <w:suppressAutoHyphens/>
        <w:jc w:val="center"/>
        <w:rPr>
          <w:rFonts w:ascii="Cambria" w:hAnsi="Cambria"/>
          <w:sz w:val="20"/>
          <w:szCs w:val="20"/>
          <w:lang w:val="es-ES_tradnl"/>
        </w:rPr>
      </w:pPr>
    </w:p>
    <w:p w14:paraId="0E7CC69E" w14:textId="77777777" w:rsidR="005B52B0" w:rsidRPr="009D1618" w:rsidRDefault="005B52B0" w:rsidP="005128E4">
      <w:pPr>
        <w:tabs>
          <w:tab w:val="center" w:pos="5400"/>
        </w:tabs>
        <w:suppressAutoHyphens/>
        <w:jc w:val="center"/>
        <w:rPr>
          <w:rFonts w:ascii="Cambria" w:hAnsi="Cambria"/>
          <w:sz w:val="20"/>
          <w:szCs w:val="20"/>
          <w:lang w:val="es-ES_tradnl"/>
        </w:rPr>
      </w:pPr>
    </w:p>
    <w:p w14:paraId="63DC5F5B" w14:textId="77777777" w:rsidR="00040C3A" w:rsidRPr="009D1618" w:rsidRDefault="00040C3A" w:rsidP="00040C3A">
      <w:pPr>
        <w:tabs>
          <w:tab w:val="center" w:pos="5400"/>
        </w:tabs>
        <w:suppressAutoHyphens/>
        <w:jc w:val="center"/>
        <w:rPr>
          <w:rFonts w:ascii="Cambria" w:hAnsi="Cambria"/>
          <w:sz w:val="20"/>
          <w:szCs w:val="20"/>
          <w:lang w:val="es-ES_tradnl"/>
        </w:rPr>
      </w:pPr>
    </w:p>
    <w:p w14:paraId="18431C99" w14:textId="77777777" w:rsidR="00040C3A" w:rsidRPr="009D1618" w:rsidRDefault="00040C3A" w:rsidP="00040C3A">
      <w:pPr>
        <w:tabs>
          <w:tab w:val="center" w:pos="5400"/>
        </w:tabs>
        <w:suppressAutoHyphens/>
        <w:jc w:val="center"/>
        <w:rPr>
          <w:rFonts w:ascii="Cambria" w:hAnsi="Cambria"/>
          <w:sz w:val="20"/>
          <w:szCs w:val="20"/>
          <w:lang w:val="es-ES_tradnl"/>
        </w:rPr>
      </w:pPr>
    </w:p>
    <w:p w14:paraId="61ACDAB1" w14:textId="77777777" w:rsidR="00040C3A" w:rsidRPr="009D1618" w:rsidRDefault="00C0075D" w:rsidP="00040C3A">
      <w:pPr>
        <w:tabs>
          <w:tab w:val="center" w:pos="5400"/>
        </w:tabs>
        <w:suppressAutoHyphens/>
        <w:jc w:val="center"/>
        <w:rPr>
          <w:rFonts w:ascii="Cambria" w:hAnsi="Cambria"/>
          <w:sz w:val="20"/>
          <w:szCs w:val="20"/>
          <w:lang w:val="es-ES_tradnl"/>
        </w:rPr>
      </w:pPr>
      <w:r w:rsidRPr="009D1618">
        <w:rPr>
          <w:rFonts w:ascii="Cambria" w:hAnsi="Cambria"/>
          <w:noProof/>
          <w:sz w:val="20"/>
          <w:szCs w:val="20"/>
          <w:lang w:val="es-UY" w:eastAsia="es-UY"/>
        </w:rPr>
        <mc:AlternateContent>
          <mc:Choice Requires="wps">
            <w:drawing>
              <wp:anchor distT="0" distB="0" distL="114300" distR="114300" simplePos="0" relativeHeight="251669504" behindDoc="0" locked="0" layoutInCell="1" allowOverlap="1" wp14:anchorId="10D4A14E" wp14:editId="483CE66E">
                <wp:simplePos x="0" y="0"/>
                <wp:positionH relativeFrom="column">
                  <wp:posOffset>1352550</wp:posOffset>
                </wp:positionH>
                <wp:positionV relativeFrom="paragraph">
                  <wp:posOffset>109220</wp:posOffset>
                </wp:positionV>
                <wp:extent cx="4441190" cy="427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427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B6E9C" w14:textId="376278FA" w:rsidR="00BD2651" w:rsidRPr="00B06C1C" w:rsidRDefault="00BD2651" w:rsidP="005112A0">
                            <w:pPr>
                              <w:spacing w:line="276" w:lineRule="auto"/>
                              <w:rPr>
                                <w:rFonts w:asciiTheme="majorHAnsi" w:hAnsiTheme="majorHAnsi" w:cs="Arial"/>
                                <w:b/>
                                <w:bCs/>
                                <w:color w:val="0D0D0D" w:themeColor="text1" w:themeTint="F2"/>
                                <w:sz w:val="36"/>
                                <w:szCs w:val="22"/>
                                <w:lang w:val="es-ES"/>
                              </w:rPr>
                            </w:pPr>
                            <w:bookmarkStart w:id="0" w:name="_ftnref1"/>
                            <w:r w:rsidRPr="00B06C1C">
                              <w:rPr>
                                <w:rFonts w:asciiTheme="majorHAnsi" w:hAnsiTheme="majorHAnsi" w:cs="Arial"/>
                                <w:b/>
                                <w:bCs/>
                                <w:color w:val="0D0D0D" w:themeColor="text1" w:themeTint="F2"/>
                                <w:sz w:val="36"/>
                                <w:szCs w:val="22"/>
                                <w:lang w:val="es-ES"/>
                              </w:rPr>
                              <w:t xml:space="preserve">INFORME </w:t>
                            </w:r>
                            <w:r w:rsidR="001D6D41">
                              <w:rPr>
                                <w:rFonts w:asciiTheme="majorHAnsi" w:hAnsiTheme="majorHAnsi" w:cs="Arial"/>
                                <w:b/>
                                <w:bCs/>
                                <w:color w:val="0D0D0D" w:themeColor="text1" w:themeTint="F2"/>
                                <w:sz w:val="36"/>
                                <w:szCs w:val="40"/>
                                <w:lang w:val="es-ES"/>
                              </w:rPr>
                              <w:t>Nº</w:t>
                            </w:r>
                            <w:r>
                              <w:rPr>
                                <w:rFonts w:asciiTheme="majorHAnsi" w:hAnsiTheme="majorHAnsi" w:cs="Arial"/>
                                <w:b/>
                                <w:bCs/>
                                <w:color w:val="0D0D0D" w:themeColor="text1" w:themeTint="F2"/>
                                <w:sz w:val="36"/>
                                <w:szCs w:val="22"/>
                                <w:lang w:val="es-ES"/>
                              </w:rPr>
                              <w:t xml:space="preserve"> 99/17</w:t>
                            </w:r>
                          </w:p>
                          <w:p w14:paraId="7A9F3561" w14:textId="77777777" w:rsidR="00BD2651" w:rsidRPr="00AA1451" w:rsidRDefault="00BD2651" w:rsidP="005112A0">
                            <w:pPr>
                              <w:spacing w:line="276" w:lineRule="auto"/>
                              <w:rPr>
                                <w:rFonts w:asciiTheme="majorHAnsi" w:hAnsiTheme="majorHAnsi" w:cs="Arial"/>
                                <w:b/>
                                <w:bCs/>
                                <w:color w:val="0D0D0D" w:themeColor="text1" w:themeTint="F2"/>
                                <w:sz w:val="36"/>
                                <w:szCs w:val="40"/>
                                <w:lang w:val="es-VE"/>
                              </w:rPr>
                            </w:pPr>
                            <w:r w:rsidRPr="00AA1451">
                              <w:rPr>
                                <w:rFonts w:asciiTheme="majorHAnsi" w:hAnsiTheme="majorHAnsi" w:cs="Arial"/>
                                <w:b/>
                                <w:bCs/>
                                <w:color w:val="0D0D0D" w:themeColor="text1" w:themeTint="F2"/>
                                <w:sz w:val="36"/>
                                <w:szCs w:val="40"/>
                                <w:lang w:val="es-VE"/>
                              </w:rPr>
                              <w:t xml:space="preserve">CASO </w:t>
                            </w:r>
                            <w:r>
                              <w:rPr>
                                <w:rFonts w:asciiTheme="majorHAnsi" w:hAnsiTheme="majorHAnsi" w:cs="Arial"/>
                                <w:b/>
                                <w:color w:val="0D0D0D" w:themeColor="text1" w:themeTint="F2"/>
                                <w:sz w:val="36"/>
                                <w:szCs w:val="40"/>
                                <w:lang w:val="es-VE"/>
                              </w:rPr>
                              <w:t>11.782</w:t>
                            </w:r>
                          </w:p>
                          <w:p w14:paraId="48CFBADB" w14:textId="77777777" w:rsidR="00BD2651" w:rsidRPr="0039784E" w:rsidRDefault="00BD2651" w:rsidP="005112A0">
                            <w:pPr>
                              <w:suppressAutoHyphens/>
                              <w:rPr>
                                <w:rFonts w:ascii="Cambria" w:hAnsi="Cambria"/>
                                <w:lang w:val="es-ES_tradnl"/>
                              </w:rPr>
                            </w:pPr>
                            <w:r w:rsidRPr="0039784E">
                              <w:rPr>
                                <w:rFonts w:ascii="Cambria" w:hAnsi="Cambria"/>
                                <w:lang w:val="es-ES_tradnl"/>
                              </w:rPr>
                              <w:t>INFORME DE ADMISIBILIDAD Y FONDO</w:t>
                            </w:r>
                          </w:p>
                          <w:p w14:paraId="64403DB2" w14:textId="77777777" w:rsidR="00BD2651" w:rsidRPr="0039784E" w:rsidRDefault="00BD2651" w:rsidP="005112A0">
                            <w:pPr>
                              <w:suppressAutoHyphens/>
                              <w:rPr>
                                <w:rFonts w:ascii="Cambria" w:hAnsi="Cambria"/>
                                <w:lang w:val="es-ES_tradnl"/>
                              </w:rPr>
                            </w:pPr>
                          </w:p>
                          <w:p w14:paraId="1B31B3B7" w14:textId="77777777" w:rsidR="00BD2651" w:rsidRDefault="00BD2651" w:rsidP="005112A0">
                            <w:pPr>
                              <w:spacing w:line="276" w:lineRule="auto"/>
                              <w:rPr>
                                <w:rFonts w:asciiTheme="majorHAnsi" w:hAnsiTheme="majorHAnsi" w:cs="Arial"/>
                                <w:color w:val="0D0D0D" w:themeColor="text1" w:themeTint="F2"/>
                                <w:szCs w:val="22"/>
                                <w:lang w:val="es-VE"/>
                              </w:rPr>
                            </w:pPr>
                            <w:r>
                              <w:rPr>
                                <w:rFonts w:ascii="Cambria" w:hAnsi="Cambria"/>
                                <w:lang w:val="es-VE"/>
                              </w:rPr>
                              <w:t>MIGUEL</w:t>
                            </w:r>
                            <w:r>
                              <w:rPr>
                                <w:rFonts w:ascii="Cambria" w:hAnsi="Cambria"/>
                                <w:lang w:val="es-ES_tradnl"/>
                              </w:rPr>
                              <w:t xml:space="preserve"> Á</w:t>
                            </w:r>
                            <w:r>
                              <w:rPr>
                                <w:rFonts w:ascii="Cambria" w:hAnsi="Cambria"/>
                                <w:lang w:val="es-VE"/>
                              </w:rPr>
                              <w:t>NGEL RODRÍGUEZ REVOLORIO, MIGUEL ÁNGEL LÓPEZ CALO Y ÁNIBAL ARCHILA PÉREZ</w:t>
                            </w:r>
                          </w:p>
                          <w:p w14:paraId="7FCCB785" w14:textId="5CC82994" w:rsidR="00BD2651" w:rsidRPr="00F0062D" w:rsidRDefault="00BD2651" w:rsidP="005112A0">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 xml:space="preserve"> Guatemala </w:t>
                            </w:r>
                          </w:p>
                          <w:p w14:paraId="6BA95F67" w14:textId="77777777" w:rsidR="00BD2651" w:rsidRDefault="00BD2651" w:rsidP="00B06E1C">
                            <w:pPr>
                              <w:suppressAutoHyphens/>
                              <w:rPr>
                                <w:rFonts w:ascii="Cambria" w:hAnsi="Cambria"/>
                                <w:lang w:val="es-ES_tradnl"/>
                              </w:rPr>
                            </w:pPr>
                          </w:p>
                          <w:p w14:paraId="5BBDD672" w14:textId="77777777" w:rsidR="00BD2651" w:rsidRDefault="00BD2651" w:rsidP="00997BC5">
                            <w:pPr>
                              <w:spacing w:line="276" w:lineRule="auto"/>
                              <w:rPr>
                                <w:rFonts w:asciiTheme="majorHAnsi" w:hAnsiTheme="majorHAnsi" w:cs="Arial"/>
                                <w:color w:val="0D0D0D" w:themeColor="text1" w:themeTint="F2"/>
                                <w:szCs w:val="22"/>
                                <w:lang w:val="es-ES_tradnl"/>
                              </w:rPr>
                            </w:pPr>
                          </w:p>
                          <w:p w14:paraId="1CD8C023" w14:textId="77777777" w:rsidR="00BD2651" w:rsidRDefault="00BD2651" w:rsidP="00997BC5">
                            <w:pPr>
                              <w:spacing w:line="276" w:lineRule="auto"/>
                              <w:rPr>
                                <w:rFonts w:asciiTheme="majorHAnsi" w:hAnsiTheme="majorHAnsi" w:cs="Arial"/>
                                <w:color w:val="0D0D0D" w:themeColor="text1" w:themeTint="F2"/>
                                <w:szCs w:val="22"/>
                                <w:lang w:val="es-ES_tradnl"/>
                              </w:rPr>
                            </w:pPr>
                          </w:p>
                          <w:p w14:paraId="424FC7B2" w14:textId="77777777" w:rsidR="00BD2651" w:rsidRPr="0010736F" w:rsidRDefault="00BD2651" w:rsidP="00997BC5">
                            <w:pPr>
                              <w:spacing w:line="276" w:lineRule="auto"/>
                              <w:rPr>
                                <w:rFonts w:asciiTheme="majorHAnsi" w:hAnsiTheme="majorHAnsi" w:cs="Arial"/>
                                <w:color w:val="0D0D0D" w:themeColor="text1" w:themeTint="F2"/>
                                <w:szCs w:val="22"/>
                                <w:lang w:val="es-ES_tradnl"/>
                              </w:rPr>
                            </w:pPr>
                          </w:p>
                          <w:bookmarkEnd w:id="0"/>
                          <w:p w14:paraId="09ACCE5C" w14:textId="77777777" w:rsidR="00BD2651" w:rsidRPr="00AE5488" w:rsidRDefault="00BD265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6pt;width:349.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AjgIAAIMFAAAOAAAAZHJzL2Uyb0RvYy54bWysVE1v2zAMvQ/YfxB0Xx2nTrcadYqsRYcB&#10;QVusHXpWZKkxKomapMTOfv0o2U6ybpcOu9gS+Ujx45EXl51WZCucb8BUND+ZUCIMh7oxzxX9/njz&#10;4RMlPjBTMwVGVHQnPL2cv3930dpSTGENqhaOoBPjy9ZWdB2CLbPM87XQzJ+AFQaVEpxmAa/uOasd&#10;a9G7Vtl0MjnLWnC1dcCF9yi97pV0nvxLKXi4k9KLQFRFMbaQvi59V/GbzS9Y+eyYXTd8CIP9QxSa&#10;NQYf3bu6ZoGRjWv+cKUb7sCDDCccdAZSNlykHDCbfPIqm4c1syLlgsXxdl8m///c8tvtvSNNXdEZ&#10;JYZpbNGj6AL5DB2Zxeq01pcIerAICx2KscspU2+XwF88QrIjTG/gER2r0Umn4x/zJGiIDdjtix5f&#10;4SgsiiLPz1HFUVdMP57OZqkt2cHcOh++CNAkHirqsKspBLZd+hADYOUIia8ZuGmUSp1VhrQVPTtF&#10;l79p0EKZKBGJI4ObmEcfejqFnRIRo8w3IbFGKYMoSOwUV8qRLUNeMc6FCXmsVvKL6IiSGMRbDAf8&#10;Iaq3GPd5jC+DCXtj3RhwfcfiUB3Crl/GkGWPHzrp+7xjCUK36hI5EjJKVlDvkAkO+knylt802JQl&#10;8+GeORwdbCSug3CHH6kAiw/DiZI1uJ9/k0c8Mhq1lLQ4ihX1PzbMCUrUV4NcP8+LIs5uuhSzj1O8&#10;uGPN6lhjNvoKsCs5Lh7L0zHigxqP0oF+wq2xiK+iihmOb1c0jMer0C8I3DpcLBYJhNNqWViaB8vH&#10;AYiUe+yemLMDLwNS+hbGoWXlK3r22NheA4tNANkk7h6qOtQfJz0RadhKcZUc3xPqsDvnvwAAAP//&#10;AwBQSwMEFAAGAAgAAAAhAPRYeIbgAAAACgEAAA8AAABkcnMvZG93bnJldi54bWxMj09LAzEUxO+C&#10;3yE8wZvNbpT+2W62FNGLINJakN5eN3GzmrysSdqu39540uMww8xv6tXoLDvpEHtPEspJAUxT61VP&#10;nYTd6+PNHFhMSAqtJy3hW0dYNZcXNVbKn2mjT9vUsVxCsUIJJqWh4jy2RjuMEz9oyt67Dw5TlqHj&#10;KuA5lzvLRVFMucOe8oLBQd8b3X5uj07CbL5X5iM8jbu35/WXeRm4fUAu5fXVuF4CS3pMf2H4xc/o&#10;0GSmgz+SisxKEOVt/pKyMRPAcmBRijtgBwnTRSGANzX/f6H5AQAA//8DAFBLAQItABQABgAIAAAA&#10;IQC2gziS/gAAAOEBAAATAAAAAAAAAAAAAAAAAAAAAABbQ29udGVudF9UeXBlc10ueG1sUEsBAi0A&#10;FAAGAAgAAAAhADj9If/WAAAAlAEAAAsAAAAAAAAAAAAAAAAALwEAAF9yZWxzLy5yZWxzUEsBAi0A&#10;FAAGAAgAAAAhAH+mIECOAgAAgwUAAA4AAAAAAAAAAAAAAAAALgIAAGRycy9lMm9Eb2MueG1sUEsB&#10;Ai0AFAAGAAgAAAAhAPRYeIbgAAAACgEAAA8AAAAAAAAAAAAAAAAA6AQAAGRycy9kb3ducmV2Lnht&#10;bFBLBQYAAAAABAAEAPMAAAD1BQAAAAA=&#10;" filled="f" stroked="f" strokeweight=".5pt">
                <v:path arrowok="t"/>
                <v:textbox>
                  <w:txbxContent>
                    <w:p w14:paraId="3D0B6E9C" w14:textId="376278FA" w:rsidR="00BD2651" w:rsidRPr="00B06C1C" w:rsidRDefault="00BD2651" w:rsidP="005112A0">
                      <w:pPr>
                        <w:spacing w:line="276" w:lineRule="auto"/>
                        <w:rPr>
                          <w:rFonts w:asciiTheme="majorHAnsi" w:hAnsiTheme="majorHAnsi" w:cs="Arial"/>
                          <w:b/>
                          <w:bCs/>
                          <w:color w:val="0D0D0D" w:themeColor="text1" w:themeTint="F2"/>
                          <w:sz w:val="36"/>
                          <w:szCs w:val="22"/>
                          <w:lang w:val="es-ES"/>
                        </w:rPr>
                      </w:pPr>
                      <w:bookmarkStart w:id="1" w:name="_ftnref1"/>
                      <w:r w:rsidRPr="00B06C1C">
                        <w:rPr>
                          <w:rFonts w:asciiTheme="majorHAnsi" w:hAnsiTheme="majorHAnsi" w:cs="Arial"/>
                          <w:b/>
                          <w:bCs/>
                          <w:color w:val="0D0D0D" w:themeColor="text1" w:themeTint="F2"/>
                          <w:sz w:val="36"/>
                          <w:szCs w:val="22"/>
                          <w:lang w:val="es-ES"/>
                        </w:rPr>
                        <w:t xml:space="preserve">INFORME </w:t>
                      </w:r>
                      <w:r w:rsidR="001D6D41">
                        <w:rPr>
                          <w:rFonts w:asciiTheme="majorHAnsi" w:hAnsiTheme="majorHAnsi" w:cs="Arial"/>
                          <w:b/>
                          <w:bCs/>
                          <w:color w:val="0D0D0D" w:themeColor="text1" w:themeTint="F2"/>
                          <w:sz w:val="36"/>
                          <w:szCs w:val="40"/>
                          <w:lang w:val="es-ES"/>
                        </w:rPr>
                        <w:t>Nº</w:t>
                      </w:r>
                      <w:r>
                        <w:rPr>
                          <w:rFonts w:asciiTheme="majorHAnsi" w:hAnsiTheme="majorHAnsi" w:cs="Arial"/>
                          <w:b/>
                          <w:bCs/>
                          <w:color w:val="0D0D0D" w:themeColor="text1" w:themeTint="F2"/>
                          <w:sz w:val="36"/>
                          <w:szCs w:val="22"/>
                          <w:lang w:val="es-ES"/>
                        </w:rPr>
                        <w:t xml:space="preserve"> 99/17</w:t>
                      </w:r>
                    </w:p>
                    <w:p w14:paraId="7A9F3561" w14:textId="77777777" w:rsidR="00BD2651" w:rsidRPr="00AA1451" w:rsidRDefault="00BD2651" w:rsidP="005112A0">
                      <w:pPr>
                        <w:spacing w:line="276" w:lineRule="auto"/>
                        <w:rPr>
                          <w:rFonts w:asciiTheme="majorHAnsi" w:hAnsiTheme="majorHAnsi" w:cs="Arial"/>
                          <w:b/>
                          <w:bCs/>
                          <w:color w:val="0D0D0D" w:themeColor="text1" w:themeTint="F2"/>
                          <w:sz w:val="36"/>
                          <w:szCs w:val="40"/>
                          <w:lang w:val="es-VE"/>
                        </w:rPr>
                      </w:pPr>
                      <w:r w:rsidRPr="00AA1451">
                        <w:rPr>
                          <w:rFonts w:asciiTheme="majorHAnsi" w:hAnsiTheme="majorHAnsi" w:cs="Arial"/>
                          <w:b/>
                          <w:bCs/>
                          <w:color w:val="0D0D0D" w:themeColor="text1" w:themeTint="F2"/>
                          <w:sz w:val="36"/>
                          <w:szCs w:val="40"/>
                          <w:lang w:val="es-VE"/>
                        </w:rPr>
                        <w:t xml:space="preserve">CASO </w:t>
                      </w:r>
                      <w:r>
                        <w:rPr>
                          <w:rFonts w:asciiTheme="majorHAnsi" w:hAnsiTheme="majorHAnsi" w:cs="Arial"/>
                          <w:b/>
                          <w:color w:val="0D0D0D" w:themeColor="text1" w:themeTint="F2"/>
                          <w:sz w:val="36"/>
                          <w:szCs w:val="40"/>
                          <w:lang w:val="es-VE"/>
                        </w:rPr>
                        <w:t>11.782</w:t>
                      </w:r>
                    </w:p>
                    <w:p w14:paraId="48CFBADB" w14:textId="77777777" w:rsidR="00BD2651" w:rsidRPr="0039784E" w:rsidRDefault="00BD2651" w:rsidP="005112A0">
                      <w:pPr>
                        <w:suppressAutoHyphens/>
                        <w:rPr>
                          <w:rFonts w:ascii="Cambria" w:hAnsi="Cambria"/>
                          <w:lang w:val="es-ES_tradnl"/>
                        </w:rPr>
                      </w:pPr>
                      <w:r w:rsidRPr="0039784E">
                        <w:rPr>
                          <w:rFonts w:ascii="Cambria" w:hAnsi="Cambria"/>
                          <w:lang w:val="es-ES_tradnl"/>
                        </w:rPr>
                        <w:t>INFORME DE ADMISIBILIDAD Y FONDO</w:t>
                      </w:r>
                    </w:p>
                    <w:p w14:paraId="64403DB2" w14:textId="77777777" w:rsidR="00BD2651" w:rsidRPr="0039784E" w:rsidRDefault="00BD2651" w:rsidP="005112A0">
                      <w:pPr>
                        <w:suppressAutoHyphens/>
                        <w:rPr>
                          <w:rFonts w:ascii="Cambria" w:hAnsi="Cambria"/>
                          <w:lang w:val="es-ES_tradnl"/>
                        </w:rPr>
                      </w:pPr>
                    </w:p>
                    <w:p w14:paraId="1B31B3B7" w14:textId="77777777" w:rsidR="00BD2651" w:rsidRDefault="00BD2651" w:rsidP="005112A0">
                      <w:pPr>
                        <w:spacing w:line="276" w:lineRule="auto"/>
                        <w:rPr>
                          <w:rFonts w:asciiTheme="majorHAnsi" w:hAnsiTheme="majorHAnsi" w:cs="Arial"/>
                          <w:color w:val="0D0D0D" w:themeColor="text1" w:themeTint="F2"/>
                          <w:szCs w:val="22"/>
                          <w:lang w:val="es-VE"/>
                        </w:rPr>
                      </w:pPr>
                      <w:r>
                        <w:rPr>
                          <w:rFonts w:ascii="Cambria" w:hAnsi="Cambria"/>
                          <w:lang w:val="es-VE"/>
                        </w:rPr>
                        <w:t>MIGUEL</w:t>
                      </w:r>
                      <w:r>
                        <w:rPr>
                          <w:rFonts w:ascii="Cambria" w:hAnsi="Cambria"/>
                          <w:lang w:val="es-ES_tradnl"/>
                        </w:rPr>
                        <w:t xml:space="preserve"> Á</w:t>
                      </w:r>
                      <w:r>
                        <w:rPr>
                          <w:rFonts w:ascii="Cambria" w:hAnsi="Cambria"/>
                          <w:lang w:val="es-VE"/>
                        </w:rPr>
                        <w:t>NGEL RODRÍGUEZ REVOLORIO, MIGUEL ÁNGEL LÓPEZ CALO Y ÁNIBAL ARCHILA PÉREZ</w:t>
                      </w:r>
                    </w:p>
                    <w:p w14:paraId="7FCCB785" w14:textId="5CC82994" w:rsidR="00BD2651" w:rsidRPr="00F0062D" w:rsidRDefault="00BD2651" w:rsidP="005112A0">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 xml:space="preserve"> Guatemala </w:t>
                      </w:r>
                    </w:p>
                    <w:p w14:paraId="6BA95F67" w14:textId="77777777" w:rsidR="00BD2651" w:rsidRDefault="00BD2651" w:rsidP="00B06E1C">
                      <w:pPr>
                        <w:suppressAutoHyphens/>
                        <w:rPr>
                          <w:rFonts w:ascii="Cambria" w:hAnsi="Cambria"/>
                          <w:lang w:val="es-ES_tradnl"/>
                        </w:rPr>
                      </w:pPr>
                    </w:p>
                    <w:p w14:paraId="5BBDD672" w14:textId="77777777" w:rsidR="00BD2651" w:rsidRDefault="00BD2651" w:rsidP="00997BC5">
                      <w:pPr>
                        <w:spacing w:line="276" w:lineRule="auto"/>
                        <w:rPr>
                          <w:rFonts w:asciiTheme="majorHAnsi" w:hAnsiTheme="majorHAnsi" w:cs="Arial"/>
                          <w:color w:val="0D0D0D" w:themeColor="text1" w:themeTint="F2"/>
                          <w:szCs w:val="22"/>
                          <w:lang w:val="es-ES_tradnl"/>
                        </w:rPr>
                      </w:pPr>
                    </w:p>
                    <w:p w14:paraId="1CD8C023" w14:textId="77777777" w:rsidR="00BD2651" w:rsidRDefault="00BD2651" w:rsidP="00997BC5">
                      <w:pPr>
                        <w:spacing w:line="276" w:lineRule="auto"/>
                        <w:rPr>
                          <w:rFonts w:asciiTheme="majorHAnsi" w:hAnsiTheme="majorHAnsi" w:cs="Arial"/>
                          <w:color w:val="0D0D0D" w:themeColor="text1" w:themeTint="F2"/>
                          <w:szCs w:val="22"/>
                          <w:lang w:val="es-ES_tradnl"/>
                        </w:rPr>
                      </w:pPr>
                    </w:p>
                    <w:p w14:paraId="424FC7B2" w14:textId="77777777" w:rsidR="00BD2651" w:rsidRPr="0010736F" w:rsidRDefault="00BD2651" w:rsidP="00997BC5">
                      <w:pPr>
                        <w:spacing w:line="276" w:lineRule="auto"/>
                        <w:rPr>
                          <w:rFonts w:asciiTheme="majorHAnsi" w:hAnsiTheme="majorHAnsi" w:cs="Arial"/>
                          <w:color w:val="0D0D0D" w:themeColor="text1" w:themeTint="F2"/>
                          <w:szCs w:val="22"/>
                          <w:lang w:val="es-ES_tradnl"/>
                        </w:rPr>
                      </w:pPr>
                    </w:p>
                    <w:bookmarkEnd w:id="1"/>
                    <w:p w14:paraId="09ACCE5C" w14:textId="77777777" w:rsidR="00BD2651" w:rsidRPr="00AE5488" w:rsidRDefault="00BD2651" w:rsidP="007A5817">
                      <w:pPr>
                        <w:rPr>
                          <w:color w:val="0D0D0D" w:themeColor="text1" w:themeTint="F2"/>
                          <w:lang w:val="es-ES_tradnl"/>
                        </w:rPr>
                      </w:pPr>
                    </w:p>
                  </w:txbxContent>
                </v:textbox>
              </v:shape>
            </w:pict>
          </mc:Fallback>
        </mc:AlternateContent>
      </w:r>
      <w:r w:rsidRPr="009D1618">
        <w:rPr>
          <w:rFonts w:ascii="Cambria" w:hAnsi="Cambria"/>
          <w:noProof/>
          <w:sz w:val="20"/>
          <w:szCs w:val="20"/>
          <w:lang w:val="es-UY" w:eastAsia="es-UY"/>
        </w:rPr>
        <mc:AlternateContent>
          <mc:Choice Requires="wps">
            <w:drawing>
              <wp:anchor distT="0" distB="0" distL="114300" distR="114300" simplePos="0" relativeHeight="251671552" behindDoc="0" locked="0" layoutInCell="1" allowOverlap="1" wp14:anchorId="6360F388" wp14:editId="196BA5F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2E8C0" w14:textId="5BA05AA3" w:rsidR="00BD2651" w:rsidRPr="00BD2651" w:rsidRDefault="00BD2651" w:rsidP="007A5817">
                            <w:pPr>
                              <w:spacing w:line="276" w:lineRule="auto"/>
                              <w:jc w:val="right"/>
                              <w:rPr>
                                <w:rFonts w:asciiTheme="minorHAnsi" w:hAnsiTheme="minorHAnsi"/>
                                <w:color w:val="FFFFFF" w:themeColor="background1"/>
                                <w:sz w:val="22"/>
                                <w:lang w:val="pt-BR"/>
                              </w:rPr>
                            </w:pPr>
                            <w:r w:rsidRPr="00BD2651">
                              <w:rPr>
                                <w:rFonts w:asciiTheme="minorHAnsi" w:hAnsiTheme="minorHAnsi"/>
                                <w:color w:val="FFFFFF" w:themeColor="background1"/>
                                <w:sz w:val="22"/>
                                <w:lang w:val="pt-BR"/>
                              </w:rPr>
                              <w:t>OEA/Ser.L/V/II.164</w:t>
                            </w:r>
                          </w:p>
                          <w:p w14:paraId="3907F29B" w14:textId="71F7B4DD" w:rsidR="00BD2651" w:rsidRPr="00BD2651" w:rsidRDefault="00BD2651" w:rsidP="007A5817">
                            <w:pPr>
                              <w:spacing w:line="276" w:lineRule="auto"/>
                              <w:jc w:val="right"/>
                              <w:rPr>
                                <w:rFonts w:asciiTheme="minorHAnsi" w:hAnsiTheme="minorHAnsi"/>
                                <w:color w:val="FFFFFF" w:themeColor="background1"/>
                                <w:sz w:val="22"/>
                                <w:lang w:val="pt-BR"/>
                              </w:rPr>
                            </w:pPr>
                            <w:r w:rsidRPr="00BD2651">
                              <w:rPr>
                                <w:rFonts w:asciiTheme="minorHAnsi" w:hAnsiTheme="minorHAnsi"/>
                                <w:color w:val="FFFFFF" w:themeColor="background1"/>
                                <w:sz w:val="22"/>
                                <w:lang w:val="pt-BR"/>
                              </w:rPr>
                              <w:t>Doc. 117</w:t>
                            </w:r>
                          </w:p>
                          <w:p w14:paraId="00F2EA85" w14:textId="67100484" w:rsidR="00BD2651" w:rsidRPr="00D91C6A" w:rsidRDefault="001D6D41"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w:t>
                            </w:r>
                            <w:r w:rsidR="00BD2651">
                              <w:rPr>
                                <w:rFonts w:asciiTheme="minorHAnsi" w:hAnsiTheme="minorHAnsi"/>
                                <w:color w:val="FFFFFF" w:themeColor="background1"/>
                                <w:sz w:val="22"/>
                                <w:lang w:val="es-VE"/>
                              </w:rPr>
                              <w:t xml:space="preserve"> septiembre</w:t>
                            </w:r>
                            <w:r w:rsidR="00BD2651" w:rsidRPr="00D91C6A">
                              <w:rPr>
                                <w:rFonts w:asciiTheme="minorHAnsi" w:hAnsiTheme="minorHAnsi"/>
                                <w:color w:val="FFFFFF" w:themeColor="background1"/>
                                <w:sz w:val="22"/>
                                <w:lang w:val="es-VE"/>
                              </w:rPr>
                              <w:t xml:space="preserve"> 2017</w:t>
                            </w:r>
                          </w:p>
                          <w:p w14:paraId="021BAB5D" w14:textId="77777777" w:rsidR="00BD2651" w:rsidRPr="000C5BC3" w:rsidRDefault="00BD265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41E2E8C0" w14:textId="5BA05AA3" w:rsidR="00BD2651" w:rsidRPr="00BD2651" w:rsidRDefault="00BD2651" w:rsidP="007A5817">
                      <w:pPr>
                        <w:spacing w:line="276" w:lineRule="auto"/>
                        <w:jc w:val="right"/>
                        <w:rPr>
                          <w:rFonts w:asciiTheme="minorHAnsi" w:hAnsiTheme="minorHAnsi"/>
                          <w:color w:val="FFFFFF" w:themeColor="background1"/>
                          <w:sz w:val="22"/>
                          <w:lang w:val="pt-BR"/>
                        </w:rPr>
                      </w:pPr>
                      <w:r w:rsidRPr="00BD2651">
                        <w:rPr>
                          <w:rFonts w:asciiTheme="minorHAnsi" w:hAnsiTheme="minorHAnsi"/>
                          <w:color w:val="FFFFFF" w:themeColor="background1"/>
                          <w:sz w:val="22"/>
                          <w:lang w:val="pt-BR"/>
                        </w:rPr>
                        <w:t>OEA/Ser.L/V/II.164</w:t>
                      </w:r>
                    </w:p>
                    <w:p w14:paraId="3907F29B" w14:textId="71F7B4DD" w:rsidR="00BD2651" w:rsidRPr="00BD2651" w:rsidRDefault="00BD2651" w:rsidP="007A5817">
                      <w:pPr>
                        <w:spacing w:line="276" w:lineRule="auto"/>
                        <w:jc w:val="right"/>
                        <w:rPr>
                          <w:rFonts w:asciiTheme="minorHAnsi" w:hAnsiTheme="minorHAnsi"/>
                          <w:color w:val="FFFFFF" w:themeColor="background1"/>
                          <w:sz w:val="22"/>
                          <w:lang w:val="pt-BR"/>
                        </w:rPr>
                      </w:pPr>
                      <w:r w:rsidRPr="00BD2651">
                        <w:rPr>
                          <w:rFonts w:asciiTheme="minorHAnsi" w:hAnsiTheme="minorHAnsi"/>
                          <w:color w:val="FFFFFF" w:themeColor="background1"/>
                          <w:sz w:val="22"/>
                          <w:lang w:val="pt-BR"/>
                        </w:rPr>
                        <w:t>Doc. 117</w:t>
                      </w:r>
                    </w:p>
                    <w:p w14:paraId="00F2EA85" w14:textId="67100484" w:rsidR="00BD2651" w:rsidRPr="00D91C6A" w:rsidRDefault="001D6D41"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5</w:t>
                      </w:r>
                      <w:r w:rsidR="00BD2651">
                        <w:rPr>
                          <w:rFonts w:asciiTheme="minorHAnsi" w:hAnsiTheme="minorHAnsi"/>
                          <w:color w:val="FFFFFF" w:themeColor="background1"/>
                          <w:sz w:val="22"/>
                          <w:lang w:val="es-VE"/>
                        </w:rPr>
                        <w:t xml:space="preserve"> septiembre</w:t>
                      </w:r>
                      <w:r w:rsidR="00BD2651" w:rsidRPr="00D91C6A">
                        <w:rPr>
                          <w:rFonts w:asciiTheme="minorHAnsi" w:hAnsiTheme="minorHAnsi"/>
                          <w:color w:val="FFFFFF" w:themeColor="background1"/>
                          <w:sz w:val="22"/>
                          <w:lang w:val="es-VE"/>
                        </w:rPr>
                        <w:t xml:space="preserve"> 2017</w:t>
                      </w:r>
                    </w:p>
                    <w:p w14:paraId="021BAB5D" w14:textId="77777777" w:rsidR="00BD2651" w:rsidRPr="000C5BC3" w:rsidRDefault="00BD2651"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3F4EB296" w14:textId="77777777" w:rsidR="00040C3A" w:rsidRPr="009D1618" w:rsidRDefault="00040C3A" w:rsidP="00040C3A">
      <w:pPr>
        <w:tabs>
          <w:tab w:val="center" w:pos="5400"/>
        </w:tabs>
        <w:suppressAutoHyphens/>
        <w:jc w:val="center"/>
        <w:rPr>
          <w:rFonts w:ascii="Cambria" w:hAnsi="Cambria"/>
          <w:sz w:val="20"/>
          <w:szCs w:val="20"/>
          <w:lang w:val="es-ES_tradnl"/>
        </w:rPr>
      </w:pPr>
    </w:p>
    <w:p w14:paraId="4925E8C0" w14:textId="77777777" w:rsidR="00040C3A" w:rsidRPr="009D1618" w:rsidRDefault="00040C3A" w:rsidP="00040C3A">
      <w:pPr>
        <w:tabs>
          <w:tab w:val="center" w:pos="5400"/>
        </w:tabs>
        <w:suppressAutoHyphens/>
        <w:jc w:val="center"/>
        <w:rPr>
          <w:rFonts w:ascii="Cambria" w:hAnsi="Cambria"/>
          <w:sz w:val="20"/>
          <w:szCs w:val="20"/>
          <w:lang w:val="es-ES_tradnl"/>
        </w:rPr>
      </w:pPr>
    </w:p>
    <w:p w14:paraId="4E5EF9CC" w14:textId="77777777" w:rsidR="00040C3A" w:rsidRPr="009D1618" w:rsidRDefault="00040C3A" w:rsidP="00040C3A">
      <w:pPr>
        <w:tabs>
          <w:tab w:val="center" w:pos="5400"/>
        </w:tabs>
        <w:suppressAutoHyphens/>
        <w:jc w:val="center"/>
        <w:rPr>
          <w:rFonts w:ascii="Cambria" w:hAnsi="Cambria" w:cs="Arial"/>
          <w:sz w:val="20"/>
          <w:szCs w:val="20"/>
          <w:lang w:val="es-ES_tradnl"/>
        </w:rPr>
      </w:pPr>
    </w:p>
    <w:p w14:paraId="2CA1DE1A" w14:textId="77777777" w:rsidR="00040C3A" w:rsidRPr="009D1618" w:rsidRDefault="00040C3A" w:rsidP="00040C3A">
      <w:pPr>
        <w:tabs>
          <w:tab w:val="center" w:pos="5400"/>
        </w:tabs>
        <w:suppressAutoHyphens/>
        <w:jc w:val="center"/>
        <w:rPr>
          <w:rFonts w:ascii="Cambria" w:hAnsi="Cambria"/>
          <w:sz w:val="20"/>
          <w:szCs w:val="20"/>
          <w:lang w:val="es-ES_tradnl"/>
        </w:rPr>
      </w:pPr>
    </w:p>
    <w:p w14:paraId="58D260DD" w14:textId="77777777" w:rsidR="00040C3A" w:rsidRPr="009D1618" w:rsidRDefault="00040C3A" w:rsidP="00040C3A">
      <w:pPr>
        <w:tabs>
          <w:tab w:val="center" w:pos="5400"/>
        </w:tabs>
        <w:suppressAutoHyphens/>
        <w:jc w:val="center"/>
        <w:rPr>
          <w:rFonts w:ascii="Cambria" w:hAnsi="Cambria"/>
          <w:sz w:val="20"/>
          <w:szCs w:val="20"/>
          <w:lang w:val="es-ES_tradnl"/>
        </w:rPr>
      </w:pPr>
    </w:p>
    <w:p w14:paraId="19DADAD3" w14:textId="77777777" w:rsidR="00040C3A" w:rsidRPr="009D1618" w:rsidRDefault="00040C3A" w:rsidP="00040C3A">
      <w:pPr>
        <w:tabs>
          <w:tab w:val="center" w:pos="5400"/>
        </w:tabs>
        <w:suppressAutoHyphens/>
        <w:jc w:val="center"/>
        <w:rPr>
          <w:rFonts w:ascii="Cambria" w:hAnsi="Cambria"/>
          <w:sz w:val="20"/>
          <w:szCs w:val="20"/>
          <w:lang w:val="es-ES_tradnl"/>
        </w:rPr>
      </w:pPr>
    </w:p>
    <w:p w14:paraId="7C0990A3" w14:textId="77777777" w:rsidR="00040C3A" w:rsidRPr="009D1618" w:rsidRDefault="00040C3A" w:rsidP="00040C3A">
      <w:pPr>
        <w:tabs>
          <w:tab w:val="center" w:pos="5400"/>
        </w:tabs>
        <w:suppressAutoHyphens/>
        <w:jc w:val="center"/>
        <w:rPr>
          <w:rFonts w:ascii="Cambria" w:hAnsi="Cambria"/>
          <w:sz w:val="20"/>
          <w:szCs w:val="20"/>
          <w:lang w:val="es-ES_tradnl"/>
        </w:rPr>
      </w:pPr>
    </w:p>
    <w:p w14:paraId="15FEC211" w14:textId="77777777" w:rsidR="005128E4" w:rsidRPr="009D1618" w:rsidRDefault="005128E4" w:rsidP="00040C3A">
      <w:pPr>
        <w:tabs>
          <w:tab w:val="center" w:pos="5400"/>
        </w:tabs>
        <w:suppressAutoHyphens/>
        <w:jc w:val="center"/>
        <w:rPr>
          <w:rFonts w:ascii="Cambria" w:hAnsi="Cambria"/>
          <w:sz w:val="20"/>
          <w:szCs w:val="20"/>
          <w:lang w:val="es-ES_tradnl"/>
        </w:rPr>
      </w:pPr>
    </w:p>
    <w:p w14:paraId="6967BB99" w14:textId="77777777" w:rsidR="00040C3A" w:rsidRPr="009D1618" w:rsidRDefault="00040C3A" w:rsidP="00040C3A">
      <w:pPr>
        <w:tabs>
          <w:tab w:val="center" w:pos="5400"/>
        </w:tabs>
        <w:suppressAutoHyphens/>
        <w:jc w:val="center"/>
        <w:rPr>
          <w:rFonts w:ascii="Cambria" w:hAnsi="Cambria"/>
          <w:sz w:val="20"/>
          <w:szCs w:val="20"/>
          <w:lang w:val="es-ES_tradnl"/>
        </w:rPr>
      </w:pPr>
    </w:p>
    <w:p w14:paraId="4B94C9FA" w14:textId="77777777" w:rsidR="005128E4" w:rsidRPr="009D1618" w:rsidRDefault="005128E4" w:rsidP="00040C3A">
      <w:pPr>
        <w:tabs>
          <w:tab w:val="center" w:pos="5400"/>
        </w:tabs>
        <w:suppressAutoHyphens/>
        <w:jc w:val="center"/>
        <w:rPr>
          <w:rFonts w:ascii="Cambria" w:hAnsi="Cambria"/>
          <w:sz w:val="20"/>
          <w:szCs w:val="20"/>
          <w:lang w:val="es-ES_tradnl"/>
        </w:rPr>
      </w:pPr>
    </w:p>
    <w:p w14:paraId="26155D27" w14:textId="77777777" w:rsidR="005128E4" w:rsidRPr="009D1618" w:rsidRDefault="005128E4" w:rsidP="00040C3A">
      <w:pPr>
        <w:tabs>
          <w:tab w:val="center" w:pos="5400"/>
        </w:tabs>
        <w:suppressAutoHyphens/>
        <w:jc w:val="center"/>
        <w:rPr>
          <w:rFonts w:ascii="Cambria" w:hAnsi="Cambria"/>
          <w:sz w:val="20"/>
          <w:szCs w:val="20"/>
          <w:lang w:val="es-ES_tradnl"/>
        </w:rPr>
      </w:pPr>
    </w:p>
    <w:p w14:paraId="1CA37923" w14:textId="77777777" w:rsidR="005128E4" w:rsidRPr="009D1618" w:rsidRDefault="005128E4" w:rsidP="00040C3A">
      <w:pPr>
        <w:tabs>
          <w:tab w:val="center" w:pos="5400"/>
        </w:tabs>
        <w:suppressAutoHyphens/>
        <w:jc w:val="center"/>
        <w:rPr>
          <w:rFonts w:ascii="Cambria" w:hAnsi="Cambria"/>
          <w:sz w:val="20"/>
          <w:szCs w:val="20"/>
          <w:lang w:val="es-ES_tradnl"/>
        </w:rPr>
      </w:pPr>
    </w:p>
    <w:p w14:paraId="466AF0A2" w14:textId="77777777" w:rsidR="00040C3A" w:rsidRPr="009D1618" w:rsidRDefault="00040C3A" w:rsidP="00040C3A">
      <w:pPr>
        <w:tabs>
          <w:tab w:val="center" w:pos="5400"/>
        </w:tabs>
        <w:suppressAutoHyphens/>
        <w:jc w:val="center"/>
        <w:rPr>
          <w:rFonts w:ascii="Cambria" w:hAnsi="Cambria"/>
          <w:sz w:val="20"/>
          <w:szCs w:val="20"/>
          <w:lang w:val="es-ES_tradnl"/>
        </w:rPr>
      </w:pPr>
    </w:p>
    <w:p w14:paraId="0F9E442E" w14:textId="77777777" w:rsidR="00040C3A" w:rsidRPr="009D1618" w:rsidRDefault="00040C3A" w:rsidP="00040C3A">
      <w:pPr>
        <w:tabs>
          <w:tab w:val="center" w:pos="5400"/>
        </w:tabs>
        <w:suppressAutoHyphens/>
        <w:jc w:val="center"/>
        <w:rPr>
          <w:rFonts w:ascii="Cambria" w:hAnsi="Cambria"/>
          <w:sz w:val="20"/>
          <w:szCs w:val="20"/>
          <w:lang w:val="es-ES_tradnl"/>
        </w:rPr>
      </w:pPr>
    </w:p>
    <w:p w14:paraId="45AA5D92" w14:textId="77777777" w:rsidR="00A50FCF" w:rsidRPr="009D1618" w:rsidRDefault="00A50FCF" w:rsidP="00040C3A">
      <w:pPr>
        <w:tabs>
          <w:tab w:val="center" w:pos="5400"/>
        </w:tabs>
        <w:suppressAutoHyphens/>
        <w:jc w:val="center"/>
        <w:rPr>
          <w:rFonts w:ascii="Cambria" w:hAnsi="Cambria"/>
          <w:sz w:val="20"/>
          <w:szCs w:val="20"/>
          <w:lang w:val="es-ES_tradnl"/>
        </w:rPr>
      </w:pPr>
    </w:p>
    <w:p w14:paraId="33D4811B" w14:textId="77777777" w:rsidR="00A50FCF" w:rsidRPr="009D1618" w:rsidRDefault="00A50FCF" w:rsidP="00040C3A">
      <w:pPr>
        <w:tabs>
          <w:tab w:val="center" w:pos="5400"/>
        </w:tabs>
        <w:suppressAutoHyphens/>
        <w:jc w:val="center"/>
        <w:rPr>
          <w:rFonts w:ascii="Cambria" w:hAnsi="Cambria"/>
          <w:sz w:val="20"/>
          <w:szCs w:val="20"/>
          <w:lang w:val="es-ES_tradnl"/>
        </w:rPr>
      </w:pPr>
    </w:p>
    <w:p w14:paraId="7A69C531" w14:textId="77777777" w:rsidR="00A50FCF" w:rsidRPr="009D1618" w:rsidRDefault="00A50FCF" w:rsidP="00040C3A">
      <w:pPr>
        <w:tabs>
          <w:tab w:val="center" w:pos="5400"/>
        </w:tabs>
        <w:suppressAutoHyphens/>
        <w:jc w:val="center"/>
        <w:rPr>
          <w:rFonts w:ascii="Cambria" w:hAnsi="Cambria"/>
          <w:sz w:val="20"/>
          <w:szCs w:val="20"/>
          <w:lang w:val="es-ES_tradnl"/>
        </w:rPr>
      </w:pPr>
    </w:p>
    <w:p w14:paraId="46BEE794" w14:textId="77777777" w:rsidR="00A50FCF" w:rsidRPr="009D1618" w:rsidRDefault="00A50FCF" w:rsidP="00040C3A">
      <w:pPr>
        <w:tabs>
          <w:tab w:val="center" w:pos="5400"/>
        </w:tabs>
        <w:suppressAutoHyphens/>
        <w:jc w:val="center"/>
        <w:rPr>
          <w:rFonts w:ascii="Cambria" w:hAnsi="Cambria"/>
          <w:sz w:val="20"/>
          <w:szCs w:val="20"/>
          <w:lang w:val="es-ES_tradnl"/>
        </w:rPr>
      </w:pPr>
    </w:p>
    <w:p w14:paraId="24C6FF7F" w14:textId="77777777" w:rsidR="00A50FCF" w:rsidRPr="009D1618" w:rsidRDefault="00A50FCF" w:rsidP="00040C3A">
      <w:pPr>
        <w:tabs>
          <w:tab w:val="center" w:pos="5400"/>
        </w:tabs>
        <w:suppressAutoHyphens/>
        <w:jc w:val="center"/>
        <w:rPr>
          <w:rFonts w:ascii="Cambria" w:hAnsi="Cambria"/>
          <w:sz w:val="20"/>
          <w:szCs w:val="20"/>
          <w:lang w:val="es-ES_tradnl"/>
        </w:rPr>
      </w:pPr>
    </w:p>
    <w:p w14:paraId="01445FBE" w14:textId="77777777" w:rsidR="00A50FCF" w:rsidRPr="009D1618" w:rsidRDefault="00A50FCF" w:rsidP="00040C3A">
      <w:pPr>
        <w:tabs>
          <w:tab w:val="center" w:pos="5400"/>
        </w:tabs>
        <w:suppressAutoHyphens/>
        <w:jc w:val="center"/>
        <w:rPr>
          <w:rFonts w:ascii="Cambria" w:hAnsi="Cambria"/>
          <w:sz w:val="20"/>
          <w:szCs w:val="20"/>
          <w:lang w:val="es-ES_tradnl"/>
        </w:rPr>
      </w:pPr>
    </w:p>
    <w:p w14:paraId="37199CC5" w14:textId="77777777" w:rsidR="00A50FCF" w:rsidRPr="009D1618" w:rsidRDefault="00A50FCF" w:rsidP="00040C3A">
      <w:pPr>
        <w:tabs>
          <w:tab w:val="center" w:pos="5400"/>
        </w:tabs>
        <w:suppressAutoHyphens/>
        <w:jc w:val="center"/>
        <w:rPr>
          <w:rFonts w:ascii="Cambria" w:hAnsi="Cambria"/>
          <w:sz w:val="20"/>
          <w:szCs w:val="20"/>
          <w:lang w:val="es-ES_tradnl"/>
        </w:rPr>
      </w:pPr>
    </w:p>
    <w:p w14:paraId="6C9FF381" w14:textId="77777777" w:rsidR="00A50FCF" w:rsidRPr="009D1618" w:rsidRDefault="00A50FCF" w:rsidP="00040C3A">
      <w:pPr>
        <w:tabs>
          <w:tab w:val="center" w:pos="5400"/>
        </w:tabs>
        <w:suppressAutoHyphens/>
        <w:jc w:val="center"/>
        <w:rPr>
          <w:rFonts w:ascii="Cambria" w:hAnsi="Cambria"/>
          <w:sz w:val="20"/>
          <w:szCs w:val="20"/>
          <w:lang w:val="es-ES_tradnl"/>
        </w:rPr>
      </w:pPr>
    </w:p>
    <w:p w14:paraId="4F4D7B2C" w14:textId="77777777" w:rsidR="00A50FCF" w:rsidRPr="009D1618" w:rsidRDefault="00A50FCF" w:rsidP="00040C3A">
      <w:pPr>
        <w:tabs>
          <w:tab w:val="center" w:pos="5400"/>
        </w:tabs>
        <w:suppressAutoHyphens/>
        <w:jc w:val="center"/>
        <w:rPr>
          <w:rFonts w:ascii="Cambria" w:hAnsi="Cambria"/>
          <w:sz w:val="20"/>
          <w:szCs w:val="20"/>
          <w:lang w:val="es-ES_tradnl"/>
        </w:rPr>
      </w:pPr>
    </w:p>
    <w:p w14:paraId="6A7B229F" w14:textId="77777777" w:rsidR="00A50FCF" w:rsidRPr="009D1618" w:rsidRDefault="00A50FCF" w:rsidP="00040C3A">
      <w:pPr>
        <w:tabs>
          <w:tab w:val="center" w:pos="5400"/>
        </w:tabs>
        <w:suppressAutoHyphens/>
        <w:jc w:val="center"/>
        <w:rPr>
          <w:rFonts w:ascii="Cambria" w:hAnsi="Cambria"/>
          <w:sz w:val="20"/>
          <w:szCs w:val="20"/>
          <w:lang w:val="es-ES_tradnl"/>
        </w:rPr>
      </w:pPr>
    </w:p>
    <w:p w14:paraId="10EC0D39" w14:textId="77777777" w:rsidR="00A50FCF" w:rsidRPr="009D1618" w:rsidRDefault="00A50FCF" w:rsidP="00040C3A">
      <w:pPr>
        <w:tabs>
          <w:tab w:val="center" w:pos="5400"/>
        </w:tabs>
        <w:suppressAutoHyphens/>
        <w:jc w:val="center"/>
        <w:rPr>
          <w:rFonts w:ascii="Cambria" w:hAnsi="Cambria"/>
          <w:sz w:val="20"/>
          <w:szCs w:val="20"/>
          <w:lang w:val="es-ES_tradnl"/>
        </w:rPr>
      </w:pPr>
    </w:p>
    <w:p w14:paraId="4AC406EB" w14:textId="77777777" w:rsidR="00A50FCF" w:rsidRPr="009D1618" w:rsidRDefault="00A50FCF" w:rsidP="00040C3A">
      <w:pPr>
        <w:tabs>
          <w:tab w:val="center" w:pos="5400"/>
        </w:tabs>
        <w:suppressAutoHyphens/>
        <w:jc w:val="center"/>
        <w:rPr>
          <w:rFonts w:ascii="Cambria" w:hAnsi="Cambria"/>
          <w:sz w:val="20"/>
          <w:szCs w:val="20"/>
          <w:lang w:val="es-ES_tradnl"/>
        </w:rPr>
      </w:pPr>
    </w:p>
    <w:p w14:paraId="5D4A3C96" w14:textId="77777777" w:rsidR="00A50FCF" w:rsidRPr="009D1618" w:rsidRDefault="00A50FCF" w:rsidP="00040C3A">
      <w:pPr>
        <w:tabs>
          <w:tab w:val="center" w:pos="5400"/>
        </w:tabs>
        <w:suppressAutoHyphens/>
        <w:jc w:val="center"/>
        <w:rPr>
          <w:rFonts w:ascii="Cambria" w:hAnsi="Cambria"/>
          <w:sz w:val="20"/>
          <w:szCs w:val="20"/>
          <w:lang w:val="es-ES_tradnl"/>
        </w:rPr>
      </w:pPr>
    </w:p>
    <w:p w14:paraId="040330D2" w14:textId="77777777" w:rsidR="00A50FCF" w:rsidRPr="009D1618" w:rsidRDefault="00A50FCF" w:rsidP="00040C3A">
      <w:pPr>
        <w:tabs>
          <w:tab w:val="center" w:pos="5400"/>
        </w:tabs>
        <w:suppressAutoHyphens/>
        <w:jc w:val="center"/>
        <w:rPr>
          <w:rFonts w:ascii="Cambria" w:hAnsi="Cambria"/>
          <w:sz w:val="20"/>
          <w:szCs w:val="20"/>
          <w:lang w:val="es-ES_tradnl"/>
        </w:rPr>
      </w:pPr>
    </w:p>
    <w:p w14:paraId="0974921A" w14:textId="77777777" w:rsidR="00A50FCF" w:rsidRPr="009D1618" w:rsidRDefault="00C0075D" w:rsidP="00040C3A">
      <w:pPr>
        <w:tabs>
          <w:tab w:val="center" w:pos="5400"/>
        </w:tabs>
        <w:suppressAutoHyphens/>
        <w:jc w:val="center"/>
        <w:rPr>
          <w:rFonts w:ascii="Cambria" w:hAnsi="Cambria"/>
          <w:sz w:val="20"/>
          <w:szCs w:val="20"/>
          <w:lang w:val="es-ES_tradnl"/>
        </w:rPr>
      </w:pPr>
      <w:r w:rsidRPr="009D1618">
        <w:rPr>
          <w:rFonts w:ascii="Cambria" w:hAnsi="Cambria"/>
          <w:noProof/>
          <w:sz w:val="20"/>
          <w:szCs w:val="20"/>
          <w:lang w:val="es-UY" w:eastAsia="es-UY"/>
        </w:rPr>
        <mc:AlternateContent>
          <mc:Choice Requires="wps">
            <w:drawing>
              <wp:anchor distT="0" distB="0" distL="114300" distR="114300" simplePos="0" relativeHeight="251670528" behindDoc="0" locked="0" layoutInCell="1" allowOverlap="1" wp14:anchorId="51CB9EDF" wp14:editId="0B9AA130">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1D8B8" w14:textId="50A59BD1" w:rsidR="00BD2651" w:rsidRPr="00890650" w:rsidRDefault="00BD265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1D6D41">
                              <w:rPr>
                                <w:rFonts w:asciiTheme="majorHAnsi" w:hAnsiTheme="majorHAnsi"/>
                                <w:color w:val="0D0D0D" w:themeColor="text1" w:themeTint="F2"/>
                                <w:sz w:val="18"/>
                                <w:szCs w:val="20"/>
                                <w:lang w:val="es-ES"/>
                              </w:rPr>
                              <w:t>º</w:t>
                            </w:r>
                            <w:r>
                              <w:rPr>
                                <w:rFonts w:asciiTheme="majorHAnsi" w:hAnsiTheme="majorHAnsi"/>
                                <w:color w:val="0D0D0D" w:themeColor="text1" w:themeTint="F2"/>
                                <w:sz w:val="18"/>
                                <w:szCs w:val="20"/>
                                <w:lang w:val="es-ES"/>
                              </w:rPr>
                              <w:t xml:space="preserve"> 2096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septiembre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w:t>
                            </w:r>
                            <w:r w:rsidR="001D6D41">
                              <w:rPr>
                                <w:rFonts w:asciiTheme="majorHAnsi" w:hAnsiTheme="majorHAnsi" w:cs="Univers"/>
                                <w:color w:val="0D0D0D" w:themeColor="text1" w:themeTint="F2"/>
                                <w:sz w:val="18"/>
                                <w:szCs w:val="20"/>
                                <w:lang w:val="es-ES"/>
                              </w:rPr>
                              <w:t>º</w:t>
                            </w:r>
                            <w:r w:rsidRPr="00890650">
                              <w:rPr>
                                <w:rFonts w:asciiTheme="majorHAnsi" w:hAnsiTheme="majorHAnsi" w:cs="Univers"/>
                                <w:color w:val="0D0D0D" w:themeColor="text1" w:themeTint="F2"/>
                                <w:sz w:val="18"/>
                                <w:szCs w:val="20"/>
                                <w:lang w:val="es-ES_tradnl"/>
                              </w:rPr>
                              <w:t xml:space="preserve"> </w:t>
                            </w:r>
                            <w:r w:rsidR="001D6D41">
                              <w:rPr>
                                <w:rFonts w:asciiTheme="majorHAnsi" w:hAnsiTheme="majorHAnsi" w:cs="Univers"/>
                                <w:color w:val="0D0D0D" w:themeColor="text1" w:themeTint="F2"/>
                                <w:sz w:val="18"/>
                                <w:szCs w:val="20"/>
                                <w:lang w:val="es-ES_tradnl"/>
                              </w:rPr>
                              <w:t xml:space="preserve">Período </w:t>
                            </w:r>
                            <w:r w:rsidR="004A1569">
                              <w:rPr>
                                <w:rFonts w:asciiTheme="majorHAnsi" w:hAnsiTheme="majorHAnsi" w:cs="Univers"/>
                                <w:color w:val="0D0D0D" w:themeColor="text1" w:themeTint="F2"/>
                                <w:sz w:val="18"/>
                                <w:szCs w:val="20"/>
                                <w:lang w:val="es-ES_tradnl"/>
                              </w:rPr>
                              <w:t>Extrao</w:t>
                            </w:r>
                            <w:r w:rsidR="001D6D41">
                              <w:rPr>
                                <w:rFonts w:asciiTheme="majorHAnsi" w:hAnsiTheme="majorHAnsi" w:cs="Univers"/>
                                <w:color w:val="0D0D0D" w:themeColor="text1" w:themeTint="F2"/>
                                <w:sz w:val="18"/>
                                <w:szCs w:val="20"/>
                                <w:lang w:val="es-ES_tradnl"/>
                              </w:rPr>
                              <w:t>rdinario de S</w:t>
                            </w:r>
                            <w:r w:rsidRPr="008906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12B1D8B8" w14:textId="50A59BD1" w:rsidR="00BD2651" w:rsidRPr="00890650" w:rsidRDefault="00BD2651"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1D6D41">
                        <w:rPr>
                          <w:rFonts w:asciiTheme="majorHAnsi" w:hAnsiTheme="majorHAnsi"/>
                          <w:color w:val="0D0D0D" w:themeColor="text1" w:themeTint="F2"/>
                          <w:sz w:val="18"/>
                          <w:szCs w:val="20"/>
                          <w:lang w:val="es-ES"/>
                        </w:rPr>
                        <w:t>º</w:t>
                      </w:r>
                      <w:r>
                        <w:rPr>
                          <w:rFonts w:asciiTheme="majorHAnsi" w:hAnsiTheme="majorHAnsi"/>
                          <w:color w:val="0D0D0D" w:themeColor="text1" w:themeTint="F2"/>
                          <w:sz w:val="18"/>
                          <w:szCs w:val="20"/>
                          <w:lang w:val="es-ES"/>
                        </w:rPr>
                        <w:t xml:space="preserve"> 2096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septiembre de 2017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w:t>
                      </w:r>
                      <w:r w:rsidR="001D6D41">
                        <w:rPr>
                          <w:rFonts w:asciiTheme="majorHAnsi" w:hAnsiTheme="majorHAnsi" w:cs="Univers"/>
                          <w:color w:val="0D0D0D" w:themeColor="text1" w:themeTint="F2"/>
                          <w:sz w:val="18"/>
                          <w:szCs w:val="20"/>
                          <w:lang w:val="es-ES"/>
                        </w:rPr>
                        <w:t>º</w:t>
                      </w:r>
                      <w:r w:rsidRPr="00890650">
                        <w:rPr>
                          <w:rFonts w:asciiTheme="majorHAnsi" w:hAnsiTheme="majorHAnsi" w:cs="Univers"/>
                          <w:color w:val="0D0D0D" w:themeColor="text1" w:themeTint="F2"/>
                          <w:sz w:val="18"/>
                          <w:szCs w:val="20"/>
                          <w:lang w:val="es-ES_tradnl"/>
                        </w:rPr>
                        <w:t xml:space="preserve"> </w:t>
                      </w:r>
                      <w:r w:rsidR="001D6D41">
                        <w:rPr>
                          <w:rFonts w:asciiTheme="majorHAnsi" w:hAnsiTheme="majorHAnsi" w:cs="Univers"/>
                          <w:color w:val="0D0D0D" w:themeColor="text1" w:themeTint="F2"/>
                          <w:sz w:val="18"/>
                          <w:szCs w:val="20"/>
                          <w:lang w:val="es-ES_tradnl"/>
                        </w:rPr>
                        <w:t xml:space="preserve">Período </w:t>
                      </w:r>
                      <w:r w:rsidR="004A1569">
                        <w:rPr>
                          <w:rFonts w:asciiTheme="majorHAnsi" w:hAnsiTheme="majorHAnsi" w:cs="Univers"/>
                          <w:color w:val="0D0D0D" w:themeColor="text1" w:themeTint="F2"/>
                          <w:sz w:val="18"/>
                          <w:szCs w:val="20"/>
                          <w:lang w:val="es-ES_tradnl"/>
                        </w:rPr>
                        <w:t>Extrao</w:t>
                      </w:r>
                      <w:r w:rsidR="001D6D41">
                        <w:rPr>
                          <w:rFonts w:asciiTheme="majorHAnsi" w:hAnsiTheme="majorHAnsi" w:cs="Univers"/>
                          <w:color w:val="0D0D0D" w:themeColor="text1" w:themeTint="F2"/>
                          <w:sz w:val="18"/>
                          <w:szCs w:val="20"/>
                          <w:lang w:val="es-ES_tradnl"/>
                        </w:rPr>
                        <w:t>rdinario de S</w:t>
                      </w:r>
                      <w:r w:rsidRPr="00890650">
                        <w:rPr>
                          <w:rFonts w:asciiTheme="majorHAnsi" w:hAnsiTheme="majorHAnsi" w:cs="Univers"/>
                          <w:color w:val="0D0D0D" w:themeColor="text1" w:themeTint="F2"/>
                          <w:sz w:val="18"/>
                          <w:szCs w:val="20"/>
                          <w:lang w:val="es-ES_tradnl"/>
                        </w:rPr>
                        <w:t>esiones</w:t>
                      </w:r>
                    </w:p>
                  </w:txbxContent>
                </v:textbox>
              </v:shape>
            </w:pict>
          </mc:Fallback>
        </mc:AlternateContent>
      </w:r>
    </w:p>
    <w:p w14:paraId="5815B08F" w14:textId="77777777" w:rsidR="00A50FCF" w:rsidRPr="009D1618" w:rsidRDefault="00A50FCF" w:rsidP="00040C3A">
      <w:pPr>
        <w:tabs>
          <w:tab w:val="center" w:pos="5400"/>
        </w:tabs>
        <w:suppressAutoHyphens/>
        <w:jc w:val="center"/>
        <w:rPr>
          <w:rFonts w:ascii="Cambria" w:hAnsi="Cambria"/>
          <w:sz w:val="20"/>
          <w:szCs w:val="20"/>
          <w:lang w:val="es-ES_tradnl"/>
        </w:rPr>
      </w:pPr>
    </w:p>
    <w:p w14:paraId="532331DE" w14:textId="77777777" w:rsidR="00A50FCF" w:rsidRPr="009D1618" w:rsidRDefault="00A50FCF" w:rsidP="00040C3A">
      <w:pPr>
        <w:tabs>
          <w:tab w:val="center" w:pos="5400"/>
        </w:tabs>
        <w:suppressAutoHyphens/>
        <w:jc w:val="center"/>
        <w:rPr>
          <w:rFonts w:ascii="Cambria" w:hAnsi="Cambria"/>
          <w:sz w:val="20"/>
          <w:szCs w:val="20"/>
          <w:lang w:val="es-ES_tradnl"/>
        </w:rPr>
      </w:pPr>
    </w:p>
    <w:p w14:paraId="083CFC46" w14:textId="77777777" w:rsidR="00A50FCF" w:rsidRPr="009D1618" w:rsidRDefault="00A50FCF" w:rsidP="00040C3A">
      <w:pPr>
        <w:tabs>
          <w:tab w:val="center" w:pos="5400"/>
        </w:tabs>
        <w:suppressAutoHyphens/>
        <w:jc w:val="center"/>
        <w:rPr>
          <w:rFonts w:ascii="Cambria" w:hAnsi="Cambria"/>
          <w:sz w:val="20"/>
          <w:szCs w:val="20"/>
          <w:lang w:val="es-ES_tradnl"/>
        </w:rPr>
      </w:pPr>
    </w:p>
    <w:p w14:paraId="26A6CF1D" w14:textId="77777777" w:rsidR="00A50FCF" w:rsidRPr="009D1618" w:rsidRDefault="00A50FCF" w:rsidP="00040C3A">
      <w:pPr>
        <w:tabs>
          <w:tab w:val="center" w:pos="5400"/>
        </w:tabs>
        <w:suppressAutoHyphens/>
        <w:jc w:val="center"/>
        <w:rPr>
          <w:rFonts w:ascii="Cambria" w:hAnsi="Cambria"/>
          <w:sz w:val="20"/>
          <w:szCs w:val="20"/>
          <w:lang w:val="es-ES_tradnl"/>
        </w:rPr>
      </w:pPr>
    </w:p>
    <w:p w14:paraId="68646286" w14:textId="77777777" w:rsidR="00A50FCF" w:rsidRPr="009D1618" w:rsidRDefault="00C0075D" w:rsidP="00040C3A">
      <w:pPr>
        <w:tabs>
          <w:tab w:val="center" w:pos="5400"/>
        </w:tabs>
        <w:suppressAutoHyphens/>
        <w:jc w:val="center"/>
        <w:rPr>
          <w:rFonts w:ascii="Cambria" w:hAnsi="Cambria"/>
          <w:sz w:val="20"/>
          <w:szCs w:val="20"/>
          <w:lang w:val="es-ES_tradnl"/>
        </w:rPr>
      </w:pPr>
      <w:r w:rsidRPr="009D1618">
        <w:rPr>
          <w:rFonts w:ascii="Cambria" w:hAnsi="Cambria"/>
          <w:noProof/>
          <w:sz w:val="20"/>
          <w:szCs w:val="20"/>
          <w:lang w:val="es-UY" w:eastAsia="es-UY"/>
        </w:rPr>
        <mc:AlternateContent>
          <mc:Choice Requires="wps">
            <w:drawing>
              <wp:anchor distT="0" distB="0" distL="114300" distR="114300" simplePos="0" relativeHeight="251678720" behindDoc="0" locked="0" layoutInCell="1" allowOverlap="1" wp14:anchorId="46266F8D" wp14:editId="4B924824">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B026D" w14:textId="76F71D4B" w:rsidR="00BD2651" w:rsidRPr="00093196" w:rsidRDefault="00BD2651"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1D6D41">
                              <w:rPr>
                                <w:rFonts w:asciiTheme="majorHAnsi" w:hAnsiTheme="majorHAnsi"/>
                                <w:color w:val="595959" w:themeColor="text1" w:themeTint="A6"/>
                                <w:sz w:val="18"/>
                                <w:szCs w:val="18"/>
                                <w:lang w:val="pt-BR"/>
                              </w:rPr>
                              <w:t xml:space="preserve"> CIDH, Informe Nº</w:t>
                            </w:r>
                            <w:r w:rsidRPr="00093196">
                              <w:rPr>
                                <w:rFonts w:asciiTheme="majorHAnsi" w:hAnsiTheme="majorHAnsi"/>
                                <w:color w:val="595959" w:themeColor="text1" w:themeTint="A6"/>
                                <w:sz w:val="18"/>
                                <w:szCs w:val="18"/>
                                <w:lang w:val="pt-BR"/>
                              </w:rPr>
                              <w:t xml:space="preserve"> </w:t>
                            </w:r>
                            <w:r w:rsidRPr="001D6D41">
                              <w:rPr>
                                <w:rFonts w:asciiTheme="majorHAnsi" w:hAnsiTheme="majorHAnsi"/>
                                <w:color w:val="595959" w:themeColor="text1" w:themeTint="A6"/>
                                <w:sz w:val="18"/>
                                <w:szCs w:val="18"/>
                                <w:lang w:val="pt-BR"/>
                              </w:rPr>
                              <w:t xml:space="preserve">99/17, Caso </w:t>
                            </w:r>
                            <w:r w:rsidR="001D6D41" w:rsidRPr="001D6D41">
                              <w:rPr>
                                <w:rFonts w:asciiTheme="majorHAnsi" w:hAnsiTheme="majorHAnsi"/>
                                <w:color w:val="595959" w:themeColor="text1" w:themeTint="A6"/>
                                <w:sz w:val="18"/>
                                <w:szCs w:val="18"/>
                                <w:lang w:val="pt-BR"/>
                              </w:rPr>
                              <w:t xml:space="preserve">Nº </w:t>
                            </w:r>
                            <w:r w:rsidRPr="001D6D41">
                              <w:rPr>
                                <w:rFonts w:asciiTheme="majorHAnsi" w:hAnsiTheme="majorHAnsi"/>
                                <w:color w:val="595959" w:themeColor="text1" w:themeTint="A6"/>
                                <w:sz w:val="18"/>
                                <w:szCs w:val="18"/>
                                <w:lang w:val="pt-BR"/>
                              </w:rPr>
                              <w:t xml:space="preserve">11.782. </w:t>
                            </w:r>
                            <w:r>
                              <w:rPr>
                                <w:rFonts w:asciiTheme="majorHAnsi" w:hAnsiTheme="majorHAnsi"/>
                                <w:color w:val="595959" w:themeColor="text1" w:themeTint="A6"/>
                                <w:sz w:val="18"/>
                                <w:szCs w:val="18"/>
                                <w:lang w:val="es-ES_tradnl"/>
                              </w:rPr>
                              <w:t xml:space="preserve">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Ángel Rodríguez </w:t>
                            </w:r>
                            <w:proofErr w:type="spellStart"/>
                            <w:r>
                              <w:rPr>
                                <w:rFonts w:asciiTheme="majorHAnsi" w:hAnsiTheme="majorHAnsi"/>
                                <w:color w:val="595959" w:themeColor="text1" w:themeTint="A6"/>
                                <w:sz w:val="18"/>
                                <w:szCs w:val="18"/>
                                <w:lang w:val="es-VE"/>
                              </w:rPr>
                              <w:t>Revolorio</w:t>
                            </w:r>
                            <w:proofErr w:type="spellEnd"/>
                            <w:r>
                              <w:rPr>
                                <w:rFonts w:asciiTheme="majorHAnsi" w:hAnsiTheme="majorHAnsi"/>
                                <w:color w:val="595959" w:themeColor="text1" w:themeTint="A6"/>
                                <w:sz w:val="18"/>
                                <w:szCs w:val="18"/>
                                <w:lang w:val="es-VE"/>
                              </w:rPr>
                              <w:t>, Miguel Ángel López Calo y Aníbal Archila Pérez.</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septiembre de 2017</w:t>
                            </w:r>
                            <w:r w:rsidRPr="0009319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17EB026D" w14:textId="76F71D4B" w:rsidR="00BD2651" w:rsidRPr="00093196" w:rsidRDefault="00BD2651" w:rsidP="00EB119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001D6D41">
                        <w:rPr>
                          <w:rFonts w:asciiTheme="majorHAnsi" w:hAnsiTheme="majorHAnsi"/>
                          <w:color w:val="595959" w:themeColor="text1" w:themeTint="A6"/>
                          <w:sz w:val="18"/>
                          <w:szCs w:val="18"/>
                          <w:lang w:val="pt-BR"/>
                        </w:rPr>
                        <w:t xml:space="preserve"> CIDH, Informe Nº</w:t>
                      </w:r>
                      <w:r w:rsidRPr="00093196">
                        <w:rPr>
                          <w:rFonts w:asciiTheme="majorHAnsi" w:hAnsiTheme="majorHAnsi"/>
                          <w:color w:val="595959" w:themeColor="text1" w:themeTint="A6"/>
                          <w:sz w:val="18"/>
                          <w:szCs w:val="18"/>
                          <w:lang w:val="pt-BR"/>
                        </w:rPr>
                        <w:t xml:space="preserve"> </w:t>
                      </w:r>
                      <w:r w:rsidRPr="001D6D41">
                        <w:rPr>
                          <w:rFonts w:asciiTheme="majorHAnsi" w:hAnsiTheme="majorHAnsi"/>
                          <w:color w:val="595959" w:themeColor="text1" w:themeTint="A6"/>
                          <w:sz w:val="18"/>
                          <w:szCs w:val="18"/>
                          <w:lang w:val="pt-BR"/>
                        </w:rPr>
                        <w:t xml:space="preserve">99/17, Caso </w:t>
                      </w:r>
                      <w:r w:rsidR="001D6D41" w:rsidRPr="001D6D41">
                        <w:rPr>
                          <w:rFonts w:asciiTheme="majorHAnsi" w:hAnsiTheme="majorHAnsi"/>
                          <w:color w:val="595959" w:themeColor="text1" w:themeTint="A6"/>
                          <w:sz w:val="18"/>
                          <w:szCs w:val="18"/>
                          <w:lang w:val="pt-BR"/>
                        </w:rPr>
                        <w:t xml:space="preserve">Nº </w:t>
                      </w:r>
                      <w:r w:rsidRPr="001D6D41">
                        <w:rPr>
                          <w:rFonts w:asciiTheme="majorHAnsi" w:hAnsiTheme="majorHAnsi"/>
                          <w:color w:val="595959" w:themeColor="text1" w:themeTint="A6"/>
                          <w:sz w:val="18"/>
                          <w:szCs w:val="18"/>
                          <w:lang w:val="pt-BR"/>
                        </w:rPr>
                        <w:t xml:space="preserve">11.782. </w:t>
                      </w:r>
                      <w:r>
                        <w:rPr>
                          <w:rFonts w:asciiTheme="majorHAnsi" w:hAnsiTheme="majorHAnsi"/>
                          <w:color w:val="595959" w:themeColor="text1" w:themeTint="A6"/>
                          <w:sz w:val="18"/>
                          <w:szCs w:val="18"/>
                          <w:lang w:val="es-ES_tradnl"/>
                        </w:rPr>
                        <w:t xml:space="preserve">Admisibilidad y </w:t>
                      </w:r>
                      <w:r w:rsidRPr="00890650">
                        <w:rPr>
                          <w:rFonts w:asciiTheme="majorHAnsi" w:hAnsiTheme="majorHAnsi"/>
                          <w:color w:val="595959" w:themeColor="text1" w:themeTint="A6"/>
                          <w:sz w:val="18"/>
                          <w:szCs w:val="18"/>
                          <w:lang w:val="es-ES_tradnl"/>
                        </w:rPr>
                        <w:t xml:space="preserve">Fondo. </w:t>
                      </w:r>
                      <w:r>
                        <w:rPr>
                          <w:rFonts w:asciiTheme="majorHAnsi" w:hAnsiTheme="majorHAnsi"/>
                          <w:color w:val="595959" w:themeColor="text1" w:themeTint="A6"/>
                          <w:sz w:val="18"/>
                          <w:szCs w:val="18"/>
                          <w:lang w:val="es-VE"/>
                        </w:rPr>
                        <w:t xml:space="preserve">Ángel Rodríguez </w:t>
                      </w:r>
                      <w:proofErr w:type="spellStart"/>
                      <w:r>
                        <w:rPr>
                          <w:rFonts w:asciiTheme="majorHAnsi" w:hAnsiTheme="majorHAnsi"/>
                          <w:color w:val="595959" w:themeColor="text1" w:themeTint="A6"/>
                          <w:sz w:val="18"/>
                          <w:szCs w:val="18"/>
                          <w:lang w:val="es-VE"/>
                        </w:rPr>
                        <w:t>Revolorio</w:t>
                      </w:r>
                      <w:proofErr w:type="spellEnd"/>
                      <w:r>
                        <w:rPr>
                          <w:rFonts w:asciiTheme="majorHAnsi" w:hAnsiTheme="majorHAnsi"/>
                          <w:color w:val="595959" w:themeColor="text1" w:themeTint="A6"/>
                          <w:sz w:val="18"/>
                          <w:szCs w:val="18"/>
                          <w:lang w:val="es-VE"/>
                        </w:rPr>
                        <w:t>, Miguel Ángel López Calo y Aníbal Archila Pérez.</w:t>
                      </w:r>
                      <w:r>
                        <w:rPr>
                          <w:rFonts w:asciiTheme="majorHAnsi" w:hAnsiTheme="majorHAnsi"/>
                          <w:color w:val="595959" w:themeColor="text1" w:themeTint="A6"/>
                          <w:sz w:val="18"/>
                          <w:szCs w:val="18"/>
                          <w:lang w:val="es-ES_tradnl"/>
                        </w:rPr>
                        <w:t xml:space="preserve"> Guatemala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septiembre de 2017</w:t>
                      </w:r>
                      <w:r w:rsidRPr="00093196">
                        <w:rPr>
                          <w:rFonts w:asciiTheme="majorHAnsi" w:hAnsiTheme="majorHAnsi"/>
                          <w:color w:val="595959" w:themeColor="text1" w:themeTint="A6"/>
                          <w:sz w:val="18"/>
                          <w:szCs w:val="18"/>
                          <w:lang w:val="es-ES"/>
                        </w:rPr>
                        <w:t>.</w:t>
                      </w:r>
                    </w:p>
                  </w:txbxContent>
                </v:textbox>
              </v:shape>
            </w:pict>
          </mc:Fallback>
        </mc:AlternateContent>
      </w:r>
    </w:p>
    <w:p w14:paraId="6E24AA75" w14:textId="77777777" w:rsidR="00A50FCF" w:rsidRPr="009D1618" w:rsidRDefault="00A50FCF" w:rsidP="00040C3A">
      <w:pPr>
        <w:tabs>
          <w:tab w:val="center" w:pos="5400"/>
        </w:tabs>
        <w:suppressAutoHyphens/>
        <w:jc w:val="center"/>
        <w:rPr>
          <w:rFonts w:ascii="Cambria" w:hAnsi="Cambria"/>
          <w:sz w:val="20"/>
          <w:szCs w:val="20"/>
          <w:lang w:val="es-ES_tradnl"/>
        </w:rPr>
      </w:pPr>
    </w:p>
    <w:p w14:paraId="0FAC4D68" w14:textId="77777777" w:rsidR="0090270B" w:rsidRPr="009D1618" w:rsidRDefault="00C0075D" w:rsidP="005516A1">
      <w:pPr>
        <w:tabs>
          <w:tab w:val="center" w:pos="5400"/>
        </w:tabs>
        <w:suppressAutoHyphens/>
        <w:jc w:val="center"/>
        <w:rPr>
          <w:rFonts w:ascii="Cambria" w:hAnsi="Cambria"/>
          <w:b/>
          <w:sz w:val="20"/>
          <w:szCs w:val="20"/>
          <w:lang w:val="es-ES_tradnl"/>
        </w:rPr>
      </w:pPr>
      <w:r w:rsidRPr="009D1618">
        <w:rPr>
          <w:rFonts w:ascii="Cambria" w:hAnsi="Cambria"/>
          <w:noProof/>
          <w:sz w:val="20"/>
          <w:szCs w:val="20"/>
          <w:lang w:val="es-UY" w:eastAsia="es-UY"/>
        </w:rPr>
        <mc:AlternateContent>
          <mc:Choice Requires="wps">
            <w:drawing>
              <wp:anchor distT="0" distB="0" distL="114300" distR="114300" simplePos="0" relativeHeight="251680768" behindDoc="0" locked="0" layoutInCell="1" allowOverlap="1" wp14:anchorId="45E677B3" wp14:editId="358AFA13">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133DF" w14:textId="77777777" w:rsidR="00BD2651" w:rsidRPr="00D72DC6" w:rsidRDefault="00BD2651" w:rsidP="00F02AD1">
                            <w:pPr>
                              <w:rPr>
                                <w:color w:val="FFFFFF" w:themeColor="background1"/>
                              </w:rPr>
                            </w:pPr>
                            <w:r w:rsidRPr="00D72DC6">
                              <w:rPr>
                                <w:noProof/>
                                <w:color w:val="FFFFFF" w:themeColor="background1"/>
                                <w:lang w:val="es-UY" w:eastAsia="es-UY"/>
                              </w:rPr>
                              <w:drawing>
                                <wp:inline distT="0" distB="0" distL="0" distR="0" wp14:anchorId="52F7A1F1" wp14:editId="010C875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0B2133DF" w14:textId="77777777" w:rsidR="00BD2651" w:rsidRPr="00D72DC6" w:rsidRDefault="00BD2651" w:rsidP="00F02AD1">
                      <w:pPr>
                        <w:rPr>
                          <w:color w:val="FFFFFF" w:themeColor="background1"/>
                        </w:rPr>
                      </w:pPr>
                      <w:r w:rsidRPr="00D72DC6">
                        <w:rPr>
                          <w:noProof/>
                          <w:color w:val="FFFFFF" w:themeColor="background1"/>
                          <w:lang w:val="es-UY" w:eastAsia="es-UY"/>
                        </w:rPr>
                        <w:drawing>
                          <wp:inline distT="0" distB="0" distL="0" distR="0" wp14:anchorId="52F7A1F1" wp14:editId="010C875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D1618">
        <w:rPr>
          <w:rFonts w:ascii="Cambria" w:hAnsi="Cambria"/>
          <w:noProof/>
          <w:sz w:val="20"/>
          <w:szCs w:val="20"/>
          <w:lang w:val="es-UY" w:eastAsia="es-UY"/>
        </w:rPr>
        <mc:AlternateContent>
          <mc:Choice Requires="wps">
            <w:drawing>
              <wp:anchor distT="0" distB="0" distL="114300" distR="114300" simplePos="0" relativeHeight="251682816" behindDoc="0" locked="0" layoutInCell="1" allowOverlap="1" wp14:anchorId="2FA881E5" wp14:editId="6E8C039B">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1878" w14:textId="77777777" w:rsidR="00BD2651" w:rsidRPr="004B7EB6" w:rsidRDefault="00BD26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1DC21878" w14:textId="77777777" w:rsidR="00BD2651" w:rsidRPr="004B7EB6" w:rsidRDefault="00BD26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0224ED8" w14:textId="77777777" w:rsidR="0070697F" w:rsidRPr="009D1618" w:rsidRDefault="0070697F" w:rsidP="005516A1">
      <w:pPr>
        <w:tabs>
          <w:tab w:val="center" w:pos="5400"/>
        </w:tabs>
        <w:suppressAutoHyphens/>
        <w:jc w:val="center"/>
        <w:rPr>
          <w:rFonts w:ascii="Cambria" w:hAnsi="Cambria"/>
          <w:b/>
          <w:sz w:val="20"/>
          <w:szCs w:val="20"/>
          <w:lang w:val="es-ES_tradnl"/>
        </w:rPr>
        <w:sectPr w:rsidR="0070697F" w:rsidRPr="009D1618" w:rsidSect="00C054DF">
          <w:headerReference w:type="even" r:id="rId11"/>
          <w:headerReference w:type="default"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1F3799ED" w14:textId="111158DB" w:rsidR="004B316C" w:rsidRPr="009D1618" w:rsidRDefault="001D6D41"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Pr>
          <w:rFonts w:ascii="Cambria" w:eastAsia="Times New Roman" w:hAnsi="Cambria"/>
          <w:b/>
          <w:sz w:val="20"/>
          <w:szCs w:val="20"/>
          <w:bdr w:val="none" w:sz="0" w:space="0" w:color="auto"/>
          <w:lang w:val="es-ES_tradnl"/>
        </w:rPr>
        <w:lastRenderedPageBreak/>
        <w:t>INFORME Nº</w:t>
      </w:r>
      <w:r w:rsidR="00F0062D">
        <w:rPr>
          <w:rFonts w:ascii="Cambria" w:eastAsia="Times New Roman" w:hAnsi="Cambria"/>
          <w:b/>
          <w:sz w:val="20"/>
          <w:szCs w:val="20"/>
          <w:bdr w:val="none" w:sz="0" w:space="0" w:color="auto"/>
          <w:lang w:val="es-ES_tradnl"/>
        </w:rPr>
        <w:t xml:space="preserve"> 99</w:t>
      </w:r>
      <w:r w:rsidR="004D3B62" w:rsidRPr="009D1618">
        <w:rPr>
          <w:rFonts w:ascii="Cambria" w:eastAsia="Times New Roman" w:hAnsi="Cambria"/>
          <w:b/>
          <w:sz w:val="20"/>
          <w:szCs w:val="20"/>
          <w:bdr w:val="none" w:sz="0" w:space="0" w:color="auto"/>
          <w:lang w:val="es-ES_tradnl"/>
        </w:rPr>
        <w:t>/17</w:t>
      </w:r>
    </w:p>
    <w:p w14:paraId="3318CA54" w14:textId="1B2A7A14" w:rsidR="004B316C" w:rsidRPr="009D1618" w:rsidRDefault="00D7406F"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sidRPr="009D1618">
        <w:rPr>
          <w:rFonts w:ascii="Cambria" w:eastAsia="Times New Roman" w:hAnsi="Cambria"/>
          <w:b/>
          <w:sz w:val="20"/>
          <w:szCs w:val="20"/>
          <w:bdr w:val="none" w:sz="0" w:space="0" w:color="auto"/>
          <w:lang w:val="es-ES_tradnl"/>
        </w:rPr>
        <w:t>CASO</w:t>
      </w:r>
      <w:r w:rsidR="008830A2" w:rsidRPr="009D1618">
        <w:rPr>
          <w:rFonts w:ascii="Cambria" w:eastAsia="Times New Roman" w:hAnsi="Cambria"/>
          <w:b/>
          <w:sz w:val="20"/>
          <w:szCs w:val="20"/>
          <w:bdr w:val="none" w:sz="0" w:space="0" w:color="auto"/>
          <w:lang w:val="es-ES_tradnl"/>
        </w:rPr>
        <w:t xml:space="preserve"> </w:t>
      </w:r>
      <w:r w:rsidR="001D6D41">
        <w:rPr>
          <w:rFonts w:ascii="Cambria" w:eastAsia="Times New Roman" w:hAnsi="Cambria"/>
          <w:b/>
          <w:sz w:val="20"/>
          <w:szCs w:val="20"/>
          <w:bdr w:val="none" w:sz="0" w:space="0" w:color="auto"/>
          <w:lang w:val="es-ES_tradnl"/>
        </w:rPr>
        <w:t xml:space="preserve">Nº </w:t>
      </w:r>
      <w:r w:rsidR="008830A2" w:rsidRPr="009D1618">
        <w:rPr>
          <w:rFonts w:ascii="Cambria" w:eastAsia="Times New Roman" w:hAnsi="Cambria"/>
          <w:b/>
          <w:sz w:val="20"/>
          <w:szCs w:val="20"/>
          <w:bdr w:val="none" w:sz="0" w:space="0" w:color="auto"/>
          <w:lang w:val="es-ES_tradnl"/>
        </w:rPr>
        <w:t>11.782</w:t>
      </w:r>
    </w:p>
    <w:p w14:paraId="5916B8F4" w14:textId="77777777" w:rsidR="004B316C" w:rsidRPr="009D1618" w:rsidRDefault="00FB739A"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 xml:space="preserve">ADMISIBILIDAD Y </w:t>
      </w:r>
      <w:r w:rsidR="004B316C" w:rsidRPr="009D1618">
        <w:rPr>
          <w:rFonts w:ascii="Cambria" w:eastAsia="Times New Roman" w:hAnsi="Cambria"/>
          <w:sz w:val="20"/>
          <w:szCs w:val="20"/>
          <w:bdr w:val="none" w:sz="0" w:space="0" w:color="auto"/>
          <w:lang w:val="es-ES_tradnl"/>
        </w:rPr>
        <w:t>FONDO</w:t>
      </w:r>
    </w:p>
    <w:p w14:paraId="57C24A92" w14:textId="77777777" w:rsidR="000808DA" w:rsidRPr="009D1618" w:rsidRDefault="00706EE6" w:rsidP="000808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hAnsi="Cambria"/>
          <w:sz w:val="20"/>
          <w:szCs w:val="20"/>
          <w:lang w:val="es-VE"/>
        </w:rPr>
        <w:t>MIGUEL</w:t>
      </w:r>
      <w:r w:rsidRPr="009D1618">
        <w:rPr>
          <w:rFonts w:ascii="Cambria" w:eastAsia="Times New Roman" w:hAnsi="Cambria"/>
          <w:sz w:val="20"/>
          <w:szCs w:val="20"/>
          <w:bdr w:val="none" w:sz="0" w:space="0" w:color="auto"/>
          <w:lang w:val="es-ES_tradnl"/>
        </w:rPr>
        <w:t xml:space="preserve"> </w:t>
      </w:r>
      <w:r w:rsidR="000808DA" w:rsidRPr="009D1618">
        <w:rPr>
          <w:rFonts w:ascii="Cambria" w:eastAsia="Times New Roman" w:hAnsi="Cambria"/>
          <w:sz w:val="20"/>
          <w:szCs w:val="20"/>
          <w:bdr w:val="none" w:sz="0" w:space="0" w:color="auto"/>
          <w:lang w:val="es-ES_tradnl"/>
        </w:rPr>
        <w:t xml:space="preserve">ÁNGEL RODRÍGUEZ REVOLORIO, MIGUEL ÁNGEL LÓPEZ CALO, </w:t>
      </w:r>
    </w:p>
    <w:p w14:paraId="53B3AC63" w14:textId="77777777" w:rsidR="00B06C1C" w:rsidRPr="009D1618" w:rsidRDefault="000808DA" w:rsidP="000808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Y ANÍBAL ARCHILA PÉREZ</w:t>
      </w:r>
      <w:r w:rsidR="00B06E1C" w:rsidRPr="009D1618">
        <w:rPr>
          <w:rFonts w:ascii="Cambria" w:eastAsia="Times New Roman" w:hAnsi="Cambria"/>
          <w:sz w:val="20"/>
          <w:szCs w:val="20"/>
          <w:bdr w:val="none" w:sz="0" w:space="0" w:color="auto"/>
          <w:lang w:val="es-ES_tradnl"/>
        </w:rPr>
        <w:t xml:space="preserve"> </w:t>
      </w:r>
    </w:p>
    <w:p w14:paraId="2EE93AA4" w14:textId="77777777" w:rsidR="00B06C1C" w:rsidRPr="009D1618" w:rsidRDefault="00B06E1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GUATEMALA</w:t>
      </w:r>
    </w:p>
    <w:p w14:paraId="447B75E7" w14:textId="7B6ABBEB" w:rsidR="0073741F" w:rsidRPr="009D1618" w:rsidRDefault="00F0062D"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5</w:t>
      </w:r>
      <w:r w:rsidR="00E24E60" w:rsidRPr="009D1618">
        <w:rPr>
          <w:rFonts w:ascii="Cambria" w:eastAsia="Times New Roman" w:hAnsi="Cambria"/>
          <w:sz w:val="20"/>
          <w:szCs w:val="20"/>
          <w:bdr w:val="none" w:sz="0" w:space="0" w:color="auto"/>
          <w:lang w:val="es-ES_tradnl"/>
        </w:rPr>
        <w:t xml:space="preserve"> DE </w:t>
      </w:r>
      <w:r>
        <w:rPr>
          <w:rFonts w:ascii="Cambria" w:eastAsia="Times New Roman" w:hAnsi="Cambria"/>
          <w:sz w:val="20"/>
          <w:szCs w:val="20"/>
          <w:bdr w:val="none" w:sz="0" w:space="0" w:color="auto"/>
          <w:lang w:val="es-ES_tradnl"/>
        </w:rPr>
        <w:t>SEPTIEMBRE</w:t>
      </w:r>
      <w:r w:rsidR="000A23C0" w:rsidRPr="009D1618">
        <w:rPr>
          <w:rFonts w:ascii="Cambria" w:eastAsia="Times New Roman" w:hAnsi="Cambria"/>
          <w:sz w:val="20"/>
          <w:szCs w:val="20"/>
          <w:bdr w:val="none" w:sz="0" w:space="0" w:color="auto"/>
          <w:lang w:val="es-ES_tradnl"/>
        </w:rPr>
        <w:t xml:space="preserve"> DE 2017</w:t>
      </w:r>
    </w:p>
    <w:p w14:paraId="4F66EDF7" w14:textId="77777777" w:rsidR="004B316C" w:rsidRPr="009D1618"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sz w:val="20"/>
          <w:szCs w:val="20"/>
          <w:lang w:val="es-ES_tradnl"/>
        </w:rPr>
      </w:pPr>
    </w:p>
    <w:p w14:paraId="3AC40EC6" w14:textId="77777777" w:rsidR="0070697F" w:rsidRPr="009D1618" w:rsidRDefault="00AA09A2" w:rsidP="006D6521">
      <w:pPr>
        <w:tabs>
          <w:tab w:val="center" w:pos="5400"/>
        </w:tabs>
        <w:suppressAutoHyphens/>
        <w:spacing w:line="276" w:lineRule="auto"/>
        <w:jc w:val="center"/>
        <w:rPr>
          <w:rFonts w:ascii="Cambria" w:hAnsi="Cambria"/>
          <w:b/>
          <w:sz w:val="20"/>
          <w:szCs w:val="20"/>
          <w:lang w:val="es-ES_tradnl"/>
        </w:rPr>
      </w:pPr>
      <w:r w:rsidRPr="009D1618">
        <w:rPr>
          <w:rFonts w:ascii="Cambria" w:hAnsi="Cambria"/>
          <w:b/>
          <w:sz w:val="20"/>
          <w:szCs w:val="20"/>
          <w:lang w:val="es-ES_tradnl"/>
        </w:rPr>
        <w:t>Í</w:t>
      </w:r>
      <w:r w:rsidR="00DC7023" w:rsidRPr="009D1618">
        <w:rPr>
          <w:rFonts w:ascii="Cambria" w:hAnsi="Cambria"/>
          <w:b/>
          <w:sz w:val="20"/>
          <w:szCs w:val="20"/>
          <w:lang w:val="es-ES_tradnl"/>
        </w:rPr>
        <w:t>NDICE</w:t>
      </w:r>
    </w:p>
    <w:sdt>
      <w:sdtPr>
        <w:rPr>
          <w:rFonts w:ascii="Cambria" w:eastAsia="Arial Unicode MS" w:hAnsi="Cambria" w:cs="Times New Roman"/>
          <w:b w:val="0"/>
          <w:bCs w:val="0"/>
          <w:color w:val="auto"/>
          <w:sz w:val="20"/>
          <w:szCs w:val="20"/>
          <w:bdr w:val="nil"/>
          <w:lang w:eastAsia="en-US"/>
        </w:rPr>
        <w:id w:val="2048252825"/>
        <w:docPartObj>
          <w:docPartGallery w:val="Table of Contents"/>
          <w:docPartUnique/>
        </w:docPartObj>
      </w:sdtPr>
      <w:sdtEndPr>
        <w:rPr>
          <w:noProof/>
        </w:rPr>
      </w:sdtEndPr>
      <w:sdtContent>
        <w:p w14:paraId="0E7786F1" w14:textId="77777777" w:rsidR="00D7406F" w:rsidRPr="009D1618" w:rsidRDefault="00D7406F">
          <w:pPr>
            <w:pStyle w:val="TOCHeading"/>
            <w:rPr>
              <w:rFonts w:ascii="Cambria" w:hAnsi="Cambria"/>
              <w:sz w:val="20"/>
              <w:szCs w:val="20"/>
            </w:rPr>
          </w:pPr>
        </w:p>
        <w:p w14:paraId="1A808A32" w14:textId="77777777" w:rsidR="00F555D1" w:rsidRPr="009D1618" w:rsidRDefault="00D7406F">
          <w:pPr>
            <w:pStyle w:val="TOC1"/>
            <w:rPr>
              <w:rFonts w:eastAsiaTheme="minorEastAsia" w:cstheme="minorBidi"/>
              <w:b w:val="0"/>
              <w:bdr w:val="none" w:sz="0" w:space="0" w:color="auto"/>
            </w:rPr>
          </w:pPr>
          <w:r w:rsidRPr="009D1618">
            <w:rPr>
              <w:rFonts w:ascii="Cambria" w:hAnsi="Cambria"/>
            </w:rPr>
            <w:fldChar w:fldCharType="begin"/>
          </w:r>
          <w:r w:rsidRPr="009D1618">
            <w:rPr>
              <w:rFonts w:ascii="Cambria" w:hAnsi="Cambria"/>
            </w:rPr>
            <w:instrText xml:space="preserve"> TOC \o "1-3" \h \z \u </w:instrText>
          </w:r>
          <w:r w:rsidRPr="009D1618">
            <w:rPr>
              <w:rFonts w:ascii="Cambria" w:hAnsi="Cambria"/>
            </w:rPr>
            <w:fldChar w:fldCharType="separate"/>
          </w:r>
          <w:hyperlink w:anchor="_Toc489111542" w:history="1">
            <w:r w:rsidR="00F555D1" w:rsidRPr="009D1618">
              <w:rPr>
                <w:rStyle w:val="Hyperlink"/>
              </w:rPr>
              <w:t>I.</w:t>
            </w:r>
            <w:r w:rsidR="00F555D1" w:rsidRPr="009D1618">
              <w:rPr>
                <w:rFonts w:eastAsiaTheme="minorEastAsia" w:cstheme="minorBidi"/>
                <w:b w:val="0"/>
                <w:bdr w:val="none" w:sz="0" w:space="0" w:color="auto"/>
              </w:rPr>
              <w:tab/>
            </w:r>
            <w:r w:rsidR="00F555D1" w:rsidRPr="009D1618">
              <w:rPr>
                <w:rStyle w:val="Hyperlink"/>
              </w:rPr>
              <w:t>RESUMEN</w:t>
            </w:r>
            <w:r w:rsidR="00F555D1" w:rsidRPr="009D1618">
              <w:rPr>
                <w:webHidden/>
              </w:rPr>
              <w:tab/>
            </w:r>
            <w:r w:rsidR="00F555D1" w:rsidRPr="009D1618">
              <w:rPr>
                <w:webHidden/>
              </w:rPr>
              <w:fldChar w:fldCharType="begin"/>
            </w:r>
            <w:r w:rsidR="00F555D1" w:rsidRPr="009D1618">
              <w:rPr>
                <w:webHidden/>
              </w:rPr>
              <w:instrText xml:space="preserve"> PAGEREF _Toc489111542 \h </w:instrText>
            </w:r>
            <w:r w:rsidR="00F555D1" w:rsidRPr="009D1618">
              <w:rPr>
                <w:webHidden/>
              </w:rPr>
            </w:r>
            <w:r w:rsidR="00F555D1" w:rsidRPr="009D1618">
              <w:rPr>
                <w:webHidden/>
              </w:rPr>
              <w:fldChar w:fldCharType="separate"/>
            </w:r>
            <w:r w:rsidR="00F555D1" w:rsidRPr="009D1618">
              <w:rPr>
                <w:webHidden/>
              </w:rPr>
              <w:t>2</w:t>
            </w:r>
            <w:r w:rsidR="00F555D1" w:rsidRPr="009D1618">
              <w:rPr>
                <w:webHidden/>
              </w:rPr>
              <w:fldChar w:fldCharType="end"/>
            </w:r>
          </w:hyperlink>
        </w:p>
        <w:p w14:paraId="50424DF2" w14:textId="77777777" w:rsidR="00F555D1" w:rsidRPr="009D1618" w:rsidRDefault="00576DDC">
          <w:pPr>
            <w:pStyle w:val="TOC1"/>
            <w:rPr>
              <w:rFonts w:eastAsiaTheme="minorEastAsia" w:cstheme="minorBidi"/>
              <w:b w:val="0"/>
              <w:bdr w:val="none" w:sz="0" w:space="0" w:color="auto"/>
            </w:rPr>
          </w:pPr>
          <w:hyperlink w:anchor="_Toc489111543" w:history="1">
            <w:r w:rsidR="00F555D1" w:rsidRPr="009D1618">
              <w:rPr>
                <w:rStyle w:val="Hyperlink"/>
              </w:rPr>
              <w:t>II.</w:t>
            </w:r>
            <w:r w:rsidR="00F555D1" w:rsidRPr="009D1618">
              <w:rPr>
                <w:rFonts w:eastAsiaTheme="minorEastAsia" w:cstheme="minorBidi"/>
                <w:b w:val="0"/>
                <w:bdr w:val="none" w:sz="0" w:space="0" w:color="auto"/>
              </w:rPr>
              <w:tab/>
            </w:r>
            <w:r w:rsidR="00F555D1" w:rsidRPr="009D1618">
              <w:rPr>
                <w:rStyle w:val="Hyperlink"/>
              </w:rPr>
              <w:t>TRÁMITE ANTE LA COMISIÓN</w:t>
            </w:r>
            <w:r w:rsidR="00F555D1" w:rsidRPr="009D1618">
              <w:rPr>
                <w:webHidden/>
              </w:rPr>
              <w:tab/>
            </w:r>
            <w:r w:rsidR="00F555D1" w:rsidRPr="009D1618">
              <w:rPr>
                <w:webHidden/>
              </w:rPr>
              <w:fldChar w:fldCharType="begin"/>
            </w:r>
            <w:r w:rsidR="00F555D1" w:rsidRPr="009D1618">
              <w:rPr>
                <w:webHidden/>
              </w:rPr>
              <w:instrText xml:space="preserve"> PAGEREF _Toc489111543 \h </w:instrText>
            </w:r>
            <w:r w:rsidR="00F555D1" w:rsidRPr="009D1618">
              <w:rPr>
                <w:webHidden/>
              </w:rPr>
            </w:r>
            <w:r w:rsidR="00F555D1" w:rsidRPr="009D1618">
              <w:rPr>
                <w:webHidden/>
              </w:rPr>
              <w:fldChar w:fldCharType="separate"/>
            </w:r>
            <w:r w:rsidR="00F555D1" w:rsidRPr="009D1618">
              <w:rPr>
                <w:webHidden/>
              </w:rPr>
              <w:t>2</w:t>
            </w:r>
            <w:r w:rsidR="00F555D1" w:rsidRPr="009D1618">
              <w:rPr>
                <w:webHidden/>
              </w:rPr>
              <w:fldChar w:fldCharType="end"/>
            </w:r>
          </w:hyperlink>
        </w:p>
        <w:p w14:paraId="1AB51615" w14:textId="77777777" w:rsidR="00F555D1" w:rsidRPr="009D1618" w:rsidRDefault="00576DDC">
          <w:pPr>
            <w:pStyle w:val="TOC1"/>
            <w:rPr>
              <w:rFonts w:eastAsiaTheme="minorEastAsia" w:cstheme="minorBidi"/>
              <w:b w:val="0"/>
              <w:bdr w:val="none" w:sz="0" w:space="0" w:color="auto"/>
            </w:rPr>
          </w:pPr>
          <w:hyperlink w:anchor="_Toc489111544" w:history="1">
            <w:r w:rsidR="00F555D1" w:rsidRPr="009D1618">
              <w:rPr>
                <w:rStyle w:val="Hyperlink"/>
                <w:lang w:val="es-VE"/>
              </w:rPr>
              <w:t>III.</w:t>
            </w:r>
            <w:r w:rsidR="00F555D1" w:rsidRPr="009D1618">
              <w:rPr>
                <w:rFonts w:eastAsiaTheme="minorEastAsia" w:cstheme="minorBidi"/>
                <w:b w:val="0"/>
                <w:bdr w:val="none" w:sz="0" w:space="0" w:color="auto"/>
              </w:rPr>
              <w:tab/>
            </w:r>
            <w:r w:rsidR="00F555D1" w:rsidRPr="009D1618">
              <w:rPr>
                <w:rStyle w:val="Hyperlink"/>
                <w:lang w:val="es-VE"/>
              </w:rPr>
              <w:t>POSICIONES DE LAS PARTES</w:t>
            </w:r>
            <w:r w:rsidR="00F555D1" w:rsidRPr="009D1618">
              <w:rPr>
                <w:webHidden/>
              </w:rPr>
              <w:tab/>
            </w:r>
            <w:r w:rsidR="00F555D1" w:rsidRPr="009D1618">
              <w:rPr>
                <w:webHidden/>
              </w:rPr>
              <w:fldChar w:fldCharType="begin"/>
            </w:r>
            <w:r w:rsidR="00F555D1" w:rsidRPr="009D1618">
              <w:rPr>
                <w:webHidden/>
              </w:rPr>
              <w:instrText xml:space="preserve"> PAGEREF _Toc489111544 \h </w:instrText>
            </w:r>
            <w:r w:rsidR="00F555D1" w:rsidRPr="009D1618">
              <w:rPr>
                <w:webHidden/>
              </w:rPr>
            </w:r>
            <w:r w:rsidR="00F555D1" w:rsidRPr="009D1618">
              <w:rPr>
                <w:webHidden/>
              </w:rPr>
              <w:fldChar w:fldCharType="separate"/>
            </w:r>
            <w:r w:rsidR="00F555D1" w:rsidRPr="009D1618">
              <w:rPr>
                <w:webHidden/>
              </w:rPr>
              <w:t>2</w:t>
            </w:r>
            <w:r w:rsidR="00F555D1" w:rsidRPr="009D1618">
              <w:rPr>
                <w:webHidden/>
              </w:rPr>
              <w:fldChar w:fldCharType="end"/>
            </w:r>
          </w:hyperlink>
        </w:p>
        <w:p w14:paraId="301CDCF3" w14:textId="77777777" w:rsidR="00F555D1" w:rsidRPr="009D1618" w:rsidRDefault="00576DDC">
          <w:pPr>
            <w:pStyle w:val="TOC2"/>
            <w:rPr>
              <w:rFonts w:eastAsiaTheme="minorEastAsia" w:cstheme="minorBidi"/>
              <w:bdr w:val="none" w:sz="0" w:space="0" w:color="auto"/>
              <w:lang w:val="en-US"/>
            </w:rPr>
          </w:pPr>
          <w:hyperlink w:anchor="_Toc489111545" w:history="1">
            <w:r w:rsidR="00F555D1" w:rsidRPr="009D1618">
              <w:rPr>
                <w:rStyle w:val="Hyperlink"/>
              </w:rPr>
              <w:t>A.</w:t>
            </w:r>
            <w:r w:rsidR="00F555D1" w:rsidRPr="009D1618">
              <w:rPr>
                <w:rFonts w:eastAsiaTheme="minorEastAsia" w:cstheme="minorBidi"/>
                <w:bdr w:val="none" w:sz="0" w:space="0" w:color="auto"/>
                <w:lang w:val="en-US"/>
              </w:rPr>
              <w:tab/>
            </w:r>
            <w:r w:rsidR="00F555D1" w:rsidRPr="009D1618">
              <w:rPr>
                <w:rStyle w:val="Hyperlink"/>
              </w:rPr>
              <w:t>Posición de los peticionarios</w:t>
            </w:r>
            <w:r w:rsidR="00F555D1" w:rsidRPr="009D1618">
              <w:rPr>
                <w:webHidden/>
              </w:rPr>
              <w:tab/>
            </w:r>
            <w:r w:rsidR="00F555D1" w:rsidRPr="009D1618">
              <w:rPr>
                <w:webHidden/>
              </w:rPr>
              <w:fldChar w:fldCharType="begin"/>
            </w:r>
            <w:r w:rsidR="00F555D1" w:rsidRPr="009D1618">
              <w:rPr>
                <w:webHidden/>
              </w:rPr>
              <w:instrText xml:space="preserve"> PAGEREF _Toc489111545 \h </w:instrText>
            </w:r>
            <w:r w:rsidR="00F555D1" w:rsidRPr="009D1618">
              <w:rPr>
                <w:webHidden/>
              </w:rPr>
            </w:r>
            <w:r w:rsidR="00F555D1" w:rsidRPr="009D1618">
              <w:rPr>
                <w:webHidden/>
              </w:rPr>
              <w:fldChar w:fldCharType="separate"/>
            </w:r>
            <w:r w:rsidR="00F555D1" w:rsidRPr="009D1618">
              <w:rPr>
                <w:webHidden/>
              </w:rPr>
              <w:t>2</w:t>
            </w:r>
            <w:r w:rsidR="00F555D1" w:rsidRPr="009D1618">
              <w:rPr>
                <w:webHidden/>
              </w:rPr>
              <w:fldChar w:fldCharType="end"/>
            </w:r>
          </w:hyperlink>
        </w:p>
        <w:p w14:paraId="5E552E64" w14:textId="77777777" w:rsidR="00F555D1" w:rsidRPr="009D1618" w:rsidRDefault="00576DDC">
          <w:pPr>
            <w:pStyle w:val="TOC2"/>
            <w:rPr>
              <w:rFonts w:eastAsiaTheme="minorEastAsia" w:cstheme="minorBidi"/>
              <w:bdr w:val="none" w:sz="0" w:space="0" w:color="auto"/>
              <w:lang w:val="en-US"/>
            </w:rPr>
          </w:pPr>
          <w:hyperlink w:anchor="_Toc489111546" w:history="1">
            <w:r w:rsidR="00F555D1" w:rsidRPr="009D1618">
              <w:rPr>
                <w:rStyle w:val="Hyperlink"/>
              </w:rPr>
              <w:t>B.</w:t>
            </w:r>
            <w:r w:rsidR="00F555D1" w:rsidRPr="009D1618">
              <w:rPr>
                <w:rFonts w:eastAsiaTheme="minorEastAsia" w:cstheme="minorBidi"/>
                <w:bdr w:val="none" w:sz="0" w:space="0" w:color="auto"/>
                <w:lang w:val="en-US"/>
              </w:rPr>
              <w:tab/>
            </w:r>
            <w:r w:rsidR="00F555D1" w:rsidRPr="009D1618">
              <w:rPr>
                <w:rStyle w:val="Hyperlink"/>
              </w:rPr>
              <w:t>Posición del Estado</w:t>
            </w:r>
            <w:r w:rsidR="00F555D1" w:rsidRPr="009D1618">
              <w:rPr>
                <w:webHidden/>
              </w:rPr>
              <w:tab/>
            </w:r>
            <w:r w:rsidR="00F555D1" w:rsidRPr="009D1618">
              <w:rPr>
                <w:webHidden/>
              </w:rPr>
              <w:fldChar w:fldCharType="begin"/>
            </w:r>
            <w:r w:rsidR="00F555D1" w:rsidRPr="009D1618">
              <w:rPr>
                <w:webHidden/>
              </w:rPr>
              <w:instrText xml:space="preserve"> PAGEREF _Toc489111546 \h </w:instrText>
            </w:r>
            <w:r w:rsidR="00F555D1" w:rsidRPr="009D1618">
              <w:rPr>
                <w:webHidden/>
              </w:rPr>
            </w:r>
            <w:r w:rsidR="00F555D1" w:rsidRPr="009D1618">
              <w:rPr>
                <w:webHidden/>
              </w:rPr>
              <w:fldChar w:fldCharType="separate"/>
            </w:r>
            <w:r w:rsidR="00F555D1" w:rsidRPr="009D1618">
              <w:rPr>
                <w:webHidden/>
              </w:rPr>
              <w:t>3</w:t>
            </w:r>
            <w:r w:rsidR="00F555D1" w:rsidRPr="009D1618">
              <w:rPr>
                <w:webHidden/>
              </w:rPr>
              <w:fldChar w:fldCharType="end"/>
            </w:r>
          </w:hyperlink>
        </w:p>
        <w:p w14:paraId="04E1A38C" w14:textId="77777777" w:rsidR="00F555D1" w:rsidRPr="009D1618" w:rsidRDefault="00576DDC">
          <w:pPr>
            <w:pStyle w:val="TOC1"/>
            <w:rPr>
              <w:rFonts w:eastAsiaTheme="minorEastAsia" w:cstheme="minorBidi"/>
              <w:b w:val="0"/>
              <w:bdr w:val="none" w:sz="0" w:space="0" w:color="auto"/>
            </w:rPr>
          </w:pPr>
          <w:hyperlink w:anchor="_Toc489111547" w:history="1">
            <w:r w:rsidR="00F555D1" w:rsidRPr="009D1618">
              <w:rPr>
                <w:rStyle w:val="Hyperlink"/>
                <w:lang w:val="es-VE"/>
              </w:rPr>
              <w:t>IV.</w:t>
            </w:r>
            <w:r w:rsidR="00F555D1" w:rsidRPr="009D1618">
              <w:rPr>
                <w:rFonts w:eastAsiaTheme="minorEastAsia" w:cstheme="minorBidi"/>
                <w:b w:val="0"/>
                <w:bdr w:val="none" w:sz="0" w:space="0" w:color="auto"/>
              </w:rPr>
              <w:tab/>
            </w:r>
            <w:r w:rsidR="00F555D1" w:rsidRPr="009D1618">
              <w:rPr>
                <w:rStyle w:val="Hyperlink"/>
                <w:lang w:val="es-VE"/>
              </w:rPr>
              <w:t>ANÁLISIS DE ADMISIBILIDAD</w:t>
            </w:r>
            <w:r w:rsidR="00F555D1" w:rsidRPr="009D1618">
              <w:rPr>
                <w:webHidden/>
              </w:rPr>
              <w:tab/>
            </w:r>
            <w:r w:rsidR="00F555D1" w:rsidRPr="009D1618">
              <w:rPr>
                <w:webHidden/>
              </w:rPr>
              <w:fldChar w:fldCharType="begin"/>
            </w:r>
            <w:r w:rsidR="00F555D1" w:rsidRPr="009D1618">
              <w:rPr>
                <w:webHidden/>
              </w:rPr>
              <w:instrText xml:space="preserve"> PAGEREF _Toc489111547 \h </w:instrText>
            </w:r>
            <w:r w:rsidR="00F555D1" w:rsidRPr="009D1618">
              <w:rPr>
                <w:webHidden/>
              </w:rPr>
            </w:r>
            <w:r w:rsidR="00F555D1" w:rsidRPr="009D1618">
              <w:rPr>
                <w:webHidden/>
              </w:rPr>
              <w:fldChar w:fldCharType="separate"/>
            </w:r>
            <w:r w:rsidR="00F555D1" w:rsidRPr="009D1618">
              <w:rPr>
                <w:webHidden/>
              </w:rPr>
              <w:t>4</w:t>
            </w:r>
            <w:r w:rsidR="00F555D1" w:rsidRPr="009D1618">
              <w:rPr>
                <w:webHidden/>
              </w:rPr>
              <w:fldChar w:fldCharType="end"/>
            </w:r>
          </w:hyperlink>
        </w:p>
        <w:p w14:paraId="5F4BF6F1" w14:textId="77777777" w:rsidR="00F555D1" w:rsidRPr="009D1618" w:rsidRDefault="00576DDC">
          <w:pPr>
            <w:pStyle w:val="TOC2"/>
            <w:rPr>
              <w:rFonts w:eastAsiaTheme="minorEastAsia" w:cstheme="minorBidi"/>
              <w:bdr w:val="none" w:sz="0" w:space="0" w:color="auto"/>
              <w:lang w:val="en-US"/>
            </w:rPr>
          </w:pPr>
          <w:hyperlink w:anchor="_Toc489111548" w:history="1">
            <w:r w:rsidR="00F555D1" w:rsidRPr="009D1618">
              <w:rPr>
                <w:rStyle w:val="Hyperlink"/>
                <w:lang w:val="es-ES"/>
              </w:rPr>
              <w:t>A.</w:t>
            </w:r>
            <w:r w:rsidR="00F555D1" w:rsidRPr="009D1618">
              <w:rPr>
                <w:rFonts w:eastAsiaTheme="minorEastAsia" w:cstheme="minorBidi"/>
                <w:bdr w:val="none" w:sz="0" w:space="0" w:color="auto"/>
                <w:lang w:val="en-US"/>
              </w:rPr>
              <w:tab/>
            </w:r>
            <w:r w:rsidR="00F555D1" w:rsidRPr="009D1618">
              <w:rPr>
                <w:rStyle w:val="Hyperlink"/>
                <w:lang w:val="es-ES"/>
              </w:rPr>
              <w:t xml:space="preserve">Competencia </w:t>
            </w:r>
            <w:r w:rsidR="00F555D1" w:rsidRPr="009D1618">
              <w:rPr>
                <w:rStyle w:val="Hyperlink"/>
                <w:i/>
                <w:lang w:val="es-ES"/>
              </w:rPr>
              <w:t>ratione</w:t>
            </w:r>
            <w:r w:rsidR="00F555D1" w:rsidRPr="009D1618">
              <w:rPr>
                <w:rStyle w:val="Hyperlink"/>
                <w:i/>
              </w:rPr>
              <w:t xml:space="preserve"> materiae</w:t>
            </w:r>
            <w:r w:rsidR="00F555D1" w:rsidRPr="009D1618">
              <w:rPr>
                <w:rStyle w:val="Hyperlink"/>
              </w:rPr>
              <w:t xml:space="preserve">, </w:t>
            </w:r>
            <w:r w:rsidR="00F555D1" w:rsidRPr="009D1618">
              <w:rPr>
                <w:rStyle w:val="Hyperlink"/>
                <w:i/>
              </w:rPr>
              <w:t>ratione personae</w:t>
            </w:r>
            <w:r w:rsidR="00F555D1" w:rsidRPr="009D1618">
              <w:rPr>
                <w:rStyle w:val="Hyperlink"/>
              </w:rPr>
              <w:t xml:space="preserve">, </w:t>
            </w:r>
            <w:r w:rsidR="00F555D1" w:rsidRPr="009D1618">
              <w:rPr>
                <w:rStyle w:val="Hyperlink"/>
                <w:i/>
              </w:rPr>
              <w:t>ratione temporis</w:t>
            </w:r>
            <w:r w:rsidR="00F555D1" w:rsidRPr="009D1618">
              <w:rPr>
                <w:rStyle w:val="Hyperlink"/>
              </w:rPr>
              <w:t xml:space="preserve"> y </w:t>
            </w:r>
            <w:r w:rsidR="00F555D1" w:rsidRPr="009D1618">
              <w:rPr>
                <w:rStyle w:val="Hyperlink"/>
                <w:i/>
              </w:rPr>
              <w:t>ratione loci</w:t>
            </w:r>
            <w:r w:rsidR="00F555D1" w:rsidRPr="009D1618">
              <w:rPr>
                <w:rStyle w:val="Hyperlink"/>
              </w:rPr>
              <w:t xml:space="preserve"> de la  Comisión</w:t>
            </w:r>
            <w:r w:rsidR="00F555D1" w:rsidRPr="009D1618">
              <w:rPr>
                <w:webHidden/>
              </w:rPr>
              <w:tab/>
            </w:r>
            <w:r w:rsidR="00F555D1" w:rsidRPr="009D1618">
              <w:rPr>
                <w:webHidden/>
              </w:rPr>
              <w:fldChar w:fldCharType="begin"/>
            </w:r>
            <w:r w:rsidR="00F555D1" w:rsidRPr="009D1618">
              <w:rPr>
                <w:webHidden/>
              </w:rPr>
              <w:instrText xml:space="preserve"> PAGEREF _Toc489111548 \h </w:instrText>
            </w:r>
            <w:r w:rsidR="00F555D1" w:rsidRPr="009D1618">
              <w:rPr>
                <w:webHidden/>
              </w:rPr>
            </w:r>
            <w:r w:rsidR="00F555D1" w:rsidRPr="009D1618">
              <w:rPr>
                <w:webHidden/>
              </w:rPr>
              <w:fldChar w:fldCharType="separate"/>
            </w:r>
            <w:r w:rsidR="00F555D1" w:rsidRPr="009D1618">
              <w:rPr>
                <w:webHidden/>
              </w:rPr>
              <w:t>4</w:t>
            </w:r>
            <w:r w:rsidR="00F555D1" w:rsidRPr="009D1618">
              <w:rPr>
                <w:webHidden/>
              </w:rPr>
              <w:fldChar w:fldCharType="end"/>
            </w:r>
          </w:hyperlink>
        </w:p>
        <w:p w14:paraId="004D6787" w14:textId="77777777" w:rsidR="00F555D1" w:rsidRPr="009D1618" w:rsidRDefault="00576DDC">
          <w:pPr>
            <w:pStyle w:val="TOC2"/>
            <w:rPr>
              <w:rFonts w:eastAsiaTheme="minorEastAsia" w:cstheme="minorBidi"/>
              <w:bdr w:val="none" w:sz="0" w:space="0" w:color="auto"/>
              <w:lang w:val="en-US"/>
            </w:rPr>
          </w:pPr>
          <w:hyperlink w:anchor="_Toc489111549" w:history="1">
            <w:r w:rsidR="00F555D1" w:rsidRPr="009D1618">
              <w:rPr>
                <w:rStyle w:val="Hyperlink"/>
                <w:lang w:val="es-ES"/>
              </w:rPr>
              <w:t>B.</w:t>
            </w:r>
            <w:r w:rsidR="00F555D1" w:rsidRPr="009D1618">
              <w:rPr>
                <w:rFonts w:eastAsiaTheme="minorEastAsia" w:cstheme="minorBidi"/>
                <w:bdr w:val="none" w:sz="0" w:space="0" w:color="auto"/>
                <w:lang w:val="en-US"/>
              </w:rPr>
              <w:tab/>
            </w:r>
            <w:r w:rsidR="00F555D1" w:rsidRPr="009D1618">
              <w:rPr>
                <w:rStyle w:val="Hyperlink"/>
                <w:lang w:val="es-ES"/>
              </w:rPr>
              <w:t>Requisitos de admisibilidad</w:t>
            </w:r>
            <w:r w:rsidR="00F555D1" w:rsidRPr="009D1618">
              <w:rPr>
                <w:webHidden/>
              </w:rPr>
              <w:tab/>
            </w:r>
            <w:r w:rsidR="00F555D1" w:rsidRPr="009D1618">
              <w:rPr>
                <w:webHidden/>
              </w:rPr>
              <w:fldChar w:fldCharType="begin"/>
            </w:r>
            <w:r w:rsidR="00F555D1" w:rsidRPr="009D1618">
              <w:rPr>
                <w:webHidden/>
              </w:rPr>
              <w:instrText xml:space="preserve"> PAGEREF _Toc489111549 \h </w:instrText>
            </w:r>
            <w:r w:rsidR="00F555D1" w:rsidRPr="009D1618">
              <w:rPr>
                <w:webHidden/>
              </w:rPr>
            </w:r>
            <w:r w:rsidR="00F555D1" w:rsidRPr="009D1618">
              <w:rPr>
                <w:webHidden/>
              </w:rPr>
              <w:fldChar w:fldCharType="separate"/>
            </w:r>
            <w:r w:rsidR="00F555D1" w:rsidRPr="009D1618">
              <w:rPr>
                <w:webHidden/>
              </w:rPr>
              <w:t>4</w:t>
            </w:r>
            <w:r w:rsidR="00F555D1" w:rsidRPr="009D1618">
              <w:rPr>
                <w:webHidden/>
              </w:rPr>
              <w:fldChar w:fldCharType="end"/>
            </w:r>
          </w:hyperlink>
        </w:p>
        <w:p w14:paraId="34894FB4" w14:textId="77777777" w:rsidR="00F555D1" w:rsidRPr="009D1618" w:rsidRDefault="00576DDC">
          <w:pPr>
            <w:pStyle w:val="TOC3"/>
            <w:tabs>
              <w:tab w:val="left" w:pos="2160"/>
            </w:tabs>
            <w:rPr>
              <w:rFonts w:asciiTheme="majorHAnsi" w:eastAsiaTheme="minorEastAsia" w:hAnsiTheme="majorHAnsi" w:cstheme="minorBidi"/>
              <w:noProof/>
              <w:sz w:val="20"/>
              <w:szCs w:val="20"/>
              <w:bdr w:val="none" w:sz="0" w:space="0" w:color="auto"/>
            </w:rPr>
          </w:pPr>
          <w:hyperlink w:anchor="_Toc489111550" w:history="1">
            <w:r w:rsidR="00F555D1" w:rsidRPr="009D1618">
              <w:rPr>
                <w:rStyle w:val="Hyperlink"/>
                <w:rFonts w:asciiTheme="majorHAnsi" w:eastAsia="Times New Roman" w:hAnsiTheme="majorHAnsi"/>
                <w:noProof/>
                <w:sz w:val="20"/>
                <w:szCs w:val="20"/>
              </w:rPr>
              <w:t>1.</w:t>
            </w:r>
            <w:r w:rsidR="00F555D1" w:rsidRPr="009D1618">
              <w:rPr>
                <w:rFonts w:asciiTheme="majorHAnsi" w:eastAsiaTheme="minorEastAsia" w:hAnsiTheme="majorHAnsi" w:cstheme="minorBidi"/>
                <w:noProof/>
                <w:sz w:val="20"/>
                <w:szCs w:val="20"/>
                <w:bdr w:val="none" w:sz="0" w:space="0" w:color="auto"/>
              </w:rPr>
              <w:tab/>
            </w:r>
            <w:r w:rsidR="00F555D1" w:rsidRPr="009D1618">
              <w:rPr>
                <w:rStyle w:val="Hyperlink"/>
                <w:rFonts w:asciiTheme="majorHAnsi" w:eastAsia="Times New Roman" w:hAnsiTheme="majorHAnsi" w:cs="Arial"/>
                <w:noProof/>
                <w:sz w:val="20"/>
                <w:szCs w:val="20"/>
              </w:rPr>
              <w:t>Agotamiento de los recursos internos</w:t>
            </w:r>
            <w:r w:rsidR="00F555D1" w:rsidRPr="009D1618">
              <w:rPr>
                <w:rFonts w:asciiTheme="majorHAnsi" w:hAnsiTheme="majorHAnsi"/>
                <w:noProof/>
                <w:webHidden/>
                <w:sz w:val="20"/>
                <w:szCs w:val="20"/>
              </w:rPr>
              <w:tab/>
            </w:r>
            <w:r w:rsidR="00F555D1" w:rsidRPr="009D1618">
              <w:rPr>
                <w:rFonts w:asciiTheme="majorHAnsi" w:hAnsiTheme="majorHAnsi"/>
                <w:noProof/>
                <w:webHidden/>
                <w:sz w:val="20"/>
                <w:szCs w:val="20"/>
              </w:rPr>
              <w:fldChar w:fldCharType="begin"/>
            </w:r>
            <w:r w:rsidR="00F555D1" w:rsidRPr="009D1618">
              <w:rPr>
                <w:rFonts w:asciiTheme="majorHAnsi" w:hAnsiTheme="majorHAnsi"/>
                <w:noProof/>
                <w:webHidden/>
                <w:sz w:val="20"/>
                <w:szCs w:val="20"/>
              </w:rPr>
              <w:instrText xml:space="preserve"> PAGEREF _Toc489111550 \h </w:instrText>
            </w:r>
            <w:r w:rsidR="00F555D1" w:rsidRPr="009D1618">
              <w:rPr>
                <w:rFonts w:asciiTheme="majorHAnsi" w:hAnsiTheme="majorHAnsi"/>
                <w:noProof/>
                <w:webHidden/>
                <w:sz w:val="20"/>
                <w:szCs w:val="20"/>
              </w:rPr>
            </w:r>
            <w:r w:rsidR="00F555D1" w:rsidRPr="009D1618">
              <w:rPr>
                <w:rFonts w:asciiTheme="majorHAnsi" w:hAnsiTheme="majorHAnsi"/>
                <w:noProof/>
                <w:webHidden/>
                <w:sz w:val="20"/>
                <w:szCs w:val="20"/>
              </w:rPr>
              <w:fldChar w:fldCharType="separate"/>
            </w:r>
            <w:r w:rsidR="00F555D1" w:rsidRPr="009D1618">
              <w:rPr>
                <w:rFonts w:asciiTheme="majorHAnsi" w:hAnsiTheme="majorHAnsi"/>
                <w:noProof/>
                <w:webHidden/>
                <w:sz w:val="20"/>
                <w:szCs w:val="20"/>
              </w:rPr>
              <w:t>4</w:t>
            </w:r>
            <w:r w:rsidR="00F555D1" w:rsidRPr="009D1618">
              <w:rPr>
                <w:rFonts w:asciiTheme="majorHAnsi" w:hAnsiTheme="majorHAnsi"/>
                <w:noProof/>
                <w:webHidden/>
                <w:sz w:val="20"/>
                <w:szCs w:val="20"/>
              </w:rPr>
              <w:fldChar w:fldCharType="end"/>
            </w:r>
          </w:hyperlink>
        </w:p>
        <w:p w14:paraId="12C385EF" w14:textId="77777777" w:rsidR="00F555D1" w:rsidRPr="009D1618" w:rsidRDefault="00576DDC">
          <w:pPr>
            <w:pStyle w:val="TOC3"/>
            <w:tabs>
              <w:tab w:val="left" w:pos="2160"/>
            </w:tabs>
            <w:rPr>
              <w:rFonts w:asciiTheme="majorHAnsi" w:eastAsiaTheme="minorEastAsia" w:hAnsiTheme="majorHAnsi" w:cstheme="minorBidi"/>
              <w:noProof/>
              <w:sz w:val="20"/>
              <w:szCs w:val="20"/>
              <w:bdr w:val="none" w:sz="0" w:space="0" w:color="auto"/>
            </w:rPr>
          </w:pPr>
          <w:hyperlink w:anchor="_Toc489111551" w:history="1">
            <w:r w:rsidR="00F555D1" w:rsidRPr="009D1618">
              <w:rPr>
                <w:rStyle w:val="Hyperlink"/>
                <w:rFonts w:asciiTheme="majorHAnsi" w:eastAsia="Times New Roman" w:hAnsiTheme="majorHAnsi"/>
                <w:noProof/>
                <w:sz w:val="20"/>
                <w:szCs w:val="20"/>
                <w:lang w:val="es-VE"/>
              </w:rPr>
              <w:t>2.</w:t>
            </w:r>
            <w:r w:rsidR="00F555D1" w:rsidRPr="009D1618">
              <w:rPr>
                <w:rFonts w:asciiTheme="majorHAnsi" w:eastAsiaTheme="minorEastAsia" w:hAnsiTheme="majorHAnsi" w:cstheme="minorBidi"/>
                <w:noProof/>
                <w:sz w:val="20"/>
                <w:szCs w:val="20"/>
                <w:bdr w:val="none" w:sz="0" w:space="0" w:color="auto"/>
              </w:rPr>
              <w:tab/>
            </w:r>
            <w:r w:rsidR="00F555D1" w:rsidRPr="009D1618">
              <w:rPr>
                <w:rStyle w:val="Hyperlink"/>
                <w:rFonts w:asciiTheme="majorHAnsi" w:eastAsia="Times New Roman" w:hAnsiTheme="majorHAnsi" w:cs="Arial"/>
                <w:noProof/>
                <w:sz w:val="20"/>
                <w:szCs w:val="20"/>
                <w:lang w:val="es-VE"/>
              </w:rPr>
              <w:t>Plazo de presentación de la petición</w:t>
            </w:r>
            <w:r w:rsidR="00F555D1" w:rsidRPr="009D1618">
              <w:rPr>
                <w:rFonts w:asciiTheme="majorHAnsi" w:hAnsiTheme="majorHAnsi"/>
                <w:noProof/>
                <w:webHidden/>
                <w:sz w:val="20"/>
                <w:szCs w:val="20"/>
              </w:rPr>
              <w:tab/>
            </w:r>
            <w:r w:rsidR="00F555D1" w:rsidRPr="009D1618">
              <w:rPr>
                <w:rFonts w:asciiTheme="majorHAnsi" w:hAnsiTheme="majorHAnsi"/>
                <w:noProof/>
                <w:webHidden/>
                <w:sz w:val="20"/>
                <w:szCs w:val="20"/>
              </w:rPr>
              <w:fldChar w:fldCharType="begin"/>
            </w:r>
            <w:r w:rsidR="00F555D1" w:rsidRPr="009D1618">
              <w:rPr>
                <w:rFonts w:asciiTheme="majorHAnsi" w:hAnsiTheme="majorHAnsi"/>
                <w:noProof/>
                <w:webHidden/>
                <w:sz w:val="20"/>
                <w:szCs w:val="20"/>
              </w:rPr>
              <w:instrText xml:space="preserve"> PAGEREF _Toc489111551 \h </w:instrText>
            </w:r>
            <w:r w:rsidR="00F555D1" w:rsidRPr="009D1618">
              <w:rPr>
                <w:rFonts w:asciiTheme="majorHAnsi" w:hAnsiTheme="majorHAnsi"/>
                <w:noProof/>
                <w:webHidden/>
                <w:sz w:val="20"/>
                <w:szCs w:val="20"/>
              </w:rPr>
            </w:r>
            <w:r w:rsidR="00F555D1" w:rsidRPr="009D1618">
              <w:rPr>
                <w:rFonts w:asciiTheme="majorHAnsi" w:hAnsiTheme="majorHAnsi"/>
                <w:noProof/>
                <w:webHidden/>
                <w:sz w:val="20"/>
                <w:szCs w:val="20"/>
              </w:rPr>
              <w:fldChar w:fldCharType="separate"/>
            </w:r>
            <w:r w:rsidR="00F555D1" w:rsidRPr="009D1618">
              <w:rPr>
                <w:rFonts w:asciiTheme="majorHAnsi" w:hAnsiTheme="majorHAnsi"/>
                <w:noProof/>
                <w:webHidden/>
                <w:sz w:val="20"/>
                <w:szCs w:val="20"/>
              </w:rPr>
              <w:t>5</w:t>
            </w:r>
            <w:r w:rsidR="00F555D1" w:rsidRPr="009D1618">
              <w:rPr>
                <w:rFonts w:asciiTheme="majorHAnsi" w:hAnsiTheme="majorHAnsi"/>
                <w:noProof/>
                <w:webHidden/>
                <w:sz w:val="20"/>
                <w:szCs w:val="20"/>
              </w:rPr>
              <w:fldChar w:fldCharType="end"/>
            </w:r>
          </w:hyperlink>
        </w:p>
        <w:p w14:paraId="71F5E602" w14:textId="77777777" w:rsidR="00F555D1" w:rsidRPr="009D1618" w:rsidRDefault="00576DDC">
          <w:pPr>
            <w:pStyle w:val="TOC3"/>
            <w:tabs>
              <w:tab w:val="left" w:pos="2160"/>
            </w:tabs>
            <w:rPr>
              <w:rFonts w:asciiTheme="majorHAnsi" w:eastAsiaTheme="minorEastAsia" w:hAnsiTheme="majorHAnsi" w:cstheme="minorBidi"/>
              <w:noProof/>
              <w:sz w:val="20"/>
              <w:szCs w:val="20"/>
              <w:bdr w:val="none" w:sz="0" w:space="0" w:color="auto"/>
            </w:rPr>
          </w:pPr>
          <w:hyperlink w:anchor="_Toc489111552" w:history="1">
            <w:r w:rsidR="00F555D1" w:rsidRPr="009D1618">
              <w:rPr>
                <w:rStyle w:val="Hyperlink"/>
                <w:rFonts w:asciiTheme="majorHAnsi" w:eastAsia="Times New Roman" w:hAnsiTheme="majorHAnsi"/>
                <w:noProof/>
                <w:sz w:val="20"/>
                <w:szCs w:val="20"/>
                <w:lang w:val="es-VE"/>
              </w:rPr>
              <w:t>3.</w:t>
            </w:r>
            <w:r w:rsidR="00F555D1" w:rsidRPr="009D1618">
              <w:rPr>
                <w:rFonts w:asciiTheme="majorHAnsi" w:eastAsiaTheme="minorEastAsia" w:hAnsiTheme="majorHAnsi" w:cstheme="minorBidi"/>
                <w:noProof/>
                <w:sz w:val="20"/>
                <w:szCs w:val="20"/>
                <w:bdr w:val="none" w:sz="0" w:space="0" w:color="auto"/>
              </w:rPr>
              <w:tab/>
            </w:r>
            <w:r w:rsidR="00F555D1" w:rsidRPr="009D1618">
              <w:rPr>
                <w:rStyle w:val="Hyperlink"/>
                <w:rFonts w:asciiTheme="majorHAnsi" w:eastAsia="Times New Roman" w:hAnsiTheme="majorHAnsi" w:cs="Arial"/>
                <w:noProof/>
                <w:sz w:val="20"/>
                <w:szCs w:val="20"/>
                <w:lang w:val="es-VE"/>
              </w:rPr>
              <w:t>Duplicación de procedimientos y cosa juzgada internacional</w:t>
            </w:r>
            <w:r w:rsidR="00F555D1" w:rsidRPr="009D1618">
              <w:rPr>
                <w:rFonts w:asciiTheme="majorHAnsi" w:hAnsiTheme="majorHAnsi"/>
                <w:noProof/>
                <w:webHidden/>
                <w:sz w:val="20"/>
                <w:szCs w:val="20"/>
              </w:rPr>
              <w:tab/>
            </w:r>
            <w:r w:rsidR="00F555D1" w:rsidRPr="009D1618">
              <w:rPr>
                <w:rFonts w:asciiTheme="majorHAnsi" w:hAnsiTheme="majorHAnsi"/>
                <w:noProof/>
                <w:webHidden/>
                <w:sz w:val="20"/>
                <w:szCs w:val="20"/>
              </w:rPr>
              <w:fldChar w:fldCharType="begin"/>
            </w:r>
            <w:r w:rsidR="00F555D1" w:rsidRPr="009D1618">
              <w:rPr>
                <w:rFonts w:asciiTheme="majorHAnsi" w:hAnsiTheme="majorHAnsi"/>
                <w:noProof/>
                <w:webHidden/>
                <w:sz w:val="20"/>
                <w:szCs w:val="20"/>
              </w:rPr>
              <w:instrText xml:space="preserve"> PAGEREF _Toc489111552 \h </w:instrText>
            </w:r>
            <w:r w:rsidR="00F555D1" w:rsidRPr="009D1618">
              <w:rPr>
                <w:rFonts w:asciiTheme="majorHAnsi" w:hAnsiTheme="majorHAnsi"/>
                <w:noProof/>
                <w:webHidden/>
                <w:sz w:val="20"/>
                <w:szCs w:val="20"/>
              </w:rPr>
            </w:r>
            <w:r w:rsidR="00F555D1" w:rsidRPr="009D1618">
              <w:rPr>
                <w:rFonts w:asciiTheme="majorHAnsi" w:hAnsiTheme="majorHAnsi"/>
                <w:noProof/>
                <w:webHidden/>
                <w:sz w:val="20"/>
                <w:szCs w:val="20"/>
              </w:rPr>
              <w:fldChar w:fldCharType="separate"/>
            </w:r>
            <w:r w:rsidR="00F555D1" w:rsidRPr="009D1618">
              <w:rPr>
                <w:rFonts w:asciiTheme="majorHAnsi" w:hAnsiTheme="majorHAnsi"/>
                <w:noProof/>
                <w:webHidden/>
                <w:sz w:val="20"/>
                <w:szCs w:val="20"/>
              </w:rPr>
              <w:t>5</w:t>
            </w:r>
            <w:r w:rsidR="00F555D1" w:rsidRPr="009D1618">
              <w:rPr>
                <w:rFonts w:asciiTheme="majorHAnsi" w:hAnsiTheme="majorHAnsi"/>
                <w:noProof/>
                <w:webHidden/>
                <w:sz w:val="20"/>
                <w:szCs w:val="20"/>
              </w:rPr>
              <w:fldChar w:fldCharType="end"/>
            </w:r>
          </w:hyperlink>
        </w:p>
        <w:p w14:paraId="0185BFCF" w14:textId="77777777" w:rsidR="00F555D1" w:rsidRPr="009D1618" w:rsidRDefault="00576DDC">
          <w:pPr>
            <w:pStyle w:val="TOC3"/>
            <w:tabs>
              <w:tab w:val="left" w:pos="2160"/>
            </w:tabs>
            <w:rPr>
              <w:rFonts w:asciiTheme="majorHAnsi" w:eastAsiaTheme="minorEastAsia" w:hAnsiTheme="majorHAnsi" w:cstheme="minorBidi"/>
              <w:noProof/>
              <w:sz w:val="20"/>
              <w:szCs w:val="20"/>
              <w:bdr w:val="none" w:sz="0" w:space="0" w:color="auto"/>
            </w:rPr>
          </w:pPr>
          <w:hyperlink w:anchor="_Toc489111553" w:history="1">
            <w:r w:rsidR="00F555D1" w:rsidRPr="009D1618">
              <w:rPr>
                <w:rStyle w:val="Hyperlink"/>
                <w:rFonts w:asciiTheme="majorHAnsi" w:eastAsia="Times New Roman" w:hAnsiTheme="majorHAnsi"/>
                <w:noProof/>
                <w:sz w:val="20"/>
                <w:szCs w:val="20"/>
                <w:lang w:val="es-VE"/>
              </w:rPr>
              <w:t>4.</w:t>
            </w:r>
            <w:r w:rsidR="00F555D1" w:rsidRPr="009D1618">
              <w:rPr>
                <w:rFonts w:asciiTheme="majorHAnsi" w:eastAsiaTheme="minorEastAsia" w:hAnsiTheme="majorHAnsi" w:cstheme="minorBidi"/>
                <w:noProof/>
                <w:sz w:val="20"/>
                <w:szCs w:val="20"/>
                <w:bdr w:val="none" w:sz="0" w:space="0" w:color="auto"/>
              </w:rPr>
              <w:tab/>
            </w:r>
            <w:r w:rsidR="00F555D1" w:rsidRPr="009D1618">
              <w:rPr>
                <w:rStyle w:val="Hyperlink"/>
                <w:rFonts w:asciiTheme="majorHAnsi" w:eastAsia="Times New Roman" w:hAnsiTheme="majorHAnsi" w:cs="Arial"/>
                <w:noProof/>
                <w:sz w:val="20"/>
                <w:szCs w:val="20"/>
                <w:lang w:val="es-VE"/>
              </w:rPr>
              <w:t>Caracterización de los hechos alegados</w:t>
            </w:r>
            <w:r w:rsidR="00F555D1" w:rsidRPr="009D1618">
              <w:rPr>
                <w:rFonts w:asciiTheme="majorHAnsi" w:hAnsiTheme="majorHAnsi"/>
                <w:noProof/>
                <w:webHidden/>
                <w:sz w:val="20"/>
                <w:szCs w:val="20"/>
              </w:rPr>
              <w:tab/>
            </w:r>
            <w:r w:rsidR="00F555D1" w:rsidRPr="009D1618">
              <w:rPr>
                <w:rFonts w:asciiTheme="majorHAnsi" w:hAnsiTheme="majorHAnsi"/>
                <w:noProof/>
                <w:webHidden/>
                <w:sz w:val="20"/>
                <w:szCs w:val="20"/>
              </w:rPr>
              <w:fldChar w:fldCharType="begin"/>
            </w:r>
            <w:r w:rsidR="00F555D1" w:rsidRPr="009D1618">
              <w:rPr>
                <w:rFonts w:asciiTheme="majorHAnsi" w:hAnsiTheme="majorHAnsi"/>
                <w:noProof/>
                <w:webHidden/>
                <w:sz w:val="20"/>
                <w:szCs w:val="20"/>
              </w:rPr>
              <w:instrText xml:space="preserve"> PAGEREF _Toc489111553 \h </w:instrText>
            </w:r>
            <w:r w:rsidR="00F555D1" w:rsidRPr="009D1618">
              <w:rPr>
                <w:rFonts w:asciiTheme="majorHAnsi" w:hAnsiTheme="majorHAnsi"/>
                <w:noProof/>
                <w:webHidden/>
                <w:sz w:val="20"/>
                <w:szCs w:val="20"/>
              </w:rPr>
            </w:r>
            <w:r w:rsidR="00F555D1" w:rsidRPr="009D1618">
              <w:rPr>
                <w:rFonts w:asciiTheme="majorHAnsi" w:hAnsiTheme="majorHAnsi"/>
                <w:noProof/>
                <w:webHidden/>
                <w:sz w:val="20"/>
                <w:szCs w:val="20"/>
              </w:rPr>
              <w:fldChar w:fldCharType="separate"/>
            </w:r>
            <w:r w:rsidR="00F555D1" w:rsidRPr="009D1618">
              <w:rPr>
                <w:rFonts w:asciiTheme="majorHAnsi" w:hAnsiTheme="majorHAnsi"/>
                <w:noProof/>
                <w:webHidden/>
                <w:sz w:val="20"/>
                <w:szCs w:val="20"/>
              </w:rPr>
              <w:t>5</w:t>
            </w:r>
            <w:r w:rsidR="00F555D1" w:rsidRPr="009D1618">
              <w:rPr>
                <w:rFonts w:asciiTheme="majorHAnsi" w:hAnsiTheme="majorHAnsi"/>
                <w:noProof/>
                <w:webHidden/>
                <w:sz w:val="20"/>
                <w:szCs w:val="20"/>
              </w:rPr>
              <w:fldChar w:fldCharType="end"/>
            </w:r>
          </w:hyperlink>
        </w:p>
        <w:p w14:paraId="031C1D07" w14:textId="77777777" w:rsidR="00F555D1" w:rsidRPr="009D1618" w:rsidRDefault="00576DDC">
          <w:pPr>
            <w:pStyle w:val="TOC1"/>
            <w:rPr>
              <w:rFonts w:eastAsiaTheme="minorEastAsia" w:cstheme="minorBidi"/>
              <w:b w:val="0"/>
              <w:bdr w:val="none" w:sz="0" w:space="0" w:color="auto"/>
            </w:rPr>
          </w:pPr>
          <w:hyperlink w:anchor="_Toc489111554" w:history="1">
            <w:r w:rsidR="00F555D1" w:rsidRPr="009D1618">
              <w:rPr>
                <w:rStyle w:val="Hyperlink"/>
              </w:rPr>
              <w:t>V.</w:t>
            </w:r>
            <w:r w:rsidR="00F555D1" w:rsidRPr="009D1618">
              <w:rPr>
                <w:rFonts w:eastAsiaTheme="minorEastAsia" w:cstheme="minorBidi"/>
                <w:b w:val="0"/>
                <w:bdr w:val="none" w:sz="0" w:space="0" w:color="auto"/>
              </w:rPr>
              <w:tab/>
            </w:r>
            <w:r w:rsidR="00F555D1" w:rsidRPr="009D1618">
              <w:rPr>
                <w:rStyle w:val="Hyperlink"/>
              </w:rPr>
              <w:t>HECHOS PROBADOS</w:t>
            </w:r>
            <w:r w:rsidR="00F555D1" w:rsidRPr="009D1618">
              <w:rPr>
                <w:webHidden/>
              </w:rPr>
              <w:tab/>
            </w:r>
            <w:r w:rsidR="00F555D1" w:rsidRPr="009D1618">
              <w:rPr>
                <w:webHidden/>
              </w:rPr>
              <w:fldChar w:fldCharType="begin"/>
            </w:r>
            <w:r w:rsidR="00F555D1" w:rsidRPr="009D1618">
              <w:rPr>
                <w:webHidden/>
              </w:rPr>
              <w:instrText xml:space="preserve"> PAGEREF _Toc489111554 \h </w:instrText>
            </w:r>
            <w:r w:rsidR="00F555D1" w:rsidRPr="009D1618">
              <w:rPr>
                <w:webHidden/>
              </w:rPr>
            </w:r>
            <w:r w:rsidR="00F555D1" w:rsidRPr="009D1618">
              <w:rPr>
                <w:webHidden/>
              </w:rPr>
              <w:fldChar w:fldCharType="separate"/>
            </w:r>
            <w:r w:rsidR="00F555D1" w:rsidRPr="009D1618">
              <w:rPr>
                <w:webHidden/>
              </w:rPr>
              <w:t>6</w:t>
            </w:r>
            <w:r w:rsidR="00F555D1" w:rsidRPr="009D1618">
              <w:rPr>
                <w:webHidden/>
              </w:rPr>
              <w:fldChar w:fldCharType="end"/>
            </w:r>
          </w:hyperlink>
        </w:p>
        <w:p w14:paraId="68924B31" w14:textId="77777777" w:rsidR="00F555D1" w:rsidRPr="009D1618" w:rsidRDefault="00576DDC">
          <w:pPr>
            <w:pStyle w:val="TOC2"/>
            <w:rPr>
              <w:rFonts w:eastAsiaTheme="minorEastAsia" w:cstheme="minorBidi"/>
              <w:bdr w:val="none" w:sz="0" w:space="0" w:color="auto"/>
              <w:lang w:val="en-US"/>
            </w:rPr>
          </w:pPr>
          <w:hyperlink w:anchor="_Toc489111555" w:history="1">
            <w:r w:rsidR="00F555D1" w:rsidRPr="009D1618">
              <w:rPr>
                <w:rStyle w:val="Hyperlink"/>
                <w:lang w:val="es-MX"/>
              </w:rPr>
              <w:t>A.</w:t>
            </w:r>
            <w:r w:rsidR="00F555D1" w:rsidRPr="009D1618">
              <w:rPr>
                <w:rFonts w:eastAsiaTheme="minorEastAsia" w:cstheme="minorBidi"/>
                <w:bdr w:val="none" w:sz="0" w:space="0" w:color="auto"/>
                <w:lang w:val="en-US"/>
              </w:rPr>
              <w:tab/>
            </w:r>
            <w:r w:rsidR="00F555D1" w:rsidRPr="009D1618">
              <w:rPr>
                <w:rStyle w:val="Hyperlink"/>
                <w:lang w:val="es-ES"/>
              </w:rPr>
              <w:t>L</w:t>
            </w:r>
            <w:r w:rsidR="00F555D1" w:rsidRPr="009D1618">
              <w:rPr>
                <w:rStyle w:val="Hyperlink"/>
                <w:lang w:val="es-MX"/>
              </w:rPr>
              <w:t>a pena de muerte en Guatemala</w:t>
            </w:r>
            <w:r w:rsidR="00F555D1" w:rsidRPr="009D1618">
              <w:rPr>
                <w:webHidden/>
              </w:rPr>
              <w:tab/>
            </w:r>
            <w:r w:rsidR="00F555D1" w:rsidRPr="009D1618">
              <w:rPr>
                <w:webHidden/>
              </w:rPr>
              <w:fldChar w:fldCharType="begin"/>
            </w:r>
            <w:r w:rsidR="00F555D1" w:rsidRPr="009D1618">
              <w:rPr>
                <w:webHidden/>
              </w:rPr>
              <w:instrText xml:space="preserve"> PAGEREF _Toc489111555 \h </w:instrText>
            </w:r>
            <w:r w:rsidR="00F555D1" w:rsidRPr="009D1618">
              <w:rPr>
                <w:webHidden/>
              </w:rPr>
            </w:r>
            <w:r w:rsidR="00F555D1" w:rsidRPr="009D1618">
              <w:rPr>
                <w:webHidden/>
              </w:rPr>
              <w:fldChar w:fldCharType="separate"/>
            </w:r>
            <w:r w:rsidR="00F555D1" w:rsidRPr="009D1618">
              <w:rPr>
                <w:webHidden/>
              </w:rPr>
              <w:t>6</w:t>
            </w:r>
            <w:r w:rsidR="00F555D1" w:rsidRPr="009D1618">
              <w:rPr>
                <w:webHidden/>
              </w:rPr>
              <w:fldChar w:fldCharType="end"/>
            </w:r>
          </w:hyperlink>
        </w:p>
        <w:p w14:paraId="4F5B7E3D" w14:textId="77777777" w:rsidR="00F555D1" w:rsidRPr="009D1618" w:rsidRDefault="00576DDC">
          <w:pPr>
            <w:pStyle w:val="TOC2"/>
            <w:rPr>
              <w:rFonts w:eastAsiaTheme="minorEastAsia" w:cstheme="minorBidi"/>
              <w:bdr w:val="none" w:sz="0" w:space="0" w:color="auto"/>
              <w:lang w:val="en-US"/>
            </w:rPr>
          </w:pPr>
          <w:hyperlink w:anchor="_Toc489111556" w:history="1">
            <w:r w:rsidR="00F555D1" w:rsidRPr="009D1618">
              <w:rPr>
                <w:rStyle w:val="Hyperlink"/>
                <w:lang w:val="es-MX"/>
              </w:rPr>
              <w:t>B.</w:t>
            </w:r>
            <w:r w:rsidR="00F555D1" w:rsidRPr="009D1618">
              <w:rPr>
                <w:rFonts w:eastAsiaTheme="minorEastAsia" w:cstheme="minorBidi"/>
                <w:bdr w:val="none" w:sz="0" w:space="0" w:color="auto"/>
                <w:lang w:val="en-US"/>
              </w:rPr>
              <w:tab/>
            </w:r>
            <w:r w:rsidR="00F555D1" w:rsidRPr="009D1618">
              <w:rPr>
                <w:rStyle w:val="Hyperlink"/>
                <w:lang w:val="es-MX"/>
              </w:rPr>
              <w:t>El proceso penal adelantado en contra de las presuntas víctimas</w:t>
            </w:r>
            <w:r w:rsidR="00F555D1" w:rsidRPr="009D1618">
              <w:rPr>
                <w:webHidden/>
              </w:rPr>
              <w:tab/>
            </w:r>
            <w:r w:rsidR="00F555D1" w:rsidRPr="009D1618">
              <w:rPr>
                <w:webHidden/>
              </w:rPr>
              <w:fldChar w:fldCharType="begin"/>
            </w:r>
            <w:r w:rsidR="00F555D1" w:rsidRPr="009D1618">
              <w:rPr>
                <w:webHidden/>
              </w:rPr>
              <w:instrText xml:space="preserve"> PAGEREF _Toc489111556 \h </w:instrText>
            </w:r>
            <w:r w:rsidR="00F555D1" w:rsidRPr="009D1618">
              <w:rPr>
                <w:webHidden/>
              </w:rPr>
            </w:r>
            <w:r w:rsidR="00F555D1" w:rsidRPr="009D1618">
              <w:rPr>
                <w:webHidden/>
              </w:rPr>
              <w:fldChar w:fldCharType="separate"/>
            </w:r>
            <w:r w:rsidR="00F555D1" w:rsidRPr="009D1618">
              <w:rPr>
                <w:webHidden/>
              </w:rPr>
              <w:t>10</w:t>
            </w:r>
            <w:r w:rsidR="00F555D1" w:rsidRPr="009D1618">
              <w:rPr>
                <w:webHidden/>
              </w:rPr>
              <w:fldChar w:fldCharType="end"/>
            </w:r>
          </w:hyperlink>
        </w:p>
        <w:p w14:paraId="0406B6D1" w14:textId="77777777" w:rsidR="00F555D1" w:rsidRPr="009D1618" w:rsidRDefault="00576DDC">
          <w:pPr>
            <w:pStyle w:val="TOC1"/>
            <w:rPr>
              <w:rFonts w:eastAsiaTheme="minorEastAsia" w:cstheme="minorBidi"/>
              <w:b w:val="0"/>
              <w:bdr w:val="none" w:sz="0" w:space="0" w:color="auto"/>
            </w:rPr>
          </w:pPr>
          <w:hyperlink w:anchor="_Toc489111557" w:history="1">
            <w:r w:rsidR="00F555D1" w:rsidRPr="009D1618">
              <w:rPr>
                <w:rStyle w:val="Hyperlink"/>
                <w:lang w:val="es-ES"/>
              </w:rPr>
              <w:t>VI.</w:t>
            </w:r>
            <w:r w:rsidR="00F555D1" w:rsidRPr="009D1618">
              <w:rPr>
                <w:rFonts w:eastAsiaTheme="minorEastAsia" w:cstheme="minorBidi"/>
                <w:b w:val="0"/>
                <w:bdr w:val="none" w:sz="0" w:space="0" w:color="auto"/>
              </w:rPr>
              <w:tab/>
            </w:r>
            <w:r w:rsidR="00F555D1" w:rsidRPr="009D1618">
              <w:rPr>
                <w:rStyle w:val="Hyperlink"/>
              </w:rPr>
              <w:t>ANALISIS DE DERECHO</w:t>
            </w:r>
            <w:r w:rsidR="00F555D1" w:rsidRPr="009D1618">
              <w:rPr>
                <w:webHidden/>
              </w:rPr>
              <w:tab/>
            </w:r>
            <w:r w:rsidR="00F555D1" w:rsidRPr="009D1618">
              <w:rPr>
                <w:webHidden/>
              </w:rPr>
              <w:fldChar w:fldCharType="begin"/>
            </w:r>
            <w:r w:rsidR="00F555D1" w:rsidRPr="009D1618">
              <w:rPr>
                <w:webHidden/>
              </w:rPr>
              <w:instrText xml:space="preserve"> PAGEREF _Toc489111557 \h </w:instrText>
            </w:r>
            <w:r w:rsidR="00F555D1" w:rsidRPr="009D1618">
              <w:rPr>
                <w:webHidden/>
              </w:rPr>
            </w:r>
            <w:r w:rsidR="00F555D1" w:rsidRPr="009D1618">
              <w:rPr>
                <w:webHidden/>
              </w:rPr>
              <w:fldChar w:fldCharType="separate"/>
            </w:r>
            <w:r w:rsidR="00F555D1" w:rsidRPr="009D1618">
              <w:rPr>
                <w:webHidden/>
              </w:rPr>
              <w:t>18</w:t>
            </w:r>
            <w:r w:rsidR="00F555D1" w:rsidRPr="009D1618">
              <w:rPr>
                <w:webHidden/>
              </w:rPr>
              <w:fldChar w:fldCharType="end"/>
            </w:r>
          </w:hyperlink>
        </w:p>
        <w:p w14:paraId="10A01C70" w14:textId="77777777" w:rsidR="00F555D1" w:rsidRPr="009D1618" w:rsidRDefault="00576DDC">
          <w:pPr>
            <w:pStyle w:val="TOC2"/>
            <w:rPr>
              <w:rFonts w:eastAsiaTheme="minorEastAsia" w:cstheme="minorBidi"/>
              <w:bdr w:val="none" w:sz="0" w:space="0" w:color="auto"/>
              <w:lang w:val="en-US"/>
            </w:rPr>
          </w:pPr>
          <w:hyperlink w:anchor="_Toc489111558" w:history="1">
            <w:r w:rsidR="00F555D1" w:rsidRPr="009D1618">
              <w:rPr>
                <w:rStyle w:val="Hyperlink"/>
              </w:rPr>
              <w:t>A.</w:t>
            </w:r>
            <w:r w:rsidR="00F555D1" w:rsidRPr="009D1618">
              <w:rPr>
                <w:rFonts w:eastAsiaTheme="minorEastAsia" w:cstheme="minorBidi"/>
                <w:bdr w:val="none" w:sz="0" w:space="0" w:color="auto"/>
                <w:lang w:val="en-US"/>
              </w:rPr>
              <w:tab/>
            </w:r>
            <w:r w:rsidR="00F555D1" w:rsidRPr="009D1618">
              <w:rPr>
                <w:rStyle w:val="Hyperlink"/>
              </w:rPr>
              <w:t xml:space="preserve">Consideraciones generales sobre el estándar de análisis en </w:t>
            </w:r>
            <w:r w:rsidR="00F555D1" w:rsidRPr="009D1618">
              <w:rPr>
                <w:rStyle w:val="Hyperlink"/>
                <w:lang w:val="es-DO"/>
              </w:rPr>
              <w:t>casos</w:t>
            </w:r>
            <w:r w:rsidR="00F555D1" w:rsidRPr="009D1618">
              <w:rPr>
                <w:rStyle w:val="Hyperlink"/>
              </w:rPr>
              <w:t xml:space="preserve"> de pena de muerte</w:t>
            </w:r>
            <w:r w:rsidR="00F555D1" w:rsidRPr="009D1618">
              <w:rPr>
                <w:webHidden/>
              </w:rPr>
              <w:tab/>
            </w:r>
            <w:r w:rsidR="00F555D1" w:rsidRPr="009D1618">
              <w:rPr>
                <w:webHidden/>
              </w:rPr>
              <w:fldChar w:fldCharType="begin"/>
            </w:r>
            <w:r w:rsidR="00F555D1" w:rsidRPr="009D1618">
              <w:rPr>
                <w:webHidden/>
              </w:rPr>
              <w:instrText xml:space="preserve"> PAGEREF _Toc489111558 \h </w:instrText>
            </w:r>
            <w:r w:rsidR="00F555D1" w:rsidRPr="009D1618">
              <w:rPr>
                <w:webHidden/>
              </w:rPr>
            </w:r>
            <w:r w:rsidR="00F555D1" w:rsidRPr="009D1618">
              <w:rPr>
                <w:webHidden/>
              </w:rPr>
              <w:fldChar w:fldCharType="separate"/>
            </w:r>
            <w:r w:rsidR="00F555D1" w:rsidRPr="009D1618">
              <w:rPr>
                <w:webHidden/>
              </w:rPr>
              <w:t>18</w:t>
            </w:r>
            <w:r w:rsidR="00F555D1" w:rsidRPr="009D1618">
              <w:rPr>
                <w:webHidden/>
              </w:rPr>
              <w:fldChar w:fldCharType="end"/>
            </w:r>
          </w:hyperlink>
        </w:p>
        <w:p w14:paraId="696FA41D" w14:textId="77777777" w:rsidR="00F555D1" w:rsidRPr="009D1618" w:rsidRDefault="00576DDC">
          <w:pPr>
            <w:pStyle w:val="TOC2"/>
            <w:rPr>
              <w:rFonts w:eastAsiaTheme="minorEastAsia" w:cstheme="minorBidi"/>
              <w:bdr w:val="none" w:sz="0" w:space="0" w:color="auto"/>
              <w:lang w:val="en-US"/>
            </w:rPr>
          </w:pPr>
          <w:hyperlink w:anchor="_Toc489111559" w:history="1">
            <w:r w:rsidR="00F555D1" w:rsidRPr="009D1618">
              <w:rPr>
                <w:rStyle w:val="Hyperlink"/>
                <w:lang w:val="es-VE"/>
              </w:rPr>
              <w:t>B.</w:t>
            </w:r>
            <w:r w:rsidR="00F555D1" w:rsidRPr="009D1618">
              <w:rPr>
                <w:rFonts w:eastAsiaTheme="minorEastAsia" w:cstheme="minorBidi"/>
                <w:bdr w:val="none" w:sz="0" w:space="0" w:color="auto"/>
                <w:lang w:val="en-US"/>
              </w:rPr>
              <w:tab/>
            </w:r>
            <w:r w:rsidR="00F555D1" w:rsidRPr="009D1618">
              <w:rPr>
                <w:rStyle w:val="Hyperlink"/>
                <w:lang w:val="es-ES"/>
              </w:rPr>
              <w:t>Derechos a las garantías judiciales, protección judicial y principio de legalidad</w:t>
            </w:r>
            <w:r w:rsidR="00F555D1" w:rsidRPr="009D1618">
              <w:rPr>
                <w:webHidden/>
              </w:rPr>
              <w:tab/>
            </w:r>
            <w:r w:rsidR="00F555D1" w:rsidRPr="009D1618">
              <w:rPr>
                <w:webHidden/>
              </w:rPr>
              <w:fldChar w:fldCharType="begin"/>
            </w:r>
            <w:r w:rsidR="00F555D1" w:rsidRPr="009D1618">
              <w:rPr>
                <w:webHidden/>
              </w:rPr>
              <w:instrText xml:space="preserve"> PAGEREF _Toc489111559 \h </w:instrText>
            </w:r>
            <w:r w:rsidR="00F555D1" w:rsidRPr="009D1618">
              <w:rPr>
                <w:webHidden/>
              </w:rPr>
            </w:r>
            <w:r w:rsidR="00F555D1" w:rsidRPr="009D1618">
              <w:rPr>
                <w:webHidden/>
              </w:rPr>
              <w:fldChar w:fldCharType="separate"/>
            </w:r>
            <w:r w:rsidR="00F555D1" w:rsidRPr="009D1618">
              <w:rPr>
                <w:webHidden/>
              </w:rPr>
              <w:t>19</w:t>
            </w:r>
            <w:r w:rsidR="00F555D1" w:rsidRPr="009D1618">
              <w:rPr>
                <w:webHidden/>
              </w:rPr>
              <w:fldChar w:fldCharType="end"/>
            </w:r>
          </w:hyperlink>
        </w:p>
        <w:p w14:paraId="7AF7EBE9" w14:textId="77777777" w:rsidR="00F555D1" w:rsidRPr="009D1618" w:rsidRDefault="00576DDC">
          <w:pPr>
            <w:pStyle w:val="TOC2"/>
            <w:rPr>
              <w:rFonts w:eastAsiaTheme="minorEastAsia" w:cstheme="minorBidi"/>
              <w:bdr w:val="none" w:sz="0" w:space="0" w:color="auto"/>
              <w:lang w:val="en-US"/>
            </w:rPr>
          </w:pPr>
          <w:hyperlink w:anchor="_Toc489111560" w:history="1">
            <w:r w:rsidR="00F555D1" w:rsidRPr="009D1618">
              <w:rPr>
                <w:rStyle w:val="Hyperlink"/>
              </w:rPr>
              <w:t>C.</w:t>
            </w:r>
            <w:r w:rsidR="00F555D1" w:rsidRPr="009D1618">
              <w:rPr>
                <w:rFonts w:eastAsiaTheme="minorEastAsia" w:cstheme="minorBidi"/>
                <w:bdr w:val="none" w:sz="0" w:space="0" w:color="auto"/>
                <w:lang w:val="en-US"/>
              </w:rPr>
              <w:tab/>
            </w:r>
            <w:r w:rsidR="00F555D1" w:rsidRPr="009D1618">
              <w:rPr>
                <w:rStyle w:val="Hyperlink"/>
              </w:rPr>
              <w:t>Derecho a la integridad personal con respecto al fenómeno del “corredor de la muerte” y disposiciones relevantes de la CIPST</w:t>
            </w:r>
            <w:r w:rsidR="00F555D1" w:rsidRPr="009D1618">
              <w:rPr>
                <w:webHidden/>
              </w:rPr>
              <w:tab/>
            </w:r>
            <w:r w:rsidR="00F555D1" w:rsidRPr="009D1618">
              <w:rPr>
                <w:webHidden/>
              </w:rPr>
              <w:fldChar w:fldCharType="begin"/>
            </w:r>
            <w:r w:rsidR="00F555D1" w:rsidRPr="009D1618">
              <w:rPr>
                <w:webHidden/>
              </w:rPr>
              <w:instrText xml:space="preserve"> PAGEREF _Toc489111560 \h </w:instrText>
            </w:r>
            <w:r w:rsidR="00F555D1" w:rsidRPr="009D1618">
              <w:rPr>
                <w:webHidden/>
              </w:rPr>
            </w:r>
            <w:r w:rsidR="00F555D1" w:rsidRPr="009D1618">
              <w:rPr>
                <w:webHidden/>
              </w:rPr>
              <w:fldChar w:fldCharType="separate"/>
            </w:r>
            <w:r w:rsidR="00F555D1" w:rsidRPr="009D1618">
              <w:rPr>
                <w:webHidden/>
              </w:rPr>
              <w:t>26</w:t>
            </w:r>
            <w:r w:rsidR="00F555D1" w:rsidRPr="009D1618">
              <w:rPr>
                <w:webHidden/>
              </w:rPr>
              <w:fldChar w:fldCharType="end"/>
            </w:r>
          </w:hyperlink>
        </w:p>
        <w:p w14:paraId="142241C2" w14:textId="77777777" w:rsidR="00F555D1" w:rsidRPr="009D1618" w:rsidRDefault="00576DDC">
          <w:pPr>
            <w:pStyle w:val="TOC2"/>
            <w:rPr>
              <w:rFonts w:eastAsiaTheme="minorEastAsia" w:cstheme="minorBidi"/>
              <w:bdr w:val="none" w:sz="0" w:space="0" w:color="auto"/>
              <w:lang w:val="en-US"/>
            </w:rPr>
          </w:pPr>
          <w:hyperlink w:anchor="_Toc489111561" w:history="1">
            <w:r w:rsidR="00F555D1" w:rsidRPr="009D1618">
              <w:rPr>
                <w:rStyle w:val="Hyperlink"/>
              </w:rPr>
              <w:t>D.</w:t>
            </w:r>
            <w:r w:rsidR="00F555D1" w:rsidRPr="009D1618">
              <w:rPr>
                <w:rFonts w:eastAsiaTheme="minorEastAsia" w:cstheme="minorBidi"/>
                <w:bdr w:val="none" w:sz="0" w:space="0" w:color="auto"/>
                <w:lang w:val="en-US"/>
              </w:rPr>
              <w:tab/>
            </w:r>
            <w:r w:rsidR="00F555D1" w:rsidRPr="009D1618">
              <w:rPr>
                <w:rStyle w:val="Hyperlink"/>
              </w:rPr>
              <w:t>Derecho a la vida por la imposición de la pena de muerte</w:t>
            </w:r>
            <w:r w:rsidR="00F555D1" w:rsidRPr="009D1618">
              <w:rPr>
                <w:webHidden/>
              </w:rPr>
              <w:tab/>
            </w:r>
            <w:r w:rsidR="00F555D1" w:rsidRPr="009D1618">
              <w:rPr>
                <w:webHidden/>
              </w:rPr>
              <w:fldChar w:fldCharType="begin"/>
            </w:r>
            <w:r w:rsidR="00F555D1" w:rsidRPr="009D1618">
              <w:rPr>
                <w:webHidden/>
              </w:rPr>
              <w:instrText xml:space="preserve"> PAGEREF _Toc489111561 \h </w:instrText>
            </w:r>
            <w:r w:rsidR="00F555D1" w:rsidRPr="009D1618">
              <w:rPr>
                <w:webHidden/>
              </w:rPr>
            </w:r>
            <w:r w:rsidR="00F555D1" w:rsidRPr="009D1618">
              <w:rPr>
                <w:webHidden/>
              </w:rPr>
              <w:fldChar w:fldCharType="separate"/>
            </w:r>
            <w:r w:rsidR="00F555D1" w:rsidRPr="009D1618">
              <w:rPr>
                <w:webHidden/>
              </w:rPr>
              <w:t>29</w:t>
            </w:r>
            <w:r w:rsidR="00F555D1" w:rsidRPr="009D1618">
              <w:rPr>
                <w:webHidden/>
              </w:rPr>
              <w:fldChar w:fldCharType="end"/>
            </w:r>
          </w:hyperlink>
        </w:p>
        <w:p w14:paraId="0141698D" w14:textId="77777777" w:rsidR="00F555D1" w:rsidRPr="009D1618" w:rsidRDefault="00576DDC">
          <w:pPr>
            <w:pStyle w:val="TOC1"/>
            <w:rPr>
              <w:rFonts w:eastAsiaTheme="minorEastAsia" w:cstheme="minorBidi"/>
              <w:b w:val="0"/>
              <w:bdr w:val="none" w:sz="0" w:space="0" w:color="auto"/>
            </w:rPr>
          </w:pPr>
          <w:hyperlink w:anchor="_Toc489111562" w:history="1">
            <w:r w:rsidR="00F555D1" w:rsidRPr="009D1618">
              <w:rPr>
                <w:rStyle w:val="Hyperlink"/>
              </w:rPr>
              <w:t>VII.</w:t>
            </w:r>
            <w:r w:rsidR="00F555D1" w:rsidRPr="009D1618">
              <w:rPr>
                <w:rFonts w:eastAsiaTheme="minorEastAsia" w:cstheme="minorBidi"/>
                <w:b w:val="0"/>
                <w:bdr w:val="none" w:sz="0" w:space="0" w:color="auto"/>
              </w:rPr>
              <w:tab/>
            </w:r>
            <w:r w:rsidR="00F555D1" w:rsidRPr="009D1618">
              <w:rPr>
                <w:rStyle w:val="Hyperlink"/>
              </w:rPr>
              <w:t>CONCLUSIONES</w:t>
            </w:r>
            <w:r w:rsidR="00F555D1" w:rsidRPr="009D1618">
              <w:rPr>
                <w:webHidden/>
              </w:rPr>
              <w:tab/>
            </w:r>
            <w:r w:rsidR="00F555D1" w:rsidRPr="009D1618">
              <w:rPr>
                <w:webHidden/>
              </w:rPr>
              <w:fldChar w:fldCharType="begin"/>
            </w:r>
            <w:r w:rsidR="00F555D1" w:rsidRPr="009D1618">
              <w:rPr>
                <w:webHidden/>
              </w:rPr>
              <w:instrText xml:space="preserve"> PAGEREF _Toc489111562 \h </w:instrText>
            </w:r>
            <w:r w:rsidR="00F555D1" w:rsidRPr="009D1618">
              <w:rPr>
                <w:webHidden/>
              </w:rPr>
            </w:r>
            <w:r w:rsidR="00F555D1" w:rsidRPr="009D1618">
              <w:rPr>
                <w:webHidden/>
              </w:rPr>
              <w:fldChar w:fldCharType="separate"/>
            </w:r>
            <w:r w:rsidR="00F555D1" w:rsidRPr="009D1618">
              <w:rPr>
                <w:webHidden/>
              </w:rPr>
              <w:t>29</w:t>
            </w:r>
            <w:r w:rsidR="00F555D1" w:rsidRPr="009D1618">
              <w:rPr>
                <w:webHidden/>
              </w:rPr>
              <w:fldChar w:fldCharType="end"/>
            </w:r>
          </w:hyperlink>
        </w:p>
        <w:p w14:paraId="457AF0EF" w14:textId="77777777" w:rsidR="00F555D1" w:rsidRPr="009D1618" w:rsidRDefault="00576DDC">
          <w:pPr>
            <w:pStyle w:val="TOC1"/>
            <w:rPr>
              <w:rFonts w:eastAsiaTheme="minorEastAsia" w:cstheme="minorBidi"/>
              <w:b w:val="0"/>
              <w:bdr w:val="none" w:sz="0" w:space="0" w:color="auto"/>
            </w:rPr>
          </w:pPr>
          <w:hyperlink w:anchor="_Toc489111563" w:history="1">
            <w:r w:rsidR="00F555D1" w:rsidRPr="009D1618">
              <w:rPr>
                <w:rStyle w:val="Hyperlink"/>
              </w:rPr>
              <w:t>VIII.</w:t>
            </w:r>
            <w:r w:rsidR="00F555D1" w:rsidRPr="009D1618">
              <w:rPr>
                <w:rFonts w:eastAsiaTheme="minorEastAsia" w:cstheme="minorBidi"/>
                <w:b w:val="0"/>
                <w:bdr w:val="none" w:sz="0" w:space="0" w:color="auto"/>
              </w:rPr>
              <w:tab/>
            </w:r>
            <w:r w:rsidR="00F555D1" w:rsidRPr="009D1618">
              <w:rPr>
                <w:rStyle w:val="Hyperlink"/>
              </w:rPr>
              <w:t>RECOMENDACIONES</w:t>
            </w:r>
            <w:r w:rsidR="00F555D1" w:rsidRPr="009D1618">
              <w:rPr>
                <w:webHidden/>
              </w:rPr>
              <w:tab/>
            </w:r>
            <w:r w:rsidR="00F555D1" w:rsidRPr="009D1618">
              <w:rPr>
                <w:webHidden/>
              </w:rPr>
              <w:fldChar w:fldCharType="begin"/>
            </w:r>
            <w:r w:rsidR="00F555D1" w:rsidRPr="009D1618">
              <w:rPr>
                <w:webHidden/>
              </w:rPr>
              <w:instrText xml:space="preserve"> PAGEREF _Toc489111563 \h </w:instrText>
            </w:r>
            <w:r w:rsidR="00F555D1" w:rsidRPr="009D1618">
              <w:rPr>
                <w:webHidden/>
              </w:rPr>
            </w:r>
            <w:r w:rsidR="00F555D1" w:rsidRPr="009D1618">
              <w:rPr>
                <w:webHidden/>
              </w:rPr>
              <w:fldChar w:fldCharType="separate"/>
            </w:r>
            <w:r w:rsidR="00F555D1" w:rsidRPr="009D1618">
              <w:rPr>
                <w:webHidden/>
              </w:rPr>
              <w:t>29</w:t>
            </w:r>
            <w:r w:rsidR="00F555D1" w:rsidRPr="009D1618">
              <w:rPr>
                <w:webHidden/>
              </w:rPr>
              <w:fldChar w:fldCharType="end"/>
            </w:r>
          </w:hyperlink>
        </w:p>
        <w:p w14:paraId="1879C8D6" w14:textId="77777777" w:rsidR="00D7406F" w:rsidRPr="009D1618" w:rsidRDefault="00D7406F">
          <w:pPr>
            <w:rPr>
              <w:rFonts w:ascii="Cambria" w:hAnsi="Cambria"/>
              <w:sz w:val="20"/>
              <w:szCs w:val="20"/>
            </w:rPr>
          </w:pPr>
          <w:r w:rsidRPr="009D1618">
            <w:rPr>
              <w:rFonts w:ascii="Cambria" w:hAnsi="Cambria"/>
              <w:b/>
              <w:bCs/>
              <w:noProof/>
              <w:sz w:val="20"/>
              <w:szCs w:val="20"/>
            </w:rPr>
            <w:fldChar w:fldCharType="end"/>
          </w:r>
        </w:p>
      </w:sdtContent>
    </w:sdt>
    <w:p w14:paraId="131A67AD" w14:textId="77777777" w:rsidR="000808DA" w:rsidRPr="009D1618" w:rsidRDefault="000808DA" w:rsidP="00C12DEE">
      <w:pPr>
        <w:rPr>
          <w:rFonts w:ascii="Cambria" w:hAnsi="Cambria"/>
          <w:sz w:val="20"/>
          <w:szCs w:val="20"/>
          <w:lang w:val="es-VE"/>
        </w:rPr>
      </w:pPr>
    </w:p>
    <w:p w14:paraId="77081895"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0CA409F0"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0C1DEEC5"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735D9FFB"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69CF44A9"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4F89F790"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7AEB25ED"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2A1AF467" w14:textId="77777777" w:rsidR="000F3FA8" w:rsidRPr="009D1618" w:rsidRDefault="000F3FA8"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CO"/>
        </w:rPr>
      </w:pPr>
    </w:p>
    <w:p w14:paraId="671EDE45" w14:textId="01D68CE4" w:rsidR="004B316C" w:rsidRPr="009D1618" w:rsidRDefault="001D6D41"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Pr>
          <w:rFonts w:ascii="Cambria" w:eastAsia="Times New Roman" w:hAnsi="Cambria"/>
          <w:b/>
          <w:sz w:val="20"/>
          <w:szCs w:val="20"/>
          <w:bdr w:val="none" w:sz="0" w:space="0" w:color="auto"/>
          <w:lang w:val="es-CO"/>
        </w:rPr>
        <w:t>INFORME Nº</w:t>
      </w:r>
      <w:r w:rsidR="00B06C1C" w:rsidRPr="009D1618">
        <w:rPr>
          <w:rFonts w:ascii="Cambria" w:eastAsia="Times New Roman" w:hAnsi="Cambria"/>
          <w:b/>
          <w:sz w:val="20"/>
          <w:szCs w:val="20"/>
          <w:bdr w:val="none" w:sz="0" w:space="0" w:color="auto"/>
          <w:lang w:val="es-CO"/>
        </w:rPr>
        <w:t xml:space="preserve"> </w:t>
      </w:r>
      <w:r w:rsidR="00F0062D">
        <w:rPr>
          <w:rFonts w:ascii="Cambria" w:eastAsia="Times New Roman" w:hAnsi="Cambria"/>
          <w:b/>
          <w:sz w:val="20"/>
          <w:szCs w:val="20"/>
          <w:bdr w:val="none" w:sz="0" w:space="0" w:color="auto"/>
          <w:lang w:val="es-ES_tradnl"/>
        </w:rPr>
        <w:t>99</w:t>
      </w:r>
      <w:r w:rsidR="000A23C0" w:rsidRPr="009D1618">
        <w:rPr>
          <w:rFonts w:ascii="Cambria" w:eastAsia="Times New Roman" w:hAnsi="Cambria"/>
          <w:b/>
          <w:sz w:val="20"/>
          <w:szCs w:val="20"/>
          <w:bdr w:val="none" w:sz="0" w:space="0" w:color="auto"/>
          <w:lang w:val="es-ES_tradnl"/>
        </w:rPr>
        <w:t>/17</w:t>
      </w:r>
    </w:p>
    <w:p w14:paraId="2641E884" w14:textId="3AA3D6DB" w:rsidR="004B316C" w:rsidRPr="009D1618" w:rsidRDefault="000808DA"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b/>
          <w:sz w:val="20"/>
          <w:szCs w:val="20"/>
          <w:bdr w:val="none" w:sz="0" w:space="0" w:color="auto"/>
          <w:lang w:val="es-ES_tradnl"/>
        </w:rPr>
      </w:pPr>
      <w:r w:rsidRPr="009D1618">
        <w:rPr>
          <w:rFonts w:ascii="Cambria" w:eastAsia="Times New Roman" w:hAnsi="Cambria"/>
          <w:b/>
          <w:sz w:val="20"/>
          <w:szCs w:val="20"/>
          <w:bdr w:val="none" w:sz="0" w:space="0" w:color="auto"/>
          <w:lang w:val="es-ES_tradnl"/>
        </w:rPr>
        <w:t xml:space="preserve">CASO </w:t>
      </w:r>
      <w:r w:rsidR="001D6D41">
        <w:rPr>
          <w:rFonts w:ascii="Cambria" w:eastAsia="Times New Roman" w:hAnsi="Cambria"/>
          <w:b/>
          <w:sz w:val="20"/>
          <w:szCs w:val="20"/>
          <w:bdr w:val="none" w:sz="0" w:space="0" w:color="auto"/>
          <w:lang w:val="es-ES_tradnl"/>
        </w:rPr>
        <w:t xml:space="preserve">Nº </w:t>
      </w:r>
      <w:r w:rsidRPr="009D1618">
        <w:rPr>
          <w:rFonts w:ascii="Cambria" w:eastAsia="Times New Roman" w:hAnsi="Cambria"/>
          <w:b/>
          <w:sz w:val="20"/>
          <w:szCs w:val="20"/>
          <w:bdr w:val="none" w:sz="0" w:space="0" w:color="auto"/>
          <w:lang w:val="es-ES_tradnl"/>
        </w:rPr>
        <w:t>11.782</w:t>
      </w:r>
    </w:p>
    <w:p w14:paraId="4981D590" w14:textId="77777777" w:rsidR="004B316C" w:rsidRPr="009D1618" w:rsidRDefault="00FB739A"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 xml:space="preserve">ADMISIBILIDAD Y </w:t>
      </w:r>
      <w:r w:rsidR="004B316C" w:rsidRPr="009D1618">
        <w:rPr>
          <w:rFonts w:ascii="Cambria" w:eastAsia="Times New Roman" w:hAnsi="Cambria"/>
          <w:sz w:val="20"/>
          <w:szCs w:val="20"/>
          <w:bdr w:val="none" w:sz="0" w:space="0" w:color="auto"/>
          <w:lang w:val="es-ES_tradnl"/>
        </w:rPr>
        <w:t>FONDO</w:t>
      </w:r>
    </w:p>
    <w:p w14:paraId="14EAC557" w14:textId="77777777" w:rsidR="000808DA" w:rsidRPr="009D1618" w:rsidRDefault="009D0D3A" w:rsidP="000808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 xml:space="preserve">MIGUEL </w:t>
      </w:r>
      <w:r w:rsidR="000808DA" w:rsidRPr="009D1618">
        <w:rPr>
          <w:rFonts w:ascii="Cambria" w:eastAsia="Times New Roman" w:hAnsi="Cambria"/>
          <w:sz w:val="20"/>
          <w:szCs w:val="20"/>
          <w:bdr w:val="none" w:sz="0" w:space="0" w:color="auto"/>
          <w:lang w:val="es-ES_tradnl"/>
        </w:rPr>
        <w:t xml:space="preserve">ÁNGEL RODRÍGUEZ REVOLORIO, MIGUEL ÁNGEL LÓPEZ CALO, </w:t>
      </w:r>
    </w:p>
    <w:p w14:paraId="0DA14DC9" w14:textId="77777777" w:rsidR="000808DA" w:rsidRPr="009D1618" w:rsidRDefault="000808DA" w:rsidP="000808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 xml:space="preserve">Y ANÍBAL ARCHILA PÉREZ </w:t>
      </w:r>
    </w:p>
    <w:p w14:paraId="0031CDD3" w14:textId="77777777" w:rsidR="00B06C1C" w:rsidRPr="009D1618" w:rsidRDefault="00B06E1C" w:rsidP="00E24E6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sidRPr="009D1618">
        <w:rPr>
          <w:rFonts w:ascii="Cambria" w:eastAsia="Times New Roman" w:hAnsi="Cambria"/>
          <w:sz w:val="20"/>
          <w:szCs w:val="20"/>
          <w:bdr w:val="none" w:sz="0" w:space="0" w:color="auto"/>
          <w:lang w:val="es-ES_tradnl"/>
        </w:rPr>
        <w:t>GUATEMALA</w:t>
      </w:r>
    </w:p>
    <w:p w14:paraId="11B1B4CD" w14:textId="5EB85DD3" w:rsidR="004B316C" w:rsidRPr="009D1618" w:rsidRDefault="00F0062D" w:rsidP="00B3309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sz w:val="20"/>
          <w:szCs w:val="20"/>
          <w:bdr w:val="none" w:sz="0" w:space="0" w:color="auto"/>
          <w:lang w:val="es-ES_tradnl"/>
        </w:rPr>
      </w:pPr>
      <w:r>
        <w:rPr>
          <w:rFonts w:ascii="Cambria" w:eastAsia="Times New Roman" w:hAnsi="Cambria"/>
          <w:sz w:val="20"/>
          <w:szCs w:val="20"/>
          <w:bdr w:val="none" w:sz="0" w:space="0" w:color="auto"/>
          <w:lang w:val="es-ES_tradnl"/>
        </w:rPr>
        <w:t>5</w:t>
      </w:r>
      <w:r w:rsidR="00B5326D" w:rsidRPr="009D1618">
        <w:rPr>
          <w:rFonts w:ascii="Cambria" w:eastAsia="Times New Roman" w:hAnsi="Cambria"/>
          <w:sz w:val="20"/>
          <w:szCs w:val="20"/>
          <w:bdr w:val="none" w:sz="0" w:space="0" w:color="auto"/>
          <w:lang w:val="es-ES_tradnl"/>
        </w:rPr>
        <w:t xml:space="preserve"> DE </w:t>
      </w:r>
      <w:r>
        <w:rPr>
          <w:rFonts w:ascii="Cambria" w:eastAsia="Times New Roman" w:hAnsi="Cambria"/>
          <w:sz w:val="20"/>
          <w:szCs w:val="20"/>
          <w:bdr w:val="none" w:sz="0" w:space="0" w:color="auto"/>
          <w:lang w:val="es-ES_tradnl"/>
        </w:rPr>
        <w:t>SEPTIEMBRE</w:t>
      </w:r>
      <w:r w:rsidR="000A23C0" w:rsidRPr="009D1618">
        <w:rPr>
          <w:rFonts w:ascii="Cambria" w:eastAsia="Times New Roman" w:hAnsi="Cambria"/>
          <w:sz w:val="20"/>
          <w:szCs w:val="20"/>
          <w:bdr w:val="none" w:sz="0" w:space="0" w:color="auto"/>
          <w:lang w:val="es-ES_tradnl"/>
        </w:rPr>
        <w:t xml:space="preserve"> DE 2017</w:t>
      </w:r>
    </w:p>
    <w:p w14:paraId="6971E933" w14:textId="77777777" w:rsidR="004B316C" w:rsidRPr="009D1618" w:rsidRDefault="004B316C" w:rsidP="004B31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lang w:val="es-ES_tradnl"/>
        </w:rPr>
      </w:pPr>
    </w:p>
    <w:p w14:paraId="520C31BC" w14:textId="77777777" w:rsidR="000F536B" w:rsidRPr="009D1618" w:rsidRDefault="00E40449" w:rsidP="0067281D">
      <w:pPr>
        <w:pStyle w:val="Heading1"/>
        <w:numPr>
          <w:ilvl w:val="0"/>
          <w:numId w:val="55"/>
        </w:numPr>
        <w:tabs>
          <w:tab w:val="clear" w:pos="1440"/>
          <w:tab w:val="left" w:pos="4050"/>
        </w:tabs>
        <w:rPr>
          <w:rFonts w:ascii="Cambria" w:hAnsi="Cambria"/>
        </w:rPr>
      </w:pPr>
      <w:bookmarkStart w:id="2" w:name="_Toc370840743"/>
      <w:bookmarkStart w:id="3" w:name="_Toc370840839"/>
      <w:bookmarkStart w:id="4" w:name="_Toc423514405"/>
      <w:bookmarkStart w:id="5" w:name="_Toc433115981"/>
      <w:bookmarkStart w:id="6" w:name="_Toc444958124"/>
      <w:bookmarkStart w:id="7" w:name="_Toc475546035"/>
      <w:bookmarkStart w:id="8" w:name="_Toc489111542"/>
      <w:r w:rsidRPr="009D1618">
        <w:rPr>
          <w:rFonts w:ascii="Cambria" w:hAnsi="Cambria"/>
        </w:rPr>
        <w:t>RESUMEN</w:t>
      </w:r>
      <w:bookmarkEnd w:id="2"/>
      <w:bookmarkEnd w:id="3"/>
      <w:bookmarkEnd w:id="4"/>
      <w:bookmarkEnd w:id="5"/>
      <w:bookmarkEnd w:id="6"/>
      <w:bookmarkEnd w:id="7"/>
      <w:bookmarkEnd w:id="8"/>
    </w:p>
    <w:p w14:paraId="38DCCE0B" w14:textId="77777777" w:rsidR="000F536B" w:rsidRPr="009D1618" w:rsidRDefault="000F536B" w:rsidP="000F536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lang w:val="es-VE"/>
        </w:rPr>
      </w:pPr>
    </w:p>
    <w:p w14:paraId="09D9402F" w14:textId="77777777" w:rsidR="00430667" w:rsidRPr="009D1618" w:rsidRDefault="000F4BEA" w:rsidP="00CC3B7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Arial"/>
          <w:sz w:val="20"/>
          <w:szCs w:val="20"/>
          <w:lang w:val="es-ES"/>
        </w:rPr>
      </w:pPr>
      <w:r w:rsidRPr="009D1618">
        <w:rPr>
          <w:rFonts w:ascii="Cambria" w:hAnsi="Cambria" w:cs="Arial"/>
          <w:sz w:val="20"/>
          <w:szCs w:val="20"/>
          <w:lang w:val="es-ES"/>
        </w:rPr>
        <w:t>E</w:t>
      </w:r>
      <w:r w:rsidR="005400F2" w:rsidRPr="009D1618">
        <w:rPr>
          <w:rFonts w:ascii="Cambria" w:hAnsi="Cambria" w:cs="Arial"/>
          <w:sz w:val="20"/>
          <w:szCs w:val="20"/>
          <w:lang w:val="es-ES"/>
        </w:rPr>
        <w:t>l 17 de julio y 11 de agosto de 1997</w:t>
      </w:r>
      <w:r w:rsidR="005400F2" w:rsidRPr="009D1618">
        <w:rPr>
          <w:rStyle w:val="FootnoteReference"/>
          <w:rFonts w:ascii="Cambria" w:hAnsi="Cambria" w:cs="Arial"/>
          <w:sz w:val="20"/>
          <w:szCs w:val="20"/>
          <w:lang w:val="es-ES"/>
        </w:rPr>
        <w:footnoteReference w:id="2"/>
      </w:r>
      <w:r w:rsidR="005400F2" w:rsidRPr="009D1618">
        <w:rPr>
          <w:rFonts w:ascii="Cambria" w:hAnsi="Cambria" w:cs="Arial"/>
          <w:sz w:val="20"/>
          <w:szCs w:val="20"/>
          <w:lang w:val="es-ES"/>
        </w:rPr>
        <w:t xml:space="preserve">, </w:t>
      </w:r>
      <w:r w:rsidR="005E21D4" w:rsidRPr="009D1618">
        <w:rPr>
          <w:rFonts w:ascii="Cambria" w:hAnsi="Cambria" w:cs="Arial"/>
          <w:sz w:val="20"/>
          <w:szCs w:val="20"/>
          <w:lang w:val="es-ES"/>
        </w:rPr>
        <w:t>la Comisión Interamericana de Derechos Humanos (en adelante “la Comisión”</w:t>
      </w:r>
      <w:r w:rsidR="0046192F" w:rsidRPr="009D1618">
        <w:rPr>
          <w:rFonts w:ascii="Cambria" w:hAnsi="Cambria" w:cs="Arial"/>
          <w:sz w:val="20"/>
          <w:szCs w:val="20"/>
          <w:lang w:val="es-ES"/>
        </w:rPr>
        <w:t>, “la Comisión Interamericana”</w:t>
      </w:r>
      <w:r w:rsidR="005E21D4" w:rsidRPr="009D1618">
        <w:rPr>
          <w:rFonts w:ascii="Cambria" w:hAnsi="Cambria" w:cs="Arial"/>
          <w:sz w:val="20"/>
          <w:szCs w:val="20"/>
          <w:lang w:val="es-ES"/>
        </w:rPr>
        <w:t xml:space="preserve"> o “</w:t>
      </w:r>
      <w:r w:rsidR="0046192F" w:rsidRPr="009D1618">
        <w:rPr>
          <w:rFonts w:ascii="Cambria" w:hAnsi="Cambria" w:cs="Arial"/>
          <w:sz w:val="20"/>
          <w:szCs w:val="20"/>
          <w:lang w:val="es-ES"/>
        </w:rPr>
        <w:t xml:space="preserve">la </w:t>
      </w:r>
      <w:r w:rsidR="005E21D4" w:rsidRPr="009D1618">
        <w:rPr>
          <w:rFonts w:ascii="Cambria" w:hAnsi="Cambria" w:cs="Arial"/>
          <w:sz w:val="20"/>
          <w:szCs w:val="20"/>
          <w:lang w:val="es-ES"/>
        </w:rPr>
        <w:t xml:space="preserve">CIDH”) recibió </w:t>
      </w:r>
      <w:r w:rsidR="005400F2" w:rsidRPr="009D1618">
        <w:rPr>
          <w:rFonts w:ascii="Cambria" w:hAnsi="Cambria" w:cs="Arial"/>
          <w:sz w:val="20"/>
          <w:szCs w:val="20"/>
          <w:lang w:val="es-ES"/>
        </w:rPr>
        <w:t xml:space="preserve">una petición presentada por el Centra para la Acción Legal en Derechos Humanos (en adelante los peticionarios”) </w:t>
      </w:r>
      <w:r w:rsidR="00997A94" w:rsidRPr="009D1618">
        <w:rPr>
          <w:rFonts w:ascii="Cambria" w:hAnsi="Cambria" w:cs="Arial"/>
          <w:sz w:val="20"/>
          <w:szCs w:val="20"/>
          <w:lang w:val="es-ES"/>
        </w:rPr>
        <w:t>en</w:t>
      </w:r>
      <w:r w:rsidR="005400F2" w:rsidRPr="009D1618">
        <w:rPr>
          <w:rFonts w:ascii="Cambria" w:hAnsi="Cambria" w:cs="Arial"/>
          <w:sz w:val="20"/>
          <w:szCs w:val="20"/>
          <w:lang w:val="es-ES"/>
        </w:rPr>
        <w:t xml:space="preserve"> favor de Miguel Ángel Rodríguez Revolorio, Aníbal Archila Pérez y Miguel Ángel López Calo (en adelante “las presuntas víctimas”) en la cual se alegó la responsabilidad de la República de Guatemala (en adelante “el Estado”, “el Estado guatemalteco” o “Guatemala”) por la condena a la pena de muerte de las presuntas víctimas</w:t>
      </w:r>
      <w:r w:rsidR="00997A94" w:rsidRPr="009D1618">
        <w:rPr>
          <w:rFonts w:ascii="Cambria" w:hAnsi="Cambria" w:cs="Arial"/>
          <w:sz w:val="20"/>
          <w:szCs w:val="20"/>
          <w:lang w:val="es-ES"/>
        </w:rPr>
        <w:t xml:space="preserve"> por el delito de asesinato y otros delitos. </w:t>
      </w:r>
      <w:r w:rsidR="00430667" w:rsidRPr="009D1618">
        <w:rPr>
          <w:rFonts w:ascii="Cambria" w:hAnsi="Cambria" w:cs="Arial"/>
          <w:sz w:val="20"/>
          <w:szCs w:val="20"/>
          <w:lang w:val="es-ES"/>
        </w:rPr>
        <w:t xml:space="preserve">Los peticionarios argumentaron que en </w:t>
      </w:r>
      <w:r w:rsidR="00997A94" w:rsidRPr="009D1618">
        <w:rPr>
          <w:rFonts w:ascii="Cambria" w:hAnsi="Cambria" w:cs="Arial"/>
          <w:sz w:val="20"/>
          <w:szCs w:val="20"/>
          <w:lang w:val="es-ES"/>
        </w:rPr>
        <w:t xml:space="preserve">los respectivos procesos penales </w:t>
      </w:r>
      <w:r w:rsidR="00430667" w:rsidRPr="009D1618">
        <w:rPr>
          <w:rFonts w:ascii="Cambria" w:hAnsi="Cambria" w:cs="Arial"/>
          <w:sz w:val="20"/>
          <w:szCs w:val="20"/>
          <w:lang w:val="es-ES"/>
        </w:rPr>
        <w:t>se cometieron diversas violaciones al d</w:t>
      </w:r>
      <w:r w:rsidR="00F3180E" w:rsidRPr="009D1618">
        <w:rPr>
          <w:rFonts w:ascii="Cambria" w:hAnsi="Cambria" w:cs="Arial"/>
          <w:sz w:val="20"/>
          <w:szCs w:val="20"/>
          <w:lang w:val="es-ES"/>
        </w:rPr>
        <w:t xml:space="preserve">ebido proceso. </w:t>
      </w:r>
      <w:r w:rsidR="00430667" w:rsidRPr="009D1618">
        <w:rPr>
          <w:rFonts w:ascii="Cambria" w:hAnsi="Cambria" w:cs="Arial"/>
          <w:sz w:val="20"/>
          <w:szCs w:val="20"/>
          <w:lang w:val="es-ES"/>
        </w:rPr>
        <w:t xml:space="preserve"> </w:t>
      </w:r>
    </w:p>
    <w:p w14:paraId="6E8009C9" w14:textId="77777777" w:rsidR="00430667" w:rsidRPr="009D1618" w:rsidRDefault="00430667" w:rsidP="00BC7022">
      <w:pPr>
        <w:pStyle w:val="ListParagraph"/>
        <w:rPr>
          <w:rFonts w:cs="Arial"/>
          <w:sz w:val="20"/>
          <w:szCs w:val="20"/>
          <w:lang w:val="es-ES"/>
        </w:rPr>
      </w:pPr>
    </w:p>
    <w:p w14:paraId="4104657F" w14:textId="77777777" w:rsidR="00430667" w:rsidRPr="009D1618" w:rsidRDefault="00430667" w:rsidP="004306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Cambria" w:hAnsi="Cambria" w:cs="Arial"/>
          <w:sz w:val="20"/>
          <w:szCs w:val="20"/>
          <w:lang w:val="es-ES"/>
        </w:rPr>
      </w:pPr>
      <w:r w:rsidRPr="009D1618">
        <w:rPr>
          <w:rFonts w:ascii="Cambria" w:hAnsi="Cambria" w:cs="Arial"/>
          <w:sz w:val="20"/>
          <w:szCs w:val="20"/>
          <w:lang w:val="es-ES"/>
        </w:rPr>
        <w:t xml:space="preserve">El Estado argumentó que </w:t>
      </w:r>
      <w:r w:rsidR="0052042D" w:rsidRPr="009D1618">
        <w:rPr>
          <w:rFonts w:ascii="Cambria" w:hAnsi="Cambria" w:cs="Arial"/>
          <w:sz w:val="20"/>
          <w:szCs w:val="20"/>
          <w:lang w:val="es-ES"/>
        </w:rPr>
        <w:t xml:space="preserve">en </w:t>
      </w:r>
      <w:r w:rsidRPr="009D1618">
        <w:rPr>
          <w:rFonts w:ascii="Cambria" w:hAnsi="Cambria" w:cs="Arial"/>
          <w:sz w:val="20"/>
          <w:szCs w:val="20"/>
          <w:lang w:val="es-ES"/>
        </w:rPr>
        <w:t>el proceso llevado a cabo en contra d</w:t>
      </w:r>
      <w:r w:rsidR="00D7406F" w:rsidRPr="009D1618">
        <w:rPr>
          <w:rFonts w:ascii="Cambria" w:hAnsi="Cambria" w:cs="Arial"/>
          <w:sz w:val="20"/>
          <w:szCs w:val="20"/>
          <w:lang w:val="es-ES"/>
        </w:rPr>
        <w:t>e las presuntas víctimas</w:t>
      </w:r>
      <w:r w:rsidR="0052042D" w:rsidRPr="009D1618">
        <w:rPr>
          <w:rFonts w:ascii="Cambria" w:hAnsi="Cambria" w:cs="Arial"/>
          <w:sz w:val="20"/>
          <w:szCs w:val="20"/>
          <w:lang w:val="es-ES"/>
        </w:rPr>
        <w:t xml:space="preserve"> se respetaron </w:t>
      </w:r>
      <w:r w:rsidRPr="009D1618">
        <w:rPr>
          <w:rFonts w:ascii="Cambria" w:hAnsi="Cambria" w:cs="Arial"/>
          <w:sz w:val="20"/>
          <w:szCs w:val="20"/>
          <w:lang w:val="es-ES"/>
        </w:rPr>
        <w:t xml:space="preserve">todas las garantías del debido proceso y que la pena de muerte fue </w:t>
      </w:r>
      <w:r w:rsidR="000F3FA8" w:rsidRPr="009D1618">
        <w:rPr>
          <w:rFonts w:ascii="Cambria" w:hAnsi="Cambria" w:cs="Arial"/>
          <w:sz w:val="20"/>
          <w:szCs w:val="20"/>
          <w:lang w:val="es-ES"/>
        </w:rPr>
        <w:t>impuesta</w:t>
      </w:r>
      <w:r w:rsidRPr="009D1618">
        <w:rPr>
          <w:rFonts w:ascii="Cambria" w:hAnsi="Cambria" w:cs="Arial"/>
          <w:sz w:val="20"/>
          <w:szCs w:val="20"/>
          <w:lang w:val="es-ES"/>
        </w:rPr>
        <w:t xml:space="preserve"> por la comisión de un delito grave, previsto en la legislación vigente de la época, lo cual no vulnera la Convención Americana.</w:t>
      </w:r>
      <w:r w:rsidR="00D7406F" w:rsidRPr="009D1618">
        <w:rPr>
          <w:rFonts w:ascii="Cambria" w:hAnsi="Cambria" w:cs="Arial"/>
          <w:sz w:val="20"/>
          <w:szCs w:val="20"/>
          <w:lang w:val="es-ES"/>
        </w:rPr>
        <w:t xml:space="preserve"> </w:t>
      </w:r>
    </w:p>
    <w:p w14:paraId="60B68E2E" w14:textId="77777777" w:rsidR="00430667" w:rsidRPr="009D1618" w:rsidRDefault="00430667"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ES"/>
        </w:rPr>
      </w:pPr>
    </w:p>
    <w:p w14:paraId="56795AC5" w14:textId="052D616D" w:rsidR="00430667" w:rsidRPr="009D1618" w:rsidRDefault="00430667" w:rsidP="0043066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Cambria" w:hAnsi="Cambria" w:cs="Arial"/>
          <w:sz w:val="20"/>
          <w:szCs w:val="20"/>
          <w:lang w:val="es-ES"/>
        </w:rPr>
      </w:pPr>
      <w:r w:rsidRPr="009D1618">
        <w:rPr>
          <w:rFonts w:ascii="Cambria" w:hAnsi="Cambria" w:cs="Arial"/>
          <w:sz w:val="20"/>
          <w:szCs w:val="20"/>
          <w:lang w:val="es-ES"/>
        </w:rPr>
        <w:t>Tras analizar las posiciones de las partes, la Comisión Interamericana concluyó que el Estado guatemalteco es responsable por la violación de los derechos</w:t>
      </w:r>
      <w:r w:rsidR="009B1296" w:rsidRPr="009D1618">
        <w:rPr>
          <w:rFonts w:ascii="Cambria" w:hAnsi="Cambria" w:cs="Arial"/>
          <w:sz w:val="20"/>
          <w:szCs w:val="20"/>
          <w:lang w:val="es-ES"/>
        </w:rPr>
        <w:t xml:space="preserve"> a la vida, </w:t>
      </w:r>
      <w:r w:rsidR="0098608D" w:rsidRPr="009D1618">
        <w:rPr>
          <w:rFonts w:ascii="Cambria" w:hAnsi="Cambria" w:cs="Arial"/>
          <w:sz w:val="20"/>
          <w:szCs w:val="20"/>
          <w:lang w:val="es-ES"/>
        </w:rPr>
        <w:t xml:space="preserve">a la integridad personal, </w:t>
      </w:r>
      <w:r w:rsidR="00467660" w:rsidRPr="009D1618">
        <w:rPr>
          <w:rFonts w:ascii="Cambria" w:hAnsi="Cambria" w:cs="Arial"/>
          <w:sz w:val="20"/>
          <w:szCs w:val="20"/>
          <w:lang w:val="es-ES"/>
        </w:rPr>
        <w:t xml:space="preserve">el </w:t>
      </w:r>
      <w:r w:rsidR="006B6199" w:rsidRPr="009D1618">
        <w:rPr>
          <w:rFonts w:ascii="Cambria" w:hAnsi="Cambria" w:cs="Arial"/>
          <w:sz w:val="20"/>
          <w:szCs w:val="20"/>
          <w:lang w:val="es-ES"/>
        </w:rPr>
        <w:t xml:space="preserve">principio de legalidad, </w:t>
      </w:r>
      <w:r w:rsidR="0098608D" w:rsidRPr="009D1618">
        <w:rPr>
          <w:rFonts w:ascii="Cambria" w:hAnsi="Cambria" w:cs="Arial"/>
          <w:sz w:val="20"/>
          <w:szCs w:val="20"/>
          <w:lang w:val="es-ES"/>
        </w:rPr>
        <w:t>a las garantías judiciales y a la protección judicial establecidos en los artículos 4</w:t>
      </w:r>
      <w:r w:rsidR="00EA3619" w:rsidRPr="009D1618">
        <w:rPr>
          <w:rFonts w:ascii="Cambria" w:hAnsi="Cambria" w:cs="Arial"/>
          <w:sz w:val="20"/>
          <w:szCs w:val="20"/>
          <w:lang w:val="es-ES"/>
        </w:rPr>
        <w:t>.1, 4.2,</w:t>
      </w:r>
      <w:r w:rsidR="009E69A4" w:rsidRPr="009D1618">
        <w:rPr>
          <w:rFonts w:ascii="Cambria" w:hAnsi="Cambria" w:cs="Arial"/>
          <w:sz w:val="20"/>
          <w:szCs w:val="20"/>
          <w:lang w:val="es-ES"/>
        </w:rPr>
        <w:t xml:space="preserve"> 5,</w:t>
      </w:r>
      <w:r w:rsidR="00EA3619" w:rsidRPr="009D1618">
        <w:rPr>
          <w:rFonts w:ascii="Cambria" w:hAnsi="Cambria" w:cs="Arial"/>
          <w:sz w:val="20"/>
          <w:szCs w:val="20"/>
          <w:lang w:val="es-ES"/>
        </w:rPr>
        <w:t xml:space="preserve"> 8.1, 8.2 c), 8.2 h), 9 y 25.1 de la Convención Americana sobre Derechos Humanos (en adelante “la Convención Americana” o “la Convención”, </w:t>
      </w:r>
      <w:r w:rsidRPr="009D1618">
        <w:rPr>
          <w:rFonts w:ascii="Cambria" w:eastAsia="Times New Roman" w:hAnsi="Cambria"/>
          <w:sz w:val="20"/>
          <w:szCs w:val="20"/>
          <w:bdr w:val="none" w:sz="0" w:space="0" w:color="auto"/>
          <w:lang w:val="es-AR"/>
        </w:rPr>
        <w:t xml:space="preserve">en relación con </w:t>
      </w:r>
      <w:r w:rsidR="00EA3619" w:rsidRPr="009D1618">
        <w:rPr>
          <w:rFonts w:ascii="Cambria" w:eastAsia="Times New Roman" w:hAnsi="Cambria"/>
          <w:sz w:val="20"/>
          <w:szCs w:val="20"/>
          <w:bdr w:val="none" w:sz="0" w:space="0" w:color="auto"/>
          <w:lang w:val="es-AR"/>
        </w:rPr>
        <w:t>los artículos 1.1 y 2 del mismo instrumento, en perjuicio de Ángel Rodríguez Revolorio, Miguel Ángel López Calo y Aníbal Archila Pérez. Asimismo, el Estado incumplió</w:t>
      </w:r>
      <w:r w:rsidR="002C4A4E" w:rsidRPr="009D1618">
        <w:rPr>
          <w:rFonts w:ascii="Cambria" w:eastAsia="Times New Roman" w:hAnsi="Cambria"/>
          <w:sz w:val="20"/>
          <w:szCs w:val="20"/>
          <w:bdr w:val="none" w:sz="0" w:space="0" w:color="auto"/>
          <w:lang w:val="es-AR"/>
        </w:rPr>
        <w:t xml:space="preserve"> las obligaciones e</w:t>
      </w:r>
      <w:r w:rsidR="00954F20" w:rsidRPr="009D1618">
        <w:rPr>
          <w:rFonts w:ascii="Cambria" w:eastAsia="Times New Roman" w:hAnsi="Cambria"/>
          <w:sz w:val="20"/>
          <w:szCs w:val="20"/>
          <w:bdr w:val="none" w:sz="0" w:space="0" w:color="auto"/>
          <w:lang w:val="es-AR"/>
        </w:rPr>
        <w:t xml:space="preserve">stablecidas en los artículos 1, </w:t>
      </w:r>
      <w:r w:rsidR="002C4A4E" w:rsidRPr="009D1618">
        <w:rPr>
          <w:rFonts w:ascii="Cambria" w:eastAsia="Times New Roman" w:hAnsi="Cambria"/>
          <w:sz w:val="20"/>
          <w:szCs w:val="20"/>
          <w:bdr w:val="none" w:sz="0" w:space="0" w:color="auto"/>
          <w:lang w:val="es-AR"/>
        </w:rPr>
        <w:t xml:space="preserve"> 6</w:t>
      </w:r>
      <w:r w:rsidR="00954F20" w:rsidRPr="009D1618">
        <w:rPr>
          <w:rFonts w:ascii="Cambria" w:eastAsia="Times New Roman" w:hAnsi="Cambria"/>
          <w:sz w:val="20"/>
          <w:szCs w:val="20"/>
          <w:bdr w:val="none" w:sz="0" w:space="0" w:color="auto"/>
          <w:lang w:val="es-AR"/>
        </w:rPr>
        <w:t xml:space="preserve"> y 8</w:t>
      </w:r>
      <w:r w:rsidR="002C4A4E" w:rsidRPr="009D1618">
        <w:rPr>
          <w:rFonts w:ascii="Cambria" w:eastAsia="Times New Roman" w:hAnsi="Cambria"/>
          <w:sz w:val="20"/>
          <w:szCs w:val="20"/>
          <w:bdr w:val="none" w:sz="0" w:space="0" w:color="auto"/>
          <w:lang w:val="es-AR"/>
        </w:rPr>
        <w:t xml:space="preserve"> de la </w:t>
      </w:r>
      <w:r w:rsidRPr="009D1618">
        <w:rPr>
          <w:rFonts w:ascii="Cambria" w:eastAsia="Times New Roman" w:hAnsi="Cambria"/>
          <w:sz w:val="20"/>
          <w:szCs w:val="20"/>
          <w:bdr w:val="none" w:sz="0" w:space="0" w:color="auto"/>
          <w:lang w:val="es-AR"/>
        </w:rPr>
        <w:t>Convención Interamericana para Prevenir y Sancionar la Tortura</w:t>
      </w:r>
      <w:r w:rsidR="00155B4F" w:rsidRPr="009D1618">
        <w:rPr>
          <w:rFonts w:ascii="Cambria" w:eastAsia="Times New Roman" w:hAnsi="Cambria"/>
          <w:sz w:val="20"/>
          <w:szCs w:val="20"/>
          <w:bdr w:val="none" w:sz="0" w:space="0" w:color="auto"/>
          <w:lang w:val="es-AR"/>
        </w:rPr>
        <w:t xml:space="preserve"> (en adelante “la CIPST”). </w:t>
      </w:r>
    </w:p>
    <w:p w14:paraId="089C0C2A" w14:textId="77777777" w:rsidR="00B07E78" w:rsidRPr="009D1618" w:rsidRDefault="00B07E78" w:rsidP="0055682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ES"/>
        </w:rPr>
      </w:pPr>
    </w:p>
    <w:p w14:paraId="658B5D81" w14:textId="77777777" w:rsidR="00E40449" w:rsidRPr="009D1618" w:rsidRDefault="00E40449" w:rsidP="00E40449">
      <w:pPr>
        <w:pStyle w:val="Heading1"/>
        <w:numPr>
          <w:ilvl w:val="0"/>
          <w:numId w:val="55"/>
        </w:numPr>
        <w:tabs>
          <w:tab w:val="clear" w:pos="1440"/>
        </w:tabs>
        <w:rPr>
          <w:rFonts w:ascii="Cambria" w:hAnsi="Cambria"/>
        </w:rPr>
      </w:pPr>
      <w:bookmarkStart w:id="9" w:name="_Toc370840744"/>
      <w:bookmarkStart w:id="10" w:name="_Toc370840840"/>
      <w:bookmarkStart w:id="11" w:name="_Toc423514406"/>
      <w:bookmarkStart w:id="12" w:name="_Toc433115982"/>
      <w:bookmarkStart w:id="13" w:name="_Toc444958125"/>
      <w:bookmarkStart w:id="14" w:name="_Toc475546036"/>
      <w:bookmarkStart w:id="15" w:name="_Toc489111543"/>
      <w:r w:rsidRPr="009D1618">
        <w:rPr>
          <w:rFonts w:ascii="Cambria" w:hAnsi="Cambria"/>
        </w:rPr>
        <w:t xml:space="preserve">TRÁMITE ANTE LA </w:t>
      </w:r>
      <w:bookmarkStart w:id="16" w:name="_Toc370840745"/>
      <w:bookmarkStart w:id="17" w:name="_Toc370840841"/>
      <w:bookmarkEnd w:id="9"/>
      <w:bookmarkEnd w:id="10"/>
      <w:r w:rsidRPr="009D1618">
        <w:rPr>
          <w:rFonts w:ascii="Cambria" w:hAnsi="Cambria"/>
        </w:rPr>
        <w:t>COMISIÓN</w:t>
      </w:r>
      <w:bookmarkEnd w:id="11"/>
      <w:bookmarkEnd w:id="12"/>
      <w:bookmarkEnd w:id="13"/>
      <w:bookmarkEnd w:id="14"/>
      <w:bookmarkEnd w:id="15"/>
    </w:p>
    <w:p w14:paraId="2E8F0B2F" w14:textId="77777777" w:rsidR="0067281D" w:rsidRPr="009D1618" w:rsidRDefault="0067281D" w:rsidP="000808DA">
      <w:pPr>
        <w:rPr>
          <w:rFonts w:ascii="Cambria" w:hAnsi="Cambria"/>
          <w:sz w:val="20"/>
          <w:szCs w:val="20"/>
          <w:lang w:val="es-VE"/>
        </w:rPr>
      </w:pPr>
    </w:p>
    <w:p w14:paraId="40ACE470" w14:textId="77777777" w:rsidR="0067281D" w:rsidRPr="009D1618" w:rsidRDefault="00CC06B3" w:rsidP="0067281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Calibri" w:hAnsi="Cambria"/>
          <w:sz w:val="20"/>
          <w:szCs w:val="20"/>
          <w:lang w:val="es-VE"/>
        </w:rPr>
      </w:pPr>
      <w:r w:rsidRPr="009D1618">
        <w:rPr>
          <w:rFonts w:ascii="Cambria" w:hAnsi="Cambria"/>
          <w:sz w:val="20"/>
          <w:szCs w:val="20"/>
          <w:lang w:val="es-VE"/>
        </w:rPr>
        <w:t>La petición</w:t>
      </w:r>
      <w:r w:rsidR="00700BE6" w:rsidRPr="009D1618">
        <w:rPr>
          <w:rFonts w:ascii="Cambria" w:hAnsi="Cambria"/>
          <w:b/>
          <w:sz w:val="20"/>
          <w:szCs w:val="20"/>
          <w:lang w:val="es-VE"/>
        </w:rPr>
        <w:t xml:space="preserve"> </w:t>
      </w:r>
      <w:r w:rsidR="0039521B" w:rsidRPr="009D1618">
        <w:rPr>
          <w:rFonts w:ascii="Cambria" w:hAnsi="Cambria"/>
          <w:sz w:val="20"/>
          <w:szCs w:val="20"/>
          <w:lang w:val="es-VE"/>
        </w:rPr>
        <w:t xml:space="preserve">fue recibida por la Comisión el </w:t>
      </w:r>
      <w:r w:rsidR="00F3180E" w:rsidRPr="009D1618">
        <w:rPr>
          <w:rFonts w:ascii="Cambria" w:hAnsi="Cambria"/>
          <w:sz w:val="20"/>
          <w:szCs w:val="20"/>
          <w:lang w:val="es-VE"/>
        </w:rPr>
        <w:t>17</w:t>
      </w:r>
      <w:r w:rsidR="0039521B" w:rsidRPr="009D1618">
        <w:rPr>
          <w:rFonts w:ascii="Cambria" w:hAnsi="Cambria"/>
          <w:sz w:val="20"/>
          <w:szCs w:val="20"/>
          <w:lang w:val="es-VE"/>
        </w:rPr>
        <w:t xml:space="preserve"> de </w:t>
      </w:r>
      <w:r w:rsidR="00DB6648" w:rsidRPr="009D1618">
        <w:rPr>
          <w:rFonts w:ascii="Cambria" w:hAnsi="Cambria"/>
          <w:sz w:val="20"/>
          <w:szCs w:val="20"/>
          <w:lang w:val="es-VE"/>
        </w:rPr>
        <w:t>julio</w:t>
      </w:r>
      <w:r w:rsidR="0039521B" w:rsidRPr="009D1618">
        <w:rPr>
          <w:rFonts w:ascii="Cambria" w:hAnsi="Cambria"/>
          <w:sz w:val="20"/>
          <w:szCs w:val="20"/>
          <w:lang w:val="es-VE"/>
        </w:rPr>
        <w:t xml:space="preserve"> de </w:t>
      </w:r>
      <w:r w:rsidR="00DB6648" w:rsidRPr="009D1618">
        <w:rPr>
          <w:rFonts w:ascii="Cambria" w:hAnsi="Cambria"/>
          <w:sz w:val="20"/>
          <w:szCs w:val="20"/>
          <w:lang w:val="es-VE"/>
        </w:rPr>
        <w:t>1997</w:t>
      </w:r>
      <w:r w:rsidR="0039521B" w:rsidRPr="009D1618">
        <w:rPr>
          <w:rFonts w:ascii="Cambria" w:hAnsi="Cambria"/>
          <w:sz w:val="20"/>
          <w:szCs w:val="20"/>
          <w:lang w:val="es-VE"/>
        </w:rPr>
        <w:t xml:space="preserve"> y se ini</w:t>
      </w:r>
      <w:r w:rsidR="00DB6648" w:rsidRPr="009D1618">
        <w:rPr>
          <w:rFonts w:ascii="Cambria" w:hAnsi="Cambria"/>
          <w:sz w:val="20"/>
          <w:szCs w:val="20"/>
          <w:lang w:val="es-VE"/>
        </w:rPr>
        <w:t>ció el trámite de la misma el 11</w:t>
      </w:r>
      <w:r w:rsidR="0039521B" w:rsidRPr="009D1618">
        <w:rPr>
          <w:rFonts w:ascii="Cambria" w:hAnsi="Cambria"/>
          <w:sz w:val="20"/>
          <w:szCs w:val="20"/>
          <w:lang w:val="es-VE"/>
        </w:rPr>
        <w:t xml:space="preserve"> </w:t>
      </w:r>
      <w:r w:rsidR="00DB6648" w:rsidRPr="009D1618">
        <w:rPr>
          <w:rFonts w:ascii="Cambria" w:hAnsi="Cambria"/>
          <w:sz w:val="20"/>
          <w:szCs w:val="20"/>
          <w:lang w:val="es-VE"/>
        </w:rPr>
        <w:t>de agosto</w:t>
      </w:r>
      <w:r w:rsidR="0039521B" w:rsidRPr="009D1618">
        <w:rPr>
          <w:rFonts w:ascii="Cambria" w:hAnsi="Cambria"/>
          <w:sz w:val="20"/>
          <w:szCs w:val="20"/>
          <w:lang w:val="es-VE"/>
        </w:rPr>
        <w:t xml:space="preserve"> </w:t>
      </w:r>
      <w:r w:rsidR="0002339E" w:rsidRPr="009D1618">
        <w:rPr>
          <w:rFonts w:ascii="Cambria" w:hAnsi="Cambria"/>
          <w:sz w:val="20"/>
          <w:szCs w:val="20"/>
          <w:lang w:val="es-VE"/>
        </w:rPr>
        <w:t>del mismo año</w:t>
      </w:r>
      <w:r w:rsidR="00134B10" w:rsidRPr="009D1618">
        <w:rPr>
          <w:rFonts w:ascii="Cambria" w:hAnsi="Cambria"/>
          <w:sz w:val="20"/>
          <w:szCs w:val="20"/>
          <w:lang w:val="es-VE"/>
        </w:rPr>
        <w:t xml:space="preserve">. </w:t>
      </w:r>
      <w:r w:rsidR="007C5641" w:rsidRPr="009D1618">
        <w:rPr>
          <w:rFonts w:ascii="Cambria" w:hAnsi="Cambria"/>
          <w:sz w:val="20"/>
          <w:szCs w:val="20"/>
          <w:lang w:val="es-VE"/>
        </w:rPr>
        <w:t xml:space="preserve">El 18 de diciembre de 2002 la Comisión informó a las partes que en virtud del artículo 37.3 del Reglamento entonces vigente, había decidido diferir el tratamiento de admisibilidad hasta el debate sobre el fondo. </w:t>
      </w:r>
      <w:r w:rsidR="0002339E" w:rsidRPr="009D1618">
        <w:rPr>
          <w:rFonts w:ascii="Cambria" w:hAnsi="Cambria"/>
          <w:sz w:val="20"/>
          <w:szCs w:val="20"/>
          <w:lang w:val="es-VE"/>
        </w:rPr>
        <w:t>Mediante escrito del 5 de febrero de 2003</w:t>
      </w:r>
      <w:r w:rsidR="00700BE6" w:rsidRPr="009D1618">
        <w:rPr>
          <w:rFonts w:ascii="Cambria" w:hAnsi="Cambria"/>
          <w:sz w:val="20"/>
          <w:szCs w:val="20"/>
          <w:lang w:val="es-VE"/>
        </w:rPr>
        <w:t>,</w:t>
      </w:r>
      <w:r w:rsidR="0002339E" w:rsidRPr="009D1618">
        <w:rPr>
          <w:rFonts w:ascii="Cambria" w:hAnsi="Cambria"/>
          <w:sz w:val="20"/>
          <w:szCs w:val="20"/>
          <w:lang w:val="es-VE"/>
        </w:rPr>
        <w:t xml:space="preserve"> los peticionarios presentaron sus observaciones adicionales sobre el fondo, las cual</w:t>
      </w:r>
      <w:r w:rsidR="005B55BE" w:rsidRPr="009D1618">
        <w:rPr>
          <w:rFonts w:ascii="Cambria" w:hAnsi="Cambria"/>
          <w:sz w:val="20"/>
          <w:szCs w:val="20"/>
          <w:lang w:val="es-VE"/>
        </w:rPr>
        <w:t>es fueron trasladadas al Estado el 27 de agosto de 2003 con el plazo de dos meses. El Estado</w:t>
      </w:r>
      <w:r w:rsidR="0002339E" w:rsidRPr="009D1618">
        <w:rPr>
          <w:rFonts w:ascii="Cambria" w:hAnsi="Cambria"/>
          <w:sz w:val="20"/>
          <w:szCs w:val="20"/>
          <w:lang w:val="es-VE"/>
        </w:rPr>
        <w:t xml:space="preserve"> presentó sus observaciones sobre el fondo el 27 de octubre de 2003. Con posterioridad, la Comisión ha continuado recibiendo comunicaciones de los peticionarios y del Estado, las cuales han sido debidamente trasladadas a las partes.</w:t>
      </w:r>
    </w:p>
    <w:p w14:paraId="43C478C6" w14:textId="77777777" w:rsidR="0067281D" w:rsidRPr="009D1618" w:rsidRDefault="0067281D" w:rsidP="00430667">
      <w:pPr>
        <w:pStyle w:val="ListParagraph"/>
        <w:rPr>
          <w:sz w:val="20"/>
          <w:szCs w:val="20"/>
          <w:lang w:val="es-VE"/>
        </w:rPr>
      </w:pPr>
    </w:p>
    <w:p w14:paraId="635A26D5" w14:textId="77777777" w:rsidR="000808DA" w:rsidRPr="009D1618" w:rsidRDefault="000808DA" w:rsidP="000808D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Univers"/>
          <w:sz w:val="20"/>
          <w:szCs w:val="20"/>
          <w:lang w:val="es-VE"/>
        </w:rPr>
      </w:pPr>
      <w:r w:rsidRPr="009D1618">
        <w:rPr>
          <w:rFonts w:ascii="Cambria" w:hAnsi="Cambria"/>
          <w:sz w:val="20"/>
          <w:szCs w:val="20"/>
          <w:lang w:val="es-VE"/>
        </w:rPr>
        <w:t xml:space="preserve">En el caso en referencia, la Comisión se puso a disposición de las partes para una solución amistosa, sin que ambas partes manifestaran interés en dar inicio a tal procedimiento. </w:t>
      </w:r>
    </w:p>
    <w:p w14:paraId="1490B098" w14:textId="77777777" w:rsidR="000808DA" w:rsidRPr="009D1618" w:rsidRDefault="000808DA" w:rsidP="000808DA">
      <w:pPr>
        <w:rPr>
          <w:rFonts w:ascii="Cambria" w:hAnsi="Cambria"/>
          <w:sz w:val="20"/>
          <w:szCs w:val="20"/>
          <w:lang w:val="es-VE"/>
        </w:rPr>
      </w:pPr>
      <w:bookmarkStart w:id="18" w:name="_Toc475546037"/>
      <w:bookmarkStart w:id="19" w:name="_Toc423514408"/>
      <w:bookmarkStart w:id="20" w:name="_Toc433115984"/>
      <w:bookmarkStart w:id="21" w:name="_Toc444958127"/>
      <w:bookmarkEnd w:id="16"/>
      <w:bookmarkEnd w:id="17"/>
    </w:p>
    <w:p w14:paraId="0DD36A53" w14:textId="77777777" w:rsidR="000C0E5C" w:rsidRPr="009D1618" w:rsidRDefault="009C3C33" w:rsidP="009C3C33">
      <w:pPr>
        <w:pStyle w:val="Heading1"/>
        <w:numPr>
          <w:ilvl w:val="0"/>
          <w:numId w:val="55"/>
        </w:numPr>
        <w:tabs>
          <w:tab w:val="clear" w:pos="1440"/>
        </w:tabs>
        <w:rPr>
          <w:rFonts w:ascii="Cambria" w:hAnsi="Cambria"/>
          <w:lang w:val="es-VE"/>
        </w:rPr>
      </w:pPr>
      <w:bookmarkStart w:id="22" w:name="_Toc489111544"/>
      <w:r w:rsidRPr="009D1618">
        <w:rPr>
          <w:rFonts w:ascii="Cambria" w:hAnsi="Cambria"/>
          <w:lang w:val="es-VE"/>
        </w:rPr>
        <w:t>POSICIONES DE LAS PARTES</w:t>
      </w:r>
      <w:bookmarkEnd w:id="18"/>
      <w:bookmarkEnd w:id="22"/>
      <w:r w:rsidRPr="009D1618">
        <w:rPr>
          <w:rFonts w:ascii="Cambria" w:hAnsi="Cambria"/>
          <w:lang w:val="es-VE"/>
        </w:rPr>
        <w:t xml:space="preserve"> </w:t>
      </w:r>
    </w:p>
    <w:p w14:paraId="02A2A0FD" w14:textId="77777777" w:rsidR="009C3C33" w:rsidRPr="009D1618" w:rsidRDefault="009C3C33" w:rsidP="009C3C33">
      <w:pPr>
        <w:rPr>
          <w:rFonts w:ascii="Cambria" w:hAnsi="Cambria"/>
          <w:sz w:val="20"/>
          <w:szCs w:val="20"/>
          <w:lang w:val="es-ES_tradnl"/>
        </w:rPr>
      </w:pPr>
    </w:p>
    <w:p w14:paraId="3406AB2E" w14:textId="77777777" w:rsidR="00E40449" w:rsidRPr="009D1618" w:rsidRDefault="00E40449" w:rsidP="005E081B">
      <w:pPr>
        <w:pStyle w:val="Heading2"/>
        <w:numPr>
          <w:ilvl w:val="0"/>
          <w:numId w:val="59"/>
        </w:numPr>
        <w:rPr>
          <w:rFonts w:ascii="Cambria" w:hAnsi="Cambria"/>
        </w:rPr>
      </w:pPr>
      <w:bookmarkStart w:id="23" w:name="_Toc475546038"/>
      <w:bookmarkStart w:id="24" w:name="_Toc489111545"/>
      <w:r w:rsidRPr="009D1618">
        <w:rPr>
          <w:rFonts w:ascii="Cambria" w:hAnsi="Cambria"/>
        </w:rPr>
        <w:t>Posición d</w:t>
      </w:r>
      <w:bookmarkEnd w:id="19"/>
      <w:bookmarkEnd w:id="20"/>
      <w:bookmarkEnd w:id="21"/>
      <w:r w:rsidR="00FA084C" w:rsidRPr="009D1618">
        <w:rPr>
          <w:rFonts w:ascii="Cambria" w:hAnsi="Cambria"/>
        </w:rPr>
        <w:t>e</w:t>
      </w:r>
      <w:r w:rsidR="009C3C33" w:rsidRPr="009D1618">
        <w:rPr>
          <w:rFonts w:ascii="Cambria" w:hAnsi="Cambria"/>
        </w:rPr>
        <w:t xml:space="preserve"> los peticionarios</w:t>
      </w:r>
      <w:bookmarkEnd w:id="23"/>
      <w:bookmarkEnd w:id="24"/>
      <w:r w:rsidR="00FA084C" w:rsidRPr="009D1618">
        <w:rPr>
          <w:rFonts w:ascii="Cambria" w:hAnsi="Cambria"/>
        </w:rPr>
        <w:t xml:space="preserve"> </w:t>
      </w:r>
    </w:p>
    <w:p w14:paraId="7EE1D010" w14:textId="77777777" w:rsidR="00FD0360" w:rsidRPr="009D1618" w:rsidRDefault="00FD0360" w:rsidP="00F446F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37F7EA2D" w14:textId="77777777" w:rsidR="00FD0360" w:rsidRPr="009D1618" w:rsidRDefault="00430667"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CO"/>
        </w:rPr>
        <w:lastRenderedPageBreak/>
        <w:t>L</w:t>
      </w:r>
      <w:r w:rsidR="005921BB" w:rsidRPr="009D1618">
        <w:rPr>
          <w:rFonts w:ascii="Cambria" w:hAnsi="Cambria"/>
          <w:sz w:val="20"/>
          <w:szCs w:val="20"/>
          <w:lang w:val="es-ES_tradnl"/>
        </w:rPr>
        <w:t>os peticionarios alegaron que las pres</w:t>
      </w:r>
      <w:r w:rsidR="00CC3B70" w:rsidRPr="009D1618">
        <w:rPr>
          <w:rFonts w:ascii="Cambria" w:hAnsi="Cambria"/>
          <w:sz w:val="20"/>
          <w:szCs w:val="20"/>
          <w:lang w:val="es-ES_tradnl"/>
        </w:rPr>
        <w:t>untas víctimas, miembros de la P</w:t>
      </w:r>
      <w:r w:rsidR="005921BB" w:rsidRPr="009D1618">
        <w:rPr>
          <w:rFonts w:ascii="Cambria" w:hAnsi="Cambria"/>
          <w:sz w:val="20"/>
          <w:szCs w:val="20"/>
          <w:lang w:val="es-ES_tradnl"/>
        </w:rPr>
        <w:t xml:space="preserve">atrulla 603 de la Policía Nacional, fueron sometidas a proceso penal por el </w:t>
      </w:r>
      <w:r w:rsidR="000035E3" w:rsidRPr="009D1618">
        <w:rPr>
          <w:rFonts w:ascii="Cambria" w:hAnsi="Cambria"/>
          <w:sz w:val="20"/>
          <w:szCs w:val="20"/>
          <w:lang w:val="es-ES_tradnl"/>
        </w:rPr>
        <w:t xml:space="preserve">asesinato y tentativa de asesinato de </w:t>
      </w:r>
      <w:r w:rsidR="005921BB" w:rsidRPr="009D1618">
        <w:rPr>
          <w:rFonts w:ascii="Cambria" w:hAnsi="Cambria"/>
          <w:sz w:val="20"/>
          <w:szCs w:val="20"/>
          <w:lang w:val="es-ES_tradnl"/>
        </w:rPr>
        <w:t>Pedro Luis Choc Reyna y Edgar Estuardo Motta González,</w:t>
      </w:r>
      <w:r w:rsidR="000035E3" w:rsidRPr="009D1618">
        <w:rPr>
          <w:rFonts w:ascii="Cambria" w:hAnsi="Cambria"/>
          <w:sz w:val="20"/>
          <w:szCs w:val="20"/>
          <w:lang w:val="es-ES_tradnl"/>
        </w:rPr>
        <w:t xml:space="preserve"> respectivamente</w:t>
      </w:r>
      <w:r w:rsidR="005921BB" w:rsidRPr="009D1618">
        <w:rPr>
          <w:rFonts w:ascii="Cambria" w:hAnsi="Cambria"/>
          <w:sz w:val="20"/>
          <w:szCs w:val="20"/>
          <w:lang w:val="es-ES_tradnl"/>
        </w:rPr>
        <w:t>, ocurrid</w:t>
      </w:r>
      <w:r w:rsidR="000035E3" w:rsidRPr="009D1618">
        <w:rPr>
          <w:rFonts w:ascii="Cambria" w:hAnsi="Cambria"/>
          <w:sz w:val="20"/>
          <w:szCs w:val="20"/>
          <w:lang w:val="es-ES_tradnl"/>
        </w:rPr>
        <w:t>os</w:t>
      </w:r>
      <w:r w:rsidR="005921BB" w:rsidRPr="009D1618">
        <w:rPr>
          <w:rFonts w:ascii="Cambria" w:hAnsi="Cambria"/>
          <w:sz w:val="20"/>
          <w:szCs w:val="20"/>
          <w:lang w:val="es-ES_tradnl"/>
        </w:rPr>
        <w:t xml:space="preserve"> el 10 de febrero de 1995. Refirieron que el 23 de mayo de 1996 </w:t>
      </w:r>
      <w:r w:rsidR="00DE2B80" w:rsidRPr="009D1618">
        <w:rPr>
          <w:rFonts w:ascii="Cambria" w:hAnsi="Cambria"/>
          <w:sz w:val="20"/>
          <w:szCs w:val="20"/>
          <w:lang w:val="es-ES_tradnl"/>
        </w:rPr>
        <w:t xml:space="preserve">las presuntas </w:t>
      </w:r>
      <w:r w:rsidR="00DE2B80" w:rsidRPr="009D1618">
        <w:rPr>
          <w:rFonts w:ascii="Cambria" w:hAnsi="Cambria"/>
          <w:sz w:val="20"/>
          <w:szCs w:val="20"/>
          <w:lang w:val="es-VE"/>
        </w:rPr>
        <w:t xml:space="preserve">víctimas </w:t>
      </w:r>
      <w:r w:rsidR="005921BB" w:rsidRPr="009D1618">
        <w:rPr>
          <w:rFonts w:ascii="Cambria" w:hAnsi="Cambria"/>
          <w:sz w:val="20"/>
          <w:szCs w:val="20"/>
          <w:lang w:val="es-ES_tradnl"/>
        </w:rPr>
        <w:t>fueron condenadas a la pena de muerte por el</w:t>
      </w:r>
      <w:r w:rsidR="00A13103" w:rsidRPr="009D1618">
        <w:rPr>
          <w:rFonts w:ascii="Cambria" w:hAnsi="Cambria"/>
          <w:sz w:val="20"/>
          <w:szCs w:val="20"/>
          <w:lang w:val="es-ES_tradnl"/>
        </w:rPr>
        <w:t xml:space="preserve"> delito de asesinato y asesinato en grado de tentativa por el</w:t>
      </w:r>
      <w:r w:rsidR="005921BB" w:rsidRPr="009D1618">
        <w:rPr>
          <w:rFonts w:ascii="Cambria" w:hAnsi="Cambria"/>
          <w:sz w:val="20"/>
          <w:szCs w:val="20"/>
          <w:lang w:val="es-ES_tradnl"/>
        </w:rPr>
        <w:t xml:space="preserve"> Tribunal Cuarto de Sentencia Penal. </w:t>
      </w:r>
    </w:p>
    <w:p w14:paraId="3CDF9DA2" w14:textId="77777777" w:rsidR="00113BA4" w:rsidRPr="009D1618" w:rsidRDefault="00113BA4" w:rsidP="00113B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69AF2F28" w14:textId="77777777" w:rsidR="00113BA4" w:rsidRPr="009D1618" w:rsidRDefault="00113BA4" w:rsidP="00113BA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ES_tradnl"/>
        </w:rPr>
        <w:t>El detalle sobre los hechos y procesos judiciales del caso será referido en el análisis fáctico de la Comisión, sobre la base de la información aportada por ambas partes. En esta sección se efectúa un resumen de los principales argumentos planteados durante la</w:t>
      </w:r>
      <w:r w:rsidR="00E67934" w:rsidRPr="009D1618">
        <w:rPr>
          <w:rFonts w:ascii="Cambria" w:hAnsi="Cambria"/>
          <w:sz w:val="20"/>
          <w:szCs w:val="20"/>
          <w:lang w:val="es-ES_tradnl"/>
        </w:rPr>
        <w:t>s</w:t>
      </w:r>
      <w:r w:rsidRPr="009D1618">
        <w:rPr>
          <w:rFonts w:ascii="Cambria" w:hAnsi="Cambria"/>
          <w:sz w:val="20"/>
          <w:szCs w:val="20"/>
          <w:lang w:val="es-ES_tradnl"/>
        </w:rPr>
        <w:t xml:space="preserve"> etapa</w:t>
      </w:r>
      <w:r w:rsidR="00E67934" w:rsidRPr="009D1618">
        <w:rPr>
          <w:rFonts w:ascii="Cambria" w:hAnsi="Cambria"/>
          <w:sz w:val="20"/>
          <w:szCs w:val="20"/>
          <w:lang w:val="es-ES_tradnl"/>
        </w:rPr>
        <w:t xml:space="preserve">s de admisibilidad y </w:t>
      </w:r>
      <w:r w:rsidRPr="009D1618">
        <w:rPr>
          <w:rFonts w:ascii="Cambria" w:hAnsi="Cambria"/>
          <w:sz w:val="20"/>
          <w:szCs w:val="20"/>
          <w:lang w:val="es-ES_tradnl"/>
        </w:rPr>
        <w:t xml:space="preserve">fondo. </w:t>
      </w:r>
    </w:p>
    <w:p w14:paraId="00B11389" w14:textId="77777777" w:rsidR="00113BA4" w:rsidRPr="009D1618" w:rsidRDefault="00113BA4" w:rsidP="00113B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244727DE" w14:textId="77777777" w:rsidR="00113BA4" w:rsidRPr="009D1618" w:rsidRDefault="00113BA4" w:rsidP="00C315B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9D1618">
        <w:rPr>
          <w:rFonts w:ascii="Cambria" w:hAnsi="Cambria"/>
          <w:sz w:val="20"/>
          <w:szCs w:val="20"/>
          <w:lang w:val="es-ES_tradnl"/>
        </w:rPr>
        <w:t>Los peticionarios indicaron</w:t>
      </w:r>
      <w:r w:rsidR="005921BB" w:rsidRPr="009D1618">
        <w:rPr>
          <w:rFonts w:ascii="Cambria" w:hAnsi="Cambria"/>
          <w:sz w:val="20"/>
          <w:szCs w:val="20"/>
          <w:lang w:val="es-ES_tradnl"/>
        </w:rPr>
        <w:t xml:space="preserve"> que en el marco de la detención, proceso penal y co</w:t>
      </w:r>
      <w:r w:rsidR="00AC5B1D" w:rsidRPr="009D1618">
        <w:rPr>
          <w:rFonts w:ascii="Cambria" w:hAnsi="Cambria"/>
          <w:sz w:val="20"/>
          <w:szCs w:val="20"/>
          <w:lang w:val="es-ES_tradnl"/>
        </w:rPr>
        <w:t>ndena</w:t>
      </w:r>
      <w:r w:rsidRPr="009D1618">
        <w:rPr>
          <w:rFonts w:ascii="Cambria" w:hAnsi="Cambria"/>
          <w:sz w:val="20"/>
          <w:szCs w:val="20"/>
          <w:lang w:val="es-ES_tradnl"/>
        </w:rPr>
        <w:t xml:space="preserve"> de las presuntas víctimas</w:t>
      </w:r>
      <w:r w:rsidR="00AC5B1D" w:rsidRPr="009D1618">
        <w:rPr>
          <w:rFonts w:ascii="Cambria" w:hAnsi="Cambria"/>
          <w:sz w:val="20"/>
          <w:szCs w:val="20"/>
          <w:lang w:val="es-ES_tradnl"/>
        </w:rPr>
        <w:t>, el Estado incurrió en divers</w:t>
      </w:r>
      <w:r w:rsidR="00E3384C" w:rsidRPr="009D1618">
        <w:rPr>
          <w:rFonts w:ascii="Cambria" w:hAnsi="Cambria"/>
          <w:sz w:val="20"/>
          <w:szCs w:val="20"/>
          <w:lang w:val="es-ES_tradnl"/>
        </w:rPr>
        <w:t xml:space="preserve">as violaciones a sus derechos. </w:t>
      </w:r>
      <w:r w:rsidR="00AC5B1D" w:rsidRPr="009D1618">
        <w:rPr>
          <w:rFonts w:ascii="Cambria" w:hAnsi="Cambria"/>
          <w:sz w:val="20"/>
          <w:szCs w:val="20"/>
          <w:lang w:val="es-ES_tradnl"/>
        </w:rPr>
        <w:t xml:space="preserve"> </w:t>
      </w:r>
    </w:p>
    <w:p w14:paraId="58D132DC" w14:textId="77777777" w:rsidR="00113BA4" w:rsidRPr="009D1618" w:rsidRDefault="00113BA4" w:rsidP="00113BA4">
      <w:pPr>
        <w:pStyle w:val="ListParagraph"/>
        <w:rPr>
          <w:sz w:val="20"/>
          <w:szCs w:val="20"/>
          <w:lang w:val="es-ES_tradnl"/>
        </w:rPr>
      </w:pPr>
    </w:p>
    <w:p w14:paraId="6C9904A3" w14:textId="77777777" w:rsidR="00113BA4" w:rsidRPr="009D1618" w:rsidRDefault="00125199" w:rsidP="00113BA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9D1618">
        <w:rPr>
          <w:rFonts w:ascii="Cambria" w:hAnsi="Cambria"/>
          <w:sz w:val="20"/>
          <w:szCs w:val="20"/>
          <w:lang w:val="es-ES_tradnl"/>
        </w:rPr>
        <w:t>A</w:t>
      </w:r>
      <w:r w:rsidR="00113BA4" w:rsidRPr="009D1618">
        <w:rPr>
          <w:rFonts w:ascii="Cambria" w:hAnsi="Cambria"/>
          <w:sz w:val="20"/>
          <w:szCs w:val="20"/>
          <w:lang w:val="es-ES_tradnl"/>
        </w:rPr>
        <w:t>rgumentaron</w:t>
      </w:r>
      <w:r w:rsidRPr="009D1618">
        <w:rPr>
          <w:rFonts w:ascii="Cambria" w:hAnsi="Cambria"/>
          <w:sz w:val="20"/>
          <w:szCs w:val="20"/>
          <w:lang w:val="es-ES_tradnl"/>
        </w:rPr>
        <w:t xml:space="preserve"> que se violaron </w:t>
      </w:r>
      <w:r w:rsidR="005A4BD4" w:rsidRPr="009D1618">
        <w:rPr>
          <w:rFonts w:ascii="Cambria" w:hAnsi="Cambria"/>
          <w:sz w:val="20"/>
          <w:szCs w:val="20"/>
          <w:lang w:val="es-ES_tradnl"/>
        </w:rPr>
        <w:t>sus</w:t>
      </w:r>
      <w:r w:rsidRPr="009D1618">
        <w:rPr>
          <w:rFonts w:ascii="Cambria" w:hAnsi="Cambria"/>
          <w:sz w:val="20"/>
          <w:szCs w:val="20"/>
          <w:lang w:val="es-ES_tradnl"/>
        </w:rPr>
        <w:t xml:space="preserve"> </w:t>
      </w:r>
      <w:r w:rsidRPr="009D1618">
        <w:rPr>
          <w:rFonts w:ascii="Cambria" w:hAnsi="Cambria"/>
          <w:b/>
          <w:sz w:val="20"/>
          <w:szCs w:val="20"/>
          <w:lang w:val="es-ES_tradnl"/>
        </w:rPr>
        <w:t xml:space="preserve">derechos </w:t>
      </w:r>
      <w:r w:rsidR="000D47FD" w:rsidRPr="009D1618">
        <w:rPr>
          <w:rFonts w:ascii="Cambria" w:hAnsi="Cambria"/>
          <w:b/>
          <w:sz w:val="20"/>
          <w:szCs w:val="20"/>
          <w:lang w:val="es-ES_tradnl"/>
        </w:rPr>
        <w:t>a las garantías judiciales y protección judicial</w:t>
      </w:r>
      <w:r w:rsidR="000D47FD" w:rsidRPr="009D1618">
        <w:rPr>
          <w:rFonts w:ascii="Cambria" w:hAnsi="Cambria"/>
          <w:sz w:val="20"/>
          <w:szCs w:val="20"/>
          <w:lang w:val="es-ES_tradnl"/>
        </w:rPr>
        <w:t xml:space="preserve"> en el marco de los procesos que condujeron a la condena a muerte. En particular a</w:t>
      </w:r>
      <w:r w:rsidR="00834E68" w:rsidRPr="009D1618">
        <w:rPr>
          <w:rFonts w:ascii="Cambria" w:hAnsi="Cambria"/>
          <w:sz w:val="20"/>
          <w:szCs w:val="20"/>
          <w:lang w:val="es-ES_tradnl"/>
        </w:rPr>
        <w:t>legaron</w:t>
      </w:r>
      <w:r w:rsidR="000D47FD" w:rsidRPr="009D1618">
        <w:rPr>
          <w:rFonts w:ascii="Cambria" w:hAnsi="Cambria"/>
          <w:sz w:val="20"/>
          <w:szCs w:val="20"/>
          <w:lang w:val="es-ES_tradnl"/>
        </w:rPr>
        <w:t xml:space="preserve"> </w:t>
      </w:r>
      <w:r w:rsidRPr="009D1618">
        <w:rPr>
          <w:rFonts w:ascii="Cambria" w:hAnsi="Cambria"/>
          <w:sz w:val="20"/>
          <w:szCs w:val="20"/>
          <w:lang w:val="es-ES_tradnl"/>
        </w:rPr>
        <w:t>la falta de imparcialidad del Trib</w:t>
      </w:r>
      <w:r w:rsidR="00DE2B80" w:rsidRPr="009D1618">
        <w:rPr>
          <w:rFonts w:ascii="Cambria" w:hAnsi="Cambria"/>
          <w:sz w:val="20"/>
          <w:szCs w:val="20"/>
          <w:lang w:val="es-ES_tradnl"/>
        </w:rPr>
        <w:t>unal a cargo del proceso penal por la indebida valoración de diversos medios de prueba</w:t>
      </w:r>
      <w:r w:rsidR="007567D0" w:rsidRPr="009D1618">
        <w:rPr>
          <w:rFonts w:ascii="Cambria" w:hAnsi="Cambria"/>
          <w:sz w:val="20"/>
          <w:szCs w:val="20"/>
          <w:lang w:val="es-ES_tradnl"/>
        </w:rPr>
        <w:t xml:space="preserve">. Específicamente, indicaron que </w:t>
      </w:r>
      <w:r w:rsidRPr="009D1618">
        <w:rPr>
          <w:rFonts w:ascii="Cambria" w:hAnsi="Cambria"/>
          <w:sz w:val="20"/>
          <w:szCs w:val="20"/>
          <w:lang w:val="es-ES_tradnl"/>
        </w:rPr>
        <w:t>el juez que controló el periodo de investigación también participó como Presidente del Tribunal de Sentencia durante la etapa de juicio</w:t>
      </w:r>
      <w:r w:rsidR="00873A77" w:rsidRPr="009D1618">
        <w:rPr>
          <w:rFonts w:ascii="Cambria" w:hAnsi="Cambria"/>
          <w:sz w:val="20"/>
          <w:szCs w:val="20"/>
          <w:lang w:val="es-ES_tradnl"/>
        </w:rPr>
        <w:t xml:space="preserve">. Agregaron que hubo una </w:t>
      </w:r>
      <w:r w:rsidRPr="009D1618">
        <w:rPr>
          <w:rFonts w:ascii="Cambria" w:hAnsi="Cambria"/>
          <w:sz w:val="20"/>
          <w:szCs w:val="20"/>
          <w:lang w:val="es-ES_tradnl"/>
        </w:rPr>
        <w:t xml:space="preserve"> falta de motivación suficiente de la sentencia y porque los recursos de impugnación planteados, permitieron examinar cuestiones de forma, p</w:t>
      </w:r>
      <w:r w:rsidR="00B60C1C" w:rsidRPr="009D1618">
        <w:rPr>
          <w:rFonts w:ascii="Cambria" w:hAnsi="Cambria"/>
          <w:sz w:val="20"/>
          <w:szCs w:val="20"/>
          <w:lang w:val="es-ES_tradnl"/>
        </w:rPr>
        <w:t>ero no el fondo de la decisión.</w:t>
      </w:r>
    </w:p>
    <w:p w14:paraId="4553DA26" w14:textId="77777777" w:rsidR="00B60C1C" w:rsidRPr="009D1618" w:rsidRDefault="00B60C1C" w:rsidP="00B60C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3CE4C43D" w14:textId="77777777" w:rsidR="00FD0360" w:rsidRPr="009D1618" w:rsidRDefault="00C315BA" w:rsidP="00091C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_tradnl"/>
        </w:rPr>
      </w:pPr>
      <w:r w:rsidRPr="009D1618">
        <w:rPr>
          <w:rFonts w:ascii="Cambria" w:hAnsi="Cambria"/>
          <w:sz w:val="20"/>
          <w:szCs w:val="20"/>
          <w:lang w:val="es-ES_tradnl"/>
        </w:rPr>
        <w:t>Finalmente</w:t>
      </w:r>
      <w:r w:rsidR="005A4BD4" w:rsidRPr="009D1618">
        <w:rPr>
          <w:rFonts w:ascii="Cambria" w:hAnsi="Cambria"/>
          <w:sz w:val="20"/>
          <w:szCs w:val="20"/>
          <w:lang w:val="es-ES_tradnl"/>
        </w:rPr>
        <w:t>,</w:t>
      </w:r>
      <w:r w:rsidRPr="009D1618">
        <w:rPr>
          <w:rFonts w:ascii="Cambria" w:hAnsi="Cambria"/>
          <w:sz w:val="20"/>
          <w:szCs w:val="20"/>
          <w:lang w:val="es-ES_tradnl"/>
        </w:rPr>
        <w:t xml:space="preserve"> alegaron la violación del </w:t>
      </w:r>
      <w:r w:rsidRPr="009D1618">
        <w:rPr>
          <w:rFonts w:ascii="Cambria" w:hAnsi="Cambria"/>
          <w:b/>
          <w:sz w:val="20"/>
          <w:szCs w:val="20"/>
          <w:lang w:val="es-ES_tradnl"/>
        </w:rPr>
        <w:t>derecho a la integridad personal</w:t>
      </w:r>
      <w:r w:rsidR="00DE2B80" w:rsidRPr="009D1618">
        <w:rPr>
          <w:rFonts w:ascii="Cambria" w:hAnsi="Cambria"/>
          <w:b/>
          <w:sz w:val="20"/>
          <w:szCs w:val="20"/>
          <w:lang w:val="es-ES_tradnl"/>
        </w:rPr>
        <w:t>,</w:t>
      </w:r>
      <w:r w:rsidRPr="009D1618">
        <w:rPr>
          <w:rFonts w:ascii="Cambria" w:hAnsi="Cambria"/>
          <w:b/>
          <w:sz w:val="20"/>
          <w:szCs w:val="20"/>
          <w:lang w:val="es-ES_tradnl"/>
        </w:rPr>
        <w:t xml:space="preserve"> </w:t>
      </w:r>
      <w:r w:rsidRPr="009D1618">
        <w:rPr>
          <w:rFonts w:ascii="Cambria" w:hAnsi="Cambria"/>
          <w:sz w:val="20"/>
          <w:szCs w:val="20"/>
          <w:lang w:val="es-ES_tradnl"/>
        </w:rPr>
        <w:t xml:space="preserve">porque las </w:t>
      </w:r>
      <w:r w:rsidR="000D47FD" w:rsidRPr="009D1618">
        <w:rPr>
          <w:rFonts w:ascii="Cambria" w:hAnsi="Cambria"/>
          <w:sz w:val="20"/>
          <w:szCs w:val="20"/>
          <w:lang w:val="es-ES_tradnl"/>
        </w:rPr>
        <w:t>presuntas</w:t>
      </w:r>
      <w:r w:rsidRPr="009D1618">
        <w:rPr>
          <w:rFonts w:ascii="Cambria" w:hAnsi="Cambria"/>
          <w:sz w:val="20"/>
          <w:szCs w:val="20"/>
          <w:lang w:val="es-ES_tradnl"/>
        </w:rPr>
        <w:t xml:space="preserve"> víctimas fueron</w:t>
      </w:r>
      <w:r w:rsidR="005921BB" w:rsidRPr="009D1618">
        <w:rPr>
          <w:rFonts w:ascii="Cambria" w:hAnsi="Cambria"/>
          <w:sz w:val="20"/>
          <w:szCs w:val="20"/>
          <w:lang w:val="es-ES_tradnl"/>
        </w:rPr>
        <w:t xml:space="preserve"> sometidas a condiciones de detención inadecuadas y tuvieron que esperar </w:t>
      </w:r>
      <w:r w:rsidR="00425E0C" w:rsidRPr="009D1618">
        <w:rPr>
          <w:rFonts w:ascii="Cambria" w:hAnsi="Cambria"/>
          <w:sz w:val="20"/>
          <w:szCs w:val="20"/>
          <w:lang w:val="es-ES_tradnl"/>
        </w:rPr>
        <w:t>largos</w:t>
      </w:r>
      <w:r w:rsidR="005921BB" w:rsidRPr="009D1618">
        <w:rPr>
          <w:rFonts w:ascii="Cambria" w:hAnsi="Cambria"/>
          <w:sz w:val="20"/>
          <w:szCs w:val="20"/>
          <w:lang w:val="es-ES_tradnl"/>
        </w:rPr>
        <w:t xml:space="preserve"> años </w:t>
      </w:r>
      <w:r w:rsidR="007F79B5" w:rsidRPr="009D1618">
        <w:rPr>
          <w:rFonts w:ascii="Cambria" w:hAnsi="Cambria"/>
          <w:sz w:val="20"/>
          <w:szCs w:val="20"/>
          <w:lang w:val="es-ES_tradnl"/>
        </w:rPr>
        <w:t xml:space="preserve">en el corredor de la muerte, hasta que fue conmutada su pena. </w:t>
      </w:r>
      <w:r w:rsidR="0080230B" w:rsidRPr="009D1618">
        <w:rPr>
          <w:rFonts w:ascii="Cambria" w:hAnsi="Cambria"/>
          <w:sz w:val="20"/>
          <w:szCs w:val="20"/>
          <w:lang w:val="es-ES_tradnl"/>
        </w:rPr>
        <w:t>Asimismo, refirieron que se vulneró</w:t>
      </w:r>
      <w:r w:rsidR="0080230B" w:rsidRPr="009D1618">
        <w:rPr>
          <w:rFonts w:ascii="Cambria" w:hAnsi="Cambria"/>
          <w:sz w:val="20"/>
          <w:szCs w:val="20"/>
          <w:lang w:val="es-VE"/>
        </w:rPr>
        <w:t xml:space="preserve"> dicho artículo porque </w:t>
      </w:r>
      <w:r w:rsidR="00672029" w:rsidRPr="009D1618">
        <w:rPr>
          <w:rFonts w:ascii="Cambria" w:hAnsi="Cambria"/>
          <w:sz w:val="20"/>
          <w:szCs w:val="20"/>
          <w:lang w:val="es-VE"/>
        </w:rPr>
        <w:t xml:space="preserve">Miguel Ángel López Caló y Miguel Ángel Rodríguez Revolorio </w:t>
      </w:r>
      <w:r w:rsidR="000F3FA8" w:rsidRPr="009D1618">
        <w:rPr>
          <w:rFonts w:ascii="Cambria" w:hAnsi="Cambria"/>
          <w:sz w:val="20"/>
          <w:szCs w:val="20"/>
          <w:lang w:val="es-VE"/>
        </w:rPr>
        <w:t xml:space="preserve">no </w:t>
      </w:r>
      <w:r w:rsidR="00672029" w:rsidRPr="009D1618">
        <w:rPr>
          <w:rFonts w:ascii="Cambria" w:hAnsi="Cambria"/>
          <w:sz w:val="20"/>
          <w:szCs w:val="20"/>
          <w:lang w:val="es-VE"/>
        </w:rPr>
        <w:t>ha</w:t>
      </w:r>
      <w:r w:rsidR="00F30E35" w:rsidRPr="009D1618">
        <w:rPr>
          <w:rFonts w:ascii="Cambria" w:hAnsi="Cambria"/>
          <w:sz w:val="20"/>
          <w:szCs w:val="20"/>
          <w:lang w:val="es-VE"/>
        </w:rPr>
        <w:t>bían</w:t>
      </w:r>
      <w:r w:rsidR="00672029" w:rsidRPr="009D1618">
        <w:rPr>
          <w:rFonts w:ascii="Cambria" w:hAnsi="Cambria"/>
          <w:sz w:val="20"/>
          <w:szCs w:val="20"/>
          <w:lang w:val="es-VE"/>
        </w:rPr>
        <w:t xml:space="preserve"> recibido atención médica, ayuda psicológica o mucho menos medicinas para las distintas afecciones </w:t>
      </w:r>
      <w:r w:rsidR="00A15F71" w:rsidRPr="009D1618">
        <w:rPr>
          <w:rFonts w:ascii="Cambria" w:hAnsi="Cambria"/>
          <w:sz w:val="20"/>
          <w:szCs w:val="20"/>
          <w:lang w:val="es-VE"/>
        </w:rPr>
        <w:t>que padecen y que se relacionan con su espera para ser ejecutados. En particular refirieron que el señor Miguel Ángel López Calo padece de diabetes me</w:t>
      </w:r>
      <w:r w:rsidR="00091CC0" w:rsidRPr="009D1618">
        <w:rPr>
          <w:rFonts w:ascii="Cambria" w:hAnsi="Cambria"/>
          <w:sz w:val="20"/>
          <w:szCs w:val="20"/>
          <w:lang w:val="es-VE"/>
        </w:rPr>
        <w:t xml:space="preserve">llitus, neuropatía secundaria, </w:t>
      </w:r>
      <w:r w:rsidR="00A15F71" w:rsidRPr="009D1618">
        <w:rPr>
          <w:rFonts w:ascii="Cambria" w:hAnsi="Cambria"/>
          <w:sz w:val="20"/>
          <w:szCs w:val="20"/>
          <w:lang w:val="es-VE"/>
        </w:rPr>
        <w:t>disfunción eréctil,</w:t>
      </w:r>
      <w:r w:rsidR="00091CC0" w:rsidRPr="009D1618">
        <w:rPr>
          <w:rFonts w:ascii="Cambria" w:hAnsi="Cambria"/>
          <w:sz w:val="20"/>
          <w:szCs w:val="20"/>
          <w:lang w:val="es-VE"/>
        </w:rPr>
        <w:t xml:space="preserve"> dolor en las piernas, fuertes dolores de cabeza y dolores en las extremi</w:t>
      </w:r>
      <w:r w:rsidR="000F3FA8" w:rsidRPr="009D1618">
        <w:rPr>
          <w:rFonts w:ascii="Cambria" w:hAnsi="Cambria"/>
          <w:sz w:val="20"/>
          <w:szCs w:val="20"/>
          <w:lang w:val="es-VE"/>
        </w:rPr>
        <w:t xml:space="preserve">dades superiores e inferiores, </w:t>
      </w:r>
      <w:r w:rsidR="00A15F71" w:rsidRPr="009D1618">
        <w:rPr>
          <w:rFonts w:ascii="Cambria" w:hAnsi="Cambria"/>
          <w:sz w:val="20"/>
          <w:szCs w:val="20"/>
          <w:lang w:val="es-VE"/>
        </w:rPr>
        <w:t>sin embargo no se le ha dado el t</w:t>
      </w:r>
      <w:r w:rsidR="00AC3D40" w:rsidRPr="009D1618">
        <w:rPr>
          <w:rFonts w:ascii="Cambria" w:hAnsi="Cambria"/>
          <w:sz w:val="20"/>
          <w:szCs w:val="20"/>
          <w:lang w:val="es-VE"/>
        </w:rPr>
        <w:t>ratamiento médico ni los medicamentos adecuados para</w:t>
      </w:r>
      <w:r w:rsidR="000F3FA8" w:rsidRPr="009D1618">
        <w:rPr>
          <w:rFonts w:ascii="Cambria" w:hAnsi="Cambria"/>
          <w:sz w:val="20"/>
          <w:szCs w:val="20"/>
          <w:lang w:val="es-VE"/>
        </w:rPr>
        <w:t xml:space="preserve"> estas afectaciones a su salud.</w:t>
      </w:r>
      <w:r w:rsidR="00672029" w:rsidRPr="009D1618">
        <w:rPr>
          <w:rFonts w:ascii="Cambria" w:hAnsi="Cambria"/>
          <w:sz w:val="20"/>
          <w:szCs w:val="20"/>
          <w:lang w:val="es-VE"/>
        </w:rPr>
        <w:t xml:space="preserve"> </w:t>
      </w:r>
      <w:r w:rsidR="00115A12" w:rsidRPr="009D1618">
        <w:rPr>
          <w:rFonts w:ascii="Cambria" w:hAnsi="Cambria"/>
          <w:sz w:val="20"/>
          <w:szCs w:val="20"/>
          <w:lang w:val="es-ES_tradnl"/>
        </w:rPr>
        <w:t>Los peticionarios informaron que Aníbal Archila Pérez falleció el 16 de julio de 1999 a causa de problemas diabéticos y como consecuencia de la falta de atención médica adecuada en la cárcel.</w:t>
      </w:r>
    </w:p>
    <w:p w14:paraId="2F49293C" w14:textId="77777777" w:rsidR="00FD0360" w:rsidRPr="009D1618" w:rsidRDefault="00FD0360" w:rsidP="00CD3E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_tradnl"/>
        </w:rPr>
      </w:pPr>
    </w:p>
    <w:p w14:paraId="24BFAACE" w14:textId="77777777" w:rsidR="00FD0360" w:rsidRPr="009D1618" w:rsidRDefault="005921BB" w:rsidP="00CD5C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ES_tradnl"/>
        </w:rPr>
        <w:t xml:space="preserve">Resaltaron que interpusieron todos los recursos disponibles para impugnar la sentencia y la pena impuesta, sin embargo fueron declarados sin lugar. </w:t>
      </w:r>
    </w:p>
    <w:p w14:paraId="680869AA" w14:textId="77777777" w:rsidR="00A26639" w:rsidRPr="009D1618" w:rsidRDefault="00A26639" w:rsidP="00A2663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5CA8DE1" w14:textId="77777777" w:rsidR="00E40449" w:rsidRPr="009D1618" w:rsidRDefault="00E40449" w:rsidP="005E081B">
      <w:pPr>
        <w:pStyle w:val="Heading2"/>
        <w:numPr>
          <w:ilvl w:val="0"/>
          <w:numId w:val="59"/>
        </w:numPr>
        <w:rPr>
          <w:rFonts w:ascii="Cambria" w:hAnsi="Cambria"/>
        </w:rPr>
      </w:pPr>
      <w:bookmarkStart w:id="25" w:name="_Toc370840747"/>
      <w:bookmarkStart w:id="26" w:name="_Toc370840843"/>
      <w:bookmarkStart w:id="27" w:name="_Toc423514409"/>
      <w:bookmarkStart w:id="28" w:name="_Toc433115985"/>
      <w:bookmarkStart w:id="29" w:name="_Toc444958128"/>
      <w:bookmarkStart w:id="30" w:name="_Toc475546039"/>
      <w:bookmarkStart w:id="31" w:name="_Toc489111546"/>
      <w:r w:rsidRPr="009D1618">
        <w:rPr>
          <w:rFonts w:ascii="Cambria" w:hAnsi="Cambria"/>
        </w:rPr>
        <w:t>Posición del Estado</w:t>
      </w:r>
      <w:bookmarkEnd w:id="25"/>
      <w:bookmarkEnd w:id="26"/>
      <w:bookmarkEnd w:id="27"/>
      <w:bookmarkEnd w:id="28"/>
      <w:bookmarkEnd w:id="29"/>
      <w:bookmarkEnd w:id="30"/>
      <w:bookmarkEnd w:id="31"/>
    </w:p>
    <w:p w14:paraId="66B1B286" w14:textId="77777777" w:rsidR="00A44446" w:rsidRPr="009D1618" w:rsidRDefault="00A44446" w:rsidP="00113BA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4A1AAAF3" w14:textId="77777777" w:rsidR="00113BA4" w:rsidRPr="009D1618" w:rsidRDefault="00113BA4" w:rsidP="0003010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sz w:val="20"/>
          <w:szCs w:val="20"/>
          <w:lang w:val="es-CO"/>
        </w:rPr>
        <w:t>El Estado indicó de manera general que en el proceso penal seguido en contra de las presuntas víctimas se respetaron todas las garantías del debido proceso.</w:t>
      </w:r>
      <w:r w:rsidR="0003010B" w:rsidRPr="009D1618">
        <w:rPr>
          <w:rFonts w:ascii="Cambria" w:hAnsi="Cambria"/>
          <w:sz w:val="20"/>
          <w:szCs w:val="20"/>
          <w:lang w:val="es-CO"/>
        </w:rPr>
        <w:t xml:space="preserve"> Agregó que los peticionarios</w:t>
      </w:r>
      <w:r w:rsidR="0003010B" w:rsidRPr="009D1618">
        <w:rPr>
          <w:rFonts w:ascii="Cambria" w:hAnsi="Cambria"/>
          <w:sz w:val="20"/>
          <w:szCs w:val="20"/>
          <w:lang w:val="es-ES_tradnl"/>
        </w:rPr>
        <w:t xml:space="preserve"> </w:t>
      </w:r>
      <w:r w:rsidR="00144E8B" w:rsidRPr="009D1618">
        <w:rPr>
          <w:rFonts w:ascii="Cambria" w:hAnsi="Cambria"/>
          <w:sz w:val="20"/>
          <w:szCs w:val="20"/>
          <w:lang w:val="es-ES_tradnl"/>
        </w:rPr>
        <w:t xml:space="preserve">no </w:t>
      </w:r>
      <w:r w:rsidR="005921BB" w:rsidRPr="009D1618">
        <w:rPr>
          <w:rFonts w:ascii="Cambria" w:hAnsi="Cambria"/>
          <w:sz w:val="20"/>
          <w:szCs w:val="20"/>
          <w:lang w:val="es-ES_tradnl"/>
        </w:rPr>
        <w:t>agota</w:t>
      </w:r>
      <w:r w:rsidR="00144E8B" w:rsidRPr="009D1618">
        <w:rPr>
          <w:rFonts w:ascii="Cambria" w:hAnsi="Cambria"/>
          <w:sz w:val="20"/>
          <w:szCs w:val="20"/>
          <w:lang w:val="es-ES_tradnl"/>
        </w:rPr>
        <w:t>ron</w:t>
      </w:r>
      <w:r w:rsidR="005921BB" w:rsidRPr="009D1618">
        <w:rPr>
          <w:rFonts w:ascii="Cambria" w:hAnsi="Cambria"/>
          <w:sz w:val="20"/>
          <w:szCs w:val="20"/>
          <w:lang w:val="es-ES_tradnl"/>
        </w:rPr>
        <w:t xml:space="preserve"> los recursos internos p</w:t>
      </w:r>
      <w:r w:rsidR="002E5B5D" w:rsidRPr="009D1618">
        <w:rPr>
          <w:rFonts w:ascii="Cambria" w:hAnsi="Cambria"/>
          <w:sz w:val="20"/>
          <w:szCs w:val="20"/>
          <w:lang w:val="es-ES_tradnl"/>
        </w:rPr>
        <w:t>ues</w:t>
      </w:r>
      <w:r w:rsidR="005921BB" w:rsidRPr="009D1618">
        <w:rPr>
          <w:rFonts w:ascii="Cambria" w:hAnsi="Cambria"/>
          <w:sz w:val="20"/>
          <w:szCs w:val="20"/>
          <w:lang w:val="es-ES_tradnl"/>
        </w:rPr>
        <w:t xml:space="preserve"> no plante</w:t>
      </w:r>
      <w:r w:rsidR="0003010B" w:rsidRPr="009D1618">
        <w:rPr>
          <w:rFonts w:ascii="Cambria" w:hAnsi="Cambria"/>
          <w:sz w:val="20"/>
          <w:szCs w:val="20"/>
          <w:lang w:val="es-ES_tradnl"/>
        </w:rPr>
        <w:t>aron</w:t>
      </w:r>
      <w:r w:rsidR="005921BB" w:rsidRPr="009D1618">
        <w:rPr>
          <w:rFonts w:ascii="Cambria" w:hAnsi="Cambria"/>
          <w:sz w:val="20"/>
          <w:szCs w:val="20"/>
          <w:lang w:val="es-ES_tradnl"/>
        </w:rPr>
        <w:t xml:space="preserve"> el recurso de gracia o indulto, el cual se encontraba disponible al momento de los hechos. </w:t>
      </w:r>
    </w:p>
    <w:p w14:paraId="7C1D182C" w14:textId="77777777" w:rsidR="00113BA4" w:rsidRPr="009D1618" w:rsidRDefault="00113BA4" w:rsidP="0003010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rPr>
      </w:pPr>
    </w:p>
    <w:p w14:paraId="03353F68" w14:textId="77777777" w:rsidR="0003010B" w:rsidRPr="009D1618" w:rsidRDefault="00C70378" w:rsidP="00180C9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sz w:val="20"/>
          <w:szCs w:val="20"/>
          <w:lang w:val="es-ES_tradnl"/>
        </w:rPr>
        <w:t xml:space="preserve">En cuanto al derecho, alegó que no se violaron los derechos a las </w:t>
      </w:r>
      <w:r w:rsidRPr="009D1618">
        <w:rPr>
          <w:rFonts w:ascii="Cambria" w:hAnsi="Cambria"/>
          <w:b/>
          <w:sz w:val="20"/>
          <w:szCs w:val="20"/>
          <w:lang w:val="es-ES_tradnl"/>
        </w:rPr>
        <w:t>garantías judiciales y protección judicial</w:t>
      </w:r>
      <w:r w:rsidRPr="009D1618">
        <w:rPr>
          <w:rFonts w:ascii="Cambria" w:hAnsi="Cambria"/>
          <w:sz w:val="20"/>
          <w:szCs w:val="20"/>
          <w:lang w:val="es-ES_tradnl"/>
        </w:rPr>
        <w:t xml:space="preserve">, </w:t>
      </w:r>
      <w:r w:rsidR="005921BB" w:rsidRPr="009D1618">
        <w:rPr>
          <w:rFonts w:ascii="Cambria" w:hAnsi="Cambria"/>
          <w:sz w:val="20"/>
          <w:szCs w:val="20"/>
          <w:lang w:val="es-ES_tradnl"/>
        </w:rPr>
        <w:t>porque los tribunales analizaron cada uno de los recursos interpuestos y determinaron que no e</w:t>
      </w:r>
      <w:r w:rsidRPr="009D1618">
        <w:rPr>
          <w:rFonts w:ascii="Cambria" w:hAnsi="Cambria"/>
          <w:sz w:val="20"/>
          <w:szCs w:val="20"/>
          <w:lang w:val="es-ES_tradnl"/>
        </w:rPr>
        <w:t>ran procedentes.</w:t>
      </w:r>
      <w:r w:rsidR="00B65B17" w:rsidRPr="009D1618">
        <w:rPr>
          <w:rFonts w:ascii="Cambria" w:hAnsi="Cambria"/>
          <w:sz w:val="20"/>
          <w:szCs w:val="20"/>
          <w:lang w:val="es-ES_tradnl"/>
        </w:rPr>
        <w:t xml:space="preserve"> </w:t>
      </w:r>
    </w:p>
    <w:p w14:paraId="2CCE3028" w14:textId="77777777" w:rsidR="0003010B" w:rsidRPr="009D1618" w:rsidRDefault="0003010B" w:rsidP="0003010B">
      <w:pPr>
        <w:pStyle w:val="ListParagraph"/>
        <w:rPr>
          <w:sz w:val="20"/>
          <w:szCs w:val="20"/>
          <w:lang w:val="es-ES_tradnl"/>
        </w:rPr>
      </w:pPr>
    </w:p>
    <w:p w14:paraId="7D1A2AEC" w14:textId="77777777" w:rsidR="0003010B" w:rsidRPr="009D1618" w:rsidRDefault="00B65B17" w:rsidP="00180C9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sz w:val="20"/>
          <w:szCs w:val="20"/>
          <w:lang w:val="es-ES_tradnl"/>
        </w:rPr>
        <w:t xml:space="preserve">Argumentó que no se violó el </w:t>
      </w:r>
      <w:r w:rsidRPr="009D1618">
        <w:rPr>
          <w:rFonts w:ascii="Cambria" w:hAnsi="Cambria"/>
          <w:b/>
          <w:sz w:val="20"/>
          <w:szCs w:val="20"/>
          <w:lang w:val="es-ES_tradnl"/>
        </w:rPr>
        <w:t>derecho a la vida</w:t>
      </w:r>
      <w:r w:rsidRPr="009D1618">
        <w:rPr>
          <w:rFonts w:ascii="Cambria" w:hAnsi="Cambria"/>
          <w:sz w:val="20"/>
          <w:szCs w:val="20"/>
          <w:lang w:val="es-ES_tradnl"/>
        </w:rPr>
        <w:t>, p</w:t>
      </w:r>
      <w:r w:rsidR="003518F5" w:rsidRPr="009D1618">
        <w:rPr>
          <w:rFonts w:ascii="Cambria" w:hAnsi="Cambria"/>
          <w:sz w:val="20"/>
          <w:szCs w:val="20"/>
          <w:lang w:val="es-ES_tradnl"/>
        </w:rPr>
        <w:t>ues</w:t>
      </w:r>
      <w:r w:rsidRPr="009D1618">
        <w:rPr>
          <w:rFonts w:ascii="Cambria" w:hAnsi="Cambria"/>
          <w:sz w:val="20"/>
          <w:szCs w:val="20"/>
          <w:lang w:val="es-ES_tradnl"/>
        </w:rPr>
        <w:t xml:space="preserve"> el Tribunal </w:t>
      </w:r>
      <w:r w:rsidR="005921BB" w:rsidRPr="009D1618">
        <w:rPr>
          <w:rFonts w:ascii="Cambria" w:hAnsi="Cambria"/>
          <w:sz w:val="20"/>
          <w:szCs w:val="20"/>
          <w:lang w:val="es-ES_tradnl"/>
        </w:rPr>
        <w:t>dictó su sentencia dentro de los parámetros establecidos por el ordena</w:t>
      </w:r>
      <w:r w:rsidRPr="009D1618">
        <w:rPr>
          <w:rFonts w:ascii="Cambria" w:hAnsi="Cambria"/>
          <w:sz w:val="20"/>
          <w:szCs w:val="20"/>
          <w:lang w:val="es-ES_tradnl"/>
        </w:rPr>
        <w:t xml:space="preserve">miento jurídico guatemalteco. </w:t>
      </w:r>
    </w:p>
    <w:p w14:paraId="6FEDA002" w14:textId="77777777" w:rsidR="0003010B" w:rsidRPr="009D1618" w:rsidRDefault="0003010B" w:rsidP="0003010B">
      <w:pPr>
        <w:pStyle w:val="ListParagraph"/>
        <w:rPr>
          <w:sz w:val="20"/>
          <w:szCs w:val="20"/>
          <w:lang w:val="es-ES_tradnl"/>
        </w:rPr>
      </w:pPr>
    </w:p>
    <w:p w14:paraId="0A206BBC" w14:textId="77777777" w:rsidR="00FD0360" w:rsidRPr="009D1618" w:rsidRDefault="00B65B17" w:rsidP="00180C9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sz w:val="20"/>
          <w:szCs w:val="20"/>
          <w:lang w:val="es-ES_tradnl"/>
        </w:rPr>
        <w:t>Finalmente</w:t>
      </w:r>
      <w:r w:rsidR="00180C93" w:rsidRPr="009D1618">
        <w:rPr>
          <w:rFonts w:ascii="Cambria" w:hAnsi="Cambria"/>
          <w:sz w:val="20"/>
          <w:szCs w:val="20"/>
          <w:lang w:val="es-ES_tradnl"/>
        </w:rPr>
        <w:t>,</w:t>
      </w:r>
      <w:r w:rsidRPr="009D1618">
        <w:rPr>
          <w:rFonts w:ascii="Cambria" w:hAnsi="Cambria"/>
          <w:sz w:val="20"/>
          <w:szCs w:val="20"/>
          <w:lang w:val="es-ES_tradnl"/>
        </w:rPr>
        <w:t xml:space="preserve"> alegó que no se violó el </w:t>
      </w:r>
      <w:r w:rsidRPr="009D1618">
        <w:rPr>
          <w:rFonts w:ascii="Cambria" w:hAnsi="Cambria"/>
          <w:b/>
          <w:sz w:val="20"/>
          <w:szCs w:val="20"/>
          <w:lang w:val="es-ES_tradnl"/>
        </w:rPr>
        <w:t>derecho a la integridad personal</w:t>
      </w:r>
      <w:r w:rsidRPr="009D1618">
        <w:rPr>
          <w:rFonts w:ascii="Cambria" w:hAnsi="Cambria"/>
          <w:sz w:val="20"/>
          <w:szCs w:val="20"/>
          <w:lang w:val="es-ES_tradnl"/>
        </w:rPr>
        <w:t xml:space="preserve"> de las presuntas víctimas</w:t>
      </w:r>
      <w:r w:rsidR="003518F5" w:rsidRPr="009D1618">
        <w:rPr>
          <w:rFonts w:ascii="Cambria" w:hAnsi="Cambria"/>
          <w:sz w:val="20"/>
          <w:szCs w:val="20"/>
          <w:lang w:val="es-ES_tradnl"/>
        </w:rPr>
        <w:t xml:space="preserve"> pues</w:t>
      </w:r>
      <w:r w:rsidR="005921BB" w:rsidRPr="009D1618">
        <w:rPr>
          <w:rFonts w:ascii="Cambria" w:hAnsi="Cambria"/>
          <w:sz w:val="20"/>
          <w:szCs w:val="20"/>
          <w:lang w:val="es-ES_tradnl"/>
        </w:rPr>
        <w:t xml:space="preserve"> representantes del Estado realizaron visitas </w:t>
      </w:r>
      <w:r w:rsidR="0003010B" w:rsidRPr="009D1618">
        <w:rPr>
          <w:rFonts w:ascii="Cambria" w:hAnsi="Cambria"/>
          <w:sz w:val="20"/>
          <w:szCs w:val="20"/>
          <w:lang w:val="es-ES_tradnl"/>
        </w:rPr>
        <w:t>y determinaron que no habían</w:t>
      </w:r>
      <w:r w:rsidR="005921BB" w:rsidRPr="009D1618">
        <w:rPr>
          <w:rFonts w:ascii="Cambria" w:hAnsi="Cambria"/>
          <w:sz w:val="20"/>
          <w:szCs w:val="20"/>
          <w:lang w:val="es-ES_tradnl"/>
        </w:rPr>
        <w:t xml:space="preserve"> sido objeto de malos tratos y que se enc</w:t>
      </w:r>
      <w:r w:rsidR="0003010B" w:rsidRPr="009D1618">
        <w:rPr>
          <w:rFonts w:ascii="Cambria" w:hAnsi="Cambria"/>
          <w:sz w:val="20"/>
          <w:szCs w:val="20"/>
          <w:lang w:val="es-ES_tradnl"/>
        </w:rPr>
        <w:t>ontraban</w:t>
      </w:r>
      <w:r w:rsidR="005921BB" w:rsidRPr="009D1618">
        <w:rPr>
          <w:rFonts w:ascii="Cambria" w:hAnsi="Cambria"/>
          <w:sz w:val="20"/>
          <w:szCs w:val="20"/>
          <w:lang w:val="es-ES_tradnl"/>
        </w:rPr>
        <w:t xml:space="preserve"> en condiciones de detención apropiadas.</w:t>
      </w:r>
      <w:r w:rsidR="00180C93" w:rsidRPr="009D1618">
        <w:rPr>
          <w:rFonts w:ascii="Cambria" w:hAnsi="Cambria"/>
          <w:sz w:val="20"/>
          <w:szCs w:val="20"/>
          <w:lang w:val="es-ES_tradnl"/>
        </w:rPr>
        <w:t xml:space="preserve"> Agregó </w:t>
      </w:r>
      <w:r w:rsidRPr="009D1618">
        <w:rPr>
          <w:rFonts w:ascii="Cambria" w:hAnsi="Cambria"/>
          <w:sz w:val="20"/>
          <w:szCs w:val="20"/>
          <w:lang w:val="es-ES_tradnl"/>
        </w:rPr>
        <w:t xml:space="preserve">que tampoco se violó este derecho en relación con el fenómeno del “corredor de la muerte” porque a pesar de que transcurrieron 9 años </w:t>
      </w:r>
      <w:r w:rsidRPr="009D1618">
        <w:rPr>
          <w:rFonts w:ascii="Cambria" w:hAnsi="Cambria"/>
          <w:sz w:val="20"/>
          <w:szCs w:val="20"/>
          <w:lang w:val="es-ES_tradnl"/>
        </w:rPr>
        <w:lastRenderedPageBreak/>
        <w:t xml:space="preserve">sin un fallo definitivo en cuanto a la aplicación de la pena de muerte en contra de las presuntas víctimas, esto se debió a los recursos interpuestos a nivel interno, así como al trámite ante el Sistema Interamericano. </w:t>
      </w:r>
    </w:p>
    <w:p w14:paraId="18D1BA48" w14:textId="77777777" w:rsidR="00AE67C6" w:rsidRPr="009D1618" w:rsidRDefault="00AE67C6" w:rsidP="009C3C33">
      <w:pPr>
        <w:jc w:val="both"/>
        <w:rPr>
          <w:rFonts w:ascii="Cambria" w:hAnsi="Cambria" w:cs="Calibri"/>
          <w:sz w:val="20"/>
          <w:szCs w:val="20"/>
          <w:lang w:val="es-ES_tradnl"/>
        </w:rPr>
      </w:pPr>
    </w:p>
    <w:p w14:paraId="40E40B5D" w14:textId="77777777" w:rsidR="009C3C33" w:rsidRPr="009D1618" w:rsidRDefault="009C3C33" w:rsidP="0039344F">
      <w:pPr>
        <w:pStyle w:val="Heading1"/>
        <w:numPr>
          <w:ilvl w:val="0"/>
          <w:numId w:val="55"/>
        </w:numPr>
        <w:tabs>
          <w:tab w:val="clear" w:pos="1440"/>
        </w:tabs>
        <w:jc w:val="both"/>
        <w:rPr>
          <w:rFonts w:ascii="Cambria" w:hAnsi="Cambria"/>
          <w:lang w:val="es-VE"/>
        </w:rPr>
      </w:pPr>
      <w:bookmarkStart w:id="32" w:name="_Toc489111547"/>
      <w:bookmarkStart w:id="33" w:name="_Toc413687815"/>
      <w:bookmarkStart w:id="34" w:name="_Toc447208867"/>
      <w:bookmarkStart w:id="35" w:name="_Toc447213173"/>
      <w:bookmarkStart w:id="36" w:name="_Toc475546040"/>
      <w:r w:rsidRPr="009D1618">
        <w:rPr>
          <w:rFonts w:ascii="Cambria" w:hAnsi="Cambria"/>
          <w:lang w:val="es-VE"/>
        </w:rPr>
        <w:t>ANÁLISIS DE A</w:t>
      </w:r>
      <w:r w:rsidR="00E66401" w:rsidRPr="009D1618">
        <w:rPr>
          <w:rFonts w:ascii="Cambria" w:hAnsi="Cambria"/>
          <w:lang w:val="es-VE"/>
        </w:rPr>
        <w:t>DMISIBILIDAD</w:t>
      </w:r>
      <w:bookmarkEnd w:id="32"/>
      <w:r w:rsidR="00E66401" w:rsidRPr="009D1618">
        <w:rPr>
          <w:rFonts w:ascii="Cambria" w:hAnsi="Cambria"/>
          <w:lang w:val="es-VE"/>
        </w:rPr>
        <w:t xml:space="preserve"> </w:t>
      </w:r>
      <w:bookmarkEnd w:id="33"/>
      <w:bookmarkEnd w:id="34"/>
      <w:bookmarkEnd w:id="35"/>
      <w:bookmarkEnd w:id="36"/>
    </w:p>
    <w:p w14:paraId="0794B2E6" w14:textId="77777777" w:rsidR="00A620C5" w:rsidRPr="009D1618" w:rsidRDefault="00A620C5" w:rsidP="00A620C5">
      <w:pPr>
        <w:rPr>
          <w:rFonts w:ascii="Cambria" w:hAnsi="Cambria"/>
          <w:sz w:val="20"/>
          <w:szCs w:val="20"/>
          <w:lang w:val="es-VE"/>
        </w:rPr>
      </w:pPr>
    </w:p>
    <w:p w14:paraId="6E9FD94C" w14:textId="77777777" w:rsidR="009C3C33" w:rsidRPr="009D1618" w:rsidRDefault="009C3C33" w:rsidP="007B70F7">
      <w:pPr>
        <w:pStyle w:val="Heading2"/>
        <w:keepNext w:val="0"/>
        <w:numPr>
          <w:ilvl w:val="0"/>
          <w:numId w:val="61"/>
        </w:numPr>
        <w:pBdr>
          <w:top w:val="nil"/>
          <w:left w:val="nil"/>
          <w:bottom w:val="nil"/>
          <w:right w:val="nil"/>
          <w:between w:val="nil"/>
          <w:bar w:val="nil"/>
        </w:pBdr>
        <w:ind w:left="1440" w:hanging="720"/>
        <w:rPr>
          <w:rFonts w:ascii="Cambria" w:hAnsi="Cambria"/>
          <w:color w:val="000000"/>
          <w:lang w:val="es-ES"/>
        </w:rPr>
      </w:pPr>
      <w:bookmarkStart w:id="37" w:name="_Toc413687816"/>
      <w:bookmarkStart w:id="38" w:name="_Toc447208868"/>
      <w:bookmarkStart w:id="39" w:name="_Toc447213174"/>
      <w:bookmarkStart w:id="40" w:name="_Toc475546041"/>
      <w:bookmarkStart w:id="41" w:name="_Toc489111548"/>
      <w:r w:rsidRPr="009D1618">
        <w:rPr>
          <w:rFonts w:ascii="Cambria" w:hAnsi="Cambria"/>
          <w:lang w:val="es-ES"/>
        </w:rPr>
        <w:t xml:space="preserve">Competencia </w:t>
      </w:r>
      <w:r w:rsidRPr="009D1618">
        <w:rPr>
          <w:rFonts w:ascii="Cambria" w:hAnsi="Cambria"/>
          <w:i/>
          <w:lang w:val="es-ES"/>
        </w:rPr>
        <w:t>ratione</w:t>
      </w:r>
      <w:r w:rsidRPr="009D1618">
        <w:rPr>
          <w:rFonts w:ascii="Cambria" w:hAnsi="Cambria"/>
          <w:i/>
        </w:rPr>
        <w:t xml:space="preserve"> materiae</w:t>
      </w:r>
      <w:r w:rsidRPr="009D1618">
        <w:rPr>
          <w:rFonts w:ascii="Cambria" w:hAnsi="Cambria"/>
        </w:rPr>
        <w:t xml:space="preserve">, </w:t>
      </w:r>
      <w:r w:rsidRPr="009D1618">
        <w:rPr>
          <w:rFonts w:ascii="Cambria" w:hAnsi="Cambria"/>
          <w:i/>
        </w:rPr>
        <w:t>ratione personae</w:t>
      </w:r>
      <w:r w:rsidRPr="009D1618">
        <w:rPr>
          <w:rFonts w:ascii="Cambria" w:hAnsi="Cambria"/>
        </w:rPr>
        <w:t xml:space="preserve">, </w:t>
      </w:r>
      <w:r w:rsidRPr="009D1618">
        <w:rPr>
          <w:rFonts w:ascii="Cambria" w:hAnsi="Cambria"/>
          <w:i/>
        </w:rPr>
        <w:t>ratione temporis</w:t>
      </w:r>
      <w:r w:rsidRPr="009D1618">
        <w:rPr>
          <w:rFonts w:ascii="Cambria" w:hAnsi="Cambria"/>
        </w:rPr>
        <w:t xml:space="preserve"> y </w:t>
      </w:r>
      <w:r w:rsidRPr="009D1618">
        <w:rPr>
          <w:rFonts w:ascii="Cambria" w:hAnsi="Cambria"/>
          <w:i/>
        </w:rPr>
        <w:t>ratione loci</w:t>
      </w:r>
      <w:r w:rsidRPr="009D1618">
        <w:rPr>
          <w:rFonts w:ascii="Cambria" w:hAnsi="Cambria"/>
        </w:rPr>
        <w:t xml:space="preserve"> de la  Comisión</w:t>
      </w:r>
      <w:bookmarkEnd w:id="37"/>
      <w:bookmarkEnd w:id="38"/>
      <w:bookmarkEnd w:id="39"/>
      <w:bookmarkEnd w:id="40"/>
      <w:bookmarkEnd w:id="41"/>
      <w:r w:rsidRPr="009D1618">
        <w:rPr>
          <w:rFonts w:ascii="Cambria" w:hAnsi="Cambria"/>
          <w:color w:val="000000"/>
          <w:lang w:val="es-ES"/>
        </w:rPr>
        <w:t xml:space="preserve"> </w:t>
      </w:r>
    </w:p>
    <w:p w14:paraId="05603E36" w14:textId="77777777" w:rsidR="009C3C33" w:rsidRPr="009D1618" w:rsidRDefault="009C3C33"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VE"/>
        </w:rPr>
      </w:pPr>
    </w:p>
    <w:p w14:paraId="583F4BFF" w14:textId="77777777" w:rsidR="00FD0360" w:rsidRPr="009D1618" w:rsidRDefault="009C3C33"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sz w:val="20"/>
          <w:szCs w:val="20"/>
          <w:lang w:val="es-CO"/>
        </w:rPr>
        <w:t xml:space="preserve">Los peticionarios se encuentran facultados por el artículo 44 de la Convención Americana para presentar denuncias. Asimismo, las presuntas víctimas son personas naturales que se encontraban bajo la jurisdicción del Estado </w:t>
      </w:r>
      <w:r w:rsidR="00002210" w:rsidRPr="009D1618">
        <w:rPr>
          <w:rFonts w:ascii="Cambria" w:hAnsi="Cambria"/>
          <w:sz w:val="20"/>
          <w:szCs w:val="20"/>
          <w:lang w:val="es-CO"/>
        </w:rPr>
        <w:t>guatemalteco</w:t>
      </w:r>
      <w:r w:rsidRPr="009D1618">
        <w:rPr>
          <w:rFonts w:ascii="Cambria" w:hAnsi="Cambria"/>
          <w:sz w:val="20"/>
          <w:szCs w:val="20"/>
          <w:lang w:val="es-CO"/>
        </w:rPr>
        <w:t xml:space="preserve"> a la fecha de los hechos aducidos. En consecuencia, la Comisión tiene competencia </w:t>
      </w:r>
      <w:r w:rsidRPr="009D1618">
        <w:rPr>
          <w:rFonts w:ascii="Cambria" w:hAnsi="Cambria"/>
          <w:i/>
          <w:sz w:val="20"/>
          <w:szCs w:val="20"/>
          <w:lang w:val="es-CO"/>
        </w:rPr>
        <w:t>ratione personae</w:t>
      </w:r>
      <w:r w:rsidRPr="009D1618">
        <w:rPr>
          <w:rFonts w:ascii="Cambria" w:hAnsi="Cambria"/>
          <w:sz w:val="20"/>
          <w:szCs w:val="20"/>
          <w:lang w:val="es-CO"/>
        </w:rPr>
        <w:t xml:space="preserve"> para examinar la petición. La Comisión tiene competencia </w:t>
      </w:r>
      <w:r w:rsidRPr="009D1618">
        <w:rPr>
          <w:rFonts w:ascii="Cambria" w:hAnsi="Cambria"/>
          <w:i/>
          <w:sz w:val="20"/>
          <w:szCs w:val="20"/>
          <w:lang w:val="es-CO"/>
        </w:rPr>
        <w:t>ratione loci</w:t>
      </w:r>
      <w:r w:rsidRPr="009D1618">
        <w:rPr>
          <w:rFonts w:ascii="Cambria" w:hAnsi="Cambria"/>
          <w:sz w:val="20"/>
          <w:szCs w:val="20"/>
          <w:lang w:val="es-CO"/>
        </w:rPr>
        <w:t xml:space="preserve"> para conocer la petición, por cuanto en ella se alegan violaciones de la Convención Americana que habrían tenido lugar dentro del territorio de un Estado parte de dicho tratado. La CIDH tiene competencia </w:t>
      </w:r>
      <w:r w:rsidRPr="009D1618">
        <w:rPr>
          <w:rFonts w:ascii="Cambria" w:hAnsi="Cambria"/>
          <w:i/>
          <w:sz w:val="20"/>
          <w:szCs w:val="20"/>
          <w:lang w:val="es-CO"/>
        </w:rPr>
        <w:t>ratione materiae</w:t>
      </w:r>
      <w:r w:rsidRPr="009D1618">
        <w:rPr>
          <w:rFonts w:ascii="Cambria" w:hAnsi="Cambria"/>
          <w:sz w:val="20"/>
          <w:szCs w:val="20"/>
          <w:lang w:val="es-CO"/>
        </w:rPr>
        <w:t xml:space="preserve"> debido a que la petición se refiere a presuntas violacio</w:t>
      </w:r>
      <w:r w:rsidR="00FD0360" w:rsidRPr="009D1618">
        <w:rPr>
          <w:rFonts w:ascii="Cambria" w:hAnsi="Cambria"/>
          <w:sz w:val="20"/>
          <w:szCs w:val="20"/>
          <w:lang w:val="es-CO"/>
        </w:rPr>
        <w:t>nes de la Convención Americana.</w:t>
      </w:r>
    </w:p>
    <w:p w14:paraId="0F536030" w14:textId="77777777" w:rsidR="00FD0360" w:rsidRPr="009D1618" w:rsidRDefault="00FD0360" w:rsidP="00FD036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0C9DD028" w14:textId="77777777" w:rsidR="00C709D4" w:rsidRPr="009D1618" w:rsidRDefault="003A7C0D" w:rsidP="00C709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hAnsi="Cambria" w:cs="Calibri"/>
          <w:sz w:val="20"/>
          <w:szCs w:val="20"/>
          <w:lang w:val="es-MX"/>
        </w:rPr>
        <w:t xml:space="preserve"> Finalmente, l</w:t>
      </w:r>
      <w:r w:rsidRPr="009D1618">
        <w:rPr>
          <w:rFonts w:ascii="Cambria" w:hAnsi="Cambria" w:cs="Calibri"/>
          <w:sz w:val="20"/>
          <w:szCs w:val="20"/>
          <w:lang w:val="es-VE"/>
        </w:rPr>
        <w:t xml:space="preserve">a Comisión también tiene competencia </w:t>
      </w:r>
      <w:r w:rsidRPr="009D1618">
        <w:rPr>
          <w:rFonts w:ascii="Cambria" w:hAnsi="Cambria" w:cs="Calibri"/>
          <w:i/>
          <w:sz w:val="20"/>
          <w:szCs w:val="20"/>
          <w:lang w:val="es-VE"/>
        </w:rPr>
        <w:t>ratione temporis</w:t>
      </w:r>
      <w:r w:rsidR="00D37BBE" w:rsidRPr="009D1618">
        <w:rPr>
          <w:rFonts w:ascii="Cambria" w:hAnsi="Cambria" w:cs="Calibri"/>
          <w:sz w:val="20"/>
          <w:szCs w:val="20"/>
          <w:lang w:val="es-VE"/>
        </w:rPr>
        <w:t xml:space="preserve"> pues Guatemala</w:t>
      </w:r>
      <w:r w:rsidRPr="009D1618">
        <w:rPr>
          <w:rFonts w:ascii="Cambria" w:hAnsi="Cambria" w:cs="Calibri"/>
          <w:sz w:val="20"/>
          <w:szCs w:val="20"/>
          <w:lang w:val="es-VE"/>
        </w:rPr>
        <w:t xml:space="preserve"> ratificó la Convenc</w:t>
      </w:r>
      <w:r w:rsidR="00D37BBE" w:rsidRPr="009D1618">
        <w:rPr>
          <w:rFonts w:ascii="Cambria" w:hAnsi="Cambria" w:cs="Calibri"/>
          <w:sz w:val="20"/>
          <w:szCs w:val="20"/>
          <w:lang w:val="es-VE"/>
        </w:rPr>
        <w:t>ión Americana el 2</w:t>
      </w:r>
      <w:r w:rsidR="006D7C4C" w:rsidRPr="009D1618">
        <w:rPr>
          <w:rFonts w:ascii="Cambria" w:hAnsi="Cambria" w:cs="Calibri"/>
          <w:sz w:val="20"/>
          <w:szCs w:val="20"/>
          <w:lang w:val="es-VE"/>
        </w:rPr>
        <w:t>5</w:t>
      </w:r>
      <w:r w:rsidRPr="009D1618">
        <w:rPr>
          <w:rFonts w:ascii="Cambria" w:hAnsi="Cambria" w:cs="Calibri"/>
          <w:sz w:val="20"/>
          <w:szCs w:val="20"/>
          <w:lang w:val="es-VE"/>
        </w:rPr>
        <w:t xml:space="preserve"> de </w:t>
      </w:r>
      <w:r w:rsidR="006D7C4C" w:rsidRPr="009D1618">
        <w:rPr>
          <w:rFonts w:ascii="Cambria" w:hAnsi="Cambria" w:cs="Calibri"/>
          <w:sz w:val="20"/>
          <w:szCs w:val="20"/>
          <w:lang w:val="es-VE"/>
        </w:rPr>
        <w:t>mayo</w:t>
      </w:r>
      <w:r w:rsidR="00C709D4" w:rsidRPr="009D1618">
        <w:rPr>
          <w:rFonts w:ascii="Cambria" w:hAnsi="Cambria" w:cs="Calibri"/>
          <w:sz w:val="20"/>
          <w:szCs w:val="20"/>
          <w:lang w:val="es-VE"/>
        </w:rPr>
        <w:t xml:space="preserve"> de 1978</w:t>
      </w:r>
      <w:r w:rsidR="005E03D9" w:rsidRPr="009D1618">
        <w:rPr>
          <w:rFonts w:ascii="Cambria" w:hAnsi="Cambria" w:cs="Calibri"/>
          <w:sz w:val="20"/>
          <w:szCs w:val="20"/>
          <w:lang w:val="es-VE"/>
        </w:rPr>
        <w:t>.</w:t>
      </w:r>
      <w:r w:rsidR="00C709D4" w:rsidRPr="009D1618">
        <w:rPr>
          <w:rFonts w:ascii="Cambria" w:hAnsi="Cambria" w:cs="Calibri"/>
          <w:sz w:val="20"/>
          <w:szCs w:val="20"/>
          <w:lang w:val="es-VE"/>
        </w:rPr>
        <w:t xml:space="preserve"> </w:t>
      </w:r>
      <w:r w:rsidR="005E03D9" w:rsidRPr="009D1618">
        <w:rPr>
          <w:rFonts w:ascii="Cambria" w:hAnsi="Cambria" w:cs="Calibri"/>
          <w:sz w:val="20"/>
          <w:szCs w:val="20"/>
          <w:lang w:val="es-VE"/>
        </w:rPr>
        <w:t>A</w:t>
      </w:r>
      <w:r w:rsidR="00C709D4" w:rsidRPr="009D1618">
        <w:rPr>
          <w:rFonts w:ascii="Cambria" w:hAnsi="Cambria" w:cs="Calibri"/>
          <w:sz w:val="20"/>
          <w:szCs w:val="20"/>
          <w:lang w:val="es-VE"/>
        </w:rPr>
        <w:t xml:space="preserve">simismo, ratificó </w:t>
      </w:r>
      <w:r w:rsidR="00C709D4" w:rsidRPr="009D1618">
        <w:rPr>
          <w:rFonts w:ascii="Cambria" w:hAnsi="Cambria"/>
          <w:sz w:val="20"/>
          <w:szCs w:val="20"/>
          <w:lang w:val="es-CO"/>
        </w:rPr>
        <w:t>la Convención Interamericana para Prevenir y Sancionar la Tortura el 10 de diciembre de 1986. Por lo tanto la obligación de respetar y garantizar los derechos establecidos en ambos tratados estaba en vigor para el Estado en la fecha que habrían ocurrido los hechos.</w:t>
      </w:r>
    </w:p>
    <w:p w14:paraId="1D474349" w14:textId="77777777" w:rsidR="00DC6667" w:rsidRPr="009D1618" w:rsidRDefault="00DC666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VE"/>
        </w:rPr>
      </w:pPr>
    </w:p>
    <w:p w14:paraId="51ECF633" w14:textId="77777777" w:rsidR="009809FF" w:rsidRPr="009D1618" w:rsidRDefault="00D37BBE" w:rsidP="007B70F7">
      <w:pPr>
        <w:pStyle w:val="Heading2"/>
        <w:keepNext w:val="0"/>
        <w:numPr>
          <w:ilvl w:val="0"/>
          <w:numId w:val="61"/>
        </w:numPr>
        <w:pBdr>
          <w:top w:val="nil"/>
          <w:left w:val="nil"/>
          <w:bottom w:val="nil"/>
          <w:right w:val="nil"/>
          <w:between w:val="nil"/>
          <w:bar w:val="nil"/>
        </w:pBdr>
        <w:ind w:left="1440" w:hanging="720"/>
        <w:rPr>
          <w:rFonts w:ascii="Cambria" w:hAnsi="Cambria"/>
          <w:lang w:val="es-ES"/>
        </w:rPr>
      </w:pPr>
      <w:bookmarkStart w:id="42" w:name="_Toc413687817"/>
      <w:bookmarkStart w:id="43" w:name="_Toc447208869"/>
      <w:bookmarkStart w:id="44" w:name="_Toc447213175"/>
      <w:bookmarkStart w:id="45" w:name="_Toc475546042"/>
      <w:bookmarkStart w:id="46" w:name="_Toc489111549"/>
      <w:r w:rsidRPr="009D1618">
        <w:rPr>
          <w:rFonts w:ascii="Cambria" w:hAnsi="Cambria"/>
          <w:lang w:val="es-ES"/>
        </w:rPr>
        <w:t>Requisitos de admisibilidad</w:t>
      </w:r>
      <w:bookmarkEnd w:id="42"/>
      <w:bookmarkEnd w:id="43"/>
      <w:bookmarkEnd w:id="44"/>
      <w:bookmarkEnd w:id="45"/>
      <w:bookmarkEnd w:id="46"/>
    </w:p>
    <w:p w14:paraId="0AADE297" w14:textId="77777777" w:rsidR="00DD3EF7" w:rsidRPr="009D1618" w:rsidRDefault="00DD3EF7" w:rsidP="00DD3EF7">
      <w:pPr>
        <w:rPr>
          <w:rFonts w:ascii="Cambria" w:hAnsi="Cambria"/>
          <w:sz w:val="20"/>
          <w:szCs w:val="20"/>
          <w:lang w:val="es-ES"/>
        </w:rPr>
      </w:pPr>
    </w:p>
    <w:p w14:paraId="4BDA6916" w14:textId="77777777" w:rsidR="009809FF" w:rsidRPr="009D1618" w:rsidRDefault="009809FF"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47" w:name="_Toc413687818"/>
      <w:bookmarkStart w:id="48" w:name="_Toc447208870"/>
      <w:bookmarkStart w:id="49" w:name="_Toc447213176"/>
      <w:bookmarkStart w:id="50" w:name="_Toc475546043"/>
      <w:bookmarkStart w:id="51" w:name="_Toc489111550"/>
      <w:r w:rsidRPr="009D1618">
        <w:rPr>
          <w:rFonts w:ascii="Cambria" w:eastAsia="Times New Roman" w:hAnsi="Cambria" w:cs="Arial"/>
          <w:color w:val="auto"/>
          <w:sz w:val="20"/>
          <w:szCs w:val="20"/>
          <w:bdr w:val="none" w:sz="0" w:space="0" w:color="auto"/>
        </w:rPr>
        <w:t>Agotamiento de los recursos internos</w:t>
      </w:r>
      <w:bookmarkEnd w:id="47"/>
      <w:bookmarkEnd w:id="48"/>
      <w:bookmarkEnd w:id="49"/>
      <w:bookmarkEnd w:id="50"/>
      <w:bookmarkEnd w:id="51"/>
    </w:p>
    <w:p w14:paraId="14FE4D9B" w14:textId="77777777" w:rsidR="003A7C0D" w:rsidRPr="009D1618" w:rsidRDefault="003A7C0D"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VE"/>
        </w:rPr>
      </w:pPr>
    </w:p>
    <w:p w14:paraId="7AF3FA43" w14:textId="77777777" w:rsidR="00FD0360" w:rsidRPr="009D1618" w:rsidRDefault="00D37BBE" w:rsidP="006D2D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MX"/>
        </w:rPr>
      </w:pPr>
      <w:r w:rsidRPr="009D1618">
        <w:rPr>
          <w:rFonts w:ascii="Cambria" w:hAnsi="Cambria" w:cs="Calibri"/>
          <w:sz w:val="20"/>
          <w:szCs w:val="20"/>
          <w:lang w:val="es-MX"/>
        </w:rPr>
        <w:t>El artículo 46.1.a) de la Convención Americana dispone que, para que sea admisible una denuncia presentada ante la Comisión Interamericana de conformidad con el artículo 44 del mismo instrumento,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p>
    <w:p w14:paraId="7CD4DD10" w14:textId="77777777" w:rsidR="00B95EE0" w:rsidRPr="009D1618" w:rsidRDefault="00B95EE0" w:rsidP="00B95EE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MX"/>
        </w:rPr>
      </w:pPr>
    </w:p>
    <w:p w14:paraId="0D31B16A" w14:textId="77777777" w:rsidR="00960A27" w:rsidRPr="009D1618" w:rsidRDefault="00C9741F" w:rsidP="00A620C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La Comisión observa que </w:t>
      </w:r>
      <w:r w:rsidR="00A24E43" w:rsidRPr="009D1618">
        <w:rPr>
          <w:rFonts w:ascii="Cambria" w:hAnsi="Cambria" w:cs="Calibri"/>
          <w:sz w:val="20"/>
          <w:szCs w:val="20"/>
          <w:lang w:val="es-VE"/>
        </w:rPr>
        <w:t>las presuntas víctimas fueron condenadas a la</w:t>
      </w:r>
      <w:r w:rsidR="00086AA8" w:rsidRPr="009D1618">
        <w:rPr>
          <w:rFonts w:ascii="Cambria" w:hAnsi="Cambria" w:cs="Calibri"/>
          <w:sz w:val="20"/>
          <w:szCs w:val="20"/>
          <w:lang w:val="es-VE"/>
        </w:rPr>
        <w:t xml:space="preserve"> pena de muerte </w:t>
      </w:r>
      <w:r w:rsidR="00E370AD" w:rsidRPr="009D1618">
        <w:rPr>
          <w:rFonts w:ascii="Cambria" w:hAnsi="Cambria" w:cs="Calibri"/>
          <w:sz w:val="20"/>
          <w:szCs w:val="20"/>
          <w:lang w:val="es-VE"/>
        </w:rPr>
        <w:t>por el Tribunal Cuarto de Sentencia Penal, el 23 de mayo de 1996.</w:t>
      </w:r>
      <w:r w:rsidR="00086AA8" w:rsidRPr="009D1618">
        <w:rPr>
          <w:rFonts w:ascii="Cambria" w:hAnsi="Cambria" w:cs="Calibri"/>
          <w:sz w:val="20"/>
          <w:szCs w:val="20"/>
          <w:lang w:val="es-VE"/>
        </w:rPr>
        <w:t xml:space="preserve"> </w:t>
      </w:r>
      <w:r w:rsidR="00A24E43" w:rsidRPr="009D1618">
        <w:rPr>
          <w:rFonts w:ascii="Cambria" w:hAnsi="Cambria" w:cs="Calibri"/>
          <w:sz w:val="20"/>
          <w:szCs w:val="20"/>
          <w:lang w:val="es-VE"/>
        </w:rPr>
        <w:t>Contra dicha decisión interpusieron recursos de apelación especial, casación</w:t>
      </w:r>
      <w:r w:rsidR="007562C1" w:rsidRPr="009D1618">
        <w:rPr>
          <w:rFonts w:ascii="Cambria" w:hAnsi="Cambria" w:cs="Calibri"/>
          <w:sz w:val="20"/>
          <w:szCs w:val="20"/>
          <w:lang w:val="es-VE"/>
        </w:rPr>
        <w:t>, amparo</w:t>
      </w:r>
      <w:r w:rsidR="00A24E43" w:rsidRPr="009D1618">
        <w:rPr>
          <w:rFonts w:ascii="Cambria" w:hAnsi="Cambria" w:cs="Calibri"/>
          <w:sz w:val="20"/>
          <w:szCs w:val="20"/>
          <w:lang w:val="es-VE"/>
        </w:rPr>
        <w:t xml:space="preserve"> y revisión</w:t>
      </w:r>
      <w:r w:rsidR="00A249BF" w:rsidRPr="009D1618">
        <w:rPr>
          <w:rFonts w:ascii="Cambria" w:hAnsi="Cambria" w:cs="Calibri"/>
          <w:sz w:val="20"/>
          <w:szCs w:val="20"/>
          <w:lang w:val="es-VE"/>
        </w:rPr>
        <w:t>, los cuales fueron resueltos desfavorablemente.</w:t>
      </w:r>
      <w:r w:rsidR="00A24E43" w:rsidRPr="009D1618">
        <w:rPr>
          <w:rFonts w:ascii="Cambria" w:hAnsi="Cambria" w:cs="Calibri"/>
          <w:sz w:val="20"/>
          <w:szCs w:val="20"/>
          <w:lang w:val="es-VE"/>
        </w:rPr>
        <w:t xml:space="preserve"> </w:t>
      </w:r>
    </w:p>
    <w:p w14:paraId="466FFA10" w14:textId="77777777" w:rsidR="00FD0360" w:rsidRPr="009D1618" w:rsidRDefault="00FD0360" w:rsidP="00A24E4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MX"/>
        </w:rPr>
      </w:pPr>
    </w:p>
    <w:p w14:paraId="50D90763" w14:textId="77777777" w:rsidR="00FD0360" w:rsidRPr="009D1618" w:rsidRDefault="00A24E43" w:rsidP="00A24E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MX"/>
        </w:rPr>
        <w:t xml:space="preserve">El Estado argumentó que </w:t>
      </w:r>
      <w:r w:rsidR="003A4255" w:rsidRPr="009D1618">
        <w:rPr>
          <w:rFonts w:ascii="Cambria" w:hAnsi="Cambria" w:cs="Calibri"/>
          <w:sz w:val="20"/>
          <w:szCs w:val="20"/>
          <w:lang w:val="es-VE"/>
        </w:rPr>
        <w:t xml:space="preserve">el peticionario faltó al agotamiento de los recursos internos </w:t>
      </w:r>
      <w:r w:rsidR="00F2325A" w:rsidRPr="009D1618">
        <w:rPr>
          <w:rFonts w:ascii="Cambria" w:hAnsi="Cambria" w:cs="Calibri"/>
          <w:sz w:val="20"/>
          <w:szCs w:val="20"/>
          <w:lang w:val="es-VE"/>
        </w:rPr>
        <w:t xml:space="preserve">pese a los recursos interpuestos, </w:t>
      </w:r>
      <w:r w:rsidR="003A4255" w:rsidRPr="009D1618">
        <w:rPr>
          <w:rFonts w:ascii="Cambria" w:hAnsi="Cambria" w:cs="Calibri"/>
          <w:sz w:val="20"/>
          <w:szCs w:val="20"/>
          <w:lang w:val="es-VE"/>
        </w:rPr>
        <w:t>porque no plantearon el recurso de gracia o indulto, el cual se encontraba dispo</w:t>
      </w:r>
      <w:r w:rsidR="00A62016" w:rsidRPr="009D1618">
        <w:rPr>
          <w:rFonts w:ascii="Cambria" w:hAnsi="Cambria" w:cs="Calibri"/>
          <w:sz w:val="20"/>
          <w:szCs w:val="20"/>
          <w:lang w:val="es-VE"/>
        </w:rPr>
        <w:t xml:space="preserve">nible al momento de los hechos. </w:t>
      </w:r>
      <w:r w:rsidR="00DE18AE" w:rsidRPr="009D1618">
        <w:rPr>
          <w:rFonts w:ascii="Cambria" w:hAnsi="Cambria" w:cs="Calibri"/>
          <w:sz w:val="20"/>
          <w:szCs w:val="20"/>
          <w:lang w:val="es-VE"/>
        </w:rPr>
        <w:t>Asi</w:t>
      </w:r>
      <w:r w:rsidR="00435E08" w:rsidRPr="009D1618">
        <w:rPr>
          <w:rFonts w:ascii="Cambria" w:hAnsi="Cambria" w:cs="Calibri"/>
          <w:sz w:val="20"/>
          <w:szCs w:val="20"/>
          <w:lang w:val="es-VE"/>
        </w:rPr>
        <w:t xml:space="preserve">mismo, </w:t>
      </w:r>
      <w:r w:rsidR="00DE18AE" w:rsidRPr="009D1618">
        <w:rPr>
          <w:rFonts w:ascii="Cambria" w:hAnsi="Cambria" w:cs="Calibri"/>
          <w:sz w:val="20"/>
          <w:szCs w:val="20"/>
          <w:lang w:val="es-VE"/>
        </w:rPr>
        <w:t>indic</w:t>
      </w:r>
      <w:r w:rsidR="00E3368E" w:rsidRPr="009D1618">
        <w:rPr>
          <w:rFonts w:ascii="Cambria" w:hAnsi="Cambria" w:cs="Calibri"/>
          <w:sz w:val="20"/>
          <w:szCs w:val="20"/>
          <w:lang w:val="es-VE"/>
        </w:rPr>
        <w:t>ó</w:t>
      </w:r>
      <w:r w:rsidR="00DE18AE" w:rsidRPr="009D1618">
        <w:rPr>
          <w:rFonts w:ascii="Cambria" w:hAnsi="Cambria" w:cs="Calibri"/>
          <w:sz w:val="20"/>
          <w:szCs w:val="20"/>
          <w:lang w:val="es-VE"/>
        </w:rPr>
        <w:t xml:space="preserve"> que la petición original fue presentada el 17 de julio de 1997, antes de que se re</w:t>
      </w:r>
      <w:r w:rsidR="00A62016" w:rsidRPr="009D1618">
        <w:rPr>
          <w:rFonts w:ascii="Cambria" w:hAnsi="Cambria" w:cs="Calibri"/>
          <w:sz w:val="20"/>
          <w:szCs w:val="20"/>
          <w:lang w:val="es-VE"/>
        </w:rPr>
        <w:t>solviera el recurso de revisión, el cual fue declarado sin lugar el 18 de febrero de 1998.</w:t>
      </w:r>
      <w:r w:rsidR="00DE18AE" w:rsidRPr="009D1618">
        <w:rPr>
          <w:rFonts w:ascii="Cambria" w:hAnsi="Cambria" w:cs="Calibri"/>
          <w:sz w:val="20"/>
          <w:szCs w:val="20"/>
          <w:lang w:val="es-VE"/>
        </w:rPr>
        <w:t xml:space="preserve"> </w:t>
      </w:r>
    </w:p>
    <w:p w14:paraId="30FD370F" w14:textId="77777777" w:rsidR="00F2325A" w:rsidRPr="009D1618" w:rsidRDefault="00F2325A" w:rsidP="00F2325A">
      <w:pPr>
        <w:pStyle w:val="ListParagraph"/>
        <w:rPr>
          <w:rFonts w:cs="Calibri"/>
          <w:sz w:val="20"/>
          <w:szCs w:val="20"/>
          <w:lang w:val="es-VE"/>
        </w:rPr>
      </w:pPr>
    </w:p>
    <w:p w14:paraId="7D3608F8" w14:textId="77777777" w:rsidR="00FD0360" w:rsidRPr="009D1618" w:rsidRDefault="000278F9" w:rsidP="0063700D">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En cuanto al primer argumento</w:t>
      </w:r>
      <w:r w:rsidR="0063700D" w:rsidRPr="009D1618">
        <w:rPr>
          <w:rFonts w:ascii="Cambria" w:hAnsi="Cambria" w:cs="Calibri"/>
          <w:sz w:val="20"/>
          <w:szCs w:val="20"/>
          <w:lang w:val="es-VE"/>
        </w:rPr>
        <w:t xml:space="preserve">, </w:t>
      </w:r>
      <w:r w:rsidRPr="009D1618">
        <w:rPr>
          <w:rFonts w:ascii="Cambria" w:hAnsi="Cambria" w:cs="Calibri"/>
          <w:sz w:val="20"/>
          <w:szCs w:val="20"/>
          <w:lang w:val="es-VE"/>
        </w:rPr>
        <w:t>l</w:t>
      </w:r>
      <w:r w:rsidR="00F2325A" w:rsidRPr="009D1618">
        <w:rPr>
          <w:rFonts w:ascii="Cambria" w:hAnsi="Cambria" w:cs="Calibri"/>
          <w:sz w:val="20"/>
          <w:szCs w:val="20"/>
          <w:lang w:val="es-VE"/>
        </w:rPr>
        <w:t xml:space="preserve">a Comisión </w:t>
      </w:r>
      <w:r w:rsidR="005255C1" w:rsidRPr="009D1618">
        <w:rPr>
          <w:rFonts w:ascii="Cambria" w:hAnsi="Cambria" w:cs="Calibri"/>
          <w:sz w:val="20"/>
          <w:szCs w:val="20"/>
          <w:lang w:val="es-VE"/>
        </w:rPr>
        <w:t xml:space="preserve">considera </w:t>
      </w:r>
      <w:r w:rsidR="00A62016" w:rsidRPr="009D1618">
        <w:rPr>
          <w:rFonts w:ascii="Cambria" w:hAnsi="Cambria" w:cs="Calibri"/>
          <w:sz w:val="20"/>
          <w:szCs w:val="20"/>
          <w:lang w:val="es-VE"/>
        </w:rPr>
        <w:t>que no resulta exigible el agotamiento del recurso de gracia, tomando en cuenta</w:t>
      </w:r>
      <w:r w:rsidR="005255C1" w:rsidRPr="009D1618">
        <w:rPr>
          <w:rFonts w:ascii="Cambria" w:hAnsi="Cambria" w:cs="Calibri"/>
          <w:sz w:val="20"/>
          <w:szCs w:val="20"/>
          <w:lang w:val="es-VE"/>
        </w:rPr>
        <w:t xml:space="preserve"> </w:t>
      </w:r>
      <w:r w:rsidR="00A62016" w:rsidRPr="009D1618">
        <w:rPr>
          <w:rFonts w:ascii="Cambria" w:hAnsi="Cambria" w:cs="Calibri"/>
          <w:sz w:val="20"/>
          <w:szCs w:val="20"/>
          <w:lang w:val="es-VE"/>
        </w:rPr>
        <w:t>que no es propiamente un recurso judicial, sino un</w:t>
      </w:r>
      <w:r w:rsidR="005255C1" w:rsidRPr="009D1618">
        <w:rPr>
          <w:rFonts w:ascii="Cambria" w:hAnsi="Cambria" w:cs="Calibri"/>
          <w:sz w:val="20"/>
          <w:szCs w:val="20"/>
          <w:lang w:val="es-VE"/>
        </w:rPr>
        <w:t xml:space="preserve"> mecanismo para activar la</w:t>
      </w:r>
      <w:r w:rsidR="00A62016" w:rsidRPr="009D1618">
        <w:rPr>
          <w:rFonts w:ascii="Cambria" w:hAnsi="Cambria" w:cs="Calibri"/>
          <w:sz w:val="20"/>
          <w:szCs w:val="20"/>
          <w:lang w:val="es-VE"/>
        </w:rPr>
        <w:t xml:space="preserve"> facultad discrecional del Presidente de la República. </w:t>
      </w:r>
      <w:r w:rsidR="0063700D" w:rsidRPr="009D1618">
        <w:rPr>
          <w:rFonts w:ascii="Cambria" w:hAnsi="Cambria" w:cs="Calibri"/>
          <w:sz w:val="20"/>
          <w:szCs w:val="20"/>
          <w:lang w:val="es-VE"/>
        </w:rPr>
        <w:t xml:space="preserve">En cuanto al segundo argumento, </w:t>
      </w:r>
      <w:r w:rsidR="00A62016" w:rsidRPr="009D1618">
        <w:rPr>
          <w:rFonts w:ascii="Cambria" w:hAnsi="Cambria" w:cs="Calibri"/>
          <w:sz w:val="20"/>
          <w:szCs w:val="20"/>
          <w:lang w:val="es-VE"/>
        </w:rPr>
        <w:t>la</w:t>
      </w:r>
      <w:r w:rsidR="003A4255" w:rsidRPr="009D1618">
        <w:rPr>
          <w:rFonts w:ascii="Cambria" w:hAnsi="Cambria" w:cs="Calibri"/>
          <w:sz w:val="20"/>
          <w:szCs w:val="20"/>
          <w:lang w:val="es-VE"/>
        </w:rPr>
        <w:t xml:space="preserve"> Comisión recuerda que </w:t>
      </w:r>
      <w:r w:rsidR="00963D2D" w:rsidRPr="009D1618">
        <w:rPr>
          <w:rFonts w:ascii="Cambria" w:hAnsi="Cambria" w:cs="Calibri"/>
          <w:sz w:val="20"/>
          <w:szCs w:val="20"/>
          <w:lang w:val="es-VE"/>
        </w:rPr>
        <w:t xml:space="preserve">el análisis del cumplimiento del requisito de agotamiento de recursos internos se realiza de acuerdo con la situación al momento de decidir sobre la </w:t>
      </w:r>
      <w:r w:rsidR="00206EEA" w:rsidRPr="009D1618">
        <w:rPr>
          <w:rFonts w:ascii="Cambria" w:hAnsi="Cambria" w:cs="Calibri"/>
          <w:sz w:val="20"/>
          <w:szCs w:val="20"/>
          <w:lang w:val="es-VE"/>
        </w:rPr>
        <w:t>admisibilidad</w:t>
      </w:r>
      <w:r w:rsidR="00963D2D" w:rsidRPr="009D1618">
        <w:rPr>
          <w:rStyle w:val="FootnoteReference"/>
          <w:rFonts w:ascii="Cambria" w:hAnsi="Cambria" w:cs="Calibri"/>
          <w:sz w:val="20"/>
          <w:szCs w:val="20"/>
          <w:lang w:val="es-VE"/>
        </w:rPr>
        <w:footnoteReference w:id="3"/>
      </w:r>
      <w:r w:rsidR="00A249BF" w:rsidRPr="009D1618">
        <w:rPr>
          <w:rFonts w:ascii="Cambria" w:hAnsi="Cambria" w:cs="Calibri"/>
          <w:sz w:val="20"/>
          <w:szCs w:val="20"/>
          <w:lang w:val="es-VE"/>
        </w:rPr>
        <w:t>.</w:t>
      </w:r>
      <w:r w:rsidR="004A4BD5" w:rsidRPr="009D1618">
        <w:rPr>
          <w:rFonts w:ascii="Cambria" w:hAnsi="Cambria" w:cs="Calibri"/>
          <w:sz w:val="20"/>
          <w:szCs w:val="20"/>
          <w:lang w:val="es-VE"/>
        </w:rPr>
        <w:t xml:space="preserve"> A la fecha, no existe controversia en cuanto a que la jurisdicción interna se encuentra agotada. </w:t>
      </w:r>
    </w:p>
    <w:p w14:paraId="1D032016" w14:textId="77777777" w:rsidR="00FD0360" w:rsidRPr="009D1618" w:rsidRDefault="00FD0360" w:rsidP="00FD0360">
      <w:pPr>
        <w:pStyle w:val="ListParagraph"/>
        <w:rPr>
          <w:rFonts w:cs="Calibri"/>
          <w:sz w:val="20"/>
          <w:szCs w:val="20"/>
          <w:lang w:val="es-VE"/>
        </w:rPr>
      </w:pPr>
    </w:p>
    <w:p w14:paraId="1BF2A790" w14:textId="185FDD93" w:rsidR="00206EEA" w:rsidRPr="009D1618" w:rsidRDefault="004D201E" w:rsidP="00FD036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MX"/>
        </w:rPr>
      </w:pPr>
      <w:r w:rsidRPr="009D1618">
        <w:rPr>
          <w:rFonts w:ascii="Cambria" w:hAnsi="Cambria" w:cs="Calibri"/>
          <w:sz w:val="20"/>
          <w:szCs w:val="20"/>
          <w:lang w:val="es-VE"/>
        </w:rPr>
        <w:lastRenderedPageBreak/>
        <w:t xml:space="preserve">Por las razones anteriores la Comisión considera </w:t>
      </w:r>
      <w:r w:rsidR="004A4BD5" w:rsidRPr="009D1618">
        <w:rPr>
          <w:rFonts w:ascii="Cambria" w:hAnsi="Cambria" w:cs="Calibri"/>
          <w:sz w:val="20"/>
          <w:szCs w:val="20"/>
          <w:lang w:val="es-VE"/>
        </w:rPr>
        <w:t xml:space="preserve"> el </w:t>
      </w:r>
      <w:r w:rsidR="009E69A4" w:rsidRPr="009D1618">
        <w:rPr>
          <w:rFonts w:ascii="Cambria" w:hAnsi="Cambria" w:cs="Calibri"/>
          <w:sz w:val="20"/>
          <w:szCs w:val="20"/>
          <w:lang w:val="es-VE"/>
        </w:rPr>
        <w:t>r</w:t>
      </w:r>
      <w:r w:rsidR="003D290E" w:rsidRPr="009D1618">
        <w:rPr>
          <w:rFonts w:ascii="Cambria" w:hAnsi="Cambria" w:cs="Calibri"/>
          <w:sz w:val="20"/>
          <w:szCs w:val="20"/>
          <w:lang w:val="es-VE"/>
        </w:rPr>
        <w:t xml:space="preserve">equisito </w:t>
      </w:r>
      <w:r w:rsidR="00856C3C" w:rsidRPr="009D1618">
        <w:rPr>
          <w:rFonts w:ascii="Cambria" w:hAnsi="Cambria" w:cs="Calibri"/>
          <w:sz w:val="20"/>
          <w:szCs w:val="20"/>
          <w:lang w:val="es-VE"/>
        </w:rPr>
        <w:t xml:space="preserve">previsto en </w:t>
      </w:r>
      <w:r w:rsidR="003D290E" w:rsidRPr="009D1618">
        <w:rPr>
          <w:rFonts w:ascii="Cambria" w:hAnsi="Cambria" w:cs="Calibri"/>
          <w:sz w:val="20"/>
          <w:szCs w:val="20"/>
          <w:lang w:val="es-VE"/>
        </w:rPr>
        <w:t>el artículo 46.1.a) de la Convención Americana</w:t>
      </w:r>
      <w:r w:rsidR="004A4BD5" w:rsidRPr="009D1618">
        <w:rPr>
          <w:rFonts w:ascii="Cambria" w:hAnsi="Cambria" w:cs="Calibri"/>
          <w:sz w:val="20"/>
          <w:szCs w:val="20"/>
          <w:lang w:val="es-VE"/>
        </w:rPr>
        <w:t xml:space="preserve"> se encuentra satisfecho. </w:t>
      </w:r>
      <w:r w:rsidR="003D290E" w:rsidRPr="009D1618">
        <w:rPr>
          <w:rFonts w:ascii="Cambria" w:hAnsi="Cambria" w:cs="Calibri"/>
          <w:sz w:val="20"/>
          <w:szCs w:val="20"/>
          <w:lang w:val="es-VE"/>
        </w:rPr>
        <w:t xml:space="preserve"> </w:t>
      </w:r>
    </w:p>
    <w:p w14:paraId="4713024C" w14:textId="77777777" w:rsidR="00603F9E" w:rsidRPr="009D1618" w:rsidRDefault="00603F9E" w:rsidP="00E92B0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14:paraId="3F4C0649" w14:textId="77777777" w:rsidR="006D7C4C" w:rsidRDefault="006D7C4C" w:rsidP="006D7C4C">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52" w:name="_Toc413687819"/>
      <w:bookmarkStart w:id="53" w:name="_Toc447208871"/>
      <w:bookmarkStart w:id="54" w:name="_Toc447213177"/>
      <w:bookmarkStart w:id="55" w:name="_Toc475546044"/>
      <w:bookmarkStart w:id="56" w:name="_Toc489111551"/>
      <w:r w:rsidRPr="009D1618">
        <w:rPr>
          <w:rFonts w:ascii="Cambria" w:eastAsia="Times New Roman" w:hAnsi="Cambria" w:cs="Arial"/>
          <w:color w:val="auto"/>
          <w:sz w:val="20"/>
          <w:szCs w:val="20"/>
          <w:bdr w:val="none" w:sz="0" w:space="0" w:color="auto"/>
          <w:lang w:val="es-VE"/>
        </w:rPr>
        <w:t>Plazo de presentación de la petición</w:t>
      </w:r>
      <w:bookmarkEnd w:id="52"/>
      <w:bookmarkEnd w:id="53"/>
      <w:bookmarkEnd w:id="54"/>
      <w:bookmarkEnd w:id="55"/>
      <w:bookmarkEnd w:id="56"/>
    </w:p>
    <w:p w14:paraId="02E86E33" w14:textId="77777777" w:rsidR="009D1618" w:rsidRPr="009D1618" w:rsidRDefault="009D1618" w:rsidP="009D1618">
      <w:pPr>
        <w:rPr>
          <w:lang w:val="es-VE"/>
        </w:rPr>
      </w:pPr>
    </w:p>
    <w:p w14:paraId="6299EED7" w14:textId="7CA731FE" w:rsidR="00114098" w:rsidRPr="009D1618" w:rsidRDefault="006D7C4C" w:rsidP="00114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El artículo 46.1.b) de la Convención establece que para que la petición pueda ser declarada admisible, es necesario que se haya presentado dentro del plazo de seis meses contados a partir de la fecha en que el interesado fue notificado de la decisión final que agotó la jurisdicción interna. </w:t>
      </w:r>
    </w:p>
    <w:p w14:paraId="466CA385" w14:textId="77777777" w:rsidR="00114098" w:rsidRPr="009D1618" w:rsidRDefault="00114098" w:rsidP="00AE5FFD">
      <w:pPr>
        <w:rPr>
          <w:rFonts w:ascii="Cambria" w:hAnsi="Cambria" w:cs="Calibri"/>
          <w:sz w:val="20"/>
          <w:szCs w:val="20"/>
          <w:lang w:val="es-VE"/>
        </w:rPr>
      </w:pPr>
    </w:p>
    <w:p w14:paraId="50C9F0FE" w14:textId="3535CEF1" w:rsidR="00114098" w:rsidRPr="009D1618" w:rsidRDefault="00106DF5" w:rsidP="00106DF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En el presente caso, la Comisión observa que</w:t>
      </w:r>
      <w:r w:rsidR="001335C7" w:rsidRPr="009D1618">
        <w:rPr>
          <w:rFonts w:ascii="Cambria" w:hAnsi="Cambria" w:cs="Calibri"/>
          <w:sz w:val="20"/>
          <w:szCs w:val="20"/>
          <w:lang w:val="es-VE"/>
        </w:rPr>
        <w:t xml:space="preserve"> </w:t>
      </w:r>
      <w:r w:rsidR="00C260BF" w:rsidRPr="009D1618">
        <w:rPr>
          <w:rFonts w:ascii="Cambria" w:hAnsi="Cambria" w:cs="Calibri"/>
          <w:sz w:val="20"/>
          <w:szCs w:val="20"/>
          <w:lang w:val="es-VE"/>
        </w:rPr>
        <w:t xml:space="preserve">el recurso de casación interpuesto fue declarado improcedente el 10 de febrero de 1997. A su vez, el amparo </w:t>
      </w:r>
      <w:r w:rsidR="00580A83" w:rsidRPr="009D1618">
        <w:rPr>
          <w:rFonts w:ascii="Cambria" w:hAnsi="Cambria" w:cs="Calibri"/>
          <w:sz w:val="20"/>
          <w:szCs w:val="20"/>
          <w:lang w:val="es-VE"/>
        </w:rPr>
        <w:t>en contra de dicha decisión fue declarado sin lugar el 18 de junio de 1997. L</w:t>
      </w:r>
      <w:r w:rsidR="001335C7" w:rsidRPr="009D1618">
        <w:rPr>
          <w:rFonts w:ascii="Cambria" w:hAnsi="Cambria" w:cs="Calibri"/>
          <w:sz w:val="20"/>
          <w:szCs w:val="20"/>
          <w:lang w:val="es-VE"/>
        </w:rPr>
        <w:t>a petición fue presentada el 30 de julio de 1997</w:t>
      </w:r>
      <w:r w:rsidR="00580A83" w:rsidRPr="009D1618">
        <w:rPr>
          <w:rFonts w:ascii="Cambria" w:hAnsi="Cambria" w:cs="Calibri"/>
          <w:sz w:val="20"/>
          <w:szCs w:val="20"/>
          <w:lang w:val="es-VE"/>
        </w:rPr>
        <w:t>. Con posterioridad a la presentación de la petición, el 18 de febrero de 1998, la Cámara Penal de la Corte Suprema de Justicia declaró sin lugar el recurso de revisión interpuesto.</w:t>
      </w:r>
      <w:r w:rsidR="0055089B" w:rsidRPr="009D1618">
        <w:rPr>
          <w:rFonts w:ascii="Cambria" w:hAnsi="Cambria" w:cs="Calibri"/>
          <w:sz w:val="20"/>
          <w:szCs w:val="20"/>
          <w:lang w:val="es-VE"/>
        </w:rPr>
        <w:t xml:space="preserve"> </w:t>
      </w:r>
    </w:p>
    <w:p w14:paraId="6E2F2BA5" w14:textId="77777777" w:rsidR="00114098" w:rsidRPr="009D1618" w:rsidRDefault="00114098" w:rsidP="00114098">
      <w:pPr>
        <w:pStyle w:val="ListParagraph"/>
        <w:rPr>
          <w:rFonts w:cs="Calibri"/>
          <w:sz w:val="20"/>
          <w:szCs w:val="20"/>
          <w:lang w:val="es-VE"/>
        </w:rPr>
      </w:pPr>
    </w:p>
    <w:p w14:paraId="22AA3DF2" w14:textId="716D0950" w:rsidR="007D2080" w:rsidRPr="009D1618" w:rsidRDefault="00106DF5" w:rsidP="00114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En vista de lo anterior, la Comisión concluye que la petición</w:t>
      </w:r>
      <w:r w:rsidR="006F1DCA" w:rsidRPr="009D1618">
        <w:rPr>
          <w:rFonts w:ascii="Cambria" w:hAnsi="Cambria" w:cs="Calibri"/>
          <w:sz w:val="20"/>
          <w:szCs w:val="20"/>
          <w:lang w:val="es-VE"/>
        </w:rPr>
        <w:t xml:space="preserve"> cumpli</w:t>
      </w:r>
      <w:r w:rsidRPr="009D1618">
        <w:rPr>
          <w:rFonts w:ascii="Cambria" w:hAnsi="Cambria" w:cs="Calibri"/>
          <w:sz w:val="20"/>
          <w:szCs w:val="20"/>
          <w:lang w:val="es-VE"/>
        </w:rPr>
        <w:t>ó</w:t>
      </w:r>
      <w:r w:rsidR="006F1DCA" w:rsidRPr="009D1618">
        <w:rPr>
          <w:rFonts w:ascii="Cambria" w:hAnsi="Cambria" w:cs="Calibri"/>
          <w:sz w:val="20"/>
          <w:szCs w:val="20"/>
          <w:lang w:val="es-VE"/>
        </w:rPr>
        <w:t xml:space="preserve"> con el plazo de presentación </w:t>
      </w:r>
      <w:r w:rsidR="009E69A4" w:rsidRPr="009D1618">
        <w:rPr>
          <w:rFonts w:ascii="Cambria" w:hAnsi="Cambria" w:cs="Calibri"/>
          <w:sz w:val="20"/>
          <w:szCs w:val="20"/>
          <w:lang w:val="es-VE"/>
        </w:rPr>
        <w:t>previsto en el artículo</w:t>
      </w:r>
      <w:r w:rsidR="006F1DCA" w:rsidRPr="009D1618">
        <w:rPr>
          <w:rFonts w:ascii="Cambria" w:hAnsi="Cambria" w:cs="Calibri"/>
          <w:sz w:val="20"/>
          <w:szCs w:val="20"/>
          <w:lang w:val="es-VE"/>
        </w:rPr>
        <w:t xml:space="preserve"> 46.1.</w:t>
      </w:r>
      <w:r w:rsidR="00EC48FA" w:rsidRPr="009D1618">
        <w:rPr>
          <w:rFonts w:ascii="Cambria" w:hAnsi="Cambria" w:cs="Calibri"/>
          <w:sz w:val="20"/>
          <w:szCs w:val="20"/>
          <w:lang w:val="es-VE"/>
        </w:rPr>
        <w:t xml:space="preserve">b </w:t>
      </w:r>
      <w:r w:rsidR="006F1DCA" w:rsidRPr="009D1618">
        <w:rPr>
          <w:rFonts w:ascii="Cambria" w:hAnsi="Cambria" w:cs="Calibri"/>
          <w:sz w:val="20"/>
          <w:szCs w:val="20"/>
          <w:lang w:val="es-VE"/>
        </w:rPr>
        <w:t>de la Convención Americana.</w:t>
      </w:r>
    </w:p>
    <w:p w14:paraId="7817410E" w14:textId="77777777" w:rsidR="00E6354B" w:rsidRPr="009D1618" w:rsidRDefault="001335C7"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r w:rsidRPr="009D1618">
        <w:rPr>
          <w:rFonts w:ascii="Cambria" w:hAnsi="Cambria" w:cs="Calibri"/>
          <w:sz w:val="20"/>
          <w:szCs w:val="20"/>
          <w:lang w:val="es-VE"/>
        </w:rPr>
        <w:t xml:space="preserve"> </w:t>
      </w:r>
    </w:p>
    <w:p w14:paraId="2F27B59E" w14:textId="77777777" w:rsidR="006D7C4C" w:rsidRPr="009D1618" w:rsidRDefault="006D7C4C" w:rsidP="009809FF">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57" w:name="_Toc413687820"/>
      <w:bookmarkStart w:id="58" w:name="_Toc447208872"/>
      <w:bookmarkStart w:id="59" w:name="_Toc447213178"/>
      <w:bookmarkStart w:id="60" w:name="_Toc475546045"/>
      <w:bookmarkStart w:id="61" w:name="_Toc489111552"/>
      <w:r w:rsidRPr="009D1618">
        <w:rPr>
          <w:rFonts w:ascii="Cambria" w:eastAsia="Times New Roman" w:hAnsi="Cambria" w:cs="Arial"/>
          <w:color w:val="auto"/>
          <w:sz w:val="20"/>
          <w:szCs w:val="20"/>
          <w:bdr w:val="none" w:sz="0" w:space="0" w:color="auto"/>
          <w:lang w:val="es-VE"/>
        </w:rPr>
        <w:t>Duplicación de procedimientos y cosa juzgada internacional</w:t>
      </w:r>
      <w:bookmarkEnd w:id="57"/>
      <w:bookmarkEnd w:id="58"/>
      <w:bookmarkEnd w:id="59"/>
      <w:bookmarkEnd w:id="60"/>
      <w:bookmarkEnd w:id="61"/>
    </w:p>
    <w:p w14:paraId="216F27DF" w14:textId="77777777" w:rsidR="006D7C4C" w:rsidRPr="009D1618" w:rsidRDefault="006D7C4C" w:rsidP="006D7C4C">
      <w:pPr>
        <w:jc w:val="both"/>
        <w:rPr>
          <w:rFonts w:ascii="Cambria" w:hAnsi="Cambria" w:cs="Calibri"/>
          <w:sz w:val="20"/>
          <w:szCs w:val="20"/>
          <w:lang w:val="es-ES_tradnl"/>
        </w:rPr>
      </w:pPr>
    </w:p>
    <w:p w14:paraId="405955B3" w14:textId="77777777" w:rsidR="006D7C4C" w:rsidRPr="009D1618" w:rsidRDefault="006D7C4C" w:rsidP="0011409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w:t>
      </w:r>
      <w:r w:rsidR="006D2D0D" w:rsidRPr="009D1618">
        <w:rPr>
          <w:rFonts w:ascii="Cambria" w:hAnsi="Cambria" w:cs="Calibri"/>
          <w:sz w:val="20"/>
          <w:szCs w:val="20"/>
          <w:lang w:val="es-VE"/>
        </w:rPr>
        <w:t xml:space="preserve">unstancias, ni ellas se deducen </w:t>
      </w:r>
      <w:r w:rsidRPr="009D1618">
        <w:rPr>
          <w:rFonts w:ascii="Cambria" w:hAnsi="Cambria" w:cs="Calibri"/>
          <w:sz w:val="20"/>
          <w:szCs w:val="20"/>
          <w:lang w:val="es-VE"/>
        </w:rPr>
        <w:t>del expediente.</w:t>
      </w:r>
    </w:p>
    <w:p w14:paraId="3E399D01" w14:textId="77777777" w:rsidR="00D767FC" w:rsidRPr="009D1618" w:rsidRDefault="00D767FC"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lang w:val="es-VE"/>
        </w:rPr>
      </w:pPr>
    </w:p>
    <w:p w14:paraId="4348F532" w14:textId="77777777" w:rsidR="00E370AD" w:rsidRPr="009D1618" w:rsidRDefault="00F3449B" w:rsidP="00E370AD">
      <w:pPr>
        <w:pStyle w:val="Heading3"/>
        <w:keepNext w:val="0"/>
        <w:keepLines w:val="0"/>
        <w:numPr>
          <w:ilvl w:val="1"/>
          <w:numId w:val="55"/>
        </w:numPr>
        <w:tabs>
          <w:tab w:val="clear" w:pos="1800"/>
        </w:tabs>
        <w:spacing w:before="0"/>
        <w:ind w:left="1440" w:hanging="720"/>
        <w:jc w:val="both"/>
        <w:rPr>
          <w:rFonts w:ascii="Cambria" w:eastAsia="Times New Roman" w:hAnsi="Cambria" w:cs="Arial"/>
          <w:color w:val="auto"/>
          <w:sz w:val="20"/>
          <w:szCs w:val="20"/>
          <w:bdr w:val="none" w:sz="0" w:space="0" w:color="auto"/>
          <w:lang w:val="es-VE"/>
        </w:rPr>
      </w:pPr>
      <w:bookmarkStart w:id="62" w:name="_Toc413687821"/>
      <w:bookmarkStart w:id="63" w:name="_Toc447208873"/>
      <w:bookmarkStart w:id="64" w:name="_Toc447213179"/>
      <w:bookmarkStart w:id="65" w:name="_Toc475546046"/>
      <w:bookmarkStart w:id="66" w:name="_Toc489111553"/>
      <w:r w:rsidRPr="009D1618">
        <w:rPr>
          <w:rFonts w:ascii="Cambria" w:eastAsia="Times New Roman" w:hAnsi="Cambria" w:cs="Arial"/>
          <w:color w:val="auto"/>
          <w:sz w:val="20"/>
          <w:szCs w:val="20"/>
          <w:bdr w:val="none" w:sz="0" w:space="0" w:color="auto"/>
          <w:lang w:val="es-VE"/>
        </w:rPr>
        <w:t>Caracterización de los hechos alegados</w:t>
      </w:r>
      <w:bookmarkEnd w:id="62"/>
      <w:bookmarkEnd w:id="63"/>
      <w:bookmarkEnd w:id="64"/>
      <w:bookmarkEnd w:id="65"/>
      <w:bookmarkEnd w:id="66"/>
    </w:p>
    <w:p w14:paraId="60F36417" w14:textId="77777777" w:rsidR="00E370AD" w:rsidRPr="009D1618" w:rsidRDefault="00E370AD" w:rsidP="00E370AD">
      <w:pPr>
        <w:rPr>
          <w:rFonts w:ascii="Cambria" w:hAnsi="Cambria"/>
          <w:sz w:val="20"/>
          <w:szCs w:val="20"/>
          <w:lang w:val="es-VE"/>
        </w:rPr>
      </w:pPr>
    </w:p>
    <w:p w14:paraId="7453B9E4" w14:textId="77777777" w:rsidR="006A4BE6" w:rsidRPr="009D1618" w:rsidRDefault="00F3449B" w:rsidP="006A4B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A los fines de admisibilidad, la Comisión debe decidir si en la petición se exponen hechos que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La Comisión debe realizar una evaluación </w:t>
      </w:r>
      <w:r w:rsidRPr="009D1618">
        <w:rPr>
          <w:rFonts w:ascii="Cambria" w:hAnsi="Cambria" w:cs="Calibri"/>
          <w:i/>
          <w:sz w:val="20"/>
          <w:szCs w:val="20"/>
          <w:lang w:val="es-VE"/>
        </w:rPr>
        <w:t>prima facie</w:t>
      </w:r>
      <w:r w:rsidRPr="009D1618">
        <w:rPr>
          <w:rFonts w:ascii="Cambria" w:hAnsi="Cambria" w:cs="Calibri"/>
          <w:sz w:val="20"/>
          <w:szCs w:val="20"/>
          <w:lang w:val="es-VE"/>
        </w:rPr>
        <w:t xml:space="preserve"> para examinar si la denuncia fundamenta la aparente o potencial violación de un derecho garantizado por la Convención y no para establecer la existencia de una violación. Tal examen es un análisis sumario que no implica un </w:t>
      </w:r>
      <w:r w:rsidR="00EA4447" w:rsidRPr="009D1618">
        <w:rPr>
          <w:rFonts w:ascii="Cambria" w:hAnsi="Cambria" w:cs="Calibri"/>
          <w:sz w:val="20"/>
          <w:szCs w:val="20"/>
          <w:lang w:val="es-VE"/>
        </w:rPr>
        <w:t>prejuicio</w:t>
      </w:r>
      <w:r w:rsidRPr="009D1618">
        <w:rPr>
          <w:rFonts w:ascii="Cambria" w:hAnsi="Cambria" w:cs="Calibri"/>
          <w:sz w:val="20"/>
          <w:szCs w:val="20"/>
          <w:lang w:val="es-VE"/>
        </w:rPr>
        <w:t xml:space="preserve"> o un avance de opinión sobre el fondo.</w:t>
      </w:r>
    </w:p>
    <w:p w14:paraId="4B0F637A" w14:textId="77777777" w:rsidR="006A4BE6" w:rsidRPr="009D1618" w:rsidRDefault="006A4BE6" w:rsidP="006A4BE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28681EB5" w14:textId="77777777" w:rsidR="006A4BE6" w:rsidRPr="009D1618" w:rsidRDefault="006A4BE6" w:rsidP="006A4B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iCs/>
          <w:sz w:val="20"/>
          <w:szCs w:val="20"/>
          <w:lang w:val="es-ES"/>
        </w:rPr>
        <w:t>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3D6EC1FF" w14:textId="77777777" w:rsidR="006A4BE6" w:rsidRPr="009D1618" w:rsidRDefault="006A4BE6" w:rsidP="006A4BE6">
      <w:pPr>
        <w:rPr>
          <w:rFonts w:ascii="Cambria" w:hAnsi="Cambria" w:cs="Calibri"/>
          <w:sz w:val="20"/>
          <w:szCs w:val="20"/>
          <w:lang w:val="es-VE"/>
        </w:rPr>
      </w:pPr>
    </w:p>
    <w:p w14:paraId="5D152EF9" w14:textId="77777777" w:rsidR="00E92B0C" w:rsidRDefault="006A4BE6" w:rsidP="006A4B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La Comisión considera que de resultar probados los hechos alegados por los </w:t>
      </w:r>
      <w:r w:rsidR="009B1A6B" w:rsidRPr="009D1618">
        <w:rPr>
          <w:rFonts w:ascii="Cambria" w:hAnsi="Cambria" w:cs="Calibri"/>
          <w:sz w:val="20"/>
          <w:szCs w:val="20"/>
          <w:lang w:val="es-VE"/>
        </w:rPr>
        <w:t>peticionarios</w:t>
      </w:r>
      <w:r w:rsidRPr="009D1618">
        <w:rPr>
          <w:rFonts w:ascii="Cambria" w:hAnsi="Cambria" w:cs="Calibri"/>
          <w:sz w:val="20"/>
          <w:szCs w:val="20"/>
          <w:lang w:val="es-VE"/>
        </w:rPr>
        <w:t xml:space="preserve">, podrían constituir violación de los derechos previstos en </w:t>
      </w:r>
      <w:r w:rsidR="00E92B0C" w:rsidRPr="009D1618">
        <w:rPr>
          <w:rFonts w:ascii="Cambria" w:hAnsi="Cambria" w:cs="Calibri"/>
          <w:sz w:val="20"/>
          <w:szCs w:val="20"/>
          <w:lang w:val="es-VE"/>
        </w:rPr>
        <w:t>los artículos, 4,</w:t>
      </w:r>
      <w:r w:rsidRPr="009D1618">
        <w:rPr>
          <w:rFonts w:ascii="Cambria" w:hAnsi="Cambria" w:cs="Calibri"/>
          <w:sz w:val="20"/>
          <w:szCs w:val="20"/>
          <w:lang w:val="es-VE"/>
        </w:rPr>
        <w:t xml:space="preserve"> </w:t>
      </w:r>
      <w:r w:rsidR="00E92B0C" w:rsidRPr="009D1618">
        <w:rPr>
          <w:rFonts w:ascii="Cambria" w:hAnsi="Cambria" w:cs="Calibri"/>
          <w:sz w:val="20"/>
          <w:szCs w:val="20"/>
          <w:lang w:val="es-VE"/>
        </w:rPr>
        <w:t>5</w:t>
      </w:r>
      <w:r w:rsidRPr="009D1618">
        <w:rPr>
          <w:rFonts w:ascii="Cambria" w:hAnsi="Cambria" w:cs="Calibri"/>
          <w:sz w:val="20"/>
          <w:szCs w:val="20"/>
          <w:lang w:val="es-VE"/>
        </w:rPr>
        <w:t>,</w:t>
      </w:r>
      <w:r w:rsidR="00EC48FA" w:rsidRPr="009D1618">
        <w:rPr>
          <w:rFonts w:ascii="Cambria" w:hAnsi="Cambria" w:cs="Calibri"/>
          <w:sz w:val="20"/>
          <w:szCs w:val="20"/>
          <w:lang w:val="es-VE"/>
        </w:rPr>
        <w:t xml:space="preserve"> </w:t>
      </w:r>
      <w:r w:rsidR="00E92B0C" w:rsidRPr="009D1618">
        <w:rPr>
          <w:rFonts w:ascii="Cambria" w:hAnsi="Cambria" w:cs="Calibri"/>
          <w:sz w:val="20"/>
          <w:szCs w:val="20"/>
          <w:lang w:val="es-VE"/>
        </w:rPr>
        <w:t>8, 9 y 25 de la Convención Americana, en concordancia</w:t>
      </w:r>
      <w:r w:rsidRPr="009D1618">
        <w:rPr>
          <w:rFonts w:ascii="Cambria" w:hAnsi="Cambria" w:cs="Calibri"/>
          <w:sz w:val="20"/>
          <w:szCs w:val="20"/>
          <w:lang w:val="es-VE"/>
        </w:rPr>
        <w:t xml:space="preserve"> con la</w:t>
      </w:r>
      <w:r w:rsidR="00657479" w:rsidRPr="009D1618">
        <w:rPr>
          <w:rFonts w:ascii="Cambria" w:hAnsi="Cambria" w:cs="Calibri"/>
          <w:sz w:val="20"/>
          <w:szCs w:val="20"/>
          <w:lang w:val="es-VE"/>
        </w:rPr>
        <w:t>s</w:t>
      </w:r>
      <w:r w:rsidRPr="009D1618">
        <w:rPr>
          <w:rFonts w:ascii="Cambria" w:hAnsi="Cambria" w:cs="Calibri"/>
          <w:sz w:val="20"/>
          <w:szCs w:val="20"/>
          <w:lang w:val="es-VE"/>
        </w:rPr>
        <w:t xml:space="preserve"> obligaci</w:t>
      </w:r>
      <w:r w:rsidR="00657479" w:rsidRPr="009D1618">
        <w:rPr>
          <w:rFonts w:ascii="Cambria" w:hAnsi="Cambria" w:cs="Calibri"/>
          <w:sz w:val="20"/>
          <w:szCs w:val="20"/>
          <w:lang w:val="es-VE"/>
        </w:rPr>
        <w:t xml:space="preserve">ones establecidas en </w:t>
      </w:r>
      <w:r w:rsidRPr="009D1618">
        <w:rPr>
          <w:rFonts w:ascii="Cambria" w:hAnsi="Cambria" w:cs="Calibri"/>
          <w:sz w:val="20"/>
          <w:szCs w:val="20"/>
          <w:lang w:val="es-VE"/>
        </w:rPr>
        <w:t>los artículos 1.1 y 2 de dicho tratado</w:t>
      </w:r>
      <w:r w:rsidR="00657479" w:rsidRPr="009D1618">
        <w:rPr>
          <w:rFonts w:ascii="Cambria" w:hAnsi="Cambria" w:cs="Calibri"/>
          <w:sz w:val="20"/>
          <w:szCs w:val="20"/>
          <w:lang w:val="es-VE"/>
        </w:rPr>
        <w:t xml:space="preserve">. Asimismo, los hechos podrían constituir una violación de </w:t>
      </w:r>
      <w:r w:rsidR="00E92B0C" w:rsidRPr="009D1618">
        <w:rPr>
          <w:rFonts w:ascii="Cambria" w:hAnsi="Cambria" w:cs="Calibri"/>
          <w:sz w:val="20"/>
          <w:szCs w:val="20"/>
          <w:lang w:val="es-VE"/>
        </w:rPr>
        <w:t>los artículos 1</w:t>
      </w:r>
      <w:r w:rsidR="00173BED" w:rsidRPr="009D1618">
        <w:rPr>
          <w:rFonts w:ascii="Cambria" w:hAnsi="Cambria" w:cs="Calibri"/>
          <w:sz w:val="20"/>
          <w:szCs w:val="20"/>
          <w:lang w:val="es-VE"/>
        </w:rPr>
        <w:t xml:space="preserve"> y</w:t>
      </w:r>
      <w:r w:rsidR="00E92B0C" w:rsidRPr="009D1618">
        <w:rPr>
          <w:rFonts w:ascii="Cambria" w:hAnsi="Cambria" w:cs="Calibri"/>
          <w:sz w:val="20"/>
          <w:szCs w:val="20"/>
          <w:lang w:val="es-VE"/>
        </w:rPr>
        <w:t xml:space="preserve"> 6 de la Convención Interamericana para Prevenir y Sancionar la Tortura. </w:t>
      </w:r>
    </w:p>
    <w:p w14:paraId="4449D948" w14:textId="77777777" w:rsidR="00394F9A" w:rsidRDefault="00394F9A" w:rsidP="00394F9A">
      <w:pPr>
        <w:pStyle w:val="ListParagraph"/>
        <w:rPr>
          <w:rFonts w:cs="Calibri"/>
          <w:sz w:val="20"/>
          <w:szCs w:val="20"/>
          <w:lang w:val="es-VE"/>
        </w:rPr>
      </w:pPr>
    </w:p>
    <w:p w14:paraId="088DD5A5" w14:textId="77777777" w:rsidR="00394F9A" w:rsidRDefault="00394F9A" w:rsidP="00394F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60217DCA" w14:textId="77777777" w:rsidR="00394F9A" w:rsidRPr="009D1618" w:rsidRDefault="00394F9A" w:rsidP="00394F9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10B7F069" w14:textId="77777777" w:rsidR="00B95EE0" w:rsidRPr="009D1618" w:rsidRDefault="00B95EE0" w:rsidP="0039344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14:paraId="7B8E9979" w14:textId="77777777" w:rsidR="00E40449" w:rsidRPr="009D1618" w:rsidRDefault="00E40449" w:rsidP="00985C1C">
      <w:pPr>
        <w:pStyle w:val="Heading1"/>
        <w:numPr>
          <w:ilvl w:val="0"/>
          <w:numId w:val="55"/>
        </w:numPr>
        <w:tabs>
          <w:tab w:val="clear" w:pos="1440"/>
        </w:tabs>
        <w:rPr>
          <w:rFonts w:ascii="Cambria" w:hAnsi="Cambria"/>
        </w:rPr>
      </w:pPr>
      <w:bookmarkStart w:id="67" w:name="_Toc370840748"/>
      <w:bookmarkStart w:id="68" w:name="_Toc370840844"/>
      <w:bookmarkStart w:id="69" w:name="_Toc423514410"/>
      <w:bookmarkStart w:id="70" w:name="_Toc433115986"/>
      <w:bookmarkStart w:id="71" w:name="_Toc444958129"/>
      <w:bookmarkStart w:id="72" w:name="_Toc475546047"/>
      <w:bookmarkStart w:id="73" w:name="_Toc489111554"/>
      <w:r w:rsidRPr="009D1618">
        <w:rPr>
          <w:rFonts w:ascii="Cambria" w:hAnsi="Cambria"/>
        </w:rPr>
        <w:lastRenderedPageBreak/>
        <w:t>HECHOS PROBADOS</w:t>
      </w:r>
      <w:bookmarkEnd w:id="67"/>
      <w:bookmarkEnd w:id="68"/>
      <w:bookmarkEnd w:id="69"/>
      <w:bookmarkEnd w:id="70"/>
      <w:bookmarkEnd w:id="71"/>
      <w:bookmarkEnd w:id="72"/>
      <w:bookmarkEnd w:id="73"/>
    </w:p>
    <w:p w14:paraId="04BB58AF" w14:textId="77777777" w:rsidR="000F59A2" w:rsidRPr="009D1618" w:rsidRDefault="000F59A2" w:rsidP="002F113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245E115" w14:textId="77777777" w:rsidR="000F59A2" w:rsidRPr="009D1618" w:rsidRDefault="00C74927" w:rsidP="000F59A2">
      <w:pPr>
        <w:pStyle w:val="Heading2"/>
        <w:keepNext w:val="0"/>
        <w:numPr>
          <w:ilvl w:val="0"/>
          <w:numId w:val="62"/>
        </w:numPr>
        <w:pBdr>
          <w:top w:val="nil"/>
          <w:left w:val="nil"/>
          <w:bottom w:val="nil"/>
          <w:right w:val="nil"/>
          <w:between w:val="nil"/>
          <w:bar w:val="nil"/>
        </w:pBdr>
        <w:ind w:left="1440" w:hanging="630"/>
        <w:rPr>
          <w:rFonts w:ascii="Cambria" w:hAnsi="Cambria"/>
          <w:lang w:val="es-MX"/>
        </w:rPr>
      </w:pPr>
      <w:bookmarkStart w:id="74" w:name="_Toc475546048"/>
      <w:bookmarkStart w:id="75" w:name="_Toc482117733"/>
      <w:bookmarkStart w:id="76" w:name="_Toc489111555"/>
      <w:r w:rsidRPr="009D1618">
        <w:rPr>
          <w:rFonts w:ascii="Cambria" w:hAnsi="Cambria"/>
          <w:lang w:val="es-ES"/>
        </w:rPr>
        <w:t>L</w:t>
      </w:r>
      <w:r w:rsidR="000F59A2" w:rsidRPr="009D1618">
        <w:rPr>
          <w:rFonts w:ascii="Cambria" w:hAnsi="Cambria"/>
          <w:lang w:val="es-MX"/>
        </w:rPr>
        <w:t>a pena de muerte en Guatemala</w:t>
      </w:r>
      <w:bookmarkEnd w:id="74"/>
      <w:bookmarkEnd w:id="75"/>
      <w:bookmarkEnd w:id="76"/>
      <w:r w:rsidR="000F59A2" w:rsidRPr="009D1618">
        <w:rPr>
          <w:rFonts w:ascii="Cambria" w:hAnsi="Cambria"/>
          <w:lang w:val="es-MX"/>
        </w:rPr>
        <w:t xml:space="preserve"> </w:t>
      </w:r>
    </w:p>
    <w:p w14:paraId="6DD89C3F" w14:textId="77777777" w:rsidR="008D2A6E" w:rsidRPr="009D1618" w:rsidRDefault="008D2A6E" w:rsidP="008D2A6E">
      <w:pPr>
        <w:rPr>
          <w:lang w:val="es-VE"/>
        </w:rPr>
      </w:pPr>
    </w:p>
    <w:p w14:paraId="29EF10E1" w14:textId="77777777" w:rsidR="000F59A2" w:rsidRPr="009D1618" w:rsidRDefault="00895D93" w:rsidP="000F59A2">
      <w:pPr>
        <w:pStyle w:val="ListParagraph"/>
        <w:numPr>
          <w:ilvl w:val="1"/>
          <w:numId w:val="55"/>
        </w:numPr>
        <w:tabs>
          <w:tab w:val="clear" w:pos="1800"/>
          <w:tab w:val="num" w:pos="1440"/>
        </w:tabs>
        <w:ind w:left="1440" w:hanging="720"/>
        <w:rPr>
          <w:b/>
          <w:sz w:val="20"/>
          <w:szCs w:val="20"/>
          <w:lang w:val="es-VE"/>
        </w:rPr>
      </w:pPr>
      <w:r w:rsidRPr="009D1618">
        <w:rPr>
          <w:b/>
          <w:sz w:val="20"/>
          <w:szCs w:val="20"/>
          <w:lang w:val="es-VE"/>
        </w:rPr>
        <w:t xml:space="preserve">Regulación y </w:t>
      </w:r>
      <w:r w:rsidR="000F59A2" w:rsidRPr="009D1618">
        <w:rPr>
          <w:b/>
          <w:sz w:val="20"/>
          <w:szCs w:val="20"/>
          <w:lang w:val="es-VE"/>
        </w:rPr>
        <w:t xml:space="preserve">aplicación de la pena de muerte en Guatemala </w:t>
      </w:r>
    </w:p>
    <w:p w14:paraId="5367421B"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3B5FF2C1" w14:textId="77777777" w:rsidR="000F59A2" w:rsidRPr="009D1618" w:rsidRDefault="000F59A2" w:rsidP="000F59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La pena de muerte se encuentra prevista tanto en la constitución, como en la legislación penal guatemalteca. El artículo 18 de la Constitución Política de Guatemala de 1985 establece</w:t>
      </w:r>
      <w:r w:rsidR="00BE60B6" w:rsidRPr="009D1618">
        <w:rPr>
          <w:rFonts w:ascii="Cambria" w:hAnsi="Cambria" w:cs="Calibri"/>
          <w:sz w:val="20"/>
          <w:szCs w:val="20"/>
          <w:lang w:val="es-VE"/>
        </w:rPr>
        <w:t>:</w:t>
      </w:r>
    </w:p>
    <w:p w14:paraId="6AF0B3FF" w14:textId="77777777" w:rsidR="000F59A2" w:rsidRPr="009D1618" w:rsidRDefault="000F59A2" w:rsidP="000F59A2">
      <w:pPr>
        <w:pStyle w:val="ListParagraph"/>
        <w:rPr>
          <w:rFonts w:cs="Calibri"/>
          <w:sz w:val="20"/>
          <w:szCs w:val="20"/>
          <w:lang w:val="es-VE"/>
        </w:rPr>
      </w:pPr>
    </w:p>
    <w:p w14:paraId="2F362E55"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9D1618">
        <w:rPr>
          <w:rFonts w:ascii="Cambria" w:hAnsi="Cambria" w:cs="Calibri"/>
          <w:sz w:val="20"/>
          <w:szCs w:val="20"/>
          <w:lang w:val="es-VE"/>
        </w:rPr>
        <w:t xml:space="preserve"> Pena de muerte. La pena de muerte no podrá imponerse en los siguientes casos. </w:t>
      </w:r>
    </w:p>
    <w:p w14:paraId="4C9C2D8C" w14:textId="77777777" w:rsidR="000F59A2" w:rsidRPr="009D1618" w:rsidRDefault="000F59A2" w:rsidP="000F59A2">
      <w:pPr>
        <w:pStyle w:val="ListParagraph"/>
        <w:rPr>
          <w:rFonts w:cs="Calibri"/>
          <w:sz w:val="20"/>
          <w:szCs w:val="20"/>
          <w:lang w:val="es-VE"/>
        </w:rPr>
      </w:pPr>
    </w:p>
    <w:p w14:paraId="1E8C3651" w14:textId="77777777" w:rsidR="000F59A2" w:rsidRDefault="000F59A2" w:rsidP="000F59A2">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Con fundamento en presunciones;</w:t>
      </w:r>
    </w:p>
    <w:p w14:paraId="7FE39807" w14:textId="594C4917" w:rsidR="00394F9A" w:rsidRPr="009D1618" w:rsidRDefault="00394F9A" w:rsidP="000F59A2">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Pr>
          <w:rFonts w:cs="Calibri"/>
          <w:sz w:val="20"/>
          <w:szCs w:val="20"/>
          <w:lang w:val="es-VE"/>
        </w:rPr>
        <w:t>A las mujeres;</w:t>
      </w:r>
    </w:p>
    <w:p w14:paraId="040C8ED5" w14:textId="77777777" w:rsidR="000F59A2" w:rsidRPr="009D1618" w:rsidRDefault="000F59A2" w:rsidP="000F59A2">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A los mayores de sesenta años;</w:t>
      </w:r>
    </w:p>
    <w:p w14:paraId="70D026D7" w14:textId="77777777" w:rsidR="000F59A2" w:rsidRPr="009D1618" w:rsidRDefault="000F59A2" w:rsidP="000F59A2">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A los reos de delitos políticos y comunes conexos con los políticos; y</w:t>
      </w:r>
    </w:p>
    <w:p w14:paraId="7C6EFF69" w14:textId="77777777" w:rsidR="000F59A2" w:rsidRPr="009D1618" w:rsidRDefault="000F59A2" w:rsidP="000F59A2">
      <w:pPr>
        <w:pStyle w:val="ListParagraph"/>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 xml:space="preserve">A reos cuya extradición haya sido concedida bajo esa condición. </w:t>
      </w:r>
    </w:p>
    <w:p w14:paraId="49496258" w14:textId="77777777" w:rsidR="000F59A2" w:rsidRPr="009D1618" w:rsidRDefault="000F59A2" w:rsidP="001926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cs="Calibri"/>
          <w:sz w:val="20"/>
          <w:szCs w:val="20"/>
          <w:lang w:val="es-VE"/>
        </w:rPr>
      </w:pPr>
    </w:p>
    <w:p w14:paraId="1F4EA5E8" w14:textId="4BDC0D00" w:rsidR="000F59A2" w:rsidRPr="009D1618" w:rsidRDefault="000F59A2" w:rsidP="001926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sz w:val="20"/>
          <w:szCs w:val="20"/>
          <w:lang w:val="es-VE"/>
        </w:rPr>
      </w:pPr>
      <w:r w:rsidRPr="009D1618">
        <w:rPr>
          <w:rFonts w:ascii="Cambria" w:hAnsi="Cambria" w:cs="Calibri"/>
          <w:sz w:val="20"/>
          <w:szCs w:val="20"/>
          <w:lang w:val="es-VE"/>
        </w:rPr>
        <w:t xml:space="preserve">Contra la sentencia </w:t>
      </w:r>
      <w:r w:rsidRPr="009D1618">
        <w:rPr>
          <w:rFonts w:ascii="Cambria" w:hAnsi="Cambria"/>
          <w:sz w:val="20"/>
          <w:szCs w:val="20"/>
          <w:lang w:val="es-VE"/>
        </w:rPr>
        <w:t>que imponga la pena de muerte, serán admisibles todos los recursos legales pertinentes, inclusive el de casación; éste siempre será admitido para su trámite. La pena se ejecutará después de agotarse todos los recursos. El Congreso de la República podrá abolir la pena de muerte”</w:t>
      </w:r>
      <w:r w:rsidR="00FE7176" w:rsidRPr="00FE7176">
        <w:rPr>
          <w:rStyle w:val="FootnoteReference"/>
          <w:rFonts w:asciiTheme="majorHAnsi" w:hAnsiTheme="majorHAnsi"/>
          <w:sz w:val="20"/>
          <w:szCs w:val="20"/>
          <w:lang w:val="es-VE"/>
        </w:rPr>
        <w:footnoteReference w:id="4"/>
      </w:r>
      <w:r w:rsidRPr="009D1618">
        <w:rPr>
          <w:rFonts w:ascii="Cambria" w:hAnsi="Cambria"/>
          <w:sz w:val="20"/>
          <w:szCs w:val="20"/>
          <w:lang w:val="es-VE"/>
        </w:rPr>
        <w:t>.</w:t>
      </w:r>
    </w:p>
    <w:p w14:paraId="273F8A40"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lang w:val="es-VE"/>
        </w:rPr>
      </w:pPr>
    </w:p>
    <w:p w14:paraId="4BA79257" w14:textId="77777777" w:rsidR="000F59A2" w:rsidRPr="009D1618" w:rsidRDefault="000F59A2" w:rsidP="000F59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Asimismo, el Código Penal prevé en su artículo 43 que</w:t>
      </w:r>
      <w:r w:rsidR="004E7774" w:rsidRPr="009D1618">
        <w:rPr>
          <w:rFonts w:ascii="Cambria" w:hAnsi="Cambria" w:cs="Calibri"/>
          <w:sz w:val="20"/>
          <w:szCs w:val="20"/>
          <w:lang w:val="es-VE"/>
        </w:rPr>
        <w:t>:</w:t>
      </w:r>
    </w:p>
    <w:p w14:paraId="76A5EC51"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5667E206" w14:textId="77777777" w:rsidR="000F59A2" w:rsidRPr="009D1618" w:rsidRDefault="000F59A2" w:rsidP="0019266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cs="Calibri"/>
          <w:sz w:val="20"/>
          <w:szCs w:val="20"/>
          <w:lang w:val="es-VE"/>
        </w:rPr>
      </w:pPr>
      <w:r w:rsidRPr="009D1618">
        <w:rPr>
          <w:rFonts w:ascii="Cambria" w:hAnsi="Cambria" w:cs="Calibri"/>
          <w:sz w:val="20"/>
          <w:szCs w:val="20"/>
          <w:lang w:val="es-VE"/>
        </w:rPr>
        <w:t xml:space="preserve"> La pena de muerte, tiene carácter extraordinario y solo podrá aplicarse en los casos expresamente consignados en la ley y no se ejecutará, sino después de agotarse todos los recursos legales.</w:t>
      </w:r>
    </w:p>
    <w:p w14:paraId="6A56F118"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246C1BA8"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r w:rsidRPr="009D1618">
        <w:rPr>
          <w:rFonts w:ascii="Cambria" w:hAnsi="Cambria" w:cs="Calibri"/>
          <w:sz w:val="20"/>
          <w:szCs w:val="20"/>
          <w:lang w:val="es-VE"/>
        </w:rPr>
        <w:t>No podrá imponerse la pena de muerte:</w:t>
      </w:r>
    </w:p>
    <w:p w14:paraId="626DD21F" w14:textId="77777777" w:rsidR="000F59A2" w:rsidRPr="009D1618" w:rsidRDefault="000F59A2" w:rsidP="000F59A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Por delitos políticos</w:t>
      </w:r>
    </w:p>
    <w:p w14:paraId="2A22E427" w14:textId="77777777" w:rsidR="000F59A2" w:rsidRPr="009D1618" w:rsidRDefault="000F59A2" w:rsidP="000F59A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Cuando la condena se fundamente en presunciones</w:t>
      </w:r>
    </w:p>
    <w:p w14:paraId="17976D6F" w14:textId="77777777" w:rsidR="000F59A2" w:rsidRPr="009D1618" w:rsidRDefault="000F59A2" w:rsidP="00723DBB">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A mujeres</w:t>
      </w:r>
    </w:p>
    <w:p w14:paraId="274DF6D2" w14:textId="77777777" w:rsidR="000F59A2" w:rsidRPr="009D1618" w:rsidRDefault="000F59A2" w:rsidP="000F59A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A varones mayores de setenta años</w:t>
      </w:r>
    </w:p>
    <w:p w14:paraId="7502924E" w14:textId="77777777" w:rsidR="000F59A2" w:rsidRPr="009D1618" w:rsidRDefault="000F59A2" w:rsidP="000F59A2">
      <w:pPr>
        <w:pStyle w:val="ListParagraph"/>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lang w:val="es-VE"/>
        </w:rPr>
      </w:pPr>
      <w:r w:rsidRPr="009D1618">
        <w:rPr>
          <w:rFonts w:cs="Calibri"/>
          <w:sz w:val="20"/>
          <w:szCs w:val="20"/>
          <w:lang w:val="es-VE"/>
        </w:rPr>
        <w:t>A personas cuya extradición haya sido concedida bajo esa condición.</w:t>
      </w:r>
    </w:p>
    <w:p w14:paraId="7EB3A721" w14:textId="77777777" w:rsidR="000F59A2" w:rsidRPr="009D1618" w:rsidRDefault="000F59A2"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lang w:val="es-VE"/>
        </w:rPr>
      </w:pPr>
    </w:p>
    <w:p w14:paraId="4D1F934D" w14:textId="666D1FE6" w:rsidR="000F59A2" w:rsidRPr="009D1618" w:rsidRDefault="000F59A2" w:rsidP="00CE314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hAnsi="Cambria" w:cs="Calibri"/>
          <w:sz w:val="20"/>
          <w:szCs w:val="20"/>
          <w:lang w:val="es-VE"/>
        </w:rPr>
      </w:pPr>
      <w:r w:rsidRPr="009D1618">
        <w:rPr>
          <w:rFonts w:ascii="Cambria" w:hAnsi="Cambria" w:cs="Calibri"/>
          <w:sz w:val="20"/>
          <w:szCs w:val="20"/>
          <w:lang w:val="es-VE"/>
        </w:rPr>
        <w:t>En estos casos y siempre que la pena de muerte fuere conmutada por la de privación de libertad, se le aplicará prisión en su límite máximo</w:t>
      </w:r>
      <w:r w:rsidR="00225C73" w:rsidRPr="00225C73">
        <w:rPr>
          <w:rStyle w:val="FootnoteReference"/>
          <w:rFonts w:asciiTheme="majorHAnsi" w:hAnsiTheme="majorHAnsi" w:cs="Calibri"/>
          <w:sz w:val="16"/>
          <w:szCs w:val="16"/>
          <w:lang w:val="es-VE"/>
        </w:rPr>
        <w:footnoteReference w:id="5"/>
      </w:r>
      <w:r w:rsidRPr="009D1618">
        <w:rPr>
          <w:rFonts w:ascii="Cambria" w:hAnsi="Cambria" w:cs="Calibri"/>
          <w:sz w:val="20"/>
          <w:szCs w:val="20"/>
          <w:lang w:val="es-VE"/>
        </w:rPr>
        <w:t xml:space="preserve">. </w:t>
      </w:r>
    </w:p>
    <w:p w14:paraId="4F62C39E" w14:textId="77777777" w:rsidR="004D006B" w:rsidRPr="009D1618" w:rsidRDefault="004D006B" w:rsidP="000F59A2">
      <w:pPr>
        <w:rPr>
          <w:rFonts w:ascii="Cambria" w:hAnsi="Cambria" w:cs="Calibri"/>
          <w:sz w:val="20"/>
          <w:szCs w:val="20"/>
          <w:lang w:val="es-VE"/>
        </w:rPr>
      </w:pPr>
    </w:p>
    <w:p w14:paraId="1AF76BA7" w14:textId="77777777" w:rsidR="001C4000" w:rsidRPr="009D1618" w:rsidRDefault="001C4000" w:rsidP="001C400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El artículo 132 del Código Penal guatemalteco regulaba el tipo penal de asesinato en los siguientes términos:</w:t>
      </w:r>
    </w:p>
    <w:p w14:paraId="20E9A4AF" w14:textId="77777777" w:rsidR="001C4000" w:rsidRPr="009D1618" w:rsidRDefault="001C4000" w:rsidP="001C4000">
      <w:pPr>
        <w:tabs>
          <w:tab w:val="left" w:pos="1440"/>
        </w:tabs>
        <w:ind w:left="720"/>
        <w:jc w:val="both"/>
        <w:rPr>
          <w:rFonts w:ascii="Cambria" w:hAnsi="Cambria" w:cs="Calibri"/>
          <w:sz w:val="20"/>
          <w:szCs w:val="20"/>
          <w:lang w:val="es-VE"/>
        </w:rPr>
      </w:pPr>
    </w:p>
    <w:p w14:paraId="3E5F9E33" w14:textId="77777777" w:rsidR="001C4000" w:rsidRPr="009D1618" w:rsidRDefault="001C4000" w:rsidP="001C4000">
      <w:pPr>
        <w:tabs>
          <w:tab w:val="left" w:pos="1440"/>
        </w:tabs>
        <w:ind w:left="720"/>
        <w:jc w:val="both"/>
        <w:rPr>
          <w:rFonts w:ascii="Cambria" w:hAnsi="Cambria" w:cs="Calibri"/>
          <w:sz w:val="20"/>
          <w:szCs w:val="20"/>
          <w:lang w:val="es-VE"/>
        </w:rPr>
      </w:pPr>
      <w:r w:rsidRPr="009D1618">
        <w:rPr>
          <w:rFonts w:ascii="Cambria" w:hAnsi="Cambria" w:cs="Calibri"/>
          <w:sz w:val="20"/>
          <w:szCs w:val="20"/>
          <w:lang w:val="es-VE"/>
        </w:rPr>
        <w:t>Comete asesinato quién matare a una persona:</w:t>
      </w:r>
    </w:p>
    <w:p w14:paraId="7544CF15" w14:textId="77777777" w:rsidR="001C4000" w:rsidRPr="009D1618" w:rsidRDefault="001C4000" w:rsidP="001C4000">
      <w:pPr>
        <w:pStyle w:val="ListParagraph"/>
        <w:numPr>
          <w:ilvl w:val="0"/>
          <w:numId w:val="87"/>
        </w:numPr>
        <w:tabs>
          <w:tab w:val="left" w:pos="1440"/>
        </w:tabs>
        <w:jc w:val="both"/>
        <w:rPr>
          <w:rFonts w:cs="Calibri"/>
          <w:sz w:val="20"/>
          <w:szCs w:val="20"/>
          <w:lang w:val="es-VE"/>
        </w:rPr>
      </w:pPr>
      <w:r w:rsidRPr="009D1618">
        <w:rPr>
          <w:rFonts w:cs="Calibri"/>
          <w:sz w:val="20"/>
          <w:szCs w:val="20"/>
          <w:lang w:val="es-VE"/>
        </w:rPr>
        <w:t>Con alevosía.</w:t>
      </w:r>
    </w:p>
    <w:p w14:paraId="6BC9608C" w14:textId="77777777" w:rsidR="001C4000" w:rsidRPr="009D1618" w:rsidRDefault="001C4000" w:rsidP="001C4000">
      <w:pPr>
        <w:pStyle w:val="ListParagraph"/>
        <w:numPr>
          <w:ilvl w:val="0"/>
          <w:numId w:val="87"/>
        </w:numPr>
        <w:tabs>
          <w:tab w:val="left" w:pos="1440"/>
        </w:tabs>
        <w:jc w:val="both"/>
        <w:rPr>
          <w:rFonts w:cs="Calibri"/>
          <w:sz w:val="20"/>
          <w:szCs w:val="20"/>
          <w:lang w:val="pt-BR"/>
        </w:rPr>
      </w:pPr>
      <w:r w:rsidRPr="009D1618">
        <w:rPr>
          <w:rFonts w:cs="Calibri"/>
          <w:sz w:val="20"/>
          <w:szCs w:val="20"/>
          <w:lang w:val="pt-BR"/>
        </w:rPr>
        <w:t>Por precio, recompensa o promesa.</w:t>
      </w:r>
    </w:p>
    <w:p w14:paraId="2789C7E2" w14:textId="77777777" w:rsidR="001C4000" w:rsidRPr="009D1618" w:rsidRDefault="001C4000" w:rsidP="001C4000">
      <w:pPr>
        <w:pStyle w:val="ListParagraph"/>
        <w:numPr>
          <w:ilvl w:val="0"/>
          <w:numId w:val="87"/>
        </w:numPr>
        <w:tabs>
          <w:tab w:val="left" w:pos="1440"/>
        </w:tabs>
        <w:ind w:right="720"/>
        <w:jc w:val="both"/>
        <w:rPr>
          <w:rFonts w:cs="Calibri"/>
          <w:sz w:val="20"/>
          <w:szCs w:val="20"/>
          <w:lang w:val="es-VE"/>
        </w:rPr>
      </w:pPr>
      <w:r w:rsidRPr="009D1618">
        <w:rPr>
          <w:rFonts w:cs="Calibri"/>
          <w:sz w:val="20"/>
          <w:szCs w:val="20"/>
          <w:lang w:val="es-VE"/>
        </w:rPr>
        <w:t>Por medio o con ocasión de inundación, incendio, veneno, explosión, desmoronamiento, derrumbe de edificio u otro artificio que pueda ocasionar gran estrago.</w:t>
      </w:r>
    </w:p>
    <w:p w14:paraId="6BC5E7AA" w14:textId="77777777" w:rsidR="001C4000" w:rsidRPr="009D1618" w:rsidRDefault="001C4000" w:rsidP="001C4000">
      <w:pPr>
        <w:pStyle w:val="ListParagraph"/>
        <w:numPr>
          <w:ilvl w:val="0"/>
          <w:numId w:val="87"/>
        </w:numPr>
        <w:tabs>
          <w:tab w:val="left" w:pos="1440"/>
        </w:tabs>
        <w:ind w:right="720"/>
        <w:jc w:val="both"/>
        <w:rPr>
          <w:rFonts w:cs="Calibri"/>
          <w:sz w:val="20"/>
          <w:szCs w:val="20"/>
          <w:lang w:val="es-VE"/>
        </w:rPr>
      </w:pPr>
      <w:r w:rsidRPr="009D1618">
        <w:rPr>
          <w:rFonts w:cs="Calibri"/>
          <w:sz w:val="20"/>
          <w:szCs w:val="20"/>
          <w:lang w:val="es-VE"/>
        </w:rPr>
        <w:t>Con premeditación conocida.</w:t>
      </w:r>
    </w:p>
    <w:p w14:paraId="2255584D" w14:textId="77777777" w:rsidR="001C4000" w:rsidRPr="009D1618" w:rsidRDefault="001C4000" w:rsidP="001C4000">
      <w:pPr>
        <w:pStyle w:val="ListParagraph"/>
        <w:numPr>
          <w:ilvl w:val="0"/>
          <w:numId w:val="87"/>
        </w:numPr>
        <w:tabs>
          <w:tab w:val="left" w:pos="1440"/>
        </w:tabs>
        <w:ind w:right="720"/>
        <w:jc w:val="both"/>
        <w:rPr>
          <w:rFonts w:cs="Calibri"/>
          <w:sz w:val="20"/>
          <w:szCs w:val="20"/>
          <w:lang w:val="es-VE"/>
        </w:rPr>
      </w:pPr>
      <w:r w:rsidRPr="009D1618">
        <w:rPr>
          <w:rFonts w:cs="Calibri"/>
          <w:sz w:val="20"/>
          <w:szCs w:val="20"/>
          <w:lang w:val="es-VE"/>
        </w:rPr>
        <w:t>Con ensañamiento.</w:t>
      </w:r>
    </w:p>
    <w:p w14:paraId="3F29390C" w14:textId="77777777" w:rsidR="001C4000" w:rsidRPr="009D1618" w:rsidRDefault="001C4000" w:rsidP="001C4000">
      <w:pPr>
        <w:pStyle w:val="ListParagraph"/>
        <w:numPr>
          <w:ilvl w:val="0"/>
          <w:numId w:val="87"/>
        </w:numPr>
        <w:tabs>
          <w:tab w:val="left" w:pos="1440"/>
        </w:tabs>
        <w:ind w:right="720"/>
        <w:jc w:val="both"/>
        <w:rPr>
          <w:rFonts w:cs="Calibri"/>
          <w:sz w:val="20"/>
          <w:szCs w:val="20"/>
          <w:lang w:val="es-VE"/>
        </w:rPr>
      </w:pPr>
      <w:r w:rsidRPr="009D1618">
        <w:rPr>
          <w:rFonts w:cs="Calibri"/>
          <w:sz w:val="20"/>
          <w:szCs w:val="20"/>
          <w:lang w:val="es-VE"/>
        </w:rPr>
        <w:t>Con impulso de perversidad brutal.</w:t>
      </w:r>
    </w:p>
    <w:p w14:paraId="2B7E483E" w14:textId="77777777" w:rsidR="001C4000" w:rsidRPr="009D1618" w:rsidRDefault="001C4000" w:rsidP="001C4000">
      <w:pPr>
        <w:pStyle w:val="ListParagraph"/>
        <w:numPr>
          <w:ilvl w:val="0"/>
          <w:numId w:val="87"/>
        </w:numPr>
        <w:tabs>
          <w:tab w:val="left" w:pos="1440"/>
        </w:tabs>
        <w:ind w:right="720"/>
        <w:jc w:val="both"/>
        <w:rPr>
          <w:rFonts w:cs="Calibri"/>
          <w:sz w:val="20"/>
          <w:szCs w:val="20"/>
          <w:lang w:val="es-VE"/>
        </w:rPr>
      </w:pPr>
      <w:r w:rsidRPr="009D1618">
        <w:rPr>
          <w:rFonts w:cs="Calibri"/>
          <w:sz w:val="20"/>
          <w:szCs w:val="20"/>
          <w:lang w:val="es-VE"/>
        </w:rPr>
        <w:lastRenderedPageBreak/>
        <w:t xml:space="preserve">Para preparar, facilitar, consumar u ocultar otro delito o para asegurar sus resultados o la impunidad para sí o para sus coparticipes o por no haber obtenido el resultado que se hubiere propuesto al intentar otro hecho punible. </w:t>
      </w:r>
    </w:p>
    <w:p w14:paraId="26A645EC" w14:textId="77777777" w:rsidR="001C4000" w:rsidRPr="009D1618" w:rsidRDefault="001C4000" w:rsidP="001C4000">
      <w:pPr>
        <w:pStyle w:val="ListParagraph"/>
        <w:tabs>
          <w:tab w:val="left" w:pos="1440"/>
        </w:tabs>
        <w:ind w:left="1080"/>
        <w:jc w:val="both"/>
        <w:rPr>
          <w:rFonts w:cs="Calibri"/>
          <w:sz w:val="20"/>
          <w:szCs w:val="20"/>
          <w:lang w:val="es-VE"/>
        </w:rPr>
      </w:pPr>
    </w:p>
    <w:p w14:paraId="53D52894" w14:textId="77777777" w:rsidR="001C4000" w:rsidRPr="009D1618" w:rsidRDefault="001C4000" w:rsidP="00672BCA">
      <w:pPr>
        <w:tabs>
          <w:tab w:val="left" w:pos="1440"/>
        </w:tabs>
        <w:ind w:left="720" w:right="720"/>
        <w:jc w:val="both"/>
        <w:rPr>
          <w:rFonts w:ascii="Cambria" w:hAnsi="Cambria" w:cs="Calibri"/>
          <w:sz w:val="20"/>
          <w:szCs w:val="20"/>
          <w:lang w:val="es-VE"/>
        </w:rPr>
      </w:pPr>
      <w:r w:rsidRPr="009D1618">
        <w:rPr>
          <w:rFonts w:ascii="Cambria" w:hAnsi="Cambria" w:cs="Calibri"/>
          <w:sz w:val="20"/>
          <w:szCs w:val="20"/>
          <w:lang w:val="es-VE"/>
        </w:rPr>
        <w:t>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9D1618">
        <w:rPr>
          <w:rStyle w:val="FootnoteReference"/>
          <w:rFonts w:ascii="Cambria" w:hAnsi="Cambria" w:cs="Calibri"/>
          <w:sz w:val="20"/>
          <w:szCs w:val="20"/>
          <w:lang w:val="es-VE"/>
        </w:rPr>
        <w:footnoteReference w:id="6"/>
      </w:r>
      <w:r w:rsidRPr="009D1618">
        <w:rPr>
          <w:rFonts w:ascii="Cambria" w:hAnsi="Cambria" w:cs="Calibri"/>
          <w:sz w:val="20"/>
          <w:szCs w:val="20"/>
          <w:lang w:val="es-VE"/>
        </w:rPr>
        <w:t xml:space="preserve">. </w:t>
      </w:r>
    </w:p>
    <w:p w14:paraId="3382984C" w14:textId="77777777" w:rsidR="001C4000" w:rsidRPr="009D1618" w:rsidRDefault="001C4000" w:rsidP="000F59A2">
      <w:pPr>
        <w:rPr>
          <w:rFonts w:ascii="Cambria" w:hAnsi="Cambria" w:cs="Calibri"/>
          <w:sz w:val="20"/>
          <w:szCs w:val="20"/>
          <w:lang w:val="es-VE"/>
        </w:rPr>
      </w:pPr>
    </w:p>
    <w:p w14:paraId="34196FFB" w14:textId="77777777" w:rsidR="000F59A2" w:rsidRPr="009D1618" w:rsidRDefault="000F59A2" w:rsidP="000F59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A pesar de estar prevista en la legislación guatemalteca, según un informe de Amnistía Internacional, la pena de muerte rara vez se aplicó en Guatemala antes de los años noventa. Dicho informe refiere que en 1982 se llevaron a cabo 4 ejecuciones por pena de muerte, y otras 11 en 1983, en virtud del Decreto de Emergencia 46-82, promulgado durante el estado de sitio impuesto por Efraín Ríos Montt</w:t>
      </w:r>
      <w:r w:rsidR="00B9588B" w:rsidRPr="009D1618">
        <w:rPr>
          <w:rStyle w:val="FootnoteReference"/>
          <w:rFonts w:ascii="Cambria" w:hAnsi="Cambria" w:cs="Calibri"/>
          <w:sz w:val="20"/>
          <w:szCs w:val="20"/>
          <w:lang w:val="es-VE"/>
        </w:rPr>
        <w:footnoteReference w:id="7"/>
      </w:r>
      <w:r w:rsidRPr="009D1618">
        <w:rPr>
          <w:rFonts w:ascii="Cambria" w:hAnsi="Cambria"/>
          <w:sz w:val="20"/>
          <w:szCs w:val="20"/>
          <w:lang w:val="es-VE"/>
        </w:rPr>
        <w:t>.</w:t>
      </w:r>
    </w:p>
    <w:p w14:paraId="4EE9B7E4" w14:textId="77777777" w:rsidR="000F59A2" w:rsidRPr="009D1618" w:rsidRDefault="000F59A2" w:rsidP="000F59A2">
      <w:pPr>
        <w:pStyle w:val="ListParagraph"/>
        <w:rPr>
          <w:rFonts w:cs="Calibri"/>
          <w:sz w:val="20"/>
          <w:szCs w:val="20"/>
          <w:lang w:val="es-VE"/>
        </w:rPr>
      </w:pPr>
    </w:p>
    <w:p w14:paraId="77407925" w14:textId="77777777" w:rsidR="000F59A2" w:rsidRPr="009D1618" w:rsidRDefault="000F59A2" w:rsidP="00126A1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cs="Calibri"/>
          <w:sz w:val="20"/>
          <w:szCs w:val="20"/>
          <w:lang w:val="es-VE"/>
        </w:rPr>
        <w:t>Durante los años 90 el Estado guatemalteco volvió a aplicar la pena de muerte, primero por medio de fusilamiento, conforme al Decreto 234 del Congreso de la República, y luego a través de inyección letal</w:t>
      </w:r>
      <w:r w:rsidRPr="009D1618">
        <w:rPr>
          <w:rStyle w:val="FootnoteReference"/>
          <w:rFonts w:ascii="Cambria" w:hAnsi="Cambria" w:cs="Calibri"/>
          <w:sz w:val="20"/>
          <w:szCs w:val="20"/>
          <w:lang w:val="es-VE"/>
        </w:rPr>
        <w:footnoteReference w:id="8"/>
      </w:r>
      <w:r w:rsidRPr="009D1618">
        <w:rPr>
          <w:rFonts w:ascii="Cambria" w:hAnsi="Cambria" w:cs="Calibri"/>
          <w:sz w:val="20"/>
          <w:szCs w:val="20"/>
          <w:lang w:val="es-VE"/>
        </w:rPr>
        <w:t xml:space="preserve">, después </w:t>
      </w:r>
      <w:r w:rsidR="00DB34D4" w:rsidRPr="009D1618">
        <w:rPr>
          <w:rFonts w:ascii="Cambria" w:hAnsi="Cambria" w:cs="Calibri"/>
          <w:sz w:val="20"/>
          <w:szCs w:val="20"/>
          <w:lang w:val="es-VE"/>
        </w:rPr>
        <w:t xml:space="preserve">de </w:t>
      </w:r>
      <w:r w:rsidRPr="009D1618">
        <w:rPr>
          <w:rFonts w:ascii="Cambria" w:hAnsi="Cambria" w:cs="Calibri"/>
          <w:sz w:val="20"/>
          <w:szCs w:val="20"/>
          <w:lang w:val="es-VE"/>
        </w:rPr>
        <w:t>que el Decreto 234 fue derogado por el Decreto 100-96 de noviembre de 1996</w:t>
      </w:r>
      <w:r w:rsidR="00DB34D4" w:rsidRPr="009D1618">
        <w:rPr>
          <w:rFonts w:ascii="Cambria" w:hAnsi="Cambria" w:cs="Calibri"/>
          <w:sz w:val="20"/>
          <w:szCs w:val="20"/>
          <w:lang w:val="es-VE"/>
        </w:rPr>
        <w:t xml:space="preserve"> mediante el cual se estableció este nuevo método de ejecución, cuyo procedimientos fue regulado en el artículo 7 del mismo decreto</w:t>
      </w:r>
      <w:r w:rsidR="002105E8" w:rsidRPr="009D1618">
        <w:rPr>
          <w:rStyle w:val="FootnoteReference"/>
          <w:rFonts w:ascii="Cambria" w:hAnsi="Cambria" w:cs="Calibri"/>
          <w:sz w:val="20"/>
          <w:szCs w:val="20"/>
          <w:lang w:val="es-VE"/>
        </w:rPr>
        <w:footnoteReference w:id="9"/>
      </w:r>
      <w:r w:rsidR="00DB34D4" w:rsidRPr="009D1618">
        <w:rPr>
          <w:rFonts w:ascii="Cambria" w:hAnsi="Cambria" w:cs="Calibri"/>
          <w:sz w:val="20"/>
          <w:szCs w:val="20"/>
          <w:lang w:val="es-VE"/>
        </w:rPr>
        <w:t xml:space="preserve">. </w:t>
      </w:r>
      <w:r w:rsidRPr="009D1618">
        <w:rPr>
          <w:rFonts w:ascii="Cambria" w:hAnsi="Cambria" w:cs="Calibri"/>
          <w:sz w:val="20"/>
          <w:szCs w:val="20"/>
          <w:lang w:val="es-VE"/>
        </w:rPr>
        <w:t xml:space="preserve"> </w:t>
      </w:r>
    </w:p>
    <w:p w14:paraId="7F74800A" w14:textId="77777777" w:rsidR="000F59A2" w:rsidRPr="009D1618" w:rsidRDefault="000F59A2" w:rsidP="00672B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i/>
          <w:sz w:val="20"/>
          <w:szCs w:val="20"/>
          <w:lang w:val="es-ES"/>
        </w:rPr>
      </w:pPr>
    </w:p>
    <w:p w14:paraId="33610CB9" w14:textId="77777777" w:rsidR="000F59A2" w:rsidRPr="009D1618" w:rsidRDefault="000F59A2" w:rsidP="000F59A2">
      <w:pPr>
        <w:pStyle w:val="ListParagraph"/>
        <w:numPr>
          <w:ilvl w:val="1"/>
          <w:numId w:val="55"/>
        </w:numPr>
        <w:tabs>
          <w:tab w:val="clear" w:pos="1800"/>
          <w:tab w:val="num" w:pos="1440"/>
        </w:tabs>
        <w:ind w:hanging="1080"/>
        <w:rPr>
          <w:b/>
          <w:sz w:val="20"/>
          <w:szCs w:val="20"/>
          <w:lang w:val="es-VE"/>
        </w:rPr>
      </w:pPr>
      <w:r w:rsidRPr="009D1618">
        <w:rPr>
          <w:b/>
          <w:sz w:val="20"/>
          <w:szCs w:val="20"/>
          <w:lang w:val="es-VE"/>
        </w:rPr>
        <w:t xml:space="preserve">El recurso de gracia y </w:t>
      </w:r>
      <w:r w:rsidR="00C609C5" w:rsidRPr="009D1618">
        <w:rPr>
          <w:b/>
          <w:sz w:val="20"/>
          <w:szCs w:val="20"/>
          <w:lang w:val="es-VE"/>
        </w:rPr>
        <w:t>l</w:t>
      </w:r>
      <w:r w:rsidRPr="009D1618">
        <w:rPr>
          <w:b/>
          <w:sz w:val="20"/>
          <w:szCs w:val="20"/>
          <w:lang w:val="es-VE"/>
        </w:rPr>
        <w:t>a deroga</w:t>
      </w:r>
      <w:r w:rsidR="00C609C5" w:rsidRPr="009D1618">
        <w:rPr>
          <w:b/>
          <w:sz w:val="20"/>
          <w:szCs w:val="20"/>
          <w:lang w:val="es-VE"/>
        </w:rPr>
        <w:t>toria</w:t>
      </w:r>
      <w:r w:rsidRPr="009D1618">
        <w:rPr>
          <w:b/>
          <w:sz w:val="20"/>
          <w:szCs w:val="20"/>
          <w:lang w:val="es-VE"/>
        </w:rPr>
        <w:t xml:space="preserve"> del Decreto 159 de 1892 </w:t>
      </w:r>
    </w:p>
    <w:p w14:paraId="2D31F03F" w14:textId="77777777" w:rsidR="000F59A2" w:rsidRPr="009D1618" w:rsidRDefault="000F59A2" w:rsidP="00C609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 </w:t>
      </w:r>
    </w:p>
    <w:p w14:paraId="6FDA6EF6" w14:textId="77777777" w:rsidR="00B22AE6" w:rsidRPr="009D1618" w:rsidRDefault="00B22AE6" w:rsidP="00B22A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lang w:val="es-ES"/>
        </w:rPr>
      </w:pPr>
      <w:r w:rsidRPr="009D1618">
        <w:rPr>
          <w:rFonts w:ascii="Cambria" w:eastAsia="Times New Roman" w:hAnsi="Cambria" w:cs="Courier New"/>
          <w:sz w:val="20"/>
          <w:szCs w:val="20"/>
          <w:lang w:val="es-ES"/>
        </w:rPr>
        <w:t>El último recurso disponible en la legislación guatemalteca, para impugnar la imposición de la pena de muerte al momento de los hechos del presente caso era el recurso de gracia, previsto en el Decreto 159 de la Asamblea Nacional Legislativa de 19 de abril de 1892. El recurso de gracia establecía la facultad del Presidente de la República de no aplicar la pena de muerte a un condenado, no obstante, en una decisión de amparo de la Corte de Constitucionalidad de 9 de agosto de 1996, se indicó que el Decreto 159 ya no se encontraba vigente, pero que permanecía vigente el recurso de gracia, aunque sin un procedimiento establecido. Al respecto determinó que el Decreto 159 estuvo vigente entre el 21 de abril de 1892 y el 22 de diciembre de 1944 y tuvo una nueva vigencia con modificaciones entre el 23 de diciembre de 1944 y 14 de marzo de 1945, día anterior a la fecha de vigencia de la Constitución de 1945. Por ello la Corte de Constitucionalidad concluyó que “el procedimiento establecido en el Decreto 159 de la Asamblea Nacional Legislativa, no está vigente”. Agregó que la solicitud de conmuta de la pena es un recurso admisible contra la sentencia que impone la pena de muerte y que el conocimiento de dicha solicitud corresponde al Presidente de la República, cuya única obligación es resolver y notificar lo resuelto, sin que exista un procedimiento obligado al que deba sujetarse</w:t>
      </w:r>
      <w:r w:rsidRPr="009D1618">
        <w:rPr>
          <w:rStyle w:val="FootnoteReference"/>
          <w:rFonts w:ascii="Cambria" w:eastAsia="Times New Roman" w:hAnsi="Cambria" w:cs="Courier New"/>
          <w:sz w:val="20"/>
          <w:szCs w:val="20"/>
          <w:lang w:val="es-ES"/>
        </w:rPr>
        <w:footnoteReference w:id="10"/>
      </w:r>
      <w:r w:rsidRPr="009D1618">
        <w:rPr>
          <w:rFonts w:ascii="Cambria" w:eastAsia="Times New Roman" w:hAnsi="Cambria" w:cs="Courier New"/>
          <w:sz w:val="20"/>
          <w:szCs w:val="20"/>
          <w:lang w:val="es-ES"/>
        </w:rPr>
        <w:t xml:space="preserve">. </w:t>
      </w:r>
    </w:p>
    <w:p w14:paraId="29DFB78C" w14:textId="77777777" w:rsidR="00B22AE6" w:rsidRPr="009D1618" w:rsidRDefault="00B22AE6" w:rsidP="00B22AE6">
      <w:pPr>
        <w:tabs>
          <w:tab w:val="left" w:pos="1440"/>
        </w:tabs>
        <w:jc w:val="both"/>
        <w:rPr>
          <w:rStyle w:val="Emphasis"/>
          <w:rFonts w:ascii="Cambria" w:hAnsi="Cambria" w:cs="Calibri"/>
          <w:i w:val="0"/>
          <w:iCs w:val="0"/>
          <w:sz w:val="20"/>
          <w:szCs w:val="20"/>
          <w:lang w:val="es-VE"/>
        </w:rPr>
      </w:pPr>
    </w:p>
    <w:p w14:paraId="06914A28" w14:textId="77777777" w:rsidR="00B22AE6" w:rsidRPr="009D1618" w:rsidRDefault="00B22AE6" w:rsidP="00B22AE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lang w:val="es-VE"/>
        </w:rPr>
      </w:pPr>
      <w:r w:rsidRPr="009D1618">
        <w:rPr>
          <w:rFonts w:ascii="Cambria" w:hAnsi="Cambria" w:cs="Calibri"/>
          <w:sz w:val="20"/>
          <w:szCs w:val="20"/>
          <w:lang w:val="es-VE"/>
        </w:rPr>
        <w:t xml:space="preserve">Con </w:t>
      </w:r>
      <w:r w:rsidRPr="009D1618">
        <w:rPr>
          <w:rFonts w:ascii="Cambria" w:eastAsia="Times New Roman" w:hAnsi="Cambria" w:cs="Courier New"/>
          <w:sz w:val="20"/>
          <w:szCs w:val="20"/>
          <w:lang w:val="es-ES"/>
        </w:rPr>
        <w:t>posterioridad</w:t>
      </w:r>
      <w:r w:rsidRPr="009D1618">
        <w:rPr>
          <w:rFonts w:ascii="Cambria" w:hAnsi="Cambria" w:cs="Calibri"/>
          <w:sz w:val="20"/>
          <w:szCs w:val="20"/>
          <w:lang w:val="es-VE"/>
        </w:rPr>
        <w:t>, el 1 de junio de 2000 el Congreso de la República derogó formalmente el Decreto 159 de 1892 por considerar que no existe norma que “sirva de fundamento para que el Organismo Ejecutivo pueda conmutar la pena de muerte como establece el Decreto Número 159 de la Asamblea Nacional Legislativa de la República, al haberse derogado las constituciones anteriores (…)”</w:t>
      </w:r>
      <w:r w:rsidRPr="009D1618">
        <w:rPr>
          <w:rStyle w:val="FootnoteReference"/>
          <w:rFonts w:ascii="Cambria" w:hAnsi="Cambria" w:cs="Calibri"/>
          <w:sz w:val="20"/>
          <w:szCs w:val="20"/>
          <w:lang w:val="es-VE"/>
        </w:rPr>
        <w:footnoteReference w:id="11"/>
      </w:r>
      <w:r w:rsidRPr="009D1618">
        <w:rPr>
          <w:rFonts w:ascii="Cambria" w:hAnsi="Cambria" w:cs="Calibri"/>
          <w:sz w:val="20"/>
          <w:szCs w:val="20"/>
          <w:lang w:val="es-VE"/>
        </w:rPr>
        <w:t xml:space="preserve">. </w:t>
      </w:r>
    </w:p>
    <w:p w14:paraId="0ED6A146" w14:textId="77777777" w:rsidR="00B22AE6" w:rsidRPr="009D1618" w:rsidRDefault="00B22AE6" w:rsidP="00B22AE6">
      <w:pPr>
        <w:tabs>
          <w:tab w:val="left" w:pos="1440"/>
        </w:tabs>
        <w:jc w:val="both"/>
        <w:rPr>
          <w:rFonts w:ascii="Cambria" w:eastAsia="Times New Roman" w:hAnsi="Cambria" w:cs="Courier New"/>
          <w:sz w:val="20"/>
          <w:szCs w:val="20"/>
          <w:lang w:val="es-VE"/>
        </w:rPr>
      </w:pPr>
    </w:p>
    <w:p w14:paraId="1DC17318" w14:textId="7275BAC3" w:rsidR="00186B5C" w:rsidRPr="00394F9A" w:rsidRDefault="00B22AE6" w:rsidP="000F59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eastAsia="Times New Roman" w:hAnsi="Cambria" w:cs="Courier New"/>
          <w:sz w:val="20"/>
          <w:szCs w:val="20"/>
          <w:lang w:val="es-VE"/>
        </w:rPr>
        <w:t xml:space="preserve">A partir de dicha fecha, </w:t>
      </w:r>
      <w:r w:rsidRPr="009D1618">
        <w:rPr>
          <w:rFonts w:ascii="Cambria" w:eastAsia="Times New Roman" w:hAnsi="Cambria" w:cs="Courier New"/>
          <w:sz w:val="20"/>
          <w:szCs w:val="20"/>
          <w:lang w:val="es-ES"/>
        </w:rPr>
        <w:t>es</w:t>
      </w:r>
      <w:r w:rsidRPr="009D1618">
        <w:rPr>
          <w:rFonts w:ascii="Cambria" w:eastAsia="Times New Roman" w:hAnsi="Cambria" w:cs="Courier New"/>
          <w:sz w:val="20"/>
          <w:szCs w:val="20"/>
          <w:lang w:val="es-VE"/>
        </w:rPr>
        <w:t xml:space="preserve"> decir, hace más de 17 años, en Guatemala no se ha impuesto ni aplicado la pena de muerte.</w:t>
      </w:r>
    </w:p>
    <w:p w14:paraId="21692388" w14:textId="77777777" w:rsidR="000F59A2" w:rsidRPr="009D1618" w:rsidRDefault="000F59A2" w:rsidP="00C35606">
      <w:pPr>
        <w:pStyle w:val="ListParagraph"/>
        <w:numPr>
          <w:ilvl w:val="1"/>
          <w:numId w:val="55"/>
        </w:numPr>
        <w:tabs>
          <w:tab w:val="clear" w:pos="1800"/>
          <w:tab w:val="num" w:pos="1440"/>
        </w:tabs>
        <w:ind w:left="1440" w:hanging="720"/>
        <w:jc w:val="both"/>
        <w:rPr>
          <w:b/>
          <w:sz w:val="20"/>
          <w:szCs w:val="20"/>
          <w:lang w:val="es-VE"/>
        </w:rPr>
      </w:pPr>
      <w:r w:rsidRPr="009D1618">
        <w:rPr>
          <w:b/>
          <w:sz w:val="20"/>
          <w:szCs w:val="20"/>
          <w:lang w:val="es-VE"/>
        </w:rPr>
        <w:lastRenderedPageBreak/>
        <w:t xml:space="preserve">Los casos Fermín Ramírez y Raxcacó Reyes vs. Guatemala </w:t>
      </w:r>
      <w:r w:rsidR="00E062FB" w:rsidRPr="009D1618">
        <w:rPr>
          <w:b/>
          <w:sz w:val="20"/>
          <w:szCs w:val="20"/>
          <w:lang w:val="es-VE"/>
        </w:rPr>
        <w:t>conocidos por</w:t>
      </w:r>
      <w:r w:rsidRPr="009D1618">
        <w:rPr>
          <w:b/>
          <w:sz w:val="20"/>
          <w:szCs w:val="20"/>
          <w:lang w:val="es-VE"/>
        </w:rPr>
        <w:t xml:space="preserve"> la Corte Interamericana de Derechos Humanos </w:t>
      </w:r>
    </w:p>
    <w:p w14:paraId="5984DAA4" w14:textId="77777777" w:rsidR="004A4EB8" w:rsidRPr="009D1618" w:rsidRDefault="004A4EB8" w:rsidP="004A4EB8">
      <w:pPr>
        <w:jc w:val="both"/>
        <w:rPr>
          <w:rFonts w:ascii="Cambria" w:hAnsi="Cambria"/>
          <w:b/>
          <w:sz w:val="20"/>
          <w:szCs w:val="20"/>
          <w:lang w:val="es-VE"/>
        </w:rPr>
      </w:pPr>
    </w:p>
    <w:p w14:paraId="58C4B54C" w14:textId="77777777" w:rsidR="00E64EE2" w:rsidRPr="009D1618" w:rsidRDefault="00E64EE2" w:rsidP="006E217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lang w:val="es-ES"/>
        </w:rPr>
      </w:pPr>
      <w:r w:rsidRPr="009D1618">
        <w:rPr>
          <w:rFonts w:ascii="Cambria" w:eastAsia="Times New Roman" w:hAnsi="Cambria" w:cs="Courier New"/>
          <w:sz w:val="20"/>
          <w:szCs w:val="20"/>
          <w:lang w:val="es-ES"/>
        </w:rPr>
        <w:t xml:space="preserve">En 2005, la Corte </w:t>
      </w:r>
      <w:r w:rsidRPr="009D1618">
        <w:rPr>
          <w:rFonts w:ascii="Cambria" w:eastAsia="Times New Roman" w:hAnsi="Cambria" w:cs="Courier New"/>
          <w:sz w:val="20"/>
          <w:szCs w:val="20"/>
          <w:lang w:val="es-VE"/>
        </w:rPr>
        <w:t>Interamericana</w:t>
      </w:r>
      <w:r w:rsidRPr="009D1618">
        <w:rPr>
          <w:rFonts w:ascii="Cambria" w:eastAsia="Times New Roman" w:hAnsi="Cambria" w:cs="Courier New"/>
          <w:sz w:val="20"/>
          <w:szCs w:val="20"/>
          <w:lang w:val="es-ES"/>
        </w:rPr>
        <w:t xml:space="preserve"> se pronunció sobre la pena de muerte en Guatemala y, particularmente, sobre la invocación de la peligrosidad para imponer la pena de muerte en el delito de asesinato, así como la falta de regulación del recurso de gracia. </w:t>
      </w:r>
    </w:p>
    <w:p w14:paraId="0D6BF7C8" w14:textId="77777777" w:rsidR="00E64EE2" w:rsidRPr="009D1618" w:rsidRDefault="00E64EE2" w:rsidP="00E64EE2">
      <w:pPr>
        <w:tabs>
          <w:tab w:val="left" w:pos="1440"/>
        </w:tabs>
        <w:ind w:left="720"/>
        <w:jc w:val="both"/>
        <w:rPr>
          <w:rFonts w:ascii="Cambria" w:eastAsia="Times New Roman" w:hAnsi="Cambria" w:cs="Courier New"/>
          <w:sz w:val="20"/>
          <w:szCs w:val="20"/>
          <w:lang w:val="es-ES"/>
        </w:rPr>
      </w:pPr>
    </w:p>
    <w:p w14:paraId="020D7EF7" w14:textId="77777777" w:rsidR="00E64EE2" w:rsidRPr="009D1618" w:rsidRDefault="00E64EE2" w:rsidP="00D85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i/>
          <w:sz w:val="20"/>
          <w:szCs w:val="20"/>
          <w:lang w:val="es-ES"/>
        </w:rPr>
      </w:pPr>
      <w:r w:rsidRPr="009D1618">
        <w:rPr>
          <w:rFonts w:ascii="Cambria" w:eastAsia="Times New Roman" w:hAnsi="Cambria" w:cs="Courier New"/>
          <w:sz w:val="20"/>
          <w:szCs w:val="20"/>
          <w:lang w:val="es-ES"/>
        </w:rPr>
        <w:t>El delito de asesinato, tipificado en el artículo 132 del Código Penal, establecía en la parte conducente que “al reo de asesinato se le impondrá prisión de veinte a treinta años, sin embargo se impondrá la pena de muerte en lugar del máximo de prisión, si por las circunstancias del hecho y de la ocasión, la manera de realizarlo y los móviles determinantes, se revelare una mayor y particular peligrosidad del agente”</w:t>
      </w:r>
      <w:r w:rsidRPr="009D1618">
        <w:rPr>
          <w:rStyle w:val="FootnoteReference"/>
          <w:rFonts w:ascii="Cambria" w:eastAsia="Times New Roman" w:hAnsi="Cambria" w:cs="Courier New"/>
          <w:sz w:val="20"/>
          <w:szCs w:val="20"/>
          <w:lang w:val="es-ES"/>
        </w:rPr>
        <w:footnoteReference w:id="12"/>
      </w:r>
      <w:r w:rsidRPr="009D1618">
        <w:rPr>
          <w:rFonts w:ascii="Cambria" w:eastAsia="Times New Roman" w:hAnsi="Cambria" w:cs="Courier New"/>
          <w:sz w:val="20"/>
          <w:szCs w:val="20"/>
          <w:lang w:val="es-ES"/>
        </w:rPr>
        <w:t>.</w:t>
      </w:r>
      <w:r w:rsidRPr="009D1618">
        <w:rPr>
          <w:rFonts w:ascii="Cambria" w:eastAsia="Times New Roman" w:hAnsi="Cambria" w:cs="Courier New"/>
          <w:i/>
          <w:sz w:val="20"/>
          <w:szCs w:val="20"/>
          <w:lang w:val="es-ES"/>
        </w:rPr>
        <w:t xml:space="preserve"> </w:t>
      </w:r>
      <w:r w:rsidRPr="009D1618">
        <w:rPr>
          <w:rFonts w:ascii="Cambria" w:eastAsia="Times New Roman" w:hAnsi="Cambria" w:cs="Courier New"/>
          <w:sz w:val="20"/>
          <w:szCs w:val="20"/>
          <w:lang w:val="es-ES"/>
        </w:rPr>
        <w:t>Por medio del Decreto 20-96 se modificó la pena de prisión para dicho delito, quedando entre 25 a 50 años</w:t>
      </w:r>
      <w:r w:rsidRPr="009D1618">
        <w:rPr>
          <w:rStyle w:val="FootnoteReference"/>
          <w:rFonts w:ascii="Cambria" w:eastAsia="Times New Roman" w:hAnsi="Cambria" w:cs="Courier New"/>
          <w:sz w:val="20"/>
          <w:szCs w:val="20"/>
          <w:lang w:val="es-ES"/>
        </w:rPr>
        <w:footnoteReference w:id="13"/>
      </w:r>
      <w:r w:rsidRPr="009D1618">
        <w:rPr>
          <w:rFonts w:ascii="Cambria" w:eastAsia="Times New Roman" w:hAnsi="Cambria" w:cs="Courier New"/>
          <w:sz w:val="20"/>
          <w:szCs w:val="20"/>
          <w:lang w:val="es-ES"/>
        </w:rPr>
        <w:t xml:space="preserve">. </w:t>
      </w:r>
    </w:p>
    <w:p w14:paraId="5ACC6BE5" w14:textId="77777777" w:rsidR="00E64EE2" w:rsidRPr="009D1618" w:rsidRDefault="00E64EE2" w:rsidP="00E64EE2">
      <w:pPr>
        <w:pStyle w:val="ListParagraph"/>
        <w:rPr>
          <w:rFonts w:eastAsia="Times New Roman" w:cs="Courier New"/>
          <w:i/>
          <w:color w:val="auto"/>
          <w:sz w:val="20"/>
          <w:szCs w:val="20"/>
          <w:bdr w:val="none" w:sz="0" w:space="0" w:color="auto"/>
          <w:lang w:val="es-ES"/>
        </w:rPr>
      </w:pPr>
    </w:p>
    <w:p w14:paraId="6F5429CD" w14:textId="53CE672E" w:rsidR="00E64EE2" w:rsidRPr="009D1618" w:rsidRDefault="00E64EE2" w:rsidP="00D85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eastAsia="Times New Roman" w:hAnsi="Cambria" w:cs="Courier New"/>
          <w:sz w:val="20"/>
          <w:szCs w:val="20"/>
          <w:lang w:val="es-ES"/>
        </w:rPr>
        <w:t>En el caso Fermín Ramírez contra Guatemala, la Corte Interamericana analizó, entre otras cuestiones, el párrafo mencionado del delito de asesinato, e indicó que la invocación de la peligrosidad del agente “implica la apreciación del juzgador acerca de las probabilidades de que el imputado cometa hechos delictuosos en el futuro, es decir</w:t>
      </w:r>
      <w:r w:rsidRPr="009D1618">
        <w:rPr>
          <w:rFonts w:ascii="Cambria" w:hAnsi="Cambria"/>
          <w:sz w:val="20"/>
          <w:szCs w:val="20"/>
          <w:lang w:val="es-VE"/>
        </w:rPr>
        <w:t>, agrega a la imputación por los hechos realizados, la previsión de hechos futuro</w:t>
      </w:r>
      <w:r w:rsidR="00394F9A">
        <w:rPr>
          <w:rFonts w:ascii="Cambria" w:hAnsi="Cambria"/>
          <w:sz w:val="20"/>
          <w:szCs w:val="20"/>
          <w:lang w:val="es-VE"/>
        </w:rPr>
        <w:t xml:space="preserve">s que probablemente ocurrirán”. </w:t>
      </w:r>
      <w:r w:rsidRPr="009D1618">
        <w:rPr>
          <w:rFonts w:ascii="Cambria" w:hAnsi="Cambria"/>
          <w:sz w:val="20"/>
          <w:szCs w:val="20"/>
          <w:lang w:val="es-VE"/>
        </w:rPr>
        <w:t>Consideró que dicha figura es incompatible con el principio de legalidad criminal y por lo tanto declaró que el Estado violó el artículo 9 de la Convención, en relación con el artículo 2 de la misma</w:t>
      </w:r>
      <w:r w:rsidRPr="009D1618">
        <w:rPr>
          <w:rStyle w:val="FootnoteReference"/>
          <w:rFonts w:ascii="Cambria" w:hAnsi="Cambria"/>
          <w:sz w:val="20"/>
          <w:szCs w:val="20"/>
          <w:lang w:val="es-VE"/>
        </w:rPr>
        <w:footnoteReference w:id="14"/>
      </w:r>
      <w:r w:rsidRPr="009D1618">
        <w:rPr>
          <w:rFonts w:ascii="Cambria" w:hAnsi="Cambria"/>
          <w:sz w:val="20"/>
          <w:szCs w:val="20"/>
          <w:lang w:val="es-VE"/>
        </w:rPr>
        <w:t>. En virtud de ello, ordenó al Estado guatemalteco la modificación de dicho artículo para suprimir la circunstancia agravante de peligrosidad del agente de un delito de asesinato</w:t>
      </w:r>
      <w:r w:rsidRPr="009D1618">
        <w:rPr>
          <w:rStyle w:val="FootnoteReference"/>
          <w:rFonts w:ascii="Cambria" w:hAnsi="Cambria"/>
          <w:sz w:val="20"/>
          <w:szCs w:val="20"/>
          <w:lang w:val="es-VE"/>
        </w:rPr>
        <w:footnoteReference w:id="15"/>
      </w:r>
      <w:r w:rsidRPr="009D1618">
        <w:rPr>
          <w:rFonts w:ascii="Cambria" w:hAnsi="Cambria"/>
          <w:sz w:val="20"/>
          <w:szCs w:val="20"/>
          <w:lang w:val="es-VE"/>
        </w:rPr>
        <w:t xml:space="preserve">. </w:t>
      </w:r>
    </w:p>
    <w:p w14:paraId="0AD486C0" w14:textId="77777777" w:rsidR="00E64EE2" w:rsidRPr="009D1618" w:rsidRDefault="00E64EE2" w:rsidP="00E64EE2">
      <w:pPr>
        <w:tabs>
          <w:tab w:val="left" w:pos="1440"/>
        </w:tabs>
        <w:jc w:val="both"/>
        <w:rPr>
          <w:rFonts w:ascii="Cambria" w:hAnsi="Cambria"/>
          <w:sz w:val="20"/>
          <w:szCs w:val="20"/>
          <w:lang w:val="es-VE"/>
        </w:rPr>
      </w:pPr>
    </w:p>
    <w:p w14:paraId="16422F2C" w14:textId="77777777" w:rsidR="00E64EE2" w:rsidRPr="009D1618" w:rsidRDefault="00E64EE2" w:rsidP="00D85D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En el mismo caso la Corte Interamericana se refirió al artículo 4.6 de la Convención Americana que regula el derecho de toda persona condena a muerte “a solicitar la amnistía, el indulto o la conmutación de la pena, los cuales podrán ser concedidos en todos los casos”, indicando que con la derogatoria del Decreto 159 de 1892 que, como se indicó, regulaba el recurso de gracia por parte del Presidente de la República, “se prescindió expresamente de un organismo con la facultad de conocer y resolver el derecho de gracia estipulado en el artículo 4.6 de la Convención. La Corte constata, a su vez, que del Acuerdo Gubernativo Número 235-2000, dictado con posterioridad, se desprende que ningún organismo del Estado tiene la atribución de conocer y resolver el derecho de gracia”</w:t>
      </w:r>
      <w:r w:rsidRPr="009D1618">
        <w:rPr>
          <w:rStyle w:val="FootnoteReference"/>
          <w:rFonts w:ascii="Cambria" w:hAnsi="Cambria"/>
          <w:sz w:val="20"/>
          <w:szCs w:val="20"/>
          <w:lang w:val="es-VE"/>
        </w:rPr>
        <w:footnoteReference w:id="16"/>
      </w:r>
      <w:r w:rsidRPr="009D1618">
        <w:rPr>
          <w:rFonts w:ascii="Cambria" w:hAnsi="Cambria"/>
          <w:sz w:val="20"/>
          <w:szCs w:val="20"/>
          <w:lang w:val="es-VE"/>
        </w:rPr>
        <w:t xml:space="preserve">. Consideró que, al no estar establecida en el derecho interno atribución alguna para que un organismo </w:t>
      </w:r>
      <w:r w:rsidRPr="009D1618">
        <w:rPr>
          <w:rFonts w:ascii="Cambria" w:eastAsia="Times New Roman" w:hAnsi="Cambria" w:cs="Courier New"/>
          <w:sz w:val="20"/>
          <w:szCs w:val="20"/>
          <w:lang w:val="es-ES"/>
        </w:rPr>
        <w:t>del</w:t>
      </w:r>
      <w:r w:rsidRPr="009D1618">
        <w:rPr>
          <w:rFonts w:ascii="Cambria" w:hAnsi="Cambria"/>
          <w:sz w:val="20"/>
          <w:szCs w:val="20"/>
          <w:lang w:val="es-VE"/>
        </w:rPr>
        <w:t xml:space="preserve"> Estado tenga la facultad de conocer y resolver el recurso de gracia, el Estado violó el artículo 4.6 de la Convención en relación con los artículos 1.1 y 2 de la misma</w:t>
      </w:r>
      <w:r w:rsidRPr="009D1618">
        <w:rPr>
          <w:rStyle w:val="FootnoteReference"/>
          <w:rFonts w:ascii="Cambria" w:hAnsi="Cambria"/>
          <w:sz w:val="20"/>
          <w:szCs w:val="20"/>
          <w:lang w:val="es-VE"/>
        </w:rPr>
        <w:footnoteReference w:id="17"/>
      </w:r>
      <w:r w:rsidRPr="009D1618">
        <w:rPr>
          <w:rFonts w:ascii="Cambria" w:hAnsi="Cambria"/>
          <w:sz w:val="20"/>
          <w:szCs w:val="20"/>
          <w:lang w:val="es-VE"/>
        </w:rPr>
        <w:t xml:space="preserve">. </w:t>
      </w:r>
    </w:p>
    <w:p w14:paraId="0418600A" w14:textId="77777777" w:rsidR="00E64EE2" w:rsidRPr="009D1618" w:rsidRDefault="00E64EE2" w:rsidP="00E64EE2">
      <w:pPr>
        <w:pStyle w:val="ListParagraph"/>
        <w:rPr>
          <w:color w:val="auto"/>
          <w:sz w:val="20"/>
          <w:szCs w:val="20"/>
          <w:lang w:val="es-VE"/>
        </w:rPr>
      </w:pPr>
    </w:p>
    <w:p w14:paraId="362903D3" w14:textId="77777777" w:rsidR="00D85D9B" w:rsidRPr="009D1618" w:rsidRDefault="00E64EE2" w:rsidP="00E64EE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 xml:space="preserve">La Corte ordenó que “ante la inexistencia de un procedimiento legal que garantice el derecho a solicitar indulto, la conmutación de la pena o la amnistía, decrete la conmutación de la pena impuesta a todas las personas condenadas a muerte que se encuentran sin poder hacer uso del derecho al indulto” y ordenó al Estado “adoptar, en un plazo razonable, las medidas legislativas y administrativas necesarias para establecer un procedimiento que garantice que toda persona condenada a muerte tenga derecho a solicitar indulto o conmutación de la pena, conforme a una regulación que establezca la autoridad facultada para concederlo, los </w:t>
      </w:r>
      <w:r w:rsidRPr="009D1618">
        <w:rPr>
          <w:rFonts w:ascii="Cambria" w:hAnsi="Cambria"/>
          <w:sz w:val="20"/>
          <w:szCs w:val="20"/>
          <w:lang w:val="es-VE"/>
        </w:rPr>
        <w:lastRenderedPageBreak/>
        <w:t>supuestos de procedencia y el trámite respectivo; en estos casos no debe ejecutarse la sentencia mientras se encuentre pendiente la decisión sobre el indulto o la conmutación solicitados”</w:t>
      </w:r>
      <w:r w:rsidRPr="009D1618">
        <w:rPr>
          <w:rStyle w:val="FootnoteReference"/>
          <w:rFonts w:ascii="Cambria" w:hAnsi="Cambria"/>
          <w:sz w:val="20"/>
          <w:szCs w:val="20"/>
          <w:lang w:val="es-VE"/>
        </w:rPr>
        <w:footnoteReference w:id="18"/>
      </w:r>
      <w:r w:rsidRPr="009D1618">
        <w:rPr>
          <w:rFonts w:ascii="Cambria" w:hAnsi="Cambria"/>
          <w:sz w:val="20"/>
          <w:szCs w:val="20"/>
          <w:lang w:val="es-VE"/>
        </w:rPr>
        <w:t>.</w:t>
      </w:r>
    </w:p>
    <w:p w14:paraId="5E84853A" w14:textId="77777777" w:rsidR="00D85D9B" w:rsidRPr="009D1618" w:rsidRDefault="00D85D9B" w:rsidP="00D85D9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VE"/>
        </w:rPr>
      </w:pPr>
    </w:p>
    <w:p w14:paraId="1CF7D82A" w14:textId="77777777" w:rsidR="000F59A2" w:rsidRPr="009D1618" w:rsidRDefault="00E64EE2" w:rsidP="00E64EE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En el caso Raxcacó Reyes, la Corte reiteró que la derogatoria del Decreto 159 de 1892, por medio del Decreto No. 32/2000, implicó la supresión de la facultad atribuida a un organismo del Estado, de conocer y resolver el derecho de gracia estipulado en el artículo 4.6 de la Convención</w:t>
      </w:r>
      <w:r w:rsidRPr="009D1618">
        <w:rPr>
          <w:rStyle w:val="FootnoteReference"/>
          <w:rFonts w:ascii="Cambria" w:hAnsi="Cambria"/>
          <w:sz w:val="20"/>
          <w:szCs w:val="20"/>
          <w:lang w:val="es-VE"/>
        </w:rPr>
        <w:footnoteReference w:id="19"/>
      </w:r>
      <w:r w:rsidRPr="009D1618">
        <w:rPr>
          <w:rFonts w:ascii="Cambria" w:hAnsi="Cambria"/>
          <w:sz w:val="20"/>
          <w:szCs w:val="20"/>
          <w:lang w:val="es-VE"/>
        </w:rPr>
        <w:t>.</w:t>
      </w:r>
    </w:p>
    <w:p w14:paraId="6B2C91C8" w14:textId="77777777" w:rsidR="00C70E50" w:rsidRPr="009D1618" w:rsidRDefault="00C70E50" w:rsidP="000F59A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Emphasis"/>
          <w:rFonts w:ascii="Cambria" w:hAnsi="Cambria" w:cs="Calibri"/>
          <w:i w:val="0"/>
          <w:iCs w:val="0"/>
          <w:sz w:val="20"/>
          <w:szCs w:val="20"/>
          <w:lang w:val="es-VE"/>
        </w:rPr>
      </w:pPr>
    </w:p>
    <w:p w14:paraId="27E18D49" w14:textId="77777777" w:rsidR="000F59A2" w:rsidRPr="009D1618" w:rsidRDefault="000F59A2" w:rsidP="000F59A2">
      <w:pPr>
        <w:pStyle w:val="ListParagraph"/>
        <w:numPr>
          <w:ilvl w:val="1"/>
          <w:numId w:val="55"/>
        </w:numPr>
        <w:tabs>
          <w:tab w:val="clear" w:pos="1800"/>
          <w:tab w:val="num" w:pos="1440"/>
        </w:tabs>
        <w:ind w:hanging="1080"/>
        <w:rPr>
          <w:b/>
          <w:sz w:val="20"/>
          <w:szCs w:val="20"/>
          <w:lang w:val="es-VE"/>
        </w:rPr>
      </w:pPr>
      <w:r w:rsidRPr="009D1618">
        <w:rPr>
          <w:b/>
          <w:sz w:val="20"/>
          <w:szCs w:val="20"/>
          <w:lang w:val="es-VE"/>
        </w:rPr>
        <w:t>La pena de muerte en Guatemala en la actualidad</w:t>
      </w:r>
    </w:p>
    <w:p w14:paraId="12F5E517" w14:textId="77777777" w:rsidR="000F59A2" w:rsidRPr="009D1618" w:rsidRDefault="000F59A2" w:rsidP="000F59A2">
      <w:pPr>
        <w:pStyle w:val="ListParagraph"/>
        <w:rPr>
          <w:rFonts w:cs="Calibri"/>
          <w:sz w:val="20"/>
          <w:szCs w:val="20"/>
          <w:lang w:val="es-VE"/>
        </w:rPr>
      </w:pPr>
    </w:p>
    <w:p w14:paraId="7E626656" w14:textId="77777777" w:rsidR="00F270F7" w:rsidRPr="009D1618" w:rsidRDefault="00F270F7" w:rsidP="00F270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A partir de dichas decisiones, el Estado guatemalteco no ha impuesto ni aplicado la pena de muerte, ni regulado </w:t>
      </w:r>
      <w:r w:rsidRPr="009D1618">
        <w:rPr>
          <w:rFonts w:ascii="Cambria" w:hAnsi="Cambria"/>
          <w:sz w:val="20"/>
          <w:szCs w:val="20"/>
          <w:lang w:val="es-VE"/>
        </w:rPr>
        <w:t>el</w:t>
      </w:r>
      <w:r w:rsidRPr="009D1618">
        <w:rPr>
          <w:rFonts w:ascii="Cambria" w:hAnsi="Cambria" w:cs="Calibri"/>
          <w:sz w:val="20"/>
          <w:szCs w:val="20"/>
          <w:lang w:val="es-VE"/>
        </w:rPr>
        <w:t xml:space="preserve"> recurso de gracia, por lo que la Cámara Penal de la Corte Suprema de Justicia ha venido conmutando la pena de muerte por la máxima de prisión a quienes lo han solicitado</w:t>
      </w:r>
      <w:r w:rsidRPr="009D1618">
        <w:rPr>
          <w:rStyle w:val="FootnoteReference"/>
          <w:rFonts w:ascii="Cambria" w:hAnsi="Cambria" w:cs="Calibri"/>
          <w:sz w:val="20"/>
          <w:szCs w:val="20"/>
          <w:lang w:val="es-VE"/>
        </w:rPr>
        <w:footnoteReference w:id="20"/>
      </w:r>
      <w:r w:rsidRPr="009D1618">
        <w:rPr>
          <w:rFonts w:ascii="Cambria" w:hAnsi="Cambria" w:cs="Calibri"/>
          <w:sz w:val="20"/>
          <w:szCs w:val="20"/>
          <w:lang w:val="es-VE"/>
        </w:rPr>
        <w:t xml:space="preserve">. </w:t>
      </w:r>
    </w:p>
    <w:p w14:paraId="1FFD0048" w14:textId="77777777" w:rsidR="00F270F7" w:rsidRPr="009D1618" w:rsidRDefault="00F270F7" w:rsidP="00F270F7">
      <w:pPr>
        <w:tabs>
          <w:tab w:val="left" w:pos="1440"/>
        </w:tabs>
        <w:ind w:left="720"/>
        <w:jc w:val="both"/>
        <w:rPr>
          <w:rFonts w:ascii="Cambria" w:hAnsi="Cambria" w:cs="Calibri"/>
          <w:sz w:val="20"/>
          <w:szCs w:val="20"/>
          <w:lang w:val="es-VE"/>
        </w:rPr>
      </w:pPr>
    </w:p>
    <w:p w14:paraId="48009A8E" w14:textId="77777777" w:rsidR="00F270F7" w:rsidRPr="009D1618" w:rsidRDefault="00F270F7" w:rsidP="00F270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lang w:val="es-VE"/>
        </w:rPr>
      </w:pPr>
      <w:r w:rsidRPr="009D1618">
        <w:rPr>
          <w:rFonts w:ascii="Cambria" w:hAnsi="Cambria" w:cs="Calibri"/>
          <w:sz w:val="20"/>
          <w:szCs w:val="20"/>
          <w:lang w:val="es-VE"/>
        </w:rPr>
        <w:t xml:space="preserve">La pena de muerte continúa prevista para los siguientes delitos: </w:t>
      </w:r>
      <w:r w:rsidRPr="009D1618">
        <w:rPr>
          <w:rFonts w:ascii="Cambria" w:hAnsi="Cambria"/>
          <w:sz w:val="20"/>
          <w:szCs w:val="20"/>
          <w:lang w:val="es-AR"/>
        </w:rPr>
        <w:t xml:space="preserve">1. Plagio o secuestro; 2. Parricidio; 3. Ejecución </w:t>
      </w:r>
      <w:r w:rsidRPr="009D1618">
        <w:rPr>
          <w:rFonts w:ascii="Cambria" w:hAnsi="Cambria"/>
          <w:sz w:val="20"/>
          <w:szCs w:val="20"/>
          <w:lang w:val="es-VE"/>
        </w:rPr>
        <w:t>Extrajudicial</w:t>
      </w:r>
      <w:r w:rsidRPr="009D1618">
        <w:rPr>
          <w:rFonts w:ascii="Cambria" w:hAnsi="Cambria"/>
          <w:sz w:val="20"/>
          <w:szCs w:val="20"/>
          <w:lang w:val="es-AR"/>
        </w:rPr>
        <w:t xml:space="preserve">; 4. Caso de muerte al Presidente o Vicepresidente de la República; 5. Delitos relacionados con narcotráfico en los que resulte la muerte de personas. En algunos de estos tipos penales se hace referencia a la peligrosidad del agente como elemento determinante para la imposición de la pena de muerte. </w:t>
      </w:r>
    </w:p>
    <w:p w14:paraId="5A360F9A" w14:textId="77777777" w:rsidR="00F270F7" w:rsidRPr="009D1618" w:rsidRDefault="00F270F7" w:rsidP="00F270F7">
      <w:pPr>
        <w:tabs>
          <w:tab w:val="left" w:pos="1440"/>
        </w:tabs>
        <w:jc w:val="both"/>
        <w:rPr>
          <w:rFonts w:ascii="Cambria" w:hAnsi="Cambria" w:cs="Calibri"/>
          <w:sz w:val="20"/>
          <w:szCs w:val="20"/>
          <w:lang w:val="es-VE"/>
        </w:rPr>
      </w:pPr>
    </w:p>
    <w:p w14:paraId="670174DD" w14:textId="77777777" w:rsidR="00F270F7" w:rsidRPr="009D1618" w:rsidRDefault="00F270F7" w:rsidP="00F270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El 12 de febrero de 2008 el Congreso guatemalteco emitió una ley mediante la cual restituyó al Presidente la facultad de perdonar la vida o confirmar la pena capital a los reos condenados a través del recurso de indulto</w:t>
      </w:r>
      <w:r w:rsidRPr="009D1618">
        <w:rPr>
          <w:rStyle w:val="FootnoteReference"/>
          <w:rFonts w:ascii="Cambria" w:hAnsi="Cambria"/>
          <w:sz w:val="20"/>
          <w:szCs w:val="20"/>
          <w:lang w:val="es-VE"/>
        </w:rPr>
        <w:footnoteReference w:id="21"/>
      </w:r>
      <w:r w:rsidRPr="009D1618">
        <w:rPr>
          <w:rFonts w:ascii="Cambria" w:hAnsi="Cambria"/>
          <w:sz w:val="20"/>
          <w:szCs w:val="20"/>
          <w:lang w:val="es-VE"/>
        </w:rPr>
        <w:t xml:space="preserve">. Sin </w:t>
      </w:r>
      <w:r w:rsidRPr="009D1618">
        <w:rPr>
          <w:rFonts w:ascii="Cambria" w:hAnsi="Cambria" w:cs="Calibri"/>
          <w:sz w:val="20"/>
          <w:szCs w:val="20"/>
          <w:lang w:val="es-VE"/>
        </w:rPr>
        <w:t>embargo</w:t>
      </w:r>
      <w:r w:rsidRPr="009D1618">
        <w:rPr>
          <w:rFonts w:ascii="Cambria" w:hAnsi="Cambria"/>
          <w:sz w:val="20"/>
          <w:szCs w:val="20"/>
          <w:lang w:val="es-VE"/>
        </w:rPr>
        <w:t xml:space="preserve"> en el mismo mes el entonces Presidente Alvaro Colom vetó la ley, argumentando que violaba los compromisos que tiene Guatemala como parte de la Convención Americana</w:t>
      </w:r>
      <w:r w:rsidRPr="009D1618">
        <w:rPr>
          <w:rStyle w:val="FootnoteReference"/>
          <w:rFonts w:ascii="Cambria" w:hAnsi="Cambria"/>
          <w:sz w:val="20"/>
          <w:szCs w:val="20"/>
          <w:lang w:val="es-VE"/>
        </w:rPr>
        <w:footnoteReference w:id="22"/>
      </w:r>
      <w:r w:rsidRPr="009D1618">
        <w:rPr>
          <w:rFonts w:ascii="Cambria" w:hAnsi="Cambria"/>
          <w:sz w:val="20"/>
          <w:szCs w:val="20"/>
          <w:lang w:val="es-VE"/>
        </w:rPr>
        <w:t>. En enero de 2012 el Presidente Alvaro Colom vetó nuevamente la restitución de la posibilidad del indulto presidencial para las personas condenadas a pena de muerte</w:t>
      </w:r>
      <w:r w:rsidRPr="009D1618">
        <w:rPr>
          <w:rStyle w:val="FootnoteReference"/>
          <w:rFonts w:ascii="Cambria" w:hAnsi="Cambria"/>
          <w:sz w:val="20"/>
          <w:szCs w:val="20"/>
          <w:lang w:val="es-VE"/>
        </w:rPr>
        <w:footnoteReference w:id="23"/>
      </w:r>
      <w:r w:rsidRPr="009D1618">
        <w:rPr>
          <w:rFonts w:ascii="Cambria" w:hAnsi="Cambria"/>
          <w:sz w:val="20"/>
          <w:szCs w:val="20"/>
          <w:lang w:val="es-VE"/>
        </w:rPr>
        <w:t xml:space="preserve">. </w:t>
      </w:r>
    </w:p>
    <w:p w14:paraId="3DED2E08" w14:textId="77777777" w:rsidR="00F270F7" w:rsidRPr="009D1618" w:rsidRDefault="00F270F7" w:rsidP="00F270F7">
      <w:pPr>
        <w:tabs>
          <w:tab w:val="left" w:pos="1440"/>
        </w:tabs>
        <w:jc w:val="both"/>
        <w:rPr>
          <w:rFonts w:ascii="Cambria" w:hAnsi="Cambria" w:cs="Calibri"/>
          <w:sz w:val="20"/>
          <w:szCs w:val="20"/>
          <w:lang w:val="es-VE"/>
        </w:rPr>
      </w:pPr>
    </w:p>
    <w:p w14:paraId="4F0BCA63" w14:textId="77777777" w:rsidR="00F270F7" w:rsidRPr="009D1618" w:rsidRDefault="00F270F7" w:rsidP="00F270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AR"/>
        </w:rPr>
      </w:pPr>
      <w:r w:rsidRPr="009D1618">
        <w:rPr>
          <w:rFonts w:ascii="Cambria" w:eastAsia="Times New Roman" w:hAnsi="Cambria" w:cs="Courier New"/>
          <w:sz w:val="20"/>
          <w:szCs w:val="20"/>
          <w:lang w:val="es-ES"/>
        </w:rPr>
        <w:t xml:space="preserve">El 11 de febrero de 2016 </w:t>
      </w:r>
      <w:r w:rsidRPr="009D1618">
        <w:rPr>
          <w:rFonts w:ascii="Cambria" w:hAnsi="Cambria"/>
          <w:sz w:val="20"/>
          <w:szCs w:val="20"/>
          <w:lang w:val="es-AR"/>
        </w:rPr>
        <w:t xml:space="preserve">la Corte de Constitucionalidad declaró inconstitucional la frase que permitía aplicar la pena de muerte por el delito de asesinato. Dicha frase indicaba que “sin embargo se le aplicará la pena de muerte en lugar del máximo de prisión, si por las circunstancias del hecho y de la ocasión, la manera de realizarlo y los móviles </w:t>
      </w:r>
      <w:r w:rsidRPr="009D1618">
        <w:rPr>
          <w:rFonts w:ascii="Cambria" w:hAnsi="Cambria"/>
          <w:sz w:val="20"/>
          <w:szCs w:val="20"/>
          <w:lang w:val="es-VE"/>
        </w:rPr>
        <w:t>determinantes</w:t>
      </w:r>
      <w:r w:rsidRPr="009D1618">
        <w:rPr>
          <w:rFonts w:ascii="Cambria" w:hAnsi="Cambria"/>
          <w:sz w:val="20"/>
          <w:szCs w:val="20"/>
          <w:lang w:val="es-AR"/>
        </w:rPr>
        <w:t xml:space="preserve">, se revelare una mayor particular peligrosidad del agente. A quienes no se les aplique la pena de muerte por este delito, no podrá concedérseles rebaja de la pena por </w:t>
      </w:r>
      <w:r w:rsidRPr="009D1618">
        <w:rPr>
          <w:rFonts w:ascii="Cambria" w:hAnsi="Cambria"/>
          <w:sz w:val="20"/>
          <w:szCs w:val="20"/>
          <w:lang w:val="es-AR"/>
        </w:rPr>
        <w:lastRenderedPageBreak/>
        <w:t>ninguna causa”. Si bien la Corte de Constitucionalidad únicamente se pronunció respecto del delito de asesinato, la misma frase declarada inconstitucional se encuentra presente en los delitos de parricidio, ejecución extrajudicial y caso de muerte al Presidente o Vicepresidente.</w:t>
      </w:r>
    </w:p>
    <w:p w14:paraId="12601DDF" w14:textId="77777777" w:rsidR="00F270F7" w:rsidRPr="009D1618" w:rsidRDefault="00F270F7" w:rsidP="00F270F7">
      <w:pPr>
        <w:tabs>
          <w:tab w:val="left" w:pos="1440"/>
        </w:tabs>
        <w:ind w:left="720"/>
        <w:jc w:val="both"/>
        <w:rPr>
          <w:rFonts w:ascii="Cambria" w:eastAsia="Times New Roman" w:hAnsi="Cambria" w:cs="Courier New"/>
          <w:sz w:val="20"/>
          <w:szCs w:val="20"/>
          <w:lang w:val="es-AR"/>
        </w:rPr>
      </w:pPr>
    </w:p>
    <w:p w14:paraId="0C66A8B1" w14:textId="77777777" w:rsidR="000F59A2" w:rsidRPr="009D1618" w:rsidRDefault="00F270F7" w:rsidP="00F270F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O"/>
        </w:rPr>
      </w:pPr>
      <w:r w:rsidRPr="009D1618">
        <w:rPr>
          <w:rFonts w:ascii="Cambria" w:eastAsia="Times New Roman" w:hAnsi="Cambria" w:cs="Courier New"/>
          <w:sz w:val="20"/>
          <w:szCs w:val="20"/>
          <w:lang w:val="es-ES"/>
        </w:rPr>
        <w:t xml:space="preserve">Según información de público conocimiento, en 2016 se presentaron en el Congreso de la República tanto iniciativas para reactivar como para abolir la pena de muerte. </w:t>
      </w:r>
      <w:r w:rsidRPr="009D1618">
        <w:rPr>
          <w:rFonts w:ascii="Cambria" w:hAnsi="Cambria"/>
          <w:sz w:val="20"/>
          <w:szCs w:val="20"/>
          <w:lang w:val="es-AR"/>
        </w:rPr>
        <w:t xml:space="preserve">La iniciativa 5100, presentada el 6 de julio de 2016 </w:t>
      </w:r>
      <w:r w:rsidRPr="009D1618">
        <w:rPr>
          <w:rFonts w:ascii="Cambria" w:hAnsi="Cambria"/>
          <w:sz w:val="20"/>
          <w:szCs w:val="20"/>
          <w:lang w:val="es-VE"/>
        </w:rPr>
        <w:t>pretende</w:t>
      </w:r>
      <w:r w:rsidRPr="009D1618">
        <w:rPr>
          <w:rFonts w:ascii="Cambria" w:hAnsi="Cambria"/>
          <w:sz w:val="20"/>
          <w:szCs w:val="20"/>
          <w:lang w:val="es-AR"/>
        </w:rPr>
        <w:t xml:space="preserve"> aprobar la ley de abolición de la pena de muerte. Asimismo, la iniciativa 4941 presentada el 4 de febrero de 2016 pretende reactivarla mediante la regulación del procedimiento para la aplicación del recurso de gracia</w:t>
      </w:r>
      <w:r w:rsidRPr="009D1618">
        <w:rPr>
          <w:rStyle w:val="FootnoteReference"/>
          <w:rFonts w:ascii="Cambria" w:hAnsi="Cambria"/>
          <w:sz w:val="20"/>
          <w:szCs w:val="20"/>
          <w:lang w:val="es-AR"/>
        </w:rPr>
        <w:footnoteReference w:id="24"/>
      </w:r>
      <w:r w:rsidRPr="009D1618">
        <w:rPr>
          <w:rFonts w:ascii="Cambria" w:hAnsi="Cambria"/>
          <w:sz w:val="20"/>
          <w:szCs w:val="20"/>
          <w:lang w:val="es-AR"/>
        </w:rPr>
        <w:t>.</w:t>
      </w:r>
    </w:p>
    <w:p w14:paraId="59623603" w14:textId="77777777" w:rsidR="00F270F7" w:rsidRPr="009D1618" w:rsidRDefault="00F270F7" w:rsidP="00B9479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VE"/>
        </w:rPr>
      </w:pPr>
    </w:p>
    <w:p w14:paraId="27BEF545" w14:textId="77777777" w:rsidR="000F59A2" w:rsidRPr="009D1618" w:rsidRDefault="006250F1" w:rsidP="000F59A2">
      <w:pPr>
        <w:pStyle w:val="Heading2"/>
        <w:keepNext w:val="0"/>
        <w:numPr>
          <w:ilvl w:val="0"/>
          <w:numId w:val="62"/>
        </w:numPr>
        <w:pBdr>
          <w:top w:val="nil"/>
          <w:left w:val="nil"/>
          <w:bottom w:val="nil"/>
          <w:right w:val="nil"/>
          <w:between w:val="nil"/>
          <w:bar w:val="nil"/>
        </w:pBdr>
        <w:ind w:left="1440" w:hanging="720"/>
        <w:rPr>
          <w:rFonts w:ascii="Cambria" w:hAnsi="Cambria"/>
          <w:lang w:val="es-MX"/>
        </w:rPr>
      </w:pPr>
      <w:bookmarkStart w:id="77" w:name="_Toc482117734"/>
      <w:bookmarkStart w:id="78" w:name="_Toc489111556"/>
      <w:r w:rsidRPr="009D1618">
        <w:rPr>
          <w:rFonts w:ascii="Cambria" w:hAnsi="Cambria"/>
          <w:lang w:val="es-MX"/>
        </w:rPr>
        <w:t xml:space="preserve">El proceso penal adelantado en contra de </w:t>
      </w:r>
      <w:r w:rsidR="000B506D" w:rsidRPr="009D1618">
        <w:rPr>
          <w:rFonts w:ascii="Cambria" w:hAnsi="Cambria"/>
          <w:lang w:val="es-MX"/>
        </w:rPr>
        <w:t>las presuntas víctimas</w:t>
      </w:r>
      <w:bookmarkEnd w:id="77"/>
      <w:bookmarkEnd w:id="78"/>
    </w:p>
    <w:p w14:paraId="63D42C49" w14:textId="77777777" w:rsidR="00DE5463" w:rsidRPr="009D1618" w:rsidRDefault="00DE5463" w:rsidP="00126A1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b/>
          <w:sz w:val="20"/>
          <w:szCs w:val="20"/>
          <w:bdr w:val="none" w:sz="0" w:space="0" w:color="auto"/>
          <w:lang w:val="es-VE"/>
        </w:rPr>
      </w:pPr>
    </w:p>
    <w:p w14:paraId="5DB3CCA7" w14:textId="77777777" w:rsidR="001E6DF9" w:rsidRPr="009D1618" w:rsidRDefault="00AD30AA" w:rsidP="00DE5463">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I</w:t>
      </w:r>
      <w:r w:rsidR="001E6DF9" w:rsidRPr="009D1618">
        <w:rPr>
          <w:rFonts w:eastAsia="Times New Roman" w:cs="Courier New"/>
          <w:b/>
          <w:color w:val="auto"/>
          <w:sz w:val="20"/>
          <w:szCs w:val="20"/>
          <w:bdr w:val="none" w:sz="0" w:space="0" w:color="auto"/>
          <w:lang w:val="es-ES"/>
        </w:rPr>
        <w:t>nvestigación</w:t>
      </w:r>
      <w:r w:rsidRPr="009D1618">
        <w:rPr>
          <w:rFonts w:eastAsia="Times New Roman" w:cs="Courier New"/>
          <w:b/>
          <w:color w:val="auto"/>
          <w:sz w:val="20"/>
          <w:szCs w:val="20"/>
          <w:bdr w:val="none" w:sz="0" w:space="0" w:color="auto"/>
          <w:lang w:val="es-ES"/>
        </w:rPr>
        <w:t xml:space="preserve"> y acusación</w:t>
      </w:r>
    </w:p>
    <w:p w14:paraId="55BEFE3B" w14:textId="77777777" w:rsidR="001E6DF9" w:rsidRPr="009D1618" w:rsidRDefault="001E6DF9" w:rsidP="001E6DF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Times New Roman" w:cs="Courier New"/>
          <w:b/>
          <w:color w:val="auto"/>
          <w:sz w:val="20"/>
          <w:szCs w:val="20"/>
          <w:bdr w:val="none" w:sz="0" w:space="0" w:color="auto"/>
          <w:lang w:val="es-ES"/>
        </w:rPr>
      </w:pPr>
    </w:p>
    <w:p w14:paraId="1B2BF5ED" w14:textId="77777777" w:rsidR="00F968B0" w:rsidRPr="009D1618" w:rsidRDefault="00CC743F" w:rsidP="00F968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Según informó el Estado</w:t>
      </w:r>
      <w:r w:rsidR="001E6DF9" w:rsidRPr="009D1618">
        <w:rPr>
          <w:rFonts w:ascii="Cambria" w:hAnsi="Cambria"/>
          <w:sz w:val="20"/>
          <w:szCs w:val="20"/>
          <w:lang w:val="es-VE"/>
        </w:rPr>
        <w:t xml:space="preserve"> el periodo de investigación del caso fue </w:t>
      </w:r>
      <w:r w:rsidR="00CA0DA6" w:rsidRPr="009D1618">
        <w:rPr>
          <w:rFonts w:ascii="Cambria" w:hAnsi="Cambria"/>
          <w:sz w:val="20"/>
          <w:szCs w:val="20"/>
          <w:lang w:val="es-VE"/>
        </w:rPr>
        <w:t>controlado por el J</w:t>
      </w:r>
      <w:r w:rsidR="001E6DF9" w:rsidRPr="009D1618">
        <w:rPr>
          <w:rFonts w:ascii="Cambria" w:hAnsi="Cambria"/>
          <w:sz w:val="20"/>
          <w:szCs w:val="20"/>
          <w:lang w:val="es-VE"/>
        </w:rPr>
        <w:t>uez Harry Samayoa Hardy, quien con posterioridad actuó como Presidente del Tribunal Cuarto de Sentencia Penal, Narcoactividad y Delitos contra el Ambiente</w:t>
      </w:r>
      <w:r w:rsidR="00C361F7" w:rsidRPr="009D1618">
        <w:rPr>
          <w:rFonts w:ascii="Cambria" w:hAnsi="Cambria"/>
          <w:sz w:val="20"/>
          <w:szCs w:val="20"/>
          <w:lang w:val="es-VE"/>
        </w:rPr>
        <w:t>, el cual impuso la condena a las presuntas víctimas.</w:t>
      </w:r>
      <w:r w:rsidR="001E6DF9" w:rsidRPr="009D1618">
        <w:rPr>
          <w:rFonts w:ascii="Cambria" w:hAnsi="Cambria"/>
          <w:sz w:val="20"/>
          <w:szCs w:val="20"/>
          <w:lang w:val="es-VE"/>
        </w:rPr>
        <w:t xml:space="preserve"> El Estado informó que los peticionarios </w:t>
      </w:r>
      <w:r w:rsidR="00323C51" w:rsidRPr="009D1618">
        <w:rPr>
          <w:rFonts w:ascii="Cambria" w:hAnsi="Cambria"/>
          <w:sz w:val="20"/>
          <w:szCs w:val="20"/>
          <w:lang w:val="es-VE"/>
        </w:rPr>
        <w:t>interpusieron un incidente de recusación, así como una acción de inconstitucionalidad en contra del nombramiento de dicho juez, pero ambos fueron resueltos desfavorablemente</w:t>
      </w:r>
      <w:r w:rsidR="0061586C" w:rsidRPr="009D1618">
        <w:rPr>
          <w:rFonts w:ascii="Cambria" w:hAnsi="Cambria"/>
          <w:sz w:val="20"/>
          <w:szCs w:val="20"/>
          <w:lang w:val="es-VE"/>
        </w:rPr>
        <w:t xml:space="preserve"> porque las actuaciones impugnadas se encontraban ajustadas a derecho</w:t>
      </w:r>
      <w:r w:rsidR="00323C51" w:rsidRPr="009D1618">
        <w:rPr>
          <w:rStyle w:val="FootnoteReference"/>
          <w:rFonts w:ascii="Cambria" w:hAnsi="Cambria"/>
          <w:sz w:val="20"/>
          <w:szCs w:val="20"/>
          <w:lang w:val="es-VE"/>
        </w:rPr>
        <w:footnoteReference w:id="25"/>
      </w:r>
      <w:r w:rsidR="00323C51" w:rsidRPr="009D1618">
        <w:rPr>
          <w:rFonts w:ascii="Cambria" w:hAnsi="Cambria"/>
          <w:sz w:val="20"/>
          <w:szCs w:val="20"/>
          <w:lang w:val="es-VE"/>
        </w:rPr>
        <w:t>.</w:t>
      </w:r>
      <w:r w:rsidR="00D00193" w:rsidRPr="009D1618">
        <w:rPr>
          <w:rFonts w:ascii="Cambria" w:hAnsi="Cambria"/>
          <w:sz w:val="20"/>
          <w:szCs w:val="20"/>
          <w:lang w:val="es-VE"/>
        </w:rPr>
        <w:t xml:space="preserve"> </w:t>
      </w:r>
    </w:p>
    <w:p w14:paraId="00864C6F" w14:textId="77777777" w:rsidR="00F968B0" w:rsidRPr="009D1618" w:rsidRDefault="00F968B0" w:rsidP="00F968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3B2EEECE" w14:textId="77777777" w:rsidR="007D5249" w:rsidRPr="009D1618" w:rsidRDefault="00A017C9" w:rsidP="00672B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b/>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La Comisión hace notar que </w:t>
      </w:r>
      <w:r w:rsidR="003E474E" w:rsidRPr="009D1618">
        <w:rPr>
          <w:rFonts w:ascii="Cambria" w:eastAsia="Times New Roman" w:hAnsi="Cambria" w:cs="Courier New"/>
          <w:sz w:val="20"/>
          <w:szCs w:val="20"/>
          <w:bdr w:val="none" w:sz="0" w:space="0" w:color="auto"/>
          <w:lang w:val="es-ES"/>
        </w:rPr>
        <w:t>las actuaciones del juez de control durante el procedimiento preparatorio (instrucción) se encuentran reguladas a partir del artículo 309 del Código Procesal Penal</w:t>
      </w:r>
      <w:r w:rsidR="007C7C9C" w:rsidRPr="009D1618">
        <w:rPr>
          <w:rFonts w:ascii="Cambria" w:eastAsia="Times New Roman" w:hAnsi="Cambria" w:cs="Courier New"/>
          <w:sz w:val="20"/>
          <w:szCs w:val="20"/>
          <w:bdr w:val="none" w:sz="0" w:space="0" w:color="auto"/>
          <w:lang w:val="es-ES"/>
        </w:rPr>
        <w:t xml:space="preserve">. </w:t>
      </w:r>
      <w:r w:rsidR="003E474E" w:rsidRPr="009D1618">
        <w:rPr>
          <w:rFonts w:ascii="Cambria" w:eastAsia="Times New Roman" w:hAnsi="Cambria" w:cs="Courier New"/>
          <w:sz w:val="20"/>
          <w:szCs w:val="20"/>
          <w:bdr w:val="none" w:sz="0" w:space="0" w:color="auto"/>
          <w:lang w:val="es-ES"/>
        </w:rPr>
        <w:t>En particular</w:t>
      </w:r>
      <w:r w:rsidR="00A06CA1" w:rsidRPr="009D1618">
        <w:rPr>
          <w:rFonts w:ascii="Cambria" w:eastAsia="Times New Roman" w:hAnsi="Cambria" w:cs="Courier New"/>
          <w:sz w:val="20"/>
          <w:szCs w:val="20"/>
          <w:bdr w:val="none" w:sz="0" w:space="0" w:color="auto"/>
          <w:lang w:val="es-ES"/>
        </w:rPr>
        <w:t>,</w:t>
      </w:r>
      <w:r w:rsidR="003E474E" w:rsidRPr="009D1618">
        <w:rPr>
          <w:rFonts w:ascii="Cambria" w:eastAsia="Times New Roman" w:hAnsi="Cambria" w:cs="Courier New"/>
          <w:sz w:val="20"/>
          <w:szCs w:val="20"/>
          <w:bdr w:val="none" w:sz="0" w:space="0" w:color="auto"/>
          <w:lang w:val="es-ES"/>
        </w:rPr>
        <w:t xml:space="preserve"> </w:t>
      </w:r>
      <w:r w:rsidR="00E802F9" w:rsidRPr="009D1618">
        <w:rPr>
          <w:rFonts w:ascii="Cambria" w:eastAsia="Times New Roman" w:hAnsi="Cambria" w:cs="Courier New"/>
          <w:sz w:val="20"/>
          <w:szCs w:val="20"/>
          <w:bdr w:val="none" w:sz="0" w:space="0" w:color="auto"/>
          <w:lang w:val="es-ES"/>
        </w:rPr>
        <w:t>el art</w:t>
      </w:r>
      <w:r w:rsidR="00030514" w:rsidRPr="009D1618">
        <w:rPr>
          <w:rFonts w:ascii="Cambria" w:eastAsia="Times New Roman" w:hAnsi="Cambria" w:cs="Courier New"/>
          <w:sz w:val="20"/>
          <w:szCs w:val="20"/>
          <w:bdr w:val="none" w:sz="0" w:space="0" w:color="auto"/>
          <w:lang w:val="es-ES"/>
        </w:rPr>
        <w:t xml:space="preserve">ículo 317 en su regulación al momento de los hechos establecía: </w:t>
      </w:r>
    </w:p>
    <w:p w14:paraId="128C1C52" w14:textId="77777777" w:rsidR="00E802F9" w:rsidRPr="009D1618" w:rsidRDefault="00E802F9" w:rsidP="00E802F9">
      <w:pPr>
        <w:pStyle w:val="ListParagraph"/>
        <w:rPr>
          <w:rFonts w:eastAsia="Times New Roman" w:cs="Courier New"/>
          <w:b/>
          <w:sz w:val="20"/>
          <w:szCs w:val="20"/>
          <w:bdr w:val="none" w:sz="0" w:space="0" w:color="auto"/>
          <w:lang w:val="es-ES"/>
        </w:rPr>
      </w:pPr>
    </w:p>
    <w:p w14:paraId="24273FAC" w14:textId="77777777" w:rsidR="00E802F9" w:rsidRPr="009D1618" w:rsidRDefault="00E802F9" w:rsidP="00E802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Actos jurisdiccionales: Anticipo de prueba.</w:t>
      </w:r>
    </w:p>
    <w:p w14:paraId="10C260B6" w14:textId="77777777" w:rsidR="00E802F9" w:rsidRPr="009D1618" w:rsidRDefault="00E802F9"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b/>
          <w:sz w:val="20"/>
          <w:szCs w:val="20"/>
          <w:bdr w:val="none" w:sz="0" w:space="0" w:color="auto"/>
          <w:lang w:val="es-ES"/>
        </w:rPr>
      </w:pPr>
    </w:p>
    <w:p w14:paraId="0C04D494" w14:textId="77777777" w:rsidR="00030514" w:rsidRPr="009D1618" w:rsidRDefault="00030514"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Cuando sea necesario practicar un reconocimiento, reconstrucción, pericia o inspección que por su naturaleza y características deban ser considerados como actos definitivos que no puedan ser reproducidos, o cuando deba declarar un órgano de prueba que, por algún obstáculo difícil de superar, se presuma que no podrá hacerlo durante el debate, el Ministerio Público a cualquiera de las partes requerirá al juez que controla la investigación que lo realice.</w:t>
      </w:r>
    </w:p>
    <w:p w14:paraId="305BD68F" w14:textId="77777777" w:rsidR="00030514" w:rsidRPr="009D1618" w:rsidRDefault="00030514"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4E42E68B" w14:textId="77777777" w:rsidR="00030514" w:rsidRPr="009D1618" w:rsidRDefault="00030514"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juez practicará el acto, si lo considera admisible formalmente, citando a todas las partes, los defensores o mandatarios, quienes tendrán derecho a asistir con las facultades previstas respecto de su intervención en el debate. El imputado que estuviere detenido será representado por su defensor, salvo que pidiere intervenir personalmente.</w:t>
      </w:r>
    </w:p>
    <w:p w14:paraId="77933DFB" w14:textId="77777777" w:rsidR="00030514" w:rsidRPr="009D1618" w:rsidRDefault="00030514"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66BDBE11" w14:textId="77777777" w:rsidR="00030514" w:rsidRPr="009D1618" w:rsidRDefault="00030514" w:rsidP="0003051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Si, por naturaleza del acto, la citación anticipada hiciere temer la pérdida de elementos de prueba, el juez practicará la citación de las partes a manera de evitar este peligro, procurando no afectar las facultades atribuidas a ellas.</w:t>
      </w:r>
    </w:p>
    <w:p w14:paraId="183183FF" w14:textId="77777777" w:rsidR="007D5249" w:rsidRPr="009D1618" w:rsidRDefault="007D5249" w:rsidP="000F3FA8">
      <w:pPr>
        <w:rPr>
          <w:sz w:val="20"/>
          <w:szCs w:val="20"/>
          <w:lang w:val="es-VE"/>
        </w:rPr>
      </w:pPr>
    </w:p>
    <w:p w14:paraId="3EA17DBE" w14:textId="77777777" w:rsidR="00030514" w:rsidRPr="009D1618" w:rsidRDefault="00030514" w:rsidP="0003051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Por su parte los art</w:t>
      </w:r>
      <w:r w:rsidR="008E2CE1" w:rsidRPr="009D1618">
        <w:rPr>
          <w:rFonts w:ascii="Cambria" w:hAnsi="Cambria"/>
          <w:sz w:val="20"/>
          <w:szCs w:val="20"/>
          <w:lang w:val="es-VE"/>
        </w:rPr>
        <w:t xml:space="preserve">ículos 320, </w:t>
      </w:r>
      <w:r w:rsidRPr="009D1618">
        <w:rPr>
          <w:rFonts w:ascii="Cambria" w:hAnsi="Cambria"/>
          <w:sz w:val="20"/>
          <w:szCs w:val="20"/>
          <w:lang w:val="es-VE"/>
        </w:rPr>
        <w:t xml:space="preserve">321 </w:t>
      </w:r>
      <w:r w:rsidR="008E2CE1" w:rsidRPr="009D1618">
        <w:rPr>
          <w:rFonts w:ascii="Cambria" w:hAnsi="Cambria"/>
          <w:sz w:val="20"/>
          <w:szCs w:val="20"/>
          <w:lang w:val="es-VE"/>
        </w:rPr>
        <w:t xml:space="preserve">y 324 </w:t>
      </w:r>
      <w:r w:rsidRPr="009D1618">
        <w:rPr>
          <w:rFonts w:ascii="Cambria" w:hAnsi="Cambria"/>
          <w:sz w:val="20"/>
          <w:szCs w:val="20"/>
          <w:lang w:val="es-VE"/>
        </w:rPr>
        <w:t>del Código Procesal Penal establecían</w:t>
      </w:r>
      <w:r w:rsidR="00023CAD" w:rsidRPr="009D1618">
        <w:rPr>
          <w:rFonts w:ascii="Cambria" w:hAnsi="Cambria"/>
          <w:sz w:val="20"/>
          <w:szCs w:val="20"/>
          <w:lang w:val="es-VE"/>
        </w:rPr>
        <w:t xml:space="preserve"> en lo pertinente</w:t>
      </w:r>
      <w:r w:rsidRPr="009D1618">
        <w:rPr>
          <w:rFonts w:ascii="Cambria" w:hAnsi="Cambria"/>
          <w:sz w:val="20"/>
          <w:szCs w:val="20"/>
          <w:lang w:val="es-VE"/>
        </w:rPr>
        <w:t>:</w:t>
      </w:r>
    </w:p>
    <w:p w14:paraId="5461AD07" w14:textId="77777777" w:rsidR="00023CAD" w:rsidRPr="009D1618" w:rsidRDefault="00023CAD" w:rsidP="00023C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4237B890" w14:textId="77777777" w:rsidR="00023CAD" w:rsidRPr="009D1618" w:rsidRDefault="00023CAD" w:rsidP="00023C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Artículo 320. Auto de procesamiento. Inmediatamente</w:t>
      </w:r>
      <w:r w:rsidR="00317A68" w:rsidRPr="009D1618">
        <w:rPr>
          <w:rFonts w:ascii="Cambria" w:hAnsi="Cambria"/>
          <w:sz w:val="20"/>
          <w:szCs w:val="20"/>
          <w:lang w:val="es-VE"/>
        </w:rPr>
        <w:t xml:space="preserve"> </w:t>
      </w:r>
      <w:r w:rsidRPr="009D1618">
        <w:rPr>
          <w:rFonts w:ascii="Cambria" w:hAnsi="Cambria"/>
          <w:sz w:val="20"/>
          <w:szCs w:val="20"/>
          <w:lang w:val="es-VE"/>
        </w:rPr>
        <w:t>dictado el auto de prisión o una medida sustitutiva, el juez que controla la investigación, emitirá auto de procesamiento con</w:t>
      </w:r>
      <w:r w:rsidR="008E2CE1" w:rsidRPr="009D1618">
        <w:rPr>
          <w:rFonts w:ascii="Cambria" w:hAnsi="Cambria"/>
          <w:sz w:val="20"/>
          <w:szCs w:val="20"/>
          <w:lang w:val="es-VE"/>
        </w:rPr>
        <w:t>tra la persona a que se refiera. Sólo podrá dictarse auto de procesamiento después de que sea indaga la persona contra quien se emita. Podrá ser reformable de oficio o a instancia de parte solamente en el proceso preparatorio, antes de la acusación.</w:t>
      </w:r>
    </w:p>
    <w:p w14:paraId="6EB0500A" w14:textId="77777777" w:rsidR="008E2CE1" w:rsidRPr="009D1618" w:rsidRDefault="008E2CE1" w:rsidP="00023C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7CFB86C4" w14:textId="77777777" w:rsidR="008E2CE1" w:rsidRPr="009D1618" w:rsidRDefault="008E2C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Artículo 321. Requisitos.</w:t>
      </w:r>
      <w:r w:rsidR="00060069" w:rsidRPr="009D1618">
        <w:rPr>
          <w:rFonts w:ascii="Cambria" w:hAnsi="Cambria"/>
          <w:sz w:val="20"/>
          <w:szCs w:val="20"/>
          <w:lang w:val="es-VE"/>
        </w:rPr>
        <w:t xml:space="preserve"> </w:t>
      </w:r>
      <w:r w:rsidRPr="009D1618">
        <w:rPr>
          <w:rFonts w:ascii="Cambria" w:hAnsi="Cambria"/>
          <w:sz w:val="20"/>
          <w:szCs w:val="20"/>
          <w:lang w:val="es-VE"/>
        </w:rPr>
        <w:t>El auto de procesamiento deberá contener:</w:t>
      </w:r>
    </w:p>
    <w:p w14:paraId="586E0636" w14:textId="77777777" w:rsidR="00060069" w:rsidRPr="009D1618" w:rsidRDefault="00060069" w:rsidP="008E2C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0FF12CF2" w14:textId="77777777" w:rsidR="008E2CE1" w:rsidRPr="009D1618" w:rsidRDefault="008E2CE1" w:rsidP="008E2C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1) Nombres y apellidos completos del imputado, su nombre usual en su caso, o cualquier otro dato que sirva para identificarlo.</w:t>
      </w:r>
    </w:p>
    <w:p w14:paraId="325605E6" w14:textId="77777777" w:rsidR="008E2CE1" w:rsidRPr="009D1618" w:rsidRDefault="008E2CE1" w:rsidP="008E2C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2) Una sucinta enunciación del hecho o hechos sobre los que recibió la indagatoria.</w:t>
      </w:r>
    </w:p>
    <w:p w14:paraId="292D150F" w14:textId="77777777" w:rsidR="008E2CE1" w:rsidRPr="009D1618" w:rsidRDefault="008E2CE1" w:rsidP="008E2CE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3) La calificación legal de delito, la cita de las disposiciones aplicables; y</w:t>
      </w:r>
    </w:p>
    <w:p w14:paraId="418DA562" w14:textId="77777777" w:rsidR="007D5249" w:rsidRPr="009D1618" w:rsidRDefault="008E2CE1"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r w:rsidRPr="009D1618">
        <w:rPr>
          <w:rFonts w:ascii="Cambria" w:hAnsi="Cambria"/>
          <w:sz w:val="20"/>
          <w:szCs w:val="20"/>
          <w:lang w:val="es-VE"/>
        </w:rPr>
        <w:t>4) Los fundamentos de la decisión y la parte resolutiva</w:t>
      </w:r>
      <w:r w:rsidRPr="009D1618">
        <w:rPr>
          <w:rStyle w:val="FootnoteReference"/>
          <w:rFonts w:ascii="Cambria" w:hAnsi="Cambria"/>
          <w:sz w:val="20"/>
          <w:szCs w:val="20"/>
          <w:lang w:val="es-VE"/>
        </w:rPr>
        <w:footnoteReference w:id="26"/>
      </w:r>
      <w:r w:rsidRPr="009D1618">
        <w:rPr>
          <w:rFonts w:ascii="Cambria" w:hAnsi="Cambria"/>
          <w:sz w:val="20"/>
          <w:szCs w:val="20"/>
          <w:lang w:val="es-VE"/>
        </w:rPr>
        <w:t>.</w:t>
      </w:r>
    </w:p>
    <w:p w14:paraId="720E7EA2" w14:textId="77777777" w:rsidR="00CA4E0B" w:rsidRPr="009D1618" w:rsidRDefault="00CA4E0B" w:rsidP="00CA4E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ambria" w:eastAsia="Times New Roman" w:hAnsi="Cambria" w:cs="Courier New"/>
          <w:i/>
          <w:sz w:val="20"/>
          <w:szCs w:val="20"/>
          <w:bdr w:val="none" w:sz="0" w:space="0" w:color="auto"/>
          <w:lang w:val="es-ES"/>
        </w:rPr>
      </w:pPr>
    </w:p>
    <w:p w14:paraId="311D0B7B" w14:textId="77777777" w:rsidR="00285165" w:rsidRPr="009D1618" w:rsidRDefault="00CF67F9" w:rsidP="00F968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El 10 de marzo de </w:t>
      </w:r>
      <w:r w:rsidR="00C53354" w:rsidRPr="009D1618">
        <w:rPr>
          <w:rFonts w:ascii="Cambria" w:eastAsia="Times New Roman" w:hAnsi="Cambria" w:cs="Courier New"/>
          <w:sz w:val="20"/>
          <w:szCs w:val="20"/>
          <w:bdr w:val="none" w:sz="0" w:space="0" w:color="auto"/>
          <w:lang w:val="es-ES"/>
        </w:rPr>
        <w:t xml:space="preserve">1995 el Ministerio Público </w:t>
      </w:r>
      <w:r w:rsidR="00FE49FF" w:rsidRPr="009D1618">
        <w:rPr>
          <w:rFonts w:ascii="Cambria" w:eastAsia="Times New Roman" w:hAnsi="Cambria" w:cs="Courier New"/>
          <w:sz w:val="20"/>
          <w:szCs w:val="20"/>
          <w:bdr w:val="none" w:sz="0" w:space="0" w:color="auto"/>
          <w:lang w:val="es-ES"/>
        </w:rPr>
        <w:t>formuló acusación en contra de las presuntas víctimas por el delito de asesinato</w:t>
      </w:r>
      <w:r w:rsidR="00285165" w:rsidRPr="009D1618">
        <w:rPr>
          <w:rFonts w:ascii="Cambria" w:eastAsia="Times New Roman" w:hAnsi="Cambria" w:cs="Courier New"/>
          <w:sz w:val="20"/>
          <w:szCs w:val="20"/>
          <w:bdr w:val="none" w:sz="0" w:space="0" w:color="auto"/>
          <w:lang w:val="es-ES"/>
        </w:rPr>
        <w:t xml:space="preserve"> contenido en el artículo 132 del Código Penal</w:t>
      </w:r>
      <w:r w:rsidR="00516474" w:rsidRPr="009D1618">
        <w:rPr>
          <w:rStyle w:val="FootnoteReference"/>
          <w:rFonts w:ascii="Cambria" w:eastAsia="Times New Roman" w:hAnsi="Cambria" w:cs="Courier New"/>
          <w:sz w:val="20"/>
          <w:szCs w:val="20"/>
          <w:bdr w:val="none" w:sz="0" w:space="0" w:color="auto"/>
          <w:lang w:val="es-ES"/>
        </w:rPr>
        <w:footnoteReference w:id="27"/>
      </w:r>
      <w:r w:rsidR="00FE49FF" w:rsidRPr="009D1618">
        <w:rPr>
          <w:rFonts w:ascii="Cambria" w:eastAsia="Times New Roman" w:hAnsi="Cambria" w:cs="Courier New"/>
          <w:sz w:val="20"/>
          <w:szCs w:val="20"/>
          <w:bdr w:val="none" w:sz="0" w:space="0" w:color="auto"/>
          <w:lang w:val="es-ES"/>
        </w:rPr>
        <w:t xml:space="preserve">. </w:t>
      </w:r>
    </w:p>
    <w:p w14:paraId="424E46A0" w14:textId="77777777" w:rsidR="004C1C0C" w:rsidRPr="009D1618" w:rsidRDefault="004C1C0C" w:rsidP="00672B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4FF832E7" w14:textId="77777777" w:rsidR="00CD3EA2" w:rsidRPr="009D1618" w:rsidRDefault="001B7241" w:rsidP="0010114E">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Juicio</w:t>
      </w:r>
      <w:r w:rsidR="00CF73AC" w:rsidRPr="009D1618">
        <w:rPr>
          <w:rFonts w:eastAsia="Times New Roman" w:cs="Courier New"/>
          <w:b/>
          <w:color w:val="auto"/>
          <w:sz w:val="20"/>
          <w:szCs w:val="20"/>
          <w:bdr w:val="none" w:sz="0" w:space="0" w:color="auto"/>
          <w:lang w:val="es-ES"/>
        </w:rPr>
        <w:t xml:space="preserve"> y </w:t>
      </w:r>
      <w:r w:rsidR="001B4D82" w:rsidRPr="009D1618">
        <w:rPr>
          <w:rFonts w:eastAsia="Times New Roman" w:cs="Courier New"/>
          <w:b/>
          <w:color w:val="auto"/>
          <w:sz w:val="20"/>
          <w:szCs w:val="20"/>
          <w:bdr w:val="none" w:sz="0" w:space="0" w:color="auto"/>
          <w:lang w:val="es-ES"/>
        </w:rPr>
        <w:t>s</w:t>
      </w:r>
      <w:r w:rsidR="001E0550" w:rsidRPr="009D1618">
        <w:rPr>
          <w:rFonts w:eastAsia="Times New Roman" w:cs="Courier New"/>
          <w:b/>
          <w:color w:val="auto"/>
          <w:sz w:val="20"/>
          <w:szCs w:val="20"/>
          <w:bdr w:val="none" w:sz="0" w:space="0" w:color="auto"/>
          <w:lang w:val="es-ES"/>
        </w:rPr>
        <w:t xml:space="preserve">entencia </w:t>
      </w:r>
      <w:r w:rsidR="006431B7" w:rsidRPr="009D1618">
        <w:rPr>
          <w:rFonts w:eastAsia="Times New Roman" w:cs="Courier New"/>
          <w:b/>
          <w:color w:val="auto"/>
          <w:sz w:val="20"/>
          <w:szCs w:val="20"/>
          <w:bdr w:val="none" w:sz="0" w:space="0" w:color="auto"/>
          <w:lang w:val="es-ES"/>
        </w:rPr>
        <w:t>condenatoria</w:t>
      </w:r>
    </w:p>
    <w:p w14:paraId="7FC5AC65" w14:textId="77777777" w:rsidR="00F968B0" w:rsidRPr="009D1618" w:rsidRDefault="00F968B0" w:rsidP="00F968B0">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Times New Roman" w:cs="Courier New"/>
          <w:b/>
          <w:color w:val="auto"/>
          <w:sz w:val="20"/>
          <w:szCs w:val="20"/>
          <w:bdr w:val="none" w:sz="0" w:space="0" w:color="auto"/>
          <w:lang w:val="es-ES"/>
        </w:rPr>
      </w:pPr>
    </w:p>
    <w:p w14:paraId="5D738EC8" w14:textId="77777777" w:rsidR="00CF73AC" w:rsidRPr="009D1618" w:rsidRDefault="001B7241" w:rsidP="00CD3EA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La etapa de juicio</w:t>
      </w:r>
      <w:r w:rsidR="00E45AA1" w:rsidRPr="009D1618">
        <w:rPr>
          <w:rFonts w:ascii="Cambria" w:eastAsia="Times New Roman" w:hAnsi="Cambria" w:cs="Courier New"/>
          <w:sz w:val="20"/>
          <w:szCs w:val="20"/>
          <w:bdr w:val="none" w:sz="0" w:space="0" w:color="auto"/>
          <w:lang w:val="es-ES"/>
        </w:rPr>
        <w:t xml:space="preserve"> del presente caso se llevó a cabo </w:t>
      </w:r>
      <w:r w:rsidR="007A5931" w:rsidRPr="009D1618">
        <w:rPr>
          <w:rFonts w:ascii="Cambria" w:eastAsia="Times New Roman" w:hAnsi="Cambria" w:cs="Courier New"/>
          <w:sz w:val="20"/>
          <w:szCs w:val="20"/>
          <w:bdr w:val="none" w:sz="0" w:space="0" w:color="auto"/>
          <w:lang w:val="es-ES"/>
        </w:rPr>
        <w:t xml:space="preserve">desde </w:t>
      </w:r>
      <w:r w:rsidR="00BE4238" w:rsidRPr="009D1618">
        <w:rPr>
          <w:rFonts w:ascii="Cambria" w:eastAsia="Times New Roman" w:hAnsi="Cambria" w:cs="Courier New"/>
          <w:sz w:val="20"/>
          <w:szCs w:val="20"/>
          <w:bdr w:val="none" w:sz="0" w:space="0" w:color="auto"/>
          <w:lang w:val="es-ES"/>
        </w:rPr>
        <w:t>el 22 de abril de 1996</w:t>
      </w:r>
      <w:r w:rsidR="00BE4238" w:rsidRPr="009D1618">
        <w:rPr>
          <w:rStyle w:val="FootnoteReference"/>
          <w:rFonts w:ascii="Cambria" w:eastAsia="Times New Roman" w:hAnsi="Cambria" w:cs="Courier New"/>
          <w:sz w:val="20"/>
          <w:szCs w:val="20"/>
          <w:bdr w:val="none" w:sz="0" w:space="0" w:color="auto"/>
          <w:lang w:val="es-ES"/>
        </w:rPr>
        <w:footnoteReference w:id="28"/>
      </w:r>
      <w:r w:rsidR="00BE4238" w:rsidRPr="009D1618">
        <w:rPr>
          <w:rFonts w:ascii="Cambria" w:eastAsia="Times New Roman" w:hAnsi="Cambria" w:cs="Courier New"/>
          <w:sz w:val="20"/>
          <w:szCs w:val="20"/>
          <w:bdr w:val="none" w:sz="0" w:space="0" w:color="auto"/>
          <w:lang w:val="es-ES"/>
        </w:rPr>
        <w:t>.</w:t>
      </w:r>
      <w:r w:rsidR="00E45AA1" w:rsidRPr="009D1618">
        <w:rPr>
          <w:rFonts w:ascii="Cambria" w:eastAsia="Times New Roman" w:hAnsi="Cambria" w:cs="Courier New"/>
          <w:sz w:val="20"/>
          <w:szCs w:val="20"/>
          <w:bdr w:val="none" w:sz="0" w:space="0" w:color="auto"/>
          <w:lang w:val="es-ES"/>
        </w:rPr>
        <w:t xml:space="preserve"> Los peticionarios argumentaron que durante el segundo día del juicio, el Presidente del Tribunal pasó frente a uno de los abogados defensores y frente u</w:t>
      </w:r>
      <w:r w:rsidR="004F61DB" w:rsidRPr="009D1618">
        <w:rPr>
          <w:rFonts w:ascii="Cambria" w:eastAsia="Times New Roman" w:hAnsi="Cambria" w:cs="Courier New"/>
          <w:sz w:val="20"/>
          <w:szCs w:val="20"/>
          <w:bdr w:val="none" w:sz="0" w:space="0" w:color="auto"/>
          <w:lang w:val="es-ES"/>
        </w:rPr>
        <w:t>n experto forense de la defensa</w:t>
      </w:r>
      <w:r w:rsidRPr="009D1618">
        <w:rPr>
          <w:rFonts w:ascii="Cambria" w:eastAsia="Times New Roman" w:hAnsi="Cambria" w:cs="Courier New"/>
          <w:sz w:val="20"/>
          <w:szCs w:val="20"/>
          <w:bdr w:val="none" w:sz="0" w:space="0" w:color="auto"/>
          <w:lang w:val="es-ES"/>
        </w:rPr>
        <w:t xml:space="preserve"> y les dijo refiriéndose a las presunta víctimas “con o sin un experto, ellos serán condenados”. </w:t>
      </w:r>
      <w:r w:rsidR="0000026B" w:rsidRPr="009D1618">
        <w:rPr>
          <w:rFonts w:ascii="Cambria" w:eastAsia="Times New Roman" w:hAnsi="Cambria" w:cs="Courier New"/>
          <w:sz w:val="20"/>
          <w:szCs w:val="20"/>
          <w:bdr w:val="none" w:sz="0" w:space="0" w:color="auto"/>
          <w:lang w:val="es-ES"/>
        </w:rPr>
        <w:t xml:space="preserve"> Los peticionarios refirieron que presentaron una recusación de manera oral en contra de dicho juez, la cual fue declarada sin lugar por un juez del Departamento de Escuintla. </w:t>
      </w:r>
      <w:r w:rsidR="00B57FCA" w:rsidRPr="009D1618">
        <w:rPr>
          <w:rFonts w:ascii="Cambria" w:eastAsia="Times New Roman" w:hAnsi="Cambria" w:cs="Courier New"/>
          <w:sz w:val="20"/>
          <w:szCs w:val="20"/>
          <w:bdr w:val="none" w:sz="0" w:space="0" w:color="auto"/>
          <w:lang w:val="es-ES"/>
        </w:rPr>
        <w:t xml:space="preserve"> </w:t>
      </w:r>
    </w:p>
    <w:p w14:paraId="353984AB" w14:textId="77777777" w:rsidR="00837C23" w:rsidRPr="009D1618" w:rsidRDefault="00837C23" w:rsidP="00837C2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7AA3712E" w14:textId="77777777" w:rsidR="00F50CA8" w:rsidRPr="009D1618" w:rsidRDefault="006431B7"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El 23 de mayo de 1996 el Tribunal Cuarto de Sentencia Penal, Narcoactividad y Delitos contra el Ambiente dictó sentencia condenatoria en contra de </w:t>
      </w:r>
      <w:r w:rsidR="00731881" w:rsidRPr="009D1618">
        <w:rPr>
          <w:rFonts w:ascii="Cambria" w:eastAsia="Times New Roman" w:hAnsi="Cambria" w:cs="Courier New"/>
          <w:sz w:val="20"/>
          <w:szCs w:val="20"/>
          <w:bdr w:val="none" w:sz="0" w:space="0" w:color="auto"/>
          <w:lang w:val="es-ES"/>
        </w:rPr>
        <w:t xml:space="preserve">Miguel Ángel Rodríguez Revolorio, Miguel Ángel López Caló y Aníbal Archila Pérez, </w:t>
      </w:r>
      <w:r w:rsidR="00091B5A" w:rsidRPr="009D1618">
        <w:rPr>
          <w:rFonts w:ascii="Cambria" w:eastAsia="Times New Roman" w:hAnsi="Cambria" w:cs="Courier New"/>
          <w:sz w:val="20"/>
          <w:szCs w:val="20"/>
          <w:bdr w:val="none" w:sz="0" w:space="0" w:color="auto"/>
          <w:lang w:val="es-ES"/>
        </w:rPr>
        <w:t>por los delitos de asesinato y asesinato en el grado de tentativa y ordenó imponerles la pena de muerte</w:t>
      </w:r>
      <w:r w:rsidRPr="009D1618">
        <w:rPr>
          <w:rFonts w:ascii="Cambria" w:eastAsia="Times New Roman" w:hAnsi="Cambria" w:cs="Courier New"/>
          <w:sz w:val="20"/>
          <w:szCs w:val="20"/>
          <w:bdr w:val="none" w:sz="0" w:space="0" w:color="auto"/>
          <w:vertAlign w:val="superscript"/>
          <w:lang w:val="es-ES"/>
        </w:rPr>
        <w:footnoteReference w:id="29"/>
      </w:r>
      <w:r w:rsidRPr="009D1618">
        <w:rPr>
          <w:rFonts w:ascii="Cambria" w:eastAsia="Times New Roman" w:hAnsi="Cambria" w:cs="Courier New"/>
          <w:sz w:val="20"/>
          <w:szCs w:val="20"/>
          <w:bdr w:val="none" w:sz="0" w:space="0" w:color="auto"/>
          <w:lang w:val="es-ES"/>
        </w:rPr>
        <w:t xml:space="preserve">. </w:t>
      </w:r>
    </w:p>
    <w:p w14:paraId="6B39E27A" w14:textId="77777777" w:rsidR="00F50CA8" w:rsidRPr="009D1618" w:rsidRDefault="00F50CA8" w:rsidP="00F50C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26B24A66" w14:textId="77777777" w:rsidR="00F50CA8" w:rsidRPr="009D1618" w:rsidRDefault="00FB3912" w:rsidP="001C7CE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En la sentencia se </w:t>
      </w:r>
      <w:r w:rsidR="000B062E" w:rsidRPr="009D1618">
        <w:rPr>
          <w:rFonts w:ascii="Cambria" w:eastAsia="Times New Roman" w:hAnsi="Cambria" w:cs="Courier New"/>
          <w:sz w:val="20"/>
          <w:szCs w:val="20"/>
          <w:bdr w:val="none" w:sz="0" w:space="0" w:color="auto"/>
          <w:lang w:val="es-VE"/>
        </w:rPr>
        <w:t xml:space="preserve">hizo referencia a las declaraciones prestadas por el Director y Ex Sub-Director de la Policía Nacional </w:t>
      </w:r>
      <w:r w:rsidR="001C7CE1" w:rsidRPr="009D1618">
        <w:rPr>
          <w:rFonts w:ascii="Cambria" w:eastAsia="Times New Roman" w:hAnsi="Cambria" w:cs="Courier New"/>
          <w:sz w:val="20"/>
          <w:szCs w:val="20"/>
          <w:bdr w:val="none" w:sz="0" w:space="0" w:color="auto"/>
          <w:lang w:val="es-VE"/>
        </w:rPr>
        <w:t>, indicando que los juzgador</w:t>
      </w:r>
      <w:r w:rsidR="009778CA" w:rsidRPr="009D1618">
        <w:rPr>
          <w:rFonts w:ascii="Cambria" w:eastAsia="Times New Roman" w:hAnsi="Cambria" w:cs="Courier New"/>
          <w:sz w:val="20"/>
          <w:szCs w:val="20"/>
          <w:bdr w:val="none" w:sz="0" w:space="0" w:color="auto"/>
          <w:lang w:val="es-VE"/>
        </w:rPr>
        <w:t>es</w:t>
      </w:r>
      <w:r w:rsidR="001C7CE1" w:rsidRPr="009D1618">
        <w:rPr>
          <w:rFonts w:ascii="Cambria" w:eastAsia="Times New Roman" w:hAnsi="Cambria" w:cs="Courier New"/>
          <w:sz w:val="20"/>
          <w:szCs w:val="20"/>
          <w:bdr w:val="none" w:sz="0" w:space="0" w:color="auto"/>
          <w:lang w:val="es-VE"/>
        </w:rPr>
        <w:t xml:space="preserve"> le otorgan eficacia probatoria a sus declaraciones “por </w:t>
      </w:r>
      <w:r w:rsidR="00A81DE1" w:rsidRPr="009D1618">
        <w:rPr>
          <w:rFonts w:ascii="Cambria" w:eastAsia="Times New Roman" w:hAnsi="Cambria" w:cs="Courier New"/>
          <w:sz w:val="20"/>
          <w:szCs w:val="20"/>
          <w:bdr w:val="none" w:sz="0" w:space="0" w:color="auto"/>
          <w:lang w:val="es-VE"/>
        </w:rPr>
        <w:t xml:space="preserve">cuanto son contestes en relación a que el herido Motta González, reconoció </w:t>
      </w:r>
      <w:r w:rsidR="00252808" w:rsidRPr="009D1618">
        <w:rPr>
          <w:rFonts w:ascii="Cambria" w:eastAsia="Times New Roman" w:hAnsi="Cambria" w:cs="Courier New"/>
          <w:sz w:val="20"/>
          <w:szCs w:val="20"/>
          <w:bdr w:val="none" w:sz="0" w:space="0" w:color="auto"/>
          <w:lang w:val="es-VE"/>
        </w:rPr>
        <w:t xml:space="preserve">a los sindicados de entre aproximadamente veinticuatro tarjetas de Kardex con fotografía, reconocimiento que si bien es cierto no llenó los requisitos exigidos por la ley, también lo es que se considera de total importancia </w:t>
      </w:r>
      <w:r w:rsidR="00C977A4" w:rsidRPr="009D1618">
        <w:rPr>
          <w:rFonts w:ascii="Cambria" w:eastAsia="Times New Roman" w:hAnsi="Cambria" w:cs="Courier New"/>
          <w:sz w:val="20"/>
          <w:szCs w:val="20"/>
          <w:bdr w:val="none" w:sz="0" w:space="0" w:color="auto"/>
          <w:lang w:val="es-VE"/>
        </w:rPr>
        <w:t>y de singular valía como el punto de partida de la investigación que condujo al esclarecimiento del injusto penal objeto del juicio</w:t>
      </w:r>
      <w:r w:rsidR="00252808" w:rsidRPr="009D1618">
        <w:rPr>
          <w:rFonts w:ascii="Cambria" w:eastAsia="Times New Roman" w:hAnsi="Cambria" w:cs="Courier New"/>
          <w:sz w:val="20"/>
          <w:szCs w:val="20"/>
          <w:bdr w:val="none" w:sz="0" w:space="0" w:color="auto"/>
          <w:lang w:val="es-VE"/>
        </w:rPr>
        <w:t>(…)”</w:t>
      </w:r>
      <w:r w:rsidR="00252808" w:rsidRPr="009D1618">
        <w:rPr>
          <w:rStyle w:val="FootnoteReference"/>
          <w:rFonts w:ascii="Cambria" w:eastAsia="Times New Roman" w:hAnsi="Cambria" w:cs="Courier New"/>
          <w:sz w:val="20"/>
          <w:szCs w:val="20"/>
          <w:bdr w:val="none" w:sz="0" w:space="0" w:color="auto"/>
          <w:lang w:val="es-VE"/>
        </w:rPr>
        <w:footnoteReference w:id="30"/>
      </w:r>
      <w:r w:rsidR="00750DC5" w:rsidRPr="009D1618">
        <w:rPr>
          <w:rFonts w:ascii="Cambria" w:eastAsia="Times New Roman" w:hAnsi="Cambria" w:cs="Courier New"/>
          <w:sz w:val="20"/>
          <w:szCs w:val="20"/>
          <w:bdr w:val="none" w:sz="0" w:space="0" w:color="auto"/>
          <w:lang w:val="es-VE"/>
        </w:rPr>
        <w:t>.</w:t>
      </w:r>
    </w:p>
    <w:p w14:paraId="20DCEA12" w14:textId="77777777" w:rsidR="00B15290" w:rsidRPr="009D1618" w:rsidRDefault="00B15290" w:rsidP="00B15290">
      <w:pPr>
        <w:pStyle w:val="ListParagraph"/>
        <w:rPr>
          <w:rFonts w:eastAsia="Times New Roman" w:cs="Courier New"/>
          <w:sz w:val="20"/>
          <w:szCs w:val="20"/>
          <w:bdr w:val="none" w:sz="0" w:space="0" w:color="auto"/>
          <w:lang w:val="es-VE"/>
        </w:rPr>
      </w:pPr>
    </w:p>
    <w:p w14:paraId="560C8529" w14:textId="77777777" w:rsidR="00B15290" w:rsidRPr="009D1618" w:rsidRDefault="00CB355D" w:rsidP="001C7CE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La Comisión observa que el artículo 246 del Código Procesal Penal establecía</w:t>
      </w:r>
      <w:r w:rsidR="009B105C" w:rsidRPr="009D1618">
        <w:rPr>
          <w:rFonts w:ascii="Cambria" w:eastAsia="Times New Roman" w:hAnsi="Cambria" w:cs="Courier New"/>
          <w:sz w:val="20"/>
          <w:szCs w:val="20"/>
          <w:bdr w:val="none" w:sz="0" w:space="0" w:color="auto"/>
          <w:lang w:val="es-VE"/>
        </w:rPr>
        <w:t>:</w:t>
      </w:r>
    </w:p>
    <w:p w14:paraId="395D60D1" w14:textId="77777777" w:rsidR="00CB355D" w:rsidRPr="009D1618" w:rsidRDefault="00CB355D" w:rsidP="00CB355D">
      <w:pPr>
        <w:pStyle w:val="ListParagraph"/>
        <w:rPr>
          <w:rFonts w:eastAsia="Times New Roman" w:cs="Courier New"/>
          <w:sz w:val="20"/>
          <w:szCs w:val="20"/>
          <w:bdr w:val="none" w:sz="0" w:space="0" w:color="auto"/>
          <w:lang w:val="es-VE"/>
        </w:rPr>
      </w:pPr>
    </w:p>
    <w:p w14:paraId="4E58137B" w14:textId="77777777" w:rsidR="00CB355D" w:rsidRPr="009D1618" w:rsidRDefault="00CB355D"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Artículo 246. Reconocimiento de personas. Cuando fuere necesario individualizar al imputado, se ordenará su reconocimiento en fila de personas, de manera siguiente:</w:t>
      </w:r>
    </w:p>
    <w:p w14:paraId="23F0428E" w14:textId="77777777" w:rsidR="00CB355D" w:rsidRPr="009D1618" w:rsidRDefault="00CB355D" w:rsidP="009B105C">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eastAsia="Times New Roman" w:cs="Courier New"/>
          <w:sz w:val="20"/>
          <w:szCs w:val="20"/>
          <w:bdr w:val="none" w:sz="0" w:space="0" w:color="auto"/>
          <w:lang w:val="es-VE"/>
        </w:rPr>
      </w:pPr>
      <w:r w:rsidRPr="009D1618">
        <w:rPr>
          <w:rFonts w:eastAsia="Times New Roman" w:cs="Courier New"/>
          <w:sz w:val="20"/>
          <w:szCs w:val="20"/>
          <w:bdr w:val="none" w:sz="0" w:space="0" w:color="auto"/>
          <w:lang w:val="es-VE"/>
        </w:rPr>
        <w:t>Quien lleva a cabo el reconocimiento describirá a la persona aludida y dirá si después del hecho la ha visto nuevamente, en qué lugar, por qué motivo y con qu</w:t>
      </w:r>
      <w:r w:rsidR="009C7D21" w:rsidRPr="009D1618">
        <w:rPr>
          <w:rFonts w:eastAsia="Times New Roman" w:cs="Courier New"/>
          <w:sz w:val="20"/>
          <w:szCs w:val="20"/>
          <w:bdr w:val="none" w:sz="0" w:space="0" w:color="auto"/>
          <w:lang w:val="es-VE"/>
        </w:rPr>
        <w:t>é objeto;</w:t>
      </w:r>
    </w:p>
    <w:p w14:paraId="53361880" w14:textId="77777777" w:rsidR="00CB355D" w:rsidRPr="009D1618" w:rsidRDefault="00CB355D" w:rsidP="009B105C">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eastAsia="Times New Roman" w:cs="Courier New"/>
          <w:sz w:val="20"/>
          <w:szCs w:val="20"/>
          <w:bdr w:val="none" w:sz="0" w:space="0" w:color="auto"/>
          <w:lang w:val="es-VE"/>
        </w:rPr>
      </w:pPr>
      <w:r w:rsidRPr="009D1618">
        <w:rPr>
          <w:rFonts w:eastAsia="Times New Roman" w:cs="Courier New"/>
          <w:sz w:val="20"/>
          <w:szCs w:val="20"/>
          <w:bdr w:val="none" w:sz="0" w:space="0" w:color="auto"/>
          <w:lang w:val="es-VE"/>
        </w:rPr>
        <w:t>Se pondrá a la vista de quien deba reconocer a la persona que se somete a reconocimiento junto con ot</w:t>
      </w:r>
      <w:r w:rsidR="009C7D21" w:rsidRPr="009D1618">
        <w:rPr>
          <w:rFonts w:eastAsia="Times New Roman" w:cs="Courier New"/>
          <w:sz w:val="20"/>
          <w:szCs w:val="20"/>
          <w:bdr w:val="none" w:sz="0" w:space="0" w:color="auto"/>
          <w:lang w:val="es-VE"/>
        </w:rPr>
        <w:t>ras de aspecto exterior similar;</w:t>
      </w:r>
    </w:p>
    <w:p w14:paraId="5D56DB50" w14:textId="77777777" w:rsidR="00CB355D" w:rsidRPr="009D1618" w:rsidRDefault="00CB355D" w:rsidP="009B105C">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eastAsia="Times New Roman" w:cs="Courier New"/>
          <w:sz w:val="20"/>
          <w:szCs w:val="20"/>
          <w:bdr w:val="none" w:sz="0" w:space="0" w:color="auto"/>
          <w:lang w:val="es-VE"/>
        </w:rPr>
      </w:pPr>
      <w:r w:rsidRPr="009D1618">
        <w:rPr>
          <w:rFonts w:eastAsia="Times New Roman" w:cs="Courier New"/>
          <w:sz w:val="20"/>
          <w:szCs w:val="20"/>
          <w:bdr w:val="none" w:sz="0" w:space="0" w:color="auto"/>
          <w:lang w:val="es-VE"/>
        </w:rPr>
        <w:t>Se preguntará a quién lleva a cabo el reconocimiento, si entre las personas presentes se halla la que designó en su declaración o imputación, y, en caso afirmativo, se le invitará para que la ubique clara y pre</w:t>
      </w:r>
      <w:r w:rsidR="009C7D21" w:rsidRPr="009D1618">
        <w:rPr>
          <w:rFonts w:eastAsia="Times New Roman" w:cs="Courier New"/>
          <w:sz w:val="20"/>
          <w:szCs w:val="20"/>
          <w:bdr w:val="none" w:sz="0" w:space="0" w:color="auto"/>
          <w:lang w:val="es-VE"/>
        </w:rPr>
        <w:t>cisamente;</w:t>
      </w:r>
    </w:p>
    <w:p w14:paraId="68286CB8" w14:textId="77777777" w:rsidR="00CB355D" w:rsidRPr="009D1618" w:rsidRDefault="00CB355D" w:rsidP="009B105C">
      <w:pPr>
        <w:pStyle w:val="ListParagraph"/>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810"/>
        <w:jc w:val="both"/>
        <w:rPr>
          <w:rFonts w:eastAsia="Times New Roman" w:cs="Courier New"/>
          <w:sz w:val="20"/>
          <w:szCs w:val="20"/>
          <w:bdr w:val="none" w:sz="0" w:space="0" w:color="auto"/>
          <w:lang w:val="es-VE"/>
        </w:rPr>
      </w:pPr>
      <w:r w:rsidRPr="009D1618">
        <w:rPr>
          <w:rFonts w:eastAsia="Times New Roman" w:cs="Courier New"/>
          <w:sz w:val="20"/>
          <w:szCs w:val="20"/>
          <w:bdr w:val="none" w:sz="0" w:space="0" w:color="auto"/>
          <w:lang w:val="es-VE"/>
        </w:rPr>
        <w:lastRenderedPageBreak/>
        <w:t xml:space="preserve">Por último, quien lleva a cabo el reconocimiento expresará las diferencias y semejanzas que observa entre el estado de la persona señalada y el que tiene la época a que alude su declaración o imputación anterior. </w:t>
      </w:r>
    </w:p>
    <w:p w14:paraId="71DFB4D2" w14:textId="77777777" w:rsidR="00CB355D" w:rsidRPr="009D1618" w:rsidRDefault="00CB355D"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p>
    <w:p w14:paraId="2E28BE4C" w14:textId="77777777" w:rsidR="00AB53F1" w:rsidRPr="009D1618" w:rsidRDefault="00CB355D" w:rsidP="002B762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La observación de la fila de personas será practicada desde un lugar oculto.</w:t>
      </w:r>
    </w:p>
    <w:p w14:paraId="6C193390" w14:textId="77777777" w:rsidR="00CB355D" w:rsidRPr="009D1618" w:rsidRDefault="00CB355D"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Cuando el imputado no pudiere ser presentado, </w:t>
      </w:r>
      <w:r w:rsidR="00C977A4" w:rsidRPr="009D1618">
        <w:rPr>
          <w:rFonts w:ascii="Cambria" w:eastAsia="Times New Roman" w:hAnsi="Cambria" w:cs="Courier New"/>
          <w:sz w:val="20"/>
          <w:szCs w:val="20"/>
          <w:bdr w:val="none" w:sz="0" w:space="0" w:color="auto"/>
          <w:lang w:val="es-VE"/>
        </w:rPr>
        <w:t xml:space="preserve">por causas justificadas a criterio del tribunal, se podrá utilizar su fotografía u otros registros, observando las mismas reglas. </w:t>
      </w:r>
    </w:p>
    <w:p w14:paraId="1DDBFFDE" w14:textId="77777777" w:rsidR="00C977A4" w:rsidRPr="009D1618" w:rsidRDefault="00C977A4"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p>
    <w:p w14:paraId="1BF3B880" w14:textId="77777777" w:rsidR="00C977A4" w:rsidRPr="009D1618" w:rsidRDefault="00C977A4"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Rigen respectivamente, las reglas del testimonio y las de la declaración del imputado. En lo posible, se tomarán las previsiones para que el imputado no cambie su apariencia. El reconocimiento procede aún sin consentimiento del imputado.</w:t>
      </w:r>
    </w:p>
    <w:p w14:paraId="6FF9B999" w14:textId="77777777" w:rsidR="00C977A4" w:rsidRPr="009D1618" w:rsidRDefault="00C977A4"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p>
    <w:p w14:paraId="5A521E23" w14:textId="77777777" w:rsidR="00C977A4" w:rsidRPr="009D1618" w:rsidRDefault="00C977A4" w:rsidP="009B105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En el acta en que conste el reconocimiento, se identificará con nombre, domicilio y </w:t>
      </w:r>
      <w:r w:rsidR="00B57FCA" w:rsidRPr="009D1618">
        <w:rPr>
          <w:rFonts w:ascii="Cambria" w:eastAsia="Times New Roman" w:hAnsi="Cambria" w:cs="Courier New"/>
          <w:sz w:val="20"/>
          <w:szCs w:val="20"/>
          <w:bdr w:val="none" w:sz="0" w:space="0" w:color="auto"/>
          <w:lang w:val="es-VE"/>
        </w:rPr>
        <w:t>residencia</w:t>
      </w:r>
      <w:r w:rsidRPr="009D1618">
        <w:rPr>
          <w:rFonts w:ascii="Cambria" w:eastAsia="Times New Roman" w:hAnsi="Cambria" w:cs="Courier New"/>
          <w:sz w:val="20"/>
          <w:szCs w:val="20"/>
          <w:bdr w:val="none" w:sz="0" w:space="0" w:color="auto"/>
          <w:lang w:val="es-VE"/>
        </w:rPr>
        <w:t xml:space="preserve"> a todos los integrantes de la fila</w:t>
      </w:r>
      <w:r w:rsidR="009C7D21" w:rsidRPr="009D1618">
        <w:rPr>
          <w:rStyle w:val="FootnoteReference"/>
          <w:rFonts w:ascii="Cambria" w:eastAsia="Times New Roman" w:hAnsi="Cambria" w:cs="Courier New"/>
          <w:sz w:val="20"/>
          <w:szCs w:val="20"/>
          <w:bdr w:val="none" w:sz="0" w:space="0" w:color="auto"/>
          <w:lang w:val="es-VE"/>
        </w:rPr>
        <w:footnoteReference w:id="31"/>
      </w:r>
      <w:r w:rsidRPr="009D1618">
        <w:rPr>
          <w:rFonts w:ascii="Cambria" w:eastAsia="Times New Roman" w:hAnsi="Cambria" w:cs="Courier New"/>
          <w:sz w:val="20"/>
          <w:szCs w:val="20"/>
          <w:bdr w:val="none" w:sz="0" w:space="0" w:color="auto"/>
          <w:lang w:val="es-VE"/>
        </w:rPr>
        <w:t xml:space="preserve">. </w:t>
      </w:r>
    </w:p>
    <w:p w14:paraId="1B5B12C9" w14:textId="77777777" w:rsidR="00B15290" w:rsidRPr="009D1618" w:rsidRDefault="00B15290" w:rsidP="00E60F11">
      <w:pPr>
        <w:rPr>
          <w:rFonts w:ascii="Cambria" w:eastAsia="Times New Roman" w:hAnsi="Cambria" w:cs="Courier New"/>
          <w:sz w:val="20"/>
          <w:szCs w:val="20"/>
          <w:bdr w:val="none" w:sz="0" w:space="0" w:color="auto"/>
          <w:lang w:val="es-VE"/>
        </w:rPr>
      </w:pPr>
    </w:p>
    <w:p w14:paraId="0FEC7C58" w14:textId="77777777" w:rsidR="0000026B" w:rsidRPr="009D1618" w:rsidRDefault="0000026B" w:rsidP="000002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Los peticionarios indicaron que no existe ningún registro de la existencia del procedimiento de identificación indicado, ni tampoco registro de los nombres de las personas involucradas</w:t>
      </w:r>
      <w:r w:rsidRPr="009D1618">
        <w:rPr>
          <w:rStyle w:val="FootnoteReference"/>
          <w:rFonts w:ascii="Cambria" w:eastAsia="Times New Roman" w:hAnsi="Cambria" w:cs="Courier New"/>
          <w:sz w:val="20"/>
          <w:szCs w:val="20"/>
          <w:bdr w:val="none" w:sz="0" w:space="0" w:color="auto"/>
          <w:lang w:val="es-ES"/>
        </w:rPr>
        <w:footnoteReference w:id="32"/>
      </w:r>
      <w:r w:rsidRPr="009D1618">
        <w:rPr>
          <w:rFonts w:ascii="Cambria" w:eastAsia="Times New Roman" w:hAnsi="Cambria" w:cs="Courier New"/>
          <w:sz w:val="20"/>
          <w:szCs w:val="20"/>
          <w:bdr w:val="none" w:sz="0" w:space="0" w:color="auto"/>
          <w:lang w:val="es-ES"/>
        </w:rPr>
        <w:t xml:space="preserve">. </w:t>
      </w:r>
    </w:p>
    <w:p w14:paraId="7E6AEED7" w14:textId="77777777" w:rsidR="001F76EA" w:rsidRPr="009D1618" w:rsidRDefault="001F76EA" w:rsidP="001F76E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6759BB1E" w14:textId="77777777" w:rsidR="001F76EA" w:rsidRPr="009D1618" w:rsidRDefault="001F76EA" w:rsidP="00DA68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Tribunal también se refiri</w:t>
      </w:r>
      <w:r w:rsidR="00CD6EB1" w:rsidRPr="009D1618">
        <w:rPr>
          <w:rFonts w:ascii="Cambria" w:eastAsia="Times New Roman" w:hAnsi="Cambria" w:cs="Courier New"/>
          <w:sz w:val="20"/>
          <w:szCs w:val="20"/>
          <w:bdr w:val="none" w:sz="0" w:space="0" w:color="auto"/>
          <w:lang w:val="es-ES"/>
        </w:rPr>
        <w:t xml:space="preserve">ó a una serie de peritajes rendidos por </w:t>
      </w:r>
      <w:r w:rsidR="00DA684E" w:rsidRPr="009D1618">
        <w:rPr>
          <w:rFonts w:ascii="Cambria" w:eastAsia="Times New Roman" w:hAnsi="Cambria" w:cs="Courier New"/>
          <w:sz w:val="20"/>
          <w:szCs w:val="20"/>
          <w:bdr w:val="none" w:sz="0" w:space="0" w:color="auto"/>
          <w:lang w:val="es-ES"/>
        </w:rPr>
        <w:t>Carlos Humberto Sarceño Pérez, Byron Concepción López Pérez y Mariano Xicay Xicay</w:t>
      </w:r>
      <w:r w:rsidR="001B70BE" w:rsidRPr="009D1618">
        <w:rPr>
          <w:rFonts w:ascii="Cambria" w:eastAsia="Times New Roman" w:hAnsi="Cambria" w:cs="Courier New"/>
          <w:sz w:val="20"/>
          <w:szCs w:val="20"/>
          <w:bdr w:val="none" w:sz="0" w:space="0" w:color="auto"/>
          <w:lang w:val="es-ES"/>
        </w:rPr>
        <w:t>,</w:t>
      </w:r>
      <w:r w:rsidR="00DA684E" w:rsidRPr="009D1618">
        <w:rPr>
          <w:rFonts w:ascii="Cambria" w:eastAsia="Times New Roman" w:hAnsi="Cambria" w:cs="Courier New"/>
          <w:sz w:val="20"/>
          <w:szCs w:val="20"/>
          <w:bdr w:val="none" w:sz="0" w:space="0" w:color="auto"/>
          <w:lang w:val="es-ES"/>
        </w:rPr>
        <w:t xml:space="preserve"> indicando que </w:t>
      </w:r>
      <w:r w:rsidR="00CD6EB1" w:rsidRPr="009D1618">
        <w:rPr>
          <w:rFonts w:ascii="Cambria" w:eastAsia="Times New Roman" w:hAnsi="Cambria" w:cs="Courier New"/>
          <w:sz w:val="20"/>
          <w:szCs w:val="20"/>
          <w:bdr w:val="none" w:sz="0" w:space="0" w:color="auto"/>
          <w:lang w:val="es-ES"/>
        </w:rPr>
        <w:t xml:space="preserve"> si bien es cierto </w:t>
      </w:r>
      <w:r w:rsidR="001B70BE" w:rsidRPr="009D1618">
        <w:rPr>
          <w:rFonts w:ascii="Cambria" w:eastAsia="Times New Roman" w:hAnsi="Cambria" w:cs="Courier New"/>
          <w:sz w:val="20"/>
          <w:szCs w:val="20"/>
          <w:bdr w:val="none" w:sz="0" w:space="0" w:color="auto"/>
          <w:lang w:val="es-ES"/>
        </w:rPr>
        <w:t xml:space="preserve">que </w:t>
      </w:r>
      <w:r w:rsidR="00CD6EB1" w:rsidRPr="009D1618">
        <w:rPr>
          <w:rFonts w:ascii="Cambria" w:eastAsia="Times New Roman" w:hAnsi="Cambria" w:cs="Courier New"/>
          <w:sz w:val="20"/>
          <w:szCs w:val="20"/>
          <w:bdr w:val="none" w:sz="0" w:space="0" w:color="auto"/>
          <w:lang w:val="es-ES"/>
        </w:rPr>
        <w:t>no se cumplió con los requisitos exigidos por la ley, los respectivos peritos (…)</w:t>
      </w:r>
      <w:r w:rsidR="001B70BE" w:rsidRPr="009D1618">
        <w:rPr>
          <w:rFonts w:ascii="Cambria" w:eastAsia="Times New Roman" w:hAnsi="Cambria" w:cs="Courier New"/>
          <w:sz w:val="20"/>
          <w:szCs w:val="20"/>
          <w:bdr w:val="none" w:sz="0" w:space="0" w:color="auto"/>
          <w:lang w:val="es-ES"/>
        </w:rPr>
        <w:t xml:space="preserve"> </w:t>
      </w:r>
      <w:r w:rsidR="00CD6EB1" w:rsidRPr="009D1618">
        <w:rPr>
          <w:rFonts w:ascii="Cambria" w:eastAsia="Times New Roman" w:hAnsi="Cambria" w:cs="Courier New"/>
          <w:sz w:val="20"/>
          <w:szCs w:val="20"/>
          <w:bdr w:val="none" w:sz="0" w:space="0" w:color="auto"/>
          <w:lang w:val="es-ES"/>
        </w:rPr>
        <w:t>declararon en el debate como lo exige el artículo 364 inciso I) del Código Procesal Penal”</w:t>
      </w:r>
      <w:r w:rsidR="00720B10" w:rsidRPr="009D1618">
        <w:rPr>
          <w:rFonts w:ascii="Cambria" w:eastAsia="Times New Roman" w:hAnsi="Cambria" w:cs="Courier New"/>
          <w:sz w:val="20"/>
          <w:szCs w:val="20"/>
          <w:bdr w:val="none" w:sz="0" w:space="0" w:color="auto"/>
          <w:vertAlign w:val="superscript"/>
          <w:lang w:val="es-ES"/>
        </w:rPr>
        <w:t xml:space="preserve"> </w:t>
      </w:r>
      <w:r w:rsidR="00720B10" w:rsidRPr="009D1618">
        <w:rPr>
          <w:rFonts w:ascii="Cambria" w:eastAsia="Times New Roman" w:hAnsi="Cambria" w:cs="Courier New"/>
          <w:sz w:val="20"/>
          <w:szCs w:val="20"/>
          <w:bdr w:val="none" w:sz="0" w:space="0" w:color="auto"/>
          <w:vertAlign w:val="superscript"/>
          <w:lang w:val="es-ES"/>
        </w:rPr>
        <w:footnoteReference w:id="33"/>
      </w:r>
      <w:r w:rsidR="00CD6EB1" w:rsidRPr="009D1618">
        <w:rPr>
          <w:rFonts w:ascii="Cambria" w:eastAsia="Times New Roman" w:hAnsi="Cambria" w:cs="Courier New"/>
          <w:sz w:val="20"/>
          <w:szCs w:val="20"/>
          <w:bdr w:val="none" w:sz="0" w:space="0" w:color="auto"/>
          <w:lang w:val="es-ES"/>
        </w:rPr>
        <w:t>.</w:t>
      </w:r>
    </w:p>
    <w:p w14:paraId="786C6867" w14:textId="77777777" w:rsidR="00D66E3A" w:rsidRPr="009D1618" w:rsidRDefault="00D66E3A" w:rsidP="00D66E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71EE36F1" w14:textId="4454C1FD" w:rsidR="00D66E3A" w:rsidRPr="009D1618" w:rsidRDefault="00D66E3A" w:rsidP="000002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Por otra parte, con respecto al peritaje de Mariano Xicay Xicay, el Tribunal indicó que le otorgaba plena eficacia probatoria, y refirió que </w:t>
      </w:r>
      <w:r w:rsidR="00275A21" w:rsidRPr="009D1618">
        <w:rPr>
          <w:rFonts w:ascii="Cambria" w:eastAsia="Times New Roman" w:hAnsi="Cambria" w:cs="Courier New"/>
          <w:sz w:val="20"/>
          <w:szCs w:val="20"/>
          <w:bdr w:val="none" w:sz="0" w:space="0" w:color="auto"/>
          <w:lang w:val="es-ES"/>
        </w:rPr>
        <w:t>“si</w:t>
      </w:r>
      <w:r w:rsidRPr="009D1618">
        <w:rPr>
          <w:rFonts w:ascii="Cambria" w:eastAsia="Times New Roman" w:hAnsi="Cambria" w:cs="Courier New"/>
          <w:sz w:val="20"/>
          <w:szCs w:val="20"/>
          <w:bdr w:val="none" w:sz="0" w:space="0" w:color="auto"/>
          <w:lang w:val="es-ES"/>
        </w:rPr>
        <w:t xml:space="preserve"> bien es cierto no se cumplió conforme a las reglas de los actos definitivos</w:t>
      </w:r>
      <w:r w:rsidR="00D0142D" w:rsidRPr="009D1618">
        <w:rPr>
          <w:rFonts w:ascii="Cambria" w:eastAsia="Times New Roman" w:hAnsi="Cambria" w:cs="Courier New"/>
          <w:sz w:val="20"/>
          <w:szCs w:val="20"/>
          <w:bdr w:val="none" w:sz="0" w:space="0" w:color="auto"/>
          <w:lang w:val="es-ES"/>
        </w:rPr>
        <w:t xml:space="preserve"> e irreproducibles, también lo es que el perito declaró en el debate, realizándose así la excepción contenida en el inciso I) del artículo 364 </w:t>
      </w:r>
      <w:r w:rsidR="00884663" w:rsidRPr="009D1618">
        <w:rPr>
          <w:rFonts w:ascii="Cambria" w:eastAsia="Times New Roman" w:hAnsi="Cambria" w:cs="Courier New"/>
          <w:sz w:val="20"/>
          <w:szCs w:val="20"/>
          <w:bdr w:val="none" w:sz="0" w:space="0" w:color="auto"/>
          <w:lang w:val="es-ES"/>
        </w:rPr>
        <w:t>del Código Procesal Penal (…)</w:t>
      </w:r>
      <w:r w:rsidR="00720B10" w:rsidRPr="009D1618">
        <w:rPr>
          <w:rFonts w:ascii="Cambria" w:eastAsia="Times New Roman" w:hAnsi="Cambria" w:cs="Courier New"/>
          <w:sz w:val="20"/>
          <w:szCs w:val="20"/>
          <w:bdr w:val="none" w:sz="0" w:space="0" w:color="auto"/>
          <w:lang w:val="es-ES"/>
        </w:rPr>
        <w:t>”</w:t>
      </w:r>
      <w:r w:rsidR="00720B10" w:rsidRPr="009D1618">
        <w:rPr>
          <w:rFonts w:ascii="Cambria" w:eastAsia="Times New Roman" w:hAnsi="Cambria" w:cs="Courier New"/>
          <w:sz w:val="20"/>
          <w:szCs w:val="20"/>
          <w:bdr w:val="none" w:sz="0" w:space="0" w:color="auto"/>
          <w:vertAlign w:val="superscript"/>
          <w:lang w:val="es-ES"/>
        </w:rPr>
        <w:footnoteReference w:id="34"/>
      </w:r>
      <w:r w:rsidR="00275A21" w:rsidRPr="009D1618">
        <w:rPr>
          <w:rFonts w:ascii="Cambria" w:eastAsia="Times New Roman" w:hAnsi="Cambria" w:cs="Courier New"/>
          <w:sz w:val="20"/>
          <w:szCs w:val="20"/>
          <w:bdr w:val="none" w:sz="0" w:space="0" w:color="auto"/>
          <w:lang w:val="es-ES"/>
        </w:rPr>
        <w:t xml:space="preserve">. </w:t>
      </w:r>
    </w:p>
    <w:p w14:paraId="5ABEC1BF" w14:textId="77777777" w:rsidR="0098380E" w:rsidRPr="009D1618" w:rsidRDefault="0098380E" w:rsidP="0098380E">
      <w:pPr>
        <w:pStyle w:val="ListParagraph"/>
        <w:rPr>
          <w:rFonts w:eastAsia="Times New Roman" w:cs="Courier New"/>
          <w:sz w:val="20"/>
          <w:szCs w:val="20"/>
          <w:bdr w:val="none" w:sz="0" w:space="0" w:color="auto"/>
          <w:lang w:val="es-ES"/>
        </w:rPr>
      </w:pPr>
    </w:p>
    <w:p w14:paraId="631BA283" w14:textId="77777777" w:rsidR="0098380E" w:rsidRPr="009D1618" w:rsidRDefault="0098380E" w:rsidP="0000026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La Comisión observa que el artículo 364 inciso 1 del Código Procesal Penal establecía que “el Tribunal podrá ordenar, aún de oficio, la lectura: 1. De los dictámenes periciales, siempre que se hayan cumplido conforme a las reglas de los actos definitivos e irreproducibles o de instrucción suplementaria, salvo la facultad de las partes o del tribunal para exigir la declaración del perito en el debate”</w:t>
      </w:r>
      <w:r w:rsidR="006505C8" w:rsidRPr="009D1618">
        <w:rPr>
          <w:rStyle w:val="FootnoteReference"/>
          <w:rFonts w:ascii="Cambria" w:eastAsia="Times New Roman" w:hAnsi="Cambria" w:cs="Courier New"/>
          <w:sz w:val="20"/>
          <w:szCs w:val="20"/>
          <w:bdr w:val="none" w:sz="0" w:space="0" w:color="auto"/>
          <w:lang w:val="es-ES"/>
        </w:rPr>
        <w:footnoteReference w:id="35"/>
      </w:r>
      <w:r w:rsidRPr="009D1618">
        <w:rPr>
          <w:rFonts w:ascii="Cambria" w:eastAsia="Times New Roman" w:hAnsi="Cambria" w:cs="Courier New"/>
          <w:sz w:val="20"/>
          <w:szCs w:val="20"/>
          <w:bdr w:val="none" w:sz="0" w:space="0" w:color="auto"/>
          <w:lang w:val="es-ES"/>
        </w:rPr>
        <w:t xml:space="preserve">. </w:t>
      </w:r>
    </w:p>
    <w:p w14:paraId="36366B89" w14:textId="77777777" w:rsidR="0098380E" w:rsidRPr="009D1618" w:rsidRDefault="0098380E" w:rsidP="0098380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60C8287B" w14:textId="77777777" w:rsidR="00D66E3A" w:rsidRPr="009D1618" w:rsidRDefault="0009681D" w:rsidP="00C977A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Por otra parte, en la sentencia el Tribunal desestimó una serie de medios de prueba sin indicar con precisión las razones por las que no las tomaba en cuenta. En particular </w:t>
      </w:r>
      <w:r w:rsidR="009C3EF1" w:rsidRPr="009D1618">
        <w:rPr>
          <w:rFonts w:ascii="Cambria" w:eastAsia="Times New Roman" w:hAnsi="Cambria" w:cs="Courier New"/>
          <w:sz w:val="20"/>
          <w:szCs w:val="20"/>
          <w:bdr w:val="none" w:sz="0" w:space="0" w:color="auto"/>
          <w:lang w:val="es-ES"/>
        </w:rPr>
        <w:t xml:space="preserve">enumeró </w:t>
      </w:r>
      <w:r w:rsidR="00D66E3A" w:rsidRPr="009D1618">
        <w:rPr>
          <w:rFonts w:ascii="Cambria" w:eastAsia="Times New Roman" w:hAnsi="Cambria" w:cs="Courier New"/>
          <w:sz w:val="20"/>
          <w:szCs w:val="20"/>
          <w:bdr w:val="none" w:sz="0" w:space="0" w:color="auto"/>
          <w:lang w:val="es-ES"/>
        </w:rPr>
        <w:t>una serie de declaraciones que no tomaba en cuenta porque faltaban a la verdad, otras que no tomaba en cuenta porque “no aportan nada al esclarecimiento de la verdad”</w:t>
      </w:r>
      <w:r w:rsidR="00275A21" w:rsidRPr="009D1618">
        <w:rPr>
          <w:rFonts w:ascii="Cambria" w:eastAsia="Times New Roman" w:hAnsi="Cambria" w:cs="Courier New"/>
          <w:sz w:val="20"/>
          <w:szCs w:val="20"/>
          <w:bdr w:val="none" w:sz="0" w:space="0" w:color="auto"/>
          <w:lang w:val="es-ES"/>
        </w:rPr>
        <w:t>. En cuanto a las declaraciones de las presuntas víctimas indicó que “adolecen de verdad y son ineficaces para enervar la prueba producida en su contra”</w:t>
      </w:r>
      <w:r w:rsidR="00720B10" w:rsidRPr="009D1618">
        <w:rPr>
          <w:rFonts w:ascii="Cambria" w:eastAsia="Times New Roman" w:hAnsi="Cambria" w:cs="Courier New"/>
          <w:sz w:val="20"/>
          <w:szCs w:val="20"/>
          <w:bdr w:val="none" w:sz="0" w:space="0" w:color="auto"/>
          <w:vertAlign w:val="superscript"/>
          <w:lang w:val="es-ES"/>
        </w:rPr>
        <w:t xml:space="preserve"> </w:t>
      </w:r>
      <w:r w:rsidR="00720B10" w:rsidRPr="009D1618">
        <w:rPr>
          <w:rFonts w:ascii="Cambria" w:eastAsia="Times New Roman" w:hAnsi="Cambria" w:cs="Courier New"/>
          <w:sz w:val="20"/>
          <w:szCs w:val="20"/>
          <w:bdr w:val="none" w:sz="0" w:space="0" w:color="auto"/>
          <w:vertAlign w:val="superscript"/>
          <w:lang w:val="es-ES"/>
        </w:rPr>
        <w:footnoteReference w:id="36"/>
      </w:r>
      <w:r w:rsidR="00275A21" w:rsidRPr="009D1618">
        <w:rPr>
          <w:rFonts w:ascii="Cambria" w:eastAsia="Times New Roman" w:hAnsi="Cambria" w:cs="Courier New"/>
          <w:sz w:val="20"/>
          <w:szCs w:val="20"/>
          <w:bdr w:val="none" w:sz="0" w:space="0" w:color="auto"/>
          <w:lang w:val="es-ES"/>
        </w:rPr>
        <w:t xml:space="preserve">. </w:t>
      </w:r>
    </w:p>
    <w:p w14:paraId="79C5DBFC" w14:textId="77777777" w:rsidR="0009681D" w:rsidRPr="009D1618" w:rsidRDefault="0009681D" w:rsidP="0098380E">
      <w:pPr>
        <w:rPr>
          <w:rFonts w:ascii="Cambria" w:eastAsia="Times New Roman" w:hAnsi="Cambria" w:cs="Courier New"/>
          <w:sz w:val="20"/>
          <w:szCs w:val="20"/>
          <w:bdr w:val="none" w:sz="0" w:space="0" w:color="auto"/>
          <w:lang w:val="es-VE"/>
        </w:rPr>
      </w:pPr>
    </w:p>
    <w:p w14:paraId="36954291" w14:textId="77777777" w:rsidR="006505C8" w:rsidRPr="009D1618" w:rsidRDefault="006505C8" w:rsidP="00C977A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Tribunal también indicó que descartaba el peritaje presentado por la defensa “por cuanto se realizó en parte sobre evidencia ajena al caso concreto en lo que se refiere a Motta González y los proyectiles examinados en relación a Choc Reyna, lo fueron con un equipo anticuado y deficiente en virtud de que el perito se manifestó incapaz de manejar el sofisticado equipo del Gabinete de Identificación”</w:t>
      </w:r>
      <w:r w:rsidR="00720B10" w:rsidRPr="009D1618">
        <w:rPr>
          <w:rFonts w:ascii="Cambria" w:eastAsia="Times New Roman" w:hAnsi="Cambria" w:cs="Courier New"/>
          <w:sz w:val="20"/>
          <w:szCs w:val="20"/>
          <w:bdr w:val="none" w:sz="0" w:space="0" w:color="auto"/>
          <w:vertAlign w:val="superscript"/>
          <w:lang w:val="es-ES"/>
        </w:rPr>
        <w:t xml:space="preserve"> </w:t>
      </w:r>
      <w:r w:rsidR="00720B10" w:rsidRPr="009D1618">
        <w:rPr>
          <w:rFonts w:ascii="Cambria" w:eastAsia="Times New Roman" w:hAnsi="Cambria" w:cs="Courier New"/>
          <w:sz w:val="20"/>
          <w:szCs w:val="20"/>
          <w:bdr w:val="none" w:sz="0" w:space="0" w:color="auto"/>
          <w:vertAlign w:val="superscript"/>
          <w:lang w:val="es-ES"/>
        </w:rPr>
        <w:footnoteReference w:id="37"/>
      </w:r>
      <w:r w:rsidRPr="009D1618">
        <w:rPr>
          <w:rFonts w:ascii="Cambria" w:eastAsia="Times New Roman" w:hAnsi="Cambria" w:cs="Courier New"/>
          <w:sz w:val="20"/>
          <w:szCs w:val="20"/>
          <w:bdr w:val="none" w:sz="0" w:space="0" w:color="auto"/>
          <w:lang w:val="es-ES"/>
        </w:rPr>
        <w:t xml:space="preserve">. </w:t>
      </w:r>
    </w:p>
    <w:p w14:paraId="17277D6F" w14:textId="77777777" w:rsidR="006505C8" w:rsidRPr="009D1618" w:rsidRDefault="006505C8" w:rsidP="006505C8">
      <w:pPr>
        <w:pStyle w:val="ListParagraph"/>
        <w:rPr>
          <w:rFonts w:eastAsia="Times New Roman" w:cs="Courier New"/>
          <w:sz w:val="20"/>
          <w:szCs w:val="20"/>
          <w:bdr w:val="none" w:sz="0" w:space="0" w:color="auto"/>
          <w:lang w:val="es-VE"/>
        </w:rPr>
      </w:pPr>
    </w:p>
    <w:p w14:paraId="6103CD1C" w14:textId="77777777" w:rsidR="00F50CA8" w:rsidRPr="009D1618" w:rsidRDefault="006505C8" w:rsidP="00C977A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color w:val="000000" w:themeColor="text1"/>
          <w:sz w:val="20"/>
          <w:szCs w:val="20"/>
          <w:bdr w:val="none" w:sz="0" w:space="0" w:color="auto"/>
          <w:lang w:val="es-ES"/>
        </w:rPr>
      </w:pPr>
      <w:r w:rsidRPr="009D1618">
        <w:rPr>
          <w:rFonts w:ascii="Cambria" w:eastAsia="Times New Roman" w:hAnsi="Cambria" w:cs="Courier New"/>
          <w:sz w:val="20"/>
          <w:szCs w:val="20"/>
          <w:bdr w:val="none" w:sz="0" w:space="0" w:color="auto"/>
          <w:lang w:val="es-VE"/>
        </w:rPr>
        <w:lastRenderedPageBreak/>
        <w:t>A</w:t>
      </w:r>
      <w:r w:rsidR="00C977A4" w:rsidRPr="009D1618">
        <w:rPr>
          <w:rFonts w:ascii="Cambria" w:eastAsia="Times New Roman" w:hAnsi="Cambria" w:cs="Courier New"/>
          <w:sz w:val="20"/>
          <w:szCs w:val="20"/>
          <w:bdr w:val="none" w:sz="0" w:space="0" w:color="auto"/>
          <w:lang w:val="es-VE"/>
        </w:rPr>
        <w:t xml:space="preserve">simismo, en la sentencia condenatoria, el Tribunal consideró que </w:t>
      </w:r>
      <w:r w:rsidR="001F50AD" w:rsidRPr="009D1618">
        <w:rPr>
          <w:rFonts w:ascii="Cambria" w:eastAsia="Times New Roman" w:hAnsi="Cambria" w:cs="Courier New"/>
          <w:sz w:val="20"/>
          <w:szCs w:val="20"/>
          <w:bdr w:val="none" w:sz="0" w:space="0" w:color="auto"/>
          <w:lang w:val="es-ES"/>
        </w:rPr>
        <w:t xml:space="preserve">se trataba de asesinato por cuanto concurrían las circunstancias “cualificativas” de alevosía, premeditación conocida o el impulso de perversidad brutal. En particular refirió respecto del impulso de perversidad brutal, que </w:t>
      </w:r>
      <w:r w:rsidR="00F41E1C" w:rsidRPr="009D1618">
        <w:rPr>
          <w:rFonts w:ascii="Cambria" w:eastAsia="Times New Roman" w:hAnsi="Cambria" w:cs="Courier New"/>
          <w:sz w:val="20"/>
          <w:szCs w:val="20"/>
          <w:bdr w:val="none" w:sz="0" w:space="0" w:color="auto"/>
          <w:lang w:val="es-ES"/>
        </w:rPr>
        <w:t>el mismo</w:t>
      </w:r>
      <w:r w:rsidR="006C075B" w:rsidRPr="009D1618">
        <w:rPr>
          <w:rFonts w:ascii="Cambria" w:eastAsia="Times New Roman" w:hAnsi="Cambria" w:cs="Courier New"/>
          <w:sz w:val="20"/>
          <w:szCs w:val="20"/>
          <w:bdr w:val="none" w:sz="0" w:space="0" w:color="auto"/>
          <w:lang w:val="es-ES"/>
        </w:rPr>
        <w:t xml:space="preserve"> consiste</w:t>
      </w:r>
      <w:r w:rsidR="001F50AD" w:rsidRPr="009D1618">
        <w:rPr>
          <w:rFonts w:ascii="Cambria" w:eastAsia="Times New Roman" w:hAnsi="Cambria" w:cs="Courier New"/>
          <w:sz w:val="20"/>
          <w:szCs w:val="20"/>
          <w:bdr w:val="none" w:sz="0" w:space="0" w:color="auto"/>
          <w:lang w:val="es-ES"/>
        </w:rPr>
        <w:t xml:space="preserve"> en que </w:t>
      </w:r>
      <w:r w:rsidR="00913739" w:rsidRPr="009D1618">
        <w:rPr>
          <w:rFonts w:ascii="Cambria" w:eastAsia="Times New Roman" w:hAnsi="Cambria" w:cs="Courier New"/>
          <w:sz w:val="20"/>
          <w:szCs w:val="20"/>
          <w:bdr w:val="none" w:sz="0" w:space="0" w:color="auto"/>
          <w:lang w:val="es-VE"/>
        </w:rPr>
        <w:t xml:space="preserve">“obrando el delincuente en forma totalmente carente de motivos aparentes, </w:t>
      </w:r>
      <w:r w:rsidR="00913739" w:rsidRPr="009D1618">
        <w:rPr>
          <w:rFonts w:ascii="Cambria" w:eastAsia="Times New Roman" w:hAnsi="Cambria" w:cs="Courier New"/>
          <w:color w:val="000000" w:themeColor="text1"/>
          <w:sz w:val="20"/>
          <w:szCs w:val="20"/>
          <w:bdr w:val="none" w:sz="0" w:space="0" w:color="auto"/>
          <w:lang w:val="es-VE"/>
        </w:rPr>
        <w:t>el peligro de ser víctima de sus agresiones produce alarma en todos los ciudadanos ya que nadie está cubierto de ese riesgo”</w:t>
      </w:r>
      <w:r w:rsidR="00913739" w:rsidRPr="009D1618">
        <w:rPr>
          <w:rStyle w:val="FootnoteReference"/>
          <w:rFonts w:ascii="Cambria" w:eastAsia="Times New Roman" w:hAnsi="Cambria" w:cs="Courier New"/>
          <w:color w:val="000000" w:themeColor="text1"/>
          <w:sz w:val="20"/>
          <w:szCs w:val="20"/>
          <w:bdr w:val="none" w:sz="0" w:space="0" w:color="auto"/>
          <w:lang w:val="es-VE"/>
        </w:rPr>
        <w:footnoteReference w:id="38"/>
      </w:r>
      <w:r w:rsidR="00913739" w:rsidRPr="009D1618">
        <w:rPr>
          <w:rFonts w:ascii="Cambria" w:eastAsia="Times New Roman" w:hAnsi="Cambria" w:cs="Courier New"/>
          <w:color w:val="000000" w:themeColor="text1"/>
          <w:sz w:val="20"/>
          <w:szCs w:val="20"/>
          <w:bdr w:val="none" w:sz="0" w:space="0" w:color="auto"/>
          <w:lang w:val="es-VE"/>
        </w:rPr>
        <w:t xml:space="preserve">. </w:t>
      </w:r>
      <w:r w:rsidR="001740A2" w:rsidRPr="009D1618">
        <w:rPr>
          <w:rFonts w:ascii="Cambria" w:eastAsia="Times New Roman" w:hAnsi="Cambria" w:cs="Courier New"/>
          <w:color w:val="000000" w:themeColor="text1"/>
          <w:sz w:val="20"/>
          <w:szCs w:val="20"/>
          <w:bdr w:val="none" w:sz="0" w:space="0" w:color="auto"/>
          <w:lang w:val="es-VE"/>
        </w:rPr>
        <w:t>Ag</w:t>
      </w:r>
      <w:r w:rsidR="001F50AD" w:rsidRPr="009D1618">
        <w:rPr>
          <w:rFonts w:ascii="Cambria" w:eastAsia="Times New Roman" w:hAnsi="Cambria" w:cs="Courier New"/>
          <w:color w:val="000000" w:themeColor="text1"/>
          <w:sz w:val="20"/>
          <w:szCs w:val="20"/>
          <w:bdr w:val="none" w:sz="0" w:space="0" w:color="auto"/>
          <w:lang w:val="es-VE"/>
        </w:rPr>
        <w:t>regó que “señala la doctrina que esta rara figura, reveladora de la extraordinaria peligrosidad general del sujeto, proviene de la carencia de motivos concretos concientes (sic) para actuar, el ataque no va dirigido contra un individuo determinado, el sujeto odia a la humanidad y no a alguien determinado y actúa por el bárbaro placer de derramar sangre. Estos presupuestos legales y doctrinarios son evidentes en este caso”</w:t>
      </w:r>
      <w:r w:rsidR="001740A2" w:rsidRPr="009D1618">
        <w:rPr>
          <w:rStyle w:val="FootnoteReference"/>
          <w:rFonts w:ascii="Cambria" w:eastAsia="Times New Roman" w:hAnsi="Cambria" w:cs="Courier New"/>
          <w:color w:val="000000" w:themeColor="text1"/>
          <w:sz w:val="20"/>
          <w:szCs w:val="20"/>
          <w:bdr w:val="none" w:sz="0" w:space="0" w:color="auto"/>
          <w:lang w:val="es-VE"/>
        </w:rPr>
        <w:t xml:space="preserve"> </w:t>
      </w:r>
      <w:r w:rsidR="001740A2" w:rsidRPr="009D1618">
        <w:rPr>
          <w:rStyle w:val="FootnoteReference"/>
          <w:rFonts w:ascii="Cambria" w:eastAsia="Times New Roman" w:hAnsi="Cambria" w:cs="Courier New"/>
          <w:color w:val="000000" w:themeColor="text1"/>
          <w:sz w:val="20"/>
          <w:szCs w:val="20"/>
          <w:bdr w:val="none" w:sz="0" w:space="0" w:color="auto"/>
          <w:lang w:val="es-VE"/>
        </w:rPr>
        <w:footnoteReference w:id="39"/>
      </w:r>
      <w:r w:rsidR="001F50AD" w:rsidRPr="009D1618">
        <w:rPr>
          <w:rFonts w:ascii="Cambria" w:eastAsia="Times New Roman" w:hAnsi="Cambria" w:cs="Courier New"/>
          <w:color w:val="000000" w:themeColor="text1"/>
          <w:sz w:val="20"/>
          <w:szCs w:val="20"/>
          <w:bdr w:val="none" w:sz="0" w:space="0" w:color="auto"/>
          <w:lang w:val="es-VE"/>
        </w:rPr>
        <w:t xml:space="preserve">. </w:t>
      </w:r>
    </w:p>
    <w:p w14:paraId="69E09771" w14:textId="77777777" w:rsidR="00F50CA8" w:rsidRPr="009D1618" w:rsidRDefault="00F50CA8" w:rsidP="001740A2">
      <w:pPr>
        <w:rPr>
          <w:rFonts w:ascii="Cambria" w:eastAsia="Times New Roman" w:hAnsi="Cambria" w:cs="Courier New"/>
          <w:sz w:val="20"/>
          <w:szCs w:val="20"/>
          <w:bdr w:val="none" w:sz="0" w:space="0" w:color="auto"/>
          <w:lang w:val="es-VE"/>
        </w:rPr>
      </w:pPr>
    </w:p>
    <w:p w14:paraId="681EB5F2" w14:textId="77777777" w:rsidR="00F50CA8" w:rsidRPr="009D1618" w:rsidRDefault="00FE7E5A"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VE"/>
        </w:rPr>
        <w:t xml:space="preserve">El Tribunal </w:t>
      </w:r>
      <w:r w:rsidR="00EF1620" w:rsidRPr="009D1618">
        <w:rPr>
          <w:rFonts w:ascii="Cambria" w:eastAsia="Times New Roman" w:hAnsi="Cambria" w:cs="Courier New"/>
          <w:sz w:val="20"/>
          <w:szCs w:val="20"/>
          <w:bdr w:val="none" w:sz="0" w:space="0" w:color="auto"/>
          <w:lang w:val="es-VE"/>
        </w:rPr>
        <w:t>concluyó que Aníbal Archil</w:t>
      </w:r>
      <w:r w:rsidR="002E2876" w:rsidRPr="009D1618">
        <w:rPr>
          <w:rFonts w:ascii="Cambria" w:eastAsia="Times New Roman" w:hAnsi="Cambria" w:cs="Courier New"/>
          <w:sz w:val="20"/>
          <w:szCs w:val="20"/>
          <w:bdr w:val="none" w:sz="0" w:space="0" w:color="auto"/>
          <w:lang w:val="es-VE"/>
        </w:rPr>
        <w:t>a Pérez</w:t>
      </w:r>
      <w:r w:rsidR="00EF1620" w:rsidRPr="009D1618">
        <w:rPr>
          <w:rFonts w:ascii="Cambria" w:eastAsia="Times New Roman" w:hAnsi="Cambria" w:cs="Courier New"/>
          <w:sz w:val="20"/>
          <w:szCs w:val="20"/>
          <w:bdr w:val="none" w:sz="0" w:space="0" w:color="auto"/>
          <w:lang w:val="es-VE"/>
        </w:rPr>
        <w:t xml:space="preserve">, Miguel Ángel Lopez Calo y Miguel Ángel Rodríguez Revolorio cometieron los ilícitos de asesinato y asesinato en el grado de tentativa e indicaron al respecto que: “los imputados tomaron parte directa en la ejecución de los actos delictivos, cooperaron en su ejecución, cooperaron activamente en su ejecución, con actos sin los cuales no se hubiera podido cometer y que concertados los procesados para cometer el delito y estando presentes en el momento de su consumación , todos revisten la calidad de autores, pues para que pudiera individualizarse la responsabilidad, sería preciso que hubiera completa </w:t>
      </w:r>
      <w:r w:rsidR="0097211D" w:rsidRPr="009D1618">
        <w:rPr>
          <w:rFonts w:ascii="Cambria" w:eastAsia="Times New Roman" w:hAnsi="Cambria" w:cs="Courier New"/>
          <w:sz w:val="20"/>
          <w:szCs w:val="20"/>
          <w:bdr w:val="none" w:sz="0" w:space="0" w:color="auto"/>
          <w:lang w:val="es-VE"/>
        </w:rPr>
        <w:t>independencia entre los propósitos y los actos realizados por cada uno de los procesados”</w:t>
      </w:r>
      <w:r w:rsidR="0097211D" w:rsidRPr="009D1618">
        <w:rPr>
          <w:rStyle w:val="FootnoteReference"/>
          <w:rFonts w:ascii="Cambria" w:eastAsia="Times New Roman" w:hAnsi="Cambria" w:cs="Courier New"/>
          <w:sz w:val="20"/>
          <w:szCs w:val="20"/>
          <w:bdr w:val="none" w:sz="0" w:space="0" w:color="auto"/>
          <w:lang w:val="es-VE"/>
        </w:rPr>
        <w:t xml:space="preserve"> </w:t>
      </w:r>
      <w:r w:rsidR="0097211D" w:rsidRPr="009D1618">
        <w:rPr>
          <w:rStyle w:val="FootnoteReference"/>
          <w:rFonts w:ascii="Cambria" w:eastAsia="Times New Roman" w:hAnsi="Cambria" w:cs="Courier New"/>
          <w:sz w:val="20"/>
          <w:szCs w:val="20"/>
          <w:bdr w:val="none" w:sz="0" w:space="0" w:color="auto"/>
          <w:lang w:val="es-VE"/>
        </w:rPr>
        <w:footnoteReference w:id="40"/>
      </w:r>
      <w:r w:rsidR="001E4FA3" w:rsidRPr="009D1618">
        <w:rPr>
          <w:rFonts w:ascii="Cambria" w:eastAsia="Times New Roman" w:hAnsi="Cambria" w:cs="Courier New"/>
          <w:sz w:val="20"/>
          <w:szCs w:val="20"/>
          <w:bdr w:val="none" w:sz="0" w:space="0" w:color="auto"/>
          <w:lang w:val="es-VE"/>
        </w:rPr>
        <w:t>.</w:t>
      </w:r>
    </w:p>
    <w:p w14:paraId="7D36F454" w14:textId="77777777" w:rsidR="00F50CA8" w:rsidRPr="009D1618" w:rsidRDefault="00F50CA8" w:rsidP="00F50CA8">
      <w:pPr>
        <w:pStyle w:val="ListParagraph"/>
        <w:rPr>
          <w:rFonts w:eastAsia="Times New Roman" w:cs="Courier New"/>
          <w:sz w:val="20"/>
          <w:szCs w:val="20"/>
          <w:bdr w:val="none" w:sz="0" w:space="0" w:color="auto"/>
          <w:lang w:val="es-ES"/>
        </w:rPr>
      </w:pPr>
    </w:p>
    <w:p w14:paraId="40483E8A" w14:textId="77777777" w:rsidR="00F90CDD" w:rsidRPr="009D1618" w:rsidRDefault="0087663B"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Como se describió anteriormente, l</w:t>
      </w:r>
      <w:r w:rsidR="00F963B8" w:rsidRPr="009D1618">
        <w:rPr>
          <w:rFonts w:ascii="Cambria" w:eastAsia="Times New Roman" w:hAnsi="Cambria" w:cs="Courier New"/>
          <w:sz w:val="20"/>
          <w:szCs w:val="20"/>
          <w:bdr w:val="none" w:sz="0" w:space="0" w:color="auto"/>
          <w:lang w:val="es-ES"/>
        </w:rPr>
        <w:t>a Comisión</w:t>
      </w:r>
      <w:r w:rsidRPr="009D1618">
        <w:rPr>
          <w:rFonts w:ascii="Cambria" w:eastAsia="Times New Roman" w:hAnsi="Cambria" w:cs="Courier New"/>
          <w:sz w:val="20"/>
          <w:szCs w:val="20"/>
          <w:bdr w:val="none" w:sz="0" w:space="0" w:color="auto"/>
          <w:lang w:val="es-ES"/>
        </w:rPr>
        <w:t xml:space="preserve"> recuerda q</w:t>
      </w:r>
      <w:r w:rsidR="00F963B8" w:rsidRPr="009D1618">
        <w:rPr>
          <w:rFonts w:ascii="Cambria" w:eastAsia="Times New Roman" w:hAnsi="Cambria" w:cs="Courier New"/>
          <w:sz w:val="20"/>
          <w:szCs w:val="20"/>
          <w:bdr w:val="none" w:sz="0" w:space="0" w:color="auto"/>
          <w:lang w:val="es-ES"/>
        </w:rPr>
        <w:t xml:space="preserve">ue </w:t>
      </w:r>
      <w:r w:rsidR="00A65ACB" w:rsidRPr="009D1618">
        <w:rPr>
          <w:rFonts w:ascii="Cambria" w:eastAsia="Times New Roman" w:hAnsi="Cambria" w:cs="Courier New"/>
          <w:sz w:val="20"/>
          <w:szCs w:val="20"/>
          <w:bdr w:val="none" w:sz="0" w:space="0" w:color="auto"/>
          <w:lang w:val="es-ES"/>
        </w:rPr>
        <w:t>el delito de asesinato previsto en el artículo 132 del Código Penal estipulaba que “al reo de asesinato se le impondrá prisión de 25 a 50 años, sin embargo se le aplicará la pena de muerte en lugar del máximo de prisión, si por las circunstancias del hecho y de la ocasión, la manera de realizarlo y los móviles determinantes, se revelare una mayor</w:t>
      </w:r>
      <w:r w:rsidR="001D5D94" w:rsidRPr="009D1618">
        <w:rPr>
          <w:rFonts w:ascii="Cambria" w:eastAsia="Times New Roman" w:hAnsi="Cambria" w:cs="Courier New"/>
          <w:sz w:val="20"/>
          <w:szCs w:val="20"/>
          <w:bdr w:val="none" w:sz="0" w:space="0" w:color="auto"/>
          <w:lang w:val="es-ES"/>
        </w:rPr>
        <w:t xml:space="preserve"> y</w:t>
      </w:r>
      <w:r w:rsidR="00A65ACB" w:rsidRPr="009D1618">
        <w:rPr>
          <w:rFonts w:ascii="Cambria" w:eastAsia="Times New Roman" w:hAnsi="Cambria" w:cs="Courier New"/>
          <w:sz w:val="20"/>
          <w:szCs w:val="20"/>
          <w:bdr w:val="none" w:sz="0" w:space="0" w:color="auto"/>
          <w:lang w:val="es-ES"/>
        </w:rPr>
        <w:t xml:space="preserve"> particular peligrosidad del agente”. </w:t>
      </w:r>
    </w:p>
    <w:p w14:paraId="2E941012" w14:textId="77777777" w:rsidR="00F90CDD" w:rsidRPr="009D1618" w:rsidRDefault="00F90CDD" w:rsidP="00F90CDD">
      <w:pPr>
        <w:pStyle w:val="ListParagraph"/>
        <w:rPr>
          <w:rFonts w:eastAsia="Times New Roman" w:cs="Courier New"/>
          <w:sz w:val="20"/>
          <w:szCs w:val="20"/>
          <w:bdr w:val="none" w:sz="0" w:space="0" w:color="auto"/>
          <w:lang w:val="es-ES"/>
        </w:rPr>
      </w:pPr>
    </w:p>
    <w:p w14:paraId="01395783" w14:textId="77777777" w:rsidR="00F50CA8" w:rsidRPr="009D1618" w:rsidRDefault="00DC1A4D"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w:t>
      </w:r>
      <w:r w:rsidR="00F90CDD" w:rsidRPr="009D1618">
        <w:rPr>
          <w:rFonts w:ascii="Cambria" w:eastAsia="Times New Roman" w:hAnsi="Cambria" w:cs="Courier New"/>
          <w:sz w:val="20"/>
          <w:szCs w:val="20"/>
          <w:bdr w:val="none" w:sz="0" w:space="0" w:color="auto"/>
          <w:lang w:val="es-ES"/>
        </w:rPr>
        <w:t xml:space="preserve">n la sentencia </w:t>
      </w:r>
      <w:r w:rsidRPr="009D1618">
        <w:rPr>
          <w:rFonts w:ascii="Cambria" w:eastAsia="Times New Roman" w:hAnsi="Cambria" w:cs="Courier New"/>
          <w:sz w:val="20"/>
          <w:szCs w:val="20"/>
          <w:bdr w:val="none" w:sz="0" w:space="0" w:color="auto"/>
          <w:lang w:val="es-ES"/>
        </w:rPr>
        <w:t xml:space="preserve">condenatoria no se indican las razones específicas por las cuales </w:t>
      </w:r>
      <w:r w:rsidR="00F90CDD" w:rsidRPr="009D1618">
        <w:rPr>
          <w:rFonts w:ascii="Cambria" w:eastAsia="Times New Roman" w:hAnsi="Cambria" w:cs="Courier New"/>
          <w:sz w:val="20"/>
          <w:szCs w:val="20"/>
          <w:bdr w:val="none" w:sz="0" w:space="0" w:color="auto"/>
          <w:lang w:val="es-ES"/>
        </w:rPr>
        <w:t xml:space="preserve">en este caso procedía aplicar la pena de muerte y no una pena de prisión. </w:t>
      </w:r>
    </w:p>
    <w:p w14:paraId="0FDEEF52" w14:textId="77777777" w:rsidR="00A65ACB" w:rsidRPr="009D1618" w:rsidRDefault="00A65ACB" w:rsidP="002611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p>
    <w:p w14:paraId="768FCF24" w14:textId="77777777" w:rsidR="00A57B49" w:rsidRPr="009D1618" w:rsidRDefault="00A57B49"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 xml:space="preserve">Recurso de apelación especial </w:t>
      </w:r>
    </w:p>
    <w:p w14:paraId="060A7FD2" w14:textId="77777777" w:rsidR="00006939" w:rsidRPr="009D1618" w:rsidRDefault="00006939" w:rsidP="0000693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Times New Roman" w:cs="Courier New"/>
          <w:i/>
          <w:color w:val="auto"/>
          <w:sz w:val="20"/>
          <w:szCs w:val="20"/>
          <w:bdr w:val="none" w:sz="0" w:space="0" w:color="auto"/>
          <w:lang w:val="es-ES"/>
        </w:rPr>
      </w:pPr>
    </w:p>
    <w:p w14:paraId="5BD64E2A" w14:textId="77777777" w:rsidR="00864FF5" w:rsidRPr="009D1618" w:rsidRDefault="00864FF5" w:rsidP="00DA6A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L</w:t>
      </w:r>
      <w:r w:rsidR="00FE5B47" w:rsidRPr="009D1618">
        <w:rPr>
          <w:rFonts w:ascii="Cambria" w:eastAsia="Times New Roman" w:hAnsi="Cambria" w:cs="Courier New"/>
          <w:sz w:val="20"/>
          <w:szCs w:val="20"/>
          <w:bdr w:val="none" w:sz="0" w:space="0" w:color="auto"/>
          <w:lang w:val="es-ES"/>
        </w:rPr>
        <w:t xml:space="preserve">as presuntas víctimas presentaron recursos </w:t>
      </w:r>
      <w:r w:rsidR="00A57B49" w:rsidRPr="009D1618">
        <w:rPr>
          <w:rFonts w:ascii="Cambria" w:eastAsia="Times New Roman" w:hAnsi="Cambria" w:cs="Courier New"/>
          <w:sz w:val="20"/>
          <w:szCs w:val="20"/>
          <w:bdr w:val="none" w:sz="0" w:space="0" w:color="auto"/>
          <w:lang w:val="es-ES"/>
        </w:rPr>
        <w:t xml:space="preserve">de apelación especial </w:t>
      </w:r>
      <w:r w:rsidR="001E0550" w:rsidRPr="009D1618">
        <w:rPr>
          <w:rFonts w:ascii="Cambria" w:eastAsia="Times New Roman" w:hAnsi="Cambria" w:cs="Courier New"/>
          <w:sz w:val="20"/>
          <w:szCs w:val="20"/>
          <w:bdr w:val="none" w:sz="0" w:space="0" w:color="auto"/>
          <w:lang w:val="es-ES"/>
        </w:rPr>
        <w:t>en contra de la sentencia condenatoria</w:t>
      </w:r>
      <w:r w:rsidR="005E0415" w:rsidRPr="009D1618">
        <w:rPr>
          <w:rFonts w:ascii="Cambria" w:eastAsia="Times New Roman" w:hAnsi="Cambria" w:cs="Courier New"/>
          <w:sz w:val="20"/>
          <w:szCs w:val="20"/>
          <w:bdr w:val="none" w:sz="0" w:space="0" w:color="auto"/>
          <w:lang w:val="es-ES"/>
        </w:rPr>
        <w:t>,</w:t>
      </w:r>
      <w:r w:rsidR="001E0550" w:rsidRPr="009D1618">
        <w:rPr>
          <w:rFonts w:ascii="Cambria" w:eastAsia="Times New Roman" w:hAnsi="Cambria" w:cs="Courier New"/>
          <w:sz w:val="20"/>
          <w:szCs w:val="20"/>
          <w:bdr w:val="none" w:sz="0" w:space="0" w:color="auto"/>
          <w:lang w:val="es-ES"/>
        </w:rPr>
        <w:t xml:space="preserve"> alegando una serie de vicios de for</w:t>
      </w:r>
      <w:r w:rsidR="00E70DB4" w:rsidRPr="009D1618">
        <w:rPr>
          <w:rFonts w:ascii="Cambria" w:eastAsia="Times New Roman" w:hAnsi="Cambria" w:cs="Courier New"/>
          <w:sz w:val="20"/>
          <w:szCs w:val="20"/>
          <w:bdr w:val="none" w:sz="0" w:space="0" w:color="auto"/>
          <w:lang w:val="es-ES"/>
        </w:rPr>
        <w:t>ma y de fondo en dicha decisión</w:t>
      </w:r>
      <w:r w:rsidR="002C51E8" w:rsidRPr="009D1618">
        <w:rPr>
          <w:rFonts w:ascii="Cambria" w:eastAsia="Times New Roman" w:hAnsi="Cambria" w:cs="Courier New"/>
          <w:sz w:val="20"/>
          <w:szCs w:val="20"/>
          <w:bdr w:val="none" w:sz="0" w:space="0" w:color="auto"/>
          <w:lang w:val="es-ES"/>
        </w:rPr>
        <w:t xml:space="preserve">. </w:t>
      </w:r>
      <w:r w:rsidR="00853BE4" w:rsidRPr="009D1618">
        <w:rPr>
          <w:rFonts w:ascii="Cambria" w:eastAsia="Times New Roman" w:hAnsi="Cambria" w:cs="Courier New"/>
          <w:sz w:val="20"/>
          <w:szCs w:val="20"/>
          <w:bdr w:val="none" w:sz="0" w:space="0" w:color="auto"/>
          <w:lang w:val="es-ES"/>
        </w:rPr>
        <w:t xml:space="preserve">Los recursos </w:t>
      </w:r>
      <w:r w:rsidR="00E70DB4" w:rsidRPr="009D1618">
        <w:rPr>
          <w:rFonts w:ascii="Cambria" w:eastAsia="Times New Roman" w:hAnsi="Cambria" w:cs="Courier New"/>
          <w:sz w:val="20"/>
          <w:szCs w:val="20"/>
          <w:bdr w:val="none" w:sz="0" w:space="0" w:color="auto"/>
          <w:lang w:val="es-ES"/>
        </w:rPr>
        <w:t xml:space="preserve">fueron acumulados en un solo expediente. </w:t>
      </w:r>
      <w:r w:rsidR="004E6607" w:rsidRPr="009D1618">
        <w:rPr>
          <w:rFonts w:ascii="Cambria" w:eastAsia="Times New Roman" w:hAnsi="Cambria" w:cs="Courier New"/>
          <w:sz w:val="20"/>
          <w:szCs w:val="20"/>
          <w:bdr w:val="none" w:sz="0" w:space="0" w:color="auto"/>
          <w:lang w:val="es-ES"/>
        </w:rPr>
        <w:t xml:space="preserve"> </w:t>
      </w:r>
    </w:p>
    <w:p w14:paraId="478187E9" w14:textId="77777777" w:rsidR="00864FF5" w:rsidRPr="009D1618" w:rsidRDefault="00864FF5" w:rsidP="00864FF5">
      <w:pPr>
        <w:pStyle w:val="ListParagraph"/>
        <w:rPr>
          <w:rFonts w:eastAsia="Times New Roman" w:cs="Courier New"/>
          <w:sz w:val="20"/>
          <w:szCs w:val="20"/>
          <w:bdr w:val="none" w:sz="0" w:space="0" w:color="auto"/>
          <w:lang w:val="es-ES"/>
        </w:rPr>
      </w:pPr>
    </w:p>
    <w:p w14:paraId="4F47C9A3" w14:textId="77777777" w:rsidR="00F50CA8" w:rsidRPr="009D1618" w:rsidRDefault="00E70DB4"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Argumentaron entre otras c</w:t>
      </w:r>
      <w:r w:rsidR="00F90CDD" w:rsidRPr="009D1618">
        <w:rPr>
          <w:rFonts w:ascii="Cambria" w:eastAsia="Times New Roman" w:hAnsi="Cambria" w:cs="Courier New"/>
          <w:sz w:val="20"/>
          <w:szCs w:val="20"/>
          <w:bdr w:val="none" w:sz="0" w:space="0" w:color="auto"/>
          <w:lang w:val="es-ES"/>
        </w:rPr>
        <w:t>uestiones</w:t>
      </w:r>
      <w:r w:rsidRPr="009D1618">
        <w:rPr>
          <w:rFonts w:ascii="Cambria" w:eastAsia="Times New Roman" w:hAnsi="Cambria" w:cs="Courier New"/>
          <w:sz w:val="20"/>
          <w:szCs w:val="20"/>
          <w:bdr w:val="none" w:sz="0" w:space="0" w:color="auto"/>
          <w:lang w:val="es-ES"/>
        </w:rPr>
        <w:t xml:space="preserve"> que: i) el Tribunal omitió individualizar debidamente a los imputados; ii) no resolvi</w:t>
      </w:r>
      <w:r w:rsidR="005E0415" w:rsidRPr="009D1618">
        <w:rPr>
          <w:rFonts w:ascii="Cambria" w:eastAsia="Times New Roman" w:hAnsi="Cambria" w:cs="Courier New"/>
          <w:sz w:val="20"/>
          <w:szCs w:val="20"/>
          <w:bdr w:val="none" w:sz="0" w:space="0" w:color="auto"/>
          <w:lang w:val="es-ES"/>
        </w:rPr>
        <w:t>ó</w:t>
      </w:r>
      <w:r w:rsidRPr="009D1618">
        <w:rPr>
          <w:rFonts w:ascii="Cambria" w:eastAsia="Times New Roman" w:hAnsi="Cambria" w:cs="Courier New"/>
          <w:sz w:val="20"/>
          <w:szCs w:val="20"/>
          <w:bdr w:val="none" w:sz="0" w:space="0" w:color="auto"/>
          <w:lang w:val="es-ES"/>
        </w:rPr>
        <w:t xml:space="preserve"> los puntos esenciales de la acusación; iii) la sentencia no se encuentra debidamente motivada; iv</w:t>
      </w:r>
      <w:r w:rsidR="00CB55E6" w:rsidRPr="009D1618">
        <w:rPr>
          <w:rFonts w:ascii="Cambria" w:eastAsia="Times New Roman" w:hAnsi="Cambria" w:cs="Courier New"/>
          <w:sz w:val="20"/>
          <w:szCs w:val="20"/>
          <w:bdr w:val="none" w:sz="0" w:space="0" w:color="auto"/>
          <w:lang w:val="es-ES"/>
        </w:rPr>
        <w:t>) el</w:t>
      </w:r>
      <w:r w:rsidRPr="009D1618">
        <w:rPr>
          <w:rFonts w:ascii="Cambria" w:eastAsia="Times New Roman" w:hAnsi="Cambria" w:cs="Courier New"/>
          <w:sz w:val="20"/>
          <w:szCs w:val="20"/>
          <w:bdr w:val="none" w:sz="0" w:space="0" w:color="auto"/>
          <w:lang w:val="es-ES"/>
        </w:rPr>
        <w:t xml:space="preserve"> Tribunal valoró indebidamente la p</w:t>
      </w:r>
      <w:r w:rsidR="00321C42" w:rsidRPr="009D1618">
        <w:rPr>
          <w:rFonts w:ascii="Cambria" w:eastAsia="Times New Roman" w:hAnsi="Cambria" w:cs="Courier New"/>
          <w:sz w:val="20"/>
          <w:szCs w:val="20"/>
          <w:bdr w:val="none" w:sz="0" w:space="0" w:color="auto"/>
          <w:lang w:val="es-ES"/>
        </w:rPr>
        <w:t>rueba; v)</w:t>
      </w:r>
      <w:r w:rsidR="005E0415" w:rsidRPr="009D1618">
        <w:rPr>
          <w:rFonts w:ascii="Cambria" w:eastAsia="Times New Roman" w:hAnsi="Cambria" w:cs="Courier New"/>
          <w:sz w:val="20"/>
          <w:szCs w:val="20"/>
          <w:bdr w:val="none" w:sz="0" w:space="0" w:color="auto"/>
          <w:lang w:val="es-ES"/>
        </w:rPr>
        <w:t xml:space="preserve"> </w:t>
      </w:r>
      <w:r w:rsidR="00321C42" w:rsidRPr="009D1618">
        <w:rPr>
          <w:rFonts w:ascii="Cambria" w:eastAsia="Times New Roman" w:hAnsi="Cambria" w:cs="Courier New"/>
          <w:sz w:val="20"/>
          <w:szCs w:val="20"/>
          <w:bdr w:val="none" w:sz="0" w:space="0" w:color="auto"/>
          <w:lang w:val="es-ES"/>
        </w:rPr>
        <w:t xml:space="preserve">en la </w:t>
      </w:r>
      <w:r w:rsidRPr="009D1618">
        <w:rPr>
          <w:rFonts w:ascii="Cambria" w:eastAsia="Times New Roman" w:hAnsi="Cambria" w:cs="Courier New"/>
          <w:sz w:val="20"/>
          <w:szCs w:val="20"/>
          <w:bdr w:val="none" w:sz="0" w:space="0" w:color="auto"/>
          <w:lang w:val="es-ES"/>
        </w:rPr>
        <w:t xml:space="preserve">obtención de algunos medios de prueba no </w:t>
      </w:r>
      <w:r w:rsidR="004F58B7" w:rsidRPr="009D1618">
        <w:rPr>
          <w:rFonts w:ascii="Cambria" w:eastAsia="Times New Roman" w:hAnsi="Cambria" w:cs="Courier New"/>
          <w:sz w:val="20"/>
          <w:szCs w:val="20"/>
          <w:bdr w:val="none" w:sz="0" w:space="0" w:color="auto"/>
          <w:lang w:val="es-ES"/>
        </w:rPr>
        <w:t>estuvieron</w:t>
      </w:r>
      <w:r w:rsidRPr="009D1618">
        <w:rPr>
          <w:rFonts w:ascii="Cambria" w:eastAsia="Times New Roman" w:hAnsi="Cambria" w:cs="Courier New"/>
          <w:sz w:val="20"/>
          <w:szCs w:val="20"/>
          <w:bdr w:val="none" w:sz="0" w:space="0" w:color="auto"/>
          <w:lang w:val="es-ES"/>
        </w:rPr>
        <w:t xml:space="preserve"> presentes ni los imputados ni sus abogados defensores</w:t>
      </w:r>
      <w:r w:rsidR="00321C42" w:rsidRPr="009D1618">
        <w:rPr>
          <w:rFonts w:ascii="Cambria" w:eastAsia="Times New Roman" w:hAnsi="Cambria" w:cs="Courier New"/>
          <w:sz w:val="20"/>
          <w:szCs w:val="20"/>
          <w:bdr w:val="none" w:sz="0" w:space="0" w:color="auto"/>
          <w:lang w:val="es-ES"/>
        </w:rPr>
        <w:t>; vi) el Tribunal incumplió la ley sustantiva al fijar la pena de muerte</w:t>
      </w:r>
      <w:r w:rsidR="003A41F2" w:rsidRPr="009D1618">
        <w:rPr>
          <w:rStyle w:val="FootnoteReference"/>
          <w:rFonts w:ascii="Cambria" w:eastAsia="Times New Roman" w:hAnsi="Cambria" w:cs="Courier New"/>
          <w:sz w:val="20"/>
          <w:szCs w:val="20"/>
          <w:bdr w:val="none" w:sz="0" w:space="0" w:color="auto"/>
          <w:lang w:val="es-ES"/>
        </w:rPr>
        <w:footnoteReference w:id="41"/>
      </w:r>
      <w:r w:rsidRPr="009D1618">
        <w:rPr>
          <w:rFonts w:ascii="Cambria" w:eastAsia="Times New Roman" w:hAnsi="Cambria" w:cs="Courier New"/>
          <w:sz w:val="20"/>
          <w:szCs w:val="20"/>
          <w:bdr w:val="none" w:sz="0" w:space="0" w:color="auto"/>
          <w:lang w:val="es-ES"/>
        </w:rPr>
        <w:t xml:space="preserve">. </w:t>
      </w:r>
    </w:p>
    <w:p w14:paraId="100F63CF" w14:textId="77777777" w:rsidR="00F50CA8" w:rsidRPr="009D1618" w:rsidRDefault="00F50CA8" w:rsidP="00F50CA8">
      <w:pPr>
        <w:pStyle w:val="ListParagraph"/>
        <w:rPr>
          <w:rFonts w:eastAsia="Times New Roman" w:cs="Courier New"/>
          <w:sz w:val="20"/>
          <w:szCs w:val="20"/>
          <w:bdr w:val="none" w:sz="0" w:space="0" w:color="auto"/>
          <w:lang w:val="es-ES"/>
        </w:rPr>
      </w:pPr>
    </w:p>
    <w:p w14:paraId="3974BDC3" w14:textId="77777777" w:rsidR="00F50CA8" w:rsidRPr="009D1618" w:rsidRDefault="00D75E7C"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El 2 </w:t>
      </w:r>
      <w:r w:rsidR="001E7D16" w:rsidRPr="009D1618">
        <w:rPr>
          <w:rFonts w:ascii="Cambria" w:eastAsia="Times New Roman" w:hAnsi="Cambria" w:cs="Courier New"/>
          <w:sz w:val="20"/>
          <w:szCs w:val="20"/>
          <w:bdr w:val="none" w:sz="0" w:space="0" w:color="auto"/>
          <w:lang w:val="es-ES"/>
        </w:rPr>
        <w:t>de septiembre de 1996 la Sala Dé</w:t>
      </w:r>
      <w:r w:rsidRPr="009D1618">
        <w:rPr>
          <w:rFonts w:ascii="Cambria" w:eastAsia="Times New Roman" w:hAnsi="Cambria" w:cs="Courier New"/>
          <w:sz w:val="20"/>
          <w:szCs w:val="20"/>
          <w:bdr w:val="none" w:sz="0" w:space="0" w:color="auto"/>
          <w:lang w:val="es-ES"/>
        </w:rPr>
        <w:t xml:space="preserve">cima de la Corte de Apelaciones Penal, Narcoactividad y Delitos contra el Ambiente </w:t>
      </w:r>
      <w:r w:rsidR="001E7D16" w:rsidRPr="009D1618">
        <w:rPr>
          <w:rFonts w:ascii="Cambria" w:eastAsia="Times New Roman" w:hAnsi="Cambria" w:cs="Courier New"/>
          <w:sz w:val="20"/>
          <w:szCs w:val="20"/>
          <w:bdr w:val="none" w:sz="0" w:space="0" w:color="auto"/>
          <w:lang w:val="es-ES"/>
        </w:rPr>
        <w:t>deneg</w:t>
      </w:r>
      <w:r w:rsidR="00A04CFC" w:rsidRPr="009D1618">
        <w:rPr>
          <w:rFonts w:ascii="Cambria" w:eastAsia="Times New Roman" w:hAnsi="Cambria" w:cs="Courier New"/>
          <w:sz w:val="20"/>
          <w:szCs w:val="20"/>
          <w:bdr w:val="none" w:sz="0" w:space="0" w:color="auto"/>
          <w:lang w:val="es-ES"/>
        </w:rPr>
        <w:t xml:space="preserve">ó </w:t>
      </w:r>
      <w:r w:rsidR="001E7D16" w:rsidRPr="009D1618">
        <w:rPr>
          <w:rFonts w:ascii="Cambria" w:eastAsia="Times New Roman" w:hAnsi="Cambria" w:cs="Courier New"/>
          <w:sz w:val="20"/>
          <w:szCs w:val="20"/>
          <w:bdr w:val="none" w:sz="0" w:space="0" w:color="auto"/>
          <w:lang w:val="es-ES"/>
        </w:rPr>
        <w:t>l</w:t>
      </w:r>
      <w:r w:rsidR="00A04CFC" w:rsidRPr="009D1618">
        <w:rPr>
          <w:rFonts w:ascii="Cambria" w:eastAsia="Times New Roman" w:hAnsi="Cambria" w:cs="Courier New"/>
          <w:sz w:val="20"/>
          <w:szCs w:val="20"/>
          <w:bdr w:val="none" w:sz="0" w:space="0" w:color="auto"/>
          <w:lang w:val="es-ES"/>
        </w:rPr>
        <w:t>os</w:t>
      </w:r>
      <w:r w:rsidR="001E7D16" w:rsidRPr="009D1618">
        <w:rPr>
          <w:rFonts w:ascii="Cambria" w:eastAsia="Times New Roman" w:hAnsi="Cambria" w:cs="Courier New"/>
          <w:sz w:val="20"/>
          <w:szCs w:val="20"/>
          <w:bdr w:val="none" w:sz="0" w:space="0" w:color="auto"/>
          <w:lang w:val="es-ES"/>
        </w:rPr>
        <w:t xml:space="preserve"> recurso</w:t>
      </w:r>
      <w:r w:rsidR="005E0415" w:rsidRPr="009D1618">
        <w:rPr>
          <w:rFonts w:ascii="Cambria" w:eastAsia="Times New Roman" w:hAnsi="Cambria" w:cs="Courier New"/>
          <w:sz w:val="20"/>
          <w:szCs w:val="20"/>
          <w:bdr w:val="none" w:sz="0" w:space="0" w:color="auto"/>
          <w:lang w:val="es-ES"/>
        </w:rPr>
        <w:t>s</w:t>
      </w:r>
      <w:r w:rsidR="001E7D16" w:rsidRPr="009D1618">
        <w:rPr>
          <w:rFonts w:ascii="Cambria" w:eastAsia="Times New Roman" w:hAnsi="Cambria" w:cs="Courier New"/>
          <w:sz w:val="20"/>
          <w:szCs w:val="20"/>
          <w:bdr w:val="none" w:sz="0" w:space="0" w:color="auto"/>
          <w:lang w:val="es-ES"/>
        </w:rPr>
        <w:t xml:space="preserve"> de apelación especial interpuesto</w:t>
      </w:r>
      <w:r w:rsidR="00A04CFC" w:rsidRPr="009D1618">
        <w:rPr>
          <w:rFonts w:ascii="Cambria" w:eastAsia="Times New Roman" w:hAnsi="Cambria" w:cs="Courier New"/>
          <w:sz w:val="20"/>
          <w:szCs w:val="20"/>
          <w:bdr w:val="none" w:sz="0" w:space="0" w:color="auto"/>
          <w:lang w:val="es-ES"/>
        </w:rPr>
        <w:t>s</w:t>
      </w:r>
      <w:r w:rsidR="001E7D16" w:rsidRPr="009D1618">
        <w:rPr>
          <w:rFonts w:ascii="Cambria" w:eastAsia="Times New Roman" w:hAnsi="Cambria" w:cs="Courier New"/>
          <w:sz w:val="20"/>
          <w:szCs w:val="20"/>
          <w:bdr w:val="none" w:sz="0" w:space="0" w:color="auto"/>
          <w:lang w:val="es-ES"/>
        </w:rPr>
        <w:t xml:space="preserve"> por las presuntas víctimas</w:t>
      </w:r>
      <w:r w:rsidR="00FD2282" w:rsidRPr="009D1618">
        <w:rPr>
          <w:rStyle w:val="FootnoteReference"/>
          <w:rFonts w:ascii="Cambria" w:eastAsia="Times New Roman" w:hAnsi="Cambria" w:cs="Courier New"/>
          <w:sz w:val="20"/>
          <w:szCs w:val="20"/>
          <w:bdr w:val="none" w:sz="0" w:space="0" w:color="auto"/>
          <w:lang w:val="es-ES"/>
        </w:rPr>
        <w:footnoteReference w:id="42"/>
      </w:r>
      <w:r w:rsidR="001E7D16" w:rsidRPr="009D1618">
        <w:rPr>
          <w:rFonts w:ascii="Cambria" w:eastAsia="Times New Roman" w:hAnsi="Cambria" w:cs="Courier New"/>
          <w:sz w:val="20"/>
          <w:szCs w:val="20"/>
          <w:bdr w:val="none" w:sz="0" w:space="0" w:color="auto"/>
          <w:lang w:val="es-ES"/>
        </w:rPr>
        <w:t xml:space="preserve">. </w:t>
      </w:r>
    </w:p>
    <w:p w14:paraId="4EA0B935" w14:textId="77777777" w:rsidR="00F50CA8" w:rsidRPr="009D1618" w:rsidRDefault="00F50CA8" w:rsidP="00F50CA8">
      <w:pPr>
        <w:pStyle w:val="ListParagraph"/>
        <w:rPr>
          <w:rFonts w:eastAsia="Times New Roman" w:cs="Courier New"/>
          <w:sz w:val="20"/>
          <w:szCs w:val="20"/>
          <w:bdr w:val="none" w:sz="0" w:space="0" w:color="auto"/>
          <w:lang w:val="es-ES"/>
        </w:rPr>
      </w:pPr>
    </w:p>
    <w:p w14:paraId="06EDF828" w14:textId="2FFE7696" w:rsidR="00A43CAE" w:rsidRDefault="00CB1D59"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lastRenderedPageBreak/>
        <w:t>Al analizar</w:t>
      </w:r>
      <w:r w:rsidR="00A04CFC" w:rsidRPr="009D1618">
        <w:rPr>
          <w:rFonts w:ascii="Cambria" w:eastAsia="Times New Roman" w:hAnsi="Cambria" w:cs="Courier New"/>
          <w:sz w:val="20"/>
          <w:szCs w:val="20"/>
          <w:bdr w:val="none" w:sz="0" w:space="0" w:color="auto"/>
          <w:lang w:val="es-ES"/>
        </w:rPr>
        <w:t xml:space="preserve"> los vicios de fondo alegados por Miguel Ángel Rodríguez Revolorio relacionados con la inob</w:t>
      </w:r>
      <w:r w:rsidR="00E70DB4" w:rsidRPr="009D1618">
        <w:rPr>
          <w:rFonts w:ascii="Cambria" w:eastAsia="Times New Roman" w:hAnsi="Cambria" w:cs="Courier New"/>
          <w:sz w:val="20"/>
          <w:szCs w:val="20"/>
          <w:bdr w:val="none" w:sz="0" w:space="0" w:color="auto"/>
          <w:lang w:val="es-ES"/>
        </w:rPr>
        <w:t xml:space="preserve">servancia de la ley sustantiva </w:t>
      </w:r>
      <w:r w:rsidR="00A04CFC" w:rsidRPr="009D1618">
        <w:rPr>
          <w:rFonts w:ascii="Cambria" w:eastAsia="Times New Roman" w:hAnsi="Cambria" w:cs="Courier New"/>
          <w:sz w:val="20"/>
          <w:szCs w:val="20"/>
          <w:bdr w:val="none" w:sz="0" w:space="0" w:color="auto"/>
          <w:lang w:val="es-ES"/>
        </w:rPr>
        <w:t>para la fijación de la pena</w:t>
      </w:r>
      <w:r w:rsidR="00F90CDD" w:rsidRPr="009D1618">
        <w:rPr>
          <w:rFonts w:ascii="Cambria" w:eastAsia="Times New Roman" w:hAnsi="Cambria" w:cs="Courier New"/>
          <w:sz w:val="20"/>
          <w:szCs w:val="20"/>
          <w:bdr w:val="none" w:sz="0" w:space="0" w:color="auto"/>
          <w:lang w:val="es-ES"/>
        </w:rPr>
        <w:t>,</w:t>
      </w:r>
      <w:r w:rsidR="00A04CFC" w:rsidRPr="009D1618">
        <w:rPr>
          <w:rFonts w:ascii="Cambria" w:eastAsia="Times New Roman" w:hAnsi="Cambria" w:cs="Courier New"/>
          <w:sz w:val="20"/>
          <w:szCs w:val="20"/>
          <w:bdr w:val="none" w:sz="0" w:space="0" w:color="auto"/>
          <w:lang w:val="es-ES"/>
        </w:rPr>
        <w:t xml:space="preserve"> así como la aplicación de las circunstancias agravantes y otras, consideró que dichos motivos no pueden ser controlados a través del </w:t>
      </w:r>
      <w:r w:rsidR="005E0415" w:rsidRPr="009D1618">
        <w:rPr>
          <w:rFonts w:ascii="Cambria" w:eastAsia="Times New Roman" w:hAnsi="Cambria" w:cs="Courier New"/>
          <w:sz w:val="20"/>
          <w:szCs w:val="20"/>
          <w:bdr w:val="none" w:sz="0" w:space="0" w:color="auto"/>
          <w:lang w:val="es-ES"/>
        </w:rPr>
        <w:t>recurso de apelación especial</w:t>
      </w:r>
      <w:r w:rsidR="00A43CAE" w:rsidRPr="009D1618">
        <w:rPr>
          <w:rFonts w:ascii="Cambria" w:eastAsia="Times New Roman" w:hAnsi="Cambria" w:cs="Courier New"/>
          <w:sz w:val="20"/>
          <w:szCs w:val="20"/>
          <w:bdr w:val="none" w:sz="0" w:space="0" w:color="auto"/>
          <w:lang w:val="es-ES"/>
        </w:rPr>
        <w:t xml:space="preserve"> debido a lo siguiente: </w:t>
      </w:r>
    </w:p>
    <w:p w14:paraId="628E201C" w14:textId="77777777" w:rsidR="001534DE" w:rsidRPr="009D1618" w:rsidRDefault="001534DE" w:rsidP="001534D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7255B819" w14:textId="77777777" w:rsidR="00A43CAE" w:rsidRPr="009D1618" w:rsidRDefault="00A43CAE" w:rsidP="000F3FA8">
      <w:pPr>
        <w:pStyle w:val="ListParagraph"/>
        <w:numPr>
          <w:ilvl w:val="2"/>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s>
        <w:ind w:left="0" w:firstLine="720"/>
        <w:jc w:val="both"/>
        <w:rPr>
          <w:rFonts w:eastAsia="Times New Roman" w:cs="Courier New"/>
          <w:sz w:val="20"/>
          <w:szCs w:val="20"/>
          <w:bdr w:val="none" w:sz="0" w:space="0" w:color="auto"/>
          <w:lang w:val="es-ES"/>
        </w:rPr>
      </w:pPr>
      <w:r w:rsidRPr="009D1618">
        <w:rPr>
          <w:rFonts w:eastAsia="Times New Roman" w:cs="Courier New"/>
          <w:sz w:val="20"/>
          <w:szCs w:val="20"/>
          <w:bdr w:val="none" w:sz="0" w:space="0" w:color="auto"/>
          <w:lang w:val="es-ES"/>
        </w:rPr>
        <w:t>L</w:t>
      </w:r>
      <w:r w:rsidR="00A04CFC" w:rsidRPr="009D1618">
        <w:rPr>
          <w:rFonts w:eastAsia="Times New Roman" w:cs="Courier New"/>
          <w:sz w:val="20"/>
          <w:szCs w:val="20"/>
          <w:bdr w:val="none" w:sz="0" w:space="0" w:color="auto"/>
          <w:lang w:val="es-ES"/>
        </w:rPr>
        <w:t xml:space="preserve">a forma </w:t>
      </w:r>
      <w:r w:rsidR="00107F93" w:rsidRPr="009D1618">
        <w:rPr>
          <w:rFonts w:eastAsia="Times New Roman" w:cs="Courier New"/>
          <w:sz w:val="20"/>
          <w:szCs w:val="20"/>
          <w:bdr w:val="none" w:sz="0" w:space="0" w:color="auto"/>
          <w:lang w:val="es-ES"/>
        </w:rPr>
        <w:t xml:space="preserve">como </w:t>
      </w:r>
      <w:r w:rsidR="00A04CFC" w:rsidRPr="009D1618">
        <w:rPr>
          <w:rFonts w:eastAsia="Times New Roman" w:cs="Courier New"/>
          <w:sz w:val="20"/>
          <w:szCs w:val="20"/>
          <w:bdr w:val="none" w:sz="0" w:space="0" w:color="auto"/>
          <w:lang w:val="es-ES"/>
        </w:rPr>
        <w:t>fueron aplicadas las circunstancias agravantes deviene de decisiones del Tribunal de Sentencia sobre las pruebas aportadas y diligenciadas en el debate cuyo examen fáctico escap</w:t>
      </w:r>
      <w:r w:rsidR="00C4256A" w:rsidRPr="009D1618">
        <w:rPr>
          <w:rFonts w:eastAsia="Times New Roman" w:cs="Courier New"/>
          <w:sz w:val="20"/>
          <w:szCs w:val="20"/>
          <w:bdr w:val="none" w:sz="0" w:space="0" w:color="auto"/>
          <w:lang w:val="es-ES"/>
        </w:rPr>
        <w:t xml:space="preserve">a del control de este tribunal </w:t>
      </w:r>
      <w:r w:rsidR="00A04CFC" w:rsidRPr="009D1618">
        <w:rPr>
          <w:rFonts w:eastAsia="Times New Roman" w:cs="Courier New"/>
          <w:sz w:val="20"/>
          <w:szCs w:val="20"/>
          <w:bdr w:val="none" w:sz="0" w:space="0" w:color="auto"/>
          <w:lang w:val="es-ES"/>
        </w:rPr>
        <w:t>en razón de la naturaleza exclusivamente revisora en el campo jur</w:t>
      </w:r>
      <w:r w:rsidR="00DA6AB0" w:rsidRPr="009D1618">
        <w:rPr>
          <w:rFonts w:eastAsia="Times New Roman" w:cs="Courier New"/>
          <w:sz w:val="20"/>
          <w:szCs w:val="20"/>
          <w:bdr w:val="none" w:sz="0" w:space="0" w:color="auto"/>
          <w:lang w:val="es-ES"/>
        </w:rPr>
        <w:t>ídico del recurso que nos ocupa. Solo es controlable la fijación de circunstancias agravantes o atenuantes para verificar si el tribunal sentenciador se ajustó a la norma jurídic</w:t>
      </w:r>
      <w:r w:rsidR="00C4256A" w:rsidRPr="009D1618">
        <w:rPr>
          <w:rFonts w:eastAsia="Times New Roman" w:cs="Courier New"/>
          <w:sz w:val="20"/>
          <w:szCs w:val="20"/>
          <w:bdr w:val="none" w:sz="0" w:space="0" w:color="auto"/>
          <w:lang w:val="es-ES"/>
        </w:rPr>
        <w:t xml:space="preserve">a que le confiere dicha facultad; </w:t>
      </w:r>
    </w:p>
    <w:p w14:paraId="5D847F4E" w14:textId="77777777" w:rsidR="00A43CAE" w:rsidRPr="009D1618" w:rsidRDefault="00A43CAE" w:rsidP="000F3FA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s>
        <w:jc w:val="both"/>
        <w:rPr>
          <w:rFonts w:eastAsia="Times New Roman" w:cs="Courier New"/>
          <w:sz w:val="20"/>
          <w:szCs w:val="20"/>
          <w:bdr w:val="none" w:sz="0" w:space="0" w:color="auto"/>
          <w:lang w:val="es-ES"/>
        </w:rPr>
      </w:pPr>
    </w:p>
    <w:p w14:paraId="3F14C6A7" w14:textId="0D3E2F08" w:rsidR="008F4CDA" w:rsidRPr="009D1618" w:rsidRDefault="00A43CAE" w:rsidP="000F3FA8">
      <w:pPr>
        <w:pStyle w:val="ListParagraph"/>
        <w:numPr>
          <w:ilvl w:val="2"/>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s>
        <w:ind w:left="0" w:firstLine="720"/>
        <w:jc w:val="both"/>
        <w:rPr>
          <w:rFonts w:eastAsia="Times New Roman" w:cs="Courier New"/>
          <w:sz w:val="20"/>
          <w:szCs w:val="20"/>
          <w:bdr w:val="none" w:sz="0" w:space="0" w:color="auto"/>
          <w:lang w:val="es-ES"/>
        </w:rPr>
      </w:pPr>
      <w:r w:rsidRPr="009D1618">
        <w:rPr>
          <w:rFonts w:eastAsia="Times New Roman" w:cs="Courier New"/>
          <w:sz w:val="20"/>
          <w:szCs w:val="20"/>
          <w:bdr w:val="none" w:sz="0" w:space="0" w:color="auto"/>
          <w:lang w:val="es-ES"/>
        </w:rPr>
        <w:t>T</w:t>
      </w:r>
      <w:r w:rsidR="00A04CFC" w:rsidRPr="009D1618">
        <w:rPr>
          <w:rFonts w:eastAsia="Times New Roman" w:cs="Courier New"/>
          <w:sz w:val="20"/>
          <w:szCs w:val="20"/>
          <w:bdr w:val="none" w:sz="0" w:space="0" w:color="auto"/>
          <w:lang w:val="es-ES"/>
        </w:rPr>
        <w:t xml:space="preserve">odo lo relativo a la fijación de la pena no es susceptible de conocerse por medio del </w:t>
      </w:r>
      <w:r w:rsidR="00DA6AB0" w:rsidRPr="009D1618">
        <w:rPr>
          <w:rFonts w:eastAsia="Times New Roman" w:cs="Courier New"/>
          <w:sz w:val="20"/>
          <w:szCs w:val="20"/>
          <w:bdr w:val="none" w:sz="0" w:space="0" w:color="auto"/>
          <w:lang w:val="es-ES"/>
        </w:rPr>
        <w:t>recurso de apelación especial, porque deviene  de una facultad discreci</w:t>
      </w:r>
      <w:r w:rsidR="00CB1D59" w:rsidRPr="009D1618">
        <w:rPr>
          <w:rFonts w:eastAsia="Times New Roman" w:cs="Courier New"/>
          <w:sz w:val="20"/>
          <w:szCs w:val="20"/>
          <w:bdr w:val="none" w:sz="0" w:space="0" w:color="auto"/>
          <w:lang w:val="es-ES"/>
        </w:rPr>
        <w:t>onal que la ley confiere a los j</w:t>
      </w:r>
      <w:r w:rsidR="00DA6AB0" w:rsidRPr="009D1618">
        <w:rPr>
          <w:rFonts w:eastAsia="Times New Roman" w:cs="Courier New"/>
          <w:sz w:val="20"/>
          <w:szCs w:val="20"/>
          <w:bdr w:val="none" w:sz="0" w:space="0" w:color="auto"/>
          <w:lang w:val="es-ES"/>
        </w:rPr>
        <w:t>ueces para que con fundamento en el artículo 65 del Código Penal, arribe a conclusiones de certeza jurídica en cuanto a su fijación</w:t>
      </w:r>
      <w:r w:rsidR="00A03A6F" w:rsidRPr="009D1618">
        <w:rPr>
          <w:rFonts w:eastAsia="Times New Roman" w:cs="Courier New"/>
          <w:sz w:val="20"/>
          <w:szCs w:val="20"/>
          <w:bdr w:val="none" w:sz="0" w:space="0" w:color="auto"/>
          <w:lang w:val="es-ES"/>
        </w:rPr>
        <w:t xml:space="preserve">. Esta fijación </w:t>
      </w:r>
      <w:r w:rsidR="00DA6AB0" w:rsidRPr="009D1618">
        <w:rPr>
          <w:rFonts w:eastAsia="Times New Roman" w:cs="Courier New"/>
          <w:sz w:val="20"/>
          <w:szCs w:val="20"/>
          <w:bdr w:val="none" w:sz="0" w:space="0" w:color="auto"/>
          <w:lang w:val="es-ES"/>
        </w:rPr>
        <w:t>obviamente parte de los hechos valorados como prueba por el Tribunal de Sentencia</w:t>
      </w:r>
      <w:r w:rsidR="00A03A6F" w:rsidRPr="009D1618">
        <w:rPr>
          <w:rFonts w:eastAsia="Times New Roman" w:cs="Courier New"/>
          <w:sz w:val="20"/>
          <w:szCs w:val="20"/>
          <w:bdr w:val="none" w:sz="0" w:space="0" w:color="auto"/>
          <w:lang w:val="es-ES"/>
        </w:rPr>
        <w:t>. El</w:t>
      </w:r>
      <w:r w:rsidR="00DA6AB0" w:rsidRPr="009D1618">
        <w:rPr>
          <w:rFonts w:eastAsia="Times New Roman" w:cs="Courier New"/>
          <w:sz w:val="20"/>
          <w:szCs w:val="20"/>
          <w:bdr w:val="none" w:sz="0" w:space="0" w:color="auto"/>
          <w:lang w:val="es-ES"/>
        </w:rPr>
        <w:t xml:space="preserve"> control de dichos hechos no puede ser </w:t>
      </w:r>
      <w:r w:rsidR="00A03A6F" w:rsidRPr="009D1618">
        <w:rPr>
          <w:rFonts w:eastAsia="Times New Roman" w:cs="Courier New"/>
          <w:sz w:val="20"/>
          <w:szCs w:val="20"/>
          <w:bdr w:val="none" w:sz="0" w:space="0" w:color="auto"/>
          <w:lang w:val="es-ES"/>
        </w:rPr>
        <w:t xml:space="preserve">efectuado </w:t>
      </w:r>
      <w:r w:rsidR="00DA6AB0" w:rsidRPr="009D1618">
        <w:rPr>
          <w:rFonts w:eastAsia="Times New Roman" w:cs="Courier New"/>
          <w:sz w:val="20"/>
          <w:szCs w:val="20"/>
          <w:bdr w:val="none" w:sz="0" w:space="0" w:color="auto"/>
          <w:lang w:val="es-ES"/>
        </w:rPr>
        <w:t>por el tribunal que hoy resuelve. S</w:t>
      </w:r>
      <w:r w:rsidR="00A03A6F" w:rsidRPr="009D1618">
        <w:rPr>
          <w:rFonts w:eastAsia="Times New Roman" w:cs="Courier New"/>
          <w:sz w:val="20"/>
          <w:szCs w:val="20"/>
          <w:bdr w:val="none" w:sz="0" w:space="0" w:color="auto"/>
          <w:lang w:val="es-ES"/>
        </w:rPr>
        <w:t>ó</w:t>
      </w:r>
      <w:r w:rsidR="00DA6AB0" w:rsidRPr="009D1618">
        <w:rPr>
          <w:rFonts w:eastAsia="Times New Roman" w:cs="Courier New"/>
          <w:sz w:val="20"/>
          <w:szCs w:val="20"/>
          <w:bdr w:val="none" w:sz="0" w:space="0" w:color="auto"/>
          <w:lang w:val="es-ES"/>
        </w:rPr>
        <w:t xml:space="preserve">lo se puede controlar mediante el recurso </w:t>
      </w:r>
      <w:r w:rsidR="00A03A6F" w:rsidRPr="009D1618">
        <w:rPr>
          <w:rFonts w:eastAsia="Times New Roman" w:cs="Courier New"/>
          <w:sz w:val="20"/>
          <w:szCs w:val="20"/>
          <w:bdr w:val="none" w:sz="0" w:space="0" w:color="auto"/>
          <w:lang w:val="es-ES"/>
        </w:rPr>
        <w:t xml:space="preserve">de apelación </w:t>
      </w:r>
      <w:r w:rsidR="00DA6AB0" w:rsidRPr="009D1618">
        <w:rPr>
          <w:rFonts w:eastAsia="Times New Roman" w:cs="Courier New"/>
          <w:sz w:val="20"/>
          <w:szCs w:val="20"/>
          <w:bdr w:val="none" w:sz="0" w:space="0" w:color="auto"/>
          <w:lang w:val="es-ES"/>
        </w:rPr>
        <w:t xml:space="preserve">cuando el Tribunal no haya respetado la normativa que le confiere esa facultad discrecional; y </w:t>
      </w:r>
    </w:p>
    <w:p w14:paraId="1B15BD0D" w14:textId="77777777" w:rsidR="008F4CDA" w:rsidRPr="009D1618" w:rsidRDefault="008F4CDA"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s>
        <w:jc w:val="both"/>
        <w:rPr>
          <w:rFonts w:eastAsia="Times New Roman" w:cs="Courier New"/>
          <w:sz w:val="20"/>
          <w:szCs w:val="20"/>
          <w:bdr w:val="none" w:sz="0" w:space="0" w:color="auto"/>
          <w:lang w:val="es-ES"/>
        </w:rPr>
      </w:pPr>
    </w:p>
    <w:p w14:paraId="2C026108" w14:textId="77777777" w:rsidR="00A04CFC" w:rsidRPr="009D1618" w:rsidRDefault="008F4CDA" w:rsidP="000F3FA8">
      <w:pPr>
        <w:pStyle w:val="ListParagraph"/>
        <w:numPr>
          <w:ilvl w:val="2"/>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 w:val="left" w:pos="1440"/>
        </w:tabs>
        <w:ind w:left="0" w:firstLine="720"/>
        <w:jc w:val="both"/>
        <w:rPr>
          <w:rFonts w:eastAsia="Times New Roman" w:cs="Courier New"/>
          <w:sz w:val="20"/>
          <w:szCs w:val="20"/>
          <w:bdr w:val="none" w:sz="0" w:space="0" w:color="auto"/>
          <w:lang w:val="es-ES"/>
        </w:rPr>
      </w:pPr>
      <w:r w:rsidRPr="009D1618">
        <w:rPr>
          <w:rFonts w:eastAsia="Times New Roman" w:cs="Courier New"/>
          <w:sz w:val="20"/>
          <w:szCs w:val="20"/>
          <w:bdr w:val="none" w:sz="0" w:space="0" w:color="auto"/>
          <w:lang w:val="es-ES"/>
        </w:rPr>
        <w:t>E</w:t>
      </w:r>
      <w:r w:rsidR="00DA6AB0" w:rsidRPr="009D1618">
        <w:rPr>
          <w:rFonts w:eastAsia="Times New Roman" w:cs="Courier New"/>
          <w:sz w:val="20"/>
          <w:szCs w:val="20"/>
          <w:bdr w:val="none" w:sz="0" w:space="0" w:color="auto"/>
          <w:lang w:val="es-ES"/>
        </w:rPr>
        <w:t xml:space="preserve">l Tribunal </w:t>
      </w:r>
      <w:r w:rsidR="00F223FC" w:rsidRPr="009D1618">
        <w:rPr>
          <w:rFonts w:eastAsia="Times New Roman" w:cs="Courier New"/>
          <w:sz w:val="20"/>
          <w:szCs w:val="20"/>
          <w:bdr w:val="none" w:sz="0" w:space="0" w:color="auto"/>
          <w:lang w:val="es-ES"/>
        </w:rPr>
        <w:t>de sentencia s</w:t>
      </w:r>
      <w:r w:rsidR="00C143E8" w:rsidRPr="009D1618">
        <w:rPr>
          <w:rFonts w:eastAsia="Times New Roman" w:cs="Courier New"/>
          <w:sz w:val="20"/>
          <w:szCs w:val="20"/>
          <w:bdr w:val="none" w:sz="0" w:space="0" w:color="auto"/>
          <w:lang w:val="es-ES"/>
        </w:rPr>
        <w:t>í</w:t>
      </w:r>
      <w:r w:rsidR="00F223FC" w:rsidRPr="009D1618">
        <w:rPr>
          <w:rFonts w:eastAsia="Times New Roman" w:cs="Courier New"/>
          <w:sz w:val="20"/>
          <w:szCs w:val="20"/>
          <w:bdr w:val="none" w:sz="0" w:space="0" w:color="auto"/>
          <w:lang w:val="es-ES"/>
        </w:rPr>
        <w:t xml:space="preserve"> efectuó la fijación de la pena de muerte dentro de los supuestos jurídicos que prescribe la ley de la materia. </w:t>
      </w:r>
      <w:r w:rsidR="00866E05" w:rsidRPr="009D1618">
        <w:rPr>
          <w:rFonts w:eastAsia="Times New Roman" w:cs="Courier New"/>
          <w:sz w:val="20"/>
          <w:szCs w:val="20"/>
          <w:bdr w:val="none" w:sz="0" w:space="0" w:color="auto"/>
          <w:lang w:val="es-ES"/>
        </w:rPr>
        <w:t xml:space="preserve">La forma como </w:t>
      </w:r>
      <w:r w:rsidR="00F223FC" w:rsidRPr="009D1618">
        <w:rPr>
          <w:rFonts w:eastAsia="Times New Roman" w:cs="Courier New"/>
          <w:sz w:val="20"/>
          <w:szCs w:val="20"/>
          <w:bdr w:val="none" w:sz="0" w:space="0" w:color="auto"/>
          <w:lang w:val="es-ES"/>
        </w:rPr>
        <w:t>arribó a esa conclusión punitiva, no lo puede establecer e</w:t>
      </w:r>
      <w:r w:rsidR="00581142" w:rsidRPr="009D1618">
        <w:rPr>
          <w:rFonts w:eastAsia="Times New Roman" w:cs="Courier New"/>
          <w:sz w:val="20"/>
          <w:szCs w:val="20"/>
          <w:bdr w:val="none" w:sz="0" w:space="0" w:color="auto"/>
          <w:lang w:val="es-ES"/>
        </w:rPr>
        <w:t>l</w:t>
      </w:r>
      <w:r w:rsidR="00F223FC" w:rsidRPr="009D1618">
        <w:rPr>
          <w:rFonts w:eastAsia="Times New Roman" w:cs="Courier New"/>
          <w:sz w:val="20"/>
          <w:szCs w:val="20"/>
          <w:bdr w:val="none" w:sz="0" w:space="0" w:color="auto"/>
          <w:lang w:val="es-ES"/>
        </w:rPr>
        <w:t xml:space="preserve"> Tribunal de alzada, dado que el tribunal de sentencia efectuó su análisis sobre la prueba que apreció directamente, en razón de haberse diligenciado en el debate del juicio oral</w:t>
      </w:r>
      <w:r w:rsidR="00F223FC" w:rsidRPr="009D1618">
        <w:rPr>
          <w:rStyle w:val="FootnoteReference"/>
          <w:rFonts w:ascii="Cambria" w:eastAsia="Times New Roman" w:hAnsi="Cambria" w:cs="Courier New"/>
          <w:sz w:val="20"/>
          <w:szCs w:val="20"/>
          <w:bdr w:val="none" w:sz="0" w:space="0" w:color="auto"/>
          <w:lang w:val="es-ES"/>
        </w:rPr>
        <w:footnoteReference w:id="43"/>
      </w:r>
      <w:r w:rsidR="00F223FC" w:rsidRPr="009D1618">
        <w:rPr>
          <w:rFonts w:eastAsia="Times New Roman" w:cs="Courier New"/>
          <w:sz w:val="20"/>
          <w:szCs w:val="20"/>
          <w:bdr w:val="none" w:sz="0" w:space="0" w:color="auto"/>
          <w:lang w:val="es-ES"/>
        </w:rPr>
        <w:t xml:space="preserve">. </w:t>
      </w:r>
      <w:r w:rsidR="00321C42" w:rsidRPr="009D1618">
        <w:rPr>
          <w:rFonts w:eastAsia="Times New Roman" w:cs="Courier New"/>
          <w:sz w:val="20"/>
          <w:szCs w:val="20"/>
          <w:bdr w:val="none" w:sz="0" w:space="0" w:color="auto"/>
          <w:lang w:val="es-ES"/>
        </w:rPr>
        <w:t>También consideró que la sentencia se encuentra debidamente motivada</w:t>
      </w:r>
      <w:r w:rsidR="001E4FA3" w:rsidRPr="009D1618">
        <w:rPr>
          <w:rStyle w:val="FootnoteReference"/>
          <w:rFonts w:ascii="Cambria" w:eastAsia="Times New Roman" w:hAnsi="Cambria" w:cs="Courier New"/>
          <w:sz w:val="20"/>
          <w:szCs w:val="20"/>
          <w:bdr w:val="none" w:sz="0" w:space="0" w:color="auto"/>
          <w:lang w:val="es-ES"/>
        </w:rPr>
        <w:footnoteReference w:id="44"/>
      </w:r>
      <w:r w:rsidR="00321C42" w:rsidRPr="009D1618">
        <w:rPr>
          <w:rFonts w:eastAsia="Times New Roman" w:cs="Courier New"/>
          <w:sz w:val="20"/>
          <w:szCs w:val="20"/>
          <w:bdr w:val="none" w:sz="0" w:space="0" w:color="auto"/>
          <w:lang w:val="es-ES"/>
        </w:rPr>
        <w:t xml:space="preserve">. </w:t>
      </w:r>
    </w:p>
    <w:p w14:paraId="72514A6B" w14:textId="77777777" w:rsidR="001D5D94" w:rsidRPr="009D1618" w:rsidRDefault="001D5D94" w:rsidP="00D75E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sz w:val="20"/>
          <w:szCs w:val="20"/>
          <w:bdr w:val="none" w:sz="0" w:space="0" w:color="auto"/>
          <w:lang w:val="es-ES"/>
        </w:rPr>
      </w:pPr>
    </w:p>
    <w:p w14:paraId="33A0D4E5" w14:textId="77777777" w:rsidR="00502973" w:rsidRPr="009D1618" w:rsidRDefault="00502973"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 xml:space="preserve">Recurso de casación </w:t>
      </w:r>
    </w:p>
    <w:p w14:paraId="3C142FEE" w14:textId="77777777" w:rsidR="00502973" w:rsidRPr="009D1618" w:rsidRDefault="00864FF5" w:rsidP="005029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r w:rsidRPr="009D1618">
        <w:rPr>
          <w:rFonts w:ascii="Cambria" w:eastAsia="Times New Roman" w:hAnsi="Cambria" w:cs="Courier New"/>
          <w:i/>
          <w:sz w:val="20"/>
          <w:szCs w:val="20"/>
          <w:bdr w:val="none" w:sz="0" w:space="0" w:color="auto"/>
          <w:lang w:val="es-ES"/>
        </w:rPr>
        <w:tab/>
      </w:r>
    </w:p>
    <w:p w14:paraId="6D7F9606" w14:textId="77777777" w:rsidR="00F50CA8" w:rsidRPr="009D1618" w:rsidRDefault="008337BE"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Las presuntas víctimas interpusieron recursos de casación en contra de la sentencia de la Sala Décima de la Corte de Apelaciones, los cuales fueron acumulados en un solo expediente. </w:t>
      </w:r>
    </w:p>
    <w:p w14:paraId="52AB58D8" w14:textId="77777777" w:rsidR="00F4185C" w:rsidRPr="009D1618" w:rsidRDefault="00F4185C"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VE"/>
        </w:rPr>
      </w:pPr>
    </w:p>
    <w:p w14:paraId="127C2945" w14:textId="77777777" w:rsidR="00F4185C" w:rsidRPr="009D1618" w:rsidRDefault="00F4185C"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VE"/>
        </w:rPr>
        <w:t>El artículo 442 del Código Procesal Penal guatemalteco aplicable establece que: “</w:t>
      </w:r>
      <w:r w:rsidRPr="009D1618">
        <w:rPr>
          <w:rFonts w:ascii="Cambria" w:hAnsi="Cambria" w:cs="Arial"/>
          <w:color w:val="000000"/>
          <w:sz w:val="20"/>
          <w:szCs w:val="20"/>
          <w:lang w:val="es-VE"/>
        </w:rPr>
        <w:t>El Tribunal de Casación conocerá únicamente de los errores jurídicos contenidos en la resolución recurrida. Está sujeto a los hechos que se hayan tenido como probados por el tribunal de sentencia, y solamente en los casos en que advierta violación de una norma constitucional o legal, podrá disponer la anulación y el reenvío para la corrección debida”</w:t>
      </w:r>
      <w:r w:rsidRPr="009D1618">
        <w:rPr>
          <w:rStyle w:val="FootnoteReference"/>
          <w:rFonts w:ascii="Cambria" w:hAnsi="Cambria" w:cs="Arial"/>
          <w:color w:val="000000"/>
          <w:sz w:val="20"/>
          <w:szCs w:val="20"/>
          <w:lang w:val="es-VE"/>
        </w:rPr>
        <w:footnoteReference w:id="45"/>
      </w:r>
      <w:r w:rsidRPr="009D1618">
        <w:rPr>
          <w:rFonts w:ascii="Cambria" w:hAnsi="Cambria" w:cs="Arial"/>
          <w:color w:val="000000"/>
          <w:sz w:val="20"/>
          <w:szCs w:val="20"/>
          <w:lang w:val="es-VE"/>
        </w:rPr>
        <w:t xml:space="preserve">. </w:t>
      </w:r>
    </w:p>
    <w:p w14:paraId="4047E487" w14:textId="77777777" w:rsidR="00F50CA8" w:rsidRPr="009D1618" w:rsidRDefault="00F50CA8" w:rsidP="00F50C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2116EC2E" w14:textId="77777777" w:rsidR="00F50CA8" w:rsidRPr="009D1618" w:rsidRDefault="00AC6D1C"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El 10 de febrero </w:t>
      </w:r>
      <w:r w:rsidR="00AA087A" w:rsidRPr="009D1618">
        <w:rPr>
          <w:rFonts w:ascii="Cambria" w:eastAsia="Times New Roman" w:hAnsi="Cambria" w:cs="Courier New"/>
          <w:sz w:val="20"/>
          <w:szCs w:val="20"/>
          <w:bdr w:val="none" w:sz="0" w:space="0" w:color="auto"/>
          <w:lang w:val="es-ES"/>
        </w:rPr>
        <w:t>de 1997</w:t>
      </w:r>
      <w:r w:rsidR="00502973" w:rsidRPr="009D1618">
        <w:rPr>
          <w:rFonts w:ascii="Cambria" w:eastAsia="Times New Roman" w:hAnsi="Cambria" w:cs="Courier New"/>
          <w:i/>
          <w:sz w:val="20"/>
          <w:szCs w:val="20"/>
          <w:bdr w:val="none" w:sz="0" w:space="0" w:color="auto"/>
          <w:lang w:val="es-ES"/>
        </w:rPr>
        <w:t xml:space="preserve"> </w:t>
      </w:r>
      <w:r w:rsidR="008D0A1E" w:rsidRPr="009D1618">
        <w:rPr>
          <w:rFonts w:ascii="Cambria" w:eastAsia="Times New Roman" w:hAnsi="Cambria" w:cs="Courier New"/>
          <w:sz w:val="20"/>
          <w:szCs w:val="20"/>
          <w:bdr w:val="none" w:sz="0" w:space="0" w:color="auto"/>
          <w:lang w:val="es-ES"/>
        </w:rPr>
        <w:t xml:space="preserve">la Cámara Penal de la Corte Suprema de Justicia </w:t>
      </w:r>
      <w:r w:rsidR="008337BE" w:rsidRPr="009D1618">
        <w:rPr>
          <w:rFonts w:ascii="Cambria" w:eastAsia="Times New Roman" w:hAnsi="Cambria" w:cs="Courier New"/>
          <w:sz w:val="20"/>
          <w:szCs w:val="20"/>
          <w:bdr w:val="none" w:sz="0" w:space="0" w:color="auto"/>
          <w:lang w:val="es-ES"/>
        </w:rPr>
        <w:t>declaró sin lugar los recursos de casación interpuestos</w:t>
      </w:r>
      <w:r w:rsidR="0064298C" w:rsidRPr="009D1618">
        <w:rPr>
          <w:rStyle w:val="FootnoteReference"/>
          <w:rFonts w:ascii="Cambria" w:eastAsia="Times New Roman" w:hAnsi="Cambria" w:cs="Courier New"/>
          <w:sz w:val="20"/>
          <w:szCs w:val="20"/>
          <w:bdr w:val="none" w:sz="0" w:space="0" w:color="auto"/>
          <w:lang w:val="es-ES"/>
        </w:rPr>
        <w:footnoteReference w:id="46"/>
      </w:r>
      <w:r w:rsidR="008337BE" w:rsidRPr="009D1618">
        <w:rPr>
          <w:rFonts w:ascii="Cambria" w:eastAsia="Times New Roman" w:hAnsi="Cambria" w:cs="Courier New"/>
          <w:sz w:val="20"/>
          <w:szCs w:val="20"/>
          <w:bdr w:val="none" w:sz="0" w:space="0" w:color="auto"/>
          <w:lang w:val="es-ES"/>
        </w:rPr>
        <w:t xml:space="preserve">. </w:t>
      </w:r>
    </w:p>
    <w:p w14:paraId="076F7216" w14:textId="77777777" w:rsidR="00F50CA8" w:rsidRPr="009D1618" w:rsidRDefault="00F50CA8" w:rsidP="00F50CA8">
      <w:pPr>
        <w:pStyle w:val="ListParagraph"/>
        <w:rPr>
          <w:rFonts w:eastAsia="Times New Roman" w:cs="Courier New"/>
          <w:sz w:val="20"/>
          <w:szCs w:val="20"/>
          <w:bdr w:val="none" w:sz="0" w:space="0" w:color="auto"/>
          <w:lang w:val="es-ES"/>
        </w:rPr>
      </w:pPr>
    </w:p>
    <w:p w14:paraId="59787382" w14:textId="77777777" w:rsidR="00C436C1" w:rsidRPr="009D1618" w:rsidRDefault="00416EFD" w:rsidP="00C436C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Tribunal declaró que en los tres casos las presuntas víctimas no cumplieron con las formalidades propias del recurso de casación</w:t>
      </w:r>
      <w:r w:rsidR="005306E1" w:rsidRPr="009D1618">
        <w:rPr>
          <w:rFonts w:ascii="Cambria" w:eastAsia="Times New Roman" w:hAnsi="Cambria" w:cs="Courier New"/>
          <w:sz w:val="20"/>
          <w:szCs w:val="20"/>
          <w:bdr w:val="none" w:sz="0" w:space="0" w:color="auto"/>
          <w:lang w:val="es-ES"/>
        </w:rPr>
        <w:t xml:space="preserve"> y</w:t>
      </w:r>
      <w:r w:rsidR="0064298C" w:rsidRPr="009D1618">
        <w:rPr>
          <w:rFonts w:ascii="Cambria" w:eastAsia="Times New Roman" w:hAnsi="Cambria" w:cs="Courier New"/>
          <w:sz w:val="20"/>
          <w:szCs w:val="20"/>
          <w:bdr w:val="none" w:sz="0" w:space="0" w:color="auto"/>
          <w:lang w:val="es-ES"/>
        </w:rPr>
        <w:t xml:space="preserve"> omitieron presentar por </w:t>
      </w:r>
      <w:r w:rsidRPr="009D1618">
        <w:rPr>
          <w:rFonts w:ascii="Cambria" w:eastAsia="Times New Roman" w:hAnsi="Cambria" w:cs="Courier New"/>
          <w:sz w:val="20"/>
          <w:szCs w:val="20"/>
          <w:bdr w:val="none" w:sz="0" w:space="0" w:color="auto"/>
          <w:lang w:val="es-ES"/>
        </w:rPr>
        <w:t xml:space="preserve">escrito los motivos de la impugnación ni </w:t>
      </w:r>
      <w:r w:rsidR="00CD73B3" w:rsidRPr="009D1618">
        <w:rPr>
          <w:rFonts w:ascii="Cambria" w:eastAsia="Times New Roman" w:hAnsi="Cambria" w:cs="Courier New"/>
          <w:sz w:val="20"/>
          <w:szCs w:val="20"/>
          <w:bdr w:val="none" w:sz="0" w:space="0" w:color="auto"/>
          <w:lang w:val="es-ES"/>
        </w:rPr>
        <w:t>los suministraro</w:t>
      </w:r>
      <w:r w:rsidR="005E0415" w:rsidRPr="009D1618">
        <w:rPr>
          <w:rFonts w:ascii="Cambria" w:eastAsia="Times New Roman" w:hAnsi="Cambria" w:cs="Courier New"/>
          <w:sz w:val="20"/>
          <w:szCs w:val="20"/>
          <w:bdr w:val="none" w:sz="0" w:space="0" w:color="auto"/>
          <w:lang w:val="es-ES"/>
        </w:rPr>
        <w:t>n en la</w:t>
      </w:r>
      <w:r w:rsidRPr="009D1618">
        <w:rPr>
          <w:rFonts w:ascii="Cambria" w:eastAsia="Times New Roman" w:hAnsi="Cambria" w:cs="Courier New"/>
          <w:sz w:val="20"/>
          <w:szCs w:val="20"/>
          <w:bdr w:val="none" w:sz="0" w:space="0" w:color="auto"/>
          <w:lang w:val="es-ES"/>
        </w:rPr>
        <w:t xml:space="preserve"> oportunidad que la ley procesal determina. </w:t>
      </w:r>
      <w:r w:rsidR="00DB6960" w:rsidRPr="009D1618">
        <w:rPr>
          <w:rFonts w:ascii="Cambria" w:eastAsia="Times New Roman" w:hAnsi="Cambria" w:cs="Courier New"/>
          <w:sz w:val="20"/>
          <w:szCs w:val="20"/>
          <w:bdr w:val="none" w:sz="0" w:space="0" w:color="auto"/>
          <w:lang w:val="es-ES"/>
        </w:rPr>
        <w:t xml:space="preserve">No obstante, indicó que </w:t>
      </w:r>
      <w:r w:rsidR="0064298C" w:rsidRPr="009D1618">
        <w:rPr>
          <w:rFonts w:ascii="Cambria" w:eastAsia="Times New Roman" w:hAnsi="Cambria" w:cs="Courier New"/>
          <w:sz w:val="20"/>
          <w:szCs w:val="20"/>
          <w:bdr w:val="none" w:sz="0" w:space="0" w:color="auto"/>
          <w:lang w:val="es-ES"/>
        </w:rPr>
        <w:t>procede el análisis de oficio de la sentencia recurrida</w:t>
      </w:r>
      <w:r w:rsidR="00C22E44" w:rsidRPr="009D1618">
        <w:rPr>
          <w:rFonts w:ascii="Cambria" w:eastAsia="Times New Roman" w:hAnsi="Cambria" w:cs="Courier New"/>
          <w:sz w:val="20"/>
          <w:szCs w:val="20"/>
          <w:bdr w:val="none" w:sz="0" w:space="0" w:color="auto"/>
          <w:lang w:val="es-ES"/>
        </w:rPr>
        <w:t>,</w:t>
      </w:r>
      <w:r w:rsidR="0064298C" w:rsidRPr="009D1618">
        <w:rPr>
          <w:rFonts w:ascii="Cambria" w:eastAsia="Times New Roman" w:hAnsi="Cambria" w:cs="Courier New"/>
          <w:sz w:val="20"/>
          <w:szCs w:val="20"/>
          <w:bdr w:val="none" w:sz="0" w:space="0" w:color="auto"/>
          <w:lang w:val="es-ES"/>
        </w:rPr>
        <w:t xml:space="preserve"> por cuanto en la sentencia de segunda instancia se</w:t>
      </w:r>
      <w:r w:rsidR="002412D2" w:rsidRPr="009D1618">
        <w:rPr>
          <w:rFonts w:ascii="Cambria" w:eastAsia="Times New Roman" w:hAnsi="Cambria" w:cs="Courier New"/>
          <w:sz w:val="20"/>
          <w:szCs w:val="20"/>
          <w:bdr w:val="none" w:sz="0" w:space="0" w:color="auto"/>
          <w:lang w:val="es-ES"/>
        </w:rPr>
        <w:t xml:space="preserve"> ratificó</w:t>
      </w:r>
      <w:r w:rsidR="0064298C" w:rsidRPr="009D1618">
        <w:rPr>
          <w:rFonts w:ascii="Cambria" w:eastAsia="Times New Roman" w:hAnsi="Cambria" w:cs="Courier New"/>
          <w:sz w:val="20"/>
          <w:szCs w:val="20"/>
          <w:bdr w:val="none" w:sz="0" w:space="0" w:color="auto"/>
          <w:lang w:val="es-ES"/>
        </w:rPr>
        <w:t xml:space="preserve"> la pena de muerte. </w:t>
      </w:r>
      <w:r w:rsidR="00CD7561" w:rsidRPr="009D1618">
        <w:rPr>
          <w:rFonts w:ascii="Cambria" w:eastAsia="Times New Roman" w:hAnsi="Cambria" w:cs="Courier New"/>
          <w:sz w:val="20"/>
          <w:szCs w:val="20"/>
          <w:bdr w:val="none" w:sz="0" w:space="0" w:color="auto"/>
          <w:lang w:val="es-ES"/>
        </w:rPr>
        <w:t>En virtud de lo anterior, el Tribunal analizó los motivos de forma y de fondo del recurso de casación</w:t>
      </w:r>
      <w:r w:rsidR="004127C5" w:rsidRPr="009D1618">
        <w:rPr>
          <w:rStyle w:val="FootnoteReference"/>
          <w:rFonts w:ascii="Cambria" w:eastAsia="Times New Roman" w:hAnsi="Cambria" w:cs="Courier New"/>
          <w:sz w:val="20"/>
          <w:szCs w:val="20"/>
          <w:bdr w:val="none" w:sz="0" w:space="0" w:color="auto"/>
          <w:lang w:val="es-ES"/>
        </w:rPr>
        <w:footnoteReference w:id="47"/>
      </w:r>
      <w:r w:rsidR="00CD7561" w:rsidRPr="009D1618">
        <w:rPr>
          <w:rFonts w:ascii="Cambria" w:eastAsia="Times New Roman" w:hAnsi="Cambria" w:cs="Courier New"/>
          <w:sz w:val="20"/>
          <w:szCs w:val="20"/>
          <w:bdr w:val="none" w:sz="0" w:space="0" w:color="auto"/>
          <w:lang w:val="es-ES"/>
        </w:rPr>
        <w:t xml:space="preserve">. </w:t>
      </w:r>
    </w:p>
    <w:p w14:paraId="7CF420EF" w14:textId="77777777" w:rsidR="004F67E1" w:rsidRPr="009D1618" w:rsidRDefault="00CD7561"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lastRenderedPageBreak/>
        <w:t>Al analizar el motivo de casaci</w:t>
      </w:r>
      <w:r w:rsidR="004F67E1" w:rsidRPr="009D1618">
        <w:rPr>
          <w:rFonts w:ascii="Cambria" w:eastAsia="Times New Roman" w:hAnsi="Cambria" w:cs="Courier New"/>
          <w:sz w:val="20"/>
          <w:szCs w:val="20"/>
          <w:bdr w:val="none" w:sz="0" w:space="0" w:color="auto"/>
          <w:lang w:val="es-ES"/>
        </w:rPr>
        <w:t>ón de forma</w:t>
      </w:r>
      <w:r w:rsidRPr="009D1618">
        <w:rPr>
          <w:rFonts w:ascii="Cambria" w:eastAsia="Times New Roman" w:hAnsi="Cambria" w:cs="Courier New"/>
          <w:sz w:val="20"/>
          <w:szCs w:val="20"/>
          <w:bdr w:val="none" w:sz="0" w:space="0" w:color="auto"/>
          <w:lang w:val="es-ES"/>
        </w:rPr>
        <w:t xml:space="preserve"> </w:t>
      </w:r>
      <w:r w:rsidR="00C61B5E" w:rsidRPr="009D1618">
        <w:rPr>
          <w:rFonts w:ascii="Cambria" w:eastAsia="Times New Roman" w:hAnsi="Cambria" w:cs="Courier New"/>
          <w:sz w:val="20"/>
          <w:szCs w:val="20"/>
          <w:bdr w:val="none" w:sz="0" w:space="0" w:color="auto"/>
          <w:lang w:val="es-ES"/>
        </w:rPr>
        <w:t xml:space="preserve">relativo a </w:t>
      </w:r>
      <w:r w:rsidRPr="009D1618">
        <w:rPr>
          <w:rFonts w:ascii="Cambria" w:eastAsia="Times New Roman" w:hAnsi="Cambria" w:cs="Courier New"/>
          <w:sz w:val="20"/>
          <w:szCs w:val="20"/>
          <w:bdr w:val="none" w:sz="0" w:space="0" w:color="auto"/>
          <w:lang w:val="es-ES"/>
        </w:rPr>
        <w:t xml:space="preserve">que </w:t>
      </w:r>
      <w:r w:rsidR="004F67E1" w:rsidRPr="009D1618">
        <w:rPr>
          <w:rFonts w:ascii="Cambria" w:eastAsia="Times New Roman" w:hAnsi="Cambria" w:cs="Courier New"/>
          <w:sz w:val="20"/>
          <w:szCs w:val="20"/>
          <w:bdr w:val="none" w:sz="0" w:space="0" w:color="auto"/>
          <w:lang w:val="es-ES"/>
        </w:rPr>
        <w:t>“la sentencia no expresó de manera concluyente los hechos que el juzgador tuvo como probados y los fundamentos de la sana crítica”</w:t>
      </w:r>
      <w:r w:rsidR="00B82668" w:rsidRPr="009D1618">
        <w:rPr>
          <w:rFonts w:ascii="Cambria" w:eastAsia="Times New Roman" w:hAnsi="Cambria" w:cs="Courier New"/>
          <w:sz w:val="20"/>
          <w:szCs w:val="20"/>
          <w:bdr w:val="none" w:sz="0" w:space="0" w:color="auto"/>
          <w:lang w:val="es-ES"/>
        </w:rPr>
        <w:t>,</w:t>
      </w:r>
      <w:r w:rsidR="004F67E1" w:rsidRPr="009D1618">
        <w:rPr>
          <w:rFonts w:ascii="Cambria" w:eastAsia="Times New Roman" w:hAnsi="Cambria" w:cs="Courier New"/>
          <w:sz w:val="20"/>
          <w:szCs w:val="20"/>
          <w:bdr w:val="none" w:sz="0" w:space="0" w:color="auto"/>
          <w:lang w:val="es-ES"/>
        </w:rPr>
        <w:t xml:space="preserve"> el </w:t>
      </w:r>
      <w:r w:rsidR="00B82668" w:rsidRPr="009D1618">
        <w:rPr>
          <w:rFonts w:ascii="Cambria" w:eastAsia="Times New Roman" w:hAnsi="Cambria" w:cs="Courier New"/>
          <w:sz w:val="20"/>
          <w:szCs w:val="20"/>
          <w:bdr w:val="none" w:sz="0" w:space="0" w:color="auto"/>
          <w:lang w:val="es-ES"/>
        </w:rPr>
        <w:t>T</w:t>
      </w:r>
      <w:r w:rsidR="00C436C1" w:rsidRPr="009D1618">
        <w:rPr>
          <w:rFonts w:ascii="Cambria" w:eastAsia="Times New Roman" w:hAnsi="Cambria" w:cs="Courier New"/>
          <w:sz w:val="20"/>
          <w:szCs w:val="20"/>
          <w:bdr w:val="none" w:sz="0" w:space="0" w:color="auto"/>
          <w:lang w:val="es-ES"/>
        </w:rPr>
        <w:t>ribunal estimó</w:t>
      </w:r>
      <w:r w:rsidR="004F67E1" w:rsidRPr="009D1618">
        <w:rPr>
          <w:rFonts w:ascii="Cambria" w:eastAsia="Times New Roman" w:hAnsi="Cambria" w:cs="Courier New"/>
          <w:sz w:val="20"/>
          <w:szCs w:val="20"/>
          <w:bdr w:val="none" w:sz="0" w:space="0" w:color="auto"/>
          <w:lang w:val="es-ES"/>
        </w:rPr>
        <w:t xml:space="preserve"> que “la sentencia recurrida se limitó a confirmar el fallo pronunciado en primer grado, sin hacer pronunciamiento alguno sobre los hechos tenidos por probados, ni tampoco sobre los fundamentos de la sana crítica que para el efecto se tomaron en cuenta en dicha resolución; en consecuencia, este motivo de casación de forma también deviene improcedente”. </w:t>
      </w:r>
      <w:r w:rsidR="0036249D" w:rsidRPr="009D1618">
        <w:rPr>
          <w:rFonts w:ascii="Cambria" w:eastAsia="Times New Roman" w:hAnsi="Cambria" w:cs="Courier New"/>
          <w:sz w:val="20"/>
          <w:szCs w:val="20"/>
          <w:bdr w:val="none" w:sz="0" w:space="0" w:color="auto"/>
          <w:lang w:val="es-ES"/>
        </w:rPr>
        <w:t xml:space="preserve">Asimismo, al examinar el motivo de fondo </w:t>
      </w:r>
      <w:r w:rsidR="00B82668" w:rsidRPr="009D1618">
        <w:rPr>
          <w:rFonts w:ascii="Cambria" w:eastAsia="Times New Roman" w:hAnsi="Cambria" w:cs="Courier New"/>
          <w:sz w:val="20"/>
          <w:szCs w:val="20"/>
          <w:bdr w:val="none" w:sz="0" w:space="0" w:color="auto"/>
          <w:lang w:val="es-ES"/>
        </w:rPr>
        <w:t xml:space="preserve">relativo a </w:t>
      </w:r>
      <w:r w:rsidR="0036249D" w:rsidRPr="009D1618">
        <w:rPr>
          <w:rFonts w:ascii="Cambria" w:eastAsia="Times New Roman" w:hAnsi="Cambria" w:cs="Courier New"/>
          <w:sz w:val="20"/>
          <w:szCs w:val="20"/>
          <w:bdr w:val="none" w:sz="0" w:space="0" w:color="auto"/>
          <w:lang w:val="es-ES"/>
        </w:rPr>
        <w:t>que “la sentencia tiene por acreditado un hecho decisivo para absolver, condenar, atenuar o agravar la</w:t>
      </w:r>
      <w:r w:rsidR="006618BC" w:rsidRPr="009D1618">
        <w:rPr>
          <w:rFonts w:ascii="Cambria" w:eastAsia="Times New Roman" w:hAnsi="Cambria" w:cs="Courier New"/>
          <w:sz w:val="20"/>
          <w:szCs w:val="20"/>
          <w:bdr w:val="none" w:sz="0" w:space="0" w:color="auto"/>
          <w:lang w:val="es-ES"/>
        </w:rPr>
        <w:t xml:space="preserve"> pena, sin que se haya tenido p</w:t>
      </w:r>
      <w:r w:rsidR="0036249D" w:rsidRPr="009D1618">
        <w:rPr>
          <w:rFonts w:ascii="Cambria" w:eastAsia="Times New Roman" w:hAnsi="Cambria" w:cs="Courier New"/>
          <w:sz w:val="20"/>
          <w:szCs w:val="20"/>
          <w:bdr w:val="none" w:sz="0" w:space="0" w:color="auto"/>
          <w:lang w:val="es-ES"/>
        </w:rPr>
        <w:t>o</w:t>
      </w:r>
      <w:r w:rsidR="006618BC" w:rsidRPr="009D1618">
        <w:rPr>
          <w:rFonts w:ascii="Cambria" w:eastAsia="Times New Roman" w:hAnsi="Cambria" w:cs="Courier New"/>
          <w:sz w:val="20"/>
          <w:szCs w:val="20"/>
          <w:bdr w:val="none" w:sz="0" w:space="0" w:color="auto"/>
          <w:lang w:val="es-ES"/>
        </w:rPr>
        <w:t>r</w:t>
      </w:r>
      <w:r w:rsidR="0036249D" w:rsidRPr="009D1618">
        <w:rPr>
          <w:rFonts w:ascii="Cambria" w:eastAsia="Times New Roman" w:hAnsi="Cambria" w:cs="Courier New"/>
          <w:sz w:val="20"/>
          <w:szCs w:val="20"/>
          <w:bdr w:val="none" w:sz="0" w:space="0" w:color="auto"/>
          <w:lang w:val="es-ES"/>
        </w:rPr>
        <w:t xml:space="preserve"> probado tal hecho en el tribunal de sentencia”, el Tribunal estimó que la </w:t>
      </w:r>
      <w:r w:rsidR="002B1698" w:rsidRPr="009D1618">
        <w:rPr>
          <w:rFonts w:ascii="Cambria" w:eastAsia="Times New Roman" w:hAnsi="Cambria" w:cs="Courier New"/>
          <w:sz w:val="20"/>
          <w:szCs w:val="20"/>
          <w:bdr w:val="none" w:sz="0" w:space="0" w:color="auto"/>
          <w:lang w:val="es-ES"/>
        </w:rPr>
        <w:t>S</w:t>
      </w:r>
      <w:r w:rsidR="0036249D" w:rsidRPr="009D1618">
        <w:rPr>
          <w:rFonts w:ascii="Cambria" w:eastAsia="Times New Roman" w:hAnsi="Cambria" w:cs="Courier New"/>
          <w:sz w:val="20"/>
          <w:szCs w:val="20"/>
          <w:bdr w:val="none" w:sz="0" w:space="0" w:color="auto"/>
          <w:lang w:val="es-ES"/>
        </w:rPr>
        <w:t xml:space="preserve">ala respetó íntegramente los hechos que el tribunal de sentencia tuvo por probados. </w:t>
      </w:r>
      <w:r w:rsidR="002B1698" w:rsidRPr="009D1618">
        <w:rPr>
          <w:rFonts w:ascii="Cambria" w:eastAsia="Times New Roman" w:hAnsi="Cambria" w:cs="Courier New"/>
          <w:sz w:val="20"/>
          <w:szCs w:val="20"/>
          <w:bdr w:val="none" w:sz="0" w:space="0" w:color="auto"/>
          <w:lang w:val="es-ES"/>
        </w:rPr>
        <w:t>Agregó que la Sala t</w:t>
      </w:r>
      <w:r w:rsidR="0036249D" w:rsidRPr="009D1618">
        <w:rPr>
          <w:rFonts w:ascii="Cambria" w:eastAsia="Times New Roman" w:hAnsi="Cambria" w:cs="Courier New"/>
          <w:sz w:val="20"/>
          <w:szCs w:val="20"/>
          <w:bdr w:val="none" w:sz="0" w:space="0" w:color="auto"/>
          <w:lang w:val="es-ES"/>
        </w:rPr>
        <w:t>ampoco dio por acreditado otro hecho decisivo distinto a los que tuvo por probados el Tribunal de Sentencia y que hubiese servido para absolver, condenar, atenuar o agravar la pena impuesta a los tres condenados, por lo que no pudo haber cometido el error al cual hace referencia este inciso de la ley</w:t>
      </w:r>
      <w:r w:rsidR="0036249D" w:rsidRPr="009D1618">
        <w:rPr>
          <w:rStyle w:val="FootnoteReference"/>
          <w:rFonts w:ascii="Cambria" w:eastAsia="Times New Roman" w:hAnsi="Cambria" w:cs="Courier New"/>
          <w:sz w:val="20"/>
          <w:szCs w:val="20"/>
          <w:bdr w:val="none" w:sz="0" w:space="0" w:color="auto"/>
          <w:lang w:val="es-ES"/>
        </w:rPr>
        <w:footnoteReference w:id="48"/>
      </w:r>
      <w:r w:rsidR="0036249D" w:rsidRPr="009D1618">
        <w:rPr>
          <w:rFonts w:ascii="Cambria" w:eastAsia="Times New Roman" w:hAnsi="Cambria" w:cs="Courier New"/>
          <w:sz w:val="20"/>
          <w:szCs w:val="20"/>
          <w:bdr w:val="none" w:sz="0" w:space="0" w:color="auto"/>
          <w:lang w:val="es-ES"/>
        </w:rPr>
        <w:t xml:space="preserve">. </w:t>
      </w:r>
    </w:p>
    <w:p w14:paraId="3CA06171" w14:textId="77777777" w:rsidR="0036249D" w:rsidRPr="009D1618" w:rsidRDefault="0036249D" w:rsidP="0036249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6FC70630" w14:textId="77777777" w:rsidR="00F74322" w:rsidRPr="009D1618" w:rsidRDefault="00C4162A"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sz w:val="20"/>
          <w:szCs w:val="20"/>
          <w:lang w:val="es-VE"/>
        </w:rPr>
      </w:pPr>
      <w:r w:rsidRPr="009D1618">
        <w:rPr>
          <w:rFonts w:ascii="Cambria" w:eastAsia="Times New Roman" w:hAnsi="Cambria" w:cs="Courier New"/>
          <w:sz w:val="20"/>
          <w:szCs w:val="20"/>
          <w:bdr w:val="none" w:sz="0" w:space="0" w:color="auto"/>
          <w:lang w:val="es-ES"/>
        </w:rPr>
        <w:t xml:space="preserve">El Tribunal concluyó que </w:t>
      </w:r>
      <w:r w:rsidR="00DB6960" w:rsidRPr="009D1618">
        <w:rPr>
          <w:rFonts w:ascii="Cambria" w:eastAsia="Times New Roman" w:hAnsi="Cambria" w:cs="Courier New"/>
          <w:sz w:val="20"/>
          <w:szCs w:val="20"/>
          <w:u w:color="000000"/>
          <w:bdr w:val="none" w:sz="0" w:space="0" w:color="auto"/>
          <w:lang w:val="es-ES" w:eastAsia="es-ES"/>
        </w:rPr>
        <w:t>en la condena de los recurrentes se observaron los derechos y garantía</w:t>
      </w:r>
      <w:r w:rsidR="00CE5DB7" w:rsidRPr="009D1618">
        <w:rPr>
          <w:rFonts w:ascii="Cambria" w:eastAsia="Times New Roman" w:hAnsi="Cambria" w:cs="Courier New"/>
          <w:sz w:val="20"/>
          <w:szCs w:val="20"/>
          <w:u w:color="000000"/>
          <w:bdr w:val="none" w:sz="0" w:space="0" w:color="auto"/>
          <w:lang w:val="es-ES" w:eastAsia="es-ES"/>
        </w:rPr>
        <w:t>s</w:t>
      </w:r>
      <w:r w:rsidR="00DB6960" w:rsidRPr="009D1618">
        <w:rPr>
          <w:rFonts w:ascii="Cambria" w:eastAsia="Times New Roman" w:hAnsi="Cambria" w:cs="Courier New"/>
          <w:sz w:val="20"/>
          <w:szCs w:val="20"/>
          <w:u w:color="000000"/>
          <w:bdr w:val="none" w:sz="0" w:space="0" w:color="auto"/>
          <w:lang w:val="es-ES" w:eastAsia="es-ES"/>
        </w:rPr>
        <w:t xml:space="preserve"> previst</w:t>
      </w:r>
      <w:r w:rsidR="001F1723" w:rsidRPr="009D1618">
        <w:rPr>
          <w:rFonts w:ascii="Cambria" w:eastAsia="Times New Roman" w:hAnsi="Cambria" w:cs="Courier New"/>
          <w:sz w:val="20"/>
          <w:szCs w:val="20"/>
          <w:u w:color="000000"/>
          <w:bdr w:val="none" w:sz="0" w:space="0" w:color="auto"/>
          <w:lang w:val="es-ES" w:eastAsia="es-ES"/>
        </w:rPr>
        <w:t>a</w:t>
      </w:r>
      <w:r w:rsidR="00DB6960" w:rsidRPr="009D1618">
        <w:rPr>
          <w:rFonts w:ascii="Cambria" w:eastAsia="Times New Roman" w:hAnsi="Cambria" w:cs="Courier New"/>
          <w:sz w:val="20"/>
          <w:szCs w:val="20"/>
          <w:u w:color="000000"/>
          <w:bdr w:val="none" w:sz="0" w:space="0" w:color="auto"/>
          <w:lang w:val="es-ES" w:eastAsia="es-ES"/>
        </w:rPr>
        <w:t xml:space="preserve">s </w:t>
      </w:r>
      <w:r w:rsidR="0064298C" w:rsidRPr="009D1618">
        <w:rPr>
          <w:rFonts w:ascii="Cambria" w:eastAsia="Times New Roman" w:hAnsi="Cambria" w:cs="Courier New"/>
          <w:sz w:val="20"/>
          <w:szCs w:val="20"/>
          <w:u w:color="000000"/>
          <w:bdr w:val="none" w:sz="0" w:space="0" w:color="auto"/>
          <w:lang w:val="es-ES" w:eastAsia="es-ES"/>
        </w:rPr>
        <w:t>por la Constitución</w:t>
      </w:r>
      <w:r w:rsidRPr="009D1618">
        <w:rPr>
          <w:rFonts w:ascii="Cambria" w:eastAsia="Times New Roman" w:hAnsi="Cambria" w:cs="Courier New"/>
          <w:sz w:val="20"/>
          <w:szCs w:val="20"/>
          <w:u w:color="000000"/>
          <w:bdr w:val="none" w:sz="0" w:space="0" w:color="auto"/>
          <w:lang w:val="es-ES" w:eastAsia="es-ES"/>
        </w:rPr>
        <w:t xml:space="preserve">. </w:t>
      </w:r>
      <w:r w:rsidR="001F1723" w:rsidRPr="009D1618">
        <w:rPr>
          <w:rFonts w:ascii="Cambria" w:eastAsia="Times New Roman" w:hAnsi="Cambria" w:cs="Courier New"/>
          <w:sz w:val="20"/>
          <w:szCs w:val="20"/>
          <w:u w:color="000000"/>
          <w:bdr w:val="none" w:sz="0" w:space="0" w:color="auto"/>
          <w:lang w:val="es-ES" w:eastAsia="es-ES"/>
        </w:rPr>
        <w:t xml:space="preserve">Agregó que </w:t>
      </w:r>
      <w:r w:rsidRPr="009D1618">
        <w:rPr>
          <w:rFonts w:ascii="Cambria" w:eastAsia="Times New Roman" w:hAnsi="Cambria" w:cs="Courier New"/>
          <w:sz w:val="20"/>
          <w:szCs w:val="20"/>
          <w:u w:color="000000"/>
          <w:bdr w:val="none" w:sz="0" w:space="0" w:color="auto"/>
          <w:lang w:val="es-ES" w:eastAsia="es-ES"/>
        </w:rPr>
        <w:t>los condenados siempre tuvieron la oportunidad de defenderse de conformidad con la ley y</w:t>
      </w:r>
      <w:r w:rsidR="00421B08" w:rsidRPr="009D1618">
        <w:rPr>
          <w:rFonts w:ascii="Cambria" w:eastAsia="Times New Roman" w:hAnsi="Cambria" w:cs="Courier New"/>
          <w:sz w:val="20"/>
          <w:szCs w:val="20"/>
          <w:u w:color="000000"/>
          <w:bdr w:val="none" w:sz="0" w:space="0" w:color="auto"/>
          <w:lang w:val="es-ES" w:eastAsia="es-ES"/>
        </w:rPr>
        <w:t xml:space="preserve"> que</w:t>
      </w:r>
      <w:r w:rsidRPr="009D1618">
        <w:rPr>
          <w:rFonts w:ascii="Cambria" w:eastAsia="Times New Roman" w:hAnsi="Cambria" w:cs="Courier New"/>
          <w:sz w:val="20"/>
          <w:szCs w:val="20"/>
          <w:u w:color="000000"/>
          <w:bdr w:val="none" w:sz="0" w:space="0" w:color="auto"/>
          <w:lang w:val="es-ES" w:eastAsia="es-ES"/>
        </w:rPr>
        <w:t xml:space="preserve"> los tribunales a los cuales estuvieron sujetos, observaron todas las normas procesales relativas a la tramitación del juicio</w:t>
      </w:r>
      <w:r w:rsidR="007E50B5" w:rsidRPr="009D1618">
        <w:rPr>
          <w:rStyle w:val="FootnoteReference"/>
          <w:rFonts w:ascii="Cambria" w:eastAsia="Times New Roman" w:hAnsi="Cambria" w:cs="Courier New"/>
          <w:sz w:val="20"/>
          <w:szCs w:val="20"/>
          <w:bdr w:val="none" w:sz="0" w:space="0" w:color="auto"/>
          <w:lang w:val="es-ES"/>
        </w:rPr>
        <w:footnoteReference w:id="49"/>
      </w:r>
      <w:r w:rsidR="0064298C" w:rsidRPr="009D1618">
        <w:rPr>
          <w:rFonts w:ascii="Cambria" w:eastAsia="Times New Roman" w:hAnsi="Cambria" w:cs="Courier New"/>
          <w:sz w:val="20"/>
          <w:szCs w:val="20"/>
          <w:u w:color="000000"/>
          <w:bdr w:val="none" w:sz="0" w:space="0" w:color="auto"/>
          <w:lang w:val="es-ES" w:eastAsia="es-ES"/>
        </w:rPr>
        <w:t xml:space="preserve">. </w:t>
      </w:r>
    </w:p>
    <w:p w14:paraId="41454CFC" w14:textId="77777777" w:rsidR="00C4162A" w:rsidRPr="009D1618" w:rsidRDefault="00C4162A" w:rsidP="0054100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p>
    <w:p w14:paraId="1AA7289B" w14:textId="77777777" w:rsidR="00374692" w:rsidRPr="009D1618" w:rsidRDefault="00374692"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 xml:space="preserve">Recurso de </w:t>
      </w:r>
      <w:r w:rsidR="00624B36" w:rsidRPr="009D1618">
        <w:rPr>
          <w:rFonts w:eastAsia="Times New Roman" w:cs="Courier New"/>
          <w:b/>
          <w:color w:val="auto"/>
          <w:sz w:val="20"/>
          <w:szCs w:val="20"/>
          <w:bdr w:val="none" w:sz="0" w:space="0" w:color="auto"/>
          <w:lang w:val="es-ES"/>
        </w:rPr>
        <w:t>amparo</w:t>
      </w:r>
    </w:p>
    <w:p w14:paraId="19CD799C" w14:textId="77777777" w:rsidR="00624B36" w:rsidRPr="009D1618" w:rsidRDefault="00624B36" w:rsidP="00624B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p>
    <w:p w14:paraId="7ABF0B18" w14:textId="77777777" w:rsidR="00F50CA8" w:rsidRPr="009D1618" w:rsidRDefault="00E23870"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u w:color="000000"/>
          <w:bdr w:val="none" w:sz="0" w:space="0" w:color="auto"/>
          <w:lang w:val="es-ES" w:eastAsia="es-ES"/>
        </w:rPr>
      </w:pPr>
      <w:r w:rsidRPr="009D1618">
        <w:rPr>
          <w:rFonts w:ascii="Cambria" w:eastAsia="Times New Roman" w:hAnsi="Cambria" w:cs="Courier New"/>
          <w:sz w:val="20"/>
          <w:szCs w:val="20"/>
          <w:u w:color="000000"/>
          <w:bdr w:val="none" w:sz="0" w:space="0" w:color="auto"/>
          <w:lang w:val="es-ES" w:eastAsia="es-ES"/>
        </w:rPr>
        <w:t xml:space="preserve">El 14 de marzo de 1997 las presuntas víctimas interpusieron un recurso de amparo en contra de la sentencia que denegó los recursos de casación, ante la Corte de Constitucionalidad. </w:t>
      </w:r>
    </w:p>
    <w:p w14:paraId="0E19851E" w14:textId="77777777" w:rsidR="00F50CA8" w:rsidRPr="009D1618" w:rsidRDefault="00F50CA8"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2455"/>
        </w:tabs>
        <w:ind w:left="720"/>
        <w:jc w:val="both"/>
        <w:rPr>
          <w:rFonts w:ascii="Cambria" w:eastAsia="Times New Roman" w:hAnsi="Cambria" w:cs="Courier New"/>
          <w:sz w:val="20"/>
          <w:szCs w:val="20"/>
          <w:u w:color="000000"/>
          <w:bdr w:val="none" w:sz="0" w:space="0" w:color="auto"/>
          <w:lang w:val="es-ES" w:eastAsia="es-ES"/>
        </w:rPr>
      </w:pPr>
    </w:p>
    <w:p w14:paraId="04148ADF" w14:textId="77777777" w:rsidR="00374692" w:rsidRPr="009D1618" w:rsidRDefault="006114B3" w:rsidP="00B07E7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u w:color="000000"/>
          <w:bdr w:val="none" w:sz="0" w:space="0" w:color="auto"/>
          <w:lang w:val="es-ES" w:eastAsia="es-ES"/>
        </w:rPr>
      </w:pPr>
      <w:r w:rsidRPr="009D1618">
        <w:rPr>
          <w:rFonts w:ascii="Cambria" w:eastAsia="Times New Roman" w:hAnsi="Cambria" w:cs="Courier New"/>
          <w:sz w:val="20"/>
          <w:szCs w:val="20"/>
          <w:bdr w:val="none" w:sz="0" w:space="0" w:color="auto"/>
          <w:lang w:val="es-ES"/>
        </w:rPr>
        <w:t>El 18 de junio de 199</w:t>
      </w:r>
      <w:r w:rsidR="00714C80" w:rsidRPr="009D1618">
        <w:rPr>
          <w:rFonts w:ascii="Cambria" w:eastAsia="Times New Roman" w:hAnsi="Cambria" w:cs="Courier New"/>
          <w:sz w:val="20"/>
          <w:szCs w:val="20"/>
          <w:bdr w:val="none" w:sz="0" w:space="0" w:color="auto"/>
          <w:lang w:val="es-ES"/>
        </w:rPr>
        <w:t>7</w:t>
      </w:r>
      <w:r w:rsidR="00E23870" w:rsidRPr="009D1618">
        <w:rPr>
          <w:rFonts w:ascii="Cambria" w:eastAsia="Times New Roman" w:hAnsi="Cambria" w:cs="Courier New"/>
          <w:sz w:val="20"/>
          <w:szCs w:val="20"/>
          <w:bdr w:val="none" w:sz="0" w:space="0" w:color="auto"/>
          <w:lang w:val="es-ES"/>
        </w:rPr>
        <w:t xml:space="preserve">, </w:t>
      </w:r>
      <w:r w:rsidR="00E70DB4" w:rsidRPr="009D1618">
        <w:rPr>
          <w:rFonts w:ascii="Cambria" w:eastAsia="Times New Roman" w:hAnsi="Cambria" w:cs="Courier New"/>
          <w:sz w:val="20"/>
          <w:szCs w:val="20"/>
          <w:bdr w:val="none" w:sz="0" w:space="0" w:color="auto"/>
          <w:lang w:val="es-ES"/>
        </w:rPr>
        <w:t>la Corte de Constitucionalidad deneg</w:t>
      </w:r>
      <w:r w:rsidR="00CF581D" w:rsidRPr="009D1618">
        <w:rPr>
          <w:rFonts w:ascii="Cambria" w:eastAsia="Times New Roman" w:hAnsi="Cambria" w:cs="Courier New"/>
          <w:sz w:val="20"/>
          <w:szCs w:val="20"/>
          <w:bdr w:val="none" w:sz="0" w:space="0" w:color="auto"/>
          <w:lang w:val="es-ES"/>
        </w:rPr>
        <w:t>ó dicho recurso al estimar que “el acto reclamado no violó a los postulantes los derechos denunciados, y resolvió de conformi</w:t>
      </w:r>
      <w:r w:rsidR="007E50B5" w:rsidRPr="009D1618">
        <w:rPr>
          <w:rFonts w:ascii="Cambria" w:eastAsia="Times New Roman" w:hAnsi="Cambria" w:cs="Courier New"/>
          <w:sz w:val="20"/>
          <w:szCs w:val="20"/>
          <w:bdr w:val="none" w:sz="0" w:space="0" w:color="auto"/>
          <w:lang w:val="es-ES"/>
        </w:rPr>
        <w:t xml:space="preserve">dad con sus facultades </w:t>
      </w:r>
      <w:r w:rsidR="00CE5DB7" w:rsidRPr="009D1618">
        <w:rPr>
          <w:rFonts w:ascii="Cambria" w:eastAsia="Times New Roman" w:hAnsi="Cambria" w:cs="Courier New"/>
          <w:sz w:val="20"/>
          <w:szCs w:val="20"/>
          <w:bdr w:val="none" w:sz="0" w:space="0" w:color="auto"/>
          <w:lang w:val="es-ES"/>
        </w:rPr>
        <w:t>legales;</w:t>
      </w:r>
      <w:r w:rsidR="00C22E44" w:rsidRPr="009D1618">
        <w:rPr>
          <w:rFonts w:ascii="Cambria" w:eastAsia="Times New Roman" w:hAnsi="Cambria" w:cs="Courier New"/>
          <w:sz w:val="20"/>
          <w:szCs w:val="20"/>
          <w:bdr w:val="none" w:sz="0" w:space="0" w:color="auto"/>
          <w:lang w:val="es-ES"/>
        </w:rPr>
        <w:t xml:space="preserve"> </w:t>
      </w:r>
      <w:r w:rsidR="00261164" w:rsidRPr="009D1618">
        <w:rPr>
          <w:rFonts w:ascii="Cambria" w:eastAsia="Times New Roman" w:hAnsi="Cambria" w:cs="Courier New"/>
          <w:sz w:val="20"/>
          <w:szCs w:val="20"/>
          <w:bdr w:val="none" w:sz="0" w:space="0" w:color="auto"/>
          <w:lang w:val="es-ES"/>
        </w:rPr>
        <w:t>más</w:t>
      </w:r>
      <w:r w:rsidR="00CF581D" w:rsidRPr="009D1618">
        <w:rPr>
          <w:rFonts w:ascii="Cambria" w:eastAsia="Times New Roman" w:hAnsi="Cambria" w:cs="Courier New"/>
          <w:sz w:val="20"/>
          <w:szCs w:val="20"/>
          <w:bdr w:val="none" w:sz="0" w:space="0" w:color="auto"/>
          <w:lang w:val="es-ES"/>
        </w:rPr>
        <w:t xml:space="preserve"> bien, lo que se pretende, es que se revise a través del amparo la sentencia de casación lo que no le está permitido</w:t>
      </w:r>
      <w:r w:rsidR="00C22E44" w:rsidRPr="009D1618">
        <w:rPr>
          <w:rFonts w:ascii="Cambria" w:eastAsia="Times New Roman" w:hAnsi="Cambria" w:cs="Courier New"/>
          <w:sz w:val="20"/>
          <w:szCs w:val="20"/>
          <w:bdr w:val="none" w:sz="0" w:space="0" w:color="auto"/>
          <w:lang w:val="es-ES"/>
        </w:rPr>
        <w:t>, pues</w:t>
      </w:r>
      <w:r w:rsidR="00CF581D" w:rsidRPr="009D1618">
        <w:rPr>
          <w:rFonts w:ascii="Cambria" w:eastAsia="Times New Roman" w:hAnsi="Cambria" w:cs="Courier New"/>
          <w:sz w:val="20"/>
          <w:szCs w:val="20"/>
          <w:bdr w:val="none" w:sz="0" w:space="0" w:color="auto"/>
          <w:lang w:val="es-ES"/>
        </w:rPr>
        <w:t xml:space="preserve"> de conformidad con el artículo 203 de la Constitución, la potestad de juzgar y ejecutar lo juzgado corresponde con exclusividad a los tribunales de justicia, a los que compete valorar las proposiciones de fondo que es una facultad propia de la jurisdicción ordinaria”</w:t>
      </w:r>
      <w:r w:rsidR="00CF581D" w:rsidRPr="009D1618">
        <w:rPr>
          <w:rStyle w:val="FootnoteReference"/>
          <w:rFonts w:ascii="Cambria" w:eastAsia="Times New Roman" w:hAnsi="Cambria" w:cs="Courier New"/>
          <w:sz w:val="20"/>
          <w:szCs w:val="20"/>
          <w:bdr w:val="none" w:sz="0" w:space="0" w:color="auto"/>
          <w:lang w:val="es-ES"/>
        </w:rPr>
        <w:footnoteReference w:id="50"/>
      </w:r>
      <w:r w:rsidR="00CF581D" w:rsidRPr="009D1618">
        <w:rPr>
          <w:rFonts w:ascii="Cambria" w:eastAsia="Times New Roman" w:hAnsi="Cambria" w:cs="Courier New"/>
          <w:sz w:val="20"/>
          <w:szCs w:val="20"/>
          <w:bdr w:val="none" w:sz="0" w:space="0" w:color="auto"/>
          <w:lang w:val="es-ES"/>
        </w:rPr>
        <w:t xml:space="preserve">. </w:t>
      </w:r>
    </w:p>
    <w:p w14:paraId="23203E9E" w14:textId="77777777" w:rsidR="00821C2C" w:rsidRPr="009D1618" w:rsidRDefault="00821C2C" w:rsidP="001D6D7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eastAsia="Times New Roman" w:cs="Courier New"/>
          <w:b/>
          <w:color w:val="auto"/>
          <w:sz w:val="20"/>
          <w:szCs w:val="20"/>
          <w:bdr w:val="none" w:sz="0" w:space="0" w:color="auto"/>
          <w:lang w:val="es-ES"/>
        </w:rPr>
      </w:pPr>
    </w:p>
    <w:p w14:paraId="270EF051" w14:textId="77777777" w:rsidR="00893818" w:rsidRPr="009D1618" w:rsidRDefault="00893818"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Recurso de revisión</w:t>
      </w:r>
    </w:p>
    <w:p w14:paraId="032620C1" w14:textId="77777777" w:rsidR="00893818" w:rsidRPr="009D1618" w:rsidRDefault="00893818" w:rsidP="0089381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p>
    <w:p w14:paraId="68C350F8" w14:textId="77777777" w:rsidR="00F50CA8" w:rsidRPr="009D1618" w:rsidRDefault="007215FC"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Seg</w:t>
      </w:r>
      <w:r w:rsidR="007B41C9" w:rsidRPr="009D1618">
        <w:rPr>
          <w:rFonts w:ascii="Cambria" w:eastAsia="Times New Roman" w:hAnsi="Cambria" w:cs="Courier New"/>
          <w:sz w:val="20"/>
          <w:szCs w:val="20"/>
          <w:bdr w:val="none" w:sz="0" w:space="0" w:color="auto"/>
          <w:lang w:val="es-ES"/>
        </w:rPr>
        <w:t xml:space="preserve">ún informó el Estado, </w:t>
      </w:r>
      <w:r w:rsidRPr="009D1618">
        <w:rPr>
          <w:rFonts w:ascii="Cambria" w:eastAsia="Times New Roman" w:hAnsi="Cambria" w:cs="Courier New"/>
          <w:sz w:val="20"/>
          <w:szCs w:val="20"/>
          <w:bdr w:val="none" w:sz="0" w:space="0" w:color="auto"/>
          <w:lang w:val="es-ES"/>
        </w:rPr>
        <w:t>el 30 de julio de 1997 las presuntas víctimas presentaron un recurso de revisión de la sentencia de primer grado. El 18 de febrero de 1998 la Cámara Penal de la Corte Suprema de Justicia declaró sin lugar el recurso de revisión</w:t>
      </w:r>
      <w:r w:rsidR="00312979" w:rsidRPr="009D1618">
        <w:rPr>
          <w:rFonts w:ascii="Cambria" w:eastAsia="Times New Roman" w:hAnsi="Cambria" w:cs="Courier New"/>
          <w:sz w:val="20"/>
          <w:szCs w:val="20"/>
          <w:bdr w:val="none" w:sz="0" w:space="0" w:color="auto"/>
          <w:vertAlign w:val="superscript"/>
          <w:lang w:val="es-ES"/>
        </w:rPr>
        <w:footnoteReference w:id="51"/>
      </w:r>
      <w:r w:rsidRPr="009D1618">
        <w:rPr>
          <w:rFonts w:ascii="Cambria" w:eastAsia="Times New Roman" w:hAnsi="Cambria" w:cs="Courier New"/>
          <w:sz w:val="20"/>
          <w:szCs w:val="20"/>
          <w:bdr w:val="none" w:sz="0" w:space="0" w:color="auto"/>
          <w:lang w:val="es-ES"/>
        </w:rPr>
        <w:t xml:space="preserve">. </w:t>
      </w:r>
    </w:p>
    <w:p w14:paraId="28063787" w14:textId="77777777" w:rsidR="00F50CA8" w:rsidRPr="009D1618" w:rsidRDefault="00F50CA8" w:rsidP="00F50C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118D0313" w14:textId="77777777" w:rsidR="00F50CA8" w:rsidRPr="009D1618" w:rsidRDefault="00E23818"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lastRenderedPageBreak/>
        <w:t xml:space="preserve">Con posterioridad, el 3 de marzo de 1998 las presuntas víctimas interpusieron un recurso de reposición en contra de la resolución de la Corte Suprema de Justicia, el cual fue declarado sin lugar el 3 de marzo de 1998. </w:t>
      </w:r>
    </w:p>
    <w:p w14:paraId="69BB98E3" w14:textId="77777777" w:rsidR="00F50CA8" w:rsidRPr="009D1618" w:rsidRDefault="00F50CA8" w:rsidP="00F50CA8">
      <w:pPr>
        <w:pStyle w:val="ListParagraph"/>
        <w:rPr>
          <w:rFonts w:eastAsia="Times New Roman" w:cs="Courier New"/>
          <w:sz w:val="20"/>
          <w:szCs w:val="20"/>
          <w:bdr w:val="none" w:sz="0" w:space="0" w:color="auto"/>
          <w:lang w:val="es-ES"/>
        </w:rPr>
      </w:pPr>
    </w:p>
    <w:p w14:paraId="5CE52404" w14:textId="77777777" w:rsidR="00F50CA8" w:rsidRPr="009D1618" w:rsidRDefault="00E23818"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Finalment</w:t>
      </w:r>
      <w:r w:rsidR="00133762" w:rsidRPr="009D1618">
        <w:rPr>
          <w:rFonts w:ascii="Cambria" w:eastAsia="Times New Roman" w:hAnsi="Cambria" w:cs="Courier New"/>
          <w:sz w:val="20"/>
          <w:szCs w:val="20"/>
          <w:bdr w:val="none" w:sz="0" w:space="0" w:color="auto"/>
          <w:lang w:val="es-ES"/>
        </w:rPr>
        <w:t>e</w:t>
      </w:r>
      <w:r w:rsidR="00C777EF" w:rsidRPr="009D1618">
        <w:rPr>
          <w:rFonts w:ascii="Cambria" w:eastAsia="Times New Roman" w:hAnsi="Cambria" w:cs="Courier New"/>
          <w:sz w:val="20"/>
          <w:szCs w:val="20"/>
          <w:bdr w:val="none" w:sz="0" w:space="0" w:color="auto"/>
          <w:lang w:val="es-ES"/>
        </w:rPr>
        <w:t>,</w:t>
      </w:r>
      <w:r w:rsidR="00133762" w:rsidRPr="009D1618">
        <w:rPr>
          <w:rFonts w:ascii="Cambria" w:eastAsia="Times New Roman" w:hAnsi="Cambria" w:cs="Courier New"/>
          <w:sz w:val="20"/>
          <w:szCs w:val="20"/>
          <w:bdr w:val="none" w:sz="0" w:space="0" w:color="auto"/>
          <w:lang w:val="es-ES"/>
        </w:rPr>
        <w:t xml:space="preserve"> interpusieron un recurso de amparo en contra de la decisión que denegó el recurso de reposici</w:t>
      </w:r>
      <w:r w:rsidR="003128E4" w:rsidRPr="009D1618">
        <w:rPr>
          <w:rFonts w:ascii="Cambria" w:eastAsia="Times New Roman" w:hAnsi="Cambria" w:cs="Courier New"/>
          <w:sz w:val="20"/>
          <w:szCs w:val="20"/>
          <w:bdr w:val="none" w:sz="0" w:space="0" w:color="auto"/>
          <w:lang w:val="es-ES"/>
        </w:rPr>
        <w:t>ón ante la Corte de Constitucionalidad, el cual fue denegado por dicho Tribunal el 10 de junio de 1998.</w:t>
      </w:r>
      <w:r w:rsidR="00133762" w:rsidRPr="009D1618">
        <w:rPr>
          <w:rFonts w:ascii="Cambria" w:eastAsia="Times New Roman" w:hAnsi="Cambria" w:cs="Courier New"/>
          <w:sz w:val="20"/>
          <w:szCs w:val="20"/>
          <w:bdr w:val="none" w:sz="0" w:space="0" w:color="auto"/>
          <w:lang w:val="es-ES"/>
        </w:rPr>
        <w:t xml:space="preserve"> </w:t>
      </w:r>
    </w:p>
    <w:p w14:paraId="5DA38857" w14:textId="6C9DEEEF" w:rsidR="001756A7" w:rsidRPr="009D1618" w:rsidRDefault="004F4BA3"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S</w:t>
      </w:r>
      <w:r w:rsidR="001756A7" w:rsidRPr="009D1618">
        <w:rPr>
          <w:rFonts w:ascii="Cambria" w:eastAsia="Times New Roman" w:hAnsi="Cambria" w:cs="Courier New"/>
          <w:sz w:val="20"/>
          <w:szCs w:val="20"/>
          <w:bdr w:val="none" w:sz="0" w:space="0" w:color="auto"/>
          <w:lang w:val="es-ES"/>
        </w:rPr>
        <w:t>egún informaron los peticionarios</w:t>
      </w:r>
      <w:r w:rsidRPr="009D1618">
        <w:rPr>
          <w:rFonts w:ascii="Cambria" w:eastAsia="Times New Roman" w:hAnsi="Cambria" w:cs="Courier New"/>
          <w:sz w:val="20"/>
          <w:szCs w:val="20"/>
          <w:bdr w:val="none" w:sz="0" w:space="0" w:color="auto"/>
          <w:lang w:val="es-ES"/>
        </w:rPr>
        <w:t xml:space="preserve"> y el Estado no controvirtió, </w:t>
      </w:r>
      <w:r w:rsidR="001756A7" w:rsidRPr="009D1618">
        <w:rPr>
          <w:rFonts w:ascii="Cambria" w:eastAsia="Times New Roman" w:hAnsi="Cambria" w:cs="Courier New"/>
          <w:sz w:val="20"/>
          <w:szCs w:val="20"/>
          <w:bdr w:val="none" w:sz="0" w:space="0" w:color="auto"/>
          <w:lang w:val="es-ES"/>
        </w:rPr>
        <w:t>Aníbal Archila Pérez falleció el 16 de julio de 1999 a causa de</w:t>
      </w:r>
      <w:r w:rsidR="00CB1D59" w:rsidRPr="009D1618">
        <w:rPr>
          <w:rFonts w:ascii="Cambria" w:eastAsia="Times New Roman" w:hAnsi="Cambria" w:cs="Courier New"/>
          <w:sz w:val="20"/>
          <w:szCs w:val="20"/>
          <w:bdr w:val="none" w:sz="0" w:space="0" w:color="auto"/>
          <w:lang w:val="es-ES"/>
        </w:rPr>
        <w:t xml:space="preserve"> complicaciones relacionadas con la diabetes que padecía</w:t>
      </w:r>
      <w:r w:rsidR="001756A7" w:rsidRPr="009D1618">
        <w:rPr>
          <w:rFonts w:ascii="Cambria" w:hAnsi="Cambria"/>
          <w:sz w:val="20"/>
          <w:szCs w:val="20"/>
          <w:vertAlign w:val="superscript"/>
        </w:rPr>
        <w:footnoteReference w:id="52"/>
      </w:r>
      <w:r w:rsidR="001756A7" w:rsidRPr="009D1618">
        <w:rPr>
          <w:rFonts w:ascii="Cambria" w:eastAsia="Times New Roman" w:hAnsi="Cambria" w:cs="Courier New"/>
          <w:sz w:val="20"/>
          <w:szCs w:val="20"/>
          <w:bdr w:val="none" w:sz="0" w:space="0" w:color="auto"/>
          <w:lang w:val="es-ES"/>
        </w:rPr>
        <w:t xml:space="preserve">. </w:t>
      </w:r>
    </w:p>
    <w:p w14:paraId="65B2581B" w14:textId="77777777" w:rsidR="008B078A" w:rsidRPr="009D1618" w:rsidRDefault="008B078A" w:rsidP="008B07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b/>
          <w:sz w:val="20"/>
          <w:szCs w:val="20"/>
          <w:bdr w:val="none" w:sz="0" w:space="0" w:color="auto"/>
          <w:lang w:val="es-ES"/>
        </w:rPr>
      </w:pPr>
    </w:p>
    <w:p w14:paraId="05EAF03C" w14:textId="77777777" w:rsidR="001756A7" w:rsidRPr="009D1618" w:rsidRDefault="001756A7"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b/>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Situación posterior de las presuntas víctimas y conversión de la pena</w:t>
      </w:r>
    </w:p>
    <w:p w14:paraId="210EDAE8" w14:textId="77777777" w:rsidR="002652B1" w:rsidRPr="009D1618" w:rsidRDefault="002652B1" w:rsidP="002652B1">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jc w:val="both"/>
        <w:rPr>
          <w:rFonts w:eastAsia="Times New Roman" w:cs="Courier New"/>
          <w:i/>
          <w:color w:val="auto"/>
          <w:sz w:val="20"/>
          <w:szCs w:val="20"/>
          <w:bdr w:val="none" w:sz="0" w:space="0" w:color="auto"/>
          <w:lang w:val="es-ES"/>
        </w:rPr>
      </w:pPr>
    </w:p>
    <w:p w14:paraId="51F0B718" w14:textId="4CEBE9FD" w:rsidR="00F50CA8" w:rsidRPr="009D1618" w:rsidRDefault="001756A7"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La Comisión </w:t>
      </w:r>
      <w:r w:rsidR="006132F4" w:rsidRPr="009D1618">
        <w:rPr>
          <w:rFonts w:ascii="Cambria" w:eastAsia="Times New Roman" w:hAnsi="Cambria" w:cs="Courier New"/>
          <w:sz w:val="20"/>
          <w:szCs w:val="20"/>
          <w:bdr w:val="none" w:sz="0" w:space="0" w:color="auto"/>
          <w:lang w:val="es-ES"/>
        </w:rPr>
        <w:t>observa</w:t>
      </w:r>
      <w:r w:rsidRPr="009D1618">
        <w:rPr>
          <w:rFonts w:ascii="Cambria" w:eastAsia="Times New Roman" w:hAnsi="Cambria" w:cs="Courier New"/>
          <w:sz w:val="20"/>
          <w:szCs w:val="20"/>
          <w:bdr w:val="none" w:sz="0" w:space="0" w:color="auto"/>
          <w:lang w:val="es-ES"/>
        </w:rPr>
        <w:t xml:space="preserve"> que las presuntas víctimas</w:t>
      </w:r>
      <w:r w:rsidR="001C7099" w:rsidRPr="009D1618">
        <w:rPr>
          <w:rFonts w:ascii="Cambria" w:eastAsia="Times New Roman" w:hAnsi="Cambria" w:cs="Courier New"/>
          <w:sz w:val="20"/>
          <w:szCs w:val="20"/>
          <w:bdr w:val="none" w:sz="0" w:space="0" w:color="auto"/>
          <w:lang w:val="es-ES"/>
        </w:rPr>
        <w:t xml:space="preserve"> Miguel Ángel Rodríguez Revolorio y Miguel Ángel Lopez Calo</w:t>
      </w:r>
      <w:r w:rsidRPr="009D1618">
        <w:rPr>
          <w:rFonts w:ascii="Cambria" w:eastAsia="Times New Roman" w:hAnsi="Cambria" w:cs="Courier New"/>
          <w:sz w:val="20"/>
          <w:szCs w:val="20"/>
          <w:bdr w:val="none" w:sz="0" w:space="0" w:color="auto"/>
          <w:lang w:val="es-ES"/>
        </w:rPr>
        <w:t xml:space="preserve"> estuvieron privadas de libertad en espera de la </w:t>
      </w:r>
      <w:r w:rsidR="00AF0AE2" w:rsidRPr="009D1618">
        <w:rPr>
          <w:rFonts w:ascii="Cambria" w:eastAsia="Times New Roman" w:hAnsi="Cambria" w:cs="Courier New"/>
          <w:sz w:val="20"/>
          <w:szCs w:val="20"/>
          <w:bdr w:val="none" w:sz="0" w:space="0" w:color="auto"/>
          <w:lang w:val="es-ES"/>
        </w:rPr>
        <w:t xml:space="preserve">ejecución </w:t>
      </w:r>
      <w:r w:rsidRPr="009D1618">
        <w:rPr>
          <w:rFonts w:ascii="Cambria" w:eastAsia="Times New Roman" w:hAnsi="Cambria" w:cs="Courier New"/>
          <w:sz w:val="20"/>
          <w:szCs w:val="20"/>
          <w:bdr w:val="none" w:sz="0" w:space="0" w:color="auto"/>
          <w:lang w:val="es-ES"/>
        </w:rPr>
        <w:t xml:space="preserve">de la pena de muerte hasta el </w:t>
      </w:r>
      <w:r w:rsidR="00AF0AE2" w:rsidRPr="009D1618">
        <w:rPr>
          <w:rFonts w:ascii="Cambria" w:eastAsia="Times New Roman" w:hAnsi="Cambria" w:cs="Courier New"/>
          <w:sz w:val="20"/>
          <w:szCs w:val="20"/>
          <w:bdr w:val="none" w:sz="0" w:space="0" w:color="auto"/>
          <w:lang w:val="es-ES"/>
        </w:rPr>
        <w:t xml:space="preserve">año </w:t>
      </w:r>
      <w:r w:rsidR="004473E4" w:rsidRPr="009D1618">
        <w:rPr>
          <w:rFonts w:ascii="Cambria" w:eastAsia="Times New Roman" w:hAnsi="Cambria" w:cs="Courier New"/>
          <w:sz w:val="20"/>
          <w:szCs w:val="20"/>
          <w:bdr w:val="none" w:sz="0" w:space="0" w:color="auto"/>
          <w:lang w:val="es-ES"/>
        </w:rPr>
        <w:t xml:space="preserve">2011, cuando fueron conmutadas sus condenas. </w:t>
      </w:r>
      <w:r w:rsidRPr="009D1618">
        <w:rPr>
          <w:rFonts w:ascii="Cambria" w:eastAsia="Times New Roman" w:hAnsi="Cambria" w:cs="Courier New"/>
          <w:sz w:val="20"/>
          <w:szCs w:val="20"/>
          <w:bdr w:val="none" w:sz="0" w:space="0" w:color="auto"/>
          <w:lang w:val="es-ES"/>
        </w:rPr>
        <w:t xml:space="preserve"> </w:t>
      </w:r>
    </w:p>
    <w:p w14:paraId="1AACF222" w14:textId="77777777" w:rsidR="001C7099" w:rsidRPr="009D1618" w:rsidRDefault="001C7099" w:rsidP="001C709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77D1B0BB" w14:textId="77777777" w:rsidR="00F50CA8" w:rsidRPr="009D1618" w:rsidRDefault="001756A7"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Según inform</w:t>
      </w:r>
      <w:r w:rsidR="00CE386E" w:rsidRPr="009D1618">
        <w:rPr>
          <w:rFonts w:ascii="Cambria" w:eastAsia="Times New Roman" w:hAnsi="Cambria" w:cs="Courier New"/>
          <w:sz w:val="20"/>
          <w:szCs w:val="20"/>
          <w:bdr w:val="none" w:sz="0" w:space="0" w:color="auto"/>
          <w:lang w:val="es-ES"/>
        </w:rPr>
        <w:t xml:space="preserve">aron los </w:t>
      </w:r>
      <w:r w:rsidRPr="009D1618">
        <w:rPr>
          <w:rFonts w:ascii="Cambria" w:eastAsia="Times New Roman" w:hAnsi="Cambria" w:cs="Courier New"/>
          <w:sz w:val="20"/>
          <w:szCs w:val="20"/>
          <w:bdr w:val="none" w:sz="0" w:space="0" w:color="auto"/>
          <w:lang w:val="es-ES"/>
        </w:rPr>
        <w:t xml:space="preserve"> peticionario</w:t>
      </w:r>
      <w:r w:rsidR="00CE386E" w:rsidRPr="009D1618">
        <w:rPr>
          <w:rFonts w:ascii="Cambria" w:eastAsia="Times New Roman" w:hAnsi="Cambria" w:cs="Courier New"/>
          <w:sz w:val="20"/>
          <w:szCs w:val="20"/>
          <w:bdr w:val="none" w:sz="0" w:space="0" w:color="auto"/>
          <w:lang w:val="es-ES"/>
        </w:rPr>
        <w:t>s</w:t>
      </w:r>
      <w:r w:rsidRPr="009D1618">
        <w:rPr>
          <w:rFonts w:ascii="Cambria" w:eastAsia="Times New Roman" w:hAnsi="Cambria" w:cs="Courier New"/>
          <w:sz w:val="20"/>
          <w:szCs w:val="20"/>
          <w:bdr w:val="none" w:sz="0" w:space="0" w:color="auto"/>
          <w:lang w:val="es-ES"/>
        </w:rPr>
        <w:t xml:space="preserve">, la privación de libertad de las presuntas víctimas y espera en el corredor de la muerte afectó </w:t>
      </w:r>
      <w:r w:rsidR="006132F4" w:rsidRPr="009D1618">
        <w:rPr>
          <w:rFonts w:ascii="Cambria" w:eastAsia="Times New Roman" w:hAnsi="Cambria" w:cs="Courier New"/>
          <w:sz w:val="20"/>
          <w:szCs w:val="20"/>
          <w:bdr w:val="none" w:sz="0" w:space="0" w:color="auto"/>
          <w:lang w:val="es-ES"/>
        </w:rPr>
        <w:t xml:space="preserve">su salud física y psicológica. </w:t>
      </w:r>
    </w:p>
    <w:p w14:paraId="4275E07B" w14:textId="77777777" w:rsidR="00F50CA8" w:rsidRPr="009D1618" w:rsidRDefault="00F50CA8" w:rsidP="00F50CA8">
      <w:pPr>
        <w:pStyle w:val="ListParagraph"/>
        <w:rPr>
          <w:rFonts w:eastAsia="Times New Roman" w:cs="Courier New"/>
          <w:sz w:val="20"/>
          <w:szCs w:val="20"/>
          <w:bdr w:val="none" w:sz="0" w:space="0" w:color="auto"/>
          <w:lang w:val="es-ES"/>
        </w:rPr>
      </w:pPr>
    </w:p>
    <w:p w14:paraId="3F31B3E9" w14:textId="77777777" w:rsidR="00E06C14" w:rsidRPr="009D1618" w:rsidRDefault="00E06C14" w:rsidP="00992F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El 23 de mayo de 2005 los peticionarios remitieron información según la cual </w:t>
      </w:r>
      <w:r w:rsidR="009744E4" w:rsidRPr="009D1618">
        <w:rPr>
          <w:rFonts w:ascii="Cambria" w:eastAsia="Times New Roman" w:hAnsi="Cambria" w:cs="Courier New"/>
          <w:sz w:val="20"/>
          <w:szCs w:val="20"/>
          <w:bdr w:val="none" w:sz="0" w:space="0" w:color="auto"/>
          <w:lang w:val="es-ES"/>
        </w:rPr>
        <w:t>la presunta víctima Miguel Ángel López Calo solicit</w:t>
      </w:r>
      <w:r w:rsidR="00992FB0" w:rsidRPr="009D1618">
        <w:rPr>
          <w:rFonts w:ascii="Cambria" w:eastAsia="Times New Roman" w:hAnsi="Cambria" w:cs="Courier New"/>
          <w:sz w:val="20"/>
          <w:szCs w:val="20"/>
          <w:bdr w:val="none" w:sz="0" w:space="0" w:color="auto"/>
          <w:lang w:val="es-ES"/>
        </w:rPr>
        <w:t>ó medicamentos al enfermero de la clínica médica de la cárcel de Alta Seguridad, en el departamento de Escuintla</w:t>
      </w:r>
      <w:r w:rsidR="009744E4" w:rsidRPr="009D1618">
        <w:rPr>
          <w:rFonts w:ascii="Cambria" w:eastAsia="Times New Roman" w:hAnsi="Cambria" w:cs="Courier New"/>
          <w:sz w:val="20"/>
          <w:szCs w:val="20"/>
          <w:bdr w:val="none" w:sz="0" w:space="0" w:color="auto"/>
          <w:lang w:val="es-ES"/>
        </w:rPr>
        <w:t>, sin embargo se le indicó que no se contaba con las medicinas. Se transcribe la nota con la solicitud de Miguel Ángel López Calo:</w:t>
      </w:r>
    </w:p>
    <w:p w14:paraId="70CFDAB1" w14:textId="77777777" w:rsidR="009744E4" w:rsidRPr="009D1618" w:rsidRDefault="009744E4" w:rsidP="009744E4">
      <w:pPr>
        <w:pStyle w:val="ListParagraph"/>
        <w:rPr>
          <w:rFonts w:eastAsia="Times New Roman" w:cs="Courier New"/>
          <w:sz w:val="20"/>
          <w:szCs w:val="20"/>
          <w:bdr w:val="none" w:sz="0" w:space="0" w:color="auto"/>
          <w:lang w:val="es-ES"/>
        </w:rPr>
      </w:pPr>
    </w:p>
    <w:p w14:paraId="7105AB77" w14:textId="77777777" w:rsidR="009744E4" w:rsidRPr="009D1618" w:rsidRDefault="009744E4" w:rsidP="006347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Señor enfermero, respetuosamente lo saludo deseándole éxitos en sus labores diarios. Hágame el favor de regalarme unas mis pastillas para la diabetes, tengo días de no tener. Unas </w:t>
      </w:r>
      <w:r w:rsidR="00BD1122" w:rsidRPr="009D1618">
        <w:rPr>
          <w:rFonts w:ascii="Cambria" w:eastAsia="Times New Roman" w:hAnsi="Cambria" w:cs="Courier New"/>
          <w:sz w:val="20"/>
          <w:szCs w:val="20"/>
          <w:bdr w:val="none" w:sz="0" w:space="0" w:color="auto"/>
          <w:lang w:val="es-ES"/>
        </w:rPr>
        <w:t>Acetaminofén</w:t>
      </w:r>
      <w:r w:rsidRPr="009D1618">
        <w:rPr>
          <w:rFonts w:ascii="Cambria" w:eastAsia="Times New Roman" w:hAnsi="Cambria" w:cs="Courier New"/>
          <w:sz w:val="20"/>
          <w:szCs w:val="20"/>
          <w:bdr w:val="none" w:sz="0" w:space="0" w:color="auto"/>
          <w:lang w:val="es-ES"/>
        </w:rPr>
        <w:t>. Unas Clorofenaco. Aten</w:t>
      </w:r>
      <w:r w:rsidR="00992FB0" w:rsidRPr="009D1618">
        <w:rPr>
          <w:rFonts w:ascii="Cambria" w:eastAsia="Times New Roman" w:hAnsi="Cambria" w:cs="Courier New"/>
          <w:sz w:val="20"/>
          <w:szCs w:val="20"/>
          <w:bdr w:val="none" w:sz="0" w:space="0" w:color="auto"/>
          <w:lang w:val="es-ES"/>
        </w:rPr>
        <w:t>ta</w:t>
      </w:r>
      <w:r w:rsidRPr="009D1618">
        <w:rPr>
          <w:rFonts w:ascii="Cambria" w:eastAsia="Times New Roman" w:hAnsi="Cambria" w:cs="Courier New"/>
          <w:sz w:val="20"/>
          <w:szCs w:val="20"/>
          <w:bdr w:val="none" w:sz="0" w:space="0" w:color="auto"/>
          <w:lang w:val="es-ES"/>
        </w:rPr>
        <w:t>mente Miguel Ángelo Lopez Calo</w:t>
      </w:r>
      <w:r w:rsidR="00992FB0" w:rsidRPr="009D1618">
        <w:rPr>
          <w:rStyle w:val="FootnoteReference"/>
          <w:rFonts w:ascii="Cambria" w:eastAsia="Times New Roman" w:hAnsi="Cambria" w:cs="Courier New"/>
          <w:sz w:val="20"/>
          <w:szCs w:val="20"/>
          <w:bdr w:val="none" w:sz="0" w:space="0" w:color="auto"/>
          <w:lang w:val="es-ES"/>
        </w:rPr>
        <w:footnoteReference w:id="53"/>
      </w:r>
      <w:r w:rsidR="00992FB0" w:rsidRPr="009D1618">
        <w:rPr>
          <w:rFonts w:ascii="Cambria" w:eastAsia="Times New Roman" w:hAnsi="Cambria" w:cs="Courier New"/>
          <w:sz w:val="20"/>
          <w:szCs w:val="20"/>
          <w:bdr w:val="none" w:sz="0" w:space="0" w:color="auto"/>
          <w:lang w:val="es-ES"/>
        </w:rPr>
        <w:t xml:space="preserve">. </w:t>
      </w:r>
    </w:p>
    <w:p w14:paraId="018FD51E" w14:textId="77777777" w:rsidR="00992FB0" w:rsidRPr="009D1618" w:rsidRDefault="00992FB0" w:rsidP="00992F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05EF8E22" w14:textId="77777777" w:rsidR="00992FB0" w:rsidRPr="009D1618" w:rsidRDefault="00992FB0" w:rsidP="00992FB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Por su parte el enfermero contestó lo siguiente:</w:t>
      </w:r>
    </w:p>
    <w:p w14:paraId="522C649A" w14:textId="77777777" w:rsidR="00992FB0" w:rsidRPr="009D1618" w:rsidRDefault="00992FB0" w:rsidP="00992FB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cs="Courier New"/>
          <w:sz w:val="20"/>
          <w:szCs w:val="20"/>
          <w:bdr w:val="none" w:sz="0" w:space="0" w:color="auto"/>
          <w:lang w:val="es-ES"/>
        </w:rPr>
      </w:pPr>
    </w:p>
    <w:p w14:paraId="117C5C64" w14:textId="0CCF0618" w:rsidR="004473E4" w:rsidRPr="009D1618" w:rsidRDefault="00992FB0" w:rsidP="006347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Don Miguel </w:t>
      </w:r>
      <w:r w:rsidR="00DE3463" w:rsidRPr="009D1618">
        <w:rPr>
          <w:rFonts w:ascii="Cambria" w:eastAsia="Times New Roman" w:hAnsi="Cambria" w:cs="Courier New"/>
          <w:sz w:val="20"/>
          <w:szCs w:val="20"/>
          <w:bdr w:val="none" w:sz="0" w:space="0" w:color="auto"/>
          <w:lang w:val="es-VE"/>
        </w:rPr>
        <w:t>Ángel</w:t>
      </w:r>
      <w:r w:rsidRPr="009D1618">
        <w:rPr>
          <w:rFonts w:ascii="Cambria" w:eastAsia="Times New Roman" w:hAnsi="Cambria" w:cs="Courier New"/>
          <w:sz w:val="20"/>
          <w:szCs w:val="20"/>
          <w:bdr w:val="none" w:sz="0" w:space="0" w:color="auto"/>
          <w:lang w:val="es-VE"/>
        </w:rPr>
        <w:t>, no se le mandó la medicina que solicitó, por motivo que no han enviado el medicamento. Si puede se le pide</w:t>
      </w:r>
      <w:r w:rsidR="00DE3463" w:rsidRPr="009D1618">
        <w:rPr>
          <w:rFonts w:ascii="Cambria" w:eastAsia="Times New Roman" w:hAnsi="Cambria" w:cs="Courier New"/>
          <w:sz w:val="20"/>
          <w:szCs w:val="20"/>
          <w:bdr w:val="none" w:sz="0" w:space="0" w:color="auto"/>
          <w:lang w:val="es-VE"/>
        </w:rPr>
        <w:t xml:space="preserve"> receta al Doctor cuando venga</w:t>
      </w:r>
      <w:r w:rsidR="004473E4" w:rsidRPr="009D1618">
        <w:rPr>
          <w:rStyle w:val="FootnoteReference"/>
          <w:rFonts w:ascii="Cambria" w:eastAsia="Times New Roman" w:hAnsi="Cambria" w:cs="Courier New"/>
          <w:sz w:val="20"/>
          <w:szCs w:val="20"/>
          <w:bdr w:val="none" w:sz="0" w:space="0" w:color="auto"/>
          <w:lang w:val="es-ES"/>
        </w:rPr>
        <w:footnoteReference w:id="54"/>
      </w:r>
      <w:r w:rsidR="00DE3463" w:rsidRPr="009D1618">
        <w:rPr>
          <w:rFonts w:ascii="Cambria" w:eastAsia="Times New Roman" w:hAnsi="Cambria" w:cs="Courier New"/>
          <w:sz w:val="20"/>
          <w:szCs w:val="20"/>
          <w:bdr w:val="none" w:sz="0" w:space="0" w:color="auto"/>
          <w:lang w:val="es-VE"/>
        </w:rPr>
        <w:t xml:space="preserve">.  </w:t>
      </w:r>
    </w:p>
    <w:p w14:paraId="3DB64BAA" w14:textId="77777777" w:rsidR="004473E4" w:rsidRPr="009D1618" w:rsidRDefault="004473E4" w:rsidP="006347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p>
    <w:p w14:paraId="3E861C34" w14:textId="77777777" w:rsidR="004473E4" w:rsidRPr="009D1618" w:rsidRDefault="00DE3463" w:rsidP="004473E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 xml:space="preserve">Asimismo, en otra nota se indica lo siguiente: </w:t>
      </w:r>
    </w:p>
    <w:p w14:paraId="7E6BB973" w14:textId="77777777" w:rsidR="004473E4" w:rsidRPr="009D1618" w:rsidRDefault="004473E4" w:rsidP="006347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p>
    <w:p w14:paraId="0C1C3A67" w14:textId="0F8ADEEE" w:rsidR="00992FB0" w:rsidRPr="009D1618" w:rsidRDefault="00BD1122" w:rsidP="006347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VE"/>
        </w:rPr>
      </w:pPr>
      <w:r w:rsidRPr="009D1618">
        <w:rPr>
          <w:rFonts w:ascii="Cambria" w:eastAsia="Times New Roman" w:hAnsi="Cambria" w:cs="Courier New"/>
          <w:sz w:val="20"/>
          <w:szCs w:val="20"/>
          <w:bdr w:val="none" w:sz="0" w:space="0" w:color="auto"/>
          <w:lang w:val="es-VE"/>
        </w:rPr>
        <w:t>“Miguel</w:t>
      </w:r>
      <w:r w:rsidR="00DE3463" w:rsidRPr="009D1618">
        <w:rPr>
          <w:rFonts w:ascii="Cambria" w:eastAsia="Times New Roman" w:hAnsi="Cambria" w:cs="Courier New"/>
          <w:sz w:val="20"/>
          <w:szCs w:val="20"/>
          <w:bdr w:val="none" w:sz="0" w:space="0" w:color="auto"/>
          <w:lang w:val="es-VE"/>
        </w:rPr>
        <w:t xml:space="preserve"> Ángel López Calo, le informo que para dolor no tenemos medicamento. Si deseo que le traiga mañana se la compro hoy, eso </w:t>
      </w:r>
      <w:r w:rsidR="004473E4" w:rsidRPr="009D1618">
        <w:rPr>
          <w:rFonts w:ascii="Cambria" w:eastAsia="Times New Roman" w:hAnsi="Cambria" w:cs="Courier New"/>
          <w:sz w:val="20"/>
          <w:szCs w:val="20"/>
          <w:bdr w:val="none" w:sz="0" w:space="0" w:color="auto"/>
          <w:lang w:val="es-VE"/>
        </w:rPr>
        <w:t>sí</w:t>
      </w:r>
      <w:r w:rsidR="00DE3463" w:rsidRPr="009D1618">
        <w:rPr>
          <w:rFonts w:ascii="Cambria" w:eastAsia="Times New Roman" w:hAnsi="Cambria" w:cs="Courier New"/>
          <w:sz w:val="20"/>
          <w:szCs w:val="20"/>
          <w:bdr w:val="none" w:sz="0" w:space="0" w:color="auto"/>
          <w:lang w:val="es-VE"/>
        </w:rPr>
        <w:t xml:space="preserve"> tiene como mandarlos a comprar. El enfermero</w:t>
      </w:r>
      <w:r w:rsidR="00B87D90" w:rsidRPr="009D1618">
        <w:rPr>
          <w:rStyle w:val="FootnoteReference"/>
          <w:rFonts w:ascii="Cambria" w:eastAsia="Times New Roman" w:hAnsi="Cambria" w:cs="Courier New"/>
          <w:sz w:val="20"/>
          <w:szCs w:val="20"/>
          <w:bdr w:val="none" w:sz="0" w:space="0" w:color="auto"/>
          <w:lang w:val="es-ES"/>
        </w:rPr>
        <w:footnoteReference w:id="55"/>
      </w:r>
      <w:r w:rsidR="00DE3463" w:rsidRPr="009D1618">
        <w:rPr>
          <w:rFonts w:ascii="Cambria" w:eastAsia="Times New Roman" w:hAnsi="Cambria" w:cs="Courier New"/>
          <w:sz w:val="20"/>
          <w:szCs w:val="20"/>
          <w:bdr w:val="none" w:sz="0" w:space="0" w:color="auto"/>
          <w:lang w:val="es-VE"/>
        </w:rPr>
        <w:t xml:space="preserve">. </w:t>
      </w:r>
    </w:p>
    <w:p w14:paraId="31F93C76" w14:textId="77777777" w:rsidR="00E06C14" w:rsidRPr="009D1618" w:rsidRDefault="00E06C14" w:rsidP="00E06C14">
      <w:pPr>
        <w:pStyle w:val="ListParagraph"/>
        <w:rPr>
          <w:rFonts w:eastAsia="Times New Roman" w:cs="Courier New"/>
          <w:sz w:val="20"/>
          <w:szCs w:val="20"/>
          <w:bdr w:val="none" w:sz="0" w:space="0" w:color="auto"/>
          <w:lang w:val="es-VE"/>
        </w:rPr>
      </w:pPr>
    </w:p>
    <w:p w14:paraId="419159CD" w14:textId="77777777" w:rsidR="00F50CA8" w:rsidRPr="009D1618" w:rsidRDefault="005E0415"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w:t>
      </w:r>
      <w:r w:rsidR="001756A7" w:rsidRPr="009D1618">
        <w:rPr>
          <w:rFonts w:ascii="Cambria" w:eastAsia="Times New Roman" w:hAnsi="Cambria" w:cs="Courier New"/>
          <w:sz w:val="20"/>
          <w:szCs w:val="20"/>
          <w:bdr w:val="none" w:sz="0" w:space="0" w:color="auto"/>
          <w:lang w:val="es-ES"/>
        </w:rPr>
        <w:t>l 23 de junio</w:t>
      </w:r>
      <w:r w:rsidR="00E06C14" w:rsidRPr="009D1618">
        <w:rPr>
          <w:rFonts w:ascii="Cambria" w:eastAsia="Times New Roman" w:hAnsi="Cambria" w:cs="Courier New"/>
          <w:sz w:val="20"/>
          <w:szCs w:val="20"/>
          <w:bdr w:val="none" w:sz="0" w:space="0" w:color="auto"/>
          <w:lang w:val="es-ES"/>
        </w:rPr>
        <w:t xml:space="preserve"> de 2005</w:t>
      </w:r>
      <w:r w:rsidR="001756A7" w:rsidRPr="009D1618">
        <w:rPr>
          <w:rFonts w:ascii="Cambria" w:eastAsia="Times New Roman" w:hAnsi="Cambria" w:cs="Courier New"/>
          <w:sz w:val="20"/>
          <w:szCs w:val="20"/>
          <w:bdr w:val="none" w:sz="0" w:space="0" w:color="auto"/>
          <w:lang w:val="es-ES"/>
        </w:rPr>
        <w:t xml:space="preserve"> </w:t>
      </w:r>
      <w:r w:rsidR="0070501A" w:rsidRPr="009D1618">
        <w:rPr>
          <w:rFonts w:ascii="Cambria" w:eastAsia="Times New Roman" w:hAnsi="Cambria" w:cs="Courier New"/>
          <w:sz w:val="20"/>
          <w:szCs w:val="20"/>
          <w:bdr w:val="none" w:sz="0" w:space="0" w:color="auto"/>
          <w:lang w:val="es-ES"/>
        </w:rPr>
        <w:t>los</w:t>
      </w:r>
      <w:r w:rsidR="005D041A" w:rsidRPr="009D1618">
        <w:rPr>
          <w:rFonts w:ascii="Cambria" w:eastAsia="Times New Roman" w:hAnsi="Cambria" w:cs="Courier New"/>
          <w:sz w:val="20"/>
          <w:szCs w:val="20"/>
          <w:bdr w:val="none" w:sz="0" w:space="0" w:color="auto"/>
          <w:lang w:val="es-ES"/>
        </w:rPr>
        <w:t xml:space="preserve"> peticionario</w:t>
      </w:r>
      <w:r w:rsidR="0070501A" w:rsidRPr="009D1618">
        <w:rPr>
          <w:rFonts w:ascii="Cambria" w:eastAsia="Times New Roman" w:hAnsi="Cambria" w:cs="Courier New"/>
          <w:sz w:val="20"/>
          <w:szCs w:val="20"/>
          <w:bdr w:val="none" w:sz="0" w:space="0" w:color="auto"/>
          <w:lang w:val="es-ES"/>
        </w:rPr>
        <w:t>s</w:t>
      </w:r>
      <w:r w:rsidR="005D041A" w:rsidRPr="009D1618">
        <w:rPr>
          <w:rFonts w:ascii="Cambria" w:eastAsia="Times New Roman" w:hAnsi="Cambria" w:cs="Courier New"/>
          <w:sz w:val="20"/>
          <w:szCs w:val="20"/>
          <w:bdr w:val="none" w:sz="0" w:space="0" w:color="auto"/>
          <w:lang w:val="es-ES"/>
        </w:rPr>
        <w:t xml:space="preserve"> remiti</w:t>
      </w:r>
      <w:r w:rsidR="0070501A" w:rsidRPr="009D1618">
        <w:rPr>
          <w:rFonts w:ascii="Cambria" w:eastAsia="Times New Roman" w:hAnsi="Cambria" w:cs="Courier New"/>
          <w:sz w:val="20"/>
          <w:szCs w:val="20"/>
          <w:bdr w:val="none" w:sz="0" w:space="0" w:color="auto"/>
          <w:lang w:val="es-ES"/>
        </w:rPr>
        <w:t>eron</w:t>
      </w:r>
      <w:r w:rsidR="005D041A" w:rsidRPr="009D1618">
        <w:rPr>
          <w:rFonts w:ascii="Cambria" w:eastAsia="Times New Roman" w:hAnsi="Cambria" w:cs="Courier New"/>
          <w:sz w:val="20"/>
          <w:szCs w:val="20"/>
          <w:bdr w:val="none" w:sz="0" w:space="0" w:color="auto"/>
          <w:lang w:val="es-ES"/>
        </w:rPr>
        <w:t xml:space="preserve"> a la CIDH </w:t>
      </w:r>
      <w:r w:rsidR="004A2856" w:rsidRPr="009D1618">
        <w:rPr>
          <w:rFonts w:ascii="Cambria" w:eastAsia="Times New Roman" w:hAnsi="Cambria" w:cs="Courier New"/>
          <w:sz w:val="20"/>
          <w:szCs w:val="20"/>
          <w:bdr w:val="none" w:sz="0" w:space="0" w:color="auto"/>
          <w:lang w:val="es-ES"/>
        </w:rPr>
        <w:t xml:space="preserve">dos informes sobre el estado de salud de las presuntas víctimas, elaborado </w:t>
      </w:r>
      <w:r w:rsidR="005E2F8B" w:rsidRPr="009D1618">
        <w:rPr>
          <w:rFonts w:ascii="Cambria" w:eastAsia="Times New Roman" w:hAnsi="Cambria" w:cs="Courier New"/>
          <w:sz w:val="20"/>
          <w:szCs w:val="20"/>
          <w:bdr w:val="none" w:sz="0" w:space="0" w:color="auto"/>
          <w:lang w:val="es-ES"/>
        </w:rPr>
        <w:t>el primero por</w:t>
      </w:r>
      <w:r w:rsidR="004A2856" w:rsidRPr="009D1618">
        <w:rPr>
          <w:rFonts w:ascii="Cambria" w:eastAsia="Times New Roman" w:hAnsi="Cambria" w:cs="Courier New"/>
          <w:sz w:val="20"/>
          <w:szCs w:val="20"/>
          <w:bdr w:val="none" w:sz="0" w:space="0" w:color="auto"/>
          <w:lang w:val="es-ES"/>
        </w:rPr>
        <w:t xml:space="preserve"> la psicóloga clínica Aida Castro-Conde Barrios</w:t>
      </w:r>
      <w:r w:rsidR="005E2F8B" w:rsidRPr="009D1618">
        <w:rPr>
          <w:rFonts w:ascii="Cambria" w:eastAsia="Times New Roman" w:hAnsi="Cambria" w:cs="Courier New"/>
          <w:sz w:val="20"/>
          <w:szCs w:val="20"/>
          <w:bdr w:val="none" w:sz="0" w:space="0" w:color="auto"/>
          <w:lang w:val="es-ES"/>
        </w:rPr>
        <w:t xml:space="preserve"> y el segundo por el médico Ricardo Estrada. </w:t>
      </w:r>
    </w:p>
    <w:p w14:paraId="002EECA3" w14:textId="77777777" w:rsidR="00F50CA8" w:rsidRPr="009D1618" w:rsidRDefault="00F50CA8" w:rsidP="00F50CA8">
      <w:pPr>
        <w:pStyle w:val="ListParagraph"/>
        <w:rPr>
          <w:rFonts w:eastAsia="Times New Roman" w:cs="Courier New"/>
          <w:sz w:val="20"/>
          <w:szCs w:val="20"/>
          <w:bdr w:val="none" w:sz="0" w:space="0" w:color="auto"/>
          <w:lang w:val="es-ES"/>
        </w:rPr>
      </w:pPr>
    </w:p>
    <w:p w14:paraId="2338D08E" w14:textId="77777777" w:rsidR="00F50CA8" w:rsidRPr="009D1618" w:rsidRDefault="005F4DAF" w:rsidP="004459F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primer informe hace referencia a la situación de salud</w:t>
      </w:r>
      <w:r w:rsidR="002D06E9" w:rsidRPr="009D1618">
        <w:rPr>
          <w:rFonts w:ascii="Cambria" w:eastAsia="Times New Roman" w:hAnsi="Cambria" w:cs="Courier New"/>
          <w:sz w:val="20"/>
          <w:szCs w:val="20"/>
          <w:bdr w:val="none" w:sz="0" w:space="0" w:color="auto"/>
          <w:lang w:val="es-ES"/>
        </w:rPr>
        <w:t xml:space="preserve"> mental</w:t>
      </w:r>
      <w:r w:rsidRPr="009D1618">
        <w:rPr>
          <w:rFonts w:ascii="Cambria" w:eastAsia="Times New Roman" w:hAnsi="Cambria" w:cs="Courier New"/>
          <w:sz w:val="20"/>
          <w:szCs w:val="20"/>
          <w:bdr w:val="none" w:sz="0" w:space="0" w:color="auto"/>
          <w:lang w:val="es-ES"/>
        </w:rPr>
        <w:t xml:space="preserve"> de Miguel Ángel López Calo y Miguel Ángel Rodríguez Revolorio, concluye</w:t>
      </w:r>
      <w:r w:rsidR="00AA3A92" w:rsidRPr="009D1618">
        <w:rPr>
          <w:rFonts w:ascii="Cambria" w:eastAsia="Times New Roman" w:hAnsi="Cambria" w:cs="Courier New"/>
          <w:sz w:val="20"/>
          <w:szCs w:val="20"/>
          <w:bdr w:val="none" w:sz="0" w:space="0" w:color="auto"/>
          <w:lang w:val="es-ES"/>
        </w:rPr>
        <w:t>ndo</w:t>
      </w:r>
      <w:r w:rsidRPr="009D1618">
        <w:rPr>
          <w:rFonts w:ascii="Cambria" w:eastAsia="Times New Roman" w:hAnsi="Cambria" w:cs="Courier New"/>
          <w:sz w:val="20"/>
          <w:szCs w:val="20"/>
          <w:bdr w:val="none" w:sz="0" w:space="0" w:color="auto"/>
          <w:lang w:val="es-ES"/>
        </w:rPr>
        <w:t xml:space="preserve"> luego de hacer</w:t>
      </w:r>
      <w:r w:rsidR="001817CD" w:rsidRPr="009D1618">
        <w:rPr>
          <w:rFonts w:ascii="Cambria" w:eastAsia="Times New Roman" w:hAnsi="Cambria" w:cs="Courier New"/>
          <w:sz w:val="20"/>
          <w:szCs w:val="20"/>
          <w:bdr w:val="none" w:sz="0" w:space="0" w:color="auto"/>
          <w:lang w:val="es-ES"/>
        </w:rPr>
        <w:t xml:space="preserve"> visitas a los centros penales, entrevistas y pruebas psicométricas</w:t>
      </w:r>
      <w:r w:rsidR="00CE5DB7" w:rsidRPr="009D1618">
        <w:rPr>
          <w:rFonts w:ascii="Cambria" w:eastAsia="Times New Roman" w:hAnsi="Cambria" w:cs="Courier New"/>
          <w:sz w:val="20"/>
          <w:szCs w:val="20"/>
          <w:bdr w:val="none" w:sz="0" w:space="0" w:color="auto"/>
          <w:lang w:val="es-ES"/>
        </w:rPr>
        <w:t>,</w:t>
      </w:r>
      <w:r w:rsidR="001817CD" w:rsidRPr="009D1618">
        <w:rPr>
          <w:rFonts w:ascii="Cambria" w:eastAsia="Times New Roman" w:hAnsi="Cambria" w:cs="Courier New"/>
          <w:sz w:val="20"/>
          <w:szCs w:val="20"/>
          <w:bdr w:val="none" w:sz="0" w:space="0" w:color="auto"/>
          <w:lang w:val="es-ES"/>
        </w:rPr>
        <w:t xml:space="preserve"> ambos sufren de trastorno por estrés post-traumático. Se añade que Miguel Ángel López Calo “presenta un factor psicológico que afecta su estado físico, este es: respuesta fisiológica </w:t>
      </w:r>
      <w:r w:rsidR="009562F9" w:rsidRPr="009D1618">
        <w:rPr>
          <w:rFonts w:ascii="Cambria" w:eastAsia="Times New Roman" w:hAnsi="Cambria" w:cs="Courier New"/>
          <w:sz w:val="20"/>
          <w:szCs w:val="20"/>
          <w:bdr w:val="none" w:sz="0" w:space="0" w:color="auto"/>
          <w:lang w:val="es-ES"/>
        </w:rPr>
        <w:t xml:space="preserve">relacionado con el estrés que afecta a la diabetes. Su condición de vida es sumamente restrictiva lo que aumenta la </w:t>
      </w:r>
      <w:r w:rsidR="009562F9" w:rsidRPr="009D1618">
        <w:rPr>
          <w:rFonts w:ascii="Cambria" w:eastAsia="Times New Roman" w:hAnsi="Cambria" w:cs="Courier New"/>
          <w:sz w:val="20"/>
          <w:szCs w:val="20"/>
          <w:bdr w:val="none" w:sz="0" w:space="0" w:color="auto"/>
          <w:lang w:val="es-ES"/>
        </w:rPr>
        <w:lastRenderedPageBreak/>
        <w:t>desesperación aunado a la tortura de la condena a pena de muerte”</w:t>
      </w:r>
      <w:r w:rsidR="009562F9" w:rsidRPr="009D1618">
        <w:rPr>
          <w:rStyle w:val="FootnoteReference"/>
          <w:rFonts w:ascii="Cambria" w:eastAsia="Times New Roman" w:hAnsi="Cambria" w:cs="Courier New"/>
          <w:sz w:val="20"/>
          <w:szCs w:val="20"/>
          <w:bdr w:val="none" w:sz="0" w:space="0" w:color="auto"/>
          <w:lang w:val="es-ES"/>
        </w:rPr>
        <w:footnoteReference w:id="56"/>
      </w:r>
      <w:r w:rsidR="009562F9" w:rsidRPr="009D1618">
        <w:rPr>
          <w:rFonts w:ascii="Cambria" w:eastAsia="Times New Roman" w:hAnsi="Cambria" w:cs="Courier New"/>
          <w:sz w:val="20"/>
          <w:szCs w:val="20"/>
          <w:bdr w:val="none" w:sz="0" w:space="0" w:color="auto"/>
          <w:lang w:val="es-ES"/>
        </w:rPr>
        <w:t xml:space="preserve">. </w:t>
      </w:r>
      <w:r w:rsidR="00152550" w:rsidRPr="009D1618">
        <w:rPr>
          <w:rFonts w:ascii="Cambria" w:eastAsia="Times New Roman" w:hAnsi="Cambria" w:cs="Courier New"/>
          <w:sz w:val="20"/>
          <w:szCs w:val="20"/>
          <w:bdr w:val="none" w:sz="0" w:space="0" w:color="auto"/>
          <w:lang w:val="es-ES"/>
        </w:rPr>
        <w:t>Indicó que Miguel Ángel López Calo ha pensado en el suicidio como una alternativa para acabar con su sufrimiento</w:t>
      </w:r>
      <w:r w:rsidR="00152550" w:rsidRPr="009D1618">
        <w:rPr>
          <w:rStyle w:val="FootnoteReference"/>
          <w:rFonts w:ascii="Cambria" w:eastAsia="Times New Roman" w:hAnsi="Cambria" w:cs="Courier New"/>
          <w:sz w:val="20"/>
          <w:szCs w:val="20"/>
          <w:bdr w:val="none" w:sz="0" w:space="0" w:color="auto"/>
          <w:lang w:val="es-ES"/>
        </w:rPr>
        <w:footnoteReference w:id="57"/>
      </w:r>
      <w:r w:rsidR="00152550" w:rsidRPr="009D1618">
        <w:rPr>
          <w:rFonts w:ascii="Cambria" w:eastAsia="Times New Roman" w:hAnsi="Cambria" w:cs="Courier New"/>
          <w:sz w:val="20"/>
          <w:szCs w:val="20"/>
          <w:bdr w:val="none" w:sz="0" w:space="0" w:color="auto"/>
          <w:lang w:val="es-ES"/>
        </w:rPr>
        <w:t>. Respecto de Miguel Ángel Rodríguez Revolorio  indicó que este presenta un cuadro de estrés moderado</w:t>
      </w:r>
      <w:r w:rsidR="00C815AF" w:rsidRPr="009D1618">
        <w:rPr>
          <w:rFonts w:ascii="Cambria" w:eastAsia="Times New Roman" w:hAnsi="Cambria" w:cs="Courier New"/>
          <w:sz w:val="20"/>
          <w:szCs w:val="20"/>
          <w:bdr w:val="none" w:sz="0" w:space="0" w:color="auto"/>
          <w:lang w:val="es-ES"/>
        </w:rPr>
        <w:t xml:space="preserve"> y depresión leve</w:t>
      </w:r>
      <w:r w:rsidR="00C815AF" w:rsidRPr="009D1618">
        <w:rPr>
          <w:rStyle w:val="FootnoteReference"/>
          <w:rFonts w:ascii="Cambria" w:eastAsia="Times New Roman" w:hAnsi="Cambria" w:cs="Courier New"/>
          <w:sz w:val="20"/>
          <w:szCs w:val="20"/>
          <w:bdr w:val="none" w:sz="0" w:space="0" w:color="auto"/>
          <w:lang w:val="es-ES"/>
        </w:rPr>
        <w:footnoteReference w:id="58"/>
      </w:r>
      <w:r w:rsidR="00C815AF" w:rsidRPr="009D1618">
        <w:rPr>
          <w:rFonts w:ascii="Cambria" w:eastAsia="Times New Roman" w:hAnsi="Cambria" w:cs="Courier New"/>
          <w:sz w:val="20"/>
          <w:szCs w:val="20"/>
          <w:bdr w:val="none" w:sz="0" w:space="0" w:color="auto"/>
          <w:lang w:val="es-ES"/>
        </w:rPr>
        <w:t xml:space="preserve">. </w:t>
      </w:r>
    </w:p>
    <w:p w14:paraId="55A598ED" w14:textId="77777777" w:rsidR="0010114E" w:rsidRPr="009D1618" w:rsidRDefault="0010114E" w:rsidP="0010114E">
      <w:pPr>
        <w:pStyle w:val="ListParagraph"/>
        <w:rPr>
          <w:rFonts w:eastAsia="Times New Roman" w:cs="Courier New"/>
          <w:sz w:val="20"/>
          <w:szCs w:val="20"/>
          <w:bdr w:val="none" w:sz="0" w:space="0" w:color="auto"/>
          <w:lang w:val="es-ES"/>
        </w:rPr>
      </w:pPr>
    </w:p>
    <w:p w14:paraId="4CE88CF2" w14:textId="77777777" w:rsidR="001C2322" w:rsidRPr="009D1618" w:rsidRDefault="0010114E" w:rsidP="00B84AD5">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En el informe</w:t>
      </w:r>
      <w:r w:rsidR="00B84AD5" w:rsidRPr="009D1618">
        <w:rPr>
          <w:rFonts w:ascii="Cambria" w:eastAsia="Times New Roman" w:hAnsi="Cambria" w:cs="Courier New"/>
          <w:sz w:val="20"/>
          <w:szCs w:val="20"/>
          <w:bdr w:val="none" w:sz="0" w:space="0" w:color="auto"/>
          <w:lang w:val="es-ES"/>
        </w:rPr>
        <w:t>, la perita</w:t>
      </w:r>
      <w:r w:rsidRPr="009D1618">
        <w:rPr>
          <w:rFonts w:ascii="Cambria" w:eastAsia="Times New Roman" w:hAnsi="Cambria" w:cs="Courier New"/>
          <w:sz w:val="20"/>
          <w:szCs w:val="20"/>
          <w:bdr w:val="none" w:sz="0" w:space="0" w:color="auto"/>
          <w:lang w:val="es-ES"/>
        </w:rPr>
        <w:t xml:space="preserve"> también hizo referencia a las condiciones de detención de Miguel Ángel López Calo y Miguel Ángel Rodríguez Revolorio</w:t>
      </w:r>
      <w:r w:rsidR="00B84AD5" w:rsidRPr="009D1618">
        <w:rPr>
          <w:rFonts w:ascii="Cambria" w:eastAsia="Times New Roman" w:hAnsi="Cambria" w:cs="Courier New"/>
          <w:sz w:val="20"/>
          <w:szCs w:val="20"/>
          <w:bdr w:val="none" w:sz="0" w:space="0" w:color="auto"/>
          <w:lang w:val="es-ES"/>
        </w:rPr>
        <w:t xml:space="preserve"> en la Cárcel de Alta Seguridad de Escuintla.</w:t>
      </w:r>
      <w:r w:rsidRPr="009D1618">
        <w:rPr>
          <w:rFonts w:ascii="Cambria" w:eastAsia="Times New Roman" w:hAnsi="Cambria" w:cs="Courier New"/>
          <w:sz w:val="20"/>
          <w:szCs w:val="20"/>
          <w:bdr w:val="none" w:sz="0" w:space="0" w:color="auto"/>
          <w:lang w:val="es-ES"/>
        </w:rPr>
        <w:t xml:space="preserve"> Indicó respecto del primero, que no hay dieta especial para </w:t>
      </w:r>
      <w:r w:rsidR="00B84AD5" w:rsidRPr="009D1618">
        <w:rPr>
          <w:rFonts w:ascii="Cambria" w:eastAsia="Times New Roman" w:hAnsi="Cambria" w:cs="Courier New"/>
          <w:sz w:val="20"/>
          <w:szCs w:val="20"/>
          <w:bdr w:val="none" w:sz="0" w:space="0" w:color="auto"/>
          <w:lang w:val="es-ES"/>
        </w:rPr>
        <w:t>él,</w:t>
      </w:r>
      <w:r w:rsidRPr="009D1618">
        <w:rPr>
          <w:rFonts w:ascii="Cambria" w:eastAsia="Times New Roman" w:hAnsi="Cambria" w:cs="Courier New"/>
          <w:sz w:val="20"/>
          <w:szCs w:val="20"/>
          <w:bdr w:val="none" w:sz="0" w:space="0" w:color="auto"/>
          <w:lang w:val="es-ES"/>
        </w:rPr>
        <w:t xml:space="preserve"> a pesar de que padece de diabetes. </w:t>
      </w:r>
      <w:r w:rsidR="00B84AD5" w:rsidRPr="009D1618">
        <w:rPr>
          <w:rFonts w:ascii="Cambria" w:eastAsia="Times New Roman" w:hAnsi="Cambria" w:cs="Courier New"/>
          <w:sz w:val="20"/>
          <w:szCs w:val="20"/>
          <w:bdr w:val="none" w:sz="0" w:space="0" w:color="auto"/>
          <w:lang w:val="es-ES"/>
        </w:rPr>
        <w:t>Agregó que existe una ausencia casi total de artículos médicos y una carencia grave de personal capacitado</w:t>
      </w:r>
      <w:r w:rsidR="00B84AD5" w:rsidRPr="009D1618">
        <w:rPr>
          <w:rStyle w:val="FootnoteReference"/>
          <w:rFonts w:ascii="Cambria" w:eastAsia="Times New Roman" w:hAnsi="Cambria" w:cs="Courier New"/>
          <w:sz w:val="20"/>
          <w:szCs w:val="20"/>
          <w:bdr w:val="none" w:sz="0" w:space="0" w:color="auto"/>
          <w:lang w:val="es-ES"/>
        </w:rPr>
        <w:footnoteReference w:id="59"/>
      </w:r>
      <w:r w:rsidR="00B84AD5" w:rsidRPr="009D1618">
        <w:rPr>
          <w:rFonts w:ascii="Cambria" w:eastAsia="Times New Roman" w:hAnsi="Cambria" w:cs="Courier New"/>
          <w:sz w:val="20"/>
          <w:szCs w:val="20"/>
          <w:bdr w:val="none" w:sz="0" w:space="0" w:color="auto"/>
          <w:lang w:val="es-ES"/>
        </w:rPr>
        <w:t xml:space="preserve">. </w:t>
      </w:r>
    </w:p>
    <w:p w14:paraId="1073F962" w14:textId="77777777" w:rsidR="001C2322" w:rsidRPr="009D1618" w:rsidRDefault="001C2322" w:rsidP="001C2322">
      <w:pPr>
        <w:pStyle w:val="ListParagraph"/>
        <w:rPr>
          <w:rFonts w:eastAsia="Times New Roman" w:cs="Courier New"/>
          <w:sz w:val="20"/>
          <w:szCs w:val="20"/>
          <w:bdr w:val="none" w:sz="0" w:space="0" w:color="auto"/>
          <w:lang w:val="es-ES"/>
        </w:rPr>
      </w:pPr>
    </w:p>
    <w:p w14:paraId="4C32D36E" w14:textId="77777777" w:rsidR="00F50CA8" w:rsidRPr="009D1618" w:rsidRDefault="00B84AD5" w:rsidP="00C436C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Refirió respecto de ambos que nunca han recibido atención psicológica adecuada en todo el tiempo que llevan encerrados, pese a la angustia que sufren las personas condenadas a muerte.  Añadió que el acceso al agua es </w:t>
      </w:r>
      <w:r w:rsidR="001C2322" w:rsidRPr="009D1618">
        <w:rPr>
          <w:rFonts w:ascii="Cambria" w:eastAsia="Times New Roman" w:hAnsi="Cambria" w:cs="Courier New"/>
          <w:sz w:val="20"/>
          <w:szCs w:val="20"/>
          <w:bdr w:val="none" w:sz="0" w:space="0" w:color="auto"/>
          <w:lang w:val="es-ES"/>
        </w:rPr>
        <w:t>limitado,</w:t>
      </w:r>
      <w:r w:rsidRPr="009D1618">
        <w:rPr>
          <w:rFonts w:ascii="Cambria" w:eastAsia="Times New Roman" w:hAnsi="Cambria" w:cs="Courier New"/>
          <w:sz w:val="20"/>
          <w:szCs w:val="20"/>
          <w:bdr w:val="none" w:sz="0" w:space="0" w:color="auto"/>
          <w:lang w:val="es-ES"/>
        </w:rPr>
        <w:t xml:space="preserve"> ya que el agua solamente cae de 2:00 a.m a 5:00 a.m, y los reclusos tienen que hacer fila para recolectar agua</w:t>
      </w:r>
      <w:r w:rsidRPr="009D1618">
        <w:rPr>
          <w:rStyle w:val="FootnoteReference"/>
          <w:rFonts w:ascii="Cambria" w:eastAsia="Times New Roman" w:hAnsi="Cambria" w:cs="Courier New"/>
          <w:sz w:val="20"/>
          <w:szCs w:val="20"/>
          <w:bdr w:val="none" w:sz="0" w:space="0" w:color="auto"/>
          <w:lang w:val="es-ES"/>
        </w:rPr>
        <w:footnoteReference w:id="60"/>
      </w:r>
      <w:r w:rsidRPr="009D1618">
        <w:rPr>
          <w:rFonts w:ascii="Cambria" w:eastAsia="Times New Roman" w:hAnsi="Cambria" w:cs="Courier New"/>
          <w:sz w:val="20"/>
          <w:szCs w:val="20"/>
          <w:bdr w:val="none" w:sz="0" w:space="0" w:color="auto"/>
          <w:lang w:val="es-ES"/>
        </w:rPr>
        <w:t>. Respecto del régimen de visitas, indicó que el</w:t>
      </w:r>
      <w:r w:rsidR="00716E9F" w:rsidRPr="009D1618">
        <w:rPr>
          <w:rFonts w:ascii="Cambria" w:eastAsia="Times New Roman" w:hAnsi="Cambria" w:cs="Courier New"/>
          <w:sz w:val="20"/>
          <w:szCs w:val="20"/>
          <w:bdr w:val="none" w:sz="0" w:space="0" w:color="auto"/>
          <w:lang w:val="es-ES"/>
        </w:rPr>
        <w:t xml:space="preserve"> mismo</w:t>
      </w:r>
      <w:r w:rsidRPr="009D1618">
        <w:rPr>
          <w:rFonts w:ascii="Cambria" w:eastAsia="Times New Roman" w:hAnsi="Cambria" w:cs="Courier New"/>
          <w:sz w:val="20"/>
          <w:szCs w:val="20"/>
          <w:bdr w:val="none" w:sz="0" w:space="0" w:color="auto"/>
          <w:lang w:val="es-ES"/>
        </w:rPr>
        <w:t xml:space="preserve"> se realiza sin contacto físico, los internos están esposados de la muñeca a un tubo y la familia se encuentra al otro lado, por lo que solo pueden tocarse las manos a través de los barrotes. Las visitas abiertas únicamente están permitidas para Semana Santa, día de la madre, del padre, del cariño, </w:t>
      </w:r>
      <w:r w:rsidR="001C2322" w:rsidRPr="009D1618">
        <w:rPr>
          <w:rFonts w:ascii="Cambria" w:eastAsia="Times New Roman" w:hAnsi="Cambria" w:cs="Courier New"/>
          <w:sz w:val="20"/>
          <w:szCs w:val="20"/>
          <w:bdr w:val="none" w:sz="0" w:space="0" w:color="auto"/>
          <w:lang w:val="es-ES"/>
        </w:rPr>
        <w:t>navidad y año nuevo</w:t>
      </w:r>
      <w:r w:rsidR="001C2322" w:rsidRPr="009D1618">
        <w:rPr>
          <w:rStyle w:val="FootnoteReference"/>
          <w:rFonts w:ascii="Cambria" w:eastAsia="Times New Roman" w:hAnsi="Cambria" w:cs="Courier New"/>
          <w:sz w:val="20"/>
          <w:szCs w:val="20"/>
          <w:bdr w:val="none" w:sz="0" w:space="0" w:color="auto"/>
          <w:lang w:val="es-ES"/>
        </w:rPr>
        <w:footnoteReference w:id="61"/>
      </w:r>
      <w:r w:rsidR="001C2322" w:rsidRPr="009D1618">
        <w:rPr>
          <w:rFonts w:ascii="Cambria" w:eastAsia="Times New Roman" w:hAnsi="Cambria" w:cs="Courier New"/>
          <w:sz w:val="20"/>
          <w:szCs w:val="20"/>
          <w:bdr w:val="none" w:sz="0" w:space="0" w:color="auto"/>
          <w:lang w:val="es-ES"/>
        </w:rPr>
        <w:t xml:space="preserve">. </w:t>
      </w:r>
    </w:p>
    <w:p w14:paraId="54E610F4" w14:textId="77777777" w:rsidR="00F41C0D" w:rsidRPr="009D1618" w:rsidRDefault="00F41C0D" w:rsidP="00F41C0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1925535C" w14:textId="77777777" w:rsidR="00F50CA8" w:rsidRPr="009D1618" w:rsidRDefault="002D06E9"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segundo informe, de carácter médico establece que el señor</w:t>
      </w:r>
      <w:r w:rsidR="00CE5DB7" w:rsidRPr="009D1618">
        <w:rPr>
          <w:rFonts w:ascii="Cambria" w:eastAsia="Times New Roman" w:hAnsi="Cambria" w:cs="Courier New"/>
          <w:sz w:val="20"/>
          <w:szCs w:val="20"/>
          <w:bdr w:val="none" w:sz="0" w:space="0" w:color="auto"/>
          <w:lang w:val="es-ES"/>
        </w:rPr>
        <w:t xml:space="preserve"> Miguel Ángel</w:t>
      </w:r>
      <w:r w:rsidRPr="009D1618">
        <w:rPr>
          <w:rFonts w:ascii="Cambria" w:eastAsia="Times New Roman" w:hAnsi="Cambria" w:cs="Courier New"/>
          <w:sz w:val="20"/>
          <w:szCs w:val="20"/>
          <w:bdr w:val="none" w:sz="0" w:space="0" w:color="auto"/>
          <w:lang w:val="es-ES"/>
        </w:rPr>
        <w:t xml:space="preserve"> López Calo presenta cuadro clínico de: “1. Diabetes Mellitus, 2. Neuropatía secundaria y 3. Disfunción eréctil” y recomienda una serie de tratamientos médicos</w:t>
      </w:r>
      <w:r w:rsidRPr="009D1618">
        <w:rPr>
          <w:rStyle w:val="FootnoteReference"/>
          <w:rFonts w:ascii="Cambria" w:eastAsia="Times New Roman" w:hAnsi="Cambria" w:cs="Courier New"/>
          <w:sz w:val="20"/>
          <w:szCs w:val="20"/>
          <w:bdr w:val="none" w:sz="0" w:space="0" w:color="auto"/>
          <w:lang w:val="es-ES"/>
        </w:rPr>
        <w:footnoteReference w:id="62"/>
      </w:r>
      <w:r w:rsidRPr="009D1618">
        <w:rPr>
          <w:rFonts w:ascii="Cambria" w:eastAsia="Times New Roman" w:hAnsi="Cambria" w:cs="Courier New"/>
          <w:sz w:val="20"/>
          <w:szCs w:val="20"/>
          <w:bdr w:val="none" w:sz="0" w:space="0" w:color="auto"/>
          <w:lang w:val="es-ES"/>
        </w:rPr>
        <w:t xml:space="preserve">. </w:t>
      </w:r>
    </w:p>
    <w:p w14:paraId="47FBA76B" w14:textId="77777777" w:rsidR="00C22E44" w:rsidRPr="009D1618" w:rsidRDefault="00C22E44" w:rsidP="00C22E4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1C529A27" w14:textId="77777777" w:rsidR="005F4DAF" w:rsidRPr="009D1618" w:rsidRDefault="002652B1" w:rsidP="00F50C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El Estado por su parte negó las a</w:t>
      </w:r>
      <w:r w:rsidR="00C22E44" w:rsidRPr="009D1618">
        <w:rPr>
          <w:rFonts w:ascii="Cambria" w:eastAsia="Times New Roman" w:hAnsi="Cambria" w:cs="Courier New"/>
          <w:sz w:val="20"/>
          <w:szCs w:val="20"/>
          <w:bdr w:val="none" w:sz="0" w:space="0" w:color="auto"/>
          <w:lang w:val="es-ES"/>
        </w:rPr>
        <w:t xml:space="preserve">firmaciones del peticionario y refirió </w:t>
      </w:r>
      <w:r w:rsidRPr="009D1618">
        <w:rPr>
          <w:rFonts w:ascii="Cambria" w:eastAsia="Times New Roman" w:hAnsi="Cambria" w:cs="Courier New"/>
          <w:sz w:val="20"/>
          <w:szCs w:val="20"/>
          <w:bdr w:val="none" w:sz="0" w:space="0" w:color="auto"/>
          <w:lang w:val="es-ES"/>
        </w:rPr>
        <w:t>que las presuntas víctimas cuentan con servicios de salud en el centro de detención</w:t>
      </w:r>
      <w:r w:rsidR="00C22E44" w:rsidRPr="009D1618">
        <w:rPr>
          <w:rFonts w:ascii="Cambria" w:eastAsia="Times New Roman" w:hAnsi="Cambria" w:cs="Courier New"/>
          <w:sz w:val="20"/>
          <w:szCs w:val="20"/>
          <w:bdr w:val="none" w:sz="0" w:space="0" w:color="auto"/>
          <w:lang w:val="es-ES"/>
        </w:rPr>
        <w:t>,</w:t>
      </w:r>
      <w:r w:rsidRPr="009D1618">
        <w:rPr>
          <w:rFonts w:ascii="Cambria" w:eastAsia="Times New Roman" w:hAnsi="Cambria" w:cs="Courier New"/>
          <w:sz w:val="20"/>
          <w:szCs w:val="20"/>
          <w:bdr w:val="none" w:sz="0" w:space="0" w:color="auto"/>
          <w:lang w:val="es-ES"/>
        </w:rPr>
        <w:t xml:space="preserve"> así como acceso a médicos y medicinas</w:t>
      </w:r>
      <w:r w:rsidR="00CA0DA6" w:rsidRPr="009D1618">
        <w:rPr>
          <w:rStyle w:val="FootnoteReference"/>
          <w:rFonts w:ascii="Cambria" w:eastAsia="Times New Roman" w:hAnsi="Cambria" w:cs="Courier New"/>
          <w:sz w:val="20"/>
          <w:szCs w:val="20"/>
          <w:bdr w:val="none" w:sz="0" w:space="0" w:color="auto"/>
          <w:lang w:val="es-ES"/>
        </w:rPr>
        <w:footnoteReference w:id="63"/>
      </w:r>
      <w:r w:rsidRPr="009D1618">
        <w:rPr>
          <w:rFonts w:ascii="Cambria" w:eastAsia="Times New Roman" w:hAnsi="Cambria" w:cs="Courier New"/>
          <w:sz w:val="20"/>
          <w:szCs w:val="20"/>
          <w:bdr w:val="none" w:sz="0" w:space="0" w:color="auto"/>
          <w:lang w:val="es-ES"/>
        </w:rPr>
        <w:t>.</w:t>
      </w:r>
      <w:r w:rsidR="004816DA" w:rsidRPr="009D1618">
        <w:rPr>
          <w:rFonts w:ascii="Cambria" w:eastAsia="Times New Roman" w:hAnsi="Cambria" w:cs="Courier New"/>
          <w:sz w:val="20"/>
          <w:szCs w:val="20"/>
          <w:bdr w:val="none" w:sz="0" w:space="0" w:color="auto"/>
          <w:lang w:val="es-ES"/>
        </w:rPr>
        <w:t xml:space="preserve"> Si</w:t>
      </w:r>
      <w:r w:rsidR="00D87E60" w:rsidRPr="009D1618">
        <w:rPr>
          <w:rFonts w:ascii="Cambria" w:eastAsia="Times New Roman" w:hAnsi="Cambria" w:cs="Courier New"/>
          <w:sz w:val="20"/>
          <w:szCs w:val="20"/>
          <w:bdr w:val="none" w:sz="0" w:space="0" w:color="auto"/>
          <w:lang w:val="es-ES"/>
        </w:rPr>
        <w:t>n</w:t>
      </w:r>
      <w:r w:rsidR="004816DA" w:rsidRPr="009D1618">
        <w:rPr>
          <w:rFonts w:ascii="Cambria" w:eastAsia="Times New Roman" w:hAnsi="Cambria" w:cs="Courier New"/>
          <w:sz w:val="20"/>
          <w:szCs w:val="20"/>
          <w:bdr w:val="none" w:sz="0" w:space="0" w:color="auto"/>
          <w:lang w:val="es-ES"/>
        </w:rPr>
        <w:t xml:space="preserve"> embargo, no aportó elementos probatorios que desvirtúen la documentación aportada por los peticionarios sobre estos extremos, incluyendo los informes médicos descritos en los párrafos precedentes. </w:t>
      </w:r>
      <w:r w:rsidRPr="009D1618">
        <w:rPr>
          <w:rFonts w:ascii="Cambria" w:eastAsia="Times New Roman" w:hAnsi="Cambria" w:cs="Courier New"/>
          <w:sz w:val="20"/>
          <w:szCs w:val="20"/>
          <w:bdr w:val="none" w:sz="0" w:space="0" w:color="auto"/>
          <w:lang w:val="es-ES"/>
        </w:rPr>
        <w:t xml:space="preserve"> </w:t>
      </w:r>
      <w:r w:rsidRPr="009D1618">
        <w:rPr>
          <w:rFonts w:ascii="Cambria" w:eastAsia="Times New Roman" w:hAnsi="Cambria" w:cs="Courier New"/>
          <w:sz w:val="20"/>
          <w:szCs w:val="20"/>
          <w:bdr w:val="none" w:sz="0" w:space="0" w:color="auto"/>
          <w:lang w:val="es-ES"/>
        </w:rPr>
        <w:br/>
      </w:r>
    </w:p>
    <w:p w14:paraId="27F07B53" w14:textId="77777777" w:rsidR="005D041A" w:rsidRPr="009D1618" w:rsidRDefault="005D041A" w:rsidP="001D6D79">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eastAsia="Times New Roman" w:cs="Courier New"/>
          <w:i/>
          <w:color w:val="auto"/>
          <w:sz w:val="20"/>
          <w:szCs w:val="20"/>
          <w:bdr w:val="none" w:sz="0" w:space="0" w:color="auto"/>
          <w:lang w:val="es-ES"/>
        </w:rPr>
      </w:pPr>
      <w:r w:rsidRPr="009D1618">
        <w:rPr>
          <w:rFonts w:eastAsia="Times New Roman" w:cs="Courier New"/>
          <w:b/>
          <w:color w:val="auto"/>
          <w:sz w:val="20"/>
          <w:szCs w:val="20"/>
          <w:bdr w:val="none" w:sz="0" w:space="0" w:color="auto"/>
          <w:lang w:val="es-ES"/>
        </w:rPr>
        <w:t>Nuevo recurso de revisión y conversión de la pena</w:t>
      </w:r>
    </w:p>
    <w:p w14:paraId="4FB7D89F" w14:textId="77777777" w:rsidR="00C41462" w:rsidRPr="009D1618" w:rsidRDefault="00C41462" w:rsidP="00C414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i/>
          <w:sz w:val="20"/>
          <w:szCs w:val="20"/>
          <w:bdr w:val="none" w:sz="0" w:space="0" w:color="auto"/>
          <w:lang w:val="es-ES"/>
        </w:rPr>
      </w:pPr>
    </w:p>
    <w:p w14:paraId="5AFE31D0" w14:textId="77777777" w:rsidR="00F50CA8" w:rsidRPr="009D1618" w:rsidRDefault="005D041A" w:rsidP="007A621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Por otra parte, según información de público conocimiento, las presuntas víctimas interpusieron</w:t>
      </w:r>
      <w:r w:rsidR="00F03C7D" w:rsidRPr="009D1618">
        <w:rPr>
          <w:rFonts w:ascii="Cambria" w:eastAsia="Times New Roman" w:hAnsi="Cambria" w:cs="Courier New"/>
          <w:sz w:val="20"/>
          <w:szCs w:val="20"/>
          <w:bdr w:val="none" w:sz="0" w:space="0" w:color="auto"/>
          <w:lang w:val="es-ES"/>
        </w:rPr>
        <w:t xml:space="preserve"> un</w:t>
      </w:r>
      <w:r w:rsidRPr="009D1618">
        <w:rPr>
          <w:rFonts w:ascii="Cambria" w:eastAsia="Times New Roman" w:hAnsi="Cambria" w:cs="Courier New"/>
          <w:sz w:val="20"/>
          <w:szCs w:val="20"/>
          <w:bdr w:val="none" w:sz="0" w:space="0" w:color="auto"/>
          <w:lang w:val="es-ES"/>
        </w:rPr>
        <w:t xml:space="preserve"> nuevo recurso de revisión, argumentando que los hechos tenidos como fundamento de su condena resultan inco</w:t>
      </w:r>
      <w:r w:rsidR="00714373" w:rsidRPr="009D1618">
        <w:rPr>
          <w:rFonts w:ascii="Cambria" w:eastAsia="Times New Roman" w:hAnsi="Cambria" w:cs="Courier New"/>
          <w:sz w:val="20"/>
          <w:szCs w:val="20"/>
          <w:bdr w:val="none" w:sz="0" w:space="0" w:color="auto"/>
          <w:lang w:val="es-ES"/>
        </w:rPr>
        <w:t>nciliables con dos sentencias de la Corte Interamericana y una sentencia de la Corte Suprema de Justicia.</w:t>
      </w:r>
      <w:r w:rsidR="0027778F" w:rsidRPr="009D1618">
        <w:rPr>
          <w:rFonts w:ascii="Cambria" w:hAnsi="Cambria"/>
          <w:sz w:val="20"/>
          <w:szCs w:val="20"/>
          <w:lang w:val="es-ES"/>
        </w:rPr>
        <w:t xml:space="preserve"> </w:t>
      </w:r>
      <w:r w:rsidR="002652B1" w:rsidRPr="009D1618">
        <w:rPr>
          <w:rFonts w:ascii="Cambria" w:hAnsi="Cambria"/>
          <w:sz w:val="20"/>
          <w:szCs w:val="20"/>
          <w:lang w:val="es-ES"/>
        </w:rPr>
        <w:t>El 2</w:t>
      </w:r>
      <w:r w:rsidR="00714373" w:rsidRPr="009D1618">
        <w:rPr>
          <w:rFonts w:ascii="Cambria" w:hAnsi="Cambria"/>
          <w:sz w:val="20"/>
          <w:szCs w:val="20"/>
          <w:lang w:val="es-ES"/>
        </w:rPr>
        <w:t>3 de agosto de 2011 la Corte Suprema de Justicia declaró con lugar dicho recurso y decidió “anular parcialmente la sentencia objeto de la acción en lo relativo a la pena de muerte impuesta”</w:t>
      </w:r>
      <w:r w:rsidR="001766FD" w:rsidRPr="009D1618">
        <w:rPr>
          <w:rStyle w:val="FootnoteReference"/>
          <w:rFonts w:ascii="Cambria" w:hAnsi="Cambria"/>
          <w:sz w:val="20"/>
          <w:szCs w:val="20"/>
          <w:lang w:val="es-ES"/>
        </w:rPr>
        <w:footnoteReference w:id="64"/>
      </w:r>
      <w:r w:rsidR="00714373" w:rsidRPr="009D1618">
        <w:rPr>
          <w:rFonts w:ascii="Cambria" w:hAnsi="Cambria"/>
          <w:sz w:val="20"/>
          <w:szCs w:val="20"/>
          <w:lang w:val="es-ES"/>
        </w:rPr>
        <w:t xml:space="preserve">. </w:t>
      </w:r>
    </w:p>
    <w:p w14:paraId="64C9E189" w14:textId="77777777" w:rsidR="00F50CA8" w:rsidRPr="009D1618" w:rsidRDefault="00F50CA8" w:rsidP="00F50CA8">
      <w:pPr>
        <w:pStyle w:val="ListParagraph"/>
        <w:rPr>
          <w:sz w:val="20"/>
          <w:szCs w:val="20"/>
          <w:lang w:val="es-ES"/>
        </w:rPr>
      </w:pPr>
    </w:p>
    <w:p w14:paraId="2FDE30F8" w14:textId="77777777" w:rsidR="00715E71" w:rsidRPr="009D1618" w:rsidRDefault="00714373" w:rsidP="00B412C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sz w:val="20"/>
          <w:szCs w:val="20"/>
          <w:bdr w:val="none" w:sz="0" w:space="0" w:color="auto"/>
          <w:lang w:val="es-ES"/>
        </w:rPr>
      </w:pPr>
      <w:r w:rsidRPr="009D1618">
        <w:rPr>
          <w:rFonts w:ascii="Cambria" w:hAnsi="Cambria"/>
          <w:sz w:val="20"/>
          <w:szCs w:val="20"/>
          <w:lang w:val="es-ES"/>
        </w:rPr>
        <w:t>Al respecto</w:t>
      </w:r>
      <w:r w:rsidR="00F03C7D" w:rsidRPr="009D1618">
        <w:rPr>
          <w:rFonts w:ascii="Cambria" w:hAnsi="Cambria"/>
          <w:sz w:val="20"/>
          <w:szCs w:val="20"/>
          <w:lang w:val="es-ES"/>
        </w:rPr>
        <w:t>,</w:t>
      </w:r>
      <w:r w:rsidR="00873F60" w:rsidRPr="009D1618">
        <w:rPr>
          <w:rFonts w:ascii="Cambria" w:hAnsi="Cambria"/>
          <w:sz w:val="20"/>
          <w:szCs w:val="20"/>
          <w:lang w:val="es-ES"/>
        </w:rPr>
        <w:t xml:space="preserve"> indicó </w:t>
      </w:r>
      <w:r w:rsidRPr="009D1618">
        <w:rPr>
          <w:rFonts w:ascii="Cambria" w:hAnsi="Cambria"/>
          <w:sz w:val="20"/>
          <w:szCs w:val="20"/>
          <w:lang w:val="es-ES"/>
        </w:rPr>
        <w:t>que</w:t>
      </w:r>
      <w:r w:rsidR="00715E71" w:rsidRPr="009D1618">
        <w:rPr>
          <w:rFonts w:ascii="Cambria" w:hAnsi="Cambria"/>
          <w:sz w:val="20"/>
          <w:szCs w:val="20"/>
          <w:lang w:val="es-ES"/>
        </w:rPr>
        <w:t>,</w:t>
      </w:r>
    </w:p>
    <w:p w14:paraId="7A0958A8" w14:textId="77777777" w:rsidR="00715E71" w:rsidRPr="009D1618" w:rsidRDefault="00715E71" w:rsidP="00715E71">
      <w:pPr>
        <w:pStyle w:val="ListParagraph"/>
        <w:rPr>
          <w:rFonts w:eastAsia="Times New Roman" w:cs="Courier New"/>
          <w:sz w:val="20"/>
          <w:szCs w:val="20"/>
          <w:bdr w:val="none" w:sz="0" w:space="0" w:color="auto"/>
          <w:lang w:val="es-ES"/>
        </w:rPr>
      </w:pPr>
    </w:p>
    <w:p w14:paraId="539B1892" w14:textId="77777777" w:rsidR="00715E71" w:rsidRPr="009D1618" w:rsidRDefault="00715E71" w:rsidP="006458C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ES"/>
        </w:rPr>
      </w:pPr>
      <w:r w:rsidRPr="009D1618">
        <w:rPr>
          <w:rFonts w:ascii="Cambria" w:eastAsia="Times New Roman" w:hAnsi="Cambria" w:cs="Courier New"/>
          <w:sz w:val="20"/>
          <w:szCs w:val="20"/>
          <w:bdr w:val="none" w:sz="0" w:space="0" w:color="auto"/>
          <w:lang w:val="es-ES"/>
        </w:rPr>
        <w:t>(…)</w:t>
      </w:r>
      <w:r w:rsidR="00373C99" w:rsidRPr="009D1618">
        <w:rPr>
          <w:rFonts w:ascii="Cambria" w:eastAsia="Times New Roman" w:hAnsi="Cambria" w:cs="Courier New"/>
          <w:sz w:val="20"/>
          <w:szCs w:val="20"/>
          <w:bdr w:val="none" w:sz="0" w:space="0" w:color="auto"/>
          <w:lang w:val="es-ES"/>
        </w:rPr>
        <w:t xml:space="preserve"> </w:t>
      </w:r>
      <w:r w:rsidRPr="009D1618">
        <w:rPr>
          <w:rFonts w:ascii="Cambria" w:hAnsi="Cambria"/>
          <w:color w:val="000000"/>
          <w:sz w:val="20"/>
          <w:szCs w:val="20"/>
          <w:lang w:val="es-VE"/>
        </w:rPr>
        <w:t xml:space="preserve">El artículo 68 del Pacto de San José de Costa Rica determina en el numeral 1 que los Estados Parte en la convención se comprometen a cumplir las decisiones de la Corte Interamericana de Derechos Humanos en todo caso en que sean partes. Norma que en su </w:t>
      </w:r>
      <w:r w:rsidRPr="009D1618">
        <w:rPr>
          <w:rFonts w:ascii="Cambria" w:hAnsi="Cambria"/>
          <w:color w:val="000000"/>
          <w:sz w:val="20"/>
          <w:szCs w:val="20"/>
          <w:lang w:val="es-VE"/>
        </w:rPr>
        <w:lastRenderedPageBreak/>
        <w:t>desarrollo jurisprudencial y doctrinal se ha reconocido como vinculante y ley autoejecutable para cada Estado. Independientemente</w:t>
      </w:r>
      <w:r w:rsidR="00FE0A86" w:rsidRPr="009D1618">
        <w:rPr>
          <w:rFonts w:ascii="Cambria" w:hAnsi="Cambria"/>
          <w:color w:val="000000"/>
          <w:sz w:val="20"/>
          <w:szCs w:val="20"/>
          <w:lang w:val="es-VE"/>
        </w:rPr>
        <w:t xml:space="preserve"> </w:t>
      </w:r>
      <w:r w:rsidRPr="009D1618">
        <w:rPr>
          <w:rFonts w:ascii="Cambria" w:hAnsi="Cambria"/>
          <w:color w:val="000000"/>
          <w:sz w:val="20"/>
          <w:szCs w:val="20"/>
          <w:lang w:val="es-VE"/>
        </w:rPr>
        <w:t>al cumplimiento del Poder Legislativo guatemalteco de derogar el fragmento del artículo 132 del Código Penal ordenado por la Corte Interamericana de Derechos Humanos, no es permitido a la jurisdicción en Guatemala aplicar la pena de muerte fundada en la peligrosidad del autor del delito de asesinato. Y este mandato, por el principio constitucional de retroactividad, no sólo comprende los procesos posteriores a la fecha del caso Fermín Ramírez, junio de dos mil cinco, sino a aquellos casos anteriores en que existan condenas de muerte sin ejecutar, basados en el tantas veces citado artículo 132 de la legislación penal guatemalteca, lo que no sería posible realizar en sentencias que pasan por autoridad de cosa juzgada, sino por medio de la acción de Revisión, idónea para corregir un error judicial que afecta el orden o los intereses públicos. Y así es como debe resolverse en Derecho, y por lo mismo la Cámara Penal de la Corte Suprema de Justicia, está obligada por mandato de la Constitución Política de la República y de la Convención Americana de Derechos Humanos y a declarar con lugar la presente acción de Revisión y a anular parcialmente la sentencia objeto de la acción en lo relativo a la pena de muerte impuesta...”</w:t>
      </w:r>
      <w:r w:rsidRPr="009D1618">
        <w:rPr>
          <w:rStyle w:val="FootnoteReference"/>
          <w:rFonts w:ascii="Cambria" w:hAnsi="Cambria"/>
          <w:sz w:val="20"/>
          <w:szCs w:val="20"/>
          <w:lang w:val="es-ES"/>
        </w:rPr>
        <w:footnoteReference w:id="65"/>
      </w:r>
      <w:r w:rsidRPr="009D1618">
        <w:rPr>
          <w:rFonts w:ascii="Cambria" w:hAnsi="Cambria"/>
          <w:sz w:val="20"/>
          <w:szCs w:val="20"/>
          <w:lang w:val="es-ES"/>
        </w:rPr>
        <w:t>.</w:t>
      </w:r>
    </w:p>
    <w:p w14:paraId="000A767B" w14:textId="77777777" w:rsidR="00FF2EA1" w:rsidRPr="009D1618" w:rsidRDefault="00FF2EA1" w:rsidP="00511DB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sz w:val="20"/>
          <w:szCs w:val="20"/>
          <w:bdr w:val="none" w:sz="0" w:space="0" w:color="auto"/>
          <w:lang w:val="es-ES"/>
        </w:rPr>
      </w:pPr>
    </w:p>
    <w:p w14:paraId="2C6FED34" w14:textId="77777777" w:rsidR="00F236EB" w:rsidRPr="009D1618" w:rsidRDefault="001D4C89" w:rsidP="000F3FA8">
      <w:pPr>
        <w:pStyle w:val="Heading1"/>
        <w:numPr>
          <w:ilvl w:val="0"/>
          <w:numId w:val="55"/>
        </w:numPr>
        <w:tabs>
          <w:tab w:val="clear" w:pos="1440"/>
        </w:tabs>
        <w:rPr>
          <w:rFonts w:ascii="Cambria" w:hAnsi="Cambria" w:cs="Courier New"/>
          <w:color w:val="212121"/>
          <w:lang w:val="es-ES"/>
        </w:rPr>
      </w:pPr>
      <w:bookmarkStart w:id="79" w:name="_Toc423514424"/>
      <w:bookmarkStart w:id="80" w:name="_Toc433115991"/>
      <w:bookmarkStart w:id="81" w:name="_Toc444958132"/>
      <w:bookmarkStart w:id="82" w:name="_Toc457824495"/>
      <w:bookmarkStart w:id="83" w:name="_Toc475546054"/>
      <w:bookmarkStart w:id="84" w:name="_Toc489111557"/>
      <w:r w:rsidRPr="009D1618">
        <w:rPr>
          <w:rFonts w:ascii="Cambria" w:hAnsi="Cambria"/>
        </w:rPr>
        <w:t>ANALISIS DE DERECHO</w:t>
      </w:r>
      <w:bookmarkEnd w:id="79"/>
      <w:bookmarkEnd w:id="80"/>
      <w:bookmarkEnd w:id="81"/>
      <w:bookmarkEnd w:id="82"/>
      <w:bookmarkEnd w:id="83"/>
      <w:bookmarkEnd w:id="84"/>
      <w:r w:rsidRPr="009D1618">
        <w:rPr>
          <w:rFonts w:ascii="Cambria" w:hAnsi="Cambria"/>
        </w:rPr>
        <w:t xml:space="preserve"> </w:t>
      </w:r>
    </w:p>
    <w:p w14:paraId="5CEBB749" w14:textId="77777777" w:rsidR="00CE5F5B" w:rsidRPr="009D1618" w:rsidRDefault="00CE5F5B" w:rsidP="00CE5F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sz w:val="20"/>
          <w:szCs w:val="20"/>
          <w:lang w:val="es-ES"/>
        </w:rPr>
      </w:pPr>
    </w:p>
    <w:p w14:paraId="59E3595D" w14:textId="77777777" w:rsidR="00954A4E" w:rsidRPr="009D1618" w:rsidRDefault="00D85874" w:rsidP="00954A4E">
      <w:pPr>
        <w:pStyle w:val="Heading2"/>
        <w:keepNext w:val="0"/>
        <w:numPr>
          <w:ilvl w:val="2"/>
          <w:numId w:val="66"/>
        </w:numPr>
        <w:pBdr>
          <w:top w:val="nil"/>
          <w:left w:val="nil"/>
          <w:bottom w:val="nil"/>
          <w:right w:val="nil"/>
          <w:between w:val="nil"/>
          <w:bar w:val="nil"/>
        </w:pBdr>
        <w:ind w:left="1440" w:hanging="720"/>
        <w:rPr>
          <w:rFonts w:ascii="Cambria" w:hAnsi="Cambria"/>
          <w:lang w:val="es-CO"/>
        </w:rPr>
      </w:pPr>
      <w:bookmarkStart w:id="85" w:name="_Toc469319780"/>
      <w:bookmarkStart w:id="86" w:name="_Toc475546056"/>
      <w:bookmarkStart w:id="87" w:name="_Toc489111558"/>
      <w:r w:rsidRPr="009D1618">
        <w:rPr>
          <w:rFonts w:ascii="Cambria" w:hAnsi="Cambria"/>
          <w:lang w:val="es-CO"/>
        </w:rPr>
        <w:t xml:space="preserve">Consideraciones </w:t>
      </w:r>
      <w:r w:rsidR="00170BD9" w:rsidRPr="009D1618">
        <w:rPr>
          <w:rFonts w:ascii="Cambria" w:hAnsi="Cambria"/>
          <w:lang w:val="es-CO"/>
        </w:rPr>
        <w:t xml:space="preserve">generales sobre el </w:t>
      </w:r>
      <w:r w:rsidRPr="009D1618">
        <w:rPr>
          <w:rFonts w:ascii="Cambria" w:hAnsi="Cambria"/>
          <w:lang w:val="es-CO"/>
        </w:rPr>
        <w:t xml:space="preserve">estándar de análisis en </w:t>
      </w:r>
      <w:r w:rsidRPr="009D1618">
        <w:rPr>
          <w:rFonts w:ascii="Cambria" w:hAnsi="Cambria"/>
          <w:lang w:val="es-DO"/>
        </w:rPr>
        <w:t>casos</w:t>
      </w:r>
      <w:r w:rsidRPr="009D1618">
        <w:rPr>
          <w:rFonts w:ascii="Cambria" w:hAnsi="Cambria"/>
          <w:lang w:val="es-CO"/>
        </w:rPr>
        <w:t xml:space="preserve"> de pena de muerte</w:t>
      </w:r>
      <w:bookmarkEnd w:id="85"/>
      <w:bookmarkEnd w:id="86"/>
      <w:bookmarkEnd w:id="87"/>
    </w:p>
    <w:p w14:paraId="01E82991" w14:textId="77777777" w:rsidR="00190CDC" w:rsidRPr="009D1618" w:rsidRDefault="00190CDC" w:rsidP="00190CDC">
      <w:pPr>
        <w:rPr>
          <w:rFonts w:ascii="Cambria" w:hAnsi="Cambria"/>
          <w:sz w:val="20"/>
          <w:szCs w:val="20"/>
          <w:lang w:val="es-CO"/>
        </w:rPr>
      </w:pPr>
    </w:p>
    <w:p w14:paraId="428F5EEA" w14:textId="77777777" w:rsidR="00A80502" w:rsidRPr="009D1618" w:rsidRDefault="00A80502" w:rsidP="00A805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t xml:space="preserve">La Comisión Interamericana considera pertinente reiterar sus pronunciamientos anteriores con respecto al escrutinio riguroso a ser utilizado en casos que </w:t>
      </w:r>
      <w:r w:rsidRPr="009D1618">
        <w:rPr>
          <w:rFonts w:ascii="Cambria" w:hAnsi="Cambria"/>
          <w:bCs/>
          <w:sz w:val="20"/>
          <w:szCs w:val="20"/>
          <w:lang w:val="es-CO"/>
        </w:rPr>
        <w:t>involucran</w:t>
      </w:r>
      <w:r w:rsidRPr="009D1618">
        <w:rPr>
          <w:rFonts w:ascii="Cambria" w:hAnsi="Cambria"/>
          <w:sz w:val="20"/>
          <w:szCs w:val="20"/>
          <w:lang w:val="es-ES"/>
        </w:rPr>
        <w:t xml:space="preserve"> la aplicación de la pena de muerte. El derecho a la vida es ampliamente reconocido como el derecho supremo de los seres humanos y como </w:t>
      </w:r>
      <w:r w:rsidRPr="009D1618">
        <w:rPr>
          <w:rFonts w:ascii="Cambria" w:hAnsi="Cambria"/>
          <w:i/>
          <w:sz w:val="20"/>
          <w:szCs w:val="20"/>
          <w:lang w:val="es-ES"/>
        </w:rPr>
        <w:t>conditio sine qua non</w:t>
      </w:r>
      <w:r w:rsidRPr="009D1618">
        <w:rPr>
          <w:rFonts w:ascii="Cambria" w:hAnsi="Cambria"/>
          <w:sz w:val="20"/>
          <w:szCs w:val="20"/>
          <w:lang w:val="es-ES"/>
        </w:rPr>
        <w:t xml:space="preserve"> para el goce de todos los demás derechos</w:t>
      </w:r>
      <w:r w:rsidRPr="009D1618">
        <w:rPr>
          <w:rStyle w:val="FootnoteReference"/>
          <w:rFonts w:ascii="Cambria" w:hAnsi="Cambria"/>
          <w:sz w:val="20"/>
          <w:szCs w:val="20"/>
          <w:lang w:val="es-ES"/>
        </w:rPr>
        <w:footnoteReference w:id="66"/>
      </w:r>
      <w:r w:rsidRPr="009D1618">
        <w:rPr>
          <w:rFonts w:ascii="Cambria" w:hAnsi="Cambria"/>
          <w:sz w:val="20"/>
          <w:szCs w:val="20"/>
          <w:lang w:val="es-ES"/>
        </w:rPr>
        <w:t>.</w:t>
      </w:r>
    </w:p>
    <w:p w14:paraId="11391C8B" w14:textId="77777777" w:rsidR="00A80502" w:rsidRPr="009D1618" w:rsidRDefault="00A80502" w:rsidP="00A80502">
      <w:pPr>
        <w:shd w:val="clear" w:color="auto" w:fill="FFFFFF"/>
        <w:tabs>
          <w:tab w:val="num" w:pos="1080"/>
          <w:tab w:val="left" w:pos="1440"/>
          <w:tab w:val="num" w:pos="2040"/>
        </w:tabs>
        <w:ind w:left="720"/>
        <w:jc w:val="both"/>
        <w:rPr>
          <w:rFonts w:ascii="Cambria" w:hAnsi="Cambria"/>
          <w:sz w:val="20"/>
          <w:szCs w:val="20"/>
          <w:lang w:val="es-ES"/>
        </w:rPr>
      </w:pPr>
    </w:p>
    <w:p w14:paraId="5708A955" w14:textId="77777777" w:rsidR="00A80502" w:rsidRPr="009D1618" w:rsidRDefault="00A80502" w:rsidP="00A805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t>Por ello es de particular importancia la obligación de la CIDH de asegurarse de que toda privación a la vida que pueda ocurrir por la aplicación de la pena de muerte no transgreda ninguna obligación consagrada en los instrumentos aplicables del sistema interamericano de derechos humanos</w:t>
      </w:r>
      <w:r w:rsidRPr="009D1618">
        <w:rPr>
          <w:rStyle w:val="FootnoteReference"/>
          <w:rFonts w:ascii="Cambria" w:hAnsi="Cambria"/>
          <w:sz w:val="20"/>
          <w:szCs w:val="20"/>
        </w:rPr>
        <w:footnoteReference w:id="67"/>
      </w:r>
      <w:r w:rsidRPr="009D1618">
        <w:rPr>
          <w:rFonts w:ascii="Cambria" w:hAnsi="Cambria"/>
          <w:sz w:val="20"/>
          <w:szCs w:val="20"/>
          <w:lang w:val="es-ES"/>
        </w:rPr>
        <w:t>. Este escrutinio riguroso es congruente con el enfoque restrictivo que adoptan otros organismos internacionales de derechos humanos cuando analizan casos que involucran la pena de muerte</w:t>
      </w:r>
      <w:r w:rsidRPr="009D1618">
        <w:rPr>
          <w:rStyle w:val="FootnoteReference"/>
          <w:rFonts w:ascii="Cambria" w:hAnsi="Cambria"/>
          <w:sz w:val="20"/>
          <w:szCs w:val="20"/>
        </w:rPr>
        <w:footnoteReference w:id="68"/>
      </w:r>
      <w:r w:rsidRPr="009D1618">
        <w:rPr>
          <w:rFonts w:ascii="Cambria" w:hAnsi="Cambria"/>
          <w:sz w:val="20"/>
          <w:szCs w:val="20"/>
          <w:lang w:val="es-ES"/>
        </w:rPr>
        <w:t xml:space="preserve"> y la Comisión Interamericana lo ha expresado y aplicado en casos anteriores de pena capital que se le han presentado</w:t>
      </w:r>
      <w:r w:rsidRPr="009D1618">
        <w:rPr>
          <w:rStyle w:val="FootnoteReference"/>
          <w:rFonts w:ascii="Cambria" w:hAnsi="Cambria"/>
          <w:sz w:val="20"/>
          <w:szCs w:val="20"/>
        </w:rPr>
        <w:footnoteReference w:id="69"/>
      </w:r>
      <w:r w:rsidRPr="009D1618">
        <w:rPr>
          <w:rFonts w:ascii="Cambria" w:hAnsi="Cambria"/>
          <w:sz w:val="20"/>
          <w:szCs w:val="20"/>
          <w:lang w:val="es-ES"/>
        </w:rPr>
        <w:t>.</w:t>
      </w:r>
    </w:p>
    <w:p w14:paraId="0254FB7F" w14:textId="77777777" w:rsidR="00A80502" w:rsidRPr="009D1618" w:rsidRDefault="00A80502" w:rsidP="00A80502">
      <w:pPr>
        <w:pStyle w:val="ListParagraph"/>
        <w:jc w:val="both"/>
        <w:rPr>
          <w:sz w:val="20"/>
          <w:szCs w:val="20"/>
          <w:lang w:val="es-ES"/>
        </w:rPr>
      </w:pPr>
    </w:p>
    <w:p w14:paraId="1140F3E8" w14:textId="77777777" w:rsidR="00A80502" w:rsidRPr="009D1618" w:rsidRDefault="00A80502" w:rsidP="00A805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lastRenderedPageBreak/>
        <w:t>Según ha explicado la Comisión Interamericana este estándar de revisión es consecuencia necesaria de la pena en cuestión y de las garantías del debido proceso legal relacionadas</w:t>
      </w:r>
      <w:r w:rsidRPr="009D1618">
        <w:rPr>
          <w:rFonts w:ascii="Cambria" w:hAnsi="Cambria"/>
          <w:sz w:val="20"/>
          <w:szCs w:val="20"/>
          <w:vertAlign w:val="superscript"/>
          <w:lang w:val="es-ES"/>
        </w:rPr>
        <w:footnoteReference w:id="70"/>
      </w:r>
      <w:r w:rsidRPr="009D1618">
        <w:rPr>
          <w:rFonts w:ascii="Cambria" w:hAnsi="Cambria"/>
          <w:sz w:val="20"/>
          <w:szCs w:val="20"/>
          <w:lang w:val="es-ES"/>
        </w:rPr>
        <w:t>. En palabras de la CIDH:</w:t>
      </w:r>
    </w:p>
    <w:p w14:paraId="03D9CAAD" w14:textId="77777777" w:rsidR="00A80502" w:rsidRPr="009D1618" w:rsidRDefault="00A80502" w:rsidP="00A80502">
      <w:pPr>
        <w:ind w:left="720" w:right="720"/>
        <w:jc w:val="both"/>
        <w:rPr>
          <w:rFonts w:ascii="Cambria" w:hAnsi="Cambria" w:cs="Calibri"/>
          <w:sz w:val="20"/>
          <w:szCs w:val="20"/>
          <w:lang w:val="es-ES"/>
        </w:rPr>
      </w:pPr>
    </w:p>
    <w:p w14:paraId="55410C96" w14:textId="77777777" w:rsidR="00A80502" w:rsidRDefault="00A80502" w:rsidP="002B7621">
      <w:pPr>
        <w:ind w:left="720" w:right="720"/>
        <w:jc w:val="both"/>
        <w:rPr>
          <w:rFonts w:ascii="Cambria" w:hAnsi="Cambria" w:cs="Calibri"/>
          <w:sz w:val="20"/>
          <w:szCs w:val="20"/>
          <w:lang w:val="es-ES"/>
        </w:rPr>
      </w:pPr>
      <w:proofErr w:type="gramStart"/>
      <w:r w:rsidRPr="009D1618">
        <w:rPr>
          <w:rFonts w:ascii="Cambria" w:hAnsi="Cambria" w:cs="Calibri"/>
          <w:sz w:val="20"/>
          <w:szCs w:val="20"/>
          <w:lang w:val="es-ES"/>
        </w:rPr>
        <w:t>debido</w:t>
      </w:r>
      <w:proofErr w:type="gramEnd"/>
      <w:r w:rsidRPr="009D1618">
        <w:rPr>
          <w:rFonts w:ascii="Cambria" w:hAnsi="Cambria" w:cs="Calibri"/>
          <w:sz w:val="20"/>
          <w:szCs w:val="20"/>
          <w:lang w:val="es-ES"/>
        </w:rPr>
        <w:t xml:space="preserve"> en parte a su carácter irrevocable,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9D1618">
        <w:rPr>
          <w:rStyle w:val="FootnoteReference"/>
          <w:rFonts w:ascii="Cambria" w:hAnsi="Cambria"/>
          <w:sz w:val="20"/>
          <w:szCs w:val="20"/>
        </w:rPr>
        <w:footnoteReference w:id="71"/>
      </w:r>
      <w:r w:rsidRPr="009D1618">
        <w:rPr>
          <w:rFonts w:ascii="Cambria" w:hAnsi="Cambria" w:cs="Calibri"/>
          <w:sz w:val="20"/>
          <w:szCs w:val="20"/>
          <w:lang w:val="es-ES"/>
        </w:rPr>
        <w:t>.</w:t>
      </w:r>
    </w:p>
    <w:p w14:paraId="2A993A18" w14:textId="77777777" w:rsidR="001534DE" w:rsidRPr="009D1618" w:rsidRDefault="001534DE" w:rsidP="002B7621">
      <w:pPr>
        <w:ind w:left="720" w:right="720"/>
        <w:jc w:val="both"/>
        <w:rPr>
          <w:rFonts w:ascii="Cambria" w:hAnsi="Cambria" w:cs="Calibri"/>
          <w:sz w:val="20"/>
          <w:szCs w:val="20"/>
          <w:lang w:val="es-ES"/>
        </w:rPr>
      </w:pPr>
    </w:p>
    <w:p w14:paraId="3B8CCA1B" w14:textId="77777777" w:rsidR="00A80502" w:rsidRPr="009D1618" w:rsidRDefault="00A80502" w:rsidP="00A8050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VE"/>
        </w:rPr>
      </w:pPr>
      <w:r w:rsidRPr="009D1618">
        <w:rPr>
          <w:rFonts w:ascii="Cambria" w:hAnsi="Cambria"/>
          <w:sz w:val="20"/>
          <w:szCs w:val="20"/>
          <w:lang w:val="es-ES"/>
        </w:rPr>
        <w:t>La Comisión Interamericana revisará, por lo tanto, las alegaciones de los peticionarios en el presente caso con un nivel de escrutinio riguroso para garantizar, en particular, que los derechos a la vida, a las garantías judiciales y a la protección judicial, entre otros estipulados en la Convención Americana, hayan sido respetados por el Estado.</w:t>
      </w:r>
    </w:p>
    <w:p w14:paraId="23325211" w14:textId="77777777" w:rsidR="007A7F87" w:rsidRPr="009D1618" w:rsidRDefault="007A7F87" w:rsidP="007809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ES"/>
        </w:rPr>
      </w:pPr>
    </w:p>
    <w:p w14:paraId="5C830B00" w14:textId="77777777" w:rsidR="00AF3513" w:rsidRPr="009D1618" w:rsidRDefault="00AF3513" w:rsidP="002B7621">
      <w:pPr>
        <w:pStyle w:val="Heading2"/>
        <w:keepNext w:val="0"/>
        <w:numPr>
          <w:ilvl w:val="2"/>
          <w:numId w:val="66"/>
        </w:numPr>
        <w:pBdr>
          <w:top w:val="nil"/>
          <w:left w:val="nil"/>
          <w:bottom w:val="nil"/>
          <w:right w:val="nil"/>
          <w:between w:val="nil"/>
          <w:bar w:val="nil"/>
        </w:pBdr>
        <w:ind w:left="1440" w:hanging="720"/>
        <w:rPr>
          <w:lang w:val="es-VE"/>
        </w:rPr>
      </w:pPr>
      <w:bookmarkStart w:id="88" w:name="_Toc489111559"/>
      <w:r w:rsidRPr="009D1618">
        <w:rPr>
          <w:lang w:val="es-ES"/>
        </w:rPr>
        <w:t>Derechos a las garantías judiciales</w:t>
      </w:r>
      <w:r w:rsidRPr="009D1618">
        <w:rPr>
          <w:rStyle w:val="FootnoteReference"/>
          <w:rFonts w:ascii="Cambria" w:hAnsi="Cambria"/>
          <w:sz w:val="20"/>
          <w:lang w:val="es-ES"/>
        </w:rPr>
        <w:footnoteReference w:id="72"/>
      </w:r>
      <w:r w:rsidRPr="009D1618">
        <w:rPr>
          <w:lang w:val="es-ES"/>
        </w:rPr>
        <w:t>, protección judicial</w:t>
      </w:r>
      <w:r w:rsidRPr="009D1618">
        <w:rPr>
          <w:rStyle w:val="FootnoteReference"/>
          <w:rFonts w:ascii="Cambria" w:hAnsi="Cambria"/>
          <w:sz w:val="20"/>
          <w:lang w:val="es-ES"/>
        </w:rPr>
        <w:footnoteReference w:id="73"/>
      </w:r>
      <w:r w:rsidRPr="009D1618">
        <w:rPr>
          <w:lang w:val="es-ES"/>
        </w:rPr>
        <w:t xml:space="preserve"> y principio de legalidad</w:t>
      </w:r>
      <w:r w:rsidRPr="009D1618">
        <w:rPr>
          <w:rStyle w:val="FootnoteReference"/>
          <w:rFonts w:ascii="Cambria" w:hAnsi="Cambria"/>
          <w:sz w:val="20"/>
          <w:lang w:val="es-CO"/>
        </w:rPr>
        <w:footnoteReference w:id="74"/>
      </w:r>
      <w:bookmarkEnd w:id="88"/>
    </w:p>
    <w:p w14:paraId="2A49DB03" w14:textId="77777777" w:rsidR="009C1309" w:rsidRPr="009D1618" w:rsidRDefault="009C1309" w:rsidP="007809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CO"/>
        </w:rPr>
      </w:pPr>
    </w:p>
    <w:p w14:paraId="6E63DE06" w14:textId="77777777" w:rsidR="00EB51C0" w:rsidRPr="009D1618" w:rsidRDefault="00EB51C0" w:rsidP="00EB51C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t>En consonancia con lo indicado en la sección anterior, la CIDH reitera la importancia fundamental de garantizar el pleno y estricto cumplimiento de las garantías del debido proceso al juzgar a personas por delitos con la pena capital. Tal como ha indicado esta Comisión, “los Estados que aún mantienen la pena de muerte deben sin excepción ejercer el control más riguroso de la observancia de las garantías judiciales en esos casos”</w:t>
      </w:r>
      <w:r w:rsidRPr="009D1618">
        <w:rPr>
          <w:rStyle w:val="FootnoteReference"/>
          <w:rFonts w:ascii="Cambria" w:hAnsi="Cambria"/>
          <w:sz w:val="20"/>
          <w:szCs w:val="20"/>
          <w:lang w:val="es-ES"/>
        </w:rPr>
        <w:footnoteReference w:id="75"/>
      </w:r>
      <w:r w:rsidRPr="009D1618">
        <w:rPr>
          <w:rFonts w:ascii="Cambria" w:hAnsi="Cambria"/>
          <w:sz w:val="20"/>
          <w:szCs w:val="20"/>
          <w:lang w:val="es-ES"/>
        </w:rPr>
        <w:t xml:space="preserve"> a </w:t>
      </w:r>
      <w:r w:rsidRPr="009D1618">
        <w:rPr>
          <w:rFonts w:ascii="Cambria" w:hAnsi="Cambria" w:cs="Calibri"/>
          <w:sz w:val="20"/>
          <w:szCs w:val="20"/>
          <w:lang w:val="es-VE"/>
        </w:rPr>
        <w:t>fin de garantizar que toda privación de la vida a través de dicha pena se realice en estricto cumplimiento de los requisitos establecidos en los instrumentos interamericanos de derechos humanos aplicables</w:t>
      </w:r>
      <w:r w:rsidRPr="009D1618">
        <w:rPr>
          <w:rFonts w:ascii="Cambria" w:hAnsi="Cambria" w:cs="Calibri"/>
          <w:sz w:val="20"/>
          <w:szCs w:val="20"/>
          <w:vertAlign w:val="superscript"/>
          <w:lang w:val="es-VE"/>
        </w:rPr>
        <w:footnoteReference w:id="76"/>
      </w:r>
      <w:r w:rsidRPr="009D1618">
        <w:rPr>
          <w:rFonts w:ascii="Cambria" w:hAnsi="Cambria" w:cs="Calibri"/>
          <w:sz w:val="20"/>
          <w:szCs w:val="20"/>
          <w:lang w:val="es-VE"/>
        </w:rPr>
        <w:t>.</w:t>
      </w:r>
    </w:p>
    <w:p w14:paraId="08498784" w14:textId="77777777" w:rsidR="00EB51C0" w:rsidRPr="009D1618" w:rsidRDefault="00EB51C0" w:rsidP="00EB51C0">
      <w:pPr>
        <w:rPr>
          <w:rFonts w:ascii="Cambria" w:hAnsi="Cambria"/>
          <w:sz w:val="20"/>
          <w:szCs w:val="20"/>
          <w:lang w:val="es-ES"/>
        </w:rPr>
      </w:pPr>
    </w:p>
    <w:p w14:paraId="4B7AFCAB" w14:textId="2F0DAB1E" w:rsidR="0022273A" w:rsidRPr="001534DE" w:rsidRDefault="00E4053C" w:rsidP="000E33C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ES"/>
        </w:rPr>
        <w:t>Tomando en cuenta los alegatos de las partes así como los hechos probados, la Comisión efectuará su análisis en esta sección en el siguiente orden: 1. Sobre la aplicación del concepto de peligrosidad para imponer la pena de muerte; 2. Sobre el derecho a contar con juez imparcial; 3. Sobre el derecho de defensa</w:t>
      </w:r>
      <w:r w:rsidR="0094599C" w:rsidRPr="009D1618">
        <w:rPr>
          <w:rFonts w:ascii="Cambria" w:hAnsi="Cambria"/>
          <w:sz w:val="20"/>
          <w:szCs w:val="20"/>
          <w:lang w:val="es-ES"/>
        </w:rPr>
        <w:t xml:space="preserve"> y el deber de motivación en relación con el principio de presunción de inocencia</w:t>
      </w:r>
      <w:r w:rsidRPr="009D1618">
        <w:rPr>
          <w:rFonts w:ascii="Cambria" w:hAnsi="Cambria"/>
          <w:sz w:val="20"/>
          <w:szCs w:val="20"/>
          <w:lang w:val="es-ES"/>
        </w:rPr>
        <w:t>; y 4. Sobre el derecho a recurrir el fallo</w:t>
      </w:r>
      <w:r w:rsidR="00720378" w:rsidRPr="009D1618">
        <w:rPr>
          <w:rFonts w:ascii="Cambria" w:hAnsi="Cambria"/>
          <w:sz w:val="20"/>
          <w:szCs w:val="20"/>
          <w:lang w:val="es-ES"/>
        </w:rPr>
        <w:t xml:space="preserve"> y a la protección judicial</w:t>
      </w:r>
      <w:r w:rsidRPr="009D1618">
        <w:rPr>
          <w:rFonts w:ascii="Cambria" w:hAnsi="Cambria"/>
          <w:sz w:val="20"/>
          <w:szCs w:val="20"/>
          <w:lang w:val="es-ES"/>
        </w:rPr>
        <w:t>.</w:t>
      </w:r>
    </w:p>
    <w:p w14:paraId="483C001E" w14:textId="77777777" w:rsidR="00C614A3" w:rsidRPr="009D1618" w:rsidRDefault="00221549" w:rsidP="00C614A3">
      <w:pPr>
        <w:pStyle w:val="ListParagraph"/>
        <w:numPr>
          <w:ilvl w:val="1"/>
          <w:numId w:val="55"/>
        </w:numPr>
        <w:shd w:val="clear" w:color="auto" w:fill="FFFFFF"/>
        <w:tabs>
          <w:tab w:val="num" w:pos="720"/>
          <w:tab w:val="left" w:pos="1440"/>
          <w:tab w:val="num" w:pos="2040"/>
        </w:tabs>
        <w:ind w:hanging="1080"/>
        <w:jc w:val="both"/>
        <w:rPr>
          <w:b/>
          <w:sz w:val="20"/>
          <w:szCs w:val="20"/>
          <w:lang w:val="es-ES"/>
        </w:rPr>
      </w:pPr>
      <w:r w:rsidRPr="009D1618">
        <w:rPr>
          <w:b/>
          <w:sz w:val="20"/>
          <w:szCs w:val="20"/>
          <w:lang w:val="es-ES"/>
        </w:rPr>
        <w:lastRenderedPageBreak/>
        <w:t>Sobre la aplicación del concepto de peligrosidad para imponer la pena de muerte</w:t>
      </w:r>
    </w:p>
    <w:p w14:paraId="40DD4A20" w14:textId="77777777" w:rsidR="00AE5CDA" w:rsidRPr="009D1618" w:rsidRDefault="00AE5CDA" w:rsidP="00720378">
      <w:pPr>
        <w:shd w:val="clear" w:color="auto" w:fill="FFFFFF"/>
        <w:tabs>
          <w:tab w:val="num" w:pos="1440"/>
          <w:tab w:val="num" w:pos="1800"/>
          <w:tab w:val="num" w:pos="2040"/>
        </w:tabs>
        <w:jc w:val="both"/>
        <w:rPr>
          <w:rFonts w:ascii="Cambria" w:hAnsi="Cambria"/>
          <w:b/>
          <w:sz w:val="20"/>
          <w:szCs w:val="20"/>
          <w:lang w:val="es-ES"/>
        </w:rPr>
      </w:pPr>
    </w:p>
    <w:p w14:paraId="0471958E" w14:textId="77777777" w:rsidR="00221549" w:rsidRPr="009D1618" w:rsidRDefault="00221549" w:rsidP="000F3FA8">
      <w:pPr>
        <w:pStyle w:val="ListParagraph"/>
        <w:numPr>
          <w:ilvl w:val="1"/>
          <w:numId w:val="88"/>
        </w:numPr>
        <w:shd w:val="clear" w:color="auto" w:fill="FFFFFF"/>
        <w:tabs>
          <w:tab w:val="num" w:pos="1800"/>
          <w:tab w:val="num" w:pos="2040"/>
        </w:tabs>
        <w:jc w:val="both"/>
        <w:rPr>
          <w:b/>
          <w:sz w:val="20"/>
          <w:szCs w:val="20"/>
          <w:lang w:val="es-ES"/>
        </w:rPr>
      </w:pPr>
      <w:r w:rsidRPr="009D1618">
        <w:rPr>
          <w:b/>
          <w:sz w:val="20"/>
          <w:szCs w:val="20"/>
          <w:lang w:val="es-ES"/>
        </w:rPr>
        <w:t>Consideraciones generales</w:t>
      </w:r>
    </w:p>
    <w:p w14:paraId="14831998" w14:textId="77777777" w:rsidR="00221549" w:rsidRPr="009D1618" w:rsidRDefault="00221549" w:rsidP="00221549">
      <w:pPr>
        <w:shd w:val="clear" w:color="auto" w:fill="FFFFFF"/>
        <w:tabs>
          <w:tab w:val="num" w:pos="1440"/>
          <w:tab w:val="num" w:pos="1800"/>
          <w:tab w:val="num" w:pos="2040"/>
        </w:tabs>
        <w:jc w:val="both"/>
        <w:rPr>
          <w:rFonts w:ascii="Cambria" w:hAnsi="Cambria"/>
          <w:b/>
          <w:sz w:val="20"/>
          <w:szCs w:val="20"/>
          <w:lang w:val="es-ES"/>
        </w:rPr>
      </w:pPr>
    </w:p>
    <w:p w14:paraId="047987C2" w14:textId="77777777" w:rsidR="00221549" w:rsidRPr="009D1618" w:rsidRDefault="00221549" w:rsidP="002215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t xml:space="preserve">Tanto la Comisión como la Corte Interamericana se han referido al concepto de peligrosidad como elemento para determinar la imposición de una pena y, particularmente, la pena de muerte. </w:t>
      </w:r>
    </w:p>
    <w:p w14:paraId="4559BF0B" w14:textId="77777777" w:rsidR="00221549" w:rsidRPr="009D1618" w:rsidRDefault="00221549" w:rsidP="00221549">
      <w:pPr>
        <w:shd w:val="clear" w:color="auto" w:fill="FFFFFF"/>
        <w:tabs>
          <w:tab w:val="num" w:pos="1440"/>
          <w:tab w:val="num" w:pos="1800"/>
          <w:tab w:val="num" w:pos="2040"/>
        </w:tabs>
        <w:jc w:val="both"/>
        <w:rPr>
          <w:rFonts w:ascii="Cambria" w:hAnsi="Cambria"/>
          <w:sz w:val="20"/>
          <w:szCs w:val="20"/>
          <w:lang w:val="es-ES"/>
        </w:rPr>
      </w:pPr>
    </w:p>
    <w:p w14:paraId="1F02F139" w14:textId="77777777" w:rsidR="00221549" w:rsidRPr="009D1618" w:rsidRDefault="00221549" w:rsidP="002215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t>En un caso relativo a la aplicación de la pena de muerte en el estado de Texas en Estados Unidos, el cual fue analizado bajo principios análogos de la Declaración Americana de los Derechos y Deberes del Hombre, la Comisión indicó que:</w:t>
      </w:r>
    </w:p>
    <w:p w14:paraId="4EECE495" w14:textId="77777777" w:rsidR="00221549" w:rsidRPr="009D1618" w:rsidRDefault="00221549">
      <w:pPr>
        <w:shd w:val="clear" w:color="auto" w:fill="FFFFFF"/>
        <w:tabs>
          <w:tab w:val="num" w:pos="1440"/>
          <w:tab w:val="num" w:pos="1800"/>
          <w:tab w:val="num" w:pos="2040"/>
        </w:tabs>
        <w:jc w:val="both"/>
        <w:rPr>
          <w:rFonts w:ascii="Cambria" w:hAnsi="Cambria"/>
          <w:b/>
          <w:sz w:val="20"/>
          <w:szCs w:val="20"/>
          <w:lang w:val="es-ES"/>
        </w:rPr>
      </w:pPr>
    </w:p>
    <w:p w14:paraId="710A0FE7" w14:textId="77777777" w:rsidR="00221549" w:rsidRPr="009D1618" w:rsidRDefault="00221549" w:rsidP="00221549">
      <w:pPr>
        <w:shd w:val="clear" w:color="auto" w:fill="FFFFFF"/>
        <w:tabs>
          <w:tab w:val="num" w:pos="1440"/>
          <w:tab w:val="num" w:pos="1800"/>
          <w:tab w:val="num" w:pos="2040"/>
        </w:tabs>
        <w:ind w:left="720" w:right="720"/>
        <w:jc w:val="both"/>
        <w:rPr>
          <w:rFonts w:ascii="Cambria" w:hAnsi="Cambria"/>
          <w:b/>
          <w:sz w:val="20"/>
          <w:szCs w:val="20"/>
          <w:lang w:val="es-ES"/>
        </w:rPr>
      </w:pPr>
      <w:r w:rsidRPr="009D1618">
        <w:rPr>
          <w:rFonts w:ascii="Cambria" w:hAnsi="Cambria"/>
          <w:bCs/>
          <w:sz w:val="20"/>
          <w:szCs w:val="20"/>
          <w:lang w:val="es-CO"/>
        </w:rPr>
        <w:t xml:space="preserve">(…) el elemento de la peligrosidad futura otorga un alto grado de discrecionalidad al jurado para establecer la pena más grave posible, lo que puede resultar problemático al tratarse de la probabilidad de que un hecho futuro llegue a ocurrir, excediendo al delito efectivamente cometido por la persona en cuestión. En ese sentido, la Comisión considera que al tratarse de un criterio que requiere de una decisión subjetiva y especulativa por parte del jurado, su sola exigencia en la legislación interna del estado de Texas constituye un riesgo permanente de que se cometan violaciones a los derechos humanos en perjuicio de la persona condenada y, en consecuencia, </w:t>
      </w:r>
      <w:r w:rsidRPr="009D1618">
        <w:rPr>
          <w:rFonts w:ascii="Cambria" w:hAnsi="Cambria" w:cs="Tahoma"/>
          <w:color w:val="000000"/>
          <w:sz w:val="20"/>
          <w:szCs w:val="20"/>
          <w:lang w:val="es-CO"/>
        </w:rPr>
        <w:t>se imponga la pena de muerte de manera arbitraria</w:t>
      </w:r>
      <w:r w:rsidRPr="009D1618">
        <w:rPr>
          <w:rStyle w:val="FootnoteReference"/>
          <w:rFonts w:ascii="Cambria" w:hAnsi="Cambria"/>
          <w:sz w:val="20"/>
          <w:szCs w:val="20"/>
          <w:lang w:val="es-ES"/>
        </w:rPr>
        <w:footnoteReference w:id="77"/>
      </w:r>
      <w:r w:rsidRPr="009D1618">
        <w:rPr>
          <w:rFonts w:ascii="Cambria" w:hAnsi="Cambria" w:cs="Tahoma"/>
          <w:color w:val="000000"/>
          <w:sz w:val="20"/>
          <w:szCs w:val="20"/>
          <w:lang w:val="es-CO"/>
        </w:rPr>
        <w:t>.</w:t>
      </w:r>
    </w:p>
    <w:p w14:paraId="2A1100B6" w14:textId="77777777" w:rsidR="00221549" w:rsidRPr="009D1618" w:rsidRDefault="00221549" w:rsidP="00221549">
      <w:pPr>
        <w:shd w:val="clear" w:color="auto" w:fill="FFFFFF"/>
        <w:tabs>
          <w:tab w:val="num" w:pos="1440"/>
          <w:tab w:val="num" w:pos="1800"/>
          <w:tab w:val="num" w:pos="2040"/>
        </w:tabs>
        <w:jc w:val="both"/>
        <w:rPr>
          <w:rFonts w:ascii="Cambria" w:hAnsi="Cambria"/>
          <w:b/>
          <w:sz w:val="20"/>
          <w:szCs w:val="20"/>
          <w:lang w:val="es-ES"/>
        </w:rPr>
      </w:pPr>
    </w:p>
    <w:p w14:paraId="69552041" w14:textId="77777777" w:rsidR="00221549" w:rsidRPr="009D1618" w:rsidRDefault="00221549" w:rsidP="0022154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bCs/>
          <w:sz w:val="20"/>
          <w:szCs w:val="20"/>
          <w:lang w:val="es-CO"/>
        </w:rPr>
        <w:t xml:space="preserve">El </w:t>
      </w:r>
      <w:r w:rsidRPr="009D1618">
        <w:rPr>
          <w:rFonts w:ascii="Cambria" w:hAnsi="Cambria" w:cs="Georgia"/>
          <w:bCs/>
          <w:sz w:val="20"/>
          <w:szCs w:val="20"/>
          <w:lang w:val="es-CO"/>
        </w:rPr>
        <w:t xml:space="preserve">Comité de Derechos Humanos del Pacto Internacional de Derechos Civiles y Políticos también se ha referido en términos generales al concepto de peligrosidad futura y su uso en el ámbito de un proceso penal. </w:t>
      </w:r>
      <w:r w:rsidRPr="009D1618">
        <w:rPr>
          <w:rFonts w:ascii="Cambria" w:hAnsi="Cambria" w:cs="Georgia"/>
          <w:bCs/>
          <w:sz w:val="20"/>
          <w:szCs w:val="20"/>
        </w:rPr>
        <w:t>Específicamente ha indicado que:</w:t>
      </w:r>
      <w:r w:rsidRPr="009D1618">
        <w:rPr>
          <w:rFonts w:ascii="Cambria" w:hAnsi="Cambria"/>
          <w:sz w:val="20"/>
          <w:szCs w:val="20"/>
          <w:lang w:val="es-ES"/>
        </w:rPr>
        <w:t xml:space="preserve"> </w:t>
      </w:r>
    </w:p>
    <w:p w14:paraId="01C34B2A" w14:textId="77777777" w:rsidR="00221549" w:rsidRPr="009D1618" w:rsidRDefault="00221549" w:rsidP="00221549">
      <w:pPr>
        <w:tabs>
          <w:tab w:val="left" w:pos="0"/>
          <w:tab w:val="num" w:pos="1665"/>
          <w:tab w:val="num" w:pos="2040"/>
        </w:tabs>
        <w:jc w:val="both"/>
        <w:rPr>
          <w:rFonts w:ascii="Cambria" w:hAnsi="Cambria" w:cs="Times"/>
          <w:sz w:val="20"/>
          <w:szCs w:val="20"/>
        </w:rPr>
      </w:pPr>
    </w:p>
    <w:p w14:paraId="3C272CCD" w14:textId="77777777" w:rsidR="00221549" w:rsidRPr="009D1618" w:rsidRDefault="00221549" w:rsidP="00221549">
      <w:pPr>
        <w:ind w:left="720" w:right="720"/>
        <w:jc w:val="both"/>
        <w:rPr>
          <w:rFonts w:ascii="Cambria" w:hAnsi="Cambria" w:cs="Georgia"/>
          <w:sz w:val="20"/>
          <w:szCs w:val="20"/>
          <w:lang w:val="es-CO"/>
        </w:rPr>
      </w:pPr>
      <w:r w:rsidRPr="009D1618">
        <w:rPr>
          <w:rFonts w:ascii="Cambria" w:hAnsi="Cambria" w:cs="Georgia"/>
          <w:sz w:val="20"/>
          <w:szCs w:val="20"/>
          <w:lang w:val="es-CO"/>
        </w:rPr>
        <w:t>El concepto de temible o previsible peligrosidad para la comunidad, aplicable al caso de personas que cometieron delitos en el pasado es inherentemente problemático. Se encuentra basado esencialmente en una opinión en vez de evidencia fáctica, aún si dicha evidencia consiste en la opinión de expertos psiquiatras. Pero la psiquiatría no es una ciencia exacta (…) por una parte se requiere a la Corte que tenga en cuenta la opinión de expertos psiquiatras sobre peligrosidad futura pero, por otra parte, se requiere que la Corte efectúe una determinación de hecho sobre peligrosidad. Si bien las Cortes son libres de aceptar o rechazar peritajes y están obligadas a considerar toda la evidencia disponible y relevante, la realidad es que las Cortes deben hacer una determinación de hecho del supuesto comportamiento futuro de una persona que cometió delitos en el pasado, comportamiento que podría o no materializarse</w:t>
      </w:r>
      <w:r w:rsidRPr="009D1618">
        <w:rPr>
          <w:rStyle w:val="FootnoteReference"/>
          <w:rFonts w:ascii="Cambria" w:hAnsi="Cambria"/>
          <w:sz w:val="20"/>
          <w:szCs w:val="20"/>
        </w:rPr>
        <w:footnoteReference w:id="78"/>
      </w:r>
      <w:r w:rsidRPr="009D1618">
        <w:rPr>
          <w:rFonts w:ascii="Cambria" w:hAnsi="Cambria" w:cs="Georgia"/>
          <w:sz w:val="20"/>
          <w:szCs w:val="20"/>
          <w:lang w:val="es-CO"/>
        </w:rPr>
        <w:t xml:space="preserve">. </w:t>
      </w:r>
    </w:p>
    <w:p w14:paraId="45EE8433" w14:textId="77777777" w:rsidR="00221549" w:rsidRPr="009D1618" w:rsidRDefault="00221549" w:rsidP="00221549">
      <w:pPr>
        <w:shd w:val="clear" w:color="auto" w:fill="FFFFFF"/>
        <w:tabs>
          <w:tab w:val="num" w:pos="1080"/>
          <w:tab w:val="left" w:pos="1440"/>
          <w:tab w:val="num" w:pos="2040"/>
        </w:tabs>
        <w:jc w:val="both"/>
        <w:rPr>
          <w:rFonts w:ascii="Cambria" w:hAnsi="Cambria"/>
          <w:sz w:val="20"/>
          <w:szCs w:val="20"/>
          <w:lang w:val="es-ES"/>
        </w:rPr>
      </w:pPr>
    </w:p>
    <w:p w14:paraId="6A526D32" w14:textId="77777777" w:rsidR="00221549" w:rsidRPr="009D1618" w:rsidRDefault="00221549" w:rsidP="00221549">
      <w:pPr>
        <w:pStyle w:val="ListParagraph"/>
        <w:numPr>
          <w:ilvl w:val="0"/>
          <w:numId w:val="58"/>
        </w:numPr>
        <w:shd w:val="clear" w:color="auto" w:fill="FFFFFF"/>
        <w:tabs>
          <w:tab w:val="clear" w:pos="1080"/>
          <w:tab w:val="num" w:pos="1440"/>
          <w:tab w:val="num" w:pos="1800"/>
          <w:tab w:val="num" w:pos="2040"/>
        </w:tabs>
        <w:ind w:left="0" w:firstLine="720"/>
        <w:jc w:val="both"/>
        <w:rPr>
          <w:i/>
          <w:sz w:val="20"/>
          <w:szCs w:val="20"/>
          <w:lang w:val="es-ES"/>
        </w:rPr>
      </w:pPr>
      <w:r w:rsidRPr="009D1618">
        <w:rPr>
          <w:sz w:val="20"/>
          <w:szCs w:val="20"/>
          <w:lang w:val="es-ES"/>
        </w:rPr>
        <w:t xml:space="preserve">Por su parte, la Corte Interamericana se ha referido la invocación de la peligrosidad futura a la luz del principio de legalidad establecido en el artículo 9 de la Convención Americana. La Corte indicó que dicha invocación es grave y que </w:t>
      </w:r>
      <w:r w:rsidRPr="009D1618">
        <w:rPr>
          <w:i/>
          <w:sz w:val="20"/>
          <w:szCs w:val="20"/>
          <w:lang w:val="es-ES"/>
        </w:rPr>
        <w:t>“</w:t>
      </w:r>
      <w:r w:rsidRPr="009D1618">
        <w:rPr>
          <w:sz w:val="20"/>
          <w:szCs w:val="20"/>
          <w:lang w:val="es-ES"/>
        </w:rPr>
        <w:t xml:space="preserve">constituye claramente una expresión del ejercicio del </w:t>
      </w:r>
      <w:r w:rsidRPr="009D1618">
        <w:rPr>
          <w:i/>
          <w:sz w:val="20"/>
          <w:szCs w:val="20"/>
          <w:lang w:val="es-ES"/>
        </w:rPr>
        <w:t>ius puniendi</w:t>
      </w:r>
      <w:r w:rsidRPr="009D1618">
        <w:rPr>
          <w:sz w:val="20"/>
          <w:szCs w:val="20"/>
          <w:lang w:val="es-ES"/>
        </w:rPr>
        <w:t xml:space="preserve"> estatal sobre la base de las características personales del agente y no del hecho cometido, es decir, sustituye el derecho penal de acto o de hecho, propio del sistema penal de una sociedad democrática, por el derecho penal de autor, que abre la puerta al autoritarismo precisamente en una materia en la que se hallan en juego los bienes jurídicos de mayor jerarquía”</w:t>
      </w:r>
      <w:r w:rsidRPr="009D1618">
        <w:rPr>
          <w:rStyle w:val="FootnoteReference"/>
          <w:rFonts w:ascii="Cambria" w:hAnsi="Cambria"/>
          <w:sz w:val="20"/>
          <w:szCs w:val="20"/>
        </w:rPr>
        <w:footnoteReference w:id="79"/>
      </w:r>
      <w:r w:rsidRPr="009D1618">
        <w:rPr>
          <w:sz w:val="20"/>
          <w:szCs w:val="20"/>
          <w:lang w:val="es-ES"/>
        </w:rPr>
        <w:t xml:space="preserve">. </w:t>
      </w:r>
    </w:p>
    <w:p w14:paraId="7733FABE" w14:textId="77777777" w:rsidR="00221549" w:rsidRPr="009D1618" w:rsidRDefault="00221549" w:rsidP="00221549">
      <w:pPr>
        <w:jc w:val="both"/>
        <w:rPr>
          <w:rFonts w:ascii="Cambria" w:hAnsi="Cambria"/>
          <w:sz w:val="20"/>
          <w:szCs w:val="20"/>
          <w:lang w:val="es-ES"/>
        </w:rPr>
      </w:pPr>
    </w:p>
    <w:p w14:paraId="2027343A" w14:textId="77777777" w:rsidR="00221549" w:rsidRPr="009D1618" w:rsidRDefault="00221549" w:rsidP="00221549">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9D1618">
        <w:rPr>
          <w:sz w:val="20"/>
          <w:szCs w:val="20"/>
          <w:lang w:val="es-ES"/>
        </w:rPr>
        <w:t xml:space="preserve">Recientemente en el caso Pollo Rivera vs. Perú, la Corte Interamericana señaló que: </w:t>
      </w:r>
    </w:p>
    <w:p w14:paraId="1B0B4973" w14:textId="77777777" w:rsidR="00221549" w:rsidRPr="009D1618" w:rsidRDefault="00221549" w:rsidP="00221549">
      <w:pPr>
        <w:jc w:val="both"/>
        <w:rPr>
          <w:rFonts w:ascii="Cambria" w:hAnsi="Cambria"/>
          <w:sz w:val="20"/>
          <w:szCs w:val="20"/>
          <w:lang w:val="es-ES"/>
        </w:rPr>
      </w:pPr>
    </w:p>
    <w:p w14:paraId="1B0D72FB" w14:textId="77777777" w:rsidR="00221549" w:rsidRPr="009D1618" w:rsidRDefault="00221549" w:rsidP="00221549">
      <w:pPr>
        <w:ind w:left="720" w:right="720"/>
        <w:jc w:val="both"/>
        <w:rPr>
          <w:rFonts w:ascii="Cambria" w:hAnsi="Cambria"/>
          <w:sz w:val="20"/>
          <w:szCs w:val="20"/>
          <w:lang w:val="es-MX"/>
        </w:rPr>
      </w:pPr>
      <w:r w:rsidRPr="009D1618">
        <w:rPr>
          <w:rFonts w:ascii="Cambria" w:hAnsi="Cambria"/>
          <w:sz w:val="20"/>
          <w:szCs w:val="20"/>
          <w:lang w:val="es-MX"/>
        </w:rPr>
        <w:lastRenderedPageBreak/>
        <w:t>(…) el artículo 9 de la Convención Americana establece que “nadie puede ser condenado por acciones u omisiones”, es decir que sólo puede ser condenado por “actos”. El derecho penal de “acto” es una elemental garantía de todo derecho penal conforme a los derechos humanos. Precisamente, ante las aterradoras consecuencias del desconocimiento de esta premisa básica de los derechos humanos es que éstos comienzan su desarrollo a partir de 1948. El derecho penal conforme a todos los instrumentos de derechos humanos rechaza frontalmente el llamado “derecho penal de autor”, que considera a la conducta típica sólo como un signo o síntoma que permite detectar a una personalidad o carácter, ampliándose incluso a actos atípicos, siempre que se considere que cumplen la misma función de señalación subjetiva</w:t>
      </w:r>
      <w:r w:rsidRPr="009D1618">
        <w:rPr>
          <w:rStyle w:val="FootnoteReference"/>
          <w:rFonts w:ascii="Cambria" w:hAnsi="Cambria"/>
          <w:sz w:val="20"/>
          <w:szCs w:val="20"/>
          <w:lang w:val="es-MX"/>
        </w:rPr>
        <w:footnoteReference w:id="80"/>
      </w:r>
      <w:r w:rsidRPr="009D1618">
        <w:rPr>
          <w:rFonts w:ascii="Cambria" w:hAnsi="Cambria"/>
          <w:sz w:val="20"/>
          <w:szCs w:val="20"/>
          <w:lang w:val="es-MX"/>
        </w:rPr>
        <w:t>.</w:t>
      </w:r>
    </w:p>
    <w:p w14:paraId="6E00D57B" w14:textId="77777777" w:rsidR="00221549" w:rsidRPr="009D1618" w:rsidRDefault="00221549" w:rsidP="00221549">
      <w:pPr>
        <w:pStyle w:val="ListParagraph"/>
        <w:ind w:right="810"/>
        <w:rPr>
          <w:sz w:val="20"/>
          <w:szCs w:val="20"/>
          <w:lang w:val="es-MX"/>
        </w:rPr>
      </w:pPr>
    </w:p>
    <w:p w14:paraId="310AC8C5" w14:textId="77777777" w:rsidR="00221549" w:rsidRPr="009D1618" w:rsidRDefault="00221549" w:rsidP="00221549">
      <w:pPr>
        <w:ind w:left="720" w:right="720"/>
        <w:jc w:val="both"/>
        <w:rPr>
          <w:rFonts w:ascii="Cambria" w:hAnsi="Cambria"/>
          <w:sz w:val="20"/>
          <w:szCs w:val="20"/>
        </w:rPr>
      </w:pPr>
      <w:r w:rsidRPr="009D1618">
        <w:rPr>
          <w:rFonts w:ascii="Cambria" w:hAnsi="Cambria"/>
          <w:sz w:val="20"/>
          <w:szCs w:val="20"/>
          <w:lang w:val="es-MX"/>
        </w:rPr>
        <w:t>El derecho penal “de autor” ha seguido diferentes caminos, siendo uno de ellos el de la llamada “peligrosidad” (…)</w:t>
      </w:r>
      <w:r w:rsidRPr="009D1618">
        <w:rPr>
          <w:rStyle w:val="FootnoteReference"/>
          <w:rFonts w:ascii="Cambria" w:hAnsi="Cambria"/>
          <w:sz w:val="20"/>
          <w:szCs w:val="20"/>
          <w:lang w:val="es-MX"/>
        </w:rPr>
        <w:footnoteReference w:id="81"/>
      </w:r>
      <w:r w:rsidRPr="009D1618">
        <w:rPr>
          <w:rFonts w:ascii="Cambria" w:hAnsi="Cambria"/>
          <w:sz w:val="20"/>
          <w:szCs w:val="20"/>
          <w:lang w:val="es-MX"/>
        </w:rPr>
        <w:t>.</w:t>
      </w:r>
    </w:p>
    <w:p w14:paraId="05C4F56D" w14:textId="77777777" w:rsidR="00221549" w:rsidRPr="009D1618" w:rsidRDefault="00221549" w:rsidP="00221549">
      <w:pPr>
        <w:jc w:val="both"/>
        <w:rPr>
          <w:rFonts w:ascii="Cambria" w:hAnsi="Cambria"/>
          <w:sz w:val="20"/>
          <w:szCs w:val="20"/>
        </w:rPr>
      </w:pPr>
    </w:p>
    <w:p w14:paraId="7008117D" w14:textId="77777777" w:rsidR="00221549" w:rsidRPr="009D1618" w:rsidRDefault="00221549" w:rsidP="00221549">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ES"/>
        </w:rPr>
      </w:pPr>
      <w:r w:rsidRPr="009D1618">
        <w:rPr>
          <w:sz w:val="20"/>
          <w:szCs w:val="20"/>
          <w:lang w:val="es-ES"/>
        </w:rPr>
        <w:t xml:space="preserve">Específicamente sobre la valoración de la peligrosidad, la Corte Interamericana señaló que: </w:t>
      </w:r>
    </w:p>
    <w:p w14:paraId="0093DFC6" w14:textId="77777777" w:rsidR="00221549" w:rsidRPr="009D1618" w:rsidRDefault="00221549" w:rsidP="00221549">
      <w:pPr>
        <w:jc w:val="both"/>
        <w:rPr>
          <w:rFonts w:ascii="Cambria" w:hAnsi="Cambria"/>
          <w:sz w:val="20"/>
          <w:szCs w:val="20"/>
          <w:lang w:val="es-ES"/>
        </w:rPr>
      </w:pPr>
    </w:p>
    <w:p w14:paraId="43FC700B" w14:textId="77777777" w:rsidR="00221549" w:rsidRPr="009D1618" w:rsidRDefault="00221549" w:rsidP="00221549">
      <w:pPr>
        <w:ind w:left="720" w:right="720"/>
        <w:jc w:val="both"/>
        <w:rPr>
          <w:rFonts w:ascii="Cambria" w:hAnsi="Cambria"/>
          <w:sz w:val="20"/>
          <w:szCs w:val="20"/>
          <w:lang w:val="es-ES"/>
        </w:rPr>
      </w:pPr>
      <w:r w:rsidRPr="009D1618">
        <w:rPr>
          <w:rFonts w:ascii="Cambria" w:hAnsi="Cambria"/>
          <w:sz w:val="20"/>
          <w:szCs w:val="20"/>
          <w:lang w:val="es-ES"/>
        </w:rPr>
        <w:t>(…) implica la apreciación del juzgador acerca de las probabilidades de que el imputado cometa hechos delictuosos en el futuro, es decir, agrega a la imputación por los hechos realizados, la previsión de hechos futuros que probablemente ocurrirán. Con esta base se despliega la función penal del Estado. En fin de cuentas, se sancionaría al individuo – con pena de muerte inclusive – no con apoyo en lo que ha hecho, sino en lo que es.  Sobra ponderar las implicaciones, que son evidentes,</w:t>
      </w:r>
      <w:r w:rsidRPr="009D1618">
        <w:rPr>
          <w:rFonts w:ascii="Cambria" w:hAnsi="Cambria"/>
          <w:b/>
          <w:sz w:val="20"/>
          <w:szCs w:val="20"/>
          <w:lang w:val="es-ES"/>
        </w:rPr>
        <w:t xml:space="preserve"> </w:t>
      </w:r>
      <w:r w:rsidRPr="009D1618">
        <w:rPr>
          <w:rFonts w:ascii="Cambria" w:hAnsi="Cambria"/>
          <w:sz w:val="20"/>
          <w:szCs w:val="20"/>
          <w:lang w:val="es-ES"/>
        </w:rPr>
        <w:t>de este retorno al pasado, absolutamente inaceptable desde la perspectiva de los derechos humanos (…).</w:t>
      </w:r>
    </w:p>
    <w:p w14:paraId="466329EB" w14:textId="77777777" w:rsidR="00221549" w:rsidRPr="009D1618" w:rsidRDefault="00221549" w:rsidP="00221549">
      <w:pPr>
        <w:ind w:left="720" w:right="720"/>
        <w:jc w:val="both"/>
        <w:rPr>
          <w:rFonts w:ascii="Cambria" w:hAnsi="Cambria"/>
          <w:sz w:val="20"/>
          <w:szCs w:val="20"/>
          <w:lang w:val="es-ES"/>
        </w:rPr>
      </w:pPr>
    </w:p>
    <w:p w14:paraId="654BEC18" w14:textId="77777777" w:rsidR="00AF7EF9" w:rsidRPr="009D1618" w:rsidRDefault="00221549" w:rsidP="00C614A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color w:val="212121"/>
          <w:sz w:val="20"/>
          <w:szCs w:val="20"/>
          <w:bdr w:val="none" w:sz="0" w:space="0" w:color="auto"/>
          <w:lang w:val="es-VE"/>
        </w:rPr>
      </w:pPr>
      <w:r w:rsidRPr="009D1618">
        <w:rPr>
          <w:rFonts w:ascii="Cambria" w:hAnsi="Cambria"/>
          <w:sz w:val="20"/>
          <w:szCs w:val="20"/>
          <w:lang w:val="es-ES"/>
        </w:rPr>
        <w:t>(…) la introducción en el texto penal de la peligrosidad del agente como criterio para la calificación típica de los hechos y la aplicación de ciertas sanciones, es incompatible con el principio de legalidad criminal y, por ende, contrario a la Convención</w:t>
      </w:r>
      <w:r w:rsidRPr="009D1618">
        <w:rPr>
          <w:rStyle w:val="FootnoteReference"/>
          <w:rFonts w:ascii="Cambria" w:hAnsi="Cambria"/>
          <w:sz w:val="20"/>
          <w:szCs w:val="20"/>
        </w:rPr>
        <w:footnoteReference w:id="82"/>
      </w:r>
      <w:r w:rsidRPr="009D1618">
        <w:rPr>
          <w:rFonts w:ascii="Cambria" w:hAnsi="Cambria"/>
          <w:sz w:val="20"/>
          <w:szCs w:val="20"/>
          <w:lang w:val="es-ES"/>
        </w:rPr>
        <w:t>.</w:t>
      </w:r>
    </w:p>
    <w:p w14:paraId="2CAD38C0" w14:textId="77777777" w:rsidR="009A0B3E" w:rsidRPr="009D1618" w:rsidRDefault="009A0B3E" w:rsidP="00AF7E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VE"/>
        </w:rPr>
      </w:pPr>
    </w:p>
    <w:p w14:paraId="0C66E409" w14:textId="77777777" w:rsidR="002A3506" w:rsidRPr="009D1618" w:rsidRDefault="002A3506" w:rsidP="002A3506">
      <w:pPr>
        <w:pStyle w:val="ListParagraph"/>
        <w:numPr>
          <w:ilvl w:val="1"/>
          <w:numId w:val="88"/>
        </w:numPr>
        <w:shd w:val="clear" w:color="auto" w:fill="FFFFFF"/>
        <w:tabs>
          <w:tab w:val="num" w:pos="1800"/>
          <w:tab w:val="num" w:pos="2040"/>
        </w:tabs>
        <w:jc w:val="both"/>
        <w:rPr>
          <w:b/>
          <w:sz w:val="20"/>
          <w:szCs w:val="20"/>
          <w:lang w:val="es-ES"/>
        </w:rPr>
      </w:pPr>
      <w:r w:rsidRPr="009D1618">
        <w:rPr>
          <w:b/>
          <w:sz w:val="20"/>
          <w:szCs w:val="20"/>
          <w:lang w:val="es-ES"/>
        </w:rPr>
        <w:t>Análisis del caso</w:t>
      </w:r>
    </w:p>
    <w:p w14:paraId="6246EF48" w14:textId="77777777" w:rsidR="002A3506" w:rsidRPr="009D1618" w:rsidRDefault="002A3506" w:rsidP="000F3FA8">
      <w:pPr>
        <w:shd w:val="clear" w:color="auto" w:fill="FFFFFF"/>
        <w:tabs>
          <w:tab w:val="num" w:pos="1800"/>
          <w:tab w:val="num" w:pos="2040"/>
        </w:tabs>
        <w:jc w:val="both"/>
        <w:rPr>
          <w:rFonts w:ascii="Cambria" w:eastAsia="Times New Roman" w:hAnsi="Cambria" w:cs="Courier New"/>
          <w:color w:val="212121"/>
          <w:sz w:val="20"/>
          <w:szCs w:val="20"/>
          <w:bdr w:val="none" w:sz="0" w:space="0" w:color="auto"/>
          <w:lang w:val="es-VE"/>
        </w:rPr>
      </w:pPr>
    </w:p>
    <w:p w14:paraId="565677F8" w14:textId="77777777" w:rsidR="00D90A05" w:rsidRPr="009D1618" w:rsidRDefault="00D90A05" w:rsidP="000F3FA8">
      <w:pPr>
        <w:pStyle w:val="ListParagraph"/>
        <w:numPr>
          <w:ilvl w:val="0"/>
          <w:numId w:val="58"/>
        </w:numPr>
        <w:shd w:val="clear" w:color="auto" w:fill="FFFFFF"/>
        <w:tabs>
          <w:tab w:val="clear" w:pos="1080"/>
          <w:tab w:val="num" w:pos="1440"/>
          <w:tab w:val="num" w:pos="1800"/>
          <w:tab w:val="num" w:pos="2040"/>
        </w:tabs>
        <w:ind w:left="0" w:firstLine="720"/>
        <w:jc w:val="both"/>
        <w:rPr>
          <w:rFonts w:eastAsia="Times New Roman" w:cs="Courier New"/>
          <w:color w:val="212121"/>
          <w:sz w:val="20"/>
          <w:szCs w:val="20"/>
          <w:bdr w:val="none" w:sz="0" w:space="0" w:color="auto"/>
          <w:lang w:val="es-VE"/>
        </w:rPr>
      </w:pPr>
      <w:r w:rsidRPr="009D1618">
        <w:rPr>
          <w:rFonts w:eastAsia="Times New Roman" w:cs="Courier New"/>
          <w:color w:val="212121"/>
          <w:sz w:val="20"/>
          <w:szCs w:val="20"/>
          <w:bdr w:val="none" w:sz="0" w:space="0" w:color="auto"/>
          <w:lang w:val="es-VE"/>
        </w:rPr>
        <w:t xml:space="preserve">Como se describió en los hechos probados, con base en los estándares citados la Corte Interamericana declaró la incompatibilidad con al Convención Americana del artículo 132 del Código Penal guatemaltyeco que tipifica el </w:t>
      </w:r>
      <w:r w:rsidRPr="009D1618">
        <w:rPr>
          <w:sz w:val="20"/>
          <w:szCs w:val="20"/>
          <w:lang w:val="es-ES"/>
        </w:rPr>
        <w:t>asesinato</w:t>
      </w:r>
      <w:r w:rsidRPr="009D1618">
        <w:rPr>
          <w:rFonts w:eastAsia="Times New Roman" w:cs="Courier New"/>
          <w:color w:val="212121"/>
          <w:sz w:val="20"/>
          <w:szCs w:val="20"/>
          <w:bdr w:val="none" w:sz="0" w:space="0" w:color="auto"/>
          <w:lang w:val="es-VE"/>
        </w:rPr>
        <w:t xml:space="preserve"> y establece la pena de muerte sobre la base de la peligrosidad de la persona condenada. Concretamente, la Corte consideró que dicho artículo era violatorio del principio de legalidad en relación con el deber de adoptar disposiciones de derecho interno. </w:t>
      </w:r>
    </w:p>
    <w:p w14:paraId="4E4544A0" w14:textId="77777777" w:rsidR="003425F9" w:rsidRPr="009D1618" w:rsidRDefault="003425F9" w:rsidP="000F3FA8">
      <w:pPr>
        <w:pStyle w:val="ListParagraph"/>
        <w:shd w:val="clear" w:color="auto" w:fill="FFFFFF"/>
        <w:tabs>
          <w:tab w:val="num" w:pos="1800"/>
          <w:tab w:val="num" w:pos="2040"/>
        </w:tabs>
        <w:jc w:val="both"/>
        <w:rPr>
          <w:rFonts w:eastAsia="Times New Roman" w:cs="Courier New"/>
          <w:color w:val="212121"/>
          <w:sz w:val="20"/>
          <w:szCs w:val="20"/>
          <w:bdr w:val="none" w:sz="0" w:space="0" w:color="auto"/>
          <w:lang w:val="es-VE"/>
        </w:rPr>
      </w:pPr>
    </w:p>
    <w:p w14:paraId="52669EAB" w14:textId="77777777" w:rsidR="00A54DD8" w:rsidRPr="009D1618" w:rsidRDefault="003425F9" w:rsidP="000F3FA8">
      <w:pPr>
        <w:pStyle w:val="ListParagraph"/>
        <w:numPr>
          <w:ilvl w:val="0"/>
          <w:numId w:val="58"/>
        </w:numPr>
        <w:shd w:val="clear" w:color="auto" w:fill="FFFFFF"/>
        <w:tabs>
          <w:tab w:val="clear" w:pos="1080"/>
          <w:tab w:val="num" w:pos="1440"/>
          <w:tab w:val="num" w:pos="1800"/>
          <w:tab w:val="num" w:pos="2040"/>
        </w:tabs>
        <w:ind w:left="0" w:firstLine="720"/>
        <w:jc w:val="both"/>
        <w:rPr>
          <w:rFonts w:eastAsia="Times New Roman" w:cs="Courier New"/>
          <w:color w:val="212121"/>
          <w:sz w:val="20"/>
          <w:szCs w:val="20"/>
          <w:bdr w:val="none" w:sz="0" w:space="0" w:color="auto"/>
          <w:lang w:val="es-VE"/>
        </w:rPr>
      </w:pPr>
      <w:r w:rsidRPr="009D1618">
        <w:rPr>
          <w:rFonts w:eastAsia="Times New Roman" w:cs="Courier New"/>
          <w:color w:val="212121"/>
          <w:sz w:val="20"/>
          <w:szCs w:val="20"/>
          <w:bdr w:val="none" w:sz="0" w:space="0" w:color="auto"/>
          <w:lang w:val="es-VE"/>
        </w:rPr>
        <w:t xml:space="preserve">En el presente caso, los señores </w:t>
      </w:r>
      <w:r w:rsidR="00264DCD" w:rsidRPr="009D1618">
        <w:rPr>
          <w:rFonts w:eastAsia="Times New Roman" w:cs="Courier New"/>
          <w:sz w:val="20"/>
          <w:szCs w:val="20"/>
          <w:bdr w:val="none" w:sz="0" w:space="0" w:color="auto"/>
          <w:lang w:val="es-VE"/>
        </w:rPr>
        <w:t>Aníbal Archila Pérez, Miguel Ángel Lopez Calo y Miguel Ángel Rodríguez Revolorio</w:t>
      </w:r>
      <w:r w:rsidR="007C47C4" w:rsidRPr="009D1618">
        <w:rPr>
          <w:rFonts w:eastAsia="Times New Roman" w:cs="Courier New"/>
          <w:sz w:val="20"/>
          <w:szCs w:val="20"/>
          <w:bdr w:val="none" w:sz="0" w:space="0" w:color="auto"/>
          <w:lang w:val="es-VE"/>
        </w:rPr>
        <w:t xml:space="preserve"> </w:t>
      </w:r>
      <w:r w:rsidR="00AE16F7" w:rsidRPr="009D1618">
        <w:rPr>
          <w:rFonts w:eastAsia="Times New Roman" w:cs="Courier New"/>
          <w:sz w:val="20"/>
          <w:szCs w:val="20"/>
          <w:bdr w:val="none" w:sz="0" w:space="0" w:color="auto"/>
          <w:lang w:val="es-VE"/>
        </w:rPr>
        <w:t>fueron encontrados responsables penalmente por el asesinato de una persona y el asesinato en grado de tentativa de otra. En aplicación del artículo 132 del Código Penal que establecía textualmente el elemento de peligrosidad como criterio para la imposición de la pena de muerte en caso de asesinato, las presuntas víctimas fueron condenadas a dicha pena.</w:t>
      </w:r>
    </w:p>
    <w:p w14:paraId="45E1D937" w14:textId="77777777" w:rsidR="00A54DD8" w:rsidRPr="009D1618" w:rsidRDefault="00A54DD8" w:rsidP="000F3FA8">
      <w:pPr>
        <w:shd w:val="clear" w:color="auto" w:fill="FFFFFF"/>
        <w:tabs>
          <w:tab w:val="num" w:pos="1440"/>
          <w:tab w:val="num" w:pos="1800"/>
          <w:tab w:val="num" w:pos="2040"/>
        </w:tabs>
        <w:jc w:val="both"/>
        <w:rPr>
          <w:rFonts w:eastAsia="Times New Roman" w:cs="Courier New"/>
          <w:sz w:val="20"/>
          <w:szCs w:val="20"/>
          <w:bdr w:val="none" w:sz="0" w:space="0" w:color="auto"/>
          <w:lang w:val="es-VE"/>
        </w:rPr>
      </w:pPr>
    </w:p>
    <w:p w14:paraId="0456FDAF" w14:textId="77777777" w:rsidR="00531E38" w:rsidRPr="009D1618" w:rsidRDefault="00EE5500" w:rsidP="000F3FA8">
      <w:pPr>
        <w:pStyle w:val="ListParagraph"/>
        <w:numPr>
          <w:ilvl w:val="0"/>
          <w:numId w:val="58"/>
        </w:numPr>
        <w:shd w:val="clear" w:color="auto" w:fill="FFFFFF"/>
        <w:tabs>
          <w:tab w:val="clear" w:pos="1080"/>
          <w:tab w:val="num" w:pos="1440"/>
          <w:tab w:val="num" w:pos="1800"/>
          <w:tab w:val="num" w:pos="2040"/>
        </w:tabs>
        <w:ind w:left="0" w:firstLine="720"/>
        <w:jc w:val="both"/>
        <w:rPr>
          <w:rFonts w:eastAsia="Times New Roman" w:cs="Courier New"/>
          <w:color w:val="212121"/>
          <w:sz w:val="20"/>
          <w:szCs w:val="20"/>
          <w:bdr w:val="none" w:sz="0" w:space="0" w:color="auto"/>
          <w:lang w:val="es-VE"/>
        </w:rPr>
      </w:pPr>
      <w:r w:rsidRPr="009D1618">
        <w:rPr>
          <w:rFonts w:eastAsia="Times New Roman" w:cs="Courier New"/>
          <w:sz w:val="20"/>
          <w:szCs w:val="20"/>
          <w:bdr w:val="none" w:sz="0" w:space="0" w:color="auto"/>
          <w:lang w:val="es-VE"/>
        </w:rPr>
        <w:t>Como se ind</w:t>
      </w:r>
      <w:r w:rsidR="007A7FA1" w:rsidRPr="009D1618">
        <w:rPr>
          <w:rFonts w:eastAsia="Times New Roman" w:cs="Courier New"/>
          <w:sz w:val="20"/>
          <w:szCs w:val="20"/>
          <w:bdr w:val="none" w:sz="0" w:space="0" w:color="auto"/>
          <w:lang w:val="es-VE"/>
        </w:rPr>
        <w:t>ic</w:t>
      </w:r>
      <w:r w:rsidRPr="009D1618">
        <w:rPr>
          <w:rFonts w:eastAsia="Times New Roman" w:cs="Courier New"/>
          <w:sz w:val="20"/>
          <w:szCs w:val="20"/>
          <w:bdr w:val="none" w:sz="0" w:space="0" w:color="auto"/>
          <w:lang w:val="es-VE"/>
        </w:rPr>
        <w:t xml:space="preserve">ó en la sección de hechos probados, en la sentencia condenatoria </w:t>
      </w:r>
      <w:r w:rsidR="00FA1B34" w:rsidRPr="009D1618">
        <w:rPr>
          <w:rFonts w:eastAsia="Times New Roman" w:cs="Courier New"/>
          <w:sz w:val="20"/>
          <w:szCs w:val="20"/>
          <w:bdr w:val="none" w:sz="0" w:space="0" w:color="auto"/>
          <w:lang w:val="es-VE"/>
        </w:rPr>
        <w:t xml:space="preserve">se hizo referencia a la peligrosidad de las presuntas víctimas, tomando como base el análisis de los hechos que sustentaron la responsabilidad penal. </w:t>
      </w:r>
      <w:r w:rsidR="00655EDE" w:rsidRPr="009D1618">
        <w:rPr>
          <w:rFonts w:eastAsia="Times New Roman" w:cs="Courier New"/>
          <w:sz w:val="20"/>
          <w:szCs w:val="20"/>
          <w:bdr w:val="none" w:sz="0" w:space="0" w:color="auto"/>
          <w:lang w:val="es-VE"/>
        </w:rPr>
        <w:t xml:space="preserve">Específicamente, </w:t>
      </w:r>
      <w:r w:rsidR="006D1505" w:rsidRPr="009D1618">
        <w:rPr>
          <w:rFonts w:eastAsia="Times New Roman" w:cs="Courier New"/>
          <w:sz w:val="20"/>
          <w:szCs w:val="20"/>
          <w:bdr w:val="none" w:sz="0" w:space="0" w:color="auto"/>
          <w:lang w:val="es-VE"/>
        </w:rPr>
        <w:t xml:space="preserve">se indicó que por la manera en que ocurrieron los hechos, se evidenció </w:t>
      </w:r>
      <w:r w:rsidR="006D1505" w:rsidRPr="009D1618">
        <w:rPr>
          <w:rFonts w:eastAsia="Times New Roman" w:cs="Courier New"/>
          <w:sz w:val="20"/>
          <w:szCs w:val="20"/>
          <w:bdr w:val="none" w:sz="0" w:space="0" w:color="auto"/>
          <w:lang w:val="es-ES"/>
        </w:rPr>
        <w:t xml:space="preserve">el “impulso de perversidad brutal”. Sobre este concepto, el Tribunal señaló </w:t>
      </w:r>
      <w:r w:rsidR="00E93BA7" w:rsidRPr="009D1618">
        <w:rPr>
          <w:rFonts w:eastAsia="Times New Roman" w:cs="Courier New"/>
          <w:color w:val="000000" w:themeColor="text1"/>
          <w:sz w:val="20"/>
          <w:szCs w:val="20"/>
          <w:bdr w:val="none" w:sz="0" w:space="0" w:color="auto"/>
          <w:lang w:val="es-VE"/>
        </w:rPr>
        <w:t>esta “rara figura” es reveladora de la “extraordinaria peligrosidad del sujeto”</w:t>
      </w:r>
      <w:r w:rsidR="009C55AF" w:rsidRPr="009D1618">
        <w:rPr>
          <w:rFonts w:eastAsia="Times New Roman" w:cs="Courier New"/>
          <w:color w:val="000000" w:themeColor="text1"/>
          <w:sz w:val="20"/>
          <w:szCs w:val="20"/>
          <w:bdr w:val="none" w:sz="0" w:space="0" w:color="auto"/>
          <w:lang w:val="es-VE"/>
        </w:rPr>
        <w:t xml:space="preserve"> quien “odia a la humanidad” y “</w:t>
      </w:r>
      <w:r w:rsidR="00E93BA7" w:rsidRPr="009D1618">
        <w:rPr>
          <w:rFonts w:eastAsia="Times New Roman" w:cs="Courier New"/>
          <w:color w:val="000000" w:themeColor="text1"/>
          <w:sz w:val="20"/>
          <w:szCs w:val="20"/>
          <w:bdr w:val="none" w:sz="0" w:space="0" w:color="auto"/>
          <w:lang w:val="es-VE"/>
        </w:rPr>
        <w:t xml:space="preserve">actúa por el </w:t>
      </w:r>
      <w:r w:rsidR="00E93BA7" w:rsidRPr="009D1618">
        <w:rPr>
          <w:rFonts w:eastAsia="Times New Roman" w:cs="Courier New"/>
          <w:color w:val="000000" w:themeColor="text1"/>
          <w:sz w:val="20"/>
          <w:szCs w:val="20"/>
          <w:bdr w:val="none" w:sz="0" w:space="0" w:color="auto"/>
          <w:lang w:val="es-VE"/>
        </w:rPr>
        <w:lastRenderedPageBreak/>
        <w:t>bárbaro placer de derramar sangre</w:t>
      </w:r>
      <w:r w:rsidR="009C55AF" w:rsidRPr="009D1618">
        <w:rPr>
          <w:rFonts w:eastAsia="Times New Roman" w:cs="Courier New"/>
          <w:color w:val="000000" w:themeColor="text1"/>
          <w:sz w:val="20"/>
          <w:szCs w:val="20"/>
          <w:bdr w:val="none" w:sz="0" w:space="0" w:color="auto"/>
          <w:lang w:val="es-VE"/>
        </w:rPr>
        <w:t>”</w:t>
      </w:r>
      <w:r w:rsidR="00E93BA7" w:rsidRPr="009D1618">
        <w:rPr>
          <w:rFonts w:eastAsia="Times New Roman" w:cs="Courier New"/>
          <w:color w:val="000000" w:themeColor="text1"/>
          <w:sz w:val="20"/>
          <w:szCs w:val="20"/>
          <w:bdr w:val="none" w:sz="0" w:space="0" w:color="auto"/>
          <w:lang w:val="es-VE"/>
        </w:rPr>
        <w:t xml:space="preserve">. </w:t>
      </w:r>
      <w:r w:rsidR="002F342E" w:rsidRPr="009D1618">
        <w:rPr>
          <w:rFonts w:eastAsia="Times New Roman" w:cs="Courier New"/>
          <w:color w:val="000000" w:themeColor="text1"/>
          <w:sz w:val="20"/>
          <w:szCs w:val="20"/>
          <w:bdr w:val="none" w:sz="0" w:space="0" w:color="auto"/>
          <w:lang w:val="es-VE"/>
        </w:rPr>
        <w:t xml:space="preserve">En consecuencia, </w:t>
      </w:r>
      <w:r w:rsidR="00941B9C" w:rsidRPr="009D1618">
        <w:rPr>
          <w:rFonts w:eastAsia="Times New Roman" w:cs="Courier New"/>
          <w:color w:val="000000" w:themeColor="text1"/>
          <w:sz w:val="20"/>
          <w:szCs w:val="20"/>
          <w:bdr w:val="none" w:sz="0" w:space="0" w:color="auto"/>
          <w:lang w:val="es-VE"/>
        </w:rPr>
        <w:t xml:space="preserve">derivado de las circunstancias de la comisión de los delitos por los cuales fueron condenados, se establecieron </w:t>
      </w:r>
      <w:r w:rsidR="00941B9C" w:rsidRPr="009D1618">
        <w:rPr>
          <w:rFonts w:eastAsia="Times New Roman" w:cs="Courier New"/>
          <w:color w:val="auto"/>
          <w:sz w:val="20"/>
          <w:szCs w:val="20"/>
          <w:bdr w:val="none" w:sz="0" w:space="0" w:color="auto"/>
          <w:lang w:val="es-VE"/>
        </w:rPr>
        <w:t xml:space="preserve">especulaciones </w:t>
      </w:r>
      <w:r w:rsidR="00941B9C" w:rsidRPr="009D1618">
        <w:rPr>
          <w:rFonts w:eastAsia="Times New Roman" w:cs="Courier New"/>
          <w:color w:val="000000" w:themeColor="text1"/>
          <w:sz w:val="20"/>
          <w:szCs w:val="20"/>
          <w:bdr w:val="none" w:sz="0" w:space="0" w:color="auto"/>
          <w:lang w:val="es-VE"/>
        </w:rPr>
        <w:t xml:space="preserve">sobre eventuales comportamientos futuros. De esta manera, la motivación de la sentencia condenatoria confirmó que efectivamente la noción de peligrosidad constituyó una expresión del derecho penal de autor en el caso concreto, incompatible con principios </w:t>
      </w:r>
      <w:r w:rsidR="00170988" w:rsidRPr="009D1618">
        <w:rPr>
          <w:rFonts w:eastAsia="Times New Roman" w:cs="Courier New"/>
          <w:color w:val="000000" w:themeColor="text1"/>
          <w:sz w:val="20"/>
          <w:szCs w:val="20"/>
          <w:bdr w:val="none" w:sz="0" w:space="0" w:color="auto"/>
          <w:lang w:val="es-VE"/>
        </w:rPr>
        <w:t>esenciales en una soci</w:t>
      </w:r>
      <w:r w:rsidR="00941B9C" w:rsidRPr="009D1618">
        <w:rPr>
          <w:rFonts w:eastAsia="Times New Roman" w:cs="Courier New"/>
          <w:color w:val="000000" w:themeColor="text1"/>
          <w:sz w:val="20"/>
          <w:szCs w:val="20"/>
          <w:bdr w:val="none" w:sz="0" w:space="0" w:color="auto"/>
          <w:lang w:val="es-VE"/>
        </w:rPr>
        <w:t>edad democrática y, específicamente, con el principio de legalidad penal.</w:t>
      </w:r>
    </w:p>
    <w:p w14:paraId="184EC8DE" w14:textId="77777777" w:rsidR="00531E38" w:rsidRPr="009D1618" w:rsidRDefault="00531E38" w:rsidP="000F3FA8">
      <w:pPr>
        <w:shd w:val="clear" w:color="auto" w:fill="FFFFFF"/>
        <w:tabs>
          <w:tab w:val="num" w:pos="1440"/>
          <w:tab w:val="num" w:pos="1800"/>
          <w:tab w:val="num" w:pos="2040"/>
        </w:tabs>
        <w:jc w:val="both"/>
        <w:rPr>
          <w:rFonts w:eastAsia="Times New Roman" w:cs="Courier New"/>
          <w:color w:val="000000" w:themeColor="text1"/>
          <w:sz w:val="20"/>
          <w:szCs w:val="20"/>
          <w:bdr w:val="none" w:sz="0" w:space="0" w:color="auto"/>
          <w:lang w:val="es-VE"/>
        </w:rPr>
      </w:pPr>
    </w:p>
    <w:p w14:paraId="217C9928" w14:textId="77777777" w:rsidR="003425F9" w:rsidRPr="009D1618" w:rsidRDefault="00941B9C" w:rsidP="000F3FA8">
      <w:pPr>
        <w:pStyle w:val="ListParagraph"/>
        <w:numPr>
          <w:ilvl w:val="0"/>
          <w:numId w:val="58"/>
        </w:numPr>
        <w:shd w:val="clear" w:color="auto" w:fill="FFFFFF"/>
        <w:tabs>
          <w:tab w:val="clear" w:pos="1080"/>
          <w:tab w:val="num" w:pos="1440"/>
          <w:tab w:val="num" w:pos="1800"/>
          <w:tab w:val="num" w:pos="2040"/>
        </w:tabs>
        <w:ind w:left="0" w:firstLine="720"/>
        <w:jc w:val="both"/>
        <w:rPr>
          <w:rFonts w:eastAsia="Times New Roman" w:cs="Courier New"/>
          <w:color w:val="212121"/>
          <w:sz w:val="20"/>
          <w:szCs w:val="20"/>
          <w:bdr w:val="none" w:sz="0" w:space="0" w:color="auto"/>
          <w:lang w:val="es-VE"/>
        </w:rPr>
      </w:pPr>
      <w:r w:rsidRPr="009D1618">
        <w:rPr>
          <w:rFonts w:eastAsia="Times New Roman" w:cs="Courier New"/>
          <w:color w:val="000000" w:themeColor="text1"/>
          <w:sz w:val="20"/>
          <w:szCs w:val="20"/>
          <w:bdr w:val="none" w:sz="0" w:space="0" w:color="auto"/>
          <w:lang w:val="es-VE"/>
        </w:rPr>
        <w:t xml:space="preserve"> </w:t>
      </w:r>
      <w:r w:rsidR="00F23431" w:rsidRPr="009D1618">
        <w:rPr>
          <w:rFonts w:eastAsia="Times New Roman" w:cs="Courier New"/>
          <w:color w:val="000000" w:themeColor="text1"/>
          <w:sz w:val="20"/>
          <w:szCs w:val="20"/>
          <w:bdr w:val="none" w:sz="0" w:space="0" w:color="auto"/>
          <w:lang w:val="es-VE"/>
        </w:rPr>
        <w:t>En virtud de las anteriores consideraciones, la Comisión concluye que el Estado de Guatemala es responsable por la violación del principio de legalidad establecidos en el artículo 9 de la Convención Americana en relación con las obligaciones establecidas en los artículos 1.1 y 2 del mismo instrumento</w:t>
      </w:r>
      <w:r w:rsidR="002E2D7A" w:rsidRPr="009D1618">
        <w:rPr>
          <w:rFonts w:eastAsia="Times New Roman" w:cs="Courier New"/>
          <w:color w:val="000000" w:themeColor="text1"/>
          <w:sz w:val="20"/>
          <w:szCs w:val="20"/>
          <w:bdr w:val="none" w:sz="0" w:space="0" w:color="auto"/>
          <w:lang w:val="es-VE"/>
        </w:rPr>
        <w:t xml:space="preserve">, en perjuicio de </w:t>
      </w:r>
      <w:r w:rsidR="002E2D7A" w:rsidRPr="009D1618">
        <w:rPr>
          <w:rFonts w:eastAsia="Times New Roman" w:cs="Courier New"/>
          <w:sz w:val="20"/>
          <w:szCs w:val="20"/>
          <w:bdr w:val="none" w:sz="0" w:space="0" w:color="auto"/>
          <w:lang w:val="es-VE"/>
        </w:rPr>
        <w:t>Aníbal Archila Pérez, Miguel Ángel Lopez Calo y Miguel Ángel Rodríguez Revolorio</w:t>
      </w:r>
      <w:r w:rsidR="00164A2A" w:rsidRPr="009D1618">
        <w:rPr>
          <w:rFonts w:eastAsia="Times New Roman" w:cs="Courier New"/>
          <w:sz w:val="20"/>
          <w:szCs w:val="20"/>
          <w:bdr w:val="none" w:sz="0" w:space="0" w:color="auto"/>
          <w:lang w:val="es-VE"/>
        </w:rPr>
        <w:t>.</w:t>
      </w:r>
    </w:p>
    <w:p w14:paraId="440C6953" w14:textId="77777777" w:rsidR="00B31C19" w:rsidRPr="009D1618" w:rsidRDefault="00B31C19" w:rsidP="00B31C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eastAsia="Times New Roman" w:hAnsi="Cambria" w:cs="Courier New"/>
          <w:color w:val="212121"/>
          <w:sz w:val="20"/>
          <w:szCs w:val="20"/>
          <w:bdr w:val="none" w:sz="0" w:space="0" w:color="auto"/>
          <w:lang w:val="es-VE"/>
        </w:rPr>
      </w:pPr>
    </w:p>
    <w:p w14:paraId="225C395F" w14:textId="67DF3EEF" w:rsidR="008E4455" w:rsidRPr="009D1618" w:rsidRDefault="006C4F07" w:rsidP="002916FF">
      <w:pPr>
        <w:pStyle w:val="ListParagraph"/>
        <w:numPr>
          <w:ilvl w:val="0"/>
          <w:numId w:val="58"/>
        </w:numPr>
        <w:shd w:val="clear" w:color="auto" w:fill="FFFFFF"/>
        <w:tabs>
          <w:tab w:val="clear" w:pos="1080"/>
          <w:tab w:val="num" w:pos="1440"/>
          <w:tab w:val="num" w:pos="1800"/>
          <w:tab w:val="num" w:pos="2040"/>
        </w:tabs>
        <w:ind w:left="0" w:firstLine="720"/>
        <w:jc w:val="both"/>
        <w:rPr>
          <w:rFonts w:eastAsia="Times New Roman" w:cs="Courier New"/>
          <w:color w:val="212121"/>
          <w:sz w:val="20"/>
          <w:szCs w:val="20"/>
          <w:bdr w:val="none" w:sz="0" w:space="0" w:color="auto"/>
          <w:lang w:val="es-VE"/>
        </w:rPr>
      </w:pPr>
      <w:r w:rsidRPr="009D1618">
        <w:rPr>
          <w:rFonts w:eastAsia="Times New Roman" w:cs="Courier New"/>
          <w:color w:val="212121"/>
          <w:sz w:val="20"/>
          <w:szCs w:val="20"/>
          <w:bdr w:val="none" w:sz="0" w:space="0" w:color="auto"/>
          <w:lang w:val="es-CL"/>
        </w:rPr>
        <w:t>C</w:t>
      </w:r>
      <w:r w:rsidR="008E4455" w:rsidRPr="009D1618">
        <w:rPr>
          <w:rFonts w:eastAsia="Times New Roman" w:cs="Courier New"/>
          <w:color w:val="212121"/>
          <w:sz w:val="20"/>
          <w:szCs w:val="20"/>
          <w:bdr w:val="none" w:sz="0" w:space="0" w:color="auto"/>
          <w:lang w:val="es-CL"/>
        </w:rPr>
        <w:t>omo se indicó en la sección de hechos probados, en 2011</w:t>
      </w:r>
      <w:r w:rsidR="000F0CF1" w:rsidRPr="009D1618">
        <w:rPr>
          <w:rFonts w:eastAsia="Times New Roman" w:cs="Courier New"/>
          <w:color w:val="212121"/>
          <w:sz w:val="20"/>
          <w:szCs w:val="20"/>
          <w:bdr w:val="none" w:sz="0" w:space="0" w:color="auto"/>
          <w:lang w:val="es-CL"/>
        </w:rPr>
        <w:t xml:space="preserve">, es decir más de 15 años después de la condena inicial, </w:t>
      </w:r>
      <w:r w:rsidR="008E4455" w:rsidRPr="009D1618">
        <w:rPr>
          <w:rFonts w:eastAsia="Times New Roman" w:cs="Courier New"/>
          <w:color w:val="212121"/>
          <w:sz w:val="20"/>
          <w:szCs w:val="20"/>
          <w:bdr w:val="none" w:sz="0" w:space="0" w:color="auto"/>
          <w:lang w:val="es-CL"/>
        </w:rPr>
        <w:t xml:space="preserve">la Corte Suprema de Justicia </w:t>
      </w:r>
      <w:r w:rsidR="008E4455" w:rsidRPr="009D1618">
        <w:rPr>
          <w:rFonts w:eastAsia="Times New Roman" w:cs="Courier New"/>
          <w:color w:val="000000" w:themeColor="text1"/>
          <w:sz w:val="20"/>
          <w:szCs w:val="20"/>
          <w:bdr w:val="none" w:sz="0" w:space="0" w:color="auto"/>
          <w:lang w:val="es-VE"/>
        </w:rPr>
        <w:t>determinó</w:t>
      </w:r>
      <w:r w:rsidR="008E4455" w:rsidRPr="009D1618">
        <w:rPr>
          <w:rFonts w:eastAsia="Times New Roman" w:cs="Courier New"/>
          <w:color w:val="212121"/>
          <w:sz w:val="20"/>
          <w:szCs w:val="20"/>
          <w:bdr w:val="none" w:sz="0" w:space="0" w:color="auto"/>
          <w:lang w:val="es-CL"/>
        </w:rPr>
        <w:t xml:space="preserve"> que </w:t>
      </w:r>
      <w:r w:rsidR="00164A2A" w:rsidRPr="009D1618">
        <w:rPr>
          <w:rFonts w:eastAsia="Times New Roman" w:cs="Courier New"/>
          <w:color w:val="212121"/>
          <w:sz w:val="20"/>
          <w:szCs w:val="20"/>
          <w:bdr w:val="none" w:sz="0" w:space="0" w:color="auto"/>
          <w:lang w:val="es-CL"/>
        </w:rPr>
        <w:t>correspondía anular la sentencia condenatoria</w:t>
      </w:r>
      <w:r w:rsidR="008E4455" w:rsidRPr="009D1618">
        <w:rPr>
          <w:rFonts w:eastAsia="Times New Roman" w:cs="Courier New"/>
          <w:color w:val="212121"/>
          <w:sz w:val="20"/>
          <w:szCs w:val="20"/>
          <w:bdr w:val="none" w:sz="0" w:space="0" w:color="auto"/>
          <w:lang w:val="es-CL"/>
        </w:rPr>
        <w:t xml:space="preserve"> en lo relativo a la pena impuesta</w:t>
      </w:r>
      <w:r w:rsidR="00E3503F" w:rsidRPr="009D1618">
        <w:rPr>
          <w:rFonts w:eastAsia="Times New Roman" w:cs="Courier New"/>
          <w:color w:val="212121"/>
          <w:sz w:val="20"/>
          <w:szCs w:val="20"/>
          <w:bdr w:val="none" w:sz="0" w:space="0" w:color="auto"/>
          <w:lang w:val="es-CL"/>
        </w:rPr>
        <w:t>,</w:t>
      </w:r>
      <w:r w:rsidR="008E4455" w:rsidRPr="009D1618">
        <w:rPr>
          <w:rFonts w:eastAsia="Times New Roman" w:cs="Courier New"/>
          <w:color w:val="212121"/>
          <w:sz w:val="20"/>
          <w:szCs w:val="20"/>
          <w:bdr w:val="none" w:sz="0" w:space="0" w:color="auto"/>
          <w:lang w:val="es-CL"/>
        </w:rPr>
        <w:t xml:space="preserve"> ya que el Tribunal no debió utilizar la figura de la peligrosidad porque resulta incompatible con dos sentencia</w:t>
      </w:r>
      <w:r w:rsidR="00E3503F" w:rsidRPr="009D1618">
        <w:rPr>
          <w:rFonts w:eastAsia="Times New Roman" w:cs="Courier New"/>
          <w:color w:val="212121"/>
          <w:sz w:val="20"/>
          <w:szCs w:val="20"/>
          <w:bdr w:val="none" w:sz="0" w:space="0" w:color="auto"/>
          <w:lang w:val="es-CL"/>
        </w:rPr>
        <w:t>s</w:t>
      </w:r>
      <w:r w:rsidR="008E4455" w:rsidRPr="009D1618">
        <w:rPr>
          <w:rFonts w:eastAsia="Times New Roman" w:cs="Courier New"/>
          <w:color w:val="212121"/>
          <w:sz w:val="20"/>
          <w:szCs w:val="20"/>
          <w:bdr w:val="none" w:sz="0" w:space="0" w:color="auto"/>
          <w:lang w:val="es-CL"/>
        </w:rPr>
        <w:t xml:space="preserve"> de la Corte Interamericana.</w:t>
      </w:r>
      <w:r w:rsidR="00E3503F" w:rsidRPr="009D1618">
        <w:rPr>
          <w:rFonts w:eastAsia="Times New Roman" w:cs="Courier New"/>
          <w:color w:val="212121"/>
          <w:sz w:val="20"/>
          <w:szCs w:val="20"/>
          <w:bdr w:val="none" w:sz="0" w:space="0" w:color="auto"/>
          <w:lang w:val="es-CL"/>
        </w:rPr>
        <w:t xml:space="preserve"> </w:t>
      </w:r>
      <w:r w:rsidR="000F0CF1" w:rsidRPr="009D1618">
        <w:rPr>
          <w:rFonts w:eastAsia="Times New Roman" w:cs="Courier New"/>
          <w:color w:val="212121"/>
          <w:sz w:val="20"/>
          <w:szCs w:val="20"/>
          <w:bdr w:val="none" w:sz="0" w:space="0" w:color="auto"/>
          <w:lang w:val="es-CL"/>
        </w:rPr>
        <w:t xml:space="preserve"> </w:t>
      </w:r>
    </w:p>
    <w:p w14:paraId="7A7E4D35" w14:textId="77777777" w:rsidR="002916FF" w:rsidRPr="009D1618" w:rsidRDefault="002916FF" w:rsidP="002916FF">
      <w:pPr>
        <w:shd w:val="clear" w:color="auto" w:fill="FFFFFF"/>
        <w:tabs>
          <w:tab w:val="num" w:pos="1800"/>
          <w:tab w:val="num" w:pos="2040"/>
        </w:tabs>
        <w:jc w:val="both"/>
        <w:rPr>
          <w:rFonts w:eastAsia="Times New Roman" w:cs="Courier New"/>
          <w:color w:val="212121"/>
          <w:sz w:val="20"/>
          <w:szCs w:val="20"/>
          <w:bdr w:val="none" w:sz="0" w:space="0" w:color="auto"/>
          <w:lang w:val="es-VE"/>
        </w:rPr>
      </w:pPr>
    </w:p>
    <w:p w14:paraId="4711AB82" w14:textId="77777777" w:rsidR="008B686C" w:rsidRPr="009D1618" w:rsidRDefault="008B686C" w:rsidP="008B686C">
      <w:pPr>
        <w:pStyle w:val="ListParagraph"/>
        <w:numPr>
          <w:ilvl w:val="1"/>
          <w:numId w:val="55"/>
        </w:numPr>
        <w:shd w:val="clear" w:color="auto" w:fill="FFFFFF"/>
        <w:tabs>
          <w:tab w:val="num" w:pos="720"/>
          <w:tab w:val="left" w:pos="1440"/>
          <w:tab w:val="num" w:pos="2040"/>
        </w:tabs>
        <w:ind w:hanging="1080"/>
        <w:jc w:val="both"/>
        <w:rPr>
          <w:b/>
          <w:sz w:val="20"/>
          <w:szCs w:val="20"/>
          <w:lang w:val="es-CL"/>
        </w:rPr>
      </w:pPr>
      <w:r w:rsidRPr="009D1618">
        <w:rPr>
          <w:b/>
          <w:sz w:val="20"/>
          <w:szCs w:val="20"/>
          <w:lang w:val="es-ES"/>
        </w:rPr>
        <w:t>Sobre el derecho a contar con juez imparcial</w:t>
      </w:r>
    </w:p>
    <w:p w14:paraId="0BED6456" w14:textId="77777777" w:rsidR="00AE32FE" w:rsidRPr="009D1618" w:rsidRDefault="00AE32FE" w:rsidP="000F3FA8">
      <w:pPr>
        <w:shd w:val="clear" w:color="auto" w:fill="FFFFFF"/>
        <w:tabs>
          <w:tab w:val="num" w:pos="1800"/>
          <w:tab w:val="num" w:pos="2040"/>
        </w:tabs>
        <w:jc w:val="both"/>
        <w:rPr>
          <w:b/>
          <w:sz w:val="20"/>
          <w:szCs w:val="20"/>
          <w:lang w:val="es-CL"/>
        </w:rPr>
      </w:pPr>
    </w:p>
    <w:p w14:paraId="2D2EDD02" w14:textId="77777777" w:rsidR="00293DEC" w:rsidRPr="009D1618" w:rsidRDefault="00AE32FE" w:rsidP="000F3FA8">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CL"/>
        </w:rPr>
      </w:pPr>
      <w:r w:rsidRPr="009D1618">
        <w:rPr>
          <w:sz w:val="20"/>
          <w:szCs w:val="20"/>
          <w:lang w:val="es-UY"/>
        </w:rPr>
        <w:t xml:space="preserve">La garantía de imparcialidad implica que las autoridades judiciales que resuelve sobre la responsabilidad penal e impone las penas aplicables, </w:t>
      </w:r>
      <w:r w:rsidRPr="009D1618">
        <w:rPr>
          <w:rFonts w:cs="Calibri"/>
          <w:sz w:val="20"/>
          <w:szCs w:val="20"/>
          <w:lang w:val="es-UY"/>
        </w:rPr>
        <w:t>“no tengan un interés directo, una posición tomada, una preferencia por alguna de las partes y que no se encuentren involucrados en la controversia”</w:t>
      </w:r>
      <w:r w:rsidRPr="009D1618">
        <w:rPr>
          <w:rStyle w:val="FootnoteReference"/>
          <w:rFonts w:ascii="Cambria" w:hAnsi="Cambria" w:cs="Calibri"/>
          <w:sz w:val="20"/>
          <w:szCs w:val="20"/>
        </w:rPr>
        <w:footnoteReference w:id="83"/>
      </w:r>
      <w:r w:rsidRPr="009D1618">
        <w:rPr>
          <w:rFonts w:cs="Calibri"/>
          <w:sz w:val="20"/>
          <w:szCs w:val="20"/>
          <w:lang w:val="es-UY"/>
        </w:rPr>
        <w:t>. Para evaluar la imparcialidad debe tomarse en cuenta desde el enfoque subjetivo, la convicción personal y la conducta</w:t>
      </w:r>
      <w:r w:rsidR="008D6B8D" w:rsidRPr="009D1618">
        <w:rPr>
          <w:rFonts w:cs="Calibri"/>
          <w:sz w:val="20"/>
          <w:szCs w:val="20"/>
          <w:lang w:val="es-UY"/>
        </w:rPr>
        <w:t xml:space="preserve"> de un juez en un caso concreto. </w:t>
      </w:r>
      <w:r w:rsidR="00BB2A21" w:rsidRPr="009D1618">
        <w:rPr>
          <w:sz w:val="20"/>
          <w:szCs w:val="20"/>
          <w:lang w:val="es-CL"/>
        </w:rPr>
        <w:t>L</w:t>
      </w:r>
      <w:r w:rsidR="00293DEC" w:rsidRPr="009D1618">
        <w:rPr>
          <w:sz w:val="20"/>
          <w:szCs w:val="20"/>
          <w:lang w:val="es-ES"/>
        </w:rPr>
        <w:t xml:space="preserve">a </w:t>
      </w:r>
      <w:r w:rsidR="00293DEC" w:rsidRPr="009D1618">
        <w:rPr>
          <w:rFonts w:eastAsia="Times New Roman" w:cs="Courier New"/>
          <w:color w:val="000000" w:themeColor="text1"/>
          <w:sz w:val="20"/>
          <w:szCs w:val="20"/>
          <w:bdr w:val="none" w:sz="0" w:space="0" w:color="auto"/>
          <w:lang w:val="es-VE"/>
        </w:rPr>
        <w:t>imparcialidad</w:t>
      </w:r>
      <w:r w:rsidR="00293DEC" w:rsidRPr="009D1618">
        <w:rPr>
          <w:sz w:val="20"/>
          <w:szCs w:val="20"/>
          <w:lang w:val="es-ES"/>
        </w:rPr>
        <w:t xml:space="preserve"> personal o subjetiva se presume a menos que exista prueba en contrario</w:t>
      </w:r>
      <w:r w:rsidR="00293DEC" w:rsidRPr="009D1618">
        <w:rPr>
          <w:rStyle w:val="FootnoteReference"/>
          <w:rFonts w:ascii="Cambria" w:hAnsi="Cambria"/>
          <w:sz w:val="20"/>
          <w:szCs w:val="20"/>
          <w:lang w:val="es-ES"/>
        </w:rPr>
        <w:footnoteReference w:id="84"/>
      </w:r>
      <w:r w:rsidR="00293DEC" w:rsidRPr="009D1618">
        <w:rPr>
          <w:sz w:val="20"/>
          <w:szCs w:val="20"/>
          <w:lang w:val="es-ES"/>
        </w:rPr>
        <w:t xml:space="preserve">. Por su parte, </w:t>
      </w:r>
      <w:r w:rsidR="008D6B8D" w:rsidRPr="009D1618">
        <w:rPr>
          <w:sz w:val="20"/>
          <w:szCs w:val="20"/>
          <w:lang w:val="es-ES"/>
        </w:rPr>
        <w:t xml:space="preserve">desde la perspectiva objetiva, el análisis </w:t>
      </w:r>
      <w:r w:rsidR="00293DEC" w:rsidRPr="009D1618">
        <w:rPr>
          <w:sz w:val="20"/>
          <w:szCs w:val="20"/>
          <w:lang w:val="es-ES"/>
        </w:rPr>
        <w:t>consiste en determinar si la autoridad que realizó las funciones jurisdiccionales proporcionó elementos convincentes que permitan eliminar temores legítimos o fundadas sospechas de parcialidad sobre su persona</w:t>
      </w:r>
      <w:r w:rsidR="00293DEC" w:rsidRPr="009D1618">
        <w:rPr>
          <w:rStyle w:val="FootnoteReference"/>
          <w:rFonts w:ascii="Cambria" w:hAnsi="Cambria"/>
          <w:sz w:val="20"/>
          <w:szCs w:val="20"/>
          <w:lang w:val="es-ES"/>
        </w:rPr>
        <w:footnoteReference w:id="85"/>
      </w:r>
      <w:r w:rsidR="00293DEC" w:rsidRPr="009D1618">
        <w:rPr>
          <w:sz w:val="20"/>
          <w:szCs w:val="20"/>
          <w:lang w:val="es-ES"/>
        </w:rPr>
        <w:t>.</w:t>
      </w:r>
      <w:r w:rsidR="00293DEC" w:rsidRPr="009D1618">
        <w:rPr>
          <w:sz w:val="20"/>
          <w:szCs w:val="20"/>
          <w:lang w:val="es-VE"/>
        </w:rPr>
        <w:t xml:space="preserve"> La Corte Interamericana ha resaltado la importancia de la figura de la recusación de jueces o juezas a efectos de impugnar la imparcialidad de los mismos</w:t>
      </w:r>
      <w:r w:rsidR="00293DEC" w:rsidRPr="009D1618">
        <w:rPr>
          <w:rStyle w:val="FootnoteReference"/>
          <w:rFonts w:ascii="Cambria" w:hAnsi="Cambria"/>
          <w:sz w:val="20"/>
          <w:szCs w:val="20"/>
        </w:rPr>
        <w:footnoteReference w:id="86"/>
      </w:r>
      <w:r w:rsidR="00293DEC" w:rsidRPr="009D1618">
        <w:rPr>
          <w:sz w:val="20"/>
          <w:szCs w:val="20"/>
          <w:lang w:val="es-VE"/>
        </w:rPr>
        <w:t>.</w:t>
      </w:r>
    </w:p>
    <w:p w14:paraId="79E15E2E" w14:textId="77777777" w:rsidR="00AF5677" w:rsidRPr="009D1618" w:rsidRDefault="00AF5677" w:rsidP="00AF5677">
      <w:pPr>
        <w:pStyle w:val="ListParagraph"/>
        <w:shd w:val="clear" w:color="auto" w:fill="FFFFFF"/>
        <w:tabs>
          <w:tab w:val="num" w:pos="1800"/>
          <w:tab w:val="num" w:pos="2040"/>
        </w:tabs>
        <w:jc w:val="both"/>
        <w:rPr>
          <w:b/>
          <w:sz w:val="20"/>
          <w:szCs w:val="20"/>
          <w:lang w:val="es-CL"/>
        </w:rPr>
      </w:pPr>
    </w:p>
    <w:p w14:paraId="55E6FD5A" w14:textId="77777777" w:rsidR="00004BCA" w:rsidRPr="009D1618" w:rsidRDefault="00AF5677" w:rsidP="000F3FA8">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CL"/>
        </w:rPr>
      </w:pPr>
      <w:r w:rsidRPr="009D1618">
        <w:rPr>
          <w:sz w:val="20"/>
          <w:szCs w:val="20"/>
          <w:lang w:val="es-CL"/>
        </w:rPr>
        <w:t>De los hechos probados se desprende que los cuestionamientos a la imparcialidad de la persona que fungió como Presidente del Tribunal de Sentencia que condenó a las presuntas ví</w:t>
      </w:r>
      <w:r w:rsidR="00E7767B" w:rsidRPr="009D1618">
        <w:rPr>
          <w:sz w:val="20"/>
          <w:szCs w:val="20"/>
          <w:lang w:val="es-CL"/>
        </w:rPr>
        <w:t>ctimas, son esencialmente dos. Por una parte, se indica que dicha persona fue la misma que actuó como juez de control en la etapa de investigació</w:t>
      </w:r>
      <w:r w:rsidR="00BA3135" w:rsidRPr="009D1618">
        <w:rPr>
          <w:sz w:val="20"/>
          <w:szCs w:val="20"/>
          <w:lang w:val="es-CL"/>
        </w:rPr>
        <w:t>n</w:t>
      </w:r>
      <w:r w:rsidR="00E7767B" w:rsidRPr="009D1618">
        <w:rPr>
          <w:sz w:val="20"/>
          <w:szCs w:val="20"/>
          <w:lang w:val="es-CL"/>
        </w:rPr>
        <w:t xml:space="preserve">. Por otra, se indica que </w:t>
      </w:r>
      <w:r w:rsidR="000A057D" w:rsidRPr="009D1618">
        <w:rPr>
          <w:sz w:val="20"/>
          <w:szCs w:val="20"/>
          <w:lang w:val="es-CL"/>
        </w:rPr>
        <w:t>en el segundo día del juicio</w:t>
      </w:r>
      <w:r w:rsidR="00E7767B" w:rsidRPr="009D1618">
        <w:rPr>
          <w:sz w:val="20"/>
          <w:szCs w:val="20"/>
          <w:lang w:val="es-CL"/>
        </w:rPr>
        <w:t>,</w:t>
      </w:r>
      <w:r w:rsidR="000A057D" w:rsidRPr="009D1618">
        <w:rPr>
          <w:sz w:val="20"/>
          <w:szCs w:val="20"/>
          <w:lang w:val="es-CL"/>
        </w:rPr>
        <w:t xml:space="preserve"> le dijo a uno de los abogados defensores de las presuntas víctimas y a un experto forense de la defensa que “con o sin un experto, ellos serán condenados”. Dichas cuestiones guardan relación con la imparcialidad objetiva y subjetiva respectivamente.</w:t>
      </w:r>
    </w:p>
    <w:p w14:paraId="19923C3D" w14:textId="77777777" w:rsidR="00004BCA" w:rsidRPr="009D1618" w:rsidRDefault="00004BCA" w:rsidP="000F3FA8">
      <w:pPr>
        <w:pStyle w:val="ListParagraph"/>
        <w:shd w:val="clear" w:color="auto" w:fill="FFFFFF"/>
        <w:tabs>
          <w:tab w:val="num" w:pos="1800"/>
          <w:tab w:val="num" w:pos="2040"/>
        </w:tabs>
        <w:jc w:val="both"/>
        <w:rPr>
          <w:b/>
          <w:sz w:val="20"/>
          <w:szCs w:val="20"/>
          <w:lang w:val="es-CL"/>
        </w:rPr>
      </w:pPr>
    </w:p>
    <w:p w14:paraId="1A1DC222" w14:textId="77777777" w:rsidR="00686966" w:rsidRPr="009D1618" w:rsidRDefault="00247807" w:rsidP="000F3FA8">
      <w:pPr>
        <w:pStyle w:val="ListParagraph"/>
        <w:numPr>
          <w:ilvl w:val="0"/>
          <w:numId w:val="58"/>
        </w:numPr>
        <w:shd w:val="clear" w:color="auto" w:fill="FFFFFF"/>
        <w:tabs>
          <w:tab w:val="clear" w:pos="1080"/>
          <w:tab w:val="num" w:pos="1440"/>
          <w:tab w:val="num" w:pos="1800"/>
          <w:tab w:val="num" w:pos="2040"/>
        </w:tabs>
        <w:ind w:left="0" w:firstLine="720"/>
        <w:jc w:val="both"/>
        <w:rPr>
          <w:b/>
          <w:sz w:val="20"/>
          <w:szCs w:val="20"/>
          <w:lang w:val="es-CL"/>
        </w:rPr>
      </w:pPr>
      <w:r w:rsidRPr="009D1618">
        <w:rPr>
          <w:sz w:val="20"/>
          <w:szCs w:val="20"/>
          <w:lang w:val="es-CL"/>
        </w:rPr>
        <w:t xml:space="preserve">Tanto la Comisión como la Corte se han pronunciado sobre situaciones en las cuales una misma autoridad judicial conoce un proceso penal en diferentes momentos. </w:t>
      </w:r>
      <w:r w:rsidR="008605E6" w:rsidRPr="009D1618">
        <w:rPr>
          <w:sz w:val="20"/>
          <w:szCs w:val="20"/>
          <w:lang w:val="es-ES_tradnl"/>
        </w:rPr>
        <w:t xml:space="preserve">Así, </w:t>
      </w:r>
      <w:r w:rsidR="007301EB" w:rsidRPr="009D1618">
        <w:rPr>
          <w:sz w:val="20"/>
          <w:szCs w:val="20"/>
          <w:lang w:val="es-ES_tradnl"/>
        </w:rPr>
        <w:t xml:space="preserve">en el </w:t>
      </w:r>
      <w:r w:rsidR="007301EB" w:rsidRPr="009D1618">
        <w:rPr>
          <w:i/>
          <w:sz w:val="20"/>
          <w:szCs w:val="20"/>
          <w:lang w:val="es-ES_tradnl"/>
        </w:rPr>
        <w:t>Caso Herrera Ulloa Vs. Costa Rica</w:t>
      </w:r>
      <w:r w:rsidR="0017531C" w:rsidRPr="009D1618">
        <w:rPr>
          <w:sz w:val="20"/>
          <w:szCs w:val="20"/>
          <w:lang w:val="es-ES_tradnl"/>
        </w:rPr>
        <w:t xml:space="preserve"> la Corte indicó que </w:t>
      </w:r>
      <w:r w:rsidR="007301EB" w:rsidRPr="009D1618">
        <w:rPr>
          <w:sz w:val="20"/>
          <w:szCs w:val="20"/>
          <w:lang w:val="es-ES_tradnl"/>
        </w:rPr>
        <w:t>el hecho de que mismos magistrados hayan integrado la Sala donde se presentó más de un recurso relacionado al mismo proceso y hayan analizado parte del fondo y no solo sobre la forma vulnera la exigencia de imparcialidad establecida en el artículo 8.1 de la Convención Americana</w:t>
      </w:r>
      <w:r w:rsidR="007301EB" w:rsidRPr="009D1618">
        <w:rPr>
          <w:rStyle w:val="FootnoteReference"/>
          <w:rFonts w:ascii="Cambria" w:hAnsi="Cambria"/>
          <w:sz w:val="20"/>
          <w:szCs w:val="20"/>
          <w:lang w:val="es-ES_tradnl"/>
        </w:rPr>
        <w:footnoteReference w:id="87"/>
      </w:r>
      <w:r w:rsidR="007301EB" w:rsidRPr="009D1618">
        <w:rPr>
          <w:sz w:val="20"/>
          <w:szCs w:val="20"/>
          <w:lang w:val="es-ES_tradnl"/>
        </w:rPr>
        <w:t>.</w:t>
      </w:r>
      <w:r w:rsidR="0017531C" w:rsidRPr="009D1618">
        <w:rPr>
          <w:sz w:val="20"/>
          <w:szCs w:val="20"/>
          <w:lang w:val="es-ES_tradnl"/>
        </w:rPr>
        <w:t xml:space="preserve"> Dicho </w:t>
      </w:r>
      <w:r w:rsidR="0017531C" w:rsidRPr="009D1618">
        <w:rPr>
          <w:sz w:val="20"/>
          <w:szCs w:val="20"/>
          <w:lang w:val="es-ES_tradnl"/>
        </w:rPr>
        <w:lastRenderedPageBreak/>
        <w:t>estándar</w:t>
      </w:r>
      <w:r w:rsidR="006969E7" w:rsidRPr="009D1618">
        <w:rPr>
          <w:sz w:val="20"/>
          <w:szCs w:val="20"/>
          <w:lang w:val="es-ES_tradnl"/>
        </w:rPr>
        <w:t xml:space="preserve"> consistente </w:t>
      </w:r>
      <w:r w:rsidR="00BA754D" w:rsidRPr="009D1618">
        <w:rPr>
          <w:sz w:val="20"/>
          <w:szCs w:val="20"/>
          <w:lang w:val="es-ES_tradnl"/>
        </w:rPr>
        <w:t xml:space="preserve">fue aplicado posteriormente </w:t>
      </w:r>
      <w:r w:rsidR="00FF04EA" w:rsidRPr="009D1618">
        <w:rPr>
          <w:sz w:val="20"/>
          <w:szCs w:val="20"/>
          <w:lang w:val="es-ES_tradnl"/>
        </w:rPr>
        <w:t xml:space="preserve">por parte de la CIDH en el caso </w:t>
      </w:r>
      <w:r w:rsidR="00FF04EA" w:rsidRPr="009D1618">
        <w:rPr>
          <w:i/>
          <w:sz w:val="20"/>
          <w:szCs w:val="20"/>
          <w:lang w:val="es-ES_tradnl"/>
        </w:rPr>
        <w:t>Manfred Amhrein y otros vs. Costa Rica</w:t>
      </w:r>
      <w:r w:rsidR="00A76873" w:rsidRPr="009D1618">
        <w:rPr>
          <w:rStyle w:val="FootnoteReference"/>
          <w:rFonts w:ascii="Cambria" w:hAnsi="Cambria"/>
          <w:i/>
          <w:sz w:val="20"/>
          <w:szCs w:val="20"/>
          <w:lang w:val="es-ES_tradnl"/>
        </w:rPr>
        <w:footnoteReference w:id="88"/>
      </w:r>
      <w:r w:rsidR="00FF04EA" w:rsidRPr="009D1618">
        <w:rPr>
          <w:i/>
          <w:sz w:val="20"/>
          <w:szCs w:val="20"/>
          <w:lang w:val="es-ES_tradnl"/>
        </w:rPr>
        <w:t xml:space="preserve">. </w:t>
      </w:r>
    </w:p>
    <w:p w14:paraId="02AD6141" w14:textId="77777777" w:rsidR="006E5F5C" w:rsidRPr="009D1618" w:rsidRDefault="006E5F5C" w:rsidP="00AF56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b/>
          <w:sz w:val="20"/>
          <w:szCs w:val="20"/>
          <w:lang w:val="es-CL"/>
        </w:rPr>
      </w:pPr>
    </w:p>
    <w:p w14:paraId="5078B85B" w14:textId="77777777" w:rsidR="009634C7" w:rsidRPr="009D1618" w:rsidRDefault="00021274" w:rsidP="00DE72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b/>
          <w:sz w:val="20"/>
          <w:szCs w:val="20"/>
          <w:bdr w:val="none" w:sz="0" w:space="0" w:color="auto"/>
          <w:lang w:val="es-ES"/>
        </w:rPr>
      </w:pPr>
      <w:r w:rsidRPr="009D1618">
        <w:rPr>
          <w:rFonts w:ascii="Cambria" w:eastAsia="Times New Roman" w:hAnsi="Cambria" w:cs="Courier New"/>
          <w:sz w:val="20"/>
          <w:szCs w:val="20"/>
          <w:bdr w:val="none" w:sz="0" w:space="0" w:color="auto"/>
          <w:lang w:val="es-ES"/>
        </w:rPr>
        <w:t xml:space="preserve">La Comisión considera que el hecho de que </w:t>
      </w:r>
      <w:r w:rsidR="00B94760" w:rsidRPr="009D1618">
        <w:rPr>
          <w:rFonts w:ascii="Cambria" w:eastAsia="Times New Roman" w:hAnsi="Cambria" w:cs="Courier New"/>
          <w:sz w:val="20"/>
          <w:szCs w:val="20"/>
          <w:bdr w:val="none" w:sz="0" w:space="0" w:color="auto"/>
          <w:lang w:val="es-ES"/>
        </w:rPr>
        <w:t xml:space="preserve">en un proceso penal la misma autoridad judicial que intervino </w:t>
      </w:r>
      <w:r w:rsidR="007C542D" w:rsidRPr="009D1618">
        <w:rPr>
          <w:rFonts w:ascii="Cambria" w:eastAsia="Times New Roman" w:hAnsi="Cambria" w:cs="Courier New"/>
          <w:sz w:val="20"/>
          <w:szCs w:val="20"/>
          <w:bdr w:val="none" w:sz="0" w:space="0" w:color="auto"/>
          <w:lang w:val="es-ES"/>
        </w:rPr>
        <w:t xml:space="preserve">en la etapa de investigación – sea en calidad de juez instructor en un sistema inquisitivo o de juez de control en un sistema acusatorio </w:t>
      </w:r>
      <w:r w:rsidR="001C25FC" w:rsidRPr="009D1618">
        <w:rPr>
          <w:rFonts w:ascii="Cambria" w:eastAsia="Times New Roman" w:hAnsi="Cambria" w:cs="Courier New"/>
          <w:sz w:val="20"/>
          <w:szCs w:val="20"/>
          <w:bdr w:val="none" w:sz="0" w:space="0" w:color="auto"/>
          <w:lang w:val="es-ES"/>
        </w:rPr>
        <w:t>– resulta en sí mismo problemático frente a la garantía de imparcialidad, particularmente desde el punto de vista objetivo. Esto resul</w:t>
      </w:r>
      <w:r w:rsidR="00912F2F" w:rsidRPr="009D1618">
        <w:rPr>
          <w:rFonts w:ascii="Cambria" w:eastAsia="Times New Roman" w:hAnsi="Cambria" w:cs="Courier New"/>
          <w:sz w:val="20"/>
          <w:szCs w:val="20"/>
          <w:bdr w:val="none" w:sz="0" w:space="0" w:color="auto"/>
          <w:lang w:val="es-ES"/>
        </w:rPr>
        <w:t xml:space="preserve">ta aún más </w:t>
      </w:r>
      <w:r w:rsidR="00822414" w:rsidRPr="009D1618">
        <w:rPr>
          <w:rFonts w:ascii="Cambria" w:eastAsia="Times New Roman" w:hAnsi="Cambria" w:cs="Courier New"/>
          <w:sz w:val="20"/>
          <w:szCs w:val="20"/>
          <w:bdr w:val="none" w:sz="0" w:space="0" w:color="auto"/>
          <w:lang w:val="es-ES"/>
        </w:rPr>
        <w:t>cuestionable tratándose de un proceso penal que puede culminar con la imposició</w:t>
      </w:r>
      <w:r w:rsidR="006A46D1" w:rsidRPr="009D1618">
        <w:rPr>
          <w:rFonts w:ascii="Cambria" w:eastAsia="Times New Roman" w:hAnsi="Cambria" w:cs="Courier New"/>
          <w:sz w:val="20"/>
          <w:szCs w:val="20"/>
          <w:bdr w:val="none" w:sz="0" w:space="0" w:color="auto"/>
          <w:lang w:val="es-ES"/>
        </w:rPr>
        <w:t xml:space="preserve">n de la pena de muerte en el cual el análisis de las garantías del debido proceso debe efectuarse de manera estricta. </w:t>
      </w:r>
    </w:p>
    <w:p w14:paraId="42454850" w14:textId="77777777" w:rsidR="008D2A6E" w:rsidRPr="009D1618" w:rsidRDefault="008D2A6E" w:rsidP="008D2A6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b/>
          <w:sz w:val="20"/>
          <w:szCs w:val="20"/>
          <w:bdr w:val="none" w:sz="0" w:space="0" w:color="auto"/>
          <w:lang w:val="es-ES"/>
        </w:rPr>
      </w:pPr>
    </w:p>
    <w:p w14:paraId="76F3F9F4" w14:textId="77777777" w:rsidR="0015784F" w:rsidRPr="009D1618" w:rsidRDefault="00C443C8"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eastAsia="Times New Roman" w:hAnsi="Cambria" w:cs="Courier New"/>
          <w:b/>
          <w:sz w:val="20"/>
          <w:szCs w:val="20"/>
          <w:bdr w:val="none" w:sz="0" w:space="0" w:color="auto"/>
          <w:lang w:val="es-ES"/>
        </w:rPr>
      </w:pPr>
      <w:r w:rsidRPr="009D1618">
        <w:rPr>
          <w:rFonts w:ascii="Cambria" w:eastAsia="Times New Roman" w:hAnsi="Cambria" w:cs="Courier New"/>
          <w:sz w:val="20"/>
          <w:szCs w:val="20"/>
          <w:bdr w:val="none" w:sz="0" w:space="0" w:color="auto"/>
          <w:lang w:val="es-ES"/>
        </w:rPr>
        <w:t>Conforme a los hechos probados, e</w:t>
      </w:r>
      <w:r w:rsidR="00335F12" w:rsidRPr="009D1618">
        <w:rPr>
          <w:rFonts w:ascii="Cambria" w:eastAsia="Times New Roman" w:hAnsi="Cambria" w:cs="Courier New"/>
          <w:sz w:val="20"/>
          <w:szCs w:val="20"/>
          <w:bdr w:val="none" w:sz="0" w:space="0" w:color="auto"/>
          <w:lang w:val="es-ES"/>
        </w:rPr>
        <w:t>n el caso</w:t>
      </w:r>
      <w:r w:rsidRPr="009D1618">
        <w:rPr>
          <w:rFonts w:ascii="Cambria" w:eastAsia="Times New Roman" w:hAnsi="Cambria" w:cs="Courier New"/>
          <w:sz w:val="20"/>
          <w:szCs w:val="20"/>
          <w:bdr w:val="none" w:sz="0" w:space="0" w:color="auto"/>
          <w:lang w:val="es-ES"/>
        </w:rPr>
        <w:t xml:space="preserve"> de Guatemala al momento del proceso penal seguido contra las presuntas víctimas, </w:t>
      </w:r>
      <w:r w:rsidR="00B42EBE" w:rsidRPr="009D1618">
        <w:rPr>
          <w:rFonts w:ascii="Cambria" w:eastAsia="Times New Roman" w:hAnsi="Cambria" w:cs="Courier New"/>
          <w:sz w:val="20"/>
          <w:szCs w:val="20"/>
          <w:bdr w:val="none" w:sz="0" w:space="0" w:color="auto"/>
          <w:lang w:val="es-ES"/>
        </w:rPr>
        <w:t>el Código Procesal Penal regulaba la</w:t>
      </w:r>
      <w:r w:rsidRPr="009D1618">
        <w:rPr>
          <w:rFonts w:ascii="Cambria" w:eastAsia="Times New Roman" w:hAnsi="Cambria" w:cs="Courier New"/>
          <w:sz w:val="20"/>
          <w:szCs w:val="20"/>
          <w:bdr w:val="none" w:sz="0" w:space="0" w:color="auto"/>
          <w:lang w:val="es-ES"/>
        </w:rPr>
        <w:t xml:space="preserve">s funciones del juez de control. De dichas funciones, la CIDH destaca que el juez de control, a solicitud del Ministerio Público podía </w:t>
      </w:r>
      <w:r w:rsidR="009634C7" w:rsidRPr="009D1618">
        <w:rPr>
          <w:rFonts w:ascii="Cambria" w:eastAsia="Times New Roman" w:hAnsi="Cambria" w:cs="Courier New"/>
          <w:sz w:val="20"/>
          <w:szCs w:val="20"/>
          <w:bdr w:val="none" w:sz="0" w:space="0" w:color="auto"/>
          <w:lang w:val="es-ES"/>
        </w:rPr>
        <w:t xml:space="preserve">ejercer funciones de anticipo de prueba. Además, dicho juez tenía la función de emitir el “auto de procesamiento” </w:t>
      </w:r>
      <w:r w:rsidR="001924D9" w:rsidRPr="009D1618">
        <w:rPr>
          <w:rFonts w:ascii="Cambria" w:eastAsia="Times New Roman" w:hAnsi="Cambria" w:cs="Courier New"/>
          <w:sz w:val="20"/>
          <w:szCs w:val="20"/>
          <w:bdr w:val="none" w:sz="0" w:space="0" w:color="auto"/>
          <w:lang w:val="es-ES"/>
        </w:rPr>
        <w:t>que a su vez debía contener de manera debidamente fundamentada, “enunciación del hecho”, “la calificación legal del delito”</w:t>
      </w:r>
      <w:r w:rsidR="008D79A7" w:rsidRPr="009D1618">
        <w:rPr>
          <w:rFonts w:ascii="Cambria" w:eastAsia="Times New Roman" w:hAnsi="Cambria" w:cs="Courier New"/>
          <w:sz w:val="20"/>
          <w:szCs w:val="20"/>
          <w:bdr w:val="none" w:sz="0" w:space="0" w:color="auto"/>
          <w:lang w:val="es-ES"/>
        </w:rPr>
        <w:t xml:space="preserve">, entre otros aspectos. </w:t>
      </w:r>
    </w:p>
    <w:p w14:paraId="08C8FE21" w14:textId="77777777" w:rsidR="0015784F" w:rsidRPr="009D1618" w:rsidRDefault="0015784F"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L"/>
        </w:rPr>
      </w:pPr>
    </w:p>
    <w:p w14:paraId="21C9EE77" w14:textId="57C0AEC1" w:rsidR="002B11D7" w:rsidRPr="009D1618" w:rsidRDefault="009940D7"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La Comisión considera que </w:t>
      </w:r>
      <w:r w:rsidR="00827D29" w:rsidRPr="009D1618">
        <w:rPr>
          <w:rFonts w:ascii="Cambria" w:hAnsi="Cambria"/>
          <w:sz w:val="20"/>
          <w:szCs w:val="20"/>
          <w:lang w:val="es-CL"/>
        </w:rPr>
        <w:t>además de que en términos generales cumplir ambas funciones</w:t>
      </w:r>
      <w:r w:rsidR="002916FF" w:rsidRPr="009D1618">
        <w:rPr>
          <w:rFonts w:ascii="Cambria" w:hAnsi="Cambria"/>
          <w:sz w:val="20"/>
          <w:szCs w:val="20"/>
          <w:lang w:val="es-CL"/>
        </w:rPr>
        <w:t xml:space="preserve">, de juez de control y de juez de sentencia, </w:t>
      </w:r>
      <w:r w:rsidR="00827D29" w:rsidRPr="009D1618">
        <w:rPr>
          <w:rFonts w:ascii="Cambria" w:hAnsi="Cambria"/>
          <w:sz w:val="20"/>
          <w:szCs w:val="20"/>
          <w:lang w:val="es-CL"/>
        </w:rPr>
        <w:t xml:space="preserve"> resulta problemático frente a la garantía de imparcialidad, la propia regulació</w:t>
      </w:r>
      <w:r w:rsidR="006E1C85" w:rsidRPr="009D1618">
        <w:rPr>
          <w:rFonts w:ascii="Cambria" w:hAnsi="Cambria"/>
          <w:sz w:val="20"/>
          <w:szCs w:val="20"/>
          <w:lang w:val="es-CL"/>
        </w:rPr>
        <w:t>n citada evidencia que las funciones</w:t>
      </w:r>
      <w:r w:rsidR="00827D29" w:rsidRPr="009D1618">
        <w:rPr>
          <w:rFonts w:ascii="Cambria" w:hAnsi="Cambria"/>
          <w:sz w:val="20"/>
          <w:szCs w:val="20"/>
          <w:lang w:val="es-CL"/>
        </w:rPr>
        <w:t xml:space="preserve"> </w:t>
      </w:r>
      <w:r w:rsidR="006A37E0" w:rsidRPr="009D1618">
        <w:rPr>
          <w:rFonts w:ascii="Cambria" w:hAnsi="Cambria"/>
          <w:sz w:val="20"/>
          <w:szCs w:val="20"/>
          <w:lang w:val="es-CL"/>
        </w:rPr>
        <w:t xml:space="preserve">del </w:t>
      </w:r>
      <w:r w:rsidR="00827D29" w:rsidRPr="009D1618">
        <w:rPr>
          <w:rFonts w:ascii="Cambria" w:hAnsi="Cambria"/>
          <w:sz w:val="20"/>
          <w:szCs w:val="20"/>
          <w:lang w:val="es-CL"/>
        </w:rPr>
        <w:t xml:space="preserve">juez de control </w:t>
      </w:r>
      <w:r w:rsidR="006E1C85" w:rsidRPr="009D1618">
        <w:rPr>
          <w:rFonts w:ascii="Cambria" w:hAnsi="Cambria"/>
          <w:sz w:val="20"/>
          <w:szCs w:val="20"/>
          <w:lang w:val="es-CL"/>
        </w:rPr>
        <w:t xml:space="preserve">implicaban necesariamente que dicha autoridad se formara, antes del juicio, </w:t>
      </w:r>
      <w:r w:rsidR="000A057D" w:rsidRPr="009D1618">
        <w:rPr>
          <w:rFonts w:ascii="Cambria" w:hAnsi="Cambria"/>
          <w:sz w:val="20"/>
          <w:szCs w:val="20"/>
          <w:lang w:val="es-CL"/>
        </w:rPr>
        <w:t xml:space="preserve">una idea sobre los hechos </w:t>
      </w:r>
      <w:r w:rsidR="006E1C85" w:rsidRPr="009D1618">
        <w:rPr>
          <w:rFonts w:ascii="Cambria" w:hAnsi="Cambria"/>
          <w:sz w:val="20"/>
          <w:szCs w:val="20"/>
          <w:lang w:val="es-CL"/>
        </w:rPr>
        <w:t xml:space="preserve">y la manera en que los mismos encuadraban en determinado tipo penal. En ese sentido, dicha autoridad, y con base en esta convicción, debía dictar resoluciones que permitían </w:t>
      </w:r>
      <w:r w:rsidR="000A057D" w:rsidRPr="009D1618">
        <w:rPr>
          <w:rFonts w:ascii="Cambria" w:hAnsi="Cambria"/>
          <w:sz w:val="20"/>
          <w:szCs w:val="20"/>
          <w:lang w:val="es-CL"/>
        </w:rPr>
        <w:t>que el proceso avanzara a la</w:t>
      </w:r>
      <w:r w:rsidR="006E1C85" w:rsidRPr="009D1618">
        <w:rPr>
          <w:rFonts w:ascii="Cambria" w:hAnsi="Cambria"/>
          <w:sz w:val="20"/>
          <w:szCs w:val="20"/>
          <w:lang w:val="es-CL"/>
        </w:rPr>
        <w:t xml:space="preserve"> </w:t>
      </w:r>
      <w:r w:rsidR="000A057D" w:rsidRPr="009D1618">
        <w:rPr>
          <w:rFonts w:ascii="Cambria" w:hAnsi="Cambria"/>
          <w:sz w:val="20"/>
          <w:szCs w:val="20"/>
          <w:lang w:val="es-CL"/>
        </w:rPr>
        <w:t xml:space="preserve"> etapa de juicio. </w:t>
      </w:r>
      <w:r w:rsidR="00BD0558" w:rsidRPr="009D1618">
        <w:rPr>
          <w:rFonts w:ascii="Cambria" w:hAnsi="Cambria"/>
          <w:sz w:val="20"/>
          <w:szCs w:val="20"/>
          <w:lang w:val="es-CL"/>
        </w:rPr>
        <w:t xml:space="preserve">La Comisión observa </w:t>
      </w:r>
      <w:r w:rsidR="0031272F" w:rsidRPr="009D1618">
        <w:rPr>
          <w:rFonts w:ascii="Cambria" w:hAnsi="Cambria"/>
          <w:sz w:val="20"/>
          <w:szCs w:val="20"/>
          <w:lang w:val="es-CL"/>
        </w:rPr>
        <w:t>además, que según informó el Estado, la recusación interpuesta por la defensa impugnando la participación del juez de control en la etapa de juicio, fue resuelta indicando que</w:t>
      </w:r>
      <w:r w:rsidR="00821FAB" w:rsidRPr="009D1618">
        <w:rPr>
          <w:rFonts w:ascii="Cambria" w:hAnsi="Cambria"/>
          <w:sz w:val="20"/>
          <w:szCs w:val="20"/>
          <w:lang w:val="es-CL"/>
        </w:rPr>
        <w:t xml:space="preserve"> dicha participación estaba ajustada</w:t>
      </w:r>
      <w:r w:rsidR="0031272F" w:rsidRPr="009D1618">
        <w:rPr>
          <w:rFonts w:ascii="Cambria" w:hAnsi="Cambria"/>
          <w:sz w:val="20"/>
          <w:szCs w:val="20"/>
          <w:lang w:val="es-CL"/>
        </w:rPr>
        <w:t xml:space="preserve"> a derecho. </w:t>
      </w:r>
    </w:p>
    <w:p w14:paraId="5ACE00BA" w14:textId="77777777" w:rsidR="002B11D7" w:rsidRPr="009D1618" w:rsidRDefault="002B11D7" w:rsidP="000F3FA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val="es-CL"/>
        </w:rPr>
      </w:pPr>
    </w:p>
    <w:p w14:paraId="24E4B69E" w14:textId="3C08A0D3" w:rsidR="006A37E0" w:rsidRPr="001534DE" w:rsidRDefault="006A37E0" w:rsidP="006A37E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Asimismo, la Comisión resalta que el Estado se abstuvo de aportar elementos para superar el cuestionamiento de la imparcialidad objetiva del referido juez por su participación en ambas etapas del proceso penal, limitándose a indicar que la participación del juez de control en la etapa de juicio era permitida por el ordenamiento jurídico guatemalteco. </w:t>
      </w:r>
    </w:p>
    <w:p w14:paraId="6A155508" w14:textId="77777777" w:rsidR="00DE7243" w:rsidRPr="009D1618" w:rsidRDefault="00DE7243" w:rsidP="00DE7243">
      <w:pPr>
        <w:pStyle w:val="ListParagraph"/>
        <w:rPr>
          <w:sz w:val="20"/>
          <w:szCs w:val="20"/>
          <w:lang w:val="es-CL"/>
        </w:rPr>
      </w:pPr>
    </w:p>
    <w:p w14:paraId="4F6C129C" w14:textId="77777777" w:rsidR="002B4AB9" w:rsidRPr="009D1618" w:rsidRDefault="002B4AB9" w:rsidP="00DE724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Con estas consideraciones sobre la imparcialidad objetiva del juez de control que participó en la etapa de juicio, la Comisión estima innecesario pronunciarse sobre </w:t>
      </w:r>
      <w:r w:rsidR="00E3199D" w:rsidRPr="009D1618">
        <w:rPr>
          <w:rFonts w:ascii="Cambria" w:hAnsi="Cambria"/>
          <w:sz w:val="20"/>
          <w:szCs w:val="20"/>
          <w:lang w:val="es-CL"/>
        </w:rPr>
        <w:t>la cuestión de la imparcialidad subjetiva derivada de la alegada afirmación de dicho juez en la etapa de juicio sobre la certeza de que el resultado de</w:t>
      </w:r>
      <w:r w:rsidR="009A626A" w:rsidRPr="009D1618">
        <w:rPr>
          <w:rFonts w:ascii="Cambria" w:hAnsi="Cambria"/>
          <w:sz w:val="20"/>
          <w:szCs w:val="20"/>
          <w:lang w:val="es-CL"/>
        </w:rPr>
        <w:t xml:space="preserve">l mismo sería condenatorio. </w:t>
      </w:r>
    </w:p>
    <w:p w14:paraId="0012CA6F" w14:textId="77777777" w:rsidR="00E3199D" w:rsidRPr="009D1618" w:rsidRDefault="00E3199D" w:rsidP="000A057D">
      <w:pPr>
        <w:pStyle w:val="ListParagraph"/>
        <w:rPr>
          <w:sz w:val="20"/>
          <w:szCs w:val="20"/>
          <w:lang w:val="es-CL"/>
        </w:rPr>
      </w:pPr>
    </w:p>
    <w:p w14:paraId="6BECBD0B" w14:textId="77777777" w:rsidR="000A057D" w:rsidRPr="009D1618" w:rsidRDefault="000A057D"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En virtud de </w:t>
      </w:r>
      <w:r w:rsidR="001B3930" w:rsidRPr="009D1618">
        <w:rPr>
          <w:rFonts w:ascii="Cambria" w:hAnsi="Cambria"/>
          <w:sz w:val="20"/>
          <w:szCs w:val="20"/>
          <w:lang w:val="es-CL"/>
        </w:rPr>
        <w:t xml:space="preserve">todo lo anterior, </w:t>
      </w:r>
      <w:r w:rsidRPr="009D1618">
        <w:rPr>
          <w:rFonts w:ascii="Cambria" w:hAnsi="Cambria"/>
          <w:sz w:val="20"/>
          <w:szCs w:val="20"/>
          <w:lang w:val="es-CL"/>
        </w:rPr>
        <w:t xml:space="preserve">la CIDH concluye que el Estado guatemalteco violó la garantía </w:t>
      </w:r>
      <w:r w:rsidR="001B3930" w:rsidRPr="009D1618">
        <w:rPr>
          <w:rFonts w:ascii="Cambria" w:hAnsi="Cambria"/>
          <w:sz w:val="20"/>
          <w:szCs w:val="20"/>
          <w:lang w:val="es-CL"/>
        </w:rPr>
        <w:t xml:space="preserve">de imparcialidad </w:t>
      </w:r>
      <w:r w:rsidRPr="009D1618">
        <w:rPr>
          <w:rFonts w:ascii="Cambria" w:hAnsi="Cambria"/>
          <w:sz w:val="20"/>
          <w:szCs w:val="20"/>
          <w:lang w:val="es-CL"/>
        </w:rPr>
        <w:t xml:space="preserve">prevista en el artículo 8.1 de la Convención Americana en relación con </w:t>
      </w:r>
      <w:r w:rsidR="001B3930" w:rsidRPr="009D1618">
        <w:rPr>
          <w:rFonts w:ascii="Cambria" w:hAnsi="Cambria"/>
          <w:sz w:val="20"/>
          <w:szCs w:val="20"/>
          <w:lang w:val="es-CL"/>
        </w:rPr>
        <w:t>los</w:t>
      </w:r>
      <w:r w:rsidRPr="009D1618">
        <w:rPr>
          <w:rFonts w:ascii="Cambria" w:hAnsi="Cambria"/>
          <w:sz w:val="20"/>
          <w:szCs w:val="20"/>
          <w:lang w:val="es-CL"/>
        </w:rPr>
        <w:t xml:space="preserve"> artículo</w:t>
      </w:r>
      <w:r w:rsidR="001B3930" w:rsidRPr="009D1618">
        <w:rPr>
          <w:rFonts w:ascii="Cambria" w:hAnsi="Cambria"/>
          <w:sz w:val="20"/>
          <w:szCs w:val="20"/>
          <w:lang w:val="es-CL"/>
        </w:rPr>
        <w:t>s</w:t>
      </w:r>
      <w:r w:rsidRPr="009D1618">
        <w:rPr>
          <w:rFonts w:ascii="Cambria" w:hAnsi="Cambria"/>
          <w:sz w:val="20"/>
          <w:szCs w:val="20"/>
          <w:lang w:val="es-CL"/>
        </w:rPr>
        <w:t xml:space="preserve"> 1.1</w:t>
      </w:r>
      <w:r w:rsidR="001B3930" w:rsidRPr="009D1618">
        <w:rPr>
          <w:rFonts w:ascii="Cambria" w:hAnsi="Cambria"/>
          <w:sz w:val="20"/>
          <w:szCs w:val="20"/>
          <w:lang w:val="es-CL"/>
        </w:rPr>
        <w:t xml:space="preserve"> y 2</w:t>
      </w:r>
      <w:r w:rsidRPr="009D1618">
        <w:rPr>
          <w:rFonts w:ascii="Cambria" w:hAnsi="Cambria"/>
          <w:sz w:val="20"/>
          <w:szCs w:val="20"/>
          <w:lang w:val="es-CL"/>
        </w:rPr>
        <w:t xml:space="preserve"> del mismo instrumento, en perjuicio de Miguel Ángel Rodríguez Revolorio, Miguel Ángel López Calo y Aníbal Archila Pérez.</w:t>
      </w:r>
    </w:p>
    <w:p w14:paraId="741D3C17" w14:textId="77777777" w:rsidR="00854DFB" w:rsidRPr="009D1618" w:rsidRDefault="00854DFB" w:rsidP="000F3FA8">
      <w:pPr>
        <w:shd w:val="clear" w:color="auto" w:fill="FFFFFF"/>
        <w:tabs>
          <w:tab w:val="num" w:pos="1800"/>
          <w:tab w:val="num" w:pos="2040"/>
        </w:tabs>
        <w:jc w:val="both"/>
        <w:rPr>
          <w:b/>
          <w:sz w:val="20"/>
          <w:szCs w:val="20"/>
          <w:lang w:val="es-CL"/>
        </w:rPr>
      </w:pPr>
    </w:p>
    <w:p w14:paraId="209737F7" w14:textId="77777777" w:rsidR="008B686C" w:rsidRPr="009D1618" w:rsidRDefault="008B686C" w:rsidP="004B3B02">
      <w:pPr>
        <w:pStyle w:val="ListParagraph"/>
        <w:numPr>
          <w:ilvl w:val="1"/>
          <w:numId w:val="55"/>
        </w:numPr>
        <w:shd w:val="clear" w:color="auto" w:fill="FFFFFF"/>
        <w:tabs>
          <w:tab w:val="clear" w:pos="1800"/>
          <w:tab w:val="num" w:pos="720"/>
          <w:tab w:val="num" w:pos="1440"/>
          <w:tab w:val="num" w:pos="2040"/>
        </w:tabs>
        <w:ind w:left="1440" w:hanging="720"/>
        <w:jc w:val="both"/>
        <w:rPr>
          <w:b/>
          <w:sz w:val="20"/>
          <w:szCs w:val="20"/>
          <w:lang w:val="es-CL"/>
        </w:rPr>
      </w:pPr>
      <w:r w:rsidRPr="009D1618">
        <w:rPr>
          <w:b/>
          <w:sz w:val="20"/>
          <w:szCs w:val="20"/>
          <w:lang w:val="es-ES"/>
        </w:rPr>
        <w:t>Sobre el derecho de defensa</w:t>
      </w:r>
      <w:r w:rsidR="0083734D" w:rsidRPr="009D1618">
        <w:rPr>
          <w:b/>
          <w:sz w:val="20"/>
          <w:szCs w:val="20"/>
          <w:lang w:val="es-ES"/>
        </w:rPr>
        <w:t>,</w:t>
      </w:r>
      <w:r w:rsidR="00734D6E" w:rsidRPr="009D1618">
        <w:rPr>
          <w:b/>
          <w:sz w:val="20"/>
          <w:szCs w:val="20"/>
          <w:lang w:val="es-ES"/>
        </w:rPr>
        <w:t xml:space="preserve"> el deber de motivación </w:t>
      </w:r>
      <w:r w:rsidR="0083734D" w:rsidRPr="009D1618">
        <w:rPr>
          <w:b/>
          <w:sz w:val="20"/>
          <w:szCs w:val="20"/>
          <w:lang w:val="es-ES"/>
        </w:rPr>
        <w:t>y el principio de presunción de inocencia</w:t>
      </w:r>
    </w:p>
    <w:p w14:paraId="644AD113" w14:textId="77777777" w:rsidR="00A67303" w:rsidRPr="009D1618" w:rsidRDefault="00A67303" w:rsidP="000F3FA8">
      <w:pPr>
        <w:shd w:val="clear" w:color="auto" w:fill="FFFFFF"/>
        <w:tabs>
          <w:tab w:val="num" w:pos="1800"/>
          <w:tab w:val="num" w:pos="2040"/>
        </w:tabs>
        <w:jc w:val="both"/>
        <w:rPr>
          <w:b/>
          <w:sz w:val="20"/>
          <w:szCs w:val="20"/>
          <w:lang w:val="es-CL"/>
        </w:rPr>
      </w:pPr>
    </w:p>
    <w:p w14:paraId="2543B7A5" w14:textId="77777777" w:rsidR="0081022C" w:rsidRPr="009D1618" w:rsidRDefault="0081022C"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lang w:val="es-ES"/>
        </w:rPr>
      </w:pPr>
      <w:r w:rsidRPr="009D1618">
        <w:rPr>
          <w:rFonts w:ascii="Cambria" w:hAnsi="Cambria"/>
          <w:sz w:val="20"/>
          <w:szCs w:val="20"/>
          <w:lang w:val="es-VE"/>
        </w:rPr>
        <w:t xml:space="preserve">En cuanto al derecho de defensa, </w:t>
      </w:r>
      <w:r w:rsidRPr="009D1618" w:rsidDel="00044636">
        <w:rPr>
          <w:rFonts w:ascii="Cambria" w:hAnsi="Cambria"/>
          <w:sz w:val="20"/>
          <w:szCs w:val="20"/>
          <w:lang w:val="es-VE"/>
        </w:rPr>
        <w:t xml:space="preserve">la Comisión recuerda que este implica que </w:t>
      </w:r>
      <w:r w:rsidRPr="009D1618">
        <w:rPr>
          <w:rFonts w:ascii="Cambria" w:hAnsi="Cambria"/>
          <w:sz w:val="20"/>
          <w:szCs w:val="20"/>
          <w:lang w:val="es-ES"/>
        </w:rPr>
        <w:t xml:space="preserve">la persona sometida a un proceso, pueda defender sus intereses o derechos en forma efectiva y en “condiciones de igualdad procesal (…) </w:t>
      </w:r>
      <w:r w:rsidRPr="009D1618">
        <w:rPr>
          <w:rFonts w:ascii="Cambria" w:hAnsi="Cambria"/>
          <w:sz w:val="20"/>
          <w:szCs w:val="20"/>
          <w:lang w:val="es-ES_tradnl"/>
        </w:rPr>
        <w:t>siendo plenamente informado de las acusaciones que se formulan en su contra”</w:t>
      </w:r>
      <w:r w:rsidRPr="009D1618">
        <w:rPr>
          <w:rStyle w:val="FootnoteReference"/>
          <w:rFonts w:ascii="Cambria" w:hAnsi="Cambria"/>
          <w:sz w:val="20"/>
          <w:szCs w:val="20"/>
        </w:rPr>
        <w:footnoteReference w:id="89"/>
      </w:r>
      <w:r w:rsidRPr="009D1618">
        <w:rPr>
          <w:rFonts w:ascii="Cambria" w:hAnsi="Cambria"/>
          <w:sz w:val="20"/>
          <w:szCs w:val="20"/>
          <w:lang w:val="es-ES_tradnl"/>
        </w:rPr>
        <w:t>, a fin de que la persona sometida al poder punitivo del Estado pueda formular sus descargos con toda la información necesaria.</w:t>
      </w:r>
    </w:p>
    <w:p w14:paraId="31E90471" w14:textId="77777777" w:rsidR="00A67303" w:rsidRPr="009D1618" w:rsidRDefault="00A67303" w:rsidP="000F3FA8">
      <w:pPr>
        <w:shd w:val="clear" w:color="auto" w:fill="FFFFFF"/>
        <w:tabs>
          <w:tab w:val="num" w:pos="1800"/>
          <w:tab w:val="num" w:pos="2040"/>
        </w:tabs>
        <w:jc w:val="both"/>
        <w:rPr>
          <w:b/>
          <w:sz w:val="20"/>
          <w:szCs w:val="20"/>
          <w:lang w:val="es-CL"/>
        </w:rPr>
      </w:pPr>
    </w:p>
    <w:p w14:paraId="535C322D" w14:textId="77777777" w:rsidR="0096735B" w:rsidRPr="009D1618" w:rsidRDefault="0096735B" w:rsidP="0096735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ES"/>
        </w:rPr>
        <w:lastRenderedPageBreak/>
        <w:t xml:space="preserve">La Comisión recuerda que del artículo 8.1 de la Convención Americana también surge el deber de motivación de las decisiones judiciales. Según ha indicado la Corte Interamericana, </w:t>
      </w:r>
      <w:r w:rsidRPr="009D1618">
        <w:rPr>
          <w:rFonts w:ascii="Cambria" w:hAnsi="Cambria"/>
          <w:sz w:val="20"/>
          <w:szCs w:val="20"/>
          <w:lang w:val="es-VE"/>
        </w:rPr>
        <w:t>la motivación “es la exteriorización de la justificación razonada que permite llegar a una conclusión”. El deber de motivar las resoluciones es una garantía vinculada con la correcta administración de justicia, que protege el derecho de los ciudadanos a ser juzgados por las razones que el Derecho suministra, y otorga credibilidad de las decisiones jurídicas en el marco de una sociedad democrática.</w:t>
      </w:r>
      <w:r w:rsidRPr="009D1618">
        <w:rPr>
          <w:rFonts w:ascii="Cambria" w:hAnsi="Cambria"/>
          <w:sz w:val="20"/>
          <w:szCs w:val="20"/>
          <w:lang w:val="es-ES"/>
        </w:rPr>
        <w:t xml:space="preserve"> </w:t>
      </w:r>
      <w:r w:rsidRPr="009D1618">
        <w:rPr>
          <w:rFonts w:ascii="Cambria" w:hAnsi="Cambria"/>
          <w:sz w:val="20"/>
          <w:szCs w:val="20"/>
          <w:lang w:val="es-VE"/>
        </w:rPr>
        <w:t>En este sentido, la argumentación de un fallo debe mostrar que han sido debidamente tomados en cuenta los alegatos de las partes y que el conjunto de pruebas ha sido analizado. Asimismo, la motivación demuestra a las partes que éstas han sido oídas y, en aquellos casos en que las decisiones son recurribles, les proporciona la posibilidad de criticar la resolución y lograr un nuevo examen de la cuestión ante las instancias superiores. Por todo ello, el deber de motivación es una de las “debidas garantías” incluidas en el artículo 8.1 para salvaguardar el derecho a un debido proceso</w:t>
      </w:r>
      <w:r w:rsidRPr="009D1618">
        <w:rPr>
          <w:rStyle w:val="FootnoteReference"/>
          <w:rFonts w:ascii="Cambria" w:hAnsi="Cambria"/>
          <w:sz w:val="20"/>
          <w:szCs w:val="20"/>
          <w:lang w:val="es-VE"/>
        </w:rPr>
        <w:footnoteReference w:id="90"/>
      </w:r>
      <w:r w:rsidRPr="009D1618">
        <w:rPr>
          <w:rFonts w:ascii="Cambria" w:hAnsi="Cambria"/>
          <w:sz w:val="20"/>
          <w:szCs w:val="20"/>
          <w:lang w:val="es-VE"/>
        </w:rPr>
        <w:t>.</w:t>
      </w:r>
    </w:p>
    <w:p w14:paraId="12FDBAFF" w14:textId="77777777" w:rsidR="00A26943" w:rsidRPr="009D1618" w:rsidRDefault="00A26943" w:rsidP="000F3FA8">
      <w:pPr>
        <w:shd w:val="clear" w:color="auto" w:fill="FFFFFF"/>
        <w:tabs>
          <w:tab w:val="num" w:pos="1800"/>
          <w:tab w:val="num" w:pos="2040"/>
        </w:tabs>
        <w:jc w:val="both"/>
        <w:rPr>
          <w:sz w:val="20"/>
          <w:szCs w:val="20"/>
          <w:lang w:val="es-CL"/>
        </w:rPr>
      </w:pPr>
    </w:p>
    <w:p w14:paraId="2AFB8987" w14:textId="07A8228D" w:rsidR="00111F2D" w:rsidRPr="009D1618" w:rsidRDefault="00987A6C"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cs="MSTT3132dbeaafO05102100"/>
          <w:sz w:val="20"/>
          <w:szCs w:val="20"/>
          <w:lang w:val="es-CR"/>
        </w:rPr>
      </w:pPr>
      <w:r w:rsidRPr="009D1618">
        <w:rPr>
          <w:rFonts w:ascii="Cambria" w:hAnsi="Cambria"/>
          <w:sz w:val="20"/>
          <w:szCs w:val="20"/>
          <w:lang w:val="es-CR"/>
        </w:rPr>
        <w:t xml:space="preserve">En </w:t>
      </w:r>
      <w:r w:rsidR="00082255" w:rsidRPr="009D1618">
        <w:rPr>
          <w:rFonts w:ascii="Cambria" w:hAnsi="Cambria"/>
          <w:sz w:val="20"/>
          <w:szCs w:val="20"/>
          <w:lang w:val="es-CR"/>
        </w:rPr>
        <w:t>su sentencia reciente en el caso</w:t>
      </w:r>
      <w:r w:rsidRPr="009D1618">
        <w:rPr>
          <w:rFonts w:ascii="Cambria" w:hAnsi="Cambria"/>
          <w:sz w:val="20"/>
          <w:szCs w:val="20"/>
          <w:lang w:val="es-CR"/>
        </w:rPr>
        <w:t xml:space="preserve"> </w:t>
      </w:r>
      <w:r w:rsidRPr="009D1618">
        <w:rPr>
          <w:rFonts w:ascii="Cambria" w:hAnsi="Cambria"/>
          <w:i/>
          <w:sz w:val="20"/>
          <w:szCs w:val="20"/>
          <w:lang w:val="es-CR"/>
        </w:rPr>
        <w:t xml:space="preserve">Zegarra Marín vs. Perú, </w:t>
      </w:r>
      <w:r w:rsidRPr="009D1618">
        <w:rPr>
          <w:rFonts w:ascii="Cambria" w:hAnsi="Cambria"/>
          <w:sz w:val="20"/>
          <w:szCs w:val="20"/>
          <w:lang w:val="es-CR"/>
        </w:rPr>
        <w:t>la</w:t>
      </w:r>
      <w:r w:rsidR="005126F1" w:rsidRPr="009D1618">
        <w:rPr>
          <w:rFonts w:ascii="Cambria" w:hAnsi="Cambria" w:cs="MSTT3132dbeaafO05102100"/>
          <w:sz w:val="20"/>
          <w:szCs w:val="20"/>
          <w:lang w:val="es-CR"/>
        </w:rPr>
        <w:t xml:space="preserve"> Corte se refirió a la garantía de motivación en relación </w:t>
      </w:r>
      <w:r w:rsidR="005126F1" w:rsidRPr="009D1618">
        <w:rPr>
          <w:rFonts w:ascii="Cambria" w:hAnsi="Cambria"/>
          <w:sz w:val="20"/>
          <w:szCs w:val="20"/>
          <w:lang w:val="es-VE"/>
        </w:rPr>
        <w:t>con</w:t>
      </w:r>
      <w:r w:rsidR="005126F1" w:rsidRPr="009D1618">
        <w:rPr>
          <w:rFonts w:ascii="Cambria" w:hAnsi="Cambria" w:cs="MSTT3132dbeaafO05102100"/>
          <w:sz w:val="20"/>
          <w:szCs w:val="20"/>
          <w:lang w:val="es-CR"/>
        </w:rPr>
        <w:t xml:space="preserve"> el principio de presunción d</w:t>
      </w:r>
      <w:r w:rsidR="00111F2D" w:rsidRPr="009D1618">
        <w:rPr>
          <w:rFonts w:ascii="Cambria" w:hAnsi="Cambria" w:cs="MSTT3132dbeaafO05102100"/>
          <w:sz w:val="20"/>
          <w:szCs w:val="20"/>
          <w:lang w:val="es-CR"/>
        </w:rPr>
        <w:t xml:space="preserve">e inocencia, en los siguientes términos: </w:t>
      </w:r>
    </w:p>
    <w:p w14:paraId="0ED7BF10" w14:textId="77777777" w:rsidR="00111F2D" w:rsidRPr="009D1618" w:rsidRDefault="00111F2D" w:rsidP="000F3FA8">
      <w:pPr>
        <w:shd w:val="clear" w:color="auto" w:fill="FFFFFF"/>
        <w:tabs>
          <w:tab w:val="num" w:pos="1800"/>
          <w:tab w:val="num" w:pos="2040"/>
        </w:tabs>
        <w:jc w:val="both"/>
        <w:rPr>
          <w:rFonts w:ascii="Cambria" w:hAnsi="Cambria" w:cs="MSTT3132dbeaafO05102100"/>
          <w:sz w:val="20"/>
          <w:szCs w:val="20"/>
          <w:lang w:val="es-CR"/>
        </w:rPr>
      </w:pPr>
    </w:p>
    <w:p w14:paraId="05C97313" w14:textId="77777777" w:rsidR="00987A6C" w:rsidRPr="009D1618" w:rsidRDefault="00987A6C" w:rsidP="000F3FA8">
      <w:pPr>
        <w:shd w:val="clear" w:color="auto" w:fill="FFFFFF"/>
        <w:tabs>
          <w:tab w:val="num" w:pos="1800"/>
          <w:tab w:val="num" w:pos="2040"/>
        </w:tabs>
        <w:ind w:left="720" w:right="810"/>
        <w:jc w:val="both"/>
        <w:rPr>
          <w:sz w:val="20"/>
          <w:szCs w:val="20"/>
          <w:lang w:val="es-CL"/>
        </w:rPr>
      </w:pPr>
      <w:r w:rsidRPr="009D1618">
        <w:rPr>
          <w:rFonts w:ascii="Cambria" w:hAnsi="Cambria" w:cs="MSTT3132dbeaafO05102100"/>
          <w:sz w:val="20"/>
          <w:szCs w:val="20"/>
          <w:lang w:val="es-CR"/>
        </w:rPr>
        <w:t xml:space="preserve">la relevancia de la motivación, a fin de garantizar el principio de presunción de inocencia, principalmente en una sentencia condenatoria, la cual </w:t>
      </w:r>
      <w:r w:rsidRPr="009D1618">
        <w:rPr>
          <w:rFonts w:ascii="Cambria" w:hAnsi="Cambria"/>
          <w:sz w:val="20"/>
          <w:szCs w:val="20"/>
          <w:lang w:val="es-CR"/>
        </w:rPr>
        <w:t xml:space="preserve">debe expresar la suficiencia de prueba de cargo para confirmar la hipótesis acusatoria; </w:t>
      </w:r>
      <w:r w:rsidRPr="009D1618">
        <w:rPr>
          <w:rFonts w:ascii="Cambria" w:hAnsi="Cambria" w:cs="MSTT3132dbeaafO05102100"/>
          <w:sz w:val="20"/>
          <w:szCs w:val="20"/>
          <w:lang w:val="es-CR"/>
        </w:rPr>
        <w:t>la observancia de las reglas de la sana crítica en la apreciación de la prueba</w:t>
      </w:r>
      <w:r w:rsidRPr="009D1618">
        <w:rPr>
          <w:rFonts w:ascii="Cambria" w:hAnsi="Cambria"/>
          <w:sz w:val="20"/>
          <w:szCs w:val="20"/>
          <w:lang w:val="es-CR"/>
        </w:rPr>
        <w:t xml:space="preserve">, incluidas aquellas que pudieran generar duda de la responsabilidad penal; y el juicio final que deriva de esta valoración. En su caso, debe reflejar las razones por las que fue posible obtener convicción sobre la imputación y la responsabilidad penal, así como la apreciación de las pruebas para desvirtuar cualquier hipótesis de inocencia, y solo así poder confirmar o refutar la hipótesis acusatoria. Lo anterior, permitiría desvirtuar la presunción de inocencia y determinar la responsabilidad penal más allá de toda duda razonable. Ante la duda, la presunción de inocencia y el principio </w:t>
      </w:r>
      <w:r w:rsidRPr="009D1618">
        <w:rPr>
          <w:rFonts w:ascii="Cambria" w:hAnsi="Cambria"/>
          <w:i/>
          <w:sz w:val="20"/>
          <w:szCs w:val="20"/>
          <w:lang w:val="es-CR"/>
        </w:rPr>
        <w:t>in dubio pro reo</w:t>
      </w:r>
      <w:r w:rsidRPr="009D1618">
        <w:rPr>
          <w:rFonts w:ascii="Cambria" w:hAnsi="Cambria"/>
          <w:sz w:val="20"/>
          <w:szCs w:val="20"/>
          <w:lang w:val="es-CR"/>
        </w:rPr>
        <w:t>,</w:t>
      </w:r>
      <w:r w:rsidRPr="009D1618">
        <w:rPr>
          <w:rFonts w:ascii="Cambria" w:hAnsi="Cambria"/>
          <w:i/>
          <w:sz w:val="20"/>
          <w:szCs w:val="20"/>
          <w:lang w:val="es-CR"/>
        </w:rPr>
        <w:t xml:space="preserve"> </w:t>
      </w:r>
      <w:r w:rsidRPr="009D1618">
        <w:rPr>
          <w:rFonts w:ascii="Cambria" w:hAnsi="Cambria"/>
          <w:sz w:val="20"/>
          <w:szCs w:val="20"/>
          <w:lang w:val="es-CR"/>
        </w:rPr>
        <w:t>operan como criterio decisorio al momento de emitir el fallo</w:t>
      </w:r>
      <w:r w:rsidR="009542ED" w:rsidRPr="009D1618">
        <w:rPr>
          <w:rStyle w:val="FootnoteReference"/>
          <w:rFonts w:ascii="Cambria" w:hAnsi="Cambria"/>
          <w:sz w:val="20"/>
          <w:szCs w:val="20"/>
          <w:lang w:val="es-CR"/>
        </w:rPr>
        <w:footnoteReference w:id="91"/>
      </w:r>
      <w:r w:rsidRPr="009D1618">
        <w:rPr>
          <w:rFonts w:ascii="Cambria" w:hAnsi="Cambria"/>
          <w:sz w:val="20"/>
          <w:szCs w:val="20"/>
          <w:lang w:val="es-CR"/>
        </w:rPr>
        <w:t>.</w:t>
      </w:r>
    </w:p>
    <w:p w14:paraId="1C506477" w14:textId="77777777" w:rsidR="00987A6C" w:rsidRPr="009D1618" w:rsidRDefault="00987A6C" w:rsidP="000F3FA8">
      <w:pPr>
        <w:shd w:val="clear" w:color="auto" w:fill="FFFFFF"/>
        <w:tabs>
          <w:tab w:val="num" w:pos="1800"/>
          <w:tab w:val="num" w:pos="2040"/>
        </w:tabs>
        <w:jc w:val="both"/>
        <w:rPr>
          <w:sz w:val="20"/>
          <w:szCs w:val="20"/>
          <w:lang w:val="es-CL"/>
        </w:rPr>
      </w:pPr>
    </w:p>
    <w:p w14:paraId="532AE46C" w14:textId="51C9CC02" w:rsidR="003E3237" w:rsidRPr="009D1618" w:rsidRDefault="0043083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1800"/>
          <w:tab w:val="num" w:pos="2040"/>
        </w:tabs>
        <w:ind w:left="0" w:firstLine="720"/>
        <w:jc w:val="both"/>
        <w:rPr>
          <w:sz w:val="20"/>
          <w:szCs w:val="20"/>
          <w:lang w:val="es-CL"/>
        </w:rPr>
      </w:pPr>
      <w:r w:rsidRPr="009D1618">
        <w:rPr>
          <w:rFonts w:ascii="Cambria" w:hAnsi="Cambria"/>
          <w:sz w:val="20"/>
          <w:szCs w:val="20"/>
          <w:lang w:val="es-CL"/>
        </w:rPr>
        <w:t>La Comisión observa en primer lugar que en la sentencia condenatoria el Tribunal de Sentencia se refirió al menos a dos</w:t>
      </w:r>
      <w:r w:rsidR="00B514A0" w:rsidRPr="009D1618">
        <w:rPr>
          <w:rFonts w:ascii="Cambria" w:hAnsi="Cambria"/>
          <w:sz w:val="20"/>
          <w:szCs w:val="20"/>
          <w:lang w:val="es-CL"/>
        </w:rPr>
        <w:t xml:space="preserve"> tipos de</w:t>
      </w:r>
      <w:r w:rsidRPr="009D1618">
        <w:rPr>
          <w:rFonts w:ascii="Cambria" w:hAnsi="Cambria"/>
          <w:sz w:val="20"/>
          <w:szCs w:val="20"/>
          <w:lang w:val="es-CL"/>
        </w:rPr>
        <w:t xml:space="preserve"> pruebas en cuya práctica no se siguieron las formalidades legales. </w:t>
      </w:r>
      <w:r w:rsidR="00224731" w:rsidRPr="009D1618">
        <w:rPr>
          <w:rFonts w:ascii="Cambria" w:hAnsi="Cambria"/>
          <w:sz w:val="20"/>
          <w:szCs w:val="20"/>
          <w:lang w:val="es-CL"/>
        </w:rPr>
        <w:t>Específicamente, la diligencia de reconocimiento de personas</w:t>
      </w:r>
      <w:r w:rsidR="00D82BBC" w:rsidRPr="009D1618">
        <w:rPr>
          <w:rFonts w:ascii="Cambria" w:hAnsi="Cambria"/>
          <w:sz w:val="20"/>
          <w:szCs w:val="20"/>
          <w:lang w:val="es-CL"/>
        </w:rPr>
        <w:t>, referida por miembros de la policía en sus declaraciones</w:t>
      </w:r>
      <w:r w:rsidR="00263E52" w:rsidRPr="009D1618">
        <w:rPr>
          <w:rFonts w:ascii="Cambria" w:hAnsi="Cambria"/>
          <w:sz w:val="20"/>
          <w:szCs w:val="20"/>
          <w:lang w:val="es-CL"/>
        </w:rPr>
        <w:t>;</w:t>
      </w:r>
      <w:r w:rsidR="00224731" w:rsidRPr="009D1618">
        <w:rPr>
          <w:rFonts w:ascii="Cambria" w:hAnsi="Cambria"/>
          <w:sz w:val="20"/>
          <w:szCs w:val="20"/>
          <w:lang w:val="es-CL"/>
        </w:rPr>
        <w:t xml:space="preserve"> así como la práctica de pe</w:t>
      </w:r>
      <w:r w:rsidR="00404A32" w:rsidRPr="009D1618">
        <w:rPr>
          <w:rFonts w:ascii="Cambria" w:hAnsi="Cambria"/>
          <w:sz w:val="20"/>
          <w:szCs w:val="20"/>
          <w:lang w:val="es-CL"/>
        </w:rPr>
        <w:t xml:space="preserve">ritajes, que constituyeron pruebas de cargo en contra de las presuntas víctimas. </w:t>
      </w:r>
    </w:p>
    <w:p w14:paraId="2F89F01B" w14:textId="77777777" w:rsidR="003E3237" w:rsidRPr="009D1618" w:rsidRDefault="003E3237" w:rsidP="000F3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1800"/>
          <w:tab w:val="num" w:pos="2040"/>
        </w:tabs>
        <w:jc w:val="both"/>
        <w:rPr>
          <w:rFonts w:ascii="Cambria" w:hAnsi="Cambria"/>
          <w:sz w:val="20"/>
          <w:szCs w:val="20"/>
          <w:lang w:val="es-CL"/>
        </w:rPr>
      </w:pPr>
    </w:p>
    <w:p w14:paraId="59CD12B9" w14:textId="77777777" w:rsidR="00542C43" w:rsidRPr="009D1618" w:rsidRDefault="0032059A"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1800"/>
          <w:tab w:val="num" w:pos="2040"/>
        </w:tabs>
        <w:ind w:left="0" w:firstLine="720"/>
        <w:jc w:val="both"/>
        <w:rPr>
          <w:sz w:val="20"/>
          <w:szCs w:val="20"/>
          <w:lang w:val="es-CL"/>
        </w:rPr>
      </w:pPr>
      <w:r w:rsidRPr="009D1618">
        <w:rPr>
          <w:rFonts w:ascii="Cambria" w:hAnsi="Cambria"/>
          <w:sz w:val="20"/>
          <w:szCs w:val="20"/>
          <w:lang w:val="es-CL"/>
        </w:rPr>
        <w:t>En cuanto a</w:t>
      </w:r>
      <w:r w:rsidR="00CB48DD" w:rsidRPr="009D1618">
        <w:rPr>
          <w:rFonts w:ascii="Cambria" w:hAnsi="Cambria"/>
          <w:sz w:val="20"/>
          <w:szCs w:val="20"/>
          <w:lang w:val="es-CL"/>
        </w:rPr>
        <w:t>l</w:t>
      </w:r>
      <w:r w:rsidRPr="009D1618">
        <w:rPr>
          <w:rFonts w:ascii="Cambria" w:hAnsi="Cambria"/>
          <w:sz w:val="20"/>
          <w:szCs w:val="20"/>
          <w:lang w:val="es-CL"/>
        </w:rPr>
        <w:t xml:space="preserve"> reconocimiento de personas, la Comisión observa que el Tribunal de Sentencia no individualizó </w:t>
      </w:r>
      <w:r w:rsidR="00CB48DD" w:rsidRPr="009D1618">
        <w:rPr>
          <w:rFonts w:ascii="Cambria" w:hAnsi="Cambria"/>
          <w:sz w:val="20"/>
          <w:szCs w:val="20"/>
          <w:lang w:val="es-CL"/>
        </w:rPr>
        <w:t>las formalidades legales i</w:t>
      </w:r>
      <w:r w:rsidR="00E87172" w:rsidRPr="009D1618">
        <w:rPr>
          <w:rFonts w:ascii="Cambria" w:hAnsi="Cambria"/>
          <w:sz w:val="20"/>
          <w:szCs w:val="20"/>
          <w:lang w:val="es-CL"/>
        </w:rPr>
        <w:t>ncumplidas en dicha diligencia. Los peticionarios por su parte, indicaron que no existe registro alguno de dicha diligencia, lo cual no fue controvertido por el Estado ni en sus escritos ni mediante la aportación de piezas del expedi</w:t>
      </w:r>
      <w:r w:rsidR="00542C43" w:rsidRPr="009D1618">
        <w:rPr>
          <w:rFonts w:ascii="Cambria" w:hAnsi="Cambria"/>
          <w:sz w:val="20"/>
          <w:szCs w:val="20"/>
          <w:lang w:val="es-CL"/>
        </w:rPr>
        <w:t xml:space="preserve">ente que indiquen lo contrario. </w:t>
      </w:r>
      <w:r w:rsidR="003E3237" w:rsidRPr="009D1618">
        <w:rPr>
          <w:rFonts w:ascii="Cambria" w:hAnsi="Cambria"/>
          <w:sz w:val="20"/>
          <w:szCs w:val="20"/>
          <w:lang w:val="es-CL"/>
        </w:rPr>
        <w:t xml:space="preserve">Además, la Comisión observa que </w:t>
      </w:r>
      <w:r w:rsidR="00C564C8" w:rsidRPr="009D1618">
        <w:rPr>
          <w:rFonts w:ascii="Cambria" w:hAnsi="Cambria"/>
          <w:sz w:val="20"/>
          <w:szCs w:val="20"/>
          <w:lang w:val="es-CL"/>
        </w:rPr>
        <w:t>del contenid</w:t>
      </w:r>
      <w:r w:rsidR="000F5F25" w:rsidRPr="009D1618">
        <w:rPr>
          <w:rFonts w:ascii="Cambria" w:hAnsi="Cambria"/>
          <w:sz w:val="20"/>
          <w:szCs w:val="20"/>
          <w:lang w:val="es-CL"/>
        </w:rPr>
        <w:t>o de la sentencia condenatoria s</w:t>
      </w:r>
      <w:r w:rsidR="00C564C8" w:rsidRPr="009D1618">
        <w:rPr>
          <w:rFonts w:ascii="Cambria" w:hAnsi="Cambria"/>
          <w:sz w:val="20"/>
          <w:szCs w:val="20"/>
          <w:lang w:val="es-CL"/>
        </w:rPr>
        <w:t xml:space="preserve">e desprende que esta diligencia fue determinante para individualizar a las presuntas víctimas como autores de los delitos imputados. </w:t>
      </w:r>
    </w:p>
    <w:p w14:paraId="2B543806" w14:textId="77777777" w:rsidR="00542C43" w:rsidRPr="009D1618" w:rsidRDefault="00542C43" w:rsidP="000F3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1800"/>
          <w:tab w:val="num" w:pos="2040"/>
        </w:tabs>
        <w:jc w:val="both"/>
        <w:rPr>
          <w:rFonts w:ascii="Cambria" w:hAnsi="Cambria"/>
          <w:sz w:val="20"/>
          <w:szCs w:val="20"/>
          <w:lang w:val="es-CL"/>
        </w:rPr>
      </w:pPr>
    </w:p>
    <w:p w14:paraId="6F4A1FEF" w14:textId="30EB924D" w:rsidR="00E94914" w:rsidRPr="001534DE" w:rsidRDefault="00542C43"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1800"/>
          <w:tab w:val="num" w:pos="2040"/>
        </w:tabs>
        <w:ind w:left="0" w:firstLine="720"/>
        <w:jc w:val="both"/>
        <w:rPr>
          <w:sz w:val="20"/>
          <w:szCs w:val="20"/>
          <w:lang w:val="es-CL"/>
        </w:rPr>
      </w:pPr>
      <w:r w:rsidRPr="009D1618">
        <w:rPr>
          <w:rFonts w:ascii="Cambria" w:hAnsi="Cambria"/>
          <w:sz w:val="20"/>
          <w:szCs w:val="20"/>
          <w:lang w:val="es-CL"/>
        </w:rPr>
        <w:t xml:space="preserve">En cuanto a los peritajes, </w:t>
      </w:r>
      <w:r w:rsidR="00FB5BF7" w:rsidRPr="009D1618">
        <w:rPr>
          <w:rFonts w:ascii="Cambria" w:hAnsi="Cambria"/>
          <w:sz w:val="20"/>
          <w:szCs w:val="20"/>
          <w:lang w:val="es-CL"/>
        </w:rPr>
        <w:t>la Comisión observa que el Tribunal de Sentencia tampoco explicó cuáles fueron los requisitos exigidos por la ley</w:t>
      </w:r>
      <w:r w:rsidR="002055A5" w:rsidRPr="009D1618">
        <w:rPr>
          <w:rFonts w:ascii="Cambria" w:hAnsi="Cambria"/>
          <w:sz w:val="20"/>
          <w:szCs w:val="20"/>
          <w:lang w:val="es-CL"/>
        </w:rPr>
        <w:t xml:space="preserve">, limitándose a señalar </w:t>
      </w:r>
      <w:r w:rsidR="00647623" w:rsidRPr="009D1618">
        <w:rPr>
          <w:rFonts w:ascii="Cambria" w:hAnsi="Cambria"/>
          <w:sz w:val="20"/>
          <w:szCs w:val="20"/>
          <w:lang w:val="es-CL"/>
        </w:rPr>
        <w:t xml:space="preserve">que como los peritos declararon en el juicio, se cumplió con la excepción prevista en el artículo 364 del Código Procesal Penal. </w:t>
      </w:r>
      <w:r w:rsidR="006D0F79" w:rsidRPr="009D1618">
        <w:rPr>
          <w:rFonts w:ascii="Cambria" w:hAnsi="Cambria"/>
          <w:sz w:val="20"/>
          <w:szCs w:val="20"/>
          <w:lang w:val="es-CL"/>
        </w:rPr>
        <w:t>La Comisión considera que a fin de determinar si la declaración de los peritos en el juicio subsanó efectivamente el perjuicio que el incumplimiento de los requisitos legales pudo causar en el</w:t>
      </w:r>
      <w:r w:rsidR="00226FE6" w:rsidRPr="009D1618">
        <w:rPr>
          <w:rFonts w:ascii="Cambria" w:hAnsi="Cambria"/>
          <w:sz w:val="20"/>
          <w:szCs w:val="20"/>
          <w:lang w:val="es-CL"/>
        </w:rPr>
        <w:t xml:space="preserve"> proceso en general y en el</w:t>
      </w:r>
      <w:r w:rsidR="006D0F79" w:rsidRPr="009D1618">
        <w:rPr>
          <w:rFonts w:ascii="Cambria" w:hAnsi="Cambria"/>
          <w:sz w:val="20"/>
          <w:szCs w:val="20"/>
          <w:lang w:val="es-CL"/>
        </w:rPr>
        <w:t xml:space="preserve"> derecho de defensa de las presuntas víctimas, sería necesario que el Estado hubiese explicado la naturaleza de dichos requisitos</w:t>
      </w:r>
      <w:r w:rsidR="00226FE6" w:rsidRPr="009D1618">
        <w:rPr>
          <w:rFonts w:ascii="Cambria" w:hAnsi="Cambria"/>
          <w:sz w:val="20"/>
          <w:szCs w:val="20"/>
          <w:lang w:val="es-CL"/>
        </w:rPr>
        <w:t xml:space="preserve">, pues si se trató de irregularidades de tal entidad que pusieran dudas sobre los contenidos o resultados de los peritajes, la declaración en el juicio de los peritos ni subsanaría tales problemas. </w:t>
      </w:r>
    </w:p>
    <w:p w14:paraId="09B7F5D6" w14:textId="77777777" w:rsidR="00CB3BA9" w:rsidRPr="009D1618" w:rsidRDefault="00E94914"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1800"/>
          <w:tab w:val="num" w:pos="2040"/>
        </w:tabs>
        <w:ind w:left="0" w:firstLine="720"/>
        <w:jc w:val="both"/>
        <w:rPr>
          <w:sz w:val="20"/>
          <w:szCs w:val="20"/>
          <w:lang w:val="es-CL"/>
        </w:rPr>
      </w:pPr>
      <w:r w:rsidRPr="009D1618">
        <w:rPr>
          <w:rFonts w:ascii="Cambria" w:hAnsi="Cambria"/>
          <w:sz w:val="20"/>
          <w:szCs w:val="20"/>
          <w:lang w:val="es-CL"/>
        </w:rPr>
        <w:lastRenderedPageBreak/>
        <w:t xml:space="preserve">La Comisión considera que </w:t>
      </w:r>
      <w:r w:rsidR="00A440BB" w:rsidRPr="009D1618">
        <w:rPr>
          <w:rFonts w:ascii="Cambria" w:hAnsi="Cambria"/>
          <w:sz w:val="20"/>
          <w:szCs w:val="20"/>
          <w:lang w:val="es-CL"/>
        </w:rPr>
        <w:t>una autoridad judicial que determina la responsabilidad penal de una persona, no puede limitarse a indicar que se incumplieron los requisitos legales para la prá</w:t>
      </w:r>
      <w:r w:rsidR="004158EA" w:rsidRPr="009D1618">
        <w:rPr>
          <w:rFonts w:ascii="Cambria" w:hAnsi="Cambria"/>
          <w:sz w:val="20"/>
          <w:szCs w:val="20"/>
          <w:lang w:val="es-CL"/>
        </w:rPr>
        <w:t>ctica de una prueba –</w:t>
      </w:r>
      <w:r w:rsidR="00A440BB" w:rsidRPr="009D1618">
        <w:rPr>
          <w:rFonts w:ascii="Cambria" w:hAnsi="Cambria"/>
          <w:sz w:val="20"/>
          <w:szCs w:val="20"/>
          <w:lang w:val="es-CL"/>
        </w:rPr>
        <w:t xml:space="preserve"> particularmente tratándose de pruebas de cargo determinantes para la condena – sin explicar </w:t>
      </w:r>
      <w:r w:rsidR="00721520" w:rsidRPr="009D1618">
        <w:rPr>
          <w:rFonts w:ascii="Cambria" w:hAnsi="Cambria"/>
          <w:sz w:val="20"/>
          <w:szCs w:val="20"/>
          <w:lang w:val="es-CL"/>
        </w:rPr>
        <w:t xml:space="preserve">de manera suficiente y clara, las razones por las cuales dicha situación no perjudicó las posibilidades de defensa e incluso la presunción de inocencia de la persona </w:t>
      </w:r>
      <w:r w:rsidR="001A0ADA" w:rsidRPr="009D1618">
        <w:rPr>
          <w:rFonts w:ascii="Cambria" w:hAnsi="Cambria"/>
          <w:sz w:val="20"/>
          <w:szCs w:val="20"/>
          <w:lang w:val="es-CL"/>
        </w:rPr>
        <w:t xml:space="preserve">que está siendo juzgada. </w:t>
      </w:r>
      <w:r w:rsidR="00151ABE" w:rsidRPr="009D1618">
        <w:rPr>
          <w:rFonts w:ascii="Cambria" w:hAnsi="Cambria"/>
          <w:sz w:val="20"/>
          <w:szCs w:val="20"/>
          <w:lang w:val="es-CL"/>
        </w:rPr>
        <w:t xml:space="preserve">Esto resulta </w:t>
      </w:r>
      <w:r w:rsidR="000F5F25" w:rsidRPr="009D1618">
        <w:rPr>
          <w:rFonts w:ascii="Cambria" w:hAnsi="Cambria"/>
          <w:sz w:val="20"/>
          <w:szCs w:val="20"/>
          <w:lang w:val="es-CL"/>
        </w:rPr>
        <w:t>aún</w:t>
      </w:r>
      <w:r w:rsidR="00151ABE" w:rsidRPr="009D1618">
        <w:rPr>
          <w:rFonts w:ascii="Cambria" w:hAnsi="Cambria"/>
          <w:sz w:val="20"/>
          <w:szCs w:val="20"/>
          <w:lang w:val="es-CL"/>
        </w:rPr>
        <w:t xml:space="preserve"> más evidente bajo el escrutinio estricto que debe operar en casos que pueden terminar con la imposición de la pena de muerte. </w:t>
      </w:r>
    </w:p>
    <w:p w14:paraId="715EB655" w14:textId="77777777" w:rsidR="00FE3793" w:rsidRPr="009D1618" w:rsidRDefault="00FE3793" w:rsidP="000F3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1800"/>
          <w:tab w:val="num" w:pos="2040"/>
        </w:tabs>
        <w:jc w:val="both"/>
        <w:rPr>
          <w:rFonts w:ascii="Cambria" w:hAnsi="Cambria"/>
          <w:sz w:val="20"/>
          <w:szCs w:val="20"/>
          <w:lang w:val="es-CL"/>
        </w:rPr>
      </w:pPr>
    </w:p>
    <w:p w14:paraId="5985BF6E" w14:textId="0156465C" w:rsidR="007A48E2" w:rsidRPr="009D1618" w:rsidRDefault="00FE3793" w:rsidP="007A48E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180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Por otra parte, </w:t>
      </w:r>
      <w:r w:rsidR="007A48E2" w:rsidRPr="009D1618">
        <w:rPr>
          <w:rFonts w:ascii="Cambria" w:eastAsia="Times New Roman" w:hAnsi="Cambria" w:cs="Courier New"/>
          <w:color w:val="212121"/>
          <w:sz w:val="20"/>
          <w:szCs w:val="20"/>
          <w:bdr w:val="none" w:sz="0" w:space="0" w:color="auto"/>
          <w:lang w:val="es-CL"/>
        </w:rPr>
        <w:t xml:space="preserve">tal como se indicó en los hechos probados, el Tribunal de Sentencia descartó una serie de </w:t>
      </w:r>
      <w:r w:rsidR="00B514A0" w:rsidRPr="009D1618">
        <w:rPr>
          <w:rFonts w:ascii="Cambria" w:eastAsia="Times New Roman" w:hAnsi="Cambria" w:cs="Courier New"/>
          <w:color w:val="212121"/>
          <w:sz w:val="20"/>
          <w:szCs w:val="20"/>
          <w:bdr w:val="none" w:sz="0" w:space="0" w:color="auto"/>
          <w:lang w:val="es-CL"/>
        </w:rPr>
        <w:t xml:space="preserve">elementos de prueba </w:t>
      </w:r>
      <w:r w:rsidR="007A48E2" w:rsidRPr="009D1618">
        <w:rPr>
          <w:rFonts w:ascii="Cambria" w:eastAsia="Times New Roman" w:hAnsi="Cambria" w:cs="Courier New"/>
          <w:color w:val="212121"/>
          <w:sz w:val="20"/>
          <w:szCs w:val="20"/>
          <w:bdr w:val="none" w:sz="0" w:space="0" w:color="auto"/>
          <w:lang w:val="es-CL"/>
        </w:rPr>
        <w:t>propuestos por la defensa de las presuntas víctimas, limitándose a justificar su rechazo en que dichos medios de prueba faltaban a la verdad, sin indicar las razones en las que se sustentó dicha afirmación</w:t>
      </w:r>
      <w:r w:rsidR="00AC503E" w:rsidRPr="009D1618">
        <w:rPr>
          <w:rFonts w:ascii="Cambria" w:eastAsia="Times New Roman" w:hAnsi="Cambria" w:cs="Courier New"/>
          <w:color w:val="212121"/>
          <w:sz w:val="20"/>
          <w:szCs w:val="20"/>
          <w:bdr w:val="none" w:sz="0" w:space="0" w:color="auto"/>
          <w:lang w:val="es-CL"/>
        </w:rPr>
        <w:t xml:space="preserve">. Esto </w:t>
      </w:r>
      <w:r w:rsidR="00B514A0" w:rsidRPr="009D1618">
        <w:rPr>
          <w:rFonts w:ascii="Cambria" w:eastAsia="Times New Roman" w:hAnsi="Cambria" w:cs="Courier New"/>
          <w:color w:val="212121"/>
          <w:sz w:val="20"/>
          <w:szCs w:val="20"/>
          <w:bdr w:val="none" w:sz="0" w:space="0" w:color="auto"/>
          <w:lang w:val="es-CL"/>
        </w:rPr>
        <w:t xml:space="preserve">constituyó </w:t>
      </w:r>
      <w:r w:rsidR="000F5F25" w:rsidRPr="009D1618">
        <w:rPr>
          <w:rFonts w:ascii="Cambria" w:eastAsia="Times New Roman" w:hAnsi="Cambria" w:cs="Courier New"/>
          <w:color w:val="212121"/>
          <w:sz w:val="20"/>
          <w:szCs w:val="20"/>
          <w:bdr w:val="none" w:sz="0" w:space="0" w:color="auto"/>
          <w:lang w:val="es-CL"/>
        </w:rPr>
        <w:t>un</w:t>
      </w:r>
      <w:r w:rsidR="00B514A0" w:rsidRPr="009D1618">
        <w:rPr>
          <w:rFonts w:ascii="Cambria" w:eastAsia="Times New Roman" w:hAnsi="Cambria" w:cs="Courier New"/>
          <w:color w:val="212121"/>
          <w:sz w:val="20"/>
          <w:szCs w:val="20"/>
          <w:bdr w:val="none" w:sz="0" w:space="0" w:color="auto"/>
          <w:lang w:val="es-CL"/>
        </w:rPr>
        <w:t xml:space="preserve"> incumplimiento adicional del deber de motivación en relación con el principio de presunció</w:t>
      </w:r>
      <w:r w:rsidR="00AC503E" w:rsidRPr="009D1618">
        <w:rPr>
          <w:rFonts w:ascii="Cambria" w:eastAsia="Times New Roman" w:hAnsi="Cambria" w:cs="Courier New"/>
          <w:color w:val="212121"/>
          <w:sz w:val="20"/>
          <w:szCs w:val="20"/>
          <w:bdr w:val="none" w:sz="0" w:space="0" w:color="auto"/>
          <w:lang w:val="es-CL"/>
        </w:rPr>
        <w:t>n de inocencia.</w:t>
      </w:r>
      <w:r w:rsidR="007A48E2" w:rsidRPr="009D1618">
        <w:rPr>
          <w:rFonts w:ascii="Cambria" w:eastAsia="Times New Roman" w:hAnsi="Cambria" w:cs="Courier New"/>
          <w:color w:val="212121"/>
          <w:sz w:val="20"/>
          <w:szCs w:val="20"/>
          <w:bdr w:val="none" w:sz="0" w:space="0" w:color="auto"/>
          <w:lang w:val="es-CL"/>
        </w:rPr>
        <w:t xml:space="preserve"> </w:t>
      </w:r>
      <w:r w:rsidR="00AC503E" w:rsidRPr="009D1618">
        <w:rPr>
          <w:rFonts w:ascii="Cambria" w:eastAsia="Times New Roman" w:hAnsi="Cambria" w:cs="Courier New"/>
          <w:color w:val="212121"/>
          <w:sz w:val="20"/>
          <w:szCs w:val="20"/>
          <w:bdr w:val="none" w:sz="0" w:space="0" w:color="auto"/>
          <w:lang w:val="es-CL"/>
        </w:rPr>
        <w:t xml:space="preserve">La Comisión considera además que estas deficiencias en la fundamentación de la sentencia condenatoria, impactaron en las posibilidades reales de </w:t>
      </w:r>
      <w:r w:rsidR="00404A32" w:rsidRPr="009D1618">
        <w:rPr>
          <w:rFonts w:ascii="Cambria" w:eastAsia="Times New Roman" w:hAnsi="Cambria" w:cs="Courier New"/>
          <w:color w:val="212121"/>
          <w:sz w:val="20"/>
          <w:szCs w:val="20"/>
          <w:bdr w:val="none" w:sz="0" w:space="0" w:color="auto"/>
          <w:lang w:val="es-CL"/>
        </w:rPr>
        <w:t>impugnar</w:t>
      </w:r>
      <w:r w:rsidR="007A48E2" w:rsidRPr="009D1618">
        <w:rPr>
          <w:rFonts w:ascii="Cambria" w:eastAsia="Times New Roman" w:hAnsi="Cambria" w:cs="Courier New"/>
          <w:color w:val="212121"/>
          <w:sz w:val="20"/>
          <w:szCs w:val="20"/>
          <w:bdr w:val="none" w:sz="0" w:space="0" w:color="auto"/>
          <w:lang w:val="es-CL"/>
        </w:rPr>
        <w:t xml:space="preserve"> la decisión y lograr un nuevo examen de la cuestión en etapas posteriores. </w:t>
      </w:r>
    </w:p>
    <w:p w14:paraId="7B0DD62B" w14:textId="77777777" w:rsidR="007A48E2" w:rsidRPr="009D1618" w:rsidRDefault="007A48E2" w:rsidP="007A48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Cambria" w:eastAsia="Times New Roman" w:hAnsi="Cambria" w:cs="Courier New"/>
          <w:color w:val="212121"/>
          <w:sz w:val="20"/>
          <w:szCs w:val="20"/>
          <w:bdr w:val="none" w:sz="0" w:space="0" w:color="auto"/>
          <w:lang w:val="es-CL"/>
        </w:rPr>
      </w:pPr>
    </w:p>
    <w:p w14:paraId="5CDE2F73" w14:textId="77777777" w:rsidR="007A48E2" w:rsidRPr="009D1618" w:rsidRDefault="007A48E2" w:rsidP="007A48E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eastAsia="Times New Roman" w:hAnsi="Cambria" w:cs="Courier New"/>
          <w:color w:val="212121"/>
          <w:sz w:val="20"/>
          <w:szCs w:val="20"/>
          <w:bdr w:val="none" w:sz="0" w:space="0" w:color="auto"/>
          <w:lang w:val="es-CL"/>
        </w:rPr>
      </w:pPr>
      <w:r w:rsidRPr="009D1618">
        <w:rPr>
          <w:rFonts w:ascii="Cambria" w:eastAsia="Times New Roman" w:hAnsi="Cambria" w:cs="Courier New"/>
          <w:color w:val="212121"/>
          <w:sz w:val="20"/>
          <w:szCs w:val="20"/>
          <w:bdr w:val="none" w:sz="0" w:space="0" w:color="auto"/>
          <w:lang w:val="es-CL"/>
        </w:rPr>
        <w:t xml:space="preserve">En virtud de lo anterior la CIDH concluye que el Estado violó el derecho </w:t>
      </w:r>
      <w:r w:rsidR="00121F3A" w:rsidRPr="009D1618">
        <w:rPr>
          <w:rFonts w:ascii="Cambria" w:eastAsia="Times New Roman" w:hAnsi="Cambria" w:cs="Courier New"/>
          <w:color w:val="212121"/>
          <w:sz w:val="20"/>
          <w:szCs w:val="20"/>
          <w:bdr w:val="none" w:sz="0" w:space="0" w:color="auto"/>
          <w:lang w:val="es-CL"/>
        </w:rPr>
        <w:t>a la defensa así como el deber de motivación en relación con el principio de presunción de inocencia, establecidos en los artículos 8.1, 8.2 y 8.2 c) de la Convención Americana e</w:t>
      </w:r>
      <w:r w:rsidRPr="009D1618">
        <w:rPr>
          <w:rFonts w:ascii="Cambria" w:eastAsia="Times New Roman" w:hAnsi="Cambria" w:cs="Courier New"/>
          <w:color w:val="212121"/>
          <w:sz w:val="20"/>
          <w:szCs w:val="20"/>
          <w:bdr w:val="none" w:sz="0" w:space="0" w:color="auto"/>
          <w:lang w:val="es-CL"/>
        </w:rPr>
        <w:t>n relación con el artículo 1.1 del mismo instrumento</w:t>
      </w:r>
      <w:r w:rsidR="00121F3A" w:rsidRPr="009D1618">
        <w:rPr>
          <w:rFonts w:ascii="Cambria" w:eastAsia="Times New Roman" w:hAnsi="Cambria" w:cs="Courier New"/>
          <w:color w:val="212121"/>
          <w:sz w:val="20"/>
          <w:szCs w:val="20"/>
          <w:bdr w:val="none" w:sz="0" w:space="0" w:color="auto"/>
          <w:lang w:val="es-CL"/>
        </w:rPr>
        <w:t>,</w:t>
      </w:r>
      <w:r w:rsidRPr="009D1618">
        <w:rPr>
          <w:rFonts w:ascii="Cambria" w:eastAsia="Times New Roman" w:hAnsi="Cambria" w:cs="Courier New"/>
          <w:color w:val="212121"/>
          <w:sz w:val="20"/>
          <w:szCs w:val="20"/>
          <w:bdr w:val="none" w:sz="0" w:space="0" w:color="auto"/>
          <w:lang w:val="es-CL"/>
        </w:rPr>
        <w:t xml:space="preserve"> en perjuiciode </w:t>
      </w:r>
      <w:r w:rsidRPr="009D1618">
        <w:rPr>
          <w:rFonts w:ascii="Cambria" w:hAnsi="Cambria"/>
          <w:sz w:val="20"/>
          <w:szCs w:val="20"/>
          <w:lang w:val="es-CL"/>
        </w:rPr>
        <w:t>Miguel Ángel Rodríguez Revolorio, Miguel Ángel López Calo y Aníbal Archila Pérez.</w:t>
      </w:r>
    </w:p>
    <w:p w14:paraId="52CF241F" w14:textId="77777777" w:rsidR="00FB46EC" w:rsidRPr="009D1618" w:rsidRDefault="00FB46EC" w:rsidP="000F3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1800"/>
          <w:tab w:val="num" w:pos="2040"/>
        </w:tabs>
        <w:jc w:val="both"/>
        <w:rPr>
          <w:sz w:val="20"/>
          <w:szCs w:val="20"/>
          <w:lang w:val="es-CL"/>
        </w:rPr>
      </w:pPr>
    </w:p>
    <w:p w14:paraId="6FA98ED4" w14:textId="77777777" w:rsidR="00645865" w:rsidRPr="009D1618" w:rsidRDefault="008B686C" w:rsidP="000F3FA8">
      <w:pPr>
        <w:pStyle w:val="ListParagraph"/>
        <w:numPr>
          <w:ilvl w:val="1"/>
          <w:numId w:val="55"/>
        </w:numPr>
        <w:shd w:val="clear" w:color="auto" w:fill="FFFFFF"/>
        <w:tabs>
          <w:tab w:val="num" w:pos="720"/>
          <w:tab w:val="left" w:pos="1440"/>
          <w:tab w:val="num" w:pos="2040"/>
        </w:tabs>
        <w:ind w:hanging="1080"/>
        <w:jc w:val="both"/>
        <w:rPr>
          <w:b/>
          <w:sz w:val="20"/>
          <w:szCs w:val="20"/>
          <w:lang w:val="es-CL"/>
        </w:rPr>
      </w:pPr>
      <w:r w:rsidRPr="009D1618">
        <w:rPr>
          <w:b/>
          <w:sz w:val="20"/>
          <w:szCs w:val="20"/>
          <w:lang w:val="es-ES"/>
        </w:rPr>
        <w:t>Sobre el derecho a recurrir el fallo y a la protección judicial</w:t>
      </w:r>
    </w:p>
    <w:p w14:paraId="56D9457D" w14:textId="77777777" w:rsidR="00224731" w:rsidRPr="009D1618" w:rsidRDefault="00224731" w:rsidP="00456C2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jc w:val="both"/>
        <w:rPr>
          <w:rFonts w:ascii="Cambria" w:eastAsia="Times New Roman" w:hAnsi="Cambria" w:cs="Courier New"/>
          <w:sz w:val="20"/>
          <w:szCs w:val="20"/>
          <w:bdr w:val="none" w:sz="0" w:space="0" w:color="auto"/>
          <w:lang w:val="es-ES"/>
        </w:rPr>
      </w:pPr>
    </w:p>
    <w:p w14:paraId="684BAA98" w14:textId="77777777" w:rsidR="00456C20" w:rsidRPr="009D1618" w:rsidRDefault="00456C20" w:rsidP="001550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VE"/>
        </w:rPr>
        <w:t xml:space="preserve">Otro aspecto fundamental del derecho de defensa es la posibilidad de recurrir el fallo condenatorio ante juez o tribunal superior, reconocido en el artículo 8.2 h) de la </w:t>
      </w:r>
      <w:r w:rsidRPr="009D1618">
        <w:rPr>
          <w:rFonts w:ascii="Cambria" w:hAnsi="Cambria"/>
          <w:sz w:val="20"/>
          <w:szCs w:val="20"/>
          <w:lang w:val="es-ES"/>
        </w:rPr>
        <w:t>Convención</w:t>
      </w:r>
      <w:r w:rsidRPr="009D1618">
        <w:rPr>
          <w:rFonts w:ascii="Cambria" w:hAnsi="Cambria"/>
          <w:sz w:val="20"/>
          <w:szCs w:val="20"/>
          <w:lang w:val="es-VE"/>
        </w:rPr>
        <w:t xml:space="preserve"> Americana. A fin de que el recurso previsto en la legislación interna cumpla con esta garantía, dicho recurso: </w:t>
      </w:r>
    </w:p>
    <w:p w14:paraId="39DC6F6C" w14:textId="77777777" w:rsidR="00456C20" w:rsidRPr="009D1618" w:rsidRDefault="00456C20" w:rsidP="00456C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58AB52C8" w14:textId="77777777" w:rsidR="00456C20" w:rsidRPr="009D1618" w:rsidRDefault="00456C20" w:rsidP="00456C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ight="720"/>
        <w:jc w:val="both"/>
        <w:rPr>
          <w:rFonts w:ascii="Cambria" w:hAnsi="Cambria"/>
          <w:sz w:val="20"/>
          <w:szCs w:val="20"/>
          <w:lang w:val="es-ES"/>
        </w:rPr>
      </w:pPr>
      <w:r w:rsidRPr="009D1618">
        <w:rPr>
          <w:rFonts w:ascii="Cambria" w:hAnsi="Cambria"/>
          <w:sz w:val="20"/>
          <w:szCs w:val="20"/>
          <w:lang w:val="es-CL"/>
        </w:rPr>
        <w:t>(…) 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Pr="009D1618">
        <w:rPr>
          <w:rStyle w:val="FootnoteReference"/>
          <w:rFonts w:ascii="Cambria" w:hAnsi="Cambria"/>
          <w:sz w:val="20"/>
          <w:szCs w:val="20"/>
          <w:lang w:val="es-CL"/>
        </w:rPr>
        <w:footnoteReference w:id="92"/>
      </w:r>
      <w:r w:rsidRPr="009D1618">
        <w:rPr>
          <w:rFonts w:ascii="Cambria" w:hAnsi="Cambria"/>
          <w:sz w:val="20"/>
          <w:szCs w:val="20"/>
          <w:lang w:val="es-CL"/>
        </w:rPr>
        <w:t xml:space="preserve">. </w:t>
      </w:r>
    </w:p>
    <w:p w14:paraId="3F93A69C" w14:textId="77777777" w:rsidR="00456C20" w:rsidRPr="009D1618" w:rsidRDefault="00456C20" w:rsidP="00456C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1E6B945A" w14:textId="77777777" w:rsidR="00CA4935" w:rsidRPr="009D1618" w:rsidRDefault="00456C20" w:rsidP="0015509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ES"/>
        </w:rPr>
      </w:pPr>
      <w:r w:rsidRPr="009D1618">
        <w:rPr>
          <w:rFonts w:ascii="Cambria" w:hAnsi="Cambria"/>
          <w:sz w:val="20"/>
          <w:szCs w:val="20"/>
          <w:lang w:val="es-CL"/>
        </w:rPr>
        <w:t>Por su parte, la CIDH ha indicado que “</w:t>
      </w:r>
      <w:r w:rsidRPr="009D1618">
        <w:rPr>
          <w:rFonts w:ascii="Cambria" w:hAnsi="Cambria"/>
          <w:sz w:val="20"/>
          <w:szCs w:val="20"/>
          <w:lang w:val="es-CO"/>
        </w:rPr>
        <w:t xml:space="preserve">el derecho a recurrir no implica necesariamente </w:t>
      </w:r>
      <w:r w:rsidRPr="009D1618">
        <w:rPr>
          <w:rFonts w:ascii="Cambria" w:hAnsi="Cambria"/>
          <w:sz w:val="20"/>
          <w:szCs w:val="20"/>
          <w:lang w:val="es-ES_tradnl"/>
        </w:rPr>
        <w:t xml:space="preserve">un nuevo juicio o una nueva “audiencia”, siempre que el tribunal que realiza la </w:t>
      </w:r>
      <w:r w:rsidRPr="009D1618">
        <w:rPr>
          <w:rFonts w:ascii="Cambria" w:hAnsi="Cambria" w:cs="Times-Roman"/>
          <w:sz w:val="20"/>
          <w:szCs w:val="20"/>
          <w:lang w:val="es-ES_tradnl" w:bidi="en-US"/>
        </w:rPr>
        <w:t xml:space="preserve">revisión no esté impedido de </w:t>
      </w:r>
      <w:r w:rsidRPr="009D1618">
        <w:rPr>
          <w:rFonts w:ascii="Cambria" w:hAnsi="Cambria"/>
          <w:sz w:val="20"/>
          <w:szCs w:val="20"/>
          <w:lang w:val="es-ES_tradnl"/>
        </w:rPr>
        <w:t>estudiar los hechos de la causa</w:t>
      </w:r>
      <w:r w:rsidRPr="009D1618">
        <w:rPr>
          <w:rStyle w:val="FootnoteReference"/>
          <w:rFonts w:ascii="Cambria" w:hAnsi="Cambria"/>
          <w:sz w:val="20"/>
          <w:szCs w:val="20"/>
          <w:lang w:val="es-ES_tradnl"/>
        </w:rPr>
        <w:footnoteReference w:id="93"/>
      </w:r>
      <w:r w:rsidRPr="009D1618">
        <w:rPr>
          <w:rFonts w:ascii="Cambria" w:hAnsi="Cambria"/>
          <w:sz w:val="20"/>
          <w:szCs w:val="20"/>
          <w:lang w:val="es-ES_tradnl"/>
        </w:rPr>
        <w:t xml:space="preserve">. Lo que exige la norma es la posibilidad de señalar y obtener respuesta sobre errores que hubiera podido </w:t>
      </w:r>
      <w:r w:rsidRPr="009D1618">
        <w:rPr>
          <w:rFonts w:ascii="Cambria" w:hAnsi="Cambria"/>
          <w:sz w:val="20"/>
          <w:szCs w:val="20"/>
          <w:lang w:val="es-CL"/>
        </w:rPr>
        <w:t>cometer</w:t>
      </w:r>
      <w:r w:rsidRPr="009D1618">
        <w:rPr>
          <w:rFonts w:ascii="Cambria" w:hAnsi="Cambria"/>
          <w:sz w:val="20"/>
          <w:szCs w:val="20"/>
          <w:lang w:val="es-ES_tradnl"/>
        </w:rPr>
        <w:t xml:space="preserve"> el juez o tribunal, sin excluir </w:t>
      </w:r>
      <w:r w:rsidRPr="009D1618">
        <w:rPr>
          <w:rFonts w:ascii="Cambria" w:hAnsi="Cambria"/>
          <w:i/>
          <w:sz w:val="20"/>
          <w:szCs w:val="20"/>
          <w:lang w:val="es-ES_tradnl"/>
        </w:rPr>
        <w:t>a priori</w:t>
      </w:r>
      <w:r w:rsidRPr="009D1618">
        <w:rPr>
          <w:rFonts w:ascii="Cambria" w:hAnsi="Cambria"/>
          <w:sz w:val="20"/>
          <w:szCs w:val="20"/>
          <w:lang w:val="es-ES_tradnl"/>
        </w:rPr>
        <w:t xml:space="preserve"> ciertas categorías como los hechos y la valoración y recepción de la prueba</w:t>
      </w:r>
      <w:r w:rsidRPr="009D1618">
        <w:rPr>
          <w:rStyle w:val="FootnoteReference"/>
          <w:rFonts w:ascii="Cambria" w:hAnsi="Cambria"/>
          <w:sz w:val="20"/>
          <w:szCs w:val="20"/>
          <w:lang w:val="es-ES_tradnl"/>
        </w:rPr>
        <w:footnoteReference w:id="94"/>
      </w:r>
      <w:r w:rsidRPr="009D1618">
        <w:rPr>
          <w:rFonts w:ascii="Cambria" w:hAnsi="Cambria"/>
          <w:sz w:val="20"/>
          <w:szCs w:val="20"/>
          <w:lang w:val="es-ES_tradnl"/>
        </w:rPr>
        <w:t>.</w:t>
      </w:r>
    </w:p>
    <w:p w14:paraId="202706D5" w14:textId="77777777" w:rsidR="00CA4935" w:rsidRPr="009D1618" w:rsidRDefault="00CA4935" w:rsidP="00BD1C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lang w:val="es-CL"/>
        </w:rPr>
      </w:pPr>
    </w:p>
    <w:p w14:paraId="21FFBE33" w14:textId="099A3B76" w:rsidR="00DA332B" w:rsidRPr="001534DE" w:rsidRDefault="00DB6C5E" w:rsidP="00DB6C5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En el presente caso, </w:t>
      </w:r>
      <w:r w:rsidR="002C4408" w:rsidRPr="009D1618">
        <w:rPr>
          <w:rFonts w:ascii="Cambria" w:hAnsi="Cambria"/>
          <w:sz w:val="20"/>
          <w:szCs w:val="20"/>
          <w:lang w:val="es-CL"/>
        </w:rPr>
        <w:t xml:space="preserve">al denegar el recurso de </w:t>
      </w:r>
      <w:r w:rsidR="007C2FA0" w:rsidRPr="009D1618">
        <w:rPr>
          <w:rFonts w:ascii="Cambria" w:hAnsi="Cambria"/>
          <w:sz w:val="20"/>
          <w:szCs w:val="20"/>
          <w:lang w:val="es-CL"/>
        </w:rPr>
        <w:t>apelación especial</w:t>
      </w:r>
      <w:r w:rsidR="002C4408" w:rsidRPr="009D1618">
        <w:rPr>
          <w:rFonts w:ascii="Cambria" w:hAnsi="Cambria"/>
          <w:sz w:val="20"/>
          <w:szCs w:val="20"/>
          <w:lang w:val="es-CL"/>
        </w:rPr>
        <w:t>, la Sala Décima de la Corte de Apelaciones Penal, Narcoactivida</w:t>
      </w:r>
      <w:r w:rsidRPr="009D1618">
        <w:rPr>
          <w:rFonts w:ascii="Cambria" w:hAnsi="Cambria"/>
          <w:sz w:val="20"/>
          <w:szCs w:val="20"/>
          <w:lang w:val="es-CL"/>
        </w:rPr>
        <w:t>d y Delitos contra el A</w:t>
      </w:r>
      <w:r w:rsidR="002C4408" w:rsidRPr="009D1618">
        <w:rPr>
          <w:rFonts w:ascii="Cambria" w:hAnsi="Cambria"/>
          <w:sz w:val="20"/>
          <w:szCs w:val="20"/>
          <w:lang w:val="es-CL"/>
        </w:rPr>
        <w:t>mbiente, indicó</w:t>
      </w:r>
      <w:r w:rsidR="007C2FA0" w:rsidRPr="009D1618">
        <w:rPr>
          <w:rFonts w:ascii="Cambria" w:hAnsi="Cambria"/>
          <w:sz w:val="20"/>
          <w:szCs w:val="20"/>
          <w:lang w:val="es-CL"/>
        </w:rPr>
        <w:t xml:space="preserve"> </w:t>
      </w:r>
      <w:r w:rsidR="0091593A" w:rsidRPr="009D1618">
        <w:rPr>
          <w:rFonts w:ascii="Cambria" w:hAnsi="Cambria"/>
          <w:sz w:val="20"/>
          <w:szCs w:val="20"/>
          <w:lang w:val="es-CL"/>
        </w:rPr>
        <w:t>que</w:t>
      </w:r>
      <w:r w:rsidRPr="009D1618">
        <w:rPr>
          <w:rFonts w:ascii="Cambria" w:hAnsi="Cambria"/>
          <w:sz w:val="20"/>
          <w:szCs w:val="20"/>
          <w:lang w:val="es-CL"/>
        </w:rPr>
        <w:t xml:space="preserve"> dicho </w:t>
      </w:r>
      <w:r w:rsidR="0091593A" w:rsidRPr="009D1618">
        <w:rPr>
          <w:rFonts w:ascii="Cambria" w:hAnsi="Cambria"/>
          <w:sz w:val="20"/>
          <w:szCs w:val="20"/>
          <w:lang w:val="es-CL"/>
        </w:rPr>
        <w:t>recurso tiene una naturaleza exclusivame</w:t>
      </w:r>
      <w:r w:rsidRPr="009D1618">
        <w:rPr>
          <w:rFonts w:ascii="Cambria" w:hAnsi="Cambria"/>
          <w:sz w:val="20"/>
          <w:szCs w:val="20"/>
          <w:lang w:val="es-CL"/>
        </w:rPr>
        <w:t>nte revisora del campo jurídico;</w:t>
      </w:r>
      <w:r w:rsidR="0091593A" w:rsidRPr="009D1618">
        <w:rPr>
          <w:rFonts w:ascii="Cambria" w:hAnsi="Cambria"/>
          <w:sz w:val="20"/>
          <w:szCs w:val="20"/>
          <w:lang w:val="es-CL"/>
        </w:rPr>
        <w:t xml:space="preserve"> que lo relativo a la fijación de la pena no es susceptible de revis</w:t>
      </w:r>
      <w:r w:rsidRPr="009D1618">
        <w:rPr>
          <w:rFonts w:ascii="Cambria" w:hAnsi="Cambria"/>
          <w:sz w:val="20"/>
          <w:szCs w:val="20"/>
          <w:lang w:val="es-CL"/>
        </w:rPr>
        <w:t xml:space="preserve">ión </w:t>
      </w:r>
      <w:r w:rsidR="0091593A" w:rsidRPr="009D1618">
        <w:rPr>
          <w:rFonts w:ascii="Cambria" w:hAnsi="Cambria"/>
          <w:sz w:val="20"/>
          <w:szCs w:val="20"/>
          <w:lang w:val="es-CL"/>
        </w:rPr>
        <w:t xml:space="preserve">por medio del </w:t>
      </w:r>
      <w:r w:rsidRPr="009D1618">
        <w:rPr>
          <w:rFonts w:ascii="Cambria" w:hAnsi="Cambria"/>
          <w:sz w:val="20"/>
          <w:szCs w:val="20"/>
          <w:lang w:val="es-CL"/>
        </w:rPr>
        <w:t xml:space="preserve">mismo pues </w:t>
      </w:r>
      <w:r w:rsidR="0091593A" w:rsidRPr="009D1618">
        <w:rPr>
          <w:rFonts w:ascii="Cambria" w:hAnsi="Cambria"/>
          <w:sz w:val="20"/>
          <w:szCs w:val="20"/>
          <w:lang w:val="es-CL"/>
        </w:rPr>
        <w:t>se trata de una facu</w:t>
      </w:r>
      <w:r w:rsidRPr="009D1618">
        <w:rPr>
          <w:rFonts w:ascii="Cambria" w:hAnsi="Cambria"/>
          <w:sz w:val="20"/>
          <w:szCs w:val="20"/>
          <w:lang w:val="es-CL"/>
        </w:rPr>
        <w:t>ltad discrecional de los jueces que</w:t>
      </w:r>
      <w:r w:rsidR="0091593A" w:rsidRPr="009D1618">
        <w:rPr>
          <w:rFonts w:ascii="Cambria" w:hAnsi="Cambria"/>
          <w:sz w:val="20"/>
          <w:szCs w:val="20"/>
          <w:lang w:val="es-CL"/>
        </w:rPr>
        <w:t xml:space="preserve"> además deviene de hechos valorados p</w:t>
      </w:r>
      <w:r w:rsidR="004405C0" w:rsidRPr="009D1618">
        <w:rPr>
          <w:rFonts w:ascii="Cambria" w:hAnsi="Cambria"/>
          <w:sz w:val="20"/>
          <w:szCs w:val="20"/>
          <w:lang w:val="es-CL"/>
        </w:rPr>
        <w:t>or el Tribunal de Sentencia, cuyo control solo puede ejercerse cuando la Sala no respetó la normativa que le co</w:t>
      </w:r>
      <w:r w:rsidR="002C4408" w:rsidRPr="009D1618">
        <w:rPr>
          <w:rFonts w:ascii="Cambria" w:hAnsi="Cambria"/>
          <w:sz w:val="20"/>
          <w:szCs w:val="20"/>
          <w:lang w:val="es-CL"/>
        </w:rPr>
        <w:t>nfiere la facultad discrecional</w:t>
      </w:r>
      <w:r w:rsidRPr="009D1618">
        <w:rPr>
          <w:rFonts w:ascii="Cambria" w:hAnsi="Cambria"/>
          <w:sz w:val="20"/>
          <w:szCs w:val="20"/>
          <w:lang w:val="es-CL"/>
        </w:rPr>
        <w:t xml:space="preserve">. </w:t>
      </w:r>
      <w:r w:rsidR="002C4408" w:rsidRPr="009D1618">
        <w:rPr>
          <w:rFonts w:ascii="Cambria" w:hAnsi="Cambria"/>
          <w:sz w:val="20"/>
          <w:szCs w:val="20"/>
          <w:lang w:val="es-CL"/>
        </w:rPr>
        <w:t xml:space="preserve"> </w:t>
      </w:r>
      <w:r w:rsidRPr="009D1618">
        <w:rPr>
          <w:rFonts w:ascii="Cambria" w:hAnsi="Cambria"/>
          <w:sz w:val="20"/>
          <w:szCs w:val="20"/>
          <w:lang w:val="es-CL"/>
        </w:rPr>
        <w:t xml:space="preserve">En el marco del recurso de casación </w:t>
      </w:r>
      <w:r w:rsidR="00304FE0" w:rsidRPr="009D1618">
        <w:rPr>
          <w:rFonts w:ascii="Cambria" w:hAnsi="Cambria"/>
          <w:sz w:val="20"/>
          <w:szCs w:val="20"/>
          <w:lang w:val="es-CL"/>
        </w:rPr>
        <w:t>tampoco se realizó una revisión sobre las cuestiones f</w:t>
      </w:r>
      <w:r w:rsidR="00B03C07" w:rsidRPr="009D1618">
        <w:rPr>
          <w:rFonts w:ascii="Cambria" w:hAnsi="Cambria"/>
          <w:sz w:val="20"/>
          <w:szCs w:val="20"/>
          <w:lang w:val="es-CL"/>
        </w:rPr>
        <w:t>ácticas</w:t>
      </w:r>
      <w:r w:rsidRPr="009D1618">
        <w:rPr>
          <w:rFonts w:ascii="Cambria" w:hAnsi="Cambria"/>
          <w:sz w:val="20"/>
          <w:szCs w:val="20"/>
          <w:lang w:val="es-CL"/>
        </w:rPr>
        <w:t xml:space="preserve"> acreditadas. </w:t>
      </w:r>
    </w:p>
    <w:p w14:paraId="6B3062F2" w14:textId="77777777" w:rsidR="009125F1" w:rsidRPr="009D1618" w:rsidRDefault="009125F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lastRenderedPageBreak/>
        <w:t>Conforme al artículo 419 del Código de Procedimiento Penal “(…) el recurso especial de apelación sólo podrá hacerse valer cuando la sentencia contenga cualquiera de los siguientes vicios: 1) De fondo: inobservancia, interpretación indebida o errónea aplicación de la ley. 2) De forma: Inobservancia o errónea aplicación de la ley que constituya un defecto del procedimiento. En este caso, el recurso sólo será admisible si el interesado ha reclamado oportunamente su subsanación o hecho protesta de anulación, salvo en los casos del artículo siguiente”.</w:t>
      </w:r>
    </w:p>
    <w:p w14:paraId="3A50D580" w14:textId="77777777" w:rsidR="009125F1" w:rsidRPr="009D1618" w:rsidRDefault="009125F1" w:rsidP="009125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4A1B6571" w14:textId="77777777" w:rsidR="009125F1" w:rsidRPr="009D1618" w:rsidRDefault="009125F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 xml:space="preserve">Asimismo, el artículo 430 del mismo Código, al referirse a la sentencia de apelación especial, establecía el principio de intangibilidad de la prueba en los siguientes términos: “la sentencia no podrá en ningún caso hacer mérito de la prueba o de los hechos que se declaren probados conforme a las reglas de la sana crítica razonada. Únicamente podrá referirse a ellos para la aplicación de la ley substantiva cuando exista manifiesta contradicción en la sentencia recurrida”. </w:t>
      </w:r>
    </w:p>
    <w:p w14:paraId="180F8701" w14:textId="77777777" w:rsidR="009125F1" w:rsidRPr="009D1618" w:rsidRDefault="009125F1" w:rsidP="009125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Fonts w:ascii="Cambria" w:hAnsi="Cambria"/>
          <w:sz w:val="20"/>
          <w:szCs w:val="20"/>
          <w:lang w:val="es-CL"/>
        </w:rPr>
      </w:pPr>
    </w:p>
    <w:p w14:paraId="26BAFADF" w14:textId="77777777" w:rsidR="009125F1" w:rsidRPr="009D1618" w:rsidRDefault="009125F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La Comisión recuerda que conforme a los estándares descritos, no se satisface el derecho al recurrir el fallo cuando están excluidas de verificación ciertas categorías como los hechos y la valoración de la prueba, como ocurrió en el presente caso. La Comisión observa que</w:t>
      </w:r>
      <w:r w:rsidR="00E43075" w:rsidRPr="009D1618">
        <w:rPr>
          <w:rFonts w:ascii="Cambria" w:hAnsi="Cambria"/>
          <w:sz w:val="20"/>
          <w:szCs w:val="20"/>
          <w:lang w:val="es-CL"/>
        </w:rPr>
        <w:t xml:space="preserve"> la manera en que fueron</w:t>
      </w:r>
      <w:r w:rsidRPr="009D1618">
        <w:rPr>
          <w:rFonts w:ascii="Cambria" w:hAnsi="Cambria"/>
          <w:sz w:val="20"/>
          <w:szCs w:val="20"/>
          <w:lang w:val="es-CL"/>
        </w:rPr>
        <w:t xml:space="preserve"> decididos los recursos resulta de la propia forma en que está</w:t>
      </w:r>
      <w:r w:rsidR="00E43075" w:rsidRPr="009D1618">
        <w:rPr>
          <w:rFonts w:ascii="Cambria" w:hAnsi="Cambria"/>
          <w:sz w:val="20"/>
          <w:szCs w:val="20"/>
          <w:lang w:val="es-CL"/>
        </w:rPr>
        <w:t>n</w:t>
      </w:r>
      <w:r w:rsidRPr="009D1618">
        <w:rPr>
          <w:rFonts w:ascii="Cambria" w:hAnsi="Cambria"/>
          <w:sz w:val="20"/>
          <w:szCs w:val="20"/>
          <w:lang w:val="es-CL"/>
        </w:rPr>
        <w:t xml:space="preserve"> regulado</w:t>
      </w:r>
      <w:r w:rsidR="00E43075" w:rsidRPr="009D1618">
        <w:rPr>
          <w:rFonts w:ascii="Cambria" w:hAnsi="Cambria"/>
          <w:sz w:val="20"/>
          <w:szCs w:val="20"/>
          <w:lang w:val="es-CL"/>
        </w:rPr>
        <w:t>s</w:t>
      </w:r>
      <w:r w:rsidRPr="009D1618">
        <w:rPr>
          <w:rFonts w:ascii="Cambria" w:hAnsi="Cambria"/>
          <w:sz w:val="20"/>
          <w:szCs w:val="20"/>
          <w:lang w:val="es-CL"/>
        </w:rPr>
        <w:t xml:space="preserve">, con motivos limitados a errores de derecho o de procedimiento, pero excluyendo del análisis, como regla general, la revisión de los hechos y la valoración de la prueba. </w:t>
      </w:r>
    </w:p>
    <w:p w14:paraId="6E36F7C1" w14:textId="77777777" w:rsidR="009125F1" w:rsidRPr="009D1618" w:rsidRDefault="009125F1" w:rsidP="009125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4DCB9089" w14:textId="77777777" w:rsidR="009125F1" w:rsidRPr="009D1618" w:rsidRDefault="009125F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lang w:val="es-CL"/>
        </w:rPr>
      </w:pPr>
      <w:r w:rsidRPr="009D1618">
        <w:rPr>
          <w:rFonts w:ascii="Cambria" w:hAnsi="Cambria"/>
          <w:sz w:val="20"/>
          <w:szCs w:val="20"/>
          <w:lang w:val="es-CL"/>
        </w:rPr>
        <w:t>Finalmente, la Comisión considera que ninguno de lo</w:t>
      </w:r>
      <w:r w:rsidR="00E43075" w:rsidRPr="009D1618">
        <w:rPr>
          <w:rFonts w:ascii="Cambria" w:hAnsi="Cambria"/>
          <w:sz w:val="20"/>
          <w:szCs w:val="20"/>
          <w:lang w:val="es-CL"/>
        </w:rPr>
        <w:t>s recursos interpuestos por las presuntas víc</w:t>
      </w:r>
      <w:r w:rsidR="003443D7" w:rsidRPr="009D1618">
        <w:rPr>
          <w:rFonts w:ascii="Cambria" w:hAnsi="Cambria"/>
          <w:sz w:val="20"/>
          <w:szCs w:val="20"/>
          <w:lang w:val="es-CL"/>
        </w:rPr>
        <w:t xml:space="preserve">timas, incluyendo el de amparo y la primera revisión, fueron efectivos, pues a través de los mismos no se subsanaron las irregularidades descritas en la presente sección. </w:t>
      </w:r>
      <w:r w:rsidR="0029121F" w:rsidRPr="009D1618">
        <w:rPr>
          <w:rFonts w:ascii="Cambria" w:hAnsi="Cambria"/>
          <w:sz w:val="20"/>
          <w:szCs w:val="20"/>
          <w:lang w:val="es-CL"/>
        </w:rPr>
        <w:t>Lo mismo aplica a la sentencia de la Corte Suprema de Justicia de 2011 mediante la cual se dispuso la conmutación de la pena, en la medida en que dicho fallo se limitó a la aplicación de la pena de muerte por razones de peligrosidad, pero no incorporó pronunciamiento alguno sobre las demás violaciones al debido proceso</w:t>
      </w:r>
      <w:r w:rsidR="00740017" w:rsidRPr="009D1618">
        <w:rPr>
          <w:rFonts w:ascii="Cambria" w:hAnsi="Cambria"/>
          <w:sz w:val="20"/>
          <w:szCs w:val="20"/>
          <w:lang w:val="es-CL"/>
        </w:rPr>
        <w:t xml:space="preserve"> analizadas en el presente informe. </w:t>
      </w:r>
    </w:p>
    <w:p w14:paraId="1574C77E" w14:textId="77777777" w:rsidR="009125F1" w:rsidRPr="009D1618" w:rsidRDefault="009125F1" w:rsidP="009125F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3C15D995" w14:textId="77777777" w:rsidR="00CA0B91" w:rsidRPr="009D1618" w:rsidRDefault="009125F1"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eastAsia="Times New Roman" w:hAnsi="Cambria" w:cs="Courier New"/>
          <w:color w:val="212121"/>
          <w:sz w:val="20"/>
          <w:szCs w:val="20"/>
          <w:bdr w:val="none" w:sz="0" w:space="0" w:color="auto"/>
          <w:lang w:val="es-ES"/>
        </w:rPr>
      </w:pPr>
      <w:r w:rsidRPr="009D1618">
        <w:rPr>
          <w:rFonts w:ascii="Cambria" w:hAnsi="Cambria"/>
          <w:sz w:val="20"/>
          <w:szCs w:val="20"/>
          <w:lang w:val="es-CL"/>
        </w:rPr>
        <w:t xml:space="preserve">En virtud de todo lo anterior, la Comisión considera que el Estado de Guatemala </w:t>
      </w:r>
      <w:r w:rsidR="00BC7022" w:rsidRPr="009D1618">
        <w:rPr>
          <w:rFonts w:ascii="Cambria" w:hAnsi="Cambria"/>
          <w:sz w:val="20"/>
          <w:szCs w:val="20"/>
          <w:lang w:val="es-CL"/>
        </w:rPr>
        <w:t xml:space="preserve">los derechos </w:t>
      </w:r>
      <w:r w:rsidRPr="009D1618">
        <w:rPr>
          <w:rFonts w:ascii="Cambria" w:hAnsi="Cambria"/>
          <w:sz w:val="20"/>
          <w:szCs w:val="20"/>
          <w:lang w:val="es-CL"/>
        </w:rPr>
        <w:t>establecidos en los artículos 8.2 h) y 25.1 de la Convención Americana en relación con los artículos 1.1 y 2 del mismo instrumento, en perjuicio</w:t>
      </w:r>
      <w:r w:rsidR="00BC7022" w:rsidRPr="009D1618">
        <w:rPr>
          <w:rFonts w:ascii="Cambria" w:hAnsi="Cambria"/>
          <w:sz w:val="20"/>
          <w:szCs w:val="20"/>
          <w:lang w:val="es-CL"/>
        </w:rPr>
        <w:t xml:space="preserve"> de</w:t>
      </w:r>
      <w:r w:rsidRPr="009D1618">
        <w:rPr>
          <w:rFonts w:ascii="Cambria" w:hAnsi="Cambria"/>
          <w:sz w:val="20"/>
          <w:szCs w:val="20"/>
          <w:lang w:val="es-CL"/>
        </w:rPr>
        <w:t xml:space="preserve"> </w:t>
      </w:r>
      <w:r w:rsidR="00BC7022" w:rsidRPr="009D1618">
        <w:rPr>
          <w:rFonts w:ascii="Cambria" w:hAnsi="Cambria"/>
          <w:sz w:val="20"/>
          <w:szCs w:val="20"/>
          <w:lang w:val="es-CL"/>
        </w:rPr>
        <w:t>Miguel Ángel Rodríguez Revolorio, Miguel Ángel López Calo y Aníbal Archila Pérez.</w:t>
      </w:r>
    </w:p>
    <w:p w14:paraId="2D48F46F" w14:textId="77777777" w:rsidR="00403096" w:rsidRPr="009D1618" w:rsidRDefault="006B13F9" w:rsidP="000F3FA8">
      <w:pPr>
        <w:pStyle w:val="Heading2"/>
        <w:numPr>
          <w:ilvl w:val="2"/>
          <w:numId w:val="66"/>
        </w:numPr>
        <w:ind w:left="1440" w:hanging="720"/>
        <w:rPr>
          <w:rFonts w:ascii="Cambria" w:hAnsi="Cambria"/>
        </w:rPr>
      </w:pPr>
      <w:bookmarkStart w:id="89" w:name="_Toc485734397"/>
      <w:bookmarkStart w:id="90" w:name="_Toc489111560"/>
      <w:r w:rsidRPr="009D1618">
        <w:rPr>
          <w:rFonts w:ascii="Cambria" w:hAnsi="Cambria"/>
        </w:rPr>
        <w:t>Derecho a la integridad personal</w:t>
      </w:r>
      <w:r w:rsidRPr="009D1618">
        <w:rPr>
          <w:rFonts w:ascii="Cambria" w:hAnsi="Cambria"/>
          <w:vertAlign w:val="superscript"/>
        </w:rPr>
        <w:footnoteReference w:id="95"/>
      </w:r>
      <w:r w:rsidRPr="009D1618">
        <w:rPr>
          <w:rFonts w:ascii="Cambria" w:hAnsi="Cambria"/>
        </w:rPr>
        <w:t xml:space="preserve"> con respecto al fenómeno del “corredor de la muerte” y disposiciones relevantes de la CIPST</w:t>
      </w:r>
      <w:r w:rsidRPr="009D1618">
        <w:rPr>
          <w:rFonts w:ascii="Cambria" w:hAnsi="Cambria"/>
          <w:vertAlign w:val="superscript"/>
        </w:rPr>
        <w:footnoteReference w:id="96"/>
      </w:r>
      <w:bookmarkEnd w:id="89"/>
      <w:bookmarkEnd w:id="90"/>
    </w:p>
    <w:p w14:paraId="62D60EDA" w14:textId="77777777" w:rsidR="00403096" w:rsidRPr="009D1618" w:rsidRDefault="00403096" w:rsidP="007809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ES"/>
        </w:rPr>
      </w:pPr>
    </w:p>
    <w:p w14:paraId="4904BACE" w14:textId="77777777" w:rsidR="00403096" w:rsidRPr="009D1618" w:rsidRDefault="00403096" w:rsidP="004030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lang w:val="es-CL"/>
        </w:rPr>
      </w:pPr>
      <w:r w:rsidRPr="009D1618">
        <w:rPr>
          <w:rFonts w:ascii="Cambria" w:hAnsi="Cambria"/>
          <w:sz w:val="20"/>
          <w:szCs w:val="20"/>
          <w:lang w:val="es-CL"/>
        </w:rPr>
        <w:t xml:space="preserve">En casos de personas condenadas a pena de muerte, tanto en el derecho internacional de los derechos humanos como en el derecho comparado se ha venido desarrollando por décadas el análisis del fenómeno del “corredor de la muerte” a la luz de la prohibición de tratos crueles, inhumanos o degradantes, contemplada tanto a nivel constitucional como en múltiples instrumentos internacionales, incluyendo la Convención Americana. </w:t>
      </w:r>
    </w:p>
    <w:p w14:paraId="557F431B" w14:textId="77777777" w:rsidR="00403096" w:rsidRPr="009D1618" w:rsidRDefault="00403096" w:rsidP="0040309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CO"/>
        </w:rPr>
      </w:pPr>
    </w:p>
    <w:p w14:paraId="0E3E4D96" w14:textId="77777777" w:rsidR="00403096" w:rsidRPr="009D1618" w:rsidRDefault="00403096" w:rsidP="004030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lang w:val="es-CL"/>
        </w:rPr>
      </w:pPr>
      <w:r w:rsidRPr="009D1618">
        <w:rPr>
          <w:rFonts w:ascii="Cambria" w:hAnsi="Cambria"/>
          <w:sz w:val="20"/>
          <w:szCs w:val="20"/>
          <w:lang w:val="es-CL"/>
        </w:rPr>
        <w:lastRenderedPageBreak/>
        <w:t>En cuanto al concepto de dicho fenómeno, el Relator Especial de Naciones Unidas sobre la tortura y otros tratos o penas crueles, inhumanos o degradantes ha indicado que:</w:t>
      </w:r>
    </w:p>
    <w:p w14:paraId="073320C1" w14:textId="77777777" w:rsidR="00403096" w:rsidRPr="009D1618" w:rsidRDefault="00403096" w:rsidP="00403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L"/>
        </w:rPr>
      </w:pPr>
    </w:p>
    <w:p w14:paraId="4F7C3480" w14:textId="77777777" w:rsidR="00403096" w:rsidRPr="009D1618" w:rsidRDefault="00403096" w:rsidP="00403096">
      <w:pPr>
        <w:ind w:left="720" w:right="720"/>
        <w:jc w:val="both"/>
        <w:rPr>
          <w:rFonts w:ascii="Cambria" w:hAnsi="Cambria" w:cs="TimesNewRoman"/>
          <w:sz w:val="20"/>
          <w:szCs w:val="20"/>
          <w:lang w:val="es-CO"/>
        </w:rPr>
      </w:pPr>
      <w:r w:rsidRPr="009D1618">
        <w:rPr>
          <w:rFonts w:ascii="Cambria" w:hAnsi="Cambria" w:cs="TimesNewRoman"/>
          <w:sz w:val="20"/>
          <w:szCs w:val="20"/>
          <w:lang w:val="es-CO"/>
        </w:rPr>
        <w:t>(…) Consiste en una combinación de circunstancias que producen graves traumas mentales y deterioro físico en los presos sentenciados a muerte</w:t>
      </w:r>
      <w:r w:rsidRPr="009D1618">
        <w:rPr>
          <w:rStyle w:val="FootnoteReference"/>
          <w:rFonts w:ascii="Cambria" w:hAnsi="Cambria" w:cs="TimesNewRoman"/>
          <w:sz w:val="20"/>
          <w:szCs w:val="20"/>
          <w:lang w:val="es-CO"/>
        </w:rPr>
        <w:footnoteReference w:id="97"/>
      </w:r>
      <w:r w:rsidRPr="009D1618">
        <w:rPr>
          <w:rFonts w:ascii="Cambria" w:hAnsi="Cambria" w:cs="TimesNewRoman"/>
          <w:sz w:val="20"/>
          <w:szCs w:val="20"/>
          <w:lang w:val="es-CO"/>
        </w:rPr>
        <w:t>.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básicas y de primera necesidad</w:t>
      </w:r>
      <w:r w:rsidRPr="009D1618">
        <w:rPr>
          <w:rStyle w:val="FootnoteReference"/>
          <w:rFonts w:ascii="Cambria" w:hAnsi="Cambria" w:cs="TimesNewRoman"/>
          <w:sz w:val="20"/>
          <w:szCs w:val="20"/>
          <w:lang w:val="es-CO"/>
        </w:rPr>
        <w:footnoteReference w:id="98"/>
      </w:r>
      <w:r w:rsidRPr="009D1618">
        <w:rPr>
          <w:rFonts w:ascii="Cambria" w:hAnsi="Cambria" w:cs="TimesNewRoman"/>
          <w:sz w:val="20"/>
          <w:szCs w:val="20"/>
          <w:lang w:val="es-CO"/>
        </w:rPr>
        <w:t>.</w:t>
      </w:r>
    </w:p>
    <w:p w14:paraId="6AF6E8AA" w14:textId="77777777" w:rsidR="00403096" w:rsidRPr="009D1618" w:rsidRDefault="00403096" w:rsidP="00403096">
      <w:pPr>
        <w:autoSpaceDE w:val="0"/>
        <w:autoSpaceDN w:val="0"/>
        <w:adjustRightInd w:val="0"/>
        <w:ind w:left="720" w:right="720"/>
        <w:jc w:val="both"/>
        <w:rPr>
          <w:rFonts w:ascii="Cambria" w:hAnsi="Cambria" w:cs="TimesNewRoman"/>
          <w:sz w:val="20"/>
          <w:szCs w:val="20"/>
          <w:lang w:val="es-CO"/>
        </w:rPr>
      </w:pPr>
    </w:p>
    <w:p w14:paraId="1D48BD9E" w14:textId="77777777" w:rsidR="00403096" w:rsidRPr="009D1618" w:rsidRDefault="00403096" w:rsidP="004030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Style w:val="sb8d990e2"/>
          <w:rFonts w:ascii="Cambria" w:hAnsi="Cambria"/>
          <w:sz w:val="20"/>
          <w:szCs w:val="20"/>
          <w:lang w:val="es-CL"/>
        </w:rPr>
      </w:pPr>
      <w:r w:rsidRPr="009D1618">
        <w:rPr>
          <w:rFonts w:ascii="Cambria" w:hAnsi="Cambria"/>
          <w:sz w:val="20"/>
          <w:szCs w:val="20"/>
          <w:lang w:val="es-CL"/>
        </w:rPr>
        <w:t xml:space="preserve">En el caso Soering vs. Reino Unido la Corte Europea de Derechos Humanos interpretando la norma que prohíbe tratos crueles, inhumanos y degradantes y refiriéndose a la pena de muerte, señaló que: </w:t>
      </w:r>
    </w:p>
    <w:p w14:paraId="0A9F139E" w14:textId="77777777" w:rsidR="00403096" w:rsidRPr="009D1618" w:rsidRDefault="00403096" w:rsidP="00403096">
      <w:pPr>
        <w:ind w:left="720" w:right="720"/>
        <w:jc w:val="both"/>
        <w:rPr>
          <w:rStyle w:val="sb8d990e2"/>
          <w:rFonts w:ascii="Cambria" w:hAnsi="Cambria"/>
          <w:sz w:val="20"/>
          <w:szCs w:val="20"/>
          <w:lang w:val="es-CO"/>
        </w:rPr>
      </w:pPr>
    </w:p>
    <w:p w14:paraId="13C0573D" w14:textId="77777777" w:rsidR="00403096" w:rsidRPr="009D1618" w:rsidRDefault="00403096" w:rsidP="00403096">
      <w:pPr>
        <w:ind w:left="720" w:right="720"/>
        <w:jc w:val="both"/>
        <w:rPr>
          <w:rStyle w:val="sb8d990e2"/>
          <w:rFonts w:ascii="Cambria" w:hAnsi="Cambria"/>
          <w:sz w:val="20"/>
          <w:szCs w:val="20"/>
          <w:lang w:val="es-CO"/>
        </w:rPr>
      </w:pPr>
      <w:r w:rsidRPr="009D1618">
        <w:rPr>
          <w:rStyle w:val="sb8d990e2"/>
          <w:rFonts w:ascii="Cambria" w:hAnsi="Cambria"/>
          <w:sz w:val="20"/>
          <w:szCs w:val="20"/>
          <w:lang w:val="es-CO"/>
        </w:rPr>
        <w:t>La forma en que la misma se impone o ejecuta, las circunstancias personales de la persona condenada y la desproporcionalidad con la gravedad del crimen cometido, así como las condiciones de detención a la espera de la ejecución, son ejemplos de factores que pueden hacer aplicable al tratamiento o castigo recibido por la persona condenada, la prohibición establecida en el artículo 3</w:t>
      </w:r>
      <w:r w:rsidRPr="009D1618">
        <w:rPr>
          <w:rStyle w:val="FootnoteReference"/>
          <w:rFonts w:ascii="Cambria" w:hAnsi="Cambria"/>
          <w:sz w:val="20"/>
          <w:szCs w:val="20"/>
        </w:rPr>
        <w:footnoteReference w:id="99"/>
      </w:r>
      <w:r w:rsidRPr="009D1618">
        <w:rPr>
          <w:rStyle w:val="sb8d990e2"/>
          <w:rFonts w:ascii="Cambria" w:hAnsi="Cambria"/>
          <w:sz w:val="20"/>
          <w:szCs w:val="20"/>
          <w:lang w:val="es-CO"/>
        </w:rPr>
        <w:t xml:space="preserve">. </w:t>
      </w:r>
    </w:p>
    <w:p w14:paraId="54DF7389" w14:textId="77777777" w:rsidR="00403096" w:rsidRPr="009D1618" w:rsidRDefault="00403096" w:rsidP="004030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1B602756" w14:textId="77777777" w:rsidR="00403096" w:rsidRPr="009D1618" w:rsidRDefault="00403096" w:rsidP="004030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lang w:val="es-CO"/>
        </w:rPr>
      </w:pPr>
      <w:r w:rsidRPr="009D1618">
        <w:rPr>
          <w:rFonts w:ascii="Cambria" w:hAnsi="Cambria"/>
          <w:sz w:val="20"/>
          <w:szCs w:val="20"/>
          <w:lang w:val="es-CL"/>
        </w:rPr>
        <w:t>En dicha decisión el Tribunal Europeo</w:t>
      </w:r>
      <w:r w:rsidRPr="009D1618">
        <w:rPr>
          <w:rStyle w:val="sb8d990e2"/>
          <w:rFonts w:ascii="Cambria" w:hAnsi="Cambria"/>
          <w:sz w:val="20"/>
          <w:szCs w:val="20"/>
          <w:lang w:val="es-CO"/>
        </w:rPr>
        <w:t xml:space="preserve"> tomó en cuenta un promedio de 6 a 8 años en el corredor de la muerte desde el momento de la imposición de la pena </w:t>
      </w:r>
      <w:r w:rsidRPr="009D1618">
        <w:rPr>
          <w:rFonts w:ascii="Cambria" w:hAnsi="Cambria"/>
          <w:bCs/>
          <w:sz w:val="20"/>
          <w:szCs w:val="20"/>
          <w:lang w:val="es-CO"/>
        </w:rPr>
        <w:t>hasta</w:t>
      </w:r>
      <w:r w:rsidRPr="009D1618">
        <w:rPr>
          <w:rStyle w:val="sb8d990e2"/>
          <w:rFonts w:ascii="Cambria" w:hAnsi="Cambria"/>
          <w:sz w:val="20"/>
          <w:szCs w:val="20"/>
          <w:lang w:val="es-CO"/>
        </w:rPr>
        <w:t xml:space="preserve"> la ejecución y se refirió a la manera en que los propios procedimientos y recursos posteriores a la imposición de la pena de muerte se encuentran relacionados con la referida demora en el corredor de la muerte. A pesar de esta relación, la Corte Europea indicó que: </w:t>
      </w:r>
    </w:p>
    <w:p w14:paraId="52D1DC8B" w14:textId="77777777" w:rsidR="00403096" w:rsidRPr="009D1618" w:rsidRDefault="00403096" w:rsidP="004030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jc w:val="both"/>
        <w:rPr>
          <w:rStyle w:val="sb8d990e2"/>
          <w:rFonts w:ascii="Cambria" w:hAnsi="Cambria"/>
          <w:sz w:val="20"/>
          <w:szCs w:val="20"/>
          <w:lang w:val="es-CO"/>
        </w:rPr>
      </w:pPr>
    </w:p>
    <w:p w14:paraId="58069337" w14:textId="77777777" w:rsidR="00403096" w:rsidRPr="009D1618" w:rsidRDefault="00403096" w:rsidP="00403096">
      <w:pPr>
        <w:pStyle w:val="s30eec3f8"/>
        <w:spacing w:before="0" w:beforeAutospacing="0" w:after="0" w:afterAutospacing="0"/>
        <w:ind w:left="720" w:right="720"/>
        <w:jc w:val="both"/>
        <w:rPr>
          <w:rFonts w:ascii="Cambria" w:hAnsi="Cambria"/>
          <w:sz w:val="20"/>
          <w:szCs w:val="20"/>
          <w:lang w:val="es-CO"/>
        </w:rPr>
      </w:pPr>
      <w:r w:rsidRPr="009D1618">
        <w:rPr>
          <w:rStyle w:val="sb8d990e2"/>
          <w:rFonts w:ascii="Cambria" w:eastAsia="Arial Unicode MS" w:hAnsi="Cambria"/>
          <w:sz w:val="20"/>
          <w:szCs w:val="20"/>
          <w:lang w:val="es-CO"/>
        </w:rPr>
        <w:t>(…) si bien es cierto que cierto lapso de tiempo entre la condena y la ejecución es inevitable si se le otorgan las garantías de apelación a la persona condenada, también lo es que es parte de la naturaleza humana que la persona se va a aferrar a la vida mediante el uso de tales garantían al máximo posible. Sin embargo, aun cuando los complejos procedimientos posteriores a la condena en Virginia sean bien intencionados e incluso potencialmente beneficiosos para la persona condenada, la consecuencia es que dicha persona debe soportar por muchos años las condiciones del corredor de la muerte y de la angustia y tensión elevada de vivir bajo la constante sombra de la muerte</w:t>
      </w:r>
      <w:r w:rsidRPr="009D1618">
        <w:rPr>
          <w:rStyle w:val="FootnoteReference"/>
          <w:rFonts w:ascii="Cambria" w:eastAsia="Cambria" w:hAnsi="Cambria"/>
          <w:sz w:val="20"/>
          <w:szCs w:val="20"/>
        </w:rPr>
        <w:footnoteReference w:id="100"/>
      </w:r>
      <w:r w:rsidRPr="009D1618">
        <w:rPr>
          <w:rStyle w:val="sb8d990e2"/>
          <w:rFonts w:ascii="Cambria" w:eastAsia="Arial Unicode MS" w:hAnsi="Cambria"/>
          <w:sz w:val="20"/>
          <w:szCs w:val="20"/>
          <w:lang w:val="es-CO"/>
        </w:rPr>
        <w:t>.</w:t>
      </w:r>
    </w:p>
    <w:p w14:paraId="0F4A9334" w14:textId="77777777" w:rsidR="00403096" w:rsidRPr="009D1618" w:rsidRDefault="00403096" w:rsidP="0040309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14:paraId="3AFDECC9" w14:textId="77777777" w:rsidR="00965426" w:rsidRPr="009D1618" w:rsidRDefault="00403096" w:rsidP="00403096">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lang w:val="es-CO"/>
        </w:rPr>
      </w:pPr>
      <w:r w:rsidRPr="009D1618">
        <w:rPr>
          <w:rFonts w:ascii="Cambria" w:hAnsi="Cambria"/>
          <w:sz w:val="20"/>
          <w:szCs w:val="20"/>
          <w:lang w:val="es-CO"/>
        </w:rPr>
        <w:t>Asimismo, en el caso Al-Saadon y Mufdhi contra el Reino Unido, el Tribunal Europeo indicó que “l</w:t>
      </w:r>
      <w:r w:rsidRPr="009D1618">
        <w:rPr>
          <w:rFonts w:ascii="Cambria" w:hAnsi="Cambria" w:cs="Arial"/>
          <w:color w:val="212121"/>
          <w:sz w:val="20"/>
          <w:szCs w:val="20"/>
          <w:shd w:val="clear" w:color="auto" w:fill="FFFFFF"/>
          <w:lang w:val="es-VE"/>
        </w:rPr>
        <w:t xml:space="preserve">a ejecución judicial implica la destrucción deliberada y premeditada del ser humano por parte de las </w:t>
      </w:r>
      <w:r w:rsidRPr="009D1618">
        <w:rPr>
          <w:rFonts w:ascii="Cambria" w:hAnsi="Cambria"/>
          <w:sz w:val="20"/>
          <w:szCs w:val="20"/>
          <w:lang w:val="es-CL"/>
        </w:rPr>
        <w:t>autoridades</w:t>
      </w:r>
      <w:r w:rsidRPr="009D1618">
        <w:rPr>
          <w:rFonts w:ascii="Cambria" w:hAnsi="Cambria" w:cs="Arial"/>
          <w:color w:val="212121"/>
          <w:sz w:val="20"/>
          <w:szCs w:val="20"/>
          <w:shd w:val="clear" w:color="auto" w:fill="FFFFFF"/>
          <w:lang w:val="es-VE"/>
        </w:rPr>
        <w:t xml:space="preserve"> del Estado. Cualquiera que sea el método de ejecución, la extinción de la vida implica algún dolor físico. Además, el presagio de la muerte a manos del Estado debe inevitablemente dar lugar a un intenso sufrimiento psicológico”</w:t>
      </w:r>
      <w:r w:rsidRPr="009D1618">
        <w:rPr>
          <w:rStyle w:val="FootnoteReference"/>
          <w:rFonts w:ascii="Cambria" w:hAnsi="Cambria" w:cs="Arial"/>
          <w:color w:val="212121"/>
          <w:sz w:val="20"/>
          <w:szCs w:val="20"/>
          <w:shd w:val="clear" w:color="auto" w:fill="FFFFFF"/>
          <w:lang w:val="es-VE"/>
        </w:rPr>
        <w:footnoteReference w:id="101"/>
      </w:r>
      <w:r w:rsidRPr="009D1618">
        <w:rPr>
          <w:rFonts w:ascii="Cambria" w:hAnsi="Cambria" w:cs="Arial"/>
          <w:color w:val="212121"/>
          <w:sz w:val="20"/>
          <w:szCs w:val="20"/>
          <w:shd w:val="clear" w:color="auto" w:fill="FFFFFF"/>
          <w:lang w:val="es-VE"/>
        </w:rPr>
        <w:t xml:space="preserve">. También concluyó que el temor bien fundado de los aplicantes, de que las </w:t>
      </w:r>
      <w:r w:rsidRPr="009D1618">
        <w:rPr>
          <w:rFonts w:ascii="Cambria" w:hAnsi="Cambria" w:cs="Arial"/>
          <w:color w:val="212121"/>
          <w:sz w:val="20"/>
          <w:szCs w:val="20"/>
          <w:shd w:val="clear" w:color="auto" w:fill="FFFFFF"/>
          <w:lang w:val="es-VE"/>
        </w:rPr>
        <w:lastRenderedPageBreak/>
        <w:t>autoridades iraquíes las ejecutasen, entre mayo de 2006 y julio de 2009, los tuvo que haber sometido a un significativo sufrimiento mental, el cual constituyó tratamiento inhumano contario al artículo 3 de la Convención</w:t>
      </w:r>
      <w:r w:rsidRPr="009D1618">
        <w:rPr>
          <w:rStyle w:val="FootnoteReference"/>
          <w:rFonts w:ascii="Cambria" w:hAnsi="Cambria" w:cs="Arial"/>
          <w:color w:val="212121"/>
          <w:sz w:val="20"/>
          <w:szCs w:val="20"/>
          <w:shd w:val="clear" w:color="auto" w:fill="FFFFFF"/>
          <w:lang w:val="es-VE"/>
        </w:rPr>
        <w:footnoteReference w:id="102"/>
      </w:r>
      <w:r w:rsidRPr="009D1618">
        <w:rPr>
          <w:rFonts w:ascii="Cambria" w:hAnsi="Cambria" w:cs="Arial"/>
          <w:color w:val="212121"/>
          <w:sz w:val="20"/>
          <w:szCs w:val="20"/>
          <w:shd w:val="clear" w:color="auto" w:fill="FFFFFF"/>
          <w:lang w:val="es-VE"/>
        </w:rPr>
        <w:t xml:space="preserve">. </w:t>
      </w:r>
    </w:p>
    <w:p w14:paraId="3A71AC05" w14:textId="77777777" w:rsidR="00965426" w:rsidRPr="009D1618" w:rsidRDefault="00965426" w:rsidP="000F3F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O"/>
        </w:rPr>
      </w:pPr>
    </w:p>
    <w:p w14:paraId="35E0FCDB" w14:textId="77777777" w:rsidR="00BD1CB2" w:rsidRPr="009D1618" w:rsidRDefault="00403096"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eastAsia="Times New Roman" w:hAnsi="Cambria" w:cs="Courier New"/>
          <w:color w:val="212121"/>
          <w:sz w:val="20"/>
          <w:szCs w:val="20"/>
          <w:bdr w:val="none" w:sz="0" w:space="0" w:color="auto"/>
          <w:lang w:val="es-ES"/>
        </w:rPr>
      </w:pPr>
      <w:r w:rsidRPr="009D1618">
        <w:rPr>
          <w:rFonts w:ascii="Cambria" w:hAnsi="Cambria"/>
          <w:sz w:val="20"/>
          <w:szCs w:val="20"/>
          <w:lang w:val="es-CO"/>
        </w:rPr>
        <w:t xml:space="preserve">Por su parte, </w:t>
      </w:r>
      <w:r w:rsidRPr="009D1618">
        <w:rPr>
          <w:rFonts w:ascii="Cambria" w:hAnsi="Cambria"/>
          <w:bCs/>
          <w:sz w:val="20"/>
          <w:szCs w:val="20"/>
          <w:lang w:val="es-CO"/>
        </w:rPr>
        <w:t xml:space="preserve">la Corte Suprema de Uganda consideró en 2009 que “ejecutar a una persona tras una demora de tres </w:t>
      </w:r>
      <w:r w:rsidRPr="009D1618">
        <w:rPr>
          <w:rFonts w:ascii="Cambria" w:hAnsi="Cambria"/>
          <w:sz w:val="20"/>
          <w:szCs w:val="20"/>
          <w:lang w:val="es-CO"/>
        </w:rPr>
        <w:t>años</w:t>
      </w:r>
      <w:r w:rsidRPr="009D1618">
        <w:rPr>
          <w:rFonts w:ascii="Cambria" w:hAnsi="Cambria"/>
          <w:bCs/>
          <w:sz w:val="20"/>
          <w:szCs w:val="20"/>
          <w:lang w:val="es-CO"/>
        </w:rPr>
        <w:t xml:space="preserve"> en condiciones inaceptables conforme a los estándares de Uganda constituiría castigo cruel e inhumano</w:t>
      </w:r>
      <w:r w:rsidRPr="009D1618">
        <w:rPr>
          <w:rFonts w:ascii="Cambria" w:hAnsi="Cambria"/>
          <w:sz w:val="20"/>
          <w:szCs w:val="20"/>
          <w:lang w:val="es-CO"/>
        </w:rPr>
        <w:t>”</w:t>
      </w:r>
      <w:r w:rsidRPr="009D1618">
        <w:rPr>
          <w:rStyle w:val="FootnoteReference"/>
          <w:rFonts w:ascii="Cambria" w:hAnsi="Cambria"/>
          <w:sz w:val="20"/>
          <w:szCs w:val="20"/>
        </w:rPr>
        <w:footnoteReference w:id="103"/>
      </w:r>
      <w:r w:rsidRPr="009D1618">
        <w:rPr>
          <w:rFonts w:ascii="Cambria" w:hAnsi="Cambria"/>
          <w:sz w:val="20"/>
          <w:szCs w:val="20"/>
          <w:lang w:val="es-CO"/>
        </w:rPr>
        <w:t xml:space="preserve">. Por su parte, la Suprema Corte de Zimbabwe indicó desde 1993 que tomando en consideración el consenso académico y judicial respecto del </w:t>
      </w:r>
      <w:r w:rsidRPr="009D1618">
        <w:rPr>
          <w:rFonts w:ascii="Cambria" w:hAnsi="Cambria"/>
          <w:i/>
          <w:sz w:val="20"/>
          <w:szCs w:val="20"/>
          <w:lang w:val="es-CO"/>
        </w:rPr>
        <w:t>death row phenomenon</w:t>
      </w:r>
      <w:r w:rsidRPr="009D1618">
        <w:rPr>
          <w:rFonts w:ascii="Cambria" w:hAnsi="Cambria"/>
          <w:sz w:val="20"/>
          <w:szCs w:val="20"/>
          <w:lang w:val="es-CO"/>
        </w:rPr>
        <w:t xml:space="preserve">, las demoras </w:t>
      </w:r>
      <w:r w:rsidRPr="009D1618">
        <w:rPr>
          <w:rStyle w:val="sb8d990e2"/>
          <w:rFonts w:ascii="Cambria" w:hAnsi="Cambria"/>
          <w:sz w:val="20"/>
          <w:szCs w:val="20"/>
          <w:lang w:val="es-CO"/>
        </w:rPr>
        <w:t>prolongadas</w:t>
      </w:r>
      <w:r w:rsidRPr="009D1618">
        <w:rPr>
          <w:rFonts w:ascii="Cambria" w:hAnsi="Cambria"/>
          <w:sz w:val="20"/>
          <w:szCs w:val="20"/>
          <w:lang w:val="es-CO"/>
        </w:rPr>
        <w:t xml:space="preserve"> y las condiciones severas de detención han llegado a un grado suficiente de seriedad para permitirle al demandante invocar la protección relativa a la prohibición de la tortura y de castigos inhumanos o degradantes. Dicha Corte Suprema sostuvo que 52 y 72 meses, respectivamente, en el corredor de la muerte, constituyó una violación de la prohibición de la tortura y tornaría la ejecución en inconstitucional</w:t>
      </w:r>
      <w:r w:rsidRPr="009D1618">
        <w:rPr>
          <w:rStyle w:val="FootnoteReference"/>
          <w:rFonts w:ascii="Cambria" w:hAnsi="Cambria"/>
          <w:sz w:val="20"/>
          <w:szCs w:val="20"/>
        </w:rPr>
        <w:footnoteReference w:id="104"/>
      </w:r>
      <w:r w:rsidRPr="009D1618">
        <w:rPr>
          <w:rFonts w:ascii="Cambria" w:hAnsi="Cambria"/>
          <w:sz w:val="20"/>
          <w:szCs w:val="20"/>
          <w:lang w:val="es-CO"/>
        </w:rPr>
        <w:t>.</w:t>
      </w:r>
    </w:p>
    <w:p w14:paraId="13512A83" w14:textId="77777777" w:rsidR="009171C7" w:rsidRPr="009D1618" w:rsidRDefault="009171C7" w:rsidP="003A2B0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CO"/>
        </w:rPr>
      </w:pPr>
    </w:p>
    <w:p w14:paraId="2BD8ABF9" w14:textId="7A79B062" w:rsidR="00927FBB" w:rsidRPr="009D1618" w:rsidRDefault="00450C66" w:rsidP="00B9072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eastAsia="Times New Roman" w:hAnsi="Cambria"/>
          <w:sz w:val="20"/>
          <w:szCs w:val="20"/>
          <w:lang w:val="es-CO"/>
        </w:rPr>
      </w:pPr>
      <w:r w:rsidRPr="009D1618">
        <w:rPr>
          <w:rFonts w:ascii="Cambria" w:hAnsi="Cambria"/>
          <w:sz w:val="20"/>
          <w:szCs w:val="20"/>
          <w:lang w:val="es-CO"/>
        </w:rPr>
        <w:t xml:space="preserve">En el presente caso, </w:t>
      </w:r>
      <w:r w:rsidR="00755402" w:rsidRPr="009D1618">
        <w:rPr>
          <w:rFonts w:ascii="Cambria" w:eastAsia="Times New Roman" w:hAnsi="Cambria"/>
          <w:sz w:val="20"/>
          <w:szCs w:val="20"/>
          <w:lang w:val="es-CO"/>
        </w:rPr>
        <w:t xml:space="preserve">Miguel Ángel Rodríguez Revolorio, Miguel Ángel López Calo y Aníbal Archila Pérez, fueron condenados </w:t>
      </w:r>
      <w:r w:rsidR="00A41365" w:rsidRPr="009D1618">
        <w:rPr>
          <w:rFonts w:ascii="Cambria" w:eastAsia="Times New Roman" w:hAnsi="Cambria"/>
          <w:sz w:val="20"/>
          <w:szCs w:val="20"/>
          <w:lang w:val="es-CO"/>
        </w:rPr>
        <w:t xml:space="preserve">a la pena de muerte </w:t>
      </w:r>
      <w:r w:rsidR="00755402" w:rsidRPr="009D1618">
        <w:rPr>
          <w:rFonts w:ascii="Cambria" w:eastAsia="Times New Roman" w:hAnsi="Cambria"/>
          <w:sz w:val="20"/>
          <w:szCs w:val="20"/>
          <w:lang w:val="es-CO"/>
        </w:rPr>
        <w:t xml:space="preserve">el 23 de mayo de 1996. El 16 de julio de 1999 falleció Aníbal Archila Pérez a causa de </w:t>
      </w:r>
      <w:r w:rsidR="00B90728" w:rsidRPr="009D1618">
        <w:rPr>
          <w:rFonts w:ascii="Cambria" w:eastAsia="Times New Roman" w:hAnsi="Cambria"/>
          <w:sz w:val="20"/>
          <w:szCs w:val="20"/>
          <w:lang w:val="es-CO"/>
        </w:rPr>
        <w:t xml:space="preserve">complicaciones relacionadas con diabetes, </w:t>
      </w:r>
      <w:r w:rsidR="00755402" w:rsidRPr="009D1618">
        <w:rPr>
          <w:rFonts w:ascii="Cambria" w:eastAsia="Times New Roman" w:hAnsi="Cambria"/>
          <w:sz w:val="20"/>
          <w:szCs w:val="20"/>
          <w:lang w:val="es-CO"/>
        </w:rPr>
        <w:t xml:space="preserve">por lo que permaneció en el corredor de la muerte por más de 3 años. Asimismo, Miguel Ángel Rodríguez </w:t>
      </w:r>
      <w:r w:rsidR="00755402" w:rsidRPr="009D1618">
        <w:rPr>
          <w:rFonts w:ascii="Cambria" w:hAnsi="Cambria"/>
          <w:sz w:val="20"/>
          <w:szCs w:val="20"/>
          <w:lang w:val="es-CO"/>
        </w:rPr>
        <w:t>Revolorio</w:t>
      </w:r>
      <w:r w:rsidR="00755402" w:rsidRPr="009D1618">
        <w:rPr>
          <w:rFonts w:ascii="Cambria" w:eastAsia="Times New Roman" w:hAnsi="Cambria"/>
          <w:sz w:val="20"/>
          <w:szCs w:val="20"/>
          <w:lang w:val="es-CO"/>
        </w:rPr>
        <w:t xml:space="preserve"> y Miguel Ángel López Calo permanecieron en el corredor de la muerte hasta el 23 de agosto de 2011, cuando la Corte Suprema de Justicia decidió conmutarles la pena de muerte, es decir por más de 14 años. </w:t>
      </w:r>
      <w:r w:rsidR="003A2B0E" w:rsidRPr="009D1618">
        <w:rPr>
          <w:rFonts w:ascii="Cambria" w:eastAsia="Times New Roman" w:hAnsi="Cambria"/>
          <w:sz w:val="20"/>
          <w:szCs w:val="20"/>
          <w:lang w:val="es-CO"/>
        </w:rPr>
        <w:t xml:space="preserve">La Comisión agrega a este respecto </w:t>
      </w:r>
      <w:r w:rsidR="009E761F" w:rsidRPr="009D1618">
        <w:rPr>
          <w:rFonts w:ascii="Cambria" w:eastAsia="Times New Roman" w:hAnsi="Cambria"/>
          <w:sz w:val="20"/>
          <w:szCs w:val="20"/>
          <w:lang w:val="es-CO"/>
        </w:rPr>
        <w:t xml:space="preserve">que conforme un peritaje médico aportado por los </w:t>
      </w:r>
      <w:r w:rsidR="00126C79" w:rsidRPr="009D1618">
        <w:rPr>
          <w:rFonts w:ascii="Cambria" w:eastAsia="Times New Roman" w:hAnsi="Cambria"/>
          <w:sz w:val="20"/>
          <w:szCs w:val="20"/>
          <w:lang w:val="es-CO"/>
        </w:rPr>
        <w:t>peticionarios,</w:t>
      </w:r>
      <w:r w:rsidR="009E761F" w:rsidRPr="009D1618">
        <w:rPr>
          <w:rFonts w:ascii="Cambria" w:eastAsia="Times New Roman" w:hAnsi="Cambria"/>
          <w:sz w:val="20"/>
          <w:szCs w:val="20"/>
          <w:lang w:val="es-CO"/>
        </w:rPr>
        <w:t xml:space="preserve"> ambos “sufren de trastorno por estrés post-traumático” y añadió que Miguel Ángel Lopez Caló sufre diabetes y que “su condición de vida es sumamente restrictiva lo que aumenta la desesperación aunado a la tortura de la condena a pena de muerte”.</w:t>
      </w:r>
    </w:p>
    <w:p w14:paraId="324A34C4" w14:textId="77777777" w:rsidR="00927FBB" w:rsidRPr="009D1618" w:rsidRDefault="00927FBB" w:rsidP="00927FB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mbria" w:hAnsi="Cambria"/>
          <w:sz w:val="20"/>
          <w:szCs w:val="20"/>
          <w:lang w:val="es-CO"/>
        </w:rPr>
      </w:pPr>
    </w:p>
    <w:p w14:paraId="63D71DB7" w14:textId="77777777" w:rsidR="00F41C0D" w:rsidRPr="009D1618" w:rsidRDefault="00614221" w:rsidP="00927FBB">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sz w:val="20"/>
          <w:szCs w:val="20"/>
          <w:lang w:val="es-CO"/>
        </w:rPr>
      </w:pPr>
      <w:r w:rsidRPr="009D1618">
        <w:rPr>
          <w:rFonts w:ascii="Cambria" w:hAnsi="Cambria"/>
          <w:sz w:val="20"/>
          <w:szCs w:val="20"/>
          <w:lang w:val="es-CO"/>
        </w:rPr>
        <w:t xml:space="preserve">Por otra parte en cuanto a las condiciones de detención, la Comisión destaca que </w:t>
      </w:r>
      <w:r w:rsidR="00F41C0D" w:rsidRPr="009D1618">
        <w:rPr>
          <w:rFonts w:ascii="Cambria" w:hAnsi="Cambria"/>
          <w:sz w:val="20"/>
          <w:szCs w:val="20"/>
          <w:lang w:val="es-CO"/>
        </w:rPr>
        <w:t>el peritaje médico mencionado indicó que las presuntas víctimas se encontraban detenida</w:t>
      </w:r>
      <w:r w:rsidR="001A2EE0" w:rsidRPr="009D1618">
        <w:rPr>
          <w:rFonts w:ascii="Cambria" w:hAnsi="Cambria"/>
          <w:sz w:val="20"/>
          <w:szCs w:val="20"/>
          <w:lang w:val="es-CO"/>
        </w:rPr>
        <w:t xml:space="preserve">s en condiciones inadecuadas. Específicamente, </w:t>
      </w:r>
      <w:r w:rsidR="00F41C0D" w:rsidRPr="009D1618">
        <w:rPr>
          <w:rFonts w:ascii="Cambria" w:hAnsi="Cambria"/>
          <w:sz w:val="20"/>
          <w:szCs w:val="20"/>
          <w:lang w:val="es-CO"/>
        </w:rPr>
        <w:t xml:space="preserve">con una ausencia casi total de artículos médicos, a pesar de que dos </w:t>
      </w:r>
      <w:r w:rsidR="00927FBB" w:rsidRPr="009D1618">
        <w:rPr>
          <w:rFonts w:ascii="Cambria" w:hAnsi="Cambria"/>
          <w:sz w:val="20"/>
          <w:szCs w:val="20"/>
          <w:lang w:val="es-CO"/>
        </w:rPr>
        <w:t xml:space="preserve">de ellos </w:t>
      </w:r>
      <w:r w:rsidR="00F41C0D" w:rsidRPr="009D1618">
        <w:rPr>
          <w:rFonts w:ascii="Cambria" w:hAnsi="Cambria"/>
          <w:sz w:val="20"/>
          <w:szCs w:val="20"/>
          <w:lang w:val="es-CO"/>
        </w:rPr>
        <w:t>padecían de diabetes</w:t>
      </w:r>
      <w:r w:rsidR="00927FBB" w:rsidRPr="009D1618">
        <w:rPr>
          <w:rFonts w:ascii="Cambria" w:hAnsi="Cambria"/>
          <w:sz w:val="20"/>
          <w:szCs w:val="20"/>
          <w:lang w:val="es-CO"/>
        </w:rPr>
        <w:t xml:space="preserve">, falleciendo uno de ellos </w:t>
      </w:r>
      <w:r w:rsidR="00F41C0D" w:rsidRPr="009D1618">
        <w:rPr>
          <w:rFonts w:ascii="Cambria" w:hAnsi="Cambria"/>
          <w:sz w:val="20"/>
          <w:szCs w:val="20"/>
          <w:lang w:val="es-CO"/>
        </w:rPr>
        <w:t>de esta enfermedad,</w:t>
      </w:r>
      <w:r w:rsidR="001A2EE0" w:rsidRPr="009D1618">
        <w:rPr>
          <w:rFonts w:ascii="Cambria" w:hAnsi="Cambria"/>
          <w:sz w:val="20"/>
          <w:szCs w:val="20"/>
          <w:lang w:val="es-CO"/>
        </w:rPr>
        <w:t xml:space="preserve"> además del</w:t>
      </w:r>
      <w:r w:rsidR="00F41C0D" w:rsidRPr="009D1618">
        <w:rPr>
          <w:rFonts w:ascii="Cambria" w:hAnsi="Cambria"/>
          <w:sz w:val="20"/>
          <w:szCs w:val="20"/>
          <w:lang w:val="es-CO"/>
        </w:rPr>
        <w:t xml:space="preserve"> acceso sumamente limit</w:t>
      </w:r>
      <w:r w:rsidR="001A2EE0" w:rsidRPr="009D1618">
        <w:rPr>
          <w:rFonts w:ascii="Cambria" w:hAnsi="Cambria"/>
          <w:sz w:val="20"/>
          <w:szCs w:val="20"/>
          <w:lang w:val="es-CO"/>
        </w:rPr>
        <w:t xml:space="preserve">ado a visitas, contacto físico y agua. </w:t>
      </w:r>
    </w:p>
    <w:p w14:paraId="4E9BDF81" w14:textId="77777777" w:rsidR="00F41C0D" w:rsidRPr="009D1618" w:rsidRDefault="00F41C0D" w:rsidP="00126C79">
      <w:pPr>
        <w:rPr>
          <w:rFonts w:ascii="Cambria" w:hAnsi="Cambria"/>
          <w:sz w:val="20"/>
          <w:szCs w:val="20"/>
          <w:lang w:val="es-CO"/>
        </w:rPr>
      </w:pPr>
    </w:p>
    <w:p w14:paraId="4CDA3287" w14:textId="33EC10DE" w:rsidR="00084B8E" w:rsidRPr="009D1618" w:rsidRDefault="00084B8E" w:rsidP="00084B8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s>
        <w:ind w:left="0" w:firstLine="720"/>
        <w:jc w:val="both"/>
        <w:rPr>
          <w:rFonts w:ascii="Cambria" w:hAnsi="Cambria"/>
          <w:i/>
          <w:sz w:val="20"/>
          <w:szCs w:val="20"/>
          <w:lang w:val="es-CO"/>
        </w:rPr>
      </w:pPr>
      <w:r w:rsidRPr="009D1618">
        <w:rPr>
          <w:rFonts w:ascii="Cambria" w:hAnsi="Cambria"/>
          <w:sz w:val="20"/>
          <w:szCs w:val="20"/>
          <w:lang w:val="es-CO"/>
        </w:rPr>
        <w:t>La Comisión considera que el tiempo y circunstancias en que permanecieron en el corredor de la muerte tras la imposición de la pena de muerte en un proceso con múltiples irregularidades, con la expectativa prolongada de que dicha pena pudiera ejecutarse, alcanza la gravedad suficiente como para ser considerado como un trato cruel, inhumano y degradante, por lo que concluye que el Estado guatemalteco violó, en perjuicio de Miguel Ángel Rodríguez Revolorio, Miguel Ángel López Calo y Aníbal Archila Pérez, el derecho a la integridad personal previsto en los artículos 5.1 y 5.2 de la Convención Americana en relación con el artículo 1.1 del mismo instrumento.  Asimismo, el Estado es responsable por l</w:t>
      </w:r>
      <w:r w:rsidR="00B90728" w:rsidRPr="009D1618">
        <w:rPr>
          <w:rFonts w:ascii="Cambria" w:hAnsi="Cambria"/>
          <w:sz w:val="20"/>
          <w:szCs w:val="20"/>
          <w:lang w:val="es-CO"/>
        </w:rPr>
        <w:t xml:space="preserve">a violación de los artículos 1, </w:t>
      </w:r>
      <w:r w:rsidRPr="009D1618">
        <w:rPr>
          <w:rFonts w:ascii="Cambria" w:hAnsi="Cambria"/>
          <w:sz w:val="20"/>
          <w:szCs w:val="20"/>
          <w:lang w:val="es-CO"/>
        </w:rPr>
        <w:t xml:space="preserve"> 6 </w:t>
      </w:r>
      <w:r w:rsidR="00B90728" w:rsidRPr="009D1618">
        <w:rPr>
          <w:rFonts w:ascii="Cambria" w:hAnsi="Cambria"/>
          <w:sz w:val="20"/>
          <w:szCs w:val="20"/>
          <w:lang w:val="es-CO"/>
        </w:rPr>
        <w:t xml:space="preserve">y 8 </w:t>
      </w:r>
      <w:r w:rsidRPr="009D1618">
        <w:rPr>
          <w:rFonts w:ascii="Cambria" w:hAnsi="Cambria"/>
          <w:sz w:val="20"/>
          <w:szCs w:val="20"/>
          <w:lang w:val="es-CO"/>
        </w:rPr>
        <w:t>de la CIPST.</w:t>
      </w:r>
    </w:p>
    <w:p w14:paraId="69D136A3" w14:textId="77777777" w:rsidR="00A46B7B" w:rsidRPr="009D1618" w:rsidRDefault="00A46B7B" w:rsidP="003A2A49">
      <w:pPr>
        <w:rPr>
          <w:rFonts w:ascii="Cambria" w:hAnsi="Cambria"/>
          <w:i/>
          <w:sz w:val="20"/>
          <w:szCs w:val="20"/>
          <w:lang w:val="es-CO"/>
        </w:rPr>
      </w:pPr>
    </w:p>
    <w:p w14:paraId="1A2A0400" w14:textId="77777777" w:rsidR="009E52EE" w:rsidRPr="009D1618" w:rsidRDefault="009E52EE" w:rsidP="009E52EE">
      <w:pPr>
        <w:pStyle w:val="Heading2"/>
        <w:numPr>
          <w:ilvl w:val="2"/>
          <w:numId w:val="66"/>
        </w:numPr>
        <w:ind w:left="1440" w:hanging="720"/>
        <w:rPr>
          <w:rFonts w:ascii="Cambria" w:hAnsi="Cambria"/>
        </w:rPr>
      </w:pPr>
      <w:bookmarkStart w:id="91" w:name="_Toc486584514"/>
      <w:bookmarkStart w:id="92" w:name="_Toc489111561"/>
      <w:r w:rsidRPr="009D1618">
        <w:rPr>
          <w:rFonts w:ascii="Cambria" w:hAnsi="Cambria"/>
        </w:rPr>
        <w:t>Derecho a la vida</w:t>
      </w:r>
      <w:r w:rsidRPr="009D1618">
        <w:rPr>
          <w:rStyle w:val="FootnoteReference"/>
          <w:rFonts w:ascii="Cambria" w:hAnsi="Cambria"/>
          <w:sz w:val="20"/>
          <w:lang w:val="es-CO"/>
        </w:rPr>
        <w:footnoteReference w:id="105"/>
      </w:r>
      <w:r w:rsidRPr="009D1618">
        <w:rPr>
          <w:rFonts w:ascii="Cambria" w:hAnsi="Cambria"/>
        </w:rPr>
        <w:t xml:space="preserve"> por la imposición de la pena de muerte</w:t>
      </w:r>
      <w:bookmarkEnd w:id="91"/>
      <w:bookmarkEnd w:id="92"/>
    </w:p>
    <w:p w14:paraId="58E84658" w14:textId="77777777" w:rsidR="009E52EE" w:rsidRPr="009D1618" w:rsidRDefault="009E52EE" w:rsidP="009E52EE">
      <w:pPr>
        <w:rPr>
          <w:rFonts w:ascii="Cambria" w:hAnsi="Cambria"/>
          <w:sz w:val="20"/>
          <w:szCs w:val="20"/>
          <w:lang w:val="es-CO"/>
        </w:rPr>
      </w:pPr>
    </w:p>
    <w:p w14:paraId="61DF8FB5" w14:textId="77777777" w:rsidR="009E52EE" w:rsidRPr="009D1618" w:rsidRDefault="009E52EE" w:rsidP="009E52EE">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9D1618">
        <w:rPr>
          <w:sz w:val="20"/>
          <w:szCs w:val="20"/>
          <w:lang w:val="es-VE"/>
        </w:rPr>
        <w:lastRenderedPageBreak/>
        <w:t xml:space="preserve">Tanto la Corte como la Comisión Interamericana han indicado que la imposición de la pena de muerte debe ceñirse a lo dispuesto en el artículo 4.2 de la Convención Americana, es decir que únicamente puede imponerse para los </w:t>
      </w:r>
      <w:r w:rsidRPr="009D1618">
        <w:rPr>
          <w:sz w:val="20"/>
          <w:szCs w:val="20"/>
          <w:lang w:val="es-CL"/>
        </w:rPr>
        <w:t>delitos</w:t>
      </w:r>
      <w:r w:rsidRPr="009D1618">
        <w:rPr>
          <w:sz w:val="20"/>
          <w:szCs w:val="20"/>
          <w:lang w:val="es-VE"/>
        </w:rPr>
        <w:t xml:space="preserve"> más graves</w:t>
      </w:r>
      <w:r w:rsidRPr="009D1618">
        <w:rPr>
          <w:rStyle w:val="FootnoteReference"/>
          <w:rFonts w:ascii="Cambria" w:hAnsi="Cambria"/>
          <w:sz w:val="20"/>
          <w:szCs w:val="20"/>
          <w:lang w:val="es-VE"/>
        </w:rPr>
        <w:footnoteReference w:id="106"/>
      </w:r>
      <w:r w:rsidRPr="009D1618">
        <w:rPr>
          <w:sz w:val="20"/>
          <w:szCs w:val="20"/>
          <w:lang w:val="es-VE"/>
        </w:rPr>
        <w:t xml:space="preserve"> y no puede extenderse su uso al futuro para delitos para los cuales no estaba prevista en el momento de ratificación de la Convención Americana</w:t>
      </w:r>
      <w:r w:rsidRPr="009D1618">
        <w:rPr>
          <w:rStyle w:val="FootnoteReference"/>
          <w:rFonts w:ascii="Cambria" w:hAnsi="Cambria"/>
          <w:sz w:val="20"/>
          <w:szCs w:val="20"/>
          <w:lang w:val="es-VE"/>
        </w:rPr>
        <w:footnoteReference w:id="107"/>
      </w:r>
      <w:r w:rsidRPr="009D1618">
        <w:rPr>
          <w:sz w:val="20"/>
          <w:szCs w:val="20"/>
          <w:lang w:val="es-VE"/>
        </w:rPr>
        <w:t>. Asimismo, del propio texto y de la interpretación que del mismo ha realizado la CIDH, resulta que la imposición de la pena de muerte en el marco de procesos que vulneren el debido proceso produce una violación del artículo 4.2 de la Convención Americana</w:t>
      </w:r>
      <w:r w:rsidRPr="009D1618">
        <w:rPr>
          <w:rStyle w:val="FootnoteReference"/>
          <w:rFonts w:ascii="Cambria" w:hAnsi="Cambria"/>
          <w:sz w:val="20"/>
          <w:szCs w:val="20"/>
          <w:lang w:val="es-VE"/>
        </w:rPr>
        <w:footnoteReference w:id="108"/>
      </w:r>
      <w:r w:rsidRPr="009D1618">
        <w:rPr>
          <w:sz w:val="20"/>
          <w:szCs w:val="20"/>
          <w:lang w:val="es-VE"/>
        </w:rPr>
        <w:t xml:space="preserve">. </w:t>
      </w:r>
    </w:p>
    <w:p w14:paraId="5899089D" w14:textId="77777777" w:rsidR="009E52EE" w:rsidRPr="009D1618" w:rsidRDefault="009E52EE" w:rsidP="009E52EE">
      <w:pPr>
        <w:tabs>
          <w:tab w:val="left" w:pos="1440"/>
        </w:tabs>
        <w:ind w:left="720"/>
        <w:jc w:val="both"/>
        <w:rPr>
          <w:rFonts w:ascii="Cambria" w:hAnsi="Cambria"/>
          <w:sz w:val="20"/>
          <w:szCs w:val="20"/>
          <w:lang w:val="es-VE"/>
        </w:rPr>
      </w:pPr>
    </w:p>
    <w:p w14:paraId="01EC6487" w14:textId="77777777" w:rsidR="000E33FD" w:rsidRPr="009D1618" w:rsidRDefault="009E52EE" w:rsidP="000E33FD">
      <w:pPr>
        <w:pStyle w:val="ListParagraph"/>
        <w:numPr>
          <w:ilvl w:val="0"/>
          <w:numId w:val="58"/>
        </w:numPr>
        <w:shd w:val="clear" w:color="auto" w:fill="FFFFFF"/>
        <w:tabs>
          <w:tab w:val="clear" w:pos="1080"/>
          <w:tab w:val="num" w:pos="1440"/>
          <w:tab w:val="num" w:pos="1800"/>
          <w:tab w:val="num" w:pos="2040"/>
        </w:tabs>
        <w:ind w:left="0" w:firstLine="720"/>
        <w:jc w:val="both"/>
        <w:rPr>
          <w:sz w:val="20"/>
          <w:szCs w:val="20"/>
          <w:lang w:val="es-CL"/>
        </w:rPr>
      </w:pPr>
      <w:r w:rsidRPr="009D1618">
        <w:rPr>
          <w:sz w:val="20"/>
          <w:szCs w:val="20"/>
          <w:lang w:val="es-CL"/>
        </w:rPr>
        <w:t xml:space="preserve">La Comisión ya estableció en el presente informe que en el proceso que culminó con la imposición de la pena de muerte a </w:t>
      </w:r>
      <w:r w:rsidRPr="009D1618">
        <w:rPr>
          <w:sz w:val="20"/>
          <w:szCs w:val="20"/>
          <w:lang w:val="es-CO"/>
        </w:rPr>
        <w:t>Miguel Ángel Rodríguez Revolorio, Miguel Ángel López Calo y Aníbal Archila Pérez</w:t>
      </w:r>
      <w:r w:rsidRPr="009D1618">
        <w:rPr>
          <w:sz w:val="20"/>
          <w:szCs w:val="20"/>
          <w:lang w:val="es-CL"/>
        </w:rPr>
        <w:t xml:space="preserve"> se violaron múltiples garantías de debido proceso, el principio de legalidad y el derecho a la protección judicial. En virtud de lo anterior, la Comisión concluye que la imposición de la pena de muerte a las víctimas fue arbitraria, en violación de los artículos 4.1 y 4.2 de dicho instrumento, en relación con las obligaciones establecidas en los artículos 1.1 y 2 del mismo</w:t>
      </w:r>
      <w:r w:rsidR="006D5646" w:rsidRPr="009D1618">
        <w:rPr>
          <w:sz w:val="20"/>
          <w:szCs w:val="20"/>
          <w:lang w:val="es-CL"/>
        </w:rPr>
        <w:t xml:space="preserve"> instrumento</w:t>
      </w:r>
      <w:r w:rsidRPr="009D1618">
        <w:rPr>
          <w:sz w:val="20"/>
          <w:szCs w:val="20"/>
          <w:lang w:val="es-CL"/>
        </w:rPr>
        <w:t xml:space="preserve">.  </w:t>
      </w:r>
      <w:r w:rsidR="000E33FD" w:rsidRPr="009D1618">
        <w:rPr>
          <w:sz w:val="20"/>
          <w:szCs w:val="20"/>
          <w:lang w:val="es-CL"/>
        </w:rPr>
        <w:t xml:space="preserve">La conmutación </w:t>
      </w:r>
      <w:r w:rsidR="00056C7F" w:rsidRPr="009D1618">
        <w:rPr>
          <w:sz w:val="20"/>
          <w:szCs w:val="20"/>
          <w:lang w:val="es-CL"/>
        </w:rPr>
        <w:t>posterior de la pena</w:t>
      </w:r>
      <w:r w:rsidR="006D6496" w:rsidRPr="009D1618">
        <w:rPr>
          <w:sz w:val="20"/>
          <w:szCs w:val="20"/>
          <w:lang w:val="es-CL"/>
        </w:rPr>
        <w:t>, 15 años después de impuesta,</w:t>
      </w:r>
      <w:r w:rsidR="00056C7F" w:rsidRPr="009D1618">
        <w:rPr>
          <w:sz w:val="20"/>
          <w:szCs w:val="20"/>
          <w:lang w:val="es-CL"/>
        </w:rPr>
        <w:t xml:space="preserve"> </w:t>
      </w:r>
      <w:r w:rsidR="009D5F47" w:rsidRPr="009D1618">
        <w:rPr>
          <w:sz w:val="20"/>
          <w:szCs w:val="20"/>
          <w:lang w:val="es-CL"/>
        </w:rPr>
        <w:t xml:space="preserve">será tomada en cuenta en la formulación de las recomendaciones. </w:t>
      </w:r>
    </w:p>
    <w:p w14:paraId="64D93B53" w14:textId="77777777" w:rsidR="009E52EE" w:rsidRPr="009D1618" w:rsidRDefault="009E52EE" w:rsidP="00EC25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lang w:val="es-VE"/>
        </w:rPr>
      </w:pPr>
    </w:p>
    <w:p w14:paraId="7CC5C667" w14:textId="77777777" w:rsidR="00325632" w:rsidRPr="009D1618" w:rsidRDefault="00325632" w:rsidP="00325632">
      <w:pPr>
        <w:pStyle w:val="Heading1"/>
        <w:numPr>
          <w:ilvl w:val="0"/>
          <w:numId w:val="55"/>
        </w:numPr>
        <w:tabs>
          <w:tab w:val="clear" w:pos="1440"/>
        </w:tabs>
        <w:rPr>
          <w:rFonts w:ascii="Cambria" w:hAnsi="Cambria"/>
        </w:rPr>
      </w:pPr>
      <w:bookmarkStart w:id="93" w:name="_Toc482785407"/>
      <w:bookmarkStart w:id="94" w:name="_Toc482894114"/>
      <w:bookmarkStart w:id="95" w:name="_Toc489111562"/>
      <w:r w:rsidRPr="009D1618">
        <w:rPr>
          <w:rFonts w:ascii="Cambria" w:hAnsi="Cambria"/>
        </w:rPr>
        <w:t>CONCLUSIONES</w:t>
      </w:r>
      <w:bookmarkEnd w:id="93"/>
      <w:bookmarkEnd w:id="94"/>
      <w:bookmarkEnd w:id="95"/>
    </w:p>
    <w:p w14:paraId="4A5959CC" w14:textId="77777777" w:rsidR="00325632" w:rsidRPr="009D1618" w:rsidRDefault="00325632" w:rsidP="00325632">
      <w:pPr>
        <w:rPr>
          <w:rFonts w:ascii="Cambria" w:hAnsi="Cambria"/>
          <w:sz w:val="20"/>
          <w:szCs w:val="20"/>
          <w:lang w:val="es-ES_tradnl"/>
        </w:rPr>
      </w:pPr>
    </w:p>
    <w:p w14:paraId="60D6D507" w14:textId="3E9918F1" w:rsidR="005E32C2" w:rsidRPr="009D1618" w:rsidRDefault="005E32C2" w:rsidP="000F3FA8">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Cambria" w:hAnsi="Cambria"/>
          <w:sz w:val="20"/>
          <w:szCs w:val="20"/>
          <w:lang w:val="es-ES_tradnl"/>
        </w:rPr>
      </w:pPr>
      <w:r w:rsidRPr="009D1618">
        <w:rPr>
          <w:rFonts w:ascii="Cambria" w:hAnsi="Cambria" w:cs="Arial"/>
          <w:sz w:val="20"/>
          <w:szCs w:val="20"/>
          <w:lang w:val="es-ES"/>
        </w:rPr>
        <w:t xml:space="preserve">Tras analizar las posiciones de las partes, la Comisión Interamericana concluyó que el Estado guatemalteco es responsable por la violación de los derechos a la vida, a la integridad personal, el principio de legalidad, a las garantías judiciales y a la protección judicial establecidos en los artículos 4.1, 4.2, </w:t>
      </w:r>
      <w:r w:rsidR="00B90728" w:rsidRPr="009D1618">
        <w:rPr>
          <w:rFonts w:ascii="Cambria" w:hAnsi="Cambria" w:cs="Arial"/>
          <w:sz w:val="20"/>
          <w:szCs w:val="20"/>
          <w:lang w:val="es-ES"/>
        </w:rPr>
        <w:t xml:space="preserve">5, </w:t>
      </w:r>
      <w:r w:rsidRPr="009D1618">
        <w:rPr>
          <w:rFonts w:ascii="Cambria" w:hAnsi="Cambria" w:cs="Arial"/>
          <w:sz w:val="20"/>
          <w:szCs w:val="20"/>
          <w:lang w:val="es-ES"/>
        </w:rPr>
        <w:t>8.1, 8.2 c), 8.2 h), 9 y 25.1 de la Convención Americana</w:t>
      </w:r>
      <w:r w:rsidR="00EE07F7" w:rsidRPr="009D1618">
        <w:rPr>
          <w:rFonts w:ascii="Cambria" w:hAnsi="Cambria" w:cs="Arial"/>
          <w:sz w:val="20"/>
          <w:szCs w:val="20"/>
          <w:lang w:val="es-ES"/>
        </w:rPr>
        <w:t>,</w:t>
      </w:r>
      <w:r w:rsidRPr="009D1618">
        <w:rPr>
          <w:rFonts w:ascii="Cambria" w:hAnsi="Cambria" w:cs="Arial"/>
          <w:sz w:val="20"/>
          <w:szCs w:val="20"/>
          <w:lang w:val="es-ES"/>
        </w:rPr>
        <w:t xml:space="preserve"> </w:t>
      </w:r>
      <w:r w:rsidRPr="009D1618">
        <w:rPr>
          <w:rFonts w:ascii="Cambria" w:eastAsia="Times New Roman" w:hAnsi="Cambria"/>
          <w:sz w:val="20"/>
          <w:szCs w:val="20"/>
          <w:bdr w:val="none" w:sz="0" w:space="0" w:color="auto"/>
          <w:lang w:val="es-AR"/>
        </w:rPr>
        <w:t xml:space="preserve">en relación con los artículos 1.1 y 2 del mismo instrumento, en perjuicio de </w:t>
      </w:r>
      <w:r w:rsidR="00EE07F7" w:rsidRPr="009D1618">
        <w:rPr>
          <w:rFonts w:ascii="Cambria" w:eastAsia="Times New Roman" w:hAnsi="Cambria"/>
          <w:sz w:val="20"/>
          <w:szCs w:val="20"/>
          <w:bdr w:val="none" w:sz="0" w:space="0" w:color="auto"/>
          <w:lang w:val="es-AR"/>
        </w:rPr>
        <w:t xml:space="preserve">Miguel </w:t>
      </w:r>
      <w:r w:rsidRPr="009D1618">
        <w:rPr>
          <w:rFonts w:ascii="Cambria" w:eastAsia="Times New Roman" w:hAnsi="Cambria"/>
          <w:sz w:val="20"/>
          <w:szCs w:val="20"/>
          <w:bdr w:val="none" w:sz="0" w:space="0" w:color="auto"/>
          <w:lang w:val="es-AR"/>
        </w:rPr>
        <w:t>Ángel Rodríguez Revolorio, Miguel Ángel López Calo y Aníbal Archila Pérez. Asimismo, el Estado incumplió las obligaciones e</w:t>
      </w:r>
      <w:r w:rsidR="00B90728" w:rsidRPr="009D1618">
        <w:rPr>
          <w:rFonts w:ascii="Cambria" w:eastAsia="Times New Roman" w:hAnsi="Cambria"/>
          <w:sz w:val="20"/>
          <w:szCs w:val="20"/>
          <w:bdr w:val="none" w:sz="0" w:space="0" w:color="auto"/>
          <w:lang w:val="es-AR"/>
        </w:rPr>
        <w:t>stablecidas en los artículos 1,</w:t>
      </w:r>
      <w:r w:rsidRPr="009D1618">
        <w:rPr>
          <w:rFonts w:ascii="Cambria" w:eastAsia="Times New Roman" w:hAnsi="Cambria"/>
          <w:sz w:val="20"/>
          <w:szCs w:val="20"/>
          <w:bdr w:val="none" w:sz="0" w:space="0" w:color="auto"/>
          <w:lang w:val="es-AR"/>
        </w:rPr>
        <w:t xml:space="preserve"> 6 </w:t>
      </w:r>
      <w:r w:rsidR="00B90728" w:rsidRPr="009D1618">
        <w:rPr>
          <w:rFonts w:ascii="Cambria" w:eastAsia="Times New Roman" w:hAnsi="Cambria"/>
          <w:sz w:val="20"/>
          <w:szCs w:val="20"/>
          <w:bdr w:val="none" w:sz="0" w:space="0" w:color="auto"/>
          <w:lang w:val="es-AR"/>
        </w:rPr>
        <w:t xml:space="preserve"> y 8 </w:t>
      </w:r>
      <w:r w:rsidRPr="009D1618">
        <w:rPr>
          <w:rFonts w:ascii="Cambria" w:eastAsia="Times New Roman" w:hAnsi="Cambria"/>
          <w:sz w:val="20"/>
          <w:szCs w:val="20"/>
          <w:bdr w:val="none" w:sz="0" w:space="0" w:color="auto"/>
          <w:lang w:val="es-AR"/>
        </w:rPr>
        <w:t>de la Convención Interamericana para Prevenir y Sancionar la Tortura.</w:t>
      </w:r>
    </w:p>
    <w:p w14:paraId="2CB7594B" w14:textId="77777777" w:rsidR="000F5F25" w:rsidRPr="009D1618" w:rsidRDefault="000F5F25" w:rsidP="000F5F2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ES_tradnl"/>
        </w:rPr>
      </w:pPr>
    </w:p>
    <w:p w14:paraId="10E94D5E" w14:textId="77777777" w:rsidR="00325632" w:rsidRPr="009D1618" w:rsidRDefault="00325632" w:rsidP="00325632">
      <w:pPr>
        <w:pStyle w:val="Heading1"/>
        <w:numPr>
          <w:ilvl w:val="0"/>
          <w:numId w:val="55"/>
        </w:numPr>
        <w:tabs>
          <w:tab w:val="clear" w:pos="1440"/>
        </w:tabs>
        <w:rPr>
          <w:rFonts w:ascii="Cambria" w:hAnsi="Cambria"/>
        </w:rPr>
      </w:pPr>
      <w:bookmarkStart w:id="96" w:name="_Toc482785408"/>
      <w:bookmarkStart w:id="97" w:name="_Toc482894115"/>
      <w:bookmarkStart w:id="98" w:name="_Toc489111563"/>
      <w:r w:rsidRPr="009D1618">
        <w:rPr>
          <w:rFonts w:ascii="Cambria" w:hAnsi="Cambria"/>
        </w:rPr>
        <w:t>RECOMENDACIONES</w:t>
      </w:r>
      <w:bookmarkEnd w:id="96"/>
      <w:bookmarkEnd w:id="97"/>
      <w:bookmarkEnd w:id="98"/>
      <w:r w:rsidRPr="009D1618">
        <w:rPr>
          <w:rFonts w:ascii="Cambria" w:hAnsi="Cambria"/>
        </w:rPr>
        <w:t xml:space="preserve"> </w:t>
      </w:r>
    </w:p>
    <w:p w14:paraId="6149CEB0" w14:textId="77777777" w:rsidR="00325632" w:rsidRPr="009D1618" w:rsidRDefault="00B441DE" w:rsidP="00B441DE">
      <w:pPr>
        <w:pBdr>
          <w:top w:val="none" w:sz="0" w:space="0" w:color="auto"/>
          <w:left w:val="none" w:sz="0" w:space="0" w:color="auto"/>
          <w:bottom w:val="none" w:sz="0" w:space="0" w:color="auto"/>
          <w:right w:val="none" w:sz="0" w:space="0" w:color="auto"/>
          <w:between w:val="none" w:sz="0" w:space="0" w:color="auto"/>
          <w:bar w:val="none" w:sz="0" w:color="auto"/>
        </w:pBdr>
        <w:tabs>
          <w:tab w:val="left" w:pos="2820"/>
        </w:tabs>
        <w:jc w:val="both"/>
        <w:rPr>
          <w:rFonts w:ascii="Cambria" w:eastAsia="Times New Roman" w:hAnsi="Cambria" w:cs="Courier New"/>
          <w:color w:val="212121"/>
          <w:sz w:val="20"/>
          <w:szCs w:val="20"/>
          <w:bdr w:val="none" w:sz="0" w:space="0" w:color="auto"/>
          <w:lang w:val="es-ES"/>
        </w:rPr>
      </w:pPr>
      <w:r w:rsidRPr="009D1618">
        <w:rPr>
          <w:rFonts w:ascii="Cambria" w:eastAsia="Times New Roman" w:hAnsi="Cambria" w:cs="Courier New"/>
          <w:color w:val="212121"/>
          <w:sz w:val="20"/>
          <w:szCs w:val="20"/>
          <w:bdr w:val="none" w:sz="0" w:space="0" w:color="auto"/>
          <w:lang w:val="es-ES"/>
        </w:rPr>
        <w:tab/>
      </w:r>
    </w:p>
    <w:p w14:paraId="678B10F9" w14:textId="77777777" w:rsidR="00325632" w:rsidRPr="009D1618" w:rsidRDefault="00325632" w:rsidP="00B441D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Cambria" w:eastAsia="Times New Roman" w:hAnsi="Cambria" w:cs="Courier New"/>
          <w:color w:val="212121"/>
          <w:sz w:val="20"/>
          <w:szCs w:val="20"/>
          <w:bdr w:val="none" w:sz="0" w:space="0" w:color="auto"/>
          <w:lang w:val="es-ES"/>
        </w:rPr>
      </w:pPr>
      <w:r w:rsidRPr="009D1618">
        <w:rPr>
          <w:rFonts w:ascii="Cambria" w:hAnsi="Cambria"/>
          <w:sz w:val="20"/>
          <w:szCs w:val="20"/>
          <w:lang w:val="es-MX"/>
        </w:rPr>
        <w:t>Con fundamento en las anteriores conclusiones,</w:t>
      </w:r>
    </w:p>
    <w:p w14:paraId="5D1714E5" w14:textId="77777777" w:rsidR="00325632" w:rsidRPr="009D1618" w:rsidRDefault="00325632" w:rsidP="0032563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lang w:val="es-ES"/>
        </w:rPr>
      </w:pPr>
    </w:p>
    <w:p w14:paraId="5989795F" w14:textId="77777777" w:rsidR="00325632" w:rsidRPr="009D1618" w:rsidRDefault="00325632" w:rsidP="003256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left="720"/>
        <w:jc w:val="both"/>
        <w:rPr>
          <w:rFonts w:ascii="Cambria" w:hAnsi="Cambria"/>
          <w:sz w:val="20"/>
          <w:szCs w:val="20"/>
          <w:lang w:val="es-MX"/>
        </w:rPr>
      </w:pPr>
      <w:r w:rsidRPr="009D1618">
        <w:rPr>
          <w:rFonts w:ascii="Cambria" w:hAnsi="Cambria"/>
          <w:b/>
          <w:sz w:val="20"/>
          <w:szCs w:val="20"/>
          <w:lang w:val="es-ES"/>
        </w:rPr>
        <w:t>LA COMISIÓN INTERAMERICANA DE DERECHOS HUMANOS RECOMIENDA AL ESTADO GUATEMALTECO,</w:t>
      </w:r>
    </w:p>
    <w:p w14:paraId="0A0205BC" w14:textId="77777777" w:rsidR="00402369" w:rsidRPr="009D1618" w:rsidRDefault="00402369" w:rsidP="00EE07F7">
      <w:pPr>
        <w:pStyle w:val="BodyText3"/>
        <w:tabs>
          <w:tab w:val="left" w:pos="720"/>
        </w:tabs>
        <w:spacing w:after="0"/>
        <w:ind w:right="720"/>
        <w:jc w:val="both"/>
        <w:rPr>
          <w:rFonts w:ascii="Cambria" w:hAnsi="Cambria"/>
          <w:sz w:val="20"/>
          <w:szCs w:val="20"/>
          <w:lang w:val="es-VE"/>
        </w:rPr>
      </w:pPr>
    </w:p>
    <w:p w14:paraId="0AA2B712" w14:textId="77777777" w:rsidR="00421E2B" w:rsidRPr="009D1618" w:rsidRDefault="00421E2B" w:rsidP="00421E2B">
      <w:pPr>
        <w:pStyle w:val="BodyText3"/>
        <w:numPr>
          <w:ilvl w:val="0"/>
          <w:numId w:val="85"/>
        </w:numPr>
        <w:tabs>
          <w:tab w:val="clear" w:pos="1860"/>
          <w:tab w:val="left" w:pos="720"/>
          <w:tab w:val="num" w:pos="1440"/>
        </w:tabs>
        <w:spacing w:after="0"/>
        <w:ind w:left="0" w:firstLine="720"/>
        <w:jc w:val="both"/>
        <w:rPr>
          <w:rFonts w:ascii="Cambria" w:hAnsi="Cambria"/>
          <w:sz w:val="20"/>
          <w:szCs w:val="20"/>
          <w:lang w:val="es-VE"/>
        </w:rPr>
      </w:pPr>
      <w:r w:rsidRPr="009D1618">
        <w:rPr>
          <w:rFonts w:ascii="Cambria" w:hAnsi="Cambria"/>
          <w:sz w:val="20"/>
          <w:szCs w:val="20"/>
          <w:lang w:val="es-VE"/>
        </w:rPr>
        <w:t xml:space="preserve">Reparar integralmente las violaciones de derechos humanos declaradas en el presente informe tanto en el aspecto material como inmaterial. Las medidas de reparación deberán incluir una justa compensación así como medidas de satisfacción y rehabilitación a favor de </w:t>
      </w:r>
      <w:r w:rsidRPr="009D1618">
        <w:rPr>
          <w:rFonts w:ascii="Cambria" w:hAnsi="Cambria"/>
          <w:sz w:val="20"/>
          <w:szCs w:val="20"/>
          <w:lang w:val="es-AR"/>
        </w:rPr>
        <w:t>Miguel Ángel Rodríguez Revolorio y Miguel Ángel López Calo; y en</w:t>
      </w:r>
      <w:r w:rsidRPr="009D1618">
        <w:rPr>
          <w:rFonts w:ascii="Cambria" w:hAnsi="Cambria"/>
          <w:sz w:val="20"/>
          <w:szCs w:val="20"/>
          <w:lang w:val="es-VE"/>
        </w:rPr>
        <w:t xml:space="preserve"> consulta con los familiares de </w:t>
      </w:r>
      <w:r w:rsidRPr="009D1618">
        <w:rPr>
          <w:rFonts w:ascii="Cambria" w:hAnsi="Cambria"/>
          <w:sz w:val="20"/>
          <w:szCs w:val="20"/>
          <w:lang w:val="es-AR"/>
        </w:rPr>
        <w:t>Aníbal Archila Pérez.</w:t>
      </w:r>
      <w:r w:rsidRPr="009D1618">
        <w:rPr>
          <w:rFonts w:ascii="Cambria" w:hAnsi="Cambria"/>
          <w:sz w:val="20"/>
          <w:szCs w:val="20"/>
          <w:lang w:val="es-VE"/>
        </w:rPr>
        <w:t xml:space="preserve"> En su caso particular, y si una vez agotados todos los esfuerzos posibles no se logre ubicar a sus familiares, la CIDH recomienda que el componente pecuniario de la reparación sea aportado al Fondo de Asistencia Legal. </w:t>
      </w:r>
    </w:p>
    <w:p w14:paraId="1F55E2BE" w14:textId="77777777" w:rsidR="00421E2B" w:rsidRPr="009D1618" w:rsidRDefault="00421E2B" w:rsidP="00421E2B">
      <w:pPr>
        <w:pStyle w:val="BodyText3"/>
        <w:tabs>
          <w:tab w:val="left" w:pos="720"/>
        </w:tabs>
        <w:spacing w:after="0"/>
        <w:ind w:left="720"/>
        <w:jc w:val="both"/>
        <w:rPr>
          <w:rFonts w:ascii="Cambria" w:hAnsi="Cambria"/>
          <w:sz w:val="20"/>
          <w:szCs w:val="20"/>
          <w:lang w:val="es-VE"/>
        </w:rPr>
      </w:pPr>
    </w:p>
    <w:p w14:paraId="5DECF873" w14:textId="404880BD" w:rsidR="000A14BC" w:rsidRPr="009D1618" w:rsidRDefault="00421E2B" w:rsidP="00E040FF">
      <w:pPr>
        <w:pStyle w:val="BodyText3"/>
        <w:numPr>
          <w:ilvl w:val="0"/>
          <w:numId w:val="85"/>
        </w:numPr>
        <w:tabs>
          <w:tab w:val="clear" w:pos="1860"/>
          <w:tab w:val="left" w:pos="720"/>
          <w:tab w:val="num" w:pos="1440"/>
        </w:tabs>
        <w:spacing w:after="0"/>
        <w:ind w:left="0" w:firstLine="720"/>
        <w:jc w:val="both"/>
        <w:rPr>
          <w:rFonts w:ascii="Cambria" w:hAnsi="Cambria"/>
          <w:sz w:val="20"/>
          <w:szCs w:val="20"/>
          <w:lang w:val="es-VE"/>
        </w:rPr>
      </w:pPr>
      <w:r w:rsidRPr="009D1618">
        <w:rPr>
          <w:rFonts w:ascii="Cambria" w:hAnsi="Cambria"/>
          <w:sz w:val="20"/>
          <w:szCs w:val="20"/>
          <w:lang w:val="es-VE"/>
        </w:rPr>
        <w:t>En el caso de Miguel Ángel Rodriguez Revolorio y Miguel Ángel López Calo, disponer las medidas necesarias para que se deje sin efecto la sentencia condenatoria y se efectúe un nuevo proceso en el que se respeten las garantías del debido proceso cuya violación fue declarada en el presente informe. De ser el caso y si conforme al resultado de dicho proceso, las víctimas resultan absueltas, el Estado deberá po</w:t>
      </w:r>
      <w:r w:rsidR="00EF3260">
        <w:rPr>
          <w:rFonts w:ascii="Cambria" w:hAnsi="Cambria"/>
          <w:sz w:val="20"/>
          <w:szCs w:val="20"/>
          <w:lang w:val="es-VE"/>
        </w:rPr>
        <w:t>nerlos en libertad, eliminar los</w:t>
      </w:r>
      <w:r w:rsidRPr="009D1618">
        <w:rPr>
          <w:rFonts w:ascii="Cambria" w:hAnsi="Cambria"/>
          <w:sz w:val="20"/>
          <w:szCs w:val="20"/>
          <w:lang w:val="es-VE"/>
        </w:rPr>
        <w:t xml:space="preserve"> antecedentes penales de las víctimas y cualquier otro efecto de la condena.</w:t>
      </w:r>
    </w:p>
    <w:p w14:paraId="1F1C92BF" w14:textId="77777777" w:rsidR="00E040FF" w:rsidRPr="009D1618" w:rsidRDefault="00E040FF" w:rsidP="00E718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040"/>
        </w:tabs>
        <w:jc w:val="both"/>
        <w:rPr>
          <w:rFonts w:ascii="Cambria" w:eastAsia="Times New Roman" w:hAnsi="Cambria"/>
          <w:sz w:val="20"/>
          <w:szCs w:val="20"/>
          <w:lang w:val="es-VE"/>
        </w:rPr>
      </w:pPr>
    </w:p>
    <w:p w14:paraId="0E1121E9" w14:textId="77777777" w:rsidR="00E040FF" w:rsidRPr="009D1618" w:rsidRDefault="00E040FF" w:rsidP="00E040FF">
      <w:pPr>
        <w:pStyle w:val="BodyText3"/>
        <w:numPr>
          <w:ilvl w:val="0"/>
          <w:numId w:val="85"/>
        </w:numPr>
        <w:tabs>
          <w:tab w:val="clear" w:pos="1860"/>
          <w:tab w:val="num" w:pos="0"/>
          <w:tab w:val="left" w:pos="720"/>
          <w:tab w:val="left" w:pos="1440"/>
          <w:tab w:val="left" w:pos="9360"/>
        </w:tabs>
        <w:spacing w:after="0"/>
        <w:ind w:left="0" w:firstLine="720"/>
        <w:jc w:val="both"/>
        <w:rPr>
          <w:rFonts w:ascii="Cambria" w:hAnsi="Cambria"/>
          <w:sz w:val="20"/>
          <w:szCs w:val="20"/>
          <w:lang w:val="es-VE"/>
        </w:rPr>
      </w:pPr>
      <w:r w:rsidRPr="009D1618">
        <w:rPr>
          <w:rFonts w:ascii="Cambria" w:hAnsi="Cambria"/>
          <w:sz w:val="20"/>
          <w:szCs w:val="20"/>
          <w:lang w:val="es-VE"/>
        </w:rPr>
        <w:lastRenderedPageBreak/>
        <w:t>En cuanto a la pena de muerte, la Comisión toma nota y valora positivamente que desde hace 17 años la pena de muerte no ha sido impuesta por las autoridades judiciales y que también se ha dispuesto la conmutación de la pena desde hace más de una década frente a personas ya condenadas. Asimismo, la Comisión toma nota y valora positivamente que el Poder Ejecutivo durante años hubiese adoptado medidas para evitar la reactivación de la pena de muerte en Guatemala. En ese sentido, la Comisión observa que como consecuencia de acciones tanto del Poder Ejecutivo como del Poder Judicial, han pasado 17 años sin imposición ni ejecución de la pena de muerte en Guatemala. La Comisión entiende que, en la práctica, el Estado guatemalteco ha avanzado en una tendencia hacia la abolición de la pena de muerte, lo que resulta consistente con el espíritu de la Convención Americana en la materia. Por lo anterior, tomando en cuenta la práctica de ya casi dos décadas, y lo indicado por la CIDH en su Informe “La Pena de muerte en el Sistema Interamericano de Derechos Humanos: de restricciones a abolición” respecto a que los Estados miembros de la OEA deben eliminar gradualmente la pena de muerte, la Comisión recomienda al Estado de Guatemala adoptar las medidas necesarias para que la legislación interna sea consistente con dicha práctica y así continuar en el camino hacia la abolición de la pena de muerte.</w:t>
      </w:r>
    </w:p>
    <w:p w14:paraId="210EFBFA" w14:textId="77777777" w:rsidR="00BD2651" w:rsidRDefault="00BD2651" w:rsidP="00E718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040"/>
        </w:tabs>
        <w:jc w:val="both"/>
        <w:rPr>
          <w:rFonts w:ascii="Cambria" w:eastAsia="Times New Roman" w:hAnsi="Cambria"/>
          <w:sz w:val="20"/>
          <w:szCs w:val="20"/>
          <w:lang w:val="es-VE"/>
        </w:rPr>
      </w:pPr>
    </w:p>
    <w:p w14:paraId="1E508F52" w14:textId="77777777" w:rsidR="001D6D41" w:rsidRPr="00A37B82" w:rsidRDefault="001D6D41" w:rsidP="001D6D4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México, México</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cinco</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w:t>
      </w:r>
    </w:p>
    <w:p w14:paraId="1397053F"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p w14:paraId="23B10E2A"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p w14:paraId="5A7937A6"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p w14:paraId="7758C5B3"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p w14:paraId="23A56189"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tbl>
      <w:tblPr>
        <w:tblW w:w="0" w:type="auto"/>
        <w:jc w:val="center"/>
        <w:tblLook w:val="01E0" w:firstRow="1" w:lastRow="1" w:firstColumn="1" w:lastColumn="1" w:noHBand="0" w:noVBand="0"/>
      </w:tblPr>
      <w:tblGrid>
        <w:gridCol w:w="4788"/>
        <w:gridCol w:w="4788"/>
      </w:tblGrid>
      <w:tr w:rsidR="001D6D41" w:rsidRPr="00943D2A" w14:paraId="16E26B59" w14:textId="77777777" w:rsidTr="001D6D41">
        <w:trPr>
          <w:trHeight w:val="1197"/>
          <w:jc w:val="center"/>
        </w:trPr>
        <w:tc>
          <w:tcPr>
            <w:tcW w:w="9576" w:type="dxa"/>
            <w:gridSpan w:val="2"/>
            <w:shd w:val="clear" w:color="auto" w:fill="auto"/>
          </w:tcPr>
          <w:p w14:paraId="1A9B81D7" w14:textId="77777777" w:rsidR="001D6D41" w:rsidRPr="00943D2A" w:rsidRDefault="001D6D41" w:rsidP="00E632F7">
            <w:pPr>
              <w:suppressAutoHyphens/>
              <w:jc w:val="center"/>
              <w:rPr>
                <w:rFonts w:asciiTheme="majorHAnsi" w:hAnsiTheme="majorHAnsi"/>
                <w:spacing w:val="-2"/>
                <w:sz w:val="20"/>
                <w:szCs w:val="20"/>
                <w:lang w:val="fr-CA"/>
              </w:rPr>
            </w:pPr>
            <w:r>
              <w:rPr>
                <w:rFonts w:asciiTheme="majorHAnsi" w:hAnsiTheme="majorHAnsi"/>
                <w:spacing w:val="-2"/>
                <w:sz w:val="20"/>
                <w:szCs w:val="20"/>
                <w:lang w:val="es-ES_tradnl"/>
              </w:rPr>
              <w:t>Francisco José Eguiguren</w:t>
            </w:r>
            <w:r>
              <w:rPr>
                <w:rFonts w:asciiTheme="majorHAnsi" w:hAnsiTheme="majorHAnsi"/>
                <w:sz w:val="20"/>
                <w:szCs w:val="20"/>
                <w:lang w:val="fr-FR"/>
              </w:rPr>
              <w:t xml:space="preserve"> </w:t>
            </w:r>
          </w:p>
          <w:p w14:paraId="5AD0CA01" w14:textId="77777777" w:rsidR="001D6D41" w:rsidRPr="00943D2A" w:rsidRDefault="001D6D41" w:rsidP="00E632F7">
            <w:pPr>
              <w:suppressAutoHyphens/>
              <w:jc w:val="center"/>
              <w:rPr>
                <w:rFonts w:asciiTheme="majorHAnsi" w:hAnsiTheme="majorHAnsi"/>
                <w:spacing w:val="-2"/>
                <w:sz w:val="20"/>
                <w:szCs w:val="20"/>
                <w:lang w:val="fr-CA"/>
              </w:rPr>
            </w:pPr>
            <w:proofErr w:type="spellStart"/>
            <w:r>
              <w:rPr>
                <w:rFonts w:asciiTheme="majorHAnsi" w:hAnsiTheme="majorHAnsi"/>
                <w:spacing w:val="-2"/>
                <w:sz w:val="20"/>
                <w:szCs w:val="20"/>
                <w:lang w:val="fr-CA"/>
              </w:rPr>
              <w:t>Presidente</w:t>
            </w:r>
            <w:proofErr w:type="spellEnd"/>
          </w:p>
        </w:tc>
      </w:tr>
      <w:tr w:rsidR="001D6D41" w:rsidRPr="00167DF0" w14:paraId="188BFF5B" w14:textId="77777777" w:rsidTr="001D6D41">
        <w:trPr>
          <w:trHeight w:val="1530"/>
          <w:jc w:val="center"/>
        </w:trPr>
        <w:tc>
          <w:tcPr>
            <w:tcW w:w="4788" w:type="dxa"/>
            <w:shd w:val="clear" w:color="auto" w:fill="auto"/>
          </w:tcPr>
          <w:p w14:paraId="073CE6CA" w14:textId="77777777" w:rsidR="001D6D41" w:rsidRPr="00A37B82" w:rsidRDefault="001D6D41" w:rsidP="00E632F7">
            <w:pPr>
              <w:suppressAutoHyphens/>
              <w:jc w:val="center"/>
              <w:rPr>
                <w:rFonts w:asciiTheme="majorHAnsi" w:hAnsiTheme="majorHAnsi"/>
                <w:spacing w:val="-2"/>
                <w:sz w:val="20"/>
                <w:szCs w:val="20"/>
                <w:lang w:val="es-ES"/>
              </w:rPr>
            </w:pPr>
            <w:r>
              <w:rPr>
                <w:rFonts w:asciiTheme="majorHAnsi" w:hAnsiTheme="majorHAnsi"/>
                <w:spacing w:val="-2"/>
                <w:sz w:val="20"/>
                <w:szCs w:val="20"/>
                <w:lang w:val="es-ES_tradnl"/>
              </w:rPr>
              <w:t xml:space="preserve">Margarette </w:t>
            </w:r>
            <w:proofErr w:type="spellStart"/>
            <w:r>
              <w:rPr>
                <w:rFonts w:asciiTheme="majorHAnsi" w:hAnsiTheme="majorHAnsi"/>
                <w:spacing w:val="-2"/>
                <w:sz w:val="20"/>
                <w:szCs w:val="20"/>
                <w:lang w:val="es-ES_tradnl"/>
              </w:rPr>
              <w:t>May</w:t>
            </w:r>
            <w:proofErr w:type="spellEnd"/>
            <w:r>
              <w:rPr>
                <w:rFonts w:asciiTheme="majorHAnsi" w:hAnsiTheme="majorHAnsi"/>
                <w:spacing w:val="-2"/>
                <w:sz w:val="20"/>
                <w:szCs w:val="20"/>
                <w:lang w:val="es-ES_tradnl"/>
              </w:rPr>
              <w:t xml:space="preserve"> Macaulay</w:t>
            </w:r>
            <w:r w:rsidRPr="00A37B82">
              <w:rPr>
                <w:rFonts w:asciiTheme="majorHAnsi" w:hAnsiTheme="majorHAnsi"/>
                <w:spacing w:val="-2"/>
                <w:sz w:val="20"/>
                <w:szCs w:val="20"/>
                <w:lang w:val="es-ES_tradnl"/>
              </w:rPr>
              <w:br/>
            </w:r>
            <w:r w:rsidRPr="00A37B82">
              <w:rPr>
                <w:rFonts w:asciiTheme="majorHAnsi" w:hAnsiTheme="majorHAnsi"/>
                <w:spacing w:val="-2"/>
                <w:sz w:val="20"/>
                <w:szCs w:val="20"/>
                <w:lang w:val="es-ES"/>
              </w:rPr>
              <w:t>P</w:t>
            </w:r>
            <w:r>
              <w:rPr>
                <w:rFonts w:asciiTheme="majorHAnsi" w:hAnsiTheme="majorHAnsi"/>
                <w:spacing w:val="-2"/>
                <w:sz w:val="20"/>
                <w:szCs w:val="20"/>
                <w:lang w:val="es-ES"/>
              </w:rPr>
              <w:t>rimera Vicepresidenta</w:t>
            </w:r>
          </w:p>
        </w:tc>
        <w:tc>
          <w:tcPr>
            <w:tcW w:w="4788" w:type="dxa"/>
            <w:shd w:val="clear" w:color="auto" w:fill="auto"/>
          </w:tcPr>
          <w:p w14:paraId="466E825D" w14:textId="77777777" w:rsidR="001D6D41" w:rsidRPr="00A37B82" w:rsidRDefault="001D6D41" w:rsidP="00E632F7">
            <w:pPr>
              <w:suppressAutoHyphens/>
              <w:jc w:val="center"/>
              <w:rPr>
                <w:rFonts w:asciiTheme="majorHAnsi" w:hAnsiTheme="majorHAnsi"/>
                <w:spacing w:val="-2"/>
                <w:sz w:val="20"/>
                <w:szCs w:val="20"/>
                <w:lang w:val="es-ES"/>
              </w:rPr>
            </w:pPr>
            <w:r>
              <w:rPr>
                <w:rFonts w:asciiTheme="majorHAnsi" w:hAnsiTheme="majorHAnsi"/>
                <w:spacing w:val="-2"/>
                <w:sz w:val="20"/>
                <w:szCs w:val="20"/>
                <w:lang w:val="es-ES_tradnl"/>
              </w:rPr>
              <w:t xml:space="preserve">Esmeralda E. Arosemena Bernal de </w:t>
            </w:r>
            <w:proofErr w:type="spellStart"/>
            <w:r>
              <w:rPr>
                <w:rFonts w:asciiTheme="majorHAnsi" w:hAnsiTheme="majorHAnsi"/>
                <w:spacing w:val="-2"/>
                <w:sz w:val="20"/>
                <w:szCs w:val="20"/>
                <w:lang w:val="es-ES_tradnl"/>
              </w:rPr>
              <w:t>Troitiño</w:t>
            </w:r>
            <w:proofErr w:type="spellEnd"/>
            <w:r w:rsidRPr="00A37B82">
              <w:rPr>
                <w:rFonts w:asciiTheme="majorHAnsi" w:hAnsiTheme="majorHAnsi"/>
                <w:spacing w:val="-2"/>
                <w:sz w:val="20"/>
                <w:szCs w:val="20"/>
                <w:lang w:val="es-ES_tradnl"/>
              </w:rPr>
              <w:t xml:space="preserve"> </w:t>
            </w:r>
            <w:r>
              <w:rPr>
                <w:rFonts w:asciiTheme="majorHAnsi" w:hAnsiTheme="majorHAnsi"/>
                <w:spacing w:val="-2"/>
                <w:sz w:val="20"/>
                <w:szCs w:val="20"/>
                <w:lang w:val="es-ES_tradnl"/>
              </w:rPr>
              <w:br/>
            </w:r>
            <w:r>
              <w:rPr>
                <w:rFonts w:asciiTheme="majorHAnsi" w:hAnsiTheme="majorHAnsi"/>
                <w:spacing w:val="-2"/>
                <w:sz w:val="20"/>
                <w:szCs w:val="20"/>
                <w:lang w:val="es-ES"/>
              </w:rPr>
              <w:t>Segunda</w:t>
            </w:r>
            <w:r w:rsidRPr="00A37B82">
              <w:rPr>
                <w:rFonts w:asciiTheme="majorHAnsi" w:hAnsiTheme="majorHAnsi"/>
                <w:spacing w:val="-2"/>
                <w:sz w:val="20"/>
                <w:szCs w:val="20"/>
                <w:lang w:val="es-ES"/>
              </w:rPr>
              <w:t xml:space="preserve"> Vicepresident</w:t>
            </w:r>
            <w:r>
              <w:rPr>
                <w:rFonts w:asciiTheme="majorHAnsi" w:hAnsiTheme="majorHAnsi"/>
                <w:spacing w:val="-2"/>
                <w:sz w:val="20"/>
                <w:szCs w:val="20"/>
                <w:lang w:val="es-ES"/>
              </w:rPr>
              <w:t>a</w:t>
            </w:r>
          </w:p>
        </w:tc>
      </w:tr>
      <w:tr w:rsidR="001D6D41" w:rsidRPr="00167DF0" w14:paraId="74A0722A" w14:textId="77777777" w:rsidTr="001D6D41">
        <w:trPr>
          <w:trHeight w:val="1530"/>
          <w:jc w:val="center"/>
        </w:trPr>
        <w:tc>
          <w:tcPr>
            <w:tcW w:w="4788" w:type="dxa"/>
            <w:shd w:val="clear" w:color="auto" w:fill="auto"/>
          </w:tcPr>
          <w:p w14:paraId="4DD00A2B" w14:textId="77777777" w:rsidR="001D6D41" w:rsidRPr="00A37B82" w:rsidRDefault="001D6D41" w:rsidP="00E632F7">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José de Jesús Orozco Henríquez</w:t>
            </w:r>
            <w:r>
              <w:rPr>
                <w:rFonts w:asciiTheme="majorHAnsi" w:hAnsiTheme="majorHAnsi"/>
                <w:spacing w:val="-2"/>
                <w:sz w:val="20"/>
                <w:szCs w:val="20"/>
                <w:lang w:val="es-ES"/>
              </w:rPr>
              <w:br/>
            </w:r>
            <w:r w:rsidRPr="00A37B82">
              <w:rPr>
                <w:rFonts w:asciiTheme="majorHAnsi" w:hAnsiTheme="majorHAnsi" w:cs="Arial"/>
                <w:noProof/>
                <w:spacing w:val="-2"/>
                <w:sz w:val="20"/>
                <w:szCs w:val="20"/>
                <w:lang w:val="es-CL"/>
              </w:rPr>
              <w:t>Comisionado</w:t>
            </w:r>
          </w:p>
        </w:tc>
        <w:tc>
          <w:tcPr>
            <w:tcW w:w="4788" w:type="dxa"/>
            <w:shd w:val="clear" w:color="auto" w:fill="auto"/>
          </w:tcPr>
          <w:p w14:paraId="4122F1BB" w14:textId="77777777" w:rsidR="001D6D41" w:rsidRPr="00A37B82" w:rsidRDefault="001D6D41" w:rsidP="00E632F7">
            <w:pPr>
              <w:suppressAutoHyphens/>
              <w:jc w:val="center"/>
              <w:rPr>
                <w:rFonts w:asciiTheme="majorHAnsi" w:hAnsiTheme="majorHAnsi"/>
                <w:spacing w:val="-2"/>
                <w:sz w:val="20"/>
                <w:szCs w:val="20"/>
                <w:lang w:val="es-ES_tradnl"/>
              </w:rPr>
            </w:pPr>
            <w:r w:rsidRPr="00A37B82">
              <w:rPr>
                <w:rFonts w:asciiTheme="majorHAnsi" w:hAnsiTheme="majorHAnsi"/>
                <w:spacing w:val="-2"/>
                <w:sz w:val="20"/>
                <w:szCs w:val="20"/>
                <w:lang w:val="es-ES_tradnl"/>
              </w:rPr>
              <w:t xml:space="preserve">Paulo </w:t>
            </w:r>
            <w:proofErr w:type="spellStart"/>
            <w:r w:rsidRPr="00A37B82">
              <w:rPr>
                <w:rFonts w:asciiTheme="majorHAnsi" w:hAnsiTheme="majorHAnsi"/>
                <w:spacing w:val="-2"/>
                <w:sz w:val="20"/>
                <w:szCs w:val="20"/>
                <w:lang w:val="es-ES_tradnl"/>
              </w:rPr>
              <w:t>Vannuchi</w:t>
            </w:r>
            <w:proofErr w:type="spellEnd"/>
            <w:r>
              <w:rPr>
                <w:rFonts w:asciiTheme="majorHAnsi" w:hAnsiTheme="majorHAnsi"/>
                <w:spacing w:val="-2"/>
                <w:sz w:val="20"/>
                <w:szCs w:val="20"/>
                <w:lang w:val="es-ES_tradnl"/>
              </w:rPr>
              <w:br/>
              <w:t>Comisionado</w:t>
            </w:r>
          </w:p>
        </w:tc>
      </w:tr>
      <w:tr w:rsidR="001D6D41" w:rsidRPr="00AA521B" w14:paraId="4EF29A11" w14:textId="77777777" w:rsidTr="001D6D41">
        <w:trPr>
          <w:trHeight w:val="720"/>
          <w:jc w:val="center"/>
        </w:trPr>
        <w:tc>
          <w:tcPr>
            <w:tcW w:w="4788" w:type="dxa"/>
            <w:shd w:val="clear" w:color="auto" w:fill="auto"/>
          </w:tcPr>
          <w:p w14:paraId="4A48B04A" w14:textId="5FEDBCCF" w:rsidR="001D6D41" w:rsidRPr="00A37B82" w:rsidRDefault="001D6D41" w:rsidP="001D6D41">
            <w:pPr>
              <w:suppressAutoHyphens/>
              <w:jc w:val="center"/>
              <w:rPr>
                <w:rFonts w:asciiTheme="majorHAnsi" w:hAnsiTheme="majorHAnsi"/>
                <w:spacing w:val="-2"/>
                <w:sz w:val="20"/>
                <w:szCs w:val="20"/>
                <w:lang w:val="es-ES_tradnl"/>
              </w:rPr>
            </w:pPr>
            <w:r w:rsidRPr="00167DF0">
              <w:rPr>
                <w:rFonts w:asciiTheme="majorHAnsi" w:hAnsiTheme="majorHAnsi"/>
                <w:sz w:val="20"/>
                <w:szCs w:val="20"/>
                <w:lang w:val="es-ES"/>
              </w:rPr>
              <w:t>James L. Cavallaro</w:t>
            </w:r>
            <w:r w:rsidRPr="00A37B82">
              <w:rPr>
                <w:rFonts w:asciiTheme="majorHAnsi" w:hAnsiTheme="majorHAnsi"/>
                <w:spacing w:val="-2"/>
                <w:sz w:val="20"/>
                <w:szCs w:val="20"/>
                <w:lang w:val="es-ES"/>
              </w:rPr>
              <w:br/>
              <w:t>Comisionado</w:t>
            </w:r>
          </w:p>
        </w:tc>
        <w:tc>
          <w:tcPr>
            <w:tcW w:w="4788" w:type="dxa"/>
            <w:shd w:val="clear" w:color="auto" w:fill="auto"/>
          </w:tcPr>
          <w:p w14:paraId="619FEA76" w14:textId="77777777" w:rsidR="001D6D41" w:rsidRPr="00A37B82" w:rsidRDefault="001D6D41" w:rsidP="00E632F7">
            <w:pPr>
              <w:suppressAutoHyphens/>
              <w:jc w:val="center"/>
              <w:rPr>
                <w:rFonts w:asciiTheme="majorHAnsi" w:hAnsiTheme="majorHAnsi"/>
                <w:spacing w:val="-2"/>
                <w:sz w:val="20"/>
                <w:szCs w:val="20"/>
                <w:lang w:val="es-ES"/>
              </w:rPr>
            </w:pPr>
            <w:r>
              <w:rPr>
                <w:rFonts w:asciiTheme="majorHAnsi" w:hAnsiTheme="majorHAnsi"/>
                <w:spacing w:val="-2"/>
                <w:sz w:val="20"/>
                <w:szCs w:val="20"/>
                <w:lang w:val="es-ES"/>
              </w:rPr>
              <w:t>Luis Ernesto Vargas Silva</w:t>
            </w:r>
            <w:r>
              <w:rPr>
                <w:rFonts w:asciiTheme="majorHAnsi" w:hAnsiTheme="majorHAnsi"/>
                <w:spacing w:val="-2"/>
                <w:sz w:val="20"/>
                <w:szCs w:val="20"/>
                <w:lang w:val="es-ES"/>
              </w:rPr>
              <w:br/>
              <w:t xml:space="preserve"> Comisionado</w:t>
            </w:r>
          </w:p>
        </w:tc>
      </w:tr>
    </w:tbl>
    <w:p w14:paraId="4C0D58EA" w14:textId="77777777" w:rsidR="001D6D41" w:rsidRPr="00A37B82" w:rsidRDefault="001D6D41" w:rsidP="001D6D41">
      <w:pPr>
        <w:suppressAutoHyphens/>
        <w:jc w:val="both"/>
        <w:rPr>
          <w:rFonts w:asciiTheme="majorHAnsi" w:hAnsiTheme="majorHAnsi"/>
          <w:spacing w:val="-2"/>
          <w:sz w:val="20"/>
          <w:szCs w:val="20"/>
          <w:lang w:val="es-SV"/>
        </w:rPr>
      </w:pPr>
      <w:r w:rsidRPr="00A37B82">
        <w:rPr>
          <w:rFonts w:asciiTheme="majorHAnsi" w:hAnsiTheme="majorHAnsi"/>
          <w:spacing w:val="-2"/>
          <w:sz w:val="20"/>
          <w:szCs w:val="20"/>
          <w:lang w:val="es-ES"/>
        </w:rPr>
        <w:tab/>
      </w:r>
      <w:r w:rsidRPr="00A37B82">
        <w:rPr>
          <w:rFonts w:asciiTheme="majorHAnsi" w:hAnsiTheme="majorHAnsi"/>
          <w:spacing w:val="-2"/>
          <w:sz w:val="20"/>
          <w:szCs w:val="20"/>
          <w:lang w:val="es-SV"/>
        </w:rPr>
        <w:t>Regístrese y notifíquese conforme a lo acordado.</w:t>
      </w:r>
    </w:p>
    <w:p w14:paraId="3718E193" w14:textId="77777777" w:rsidR="001D6D41" w:rsidRPr="00A37B82" w:rsidRDefault="001D6D41" w:rsidP="001D6D41">
      <w:pPr>
        <w:suppressAutoHyphens/>
        <w:jc w:val="both"/>
        <w:rPr>
          <w:rFonts w:asciiTheme="majorHAnsi" w:hAnsiTheme="majorHAnsi"/>
          <w:spacing w:val="-2"/>
          <w:sz w:val="20"/>
          <w:szCs w:val="20"/>
          <w:lang w:val="es-SV"/>
        </w:rPr>
      </w:pPr>
    </w:p>
    <w:p w14:paraId="509292B4" w14:textId="77777777" w:rsidR="001D6D41" w:rsidRDefault="001D6D41" w:rsidP="001D6D41">
      <w:pPr>
        <w:suppressAutoHyphens/>
        <w:jc w:val="both"/>
        <w:rPr>
          <w:rFonts w:asciiTheme="majorHAnsi" w:hAnsiTheme="majorHAnsi"/>
          <w:spacing w:val="-2"/>
          <w:sz w:val="20"/>
          <w:szCs w:val="20"/>
          <w:lang w:val="es-SV"/>
        </w:rPr>
      </w:pPr>
    </w:p>
    <w:p w14:paraId="2D705C8D" w14:textId="77777777" w:rsidR="001D6D41" w:rsidRDefault="001D6D41" w:rsidP="001D6D41">
      <w:pPr>
        <w:suppressAutoHyphens/>
        <w:jc w:val="both"/>
        <w:rPr>
          <w:rFonts w:asciiTheme="majorHAnsi" w:hAnsiTheme="majorHAnsi"/>
          <w:spacing w:val="-2"/>
          <w:sz w:val="20"/>
          <w:szCs w:val="20"/>
          <w:lang w:val="es-SV"/>
        </w:rPr>
      </w:pPr>
    </w:p>
    <w:p w14:paraId="4A9B67BC" w14:textId="77777777" w:rsidR="001D6D41" w:rsidRPr="00A37B82" w:rsidRDefault="001D6D41" w:rsidP="001D6D41">
      <w:pPr>
        <w:suppressAutoHyphens/>
        <w:jc w:val="both"/>
        <w:rPr>
          <w:rFonts w:asciiTheme="majorHAnsi" w:hAnsiTheme="majorHAnsi"/>
          <w:spacing w:val="-2"/>
          <w:sz w:val="20"/>
          <w:szCs w:val="20"/>
          <w:lang w:val="es-SV"/>
        </w:rPr>
      </w:pPr>
    </w:p>
    <w:p w14:paraId="2212D61D" w14:textId="77777777" w:rsidR="001D6D41" w:rsidRPr="00167DF0" w:rsidRDefault="001D6D41" w:rsidP="001D6D41">
      <w:pPr>
        <w:suppressAutoHyphens/>
        <w:jc w:val="both"/>
        <w:rPr>
          <w:rFonts w:asciiTheme="majorHAnsi" w:hAnsiTheme="majorHAnsi"/>
          <w:spacing w:val="-2"/>
          <w:sz w:val="20"/>
          <w:szCs w:val="20"/>
          <w:lang w:val="es-SV"/>
        </w:rPr>
      </w:pPr>
    </w:p>
    <w:p w14:paraId="47ACDE64" w14:textId="77777777" w:rsidR="001D6D41" w:rsidRPr="00167DF0" w:rsidRDefault="001D6D41" w:rsidP="001D6D41">
      <w:pPr>
        <w:suppressAutoHyphens/>
        <w:jc w:val="center"/>
        <w:rPr>
          <w:rFonts w:asciiTheme="majorHAnsi" w:hAnsiTheme="majorHAnsi"/>
          <w:spacing w:val="-2"/>
          <w:sz w:val="20"/>
          <w:szCs w:val="20"/>
          <w:lang w:val="es-SV"/>
        </w:rPr>
      </w:pPr>
      <w:r w:rsidRPr="00167DF0">
        <w:rPr>
          <w:rFonts w:asciiTheme="majorHAnsi" w:hAnsiTheme="majorHAnsi"/>
          <w:spacing w:val="-2"/>
          <w:sz w:val="20"/>
          <w:szCs w:val="20"/>
          <w:lang w:val="es-SV"/>
        </w:rPr>
        <w:t>Paulo Abr</w:t>
      </w:r>
      <w:r w:rsidRPr="00167DF0">
        <w:rPr>
          <w:rFonts w:asciiTheme="majorHAnsi" w:hAnsiTheme="majorHAnsi" w:cs="Arial"/>
          <w:spacing w:val="-2"/>
          <w:sz w:val="20"/>
          <w:szCs w:val="20"/>
          <w:lang w:val="es-SV"/>
        </w:rPr>
        <w:t>ã</w:t>
      </w:r>
      <w:r w:rsidRPr="00167DF0">
        <w:rPr>
          <w:rFonts w:asciiTheme="majorHAnsi" w:hAnsiTheme="majorHAnsi"/>
          <w:spacing w:val="-2"/>
          <w:sz w:val="20"/>
          <w:szCs w:val="20"/>
          <w:lang w:val="es-SV"/>
        </w:rPr>
        <w:t>o</w:t>
      </w:r>
    </w:p>
    <w:p w14:paraId="4DDC8396" w14:textId="77777777" w:rsidR="001D6D41" w:rsidRPr="00167DF0" w:rsidRDefault="001D6D41" w:rsidP="001D6D41">
      <w:pPr>
        <w:suppressAutoHyphens/>
        <w:jc w:val="center"/>
        <w:rPr>
          <w:rFonts w:asciiTheme="majorHAnsi" w:hAnsiTheme="majorHAnsi"/>
          <w:spacing w:val="-2"/>
          <w:sz w:val="20"/>
          <w:szCs w:val="20"/>
          <w:lang w:val="es-SV"/>
        </w:rPr>
      </w:pPr>
      <w:r w:rsidRPr="00167DF0">
        <w:rPr>
          <w:rFonts w:asciiTheme="majorHAnsi" w:hAnsiTheme="majorHAnsi"/>
          <w:spacing w:val="-2"/>
          <w:sz w:val="20"/>
          <w:szCs w:val="20"/>
          <w:lang w:val="es-SV"/>
        </w:rPr>
        <w:t>Secretario Ejecutivo</w:t>
      </w:r>
    </w:p>
    <w:p w14:paraId="1FB0E27E" w14:textId="77777777" w:rsidR="001D6D41" w:rsidRPr="00A37B82" w:rsidRDefault="001D6D41" w:rsidP="001D6D41">
      <w:pPr>
        <w:suppressAutoHyphens/>
        <w:ind w:firstLine="720"/>
        <w:jc w:val="both"/>
        <w:rPr>
          <w:rFonts w:asciiTheme="majorHAnsi" w:hAnsiTheme="majorHAnsi" w:cs="Arial"/>
          <w:noProof/>
          <w:spacing w:val="-2"/>
          <w:sz w:val="20"/>
          <w:szCs w:val="20"/>
          <w:lang w:val="es-CL"/>
        </w:rPr>
      </w:pPr>
    </w:p>
    <w:p w14:paraId="56E56F19" w14:textId="77777777" w:rsidR="00BD2651" w:rsidRPr="00B441DE" w:rsidRDefault="00BD2651" w:rsidP="00E71846">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num" w:pos="2040"/>
        </w:tabs>
        <w:jc w:val="both"/>
        <w:rPr>
          <w:rFonts w:ascii="Cambria" w:eastAsia="Times New Roman" w:hAnsi="Cambria"/>
          <w:sz w:val="20"/>
          <w:szCs w:val="20"/>
          <w:lang w:val="es-VE"/>
        </w:rPr>
      </w:pPr>
      <w:bookmarkStart w:id="99" w:name="_GoBack"/>
      <w:bookmarkEnd w:id="99"/>
    </w:p>
    <w:sectPr w:rsidR="00BD2651" w:rsidRPr="00B441DE" w:rsidSect="00127AE7">
      <w:type w:val="oddPage"/>
      <w:pgSz w:w="12240" w:h="15840"/>
      <w:pgMar w:top="1440" w:right="135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84C0F" w14:textId="77777777" w:rsidR="00576DDC" w:rsidRDefault="00576DDC">
      <w:r>
        <w:separator/>
      </w:r>
    </w:p>
  </w:endnote>
  <w:endnote w:type="continuationSeparator" w:id="0">
    <w:p w14:paraId="27D0F964" w14:textId="77777777" w:rsidR="00576DDC" w:rsidRDefault="0057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MSTT3132dbeaafO05102100">
    <w:panose1 w:val="00000000000000000000"/>
    <w:charset w:val="00"/>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7BDCC6CD" w14:textId="77777777" w:rsidR="00BD2651" w:rsidRPr="00934A2C" w:rsidRDefault="00BD265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27AE7">
          <w:rPr>
            <w:noProof/>
            <w:sz w:val="16"/>
            <w:szCs w:val="22"/>
          </w:rPr>
          <w:t>30</w:t>
        </w:r>
        <w:r w:rsidRPr="00934A2C">
          <w:rPr>
            <w:noProof/>
            <w:sz w:val="16"/>
            <w:szCs w:val="22"/>
          </w:rPr>
          <w:fldChar w:fldCharType="end"/>
        </w:r>
      </w:p>
    </w:sdtContent>
  </w:sdt>
  <w:p w14:paraId="5FC397FD" w14:textId="77777777" w:rsidR="00BD2651" w:rsidRDefault="00BD2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F102" w14:textId="77777777" w:rsidR="00BD2651" w:rsidRPr="00934A2C" w:rsidRDefault="00BD2651">
    <w:pPr>
      <w:pStyle w:val="Footer"/>
      <w:jc w:val="center"/>
      <w:rPr>
        <w:sz w:val="16"/>
        <w:szCs w:val="22"/>
      </w:rPr>
    </w:pPr>
  </w:p>
  <w:p w14:paraId="73A6A746" w14:textId="77777777" w:rsidR="00BD2651" w:rsidRDefault="00BD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D7CDF" w14:textId="77777777" w:rsidR="00576DDC" w:rsidRDefault="00576DDC">
      <w:r>
        <w:separator/>
      </w:r>
    </w:p>
  </w:footnote>
  <w:footnote w:type="continuationSeparator" w:id="0">
    <w:p w14:paraId="487CEE6C" w14:textId="77777777" w:rsidR="00576DDC" w:rsidRDefault="00576DDC">
      <w:r>
        <w:continuationSeparator/>
      </w:r>
    </w:p>
  </w:footnote>
  <w:footnote w:type="continuationNotice" w:id="1">
    <w:p w14:paraId="7AB37999" w14:textId="77777777" w:rsidR="00576DDC" w:rsidRDefault="00576DDC"/>
  </w:footnote>
  <w:footnote w:id="2">
    <w:p w14:paraId="734BF6CF"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El 17 de julio de 1997 la petición fue presentada en inglés y el 11 de agosto de 1997 en español.</w:t>
      </w:r>
    </w:p>
  </w:footnote>
  <w:footnote w:id="3">
    <w:p w14:paraId="444865B9"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color w:val="auto"/>
          <w:sz w:val="16"/>
          <w:szCs w:val="16"/>
        </w:rPr>
        <w:footnoteRef/>
      </w:r>
      <w:r w:rsidRPr="009D1618">
        <w:rPr>
          <w:rFonts w:ascii="Cambria" w:hAnsi="Cambria"/>
          <w:color w:val="auto"/>
          <w:sz w:val="16"/>
          <w:szCs w:val="16"/>
          <w:lang w:val="es-VE"/>
        </w:rPr>
        <w:t xml:space="preserve"> CIDH, Informe No. 15/15, Petición 374-05. Trabajadores del Sindicato de Trabajadores de la Federación Nacional de Cafeteros de Colombia. Colombia. 24 de marzo de 2015, párr.41; CIDH, Informe No. 40/14, Caso 11.438. Fondo. Herrera Espinoza y otros. Ecuador. 17 de julio de 2014, párr.52.</w:t>
      </w:r>
    </w:p>
  </w:footnote>
  <w:footnote w:id="4">
    <w:p w14:paraId="53EB9071" w14:textId="431F829B" w:rsidR="00BD2651" w:rsidRPr="00FE7176" w:rsidRDefault="00BD2651" w:rsidP="00FE7176">
      <w:pPr>
        <w:pStyle w:val="FootnoteText"/>
        <w:ind w:firstLine="720"/>
        <w:rPr>
          <w:rFonts w:asciiTheme="majorHAnsi" w:hAnsiTheme="majorHAnsi"/>
          <w:sz w:val="16"/>
          <w:szCs w:val="16"/>
          <w:lang w:val="es-VE"/>
        </w:rPr>
      </w:pPr>
      <w:r w:rsidRPr="00FE7176">
        <w:rPr>
          <w:rStyle w:val="FootnoteReference"/>
          <w:rFonts w:asciiTheme="majorHAnsi" w:hAnsiTheme="majorHAnsi"/>
          <w:sz w:val="16"/>
          <w:szCs w:val="16"/>
        </w:rPr>
        <w:footnoteRef/>
      </w:r>
      <w:r w:rsidRPr="00FE7176">
        <w:rPr>
          <w:rFonts w:asciiTheme="majorHAnsi" w:hAnsiTheme="majorHAnsi"/>
          <w:sz w:val="16"/>
          <w:szCs w:val="16"/>
          <w:lang w:val="es-VE"/>
        </w:rPr>
        <w:t xml:space="preserve"> </w:t>
      </w:r>
      <w:r w:rsidR="00576DDC">
        <w:fldChar w:fldCharType="begin"/>
      </w:r>
      <w:r w:rsidR="00576DDC" w:rsidRPr="00127AE7">
        <w:rPr>
          <w:lang w:val="es-UY"/>
        </w:rPr>
        <w:instrText xml:space="preserve"> HYPERLINK "https://www.oas.org/juridico/mla/sp/gtm/sp_gtm-int-text-const.pdf" </w:instrText>
      </w:r>
      <w:r w:rsidR="00576DDC">
        <w:fldChar w:fldCharType="separate"/>
      </w:r>
      <w:r w:rsidRPr="00FE7176">
        <w:rPr>
          <w:rStyle w:val="Hyperlink"/>
          <w:rFonts w:asciiTheme="majorHAnsi" w:hAnsiTheme="majorHAnsi"/>
          <w:sz w:val="16"/>
          <w:szCs w:val="16"/>
          <w:lang w:val="es-VE"/>
        </w:rPr>
        <w:t>Constitución Política de la República de Guatemala</w:t>
      </w:r>
      <w:r w:rsidR="00576DDC">
        <w:rPr>
          <w:rStyle w:val="Hyperlink"/>
          <w:rFonts w:asciiTheme="majorHAnsi" w:hAnsiTheme="majorHAnsi"/>
          <w:sz w:val="16"/>
          <w:szCs w:val="16"/>
          <w:lang w:val="es-VE"/>
        </w:rPr>
        <w:fldChar w:fldCharType="end"/>
      </w:r>
      <w:r>
        <w:rPr>
          <w:rFonts w:asciiTheme="majorHAnsi" w:hAnsiTheme="majorHAnsi"/>
          <w:sz w:val="16"/>
          <w:szCs w:val="16"/>
          <w:lang w:val="es-VE"/>
        </w:rPr>
        <w:t xml:space="preserve">. </w:t>
      </w:r>
    </w:p>
  </w:footnote>
  <w:footnote w:id="5">
    <w:p w14:paraId="036DA70E" w14:textId="1D984C7D" w:rsidR="00BD2651" w:rsidRPr="00225C73" w:rsidRDefault="00BD2651" w:rsidP="00225C73">
      <w:pPr>
        <w:pStyle w:val="FootnoteText"/>
        <w:ind w:firstLine="720"/>
        <w:rPr>
          <w:rFonts w:asciiTheme="majorHAnsi" w:hAnsiTheme="majorHAnsi"/>
          <w:sz w:val="16"/>
          <w:szCs w:val="16"/>
          <w:lang w:val="pt-BR"/>
        </w:rPr>
      </w:pPr>
      <w:r w:rsidRPr="00225C73">
        <w:rPr>
          <w:rStyle w:val="FootnoteReference"/>
          <w:rFonts w:asciiTheme="majorHAnsi" w:hAnsiTheme="majorHAnsi"/>
          <w:sz w:val="16"/>
          <w:szCs w:val="16"/>
        </w:rPr>
        <w:footnoteRef/>
      </w:r>
      <w:r w:rsidRPr="00225C73">
        <w:rPr>
          <w:rFonts w:asciiTheme="majorHAnsi" w:hAnsiTheme="majorHAnsi"/>
          <w:sz w:val="16"/>
          <w:szCs w:val="16"/>
          <w:lang w:val="pt-BR"/>
        </w:rPr>
        <w:t xml:space="preserve"> </w:t>
      </w:r>
      <w:r w:rsidRPr="00FE7176">
        <w:rPr>
          <w:rFonts w:ascii="Cambria" w:hAnsi="Cambria"/>
          <w:sz w:val="16"/>
          <w:szCs w:val="16"/>
          <w:lang w:val="pt-BR"/>
        </w:rPr>
        <w:t>Decreto Número 17-73, Código Penal de Guatemala</w:t>
      </w:r>
      <w:r>
        <w:rPr>
          <w:rFonts w:ascii="Cambria" w:hAnsi="Cambria"/>
          <w:sz w:val="16"/>
          <w:szCs w:val="16"/>
          <w:lang w:val="pt-BR"/>
        </w:rPr>
        <w:t>.</w:t>
      </w:r>
    </w:p>
  </w:footnote>
  <w:footnote w:id="6">
    <w:p w14:paraId="3DEF2EAE" w14:textId="77777777" w:rsidR="00BD2651" w:rsidRPr="00FE7176" w:rsidRDefault="00BD2651">
      <w:pPr>
        <w:pStyle w:val="FootnoteText"/>
        <w:spacing w:after="120"/>
        <w:ind w:firstLine="720"/>
        <w:jc w:val="both"/>
        <w:rPr>
          <w:rFonts w:ascii="Cambria" w:hAnsi="Cambria"/>
          <w:sz w:val="16"/>
          <w:szCs w:val="16"/>
          <w:lang w:val="pt-BR"/>
        </w:rPr>
      </w:pPr>
      <w:r w:rsidRPr="009D1618">
        <w:rPr>
          <w:rStyle w:val="FootnoteReference"/>
          <w:rFonts w:ascii="Cambria" w:hAnsi="Cambria"/>
          <w:sz w:val="16"/>
          <w:szCs w:val="16"/>
        </w:rPr>
        <w:footnoteRef/>
      </w:r>
      <w:r w:rsidRPr="00FE7176">
        <w:rPr>
          <w:rFonts w:ascii="Cambria" w:hAnsi="Cambria"/>
          <w:sz w:val="16"/>
          <w:szCs w:val="16"/>
          <w:lang w:val="pt-BR"/>
        </w:rPr>
        <w:t xml:space="preserve"> Decreto Número 17-73, Código Penal de Guatemala.  </w:t>
      </w:r>
    </w:p>
  </w:footnote>
  <w:footnote w:id="7">
    <w:p w14:paraId="1BDE9BB6" w14:textId="77777777" w:rsidR="00BD2651" w:rsidRPr="009D1618" w:rsidRDefault="00BD2651" w:rsidP="00672BCA">
      <w:pPr>
        <w:pStyle w:val="FootnoteText"/>
        <w:ind w:firstLine="708"/>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CO"/>
        </w:rPr>
        <w:t xml:space="preserve"> </w:t>
      </w:r>
      <w:r w:rsidRPr="009D1618">
        <w:rPr>
          <w:rFonts w:ascii="Cambria" w:hAnsi="Cambria"/>
          <w:sz w:val="16"/>
          <w:szCs w:val="16"/>
          <w:lang w:val="es-VE"/>
        </w:rPr>
        <w:t>Amnistía Internacional. Guatemala, El retorno de la pena de muerte. Marzo de 1997; ver también CIDH, Informe Anual de la Comisión Interamericana de Derechos Humanos, OEA/</w:t>
      </w:r>
      <w:proofErr w:type="spellStart"/>
      <w:r w:rsidRPr="009D1618">
        <w:rPr>
          <w:rFonts w:ascii="Cambria" w:hAnsi="Cambria"/>
          <w:sz w:val="16"/>
          <w:szCs w:val="16"/>
          <w:lang w:val="es-VE"/>
        </w:rPr>
        <w:t>Ser.L</w:t>
      </w:r>
      <w:proofErr w:type="spellEnd"/>
      <w:r w:rsidRPr="009D1618">
        <w:rPr>
          <w:rFonts w:ascii="Cambria" w:hAnsi="Cambria"/>
          <w:sz w:val="16"/>
          <w:szCs w:val="16"/>
          <w:lang w:val="es-VE"/>
        </w:rPr>
        <w:t>/V/II.63 doc.10, 28 de septiembre de 1984, Guatemala, párr. 9.</w:t>
      </w:r>
    </w:p>
  </w:footnote>
  <w:footnote w:id="8">
    <w:p w14:paraId="46084812" w14:textId="77777777" w:rsidR="00BD2651" w:rsidRPr="009D1618" w:rsidRDefault="00BD2651">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w:t>
      </w:r>
      <w:r w:rsidR="00576DDC">
        <w:fldChar w:fldCharType="begin"/>
      </w:r>
      <w:r w:rsidR="00576DDC" w:rsidRPr="00127AE7">
        <w:rPr>
          <w:lang w:val="es-UY"/>
        </w:rPr>
        <w:instrText xml:space="preserve"> HYPERLINK "http://www.refworld.org/docid/3ae6b4d014.html" </w:instrText>
      </w:r>
      <w:r w:rsidR="00576DDC">
        <w:fldChar w:fldCharType="separate"/>
      </w:r>
      <w:r w:rsidRPr="009D1618">
        <w:rPr>
          <w:rStyle w:val="Hyperlink"/>
          <w:rFonts w:ascii="Cambria" w:hAnsi="Cambria"/>
          <w:sz w:val="16"/>
          <w:szCs w:val="16"/>
          <w:lang w:val="es-VE"/>
        </w:rPr>
        <w:t>Decreto Número 100-96</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de 28 de noviembre de 1996, Ley que Establece el Procedimiento para la Ejecución de la Pena de Muerte. </w:t>
      </w:r>
    </w:p>
  </w:footnote>
  <w:footnote w:id="9">
    <w:p w14:paraId="46C1A1CC" w14:textId="77777777" w:rsidR="00BD2651" w:rsidRPr="009D1618" w:rsidRDefault="00BD2651" w:rsidP="00672BCA">
      <w:pPr>
        <w:pStyle w:val="FootnoteText"/>
        <w:ind w:firstLine="708"/>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CO"/>
        </w:rPr>
        <w:t xml:space="preserve"> </w:t>
      </w:r>
      <w:r w:rsidRPr="009D1618">
        <w:rPr>
          <w:rFonts w:ascii="Cambria" w:hAnsi="Cambria"/>
          <w:sz w:val="16"/>
          <w:szCs w:val="16"/>
          <w:lang w:val="es-VE"/>
        </w:rPr>
        <w:t>Ver CIDH, Informe Anual de la Comisión Interamericana de Derechos Humanos de 1997,OEA/</w:t>
      </w:r>
      <w:proofErr w:type="spellStart"/>
      <w:r w:rsidRPr="009D1618">
        <w:rPr>
          <w:rFonts w:ascii="Cambria" w:hAnsi="Cambria"/>
          <w:sz w:val="16"/>
          <w:szCs w:val="16"/>
          <w:lang w:val="es-VE"/>
        </w:rPr>
        <w:t>Ser.L</w:t>
      </w:r>
      <w:proofErr w:type="spellEnd"/>
      <w:r w:rsidRPr="009D1618">
        <w:rPr>
          <w:rFonts w:ascii="Cambria" w:hAnsi="Cambria"/>
          <w:sz w:val="16"/>
          <w:szCs w:val="16"/>
          <w:lang w:val="es-VE"/>
        </w:rPr>
        <w:t>/V/II.doc.6, 17 de febrero de 1998, párr.26-29.</w:t>
      </w:r>
    </w:p>
  </w:footnote>
  <w:footnote w:id="10">
    <w:p w14:paraId="0D68DEFD" w14:textId="77777777" w:rsidR="00BD2651" w:rsidRPr="009D1618" w:rsidRDefault="00BD2651" w:rsidP="00B22AE6">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Corte de Constitucionalidad, Expediente 1015-96, Gaceta Jurisprudencial No. 41-Amparos en Única Instancia. </w:t>
      </w:r>
    </w:p>
  </w:footnote>
  <w:footnote w:id="11">
    <w:p w14:paraId="0B3F3527" w14:textId="77777777" w:rsidR="00BD2651" w:rsidRPr="009D1618" w:rsidRDefault="00BD2651" w:rsidP="00B22AE6">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w:t>
      </w:r>
      <w:r w:rsidR="00576DDC">
        <w:fldChar w:fldCharType="begin"/>
      </w:r>
      <w:r w:rsidR="00576DDC" w:rsidRPr="00127AE7">
        <w:rPr>
          <w:lang w:val="es-ES"/>
        </w:rPr>
        <w:instrText xml:space="preserve"> HYPERLINK "http://old.congreso.gob.gt/archivos/decretos/2000/gtdcx32-2000.pdf," </w:instrText>
      </w:r>
      <w:r w:rsidR="00576DDC">
        <w:fldChar w:fldCharType="separate"/>
      </w:r>
      <w:r w:rsidRPr="009D1618">
        <w:rPr>
          <w:rStyle w:val="Hyperlink"/>
          <w:rFonts w:ascii="Cambria" w:hAnsi="Cambria"/>
          <w:sz w:val="16"/>
          <w:szCs w:val="16"/>
          <w:lang w:val="es-VE"/>
        </w:rPr>
        <w:t>Decreto número 32-2000</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publicado el 1 de junio de 2000.</w:t>
      </w:r>
    </w:p>
  </w:footnote>
  <w:footnote w:id="12">
    <w:p w14:paraId="12E6D736"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Artículo 132 del Decreto 17-73 del Congreso de la República de Guatemala, Código Penal. </w:t>
      </w:r>
    </w:p>
  </w:footnote>
  <w:footnote w:id="13">
    <w:p w14:paraId="3CDAF561"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w:t>
      </w:r>
      <w:r w:rsidR="00576DDC">
        <w:fldChar w:fldCharType="begin"/>
      </w:r>
      <w:r w:rsidR="00576DDC" w:rsidRPr="00127AE7">
        <w:rPr>
          <w:lang w:val="es-UY"/>
        </w:rPr>
        <w:instrText xml:space="preserve"> HYPERLINK "http://old.congreso.gob.gt/archivos/decretos/1996/gtdcx20-1996.pdf" </w:instrText>
      </w:r>
      <w:r w:rsidR="00576DDC">
        <w:fldChar w:fldCharType="separate"/>
      </w:r>
      <w:r w:rsidRPr="009D1618">
        <w:rPr>
          <w:rStyle w:val="Hyperlink"/>
          <w:rFonts w:ascii="Cambria" w:hAnsi="Cambria"/>
          <w:sz w:val="16"/>
          <w:szCs w:val="16"/>
          <w:lang w:val="es-VE"/>
        </w:rPr>
        <w:t>Artículo 5 del Decreto 20-96</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del Congreso de la República de Guatemala. </w:t>
      </w:r>
    </w:p>
  </w:footnote>
  <w:footnote w:id="14">
    <w:p w14:paraId="37045E02"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pt-BR"/>
        </w:rPr>
        <w:t xml:space="preserve"> Corte IDH. Caso Fermín Ramírez vs. Guatemala. </w:t>
      </w:r>
      <w:r w:rsidRPr="009D1618">
        <w:rPr>
          <w:rFonts w:ascii="Cambria" w:hAnsi="Cambria"/>
          <w:sz w:val="16"/>
          <w:szCs w:val="16"/>
          <w:lang w:val="es-VE"/>
        </w:rPr>
        <w:t xml:space="preserve">Fondo, Reparaciones y Costas. Sentencia de 20 de junio de 2005. Serie C No. 126, párr.94 y ss. </w:t>
      </w:r>
    </w:p>
  </w:footnote>
  <w:footnote w:id="15">
    <w:p w14:paraId="3D974F6A"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Corte IDH. Caso Fermín Ramírez vs. Guatemala. Fondo, Reparaciones y Costas. Sentencia de 20 de junio de 2005. Serie C No. 126, párr.94 y ss. </w:t>
      </w:r>
    </w:p>
  </w:footnote>
  <w:footnote w:id="16">
    <w:p w14:paraId="70CE636E"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127AE7">
        <w:rPr>
          <w:rFonts w:ascii="Cambria" w:hAnsi="Cambria"/>
          <w:sz w:val="16"/>
          <w:szCs w:val="16"/>
          <w:lang w:val="pt-BR"/>
        </w:rPr>
        <w:t xml:space="preserve"> Corte IDH. Caso Fermín Ramírez vs. Guatemala. </w:t>
      </w:r>
      <w:r w:rsidRPr="009D1618">
        <w:rPr>
          <w:rFonts w:ascii="Cambria" w:hAnsi="Cambria"/>
          <w:sz w:val="16"/>
          <w:szCs w:val="16"/>
          <w:lang w:val="es-VE"/>
        </w:rPr>
        <w:t xml:space="preserve">Fondo, Reparaciones y Costas. Sentencia de 20 de junio de 2005. Serie C No. 126, párr.107. </w:t>
      </w:r>
    </w:p>
  </w:footnote>
  <w:footnote w:id="17">
    <w:p w14:paraId="38C96F91"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Corte IDH. Caso Fermín Ramírez vs. Guatemala. Fondo, Reparaciones y Costas. Sentencia de 20 de junio de 2005. Serie C No. 126, párr.110.</w:t>
      </w:r>
    </w:p>
  </w:footnote>
  <w:footnote w:id="18">
    <w:p w14:paraId="22C9EA37" w14:textId="77777777" w:rsidR="00BD2651" w:rsidRPr="009D1618" w:rsidRDefault="00BD2651" w:rsidP="00E64EE2">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Corte IDH. Caso Fermín Ramírez vs. Guatemala. Fondo, Reparaciones y Costas. Sentencia de 20 de junio de 2005. Serie C No. 126.</w:t>
      </w:r>
    </w:p>
  </w:footnote>
  <w:footnote w:id="19">
    <w:p w14:paraId="372AFFF8" w14:textId="77777777" w:rsidR="00BD2651" w:rsidRPr="009D1618" w:rsidRDefault="00BD2651" w:rsidP="00E64EE2">
      <w:pPr>
        <w:pStyle w:val="FootnoteText"/>
        <w:spacing w:after="120"/>
        <w:ind w:left="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Corte IDH. Caso </w:t>
      </w:r>
      <w:proofErr w:type="spellStart"/>
      <w:r w:rsidRPr="009D1618">
        <w:rPr>
          <w:rFonts w:ascii="Cambria" w:hAnsi="Cambria"/>
          <w:sz w:val="16"/>
          <w:szCs w:val="16"/>
          <w:lang w:val="es-VE"/>
        </w:rPr>
        <w:t>Raxcacó</w:t>
      </w:r>
      <w:proofErr w:type="spellEnd"/>
      <w:r w:rsidRPr="009D1618">
        <w:rPr>
          <w:rFonts w:ascii="Cambria" w:hAnsi="Cambria"/>
          <w:sz w:val="16"/>
          <w:szCs w:val="16"/>
          <w:lang w:val="es-VE"/>
        </w:rPr>
        <w:t xml:space="preserve"> Reyes vs. Guatemala. Fondo, Reparaciones y Cosas. Sentencia de 15 de septiembre de 2005. Serie C No. 133, párr. 85.</w:t>
      </w:r>
    </w:p>
  </w:footnote>
  <w:footnote w:id="20">
    <w:p w14:paraId="07AAAB95" w14:textId="77777777" w:rsidR="00BD2651" w:rsidRPr="009D1618" w:rsidRDefault="00BD2651" w:rsidP="00F270F7">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artículo de prensa publicado en Agencia Efe, </w:t>
      </w:r>
      <w:r w:rsidR="00576DDC">
        <w:fldChar w:fldCharType="begin"/>
      </w:r>
      <w:r w:rsidR="00576DDC" w:rsidRPr="00127AE7">
        <w:rPr>
          <w:lang w:val="es-UY"/>
        </w:rPr>
        <w:instrText xml:space="preserve"> HYPERLINK "http://www.efe.com/efe/america/politica/piden-en-guatemala-restituir-figura-de-indulto-y-con-ella-la-pena-muerte/20000035</w:instrText>
      </w:r>
      <w:r w:rsidR="00576DDC" w:rsidRPr="00127AE7">
        <w:rPr>
          <w:lang w:val="es-UY"/>
        </w:rPr>
        <w:instrText xml:space="preserve">-2863701" </w:instrText>
      </w:r>
      <w:r w:rsidR="00576DDC">
        <w:fldChar w:fldCharType="separate"/>
      </w:r>
      <w:r w:rsidRPr="009D1618">
        <w:rPr>
          <w:rStyle w:val="Hyperlink"/>
          <w:rFonts w:ascii="Cambria" w:hAnsi="Cambria"/>
          <w:sz w:val="16"/>
          <w:szCs w:val="16"/>
          <w:lang w:val="es-VE"/>
        </w:rPr>
        <w:t>Piden en Guatemala restituir figura de indulto, y con ella, la pena de muerte</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10 de marzo de 2016, El periódico, </w:t>
      </w:r>
      <w:r w:rsidR="00576DDC">
        <w:fldChar w:fldCharType="begin"/>
      </w:r>
      <w:r w:rsidR="00576DDC" w:rsidRPr="00127AE7">
        <w:rPr>
          <w:lang w:val="es-UY"/>
        </w:rPr>
        <w:instrText xml:space="preserve"> HYPERLINK "http://elperiodico.com.gt/2016/02/12/opinion/conmutacion-de-la-pena-de-muerte/" </w:instrText>
      </w:r>
      <w:r w:rsidR="00576DDC">
        <w:fldChar w:fldCharType="separate"/>
      </w:r>
      <w:r w:rsidRPr="009D1618">
        <w:rPr>
          <w:rStyle w:val="Hyperlink"/>
          <w:rFonts w:ascii="Cambria" w:hAnsi="Cambria"/>
          <w:sz w:val="16"/>
          <w:szCs w:val="16"/>
          <w:lang w:val="es-VE"/>
        </w:rPr>
        <w:t>conmutación de la pena de muerte</w:t>
      </w:r>
      <w:r w:rsidR="00576DDC">
        <w:rPr>
          <w:rStyle w:val="Hyperlink"/>
          <w:rFonts w:ascii="Cambria" w:hAnsi="Cambria"/>
          <w:sz w:val="16"/>
          <w:szCs w:val="16"/>
          <w:lang w:val="es-VE"/>
        </w:rPr>
        <w:fldChar w:fldCharType="end"/>
      </w:r>
      <w:r w:rsidRPr="009D1618">
        <w:rPr>
          <w:rFonts w:ascii="Cambria" w:hAnsi="Cambria"/>
          <w:sz w:val="16"/>
          <w:szCs w:val="16"/>
          <w:lang w:val="es-VE"/>
        </w:rPr>
        <w:t>, 12 de febrero de 2016. La CIDH también ha documentado una serie de decisiones a nivel interno previas al año 2000, por medio de las cuales tribunales internos decidieron no aplicar la pena de muerte porque contrariaba los términos de aplicación del artículo 4.2 de la Convención Americana. Al respecto, en su informe anual de 1997 la CIDH indicó: “</w:t>
      </w:r>
      <w:r w:rsidRPr="009D1618">
        <w:rPr>
          <w:rFonts w:ascii="Cambria" w:hAnsi="Cambria"/>
          <w:spacing w:val="-2"/>
          <w:sz w:val="16"/>
          <w:szCs w:val="16"/>
          <w:lang w:val="es-VE"/>
        </w:rPr>
        <w:t>En su último informe, la Comisión hizo referencia a la sentencia notable de la Sala Novena de la Corte de Apelaciones del 30 de enero de 1997, por la que conmutó tres sentencias de muerte en condenas de 50 años en base a lo dispuesto por el derecho interno, incluida la obligación que impone al Estado el artículo 4 de la Convención Americana.  La Comisión ha recibido información de que el Tribunal de Sentencia Penal, Narcoactividad y Delitos contra el Ambiente del Departamento de Santa Rosa, Cuilapa adoptó una decisión similar el 8 de mayo de 1997, en el caso de Guillermo López Contreras, habiendo dictaminado que, de acuerdo con los términos del régimen jurídico aplicable, el Tribunal no podía legalmente imponer la pena de muerte por un delito para el que no se preveía ese castigo a la fecha de la ratificación de la Convención.  La Comisión reconoce y valora tales decisiones que respetan y reflejan debidamente las obligaciones internacionales asumidas por el Estado en materia de derechos humanos”. Ver CIDH, Informe Anual de la Comisión Interamericana de Derechos Humanos de 1997, Guatemala, OEA/</w:t>
      </w:r>
      <w:proofErr w:type="spellStart"/>
      <w:r w:rsidRPr="009D1618">
        <w:rPr>
          <w:rFonts w:ascii="Cambria" w:hAnsi="Cambria"/>
          <w:spacing w:val="-2"/>
          <w:sz w:val="16"/>
          <w:szCs w:val="16"/>
          <w:lang w:val="es-VE"/>
        </w:rPr>
        <w:t>Ser.L</w:t>
      </w:r>
      <w:proofErr w:type="spellEnd"/>
      <w:r w:rsidRPr="009D1618">
        <w:rPr>
          <w:rFonts w:ascii="Cambria" w:hAnsi="Cambria"/>
          <w:spacing w:val="-2"/>
          <w:sz w:val="16"/>
          <w:szCs w:val="16"/>
          <w:lang w:val="es-VE"/>
        </w:rPr>
        <w:t>/V/II.98, Doc.6, 17 de febrero de 1998, párr.27.</w:t>
      </w:r>
    </w:p>
  </w:footnote>
  <w:footnote w:id="21">
    <w:p w14:paraId="3985287B" w14:textId="77777777" w:rsidR="00BD2651" w:rsidRPr="009D1618" w:rsidRDefault="00BD2651" w:rsidP="00F270F7">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Ver Congreso de la República de Guatemala,  Decreto Número 6-2008, </w:t>
      </w:r>
      <w:r w:rsidR="00576DDC">
        <w:fldChar w:fldCharType="begin"/>
      </w:r>
      <w:r w:rsidR="00576DDC" w:rsidRPr="00127AE7">
        <w:rPr>
          <w:lang w:val="es-UY"/>
        </w:rPr>
        <w:instrText xml:space="preserve"> HYPERLINK "http://old.congreso.gob.gt/archivos/decretos/2008/gtdcx6-2008.pdf" </w:instrText>
      </w:r>
      <w:r w:rsidR="00576DDC">
        <w:fldChar w:fldCharType="separate"/>
      </w:r>
      <w:r w:rsidRPr="009D1618">
        <w:rPr>
          <w:rStyle w:val="Hyperlink"/>
          <w:rFonts w:ascii="Cambria" w:hAnsi="Cambria"/>
          <w:sz w:val="16"/>
          <w:szCs w:val="16"/>
          <w:lang w:val="es-VE"/>
        </w:rPr>
        <w:t>Ley Reguladora de la Conmutación de la Pena para los Condenados a Muerte</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w:t>
      </w:r>
    </w:p>
  </w:footnote>
  <w:footnote w:id="22">
    <w:p w14:paraId="446EB6BF" w14:textId="77777777" w:rsidR="00BD2651" w:rsidRPr="009D1618" w:rsidRDefault="00BD2651" w:rsidP="00F270F7">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Artículo de prensa publicado en elmundo.es,  </w:t>
      </w:r>
      <w:r w:rsidR="00576DDC">
        <w:fldChar w:fldCharType="begin"/>
      </w:r>
      <w:r w:rsidR="00576DDC" w:rsidRPr="00127AE7">
        <w:rPr>
          <w:lang w:val="es-UY"/>
        </w:rPr>
        <w:instrText xml:space="preserve"> HYPERLINK "http://www.elmundo.es/elmundo/2008/03/15/internacional/1205539033.html" </w:instrText>
      </w:r>
      <w:r w:rsidR="00576DDC">
        <w:fldChar w:fldCharType="separate"/>
      </w:r>
      <w:r w:rsidRPr="009D1618">
        <w:rPr>
          <w:rStyle w:val="Hyperlink"/>
          <w:rFonts w:ascii="Cambria" w:hAnsi="Cambria"/>
          <w:sz w:val="16"/>
          <w:szCs w:val="16"/>
          <w:lang w:val="es-VE"/>
        </w:rPr>
        <w:t>Colom veta la ley que restituyó la pena de muerte en Guatemala</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15 de marzo de 2008; Artículo de prensa publicado en BBCMundo.com, </w:t>
      </w:r>
      <w:r w:rsidR="00576DDC">
        <w:fldChar w:fldCharType="begin"/>
      </w:r>
      <w:r w:rsidR="00576DDC" w:rsidRPr="00127AE7">
        <w:rPr>
          <w:lang w:val="es-UY"/>
        </w:rPr>
        <w:instrText xml:space="preserve"> HYPERLINK "http://n</w:instrText>
      </w:r>
      <w:r w:rsidR="00576DDC" w:rsidRPr="00127AE7">
        <w:rPr>
          <w:lang w:val="es-UY"/>
        </w:rPr>
        <w:instrText xml:space="preserve">ews.bbc.co.uk/hi/spanish/latin_america/newsid_7297000/7297884.stm" </w:instrText>
      </w:r>
      <w:r w:rsidR="00576DDC">
        <w:fldChar w:fldCharType="separate"/>
      </w:r>
      <w:r w:rsidRPr="009D1618">
        <w:rPr>
          <w:rStyle w:val="Hyperlink"/>
          <w:rFonts w:ascii="Cambria" w:hAnsi="Cambria"/>
          <w:sz w:val="16"/>
          <w:szCs w:val="16"/>
          <w:lang w:val="es-VE"/>
        </w:rPr>
        <w:t>Colom vetó pena de muerte</w:t>
      </w:r>
      <w:r w:rsidR="00576DDC">
        <w:rPr>
          <w:rStyle w:val="Hyperlink"/>
          <w:rFonts w:ascii="Cambria" w:hAnsi="Cambria"/>
          <w:sz w:val="16"/>
          <w:szCs w:val="16"/>
          <w:lang w:val="es-VE"/>
        </w:rPr>
        <w:fldChar w:fldCharType="end"/>
      </w:r>
      <w:r w:rsidRPr="009D1618">
        <w:rPr>
          <w:rFonts w:ascii="Cambria" w:hAnsi="Cambria"/>
          <w:sz w:val="16"/>
          <w:szCs w:val="16"/>
          <w:lang w:val="es-VE"/>
        </w:rPr>
        <w:t>, 15 de marzo de 2008.</w:t>
      </w:r>
    </w:p>
  </w:footnote>
  <w:footnote w:id="23">
    <w:p w14:paraId="6665A2D6" w14:textId="77777777" w:rsidR="00BD2651" w:rsidRPr="009D1618" w:rsidRDefault="00BD2651" w:rsidP="00F270F7">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Artículo de prensa publicado en laprensa.com.ni, </w:t>
      </w:r>
      <w:r w:rsidR="00576DDC">
        <w:fldChar w:fldCharType="begin"/>
      </w:r>
      <w:r w:rsidR="00576DDC" w:rsidRPr="00127AE7">
        <w:rPr>
          <w:lang w:val="es-UY"/>
        </w:rPr>
        <w:instrText xml:space="preserve"> HYPERLINK "http://www.laprensa.com.ni/2010/11/05/internacionales/42724-colom-veta-ley-</w:instrText>
      </w:r>
      <w:r w:rsidR="00576DDC" w:rsidRPr="00127AE7">
        <w:rPr>
          <w:lang w:val="es-UY"/>
        </w:rPr>
        <w:instrText xml:space="preserve">con-que-reactivarian-pena-de-muerte" </w:instrText>
      </w:r>
      <w:r w:rsidR="00576DDC">
        <w:fldChar w:fldCharType="separate"/>
      </w:r>
      <w:r w:rsidRPr="009D1618">
        <w:rPr>
          <w:rStyle w:val="Hyperlink"/>
          <w:rFonts w:ascii="Cambria" w:hAnsi="Cambria"/>
          <w:sz w:val="16"/>
          <w:szCs w:val="16"/>
          <w:lang w:val="es-VE"/>
        </w:rPr>
        <w:t>Colom veta ley con que reactivarían pena de muerte</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5 de noviembre de 2010. </w:t>
      </w:r>
    </w:p>
  </w:footnote>
  <w:footnote w:id="24">
    <w:p w14:paraId="6424E9B2" w14:textId="77777777" w:rsidR="00BD2651" w:rsidRPr="009D1618" w:rsidRDefault="00BD2651" w:rsidP="00F270F7">
      <w:pPr>
        <w:pStyle w:val="FootnoteText"/>
        <w:spacing w:after="120"/>
        <w:ind w:firstLine="708"/>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w:t>
      </w:r>
      <w:r w:rsidR="00576DDC">
        <w:fldChar w:fldCharType="begin"/>
      </w:r>
      <w:r w:rsidR="00576DDC" w:rsidRPr="00127AE7">
        <w:rPr>
          <w:lang w:val="es-UY"/>
        </w:rPr>
        <w:instrText xml:space="preserve"> HYPERLINK "http://old.congreso.gob.gt/archivos/iniciativas/registro5100.pdf" </w:instrText>
      </w:r>
      <w:r w:rsidR="00576DDC">
        <w:fldChar w:fldCharType="separate"/>
      </w:r>
      <w:r w:rsidRPr="009D1618">
        <w:rPr>
          <w:rStyle w:val="Hyperlink"/>
          <w:rFonts w:ascii="Cambria" w:hAnsi="Cambria"/>
          <w:sz w:val="16"/>
          <w:szCs w:val="16"/>
          <w:lang w:val="es-AR"/>
        </w:rPr>
        <w:t>Iniciativas de ley presentadas ante el Congreso de la República de Guatemala</w:t>
      </w:r>
      <w:r w:rsidR="00576DDC">
        <w:rPr>
          <w:rStyle w:val="Hyperlink"/>
          <w:rFonts w:ascii="Cambria" w:hAnsi="Cambria"/>
          <w:sz w:val="16"/>
          <w:szCs w:val="16"/>
          <w:lang w:val="es-AR"/>
        </w:rPr>
        <w:fldChar w:fldCharType="end"/>
      </w:r>
      <w:r w:rsidRPr="009D1618">
        <w:rPr>
          <w:rFonts w:ascii="Cambria" w:hAnsi="Cambria"/>
          <w:sz w:val="16"/>
          <w:szCs w:val="16"/>
          <w:lang w:val="es-AR"/>
        </w:rPr>
        <w:t xml:space="preserve">. </w:t>
      </w:r>
    </w:p>
  </w:footnote>
  <w:footnote w:id="25">
    <w:p w14:paraId="77263876" w14:textId="067FDC3A" w:rsidR="00BD2651" w:rsidRPr="009D1618" w:rsidRDefault="00BD2651" w:rsidP="00672BCA">
      <w:pPr>
        <w:pStyle w:val="FootnoteText"/>
        <w:ind w:firstLine="708"/>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w:t>
      </w:r>
      <w:r w:rsidRPr="009D1618">
        <w:rPr>
          <w:rFonts w:ascii="Cambria" w:hAnsi="Cambria"/>
          <w:sz w:val="16"/>
          <w:szCs w:val="16"/>
          <w:lang w:val="es-VE"/>
        </w:rPr>
        <w:t xml:space="preserve">Escrito de observaciones del Estado de 12 de abril de 2005. </w:t>
      </w:r>
    </w:p>
  </w:footnote>
  <w:footnote w:id="26">
    <w:p w14:paraId="10510F2A" w14:textId="4F216CD3" w:rsidR="00BD2651" w:rsidRPr="009D1618" w:rsidRDefault="00BD2651" w:rsidP="008E2CE1">
      <w:pPr>
        <w:pStyle w:val="FootnoteText"/>
        <w:ind w:firstLine="708"/>
        <w:rPr>
          <w:rFonts w:ascii="Cambria" w:hAnsi="Cambria"/>
          <w:sz w:val="16"/>
          <w:szCs w:val="16"/>
          <w:lang w:val="es-VE"/>
        </w:rPr>
      </w:pPr>
      <w:r>
        <w:rPr>
          <w:rFonts w:ascii="Cambria" w:hAnsi="Cambria"/>
          <w:sz w:val="16"/>
          <w:szCs w:val="16"/>
          <w:lang w:val="es-VE"/>
        </w:rPr>
        <w:t xml:space="preserve"> </w:t>
      </w:r>
      <w:r w:rsidRPr="009D1618">
        <w:rPr>
          <w:rStyle w:val="FootnoteReference"/>
          <w:rFonts w:ascii="Cambria" w:hAnsi="Cambria"/>
          <w:sz w:val="16"/>
          <w:szCs w:val="16"/>
        </w:rPr>
        <w:footnoteRef/>
      </w:r>
      <w:r w:rsidRPr="009D1618">
        <w:rPr>
          <w:rFonts w:ascii="Cambria" w:hAnsi="Cambria"/>
          <w:sz w:val="16"/>
          <w:szCs w:val="16"/>
          <w:lang w:val="es-VE"/>
        </w:rPr>
        <w:t xml:space="preserve"> Decreto Número 51-92 del Congreso de la República de Guatemala, Código Procesal Penal.</w:t>
      </w:r>
    </w:p>
  </w:footnote>
  <w:footnote w:id="27">
    <w:p w14:paraId="10BF8152" w14:textId="2976CAE3"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1</w:t>
      </w:r>
      <w:r w:rsidRPr="009D1618">
        <w:rPr>
          <w:rFonts w:ascii="Cambria" w:hAnsi="Cambria"/>
          <w:sz w:val="16"/>
          <w:szCs w:val="16"/>
          <w:lang w:val="es-VE"/>
        </w:rPr>
        <w:t xml:space="preserve">. Escrito de acusación del Ministerio Público dirigido al Juez Séptimo de Primera Instancia Penal, Narcoactividad y Delitos contra el Ambiente. Anexo 5 al escrito de los peticionarios de 23 de junio de 2005. </w:t>
      </w:r>
    </w:p>
  </w:footnote>
  <w:footnote w:id="28">
    <w:p w14:paraId="1DD0F012" w14:textId="5785AC00"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2</w:t>
      </w:r>
      <w:r w:rsidRPr="009D1618">
        <w:rPr>
          <w:rFonts w:ascii="Cambria" w:hAnsi="Cambria"/>
          <w:sz w:val="16"/>
          <w:szCs w:val="16"/>
          <w:lang w:val="es-VE"/>
        </w:rPr>
        <w:t xml:space="preserve">. Acta de debate de 22 de abril de 1996. Anexos remitidos por los peticionarios el 23 de junio de 2005. </w:t>
      </w:r>
    </w:p>
  </w:footnote>
  <w:footnote w:id="29">
    <w:p w14:paraId="7396AEBD" w14:textId="7222EFFD"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0">
    <w:p w14:paraId="76BA7E72" w14:textId="230E7156"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1">
    <w:p w14:paraId="6B91C9EE"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Decreto Número 51-92, Código Procesal Penal de la República de Guatemala. </w:t>
      </w:r>
    </w:p>
  </w:footnote>
  <w:footnote w:id="32">
    <w:p w14:paraId="52FCACAA"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Escrito de observaciones de los peticionarios de 29 de julio de 1997. </w:t>
      </w:r>
    </w:p>
  </w:footnote>
  <w:footnote w:id="33">
    <w:p w14:paraId="4278E3AE" w14:textId="7A1A7033" w:rsidR="00BD2651" w:rsidRPr="009D1618" w:rsidRDefault="00BD2651" w:rsidP="00720B10">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4">
    <w:p w14:paraId="32C34F98" w14:textId="0C4D3A3E" w:rsidR="00BD2651" w:rsidRPr="009D1618" w:rsidRDefault="00BD2651" w:rsidP="00720B10">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5">
    <w:p w14:paraId="09D15BB4"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Escrito de observaciones de los peticionarios de 29 de julio de 1997. </w:t>
      </w:r>
    </w:p>
  </w:footnote>
  <w:footnote w:id="36">
    <w:p w14:paraId="3FB7C7EE" w14:textId="5B3EFC7E" w:rsidR="00BD2651" w:rsidRPr="009D1618" w:rsidRDefault="00BD2651" w:rsidP="00720B10">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7">
    <w:p w14:paraId="087DD081" w14:textId="4B0129F4" w:rsidR="00BD2651" w:rsidRPr="009D1618" w:rsidRDefault="00BD2651" w:rsidP="00720B10">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8">
    <w:p w14:paraId="5DB48C93" w14:textId="319CA7A2"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39">
    <w:p w14:paraId="7281C794" w14:textId="53D60112"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40">
    <w:p w14:paraId="77D27358" w14:textId="1406C5B6"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3</w:t>
      </w:r>
      <w:r w:rsidRPr="009D1618">
        <w:rPr>
          <w:rFonts w:ascii="Cambria" w:hAnsi="Cambria"/>
          <w:sz w:val="16"/>
          <w:szCs w:val="16"/>
          <w:lang w:val="es-VE"/>
        </w:rPr>
        <w:t>. Sentencia de Tribunal de Sentencia Penal, Narcoactividad y Delitos Contra el Ambiente de Guatemala de 23 de mayo de 1996. Anexo 1 del escrito de los peticionarios de 29 de julio de 1997.</w:t>
      </w:r>
    </w:p>
  </w:footnote>
  <w:footnote w:id="41">
    <w:p w14:paraId="5F9FFD77" w14:textId="690DA48C"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4</w:t>
      </w:r>
      <w:r w:rsidRPr="009D1618">
        <w:rPr>
          <w:rFonts w:ascii="Cambria" w:hAnsi="Cambria"/>
          <w:sz w:val="16"/>
          <w:szCs w:val="16"/>
          <w:lang w:val="es-VE"/>
        </w:rPr>
        <w:t xml:space="preserve">. Recurso de apelación especial interpuesto por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ante el Tribunal Cuarto de Sentencia Penal, Narcoactividad y Delitos contra el Ambiente. Anexo al escrito de los peticionarios de 17 de diciembre de 1997. </w:t>
      </w:r>
    </w:p>
  </w:footnote>
  <w:footnote w:id="42">
    <w:p w14:paraId="17CB99DF" w14:textId="2615DB83"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5</w:t>
      </w:r>
      <w:r w:rsidRPr="009D1618">
        <w:rPr>
          <w:rFonts w:ascii="Cambria" w:hAnsi="Cambria"/>
          <w:sz w:val="16"/>
          <w:szCs w:val="16"/>
          <w:lang w:val="es-VE"/>
        </w:rPr>
        <w:t>. Sentencia de la Sala Décima de la Corte de Apelaciones Penal, Narcoactividad y Delitos contra el Ambiente de 2 de septiembre de 1996. Anexo 2 del escrito de los peticionarios de 29 de julio de 1997.</w:t>
      </w:r>
    </w:p>
  </w:footnote>
  <w:footnote w:id="43">
    <w:p w14:paraId="78DAB91B" w14:textId="042635B8"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5</w:t>
      </w:r>
      <w:r w:rsidRPr="009D1618">
        <w:rPr>
          <w:rFonts w:ascii="Cambria" w:hAnsi="Cambria"/>
          <w:sz w:val="16"/>
          <w:szCs w:val="16"/>
          <w:lang w:val="es-VE"/>
        </w:rPr>
        <w:t>. Sentencia de la Sala Decima de la Corte de Apelaciones Penal, Narcoactividad y Delitos contra el Ambiente de 2 de septiembre de 1996. Anexo 2 del escrito de los peticionarios de 29 de julio de 1997.</w:t>
      </w:r>
    </w:p>
  </w:footnote>
  <w:footnote w:id="44">
    <w:p w14:paraId="79FC2A61" w14:textId="7CE9C230"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5</w:t>
      </w:r>
      <w:r w:rsidRPr="009D1618">
        <w:rPr>
          <w:rFonts w:ascii="Cambria" w:hAnsi="Cambria"/>
          <w:sz w:val="16"/>
          <w:szCs w:val="16"/>
          <w:lang w:val="es-VE"/>
        </w:rPr>
        <w:t>. Sentencia de la Sala Decima de la Corte de Apelaciones Penal, Narcoactividad y Delitos contra el Ambiente de 2 de septiembre de 1996. Anexo 2 del escrito de los peticionarios de 29 de julio de 1997.</w:t>
      </w:r>
    </w:p>
  </w:footnote>
  <w:footnote w:id="45">
    <w:p w14:paraId="59F2C8E4" w14:textId="2153E772" w:rsidR="00BD2651" w:rsidRPr="009D1618" w:rsidRDefault="00BD2651" w:rsidP="00F4185C">
      <w:pPr>
        <w:pStyle w:val="FootnoteText"/>
        <w:ind w:firstLine="720"/>
        <w:jc w:val="both"/>
        <w:rPr>
          <w:rFonts w:ascii="Cambria" w:hAnsi="Cambria"/>
          <w:sz w:val="16"/>
          <w:szCs w:val="16"/>
          <w:lang w:val="pt-BR"/>
        </w:rPr>
      </w:pPr>
      <w:r w:rsidRPr="009D1618">
        <w:rPr>
          <w:rStyle w:val="FootnoteReference"/>
          <w:rFonts w:ascii="Cambria" w:hAnsi="Cambria"/>
          <w:sz w:val="16"/>
          <w:szCs w:val="16"/>
        </w:rPr>
        <w:footnoteRef/>
      </w:r>
      <w:r w:rsidRPr="009D1618">
        <w:rPr>
          <w:rFonts w:ascii="Cambria" w:hAnsi="Cambria"/>
          <w:sz w:val="16"/>
          <w:szCs w:val="16"/>
          <w:lang w:val="pt-BR"/>
        </w:rPr>
        <w:t xml:space="preserve"> Decr</w:t>
      </w:r>
      <w:r>
        <w:rPr>
          <w:rFonts w:ascii="Cambria" w:hAnsi="Cambria"/>
          <w:sz w:val="16"/>
          <w:szCs w:val="16"/>
          <w:lang w:val="pt-BR"/>
        </w:rPr>
        <w:t>eto Número 51-92, Código Proces</w:t>
      </w:r>
      <w:r w:rsidRPr="009D1618">
        <w:rPr>
          <w:rFonts w:ascii="Cambria" w:hAnsi="Cambria"/>
          <w:sz w:val="16"/>
          <w:szCs w:val="16"/>
          <w:lang w:val="pt-BR"/>
        </w:rPr>
        <w:t>a</w:t>
      </w:r>
      <w:r>
        <w:rPr>
          <w:rFonts w:ascii="Cambria" w:hAnsi="Cambria"/>
          <w:sz w:val="16"/>
          <w:szCs w:val="16"/>
          <w:lang w:val="pt-BR"/>
        </w:rPr>
        <w:t>l</w:t>
      </w:r>
      <w:r w:rsidRPr="009D1618">
        <w:rPr>
          <w:rFonts w:ascii="Cambria" w:hAnsi="Cambria"/>
          <w:sz w:val="16"/>
          <w:szCs w:val="16"/>
          <w:lang w:val="pt-BR"/>
        </w:rPr>
        <w:t xml:space="preserve"> Penal de Guatemala. </w:t>
      </w:r>
    </w:p>
  </w:footnote>
  <w:footnote w:id="46">
    <w:p w14:paraId="5211C432" w14:textId="499211B4"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6</w:t>
      </w:r>
      <w:r w:rsidRPr="009D1618">
        <w:rPr>
          <w:rFonts w:ascii="Cambria" w:hAnsi="Cambria"/>
          <w:sz w:val="16"/>
          <w:szCs w:val="16"/>
          <w:lang w:val="es-VE"/>
        </w:rPr>
        <w:t xml:space="preserve">. Sentencia de la Cámara Penal de la Corte Suprema de Justicia del 10 de febrero de 1997. Anexo 3 del escrito de los peticionarios de 29 de julio de 1997. </w:t>
      </w:r>
    </w:p>
  </w:footnote>
  <w:footnote w:id="47">
    <w:p w14:paraId="0EA08530" w14:textId="7CE12930" w:rsidR="00BD2651" w:rsidRPr="009D1618" w:rsidRDefault="00BD2651" w:rsidP="000F3FA8">
      <w:pPr>
        <w:pStyle w:val="NormalWeb"/>
        <w:shd w:val="clear" w:color="auto" w:fill="FFFFFF"/>
        <w:spacing w:before="0" w:beforeAutospacing="0" w:after="0" w:afterAutospacing="0"/>
        <w:ind w:firstLine="720"/>
        <w:jc w:val="both"/>
        <w:rPr>
          <w:rFonts w:ascii="Cambria" w:hAnsi="Cambria" w:cs="Arial"/>
          <w:color w:val="000000"/>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El artículo 440 del Código Procesal Penal de Guatemala establece que el recurso de casación de forma procede únicamente en los siguientes casos: </w:t>
      </w:r>
      <w:r w:rsidRPr="009D1618">
        <w:rPr>
          <w:rFonts w:ascii="Cambria" w:hAnsi="Cambria" w:cs="Arial"/>
          <w:color w:val="000000"/>
          <w:sz w:val="16"/>
          <w:szCs w:val="16"/>
          <w:lang w:val="es-VE"/>
        </w:rPr>
        <w:t>1. Cuando la sentencia no resolvió todos los puntos esenciales que fueron objeto de la acusación formulada, o que estaban contenidos en las alegaciones del defensor; 2. Si la sentencia no expresó de manera concluyente los hechos que el juzgador tuvo como probados y los fundamentos de la sana crítica que se tuvieron en cuenta; 3. Cuando es manifiesta la contradicción entre dos o más hechos que se tienen por probados en la misma resolución; 4. cuando la resolución se refiere a un hecho punible distinto del que se atribuye al acusado; 5. Cuando en el fallo del tribunal de sentencia o de la sala de apelaciones ha existido incompetencia por razón de la materia que no haya sido advertida; 6. Si en la sentencia no se han cumplido los requisitos formales para su validez. Asimismo, el artículo 441 del mismo cuerpo legal establece que solo procede el recurso de casación de fondo en los siguientes casos: 1. Cuando en la resolución recurrida se incurrió en error de derecho al tipificar los hechos como delictuosos, no siéndolo; 2. Cuando siendo delictuosos los hechos, se incurrió en error de derecho en su tipificación; 3. Si la sentencia es condenatoria, no obstante existir una circunstancia eximente de responsabilidad, o un motivo fundado para disponer el sobreseimiento definitivo; 4. Si la sentencia tiene por acreditado un hecho decisivo para absolver, condenar, atenuar o agravar la pena, sin que se haya tenido por probado tal hecho en el tribunal de sentencia; 5. Si la resolución viola un precepto constitucional o legal por errónea interpretación, indebida aplicación o falta de aplicación, cuando dicha violación haya tenido influencia decisiva en la parte resolutiva de la sentencia o del auto.</w:t>
      </w:r>
    </w:p>
  </w:footnote>
  <w:footnote w:id="48">
    <w:p w14:paraId="3F223FCE" w14:textId="4DAAACC9" w:rsidR="00BD2651" w:rsidRPr="009D1618" w:rsidRDefault="00BD2651">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6</w:t>
      </w:r>
      <w:r w:rsidRPr="009D1618">
        <w:rPr>
          <w:rFonts w:ascii="Cambria" w:hAnsi="Cambria"/>
          <w:sz w:val="16"/>
          <w:szCs w:val="16"/>
          <w:lang w:val="es-VE"/>
        </w:rPr>
        <w:t xml:space="preserve">. Sentencia de la Cámara Penal de la Corte Suprema de Justicia del 10 de febrero de 1997. Anexo 3 del escrito de los peticionarios de 29 de julio de 1997. </w:t>
      </w:r>
    </w:p>
  </w:footnote>
  <w:footnote w:id="49">
    <w:p w14:paraId="1FF6929C" w14:textId="497576B6"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6</w:t>
      </w:r>
      <w:r w:rsidRPr="009D1618">
        <w:rPr>
          <w:rFonts w:ascii="Cambria" w:hAnsi="Cambria"/>
          <w:sz w:val="16"/>
          <w:szCs w:val="16"/>
          <w:lang w:val="es-VE"/>
        </w:rPr>
        <w:t xml:space="preserve">. Sentencia de la Cámara Penal de la Corte Suprema de Justicia del 10 de febrero de 1997. Anexo 3 del escrito de los peticionarios de 29 de julio de 1997. </w:t>
      </w:r>
    </w:p>
  </w:footnote>
  <w:footnote w:id="50">
    <w:p w14:paraId="51633D2B" w14:textId="13D6A2AA"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7</w:t>
      </w:r>
      <w:r w:rsidRPr="009D1618">
        <w:rPr>
          <w:rFonts w:ascii="Cambria" w:hAnsi="Cambria"/>
          <w:sz w:val="16"/>
          <w:szCs w:val="16"/>
          <w:lang w:val="es-VE"/>
        </w:rPr>
        <w:t xml:space="preserve">. Sentencia de la Corte de Constitucionalidad de 18 de junio de 1997. Anexo 7 del escrito de los peticionarios de 29 de julio de 1997. </w:t>
      </w:r>
    </w:p>
  </w:footnote>
  <w:footnote w:id="51">
    <w:p w14:paraId="672E73EF" w14:textId="12052175"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Escrito de observaciones del Estado de 24 de octubre de 2003. </w:t>
      </w:r>
    </w:p>
  </w:footnote>
  <w:footnote w:id="52">
    <w:p w14:paraId="7C228571" w14:textId="50E40986"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Escrito de observaciones de los peticionarios de 9 de febrero de 2005.</w:t>
      </w:r>
    </w:p>
  </w:footnote>
  <w:footnote w:id="53">
    <w:p w14:paraId="53663649" w14:textId="7DFA92C6" w:rsidR="00BD2651" w:rsidRPr="009D1618" w:rsidRDefault="00BD2651" w:rsidP="00992FB0">
      <w:pPr>
        <w:pStyle w:val="FootnoteText"/>
        <w:ind w:firstLine="720"/>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Anexo 8. Anexo a s</w:t>
      </w:r>
      <w:r w:rsidRPr="009D1618">
        <w:rPr>
          <w:rFonts w:ascii="Cambria" w:hAnsi="Cambria"/>
          <w:sz w:val="16"/>
          <w:szCs w:val="16"/>
          <w:lang w:val="es-VE"/>
        </w:rPr>
        <w:t xml:space="preserve">olicitud de medidas cautelares a favor de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y Miguel Ángel López Calo de 23 de mayo de 2005. </w:t>
      </w:r>
    </w:p>
  </w:footnote>
  <w:footnote w:id="54">
    <w:p w14:paraId="7D298FFF" w14:textId="3BE1DB53" w:rsidR="00BD2651" w:rsidRPr="009D1618" w:rsidRDefault="00BD2651" w:rsidP="004473E4">
      <w:pPr>
        <w:pStyle w:val="FootnoteText"/>
        <w:ind w:firstLine="720"/>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8</w:t>
      </w:r>
      <w:r w:rsidRPr="009D1618">
        <w:rPr>
          <w:rFonts w:ascii="Cambria" w:hAnsi="Cambria"/>
          <w:sz w:val="16"/>
          <w:szCs w:val="16"/>
          <w:lang w:val="es-VE"/>
        </w:rPr>
        <w:t xml:space="preserve">. </w:t>
      </w:r>
      <w:r>
        <w:rPr>
          <w:rFonts w:ascii="Cambria" w:hAnsi="Cambria"/>
          <w:sz w:val="16"/>
          <w:szCs w:val="16"/>
          <w:lang w:val="es-VE"/>
        </w:rPr>
        <w:t>Anexo a s</w:t>
      </w:r>
      <w:r w:rsidRPr="009D1618">
        <w:rPr>
          <w:rFonts w:ascii="Cambria" w:hAnsi="Cambria"/>
          <w:sz w:val="16"/>
          <w:szCs w:val="16"/>
          <w:lang w:val="es-VE"/>
        </w:rPr>
        <w:t xml:space="preserve">olicitud de medidas cautelares a favor de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y Miguel Ángel López Calo de 23 de mayo de 2005. </w:t>
      </w:r>
    </w:p>
  </w:footnote>
  <w:footnote w:id="55">
    <w:p w14:paraId="133D80A3" w14:textId="1365CBB9" w:rsidR="00BD2651" w:rsidRPr="009D1618" w:rsidRDefault="00BD2651" w:rsidP="00B87D90">
      <w:pPr>
        <w:pStyle w:val="FootnoteText"/>
        <w:ind w:firstLine="720"/>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8</w:t>
      </w:r>
      <w:r w:rsidRPr="009D1618">
        <w:rPr>
          <w:rFonts w:ascii="Cambria" w:hAnsi="Cambria"/>
          <w:sz w:val="16"/>
          <w:szCs w:val="16"/>
          <w:lang w:val="es-VE"/>
        </w:rPr>
        <w:t xml:space="preserve">. </w:t>
      </w:r>
      <w:r>
        <w:rPr>
          <w:rFonts w:ascii="Cambria" w:hAnsi="Cambria"/>
          <w:sz w:val="16"/>
          <w:szCs w:val="16"/>
          <w:lang w:val="es-VE"/>
        </w:rPr>
        <w:t>Anexo a s</w:t>
      </w:r>
      <w:r w:rsidRPr="009D1618">
        <w:rPr>
          <w:rFonts w:ascii="Cambria" w:hAnsi="Cambria"/>
          <w:sz w:val="16"/>
          <w:szCs w:val="16"/>
          <w:lang w:val="es-VE"/>
        </w:rPr>
        <w:t xml:space="preserve">olicitud de medidas cautelares a favor de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y Miguel Ángel López Calo de 23 de mayo de 2005. </w:t>
      </w:r>
    </w:p>
  </w:footnote>
  <w:footnote w:id="56">
    <w:p w14:paraId="397CB931" w14:textId="76B23812"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Anexo </w:t>
      </w:r>
      <w:r>
        <w:rPr>
          <w:rFonts w:ascii="Cambria" w:hAnsi="Cambria"/>
          <w:sz w:val="16"/>
          <w:szCs w:val="16"/>
          <w:lang w:val="es-VE"/>
        </w:rPr>
        <w:t>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57">
    <w:p w14:paraId="00D96DB0" w14:textId="7399EDF3"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58">
    <w:p w14:paraId="3051A718" w14:textId="6DE2F524"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59">
    <w:p w14:paraId="4784195D" w14:textId="48A61442"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60">
    <w:p w14:paraId="31CDDB5E" w14:textId="5E63F603"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61">
    <w:p w14:paraId="41656763" w14:textId="7277646A"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9</w:t>
      </w:r>
      <w:r w:rsidRPr="009D1618">
        <w:rPr>
          <w:rFonts w:ascii="Cambria" w:hAnsi="Cambria"/>
          <w:sz w:val="16"/>
          <w:szCs w:val="16"/>
          <w:lang w:val="es-VE"/>
        </w:rPr>
        <w:t xml:space="preserve">. Informe pericial del estado de salud mental de Miguel Ángel López Calo y Miguel Ángel Rodríguez </w:t>
      </w:r>
      <w:proofErr w:type="spellStart"/>
      <w:r w:rsidRPr="009D1618">
        <w:rPr>
          <w:rFonts w:ascii="Cambria" w:hAnsi="Cambria"/>
          <w:sz w:val="16"/>
          <w:szCs w:val="16"/>
          <w:lang w:val="es-VE"/>
        </w:rPr>
        <w:t>Revolorio</w:t>
      </w:r>
      <w:proofErr w:type="spellEnd"/>
      <w:r w:rsidRPr="009D1618">
        <w:rPr>
          <w:rFonts w:ascii="Cambria" w:hAnsi="Cambria"/>
          <w:sz w:val="16"/>
          <w:szCs w:val="16"/>
          <w:lang w:val="es-VE"/>
        </w:rPr>
        <w:t xml:space="preserve"> elaborado por Aida Castro-Conde. Anexo I del escrito de anexos remitido por los peticionarios a  la CIDH el 23 de junio de 2005. </w:t>
      </w:r>
    </w:p>
  </w:footnote>
  <w:footnote w:id="62">
    <w:p w14:paraId="6A3C0A51" w14:textId="6159028B" w:rsidR="00BD2651" w:rsidRPr="009D1618" w:rsidRDefault="00BD2651" w:rsidP="00CA0DA6">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Anexo 10</w:t>
      </w:r>
      <w:r w:rsidRPr="009D1618">
        <w:rPr>
          <w:rFonts w:ascii="Cambria" w:hAnsi="Cambria"/>
          <w:sz w:val="16"/>
          <w:szCs w:val="16"/>
          <w:lang w:val="es-VE"/>
        </w:rPr>
        <w:t xml:space="preserve">. Informe médico de Ricardo Estrada en relación con Miguel Ángel López Calo de 15 de junio de 2005. Anexo II del escrito de anexos remitido por los peticionarios a  la CIDH el 23 de junio de 2005. </w:t>
      </w:r>
    </w:p>
  </w:footnote>
  <w:footnote w:id="63">
    <w:p w14:paraId="1C64BEF6" w14:textId="5CCA527E" w:rsidR="00BD2651" w:rsidRPr="009D1618" w:rsidRDefault="00BD2651" w:rsidP="00CA0DA6">
      <w:pPr>
        <w:pStyle w:val="FootnoteText"/>
        <w:ind w:firstLine="720"/>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w:t>
      </w:r>
      <w:r w:rsidRPr="009D1618">
        <w:rPr>
          <w:rFonts w:ascii="Cambria" w:hAnsi="Cambria"/>
          <w:sz w:val="16"/>
          <w:szCs w:val="16"/>
          <w:lang w:val="es-VE"/>
        </w:rPr>
        <w:t xml:space="preserve">Escrito de observaciones del Estado de 12 de abril de 2005. </w:t>
      </w:r>
    </w:p>
  </w:footnote>
  <w:footnote w:id="64">
    <w:p w14:paraId="5FFEAEAB"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w:t>
      </w:r>
      <w:r w:rsidR="00576DDC">
        <w:fldChar w:fldCharType="begin"/>
      </w:r>
      <w:r w:rsidR="00576DDC" w:rsidRPr="00127AE7">
        <w:rPr>
          <w:lang w:val="es-UY"/>
        </w:rPr>
        <w:instrText xml:space="preserve"> HYPERLINK "http://www.oj.gob.gt/es/QueEsOJ/EstructuraOJ/UnidadesAdministrativas/CentroAnalisisDocumentacionJudicial/pdfs/Criterios%20Jurisdprudenciales/Penal%202011.pdf" </w:instrText>
      </w:r>
      <w:r w:rsidR="00576DDC">
        <w:fldChar w:fldCharType="separate"/>
      </w:r>
      <w:r w:rsidRPr="009D1618">
        <w:rPr>
          <w:rStyle w:val="Hyperlink"/>
          <w:rFonts w:ascii="Cambria" w:hAnsi="Cambria"/>
          <w:sz w:val="16"/>
          <w:szCs w:val="16"/>
          <w:lang w:val="es-VE"/>
        </w:rPr>
        <w:t>Revisión no. 328-201</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1. Sentencia del 23/08/2011 en Criterios Jurisprudenciales de la Corte Suprema de Justicia. Materia Penal 2011, pág.161 y </w:t>
      </w:r>
      <w:r w:rsidR="00576DDC">
        <w:fldChar w:fldCharType="begin"/>
      </w:r>
      <w:r w:rsidR="00576DDC" w:rsidRPr="00127AE7">
        <w:rPr>
          <w:lang w:val="es-UY"/>
        </w:rPr>
        <w:instrText xml:space="preserve"> HYPERLINK "http://www.oj.gob.gt/es/QueEsOJ/EstructuraOJ/UnidadesAdministrativas/CentroAnalisisDocumentacionJudicial/cds/CDs%20criterios/</w:instrText>
      </w:r>
      <w:r w:rsidR="00576DDC" w:rsidRPr="00127AE7">
        <w:rPr>
          <w:lang w:val="es-UY"/>
        </w:rPr>
        <w:instrText xml:space="preserve">CJ%20PENAL%202011/expedientes/328-2011.html" </w:instrText>
      </w:r>
      <w:r w:rsidR="00576DDC">
        <w:fldChar w:fldCharType="separate"/>
      </w:r>
      <w:r w:rsidRPr="009D1618">
        <w:rPr>
          <w:rStyle w:val="Hyperlink"/>
          <w:rFonts w:ascii="Cambria" w:hAnsi="Cambria"/>
          <w:sz w:val="16"/>
          <w:szCs w:val="16"/>
          <w:lang w:val="es-VE"/>
        </w:rPr>
        <w:t>Revisión 328-2011</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w:t>
      </w:r>
    </w:p>
  </w:footnote>
  <w:footnote w:id="65">
    <w:p w14:paraId="487FC504" w14:textId="77777777" w:rsidR="00BD2651" w:rsidRPr="009D1618" w:rsidRDefault="00BD2651" w:rsidP="00672BCA">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w:t>
      </w:r>
      <w:r w:rsidR="00576DDC">
        <w:fldChar w:fldCharType="begin"/>
      </w:r>
      <w:r w:rsidR="00576DDC" w:rsidRPr="00127AE7">
        <w:rPr>
          <w:lang w:val="es-UY"/>
        </w:rPr>
        <w:instrText xml:space="preserve"> HYPERLINK "http://www.oj.gob.gt/es/QueEsOJ/EstructuraOJ/UnidadesAdministrativas/CentroAnalisisDocumentacionJudicial/pdfs/Criterios%20Jurisdprudenciales/Penal%202011.pdf" </w:instrText>
      </w:r>
      <w:r w:rsidR="00576DDC">
        <w:fldChar w:fldCharType="separate"/>
      </w:r>
      <w:r w:rsidRPr="009D1618">
        <w:rPr>
          <w:rStyle w:val="Hyperlink"/>
          <w:rFonts w:ascii="Cambria" w:hAnsi="Cambria"/>
          <w:sz w:val="16"/>
          <w:szCs w:val="16"/>
          <w:lang w:val="es-VE"/>
        </w:rPr>
        <w:t>Revisión no. 328-201</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1. Sentencia del 23/08/2011 en Criterios Jurisprudenciales de la Corte Suprema de Justicia. Materia Penal 2011, pág.161 y </w:t>
      </w:r>
      <w:r w:rsidR="00576DDC">
        <w:fldChar w:fldCharType="begin"/>
      </w:r>
      <w:r w:rsidR="00576DDC" w:rsidRPr="00127AE7">
        <w:rPr>
          <w:lang w:val="es-UY"/>
        </w:rPr>
        <w:instrText xml:space="preserve"> HYPERLINK "http://www.oj.gob.gt/es/QueEsOJ/EstructuraOJ/UnidadesAdministrativas/CentroAnalisisDocumentacionJudicial/cds/CDs%</w:instrText>
      </w:r>
      <w:r w:rsidR="00576DDC" w:rsidRPr="00127AE7">
        <w:rPr>
          <w:lang w:val="es-UY"/>
        </w:rPr>
        <w:instrText xml:space="preserve">20criterios/CJ%20PENAL%202011/expedientes/328-2011.html" </w:instrText>
      </w:r>
      <w:r w:rsidR="00576DDC">
        <w:fldChar w:fldCharType="separate"/>
      </w:r>
      <w:r w:rsidRPr="009D1618">
        <w:rPr>
          <w:rStyle w:val="Hyperlink"/>
          <w:rFonts w:ascii="Cambria" w:hAnsi="Cambria"/>
          <w:sz w:val="16"/>
          <w:szCs w:val="16"/>
          <w:lang w:val="es-VE"/>
        </w:rPr>
        <w:t>Revisión 328-2011</w:t>
      </w:r>
      <w:r w:rsidR="00576DDC">
        <w:rPr>
          <w:rStyle w:val="Hyperlink"/>
          <w:rFonts w:ascii="Cambria" w:hAnsi="Cambria"/>
          <w:sz w:val="16"/>
          <w:szCs w:val="16"/>
          <w:lang w:val="es-VE"/>
        </w:rPr>
        <w:fldChar w:fldCharType="end"/>
      </w:r>
      <w:r w:rsidRPr="009D1618">
        <w:rPr>
          <w:rFonts w:ascii="Cambria" w:hAnsi="Cambria"/>
          <w:sz w:val="16"/>
          <w:szCs w:val="16"/>
          <w:lang w:val="es-VE"/>
        </w:rPr>
        <w:t xml:space="preserve">. </w:t>
      </w:r>
    </w:p>
  </w:footnote>
  <w:footnote w:id="66">
    <w:p w14:paraId="68B5FDB2" w14:textId="77777777" w:rsidR="00BD2651" w:rsidRPr="009D1618" w:rsidRDefault="00BD2651" w:rsidP="00A80502">
      <w:pPr>
        <w:pStyle w:val="FootnoteText"/>
        <w:spacing w:after="120"/>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CIDH; Informe No. 76/16, Caso 12.254. Fondo. </w:t>
      </w:r>
      <w:proofErr w:type="spellStart"/>
      <w:r w:rsidRPr="009D1618">
        <w:rPr>
          <w:rFonts w:ascii="Cambria" w:hAnsi="Cambria"/>
          <w:sz w:val="16"/>
          <w:szCs w:val="16"/>
          <w:lang w:val="es-VE"/>
        </w:rPr>
        <w:t>Victor</w:t>
      </w:r>
      <w:proofErr w:type="spellEnd"/>
      <w:r w:rsidRPr="009D1618">
        <w:rPr>
          <w:rFonts w:ascii="Cambria" w:hAnsi="Cambria"/>
          <w:sz w:val="16"/>
          <w:szCs w:val="16"/>
          <w:lang w:val="es-VE"/>
        </w:rPr>
        <w:t xml:space="preserve"> </w:t>
      </w:r>
      <w:proofErr w:type="spellStart"/>
      <w:r w:rsidRPr="009D1618">
        <w:rPr>
          <w:rFonts w:ascii="Cambria" w:hAnsi="Cambria"/>
          <w:sz w:val="16"/>
          <w:szCs w:val="16"/>
          <w:lang w:val="es-VE"/>
        </w:rPr>
        <w:t>Saldaño</w:t>
      </w:r>
      <w:proofErr w:type="spellEnd"/>
      <w:r w:rsidRPr="009D1618">
        <w:rPr>
          <w:rFonts w:ascii="Cambria" w:hAnsi="Cambria"/>
          <w:sz w:val="16"/>
          <w:szCs w:val="16"/>
          <w:lang w:val="es-VE"/>
        </w:rPr>
        <w:t>. Estados Unidos. 10 de diciembre de 2016, párr.169.</w:t>
      </w:r>
    </w:p>
  </w:footnote>
  <w:footnote w:id="67">
    <w:p w14:paraId="28D28E4D" w14:textId="77777777" w:rsidR="00BD2651" w:rsidRPr="009D1618" w:rsidRDefault="00BD2651" w:rsidP="00A80502">
      <w:pPr>
        <w:pStyle w:val="FootnoteText"/>
        <w:spacing w:after="120"/>
        <w:ind w:firstLine="720"/>
        <w:jc w:val="both"/>
        <w:rPr>
          <w:rFonts w:ascii="Cambria" w:hAnsi="Cambria"/>
          <w:sz w:val="16"/>
          <w:szCs w:val="16"/>
          <w:lang w:val="es-ES_tradnl"/>
        </w:rPr>
      </w:pPr>
      <w:r w:rsidRPr="009D1618">
        <w:rPr>
          <w:rStyle w:val="FootnoteReference"/>
          <w:rFonts w:ascii="Cambria" w:hAnsi="Cambria"/>
          <w:sz w:val="16"/>
          <w:szCs w:val="16"/>
          <w:lang w:val="es-ES_tradnl"/>
        </w:rPr>
        <w:footnoteRef/>
      </w:r>
      <w:r w:rsidRPr="009D1618">
        <w:rPr>
          <w:rFonts w:ascii="Cambria" w:hAnsi="Cambria"/>
          <w:sz w:val="16"/>
          <w:szCs w:val="16"/>
          <w:lang w:val="es-ES_tradnl"/>
        </w:rPr>
        <w:t xml:space="preserve"> Véase, en este sentido, CIDH, La pena de muerte en el Sistema Interamericano de Derechos Humanos: de restricciones a abolición, OEA/</w:t>
      </w:r>
      <w:proofErr w:type="spellStart"/>
      <w:r w:rsidRPr="009D1618">
        <w:rPr>
          <w:rFonts w:ascii="Cambria" w:hAnsi="Cambria"/>
          <w:sz w:val="16"/>
          <w:szCs w:val="16"/>
          <w:lang w:val="es-ES_tradnl"/>
        </w:rPr>
        <w:t>Ser.L</w:t>
      </w:r>
      <w:proofErr w:type="spellEnd"/>
      <w:r w:rsidRPr="009D1618">
        <w:rPr>
          <w:rFonts w:ascii="Cambria" w:hAnsi="Cambria"/>
          <w:sz w:val="16"/>
          <w:szCs w:val="16"/>
          <w:lang w:val="es-ES_tradnl"/>
        </w:rPr>
        <w:t>/V/II.Doc. 68, 31 de diciembre de 2011.</w:t>
      </w:r>
    </w:p>
  </w:footnote>
  <w:footnote w:id="68">
    <w:p w14:paraId="30A9E462" w14:textId="77777777" w:rsidR="00BD2651" w:rsidRPr="009D1618" w:rsidRDefault="00BD2651" w:rsidP="00A80502">
      <w:pPr>
        <w:pStyle w:val="FootnoteText"/>
        <w:spacing w:after="120"/>
        <w:ind w:firstLine="720"/>
        <w:jc w:val="both"/>
        <w:rPr>
          <w:rFonts w:ascii="Cambria" w:hAnsi="Cambria"/>
          <w:sz w:val="16"/>
          <w:szCs w:val="16"/>
          <w:lang w:val="es-ES_tradnl"/>
        </w:rPr>
      </w:pPr>
      <w:r w:rsidRPr="009D1618">
        <w:rPr>
          <w:rStyle w:val="FootnoteReference"/>
          <w:rFonts w:ascii="Cambria" w:hAnsi="Cambria"/>
          <w:sz w:val="16"/>
          <w:szCs w:val="16"/>
          <w:lang w:val="es-ES_tradnl"/>
        </w:rPr>
        <w:footnoteRef/>
      </w:r>
      <w:r w:rsidRPr="009D1618">
        <w:rPr>
          <w:rFonts w:ascii="Cambria" w:hAnsi="Cambria"/>
          <w:sz w:val="16"/>
          <w:szCs w:val="16"/>
          <w:lang w:val="es-ES_tradnl"/>
        </w:rPr>
        <w:t xml:space="preserve"> Véase, por ejemplo, Corte IDH, Opinión Consultiva OC-16/99 (1 de octubre de 1999) “El Derecho a la Información sobre la Asistencia Consular en el Marco de las Garantías del Debido Proceso Legal”, párr. 136 (determinación de que “[s]</w:t>
      </w:r>
      <w:proofErr w:type="spellStart"/>
      <w:r w:rsidRPr="009D1618">
        <w:rPr>
          <w:rFonts w:ascii="Cambria" w:hAnsi="Cambria"/>
          <w:sz w:val="16"/>
          <w:szCs w:val="16"/>
          <w:lang w:val="es-ES_tradnl"/>
        </w:rPr>
        <w:t>iendo</w:t>
      </w:r>
      <w:proofErr w:type="spellEnd"/>
      <w:r w:rsidRPr="009D1618">
        <w:rPr>
          <w:rFonts w:ascii="Cambria" w:hAnsi="Cambria"/>
          <w:sz w:val="16"/>
          <w:szCs w:val="16"/>
          <w:lang w:val="es-ES_tradnl"/>
        </w:rPr>
        <w:t xml:space="preserve"> la ejecución de la pena de muerte una medida de carácter irreversible, exige del Estado el más estricto y riguroso respeto de las garantías judiciales, de modo a evitar una violación de éstas, que, a su vez, acarrearía una privación arbitraria de la vida”); CDH-ONU, </w:t>
      </w:r>
      <w:proofErr w:type="spellStart"/>
      <w:r w:rsidRPr="009D1618">
        <w:rPr>
          <w:rFonts w:ascii="Cambria" w:hAnsi="Cambria"/>
          <w:iCs/>
          <w:sz w:val="16"/>
          <w:szCs w:val="16"/>
          <w:lang w:val="es-ES_tradnl"/>
        </w:rPr>
        <w:t>Baboheram-Adhin</w:t>
      </w:r>
      <w:proofErr w:type="spellEnd"/>
      <w:r w:rsidRPr="009D1618">
        <w:rPr>
          <w:rFonts w:ascii="Cambria" w:hAnsi="Cambria"/>
          <w:iCs/>
          <w:sz w:val="16"/>
          <w:szCs w:val="16"/>
          <w:lang w:val="es-ES_tradnl"/>
        </w:rPr>
        <w:t xml:space="preserve"> et al. v. </w:t>
      </w:r>
      <w:proofErr w:type="spellStart"/>
      <w:r w:rsidRPr="009D1618">
        <w:rPr>
          <w:rFonts w:ascii="Cambria" w:hAnsi="Cambria"/>
          <w:iCs/>
          <w:sz w:val="16"/>
          <w:szCs w:val="16"/>
          <w:lang w:val="es-ES_tradnl"/>
        </w:rPr>
        <w:t>Suriname</w:t>
      </w:r>
      <w:proofErr w:type="spellEnd"/>
      <w:r w:rsidRPr="009D1618">
        <w:rPr>
          <w:rFonts w:ascii="Cambria" w:hAnsi="Cambria"/>
          <w:sz w:val="16"/>
          <w:szCs w:val="16"/>
          <w:lang w:val="es-ES_tradnl"/>
        </w:rPr>
        <w:t xml:space="preserve">, 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w:t>
      </w:r>
      <w:proofErr w:type="spellStart"/>
      <w:r w:rsidRPr="009D1618">
        <w:rPr>
          <w:rFonts w:ascii="Cambria" w:hAnsi="Cambria"/>
          <w:sz w:val="16"/>
          <w:szCs w:val="16"/>
          <w:lang w:val="es-ES_tradnl"/>
        </w:rPr>
        <w:t>Bacre</w:t>
      </w:r>
      <w:proofErr w:type="spellEnd"/>
      <w:r w:rsidRPr="009D1618">
        <w:rPr>
          <w:rFonts w:ascii="Cambria" w:hAnsi="Cambria"/>
          <w:sz w:val="16"/>
          <w:szCs w:val="16"/>
          <w:lang w:val="es-ES_tradnl"/>
        </w:rPr>
        <w:t xml:space="preserve"> </w:t>
      </w:r>
      <w:proofErr w:type="spellStart"/>
      <w:r w:rsidRPr="009D1618">
        <w:rPr>
          <w:rFonts w:ascii="Cambria" w:hAnsi="Cambria"/>
          <w:sz w:val="16"/>
          <w:szCs w:val="16"/>
          <w:lang w:val="es-ES_tradnl"/>
        </w:rPr>
        <w:t>Waly</w:t>
      </w:r>
      <w:proofErr w:type="spellEnd"/>
      <w:r w:rsidRPr="009D1618">
        <w:rPr>
          <w:rFonts w:ascii="Cambria" w:hAnsi="Cambria"/>
          <w:sz w:val="16"/>
          <w:szCs w:val="16"/>
          <w:lang w:val="es-ES_tradnl"/>
        </w:rPr>
        <w:t xml:space="preserve"> </w:t>
      </w:r>
      <w:proofErr w:type="spellStart"/>
      <w:r w:rsidRPr="009D1618">
        <w:rPr>
          <w:rFonts w:ascii="Cambria" w:hAnsi="Cambria"/>
          <w:sz w:val="16"/>
          <w:szCs w:val="16"/>
          <w:lang w:val="es-ES_tradnl"/>
        </w:rPr>
        <w:t>Ndiaye</w:t>
      </w:r>
      <w:proofErr w:type="spellEnd"/>
      <w:r w:rsidRPr="009D1618">
        <w:rPr>
          <w:rFonts w:ascii="Cambria" w:hAnsi="Cambria"/>
          <w:sz w:val="16"/>
          <w:szCs w:val="16"/>
          <w:lang w:val="es-ES_tradnl"/>
        </w:rPr>
        <w:t xml:space="preserv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w:t>
      </w:r>
      <w:proofErr w:type="spellStart"/>
      <w:r w:rsidRPr="009D1618">
        <w:rPr>
          <w:rFonts w:ascii="Cambria" w:hAnsi="Cambria"/>
          <w:sz w:val="16"/>
          <w:szCs w:val="16"/>
          <w:lang w:val="es-ES_tradnl"/>
        </w:rPr>
        <w:t>Doc.E</w:t>
      </w:r>
      <w:proofErr w:type="spellEnd"/>
      <w:r w:rsidRPr="009D1618">
        <w:rPr>
          <w:rFonts w:ascii="Cambria" w:hAnsi="Cambria"/>
          <w:sz w:val="16"/>
          <w:szCs w:val="16"/>
          <w:lang w:val="es-ES_tradnl"/>
        </w:rPr>
        <w:t xml:space="preserve">/CN.4/1995/61 (14 de diciembre de 1994) (en adelante el “Informe </w:t>
      </w:r>
      <w:proofErr w:type="spellStart"/>
      <w:r w:rsidRPr="009D1618">
        <w:rPr>
          <w:rFonts w:ascii="Cambria" w:hAnsi="Cambria"/>
          <w:sz w:val="16"/>
          <w:szCs w:val="16"/>
          <w:lang w:val="es-ES_tradnl"/>
        </w:rPr>
        <w:t>Ndiaye</w:t>
      </w:r>
      <w:proofErr w:type="spellEnd"/>
      <w:r w:rsidRPr="009D1618">
        <w:rPr>
          <w:rFonts w:ascii="Cambria" w:hAnsi="Cambria"/>
          <w:sz w:val="16"/>
          <w:szCs w:val="16"/>
          <w:lang w:val="es-ES_tradnl"/>
        </w:rPr>
        <w:t xml:space="preserv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  </w:t>
      </w:r>
    </w:p>
  </w:footnote>
  <w:footnote w:id="69">
    <w:p w14:paraId="00AB573A" w14:textId="77777777" w:rsidR="00BD2651" w:rsidRPr="009D1618" w:rsidRDefault="00BD2651" w:rsidP="00A80502">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lang w:val="es-ES_tradnl"/>
        </w:rPr>
        <w:footnoteRef/>
      </w:r>
      <w:r w:rsidRPr="009D1618">
        <w:rPr>
          <w:rFonts w:ascii="Cambria" w:hAnsi="Cambria"/>
          <w:sz w:val="16"/>
          <w:szCs w:val="16"/>
          <w:lang w:val="es-ES_tradnl"/>
        </w:rPr>
        <w:t xml:space="preserve"> CIDH, Informe No. 11/15, Caso 12.833, Fondo (</w:t>
      </w:r>
      <w:r w:rsidRPr="009D1618">
        <w:rPr>
          <w:rFonts w:ascii="Cambria" w:hAnsi="Cambria"/>
          <w:sz w:val="16"/>
          <w:szCs w:val="16"/>
          <w:lang w:val="es-ES"/>
        </w:rPr>
        <w:t>Publicación), Félix Rocha Díaz, Estados Unidos, 23 de marzo de 2015, párrafo 54; Informe No. 44/14, Caso 12.873, Fondo (publicación), Edgar Tamayo Arias, Estados Unidos, 17 de julio de 2014, párrafo. 127;</w:t>
      </w:r>
      <w:r w:rsidRPr="009D1618">
        <w:rPr>
          <w:rFonts w:ascii="Cambria" w:hAnsi="Cambria"/>
          <w:iCs/>
          <w:sz w:val="16"/>
          <w:szCs w:val="16"/>
          <w:lang w:val="es-ES"/>
        </w:rPr>
        <w:t xml:space="preserve"> </w:t>
      </w:r>
      <w:r w:rsidRPr="009D1618">
        <w:rPr>
          <w:rFonts w:ascii="Cambria" w:hAnsi="Cambria"/>
          <w:sz w:val="16"/>
          <w:szCs w:val="16"/>
          <w:lang w:val="es-ES"/>
        </w:rPr>
        <w:t xml:space="preserve">Informe No. 57/96, </w:t>
      </w:r>
      <w:r w:rsidRPr="009D1618">
        <w:rPr>
          <w:rFonts w:ascii="Cambria" w:hAnsi="Cambria"/>
          <w:iCs/>
          <w:sz w:val="16"/>
          <w:szCs w:val="16"/>
          <w:lang w:val="es-ES"/>
        </w:rPr>
        <w:t>Andrews, Estados Unidos</w:t>
      </w:r>
      <w:r w:rsidRPr="009D1618">
        <w:rPr>
          <w:rFonts w:ascii="Cambria" w:hAnsi="Cambria"/>
          <w:sz w:val="16"/>
          <w:szCs w:val="16"/>
          <w:lang w:val="es-ES"/>
        </w:rPr>
        <w:t>, Informe Anual de la CIDH, 1997, párrafos 170-171.</w:t>
      </w:r>
    </w:p>
  </w:footnote>
  <w:footnote w:id="70">
    <w:p w14:paraId="483DF475" w14:textId="77777777" w:rsidR="00BD2651" w:rsidRPr="009D1618" w:rsidRDefault="00BD2651" w:rsidP="00A80502">
      <w:pPr>
        <w:autoSpaceDE w:val="0"/>
        <w:autoSpaceDN w:val="0"/>
        <w:adjustRightInd w:val="0"/>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CIDH, La pena de muerte en el Sistema Interamericano de Derechos Humanos: de restricciones a abolición, OEA/</w:t>
      </w:r>
      <w:proofErr w:type="spellStart"/>
      <w:r w:rsidRPr="009D1618">
        <w:rPr>
          <w:rFonts w:ascii="Cambria" w:hAnsi="Cambria"/>
          <w:sz w:val="16"/>
          <w:szCs w:val="16"/>
          <w:lang w:val="es-ES"/>
        </w:rPr>
        <w:t>Ser.L</w:t>
      </w:r>
      <w:proofErr w:type="spellEnd"/>
      <w:r w:rsidRPr="009D1618">
        <w:rPr>
          <w:rFonts w:ascii="Cambria" w:hAnsi="Cambria"/>
          <w:sz w:val="16"/>
          <w:szCs w:val="16"/>
          <w:lang w:val="es-ES"/>
        </w:rPr>
        <w:t>/V/II.Doc. 68, 31 de diciembre de 2011</w:t>
      </w:r>
      <w:r w:rsidRPr="009D1618">
        <w:rPr>
          <w:rFonts w:ascii="Cambria" w:hAnsi="Cambria" w:cs="Calibri"/>
          <w:sz w:val="16"/>
          <w:szCs w:val="16"/>
          <w:lang w:val="es-ES"/>
        </w:rPr>
        <w:t>, párrafo</w:t>
      </w:r>
      <w:r w:rsidRPr="009D1618">
        <w:rPr>
          <w:rFonts w:ascii="Cambria" w:hAnsi="Cambria"/>
          <w:sz w:val="16"/>
          <w:szCs w:val="16"/>
          <w:lang w:val="es-ES"/>
        </w:rPr>
        <w:t xml:space="preserve"> 41.</w:t>
      </w:r>
    </w:p>
  </w:footnote>
  <w:footnote w:id="71">
    <w:p w14:paraId="0BD802AD" w14:textId="77777777" w:rsidR="00BD2651" w:rsidRPr="009D1618" w:rsidRDefault="00BD2651" w:rsidP="00A80502">
      <w:pPr>
        <w:autoSpaceDE w:val="0"/>
        <w:autoSpaceDN w:val="0"/>
        <w:adjustRightInd w:val="0"/>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CIDH, Informe No. 78/07, Caso 12.265, Fondo (Publicación), Chad Roger Goodman, Bahamas, 15 de octubre de 2007, párrafo 34.</w:t>
      </w:r>
    </w:p>
  </w:footnote>
  <w:footnote w:id="72">
    <w:p w14:paraId="78EB6170" w14:textId="77777777" w:rsidR="00BD2651" w:rsidRPr="009D1618" w:rsidRDefault="00BD2651" w:rsidP="00AF3513">
      <w:pPr>
        <w:shd w:val="clear" w:color="auto" w:fill="FFFFFF"/>
        <w:tabs>
          <w:tab w:val="num" w:pos="720"/>
          <w:tab w:val="left" w:pos="1440"/>
          <w:tab w:val="num" w:pos="2040"/>
        </w:tabs>
        <w:spacing w:after="120"/>
        <w:jc w:val="both"/>
        <w:rPr>
          <w:rFonts w:ascii="Cambria" w:hAnsi="Cambria"/>
          <w:sz w:val="16"/>
          <w:szCs w:val="16"/>
          <w:lang w:val="es-ES"/>
        </w:rPr>
      </w:pPr>
      <w:r w:rsidRPr="009D1618">
        <w:rPr>
          <w:rFonts w:ascii="Cambria" w:hAnsi="Cambria"/>
          <w:sz w:val="16"/>
          <w:szCs w:val="16"/>
          <w:lang w:val="es-VE"/>
        </w:rPr>
        <w:tab/>
      </w:r>
      <w:r w:rsidRPr="009D1618">
        <w:rPr>
          <w:rStyle w:val="FootnoteReference"/>
          <w:rFonts w:ascii="Cambria" w:hAnsi="Cambria"/>
          <w:sz w:val="16"/>
          <w:szCs w:val="16"/>
        </w:rPr>
        <w:footnoteRef/>
      </w:r>
      <w:r w:rsidRPr="009D1618">
        <w:rPr>
          <w:rFonts w:ascii="Cambria" w:hAnsi="Cambria"/>
          <w:sz w:val="16"/>
          <w:szCs w:val="16"/>
          <w:lang w:val="es-VE"/>
        </w:rPr>
        <w:t xml:space="preserve"> El artículo 8 de la Convención Americana establece en lo pertinente, lo siguiente: </w:t>
      </w:r>
    </w:p>
    <w:p w14:paraId="79060789" w14:textId="77777777" w:rsidR="00BD2651" w:rsidRPr="009D1618" w:rsidRDefault="00BD2651" w:rsidP="00AF3513">
      <w:pPr>
        <w:pStyle w:val="FootnoteText"/>
        <w:tabs>
          <w:tab w:val="left" w:pos="900"/>
        </w:tabs>
        <w:spacing w:after="120"/>
        <w:jc w:val="both"/>
        <w:rPr>
          <w:rFonts w:ascii="Cambria" w:hAnsi="Cambria" w:cs="Tahoma"/>
          <w:sz w:val="16"/>
          <w:szCs w:val="16"/>
          <w:lang w:val="es-VE"/>
        </w:rPr>
      </w:pPr>
      <w:r w:rsidRPr="009D1618">
        <w:rPr>
          <w:rFonts w:ascii="Cambria" w:hAnsi="Cambria" w:cs="Tahoma"/>
          <w:sz w:val="16"/>
          <w:szCs w:val="16"/>
          <w:lang w:val="es-VE"/>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775C0ABA" w14:textId="77777777" w:rsidR="00BD2651" w:rsidRPr="009D1618" w:rsidRDefault="00BD2651" w:rsidP="00AF3513">
      <w:pPr>
        <w:pStyle w:val="FootnoteText"/>
        <w:tabs>
          <w:tab w:val="left" w:pos="900"/>
        </w:tabs>
        <w:spacing w:after="120"/>
        <w:jc w:val="both"/>
        <w:rPr>
          <w:rFonts w:ascii="Cambria" w:hAnsi="Cambria"/>
          <w:sz w:val="16"/>
          <w:szCs w:val="16"/>
          <w:lang w:val="es-ES"/>
        </w:rPr>
      </w:pPr>
      <w:r w:rsidRPr="009D1618">
        <w:rPr>
          <w:rFonts w:ascii="Cambria" w:hAnsi="Cambria" w:cs="Verdana"/>
          <w:sz w:val="16"/>
          <w:szCs w:val="16"/>
          <w:lang w:val="es-ES" w:bidi="en-US"/>
        </w:rPr>
        <w:t>2. Toda persona inculpada de delito tiene derecho a que se presuma su inocencia mientras no se establezca legalmente su culpabilidad. Durante el proceso, toda persona tiene derecho, en plena igualdad, a las siguientes garantías mínimas: (…) c) concesión al inculpado del tiempo y de los medios adecuados para la preparación de su defensa</w:t>
      </w:r>
      <w:r w:rsidRPr="009D1618">
        <w:rPr>
          <w:rFonts w:ascii="Cambria" w:hAnsi="Cambria" w:cs="Tahoma"/>
          <w:sz w:val="16"/>
          <w:szCs w:val="16"/>
          <w:lang w:val="es-VE"/>
        </w:rPr>
        <w:t xml:space="preserve"> (…).</w:t>
      </w:r>
    </w:p>
  </w:footnote>
  <w:footnote w:id="73">
    <w:p w14:paraId="21147A6F" w14:textId="77777777" w:rsidR="00BD2651" w:rsidRPr="009D1618" w:rsidRDefault="00BD2651" w:rsidP="00AF3513">
      <w:pPr>
        <w:tabs>
          <w:tab w:val="left" w:pos="720"/>
        </w:tabs>
        <w:spacing w:after="120"/>
        <w:jc w:val="both"/>
        <w:rPr>
          <w:rFonts w:ascii="Cambria" w:hAnsi="Cambria"/>
          <w:sz w:val="16"/>
          <w:szCs w:val="16"/>
          <w:lang w:val="es-CO"/>
        </w:rPr>
      </w:pPr>
      <w:r w:rsidRPr="009D1618">
        <w:rPr>
          <w:rFonts w:ascii="Cambria" w:hAnsi="Cambria"/>
          <w:sz w:val="16"/>
          <w:szCs w:val="16"/>
          <w:lang w:val="es-VE"/>
        </w:rPr>
        <w:tab/>
      </w:r>
      <w:r w:rsidRPr="009D1618">
        <w:rPr>
          <w:rStyle w:val="FootnoteReference"/>
          <w:rFonts w:ascii="Cambria" w:hAnsi="Cambria"/>
          <w:sz w:val="16"/>
          <w:szCs w:val="16"/>
        </w:rPr>
        <w:footnoteRef/>
      </w:r>
      <w:r w:rsidRPr="009D1618">
        <w:rPr>
          <w:rFonts w:ascii="Cambria" w:hAnsi="Cambria"/>
          <w:sz w:val="16"/>
          <w:szCs w:val="16"/>
          <w:lang w:val="es-VE"/>
        </w:rPr>
        <w:t xml:space="preserve"> El artículo 25 de la Convención Americana establece en lo pertinente, lo siguiente: </w:t>
      </w:r>
      <w:r w:rsidRPr="009D1618">
        <w:rPr>
          <w:rFonts w:ascii="Cambria" w:hAnsi="Cambria" w:cs="Tahoma"/>
          <w:color w:val="000000"/>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74">
    <w:p w14:paraId="29A9A75A" w14:textId="77777777" w:rsidR="00BD2651" w:rsidRPr="009D1618" w:rsidRDefault="00BD2651" w:rsidP="00AF3513">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El artículo 9 de la Convención Americana establece lo siguiente: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  </w:t>
      </w:r>
    </w:p>
  </w:footnote>
  <w:footnote w:id="75">
    <w:p w14:paraId="6C85F5EB" w14:textId="77777777" w:rsidR="00BD2651" w:rsidRPr="009D1618" w:rsidRDefault="00BD2651" w:rsidP="00EB51C0">
      <w:pPr>
        <w:pStyle w:val="FootnoteText"/>
        <w:spacing w:after="120"/>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CIDH, La pena de muerte en el Sistema Interamericano de Derechos Humanos: de restricciones a abolición, OEA/</w:t>
      </w:r>
      <w:proofErr w:type="spellStart"/>
      <w:r w:rsidRPr="009D1618">
        <w:rPr>
          <w:rFonts w:ascii="Cambria" w:hAnsi="Cambria"/>
          <w:sz w:val="16"/>
          <w:szCs w:val="16"/>
          <w:lang w:val="es-VE"/>
        </w:rPr>
        <w:t>Ser.L</w:t>
      </w:r>
      <w:proofErr w:type="spellEnd"/>
      <w:r w:rsidRPr="009D1618">
        <w:rPr>
          <w:rFonts w:ascii="Cambria" w:hAnsi="Cambria"/>
          <w:sz w:val="16"/>
          <w:szCs w:val="16"/>
          <w:lang w:val="es-VE"/>
        </w:rPr>
        <w:t>/V/II.Doc.68, 31 de diciembre de 2011, Pág.91.</w:t>
      </w:r>
    </w:p>
  </w:footnote>
  <w:footnote w:id="76">
    <w:p w14:paraId="6A382A7C" w14:textId="77777777" w:rsidR="00BD2651" w:rsidRPr="009D1618" w:rsidRDefault="00BD2651" w:rsidP="00EB51C0">
      <w:pPr>
        <w:pStyle w:val="FootnoteText"/>
        <w:spacing w:after="120"/>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CIDH, Informe no. 54/14, Petición 684-14, Admisibilidad, Russell </w:t>
      </w:r>
      <w:proofErr w:type="spellStart"/>
      <w:r w:rsidRPr="009D1618">
        <w:rPr>
          <w:rFonts w:ascii="Cambria" w:hAnsi="Cambria"/>
          <w:sz w:val="16"/>
          <w:szCs w:val="16"/>
          <w:lang w:val="es-VE"/>
        </w:rPr>
        <w:t>Bucklew</w:t>
      </w:r>
      <w:proofErr w:type="spellEnd"/>
      <w:r w:rsidRPr="009D1618">
        <w:rPr>
          <w:rFonts w:ascii="Cambria" w:hAnsi="Cambria"/>
          <w:sz w:val="16"/>
          <w:szCs w:val="16"/>
          <w:lang w:val="es-VE"/>
        </w:rPr>
        <w:t xml:space="preserve"> y Charles Warner, Estados Unidos, 21 de julio de 2014, párr. 39.</w:t>
      </w:r>
    </w:p>
  </w:footnote>
  <w:footnote w:id="77">
    <w:p w14:paraId="07C2C977" w14:textId="361CB15A" w:rsidR="00BD2651" w:rsidRPr="009D1618" w:rsidRDefault="00BD2651" w:rsidP="00221549">
      <w:pPr>
        <w:pStyle w:val="FootnoteText"/>
        <w:spacing w:after="120"/>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es-VE"/>
        </w:rPr>
        <w:t xml:space="preserve"> CIDH,</w:t>
      </w:r>
      <w:r w:rsidRPr="009D1618">
        <w:rPr>
          <w:rFonts w:ascii="Cambria" w:hAnsi="Cambria"/>
          <w:sz w:val="16"/>
          <w:szCs w:val="16"/>
          <w:lang w:val="es-VE"/>
        </w:rPr>
        <w:t xml:space="preserve"> Informe No. 76/16, Caso 12.254. Fondo. </w:t>
      </w:r>
      <w:proofErr w:type="spellStart"/>
      <w:r w:rsidRPr="009D1618">
        <w:rPr>
          <w:rFonts w:ascii="Cambria" w:hAnsi="Cambria"/>
          <w:sz w:val="16"/>
          <w:szCs w:val="16"/>
          <w:lang w:val="es-VE"/>
        </w:rPr>
        <w:t>Victor</w:t>
      </w:r>
      <w:proofErr w:type="spellEnd"/>
      <w:r w:rsidRPr="009D1618">
        <w:rPr>
          <w:rFonts w:ascii="Cambria" w:hAnsi="Cambria"/>
          <w:sz w:val="16"/>
          <w:szCs w:val="16"/>
          <w:lang w:val="es-VE"/>
        </w:rPr>
        <w:t xml:space="preserve"> </w:t>
      </w:r>
      <w:proofErr w:type="spellStart"/>
      <w:r w:rsidRPr="009D1618">
        <w:rPr>
          <w:rFonts w:ascii="Cambria" w:hAnsi="Cambria"/>
          <w:sz w:val="16"/>
          <w:szCs w:val="16"/>
          <w:lang w:val="es-VE"/>
        </w:rPr>
        <w:t>Saldaño</w:t>
      </w:r>
      <w:proofErr w:type="spellEnd"/>
      <w:r w:rsidRPr="009D1618">
        <w:rPr>
          <w:rFonts w:ascii="Cambria" w:hAnsi="Cambria"/>
          <w:sz w:val="16"/>
          <w:szCs w:val="16"/>
          <w:lang w:val="es-VE"/>
        </w:rPr>
        <w:t>. Estados Unidos. 10 de diciembre de 2016, párr. 148.</w:t>
      </w:r>
    </w:p>
  </w:footnote>
  <w:footnote w:id="78">
    <w:p w14:paraId="56B79BB7" w14:textId="77777777" w:rsidR="00BD2651" w:rsidRPr="009D1618" w:rsidRDefault="00BD2651" w:rsidP="00221549">
      <w:pPr>
        <w:spacing w:after="120"/>
        <w:ind w:firstLine="720"/>
        <w:jc w:val="both"/>
        <w:rPr>
          <w:rFonts w:ascii="Cambria" w:hAnsi="Cambria"/>
          <w:sz w:val="16"/>
          <w:szCs w:val="16"/>
          <w:lang w:val="pt-BR"/>
        </w:rPr>
      </w:pPr>
      <w:r w:rsidRPr="009D1618">
        <w:rPr>
          <w:rStyle w:val="FootnoteReference"/>
          <w:rFonts w:ascii="Cambria" w:hAnsi="Cambria"/>
          <w:sz w:val="16"/>
          <w:szCs w:val="16"/>
        </w:rPr>
        <w:footnoteRef/>
      </w:r>
      <w:r w:rsidRPr="009D1618">
        <w:rPr>
          <w:rFonts w:ascii="Cambria" w:hAnsi="Cambria"/>
          <w:sz w:val="16"/>
          <w:szCs w:val="16"/>
          <w:lang w:val="es-ES"/>
        </w:rPr>
        <w:t xml:space="preserve"> Comité de Derechos Humanos del PIDCP. </w:t>
      </w:r>
      <w:r w:rsidRPr="009D1618">
        <w:rPr>
          <w:rFonts w:ascii="Cambria" w:hAnsi="Cambria" w:cs="Georgia"/>
          <w:bCs/>
          <w:sz w:val="16"/>
          <w:szCs w:val="16"/>
          <w:lang w:val="es-CO"/>
        </w:rPr>
        <w:t xml:space="preserve">Robert John </w:t>
      </w:r>
      <w:proofErr w:type="spellStart"/>
      <w:r w:rsidRPr="009D1618">
        <w:rPr>
          <w:rFonts w:ascii="Cambria" w:hAnsi="Cambria" w:cs="Georgia"/>
          <w:bCs/>
          <w:sz w:val="16"/>
          <w:szCs w:val="16"/>
          <w:lang w:val="es-CO"/>
        </w:rPr>
        <w:t>Fardon</w:t>
      </w:r>
      <w:proofErr w:type="spellEnd"/>
      <w:r w:rsidRPr="009D1618">
        <w:rPr>
          <w:rFonts w:ascii="Cambria" w:hAnsi="Cambria" w:cs="Georgia"/>
          <w:bCs/>
          <w:sz w:val="16"/>
          <w:szCs w:val="16"/>
          <w:lang w:val="es-CO"/>
        </w:rPr>
        <w:t xml:space="preserve"> v. Australia, Comunicación No. 1629/2007, U.N. Doc. </w:t>
      </w:r>
      <w:r w:rsidRPr="009D1618">
        <w:rPr>
          <w:rFonts w:ascii="Cambria" w:hAnsi="Cambria" w:cs="Georgia"/>
          <w:bCs/>
          <w:sz w:val="16"/>
          <w:szCs w:val="16"/>
          <w:lang w:val="pt-BR"/>
        </w:rPr>
        <w:t xml:space="preserve">CCPR/C/98/D/1629/2007 (2010). Párr. 7.4. </w:t>
      </w:r>
    </w:p>
  </w:footnote>
  <w:footnote w:id="79">
    <w:p w14:paraId="5CDDB23E" w14:textId="77777777" w:rsidR="00BD2651" w:rsidRPr="009D1618" w:rsidRDefault="00BD2651" w:rsidP="00221549">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pt-BR"/>
        </w:rPr>
        <w:t xml:space="preserve"> Corte IDH. Caso Fermín Ramírez vs. Guatemala. </w:t>
      </w:r>
      <w:r w:rsidRPr="009D1618">
        <w:rPr>
          <w:rFonts w:ascii="Cambria" w:hAnsi="Cambria"/>
          <w:sz w:val="16"/>
          <w:szCs w:val="16"/>
          <w:lang w:val="es-VE"/>
        </w:rPr>
        <w:t xml:space="preserve">Fondo, Reparaciones y Costas. Sentencia de 20 de junio de 2005. Serie C No. 126. Párr. 94. </w:t>
      </w:r>
    </w:p>
  </w:footnote>
  <w:footnote w:id="80">
    <w:p w14:paraId="400BCA8B" w14:textId="77777777" w:rsidR="00BD2651" w:rsidRPr="009D1618" w:rsidRDefault="00BD2651" w:rsidP="00221549">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w:t>
      </w:r>
      <w:r w:rsidRPr="009D1618">
        <w:rPr>
          <w:rStyle w:val="Strong"/>
          <w:rFonts w:ascii="Cambria" w:eastAsia="Times New Roman" w:hAnsi="Cambria"/>
          <w:b w:val="0"/>
          <w:sz w:val="16"/>
          <w:szCs w:val="16"/>
          <w:lang w:val="es-ES"/>
        </w:rPr>
        <w:t xml:space="preserve">Corte IDH. Caso Pollo Rivera y otros Vs. Perú. Fondo, Reparaciones y Costas. Sentencia de 21 de octubre de 2016. Serie C No. 319. Párr. 248. </w:t>
      </w:r>
    </w:p>
  </w:footnote>
  <w:footnote w:id="81">
    <w:p w14:paraId="1F65FE0E" w14:textId="77777777" w:rsidR="00BD2651" w:rsidRPr="009D1618" w:rsidRDefault="00BD2651" w:rsidP="00221549">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w:t>
      </w:r>
      <w:r w:rsidRPr="009D1618">
        <w:rPr>
          <w:rStyle w:val="Strong"/>
          <w:rFonts w:ascii="Cambria" w:eastAsia="Times New Roman" w:hAnsi="Cambria"/>
          <w:b w:val="0"/>
          <w:sz w:val="16"/>
          <w:szCs w:val="16"/>
          <w:lang w:val="es-ES"/>
        </w:rPr>
        <w:t xml:space="preserve">Corte IDH. Caso Pollo Rivera y otros Vs. Perú. Fondo, Reparaciones y Costas. Sentencia de 21 de octubre de 2016. Serie C No. 319. Párr. 249. </w:t>
      </w:r>
    </w:p>
  </w:footnote>
  <w:footnote w:id="82">
    <w:p w14:paraId="26D02479" w14:textId="77777777" w:rsidR="00BD2651" w:rsidRPr="009D1618" w:rsidRDefault="00BD2651" w:rsidP="00221549">
      <w:pPr>
        <w:pStyle w:val="FootnoteText"/>
        <w:spacing w:after="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Corte IDH. Caso Fermín Ramírez vs. Guatemala. </w:t>
      </w:r>
      <w:r w:rsidRPr="009D1618">
        <w:rPr>
          <w:rFonts w:ascii="Cambria" w:hAnsi="Cambria"/>
          <w:sz w:val="16"/>
          <w:szCs w:val="16"/>
          <w:lang w:val="es-VE"/>
        </w:rPr>
        <w:t xml:space="preserve">Fondo, Reparaciones y Costas. Sentencia de 20 de junio de 2005. Serie C No. 126. Párr. 95 y 96. </w:t>
      </w:r>
    </w:p>
  </w:footnote>
  <w:footnote w:id="83">
    <w:p w14:paraId="1A13F114" w14:textId="6AB911EE" w:rsidR="00BD2651" w:rsidRPr="009D1618" w:rsidRDefault="00BD2651" w:rsidP="00AE32FE">
      <w:pPr>
        <w:pStyle w:val="FootnoteText"/>
        <w:spacing w:after="120"/>
        <w:ind w:firstLine="720"/>
        <w:jc w:val="both"/>
        <w:rPr>
          <w:rFonts w:ascii="Cambria" w:hAnsi="Cambria"/>
          <w:sz w:val="16"/>
          <w:szCs w:val="16"/>
          <w:lang w:val="es-VE"/>
        </w:rPr>
      </w:pPr>
      <w:r w:rsidRPr="009D1618">
        <w:rPr>
          <w:rStyle w:val="FootnoteReference"/>
          <w:rFonts w:ascii="Cambria" w:hAnsi="Cambria"/>
          <w:sz w:val="16"/>
          <w:szCs w:val="16"/>
        </w:rPr>
        <w:footnoteRef/>
      </w:r>
      <w:r>
        <w:rPr>
          <w:rFonts w:ascii="Cambria" w:hAnsi="Cambria"/>
          <w:sz w:val="16"/>
          <w:szCs w:val="16"/>
          <w:lang w:val="pt-BR"/>
        </w:rPr>
        <w:t xml:space="preserve"> Corte IDH.</w:t>
      </w:r>
      <w:r w:rsidRPr="009D1618">
        <w:rPr>
          <w:rFonts w:ascii="Cambria" w:hAnsi="Cambria"/>
          <w:sz w:val="16"/>
          <w:szCs w:val="16"/>
          <w:lang w:val="pt-BR"/>
        </w:rPr>
        <w:t xml:space="preserve"> Palamara Iribarne vs. Chile.  </w:t>
      </w:r>
      <w:r w:rsidRPr="009D1618">
        <w:rPr>
          <w:rFonts w:ascii="Cambria" w:hAnsi="Cambria"/>
          <w:sz w:val="16"/>
          <w:szCs w:val="16"/>
          <w:lang w:val="es-VE"/>
        </w:rPr>
        <w:t>Sentencia de 22 de noviembre de 2005. Serie C No. 135, párr. 146.</w:t>
      </w:r>
    </w:p>
  </w:footnote>
  <w:footnote w:id="84">
    <w:p w14:paraId="0A144BCF" w14:textId="77777777" w:rsidR="00BD2651" w:rsidRPr="009D1618" w:rsidRDefault="00BD2651" w:rsidP="00293DEC">
      <w:pPr>
        <w:pStyle w:val="FootnoteText"/>
        <w:spacing w:before="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CIDH, </w:t>
      </w:r>
      <w:r w:rsidR="00576DDC">
        <w:fldChar w:fldCharType="begin"/>
      </w:r>
      <w:r w:rsidR="00576DDC" w:rsidRPr="00127AE7">
        <w:rPr>
          <w:lang w:val="es-UY"/>
        </w:rPr>
        <w:instrText xml:space="preserve"> HYPERLINK "http://www.oas.org/es/cidh/defensores/docs/pdf/Operadores-de-Justicia-2013.pdf" </w:instrText>
      </w:r>
      <w:r w:rsidR="00576DDC">
        <w:fldChar w:fldCharType="separate"/>
      </w:r>
      <w:r w:rsidRPr="009D1618">
        <w:rPr>
          <w:rStyle w:val="Hyperlink"/>
          <w:rFonts w:ascii="Cambria" w:hAnsi="Cambria"/>
          <w:sz w:val="16"/>
          <w:szCs w:val="16"/>
          <w:u w:val="none"/>
          <w:lang w:val="es-ES"/>
        </w:rPr>
        <w:t>Garantías para la independencia de las y los operadores de justicia</w:t>
      </w:r>
      <w:r w:rsidR="00576DDC">
        <w:rPr>
          <w:rStyle w:val="Hyperlink"/>
          <w:rFonts w:ascii="Cambria" w:hAnsi="Cambria"/>
          <w:sz w:val="16"/>
          <w:szCs w:val="16"/>
          <w:u w:val="none"/>
          <w:lang w:val="es-ES"/>
        </w:rPr>
        <w:fldChar w:fldCharType="end"/>
      </w:r>
      <w:r w:rsidRPr="009D1618">
        <w:rPr>
          <w:rFonts w:ascii="Cambria" w:hAnsi="Cambria"/>
          <w:sz w:val="16"/>
          <w:szCs w:val="16"/>
          <w:lang w:val="es-ES"/>
        </w:rPr>
        <w:t xml:space="preserve"> – Hacia el fortalecimiento del acceso a la justicia y el Estado de Derecho en las Américas, 5 de diciembre de 2013, párr. 201.</w:t>
      </w:r>
    </w:p>
  </w:footnote>
  <w:footnote w:id="85">
    <w:p w14:paraId="47ACF8E0" w14:textId="77777777" w:rsidR="00BD2651" w:rsidRPr="009D1618" w:rsidRDefault="00BD2651" w:rsidP="00293DEC">
      <w:pPr>
        <w:pStyle w:val="FootnoteText"/>
        <w:spacing w:before="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CIDH, </w:t>
      </w:r>
      <w:r w:rsidR="00576DDC">
        <w:fldChar w:fldCharType="begin"/>
      </w:r>
      <w:r w:rsidR="00576DDC" w:rsidRPr="00127AE7">
        <w:rPr>
          <w:lang w:val="es-UY"/>
        </w:rPr>
        <w:instrText xml:space="preserve"> HYPERLINK "http://www.oas.org/es/cidh/defensores/docs/pdf/Operadores-de-Justicia-2013.pdf" </w:instrText>
      </w:r>
      <w:r w:rsidR="00576DDC">
        <w:fldChar w:fldCharType="separate"/>
      </w:r>
      <w:r w:rsidRPr="009D1618">
        <w:rPr>
          <w:rStyle w:val="Hyperlink"/>
          <w:rFonts w:ascii="Cambria" w:hAnsi="Cambria"/>
          <w:sz w:val="16"/>
          <w:szCs w:val="16"/>
          <w:u w:val="none"/>
          <w:lang w:val="es-ES"/>
        </w:rPr>
        <w:t>Garantías para la independencia de las y los operadores de justicia</w:t>
      </w:r>
      <w:r w:rsidR="00576DDC">
        <w:rPr>
          <w:rStyle w:val="Hyperlink"/>
          <w:rFonts w:ascii="Cambria" w:hAnsi="Cambria"/>
          <w:sz w:val="16"/>
          <w:szCs w:val="16"/>
          <w:u w:val="none"/>
          <w:lang w:val="es-ES"/>
        </w:rPr>
        <w:fldChar w:fldCharType="end"/>
      </w:r>
      <w:r w:rsidRPr="009D1618">
        <w:rPr>
          <w:rFonts w:ascii="Cambria" w:hAnsi="Cambria"/>
          <w:sz w:val="16"/>
          <w:szCs w:val="16"/>
          <w:lang w:val="es-ES"/>
        </w:rPr>
        <w:t xml:space="preserve"> – Hacia el fortalecimiento del acceso a la justicia y el Estado de Derecho en las Américas, 5 de diciembre de 2013, párr. 201.</w:t>
      </w:r>
    </w:p>
  </w:footnote>
  <w:footnote w:id="86">
    <w:p w14:paraId="51D47773" w14:textId="77777777" w:rsidR="00BD2651" w:rsidRPr="00FE7176" w:rsidRDefault="00BD2651" w:rsidP="00293DEC">
      <w:pPr>
        <w:pStyle w:val="FootnoteText"/>
        <w:spacing w:before="120"/>
        <w:ind w:firstLine="720"/>
        <w:jc w:val="both"/>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ES"/>
        </w:rPr>
        <w:t xml:space="preserve"> Corte IDH. </w:t>
      </w:r>
      <w:r w:rsidRPr="00FE7176">
        <w:rPr>
          <w:rFonts w:ascii="Cambria" w:hAnsi="Cambria"/>
          <w:sz w:val="16"/>
          <w:szCs w:val="16"/>
          <w:lang w:val="es-ES"/>
        </w:rPr>
        <w:t xml:space="preserve">Caso </w:t>
      </w:r>
      <w:proofErr w:type="spellStart"/>
      <w:r w:rsidRPr="00FE7176">
        <w:rPr>
          <w:rFonts w:ascii="Cambria" w:hAnsi="Cambria"/>
          <w:sz w:val="16"/>
          <w:szCs w:val="16"/>
          <w:lang w:val="es-ES"/>
        </w:rPr>
        <w:t>Apitz</w:t>
      </w:r>
      <w:proofErr w:type="spellEnd"/>
      <w:r w:rsidRPr="00FE7176">
        <w:rPr>
          <w:rFonts w:ascii="Cambria" w:hAnsi="Cambria"/>
          <w:sz w:val="16"/>
          <w:szCs w:val="16"/>
          <w:lang w:val="es-ES"/>
        </w:rPr>
        <w:t xml:space="preserve"> Barbera y otros (“Corte Primera de lo Contencioso Administrativo”) Vs. Venezuela. Excepción Preliminar, Fondo, Reparaciones y Costas. </w:t>
      </w:r>
      <w:r w:rsidRPr="00FE7176">
        <w:rPr>
          <w:rFonts w:ascii="Cambria" w:hAnsi="Cambria"/>
          <w:sz w:val="16"/>
          <w:szCs w:val="16"/>
          <w:lang w:val="es-CO"/>
        </w:rPr>
        <w:t xml:space="preserve">Sentencia de 5 de agosto de 2008. Serie C No. 182, </w:t>
      </w:r>
      <w:proofErr w:type="spellStart"/>
      <w:r w:rsidRPr="00FE7176">
        <w:rPr>
          <w:rFonts w:ascii="Cambria" w:hAnsi="Cambria"/>
          <w:sz w:val="16"/>
          <w:szCs w:val="16"/>
          <w:lang w:val="es-CO"/>
        </w:rPr>
        <w:t>párrs</w:t>
      </w:r>
      <w:proofErr w:type="spellEnd"/>
      <w:r w:rsidRPr="00FE7176">
        <w:rPr>
          <w:rFonts w:ascii="Cambria" w:hAnsi="Cambria"/>
          <w:sz w:val="16"/>
          <w:szCs w:val="16"/>
          <w:lang w:val="es-CO"/>
        </w:rPr>
        <w:t>. 59-67 y 253.</w:t>
      </w:r>
    </w:p>
  </w:footnote>
  <w:footnote w:id="87">
    <w:p w14:paraId="5EF75AF4" w14:textId="305381D0" w:rsidR="00BD2651" w:rsidRPr="009D1618" w:rsidRDefault="00BD2651" w:rsidP="007301EB">
      <w:pPr>
        <w:pStyle w:val="FootnoteText"/>
        <w:spacing w:before="120"/>
        <w:ind w:firstLine="720"/>
        <w:jc w:val="both"/>
        <w:rPr>
          <w:rFonts w:ascii="Cambria" w:hAnsi="Cambria"/>
          <w:sz w:val="16"/>
          <w:szCs w:val="16"/>
          <w:lang w:val="es-ES_tradnl"/>
        </w:rPr>
      </w:pPr>
      <w:r w:rsidRPr="00FE7176">
        <w:rPr>
          <w:rStyle w:val="FootnoteReference"/>
          <w:rFonts w:ascii="Cambria" w:hAnsi="Cambria"/>
          <w:sz w:val="16"/>
          <w:szCs w:val="16"/>
        </w:rPr>
        <w:footnoteRef/>
      </w:r>
      <w:r w:rsidRPr="00FE7176">
        <w:rPr>
          <w:rFonts w:ascii="Cambria" w:hAnsi="Cambria"/>
          <w:sz w:val="16"/>
          <w:szCs w:val="16"/>
          <w:lang w:val="es-VE"/>
        </w:rPr>
        <w:t xml:space="preserve"> Corte IDH. Herrera Ulloa Vs. </w:t>
      </w:r>
      <w:r w:rsidRPr="00FE7176">
        <w:rPr>
          <w:rFonts w:ascii="Cambria" w:hAnsi="Cambria"/>
          <w:sz w:val="16"/>
          <w:szCs w:val="16"/>
          <w:lang w:val="es-ES_tradnl"/>
        </w:rPr>
        <w:t xml:space="preserve">Costa Rica. Sentencia de Excepciones Preliminares, Fondo, Reparaciones y Costas. 2 de julio de 2004, Serie C No. 107, </w:t>
      </w:r>
      <w:proofErr w:type="spellStart"/>
      <w:r w:rsidRPr="00FE7176">
        <w:rPr>
          <w:rFonts w:ascii="Cambria" w:hAnsi="Cambria"/>
          <w:sz w:val="16"/>
          <w:szCs w:val="16"/>
          <w:lang w:val="es-ES_tradnl"/>
        </w:rPr>
        <w:t>párrs</w:t>
      </w:r>
      <w:proofErr w:type="spellEnd"/>
      <w:r w:rsidRPr="00FE7176">
        <w:rPr>
          <w:rFonts w:ascii="Cambria" w:hAnsi="Cambria"/>
          <w:sz w:val="16"/>
          <w:szCs w:val="16"/>
          <w:lang w:val="es-ES_tradnl"/>
        </w:rPr>
        <w:t>. 174-175.</w:t>
      </w:r>
    </w:p>
  </w:footnote>
  <w:footnote w:id="88">
    <w:p w14:paraId="52693D39" w14:textId="77777777" w:rsidR="00BD2651" w:rsidRPr="00FE7176" w:rsidRDefault="00BD2651" w:rsidP="000F3FA8">
      <w:pPr>
        <w:pStyle w:val="FootnoteText"/>
        <w:ind w:firstLine="708"/>
        <w:rPr>
          <w:rFonts w:ascii="Cambria" w:hAnsi="Cambria"/>
          <w:sz w:val="16"/>
          <w:szCs w:val="16"/>
          <w:lang w:val="es-ES"/>
        </w:rPr>
      </w:pPr>
      <w:r w:rsidRPr="009D1618">
        <w:rPr>
          <w:rStyle w:val="FootnoteReference"/>
          <w:rFonts w:ascii="Cambria" w:hAnsi="Cambria"/>
          <w:sz w:val="16"/>
          <w:szCs w:val="16"/>
        </w:rPr>
        <w:footnoteRef/>
      </w:r>
      <w:r w:rsidRPr="009D1618">
        <w:rPr>
          <w:rFonts w:ascii="Cambria" w:hAnsi="Cambria"/>
          <w:sz w:val="16"/>
          <w:szCs w:val="16"/>
          <w:lang w:val="es-VE"/>
        </w:rPr>
        <w:t xml:space="preserve"> </w:t>
      </w:r>
      <w:r w:rsidRPr="00FE7176">
        <w:rPr>
          <w:rFonts w:ascii="Cambria" w:hAnsi="Cambria"/>
          <w:sz w:val="16"/>
          <w:szCs w:val="16"/>
          <w:lang w:val="es-ES_tradnl"/>
        </w:rPr>
        <w:t xml:space="preserve">CIDH. Informe No. 33/14. Caso 12.820. Fondo. </w:t>
      </w:r>
      <w:proofErr w:type="spellStart"/>
      <w:r w:rsidRPr="00FE7176">
        <w:rPr>
          <w:rFonts w:ascii="Cambria" w:hAnsi="Cambria"/>
          <w:sz w:val="16"/>
          <w:szCs w:val="16"/>
          <w:lang w:val="es-ES_tradnl"/>
        </w:rPr>
        <w:t>Manfred</w:t>
      </w:r>
      <w:proofErr w:type="spellEnd"/>
      <w:r w:rsidRPr="00FE7176">
        <w:rPr>
          <w:rFonts w:ascii="Cambria" w:hAnsi="Cambria"/>
          <w:sz w:val="16"/>
          <w:szCs w:val="16"/>
          <w:lang w:val="es-ES_tradnl"/>
        </w:rPr>
        <w:t xml:space="preserve"> </w:t>
      </w:r>
      <w:proofErr w:type="spellStart"/>
      <w:r w:rsidRPr="00FE7176">
        <w:rPr>
          <w:rFonts w:ascii="Cambria" w:hAnsi="Cambria"/>
          <w:sz w:val="16"/>
          <w:szCs w:val="16"/>
          <w:lang w:val="es-ES_tradnl"/>
        </w:rPr>
        <w:t>Amhrein</w:t>
      </w:r>
      <w:proofErr w:type="spellEnd"/>
      <w:r w:rsidRPr="00FE7176">
        <w:rPr>
          <w:rFonts w:ascii="Cambria" w:hAnsi="Cambria"/>
          <w:sz w:val="16"/>
          <w:szCs w:val="16"/>
          <w:lang w:val="es-ES_tradnl"/>
        </w:rPr>
        <w:t xml:space="preserve"> y otros. Costa Rica. 4 de abril de 2014. </w:t>
      </w:r>
      <w:proofErr w:type="spellStart"/>
      <w:r w:rsidRPr="00FE7176">
        <w:rPr>
          <w:rFonts w:ascii="Cambria" w:hAnsi="Cambria"/>
          <w:sz w:val="16"/>
          <w:szCs w:val="16"/>
          <w:lang w:val="es-CL"/>
        </w:rPr>
        <w:t>Párrs</w:t>
      </w:r>
      <w:proofErr w:type="spellEnd"/>
      <w:r w:rsidRPr="00FE7176">
        <w:rPr>
          <w:rFonts w:ascii="Cambria" w:hAnsi="Cambria"/>
          <w:sz w:val="16"/>
          <w:szCs w:val="16"/>
          <w:lang w:val="es-CL"/>
        </w:rPr>
        <w:t>. 263 y ss.</w:t>
      </w:r>
    </w:p>
  </w:footnote>
  <w:footnote w:id="89">
    <w:p w14:paraId="2A5E93D7" w14:textId="77777777" w:rsidR="00BD2651" w:rsidRPr="009D1618" w:rsidRDefault="00BD2651" w:rsidP="00EF3260">
      <w:pPr>
        <w:spacing w:after="120"/>
        <w:ind w:firstLine="708"/>
        <w:jc w:val="both"/>
        <w:rPr>
          <w:rFonts w:ascii="Cambria" w:hAnsi="Cambria"/>
          <w:sz w:val="16"/>
          <w:szCs w:val="16"/>
          <w:lang w:val="es-ES"/>
        </w:rPr>
      </w:pPr>
      <w:r w:rsidRPr="00FE7176">
        <w:rPr>
          <w:rStyle w:val="FootnoteReference"/>
          <w:rFonts w:ascii="Cambria" w:hAnsi="Cambria"/>
          <w:sz w:val="16"/>
          <w:szCs w:val="16"/>
        </w:rPr>
        <w:footnoteRef/>
      </w:r>
      <w:r w:rsidRPr="00FE7176">
        <w:rPr>
          <w:rFonts w:ascii="Cambria" w:hAnsi="Cambria"/>
          <w:sz w:val="16"/>
          <w:szCs w:val="16"/>
          <w:lang w:val="es-ES"/>
        </w:rPr>
        <w:t xml:space="preserve"> Corte IDH. Condición Jurídica y Derechos de los Migrantes Indocumentados. Opinión Consultiva OC-18/03 de 17 de septiembre  de 2003. Serie A No. 18. párr. 117.</w:t>
      </w:r>
    </w:p>
  </w:footnote>
  <w:footnote w:id="90">
    <w:p w14:paraId="095A7AAC" w14:textId="77777777" w:rsidR="00BD2651" w:rsidRPr="009D1618" w:rsidRDefault="00BD2651" w:rsidP="0096735B">
      <w:pPr>
        <w:pStyle w:val="FootnoteText"/>
        <w:ind w:firstLine="720"/>
        <w:jc w:val="both"/>
        <w:rPr>
          <w:rFonts w:ascii="Cambria" w:hAnsi="Cambria"/>
          <w:sz w:val="16"/>
          <w:szCs w:val="16"/>
          <w:lang w:val="es-VE"/>
        </w:rPr>
      </w:pPr>
      <w:r w:rsidRPr="009D1618">
        <w:rPr>
          <w:rStyle w:val="FootnoteReference"/>
          <w:rFonts w:ascii="Cambria" w:hAnsi="Cambria"/>
          <w:sz w:val="16"/>
          <w:szCs w:val="16"/>
        </w:rPr>
        <w:footnoteRef/>
      </w:r>
      <w:r w:rsidRPr="009D1618">
        <w:rPr>
          <w:rFonts w:ascii="Cambria" w:hAnsi="Cambria"/>
          <w:sz w:val="16"/>
          <w:szCs w:val="16"/>
          <w:lang w:val="es-CO"/>
        </w:rPr>
        <w:t xml:space="preserve"> Corte IDH. </w:t>
      </w:r>
      <w:r w:rsidRPr="009D1618">
        <w:rPr>
          <w:rFonts w:ascii="Cambria" w:hAnsi="Cambria"/>
          <w:sz w:val="16"/>
          <w:szCs w:val="16"/>
          <w:lang w:val="es-VE"/>
        </w:rPr>
        <w:t xml:space="preserve">Caso </w:t>
      </w:r>
      <w:proofErr w:type="spellStart"/>
      <w:r w:rsidRPr="009D1618">
        <w:rPr>
          <w:rFonts w:ascii="Cambria" w:hAnsi="Cambria"/>
          <w:sz w:val="16"/>
          <w:szCs w:val="16"/>
          <w:lang w:val="es-VE"/>
        </w:rPr>
        <w:t>Apitz</w:t>
      </w:r>
      <w:proofErr w:type="spellEnd"/>
      <w:r w:rsidRPr="009D1618">
        <w:rPr>
          <w:rFonts w:ascii="Cambria" w:hAnsi="Cambria"/>
          <w:sz w:val="16"/>
          <w:szCs w:val="16"/>
          <w:lang w:val="es-VE"/>
        </w:rPr>
        <w:t xml:space="preserve"> Barbera y otros (“Corte Primera de lo Contencioso Administrativo”) vs. Venezuela, Excepción Preliminar, Fondo, Reparaciones y Costas. Sentencia de 5 de agosto de 2008. Serie C No. 182, párr.77.</w:t>
      </w:r>
    </w:p>
  </w:footnote>
  <w:footnote w:id="91">
    <w:p w14:paraId="6F20CA9C" w14:textId="77777777" w:rsidR="00BD2651" w:rsidRPr="009D1618" w:rsidRDefault="00BD2651" w:rsidP="000F3FA8">
      <w:pPr>
        <w:ind w:firstLine="720"/>
        <w:jc w:val="both"/>
        <w:rPr>
          <w:rFonts w:ascii="Cambria" w:eastAsia="Times New Roman" w:hAnsi="Cambria"/>
          <w:sz w:val="16"/>
          <w:szCs w:val="16"/>
          <w:bdr w:val="none" w:sz="0" w:space="0" w:color="auto"/>
          <w:lang w:val="es-VE"/>
        </w:rPr>
      </w:pPr>
      <w:r w:rsidRPr="009D1618">
        <w:rPr>
          <w:rStyle w:val="FootnoteReference"/>
          <w:rFonts w:ascii="Cambria" w:hAnsi="Cambria"/>
          <w:sz w:val="16"/>
          <w:szCs w:val="16"/>
        </w:rPr>
        <w:footnoteRef/>
      </w:r>
      <w:r w:rsidRPr="009D1618">
        <w:rPr>
          <w:rFonts w:ascii="Cambria" w:hAnsi="Cambria"/>
          <w:sz w:val="16"/>
          <w:szCs w:val="16"/>
          <w:lang w:val="es-VE"/>
        </w:rPr>
        <w:t xml:space="preserve"> </w:t>
      </w:r>
      <w:r w:rsidRPr="009D1618">
        <w:rPr>
          <w:rFonts w:ascii="Cambria" w:eastAsia="Times New Roman" w:hAnsi="Cambria"/>
          <w:bCs/>
          <w:color w:val="000000"/>
          <w:sz w:val="16"/>
          <w:szCs w:val="16"/>
          <w:bdr w:val="none" w:sz="0" w:space="0" w:color="auto"/>
          <w:lang w:val="es-VE"/>
        </w:rPr>
        <w:t xml:space="preserve">Corte IDH. Caso Zegarra Marín Vs. Perú. Excepciones Preliminares, Fondo, Reparaciones y Costas. Sentencia de 15 de febrero de 2017. Serie C No. 331. Párr. 147. </w:t>
      </w:r>
    </w:p>
    <w:p w14:paraId="5809B05E" w14:textId="77777777" w:rsidR="00BD2651" w:rsidRPr="009D1618" w:rsidRDefault="00BD2651">
      <w:pPr>
        <w:pStyle w:val="FootnoteText"/>
        <w:rPr>
          <w:lang w:val="es-ES"/>
        </w:rPr>
      </w:pPr>
    </w:p>
  </w:footnote>
  <w:footnote w:id="92">
    <w:p w14:paraId="06BFDCFF" w14:textId="77777777" w:rsidR="00BD2651" w:rsidRPr="009D1618" w:rsidRDefault="00BD2651" w:rsidP="00456C20">
      <w:pPr>
        <w:pStyle w:val="FootnoteText"/>
        <w:spacing w:after="120"/>
        <w:ind w:firstLine="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Corte IDH. Caso Mohamed vs. Argentina. Excepción Preliminar, Fondo, Reparaciones y Costas. Sentencia de 23 de noviembre de 2012. Serie C No. 255, párr.100. </w:t>
      </w:r>
    </w:p>
  </w:footnote>
  <w:footnote w:id="93">
    <w:p w14:paraId="098DC3C2" w14:textId="77777777" w:rsidR="00BD2651" w:rsidRPr="009D1618" w:rsidRDefault="00BD2651" w:rsidP="00456C20">
      <w:pPr>
        <w:pStyle w:val="FootnoteText"/>
        <w:tabs>
          <w:tab w:val="left" w:pos="720"/>
        </w:tabs>
        <w:spacing w:after="120"/>
        <w:ind w:firstLine="720"/>
        <w:jc w:val="both"/>
        <w:rPr>
          <w:rFonts w:asciiTheme="majorHAnsi" w:hAnsiTheme="majorHAnsi"/>
          <w:sz w:val="16"/>
          <w:szCs w:val="16"/>
          <w:lang w:val="es-ES_tradnl"/>
        </w:rPr>
      </w:pPr>
      <w:r w:rsidRPr="009D1618">
        <w:rPr>
          <w:rStyle w:val="FootnoteReference"/>
          <w:rFonts w:asciiTheme="majorHAnsi" w:hAnsiTheme="majorHAnsi"/>
          <w:sz w:val="16"/>
          <w:szCs w:val="16"/>
        </w:rPr>
        <w:footnoteRef/>
      </w:r>
      <w:r w:rsidRPr="009D1618">
        <w:rPr>
          <w:rFonts w:asciiTheme="majorHAnsi" w:hAnsiTheme="majorHAnsi"/>
          <w:sz w:val="16"/>
          <w:szCs w:val="16"/>
          <w:lang w:val="es-ES_tradnl"/>
        </w:rPr>
        <w:t xml:space="preserve"> CIDH, Informe No. 33/14, Caso 12.820, Fondo, </w:t>
      </w:r>
      <w:proofErr w:type="spellStart"/>
      <w:r w:rsidRPr="009D1618">
        <w:rPr>
          <w:rFonts w:asciiTheme="majorHAnsi" w:hAnsiTheme="majorHAnsi"/>
          <w:sz w:val="16"/>
          <w:szCs w:val="16"/>
          <w:lang w:val="es-ES_tradnl"/>
        </w:rPr>
        <w:t>Manfred</w:t>
      </w:r>
      <w:proofErr w:type="spellEnd"/>
      <w:r w:rsidRPr="009D1618">
        <w:rPr>
          <w:rFonts w:asciiTheme="majorHAnsi" w:hAnsiTheme="majorHAnsi"/>
          <w:sz w:val="16"/>
          <w:szCs w:val="16"/>
          <w:lang w:val="es-ES_tradnl"/>
        </w:rPr>
        <w:t xml:space="preserve"> </w:t>
      </w:r>
      <w:proofErr w:type="spellStart"/>
      <w:r w:rsidRPr="009D1618">
        <w:rPr>
          <w:rFonts w:asciiTheme="majorHAnsi" w:hAnsiTheme="majorHAnsi"/>
          <w:sz w:val="16"/>
          <w:szCs w:val="16"/>
          <w:lang w:val="es-ES_tradnl"/>
        </w:rPr>
        <w:t>Amrhein</w:t>
      </w:r>
      <w:proofErr w:type="spellEnd"/>
      <w:r w:rsidRPr="009D1618">
        <w:rPr>
          <w:rFonts w:asciiTheme="majorHAnsi" w:hAnsiTheme="majorHAnsi"/>
          <w:sz w:val="16"/>
          <w:szCs w:val="16"/>
          <w:lang w:val="es-ES_tradnl"/>
        </w:rPr>
        <w:t xml:space="preserve"> y otros, Costa Rica, 4 de abril de 2014, Párr.192.</w:t>
      </w:r>
    </w:p>
  </w:footnote>
  <w:footnote w:id="94">
    <w:p w14:paraId="1E9BA7E5" w14:textId="4947D232" w:rsidR="00BD2651" w:rsidRPr="009D1618" w:rsidRDefault="00BD2651" w:rsidP="00456C20">
      <w:pPr>
        <w:pStyle w:val="FootnoteText"/>
        <w:spacing w:after="120"/>
        <w:ind w:firstLine="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Pr>
          <w:rFonts w:asciiTheme="majorHAnsi" w:hAnsiTheme="majorHAnsi"/>
          <w:sz w:val="16"/>
          <w:szCs w:val="16"/>
          <w:lang w:val="es-ES_tradnl"/>
        </w:rPr>
        <w:t xml:space="preserve"> </w:t>
      </w:r>
      <w:proofErr w:type="spellStart"/>
      <w:r>
        <w:rPr>
          <w:rFonts w:asciiTheme="majorHAnsi" w:hAnsiTheme="majorHAnsi"/>
          <w:sz w:val="16"/>
          <w:szCs w:val="16"/>
          <w:lang w:val="es-ES_tradnl"/>
        </w:rPr>
        <w:t>CIDH</w:t>
      </w:r>
      <w:proofErr w:type="gramStart"/>
      <w:r>
        <w:rPr>
          <w:rFonts w:asciiTheme="majorHAnsi" w:hAnsiTheme="majorHAnsi"/>
          <w:sz w:val="16"/>
          <w:szCs w:val="16"/>
          <w:lang w:val="es-ES_tradnl"/>
        </w:rPr>
        <w:t>,</w:t>
      </w:r>
      <w:r w:rsidRPr="009D1618">
        <w:rPr>
          <w:rFonts w:asciiTheme="majorHAnsi" w:hAnsiTheme="majorHAnsi"/>
          <w:sz w:val="16"/>
          <w:szCs w:val="16"/>
          <w:lang w:val="es-ES_tradnl"/>
        </w:rPr>
        <w:t>Informe</w:t>
      </w:r>
      <w:proofErr w:type="spellEnd"/>
      <w:proofErr w:type="gramEnd"/>
      <w:r w:rsidRPr="009D1618">
        <w:rPr>
          <w:rFonts w:asciiTheme="majorHAnsi" w:hAnsiTheme="majorHAnsi"/>
          <w:sz w:val="16"/>
          <w:szCs w:val="16"/>
          <w:lang w:val="es-ES_tradnl"/>
        </w:rPr>
        <w:t xml:space="preserve"> No. 172/10, Caso 12.561, Fondo, César Alberto Mendoza y otros (Prisión y reclusión perpetuas de adolescentes), Argentina, 2 de noviembre de 2010, párr. </w:t>
      </w:r>
      <w:r w:rsidRPr="009D1618">
        <w:rPr>
          <w:rFonts w:asciiTheme="majorHAnsi" w:hAnsiTheme="majorHAnsi"/>
          <w:sz w:val="16"/>
          <w:szCs w:val="16"/>
          <w:lang w:val="es-VE"/>
        </w:rPr>
        <w:t>189.</w:t>
      </w:r>
    </w:p>
  </w:footnote>
  <w:footnote w:id="95">
    <w:p w14:paraId="5484BB6E" w14:textId="77777777" w:rsidR="00BD2651" w:rsidRPr="009D1618" w:rsidRDefault="00BD2651" w:rsidP="006B13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jc w:val="both"/>
        <w:rPr>
          <w:rFonts w:asciiTheme="majorHAnsi" w:hAnsiTheme="majorHAnsi"/>
          <w:sz w:val="16"/>
          <w:szCs w:val="16"/>
          <w:lang w:val="es-VE"/>
        </w:rPr>
      </w:pPr>
      <w:r w:rsidRPr="009D1618">
        <w:rPr>
          <w:rFonts w:asciiTheme="majorHAnsi" w:hAnsiTheme="majorHAnsi"/>
          <w:sz w:val="16"/>
          <w:szCs w:val="16"/>
          <w:lang w:val="es-VE"/>
        </w:rPr>
        <w:tab/>
      </w: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El artículo 5 de la Convención Americana establece en lo pertinente:</w:t>
      </w:r>
    </w:p>
    <w:p w14:paraId="0317507E" w14:textId="77777777" w:rsidR="00BD2651" w:rsidRPr="009D1618" w:rsidRDefault="00BD2651" w:rsidP="006B13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cs="Tahoma"/>
          <w:color w:val="000000"/>
          <w:sz w:val="16"/>
          <w:szCs w:val="16"/>
          <w:lang w:val="es-VE"/>
        </w:rPr>
      </w:pPr>
      <w:r w:rsidRPr="009D1618">
        <w:rPr>
          <w:rFonts w:asciiTheme="majorHAnsi" w:hAnsiTheme="majorHAnsi" w:cs="Tahoma"/>
          <w:color w:val="000000"/>
          <w:sz w:val="16"/>
          <w:szCs w:val="16"/>
          <w:lang w:val="es-VE"/>
        </w:rPr>
        <w:t xml:space="preserve">1. Toda </w:t>
      </w:r>
      <w:r w:rsidRPr="009D1618">
        <w:rPr>
          <w:rFonts w:asciiTheme="majorHAnsi" w:hAnsiTheme="majorHAnsi"/>
          <w:sz w:val="16"/>
          <w:szCs w:val="16"/>
          <w:lang w:val="es-VE"/>
        </w:rPr>
        <w:t>persona</w:t>
      </w:r>
      <w:r w:rsidRPr="009D1618">
        <w:rPr>
          <w:rFonts w:asciiTheme="majorHAnsi" w:hAnsiTheme="majorHAnsi" w:cs="Tahoma"/>
          <w:color w:val="000000"/>
          <w:sz w:val="16"/>
          <w:szCs w:val="16"/>
          <w:lang w:val="es-VE"/>
        </w:rPr>
        <w:t xml:space="preserve"> tiene derecho a que se respete su integridad física, psíquica y moral.</w:t>
      </w:r>
    </w:p>
    <w:p w14:paraId="3077A9F9" w14:textId="77777777" w:rsidR="00BD2651" w:rsidRPr="009D1618" w:rsidRDefault="00BD2651" w:rsidP="006B13F9">
      <w:pPr>
        <w:pStyle w:val="FootnoteText"/>
        <w:spacing w:after="120"/>
        <w:jc w:val="both"/>
        <w:rPr>
          <w:rFonts w:asciiTheme="majorHAnsi" w:hAnsiTheme="majorHAnsi"/>
          <w:sz w:val="16"/>
          <w:szCs w:val="16"/>
          <w:lang w:val="es-ES"/>
        </w:rPr>
      </w:pPr>
      <w:r w:rsidRPr="009D1618">
        <w:rPr>
          <w:rFonts w:asciiTheme="majorHAnsi" w:hAnsiTheme="majorHAnsi" w:cs="Tahoma"/>
          <w:sz w:val="16"/>
          <w:szCs w:val="16"/>
          <w:lang w:val="es-VE"/>
        </w:rPr>
        <w:t xml:space="preserve">2. Nadie debe ser sometido a torturas ni a penas o tratos crueles, inhumanos o degradantes. Toda persona </w:t>
      </w:r>
      <w:r w:rsidRPr="009D1618">
        <w:rPr>
          <w:rFonts w:asciiTheme="majorHAnsi" w:hAnsiTheme="majorHAnsi" w:cs="Times New Roman"/>
          <w:color w:val="auto"/>
          <w:sz w:val="16"/>
          <w:szCs w:val="16"/>
          <w:lang w:val="es-VE"/>
        </w:rPr>
        <w:t>privada</w:t>
      </w:r>
      <w:r w:rsidRPr="009D1618">
        <w:rPr>
          <w:rFonts w:asciiTheme="majorHAnsi" w:hAnsiTheme="majorHAnsi" w:cs="Tahoma"/>
          <w:sz w:val="16"/>
          <w:szCs w:val="16"/>
          <w:lang w:val="es-VE"/>
        </w:rPr>
        <w:t xml:space="preserve"> de libertad será tratada con el respeto debido a la dignidad inherente al ser humano.</w:t>
      </w:r>
    </w:p>
  </w:footnote>
  <w:footnote w:id="96">
    <w:p w14:paraId="79C071C6" w14:textId="77777777" w:rsidR="00BD2651" w:rsidRPr="009D1618" w:rsidRDefault="00BD2651" w:rsidP="006B13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after="120"/>
        <w:jc w:val="both"/>
        <w:rPr>
          <w:rFonts w:asciiTheme="majorHAnsi" w:hAnsiTheme="majorHAnsi"/>
          <w:sz w:val="16"/>
          <w:szCs w:val="16"/>
          <w:lang w:val="es-VE"/>
        </w:rPr>
      </w:pPr>
      <w:r w:rsidRPr="009D1618">
        <w:rPr>
          <w:rFonts w:asciiTheme="majorHAnsi" w:hAnsiTheme="majorHAnsi"/>
          <w:sz w:val="16"/>
          <w:szCs w:val="16"/>
          <w:lang w:val="es-VE"/>
        </w:rPr>
        <w:tab/>
      </w: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Los artículos 1 y 6 de la CIPST establecen que: </w:t>
      </w:r>
    </w:p>
    <w:p w14:paraId="66D9B23D" w14:textId="77777777" w:rsidR="00BD2651" w:rsidRPr="009D1618" w:rsidRDefault="00BD2651" w:rsidP="006B13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lang w:val="es-VE"/>
        </w:rPr>
      </w:pPr>
      <w:r w:rsidRPr="009D1618">
        <w:rPr>
          <w:rFonts w:asciiTheme="majorHAnsi" w:hAnsiTheme="majorHAnsi"/>
          <w:sz w:val="16"/>
          <w:szCs w:val="16"/>
          <w:lang w:val="es-VE"/>
        </w:rPr>
        <w:t>Artículo 1. Los Estados partes se obligan a prevenir y sancionar la tortura en los términos de dicha Convención.</w:t>
      </w:r>
    </w:p>
    <w:p w14:paraId="4897AAFF" w14:textId="77777777" w:rsidR="00BD2651" w:rsidRPr="009D1618" w:rsidRDefault="00BD2651" w:rsidP="006B13F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120"/>
        <w:jc w:val="both"/>
        <w:rPr>
          <w:rFonts w:asciiTheme="majorHAnsi" w:hAnsiTheme="majorHAnsi"/>
          <w:sz w:val="16"/>
          <w:szCs w:val="16"/>
          <w:lang w:val="es-ES"/>
        </w:rPr>
      </w:pPr>
      <w:r w:rsidRPr="009D1618">
        <w:rPr>
          <w:rFonts w:asciiTheme="majorHAnsi" w:hAnsiTheme="majorHAnsi"/>
          <w:sz w:val="16"/>
          <w:szCs w:val="16"/>
          <w:lang w:val="es-VE"/>
        </w:rPr>
        <w:t>Artículo 6. De conformidad con lo dispuesto en el artículo 1, los Estados partes tomarán medidas efectivas para prevenir y sancionar la tortura en el ámbito de su jurisdicción. 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w:t>
      </w:r>
    </w:p>
  </w:footnote>
  <w:footnote w:id="97">
    <w:p w14:paraId="7D87D47F" w14:textId="77777777" w:rsidR="00BD2651" w:rsidRPr="00127AE7" w:rsidRDefault="00BD2651" w:rsidP="00403096">
      <w:pPr>
        <w:autoSpaceDE w:val="0"/>
        <w:autoSpaceDN w:val="0"/>
        <w:adjustRightInd w:val="0"/>
        <w:spacing w:after="120"/>
        <w:ind w:firstLine="720"/>
        <w:jc w:val="both"/>
        <w:rPr>
          <w:rFonts w:asciiTheme="majorHAnsi" w:hAnsiTheme="majorHAnsi"/>
          <w:sz w:val="16"/>
          <w:szCs w:val="16"/>
          <w:lang w:val="es-UY"/>
        </w:rPr>
      </w:pPr>
      <w:r w:rsidRPr="009D1618">
        <w:rPr>
          <w:rStyle w:val="FootnoteReference"/>
          <w:rFonts w:asciiTheme="majorHAnsi" w:hAnsiTheme="majorHAnsi"/>
          <w:sz w:val="16"/>
          <w:szCs w:val="16"/>
        </w:rPr>
        <w:footnoteRef/>
      </w:r>
      <w:r w:rsidRPr="009D1618">
        <w:rPr>
          <w:rFonts w:asciiTheme="majorHAnsi" w:hAnsiTheme="majorHAnsi"/>
          <w:sz w:val="16"/>
          <w:szCs w:val="16"/>
          <w:lang w:val="es-CO"/>
        </w:rPr>
        <w:t xml:space="preserve"> Naciones Unidas. Informe del Relator Especial sobre la tortura y otros tratos o penas crueles, </w:t>
      </w:r>
      <w:proofErr w:type="gramStart"/>
      <w:r w:rsidRPr="009D1618">
        <w:rPr>
          <w:rFonts w:asciiTheme="majorHAnsi" w:hAnsiTheme="majorHAnsi"/>
          <w:sz w:val="16"/>
          <w:szCs w:val="16"/>
          <w:lang w:val="es-CO"/>
        </w:rPr>
        <w:t>inhumanos</w:t>
      </w:r>
      <w:proofErr w:type="gramEnd"/>
      <w:r w:rsidRPr="009D1618">
        <w:rPr>
          <w:rFonts w:asciiTheme="majorHAnsi" w:hAnsiTheme="majorHAnsi"/>
          <w:sz w:val="16"/>
          <w:szCs w:val="16"/>
          <w:lang w:val="es-CO"/>
        </w:rPr>
        <w:t xml:space="preserve"> o degradantes. </w:t>
      </w:r>
      <w:proofErr w:type="gramStart"/>
      <w:r w:rsidRPr="009D1618">
        <w:rPr>
          <w:rFonts w:asciiTheme="majorHAnsi" w:hAnsiTheme="majorHAnsi"/>
          <w:sz w:val="16"/>
          <w:szCs w:val="16"/>
        </w:rPr>
        <w:t xml:space="preserve">9 de </w:t>
      </w:r>
      <w:proofErr w:type="spellStart"/>
      <w:r w:rsidRPr="009D1618">
        <w:rPr>
          <w:rFonts w:asciiTheme="majorHAnsi" w:hAnsiTheme="majorHAnsi"/>
          <w:sz w:val="16"/>
          <w:szCs w:val="16"/>
        </w:rPr>
        <w:t>agosto</w:t>
      </w:r>
      <w:proofErr w:type="spellEnd"/>
      <w:r w:rsidRPr="009D1618">
        <w:rPr>
          <w:rFonts w:asciiTheme="majorHAnsi" w:hAnsiTheme="majorHAnsi"/>
          <w:sz w:val="16"/>
          <w:szCs w:val="16"/>
        </w:rPr>
        <w:t xml:space="preserve"> de 2012.</w:t>
      </w:r>
      <w:proofErr w:type="gramEnd"/>
      <w:r w:rsidRPr="009D1618">
        <w:rPr>
          <w:rFonts w:asciiTheme="majorHAnsi" w:hAnsiTheme="majorHAnsi"/>
          <w:sz w:val="16"/>
          <w:szCs w:val="16"/>
        </w:rPr>
        <w:t xml:space="preserve"> </w:t>
      </w:r>
      <w:proofErr w:type="gramStart"/>
      <w:r w:rsidRPr="009D1618">
        <w:rPr>
          <w:rFonts w:asciiTheme="majorHAnsi" w:hAnsiTheme="majorHAnsi"/>
          <w:bCs/>
          <w:sz w:val="16"/>
          <w:szCs w:val="16"/>
        </w:rPr>
        <w:t xml:space="preserve">A/67/279, </w:t>
      </w:r>
      <w:proofErr w:type="spellStart"/>
      <w:r w:rsidRPr="009D1618">
        <w:rPr>
          <w:rFonts w:asciiTheme="majorHAnsi" w:hAnsiTheme="majorHAnsi"/>
          <w:bCs/>
          <w:sz w:val="16"/>
          <w:szCs w:val="16"/>
        </w:rPr>
        <w:t>Párr</w:t>
      </w:r>
      <w:proofErr w:type="spellEnd"/>
      <w:r w:rsidRPr="009D1618">
        <w:rPr>
          <w:rFonts w:asciiTheme="majorHAnsi" w:hAnsiTheme="majorHAnsi"/>
          <w:bCs/>
          <w:sz w:val="16"/>
          <w:szCs w:val="16"/>
        </w:rPr>
        <w:t>.</w:t>
      </w:r>
      <w:proofErr w:type="gramEnd"/>
      <w:r w:rsidRPr="009D1618">
        <w:rPr>
          <w:rFonts w:asciiTheme="majorHAnsi" w:hAnsiTheme="majorHAnsi"/>
          <w:bCs/>
          <w:sz w:val="16"/>
          <w:szCs w:val="16"/>
        </w:rPr>
        <w:t xml:space="preserve"> 42. </w:t>
      </w:r>
      <w:proofErr w:type="spellStart"/>
      <w:r w:rsidRPr="009D1618">
        <w:rPr>
          <w:rFonts w:asciiTheme="majorHAnsi" w:hAnsiTheme="majorHAnsi"/>
          <w:bCs/>
          <w:sz w:val="16"/>
          <w:szCs w:val="16"/>
        </w:rPr>
        <w:t>Citando</w:t>
      </w:r>
      <w:proofErr w:type="spellEnd"/>
      <w:r w:rsidRPr="009D1618">
        <w:rPr>
          <w:rFonts w:asciiTheme="majorHAnsi" w:hAnsiTheme="majorHAnsi"/>
          <w:bCs/>
          <w:sz w:val="16"/>
          <w:szCs w:val="16"/>
        </w:rPr>
        <w:t xml:space="preserve">. </w:t>
      </w:r>
      <w:r w:rsidRPr="009D1618">
        <w:rPr>
          <w:rFonts w:asciiTheme="majorHAnsi" w:hAnsiTheme="majorHAnsi" w:cs="TimesNewRoman"/>
          <w:sz w:val="16"/>
          <w:szCs w:val="16"/>
        </w:rPr>
        <w:t xml:space="preserve">Patrick Hudson, “Does the Death Row Phenomenon Violate a Prisoner’s Rights Under International Law”, </w:t>
      </w:r>
      <w:r w:rsidRPr="00FE7176">
        <w:rPr>
          <w:rFonts w:asciiTheme="majorHAnsi" w:hAnsiTheme="majorHAnsi" w:cs="TimesNewRoman,Italic"/>
          <w:iCs/>
          <w:sz w:val="16"/>
          <w:szCs w:val="16"/>
        </w:rPr>
        <w:t>European Journal of International Law</w:t>
      </w:r>
      <w:r w:rsidRPr="00FE7176">
        <w:rPr>
          <w:rFonts w:asciiTheme="majorHAnsi" w:hAnsiTheme="majorHAnsi" w:cs="TimesNewRoman"/>
          <w:sz w:val="16"/>
          <w:szCs w:val="16"/>
        </w:rPr>
        <w:t>, vol</w:t>
      </w:r>
      <w:r w:rsidRPr="009D1618">
        <w:rPr>
          <w:rFonts w:asciiTheme="majorHAnsi" w:hAnsiTheme="majorHAnsi" w:cs="TimesNewRoman"/>
          <w:sz w:val="16"/>
          <w:szCs w:val="16"/>
        </w:rPr>
        <w:t xml:space="preserve">. 11, </w:t>
      </w:r>
      <w:proofErr w:type="spellStart"/>
      <w:r w:rsidRPr="009D1618">
        <w:rPr>
          <w:rFonts w:asciiTheme="majorHAnsi" w:hAnsiTheme="majorHAnsi" w:cs="TimesNewRoman"/>
          <w:sz w:val="16"/>
          <w:szCs w:val="16"/>
        </w:rPr>
        <w:t>núm</w:t>
      </w:r>
      <w:proofErr w:type="spellEnd"/>
      <w:r w:rsidRPr="009D1618">
        <w:rPr>
          <w:rFonts w:asciiTheme="majorHAnsi" w:hAnsiTheme="majorHAnsi" w:cs="TimesNewRoman"/>
          <w:sz w:val="16"/>
          <w:szCs w:val="16"/>
        </w:rPr>
        <w:t xml:space="preserve">. </w:t>
      </w:r>
      <w:r w:rsidRPr="00127AE7">
        <w:rPr>
          <w:rFonts w:asciiTheme="majorHAnsi" w:hAnsiTheme="majorHAnsi" w:cs="TimesNewRoman"/>
          <w:sz w:val="16"/>
          <w:szCs w:val="16"/>
          <w:lang w:val="es-UY"/>
        </w:rPr>
        <w:t>No. 4, págs. 834 a 837.</w:t>
      </w:r>
    </w:p>
  </w:footnote>
  <w:footnote w:id="98">
    <w:p w14:paraId="5EF00080" w14:textId="77777777" w:rsidR="00BD2651" w:rsidRPr="009D1618" w:rsidRDefault="00BD2651" w:rsidP="00403096">
      <w:pPr>
        <w:autoSpaceDE w:val="0"/>
        <w:autoSpaceDN w:val="0"/>
        <w:adjustRightInd w:val="0"/>
        <w:spacing w:after="120"/>
        <w:ind w:firstLine="720"/>
        <w:jc w:val="both"/>
        <w:rPr>
          <w:rFonts w:asciiTheme="majorHAnsi" w:hAnsiTheme="majorHAnsi"/>
          <w:sz w:val="16"/>
          <w:szCs w:val="16"/>
        </w:rPr>
      </w:pPr>
      <w:r w:rsidRPr="009D1618">
        <w:rPr>
          <w:rStyle w:val="FootnoteReference"/>
          <w:rFonts w:asciiTheme="majorHAnsi" w:hAnsiTheme="majorHAnsi"/>
          <w:sz w:val="16"/>
          <w:szCs w:val="16"/>
        </w:rPr>
        <w:footnoteRef/>
      </w:r>
      <w:r w:rsidRPr="00127AE7">
        <w:rPr>
          <w:rFonts w:asciiTheme="majorHAnsi" w:hAnsiTheme="majorHAnsi"/>
          <w:sz w:val="16"/>
          <w:szCs w:val="16"/>
          <w:lang w:val="es-UY"/>
        </w:rPr>
        <w:t xml:space="preserve"> Naciones Unidas. Informe del Relator Especial sobre la tortura y otros tratos o penas crueles, </w:t>
      </w:r>
      <w:proofErr w:type="gramStart"/>
      <w:r w:rsidRPr="00127AE7">
        <w:rPr>
          <w:rFonts w:asciiTheme="majorHAnsi" w:hAnsiTheme="majorHAnsi"/>
          <w:sz w:val="16"/>
          <w:szCs w:val="16"/>
          <w:lang w:val="es-UY"/>
        </w:rPr>
        <w:t>inhumanos</w:t>
      </w:r>
      <w:proofErr w:type="gramEnd"/>
      <w:r w:rsidRPr="00127AE7">
        <w:rPr>
          <w:rFonts w:asciiTheme="majorHAnsi" w:hAnsiTheme="majorHAnsi"/>
          <w:sz w:val="16"/>
          <w:szCs w:val="16"/>
          <w:lang w:val="es-UY"/>
        </w:rPr>
        <w:t xml:space="preserve"> o degradantes. </w:t>
      </w:r>
      <w:proofErr w:type="gramStart"/>
      <w:r w:rsidRPr="009D1618">
        <w:rPr>
          <w:rFonts w:asciiTheme="majorHAnsi" w:hAnsiTheme="majorHAnsi"/>
          <w:sz w:val="16"/>
          <w:szCs w:val="16"/>
        </w:rPr>
        <w:t xml:space="preserve">9 de </w:t>
      </w:r>
      <w:proofErr w:type="spellStart"/>
      <w:r w:rsidRPr="009D1618">
        <w:rPr>
          <w:rFonts w:asciiTheme="majorHAnsi" w:hAnsiTheme="majorHAnsi"/>
          <w:sz w:val="16"/>
          <w:szCs w:val="16"/>
        </w:rPr>
        <w:t>agosto</w:t>
      </w:r>
      <w:proofErr w:type="spellEnd"/>
      <w:r w:rsidRPr="009D1618">
        <w:rPr>
          <w:rFonts w:asciiTheme="majorHAnsi" w:hAnsiTheme="majorHAnsi"/>
          <w:sz w:val="16"/>
          <w:szCs w:val="16"/>
        </w:rPr>
        <w:t xml:space="preserve"> de 2012.</w:t>
      </w:r>
      <w:proofErr w:type="gramEnd"/>
      <w:r w:rsidRPr="009D1618">
        <w:rPr>
          <w:rFonts w:asciiTheme="majorHAnsi" w:hAnsiTheme="majorHAnsi"/>
          <w:sz w:val="16"/>
          <w:szCs w:val="16"/>
        </w:rPr>
        <w:t xml:space="preserve"> </w:t>
      </w:r>
      <w:proofErr w:type="gramStart"/>
      <w:r w:rsidRPr="009D1618">
        <w:rPr>
          <w:rFonts w:asciiTheme="majorHAnsi" w:hAnsiTheme="majorHAnsi"/>
          <w:bCs/>
          <w:sz w:val="16"/>
          <w:szCs w:val="16"/>
        </w:rPr>
        <w:t xml:space="preserve">A/67/279, </w:t>
      </w:r>
      <w:proofErr w:type="spellStart"/>
      <w:r w:rsidRPr="009D1618">
        <w:rPr>
          <w:rFonts w:asciiTheme="majorHAnsi" w:hAnsiTheme="majorHAnsi"/>
          <w:bCs/>
          <w:sz w:val="16"/>
          <w:szCs w:val="16"/>
        </w:rPr>
        <w:t>Párr</w:t>
      </w:r>
      <w:proofErr w:type="spellEnd"/>
      <w:r w:rsidRPr="009D1618">
        <w:rPr>
          <w:rFonts w:asciiTheme="majorHAnsi" w:hAnsiTheme="majorHAnsi"/>
          <w:bCs/>
          <w:sz w:val="16"/>
          <w:szCs w:val="16"/>
        </w:rPr>
        <w:t>.</w:t>
      </w:r>
      <w:proofErr w:type="gramEnd"/>
      <w:r w:rsidRPr="009D1618">
        <w:rPr>
          <w:rFonts w:asciiTheme="majorHAnsi" w:hAnsiTheme="majorHAnsi"/>
          <w:bCs/>
          <w:sz w:val="16"/>
          <w:szCs w:val="16"/>
        </w:rPr>
        <w:t xml:space="preserve"> 42. </w:t>
      </w:r>
    </w:p>
  </w:footnote>
  <w:footnote w:id="99">
    <w:p w14:paraId="38500BC9" w14:textId="77777777" w:rsidR="00BD2651" w:rsidRPr="009D1618" w:rsidRDefault="00BD2651" w:rsidP="00403096">
      <w:pPr>
        <w:pStyle w:val="FootnoteText"/>
        <w:tabs>
          <w:tab w:val="right" w:pos="540"/>
        </w:tabs>
        <w:spacing w:after="120"/>
        <w:ind w:left="720"/>
        <w:jc w:val="both"/>
        <w:rPr>
          <w:rFonts w:asciiTheme="majorHAnsi" w:hAnsiTheme="majorHAnsi"/>
          <w:sz w:val="16"/>
          <w:szCs w:val="16"/>
        </w:rPr>
      </w:pPr>
      <w:r w:rsidRPr="009D1618">
        <w:rPr>
          <w:rStyle w:val="FootnoteReference"/>
          <w:rFonts w:asciiTheme="majorHAnsi" w:hAnsiTheme="majorHAnsi"/>
          <w:sz w:val="16"/>
          <w:szCs w:val="16"/>
        </w:rPr>
        <w:footnoteRef/>
      </w:r>
      <w:r w:rsidRPr="009D1618">
        <w:rPr>
          <w:rFonts w:asciiTheme="majorHAnsi" w:hAnsiTheme="majorHAnsi"/>
          <w:sz w:val="16"/>
          <w:szCs w:val="16"/>
        </w:rPr>
        <w:t xml:space="preserve"> </w:t>
      </w:r>
      <w:proofErr w:type="gramStart"/>
      <w:r w:rsidRPr="009D1618">
        <w:rPr>
          <w:rFonts w:asciiTheme="majorHAnsi" w:hAnsiTheme="majorHAnsi"/>
          <w:bCs/>
          <w:sz w:val="16"/>
          <w:szCs w:val="16"/>
        </w:rPr>
        <w:t>ECtHR.</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 xml:space="preserve">Case of </w:t>
      </w:r>
      <w:proofErr w:type="spellStart"/>
      <w:r w:rsidRPr="009D1618">
        <w:rPr>
          <w:rFonts w:asciiTheme="majorHAnsi" w:hAnsiTheme="majorHAnsi"/>
          <w:bCs/>
          <w:sz w:val="16"/>
          <w:szCs w:val="16"/>
        </w:rPr>
        <w:t>Soering</w:t>
      </w:r>
      <w:proofErr w:type="spellEnd"/>
      <w:r w:rsidRPr="009D1618">
        <w:rPr>
          <w:rFonts w:asciiTheme="majorHAnsi" w:hAnsiTheme="majorHAnsi"/>
          <w:bCs/>
          <w:sz w:val="16"/>
          <w:szCs w:val="16"/>
        </w:rPr>
        <w:t xml:space="preserve"> v.</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The United Kingdom.</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Application No. 14038/88.</w:t>
      </w:r>
      <w:proofErr w:type="gramEnd"/>
      <w:r w:rsidRPr="009D1618">
        <w:rPr>
          <w:rFonts w:asciiTheme="majorHAnsi" w:hAnsiTheme="majorHAnsi"/>
          <w:bCs/>
          <w:sz w:val="16"/>
          <w:szCs w:val="16"/>
        </w:rPr>
        <w:t xml:space="preserve"> Judgment, 07 July 1989. </w:t>
      </w:r>
      <w:proofErr w:type="gramStart"/>
      <w:r w:rsidRPr="009D1618">
        <w:rPr>
          <w:rFonts w:asciiTheme="majorHAnsi" w:hAnsiTheme="majorHAnsi"/>
          <w:bCs/>
          <w:sz w:val="16"/>
          <w:szCs w:val="16"/>
        </w:rPr>
        <w:t>Para.</w:t>
      </w:r>
      <w:proofErr w:type="gramEnd"/>
      <w:r w:rsidRPr="009D1618">
        <w:rPr>
          <w:rFonts w:asciiTheme="majorHAnsi" w:hAnsiTheme="majorHAnsi"/>
          <w:bCs/>
          <w:sz w:val="16"/>
          <w:szCs w:val="16"/>
        </w:rPr>
        <w:t xml:space="preserve"> 104.</w:t>
      </w:r>
    </w:p>
  </w:footnote>
  <w:footnote w:id="100">
    <w:p w14:paraId="71E0FD53" w14:textId="77777777" w:rsidR="00BD2651" w:rsidRPr="009D1618" w:rsidRDefault="00BD2651" w:rsidP="00403096">
      <w:pPr>
        <w:pStyle w:val="FootnoteText"/>
        <w:tabs>
          <w:tab w:val="right" w:pos="540"/>
          <w:tab w:val="left" w:pos="720"/>
          <w:tab w:val="left" w:pos="900"/>
        </w:tabs>
        <w:spacing w:after="120"/>
        <w:ind w:left="720"/>
        <w:jc w:val="both"/>
        <w:rPr>
          <w:rFonts w:asciiTheme="majorHAnsi" w:hAnsiTheme="majorHAnsi"/>
          <w:sz w:val="16"/>
          <w:szCs w:val="16"/>
        </w:rPr>
      </w:pPr>
      <w:r w:rsidRPr="009D1618">
        <w:rPr>
          <w:rStyle w:val="FootnoteReference"/>
          <w:rFonts w:asciiTheme="majorHAnsi" w:hAnsiTheme="majorHAnsi"/>
          <w:sz w:val="16"/>
          <w:szCs w:val="16"/>
        </w:rPr>
        <w:footnoteRef/>
      </w:r>
      <w:r w:rsidRPr="009D1618">
        <w:rPr>
          <w:rFonts w:asciiTheme="majorHAnsi" w:hAnsiTheme="majorHAnsi"/>
          <w:sz w:val="16"/>
          <w:szCs w:val="16"/>
        </w:rPr>
        <w:t xml:space="preserve"> </w:t>
      </w:r>
      <w:proofErr w:type="gramStart"/>
      <w:r w:rsidRPr="009D1618">
        <w:rPr>
          <w:rFonts w:asciiTheme="majorHAnsi" w:hAnsiTheme="majorHAnsi"/>
          <w:bCs/>
          <w:sz w:val="16"/>
          <w:szCs w:val="16"/>
        </w:rPr>
        <w:t>ECtHR.</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 xml:space="preserve">Case of </w:t>
      </w:r>
      <w:proofErr w:type="spellStart"/>
      <w:r w:rsidRPr="009D1618">
        <w:rPr>
          <w:rFonts w:asciiTheme="majorHAnsi" w:hAnsiTheme="majorHAnsi"/>
          <w:bCs/>
          <w:sz w:val="16"/>
          <w:szCs w:val="16"/>
        </w:rPr>
        <w:t>Soering</w:t>
      </w:r>
      <w:proofErr w:type="spellEnd"/>
      <w:r w:rsidRPr="009D1618">
        <w:rPr>
          <w:rFonts w:asciiTheme="majorHAnsi" w:hAnsiTheme="majorHAnsi"/>
          <w:bCs/>
          <w:sz w:val="16"/>
          <w:szCs w:val="16"/>
        </w:rPr>
        <w:t xml:space="preserve"> v.</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The United Kingdom.</w:t>
      </w:r>
      <w:proofErr w:type="gramEnd"/>
      <w:r w:rsidRPr="009D1618">
        <w:rPr>
          <w:rFonts w:asciiTheme="majorHAnsi" w:hAnsiTheme="majorHAnsi"/>
          <w:bCs/>
          <w:sz w:val="16"/>
          <w:szCs w:val="16"/>
        </w:rPr>
        <w:t xml:space="preserve"> </w:t>
      </w:r>
      <w:proofErr w:type="gramStart"/>
      <w:r w:rsidRPr="009D1618">
        <w:rPr>
          <w:rFonts w:asciiTheme="majorHAnsi" w:hAnsiTheme="majorHAnsi"/>
          <w:bCs/>
          <w:sz w:val="16"/>
          <w:szCs w:val="16"/>
        </w:rPr>
        <w:t>Application No. 14038/88.</w:t>
      </w:r>
      <w:proofErr w:type="gramEnd"/>
      <w:r w:rsidRPr="009D1618">
        <w:rPr>
          <w:rFonts w:asciiTheme="majorHAnsi" w:hAnsiTheme="majorHAnsi"/>
          <w:bCs/>
          <w:sz w:val="16"/>
          <w:szCs w:val="16"/>
        </w:rPr>
        <w:t xml:space="preserve"> Judgment, 07 July 1989. </w:t>
      </w:r>
      <w:proofErr w:type="gramStart"/>
      <w:r w:rsidRPr="009D1618">
        <w:rPr>
          <w:rFonts w:asciiTheme="majorHAnsi" w:hAnsiTheme="majorHAnsi"/>
          <w:bCs/>
          <w:sz w:val="16"/>
          <w:szCs w:val="16"/>
        </w:rPr>
        <w:t>Para.</w:t>
      </w:r>
      <w:proofErr w:type="gramEnd"/>
      <w:r w:rsidRPr="009D1618">
        <w:rPr>
          <w:rFonts w:asciiTheme="majorHAnsi" w:hAnsiTheme="majorHAnsi"/>
          <w:bCs/>
          <w:sz w:val="16"/>
          <w:szCs w:val="16"/>
        </w:rPr>
        <w:t xml:space="preserve"> 106.</w:t>
      </w:r>
    </w:p>
  </w:footnote>
  <w:footnote w:id="101">
    <w:p w14:paraId="5F635B27" w14:textId="77777777" w:rsidR="00BD2651" w:rsidRPr="009D1618" w:rsidRDefault="00BD2651" w:rsidP="00403096">
      <w:pPr>
        <w:pStyle w:val="FootnoteText"/>
        <w:spacing w:after="120"/>
        <w:ind w:firstLine="720"/>
        <w:jc w:val="both"/>
        <w:rPr>
          <w:rFonts w:asciiTheme="majorHAnsi" w:hAnsiTheme="majorHAnsi"/>
          <w:sz w:val="16"/>
          <w:szCs w:val="16"/>
        </w:rPr>
      </w:pPr>
      <w:r w:rsidRPr="001534DE">
        <w:rPr>
          <w:rStyle w:val="FootnoteReference"/>
          <w:rFonts w:asciiTheme="majorHAnsi" w:hAnsiTheme="majorHAnsi"/>
          <w:color w:val="auto"/>
          <w:sz w:val="16"/>
          <w:szCs w:val="16"/>
        </w:rPr>
        <w:footnoteRef/>
      </w:r>
      <w:r w:rsidRPr="001534DE">
        <w:rPr>
          <w:rFonts w:asciiTheme="majorHAnsi" w:hAnsiTheme="majorHAnsi"/>
          <w:color w:val="auto"/>
          <w:sz w:val="16"/>
          <w:szCs w:val="16"/>
        </w:rPr>
        <w:t xml:space="preserve"> </w:t>
      </w:r>
      <w:proofErr w:type="spellStart"/>
      <w:proofErr w:type="gramStart"/>
      <w:r w:rsidRPr="001534DE">
        <w:rPr>
          <w:rFonts w:asciiTheme="majorHAnsi" w:hAnsiTheme="majorHAnsi"/>
          <w:color w:val="auto"/>
          <w:sz w:val="16"/>
          <w:szCs w:val="16"/>
        </w:rPr>
        <w:t>ECthr</w:t>
      </w:r>
      <w:proofErr w:type="spellEnd"/>
      <w:r w:rsidRPr="001534DE">
        <w:rPr>
          <w:rFonts w:asciiTheme="majorHAnsi" w:hAnsiTheme="majorHAnsi"/>
          <w:color w:val="auto"/>
          <w:sz w:val="16"/>
          <w:szCs w:val="16"/>
        </w:rPr>
        <w:t>.</w:t>
      </w:r>
      <w:proofErr w:type="gramEnd"/>
      <w:r w:rsidRPr="001534DE">
        <w:rPr>
          <w:rFonts w:asciiTheme="majorHAnsi" w:hAnsiTheme="majorHAnsi"/>
          <w:color w:val="auto"/>
          <w:sz w:val="16"/>
          <w:szCs w:val="16"/>
        </w:rPr>
        <w:t xml:space="preserve"> </w:t>
      </w:r>
      <w:proofErr w:type="gramStart"/>
      <w:r w:rsidRPr="001534DE">
        <w:rPr>
          <w:rFonts w:asciiTheme="majorHAnsi" w:hAnsiTheme="majorHAnsi"/>
          <w:color w:val="auto"/>
          <w:sz w:val="16"/>
          <w:szCs w:val="16"/>
        </w:rPr>
        <w:t>Case of Al-</w:t>
      </w:r>
      <w:proofErr w:type="spellStart"/>
      <w:r w:rsidRPr="001534DE">
        <w:rPr>
          <w:rFonts w:asciiTheme="majorHAnsi" w:hAnsiTheme="majorHAnsi"/>
          <w:color w:val="auto"/>
          <w:sz w:val="16"/>
          <w:szCs w:val="16"/>
        </w:rPr>
        <w:t>Saadon</w:t>
      </w:r>
      <w:proofErr w:type="spellEnd"/>
      <w:r w:rsidRPr="001534DE">
        <w:rPr>
          <w:rFonts w:asciiTheme="majorHAnsi" w:hAnsiTheme="majorHAnsi"/>
          <w:color w:val="auto"/>
          <w:sz w:val="16"/>
          <w:szCs w:val="16"/>
        </w:rPr>
        <w:t xml:space="preserve"> and </w:t>
      </w:r>
      <w:proofErr w:type="spellStart"/>
      <w:r w:rsidRPr="001534DE">
        <w:rPr>
          <w:rFonts w:asciiTheme="majorHAnsi" w:hAnsiTheme="majorHAnsi"/>
          <w:color w:val="auto"/>
          <w:sz w:val="16"/>
          <w:szCs w:val="16"/>
        </w:rPr>
        <w:t>Mufdhi</w:t>
      </w:r>
      <w:proofErr w:type="spellEnd"/>
      <w:r w:rsidRPr="001534DE">
        <w:rPr>
          <w:rFonts w:asciiTheme="majorHAnsi" w:hAnsiTheme="majorHAnsi"/>
          <w:color w:val="auto"/>
          <w:sz w:val="16"/>
          <w:szCs w:val="16"/>
        </w:rPr>
        <w:t xml:space="preserve"> v.</w:t>
      </w:r>
      <w:proofErr w:type="gramEnd"/>
      <w:r w:rsidRPr="001534DE">
        <w:rPr>
          <w:rFonts w:asciiTheme="majorHAnsi" w:hAnsiTheme="majorHAnsi"/>
          <w:color w:val="auto"/>
          <w:sz w:val="16"/>
          <w:szCs w:val="16"/>
        </w:rPr>
        <w:t xml:space="preserve"> </w:t>
      </w:r>
      <w:proofErr w:type="gramStart"/>
      <w:r w:rsidRPr="001534DE">
        <w:rPr>
          <w:rFonts w:asciiTheme="majorHAnsi" w:hAnsiTheme="majorHAnsi"/>
          <w:color w:val="auto"/>
          <w:sz w:val="16"/>
          <w:szCs w:val="16"/>
        </w:rPr>
        <w:t>The United Kingdom.</w:t>
      </w:r>
      <w:proofErr w:type="gramEnd"/>
      <w:r w:rsidRPr="001534DE">
        <w:rPr>
          <w:rFonts w:asciiTheme="majorHAnsi" w:hAnsiTheme="majorHAnsi"/>
          <w:color w:val="auto"/>
          <w:sz w:val="16"/>
          <w:szCs w:val="16"/>
        </w:rPr>
        <w:t xml:space="preserve"> </w:t>
      </w:r>
      <w:proofErr w:type="gramStart"/>
      <w:r w:rsidRPr="001534DE">
        <w:rPr>
          <w:rFonts w:asciiTheme="majorHAnsi" w:hAnsiTheme="majorHAnsi"/>
          <w:color w:val="auto"/>
          <w:sz w:val="16"/>
          <w:szCs w:val="16"/>
        </w:rPr>
        <w:t>Application No. 61498/08.</w:t>
      </w:r>
      <w:proofErr w:type="gramEnd"/>
      <w:r w:rsidRPr="001534DE">
        <w:rPr>
          <w:rFonts w:asciiTheme="majorHAnsi" w:hAnsiTheme="majorHAnsi"/>
          <w:color w:val="auto"/>
          <w:sz w:val="16"/>
          <w:szCs w:val="16"/>
        </w:rPr>
        <w:t xml:space="preserve"> Judgment 2 march 2010 Para. 115. </w:t>
      </w:r>
      <w:r w:rsidRPr="001534DE">
        <w:rPr>
          <w:rFonts w:asciiTheme="majorHAnsi" w:hAnsiTheme="majorHAnsi"/>
          <w:color w:val="auto"/>
          <w:sz w:val="16"/>
          <w:szCs w:val="16"/>
          <w:lang w:val="es-VE"/>
        </w:rPr>
        <w:t xml:space="preserve">Ver también el caso </w:t>
      </w:r>
      <w:proofErr w:type="spellStart"/>
      <w:r w:rsidRPr="001534DE">
        <w:rPr>
          <w:rFonts w:asciiTheme="majorHAnsi" w:hAnsiTheme="majorHAnsi"/>
          <w:color w:val="auto"/>
          <w:sz w:val="16"/>
          <w:szCs w:val="16"/>
          <w:lang w:val="es-VE"/>
        </w:rPr>
        <w:t>Bader</w:t>
      </w:r>
      <w:proofErr w:type="spellEnd"/>
      <w:r w:rsidRPr="001534DE">
        <w:rPr>
          <w:rFonts w:asciiTheme="majorHAnsi" w:hAnsiTheme="majorHAnsi"/>
          <w:color w:val="auto"/>
          <w:sz w:val="16"/>
          <w:szCs w:val="16"/>
          <w:lang w:val="es-VE"/>
        </w:rPr>
        <w:t xml:space="preserve"> y </w:t>
      </w:r>
      <w:proofErr w:type="spellStart"/>
      <w:r w:rsidRPr="001534DE">
        <w:rPr>
          <w:rFonts w:asciiTheme="majorHAnsi" w:hAnsiTheme="majorHAnsi"/>
          <w:color w:val="auto"/>
          <w:sz w:val="16"/>
          <w:szCs w:val="16"/>
          <w:lang w:val="es-VE"/>
        </w:rPr>
        <w:t>Knabor</w:t>
      </w:r>
      <w:proofErr w:type="spellEnd"/>
      <w:r w:rsidRPr="001534DE">
        <w:rPr>
          <w:rFonts w:asciiTheme="majorHAnsi" w:hAnsiTheme="majorHAnsi"/>
          <w:color w:val="auto"/>
          <w:sz w:val="16"/>
          <w:szCs w:val="16"/>
          <w:lang w:val="es-VE"/>
        </w:rPr>
        <w:t xml:space="preserve"> vs. Suecia, en el que el Tribunal Europeo indicó que </w:t>
      </w:r>
      <w:r w:rsidRPr="001534DE">
        <w:rPr>
          <w:rFonts w:asciiTheme="majorHAnsi" w:hAnsiTheme="majorHAnsi" w:cs="Arial"/>
          <w:color w:val="auto"/>
          <w:sz w:val="16"/>
          <w:szCs w:val="16"/>
          <w:shd w:val="clear" w:color="auto" w:fill="FFFFFF"/>
          <w:lang w:val="es-VE"/>
        </w:rPr>
        <w:t xml:space="preserve">imponer una sentencia de muerte a una persona después de un juicio injusto, en circunstancias en que exista una posibilidad real de que se ejecute la sentencia, genera un grado significativo de angustia y temor humano, contrario al artículo 3 de la Convención. </w:t>
      </w:r>
      <w:proofErr w:type="spellStart"/>
      <w:proofErr w:type="gramStart"/>
      <w:r w:rsidRPr="001534DE">
        <w:rPr>
          <w:rFonts w:asciiTheme="majorHAnsi" w:hAnsiTheme="majorHAnsi" w:cs="Arial"/>
          <w:color w:val="auto"/>
          <w:sz w:val="16"/>
          <w:szCs w:val="16"/>
          <w:shd w:val="clear" w:color="auto" w:fill="FFFFFF"/>
        </w:rPr>
        <w:t>ECthr</w:t>
      </w:r>
      <w:proofErr w:type="spellEnd"/>
      <w:r w:rsidRPr="001534DE">
        <w:rPr>
          <w:rFonts w:asciiTheme="majorHAnsi" w:hAnsiTheme="majorHAnsi" w:cs="Arial"/>
          <w:color w:val="auto"/>
          <w:sz w:val="16"/>
          <w:szCs w:val="16"/>
          <w:shd w:val="clear" w:color="auto" w:fill="FFFFFF"/>
        </w:rPr>
        <w:t>.</w:t>
      </w:r>
      <w:proofErr w:type="gramEnd"/>
      <w:r w:rsidRPr="001534DE">
        <w:rPr>
          <w:rFonts w:asciiTheme="majorHAnsi" w:hAnsiTheme="majorHAnsi" w:cs="Arial"/>
          <w:color w:val="auto"/>
          <w:sz w:val="16"/>
          <w:szCs w:val="16"/>
          <w:shd w:val="clear" w:color="auto" w:fill="FFFFFF"/>
        </w:rPr>
        <w:t xml:space="preserve"> </w:t>
      </w:r>
      <w:proofErr w:type="gramStart"/>
      <w:r w:rsidRPr="001534DE">
        <w:rPr>
          <w:rFonts w:asciiTheme="majorHAnsi" w:hAnsiTheme="majorHAnsi" w:cs="Arial"/>
          <w:color w:val="auto"/>
          <w:sz w:val="16"/>
          <w:szCs w:val="16"/>
          <w:shd w:val="clear" w:color="auto" w:fill="FFFFFF"/>
        </w:rPr>
        <w:t xml:space="preserve">Case of Bader and </w:t>
      </w:r>
      <w:proofErr w:type="spellStart"/>
      <w:r w:rsidRPr="001534DE">
        <w:rPr>
          <w:rFonts w:asciiTheme="majorHAnsi" w:hAnsiTheme="majorHAnsi" w:cs="Arial"/>
          <w:color w:val="auto"/>
          <w:sz w:val="16"/>
          <w:szCs w:val="16"/>
          <w:shd w:val="clear" w:color="auto" w:fill="FFFFFF"/>
        </w:rPr>
        <w:t>Kanbor</w:t>
      </w:r>
      <w:proofErr w:type="spellEnd"/>
      <w:r w:rsidRPr="001534DE">
        <w:rPr>
          <w:rFonts w:asciiTheme="majorHAnsi" w:hAnsiTheme="majorHAnsi" w:cs="Arial"/>
          <w:color w:val="auto"/>
          <w:sz w:val="16"/>
          <w:szCs w:val="16"/>
          <w:shd w:val="clear" w:color="auto" w:fill="FFFFFF"/>
        </w:rPr>
        <w:t xml:space="preserve"> v. Sweden.</w:t>
      </w:r>
      <w:proofErr w:type="gramEnd"/>
      <w:r w:rsidRPr="001534DE">
        <w:rPr>
          <w:rFonts w:asciiTheme="majorHAnsi" w:hAnsiTheme="majorHAnsi" w:cs="Arial"/>
          <w:color w:val="auto"/>
          <w:sz w:val="16"/>
          <w:szCs w:val="16"/>
          <w:shd w:val="clear" w:color="auto" w:fill="FFFFFF"/>
        </w:rPr>
        <w:t xml:space="preserve"> </w:t>
      </w:r>
      <w:proofErr w:type="gramStart"/>
      <w:r w:rsidRPr="001534DE">
        <w:rPr>
          <w:rFonts w:asciiTheme="majorHAnsi" w:hAnsiTheme="majorHAnsi" w:cs="Arial"/>
          <w:color w:val="auto"/>
          <w:sz w:val="16"/>
          <w:szCs w:val="16"/>
          <w:shd w:val="clear" w:color="auto" w:fill="FFFFFF"/>
        </w:rPr>
        <w:t>Application no.13284/04.</w:t>
      </w:r>
      <w:proofErr w:type="gramEnd"/>
      <w:r w:rsidRPr="001534DE">
        <w:rPr>
          <w:rFonts w:asciiTheme="majorHAnsi" w:hAnsiTheme="majorHAnsi" w:cs="Arial"/>
          <w:color w:val="auto"/>
          <w:sz w:val="16"/>
          <w:szCs w:val="16"/>
          <w:shd w:val="clear" w:color="auto" w:fill="FFFFFF"/>
        </w:rPr>
        <w:t xml:space="preserve"> Judgment 8 </w:t>
      </w:r>
      <w:proofErr w:type="spellStart"/>
      <w:proofErr w:type="gramStart"/>
      <w:r w:rsidRPr="001534DE">
        <w:rPr>
          <w:rFonts w:asciiTheme="majorHAnsi" w:hAnsiTheme="majorHAnsi" w:cs="Arial"/>
          <w:color w:val="auto"/>
          <w:sz w:val="16"/>
          <w:szCs w:val="16"/>
          <w:shd w:val="clear" w:color="auto" w:fill="FFFFFF"/>
        </w:rPr>
        <w:t>november</w:t>
      </w:r>
      <w:proofErr w:type="spellEnd"/>
      <w:proofErr w:type="gramEnd"/>
      <w:r w:rsidRPr="001534DE">
        <w:rPr>
          <w:rFonts w:asciiTheme="majorHAnsi" w:hAnsiTheme="majorHAnsi" w:cs="Arial"/>
          <w:color w:val="auto"/>
          <w:sz w:val="16"/>
          <w:szCs w:val="16"/>
          <w:shd w:val="clear" w:color="auto" w:fill="FFFFFF"/>
        </w:rPr>
        <w:t xml:space="preserve"> 2005. </w:t>
      </w:r>
      <w:proofErr w:type="gramStart"/>
      <w:r w:rsidRPr="001534DE">
        <w:rPr>
          <w:rFonts w:asciiTheme="majorHAnsi" w:hAnsiTheme="majorHAnsi" w:cs="Arial"/>
          <w:color w:val="auto"/>
          <w:sz w:val="16"/>
          <w:szCs w:val="16"/>
          <w:shd w:val="clear" w:color="auto" w:fill="FFFFFF"/>
        </w:rPr>
        <w:t>Pág.10.</w:t>
      </w:r>
      <w:proofErr w:type="gramEnd"/>
    </w:p>
  </w:footnote>
  <w:footnote w:id="102">
    <w:p w14:paraId="01ACC6B5" w14:textId="77777777" w:rsidR="00BD2651" w:rsidRPr="009D1618" w:rsidRDefault="00BD2651" w:rsidP="00403096">
      <w:pPr>
        <w:pStyle w:val="FootnoteText"/>
        <w:spacing w:after="120"/>
        <w:ind w:firstLine="720"/>
        <w:jc w:val="both"/>
        <w:rPr>
          <w:rFonts w:asciiTheme="majorHAnsi" w:hAnsiTheme="majorHAnsi"/>
          <w:sz w:val="16"/>
          <w:szCs w:val="16"/>
        </w:rPr>
      </w:pPr>
      <w:r w:rsidRPr="009D1618">
        <w:rPr>
          <w:rStyle w:val="FootnoteReference"/>
          <w:rFonts w:asciiTheme="majorHAnsi" w:hAnsiTheme="majorHAnsi"/>
          <w:sz w:val="16"/>
          <w:szCs w:val="16"/>
        </w:rPr>
        <w:footnoteRef/>
      </w:r>
      <w:r w:rsidRPr="009D1618">
        <w:rPr>
          <w:rFonts w:asciiTheme="majorHAnsi" w:hAnsiTheme="majorHAnsi"/>
          <w:sz w:val="16"/>
          <w:szCs w:val="16"/>
        </w:rPr>
        <w:t xml:space="preserve"> </w:t>
      </w:r>
      <w:proofErr w:type="spellStart"/>
      <w:proofErr w:type="gramStart"/>
      <w:r w:rsidRPr="009D1618">
        <w:rPr>
          <w:rFonts w:asciiTheme="majorHAnsi" w:hAnsiTheme="majorHAnsi"/>
          <w:sz w:val="16"/>
          <w:szCs w:val="16"/>
        </w:rPr>
        <w:t>ECthr</w:t>
      </w:r>
      <w:proofErr w:type="spellEnd"/>
      <w:r w:rsidRPr="009D1618">
        <w:rPr>
          <w:rFonts w:asciiTheme="majorHAnsi" w:hAnsiTheme="majorHAnsi"/>
          <w:sz w:val="16"/>
          <w:szCs w:val="16"/>
        </w:rPr>
        <w:t>.</w:t>
      </w:r>
      <w:proofErr w:type="gramEnd"/>
      <w:r w:rsidRPr="009D1618">
        <w:rPr>
          <w:rFonts w:asciiTheme="majorHAnsi" w:hAnsiTheme="majorHAnsi"/>
          <w:sz w:val="16"/>
          <w:szCs w:val="16"/>
        </w:rPr>
        <w:t xml:space="preserve"> </w:t>
      </w:r>
      <w:proofErr w:type="gramStart"/>
      <w:r w:rsidRPr="009D1618">
        <w:rPr>
          <w:rFonts w:asciiTheme="majorHAnsi" w:hAnsiTheme="majorHAnsi"/>
          <w:sz w:val="16"/>
          <w:szCs w:val="16"/>
        </w:rPr>
        <w:t>Case of Al-</w:t>
      </w:r>
      <w:proofErr w:type="spellStart"/>
      <w:r w:rsidRPr="009D1618">
        <w:rPr>
          <w:rFonts w:asciiTheme="majorHAnsi" w:hAnsiTheme="majorHAnsi"/>
          <w:sz w:val="16"/>
          <w:szCs w:val="16"/>
        </w:rPr>
        <w:t>Saadon</w:t>
      </w:r>
      <w:proofErr w:type="spellEnd"/>
      <w:r w:rsidRPr="009D1618">
        <w:rPr>
          <w:rFonts w:asciiTheme="majorHAnsi" w:hAnsiTheme="majorHAnsi"/>
          <w:sz w:val="16"/>
          <w:szCs w:val="16"/>
        </w:rPr>
        <w:t xml:space="preserve"> and </w:t>
      </w:r>
      <w:proofErr w:type="spellStart"/>
      <w:r w:rsidRPr="009D1618">
        <w:rPr>
          <w:rFonts w:asciiTheme="majorHAnsi" w:hAnsiTheme="majorHAnsi"/>
          <w:sz w:val="16"/>
          <w:szCs w:val="16"/>
        </w:rPr>
        <w:t>Mufdhi</w:t>
      </w:r>
      <w:proofErr w:type="spellEnd"/>
      <w:r w:rsidRPr="009D1618">
        <w:rPr>
          <w:rFonts w:asciiTheme="majorHAnsi" w:hAnsiTheme="majorHAnsi"/>
          <w:sz w:val="16"/>
          <w:szCs w:val="16"/>
        </w:rPr>
        <w:t xml:space="preserve"> v.</w:t>
      </w:r>
      <w:proofErr w:type="gramEnd"/>
      <w:r w:rsidRPr="009D1618">
        <w:rPr>
          <w:rFonts w:asciiTheme="majorHAnsi" w:hAnsiTheme="majorHAnsi"/>
          <w:sz w:val="16"/>
          <w:szCs w:val="16"/>
        </w:rPr>
        <w:t xml:space="preserve"> </w:t>
      </w:r>
      <w:proofErr w:type="gramStart"/>
      <w:r w:rsidRPr="009D1618">
        <w:rPr>
          <w:rFonts w:asciiTheme="majorHAnsi" w:hAnsiTheme="majorHAnsi"/>
          <w:sz w:val="16"/>
          <w:szCs w:val="16"/>
        </w:rPr>
        <w:t>The United Kingdom.</w:t>
      </w:r>
      <w:proofErr w:type="gramEnd"/>
      <w:r w:rsidRPr="009D1618">
        <w:rPr>
          <w:rFonts w:asciiTheme="majorHAnsi" w:hAnsiTheme="majorHAnsi"/>
          <w:sz w:val="16"/>
          <w:szCs w:val="16"/>
        </w:rPr>
        <w:t xml:space="preserve"> </w:t>
      </w:r>
      <w:proofErr w:type="gramStart"/>
      <w:r w:rsidRPr="009D1618">
        <w:rPr>
          <w:rFonts w:asciiTheme="majorHAnsi" w:hAnsiTheme="majorHAnsi"/>
          <w:sz w:val="16"/>
          <w:szCs w:val="16"/>
        </w:rPr>
        <w:t>Application No. 61498/08.</w:t>
      </w:r>
      <w:proofErr w:type="gramEnd"/>
      <w:r w:rsidRPr="009D1618">
        <w:rPr>
          <w:rFonts w:asciiTheme="majorHAnsi" w:hAnsiTheme="majorHAnsi"/>
          <w:sz w:val="16"/>
          <w:szCs w:val="16"/>
        </w:rPr>
        <w:t xml:space="preserve"> Judgment 2 march 2010 Para. 137.</w:t>
      </w:r>
    </w:p>
  </w:footnote>
  <w:footnote w:id="103">
    <w:p w14:paraId="5C4FB191" w14:textId="77777777" w:rsidR="00BD2651" w:rsidRPr="00FE7176" w:rsidRDefault="00BD2651" w:rsidP="00403096">
      <w:pPr>
        <w:pStyle w:val="FootnoteText"/>
        <w:spacing w:after="120"/>
        <w:ind w:firstLine="720"/>
        <w:jc w:val="both"/>
        <w:rPr>
          <w:rFonts w:asciiTheme="majorHAnsi" w:hAnsiTheme="majorHAnsi"/>
          <w:sz w:val="16"/>
          <w:szCs w:val="16"/>
        </w:rPr>
      </w:pPr>
      <w:r w:rsidRPr="009D1618">
        <w:rPr>
          <w:rStyle w:val="FootnoteReference"/>
          <w:rFonts w:asciiTheme="majorHAnsi" w:hAnsiTheme="majorHAnsi"/>
          <w:sz w:val="16"/>
          <w:szCs w:val="16"/>
        </w:rPr>
        <w:footnoteRef/>
      </w:r>
      <w:r w:rsidRPr="009D1618">
        <w:rPr>
          <w:rFonts w:asciiTheme="majorHAnsi" w:hAnsiTheme="majorHAnsi"/>
          <w:sz w:val="16"/>
          <w:szCs w:val="16"/>
        </w:rPr>
        <w:t xml:space="preserve"> </w:t>
      </w:r>
      <w:proofErr w:type="gramStart"/>
      <w:r w:rsidRPr="009D1618">
        <w:rPr>
          <w:rFonts w:asciiTheme="majorHAnsi" w:hAnsiTheme="majorHAnsi"/>
          <w:sz w:val="16"/>
          <w:szCs w:val="16"/>
        </w:rPr>
        <w:t xml:space="preserve">Supreme Court of </w:t>
      </w:r>
      <w:r w:rsidRPr="00FE7176">
        <w:rPr>
          <w:rFonts w:asciiTheme="majorHAnsi" w:hAnsiTheme="majorHAnsi"/>
          <w:sz w:val="16"/>
          <w:szCs w:val="16"/>
        </w:rPr>
        <w:t xml:space="preserve">Uganda in Attorney General v. Susan </w:t>
      </w:r>
      <w:proofErr w:type="spellStart"/>
      <w:r w:rsidRPr="00FE7176">
        <w:rPr>
          <w:rFonts w:asciiTheme="majorHAnsi" w:hAnsiTheme="majorHAnsi"/>
          <w:sz w:val="16"/>
          <w:szCs w:val="16"/>
        </w:rPr>
        <w:t>Kigula</w:t>
      </w:r>
      <w:proofErr w:type="spellEnd"/>
      <w:r w:rsidRPr="00FE7176">
        <w:rPr>
          <w:rFonts w:asciiTheme="majorHAnsi" w:hAnsiTheme="majorHAnsi"/>
          <w:sz w:val="16"/>
          <w:szCs w:val="16"/>
        </w:rPr>
        <w:t xml:space="preserve"> and 417 others (Constitutional Appeal No. 3 of 2006), 2009.</w:t>
      </w:r>
      <w:proofErr w:type="gramEnd"/>
    </w:p>
  </w:footnote>
  <w:footnote w:id="104">
    <w:p w14:paraId="785C0122" w14:textId="77777777" w:rsidR="00BD2651" w:rsidRPr="009D1618" w:rsidRDefault="00BD2651" w:rsidP="00403096">
      <w:pPr>
        <w:pStyle w:val="FootnoteText"/>
        <w:spacing w:after="120"/>
        <w:ind w:firstLine="720"/>
        <w:jc w:val="both"/>
        <w:rPr>
          <w:rFonts w:asciiTheme="majorHAnsi" w:hAnsiTheme="majorHAnsi"/>
          <w:sz w:val="16"/>
          <w:szCs w:val="16"/>
        </w:rPr>
      </w:pPr>
      <w:r w:rsidRPr="00FE7176">
        <w:rPr>
          <w:rStyle w:val="FootnoteReference"/>
          <w:rFonts w:asciiTheme="majorHAnsi" w:hAnsiTheme="majorHAnsi"/>
          <w:sz w:val="16"/>
          <w:szCs w:val="16"/>
        </w:rPr>
        <w:footnoteRef/>
      </w:r>
      <w:r w:rsidRPr="00FE7176">
        <w:rPr>
          <w:rFonts w:asciiTheme="majorHAnsi" w:hAnsiTheme="majorHAnsi"/>
          <w:sz w:val="16"/>
          <w:szCs w:val="16"/>
        </w:rPr>
        <w:t xml:space="preserve"> </w:t>
      </w:r>
      <w:proofErr w:type="gramStart"/>
      <w:r w:rsidRPr="00FE7176">
        <w:rPr>
          <w:rFonts w:asciiTheme="majorHAnsi" w:hAnsiTheme="majorHAnsi"/>
          <w:sz w:val="16"/>
          <w:szCs w:val="16"/>
        </w:rPr>
        <w:t xml:space="preserve">Judgment of the Supreme Court of Zimbabwe of 24 June 1993 in </w:t>
      </w:r>
      <w:r w:rsidRPr="00FE7176">
        <w:rPr>
          <w:rFonts w:asciiTheme="majorHAnsi" w:hAnsiTheme="majorHAnsi"/>
          <w:iCs/>
          <w:sz w:val="16"/>
          <w:szCs w:val="16"/>
        </w:rPr>
        <w:t>Catholic Commissioner for Justice and Peace in Zimbabwe v. Attorney General</w:t>
      </w:r>
      <w:r w:rsidRPr="00FE7176">
        <w:rPr>
          <w:rFonts w:asciiTheme="majorHAnsi" w:hAnsiTheme="majorHAnsi"/>
          <w:sz w:val="16"/>
          <w:szCs w:val="16"/>
        </w:rPr>
        <w:t xml:space="preserve"> (4) SA 239 (ZS).</w:t>
      </w:r>
      <w:proofErr w:type="gramEnd"/>
    </w:p>
  </w:footnote>
  <w:footnote w:id="105">
    <w:p w14:paraId="7CA4770D" w14:textId="77777777" w:rsidR="00BD2651" w:rsidRPr="009D1618" w:rsidRDefault="00BD2651" w:rsidP="009E52EE">
      <w:pPr>
        <w:tabs>
          <w:tab w:val="left" w:pos="1440"/>
        </w:tabs>
        <w:spacing w:after="120"/>
        <w:ind w:left="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El artículo 4 de la Convención Americana establece en lo pertinente: </w:t>
      </w:r>
    </w:p>
    <w:p w14:paraId="4C7817BF" w14:textId="77777777" w:rsidR="00BD2651" w:rsidRPr="009D1618" w:rsidRDefault="00BD2651" w:rsidP="009E52EE">
      <w:pPr>
        <w:shd w:val="clear" w:color="auto" w:fill="FFFFFF"/>
        <w:tabs>
          <w:tab w:val="num" w:pos="720"/>
          <w:tab w:val="left" w:pos="1440"/>
          <w:tab w:val="num" w:pos="2040"/>
        </w:tabs>
        <w:spacing w:after="120"/>
        <w:jc w:val="both"/>
        <w:rPr>
          <w:rFonts w:asciiTheme="majorHAnsi" w:hAnsiTheme="majorHAnsi"/>
          <w:sz w:val="16"/>
          <w:szCs w:val="16"/>
          <w:lang w:val="es-CL"/>
        </w:rPr>
      </w:pPr>
      <w:r w:rsidRPr="009D1618">
        <w:rPr>
          <w:rFonts w:asciiTheme="majorHAnsi" w:hAnsiTheme="majorHAnsi"/>
          <w:sz w:val="16"/>
          <w:szCs w:val="16"/>
          <w:lang w:val="es-CL"/>
        </w:rPr>
        <w:tab/>
        <w:t>1. Toda persona tiene derecho a que se respete su vida.  Este derecho estará protegido por la ley y, en general, a partir del momento de la concepción. Nadie puede ser privado de la vida arbitrariamente.</w:t>
      </w:r>
    </w:p>
    <w:p w14:paraId="3633D520" w14:textId="77777777" w:rsidR="00BD2651" w:rsidRPr="009D1618" w:rsidRDefault="00BD2651" w:rsidP="009E52EE">
      <w:pPr>
        <w:shd w:val="clear" w:color="auto" w:fill="FFFFFF"/>
        <w:tabs>
          <w:tab w:val="num" w:pos="720"/>
          <w:tab w:val="left" w:pos="1440"/>
          <w:tab w:val="num" w:pos="2040"/>
        </w:tabs>
        <w:spacing w:after="120"/>
        <w:jc w:val="both"/>
        <w:rPr>
          <w:rFonts w:asciiTheme="majorHAnsi" w:hAnsiTheme="majorHAnsi"/>
          <w:sz w:val="16"/>
          <w:szCs w:val="16"/>
          <w:lang w:val="es-CL"/>
        </w:rPr>
      </w:pPr>
      <w:r w:rsidRPr="009D1618">
        <w:rPr>
          <w:rFonts w:asciiTheme="majorHAnsi" w:hAnsiTheme="majorHAnsi"/>
          <w:sz w:val="16"/>
          <w:szCs w:val="16"/>
          <w:lang w:val="es-CL"/>
        </w:rPr>
        <w:tab/>
        <w:t>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w:t>
      </w:r>
    </w:p>
  </w:footnote>
  <w:footnote w:id="106">
    <w:p w14:paraId="7D840530" w14:textId="77777777" w:rsidR="00BD2651" w:rsidRPr="009D1618" w:rsidRDefault="00BD2651" w:rsidP="009E52EE">
      <w:pPr>
        <w:pStyle w:val="FootnoteText"/>
        <w:spacing w:after="120"/>
        <w:ind w:firstLine="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Corte IDH, Restricciones a la Pena de Muerte (arts. 4.2 y 4.4 Convención Americana sobre Derechos Humanos). Opinión Consultiva OC</w:t>
      </w:r>
      <w:r w:rsidRPr="009D1618">
        <w:rPr>
          <w:rFonts w:asciiTheme="majorHAnsi" w:hAnsiTheme="majorHAnsi" w:cs="Cambria Math"/>
          <w:sz w:val="16"/>
          <w:szCs w:val="16"/>
          <w:lang w:val="es-VE"/>
        </w:rPr>
        <w:t>‐</w:t>
      </w:r>
      <w:r w:rsidRPr="009D1618">
        <w:rPr>
          <w:rFonts w:asciiTheme="majorHAnsi" w:hAnsiTheme="majorHAnsi"/>
          <w:sz w:val="16"/>
          <w:szCs w:val="16"/>
          <w:lang w:val="es-VE"/>
        </w:rPr>
        <w:t>3/83 del 8 de septiembre de 1983. Serie A No. 3, párr. 54.</w:t>
      </w:r>
    </w:p>
  </w:footnote>
  <w:footnote w:id="107">
    <w:p w14:paraId="4CC7F71A" w14:textId="77777777" w:rsidR="00BD2651" w:rsidRPr="009D1618" w:rsidRDefault="00BD2651" w:rsidP="009E52EE">
      <w:pPr>
        <w:pStyle w:val="FootnoteText"/>
        <w:spacing w:after="120"/>
        <w:ind w:firstLine="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sidRPr="009D1618">
        <w:rPr>
          <w:rFonts w:asciiTheme="majorHAnsi" w:hAnsiTheme="majorHAnsi"/>
          <w:sz w:val="16"/>
          <w:szCs w:val="16"/>
          <w:lang w:val="es-VE"/>
        </w:rPr>
        <w:t xml:space="preserve"> CIDH, La pena de muerte en el Sistema Interamericano de Derechos Humanos: de restricciones a abolición, OEA/</w:t>
      </w:r>
      <w:proofErr w:type="spellStart"/>
      <w:r w:rsidRPr="009D1618">
        <w:rPr>
          <w:rFonts w:asciiTheme="majorHAnsi" w:hAnsiTheme="majorHAnsi"/>
          <w:sz w:val="16"/>
          <w:szCs w:val="16"/>
          <w:lang w:val="es-VE"/>
        </w:rPr>
        <w:t>Ser.L</w:t>
      </w:r>
      <w:proofErr w:type="spellEnd"/>
      <w:r w:rsidRPr="009D1618">
        <w:rPr>
          <w:rFonts w:asciiTheme="majorHAnsi" w:hAnsiTheme="majorHAnsi"/>
          <w:sz w:val="16"/>
          <w:szCs w:val="16"/>
          <w:lang w:val="es-VE"/>
        </w:rPr>
        <w:t>/V/II.Doc.68, 31 de diciembre de 2011, párr.88.</w:t>
      </w:r>
    </w:p>
  </w:footnote>
  <w:footnote w:id="108">
    <w:p w14:paraId="2E5F733E" w14:textId="3AF01FB7" w:rsidR="00BD2651" w:rsidRPr="0092605C" w:rsidRDefault="00BD2651" w:rsidP="009E52EE">
      <w:pPr>
        <w:pStyle w:val="FootnoteText"/>
        <w:spacing w:after="120"/>
        <w:ind w:firstLine="720"/>
        <w:jc w:val="both"/>
        <w:rPr>
          <w:rFonts w:asciiTheme="majorHAnsi" w:hAnsiTheme="majorHAnsi"/>
          <w:sz w:val="16"/>
          <w:szCs w:val="16"/>
          <w:lang w:val="es-VE"/>
        </w:rPr>
      </w:pPr>
      <w:r w:rsidRPr="009D1618">
        <w:rPr>
          <w:rStyle w:val="FootnoteReference"/>
          <w:rFonts w:asciiTheme="majorHAnsi" w:hAnsiTheme="majorHAnsi"/>
          <w:sz w:val="16"/>
          <w:szCs w:val="16"/>
        </w:rPr>
        <w:footnoteRef/>
      </w:r>
      <w:r>
        <w:rPr>
          <w:rFonts w:asciiTheme="majorHAnsi" w:hAnsiTheme="majorHAnsi"/>
          <w:sz w:val="16"/>
          <w:szCs w:val="16"/>
          <w:lang w:val="es-VE"/>
        </w:rPr>
        <w:t xml:space="preserve"> </w:t>
      </w:r>
      <w:r w:rsidRPr="009D1618">
        <w:rPr>
          <w:rFonts w:asciiTheme="majorHAnsi" w:hAnsiTheme="majorHAnsi"/>
          <w:sz w:val="16"/>
          <w:szCs w:val="16"/>
          <w:lang w:val="es-VE"/>
        </w:rPr>
        <w:t>CIDH, La pena de muerte en el Sistema Interamericano de Derechos Humanos: de restricciones a abolición, OEA/</w:t>
      </w:r>
      <w:proofErr w:type="spellStart"/>
      <w:r w:rsidRPr="009D1618">
        <w:rPr>
          <w:rFonts w:asciiTheme="majorHAnsi" w:hAnsiTheme="majorHAnsi"/>
          <w:sz w:val="16"/>
          <w:szCs w:val="16"/>
          <w:lang w:val="es-VE"/>
        </w:rPr>
        <w:t>Ser.L</w:t>
      </w:r>
      <w:proofErr w:type="spellEnd"/>
      <w:r w:rsidRPr="009D1618">
        <w:rPr>
          <w:rFonts w:asciiTheme="majorHAnsi" w:hAnsiTheme="majorHAnsi"/>
          <w:sz w:val="16"/>
          <w:szCs w:val="16"/>
          <w:lang w:val="es-VE"/>
        </w:rPr>
        <w:t>/V/II.Doc.68, 31 de diciembre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ACAE" w14:textId="77777777" w:rsidR="00BD2651" w:rsidRDefault="00BD2651"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9C886E0" w14:textId="77777777" w:rsidR="00BD2651" w:rsidRDefault="00BD2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94191" w14:textId="77777777" w:rsidR="00BD2651" w:rsidRDefault="00BD2651" w:rsidP="00A50FCF">
    <w:pPr>
      <w:pStyle w:val="Header"/>
      <w:tabs>
        <w:tab w:val="clear" w:pos="4320"/>
        <w:tab w:val="clear" w:pos="8640"/>
      </w:tabs>
      <w:jc w:val="center"/>
      <w:rPr>
        <w:sz w:val="22"/>
        <w:szCs w:val="22"/>
      </w:rPr>
    </w:pPr>
    <w:r>
      <w:rPr>
        <w:noProof/>
        <w:sz w:val="22"/>
        <w:szCs w:val="22"/>
        <w:lang w:val="es-UY" w:eastAsia="es-UY"/>
      </w:rPr>
      <w:drawing>
        <wp:inline distT="0" distB="0" distL="0" distR="0" wp14:anchorId="045D63EC" wp14:editId="0DCF1A5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85218F" w14:textId="77777777" w:rsidR="00BD2651" w:rsidRPr="00EC7D62" w:rsidRDefault="00576DDC" w:rsidP="00A50FCF">
    <w:pPr>
      <w:pStyle w:val="Header"/>
      <w:tabs>
        <w:tab w:val="clear" w:pos="4320"/>
        <w:tab w:val="clear" w:pos="8640"/>
      </w:tabs>
      <w:jc w:val="center"/>
      <w:rPr>
        <w:sz w:val="22"/>
        <w:szCs w:val="22"/>
      </w:rPr>
    </w:pPr>
    <w:r>
      <w:rPr>
        <w:sz w:val="22"/>
        <w:szCs w:val="22"/>
      </w:rPr>
      <w:pict w14:anchorId="5D3271F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44F51" w14:textId="36E8B84B" w:rsidR="00127AE7" w:rsidRDefault="00127AE7" w:rsidP="00127AE7">
    <w:pPr>
      <w:pStyle w:val="Header"/>
      <w:tabs>
        <w:tab w:val="clear" w:pos="4320"/>
        <w:tab w:val="clear" w:pos="8640"/>
      </w:tabs>
      <w:jc w:val="center"/>
      <w:rPr>
        <w:sz w:val="22"/>
        <w:szCs w:val="22"/>
      </w:rPr>
    </w:pPr>
  </w:p>
  <w:p w14:paraId="02D522F0" w14:textId="18F2F622" w:rsidR="00127AE7" w:rsidRPr="00127AE7" w:rsidRDefault="00127AE7" w:rsidP="00127AE7">
    <w:pPr>
      <w:pStyle w:val="Header"/>
      <w:tabs>
        <w:tab w:val="clear" w:pos="4320"/>
        <w:tab w:val="clear" w:pos="864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34A6FF7"/>
    <w:multiLevelType w:val="hybridMultilevel"/>
    <w:tmpl w:val="26CE353C"/>
    <w:lvl w:ilvl="0" w:tplc="F8208B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6C139DE"/>
    <w:multiLevelType w:val="hybridMultilevel"/>
    <w:tmpl w:val="078C05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F011E5"/>
    <w:multiLevelType w:val="hybridMultilevel"/>
    <w:tmpl w:val="45565DFA"/>
    <w:lvl w:ilvl="0" w:tplc="F5D8EC3A">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1800" w:hanging="360"/>
      </w:pPr>
    </w:lvl>
    <w:lvl w:ilvl="2" w:tplc="FC0E2A0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DA22517"/>
    <w:multiLevelType w:val="hybridMultilevel"/>
    <w:tmpl w:val="0B1A4966"/>
    <w:lvl w:ilvl="0" w:tplc="0F64BB8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3FF45E3"/>
    <w:multiLevelType w:val="hybridMultilevel"/>
    <w:tmpl w:val="D50CAAB8"/>
    <w:lvl w:ilvl="0" w:tplc="CD7EF1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E8669E"/>
    <w:multiLevelType w:val="hybridMultilevel"/>
    <w:tmpl w:val="FCDACEA4"/>
    <w:lvl w:ilvl="0" w:tplc="91C6FCC8">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226E20CA">
      <w:start w:val="7"/>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D3EB2"/>
    <w:multiLevelType w:val="hybridMultilevel"/>
    <w:tmpl w:val="EA6CEE9E"/>
    <w:lvl w:ilvl="0" w:tplc="AF7A8BB6">
      <w:start w:val="1"/>
      <w:numFmt w:val="decimal"/>
      <w:lvlText w:val="%1."/>
      <w:lvlJc w:val="left"/>
      <w:pPr>
        <w:ind w:left="1080" w:hanging="360"/>
      </w:pPr>
      <w:rPr>
        <w:rFonts w:hint="default"/>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FE4984"/>
    <w:multiLevelType w:val="hybridMultilevel"/>
    <w:tmpl w:val="A8821804"/>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7B32AEB"/>
    <w:multiLevelType w:val="hybridMultilevel"/>
    <w:tmpl w:val="579C8D14"/>
    <w:lvl w:ilvl="0" w:tplc="19AEAE6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2F36158"/>
    <w:multiLevelType w:val="hybridMultilevel"/>
    <w:tmpl w:val="48F201A8"/>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368843B7"/>
    <w:multiLevelType w:val="hybridMultilevel"/>
    <w:tmpl w:val="44D2A0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81B1060"/>
    <w:multiLevelType w:val="hybridMultilevel"/>
    <w:tmpl w:val="C24A11D0"/>
    <w:lvl w:ilvl="0" w:tplc="A5BCB49E">
      <w:start w:val="1"/>
      <w:numFmt w:val="upperLetter"/>
      <w:lvlText w:val="%1."/>
      <w:lvlJc w:val="left"/>
      <w:pPr>
        <w:ind w:left="11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0">
    <w:nsid w:val="3A8E23EF"/>
    <w:multiLevelType w:val="hybridMultilevel"/>
    <w:tmpl w:val="784EE7DC"/>
    <w:lvl w:ilvl="0" w:tplc="B266A86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DC61D90"/>
    <w:multiLevelType w:val="hybridMultilevel"/>
    <w:tmpl w:val="48F201A8"/>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D82C8C"/>
    <w:multiLevelType w:val="hybridMultilevel"/>
    <w:tmpl w:val="4720E3E2"/>
    <w:lvl w:ilvl="0" w:tplc="1DF2145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FB5430D"/>
    <w:multiLevelType w:val="hybridMultilevel"/>
    <w:tmpl w:val="48F201A8"/>
    <w:lvl w:ilvl="0" w:tplc="27B830F4">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47D8710B"/>
    <w:multiLevelType w:val="hybridMultilevel"/>
    <w:tmpl w:val="018CC294"/>
    <w:lvl w:ilvl="0" w:tplc="CA98A4D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1E669B"/>
    <w:multiLevelType w:val="hybridMultilevel"/>
    <w:tmpl w:val="5672AE9A"/>
    <w:lvl w:ilvl="0" w:tplc="557A7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nsid w:val="4F7B63B5"/>
    <w:multiLevelType w:val="hybridMultilevel"/>
    <w:tmpl w:val="89F4C518"/>
    <w:lvl w:ilvl="0" w:tplc="C43A80A0">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1">
    <w:nsid w:val="53F06B0B"/>
    <w:multiLevelType w:val="hybridMultilevel"/>
    <w:tmpl w:val="186AFED2"/>
    <w:lvl w:ilvl="0" w:tplc="86A875A4">
      <w:start w:val="1"/>
      <w:numFmt w:val="upp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3">
    <w:nsid w:val="54797772"/>
    <w:multiLevelType w:val="hybridMultilevel"/>
    <w:tmpl w:val="3ED0389C"/>
    <w:lvl w:ilvl="0" w:tplc="4EE89C3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DD54DE"/>
    <w:multiLevelType w:val="hybridMultilevel"/>
    <w:tmpl w:val="030416B2"/>
    <w:lvl w:ilvl="0" w:tplc="5E9AA72A">
      <w:start w:val="1"/>
      <w:numFmt w:val="decimal"/>
      <w:lvlText w:val="%1."/>
      <w:lvlJc w:val="left"/>
      <w:pPr>
        <w:tabs>
          <w:tab w:val="num" w:pos="1575"/>
        </w:tabs>
        <w:ind w:left="1575" w:hanging="765"/>
      </w:pPr>
      <w:rPr>
        <w:rFonts w:ascii="Cambria" w:hAnsi="Cambria" w:cs="Arial" w:hint="default"/>
        <w:b w:val="0"/>
        <w:i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65">
    <w:nsid w:val="56B11C4E"/>
    <w:multiLevelType w:val="hybridMultilevel"/>
    <w:tmpl w:val="D66ED924"/>
    <w:lvl w:ilvl="0" w:tplc="493022E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7">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8">
    <w:nsid w:val="5E250073"/>
    <w:multiLevelType w:val="hybridMultilevel"/>
    <w:tmpl w:val="E138ACEA"/>
    <w:lvl w:ilvl="0" w:tplc="D83E3ED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D00693"/>
    <w:multiLevelType w:val="hybridMultilevel"/>
    <w:tmpl w:val="B04022AA"/>
    <w:lvl w:ilvl="0" w:tplc="2FEE0A8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nsid w:val="615D079E"/>
    <w:multiLevelType w:val="hybridMultilevel"/>
    <w:tmpl w:val="2C7CD550"/>
    <w:lvl w:ilvl="0" w:tplc="961C3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1DA20B4"/>
    <w:multiLevelType w:val="hybridMultilevel"/>
    <w:tmpl w:val="862477B6"/>
    <w:lvl w:ilvl="0" w:tplc="91C6FCC8">
      <w:start w:val="1"/>
      <w:numFmt w:val="decimal"/>
      <w:lvlText w:val="%1."/>
      <w:lvlJc w:val="left"/>
      <w:pPr>
        <w:tabs>
          <w:tab w:val="num" w:pos="1080"/>
        </w:tabs>
        <w:ind w:left="1080" w:hanging="360"/>
      </w:pPr>
      <w:rPr>
        <w:rFonts w:ascii="Cambria" w:hAnsi="Cambria" w:cs="Times New Roman" w:hint="default"/>
        <w:b w:val="0"/>
        <w:i w:val="0"/>
        <w:sz w:val="20"/>
        <w:szCs w:val="20"/>
        <w:lang w:val="es-V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5146B17"/>
    <w:multiLevelType w:val="hybridMultilevel"/>
    <w:tmpl w:val="73CE2AAC"/>
    <w:lvl w:ilvl="0" w:tplc="89029CD0">
      <w:start w:val="1"/>
      <w:numFmt w:val="decimal"/>
      <w:lvlText w:val="%1."/>
      <w:lvlJc w:val="left"/>
      <w:pPr>
        <w:tabs>
          <w:tab w:val="num" w:pos="2340"/>
        </w:tabs>
        <w:ind w:left="234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76">
    <w:nsid w:val="66A101BB"/>
    <w:multiLevelType w:val="hybridMultilevel"/>
    <w:tmpl w:val="769CA5C4"/>
    <w:lvl w:ilvl="0" w:tplc="CB3E82CC">
      <w:start w:val="1"/>
      <w:numFmt w:val="upperRoman"/>
      <w:lvlText w:val="%1."/>
      <w:lvlJc w:val="left"/>
      <w:pPr>
        <w:tabs>
          <w:tab w:val="num" w:pos="1440"/>
        </w:tabs>
        <w:ind w:left="1440" w:hanging="720"/>
      </w:pPr>
      <w:rPr>
        <w:rFonts w:cs="Times New Roman" w:hint="default"/>
        <w:b/>
      </w:rPr>
    </w:lvl>
    <w:lvl w:ilvl="1" w:tplc="C8EC9D76">
      <w:start w:val="1"/>
      <w:numFmt w:val="decimal"/>
      <w:lvlText w:val="%2."/>
      <w:lvlJc w:val="left"/>
      <w:pPr>
        <w:tabs>
          <w:tab w:val="num" w:pos="1800"/>
        </w:tabs>
        <w:ind w:left="1800" w:hanging="360"/>
      </w:pPr>
      <w:rPr>
        <w:rFonts w:cs="Times New Roman" w:hint="default"/>
        <w:b/>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78">
    <w:nsid w:val="6A52205B"/>
    <w:multiLevelType w:val="hybridMultilevel"/>
    <w:tmpl w:val="1C3A3166"/>
    <w:lvl w:ilvl="0" w:tplc="90545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BCA767D"/>
    <w:multiLevelType w:val="hybridMultilevel"/>
    <w:tmpl w:val="0A20C064"/>
    <w:lvl w:ilvl="0" w:tplc="F5D8EC3A">
      <w:start w:val="1"/>
      <w:numFmt w:val="decimal"/>
      <w:lvlText w:val="%1."/>
      <w:lvlJc w:val="left"/>
      <w:pPr>
        <w:ind w:left="1080" w:hanging="360"/>
      </w:pPr>
      <w:rPr>
        <w:b/>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1800" w:hanging="360"/>
      </w:pPr>
    </w:lvl>
    <w:lvl w:ilvl="2" w:tplc="2C8A36D4">
      <w:start w:val="1"/>
      <w:numFmt w:val="upperLetter"/>
      <w:lvlText w:val="%3."/>
      <w:lvlJc w:val="left"/>
      <w:pPr>
        <w:ind w:left="2700" w:hanging="360"/>
      </w:pPr>
      <w:rPr>
        <w:rFonts w:hint="default"/>
        <w:sz w:val="20"/>
        <w:szCs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1">
    <w:nsid w:val="70CF74F0"/>
    <w:multiLevelType w:val="hybridMultilevel"/>
    <w:tmpl w:val="F288F572"/>
    <w:lvl w:ilvl="0" w:tplc="78002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8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6">
    <w:nsid w:val="7A571B7C"/>
    <w:multiLevelType w:val="multilevel"/>
    <w:tmpl w:val="1CD0BC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9">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8"/>
  </w:num>
  <w:num w:numId="2">
    <w:abstractNumId w:val="9"/>
  </w:num>
  <w:num w:numId="3">
    <w:abstractNumId w:val="84"/>
  </w:num>
  <w:num w:numId="4">
    <w:abstractNumId w:val="31"/>
  </w:num>
  <w:num w:numId="5">
    <w:abstractNumId w:val="75"/>
  </w:num>
  <w:num w:numId="6">
    <w:abstractNumId w:val="39"/>
  </w:num>
  <w:num w:numId="7">
    <w:abstractNumId w:val="15"/>
  </w:num>
  <w:num w:numId="8">
    <w:abstractNumId w:val="26"/>
  </w:num>
  <w:num w:numId="9">
    <w:abstractNumId w:val="62"/>
  </w:num>
  <w:num w:numId="10">
    <w:abstractNumId w:val="2"/>
  </w:num>
  <w:num w:numId="11">
    <w:abstractNumId w:val="55"/>
  </w:num>
  <w:num w:numId="12">
    <w:abstractNumId w:val="56"/>
  </w:num>
  <w:num w:numId="13">
    <w:abstractNumId w:val="66"/>
  </w:num>
  <w:num w:numId="14">
    <w:abstractNumId w:val="3"/>
  </w:num>
  <w:num w:numId="15">
    <w:abstractNumId w:val="6"/>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7"/>
  </w:num>
  <w:num w:numId="26">
    <w:abstractNumId w:val="28"/>
  </w:num>
  <w:num w:numId="27">
    <w:abstractNumId w:val="33"/>
  </w:num>
  <w:num w:numId="28">
    <w:abstractNumId w:val="34"/>
  </w:num>
  <w:num w:numId="29">
    <w:abstractNumId w:val="35"/>
  </w:num>
  <w:num w:numId="30">
    <w:abstractNumId w:val="38"/>
  </w:num>
  <w:num w:numId="31">
    <w:abstractNumId w:val="41"/>
  </w:num>
  <w:num w:numId="32">
    <w:abstractNumId w:val="46"/>
  </w:num>
  <w:num w:numId="33">
    <w:abstractNumId w:val="47"/>
  </w:num>
  <w:num w:numId="34">
    <w:abstractNumId w:val="48"/>
  </w:num>
  <w:num w:numId="35">
    <w:abstractNumId w:val="49"/>
  </w:num>
  <w:num w:numId="36">
    <w:abstractNumId w:val="50"/>
  </w:num>
  <w:num w:numId="37">
    <w:abstractNumId w:val="53"/>
  </w:num>
  <w:num w:numId="38">
    <w:abstractNumId w:val="54"/>
  </w:num>
  <w:num w:numId="39">
    <w:abstractNumId w:val="58"/>
  </w:num>
  <w:num w:numId="40">
    <w:abstractNumId w:val="59"/>
  </w:num>
  <w:num w:numId="41">
    <w:abstractNumId w:val="71"/>
  </w:num>
  <w:num w:numId="42">
    <w:abstractNumId w:val="77"/>
  </w:num>
  <w:num w:numId="43">
    <w:abstractNumId w:val="80"/>
  </w:num>
  <w:num w:numId="44">
    <w:abstractNumId w:val="82"/>
  </w:num>
  <w:num w:numId="45">
    <w:abstractNumId w:val="83"/>
  </w:num>
  <w:num w:numId="46">
    <w:abstractNumId w:val="85"/>
  </w:num>
  <w:num w:numId="47">
    <w:abstractNumId w:val="87"/>
  </w:num>
  <w:num w:numId="48">
    <w:abstractNumId w:val="88"/>
  </w:num>
  <w:num w:numId="49">
    <w:abstractNumId w:val="90"/>
  </w:num>
  <w:num w:numId="50">
    <w:abstractNumId w:val="91"/>
  </w:num>
  <w:num w:numId="51">
    <w:abstractNumId w:val="30"/>
  </w:num>
  <w:num w:numId="52">
    <w:abstractNumId w:val="60"/>
  </w:num>
  <w:num w:numId="53">
    <w:abstractNumId w:val="67"/>
  </w:num>
  <w:num w:numId="54">
    <w:abstractNumId w:val="57"/>
  </w:num>
  <w:num w:numId="55">
    <w:abstractNumId w:val="76"/>
  </w:num>
  <w:num w:numId="56">
    <w:abstractNumId w:val="0"/>
  </w:num>
  <w:num w:numId="57">
    <w:abstractNumId w:val="89"/>
  </w:num>
  <w:num w:numId="58">
    <w:abstractNumId w:val="43"/>
  </w:num>
  <w:num w:numId="59">
    <w:abstractNumId w:val="42"/>
  </w:num>
  <w:num w:numId="60">
    <w:abstractNumId w:val="61"/>
  </w:num>
  <w:num w:numId="61">
    <w:abstractNumId w:val="14"/>
    <w:lvlOverride w:ilvl="0">
      <w:startOverride w:val="1"/>
    </w:lvlOverride>
  </w:num>
  <w:num w:numId="62">
    <w:abstractNumId w:val="37"/>
  </w:num>
  <w:num w:numId="63">
    <w:abstractNumId w:val="4"/>
  </w:num>
  <w:num w:numId="64">
    <w:abstractNumId w:val="36"/>
  </w:num>
  <w:num w:numId="65">
    <w:abstractNumId w:val="10"/>
  </w:num>
  <w:num w:numId="66">
    <w:abstractNumId w:val="79"/>
  </w:num>
  <w:num w:numId="67">
    <w:abstractNumId w:val="64"/>
  </w:num>
  <w:num w:numId="68">
    <w:abstractNumId w:val="29"/>
  </w:num>
  <w:num w:numId="69">
    <w:abstractNumId w:val="11"/>
  </w:num>
  <w:num w:numId="70">
    <w:abstractNumId w:val="44"/>
  </w:num>
  <w:num w:numId="71">
    <w:abstractNumId w:val="65"/>
  </w:num>
  <w:num w:numId="72">
    <w:abstractNumId w:val="73"/>
  </w:num>
  <w:num w:numId="73">
    <w:abstractNumId w:val="51"/>
  </w:num>
  <w:num w:numId="74">
    <w:abstractNumId w:val="5"/>
  </w:num>
  <w:num w:numId="75">
    <w:abstractNumId w:val="40"/>
  </w:num>
  <w:num w:numId="76">
    <w:abstractNumId w:val="81"/>
  </w:num>
  <w:num w:numId="77">
    <w:abstractNumId w:val="63"/>
  </w:num>
  <w:num w:numId="78">
    <w:abstractNumId w:val="68"/>
  </w:num>
  <w:num w:numId="79">
    <w:abstractNumId w:val="69"/>
  </w:num>
  <w:num w:numId="80">
    <w:abstractNumId w:val="12"/>
  </w:num>
  <w:num w:numId="81">
    <w:abstractNumId w:val="13"/>
  </w:num>
  <w:num w:numId="82">
    <w:abstractNumId w:val="1"/>
  </w:num>
  <w:num w:numId="83">
    <w:abstractNumId w:val="7"/>
  </w:num>
  <w:num w:numId="84">
    <w:abstractNumId w:val="25"/>
  </w:num>
  <w:num w:numId="85">
    <w:abstractNumId w:val="70"/>
  </w:num>
  <w:num w:numId="86">
    <w:abstractNumId w:val="72"/>
  </w:num>
  <w:num w:numId="87">
    <w:abstractNumId w:val="52"/>
  </w:num>
  <w:num w:numId="88">
    <w:abstractNumId w:val="86"/>
  </w:num>
  <w:num w:numId="89">
    <w:abstractNumId w:val="32"/>
  </w:num>
  <w:num w:numId="90">
    <w:abstractNumId w:val="74"/>
  </w:num>
  <w:num w:numId="91">
    <w:abstractNumId w:val="45"/>
  </w:num>
  <w:num w:numId="92">
    <w:abstractNumId w:val="7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65"/>
    <w:rsid w:val="0000026B"/>
    <w:rsid w:val="000002C8"/>
    <w:rsid w:val="0000032A"/>
    <w:rsid w:val="00000333"/>
    <w:rsid w:val="0000036F"/>
    <w:rsid w:val="00000472"/>
    <w:rsid w:val="00000645"/>
    <w:rsid w:val="00000CDA"/>
    <w:rsid w:val="00000D64"/>
    <w:rsid w:val="00000F71"/>
    <w:rsid w:val="00000FB1"/>
    <w:rsid w:val="000011BD"/>
    <w:rsid w:val="000016B0"/>
    <w:rsid w:val="000017F9"/>
    <w:rsid w:val="00001855"/>
    <w:rsid w:val="00001FAC"/>
    <w:rsid w:val="00002210"/>
    <w:rsid w:val="00002657"/>
    <w:rsid w:val="0000270F"/>
    <w:rsid w:val="00002784"/>
    <w:rsid w:val="00003017"/>
    <w:rsid w:val="0000346B"/>
    <w:rsid w:val="000035E3"/>
    <w:rsid w:val="00003756"/>
    <w:rsid w:val="000037CA"/>
    <w:rsid w:val="00003C0A"/>
    <w:rsid w:val="00003E8B"/>
    <w:rsid w:val="00003F84"/>
    <w:rsid w:val="00004149"/>
    <w:rsid w:val="00004260"/>
    <w:rsid w:val="00004302"/>
    <w:rsid w:val="00004579"/>
    <w:rsid w:val="0000484F"/>
    <w:rsid w:val="000049DA"/>
    <w:rsid w:val="00004A86"/>
    <w:rsid w:val="00004BCA"/>
    <w:rsid w:val="00004CD3"/>
    <w:rsid w:val="00004DE7"/>
    <w:rsid w:val="000059E7"/>
    <w:rsid w:val="00005A60"/>
    <w:rsid w:val="00005ACB"/>
    <w:rsid w:val="00005CC5"/>
    <w:rsid w:val="00005E52"/>
    <w:rsid w:val="00005F8B"/>
    <w:rsid w:val="00006210"/>
    <w:rsid w:val="00006454"/>
    <w:rsid w:val="000065BB"/>
    <w:rsid w:val="0000665B"/>
    <w:rsid w:val="000066E8"/>
    <w:rsid w:val="00006939"/>
    <w:rsid w:val="00006AEB"/>
    <w:rsid w:val="00006B28"/>
    <w:rsid w:val="00006E1F"/>
    <w:rsid w:val="00006E9E"/>
    <w:rsid w:val="00006F41"/>
    <w:rsid w:val="00006FC6"/>
    <w:rsid w:val="000070D7"/>
    <w:rsid w:val="00007135"/>
    <w:rsid w:val="0000713D"/>
    <w:rsid w:val="0000721C"/>
    <w:rsid w:val="000076A0"/>
    <w:rsid w:val="000079F2"/>
    <w:rsid w:val="00007C3A"/>
    <w:rsid w:val="00007D20"/>
    <w:rsid w:val="00007E1F"/>
    <w:rsid w:val="00007E84"/>
    <w:rsid w:val="00007EBD"/>
    <w:rsid w:val="00007FEF"/>
    <w:rsid w:val="00010828"/>
    <w:rsid w:val="00010836"/>
    <w:rsid w:val="00010E7B"/>
    <w:rsid w:val="00010F73"/>
    <w:rsid w:val="00010FC1"/>
    <w:rsid w:val="000111A4"/>
    <w:rsid w:val="00011213"/>
    <w:rsid w:val="0001139F"/>
    <w:rsid w:val="000116A9"/>
    <w:rsid w:val="0001172F"/>
    <w:rsid w:val="00011738"/>
    <w:rsid w:val="00011A95"/>
    <w:rsid w:val="00011BC3"/>
    <w:rsid w:val="00011BFA"/>
    <w:rsid w:val="00011D28"/>
    <w:rsid w:val="00012E69"/>
    <w:rsid w:val="00012E8F"/>
    <w:rsid w:val="00013196"/>
    <w:rsid w:val="00013262"/>
    <w:rsid w:val="00013304"/>
    <w:rsid w:val="00013730"/>
    <w:rsid w:val="0001377C"/>
    <w:rsid w:val="00013833"/>
    <w:rsid w:val="00013ABA"/>
    <w:rsid w:val="00013EF8"/>
    <w:rsid w:val="00014052"/>
    <w:rsid w:val="0001468F"/>
    <w:rsid w:val="000147EE"/>
    <w:rsid w:val="000152F0"/>
    <w:rsid w:val="000159EC"/>
    <w:rsid w:val="00015B68"/>
    <w:rsid w:val="00015C39"/>
    <w:rsid w:val="00015CF2"/>
    <w:rsid w:val="00015EEB"/>
    <w:rsid w:val="00016415"/>
    <w:rsid w:val="00016669"/>
    <w:rsid w:val="000167C9"/>
    <w:rsid w:val="00016D21"/>
    <w:rsid w:val="00016D84"/>
    <w:rsid w:val="00016F24"/>
    <w:rsid w:val="0001714B"/>
    <w:rsid w:val="000174CC"/>
    <w:rsid w:val="000175F4"/>
    <w:rsid w:val="00017661"/>
    <w:rsid w:val="0001788C"/>
    <w:rsid w:val="00017896"/>
    <w:rsid w:val="00017A0C"/>
    <w:rsid w:val="00017AC3"/>
    <w:rsid w:val="00017B7E"/>
    <w:rsid w:val="00017D12"/>
    <w:rsid w:val="00017E9A"/>
    <w:rsid w:val="00020394"/>
    <w:rsid w:val="00020576"/>
    <w:rsid w:val="00020701"/>
    <w:rsid w:val="000209DF"/>
    <w:rsid w:val="00021274"/>
    <w:rsid w:val="00021607"/>
    <w:rsid w:val="000216A9"/>
    <w:rsid w:val="000216C0"/>
    <w:rsid w:val="00021B34"/>
    <w:rsid w:val="00021D6E"/>
    <w:rsid w:val="00021EB3"/>
    <w:rsid w:val="00022008"/>
    <w:rsid w:val="0002248F"/>
    <w:rsid w:val="000224F0"/>
    <w:rsid w:val="00022680"/>
    <w:rsid w:val="00022CE6"/>
    <w:rsid w:val="00023070"/>
    <w:rsid w:val="0002339E"/>
    <w:rsid w:val="000234A9"/>
    <w:rsid w:val="0002381A"/>
    <w:rsid w:val="00023C43"/>
    <w:rsid w:val="00023CAD"/>
    <w:rsid w:val="00023CC4"/>
    <w:rsid w:val="00023F0A"/>
    <w:rsid w:val="0002440E"/>
    <w:rsid w:val="0002480B"/>
    <w:rsid w:val="00024A8B"/>
    <w:rsid w:val="00024A9E"/>
    <w:rsid w:val="00024F9A"/>
    <w:rsid w:val="00025118"/>
    <w:rsid w:val="0002538A"/>
    <w:rsid w:val="000258DF"/>
    <w:rsid w:val="00025A94"/>
    <w:rsid w:val="00026077"/>
    <w:rsid w:val="00026570"/>
    <w:rsid w:val="00026687"/>
    <w:rsid w:val="00026955"/>
    <w:rsid w:val="00026E33"/>
    <w:rsid w:val="00026EEE"/>
    <w:rsid w:val="00027093"/>
    <w:rsid w:val="00027161"/>
    <w:rsid w:val="000272B8"/>
    <w:rsid w:val="0002773C"/>
    <w:rsid w:val="000278F9"/>
    <w:rsid w:val="00027921"/>
    <w:rsid w:val="0002796C"/>
    <w:rsid w:val="00027BC7"/>
    <w:rsid w:val="0003010B"/>
    <w:rsid w:val="00030514"/>
    <w:rsid w:val="000308E4"/>
    <w:rsid w:val="00030CAE"/>
    <w:rsid w:val="00030CF4"/>
    <w:rsid w:val="00030D5E"/>
    <w:rsid w:val="00030EEA"/>
    <w:rsid w:val="00030EEC"/>
    <w:rsid w:val="0003101C"/>
    <w:rsid w:val="0003140D"/>
    <w:rsid w:val="0003150E"/>
    <w:rsid w:val="00031F77"/>
    <w:rsid w:val="00032079"/>
    <w:rsid w:val="000322A7"/>
    <w:rsid w:val="000329AF"/>
    <w:rsid w:val="00032AF7"/>
    <w:rsid w:val="00032C1D"/>
    <w:rsid w:val="00032DB2"/>
    <w:rsid w:val="00032DD1"/>
    <w:rsid w:val="00033658"/>
    <w:rsid w:val="00033798"/>
    <w:rsid w:val="00033A34"/>
    <w:rsid w:val="00033C0A"/>
    <w:rsid w:val="00033D3F"/>
    <w:rsid w:val="00033E63"/>
    <w:rsid w:val="0003418C"/>
    <w:rsid w:val="000341A8"/>
    <w:rsid w:val="00034465"/>
    <w:rsid w:val="00034479"/>
    <w:rsid w:val="000345D8"/>
    <w:rsid w:val="00034608"/>
    <w:rsid w:val="0003487D"/>
    <w:rsid w:val="000348CD"/>
    <w:rsid w:val="000349FD"/>
    <w:rsid w:val="00034B03"/>
    <w:rsid w:val="00034B08"/>
    <w:rsid w:val="000351F0"/>
    <w:rsid w:val="00035565"/>
    <w:rsid w:val="00035642"/>
    <w:rsid w:val="00035866"/>
    <w:rsid w:val="00035898"/>
    <w:rsid w:val="0003596B"/>
    <w:rsid w:val="00035ABB"/>
    <w:rsid w:val="00035F55"/>
    <w:rsid w:val="00036090"/>
    <w:rsid w:val="00036409"/>
    <w:rsid w:val="0003681B"/>
    <w:rsid w:val="0003720D"/>
    <w:rsid w:val="0003738C"/>
    <w:rsid w:val="00037942"/>
    <w:rsid w:val="00037C0D"/>
    <w:rsid w:val="00037D4A"/>
    <w:rsid w:val="00037DD7"/>
    <w:rsid w:val="0004015D"/>
    <w:rsid w:val="00040177"/>
    <w:rsid w:val="0004040B"/>
    <w:rsid w:val="000404C8"/>
    <w:rsid w:val="000407EB"/>
    <w:rsid w:val="000409AE"/>
    <w:rsid w:val="00040AE9"/>
    <w:rsid w:val="00040B5F"/>
    <w:rsid w:val="00040C3A"/>
    <w:rsid w:val="00040E37"/>
    <w:rsid w:val="00040EE5"/>
    <w:rsid w:val="000415DC"/>
    <w:rsid w:val="0004176A"/>
    <w:rsid w:val="00041976"/>
    <w:rsid w:val="00041BD3"/>
    <w:rsid w:val="00041CCA"/>
    <w:rsid w:val="000422ED"/>
    <w:rsid w:val="000423AC"/>
    <w:rsid w:val="00042707"/>
    <w:rsid w:val="000427BE"/>
    <w:rsid w:val="000428AA"/>
    <w:rsid w:val="00042AA3"/>
    <w:rsid w:val="00042B39"/>
    <w:rsid w:val="0004316F"/>
    <w:rsid w:val="00043246"/>
    <w:rsid w:val="000436BC"/>
    <w:rsid w:val="00043744"/>
    <w:rsid w:val="00043959"/>
    <w:rsid w:val="00043A9B"/>
    <w:rsid w:val="00043B7E"/>
    <w:rsid w:val="0004416B"/>
    <w:rsid w:val="000443AB"/>
    <w:rsid w:val="000444CD"/>
    <w:rsid w:val="0004481A"/>
    <w:rsid w:val="00044B69"/>
    <w:rsid w:val="00044D50"/>
    <w:rsid w:val="00044DFD"/>
    <w:rsid w:val="0004559B"/>
    <w:rsid w:val="000455F8"/>
    <w:rsid w:val="00045932"/>
    <w:rsid w:val="00045AA7"/>
    <w:rsid w:val="00045C17"/>
    <w:rsid w:val="00045EAD"/>
    <w:rsid w:val="000460A7"/>
    <w:rsid w:val="00046100"/>
    <w:rsid w:val="0004618D"/>
    <w:rsid w:val="00046395"/>
    <w:rsid w:val="000465C7"/>
    <w:rsid w:val="0004682F"/>
    <w:rsid w:val="000469F1"/>
    <w:rsid w:val="00046B21"/>
    <w:rsid w:val="00046BF1"/>
    <w:rsid w:val="00046C0E"/>
    <w:rsid w:val="0004735A"/>
    <w:rsid w:val="000473FB"/>
    <w:rsid w:val="00047441"/>
    <w:rsid w:val="00047885"/>
    <w:rsid w:val="000479B6"/>
    <w:rsid w:val="00047DE8"/>
    <w:rsid w:val="0005068C"/>
    <w:rsid w:val="00050A98"/>
    <w:rsid w:val="00050BD1"/>
    <w:rsid w:val="0005105A"/>
    <w:rsid w:val="00051497"/>
    <w:rsid w:val="00051C33"/>
    <w:rsid w:val="00051C44"/>
    <w:rsid w:val="000521A8"/>
    <w:rsid w:val="000525EF"/>
    <w:rsid w:val="0005283E"/>
    <w:rsid w:val="00052A54"/>
    <w:rsid w:val="00052C79"/>
    <w:rsid w:val="00052E3D"/>
    <w:rsid w:val="000531B7"/>
    <w:rsid w:val="0005362B"/>
    <w:rsid w:val="0005370C"/>
    <w:rsid w:val="00053C8B"/>
    <w:rsid w:val="00053D00"/>
    <w:rsid w:val="00053EDB"/>
    <w:rsid w:val="00053FC6"/>
    <w:rsid w:val="00054266"/>
    <w:rsid w:val="00054314"/>
    <w:rsid w:val="0005482F"/>
    <w:rsid w:val="0005493D"/>
    <w:rsid w:val="00054BCE"/>
    <w:rsid w:val="00054D12"/>
    <w:rsid w:val="00054D4F"/>
    <w:rsid w:val="00055001"/>
    <w:rsid w:val="000551F8"/>
    <w:rsid w:val="000553EC"/>
    <w:rsid w:val="000554EC"/>
    <w:rsid w:val="00055503"/>
    <w:rsid w:val="0005571E"/>
    <w:rsid w:val="00055963"/>
    <w:rsid w:val="000561C0"/>
    <w:rsid w:val="000562FB"/>
    <w:rsid w:val="000566C8"/>
    <w:rsid w:val="0005677C"/>
    <w:rsid w:val="00056859"/>
    <w:rsid w:val="00056C6B"/>
    <w:rsid w:val="00056C7F"/>
    <w:rsid w:val="00056E11"/>
    <w:rsid w:val="000570A5"/>
    <w:rsid w:val="000574FF"/>
    <w:rsid w:val="0005789F"/>
    <w:rsid w:val="000579EC"/>
    <w:rsid w:val="00060069"/>
    <w:rsid w:val="00060F12"/>
    <w:rsid w:val="00061278"/>
    <w:rsid w:val="00061389"/>
    <w:rsid w:val="00061C6E"/>
    <w:rsid w:val="00062052"/>
    <w:rsid w:val="0006210F"/>
    <w:rsid w:val="00062663"/>
    <w:rsid w:val="0006292A"/>
    <w:rsid w:val="00062A19"/>
    <w:rsid w:val="00062AD7"/>
    <w:rsid w:val="00062B74"/>
    <w:rsid w:val="00062DAA"/>
    <w:rsid w:val="00062F65"/>
    <w:rsid w:val="00062F68"/>
    <w:rsid w:val="00062F76"/>
    <w:rsid w:val="0006337A"/>
    <w:rsid w:val="000640B9"/>
    <w:rsid w:val="00064379"/>
    <w:rsid w:val="0006453F"/>
    <w:rsid w:val="000646CE"/>
    <w:rsid w:val="00064785"/>
    <w:rsid w:val="00064809"/>
    <w:rsid w:val="00064A26"/>
    <w:rsid w:val="00064A4D"/>
    <w:rsid w:val="00064AAD"/>
    <w:rsid w:val="00064D5C"/>
    <w:rsid w:val="00064E24"/>
    <w:rsid w:val="00064F88"/>
    <w:rsid w:val="00065907"/>
    <w:rsid w:val="000659A5"/>
    <w:rsid w:val="00065A77"/>
    <w:rsid w:val="00065FA9"/>
    <w:rsid w:val="000662FE"/>
    <w:rsid w:val="0006645E"/>
    <w:rsid w:val="000664AA"/>
    <w:rsid w:val="000668E2"/>
    <w:rsid w:val="00066AF8"/>
    <w:rsid w:val="00066DC1"/>
    <w:rsid w:val="00066DC3"/>
    <w:rsid w:val="00066EF9"/>
    <w:rsid w:val="000670F6"/>
    <w:rsid w:val="00067387"/>
    <w:rsid w:val="000673D7"/>
    <w:rsid w:val="00067805"/>
    <w:rsid w:val="0006782A"/>
    <w:rsid w:val="00067A21"/>
    <w:rsid w:val="00067A85"/>
    <w:rsid w:val="0007061E"/>
    <w:rsid w:val="0007068E"/>
    <w:rsid w:val="000708D6"/>
    <w:rsid w:val="000709B6"/>
    <w:rsid w:val="00070C49"/>
    <w:rsid w:val="00070D39"/>
    <w:rsid w:val="00070D46"/>
    <w:rsid w:val="00071078"/>
    <w:rsid w:val="000710A8"/>
    <w:rsid w:val="0007147B"/>
    <w:rsid w:val="000714A8"/>
    <w:rsid w:val="000716C5"/>
    <w:rsid w:val="00071B3F"/>
    <w:rsid w:val="00072066"/>
    <w:rsid w:val="000723BA"/>
    <w:rsid w:val="00072660"/>
    <w:rsid w:val="00072A6F"/>
    <w:rsid w:val="00072D08"/>
    <w:rsid w:val="00072ED2"/>
    <w:rsid w:val="000731E4"/>
    <w:rsid w:val="00073293"/>
    <w:rsid w:val="00073559"/>
    <w:rsid w:val="0007379B"/>
    <w:rsid w:val="000738B8"/>
    <w:rsid w:val="00073936"/>
    <w:rsid w:val="00073C75"/>
    <w:rsid w:val="00073F9D"/>
    <w:rsid w:val="0007430D"/>
    <w:rsid w:val="00074739"/>
    <w:rsid w:val="00074A38"/>
    <w:rsid w:val="00074A70"/>
    <w:rsid w:val="00074FE8"/>
    <w:rsid w:val="00075027"/>
    <w:rsid w:val="00075262"/>
    <w:rsid w:val="00075397"/>
    <w:rsid w:val="000754FE"/>
    <w:rsid w:val="000756B3"/>
    <w:rsid w:val="00075D33"/>
    <w:rsid w:val="00075E23"/>
    <w:rsid w:val="00075F8F"/>
    <w:rsid w:val="000765B6"/>
    <w:rsid w:val="000766DB"/>
    <w:rsid w:val="00076A85"/>
    <w:rsid w:val="00076F4F"/>
    <w:rsid w:val="0007700D"/>
    <w:rsid w:val="000771A8"/>
    <w:rsid w:val="000774B3"/>
    <w:rsid w:val="000776FB"/>
    <w:rsid w:val="0007798E"/>
    <w:rsid w:val="00077A05"/>
    <w:rsid w:val="00077C02"/>
    <w:rsid w:val="00077E55"/>
    <w:rsid w:val="00077E68"/>
    <w:rsid w:val="0008002E"/>
    <w:rsid w:val="00080090"/>
    <w:rsid w:val="000808DA"/>
    <w:rsid w:val="00080D8C"/>
    <w:rsid w:val="00080E85"/>
    <w:rsid w:val="00081000"/>
    <w:rsid w:val="00081241"/>
    <w:rsid w:val="000815AB"/>
    <w:rsid w:val="00081789"/>
    <w:rsid w:val="000817EB"/>
    <w:rsid w:val="00081831"/>
    <w:rsid w:val="00081915"/>
    <w:rsid w:val="000819B7"/>
    <w:rsid w:val="00082212"/>
    <w:rsid w:val="00082255"/>
    <w:rsid w:val="00082268"/>
    <w:rsid w:val="00082981"/>
    <w:rsid w:val="00082D95"/>
    <w:rsid w:val="00082DFB"/>
    <w:rsid w:val="00082FD1"/>
    <w:rsid w:val="000832CE"/>
    <w:rsid w:val="00083563"/>
    <w:rsid w:val="00083645"/>
    <w:rsid w:val="00083661"/>
    <w:rsid w:val="000838F8"/>
    <w:rsid w:val="00083CD3"/>
    <w:rsid w:val="00083E46"/>
    <w:rsid w:val="000840CC"/>
    <w:rsid w:val="0008426D"/>
    <w:rsid w:val="000846D0"/>
    <w:rsid w:val="00084A48"/>
    <w:rsid w:val="00084B8E"/>
    <w:rsid w:val="00085014"/>
    <w:rsid w:val="000852BF"/>
    <w:rsid w:val="00085342"/>
    <w:rsid w:val="0008583A"/>
    <w:rsid w:val="000859B7"/>
    <w:rsid w:val="00085AAE"/>
    <w:rsid w:val="00085C02"/>
    <w:rsid w:val="00085F41"/>
    <w:rsid w:val="00086043"/>
    <w:rsid w:val="000862C6"/>
    <w:rsid w:val="000863BC"/>
    <w:rsid w:val="000863E5"/>
    <w:rsid w:val="00086897"/>
    <w:rsid w:val="00086AA8"/>
    <w:rsid w:val="0008725D"/>
    <w:rsid w:val="000873CC"/>
    <w:rsid w:val="000877E4"/>
    <w:rsid w:val="0008788D"/>
    <w:rsid w:val="00087C95"/>
    <w:rsid w:val="00087D18"/>
    <w:rsid w:val="00087F4C"/>
    <w:rsid w:val="0009019E"/>
    <w:rsid w:val="00090355"/>
    <w:rsid w:val="000905B3"/>
    <w:rsid w:val="00090C6F"/>
    <w:rsid w:val="00091369"/>
    <w:rsid w:val="00091B5A"/>
    <w:rsid w:val="00091CC0"/>
    <w:rsid w:val="000923CA"/>
    <w:rsid w:val="00092B3D"/>
    <w:rsid w:val="00092DCD"/>
    <w:rsid w:val="00092EEA"/>
    <w:rsid w:val="00093196"/>
    <w:rsid w:val="00093275"/>
    <w:rsid w:val="0009344A"/>
    <w:rsid w:val="000936FF"/>
    <w:rsid w:val="00093BA5"/>
    <w:rsid w:val="00093C1D"/>
    <w:rsid w:val="00094037"/>
    <w:rsid w:val="0009424C"/>
    <w:rsid w:val="00094499"/>
    <w:rsid w:val="000949E4"/>
    <w:rsid w:val="00095659"/>
    <w:rsid w:val="00095959"/>
    <w:rsid w:val="00095BE7"/>
    <w:rsid w:val="0009681D"/>
    <w:rsid w:val="000971C4"/>
    <w:rsid w:val="000972F8"/>
    <w:rsid w:val="00097447"/>
    <w:rsid w:val="0009765A"/>
    <w:rsid w:val="0009773E"/>
    <w:rsid w:val="000978D9"/>
    <w:rsid w:val="0009791F"/>
    <w:rsid w:val="00097DA5"/>
    <w:rsid w:val="000A0531"/>
    <w:rsid w:val="000A057D"/>
    <w:rsid w:val="000A064B"/>
    <w:rsid w:val="000A0655"/>
    <w:rsid w:val="000A06F5"/>
    <w:rsid w:val="000A0743"/>
    <w:rsid w:val="000A083B"/>
    <w:rsid w:val="000A0CF5"/>
    <w:rsid w:val="000A0D6F"/>
    <w:rsid w:val="000A103F"/>
    <w:rsid w:val="000A13D0"/>
    <w:rsid w:val="000A14BC"/>
    <w:rsid w:val="000A17E2"/>
    <w:rsid w:val="000A180A"/>
    <w:rsid w:val="000A195F"/>
    <w:rsid w:val="000A1973"/>
    <w:rsid w:val="000A1C54"/>
    <w:rsid w:val="000A1CBC"/>
    <w:rsid w:val="000A2034"/>
    <w:rsid w:val="000A2060"/>
    <w:rsid w:val="000A2066"/>
    <w:rsid w:val="000A22FF"/>
    <w:rsid w:val="000A23C0"/>
    <w:rsid w:val="000A2610"/>
    <w:rsid w:val="000A268B"/>
    <w:rsid w:val="000A27F3"/>
    <w:rsid w:val="000A2868"/>
    <w:rsid w:val="000A2904"/>
    <w:rsid w:val="000A2C17"/>
    <w:rsid w:val="000A2C5F"/>
    <w:rsid w:val="000A30E2"/>
    <w:rsid w:val="000A3352"/>
    <w:rsid w:val="000A373B"/>
    <w:rsid w:val="000A392E"/>
    <w:rsid w:val="000A395F"/>
    <w:rsid w:val="000A3ADC"/>
    <w:rsid w:val="000A3AFC"/>
    <w:rsid w:val="000A495B"/>
    <w:rsid w:val="000A51A6"/>
    <w:rsid w:val="000A546E"/>
    <w:rsid w:val="000A54CF"/>
    <w:rsid w:val="000A55A4"/>
    <w:rsid w:val="000A56CB"/>
    <w:rsid w:val="000A575F"/>
    <w:rsid w:val="000A5A10"/>
    <w:rsid w:val="000A5CD6"/>
    <w:rsid w:val="000A5E04"/>
    <w:rsid w:val="000A5FEB"/>
    <w:rsid w:val="000A60A9"/>
    <w:rsid w:val="000A7128"/>
    <w:rsid w:val="000A73B5"/>
    <w:rsid w:val="000A76B6"/>
    <w:rsid w:val="000A777B"/>
    <w:rsid w:val="000A77DD"/>
    <w:rsid w:val="000A77FA"/>
    <w:rsid w:val="000A7E6B"/>
    <w:rsid w:val="000B062E"/>
    <w:rsid w:val="000B08E4"/>
    <w:rsid w:val="000B099E"/>
    <w:rsid w:val="000B0AB4"/>
    <w:rsid w:val="000B0AD2"/>
    <w:rsid w:val="000B0B59"/>
    <w:rsid w:val="000B0B6B"/>
    <w:rsid w:val="000B0C9D"/>
    <w:rsid w:val="000B12AB"/>
    <w:rsid w:val="000B15F9"/>
    <w:rsid w:val="000B1B6C"/>
    <w:rsid w:val="000B1E2E"/>
    <w:rsid w:val="000B21D2"/>
    <w:rsid w:val="000B2317"/>
    <w:rsid w:val="000B2869"/>
    <w:rsid w:val="000B2D3E"/>
    <w:rsid w:val="000B2DDA"/>
    <w:rsid w:val="000B2FC1"/>
    <w:rsid w:val="000B33A5"/>
    <w:rsid w:val="000B389F"/>
    <w:rsid w:val="000B3E7D"/>
    <w:rsid w:val="000B3F89"/>
    <w:rsid w:val="000B40ED"/>
    <w:rsid w:val="000B421C"/>
    <w:rsid w:val="000B4B9B"/>
    <w:rsid w:val="000B4DD2"/>
    <w:rsid w:val="000B506D"/>
    <w:rsid w:val="000B5C0D"/>
    <w:rsid w:val="000B5EF5"/>
    <w:rsid w:val="000B60D1"/>
    <w:rsid w:val="000B68EE"/>
    <w:rsid w:val="000B6C88"/>
    <w:rsid w:val="000B6CA3"/>
    <w:rsid w:val="000B6F56"/>
    <w:rsid w:val="000B7175"/>
    <w:rsid w:val="000B7473"/>
    <w:rsid w:val="000B77D4"/>
    <w:rsid w:val="000C0358"/>
    <w:rsid w:val="000C0E5C"/>
    <w:rsid w:val="000C0F9F"/>
    <w:rsid w:val="000C1465"/>
    <w:rsid w:val="000C14E7"/>
    <w:rsid w:val="000C174B"/>
    <w:rsid w:val="000C185A"/>
    <w:rsid w:val="000C1AEB"/>
    <w:rsid w:val="000C1C31"/>
    <w:rsid w:val="000C1C40"/>
    <w:rsid w:val="000C1F2C"/>
    <w:rsid w:val="000C215C"/>
    <w:rsid w:val="000C21D9"/>
    <w:rsid w:val="000C246A"/>
    <w:rsid w:val="000C2B26"/>
    <w:rsid w:val="000C2D1E"/>
    <w:rsid w:val="000C2FC6"/>
    <w:rsid w:val="000C34D5"/>
    <w:rsid w:val="000C3537"/>
    <w:rsid w:val="000C35AA"/>
    <w:rsid w:val="000C38D0"/>
    <w:rsid w:val="000C3FAF"/>
    <w:rsid w:val="000C44F4"/>
    <w:rsid w:val="000C4608"/>
    <w:rsid w:val="000C4643"/>
    <w:rsid w:val="000C46DB"/>
    <w:rsid w:val="000C49E5"/>
    <w:rsid w:val="000C50A7"/>
    <w:rsid w:val="000C521B"/>
    <w:rsid w:val="000C53B7"/>
    <w:rsid w:val="000C5670"/>
    <w:rsid w:val="000C5702"/>
    <w:rsid w:val="000C57F5"/>
    <w:rsid w:val="000C5826"/>
    <w:rsid w:val="000C5BC3"/>
    <w:rsid w:val="000C5BC5"/>
    <w:rsid w:val="000C5FF7"/>
    <w:rsid w:val="000C606A"/>
    <w:rsid w:val="000C610A"/>
    <w:rsid w:val="000C6197"/>
    <w:rsid w:val="000C6396"/>
    <w:rsid w:val="000C67F1"/>
    <w:rsid w:val="000C6BA3"/>
    <w:rsid w:val="000C6D0F"/>
    <w:rsid w:val="000C6E2F"/>
    <w:rsid w:val="000C6F08"/>
    <w:rsid w:val="000C720D"/>
    <w:rsid w:val="000C7A01"/>
    <w:rsid w:val="000C7FD6"/>
    <w:rsid w:val="000D0883"/>
    <w:rsid w:val="000D10DB"/>
    <w:rsid w:val="000D13F2"/>
    <w:rsid w:val="000D1459"/>
    <w:rsid w:val="000D180C"/>
    <w:rsid w:val="000D197F"/>
    <w:rsid w:val="000D1A13"/>
    <w:rsid w:val="000D1F6E"/>
    <w:rsid w:val="000D2081"/>
    <w:rsid w:val="000D2264"/>
    <w:rsid w:val="000D2722"/>
    <w:rsid w:val="000D2AC5"/>
    <w:rsid w:val="000D2B31"/>
    <w:rsid w:val="000D2BBE"/>
    <w:rsid w:val="000D2CA1"/>
    <w:rsid w:val="000D2E8A"/>
    <w:rsid w:val="000D2EB4"/>
    <w:rsid w:val="000D2FEA"/>
    <w:rsid w:val="000D3087"/>
    <w:rsid w:val="000D30AD"/>
    <w:rsid w:val="000D38BF"/>
    <w:rsid w:val="000D3CCE"/>
    <w:rsid w:val="000D3FFB"/>
    <w:rsid w:val="000D4302"/>
    <w:rsid w:val="000D47FD"/>
    <w:rsid w:val="000D4EDA"/>
    <w:rsid w:val="000D532D"/>
    <w:rsid w:val="000D5813"/>
    <w:rsid w:val="000D5F45"/>
    <w:rsid w:val="000D60AC"/>
    <w:rsid w:val="000D610A"/>
    <w:rsid w:val="000D6328"/>
    <w:rsid w:val="000D63AB"/>
    <w:rsid w:val="000D65C9"/>
    <w:rsid w:val="000D6940"/>
    <w:rsid w:val="000D6C2C"/>
    <w:rsid w:val="000D6F0B"/>
    <w:rsid w:val="000D6F86"/>
    <w:rsid w:val="000D77A5"/>
    <w:rsid w:val="000D7D62"/>
    <w:rsid w:val="000D7E5C"/>
    <w:rsid w:val="000D7FE4"/>
    <w:rsid w:val="000E08AE"/>
    <w:rsid w:val="000E0926"/>
    <w:rsid w:val="000E115B"/>
    <w:rsid w:val="000E1361"/>
    <w:rsid w:val="000E13FE"/>
    <w:rsid w:val="000E15E0"/>
    <w:rsid w:val="000E1735"/>
    <w:rsid w:val="000E2205"/>
    <w:rsid w:val="000E2692"/>
    <w:rsid w:val="000E26E8"/>
    <w:rsid w:val="000E2B85"/>
    <w:rsid w:val="000E2C13"/>
    <w:rsid w:val="000E2D08"/>
    <w:rsid w:val="000E2F92"/>
    <w:rsid w:val="000E33CA"/>
    <w:rsid w:val="000E33DF"/>
    <w:rsid w:val="000E33FD"/>
    <w:rsid w:val="000E3494"/>
    <w:rsid w:val="000E36B8"/>
    <w:rsid w:val="000E36DB"/>
    <w:rsid w:val="000E417B"/>
    <w:rsid w:val="000E41D6"/>
    <w:rsid w:val="000E43B8"/>
    <w:rsid w:val="000E4430"/>
    <w:rsid w:val="000E451B"/>
    <w:rsid w:val="000E4C6D"/>
    <w:rsid w:val="000E4DE0"/>
    <w:rsid w:val="000E5533"/>
    <w:rsid w:val="000E5573"/>
    <w:rsid w:val="000E568E"/>
    <w:rsid w:val="000E5E47"/>
    <w:rsid w:val="000E5EB5"/>
    <w:rsid w:val="000E5F2D"/>
    <w:rsid w:val="000E6354"/>
    <w:rsid w:val="000E6571"/>
    <w:rsid w:val="000E68C0"/>
    <w:rsid w:val="000E696E"/>
    <w:rsid w:val="000E6A01"/>
    <w:rsid w:val="000E6BB4"/>
    <w:rsid w:val="000E6D56"/>
    <w:rsid w:val="000E6E28"/>
    <w:rsid w:val="000E6F30"/>
    <w:rsid w:val="000E7026"/>
    <w:rsid w:val="000E74A1"/>
    <w:rsid w:val="000E75B9"/>
    <w:rsid w:val="000E786A"/>
    <w:rsid w:val="000E79C6"/>
    <w:rsid w:val="000E7AB0"/>
    <w:rsid w:val="000E7DB1"/>
    <w:rsid w:val="000E7F36"/>
    <w:rsid w:val="000F01D6"/>
    <w:rsid w:val="000F02CF"/>
    <w:rsid w:val="000F02DD"/>
    <w:rsid w:val="000F05CF"/>
    <w:rsid w:val="000F0780"/>
    <w:rsid w:val="000F0B6A"/>
    <w:rsid w:val="000F0BDE"/>
    <w:rsid w:val="000F0CF1"/>
    <w:rsid w:val="000F0D25"/>
    <w:rsid w:val="000F11EC"/>
    <w:rsid w:val="000F13A9"/>
    <w:rsid w:val="000F144C"/>
    <w:rsid w:val="000F1550"/>
    <w:rsid w:val="000F15CF"/>
    <w:rsid w:val="000F1847"/>
    <w:rsid w:val="000F1BFB"/>
    <w:rsid w:val="000F20A0"/>
    <w:rsid w:val="000F24D2"/>
    <w:rsid w:val="000F2783"/>
    <w:rsid w:val="000F28D2"/>
    <w:rsid w:val="000F30EA"/>
    <w:rsid w:val="000F3321"/>
    <w:rsid w:val="000F373A"/>
    <w:rsid w:val="000F3750"/>
    <w:rsid w:val="000F37CF"/>
    <w:rsid w:val="000F3FA8"/>
    <w:rsid w:val="000F4860"/>
    <w:rsid w:val="000F4BEA"/>
    <w:rsid w:val="000F5157"/>
    <w:rsid w:val="000F536B"/>
    <w:rsid w:val="000F59A2"/>
    <w:rsid w:val="000F5A43"/>
    <w:rsid w:val="000F5F25"/>
    <w:rsid w:val="000F5F5D"/>
    <w:rsid w:val="000F60D7"/>
    <w:rsid w:val="000F6422"/>
    <w:rsid w:val="000F664E"/>
    <w:rsid w:val="000F6669"/>
    <w:rsid w:val="000F67BF"/>
    <w:rsid w:val="000F6895"/>
    <w:rsid w:val="000F6BAD"/>
    <w:rsid w:val="000F7306"/>
    <w:rsid w:val="000F7590"/>
    <w:rsid w:val="000F7AA3"/>
    <w:rsid w:val="001001AF"/>
    <w:rsid w:val="00100457"/>
    <w:rsid w:val="001007B4"/>
    <w:rsid w:val="00100911"/>
    <w:rsid w:val="00100A54"/>
    <w:rsid w:val="00100C29"/>
    <w:rsid w:val="00100DF8"/>
    <w:rsid w:val="00100E78"/>
    <w:rsid w:val="001010A8"/>
    <w:rsid w:val="0010114E"/>
    <w:rsid w:val="001013B3"/>
    <w:rsid w:val="001015B1"/>
    <w:rsid w:val="0010163B"/>
    <w:rsid w:val="00101D95"/>
    <w:rsid w:val="0010210A"/>
    <w:rsid w:val="0010239E"/>
    <w:rsid w:val="00102BA3"/>
    <w:rsid w:val="00102E54"/>
    <w:rsid w:val="00103220"/>
    <w:rsid w:val="00103340"/>
    <w:rsid w:val="00103453"/>
    <w:rsid w:val="00103563"/>
    <w:rsid w:val="00103A90"/>
    <w:rsid w:val="00103F08"/>
    <w:rsid w:val="0010409F"/>
    <w:rsid w:val="001041CF"/>
    <w:rsid w:val="0010427D"/>
    <w:rsid w:val="00104550"/>
    <w:rsid w:val="00104688"/>
    <w:rsid w:val="0010487A"/>
    <w:rsid w:val="001048C3"/>
    <w:rsid w:val="00104D50"/>
    <w:rsid w:val="00104EEF"/>
    <w:rsid w:val="00104F8F"/>
    <w:rsid w:val="00105168"/>
    <w:rsid w:val="00105495"/>
    <w:rsid w:val="00105618"/>
    <w:rsid w:val="001058D8"/>
    <w:rsid w:val="00105BF1"/>
    <w:rsid w:val="00105BFF"/>
    <w:rsid w:val="00105C91"/>
    <w:rsid w:val="00105F78"/>
    <w:rsid w:val="00106184"/>
    <w:rsid w:val="001063C9"/>
    <w:rsid w:val="00106478"/>
    <w:rsid w:val="001069C6"/>
    <w:rsid w:val="00106BB9"/>
    <w:rsid w:val="00106D45"/>
    <w:rsid w:val="00106DF5"/>
    <w:rsid w:val="00106F98"/>
    <w:rsid w:val="00107131"/>
    <w:rsid w:val="001072D6"/>
    <w:rsid w:val="001072DB"/>
    <w:rsid w:val="0010736F"/>
    <w:rsid w:val="0010779C"/>
    <w:rsid w:val="00107C7C"/>
    <w:rsid w:val="00107DE1"/>
    <w:rsid w:val="00107E5D"/>
    <w:rsid w:val="00107F93"/>
    <w:rsid w:val="001108C5"/>
    <w:rsid w:val="001108D8"/>
    <w:rsid w:val="00110AC6"/>
    <w:rsid w:val="00111119"/>
    <w:rsid w:val="00111342"/>
    <w:rsid w:val="0011146D"/>
    <w:rsid w:val="00111511"/>
    <w:rsid w:val="00111D6D"/>
    <w:rsid w:val="00111D90"/>
    <w:rsid w:val="00111F2D"/>
    <w:rsid w:val="001121B5"/>
    <w:rsid w:val="0011230D"/>
    <w:rsid w:val="0011287E"/>
    <w:rsid w:val="001129E9"/>
    <w:rsid w:val="00112E9A"/>
    <w:rsid w:val="00112EC0"/>
    <w:rsid w:val="001135F0"/>
    <w:rsid w:val="001137BC"/>
    <w:rsid w:val="001137CC"/>
    <w:rsid w:val="0011380D"/>
    <w:rsid w:val="001138D7"/>
    <w:rsid w:val="00113BA4"/>
    <w:rsid w:val="00113E36"/>
    <w:rsid w:val="00113F73"/>
    <w:rsid w:val="00114098"/>
    <w:rsid w:val="00114195"/>
    <w:rsid w:val="0011455B"/>
    <w:rsid w:val="00114738"/>
    <w:rsid w:val="001148E3"/>
    <w:rsid w:val="00114A3E"/>
    <w:rsid w:val="00114F8B"/>
    <w:rsid w:val="00114FA2"/>
    <w:rsid w:val="0011518A"/>
    <w:rsid w:val="0011525E"/>
    <w:rsid w:val="001154EB"/>
    <w:rsid w:val="0011559D"/>
    <w:rsid w:val="00115971"/>
    <w:rsid w:val="001159C2"/>
    <w:rsid w:val="00115A12"/>
    <w:rsid w:val="00115B32"/>
    <w:rsid w:val="00115EFC"/>
    <w:rsid w:val="00116A99"/>
    <w:rsid w:val="00116AE4"/>
    <w:rsid w:val="00116D4D"/>
    <w:rsid w:val="00116DE9"/>
    <w:rsid w:val="00117094"/>
    <w:rsid w:val="0011729F"/>
    <w:rsid w:val="00117468"/>
    <w:rsid w:val="001175B6"/>
    <w:rsid w:val="00117804"/>
    <w:rsid w:val="001179C8"/>
    <w:rsid w:val="00117CAE"/>
    <w:rsid w:val="00117FA0"/>
    <w:rsid w:val="001207B6"/>
    <w:rsid w:val="00121824"/>
    <w:rsid w:val="0012194D"/>
    <w:rsid w:val="00121AE2"/>
    <w:rsid w:val="00121B13"/>
    <w:rsid w:val="00121B3D"/>
    <w:rsid w:val="00121CC2"/>
    <w:rsid w:val="00121DA5"/>
    <w:rsid w:val="00121F3A"/>
    <w:rsid w:val="00121FE7"/>
    <w:rsid w:val="001220F4"/>
    <w:rsid w:val="00122244"/>
    <w:rsid w:val="00122361"/>
    <w:rsid w:val="00122517"/>
    <w:rsid w:val="00122FFA"/>
    <w:rsid w:val="00123214"/>
    <w:rsid w:val="0012394B"/>
    <w:rsid w:val="00123B05"/>
    <w:rsid w:val="001241EA"/>
    <w:rsid w:val="001244C2"/>
    <w:rsid w:val="0012463E"/>
    <w:rsid w:val="001246BA"/>
    <w:rsid w:val="001246C5"/>
    <w:rsid w:val="00124961"/>
    <w:rsid w:val="00124FDB"/>
    <w:rsid w:val="00125199"/>
    <w:rsid w:val="001256DB"/>
    <w:rsid w:val="00125A0D"/>
    <w:rsid w:val="00125B5D"/>
    <w:rsid w:val="00125F82"/>
    <w:rsid w:val="00126439"/>
    <w:rsid w:val="001264D4"/>
    <w:rsid w:val="001267D6"/>
    <w:rsid w:val="00126A16"/>
    <w:rsid w:val="00126A4C"/>
    <w:rsid w:val="00126B53"/>
    <w:rsid w:val="00126C79"/>
    <w:rsid w:val="00126F99"/>
    <w:rsid w:val="001271B3"/>
    <w:rsid w:val="001272DF"/>
    <w:rsid w:val="0012741B"/>
    <w:rsid w:val="0012771D"/>
    <w:rsid w:val="00127A2E"/>
    <w:rsid w:val="00127AE7"/>
    <w:rsid w:val="00127BEC"/>
    <w:rsid w:val="00130061"/>
    <w:rsid w:val="0013019B"/>
    <w:rsid w:val="001302EC"/>
    <w:rsid w:val="001308B3"/>
    <w:rsid w:val="00130E7E"/>
    <w:rsid w:val="00131177"/>
    <w:rsid w:val="0013134A"/>
    <w:rsid w:val="00131518"/>
    <w:rsid w:val="00131531"/>
    <w:rsid w:val="0013174C"/>
    <w:rsid w:val="001317DE"/>
    <w:rsid w:val="00131C81"/>
    <w:rsid w:val="00131D31"/>
    <w:rsid w:val="00131D92"/>
    <w:rsid w:val="00132556"/>
    <w:rsid w:val="00132991"/>
    <w:rsid w:val="001329AA"/>
    <w:rsid w:val="00132C5C"/>
    <w:rsid w:val="00132F69"/>
    <w:rsid w:val="001335C7"/>
    <w:rsid w:val="00133762"/>
    <w:rsid w:val="001339CE"/>
    <w:rsid w:val="00133EDB"/>
    <w:rsid w:val="00133EE5"/>
    <w:rsid w:val="00134011"/>
    <w:rsid w:val="00134213"/>
    <w:rsid w:val="001348B4"/>
    <w:rsid w:val="0013490B"/>
    <w:rsid w:val="00134917"/>
    <w:rsid w:val="00134B10"/>
    <w:rsid w:val="00134CAE"/>
    <w:rsid w:val="00134EC9"/>
    <w:rsid w:val="001357D3"/>
    <w:rsid w:val="00135AFF"/>
    <w:rsid w:val="00135B2B"/>
    <w:rsid w:val="00135D6D"/>
    <w:rsid w:val="001362B1"/>
    <w:rsid w:val="001362B9"/>
    <w:rsid w:val="00136851"/>
    <w:rsid w:val="00136BF2"/>
    <w:rsid w:val="00136BFD"/>
    <w:rsid w:val="00136C3F"/>
    <w:rsid w:val="00136CE2"/>
    <w:rsid w:val="00137213"/>
    <w:rsid w:val="00137255"/>
    <w:rsid w:val="001374B9"/>
    <w:rsid w:val="001375A9"/>
    <w:rsid w:val="001378F1"/>
    <w:rsid w:val="00137918"/>
    <w:rsid w:val="00137A99"/>
    <w:rsid w:val="00137B73"/>
    <w:rsid w:val="00137DCE"/>
    <w:rsid w:val="00137E46"/>
    <w:rsid w:val="001400F9"/>
    <w:rsid w:val="0014020B"/>
    <w:rsid w:val="00140280"/>
    <w:rsid w:val="00140AB7"/>
    <w:rsid w:val="00140CCF"/>
    <w:rsid w:val="00140D24"/>
    <w:rsid w:val="00140DE5"/>
    <w:rsid w:val="00141302"/>
    <w:rsid w:val="001414D2"/>
    <w:rsid w:val="00141F57"/>
    <w:rsid w:val="00142184"/>
    <w:rsid w:val="00142341"/>
    <w:rsid w:val="00142959"/>
    <w:rsid w:val="001429AA"/>
    <w:rsid w:val="00142F23"/>
    <w:rsid w:val="00142F74"/>
    <w:rsid w:val="001435E4"/>
    <w:rsid w:val="00143640"/>
    <w:rsid w:val="001437B1"/>
    <w:rsid w:val="00143A28"/>
    <w:rsid w:val="00143E73"/>
    <w:rsid w:val="00143F2D"/>
    <w:rsid w:val="00143FB6"/>
    <w:rsid w:val="00144168"/>
    <w:rsid w:val="0014430E"/>
    <w:rsid w:val="001443D1"/>
    <w:rsid w:val="00144B59"/>
    <w:rsid w:val="00144DDE"/>
    <w:rsid w:val="00144E8B"/>
    <w:rsid w:val="00144E97"/>
    <w:rsid w:val="00144F3C"/>
    <w:rsid w:val="00144F7B"/>
    <w:rsid w:val="00144F9D"/>
    <w:rsid w:val="00146216"/>
    <w:rsid w:val="0014627C"/>
    <w:rsid w:val="0014640C"/>
    <w:rsid w:val="001464BE"/>
    <w:rsid w:val="0014683B"/>
    <w:rsid w:val="00146DFF"/>
    <w:rsid w:val="00146E2B"/>
    <w:rsid w:val="00147111"/>
    <w:rsid w:val="001472B0"/>
    <w:rsid w:val="001472B3"/>
    <w:rsid w:val="00147374"/>
    <w:rsid w:val="0014754E"/>
    <w:rsid w:val="00147620"/>
    <w:rsid w:val="0014789A"/>
    <w:rsid w:val="00147A87"/>
    <w:rsid w:val="00147CDE"/>
    <w:rsid w:val="00147D6E"/>
    <w:rsid w:val="00147DC2"/>
    <w:rsid w:val="00150181"/>
    <w:rsid w:val="0015077B"/>
    <w:rsid w:val="001507B5"/>
    <w:rsid w:val="00150901"/>
    <w:rsid w:val="001509F1"/>
    <w:rsid w:val="00150C34"/>
    <w:rsid w:val="00150C96"/>
    <w:rsid w:val="00150D67"/>
    <w:rsid w:val="00150E42"/>
    <w:rsid w:val="001510FC"/>
    <w:rsid w:val="00151680"/>
    <w:rsid w:val="001516CA"/>
    <w:rsid w:val="001517D4"/>
    <w:rsid w:val="001518CD"/>
    <w:rsid w:val="001518FF"/>
    <w:rsid w:val="00151A03"/>
    <w:rsid w:val="00151A9C"/>
    <w:rsid w:val="00151ABE"/>
    <w:rsid w:val="001520CE"/>
    <w:rsid w:val="00152550"/>
    <w:rsid w:val="00152570"/>
    <w:rsid w:val="00152A76"/>
    <w:rsid w:val="00153168"/>
    <w:rsid w:val="001534DE"/>
    <w:rsid w:val="00153559"/>
    <w:rsid w:val="00153864"/>
    <w:rsid w:val="00153902"/>
    <w:rsid w:val="00153995"/>
    <w:rsid w:val="00153C1B"/>
    <w:rsid w:val="00153C77"/>
    <w:rsid w:val="00153EF6"/>
    <w:rsid w:val="0015428A"/>
    <w:rsid w:val="00154311"/>
    <w:rsid w:val="001545F9"/>
    <w:rsid w:val="0015476E"/>
    <w:rsid w:val="00154C44"/>
    <w:rsid w:val="00154EAA"/>
    <w:rsid w:val="00154FCE"/>
    <w:rsid w:val="0015509B"/>
    <w:rsid w:val="0015559D"/>
    <w:rsid w:val="0015564B"/>
    <w:rsid w:val="00155AF7"/>
    <w:rsid w:val="00155B4F"/>
    <w:rsid w:val="00155B80"/>
    <w:rsid w:val="00155CBD"/>
    <w:rsid w:val="0015623F"/>
    <w:rsid w:val="001562AA"/>
    <w:rsid w:val="0015653E"/>
    <w:rsid w:val="001567E9"/>
    <w:rsid w:val="00156B5A"/>
    <w:rsid w:val="00156D89"/>
    <w:rsid w:val="00156F91"/>
    <w:rsid w:val="001572C1"/>
    <w:rsid w:val="0015784F"/>
    <w:rsid w:val="00157D0A"/>
    <w:rsid w:val="001600F0"/>
    <w:rsid w:val="001607B8"/>
    <w:rsid w:val="0016081C"/>
    <w:rsid w:val="001608AF"/>
    <w:rsid w:val="00160B83"/>
    <w:rsid w:val="00160BF1"/>
    <w:rsid w:val="00160DBE"/>
    <w:rsid w:val="0016133E"/>
    <w:rsid w:val="0016148D"/>
    <w:rsid w:val="001617EA"/>
    <w:rsid w:val="00161AC0"/>
    <w:rsid w:val="00161CB4"/>
    <w:rsid w:val="00161E86"/>
    <w:rsid w:val="0016214B"/>
    <w:rsid w:val="00162431"/>
    <w:rsid w:val="0016286B"/>
    <w:rsid w:val="00162936"/>
    <w:rsid w:val="0016299D"/>
    <w:rsid w:val="001629BF"/>
    <w:rsid w:val="00162C7D"/>
    <w:rsid w:val="00162CA0"/>
    <w:rsid w:val="00162CED"/>
    <w:rsid w:val="00162D93"/>
    <w:rsid w:val="00163082"/>
    <w:rsid w:val="0016376A"/>
    <w:rsid w:val="00163A4B"/>
    <w:rsid w:val="00163CC4"/>
    <w:rsid w:val="00163DD9"/>
    <w:rsid w:val="001640BE"/>
    <w:rsid w:val="001642A7"/>
    <w:rsid w:val="001644A9"/>
    <w:rsid w:val="00164537"/>
    <w:rsid w:val="00164A2A"/>
    <w:rsid w:val="00164E6C"/>
    <w:rsid w:val="0016540B"/>
    <w:rsid w:val="00165554"/>
    <w:rsid w:val="00165734"/>
    <w:rsid w:val="001657A5"/>
    <w:rsid w:val="00165B4C"/>
    <w:rsid w:val="00165BE5"/>
    <w:rsid w:val="00165D74"/>
    <w:rsid w:val="0016621A"/>
    <w:rsid w:val="001662E0"/>
    <w:rsid w:val="0016638B"/>
    <w:rsid w:val="001668AD"/>
    <w:rsid w:val="00167657"/>
    <w:rsid w:val="0016793E"/>
    <w:rsid w:val="00167A34"/>
    <w:rsid w:val="00167A48"/>
    <w:rsid w:val="00167F7E"/>
    <w:rsid w:val="0017016B"/>
    <w:rsid w:val="0017022F"/>
    <w:rsid w:val="00170339"/>
    <w:rsid w:val="0017068B"/>
    <w:rsid w:val="001707AB"/>
    <w:rsid w:val="001707C9"/>
    <w:rsid w:val="00170988"/>
    <w:rsid w:val="00170BD9"/>
    <w:rsid w:val="00170E57"/>
    <w:rsid w:val="00171223"/>
    <w:rsid w:val="001715E1"/>
    <w:rsid w:val="00171A98"/>
    <w:rsid w:val="00171AC1"/>
    <w:rsid w:val="00171C75"/>
    <w:rsid w:val="00171E19"/>
    <w:rsid w:val="00171E69"/>
    <w:rsid w:val="00171FD6"/>
    <w:rsid w:val="00172176"/>
    <w:rsid w:val="00172431"/>
    <w:rsid w:val="00172786"/>
    <w:rsid w:val="00172ADB"/>
    <w:rsid w:val="00172BA6"/>
    <w:rsid w:val="00173581"/>
    <w:rsid w:val="00173BED"/>
    <w:rsid w:val="00173BFF"/>
    <w:rsid w:val="00173D98"/>
    <w:rsid w:val="00173E25"/>
    <w:rsid w:val="001740A2"/>
    <w:rsid w:val="00174320"/>
    <w:rsid w:val="001746C2"/>
    <w:rsid w:val="00174771"/>
    <w:rsid w:val="00174BA1"/>
    <w:rsid w:val="00174F9C"/>
    <w:rsid w:val="00175014"/>
    <w:rsid w:val="00175199"/>
    <w:rsid w:val="001751C7"/>
    <w:rsid w:val="001751CF"/>
    <w:rsid w:val="00175231"/>
    <w:rsid w:val="0017531C"/>
    <w:rsid w:val="00175520"/>
    <w:rsid w:val="00175573"/>
    <w:rsid w:val="001756A7"/>
    <w:rsid w:val="001758DD"/>
    <w:rsid w:val="00175BED"/>
    <w:rsid w:val="00175FC7"/>
    <w:rsid w:val="00176353"/>
    <w:rsid w:val="001766FD"/>
    <w:rsid w:val="00176956"/>
    <w:rsid w:val="00176CDE"/>
    <w:rsid w:val="001770BB"/>
    <w:rsid w:val="001774AA"/>
    <w:rsid w:val="0017778B"/>
    <w:rsid w:val="001777F9"/>
    <w:rsid w:val="001777FD"/>
    <w:rsid w:val="00177B10"/>
    <w:rsid w:val="001801B2"/>
    <w:rsid w:val="001801CE"/>
    <w:rsid w:val="00180466"/>
    <w:rsid w:val="001808A1"/>
    <w:rsid w:val="0018090E"/>
    <w:rsid w:val="00180AF9"/>
    <w:rsid w:val="00180C93"/>
    <w:rsid w:val="00180FC3"/>
    <w:rsid w:val="001816B3"/>
    <w:rsid w:val="001817CD"/>
    <w:rsid w:val="00181839"/>
    <w:rsid w:val="001818D6"/>
    <w:rsid w:val="00181A4D"/>
    <w:rsid w:val="00181EB1"/>
    <w:rsid w:val="00181F9D"/>
    <w:rsid w:val="00181FF3"/>
    <w:rsid w:val="001820E3"/>
    <w:rsid w:val="00182194"/>
    <w:rsid w:val="001821E7"/>
    <w:rsid w:val="001822BF"/>
    <w:rsid w:val="0018242E"/>
    <w:rsid w:val="0018292C"/>
    <w:rsid w:val="00182B71"/>
    <w:rsid w:val="00182D61"/>
    <w:rsid w:val="00182EB1"/>
    <w:rsid w:val="00182F97"/>
    <w:rsid w:val="0018301D"/>
    <w:rsid w:val="001830E0"/>
    <w:rsid w:val="0018361F"/>
    <w:rsid w:val="001837BC"/>
    <w:rsid w:val="00183B96"/>
    <w:rsid w:val="00183D57"/>
    <w:rsid w:val="0018406F"/>
    <w:rsid w:val="001840B7"/>
    <w:rsid w:val="001840DF"/>
    <w:rsid w:val="00184368"/>
    <w:rsid w:val="001844F8"/>
    <w:rsid w:val="00184701"/>
    <w:rsid w:val="00184A77"/>
    <w:rsid w:val="00184CAF"/>
    <w:rsid w:val="00184CD1"/>
    <w:rsid w:val="00186012"/>
    <w:rsid w:val="00186065"/>
    <w:rsid w:val="0018609E"/>
    <w:rsid w:val="001861F1"/>
    <w:rsid w:val="00186817"/>
    <w:rsid w:val="001869BA"/>
    <w:rsid w:val="00186B5C"/>
    <w:rsid w:val="00186D50"/>
    <w:rsid w:val="00186DDA"/>
    <w:rsid w:val="00186EB3"/>
    <w:rsid w:val="00186F05"/>
    <w:rsid w:val="001871DC"/>
    <w:rsid w:val="001871E0"/>
    <w:rsid w:val="00187415"/>
    <w:rsid w:val="001874E7"/>
    <w:rsid w:val="001875BF"/>
    <w:rsid w:val="00187970"/>
    <w:rsid w:val="00187A90"/>
    <w:rsid w:val="00187D91"/>
    <w:rsid w:val="00187EE6"/>
    <w:rsid w:val="00187F36"/>
    <w:rsid w:val="00190293"/>
    <w:rsid w:val="00190382"/>
    <w:rsid w:val="001904BF"/>
    <w:rsid w:val="00190849"/>
    <w:rsid w:val="00190881"/>
    <w:rsid w:val="0019090E"/>
    <w:rsid w:val="00190A6E"/>
    <w:rsid w:val="00190CDC"/>
    <w:rsid w:val="0019117A"/>
    <w:rsid w:val="0019124E"/>
    <w:rsid w:val="0019153B"/>
    <w:rsid w:val="00191901"/>
    <w:rsid w:val="00191BCD"/>
    <w:rsid w:val="00191D9E"/>
    <w:rsid w:val="001924D9"/>
    <w:rsid w:val="00192668"/>
    <w:rsid w:val="00192852"/>
    <w:rsid w:val="00192860"/>
    <w:rsid w:val="00192A6A"/>
    <w:rsid w:val="0019315D"/>
    <w:rsid w:val="001934F7"/>
    <w:rsid w:val="0019353E"/>
    <w:rsid w:val="00193E53"/>
    <w:rsid w:val="001944AF"/>
    <w:rsid w:val="00194612"/>
    <w:rsid w:val="0019477D"/>
    <w:rsid w:val="00194890"/>
    <w:rsid w:val="0019489B"/>
    <w:rsid w:val="00194A77"/>
    <w:rsid w:val="00194B6D"/>
    <w:rsid w:val="00195339"/>
    <w:rsid w:val="001954BF"/>
    <w:rsid w:val="001954FD"/>
    <w:rsid w:val="0019598F"/>
    <w:rsid w:val="0019636B"/>
    <w:rsid w:val="00196576"/>
    <w:rsid w:val="00196BB0"/>
    <w:rsid w:val="0019744E"/>
    <w:rsid w:val="001979CC"/>
    <w:rsid w:val="00197D1C"/>
    <w:rsid w:val="001A0392"/>
    <w:rsid w:val="001A04E5"/>
    <w:rsid w:val="001A06B6"/>
    <w:rsid w:val="001A0A80"/>
    <w:rsid w:val="001A0ADA"/>
    <w:rsid w:val="001A0BF7"/>
    <w:rsid w:val="001A0C64"/>
    <w:rsid w:val="001A0E10"/>
    <w:rsid w:val="001A0EE5"/>
    <w:rsid w:val="001A11A5"/>
    <w:rsid w:val="001A167D"/>
    <w:rsid w:val="001A2E9E"/>
    <w:rsid w:val="001A2EE0"/>
    <w:rsid w:val="001A30F7"/>
    <w:rsid w:val="001A326F"/>
    <w:rsid w:val="001A33CF"/>
    <w:rsid w:val="001A350B"/>
    <w:rsid w:val="001A39C9"/>
    <w:rsid w:val="001A3AC1"/>
    <w:rsid w:val="001A3D33"/>
    <w:rsid w:val="001A4150"/>
    <w:rsid w:val="001A4B19"/>
    <w:rsid w:val="001A56BE"/>
    <w:rsid w:val="001A5D0E"/>
    <w:rsid w:val="001A6142"/>
    <w:rsid w:val="001A6A3C"/>
    <w:rsid w:val="001A724D"/>
    <w:rsid w:val="001A732B"/>
    <w:rsid w:val="001A73F3"/>
    <w:rsid w:val="001A75E5"/>
    <w:rsid w:val="001A7821"/>
    <w:rsid w:val="001A7870"/>
    <w:rsid w:val="001A7911"/>
    <w:rsid w:val="001A7FAE"/>
    <w:rsid w:val="001B029E"/>
    <w:rsid w:val="001B0329"/>
    <w:rsid w:val="001B05AB"/>
    <w:rsid w:val="001B07C4"/>
    <w:rsid w:val="001B0833"/>
    <w:rsid w:val="001B0BFE"/>
    <w:rsid w:val="001B0C0C"/>
    <w:rsid w:val="001B0CFF"/>
    <w:rsid w:val="001B0E3E"/>
    <w:rsid w:val="001B17A9"/>
    <w:rsid w:val="001B1C23"/>
    <w:rsid w:val="001B1FA7"/>
    <w:rsid w:val="001B20BE"/>
    <w:rsid w:val="001B24D6"/>
    <w:rsid w:val="001B2D1A"/>
    <w:rsid w:val="001B2D9F"/>
    <w:rsid w:val="001B2DA4"/>
    <w:rsid w:val="001B2E70"/>
    <w:rsid w:val="001B3128"/>
    <w:rsid w:val="001B317F"/>
    <w:rsid w:val="001B3309"/>
    <w:rsid w:val="001B38E8"/>
    <w:rsid w:val="001B38EF"/>
    <w:rsid w:val="001B3930"/>
    <w:rsid w:val="001B397A"/>
    <w:rsid w:val="001B3E86"/>
    <w:rsid w:val="001B42FF"/>
    <w:rsid w:val="001B4300"/>
    <w:rsid w:val="001B4309"/>
    <w:rsid w:val="001B464B"/>
    <w:rsid w:val="001B4D82"/>
    <w:rsid w:val="001B4E9A"/>
    <w:rsid w:val="001B4EEE"/>
    <w:rsid w:val="001B512E"/>
    <w:rsid w:val="001B58DF"/>
    <w:rsid w:val="001B59CB"/>
    <w:rsid w:val="001B5B5A"/>
    <w:rsid w:val="001B5BCA"/>
    <w:rsid w:val="001B5FF6"/>
    <w:rsid w:val="001B61B1"/>
    <w:rsid w:val="001B6514"/>
    <w:rsid w:val="001B659F"/>
    <w:rsid w:val="001B668D"/>
    <w:rsid w:val="001B67FC"/>
    <w:rsid w:val="001B706E"/>
    <w:rsid w:val="001B70BE"/>
    <w:rsid w:val="001B7241"/>
    <w:rsid w:val="001B7386"/>
    <w:rsid w:val="001B73E2"/>
    <w:rsid w:val="001B79BA"/>
    <w:rsid w:val="001B7CF7"/>
    <w:rsid w:val="001B7DAC"/>
    <w:rsid w:val="001C02FD"/>
    <w:rsid w:val="001C0846"/>
    <w:rsid w:val="001C08F4"/>
    <w:rsid w:val="001C0C46"/>
    <w:rsid w:val="001C0C84"/>
    <w:rsid w:val="001C11BE"/>
    <w:rsid w:val="001C15C5"/>
    <w:rsid w:val="001C186C"/>
    <w:rsid w:val="001C1B04"/>
    <w:rsid w:val="001C1B41"/>
    <w:rsid w:val="001C1C0F"/>
    <w:rsid w:val="001C1D3F"/>
    <w:rsid w:val="001C1FDD"/>
    <w:rsid w:val="001C2322"/>
    <w:rsid w:val="001C258F"/>
    <w:rsid w:val="001C25FC"/>
    <w:rsid w:val="001C2648"/>
    <w:rsid w:val="001C2D17"/>
    <w:rsid w:val="001C30E2"/>
    <w:rsid w:val="001C3127"/>
    <w:rsid w:val="001C3605"/>
    <w:rsid w:val="001C3A11"/>
    <w:rsid w:val="001C3B7C"/>
    <w:rsid w:val="001C3E92"/>
    <w:rsid w:val="001C4000"/>
    <w:rsid w:val="001C4035"/>
    <w:rsid w:val="001C41DF"/>
    <w:rsid w:val="001C441C"/>
    <w:rsid w:val="001C48D2"/>
    <w:rsid w:val="001C4958"/>
    <w:rsid w:val="001C49B1"/>
    <w:rsid w:val="001C4BDB"/>
    <w:rsid w:val="001C4D40"/>
    <w:rsid w:val="001C5071"/>
    <w:rsid w:val="001C5387"/>
    <w:rsid w:val="001C55C1"/>
    <w:rsid w:val="001C5CF6"/>
    <w:rsid w:val="001C6093"/>
    <w:rsid w:val="001C6129"/>
    <w:rsid w:val="001C6599"/>
    <w:rsid w:val="001C65BC"/>
    <w:rsid w:val="001C65C8"/>
    <w:rsid w:val="001C6685"/>
    <w:rsid w:val="001C6A0C"/>
    <w:rsid w:val="001C7030"/>
    <w:rsid w:val="001C7080"/>
    <w:rsid w:val="001C7099"/>
    <w:rsid w:val="001C7135"/>
    <w:rsid w:val="001C741A"/>
    <w:rsid w:val="001C79C5"/>
    <w:rsid w:val="001C7CE1"/>
    <w:rsid w:val="001C7D08"/>
    <w:rsid w:val="001C7FB9"/>
    <w:rsid w:val="001D0110"/>
    <w:rsid w:val="001D018F"/>
    <w:rsid w:val="001D0551"/>
    <w:rsid w:val="001D08B3"/>
    <w:rsid w:val="001D0A0C"/>
    <w:rsid w:val="001D0A2D"/>
    <w:rsid w:val="001D0BFB"/>
    <w:rsid w:val="001D0C3F"/>
    <w:rsid w:val="001D0FE9"/>
    <w:rsid w:val="001D1AB6"/>
    <w:rsid w:val="001D1B18"/>
    <w:rsid w:val="001D2A57"/>
    <w:rsid w:val="001D2E51"/>
    <w:rsid w:val="001D3204"/>
    <w:rsid w:val="001D3235"/>
    <w:rsid w:val="001D3C9B"/>
    <w:rsid w:val="001D4838"/>
    <w:rsid w:val="001D4920"/>
    <w:rsid w:val="001D4C89"/>
    <w:rsid w:val="001D4DCB"/>
    <w:rsid w:val="001D4E2C"/>
    <w:rsid w:val="001D500F"/>
    <w:rsid w:val="001D517C"/>
    <w:rsid w:val="001D53DD"/>
    <w:rsid w:val="001D546F"/>
    <w:rsid w:val="001D568D"/>
    <w:rsid w:val="001D574C"/>
    <w:rsid w:val="001D5CAE"/>
    <w:rsid w:val="001D5D94"/>
    <w:rsid w:val="001D601A"/>
    <w:rsid w:val="001D60EB"/>
    <w:rsid w:val="001D6250"/>
    <w:rsid w:val="001D62E7"/>
    <w:rsid w:val="001D65EF"/>
    <w:rsid w:val="001D66C0"/>
    <w:rsid w:val="001D679A"/>
    <w:rsid w:val="001D6933"/>
    <w:rsid w:val="001D69AF"/>
    <w:rsid w:val="001D6A0D"/>
    <w:rsid w:val="001D6D41"/>
    <w:rsid w:val="001D6D79"/>
    <w:rsid w:val="001D6D90"/>
    <w:rsid w:val="001D70DC"/>
    <w:rsid w:val="001D7122"/>
    <w:rsid w:val="001D714A"/>
    <w:rsid w:val="001D72C4"/>
    <w:rsid w:val="001D78C3"/>
    <w:rsid w:val="001D791A"/>
    <w:rsid w:val="001D79BD"/>
    <w:rsid w:val="001D7D0B"/>
    <w:rsid w:val="001D7EE5"/>
    <w:rsid w:val="001E007F"/>
    <w:rsid w:val="001E0437"/>
    <w:rsid w:val="001E0550"/>
    <w:rsid w:val="001E0701"/>
    <w:rsid w:val="001E0794"/>
    <w:rsid w:val="001E0A72"/>
    <w:rsid w:val="001E0B07"/>
    <w:rsid w:val="001E0D57"/>
    <w:rsid w:val="001E0DAE"/>
    <w:rsid w:val="001E0E8D"/>
    <w:rsid w:val="001E191A"/>
    <w:rsid w:val="001E199C"/>
    <w:rsid w:val="001E1A30"/>
    <w:rsid w:val="001E20DA"/>
    <w:rsid w:val="001E238B"/>
    <w:rsid w:val="001E2770"/>
    <w:rsid w:val="001E2ACA"/>
    <w:rsid w:val="001E2B2F"/>
    <w:rsid w:val="001E3CF8"/>
    <w:rsid w:val="001E3D9F"/>
    <w:rsid w:val="001E3EFF"/>
    <w:rsid w:val="001E3F2B"/>
    <w:rsid w:val="001E40A0"/>
    <w:rsid w:val="001E446E"/>
    <w:rsid w:val="001E44AA"/>
    <w:rsid w:val="001E459F"/>
    <w:rsid w:val="001E478E"/>
    <w:rsid w:val="001E4FA3"/>
    <w:rsid w:val="001E4FB1"/>
    <w:rsid w:val="001E5403"/>
    <w:rsid w:val="001E5468"/>
    <w:rsid w:val="001E5543"/>
    <w:rsid w:val="001E5710"/>
    <w:rsid w:val="001E616F"/>
    <w:rsid w:val="001E626D"/>
    <w:rsid w:val="001E633C"/>
    <w:rsid w:val="001E6967"/>
    <w:rsid w:val="001E6DF9"/>
    <w:rsid w:val="001E730E"/>
    <w:rsid w:val="001E7AFD"/>
    <w:rsid w:val="001E7B01"/>
    <w:rsid w:val="001E7D16"/>
    <w:rsid w:val="001E7E5D"/>
    <w:rsid w:val="001E7F5B"/>
    <w:rsid w:val="001F0137"/>
    <w:rsid w:val="001F02E2"/>
    <w:rsid w:val="001F08D3"/>
    <w:rsid w:val="001F0BAC"/>
    <w:rsid w:val="001F11D4"/>
    <w:rsid w:val="001F1455"/>
    <w:rsid w:val="001F1723"/>
    <w:rsid w:val="001F1783"/>
    <w:rsid w:val="001F19A7"/>
    <w:rsid w:val="001F1FCA"/>
    <w:rsid w:val="001F2029"/>
    <w:rsid w:val="001F21BE"/>
    <w:rsid w:val="001F2493"/>
    <w:rsid w:val="001F2850"/>
    <w:rsid w:val="001F2A99"/>
    <w:rsid w:val="001F3206"/>
    <w:rsid w:val="001F34D5"/>
    <w:rsid w:val="001F379C"/>
    <w:rsid w:val="001F3808"/>
    <w:rsid w:val="001F3C33"/>
    <w:rsid w:val="001F431E"/>
    <w:rsid w:val="001F46B7"/>
    <w:rsid w:val="001F4AD7"/>
    <w:rsid w:val="001F4BD9"/>
    <w:rsid w:val="001F50AD"/>
    <w:rsid w:val="001F5239"/>
    <w:rsid w:val="001F53B9"/>
    <w:rsid w:val="001F5500"/>
    <w:rsid w:val="001F57FF"/>
    <w:rsid w:val="001F58AE"/>
    <w:rsid w:val="001F5955"/>
    <w:rsid w:val="001F5F72"/>
    <w:rsid w:val="001F6968"/>
    <w:rsid w:val="001F69DE"/>
    <w:rsid w:val="001F6A75"/>
    <w:rsid w:val="001F6B91"/>
    <w:rsid w:val="001F7006"/>
    <w:rsid w:val="001F7317"/>
    <w:rsid w:val="001F76EA"/>
    <w:rsid w:val="001F7957"/>
    <w:rsid w:val="001F7DEA"/>
    <w:rsid w:val="00200042"/>
    <w:rsid w:val="0020078A"/>
    <w:rsid w:val="00200852"/>
    <w:rsid w:val="002010F0"/>
    <w:rsid w:val="00201149"/>
    <w:rsid w:val="00201165"/>
    <w:rsid w:val="002016AB"/>
    <w:rsid w:val="00201863"/>
    <w:rsid w:val="00201FCC"/>
    <w:rsid w:val="002021B7"/>
    <w:rsid w:val="0020239B"/>
    <w:rsid w:val="00202470"/>
    <w:rsid w:val="00202938"/>
    <w:rsid w:val="00202F0D"/>
    <w:rsid w:val="002035AD"/>
    <w:rsid w:val="00203A6B"/>
    <w:rsid w:val="0020428A"/>
    <w:rsid w:val="00204333"/>
    <w:rsid w:val="00204433"/>
    <w:rsid w:val="002044DA"/>
    <w:rsid w:val="0020451F"/>
    <w:rsid w:val="00204A07"/>
    <w:rsid w:val="00204DF3"/>
    <w:rsid w:val="002050C1"/>
    <w:rsid w:val="00205360"/>
    <w:rsid w:val="002054F0"/>
    <w:rsid w:val="002055A5"/>
    <w:rsid w:val="00205C87"/>
    <w:rsid w:val="002062EF"/>
    <w:rsid w:val="00206580"/>
    <w:rsid w:val="00206678"/>
    <w:rsid w:val="00206EEA"/>
    <w:rsid w:val="00206FD6"/>
    <w:rsid w:val="00207A7B"/>
    <w:rsid w:val="00207BA3"/>
    <w:rsid w:val="00207D88"/>
    <w:rsid w:val="00207E60"/>
    <w:rsid w:val="002100A6"/>
    <w:rsid w:val="002102E0"/>
    <w:rsid w:val="002105E8"/>
    <w:rsid w:val="002106BD"/>
    <w:rsid w:val="00210A0E"/>
    <w:rsid w:val="00210CEC"/>
    <w:rsid w:val="00210CEE"/>
    <w:rsid w:val="00210D17"/>
    <w:rsid w:val="00210D4F"/>
    <w:rsid w:val="00211088"/>
    <w:rsid w:val="00211275"/>
    <w:rsid w:val="002112B7"/>
    <w:rsid w:val="00211639"/>
    <w:rsid w:val="002117CE"/>
    <w:rsid w:val="002119CF"/>
    <w:rsid w:val="00211E68"/>
    <w:rsid w:val="002120DB"/>
    <w:rsid w:val="002126B2"/>
    <w:rsid w:val="002126D9"/>
    <w:rsid w:val="0021289C"/>
    <w:rsid w:val="00212DC0"/>
    <w:rsid w:val="00212FEF"/>
    <w:rsid w:val="002133DD"/>
    <w:rsid w:val="002139B8"/>
    <w:rsid w:val="00213CE7"/>
    <w:rsid w:val="00213DC7"/>
    <w:rsid w:val="00213FE5"/>
    <w:rsid w:val="002144DC"/>
    <w:rsid w:val="00214897"/>
    <w:rsid w:val="00214939"/>
    <w:rsid w:val="0021499E"/>
    <w:rsid w:val="00214A52"/>
    <w:rsid w:val="00214EA4"/>
    <w:rsid w:val="00214F4E"/>
    <w:rsid w:val="00215540"/>
    <w:rsid w:val="002159C3"/>
    <w:rsid w:val="00215C4E"/>
    <w:rsid w:val="00215D04"/>
    <w:rsid w:val="00215DDB"/>
    <w:rsid w:val="00215E62"/>
    <w:rsid w:val="00215FDC"/>
    <w:rsid w:val="00216276"/>
    <w:rsid w:val="002163E3"/>
    <w:rsid w:val="002164B6"/>
    <w:rsid w:val="0021687A"/>
    <w:rsid w:val="00216B25"/>
    <w:rsid w:val="00216D92"/>
    <w:rsid w:val="00216E12"/>
    <w:rsid w:val="00217073"/>
    <w:rsid w:val="002170A0"/>
    <w:rsid w:val="002172C5"/>
    <w:rsid w:val="00217648"/>
    <w:rsid w:val="00217785"/>
    <w:rsid w:val="0021778B"/>
    <w:rsid w:val="0021787A"/>
    <w:rsid w:val="00217918"/>
    <w:rsid w:val="00217A4F"/>
    <w:rsid w:val="00217BE0"/>
    <w:rsid w:val="00217D23"/>
    <w:rsid w:val="00217D58"/>
    <w:rsid w:val="00217DCB"/>
    <w:rsid w:val="0022012F"/>
    <w:rsid w:val="0022080F"/>
    <w:rsid w:val="00220995"/>
    <w:rsid w:val="00220BC5"/>
    <w:rsid w:val="00220C98"/>
    <w:rsid w:val="00220FA2"/>
    <w:rsid w:val="00221549"/>
    <w:rsid w:val="00221775"/>
    <w:rsid w:val="00221882"/>
    <w:rsid w:val="00221A95"/>
    <w:rsid w:val="00221B4F"/>
    <w:rsid w:val="00221D3B"/>
    <w:rsid w:val="00221F78"/>
    <w:rsid w:val="0022200E"/>
    <w:rsid w:val="002221C3"/>
    <w:rsid w:val="0022273A"/>
    <w:rsid w:val="0022325B"/>
    <w:rsid w:val="0022363F"/>
    <w:rsid w:val="00223668"/>
    <w:rsid w:val="00223DC1"/>
    <w:rsid w:val="00223E1A"/>
    <w:rsid w:val="00223F08"/>
    <w:rsid w:val="00223FF8"/>
    <w:rsid w:val="00224155"/>
    <w:rsid w:val="0022426D"/>
    <w:rsid w:val="00224731"/>
    <w:rsid w:val="0022476D"/>
    <w:rsid w:val="0022485A"/>
    <w:rsid w:val="0022498F"/>
    <w:rsid w:val="00224A01"/>
    <w:rsid w:val="00224D21"/>
    <w:rsid w:val="00224D3C"/>
    <w:rsid w:val="002250A3"/>
    <w:rsid w:val="00225473"/>
    <w:rsid w:val="0022568F"/>
    <w:rsid w:val="002259E0"/>
    <w:rsid w:val="00225BFF"/>
    <w:rsid w:val="00225C73"/>
    <w:rsid w:val="00225CB4"/>
    <w:rsid w:val="00226095"/>
    <w:rsid w:val="00226321"/>
    <w:rsid w:val="00226436"/>
    <w:rsid w:val="00226EE6"/>
    <w:rsid w:val="00226FE6"/>
    <w:rsid w:val="00227026"/>
    <w:rsid w:val="00227171"/>
    <w:rsid w:val="00227496"/>
    <w:rsid w:val="002275B6"/>
    <w:rsid w:val="0022760C"/>
    <w:rsid w:val="00227A36"/>
    <w:rsid w:val="00230954"/>
    <w:rsid w:val="00230ED4"/>
    <w:rsid w:val="0023138D"/>
    <w:rsid w:val="002314C8"/>
    <w:rsid w:val="00231582"/>
    <w:rsid w:val="0023177B"/>
    <w:rsid w:val="00231A7E"/>
    <w:rsid w:val="00231B3A"/>
    <w:rsid w:val="00231D97"/>
    <w:rsid w:val="00231E2D"/>
    <w:rsid w:val="00231F27"/>
    <w:rsid w:val="00231F5B"/>
    <w:rsid w:val="00232081"/>
    <w:rsid w:val="00232323"/>
    <w:rsid w:val="0023253E"/>
    <w:rsid w:val="00232699"/>
    <w:rsid w:val="0023295C"/>
    <w:rsid w:val="00232D05"/>
    <w:rsid w:val="00233203"/>
    <w:rsid w:val="0023335B"/>
    <w:rsid w:val="002334C5"/>
    <w:rsid w:val="00233556"/>
    <w:rsid w:val="00233754"/>
    <w:rsid w:val="00233A2A"/>
    <w:rsid w:val="00233ADE"/>
    <w:rsid w:val="00233D58"/>
    <w:rsid w:val="00233FED"/>
    <w:rsid w:val="00234195"/>
    <w:rsid w:val="002341E6"/>
    <w:rsid w:val="002348D2"/>
    <w:rsid w:val="002349F9"/>
    <w:rsid w:val="00234AFA"/>
    <w:rsid w:val="00234B78"/>
    <w:rsid w:val="00234E9B"/>
    <w:rsid w:val="00235211"/>
    <w:rsid w:val="00235217"/>
    <w:rsid w:val="002352F1"/>
    <w:rsid w:val="00235B23"/>
    <w:rsid w:val="00235B7B"/>
    <w:rsid w:val="00235D59"/>
    <w:rsid w:val="00236430"/>
    <w:rsid w:val="002367BF"/>
    <w:rsid w:val="00236929"/>
    <w:rsid w:val="00236BB6"/>
    <w:rsid w:val="00236BC1"/>
    <w:rsid w:val="0023712E"/>
    <w:rsid w:val="002376A1"/>
    <w:rsid w:val="002406F8"/>
    <w:rsid w:val="00240952"/>
    <w:rsid w:val="002409E7"/>
    <w:rsid w:val="00240E4C"/>
    <w:rsid w:val="002412D2"/>
    <w:rsid w:val="002413C6"/>
    <w:rsid w:val="00241518"/>
    <w:rsid w:val="00241871"/>
    <w:rsid w:val="00241EF7"/>
    <w:rsid w:val="00242435"/>
    <w:rsid w:val="00242711"/>
    <w:rsid w:val="002428FF"/>
    <w:rsid w:val="00242EAC"/>
    <w:rsid w:val="00242EE2"/>
    <w:rsid w:val="0024314E"/>
    <w:rsid w:val="002431F3"/>
    <w:rsid w:val="002435CE"/>
    <w:rsid w:val="00243749"/>
    <w:rsid w:val="00243836"/>
    <w:rsid w:val="002438FF"/>
    <w:rsid w:val="0024399A"/>
    <w:rsid w:val="00243EC1"/>
    <w:rsid w:val="0024436B"/>
    <w:rsid w:val="00244577"/>
    <w:rsid w:val="0024466B"/>
    <w:rsid w:val="002447E7"/>
    <w:rsid w:val="0024495A"/>
    <w:rsid w:val="00244DCC"/>
    <w:rsid w:val="00244DD4"/>
    <w:rsid w:val="00245284"/>
    <w:rsid w:val="00245DC5"/>
    <w:rsid w:val="00246249"/>
    <w:rsid w:val="00246503"/>
    <w:rsid w:val="00246D1F"/>
    <w:rsid w:val="002470AA"/>
    <w:rsid w:val="00247102"/>
    <w:rsid w:val="002472DC"/>
    <w:rsid w:val="00247403"/>
    <w:rsid w:val="00247542"/>
    <w:rsid w:val="00247701"/>
    <w:rsid w:val="00247807"/>
    <w:rsid w:val="002479A1"/>
    <w:rsid w:val="002479E8"/>
    <w:rsid w:val="00250154"/>
    <w:rsid w:val="00250188"/>
    <w:rsid w:val="002501DF"/>
    <w:rsid w:val="002502FA"/>
    <w:rsid w:val="0025035A"/>
    <w:rsid w:val="002504A4"/>
    <w:rsid w:val="00250562"/>
    <w:rsid w:val="00250E0E"/>
    <w:rsid w:val="00250F6D"/>
    <w:rsid w:val="0025115D"/>
    <w:rsid w:val="002512A9"/>
    <w:rsid w:val="0025155D"/>
    <w:rsid w:val="00251815"/>
    <w:rsid w:val="00251AD4"/>
    <w:rsid w:val="00251C44"/>
    <w:rsid w:val="00251E70"/>
    <w:rsid w:val="00251F14"/>
    <w:rsid w:val="00251FAC"/>
    <w:rsid w:val="00252253"/>
    <w:rsid w:val="00252340"/>
    <w:rsid w:val="002525D7"/>
    <w:rsid w:val="00252808"/>
    <w:rsid w:val="002528A3"/>
    <w:rsid w:val="002529EF"/>
    <w:rsid w:val="00252CD9"/>
    <w:rsid w:val="00252D46"/>
    <w:rsid w:val="00252E62"/>
    <w:rsid w:val="00252F69"/>
    <w:rsid w:val="00253419"/>
    <w:rsid w:val="0025362D"/>
    <w:rsid w:val="0025368F"/>
    <w:rsid w:val="00253D89"/>
    <w:rsid w:val="00253ECD"/>
    <w:rsid w:val="00253F46"/>
    <w:rsid w:val="00254727"/>
    <w:rsid w:val="0025491D"/>
    <w:rsid w:val="00255A87"/>
    <w:rsid w:val="00255E75"/>
    <w:rsid w:val="002560A3"/>
    <w:rsid w:val="0025618D"/>
    <w:rsid w:val="002561F9"/>
    <w:rsid w:val="0025645E"/>
    <w:rsid w:val="002571C0"/>
    <w:rsid w:val="002571E1"/>
    <w:rsid w:val="0025721A"/>
    <w:rsid w:val="00257226"/>
    <w:rsid w:val="0025762A"/>
    <w:rsid w:val="0025788C"/>
    <w:rsid w:val="002579F1"/>
    <w:rsid w:val="00257E30"/>
    <w:rsid w:val="00260014"/>
    <w:rsid w:val="0026030B"/>
    <w:rsid w:val="00260324"/>
    <w:rsid w:val="0026036B"/>
    <w:rsid w:val="00260498"/>
    <w:rsid w:val="00260B9D"/>
    <w:rsid w:val="00261164"/>
    <w:rsid w:val="00261D46"/>
    <w:rsid w:val="00261FF3"/>
    <w:rsid w:val="002628DF"/>
    <w:rsid w:val="00262B65"/>
    <w:rsid w:val="00262F24"/>
    <w:rsid w:val="00262FE7"/>
    <w:rsid w:val="0026393D"/>
    <w:rsid w:val="002639B4"/>
    <w:rsid w:val="00263BA0"/>
    <w:rsid w:val="00263C9E"/>
    <w:rsid w:val="00263E52"/>
    <w:rsid w:val="002648B6"/>
    <w:rsid w:val="0026496A"/>
    <w:rsid w:val="00264C08"/>
    <w:rsid w:val="00264D51"/>
    <w:rsid w:val="00264DCD"/>
    <w:rsid w:val="002652B1"/>
    <w:rsid w:val="00265475"/>
    <w:rsid w:val="002655B4"/>
    <w:rsid w:val="00265763"/>
    <w:rsid w:val="00265864"/>
    <w:rsid w:val="00265875"/>
    <w:rsid w:val="00265979"/>
    <w:rsid w:val="00265CC8"/>
    <w:rsid w:val="00265E2F"/>
    <w:rsid w:val="00266228"/>
    <w:rsid w:val="00266B56"/>
    <w:rsid w:val="00266B61"/>
    <w:rsid w:val="0026712A"/>
    <w:rsid w:val="002676E2"/>
    <w:rsid w:val="00267EE9"/>
    <w:rsid w:val="00267FD8"/>
    <w:rsid w:val="002701C5"/>
    <w:rsid w:val="0027028C"/>
    <w:rsid w:val="002704DB"/>
    <w:rsid w:val="00270CCF"/>
    <w:rsid w:val="00270D43"/>
    <w:rsid w:val="00270E01"/>
    <w:rsid w:val="00271392"/>
    <w:rsid w:val="00271490"/>
    <w:rsid w:val="00272278"/>
    <w:rsid w:val="00272A9A"/>
    <w:rsid w:val="00272E96"/>
    <w:rsid w:val="00272FED"/>
    <w:rsid w:val="00273352"/>
    <w:rsid w:val="00273723"/>
    <w:rsid w:val="00273AAB"/>
    <w:rsid w:val="00273B48"/>
    <w:rsid w:val="00273C3E"/>
    <w:rsid w:val="00273D68"/>
    <w:rsid w:val="00274946"/>
    <w:rsid w:val="00274F86"/>
    <w:rsid w:val="002752D3"/>
    <w:rsid w:val="00275A21"/>
    <w:rsid w:val="00275A72"/>
    <w:rsid w:val="00275A82"/>
    <w:rsid w:val="002763AE"/>
    <w:rsid w:val="00276436"/>
    <w:rsid w:val="0027668F"/>
    <w:rsid w:val="0027673F"/>
    <w:rsid w:val="0027675D"/>
    <w:rsid w:val="00276CBA"/>
    <w:rsid w:val="00276D62"/>
    <w:rsid w:val="0027723F"/>
    <w:rsid w:val="00277379"/>
    <w:rsid w:val="002773C2"/>
    <w:rsid w:val="002775FE"/>
    <w:rsid w:val="0027778F"/>
    <w:rsid w:val="00277AC6"/>
    <w:rsid w:val="00277FA7"/>
    <w:rsid w:val="002802D8"/>
    <w:rsid w:val="00280503"/>
    <w:rsid w:val="00280702"/>
    <w:rsid w:val="00280936"/>
    <w:rsid w:val="00280D03"/>
    <w:rsid w:val="0028148D"/>
    <w:rsid w:val="00281754"/>
    <w:rsid w:val="002817B4"/>
    <w:rsid w:val="00281A16"/>
    <w:rsid w:val="002822DA"/>
    <w:rsid w:val="002826B4"/>
    <w:rsid w:val="00282B79"/>
    <w:rsid w:val="00282E05"/>
    <w:rsid w:val="0028341F"/>
    <w:rsid w:val="00283A12"/>
    <w:rsid w:val="00283F6A"/>
    <w:rsid w:val="0028436C"/>
    <w:rsid w:val="002843AA"/>
    <w:rsid w:val="002845CB"/>
    <w:rsid w:val="00284873"/>
    <w:rsid w:val="00284965"/>
    <w:rsid w:val="002849E0"/>
    <w:rsid w:val="00284B8B"/>
    <w:rsid w:val="00284D12"/>
    <w:rsid w:val="00284DE8"/>
    <w:rsid w:val="00285165"/>
    <w:rsid w:val="002851FD"/>
    <w:rsid w:val="002854DD"/>
    <w:rsid w:val="00285591"/>
    <w:rsid w:val="002856B3"/>
    <w:rsid w:val="002856BB"/>
    <w:rsid w:val="00285772"/>
    <w:rsid w:val="0028583A"/>
    <w:rsid w:val="00285A63"/>
    <w:rsid w:val="00285A70"/>
    <w:rsid w:val="00285D52"/>
    <w:rsid w:val="00285F07"/>
    <w:rsid w:val="00285F63"/>
    <w:rsid w:val="002861AB"/>
    <w:rsid w:val="00286308"/>
    <w:rsid w:val="00286476"/>
    <w:rsid w:val="00286796"/>
    <w:rsid w:val="0028679F"/>
    <w:rsid w:val="002868D4"/>
    <w:rsid w:val="00286D5A"/>
    <w:rsid w:val="00287511"/>
    <w:rsid w:val="00287957"/>
    <w:rsid w:val="00287AD5"/>
    <w:rsid w:val="00287BD8"/>
    <w:rsid w:val="00290140"/>
    <w:rsid w:val="0029016B"/>
    <w:rsid w:val="00290E00"/>
    <w:rsid w:val="00290EA6"/>
    <w:rsid w:val="00291197"/>
    <w:rsid w:val="0029121F"/>
    <w:rsid w:val="002915A4"/>
    <w:rsid w:val="00291690"/>
    <w:rsid w:val="002916FF"/>
    <w:rsid w:val="00291852"/>
    <w:rsid w:val="002918D5"/>
    <w:rsid w:val="00291B27"/>
    <w:rsid w:val="00291CB2"/>
    <w:rsid w:val="00291E29"/>
    <w:rsid w:val="00292AF9"/>
    <w:rsid w:val="0029305B"/>
    <w:rsid w:val="002933D1"/>
    <w:rsid w:val="00293632"/>
    <w:rsid w:val="002936AB"/>
    <w:rsid w:val="0029381F"/>
    <w:rsid w:val="00293886"/>
    <w:rsid w:val="002939B1"/>
    <w:rsid w:val="00293A69"/>
    <w:rsid w:val="00293BD4"/>
    <w:rsid w:val="00293DEC"/>
    <w:rsid w:val="002940C1"/>
    <w:rsid w:val="002941C1"/>
    <w:rsid w:val="002949A6"/>
    <w:rsid w:val="00294A8A"/>
    <w:rsid w:val="00294BF5"/>
    <w:rsid w:val="00295580"/>
    <w:rsid w:val="00295B56"/>
    <w:rsid w:val="00295E72"/>
    <w:rsid w:val="00296F9A"/>
    <w:rsid w:val="002978BD"/>
    <w:rsid w:val="002978D3"/>
    <w:rsid w:val="00297DAC"/>
    <w:rsid w:val="002A0144"/>
    <w:rsid w:val="002A03BB"/>
    <w:rsid w:val="002A08CF"/>
    <w:rsid w:val="002A0AAE"/>
    <w:rsid w:val="002A0AE2"/>
    <w:rsid w:val="002A0C80"/>
    <w:rsid w:val="002A0ED4"/>
    <w:rsid w:val="002A0F05"/>
    <w:rsid w:val="002A1758"/>
    <w:rsid w:val="002A1897"/>
    <w:rsid w:val="002A1AEE"/>
    <w:rsid w:val="002A1D53"/>
    <w:rsid w:val="002A22A6"/>
    <w:rsid w:val="002A2373"/>
    <w:rsid w:val="002A26A9"/>
    <w:rsid w:val="002A2830"/>
    <w:rsid w:val="002A29C5"/>
    <w:rsid w:val="002A2B81"/>
    <w:rsid w:val="002A2BB8"/>
    <w:rsid w:val="002A2C85"/>
    <w:rsid w:val="002A2FD2"/>
    <w:rsid w:val="002A3123"/>
    <w:rsid w:val="002A3139"/>
    <w:rsid w:val="002A34E1"/>
    <w:rsid w:val="002A3506"/>
    <w:rsid w:val="002A357B"/>
    <w:rsid w:val="002A35C4"/>
    <w:rsid w:val="002A3A10"/>
    <w:rsid w:val="002A3EE3"/>
    <w:rsid w:val="002A3F12"/>
    <w:rsid w:val="002A41C3"/>
    <w:rsid w:val="002A4AC6"/>
    <w:rsid w:val="002A4AF0"/>
    <w:rsid w:val="002A4DAF"/>
    <w:rsid w:val="002A4E25"/>
    <w:rsid w:val="002A4FFC"/>
    <w:rsid w:val="002A51F5"/>
    <w:rsid w:val="002A5423"/>
    <w:rsid w:val="002A55D8"/>
    <w:rsid w:val="002A56D7"/>
    <w:rsid w:val="002A5820"/>
    <w:rsid w:val="002A58AC"/>
    <w:rsid w:val="002A5980"/>
    <w:rsid w:val="002A59D5"/>
    <w:rsid w:val="002A5E63"/>
    <w:rsid w:val="002A5F69"/>
    <w:rsid w:val="002A60ED"/>
    <w:rsid w:val="002A62C7"/>
    <w:rsid w:val="002A6D47"/>
    <w:rsid w:val="002A6D6E"/>
    <w:rsid w:val="002A741D"/>
    <w:rsid w:val="002A75CD"/>
    <w:rsid w:val="002A760C"/>
    <w:rsid w:val="002A7867"/>
    <w:rsid w:val="002A7958"/>
    <w:rsid w:val="002A797C"/>
    <w:rsid w:val="002A7B21"/>
    <w:rsid w:val="002A7C3B"/>
    <w:rsid w:val="002B02DF"/>
    <w:rsid w:val="002B049F"/>
    <w:rsid w:val="002B11D7"/>
    <w:rsid w:val="002B1269"/>
    <w:rsid w:val="002B144E"/>
    <w:rsid w:val="002B1508"/>
    <w:rsid w:val="002B1698"/>
    <w:rsid w:val="002B1FC1"/>
    <w:rsid w:val="002B2064"/>
    <w:rsid w:val="002B20C2"/>
    <w:rsid w:val="002B255A"/>
    <w:rsid w:val="002B2684"/>
    <w:rsid w:val="002B26AA"/>
    <w:rsid w:val="002B26C1"/>
    <w:rsid w:val="002B31DE"/>
    <w:rsid w:val="002B3376"/>
    <w:rsid w:val="002B3710"/>
    <w:rsid w:val="002B38D3"/>
    <w:rsid w:val="002B3A7D"/>
    <w:rsid w:val="002B44BF"/>
    <w:rsid w:val="002B454A"/>
    <w:rsid w:val="002B4A91"/>
    <w:rsid w:val="002B4AB9"/>
    <w:rsid w:val="002B4C45"/>
    <w:rsid w:val="002B4F84"/>
    <w:rsid w:val="002B5929"/>
    <w:rsid w:val="002B5C25"/>
    <w:rsid w:val="002B5C5B"/>
    <w:rsid w:val="002B5CA7"/>
    <w:rsid w:val="002B6194"/>
    <w:rsid w:val="002B65ED"/>
    <w:rsid w:val="002B6A63"/>
    <w:rsid w:val="002B6DE9"/>
    <w:rsid w:val="002B71EF"/>
    <w:rsid w:val="002B7621"/>
    <w:rsid w:val="002B76B0"/>
    <w:rsid w:val="002B7912"/>
    <w:rsid w:val="002B79AD"/>
    <w:rsid w:val="002B7DEB"/>
    <w:rsid w:val="002B7ED9"/>
    <w:rsid w:val="002C0027"/>
    <w:rsid w:val="002C006D"/>
    <w:rsid w:val="002C0080"/>
    <w:rsid w:val="002C0102"/>
    <w:rsid w:val="002C045F"/>
    <w:rsid w:val="002C0A67"/>
    <w:rsid w:val="002C0D63"/>
    <w:rsid w:val="002C1573"/>
    <w:rsid w:val="002C15C4"/>
    <w:rsid w:val="002C1C29"/>
    <w:rsid w:val="002C1C64"/>
    <w:rsid w:val="002C1FF8"/>
    <w:rsid w:val="002C23A0"/>
    <w:rsid w:val="002C24AA"/>
    <w:rsid w:val="002C2904"/>
    <w:rsid w:val="002C2B7C"/>
    <w:rsid w:val="002C2BC3"/>
    <w:rsid w:val="002C2FAA"/>
    <w:rsid w:val="002C3390"/>
    <w:rsid w:val="002C33F8"/>
    <w:rsid w:val="002C34A2"/>
    <w:rsid w:val="002C34AB"/>
    <w:rsid w:val="002C34DC"/>
    <w:rsid w:val="002C3926"/>
    <w:rsid w:val="002C393D"/>
    <w:rsid w:val="002C3B07"/>
    <w:rsid w:val="002C3B14"/>
    <w:rsid w:val="002C4030"/>
    <w:rsid w:val="002C4287"/>
    <w:rsid w:val="002C42C4"/>
    <w:rsid w:val="002C4389"/>
    <w:rsid w:val="002C4408"/>
    <w:rsid w:val="002C4A4E"/>
    <w:rsid w:val="002C4A65"/>
    <w:rsid w:val="002C50B3"/>
    <w:rsid w:val="002C51E8"/>
    <w:rsid w:val="002C5523"/>
    <w:rsid w:val="002C57BC"/>
    <w:rsid w:val="002C591F"/>
    <w:rsid w:val="002C5EAF"/>
    <w:rsid w:val="002C6225"/>
    <w:rsid w:val="002C633D"/>
    <w:rsid w:val="002C6433"/>
    <w:rsid w:val="002C64EE"/>
    <w:rsid w:val="002C65E0"/>
    <w:rsid w:val="002C6BCA"/>
    <w:rsid w:val="002C6EF4"/>
    <w:rsid w:val="002C708C"/>
    <w:rsid w:val="002C75D4"/>
    <w:rsid w:val="002C764F"/>
    <w:rsid w:val="002C7799"/>
    <w:rsid w:val="002C7A03"/>
    <w:rsid w:val="002C7A05"/>
    <w:rsid w:val="002D00ED"/>
    <w:rsid w:val="002D06E9"/>
    <w:rsid w:val="002D0721"/>
    <w:rsid w:val="002D1830"/>
    <w:rsid w:val="002D18B6"/>
    <w:rsid w:val="002D18D9"/>
    <w:rsid w:val="002D22FB"/>
    <w:rsid w:val="002D28A6"/>
    <w:rsid w:val="002D2B26"/>
    <w:rsid w:val="002D304E"/>
    <w:rsid w:val="002D31B6"/>
    <w:rsid w:val="002D3204"/>
    <w:rsid w:val="002D38A8"/>
    <w:rsid w:val="002D39A0"/>
    <w:rsid w:val="002D3B8F"/>
    <w:rsid w:val="002D3D48"/>
    <w:rsid w:val="002D432A"/>
    <w:rsid w:val="002D43E1"/>
    <w:rsid w:val="002D462C"/>
    <w:rsid w:val="002D491B"/>
    <w:rsid w:val="002D49D8"/>
    <w:rsid w:val="002D4A1A"/>
    <w:rsid w:val="002D50DD"/>
    <w:rsid w:val="002D6432"/>
    <w:rsid w:val="002D6537"/>
    <w:rsid w:val="002D65D6"/>
    <w:rsid w:val="002D660F"/>
    <w:rsid w:val="002D67B6"/>
    <w:rsid w:val="002D6DFA"/>
    <w:rsid w:val="002D6FEA"/>
    <w:rsid w:val="002D7848"/>
    <w:rsid w:val="002D7C75"/>
    <w:rsid w:val="002D7E61"/>
    <w:rsid w:val="002D7EA2"/>
    <w:rsid w:val="002D7FF1"/>
    <w:rsid w:val="002E011E"/>
    <w:rsid w:val="002E02FF"/>
    <w:rsid w:val="002E06CC"/>
    <w:rsid w:val="002E07B0"/>
    <w:rsid w:val="002E0A05"/>
    <w:rsid w:val="002E1155"/>
    <w:rsid w:val="002E118C"/>
    <w:rsid w:val="002E11D8"/>
    <w:rsid w:val="002E1601"/>
    <w:rsid w:val="002E1727"/>
    <w:rsid w:val="002E17BB"/>
    <w:rsid w:val="002E1808"/>
    <w:rsid w:val="002E187C"/>
    <w:rsid w:val="002E20C2"/>
    <w:rsid w:val="002E214D"/>
    <w:rsid w:val="002E256E"/>
    <w:rsid w:val="002E2876"/>
    <w:rsid w:val="002E2970"/>
    <w:rsid w:val="002E2A8A"/>
    <w:rsid w:val="002E2B53"/>
    <w:rsid w:val="002E2BFD"/>
    <w:rsid w:val="002E2D5E"/>
    <w:rsid w:val="002E2D7A"/>
    <w:rsid w:val="002E2D87"/>
    <w:rsid w:val="002E30E4"/>
    <w:rsid w:val="002E3978"/>
    <w:rsid w:val="002E3E41"/>
    <w:rsid w:val="002E4339"/>
    <w:rsid w:val="002E4B52"/>
    <w:rsid w:val="002E5579"/>
    <w:rsid w:val="002E5624"/>
    <w:rsid w:val="002E583B"/>
    <w:rsid w:val="002E5999"/>
    <w:rsid w:val="002E5B5D"/>
    <w:rsid w:val="002E5FBD"/>
    <w:rsid w:val="002E6725"/>
    <w:rsid w:val="002E67C3"/>
    <w:rsid w:val="002E67CD"/>
    <w:rsid w:val="002E68C8"/>
    <w:rsid w:val="002E6E9D"/>
    <w:rsid w:val="002E7000"/>
    <w:rsid w:val="002E709F"/>
    <w:rsid w:val="002E71E3"/>
    <w:rsid w:val="002E78CE"/>
    <w:rsid w:val="002E7AFF"/>
    <w:rsid w:val="002E7B91"/>
    <w:rsid w:val="002E7C1A"/>
    <w:rsid w:val="002F02D3"/>
    <w:rsid w:val="002F07A3"/>
    <w:rsid w:val="002F085C"/>
    <w:rsid w:val="002F0CCD"/>
    <w:rsid w:val="002F0FB2"/>
    <w:rsid w:val="002F1138"/>
    <w:rsid w:val="002F1177"/>
    <w:rsid w:val="002F1768"/>
    <w:rsid w:val="002F1DF4"/>
    <w:rsid w:val="002F1ED2"/>
    <w:rsid w:val="002F225F"/>
    <w:rsid w:val="002F2480"/>
    <w:rsid w:val="002F250C"/>
    <w:rsid w:val="002F26D5"/>
    <w:rsid w:val="002F2D34"/>
    <w:rsid w:val="002F2EE9"/>
    <w:rsid w:val="002F3247"/>
    <w:rsid w:val="002F342E"/>
    <w:rsid w:val="002F3964"/>
    <w:rsid w:val="002F39BC"/>
    <w:rsid w:val="002F3CDA"/>
    <w:rsid w:val="002F3D36"/>
    <w:rsid w:val="002F3DE9"/>
    <w:rsid w:val="002F3F97"/>
    <w:rsid w:val="002F3FD1"/>
    <w:rsid w:val="002F440F"/>
    <w:rsid w:val="002F464F"/>
    <w:rsid w:val="002F4708"/>
    <w:rsid w:val="002F485D"/>
    <w:rsid w:val="002F4876"/>
    <w:rsid w:val="002F4A1F"/>
    <w:rsid w:val="002F4E0D"/>
    <w:rsid w:val="002F4E25"/>
    <w:rsid w:val="002F5526"/>
    <w:rsid w:val="002F56DC"/>
    <w:rsid w:val="002F596C"/>
    <w:rsid w:val="002F5A8D"/>
    <w:rsid w:val="002F5C30"/>
    <w:rsid w:val="002F5D81"/>
    <w:rsid w:val="002F5DAF"/>
    <w:rsid w:val="002F5EF7"/>
    <w:rsid w:val="002F5F89"/>
    <w:rsid w:val="002F6296"/>
    <w:rsid w:val="002F63F9"/>
    <w:rsid w:val="002F69BB"/>
    <w:rsid w:val="002F6F78"/>
    <w:rsid w:val="002F7046"/>
    <w:rsid w:val="003005A7"/>
    <w:rsid w:val="0030082A"/>
    <w:rsid w:val="00300DE6"/>
    <w:rsid w:val="00300F64"/>
    <w:rsid w:val="00301489"/>
    <w:rsid w:val="003016B9"/>
    <w:rsid w:val="003017B6"/>
    <w:rsid w:val="0030185C"/>
    <w:rsid w:val="003018E5"/>
    <w:rsid w:val="00301E20"/>
    <w:rsid w:val="00301F70"/>
    <w:rsid w:val="003021A5"/>
    <w:rsid w:val="003022FD"/>
    <w:rsid w:val="00302347"/>
    <w:rsid w:val="00302442"/>
    <w:rsid w:val="00302733"/>
    <w:rsid w:val="00302A64"/>
    <w:rsid w:val="00302DD3"/>
    <w:rsid w:val="00302F2C"/>
    <w:rsid w:val="003032E4"/>
    <w:rsid w:val="00303433"/>
    <w:rsid w:val="003034B3"/>
    <w:rsid w:val="003034CE"/>
    <w:rsid w:val="003036B5"/>
    <w:rsid w:val="003037F0"/>
    <w:rsid w:val="00303974"/>
    <w:rsid w:val="003039F4"/>
    <w:rsid w:val="0030433B"/>
    <w:rsid w:val="003045D6"/>
    <w:rsid w:val="00304768"/>
    <w:rsid w:val="00304A46"/>
    <w:rsid w:val="00304AD9"/>
    <w:rsid w:val="00304CFD"/>
    <w:rsid w:val="00304FE0"/>
    <w:rsid w:val="0030512D"/>
    <w:rsid w:val="00305309"/>
    <w:rsid w:val="00305470"/>
    <w:rsid w:val="00305918"/>
    <w:rsid w:val="00305956"/>
    <w:rsid w:val="00305D7F"/>
    <w:rsid w:val="00305E4F"/>
    <w:rsid w:val="00305F49"/>
    <w:rsid w:val="00305FAB"/>
    <w:rsid w:val="0030616D"/>
    <w:rsid w:val="003063B2"/>
    <w:rsid w:val="00306486"/>
    <w:rsid w:val="003067CA"/>
    <w:rsid w:val="00306880"/>
    <w:rsid w:val="00306C37"/>
    <w:rsid w:val="00306E40"/>
    <w:rsid w:val="00306F10"/>
    <w:rsid w:val="0030711D"/>
    <w:rsid w:val="00307920"/>
    <w:rsid w:val="00307B49"/>
    <w:rsid w:val="00307EE5"/>
    <w:rsid w:val="003100F4"/>
    <w:rsid w:val="0031045A"/>
    <w:rsid w:val="003106C3"/>
    <w:rsid w:val="00310F57"/>
    <w:rsid w:val="0031128E"/>
    <w:rsid w:val="003112A9"/>
    <w:rsid w:val="00311790"/>
    <w:rsid w:val="0031181D"/>
    <w:rsid w:val="00311901"/>
    <w:rsid w:val="003119AD"/>
    <w:rsid w:val="00311C12"/>
    <w:rsid w:val="00311EFE"/>
    <w:rsid w:val="00312253"/>
    <w:rsid w:val="003122F4"/>
    <w:rsid w:val="00312593"/>
    <w:rsid w:val="003126ED"/>
    <w:rsid w:val="0031272F"/>
    <w:rsid w:val="003128E4"/>
    <w:rsid w:val="00312979"/>
    <w:rsid w:val="003129F0"/>
    <w:rsid w:val="00312F2F"/>
    <w:rsid w:val="00312F89"/>
    <w:rsid w:val="00312F99"/>
    <w:rsid w:val="0031367E"/>
    <w:rsid w:val="00313A8E"/>
    <w:rsid w:val="00313AD6"/>
    <w:rsid w:val="00313F08"/>
    <w:rsid w:val="00314036"/>
    <w:rsid w:val="00314078"/>
    <w:rsid w:val="00314765"/>
    <w:rsid w:val="00314791"/>
    <w:rsid w:val="00314834"/>
    <w:rsid w:val="00314836"/>
    <w:rsid w:val="00314901"/>
    <w:rsid w:val="00314A30"/>
    <w:rsid w:val="00314A7F"/>
    <w:rsid w:val="0031515E"/>
    <w:rsid w:val="00315471"/>
    <w:rsid w:val="0031575A"/>
    <w:rsid w:val="00316517"/>
    <w:rsid w:val="00316E88"/>
    <w:rsid w:val="00316FB5"/>
    <w:rsid w:val="003170EA"/>
    <w:rsid w:val="00317250"/>
    <w:rsid w:val="003173B1"/>
    <w:rsid w:val="00317A68"/>
    <w:rsid w:val="00317BFE"/>
    <w:rsid w:val="00317EC9"/>
    <w:rsid w:val="0032049A"/>
    <w:rsid w:val="0032059A"/>
    <w:rsid w:val="003209F5"/>
    <w:rsid w:val="00321576"/>
    <w:rsid w:val="0032165A"/>
    <w:rsid w:val="003216F4"/>
    <w:rsid w:val="0032186D"/>
    <w:rsid w:val="00321A20"/>
    <w:rsid w:val="00321C42"/>
    <w:rsid w:val="003222B3"/>
    <w:rsid w:val="00322497"/>
    <w:rsid w:val="003227A3"/>
    <w:rsid w:val="003229C1"/>
    <w:rsid w:val="00322BA6"/>
    <w:rsid w:val="00323190"/>
    <w:rsid w:val="003231D4"/>
    <w:rsid w:val="00323215"/>
    <w:rsid w:val="00323253"/>
    <w:rsid w:val="0032363A"/>
    <w:rsid w:val="00323C51"/>
    <w:rsid w:val="00323C5F"/>
    <w:rsid w:val="0032412C"/>
    <w:rsid w:val="00324254"/>
    <w:rsid w:val="00324343"/>
    <w:rsid w:val="00324432"/>
    <w:rsid w:val="003247D2"/>
    <w:rsid w:val="00324DE2"/>
    <w:rsid w:val="0032515D"/>
    <w:rsid w:val="003252C8"/>
    <w:rsid w:val="00325632"/>
    <w:rsid w:val="00325747"/>
    <w:rsid w:val="0032576C"/>
    <w:rsid w:val="00325794"/>
    <w:rsid w:val="0032594F"/>
    <w:rsid w:val="00325B5A"/>
    <w:rsid w:val="00326114"/>
    <w:rsid w:val="00326392"/>
    <w:rsid w:val="003264ED"/>
    <w:rsid w:val="003265A7"/>
    <w:rsid w:val="00326665"/>
    <w:rsid w:val="00326775"/>
    <w:rsid w:val="003269D9"/>
    <w:rsid w:val="00326A29"/>
    <w:rsid w:val="003273FC"/>
    <w:rsid w:val="0032749A"/>
    <w:rsid w:val="003274CA"/>
    <w:rsid w:val="003274F4"/>
    <w:rsid w:val="00327595"/>
    <w:rsid w:val="003275B4"/>
    <w:rsid w:val="00327BA0"/>
    <w:rsid w:val="00327BFD"/>
    <w:rsid w:val="00327C4D"/>
    <w:rsid w:val="00330140"/>
    <w:rsid w:val="00330266"/>
    <w:rsid w:val="003302A4"/>
    <w:rsid w:val="00330504"/>
    <w:rsid w:val="00330B2C"/>
    <w:rsid w:val="00330CFA"/>
    <w:rsid w:val="00330F9A"/>
    <w:rsid w:val="00330FB1"/>
    <w:rsid w:val="00331015"/>
    <w:rsid w:val="00331547"/>
    <w:rsid w:val="003315CA"/>
    <w:rsid w:val="0033169F"/>
    <w:rsid w:val="00331880"/>
    <w:rsid w:val="00331B98"/>
    <w:rsid w:val="00331D6B"/>
    <w:rsid w:val="00331DB6"/>
    <w:rsid w:val="00331E5D"/>
    <w:rsid w:val="0033267B"/>
    <w:rsid w:val="00332983"/>
    <w:rsid w:val="00332C85"/>
    <w:rsid w:val="00332D67"/>
    <w:rsid w:val="003332ED"/>
    <w:rsid w:val="00333392"/>
    <w:rsid w:val="00333430"/>
    <w:rsid w:val="003338C1"/>
    <w:rsid w:val="00333AB7"/>
    <w:rsid w:val="00333B27"/>
    <w:rsid w:val="003340F9"/>
    <w:rsid w:val="00334139"/>
    <w:rsid w:val="00334281"/>
    <w:rsid w:val="00334A3E"/>
    <w:rsid w:val="00334B5B"/>
    <w:rsid w:val="00334EE7"/>
    <w:rsid w:val="003351CA"/>
    <w:rsid w:val="00335628"/>
    <w:rsid w:val="00335F12"/>
    <w:rsid w:val="00336068"/>
    <w:rsid w:val="0033611B"/>
    <w:rsid w:val="00336412"/>
    <w:rsid w:val="0033649B"/>
    <w:rsid w:val="003367AD"/>
    <w:rsid w:val="00336DBE"/>
    <w:rsid w:val="00336E99"/>
    <w:rsid w:val="003370E5"/>
    <w:rsid w:val="00337307"/>
    <w:rsid w:val="003375BD"/>
    <w:rsid w:val="00337624"/>
    <w:rsid w:val="00337BAC"/>
    <w:rsid w:val="00337C5A"/>
    <w:rsid w:val="00337D8A"/>
    <w:rsid w:val="003401E5"/>
    <w:rsid w:val="003402C6"/>
    <w:rsid w:val="003403D3"/>
    <w:rsid w:val="00340417"/>
    <w:rsid w:val="003409C6"/>
    <w:rsid w:val="00340E9B"/>
    <w:rsid w:val="00341046"/>
    <w:rsid w:val="003410BD"/>
    <w:rsid w:val="00341959"/>
    <w:rsid w:val="003419A1"/>
    <w:rsid w:val="00341C8E"/>
    <w:rsid w:val="00341D78"/>
    <w:rsid w:val="00341D8B"/>
    <w:rsid w:val="00342026"/>
    <w:rsid w:val="00342276"/>
    <w:rsid w:val="00342457"/>
    <w:rsid w:val="003424A0"/>
    <w:rsid w:val="003425F9"/>
    <w:rsid w:val="00342A5D"/>
    <w:rsid w:val="00343226"/>
    <w:rsid w:val="00343559"/>
    <w:rsid w:val="00343A05"/>
    <w:rsid w:val="00343BE6"/>
    <w:rsid w:val="00343DA6"/>
    <w:rsid w:val="0034430C"/>
    <w:rsid w:val="003443D7"/>
    <w:rsid w:val="00344699"/>
    <w:rsid w:val="00344A5B"/>
    <w:rsid w:val="00344A84"/>
    <w:rsid w:val="00344E9A"/>
    <w:rsid w:val="003450CB"/>
    <w:rsid w:val="00345593"/>
    <w:rsid w:val="0034594D"/>
    <w:rsid w:val="00345A36"/>
    <w:rsid w:val="00345FA9"/>
    <w:rsid w:val="00346183"/>
    <w:rsid w:val="0034641D"/>
    <w:rsid w:val="00346643"/>
    <w:rsid w:val="0034698F"/>
    <w:rsid w:val="00346C95"/>
    <w:rsid w:val="00346D29"/>
    <w:rsid w:val="00346D2B"/>
    <w:rsid w:val="00347065"/>
    <w:rsid w:val="00347342"/>
    <w:rsid w:val="0034738C"/>
    <w:rsid w:val="003473A0"/>
    <w:rsid w:val="00347717"/>
    <w:rsid w:val="00347AA1"/>
    <w:rsid w:val="00347B81"/>
    <w:rsid w:val="003500CC"/>
    <w:rsid w:val="00350137"/>
    <w:rsid w:val="00350803"/>
    <w:rsid w:val="003508CD"/>
    <w:rsid w:val="00350CC7"/>
    <w:rsid w:val="00350CF0"/>
    <w:rsid w:val="00350FEF"/>
    <w:rsid w:val="003510D6"/>
    <w:rsid w:val="00351130"/>
    <w:rsid w:val="00351147"/>
    <w:rsid w:val="003513C8"/>
    <w:rsid w:val="003513F0"/>
    <w:rsid w:val="00351467"/>
    <w:rsid w:val="00351681"/>
    <w:rsid w:val="003518C0"/>
    <w:rsid w:val="003518F5"/>
    <w:rsid w:val="0035200C"/>
    <w:rsid w:val="00352033"/>
    <w:rsid w:val="003523EE"/>
    <w:rsid w:val="003527E2"/>
    <w:rsid w:val="003528C1"/>
    <w:rsid w:val="0035295D"/>
    <w:rsid w:val="00352C95"/>
    <w:rsid w:val="00352E67"/>
    <w:rsid w:val="00352F12"/>
    <w:rsid w:val="003533E0"/>
    <w:rsid w:val="00353503"/>
    <w:rsid w:val="0035379E"/>
    <w:rsid w:val="00353892"/>
    <w:rsid w:val="00353946"/>
    <w:rsid w:val="00353972"/>
    <w:rsid w:val="00353E3C"/>
    <w:rsid w:val="003543CE"/>
    <w:rsid w:val="00354A4D"/>
    <w:rsid w:val="00354E25"/>
    <w:rsid w:val="00354E59"/>
    <w:rsid w:val="0035504C"/>
    <w:rsid w:val="003550D4"/>
    <w:rsid w:val="00355188"/>
    <w:rsid w:val="003555B8"/>
    <w:rsid w:val="00355769"/>
    <w:rsid w:val="003558F5"/>
    <w:rsid w:val="003559ED"/>
    <w:rsid w:val="00355A42"/>
    <w:rsid w:val="00355B48"/>
    <w:rsid w:val="00355E3E"/>
    <w:rsid w:val="00356185"/>
    <w:rsid w:val="003561A3"/>
    <w:rsid w:val="0035634C"/>
    <w:rsid w:val="003564C6"/>
    <w:rsid w:val="00357157"/>
    <w:rsid w:val="0035729D"/>
    <w:rsid w:val="00357486"/>
    <w:rsid w:val="00357600"/>
    <w:rsid w:val="00357AB2"/>
    <w:rsid w:val="00357E90"/>
    <w:rsid w:val="00357EBE"/>
    <w:rsid w:val="00357FAB"/>
    <w:rsid w:val="00360380"/>
    <w:rsid w:val="00360575"/>
    <w:rsid w:val="00360991"/>
    <w:rsid w:val="00360DF4"/>
    <w:rsid w:val="00360DF5"/>
    <w:rsid w:val="00360DF6"/>
    <w:rsid w:val="00360E13"/>
    <w:rsid w:val="00360EC9"/>
    <w:rsid w:val="00360F78"/>
    <w:rsid w:val="003616FA"/>
    <w:rsid w:val="00361940"/>
    <w:rsid w:val="00361E5F"/>
    <w:rsid w:val="00361F65"/>
    <w:rsid w:val="0036247E"/>
    <w:rsid w:val="0036249D"/>
    <w:rsid w:val="003624CE"/>
    <w:rsid w:val="00362560"/>
    <w:rsid w:val="0036281C"/>
    <w:rsid w:val="0036287E"/>
    <w:rsid w:val="003628E9"/>
    <w:rsid w:val="00362A2B"/>
    <w:rsid w:val="00362AE8"/>
    <w:rsid w:val="00363772"/>
    <w:rsid w:val="0036385B"/>
    <w:rsid w:val="003639E7"/>
    <w:rsid w:val="00363A3F"/>
    <w:rsid w:val="00363B69"/>
    <w:rsid w:val="00364165"/>
    <w:rsid w:val="003645B4"/>
    <w:rsid w:val="003648BF"/>
    <w:rsid w:val="00364AC9"/>
    <w:rsid w:val="00364D74"/>
    <w:rsid w:val="00364DAE"/>
    <w:rsid w:val="00364E00"/>
    <w:rsid w:val="00364FD1"/>
    <w:rsid w:val="0036502F"/>
    <w:rsid w:val="0036510E"/>
    <w:rsid w:val="003652AB"/>
    <w:rsid w:val="0036599E"/>
    <w:rsid w:val="00365CF7"/>
    <w:rsid w:val="00365EB8"/>
    <w:rsid w:val="0036618F"/>
    <w:rsid w:val="003661B2"/>
    <w:rsid w:val="0036634F"/>
    <w:rsid w:val="0036651A"/>
    <w:rsid w:val="00366ADD"/>
    <w:rsid w:val="00366DDF"/>
    <w:rsid w:val="003670E7"/>
    <w:rsid w:val="003675E5"/>
    <w:rsid w:val="0036776F"/>
    <w:rsid w:val="00367BDC"/>
    <w:rsid w:val="00367C3F"/>
    <w:rsid w:val="00367E2C"/>
    <w:rsid w:val="00370085"/>
    <w:rsid w:val="003701D9"/>
    <w:rsid w:val="00370353"/>
    <w:rsid w:val="00371913"/>
    <w:rsid w:val="003719DF"/>
    <w:rsid w:val="00371A6F"/>
    <w:rsid w:val="00372131"/>
    <w:rsid w:val="003722AA"/>
    <w:rsid w:val="003724A9"/>
    <w:rsid w:val="0037278A"/>
    <w:rsid w:val="00372870"/>
    <w:rsid w:val="00372A1A"/>
    <w:rsid w:val="00372B1B"/>
    <w:rsid w:val="00373626"/>
    <w:rsid w:val="003738D7"/>
    <w:rsid w:val="00373A0C"/>
    <w:rsid w:val="00373B73"/>
    <w:rsid w:val="00373C99"/>
    <w:rsid w:val="00373E57"/>
    <w:rsid w:val="003742C8"/>
    <w:rsid w:val="003742D2"/>
    <w:rsid w:val="00374584"/>
    <w:rsid w:val="00374597"/>
    <w:rsid w:val="00374654"/>
    <w:rsid w:val="00374692"/>
    <w:rsid w:val="0037480D"/>
    <w:rsid w:val="0037498B"/>
    <w:rsid w:val="00374B7D"/>
    <w:rsid w:val="00374D12"/>
    <w:rsid w:val="00374E7F"/>
    <w:rsid w:val="003757D0"/>
    <w:rsid w:val="00375C0E"/>
    <w:rsid w:val="00375C1E"/>
    <w:rsid w:val="00375D8A"/>
    <w:rsid w:val="00376037"/>
    <w:rsid w:val="003760F3"/>
    <w:rsid w:val="00376490"/>
    <w:rsid w:val="00376B3E"/>
    <w:rsid w:val="00376D82"/>
    <w:rsid w:val="00377287"/>
    <w:rsid w:val="003779B8"/>
    <w:rsid w:val="00377B58"/>
    <w:rsid w:val="00377CE5"/>
    <w:rsid w:val="003800B9"/>
    <w:rsid w:val="0038019B"/>
    <w:rsid w:val="003803A8"/>
    <w:rsid w:val="00380743"/>
    <w:rsid w:val="00380AEC"/>
    <w:rsid w:val="00380B64"/>
    <w:rsid w:val="00380BCE"/>
    <w:rsid w:val="00380DD1"/>
    <w:rsid w:val="00380DFA"/>
    <w:rsid w:val="00380F5B"/>
    <w:rsid w:val="00381110"/>
    <w:rsid w:val="0038125B"/>
    <w:rsid w:val="00381275"/>
    <w:rsid w:val="0038158C"/>
    <w:rsid w:val="003818C1"/>
    <w:rsid w:val="003819B8"/>
    <w:rsid w:val="00381C61"/>
    <w:rsid w:val="00382761"/>
    <w:rsid w:val="00382C39"/>
    <w:rsid w:val="0038307F"/>
    <w:rsid w:val="003835B2"/>
    <w:rsid w:val="003836AB"/>
    <w:rsid w:val="00383FF6"/>
    <w:rsid w:val="003844D4"/>
    <w:rsid w:val="00384606"/>
    <w:rsid w:val="00384754"/>
    <w:rsid w:val="00384D4E"/>
    <w:rsid w:val="00384E4C"/>
    <w:rsid w:val="00385269"/>
    <w:rsid w:val="00385C70"/>
    <w:rsid w:val="00385DF9"/>
    <w:rsid w:val="00386545"/>
    <w:rsid w:val="003865FC"/>
    <w:rsid w:val="003867B5"/>
    <w:rsid w:val="0038683C"/>
    <w:rsid w:val="003868E9"/>
    <w:rsid w:val="00386A5A"/>
    <w:rsid w:val="00386A9E"/>
    <w:rsid w:val="00386CF0"/>
    <w:rsid w:val="00386DC5"/>
    <w:rsid w:val="00386EA6"/>
    <w:rsid w:val="00386F16"/>
    <w:rsid w:val="00387697"/>
    <w:rsid w:val="00387929"/>
    <w:rsid w:val="00387A24"/>
    <w:rsid w:val="00387B9A"/>
    <w:rsid w:val="00387E8F"/>
    <w:rsid w:val="00387FC1"/>
    <w:rsid w:val="003900E6"/>
    <w:rsid w:val="003905DC"/>
    <w:rsid w:val="00390688"/>
    <w:rsid w:val="0039082B"/>
    <w:rsid w:val="00390877"/>
    <w:rsid w:val="00390C07"/>
    <w:rsid w:val="00390CF8"/>
    <w:rsid w:val="00390E1A"/>
    <w:rsid w:val="0039120B"/>
    <w:rsid w:val="003912A6"/>
    <w:rsid w:val="00391E81"/>
    <w:rsid w:val="00392130"/>
    <w:rsid w:val="003921AA"/>
    <w:rsid w:val="003922B2"/>
    <w:rsid w:val="003929D0"/>
    <w:rsid w:val="00392E4C"/>
    <w:rsid w:val="003930A2"/>
    <w:rsid w:val="00393272"/>
    <w:rsid w:val="00393329"/>
    <w:rsid w:val="00393445"/>
    <w:rsid w:val="00393448"/>
    <w:rsid w:val="0039344F"/>
    <w:rsid w:val="00393575"/>
    <w:rsid w:val="003935EE"/>
    <w:rsid w:val="00393769"/>
    <w:rsid w:val="00393872"/>
    <w:rsid w:val="00393FF3"/>
    <w:rsid w:val="0039440A"/>
    <w:rsid w:val="00394901"/>
    <w:rsid w:val="00394AF9"/>
    <w:rsid w:val="00394C3D"/>
    <w:rsid w:val="00394CD0"/>
    <w:rsid w:val="00394E1F"/>
    <w:rsid w:val="00394F9A"/>
    <w:rsid w:val="00395131"/>
    <w:rsid w:val="003951C8"/>
    <w:rsid w:val="0039521B"/>
    <w:rsid w:val="00395583"/>
    <w:rsid w:val="00395C27"/>
    <w:rsid w:val="00395D74"/>
    <w:rsid w:val="0039652B"/>
    <w:rsid w:val="0039660E"/>
    <w:rsid w:val="003966C1"/>
    <w:rsid w:val="003966C4"/>
    <w:rsid w:val="00396E3C"/>
    <w:rsid w:val="00397012"/>
    <w:rsid w:val="003970C8"/>
    <w:rsid w:val="003974DF"/>
    <w:rsid w:val="0039767F"/>
    <w:rsid w:val="003978EF"/>
    <w:rsid w:val="00397AFA"/>
    <w:rsid w:val="00397C9F"/>
    <w:rsid w:val="00397CEF"/>
    <w:rsid w:val="003A06CF"/>
    <w:rsid w:val="003A113D"/>
    <w:rsid w:val="003A174E"/>
    <w:rsid w:val="003A1CAB"/>
    <w:rsid w:val="003A1D79"/>
    <w:rsid w:val="003A2270"/>
    <w:rsid w:val="003A2506"/>
    <w:rsid w:val="003A27F6"/>
    <w:rsid w:val="003A2A49"/>
    <w:rsid w:val="003A2B0E"/>
    <w:rsid w:val="003A2EFC"/>
    <w:rsid w:val="003A31E7"/>
    <w:rsid w:val="003A3ACF"/>
    <w:rsid w:val="003A41F2"/>
    <w:rsid w:val="003A4255"/>
    <w:rsid w:val="003A431E"/>
    <w:rsid w:val="003A458A"/>
    <w:rsid w:val="003A4815"/>
    <w:rsid w:val="003A4996"/>
    <w:rsid w:val="003A4CCF"/>
    <w:rsid w:val="003A557C"/>
    <w:rsid w:val="003A5852"/>
    <w:rsid w:val="003A58E2"/>
    <w:rsid w:val="003A5933"/>
    <w:rsid w:val="003A5976"/>
    <w:rsid w:val="003A5B8E"/>
    <w:rsid w:val="003A5CF9"/>
    <w:rsid w:val="003A5F00"/>
    <w:rsid w:val="003A5F02"/>
    <w:rsid w:val="003A61C6"/>
    <w:rsid w:val="003A6220"/>
    <w:rsid w:val="003A6675"/>
    <w:rsid w:val="003A66F0"/>
    <w:rsid w:val="003A6A82"/>
    <w:rsid w:val="003A6E09"/>
    <w:rsid w:val="003A6F51"/>
    <w:rsid w:val="003A7106"/>
    <w:rsid w:val="003A723B"/>
    <w:rsid w:val="003A724A"/>
    <w:rsid w:val="003A74BB"/>
    <w:rsid w:val="003A7814"/>
    <w:rsid w:val="003A7971"/>
    <w:rsid w:val="003A7C0D"/>
    <w:rsid w:val="003A7E29"/>
    <w:rsid w:val="003A7FA8"/>
    <w:rsid w:val="003B0471"/>
    <w:rsid w:val="003B0584"/>
    <w:rsid w:val="003B08C7"/>
    <w:rsid w:val="003B0A7F"/>
    <w:rsid w:val="003B0C66"/>
    <w:rsid w:val="003B0CA0"/>
    <w:rsid w:val="003B16AC"/>
    <w:rsid w:val="003B1B1C"/>
    <w:rsid w:val="003B1D11"/>
    <w:rsid w:val="003B1E2E"/>
    <w:rsid w:val="003B1E51"/>
    <w:rsid w:val="003B2285"/>
    <w:rsid w:val="003B22E4"/>
    <w:rsid w:val="003B23B6"/>
    <w:rsid w:val="003B26A4"/>
    <w:rsid w:val="003B2B17"/>
    <w:rsid w:val="003B2EC0"/>
    <w:rsid w:val="003B3094"/>
    <w:rsid w:val="003B3146"/>
    <w:rsid w:val="003B396A"/>
    <w:rsid w:val="003B3A0B"/>
    <w:rsid w:val="003B3CD9"/>
    <w:rsid w:val="003B3D0B"/>
    <w:rsid w:val="003B451A"/>
    <w:rsid w:val="003B4572"/>
    <w:rsid w:val="003B486C"/>
    <w:rsid w:val="003B49DF"/>
    <w:rsid w:val="003B4DAF"/>
    <w:rsid w:val="003B5118"/>
    <w:rsid w:val="003B52CE"/>
    <w:rsid w:val="003B56B1"/>
    <w:rsid w:val="003B5823"/>
    <w:rsid w:val="003B595A"/>
    <w:rsid w:val="003B59D9"/>
    <w:rsid w:val="003B5E55"/>
    <w:rsid w:val="003B6528"/>
    <w:rsid w:val="003B6713"/>
    <w:rsid w:val="003B6C36"/>
    <w:rsid w:val="003B6D3A"/>
    <w:rsid w:val="003B71FF"/>
    <w:rsid w:val="003B7296"/>
    <w:rsid w:val="003B771B"/>
    <w:rsid w:val="003B77A4"/>
    <w:rsid w:val="003B78A3"/>
    <w:rsid w:val="003B7910"/>
    <w:rsid w:val="003B7AD5"/>
    <w:rsid w:val="003B7B5D"/>
    <w:rsid w:val="003B7BD6"/>
    <w:rsid w:val="003B7E4E"/>
    <w:rsid w:val="003B7E9C"/>
    <w:rsid w:val="003B7EF5"/>
    <w:rsid w:val="003C0A19"/>
    <w:rsid w:val="003C18BC"/>
    <w:rsid w:val="003C1A9C"/>
    <w:rsid w:val="003C1AFC"/>
    <w:rsid w:val="003C2014"/>
    <w:rsid w:val="003C251B"/>
    <w:rsid w:val="003C2A17"/>
    <w:rsid w:val="003C2A78"/>
    <w:rsid w:val="003C2AB0"/>
    <w:rsid w:val="003C2AB7"/>
    <w:rsid w:val="003C2ABC"/>
    <w:rsid w:val="003C2D4B"/>
    <w:rsid w:val="003C2EF9"/>
    <w:rsid w:val="003C2F4A"/>
    <w:rsid w:val="003C3010"/>
    <w:rsid w:val="003C3634"/>
    <w:rsid w:val="003C3C82"/>
    <w:rsid w:val="003C3FB0"/>
    <w:rsid w:val="003C431B"/>
    <w:rsid w:val="003C464D"/>
    <w:rsid w:val="003C48A0"/>
    <w:rsid w:val="003C4A42"/>
    <w:rsid w:val="003C4B22"/>
    <w:rsid w:val="003C50A4"/>
    <w:rsid w:val="003C5129"/>
    <w:rsid w:val="003C5224"/>
    <w:rsid w:val="003C5489"/>
    <w:rsid w:val="003C579E"/>
    <w:rsid w:val="003C5B0F"/>
    <w:rsid w:val="003C5C5D"/>
    <w:rsid w:val="003C5F03"/>
    <w:rsid w:val="003C676B"/>
    <w:rsid w:val="003C6815"/>
    <w:rsid w:val="003C7130"/>
    <w:rsid w:val="003C73C4"/>
    <w:rsid w:val="003C7470"/>
    <w:rsid w:val="003C7713"/>
    <w:rsid w:val="003C77DC"/>
    <w:rsid w:val="003C7A03"/>
    <w:rsid w:val="003C7A3E"/>
    <w:rsid w:val="003C7BD0"/>
    <w:rsid w:val="003C7C62"/>
    <w:rsid w:val="003C7F06"/>
    <w:rsid w:val="003D113D"/>
    <w:rsid w:val="003D139E"/>
    <w:rsid w:val="003D13EF"/>
    <w:rsid w:val="003D1521"/>
    <w:rsid w:val="003D1851"/>
    <w:rsid w:val="003D19F6"/>
    <w:rsid w:val="003D1A88"/>
    <w:rsid w:val="003D1FF6"/>
    <w:rsid w:val="003D207D"/>
    <w:rsid w:val="003D28C3"/>
    <w:rsid w:val="003D290E"/>
    <w:rsid w:val="003D2B70"/>
    <w:rsid w:val="003D2C70"/>
    <w:rsid w:val="003D30EC"/>
    <w:rsid w:val="003D319A"/>
    <w:rsid w:val="003D3BC2"/>
    <w:rsid w:val="003D3BED"/>
    <w:rsid w:val="003D42E9"/>
    <w:rsid w:val="003D439F"/>
    <w:rsid w:val="003D4461"/>
    <w:rsid w:val="003D4573"/>
    <w:rsid w:val="003D4A75"/>
    <w:rsid w:val="003D4D12"/>
    <w:rsid w:val="003D4D71"/>
    <w:rsid w:val="003D508F"/>
    <w:rsid w:val="003D5097"/>
    <w:rsid w:val="003D5135"/>
    <w:rsid w:val="003D59E3"/>
    <w:rsid w:val="003D5B20"/>
    <w:rsid w:val="003D6089"/>
    <w:rsid w:val="003D6240"/>
    <w:rsid w:val="003D63EB"/>
    <w:rsid w:val="003D64EB"/>
    <w:rsid w:val="003D679D"/>
    <w:rsid w:val="003D6899"/>
    <w:rsid w:val="003D722F"/>
    <w:rsid w:val="003D7A6C"/>
    <w:rsid w:val="003D7B49"/>
    <w:rsid w:val="003D7BAA"/>
    <w:rsid w:val="003E01DC"/>
    <w:rsid w:val="003E0275"/>
    <w:rsid w:val="003E0724"/>
    <w:rsid w:val="003E0811"/>
    <w:rsid w:val="003E0EC0"/>
    <w:rsid w:val="003E1053"/>
    <w:rsid w:val="003E111D"/>
    <w:rsid w:val="003E151B"/>
    <w:rsid w:val="003E1A21"/>
    <w:rsid w:val="003E22FD"/>
    <w:rsid w:val="003E2556"/>
    <w:rsid w:val="003E2978"/>
    <w:rsid w:val="003E2B6D"/>
    <w:rsid w:val="003E2CF6"/>
    <w:rsid w:val="003E315B"/>
    <w:rsid w:val="003E3237"/>
    <w:rsid w:val="003E34D0"/>
    <w:rsid w:val="003E36E8"/>
    <w:rsid w:val="003E3BF9"/>
    <w:rsid w:val="003E3DAA"/>
    <w:rsid w:val="003E3EAA"/>
    <w:rsid w:val="003E40BD"/>
    <w:rsid w:val="003E41AB"/>
    <w:rsid w:val="003E474E"/>
    <w:rsid w:val="003E515A"/>
    <w:rsid w:val="003E52CE"/>
    <w:rsid w:val="003E5416"/>
    <w:rsid w:val="003E5438"/>
    <w:rsid w:val="003E5767"/>
    <w:rsid w:val="003E5928"/>
    <w:rsid w:val="003E5E7F"/>
    <w:rsid w:val="003E63E0"/>
    <w:rsid w:val="003E6604"/>
    <w:rsid w:val="003E67DE"/>
    <w:rsid w:val="003E6A99"/>
    <w:rsid w:val="003E6B54"/>
    <w:rsid w:val="003E6B60"/>
    <w:rsid w:val="003E6CA1"/>
    <w:rsid w:val="003E6D73"/>
    <w:rsid w:val="003E6F59"/>
    <w:rsid w:val="003E7128"/>
    <w:rsid w:val="003E73F9"/>
    <w:rsid w:val="003E74F1"/>
    <w:rsid w:val="003E761C"/>
    <w:rsid w:val="003E7ACD"/>
    <w:rsid w:val="003F007D"/>
    <w:rsid w:val="003F0888"/>
    <w:rsid w:val="003F0E4E"/>
    <w:rsid w:val="003F153A"/>
    <w:rsid w:val="003F17F3"/>
    <w:rsid w:val="003F1959"/>
    <w:rsid w:val="003F1A19"/>
    <w:rsid w:val="003F2149"/>
    <w:rsid w:val="003F245F"/>
    <w:rsid w:val="003F258A"/>
    <w:rsid w:val="003F25EF"/>
    <w:rsid w:val="003F2712"/>
    <w:rsid w:val="003F2A42"/>
    <w:rsid w:val="003F2A5C"/>
    <w:rsid w:val="003F2AEF"/>
    <w:rsid w:val="003F2E36"/>
    <w:rsid w:val="003F2ED2"/>
    <w:rsid w:val="003F329E"/>
    <w:rsid w:val="003F3396"/>
    <w:rsid w:val="003F342F"/>
    <w:rsid w:val="003F38EE"/>
    <w:rsid w:val="003F38F1"/>
    <w:rsid w:val="003F39E7"/>
    <w:rsid w:val="003F3A91"/>
    <w:rsid w:val="003F3AD6"/>
    <w:rsid w:val="003F3C02"/>
    <w:rsid w:val="003F3CFA"/>
    <w:rsid w:val="003F3E76"/>
    <w:rsid w:val="003F3FBF"/>
    <w:rsid w:val="003F439C"/>
    <w:rsid w:val="003F4456"/>
    <w:rsid w:val="003F44DD"/>
    <w:rsid w:val="003F4531"/>
    <w:rsid w:val="003F46B5"/>
    <w:rsid w:val="003F47C5"/>
    <w:rsid w:val="003F49E4"/>
    <w:rsid w:val="003F4A56"/>
    <w:rsid w:val="003F4DA9"/>
    <w:rsid w:val="003F4F6B"/>
    <w:rsid w:val="003F4FFA"/>
    <w:rsid w:val="003F501E"/>
    <w:rsid w:val="003F54E0"/>
    <w:rsid w:val="003F5758"/>
    <w:rsid w:val="003F5ABB"/>
    <w:rsid w:val="003F5AEF"/>
    <w:rsid w:val="003F5BA5"/>
    <w:rsid w:val="003F5DBC"/>
    <w:rsid w:val="003F6293"/>
    <w:rsid w:val="003F6338"/>
    <w:rsid w:val="003F638A"/>
    <w:rsid w:val="003F6439"/>
    <w:rsid w:val="003F6984"/>
    <w:rsid w:val="003F6E8F"/>
    <w:rsid w:val="003F706E"/>
    <w:rsid w:val="003F7539"/>
    <w:rsid w:val="003F7E40"/>
    <w:rsid w:val="003F7F73"/>
    <w:rsid w:val="003F7FAD"/>
    <w:rsid w:val="004001F4"/>
    <w:rsid w:val="0040034D"/>
    <w:rsid w:val="004003F0"/>
    <w:rsid w:val="004003F5"/>
    <w:rsid w:val="00400678"/>
    <w:rsid w:val="004007C2"/>
    <w:rsid w:val="004009FC"/>
    <w:rsid w:val="00400AEF"/>
    <w:rsid w:val="00400C45"/>
    <w:rsid w:val="00400F7F"/>
    <w:rsid w:val="004010B0"/>
    <w:rsid w:val="004011E9"/>
    <w:rsid w:val="00401967"/>
    <w:rsid w:val="00401A7F"/>
    <w:rsid w:val="00402035"/>
    <w:rsid w:val="00402369"/>
    <w:rsid w:val="004026BE"/>
    <w:rsid w:val="0040277E"/>
    <w:rsid w:val="00402AC2"/>
    <w:rsid w:val="00403096"/>
    <w:rsid w:val="0040313F"/>
    <w:rsid w:val="004040DA"/>
    <w:rsid w:val="0040438E"/>
    <w:rsid w:val="00404395"/>
    <w:rsid w:val="0040441C"/>
    <w:rsid w:val="00404812"/>
    <w:rsid w:val="00404A32"/>
    <w:rsid w:val="00404E55"/>
    <w:rsid w:val="00404F46"/>
    <w:rsid w:val="00404FE6"/>
    <w:rsid w:val="00405361"/>
    <w:rsid w:val="0040594E"/>
    <w:rsid w:val="00405A32"/>
    <w:rsid w:val="00405A3D"/>
    <w:rsid w:val="00405BC8"/>
    <w:rsid w:val="00405C29"/>
    <w:rsid w:val="00405D78"/>
    <w:rsid w:val="00406039"/>
    <w:rsid w:val="00406215"/>
    <w:rsid w:val="00406CB5"/>
    <w:rsid w:val="00406F64"/>
    <w:rsid w:val="004079F1"/>
    <w:rsid w:val="00407A34"/>
    <w:rsid w:val="00407EFB"/>
    <w:rsid w:val="004102E9"/>
    <w:rsid w:val="0041047E"/>
    <w:rsid w:val="004106B4"/>
    <w:rsid w:val="00410A7A"/>
    <w:rsid w:val="00410B38"/>
    <w:rsid w:val="00411767"/>
    <w:rsid w:val="004117B5"/>
    <w:rsid w:val="004119AE"/>
    <w:rsid w:val="0041202A"/>
    <w:rsid w:val="00412250"/>
    <w:rsid w:val="00412267"/>
    <w:rsid w:val="004127C5"/>
    <w:rsid w:val="00412C81"/>
    <w:rsid w:val="00412C9A"/>
    <w:rsid w:val="0041306A"/>
    <w:rsid w:val="004138E9"/>
    <w:rsid w:val="00413AFD"/>
    <w:rsid w:val="00413C9E"/>
    <w:rsid w:val="00413CE4"/>
    <w:rsid w:val="00413DF4"/>
    <w:rsid w:val="00414181"/>
    <w:rsid w:val="00414227"/>
    <w:rsid w:val="00414291"/>
    <w:rsid w:val="0041491C"/>
    <w:rsid w:val="00414E80"/>
    <w:rsid w:val="00415135"/>
    <w:rsid w:val="0041541E"/>
    <w:rsid w:val="004154FF"/>
    <w:rsid w:val="0041575D"/>
    <w:rsid w:val="004158EA"/>
    <w:rsid w:val="00415BBD"/>
    <w:rsid w:val="0041616C"/>
    <w:rsid w:val="00416215"/>
    <w:rsid w:val="00416470"/>
    <w:rsid w:val="004165C2"/>
    <w:rsid w:val="0041672D"/>
    <w:rsid w:val="00416ADC"/>
    <w:rsid w:val="00416B51"/>
    <w:rsid w:val="00416EFD"/>
    <w:rsid w:val="004170C6"/>
    <w:rsid w:val="00417460"/>
    <w:rsid w:val="0041778C"/>
    <w:rsid w:val="0041782F"/>
    <w:rsid w:val="00417966"/>
    <w:rsid w:val="00417AC6"/>
    <w:rsid w:val="00417C85"/>
    <w:rsid w:val="00417CBD"/>
    <w:rsid w:val="00417E46"/>
    <w:rsid w:val="00417E6F"/>
    <w:rsid w:val="0042041E"/>
    <w:rsid w:val="00420489"/>
    <w:rsid w:val="004205DD"/>
    <w:rsid w:val="004208A5"/>
    <w:rsid w:val="00420BC3"/>
    <w:rsid w:val="0042105C"/>
    <w:rsid w:val="00421205"/>
    <w:rsid w:val="0042136A"/>
    <w:rsid w:val="00421621"/>
    <w:rsid w:val="004216C5"/>
    <w:rsid w:val="00421995"/>
    <w:rsid w:val="00421A18"/>
    <w:rsid w:val="00421B08"/>
    <w:rsid w:val="00421C39"/>
    <w:rsid w:val="00421E2B"/>
    <w:rsid w:val="00421EFD"/>
    <w:rsid w:val="004224B7"/>
    <w:rsid w:val="00422594"/>
    <w:rsid w:val="004225F7"/>
    <w:rsid w:val="0042274D"/>
    <w:rsid w:val="004227C6"/>
    <w:rsid w:val="00422E2F"/>
    <w:rsid w:val="0042303C"/>
    <w:rsid w:val="004231F7"/>
    <w:rsid w:val="00423A73"/>
    <w:rsid w:val="00423B60"/>
    <w:rsid w:val="00423D15"/>
    <w:rsid w:val="00424118"/>
    <w:rsid w:val="00424433"/>
    <w:rsid w:val="00424452"/>
    <w:rsid w:val="00424806"/>
    <w:rsid w:val="00424962"/>
    <w:rsid w:val="00424BA4"/>
    <w:rsid w:val="00424BAB"/>
    <w:rsid w:val="00424CB5"/>
    <w:rsid w:val="00424CF7"/>
    <w:rsid w:val="00424E79"/>
    <w:rsid w:val="00424EA8"/>
    <w:rsid w:val="0042533D"/>
    <w:rsid w:val="00425426"/>
    <w:rsid w:val="004254C0"/>
    <w:rsid w:val="00425563"/>
    <w:rsid w:val="0042566E"/>
    <w:rsid w:val="004257BA"/>
    <w:rsid w:val="00425D56"/>
    <w:rsid w:val="00425E0C"/>
    <w:rsid w:val="00425F29"/>
    <w:rsid w:val="00426021"/>
    <w:rsid w:val="004261C8"/>
    <w:rsid w:val="00426453"/>
    <w:rsid w:val="004265E4"/>
    <w:rsid w:val="0042699F"/>
    <w:rsid w:val="00426CA6"/>
    <w:rsid w:val="00426CF0"/>
    <w:rsid w:val="00426F7D"/>
    <w:rsid w:val="004270D6"/>
    <w:rsid w:val="00427486"/>
    <w:rsid w:val="00427868"/>
    <w:rsid w:val="00427A2E"/>
    <w:rsid w:val="00427B6E"/>
    <w:rsid w:val="00427BBB"/>
    <w:rsid w:val="004301DB"/>
    <w:rsid w:val="004301E0"/>
    <w:rsid w:val="00430576"/>
    <w:rsid w:val="00430667"/>
    <w:rsid w:val="00430739"/>
    <w:rsid w:val="00430831"/>
    <w:rsid w:val="0043088F"/>
    <w:rsid w:val="004308D1"/>
    <w:rsid w:val="00430A11"/>
    <w:rsid w:val="004314FA"/>
    <w:rsid w:val="00431F79"/>
    <w:rsid w:val="00431FF9"/>
    <w:rsid w:val="004322D9"/>
    <w:rsid w:val="0043231F"/>
    <w:rsid w:val="0043250E"/>
    <w:rsid w:val="0043280F"/>
    <w:rsid w:val="00432898"/>
    <w:rsid w:val="00432899"/>
    <w:rsid w:val="00432994"/>
    <w:rsid w:val="00432A83"/>
    <w:rsid w:val="00432C81"/>
    <w:rsid w:val="0043310F"/>
    <w:rsid w:val="004332D8"/>
    <w:rsid w:val="00433664"/>
    <w:rsid w:val="00433818"/>
    <w:rsid w:val="0043397E"/>
    <w:rsid w:val="00433AF2"/>
    <w:rsid w:val="00433C97"/>
    <w:rsid w:val="004343C2"/>
    <w:rsid w:val="0043456A"/>
    <w:rsid w:val="00434630"/>
    <w:rsid w:val="00434785"/>
    <w:rsid w:val="004347ED"/>
    <w:rsid w:val="00434849"/>
    <w:rsid w:val="004348D0"/>
    <w:rsid w:val="00434AC3"/>
    <w:rsid w:val="00434D64"/>
    <w:rsid w:val="00435092"/>
    <w:rsid w:val="00435241"/>
    <w:rsid w:val="00435797"/>
    <w:rsid w:val="00435BC8"/>
    <w:rsid w:val="00435E08"/>
    <w:rsid w:val="004363AB"/>
    <w:rsid w:val="00436503"/>
    <w:rsid w:val="00436E99"/>
    <w:rsid w:val="00436FF4"/>
    <w:rsid w:val="0043708E"/>
    <w:rsid w:val="00437367"/>
    <w:rsid w:val="00437845"/>
    <w:rsid w:val="004378F2"/>
    <w:rsid w:val="004378FB"/>
    <w:rsid w:val="00437BE0"/>
    <w:rsid w:val="00437CB9"/>
    <w:rsid w:val="00437D43"/>
    <w:rsid w:val="00437E1C"/>
    <w:rsid w:val="00437E20"/>
    <w:rsid w:val="00437FE1"/>
    <w:rsid w:val="004403AC"/>
    <w:rsid w:val="004405C0"/>
    <w:rsid w:val="004406C7"/>
    <w:rsid w:val="0044075A"/>
    <w:rsid w:val="0044079F"/>
    <w:rsid w:val="0044096C"/>
    <w:rsid w:val="00440B67"/>
    <w:rsid w:val="00440D99"/>
    <w:rsid w:val="00440F62"/>
    <w:rsid w:val="004410E8"/>
    <w:rsid w:val="00441200"/>
    <w:rsid w:val="0044121F"/>
    <w:rsid w:val="004417F8"/>
    <w:rsid w:val="00441AA4"/>
    <w:rsid w:val="00441BB1"/>
    <w:rsid w:val="00441ECB"/>
    <w:rsid w:val="00442337"/>
    <w:rsid w:val="0044249C"/>
    <w:rsid w:val="004424FF"/>
    <w:rsid w:val="00442850"/>
    <w:rsid w:val="004429C4"/>
    <w:rsid w:val="00442B7F"/>
    <w:rsid w:val="00442F24"/>
    <w:rsid w:val="00443419"/>
    <w:rsid w:val="00443644"/>
    <w:rsid w:val="00443D9D"/>
    <w:rsid w:val="00444095"/>
    <w:rsid w:val="00444265"/>
    <w:rsid w:val="0044444F"/>
    <w:rsid w:val="00444461"/>
    <w:rsid w:val="00444BE3"/>
    <w:rsid w:val="00444C04"/>
    <w:rsid w:val="00444E38"/>
    <w:rsid w:val="004451A2"/>
    <w:rsid w:val="004459F9"/>
    <w:rsid w:val="00445FE0"/>
    <w:rsid w:val="00446174"/>
    <w:rsid w:val="00446198"/>
    <w:rsid w:val="004461C6"/>
    <w:rsid w:val="00446A1B"/>
    <w:rsid w:val="00446A4A"/>
    <w:rsid w:val="00447155"/>
    <w:rsid w:val="00447215"/>
    <w:rsid w:val="004473E4"/>
    <w:rsid w:val="0044774D"/>
    <w:rsid w:val="004479D4"/>
    <w:rsid w:val="00447D51"/>
    <w:rsid w:val="00447F13"/>
    <w:rsid w:val="00450A47"/>
    <w:rsid w:val="00450C66"/>
    <w:rsid w:val="00450CA7"/>
    <w:rsid w:val="00450EE8"/>
    <w:rsid w:val="0045185C"/>
    <w:rsid w:val="0045203F"/>
    <w:rsid w:val="004523F2"/>
    <w:rsid w:val="004538B2"/>
    <w:rsid w:val="00453BE6"/>
    <w:rsid w:val="00453C42"/>
    <w:rsid w:val="00453E6F"/>
    <w:rsid w:val="00454F14"/>
    <w:rsid w:val="004551A8"/>
    <w:rsid w:val="004557E0"/>
    <w:rsid w:val="00455AC0"/>
    <w:rsid w:val="00455C5C"/>
    <w:rsid w:val="00455C89"/>
    <w:rsid w:val="004562A5"/>
    <w:rsid w:val="004563A6"/>
    <w:rsid w:val="0045640E"/>
    <w:rsid w:val="0045661F"/>
    <w:rsid w:val="0045690B"/>
    <w:rsid w:val="00456C1F"/>
    <w:rsid w:val="00456C20"/>
    <w:rsid w:val="00456CCA"/>
    <w:rsid w:val="004571E7"/>
    <w:rsid w:val="0045758B"/>
    <w:rsid w:val="00457650"/>
    <w:rsid w:val="0045771C"/>
    <w:rsid w:val="0045788B"/>
    <w:rsid w:val="00457A3B"/>
    <w:rsid w:val="00457DA5"/>
    <w:rsid w:val="004601D7"/>
    <w:rsid w:val="00460327"/>
    <w:rsid w:val="004604B5"/>
    <w:rsid w:val="00460A17"/>
    <w:rsid w:val="004610A9"/>
    <w:rsid w:val="004611CE"/>
    <w:rsid w:val="0046121F"/>
    <w:rsid w:val="0046125C"/>
    <w:rsid w:val="0046192F"/>
    <w:rsid w:val="00462414"/>
    <w:rsid w:val="0046247F"/>
    <w:rsid w:val="00462771"/>
    <w:rsid w:val="00462B59"/>
    <w:rsid w:val="00462D95"/>
    <w:rsid w:val="00462F00"/>
    <w:rsid w:val="00462F66"/>
    <w:rsid w:val="00462FE6"/>
    <w:rsid w:val="004630DE"/>
    <w:rsid w:val="00463106"/>
    <w:rsid w:val="004636CE"/>
    <w:rsid w:val="00463AB9"/>
    <w:rsid w:val="00463C21"/>
    <w:rsid w:val="00463C4C"/>
    <w:rsid w:val="00463D1C"/>
    <w:rsid w:val="00464741"/>
    <w:rsid w:val="00464949"/>
    <w:rsid w:val="00464BB4"/>
    <w:rsid w:val="00464E29"/>
    <w:rsid w:val="0046538D"/>
    <w:rsid w:val="0046545E"/>
    <w:rsid w:val="004664F9"/>
    <w:rsid w:val="004668D6"/>
    <w:rsid w:val="00466977"/>
    <w:rsid w:val="004669A8"/>
    <w:rsid w:val="00466D04"/>
    <w:rsid w:val="00466F31"/>
    <w:rsid w:val="004671C7"/>
    <w:rsid w:val="00467534"/>
    <w:rsid w:val="00467660"/>
    <w:rsid w:val="00467B7E"/>
    <w:rsid w:val="00467D54"/>
    <w:rsid w:val="00470046"/>
    <w:rsid w:val="00470053"/>
    <w:rsid w:val="0047017B"/>
    <w:rsid w:val="00470193"/>
    <w:rsid w:val="0047063A"/>
    <w:rsid w:val="004706B2"/>
    <w:rsid w:val="004709B0"/>
    <w:rsid w:val="00470B7D"/>
    <w:rsid w:val="00470DAF"/>
    <w:rsid w:val="00470E85"/>
    <w:rsid w:val="004710B3"/>
    <w:rsid w:val="004711FE"/>
    <w:rsid w:val="0047125D"/>
    <w:rsid w:val="00471322"/>
    <w:rsid w:val="0047147B"/>
    <w:rsid w:val="00471484"/>
    <w:rsid w:val="0047196C"/>
    <w:rsid w:val="004719AA"/>
    <w:rsid w:val="004719E3"/>
    <w:rsid w:val="00471A37"/>
    <w:rsid w:val="00471E58"/>
    <w:rsid w:val="004720AD"/>
    <w:rsid w:val="00472759"/>
    <w:rsid w:val="0047286F"/>
    <w:rsid w:val="00472A16"/>
    <w:rsid w:val="00472C8A"/>
    <w:rsid w:val="00472CC8"/>
    <w:rsid w:val="00473632"/>
    <w:rsid w:val="00473B36"/>
    <w:rsid w:val="00473B4A"/>
    <w:rsid w:val="00474277"/>
    <w:rsid w:val="0047462B"/>
    <w:rsid w:val="00474A08"/>
    <w:rsid w:val="00474B8A"/>
    <w:rsid w:val="00474D13"/>
    <w:rsid w:val="0047509E"/>
    <w:rsid w:val="0047544B"/>
    <w:rsid w:val="00475EA8"/>
    <w:rsid w:val="004762C7"/>
    <w:rsid w:val="00476335"/>
    <w:rsid w:val="0047664A"/>
    <w:rsid w:val="004768CB"/>
    <w:rsid w:val="00476BE0"/>
    <w:rsid w:val="0047724B"/>
    <w:rsid w:val="004772A6"/>
    <w:rsid w:val="00477592"/>
    <w:rsid w:val="0047785D"/>
    <w:rsid w:val="00477AC5"/>
    <w:rsid w:val="00480377"/>
    <w:rsid w:val="004806EB"/>
    <w:rsid w:val="0048083C"/>
    <w:rsid w:val="00480A29"/>
    <w:rsid w:val="00480BE6"/>
    <w:rsid w:val="00480CDD"/>
    <w:rsid w:val="00480D60"/>
    <w:rsid w:val="00480E41"/>
    <w:rsid w:val="00480FFA"/>
    <w:rsid w:val="004810D5"/>
    <w:rsid w:val="00481138"/>
    <w:rsid w:val="004812FD"/>
    <w:rsid w:val="004813E2"/>
    <w:rsid w:val="00481581"/>
    <w:rsid w:val="004816DA"/>
    <w:rsid w:val="00481D34"/>
    <w:rsid w:val="004821DA"/>
    <w:rsid w:val="004821E1"/>
    <w:rsid w:val="00482575"/>
    <w:rsid w:val="004825DA"/>
    <w:rsid w:val="004826DF"/>
    <w:rsid w:val="00482C5C"/>
    <w:rsid w:val="00482E64"/>
    <w:rsid w:val="0048309F"/>
    <w:rsid w:val="004837BD"/>
    <w:rsid w:val="0048391F"/>
    <w:rsid w:val="00483AF1"/>
    <w:rsid w:val="00483BF2"/>
    <w:rsid w:val="00484645"/>
    <w:rsid w:val="004846C0"/>
    <w:rsid w:val="00484838"/>
    <w:rsid w:val="00484BE1"/>
    <w:rsid w:val="00484DFB"/>
    <w:rsid w:val="00485213"/>
    <w:rsid w:val="0048532F"/>
    <w:rsid w:val="004854D9"/>
    <w:rsid w:val="0048585D"/>
    <w:rsid w:val="004859F8"/>
    <w:rsid w:val="00485F16"/>
    <w:rsid w:val="004862FF"/>
    <w:rsid w:val="0048630E"/>
    <w:rsid w:val="00486431"/>
    <w:rsid w:val="0048659E"/>
    <w:rsid w:val="004866AE"/>
    <w:rsid w:val="004868C6"/>
    <w:rsid w:val="00486F1C"/>
    <w:rsid w:val="00486FF7"/>
    <w:rsid w:val="00487237"/>
    <w:rsid w:val="00487781"/>
    <w:rsid w:val="004879A8"/>
    <w:rsid w:val="004879E6"/>
    <w:rsid w:val="00487A9D"/>
    <w:rsid w:val="00490384"/>
    <w:rsid w:val="004904D3"/>
    <w:rsid w:val="004904F9"/>
    <w:rsid w:val="004905CB"/>
    <w:rsid w:val="00490680"/>
    <w:rsid w:val="00490944"/>
    <w:rsid w:val="00490A3E"/>
    <w:rsid w:val="00490CA2"/>
    <w:rsid w:val="00490E0C"/>
    <w:rsid w:val="00490F2E"/>
    <w:rsid w:val="004910CC"/>
    <w:rsid w:val="00491C36"/>
    <w:rsid w:val="004921AB"/>
    <w:rsid w:val="0049241D"/>
    <w:rsid w:val="0049269C"/>
    <w:rsid w:val="00492892"/>
    <w:rsid w:val="004929C8"/>
    <w:rsid w:val="00492B05"/>
    <w:rsid w:val="00492B71"/>
    <w:rsid w:val="00492E0E"/>
    <w:rsid w:val="00492F3F"/>
    <w:rsid w:val="004930F4"/>
    <w:rsid w:val="00493B99"/>
    <w:rsid w:val="00493C0B"/>
    <w:rsid w:val="00493EF9"/>
    <w:rsid w:val="0049419D"/>
    <w:rsid w:val="0049438E"/>
    <w:rsid w:val="0049462E"/>
    <w:rsid w:val="004949A4"/>
    <w:rsid w:val="00494B65"/>
    <w:rsid w:val="00494F1F"/>
    <w:rsid w:val="00495159"/>
    <w:rsid w:val="004956BF"/>
    <w:rsid w:val="004956F6"/>
    <w:rsid w:val="00495B50"/>
    <w:rsid w:val="00495F35"/>
    <w:rsid w:val="00496186"/>
    <w:rsid w:val="00496351"/>
    <w:rsid w:val="00496F75"/>
    <w:rsid w:val="004975B3"/>
    <w:rsid w:val="004976AC"/>
    <w:rsid w:val="00497B10"/>
    <w:rsid w:val="00497F49"/>
    <w:rsid w:val="004A03E4"/>
    <w:rsid w:val="004A05B5"/>
    <w:rsid w:val="004A0B3F"/>
    <w:rsid w:val="004A11F8"/>
    <w:rsid w:val="004A1569"/>
    <w:rsid w:val="004A16C6"/>
    <w:rsid w:val="004A173E"/>
    <w:rsid w:val="004A1843"/>
    <w:rsid w:val="004A1A25"/>
    <w:rsid w:val="004A1B09"/>
    <w:rsid w:val="004A1D30"/>
    <w:rsid w:val="004A1E90"/>
    <w:rsid w:val="004A1EF4"/>
    <w:rsid w:val="004A1FA2"/>
    <w:rsid w:val="004A1FF8"/>
    <w:rsid w:val="004A2094"/>
    <w:rsid w:val="004A258B"/>
    <w:rsid w:val="004A2856"/>
    <w:rsid w:val="004A2EB8"/>
    <w:rsid w:val="004A2F2E"/>
    <w:rsid w:val="004A31A9"/>
    <w:rsid w:val="004A3419"/>
    <w:rsid w:val="004A3A49"/>
    <w:rsid w:val="004A4942"/>
    <w:rsid w:val="004A4BD5"/>
    <w:rsid w:val="004A4EB8"/>
    <w:rsid w:val="004A52A6"/>
    <w:rsid w:val="004A533F"/>
    <w:rsid w:val="004A53B0"/>
    <w:rsid w:val="004A5667"/>
    <w:rsid w:val="004A5942"/>
    <w:rsid w:val="004A5BC7"/>
    <w:rsid w:val="004A5D6F"/>
    <w:rsid w:val="004A6051"/>
    <w:rsid w:val="004A617D"/>
    <w:rsid w:val="004A6257"/>
    <w:rsid w:val="004A70F3"/>
    <w:rsid w:val="004A71B1"/>
    <w:rsid w:val="004A7339"/>
    <w:rsid w:val="004A797F"/>
    <w:rsid w:val="004A79F0"/>
    <w:rsid w:val="004A7B9A"/>
    <w:rsid w:val="004A7BEC"/>
    <w:rsid w:val="004A7E5C"/>
    <w:rsid w:val="004B01BA"/>
    <w:rsid w:val="004B0689"/>
    <w:rsid w:val="004B087B"/>
    <w:rsid w:val="004B0B09"/>
    <w:rsid w:val="004B0C2F"/>
    <w:rsid w:val="004B0DE7"/>
    <w:rsid w:val="004B0E0B"/>
    <w:rsid w:val="004B0EDD"/>
    <w:rsid w:val="004B13E6"/>
    <w:rsid w:val="004B1BE5"/>
    <w:rsid w:val="004B24F2"/>
    <w:rsid w:val="004B2543"/>
    <w:rsid w:val="004B2554"/>
    <w:rsid w:val="004B2646"/>
    <w:rsid w:val="004B265F"/>
    <w:rsid w:val="004B2990"/>
    <w:rsid w:val="004B2AD6"/>
    <w:rsid w:val="004B2DCD"/>
    <w:rsid w:val="004B316C"/>
    <w:rsid w:val="004B31A2"/>
    <w:rsid w:val="004B327C"/>
    <w:rsid w:val="004B32EA"/>
    <w:rsid w:val="004B3822"/>
    <w:rsid w:val="004B3950"/>
    <w:rsid w:val="004B3A73"/>
    <w:rsid w:val="004B3ACD"/>
    <w:rsid w:val="004B3B02"/>
    <w:rsid w:val="004B3D32"/>
    <w:rsid w:val="004B3DE0"/>
    <w:rsid w:val="004B3E96"/>
    <w:rsid w:val="004B44D1"/>
    <w:rsid w:val="004B4588"/>
    <w:rsid w:val="004B466E"/>
    <w:rsid w:val="004B50A2"/>
    <w:rsid w:val="004B520F"/>
    <w:rsid w:val="004B541C"/>
    <w:rsid w:val="004B556E"/>
    <w:rsid w:val="004B5E6C"/>
    <w:rsid w:val="004B5FEC"/>
    <w:rsid w:val="004B651B"/>
    <w:rsid w:val="004B65B5"/>
    <w:rsid w:val="004B6AD6"/>
    <w:rsid w:val="004B6CBD"/>
    <w:rsid w:val="004B6F69"/>
    <w:rsid w:val="004B705D"/>
    <w:rsid w:val="004B70BC"/>
    <w:rsid w:val="004B71DC"/>
    <w:rsid w:val="004B788A"/>
    <w:rsid w:val="004B7F0B"/>
    <w:rsid w:val="004C00F6"/>
    <w:rsid w:val="004C0369"/>
    <w:rsid w:val="004C0442"/>
    <w:rsid w:val="004C051E"/>
    <w:rsid w:val="004C0A40"/>
    <w:rsid w:val="004C0AA4"/>
    <w:rsid w:val="004C0C69"/>
    <w:rsid w:val="004C0C8C"/>
    <w:rsid w:val="004C1192"/>
    <w:rsid w:val="004C124F"/>
    <w:rsid w:val="004C19F4"/>
    <w:rsid w:val="004C1C0C"/>
    <w:rsid w:val="004C1E57"/>
    <w:rsid w:val="004C1FA2"/>
    <w:rsid w:val="004C20D2"/>
    <w:rsid w:val="004C2836"/>
    <w:rsid w:val="004C28A0"/>
    <w:rsid w:val="004C2BC5"/>
    <w:rsid w:val="004C2CDF"/>
    <w:rsid w:val="004C3017"/>
    <w:rsid w:val="004C31F0"/>
    <w:rsid w:val="004C32D2"/>
    <w:rsid w:val="004C33D2"/>
    <w:rsid w:val="004C36C5"/>
    <w:rsid w:val="004C373B"/>
    <w:rsid w:val="004C38AD"/>
    <w:rsid w:val="004C3FD6"/>
    <w:rsid w:val="004C4074"/>
    <w:rsid w:val="004C4B62"/>
    <w:rsid w:val="004C4B6F"/>
    <w:rsid w:val="004C4D01"/>
    <w:rsid w:val="004C4EA6"/>
    <w:rsid w:val="004C5112"/>
    <w:rsid w:val="004C518B"/>
    <w:rsid w:val="004C526B"/>
    <w:rsid w:val="004C54C9"/>
    <w:rsid w:val="004C5730"/>
    <w:rsid w:val="004C5AD6"/>
    <w:rsid w:val="004C5B63"/>
    <w:rsid w:val="004C5D37"/>
    <w:rsid w:val="004C5D40"/>
    <w:rsid w:val="004C5E9F"/>
    <w:rsid w:val="004C5ED3"/>
    <w:rsid w:val="004C609C"/>
    <w:rsid w:val="004C642E"/>
    <w:rsid w:val="004C666F"/>
    <w:rsid w:val="004C6757"/>
    <w:rsid w:val="004C67C3"/>
    <w:rsid w:val="004C69F4"/>
    <w:rsid w:val="004C6A80"/>
    <w:rsid w:val="004C6FB2"/>
    <w:rsid w:val="004C706E"/>
    <w:rsid w:val="004C7450"/>
    <w:rsid w:val="004C78D5"/>
    <w:rsid w:val="004C7A88"/>
    <w:rsid w:val="004C7FD6"/>
    <w:rsid w:val="004D0030"/>
    <w:rsid w:val="004D006B"/>
    <w:rsid w:val="004D0630"/>
    <w:rsid w:val="004D0708"/>
    <w:rsid w:val="004D0917"/>
    <w:rsid w:val="004D0970"/>
    <w:rsid w:val="004D0E7F"/>
    <w:rsid w:val="004D0F07"/>
    <w:rsid w:val="004D11E0"/>
    <w:rsid w:val="004D14B8"/>
    <w:rsid w:val="004D1816"/>
    <w:rsid w:val="004D182F"/>
    <w:rsid w:val="004D19C3"/>
    <w:rsid w:val="004D201E"/>
    <w:rsid w:val="004D2149"/>
    <w:rsid w:val="004D2643"/>
    <w:rsid w:val="004D30AE"/>
    <w:rsid w:val="004D3B62"/>
    <w:rsid w:val="004D3DAE"/>
    <w:rsid w:val="004D3DDC"/>
    <w:rsid w:val="004D4178"/>
    <w:rsid w:val="004D43BA"/>
    <w:rsid w:val="004D4485"/>
    <w:rsid w:val="004D4704"/>
    <w:rsid w:val="004D4AD2"/>
    <w:rsid w:val="004D4B43"/>
    <w:rsid w:val="004D4BC8"/>
    <w:rsid w:val="004D4C6B"/>
    <w:rsid w:val="004D4D99"/>
    <w:rsid w:val="004D4FEE"/>
    <w:rsid w:val="004D5333"/>
    <w:rsid w:val="004D53D0"/>
    <w:rsid w:val="004D5A17"/>
    <w:rsid w:val="004D5EBF"/>
    <w:rsid w:val="004D5ED4"/>
    <w:rsid w:val="004D5F62"/>
    <w:rsid w:val="004D6025"/>
    <w:rsid w:val="004D60D4"/>
    <w:rsid w:val="004D6324"/>
    <w:rsid w:val="004D6460"/>
    <w:rsid w:val="004D64FB"/>
    <w:rsid w:val="004D6611"/>
    <w:rsid w:val="004D677D"/>
    <w:rsid w:val="004D6A7F"/>
    <w:rsid w:val="004D6A88"/>
    <w:rsid w:val="004D6AC8"/>
    <w:rsid w:val="004D6DF5"/>
    <w:rsid w:val="004D6F68"/>
    <w:rsid w:val="004D7133"/>
    <w:rsid w:val="004D741F"/>
    <w:rsid w:val="004D7BB7"/>
    <w:rsid w:val="004E0095"/>
    <w:rsid w:val="004E07AE"/>
    <w:rsid w:val="004E097C"/>
    <w:rsid w:val="004E0DAA"/>
    <w:rsid w:val="004E0FCD"/>
    <w:rsid w:val="004E173C"/>
    <w:rsid w:val="004E17C8"/>
    <w:rsid w:val="004E193A"/>
    <w:rsid w:val="004E1D1E"/>
    <w:rsid w:val="004E1DE1"/>
    <w:rsid w:val="004E1FA6"/>
    <w:rsid w:val="004E2649"/>
    <w:rsid w:val="004E274B"/>
    <w:rsid w:val="004E2C4D"/>
    <w:rsid w:val="004E3014"/>
    <w:rsid w:val="004E308B"/>
    <w:rsid w:val="004E3657"/>
    <w:rsid w:val="004E3899"/>
    <w:rsid w:val="004E3B05"/>
    <w:rsid w:val="004E41F5"/>
    <w:rsid w:val="004E4868"/>
    <w:rsid w:val="004E4F27"/>
    <w:rsid w:val="004E4F29"/>
    <w:rsid w:val="004E4F80"/>
    <w:rsid w:val="004E50AF"/>
    <w:rsid w:val="004E5351"/>
    <w:rsid w:val="004E54FC"/>
    <w:rsid w:val="004E58E8"/>
    <w:rsid w:val="004E58ED"/>
    <w:rsid w:val="004E6607"/>
    <w:rsid w:val="004E6D2E"/>
    <w:rsid w:val="004E6EA6"/>
    <w:rsid w:val="004E6FE0"/>
    <w:rsid w:val="004E73D4"/>
    <w:rsid w:val="004E7475"/>
    <w:rsid w:val="004E7774"/>
    <w:rsid w:val="004E77CB"/>
    <w:rsid w:val="004E788C"/>
    <w:rsid w:val="004E7996"/>
    <w:rsid w:val="004E79B7"/>
    <w:rsid w:val="004E7CC8"/>
    <w:rsid w:val="004E7E35"/>
    <w:rsid w:val="004F0290"/>
    <w:rsid w:val="004F0655"/>
    <w:rsid w:val="004F0A83"/>
    <w:rsid w:val="004F11A9"/>
    <w:rsid w:val="004F123A"/>
    <w:rsid w:val="004F133B"/>
    <w:rsid w:val="004F15D8"/>
    <w:rsid w:val="004F193A"/>
    <w:rsid w:val="004F1A94"/>
    <w:rsid w:val="004F1AF1"/>
    <w:rsid w:val="004F1DA0"/>
    <w:rsid w:val="004F23A6"/>
    <w:rsid w:val="004F2A80"/>
    <w:rsid w:val="004F2C05"/>
    <w:rsid w:val="004F2CE6"/>
    <w:rsid w:val="004F2EE9"/>
    <w:rsid w:val="004F3269"/>
    <w:rsid w:val="004F334B"/>
    <w:rsid w:val="004F33DB"/>
    <w:rsid w:val="004F34D2"/>
    <w:rsid w:val="004F361D"/>
    <w:rsid w:val="004F36CD"/>
    <w:rsid w:val="004F3B0B"/>
    <w:rsid w:val="004F3C45"/>
    <w:rsid w:val="004F3CB3"/>
    <w:rsid w:val="004F414D"/>
    <w:rsid w:val="004F46D8"/>
    <w:rsid w:val="004F4ACF"/>
    <w:rsid w:val="004F4AD6"/>
    <w:rsid w:val="004F4BA3"/>
    <w:rsid w:val="004F4EED"/>
    <w:rsid w:val="004F4F61"/>
    <w:rsid w:val="004F4FF8"/>
    <w:rsid w:val="004F5006"/>
    <w:rsid w:val="004F5715"/>
    <w:rsid w:val="004F573D"/>
    <w:rsid w:val="004F57C9"/>
    <w:rsid w:val="004F57FF"/>
    <w:rsid w:val="004F58B7"/>
    <w:rsid w:val="004F5B2D"/>
    <w:rsid w:val="004F5F30"/>
    <w:rsid w:val="004F600F"/>
    <w:rsid w:val="004F604D"/>
    <w:rsid w:val="004F61DB"/>
    <w:rsid w:val="004F6231"/>
    <w:rsid w:val="004F63E9"/>
    <w:rsid w:val="004F6740"/>
    <w:rsid w:val="004F67E1"/>
    <w:rsid w:val="004F6A8C"/>
    <w:rsid w:val="004F6B5E"/>
    <w:rsid w:val="004F6BA3"/>
    <w:rsid w:val="004F6D63"/>
    <w:rsid w:val="004F7398"/>
    <w:rsid w:val="004F73A5"/>
    <w:rsid w:val="005001F6"/>
    <w:rsid w:val="00500955"/>
    <w:rsid w:val="005011E6"/>
    <w:rsid w:val="0050125E"/>
    <w:rsid w:val="00501399"/>
    <w:rsid w:val="005013C5"/>
    <w:rsid w:val="0050153F"/>
    <w:rsid w:val="00501B1B"/>
    <w:rsid w:val="00501BDE"/>
    <w:rsid w:val="00501D9A"/>
    <w:rsid w:val="00501E08"/>
    <w:rsid w:val="00501F6C"/>
    <w:rsid w:val="00502121"/>
    <w:rsid w:val="00502203"/>
    <w:rsid w:val="005025A5"/>
    <w:rsid w:val="00502973"/>
    <w:rsid w:val="00502BA5"/>
    <w:rsid w:val="00502D37"/>
    <w:rsid w:val="00502E41"/>
    <w:rsid w:val="00502E53"/>
    <w:rsid w:val="0050307A"/>
    <w:rsid w:val="00503471"/>
    <w:rsid w:val="005039D8"/>
    <w:rsid w:val="00503A50"/>
    <w:rsid w:val="00503B8D"/>
    <w:rsid w:val="005041EC"/>
    <w:rsid w:val="0050429C"/>
    <w:rsid w:val="0050469A"/>
    <w:rsid w:val="005049F3"/>
    <w:rsid w:val="00504A1A"/>
    <w:rsid w:val="00504D4C"/>
    <w:rsid w:val="00504DD5"/>
    <w:rsid w:val="00504FE2"/>
    <w:rsid w:val="00505151"/>
    <w:rsid w:val="00505527"/>
    <w:rsid w:val="005055D2"/>
    <w:rsid w:val="005059A1"/>
    <w:rsid w:val="00505A3B"/>
    <w:rsid w:val="00505A4D"/>
    <w:rsid w:val="00505C5A"/>
    <w:rsid w:val="00505D03"/>
    <w:rsid w:val="0050603A"/>
    <w:rsid w:val="0050633D"/>
    <w:rsid w:val="005065B1"/>
    <w:rsid w:val="00506954"/>
    <w:rsid w:val="00506CF6"/>
    <w:rsid w:val="00506D0A"/>
    <w:rsid w:val="005070E5"/>
    <w:rsid w:val="005079CB"/>
    <w:rsid w:val="00507BC4"/>
    <w:rsid w:val="00510157"/>
    <w:rsid w:val="005101F6"/>
    <w:rsid w:val="00510211"/>
    <w:rsid w:val="00510234"/>
    <w:rsid w:val="00510255"/>
    <w:rsid w:val="00510325"/>
    <w:rsid w:val="005104D4"/>
    <w:rsid w:val="0051067D"/>
    <w:rsid w:val="00510CEA"/>
    <w:rsid w:val="0051128D"/>
    <w:rsid w:val="005112A0"/>
    <w:rsid w:val="005114B6"/>
    <w:rsid w:val="00511514"/>
    <w:rsid w:val="00511DBD"/>
    <w:rsid w:val="005121F5"/>
    <w:rsid w:val="00512302"/>
    <w:rsid w:val="005126F1"/>
    <w:rsid w:val="00512714"/>
    <w:rsid w:val="005128E4"/>
    <w:rsid w:val="00512E8A"/>
    <w:rsid w:val="005133DB"/>
    <w:rsid w:val="005134B9"/>
    <w:rsid w:val="0051361F"/>
    <w:rsid w:val="00513755"/>
    <w:rsid w:val="005139CB"/>
    <w:rsid w:val="005139D5"/>
    <w:rsid w:val="00513CB7"/>
    <w:rsid w:val="00513E30"/>
    <w:rsid w:val="00514330"/>
    <w:rsid w:val="0051487D"/>
    <w:rsid w:val="00514FA3"/>
    <w:rsid w:val="005155B3"/>
    <w:rsid w:val="0051562E"/>
    <w:rsid w:val="005156FA"/>
    <w:rsid w:val="00515A14"/>
    <w:rsid w:val="00515B37"/>
    <w:rsid w:val="00515DC3"/>
    <w:rsid w:val="00516474"/>
    <w:rsid w:val="0051673E"/>
    <w:rsid w:val="00516778"/>
    <w:rsid w:val="00516871"/>
    <w:rsid w:val="005169D0"/>
    <w:rsid w:val="00516C63"/>
    <w:rsid w:val="00516D23"/>
    <w:rsid w:val="00516DCE"/>
    <w:rsid w:val="00517746"/>
    <w:rsid w:val="0052042D"/>
    <w:rsid w:val="00520869"/>
    <w:rsid w:val="00520AD9"/>
    <w:rsid w:val="00520B5A"/>
    <w:rsid w:val="00520BAB"/>
    <w:rsid w:val="00520CF4"/>
    <w:rsid w:val="005216DC"/>
    <w:rsid w:val="0052196E"/>
    <w:rsid w:val="00521C52"/>
    <w:rsid w:val="00521C8E"/>
    <w:rsid w:val="00521CF5"/>
    <w:rsid w:val="0052239B"/>
    <w:rsid w:val="0052266E"/>
    <w:rsid w:val="0052356C"/>
    <w:rsid w:val="00523571"/>
    <w:rsid w:val="00523909"/>
    <w:rsid w:val="005239B1"/>
    <w:rsid w:val="0052405D"/>
    <w:rsid w:val="0052425B"/>
    <w:rsid w:val="005245C0"/>
    <w:rsid w:val="0052469C"/>
    <w:rsid w:val="00524703"/>
    <w:rsid w:val="0052491D"/>
    <w:rsid w:val="00524B98"/>
    <w:rsid w:val="00524C2F"/>
    <w:rsid w:val="005254C4"/>
    <w:rsid w:val="00525560"/>
    <w:rsid w:val="005255C1"/>
    <w:rsid w:val="0052567E"/>
    <w:rsid w:val="005259A3"/>
    <w:rsid w:val="00525D29"/>
    <w:rsid w:val="00525F9B"/>
    <w:rsid w:val="00526081"/>
    <w:rsid w:val="005260C9"/>
    <w:rsid w:val="00526252"/>
    <w:rsid w:val="0052651C"/>
    <w:rsid w:val="00527688"/>
    <w:rsid w:val="005276EF"/>
    <w:rsid w:val="005278B0"/>
    <w:rsid w:val="00527C71"/>
    <w:rsid w:val="00527D40"/>
    <w:rsid w:val="00527E01"/>
    <w:rsid w:val="00527E99"/>
    <w:rsid w:val="0053018C"/>
    <w:rsid w:val="005303FF"/>
    <w:rsid w:val="005306E1"/>
    <w:rsid w:val="005307E1"/>
    <w:rsid w:val="00530AED"/>
    <w:rsid w:val="00530B80"/>
    <w:rsid w:val="00530D87"/>
    <w:rsid w:val="00530E8B"/>
    <w:rsid w:val="00531486"/>
    <w:rsid w:val="005319E8"/>
    <w:rsid w:val="00531BC2"/>
    <w:rsid w:val="00531C16"/>
    <w:rsid w:val="00531E33"/>
    <w:rsid w:val="00531E38"/>
    <w:rsid w:val="00531E73"/>
    <w:rsid w:val="00531F93"/>
    <w:rsid w:val="0053252B"/>
    <w:rsid w:val="00532590"/>
    <w:rsid w:val="00532692"/>
    <w:rsid w:val="005328A1"/>
    <w:rsid w:val="00532A86"/>
    <w:rsid w:val="00533269"/>
    <w:rsid w:val="005334E2"/>
    <w:rsid w:val="0053366D"/>
    <w:rsid w:val="00533740"/>
    <w:rsid w:val="00533F0F"/>
    <w:rsid w:val="005342C2"/>
    <w:rsid w:val="00534382"/>
    <w:rsid w:val="00534464"/>
    <w:rsid w:val="00534C25"/>
    <w:rsid w:val="00535168"/>
    <w:rsid w:val="0053535A"/>
    <w:rsid w:val="005362D9"/>
    <w:rsid w:val="00536644"/>
    <w:rsid w:val="00536BCA"/>
    <w:rsid w:val="005370C8"/>
    <w:rsid w:val="0053714C"/>
    <w:rsid w:val="0053723D"/>
    <w:rsid w:val="005373F9"/>
    <w:rsid w:val="0053747D"/>
    <w:rsid w:val="005376D7"/>
    <w:rsid w:val="00537BA6"/>
    <w:rsid w:val="00537E23"/>
    <w:rsid w:val="00537E73"/>
    <w:rsid w:val="005400F2"/>
    <w:rsid w:val="005403C4"/>
    <w:rsid w:val="00540577"/>
    <w:rsid w:val="005406CB"/>
    <w:rsid w:val="0054097C"/>
    <w:rsid w:val="00540A6A"/>
    <w:rsid w:val="00540C2B"/>
    <w:rsid w:val="00540EA2"/>
    <w:rsid w:val="0054100B"/>
    <w:rsid w:val="005410E2"/>
    <w:rsid w:val="00541139"/>
    <w:rsid w:val="00541638"/>
    <w:rsid w:val="00541B5A"/>
    <w:rsid w:val="00541F66"/>
    <w:rsid w:val="0054210D"/>
    <w:rsid w:val="0054242C"/>
    <w:rsid w:val="00542583"/>
    <w:rsid w:val="00542774"/>
    <w:rsid w:val="005429D5"/>
    <w:rsid w:val="00542A42"/>
    <w:rsid w:val="00542A9F"/>
    <w:rsid w:val="00542C43"/>
    <w:rsid w:val="00542DA9"/>
    <w:rsid w:val="00542EF4"/>
    <w:rsid w:val="0054312D"/>
    <w:rsid w:val="005432FB"/>
    <w:rsid w:val="00543399"/>
    <w:rsid w:val="00543535"/>
    <w:rsid w:val="00543AD2"/>
    <w:rsid w:val="00543B86"/>
    <w:rsid w:val="00543E41"/>
    <w:rsid w:val="00543EE5"/>
    <w:rsid w:val="00543FF6"/>
    <w:rsid w:val="00544007"/>
    <w:rsid w:val="00544144"/>
    <w:rsid w:val="0054436F"/>
    <w:rsid w:val="005444EF"/>
    <w:rsid w:val="00544570"/>
    <w:rsid w:val="0054465B"/>
    <w:rsid w:val="00544AAD"/>
    <w:rsid w:val="00544ABA"/>
    <w:rsid w:val="00544C49"/>
    <w:rsid w:val="00544CFA"/>
    <w:rsid w:val="00544F8F"/>
    <w:rsid w:val="00544FDE"/>
    <w:rsid w:val="005451EB"/>
    <w:rsid w:val="0054575C"/>
    <w:rsid w:val="00545A37"/>
    <w:rsid w:val="00545E4B"/>
    <w:rsid w:val="00545FCB"/>
    <w:rsid w:val="0054604C"/>
    <w:rsid w:val="005461B1"/>
    <w:rsid w:val="0054639F"/>
    <w:rsid w:val="00546645"/>
    <w:rsid w:val="0054677D"/>
    <w:rsid w:val="00546A27"/>
    <w:rsid w:val="00546A52"/>
    <w:rsid w:val="0054729D"/>
    <w:rsid w:val="00547331"/>
    <w:rsid w:val="0054741E"/>
    <w:rsid w:val="005477CF"/>
    <w:rsid w:val="00547E2E"/>
    <w:rsid w:val="0055089B"/>
    <w:rsid w:val="00550CD0"/>
    <w:rsid w:val="00550D2B"/>
    <w:rsid w:val="00550FA9"/>
    <w:rsid w:val="0055110A"/>
    <w:rsid w:val="00551166"/>
    <w:rsid w:val="0055148C"/>
    <w:rsid w:val="005516A1"/>
    <w:rsid w:val="005520EC"/>
    <w:rsid w:val="00552344"/>
    <w:rsid w:val="005523F0"/>
    <w:rsid w:val="0055250F"/>
    <w:rsid w:val="00552650"/>
    <w:rsid w:val="005529AC"/>
    <w:rsid w:val="00552E56"/>
    <w:rsid w:val="00552EF8"/>
    <w:rsid w:val="00553A72"/>
    <w:rsid w:val="00553A91"/>
    <w:rsid w:val="00553FAF"/>
    <w:rsid w:val="00554356"/>
    <w:rsid w:val="00554549"/>
    <w:rsid w:val="00554574"/>
    <w:rsid w:val="0055459E"/>
    <w:rsid w:val="005545D8"/>
    <w:rsid w:val="00555008"/>
    <w:rsid w:val="005554D2"/>
    <w:rsid w:val="00555928"/>
    <w:rsid w:val="00555B04"/>
    <w:rsid w:val="00556013"/>
    <w:rsid w:val="0055622C"/>
    <w:rsid w:val="005565FA"/>
    <w:rsid w:val="00556617"/>
    <w:rsid w:val="0055682B"/>
    <w:rsid w:val="00556BF8"/>
    <w:rsid w:val="00556E03"/>
    <w:rsid w:val="00556EE9"/>
    <w:rsid w:val="00557125"/>
    <w:rsid w:val="00557549"/>
    <w:rsid w:val="00557B7A"/>
    <w:rsid w:val="00557E63"/>
    <w:rsid w:val="00557F06"/>
    <w:rsid w:val="0056011B"/>
    <w:rsid w:val="00560142"/>
    <w:rsid w:val="005603D8"/>
    <w:rsid w:val="00560418"/>
    <w:rsid w:val="00560543"/>
    <w:rsid w:val="00560687"/>
    <w:rsid w:val="005606BF"/>
    <w:rsid w:val="00560707"/>
    <w:rsid w:val="0056073E"/>
    <w:rsid w:val="00560AB5"/>
    <w:rsid w:val="00560D7D"/>
    <w:rsid w:val="00560DA6"/>
    <w:rsid w:val="00560E70"/>
    <w:rsid w:val="005613EE"/>
    <w:rsid w:val="0056174C"/>
    <w:rsid w:val="005617AA"/>
    <w:rsid w:val="00561A87"/>
    <w:rsid w:val="00561C20"/>
    <w:rsid w:val="00561D5A"/>
    <w:rsid w:val="00561FA0"/>
    <w:rsid w:val="005626E9"/>
    <w:rsid w:val="00563158"/>
    <w:rsid w:val="00563264"/>
    <w:rsid w:val="00563294"/>
    <w:rsid w:val="0056357E"/>
    <w:rsid w:val="00563767"/>
    <w:rsid w:val="00563797"/>
    <w:rsid w:val="00563885"/>
    <w:rsid w:val="00563887"/>
    <w:rsid w:val="0056392C"/>
    <w:rsid w:val="00563977"/>
    <w:rsid w:val="00563B06"/>
    <w:rsid w:val="00563BAE"/>
    <w:rsid w:val="00563F9A"/>
    <w:rsid w:val="005642AA"/>
    <w:rsid w:val="005644B8"/>
    <w:rsid w:val="00564554"/>
    <w:rsid w:val="0056495C"/>
    <w:rsid w:val="00565026"/>
    <w:rsid w:val="005652C1"/>
    <w:rsid w:val="0056548E"/>
    <w:rsid w:val="00565499"/>
    <w:rsid w:val="00565684"/>
    <w:rsid w:val="00565885"/>
    <w:rsid w:val="00565A04"/>
    <w:rsid w:val="0056619F"/>
    <w:rsid w:val="005662DD"/>
    <w:rsid w:val="00566347"/>
    <w:rsid w:val="0056639B"/>
    <w:rsid w:val="00566921"/>
    <w:rsid w:val="00566BC9"/>
    <w:rsid w:val="005674CB"/>
    <w:rsid w:val="0056773F"/>
    <w:rsid w:val="005679F7"/>
    <w:rsid w:val="005679FF"/>
    <w:rsid w:val="00567F98"/>
    <w:rsid w:val="00570114"/>
    <w:rsid w:val="00570334"/>
    <w:rsid w:val="0057033E"/>
    <w:rsid w:val="00570607"/>
    <w:rsid w:val="005709FB"/>
    <w:rsid w:val="00570B7D"/>
    <w:rsid w:val="00570C70"/>
    <w:rsid w:val="00571064"/>
    <w:rsid w:val="0057123C"/>
    <w:rsid w:val="005715B7"/>
    <w:rsid w:val="00571632"/>
    <w:rsid w:val="00571C90"/>
    <w:rsid w:val="00571DE0"/>
    <w:rsid w:val="00572700"/>
    <w:rsid w:val="00572A86"/>
    <w:rsid w:val="00572B98"/>
    <w:rsid w:val="00572C1D"/>
    <w:rsid w:val="00572DDE"/>
    <w:rsid w:val="0057309A"/>
    <w:rsid w:val="00573798"/>
    <w:rsid w:val="0057389F"/>
    <w:rsid w:val="00573C8E"/>
    <w:rsid w:val="00573E39"/>
    <w:rsid w:val="0057402A"/>
    <w:rsid w:val="00574086"/>
    <w:rsid w:val="00574396"/>
    <w:rsid w:val="0057447D"/>
    <w:rsid w:val="0057455E"/>
    <w:rsid w:val="00574BCF"/>
    <w:rsid w:val="00574BE6"/>
    <w:rsid w:val="00574E64"/>
    <w:rsid w:val="00574EF7"/>
    <w:rsid w:val="00575540"/>
    <w:rsid w:val="00575753"/>
    <w:rsid w:val="005758A8"/>
    <w:rsid w:val="00575998"/>
    <w:rsid w:val="00575C14"/>
    <w:rsid w:val="00575E2A"/>
    <w:rsid w:val="00575E9C"/>
    <w:rsid w:val="00575F26"/>
    <w:rsid w:val="0057643D"/>
    <w:rsid w:val="00576860"/>
    <w:rsid w:val="00576DDC"/>
    <w:rsid w:val="00576E74"/>
    <w:rsid w:val="00576F11"/>
    <w:rsid w:val="00576F2E"/>
    <w:rsid w:val="005771D0"/>
    <w:rsid w:val="0057728A"/>
    <w:rsid w:val="005772F8"/>
    <w:rsid w:val="00577581"/>
    <w:rsid w:val="00577665"/>
    <w:rsid w:val="00577783"/>
    <w:rsid w:val="00577C88"/>
    <w:rsid w:val="00577DED"/>
    <w:rsid w:val="00580031"/>
    <w:rsid w:val="00580333"/>
    <w:rsid w:val="00580A83"/>
    <w:rsid w:val="00580CCA"/>
    <w:rsid w:val="0058101F"/>
    <w:rsid w:val="005810CD"/>
    <w:rsid w:val="00581142"/>
    <w:rsid w:val="0058177F"/>
    <w:rsid w:val="0058192E"/>
    <w:rsid w:val="0058194B"/>
    <w:rsid w:val="00581A89"/>
    <w:rsid w:val="00581CDD"/>
    <w:rsid w:val="00581DFC"/>
    <w:rsid w:val="00581E6D"/>
    <w:rsid w:val="00582096"/>
    <w:rsid w:val="005825C4"/>
    <w:rsid w:val="00582959"/>
    <w:rsid w:val="00582A0B"/>
    <w:rsid w:val="00582D36"/>
    <w:rsid w:val="00582F5F"/>
    <w:rsid w:val="00582FE3"/>
    <w:rsid w:val="0058377A"/>
    <w:rsid w:val="005837C1"/>
    <w:rsid w:val="00583C78"/>
    <w:rsid w:val="00583D18"/>
    <w:rsid w:val="0058400D"/>
    <w:rsid w:val="005842E2"/>
    <w:rsid w:val="00584C57"/>
    <w:rsid w:val="00584D24"/>
    <w:rsid w:val="00584DD1"/>
    <w:rsid w:val="005855B2"/>
    <w:rsid w:val="005858DC"/>
    <w:rsid w:val="00585A8F"/>
    <w:rsid w:val="00585D83"/>
    <w:rsid w:val="00585E65"/>
    <w:rsid w:val="00585E67"/>
    <w:rsid w:val="00585FFF"/>
    <w:rsid w:val="0058619A"/>
    <w:rsid w:val="005862CB"/>
    <w:rsid w:val="005863ED"/>
    <w:rsid w:val="00586F50"/>
    <w:rsid w:val="00587276"/>
    <w:rsid w:val="005874C8"/>
    <w:rsid w:val="00587C05"/>
    <w:rsid w:val="00587CE3"/>
    <w:rsid w:val="00587D44"/>
    <w:rsid w:val="00587D9C"/>
    <w:rsid w:val="00587EDF"/>
    <w:rsid w:val="00587FC1"/>
    <w:rsid w:val="0059005F"/>
    <w:rsid w:val="00590771"/>
    <w:rsid w:val="00590A5F"/>
    <w:rsid w:val="00590AC9"/>
    <w:rsid w:val="00590B1D"/>
    <w:rsid w:val="00590CE7"/>
    <w:rsid w:val="005912A2"/>
    <w:rsid w:val="00591376"/>
    <w:rsid w:val="005913D4"/>
    <w:rsid w:val="00591708"/>
    <w:rsid w:val="005918C2"/>
    <w:rsid w:val="0059191A"/>
    <w:rsid w:val="00591AE6"/>
    <w:rsid w:val="00591D12"/>
    <w:rsid w:val="005920D5"/>
    <w:rsid w:val="005921BB"/>
    <w:rsid w:val="005921DF"/>
    <w:rsid w:val="005921FF"/>
    <w:rsid w:val="005923CF"/>
    <w:rsid w:val="00592672"/>
    <w:rsid w:val="00592B7B"/>
    <w:rsid w:val="00592F5D"/>
    <w:rsid w:val="005934E4"/>
    <w:rsid w:val="005934E5"/>
    <w:rsid w:val="00593870"/>
    <w:rsid w:val="00593875"/>
    <w:rsid w:val="00593896"/>
    <w:rsid w:val="0059391D"/>
    <w:rsid w:val="00593B1B"/>
    <w:rsid w:val="00594297"/>
    <w:rsid w:val="005949AD"/>
    <w:rsid w:val="00594B9F"/>
    <w:rsid w:val="00594FFE"/>
    <w:rsid w:val="0059504F"/>
    <w:rsid w:val="00595AF4"/>
    <w:rsid w:val="00595E71"/>
    <w:rsid w:val="0059609F"/>
    <w:rsid w:val="0059641C"/>
    <w:rsid w:val="00596572"/>
    <w:rsid w:val="0059662E"/>
    <w:rsid w:val="005967AB"/>
    <w:rsid w:val="00596865"/>
    <w:rsid w:val="00596CAC"/>
    <w:rsid w:val="00596E2A"/>
    <w:rsid w:val="00596E80"/>
    <w:rsid w:val="00596F17"/>
    <w:rsid w:val="00597060"/>
    <w:rsid w:val="005970A8"/>
    <w:rsid w:val="005970DF"/>
    <w:rsid w:val="0059717F"/>
    <w:rsid w:val="005976A9"/>
    <w:rsid w:val="00597703"/>
    <w:rsid w:val="00597ADB"/>
    <w:rsid w:val="00597D4B"/>
    <w:rsid w:val="00597FA0"/>
    <w:rsid w:val="005A066F"/>
    <w:rsid w:val="005A0918"/>
    <w:rsid w:val="005A0E84"/>
    <w:rsid w:val="005A0FA1"/>
    <w:rsid w:val="005A0FE5"/>
    <w:rsid w:val="005A1455"/>
    <w:rsid w:val="005A15BE"/>
    <w:rsid w:val="005A201E"/>
    <w:rsid w:val="005A2053"/>
    <w:rsid w:val="005A22F6"/>
    <w:rsid w:val="005A2905"/>
    <w:rsid w:val="005A2996"/>
    <w:rsid w:val="005A3348"/>
    <w:rsid w:val="005A33A6"/>
    <w:rsid w:val="005A3463"/>
    <w:rsid w:val="005A36F2"/>
    <w:rsid w:val="005A3886"/>
    <w:rsid w:val="005A3E3F"/>
    <w:rsid w:val="005A3EFF"/>
    <w:rsid w:val="005A3F06"/>
    <w:rsid w:val="005A4311"/>
    <w:rsid w:val="005A46A2"/>
    <w:rsid w:val="005A4777"/>
    <w:rsid w:val="005A4BD4"/>
    <w:rsid w:val="005A4D17"/>
    <w:rsid w:val="005A4E99"/>
    <w:rsid w:val="005A5320"/>
    <w:rsid w:val="005A545C"/>
    <w:rsid w:val="005A555E"/>
    <w:rsid w:val="005A55AD"/>
    <w:rsid w:val="005A5702"/>
    <w:rsid w:val="005A5C58"/>
    <w:rsid w:val="005A5F2C"/>
    <w:rsid w:val="005A61C9"/>
    <w:rsid w:val="005A63AF"/>
    <w:rsid w:val="005A64E9"/>
    <w:rsid w:val="005A672C"/>
    <w:rsid w:val="005A6818"/>
    <w:rsid w:val="005A68B0"/>
    <w:rsid w:val="005A6D0E"/>
    <w:rsid w:val="005A71C6"/>
    <w:rsid w:val="005A7569"/>
    <w:rsid w:val="005A763E"/>
    <w:rsid w:val="005A77C4"/>
    <w:rsid w:val="005A78EF"/>
    <w:rsid w:val="005A7A04"/>
    <w:rsid w:val="005A7A72"/>
    <w:rsid w:val="005A7D4B"/>
    <w:rsid w:val="005A7ED9"/>
    <w:rsid w:val="005A7FEA"/>
    <w:rsid w:val="005B0024"/>
    <w:rsid w:val="005B018D"/>
    <w:rsid w:val="005B048D"/>
    <w:rsid w:val="005B0539"/>
    <w:rsid w:val="005B0EA9"/>
    <w:rsid w:val="005B1236"/>
    <w:rsid w:val="005B1410"/>
    <w:rsid w:val="005B142C"/>
    <w:rsid w:val="005B1538"/>
    <w:rsid w:val="005B155B"/>
    <w:rsid w:val="005B1670"/>
    <w:rsid w:val="005B1C5F"/>
    <w:rsid w:val="005B22CA"/>
    <w:rsid w:val="005B2461"/>
    <w:rsid w:val="005B246E"/>
    <w:rsid w:val="005B26D5"/>
    <w:rsid w:val="005B27A1"/>
    <w:rsid w:val="005B2949"/>
    <w:rsid w:val="005B2B19"/>
    <w:rsid w:val="005B3078"/>
    <w:rsid w:val="005B307E"/>
    <w:rsid w:val="005B3401"/>
    <w:rsid w:val="005B3859"/>
    <w:rsid w:val="005B3A06"/>
    <w:rsid w:val="005B3CF4"/>
    <w:rsid w:val="005B4313"/>
    <w:rsid w:val="005B4396"/>
    <w:rsid w:val="005B4442"/>
    <w:rsid w:val="005B458F"/>
    <w:rsid w:val="005B46E5"/>
    <w:rsid w:val="005B4954"/>
    <w:rsid w:val="005B4B89"/>
    <w:rsid w:val="005B52B0"/>
    <w:rsid w:val="005B542E"/>
    <w:rsid w:val="005B54B1"/>
    <w:rsid w:val="005B55BE"/>
    <w:rsid w:val="005B586F"/>
    <w:rsid w:val="005B5E1E"/>
    <w:rsid w:val="005B5F46"/>
    <w:rsid w:val="005B6207"/>
    <w:rsid w:val="005B66E4"/>
    <w:rsid w:val="005B6806"/>
    <w:rsid w:val="005B6890"/>
    <w:rsid w:val="005B6B14"/>
    <w:rsid w:val="005B6B30"/>
    <w:rsid w:val="005B7153"/>
    <w:rsid w:val="005B72CA"/>
    <w:rsid w:val="005B7ADF"/>
    <w:rsid w:val="005C0276"/>
    <w:rsid w:val="005C04F7"/>
    <w:rsid w:val="005C0569"/>
    <w:rsid w:val="005C0612"/>
    <w:rsid w:val="005C0771"/>
    <w:rsid w:val="005C0C4D"/>
    <w:rsid w:val="005C1183"/>
    <w:rsid w:val="005C13B1"/>
    <w:rsid w:val="005C1795"/>
    <w:rsid w:val="005C181C"/>
    <w:rsid w:val="005C1A4C"/>
    <w:rsid w:val="005C1E7A"/>
    <w:rsid w:val="005C29D7"/>
    <w:rsid w:val="005C2A8E"/>
    <w:rsid w:val="005C319B"/>
    <w:rsid w:val="005C31A7"/>
    <w:rsid w:val="005C3AAC"/>
    <w:rsid w:val="005C3AF8"/>
    <w:rsid w:val="005C3B88"/>
    <w:rsid w:val="005C4225"/>
    <w:rsid w:val="005C439E"/>
    <w:rsid w:val="005C4651"/>
    <w:rsid w:val="005C4767"/>
    <w:rsid w:val="005C490F"/>
    <w:rsid w:val="005C49B8"/>
    <w:rsid w:val="005C4BC0"/>
    <w:rsid w:val="005C4F99"/>
    <w:rsid w:val="005C51D7"/>
    <w:rsid w:val="005C5643"/>
    <w:rsid w:val="005C57A0"/>
    <w:rsid w:val="005C612F"/>
    <w:rsid w:val="005C6514"/>
    <w:rsid w:val="005C6A34"/>
    <w:rsid w:val="005C6F03"/>
    <w:rsid w:val="005C71A5"/>
    <w:rsid w:val="005C7488"/>
    <w:rsid w:val="005C74BF"/>
    <w:rsid w:val="005C772D"/>
    <w:rsid w:val="005C7F7D"/>
    <w:rsid w:val="005D02E8"/>
    <w:rsid w:val="005D041A"/>
    <w:rsid w:val="005D0D6B"/>
    <w:rsid w:val="005D1F4F"/>
    <w:rsid w:val="005D2501"/>
    <w:rsid w:val="005D2926"/>
    <w:rsid w:val="005D2B1A"/>
    <w:rsid w:val="005D3109"/>
    <w:rsid w:val="005D35DB"/>
    <w:rsid w:val="005D3C3E"/>
    <w:rsid w:val="005D3CB6"/>
    <w:rsid w:val="005D442E"/>
    <w:rsid w:val="005D4463"/>
    <w:rsid w:val="005D44F3"/>
    <w:rsid w:val="005D4841"/>
    <w:rsid w:val="005D4947"/>
    <w:rsid w:val="005D4AA9"/>
    <w:rsid w:val="005D4B0E"/>
    <w:rsid w:val="005D4BFB"/>
    <w:rsid w:val="005D4C09"/>
    <w:rsid w:val="005D4DAE"/>
    <w:rsid w:val="005D52C5"/>
    <w:rsid w:val="005D5528"/>
    <w:rsid w:val="005D5539"/>
    <w:rsid w:val="005D5AE2"/>
    <w:rsid w:val="005D5CA5"/>
    <w:rsid w:val="005D5CC0"/>
    <w:rsid w:val="005D5CD2"/>
    <w:rsid w:val="005D6024"/>
    <w:rsid w:val="005D64B9"/>
    <w:rsid w:val="005D6695"/>
    <w:rsid w:val="005D6E8A"/>
    <w:rsid w:val="005D76E5"/>
    <w:rsid w:val="005E00FD"/>
    <w:rsid w:val="005E03D9"/>
    <w:rsid w:val="005E0415"/>
    <w:rsid w:val="005E04E5"/>
    <w:rsid w:val="005E081B"/>
    <w:rsid w:val="005E09DC"/>
    <w:rsid w:val="005E0A12"/>
    <w:rsid w:val="005E1599"/>
    <w:rsid w:val="005E17DF"/>
    <w:rsid w:val="005E1D97"/>
    <w:rsid w:val="005E1F03"/>
    <w:rsid w:val="005E21D4"/>
    <w:rsid w:val="005E235D"/>
    <w:rsid w:val="005E2874"/>
    <w:rsid w:val="005E2A54"/>
    <w:rsid w:val="005E2F8B"/>
    <w:rsid w:val="005E3264"/>
    <w:rsid w:val="005E32C2"/>
    <w:rsid w:val="005E3806"/>
    <w:rsid w:val="005E3919"/>
    <w:rsid w:val="005E3988"/>
    <w:rsid w:val="005E39C7"/>
    <w:rsid w:val="005E3C6C"/>
    <w:rsid w:val="005E4055"/>
    <w:rsid w:val="005E4081"/>
    <w:rsid w:val="005E41C6"/>
    <w:rsid w:val="005E421A"/>
    <w:rsid w:val="005E441F"/>
    <w:rsid w:val="005E4479"/>
    <w:rsid w:val="005E45A4"/>
    <w:rsid w:val="005E48F2"/>
    <w:rsid w:val="005E5437"/>
    <w:rsid w:val="005E5580"/>
    <w:rsid w:val="005E56C9"/>
    <w:rsid w:val="005E59D9"/>
    <w:rsid w:val="005E5F4D"/>
    <w:rsid w:val="005E63E4"/>
    <w:rsid w:val="005E6507"/>
    <w:rsid w:val="005E65A6"/>
    <w:rsid w:val="005E65A7"/>
    <w:rsid w:val="005E66E5"/>
    <w:rsid w:val="005E699D"/>
    <w:rsid w:val="005E6E99"/>
    <w:rsid w:val="005E6F6C"/>
    <w:rsid w:val="005E6F71"/>
    <w:rsid w:val="005E7833"/>
    <w:rsid w:val="005E7839"/>
    <w:rsid w:val="005E7C5A"/>
    <w:rsid w:val="005E7F73"/>
    <w:rsid w:val="005F04D3"/>
    <w:rsid w:val="005F05EF"/>
    <w:rsid w:val="005F0A37"/>
    <w:rsid w:val="005F0DAD"/>
    <w:rsid w:val="005F0F33"/>
    <w:rsid w:val="005F10FD"/>
    <w:rsid w:val="005F12AF"/>
    <w:rsid w:val="005F178D"/>
    <w:rsid w:val="005F1F3B"/>
    <w:rsid w:val="005F1F6E"/>
    <w:rsid w:val="005F2490"/>
    <w:rsid w:val="005F25C4"/>
    <w:rsid w:val="005F2728"/>
    <w:rsid w:val="005F2751"/>
    <w:rsid w:val="005F2AE2"/>
    <w:rsid w:val="005F2BF0"/>
    <w:rsid w:val="005F2EDA"/>
    <w:rsid w:val="005F2F23"/>
    <w:rsid w:val="005F349E"/>
    <w:rsid w:val="005F3A3B"/>
    <w:rsid w:val="005F3AA0"/>
    <w:rsid w:val="005F3BAA"/>
    <w:rsid w:val="005F3DA8"/>
    <w:rsid w:val="005F3DAE"/>
    <w:rsid w:val="005F400F"/>
    <w:rsid w:val="005F41B6"/>
    <w:rsid w:val="005F4951"/>
    <w:rsid w:val="005F4DAF"/>
    <w:rsid w:val="005F539F"/>
    <w:rsid w:val="005F5622"/>
    <w:rsid w:val="005F59E6"/>
    <w:rsid w:val="005F5E4B"/>
    <w:rsid w:val="005F6105"/>
    <w:rsid w:val="005F6475"/>
    <w:rsid w:val="005F66E5"/>
    <w:rsid w:val="005F6AA6"/>
    <w:rsid w:val="005F6F1E"/>
    <w:rsid w:val="005F7076"/>
    <w:rsid w:val="005F70D5"/>
    <w:rsid w:val="005F7154"/>
    <w:rsid w:val="005F74FD"/>
    <w:rsid w:val="005F7876"/>
    <w:rsid w:val="005F7B04"/>
    <w:rsid w:val="005F7DE2"/>
    <w:rsid w:val="005F7EE4"/>
    <w:rsid w:val="005F7F85"/>
    <w:rsid w:val="005F7FD1"/>
    <w:rsid w:val="00600363"/>
    <w:rsid w:val="00600DEB"/>
    <w:rsid w:val="00600ED5"/>
    <w:rsid w:val="0060104B"/>
    <w:rsid w:val="006019A6"/>
    <w:rsid w:val="00601A39"/>
    <w:rsid w:val="00601AC3"/>
    <w:rsid w:val="00601D10"/>
    <w:rsid w:val="0060208A"/>
    <w:rsid w:val="00602325"/>
    <w:rsid w:val="00602481"/>
    <w:rsid w:val="006024D3"/>
    <w:rsid w:val="006027F0"/>
    <w:rsid w:val="00602908"/>
    <w:rsid w:val="00602AF6"/>
    <w:rsid w:val="00602B78"/>
    <w:rsid w:val="00602BE9"/>
    <w:rsid w:val="006031D9"/>
    <w:rsid w:val="006032C8"/>
    <w:rsid w:val="00603341"/>
    <w:rsid w:val="006037CA"/>
    <w:rsid w:val="00603A8C"/>
    <w:rsid w:val="00603CC3"/>
    <w:rsid w:val="00603E3C"/>
    <w:rsid w:val="00603E73"/>
    <w:rsid w:val="00603F29"/>
    <w:rsid w:val="00603F9E"/>
    <w:rsid w:val="00604126"/>
    <w:rsid w:val="0060419C"/>
    <w:rsid w:val="00604481"/>
    <w:rsid w:val="006049D5"/>
    <w:rsid w:val="00604A58"/>
    <w:rsid w:val="00604DF8"/>
    <w:rsid w:val="00604E7B"/>
    <w:rsid w:val="00605273"/>
    <w:rsid w:val="006055B4"/>
    <w:rsid w:val="00605636"/>
    <w:rsid w:val="00605639"/>
    <w:rsid w:val="00605C21"/>
    <w:rsid w:val="00605DF3"/>
    <w:rsid w:val="00605ED0"/>
    <w:rsid w:val="00605F21"/>
    <w:rsid w:val="00606418"/>
    <w:rsid w:val="0060676C"/>
    <w:rsid w:val="00606B13"/>
    <w:rsid w:val="0060703A"/>
    <w:rsid w:val="006070A1"/>
    <w:rsid w:val="00607355"/>
    <w:rsid w:val="006078AB"/>
    <w:rsid w:val="006078DA"/>
    <w:rsid w:val="00610191"/>
    <w:rsid w:val="00610224"/>
    <w:rsid w:val="0061040B"/>
    <w:rsid w:val="0061044D"/>
    <w:rsid w:val="006104A9"/>
    <w:rsid w:val="00610598"/>
    <w:rsid w:val="006105BA"/>
    <w:rsid w:val="0061067B"/>
    <w:rsid w:val="00610D16"/>
    <w:rsid w:val="00610F85"/>
    <w:rsid w:val="00611411"/>
    <w:rsid w:val="006114B3"/>
    <w:rsid w:val="006118C9"/>
    <w:rsid w:val="00611F1F"/>
    <w:rsid w:val="0061233D"/>
    <w:rsid w:val="00612699"/>
    <w:rsid w:val="00612985"/>
    <w:rsid w:val="00612AAA"/>
    <w:rsid w:val="00612DCC"/>
    <w:rsid w:val="0061319C"/>
    <w:rsid w:val="006132F4"/>
    <w:rsid w:val="006133B9"/>
    <w:rsid w:val="006137AB"/>
    <w:rsid w:val="00613B4E"/>
    <w:rsid w:val="00614221"/>
    <w:rsid w:val="006145AD"/>
    <w:rsid w:val="006147AC"/>
    <w:rsid w:val="006149CE"/>
    <w:rsid w:val="00614C69"/>
    <w:rsid w:val="00614F48"/>
    <w:rsid w:val="00615532"/>
    <w:rsid w:val="0061565D"/>
    <w:rsid w:val="0061586C"/>
    <w:rsid w:val="006158A1"/>
    <w:rsid w:val="00615C7C"/>
    <w:rsid w:val="00615C9D"/>
    <w:rsid w:val="0061631D"/>
    <w:rsid w:val="00616468"/>
    <w:rsid w:val="00616517"/>
    <w:rsid w:val="006165A2"/>
    <w:rsid w:val="00616733"/>
    <w:rsid w:val="00616911"/>
    <w:rsid w:val="00616A06"/>
    <w:rsid w:val="00616C27"/>
    <w:rsid w:val="0061720A"/>
    <w:rsid w:val="00617467"/>
    <w:rsid w:val="0061763B"/>
    <w:rsid w:val="0061774B"/>
    <w:rsid w:val="00617A5D"/>
    <w:rsid w:val="00617C65"/>
    <w:rsid w:val="00617F15"/>
    <w:rsid w:val="006202A8"/>
    <w:rsid w:val="0062090E"/>
    <w:rsid w:val="00620984"/>
    <w:rsid w:val="006209D8"/>
    <w:rsid w:val="00620D96"/>
    <w:rsid w:val="00621376"/>
    <w:rsid w:val="00621C71"/>
    <w:rsid w:val="00621DA7"/>
    <w:rsid w:val="00621E20"/>
    <w:rsid w:val="0062206A"/>
    <w:rsid w:val="00622121"/>
    <w:rsid w:val="006222AD"/>
    <w:rsid w:val="006222C7"/>
    <w:rsid w:val="006222F0"/>
    <w:rsid w:val="00622977"/>
    <w:rsid w:val="00622D9E"/>
    <w:rsid w:val="0062320A"/>
    <w:rsid w:val="00623415"/>
    <w:rsid w:val="0062361B"/>
    <w:rsid w:val="006236F8"/>
    <w:rsid w:val="00623732"/>
    <w:rsid w:val="00623A55"/>
    <w:rsid w:val="00623AF6"/>
    <w:rsid w:val="00623F54"/>
    <w:rsid w:val="006244EF"/>
    <w:rsid w:val="00624519"/>
    <w:rsid w:val="00624B07"/>
    <w:rsid w:val="00624B36"/>
    <w:rsid w:val="00624B3D"/>
    <w:rsid w:val="00624C18"/>
    <w:rsid w:val="00624D25"/>
    <w:rsid w:val="00624F13"/>
    <w:rsid w:val="006250F1"/>
    <w:rsid w:val="0062540E"/>
    <w:rsid w:val="00625B29"/>
    <w:rsid w:val="00625E2A"/>
    <w:rsid w:val="00625FC4"/>
    <w:rsid w:val="006265D6"/>
    <w:rsid w:val="0062667C"/>
    <w:rsid w:val="006266E4"/>
    <w:rsid w:val="00626A1D"/>
    <w:rsid w:val="00626A68"/>
    <w:rsid w:val="00626B0C"/>
    <w:rsid w:val="00627295"/>
    <w:rsid w:val="00627303"/>
    <w:rsid w:val="0062761B"/>
    <w:rsid w:val="00627893"/>
    <w:rsid w:val="00627A84"/>
    <w:rsid w:val="00627C9F"/>
    <w:rsid w:val="00627DB9"/>
    <w:rsid w:val="00627DC1"/>
    <w:rsid w:val="00630099"/>
    <w:rsid w:val="006300F6"/>
    <w:rsid w:val="00630243"/>
    <w:rsid w:val="006303C3"/>
    <w:rsid w:val="00630421"/>
    <w:rsid w:val="0063069F"/>
    <w:rsid w:val="00630801"/>
    <w:rsid w:val="006308B0"/>
    <w:rsid w:val="00630992"/>
    <w:rsid w:val="00630ACE"/>
    <w:rsid w:val="00630F0A"/>
    <w:rsid w:val="006311E9"/>
    <w:rsid w:val="006312A6"/>
    <w:rsid w:val="00631456"/>
    <w:rsid w:val="0063197A"/>
    <w:rsid w:val="00631CFC"/>
    <w:rsid w:val="00632039"/>
    <w:rsid w:val="00632354"/>
    <w:rsid w:val="0063273D"/>
    <w:rsid w:val="006328B3"/>
    <w:rsid w:val="00632CED"/>
    <w:rsid w:val="00633006"/>
    <w:rsid w:val="00633622"/>
    <w:rsid w:val="0063380B"/>
    <w:rsid w:val="0063384C"/>
    <w:rsid w:val="0063388A"/>
    <w:rsid w:val="006339B3"/>
    <w:rsid w:val="00633A4A"/>
    <w:rsid w:val="00633AFA"/>
    <w:rsid w:val="00634193"/>
    <w:rsid w:val="006344F7"/>
    <w:rsid w:val="00634704"/>
    <w:rsid w:val="006348A4"/>
    <w:rsid w:val="00634935"/>
    <w:rsid w:val="00634F0C"/>
    <w:rsid w:val="00635014"/>
    <w:rsid w:val="00635B81"/>
    <w:rsid w:val="00635EB4"/>
    <w:rsid w:val="00636164"/>
    <w:rsid w:val="00636668"/>
    <w:rsid w:val="006367BE"/>
    <w:rsid w:val="006368A4"/>
    <w:rsid w:val="00636E36"/>
    <w:rsid w:val="00636EEC"/>
    <w:rsid w:val="0063700D"/>
    <w:rsid w:val="00637390"/>
    <w:rsid w:val="00637A7D"/>
    <w:rsid w:val="00637E9F"/>
    <w:rsid w:val="0064018B"/>
    <w:rsid w:val="00640318"/>
    <w:rsid w:val="00640598"/>
    <w:rsid w:val="00640C5B"/>
    <w:rsid w:val="00640DA6"/>
    <w:rsid w:val="00640E35"/>
    <w:rsid w:val="00640F7D"/>
    <w:rsid w:val="00641554"/>
    <w:rsid w:val="006415F5"/>
    <w:rsid w:val="00641972"/>
    <w:rsid w:val="00641FFA"/>
    <w:rsid w:val="00642011"/>
    <w:rsid w:val="00642021"/>
    <w:rsid w:val="00642053"/>
    <w:rsid w:val="00642149"/>
    <w:rsid w:val="0064214F"/>
    <w:rsid w:val="00642160"/>
    <w:rsid w:val="00642299"/>
    <w:rsid w:val="00642671"/>
    <w:rsid w:val="006427A2"/>
    <w:rsid w:val="00642810"/>
    <w:rsid w:val="00642846"/>
    <w:rsid w:val="0064298C"/>
    <w:rsid w:val="00642B2C"/>
    <w:rsid w:val="00642EA6"/>
    <w:rsid w:val="006431B7"/>
    <w:rsid w:val="006432DF"/>
    <w:rsid w:val="0064371D"/>
    <w:rsid w:val="00643B1A"/>
    <w:rsid w:val="00643CAC"/>
    <w:rsid w:val="00643DAE"/>
    <w:rsid w:val="00644100"/>
    <w:rsid w:val="0064414C"/>
    <w:rsid w:val="006443A2"/>
    <w:rsid w:val="006443D4"/>
    <w:rsid w:val="00644635"/>
    <w:rsid w:val="00644CEF"/>
    <w:rsid w:val="00644FB9"/>
    <w:rsid w:val="0064529F"/>
    <w:rsid w:val="00645394"/>
    <w:rsid w:val="00645865"/>
    <w:rsid w:val="006458C5"/>
    <w:rsid w:val="0064594A"/>
    <w:rsid w:val="00645C6C"/>
    <w:rsid w:val="0064625E"/>
    <w:rsid w:val="00646318"/>
    <w:rsid w:val="006463F5"/>
    <w:rsid w:val="00646412"/>
    <w:rsid w:val="0064649C"/>
    <w:rsid w:val="00646AAA"/>
    <w:rsid w:val="00646B23"/>
    <w:rsid w:val="00646BF0"/>
    <w:rsid w:val="0064715E"/>
    <w:rsid w:val="006475D3"/>
    <w:rsid w:val="00647623"/>
    <w:rsid w:val="006478AE"/>
    <w:rsid w:val="00647CBF"/>
    <w:rsid w:val="00647D67"/>
    <w:rsid w:val="00647F10"/>
    <w:rsid w:val="006501D8"/>
    <w:rsid w:val="006504B1"/>
    <w:rsid w:val="006505C8"/>
    <w:rsid w:val="006505DC"/>
    <w:rsid w:val="00650B75"/>
    <w:rsid w:val="00650DF0"/>
    <w:rsid w:val="00650FD4"/>
    <w:rsid w:val="006510E9"/>
    <w:rsid w:val="00651248"/>
    <w:rsid w:val="00651686"/>
    <w:rsid w:val="006517C3"/>
    <w:rsid w:val="006519DE"/>
    <w:rsid w:val="006519E9"/>
    <w:rsid w:val="00651A84"/>
    <w:rsid w:val="00652129"/>
    <w:rsid w:val="00652333"/>
    <w:rsid w:val="00652714"/>
    <w:rsid w:val="00652C07"/>
    <w:rsid w:val="00652F5E"/>
    <w:rsid w:val="0065315F"/>
    <w:rsid w:val="006533A7"/>
    <w:rsid w:val="006534FF"/>
    <w:rsid w:val="0065354E"/>
    <w:rsid w:val="00653813"/>
    <w:rsid w:val="00653B5F"/>
    <w:rsid w:val="00653C47"/>
    <w:rsid w:val="006541D1"/>
    <w:rsid w:val="00654330"/>
    <w:rsid w:val="0065473B"/>
    <w:rsid w:val="00654AA0"/>
    <w:rsid w:val="00654CA8"/>
    <w:rsid w:val="00654E4B"/>
    <w:rsid w:val="00654E84"/>
    <w:rsid w:val="0065526D"/>
    <w:rsid w:val="0065540B"/>
    <w:rsid w:val="006555CD"/>
    <w:rsid w:val="00655637"/>
    <w:rsid w:val="006556DA"/>
    <w:rsid w:val="0065583B"/>
    <w:rsid w:val="006558F3"/>
    <w:rsid w:val="006559B7"/>
    <w:rsid w:val="00655DC3"/>
    <w:rsid w:val="00655EDE"/>
    <w:rsid w:val="00655F48"/>
    <w:rsid w:val="006560F5"/>
    <w:rsid w:val="006565CC"/>
    <w:rsid w:val="00656A10"/>
    <w:rsid w:val="00656A12"/>
    <w:rsid w:val="006570B1"/>
    <w:rsid w:val="006571BA"/>
    <w:rsid w:val="00657479"/>
    <w:rsid w:val="00657915"/>
    <w:rsid w:val="00657A9F"/>
    <w:rsid w:val="00657BF3"/>
    <w:rsid w:val="00657C5E"/>
    <w:rsid w:val="00657E2F"/>
    <w:rsid w:val="0066006C"/>
    <w:rsid w:val="006602D9"/>
    <w:rsid w:val="00660616"/>
    <w:rsid w:val="00660A23"/>
    <w:rsid w:val="00660FCB"/>
    <w:rsid w:val="00661526"/>
    <w:rsid w:val="0066159A"/>
    <w:rsid w:val="006615AD"/>
    <w:rsid w:val="006618BC"/>
    <w:rsid w:val="00661A1B"/>
    <w:rsid w:val="00661C00"/>
    <w:rsid w:val="00662116"/>
    <w:rsid w:val="006621D5"/>
    <w:rsid w:val="0066234E"/>
    <w:rsid w:val="006623FE"/>
    <w:rsid w:val="00662608"/>
    <w:rsid w:val="006626A2"/>
    <w:rsid w:val="00662AE2"/>
    <w:rsid w:val="00662FED"/>
    <w:rsid w:val="00663296"/>
    <w:rsid w:val="0066329E"/>
    <w:rsid w:val="00663AAF"/>
    <w:rsid w:val="00663CA0"/>
    <w:rsid w:val="00663EF4"/>
    <w:rsid w:val="00664A64"/>
    <w:rsid w:val="00664BBD"/>
    <w:rsid w:val="00664EA3"/>
    <w:rsid w:val="006650A7"/>
    <w:rsid w:val="00665324"/>
    <w:rsid w:val="00665BA0"/>
    <w:rsid w:val="00665C39"/>
    <w:rsid w:val="00665EB9"/>
    <w:rsid w:val="00665F90"/>
    <w:rsid w:val="006660D0"/>
    <w:rsid w:val="0066678B"/>
    <w:rsid w:val="00666B07"/>
    <w:rsid w:val="0066736C"/>
    <w:rsid w:val="0066745B"/>
    <w:rsid w:val="006674FE"/>
    <w:rsid w:val="006676FD"/>
    <w:rsid w:val="00667AB0"/>
    <w:rsid w:val="00667BC7"/>
    <w:rsid w:val="00667CA7"/>
    <w:rsid w:val="00667EDC"/>
    <w:rsid w:val="006700BC"/>
    <w:rsid w:val="0067030C"/>
    <w:rsid w:val="00670732"/>
    <w:rsid w:val="00670833"/>
    <w:rsid w:val="00670BA7"/>
    <w:rsid w:val="00671028"/>
    <w:rsid w:val="00671524"/>
    <w:rsid w:val="00671984"/>
    <w:rsid w:val="00671B92"/>
    <w:rsid w:val="00671BD1"/>
    <w:rsid w:val="00671CD9"/>
    <w:rsid w:val="00671DE9"/>
    <w:rsid w:val="00671E37"/>
    <w:rsid w:val="00672029"/>
    <w:rsid w:val="0067213E"/>
    <w:rsid w:val="00672658"/>
    <w:rsid w:val="0067281D"/>
    <w:rsid w:val="00672A60"/>
    <w:rsid w:val="00672BCA"/>
    <w:rsid w:val="00672EF7"/>
    <w:rsid w:val="00673038"/>
    <w:rsid w:val="0067328F"/>
    <w:rsid w:val="00673E32"/>
    <w:rsid w:val="006746BC"/>
    <w:rsid w:val="00674D3E"/>
    <w:rsid w:val="00674D66"/>
    <w:rsid w:val="00674E0A"/>
    <w:rsid w:val="00674E4D"/>
    <w:rsid w:val="00675765"/>
    <w:rsid w:val="006758F4"/>
    <w:rsid w:val="00675923"/>
    <w:rsid w:val="00675B13"/>
    <w:rsid w:val="00675D16"/>
    <w:rsid w:val="006764B0"/>
    <w:rsid w:val="00676930"/>
    <w:rsid w:val="00676AB0"/>
    <w:rsid w:val="00676BC8"/>
    <w:rsid w:val="00676BEC"/>
    <w:rsid w:val="00677345"/>
    <w:rsid w:val="006774F4"/>
    <w:rsid w:val="006777D4"/>
    <w:rsid w:val="00677817"/>
    <w:rsid w:val="00677AD8"/>
    <w:rsid w:val="00677AEF"/>
    <w:rsid w:val="00677B62"/>
    <w:rsid w:val="0068001B"/>
    <w:rsid w:val="00680080"/>
    <w:rsid w:val="0068009E"/>
    <w:rsid w:val="00680407"/>
    <w:rsid w:val="00680B66"/>
    <w:rsid w:val="0068105A"/>
    <w:rsid w:val="0068128F"/>
    <w:rsid w:val="00681B7D"/>
    <w:rsid w:val="00681CE7"/>
    <w:rsid w:val="006820CE"/>
    <w:rsid w:val="00682170"/>
    <w:rsid w:val="006823E6"/>
    <w:rsid w:val="00682960"/>
    <w:rsid w:val="006829AF"/>
    <w:rsid w:val="00682A00"/>
    <w:rsid w:val="00682B10"/>
    <w:rsid w:val="00682BA1"/>
    <w:rsid w:val="006833DA"/>
    <w:rsid w:val="0068357C"/>
    <w:rsid w:val="00683685"/>
    <w:rsid w:val="006837F8"/>
    <w:rsid w:val="00683B3E"/>
    <w:rsid w:val="00683E06"/>
    <w:rsid w:val="0068424C"/>
    <w:rsid w:val="006844D5"/>
    <w:rsid w:val="00684A8E"/>
    <w:rsid w:val="00684ADA"/>
    <w:rsid w:val="00684C05"/>
    <w:rsid w:val="00685083"/>
    <w:rsid w:val="00685217"/>
    <w:rsid w:val="00685399"/>
    <w:rsid w:val="006853B8"/>
    <w:rsid w:val="006857A6"/>
    <w:rsid w:val="00685917"/>
    <w:rsid w:val="006860C3"/>
    <w:rsid w:val="006868CE"/>
    <w:rsid w:val="00686966"/>
    <w:rsid w:val="00686C4E"/>
    <w:rsid w:val="00686CD2"/>
    <w:rsid w:val="00686D7F"/>
    <w:rsid w:val="00686E08"/>
    <w:rsid w:val="00687233"/>
    <w:rsid w:val="006874D5"/>
    <w:rsid w:val="0068762B"/>
    <w:rsid w:val="0068775D"/>
    <w:rsid w:val="00687961"/>
    <w:rsid w:val="00687B45"/>
    <w:rsid w:val="00687C60"/>
    <w:rsid w:val="00687DC4"/>
    <w:rsid w:val="00687F7E"/>
    <w:rsid w:val="00690574"/>
    <w:rsid w:val="00690D4C"/>
    <w:rsid w:val="0069104F"/>
    <w:rsid w:val="006911E3"/>
    <w:rsid w:val="00691211"/>
    <w:rsid w:val="006919A3"/>
    <w:rsid w:val="00691A60"/>
    <w:rsid w:val="006928EA"/>
    <w:rsid w:val="00692B0E"/>
    <w:rsid w:val="00692CD1"/>
    <w:rsid w:val="00692E60"/>
    <w:rsid w:val="006936B5"/>
    <w:rsid w:val="00693E9F"/>
    <w:rsid w:val="00694478"/>
    <w:rsid w:val="006945B0"/>
    <w:rsid w:val="00694B5E"/>
    <w:rsid w:val="0069542B"/>
    <w:rsid w:val="006954B6"/>
    <w:rsid w:val="006959DA"/>
    <w:rsid w:val="00695B2C"/>
    <w:rsid w:val="00695D7D"/>
    <w:rsid w:val="00695DB8"/>
    <w:rsid w:val="00695E32"/>
    <w:rsid w:val="00695FCA"/>
    <w:rsid w:val="00695FD8"/>
    <w:rsid w:val="00696003"/>
    <w:rsid w:val="0069616F"/>
    <w:rsid w:val="006966B2"/>
    <w:rsid w:val="0069695B"/>
    <w:rsid w:val="006969E7"/>
    <w:rsid w:val="00696F5C"/>
    <w:rsid w:val="00697206"/>
    <w:rsid w:val="006974EF"/>
    <w:rsid w:val="00697C67"/>
    <w:rsid w:val="006A040E"/>
    <w:rsid w:val="006A071C"/>
    <w:rsid w:val="006A07CA"/>
    <w:rsid w:val="006A0950"/>
    <w:rsid w:val="006A0D73"/>
    <w:rsid w:val="006A0F6F"/>
    <w:rsid w:val="006A1131"/>
    <w:rsid w:val="006A12B2"/>
    <w:rsid w:val="006A12EA"/>
    <w:rsid w:val="006A1409"/>
    <w:rsid w:val="006A177B"/>
    <w:rsid w:val="006A17CB"/>
    <w:rsid w:val="006A17D2"/>
    <w:rsid w:val="006A1B76"/>
    <w:rsid w:val="006A1DC1"/>
    <w:rsid w:val="006A26BC"/>
    <w:rsid w:val="006A2865"/>
    <w:rsid w:val="006A288D"/>
    <w:rsid w:val="006A2B0F"/>
    <w:rsid w:val="006A2D14"/>
    <w:rsid w:val="006A2FCE"/>
    <w:rsid w:val="006A34DF"/>
    <w:rsid w:val="006A3668"/>
    <w:rsid w:val="006A37BA"/>
    <w:rsid w:val="006A37E0"/>
    <w:rsid w:val="006A3B28"/>
    <w:rsid w:val="006A3BB7"/>
    <w:rsid w:val="006A3DA8"/>
    <w:rsid w:val="006A3E95"/>
    <w:rsid w:val="006A4388"/>
    <w:rsid w:val="006A46D1"/>
    <w:rsid w:val="006A4937"/>
    <w:rsid w:val="006A494C"/>
    <w:rsid w:val="006A4B7F"/>
    <w:rsid w:val="006A4BE6"/>
    <w:rsid w:val="006A4C34"/>
    <w:rsid w:val="006A4F24"/>
    <w:rsid w:val="006A5080"/>
    <w:rsid w:val="006A5279"/>
    <w:rsid w:val="006A52B0"/>
    <w:rsid w:val="006A5378"/>
    <w:rsid w:val="006A5619"/>
    <w:rsid w:val="006A5D09"/>
    <w:rsid w:val="006A6032"/>
    <w:rsid w:val="006A6116"/>
    <w:rsid w:val="006A6396"/>
    <w:rsid w:val="006A6530"/>
    <w:rsid w:val="006A686E"/>
    <w:rsid w:val="006A6879"/>
    <w:rsid w:val="006A6958"/>
    <w:rsid w:val="006A6C28"/>
    <w:rsid w:val="006A6E4C"/>
    <w:rsid w:val="006A6F86"/>
    <w:rsid w:val="006A7061"/>
    <w:rsid w:val="006A7102"/>
    <w:rsid w:val="006A7208"/>
    <w:rsid w:val="006A73E6"/>
    <w:rsid w:val="006A75AD"/>
    <w:rsid w:val="006A789A"/>
    <w:rsid w:val="006A7A63"/>
    <w:rsid w:val="006A7DF0"/>
    <w:rsid w:val="006A7EE1"/>
    <w:rsid w:val="006B004E"/>
    <w:rsid w:val="006B0320"/>
    <w:rsid w:val="006B09F4"/>
    <w:rsid w:val="006B0A06"/>
    <w:rsid w:val="006B0F94"/>
    <w:rsid w:val="006B1252"/>
    <w:rsid w:val="006B1287"/>
    <w:rsid w:val="006B13F9"/>
    <w:rsid w:val="006B140A"/>
    <w:rsid w:val="006B15CE"/>
    <w:rsid w:val="006B17C3"/>
    <w:rsid w:val="006B1A48"/>
    <w:rsid w:val="006B1BD8"/>
    <w:rsid w:val="006B1D23"/>
    <w:rsid w:val="006B2809"/>
    <w:rsid w:val="006B2A30"/>
    <w:rsid w:val="006B2CC7"/>
    <w:rsid w:val="006B2D5C"/>
    <w:rsid w:val="006B2FBF"/>
    <w:rsid w:val="006B33C4"/>
    <w:rsid w:val="006B347B"/>
    <w:rsid w:val="006B34B4"/>
    <w:rsid w:val="006B351F"/>
    <w:rsid w:val="006B3714"/>
    <w:rsid w:val="006B3AF1"/>
    <w:rsid w:val="006B3D00"/>
    <w:rsid w:val="006B3D88"/>
    <w:rsid w:val="006B3F3E"/>
    <w:rsid w:val="006B4811"/>
    <w:rsid w:val="006B4B1A"/>
    <w:rsid w:val="006B4D46"/>
    <w:rsid w:val="006B51B9"/>
    <w:rsid w:val="006B57E1"/>
    <w:rsid w:val="006B5B8E"/>
    <w:rsid w:val="006B5F56"/>
    <w:rsid w:val="006B6199"/>
    <w:rsid w:val="006B661B"/>
    <w:rsid w:val="006B69B5"/>
    <w:rsid w:val="006B6CA3"/>
    <w:rsid w:val="006B6F1E"/>
    <w:rsid w:val="006B6F29"/>
    <w:rsid w:val="006B71F6"/>
    <w:rsid w:val="006B74C2"/>
    <w:rsid w:val="006B7FA2"/>
    <w:rsid w:val="006C075B"/>
    <w:rsid w:val="006C0784"/>
    <w:rsid w:val="006C078E"/>
    <w:rsid w:val="006C0A5B"/>
    <w:rsid w:val="006C0A65"/>
    <w:rsid w:val="006C0BE5"/>
    <w:rsid w:val="006C0D0B"/>
    <w:rsid w:val="006C0EB5"/>
    <w:rsid w:val="006C0FB6"/>
    <w:rsid w:val="006C11B7"/>
    <w:rsid w:val="006C128E"/>
    <w:rsid w:val="006C129D"/>
    <w:rsid w:val="006C15B5"/>
    <w:rsid w:val="006C16D2"/>
    <w:rsid w:val="006C1767"/>
    <w:rsid w:val="006C17B3"/>
    <w:rsid w:val="006C1ADB"/>
    <w:rsid w:val="006C1D5B"/>
    <w:rsid w:val="006C1E07"/>
    <w:rsid w:val="006C2316"/>
    <w:rsid w:val="006C2891"/>
    <w:rsid w:val="006C2924"/>
    <w:rsid w:val="006C3076"/>
    <w:rsid w:val="006C31F8"/>
    <w:rsid w:val="006C341D"/>
    <w:rsid w:val="006C3846"/>
    <w:rsid w:val="006C3B01"/>
    <w:rsid w:val="006C4468"/>
    <w:rsid w:val="006C4EB1"/>
    <w:rsid w:val="006C4F07"/>
    <w:rsid w:val="006C58EB"/>
    <w:rsid w:val="006C5A70"/>
    <w:rsid w:val="006C6102"/>
    <w:rsid w:val="006C62AA"/>
    <w:rsid w:val="006C6711"/>
    <w:rsid w:val="006C6946"/>
    <w:rsid w:val="006C6EF0"/>
    <w:rsid w:val="006C7244"/>
    <w:rsid w:val="006C7306"/>
    <w:rsid w:val="006C7774"/>
    <w:rsid w:val="006C77B8"/>
    <w:rsid w:val="006D0196"/>
    <w:rsid w:val="006D0592"/>
    <w:rsid w:val="006D0772"/>
    <w:rsid w:val="006D0A39"/>
    <w:rsid w:val="006D0AAE"/>
    <w:rsid w:val="006D0B3C"/>
    <w:rsid w:val="006D0E40"/>
    <w:rsid w:val="006D0F79"/>
    <w:rsid w:val="006D0F9A"/>
    <w:rsid w:val="006D132D"/>
    <w:rsid w:val="006D13E0"/>
    <w:rsid w:val="006D1505"/>
    <w:rsid w:val="006D1C43"/>
    <w:rsid w:val="006D1DAA"/>
    <w:rsid w:val="006D1DBD"/>
    <w:rsid w:val="006D2A5F"/>
    <w:rsid w:val="006D2C15"/>
    <w:rsid w:val="006D2D0D"/>
    <w:rsid w:val="006D2EC4"/>
    <w:rsid w:val="006D362F"/>
    <w:rsid w:val="006D39C6"/>
    <w:rsid w:val="006D4019"/>
    <w:rsid w:val="006D40D8"/>
    <w:rsid w:val="006D47BD"/>
    <w:rsid w:val="006D497B"/>
    <w:rsid w:val="006D4E75"/>
    <w:rsid w:val="006D4F77"/>
    <w:rsid w:val="006D5646"/>
    <w:rsid w:val="006D57EF"/>
    <w:rsid w:val="006D5960"/>
    <w:rsid w:val="006D5D2C"/>
    <w:rsid w:val="006D5ED9"/>
    <w:rsid w:val="006D640D"/>
    <w:rsid w:val="006D6496"/>
    <w:rsid w:val="006D6521"/>
    <w:rsid w:val="006D6D14"/>
    <w:rsid w:val="006D6EC5"/>
    <w:rsid w:val="006D70B2"/>
    <w:rsid w:val="006D71C7"/>
    <w:rsid w:val="006D7534"/>
    <w:rsid w:val="006D796E"/>
    <w:rsid w:val="006D7A04"/>
    <w:rsid w:val="006D7C4C"/>
    <w:rsid w:val="006D7D4B"/>
    <w:rsid w:val="006D7E6F"/>
    <w:rsid w:val="006E0021"/>
    <w:rsid w:val="006E00A3"/>
    <w:rsid w:val="006E0123"/>
    <w:rsid w:val="006E0166"/>
    <w:rsid w:val="006E0732"/>
    <w:rsid w:val="006E07E8"/>
    <w:rsid w:val="006E1178"/>
    <w:rsid w:val="006E1697"/>
    <w:rsid w:val="006E1A3B"/>
    <w:rsid w:val="006E1C85"/>
    <w:rsid w:val="006E1CC1"/>
    <w:rsid w:val="006E1F28"/>
    <w:rsid w:val="006E1F2E"/>
    <w:rsid w:val="006E217A"/>
    <w:rsid w:val="006E230E"/>
    <w:rsid w:val="006E239A"/>
    <w:rsid w:val="006E25DC"/>
    <w:rsid w:val="006E26D2"/>
    <w:rsid w:val="006E2743"/>
    <w:rsid w:val="006E28E8"/>
    <w:rsid w:val="006E2908"/>
    <w:rsid w:val="006E2B3E"/>
    <w:rsid w:val="006E33B3"/>
    <w:rsid w:val="006E362D"/>
    <w:rsid w:val="006E3AF6"/>
    <w:rsid w:val="006E3E8D"/>
    <w:rsid w:val="006E3EFB"/>
    <w:rsid w:val="006E434B"/>
    <w:rsid w:val="006E4A32"/>
    <w:rsid w:val="006E4E21"/>
    <w:rsid w:val="006E5002"/>
    <w:rsid w:val="006E54B0"/>
    <w:rsid w:val="006E56C1"/>
    <w:rsid w:val="006E582A"/>
    <w:rsid w:val="006E58D1"/>
    <w:rsid w:val="006E5989"/>
    <w:rsid w:val="006E59D4"/>
    <w:rsid w:val="006E5B92"/>
    <w:rsid w:val="006E5BFC"/>
    <w:rsid w:val="006E5DDA"/>
    <w:rsid w:val="006E5DF9"/>
    <w:rsid w:val="006E5E19"/>
    <w:rsid w:val="006E5F5C"/>
    <w:rsid w:val="006E6193"/>
    <w:rsid w:val="006E6208"/>
    <w:rsid w:val="006E621E"/>
    <w:rsid w:val="006E66A1"/>
    <w:rsid w:val="006E6C31"/>
    <w:rsid w:val="006E6C59"/>
    <w:rsid w:val="006E6E08"/>
    <w:rsid w:val="006E6EF6"/>
    <w:rsid w:val="006E7141"/>
    <w:rsid w:val="006E72D0"/>
    <w:rsid w:val="006E73D4"/>
    <w:rsid w:val="006E7495"/>
    <w:rsid w:val="006E752E"/>
    <w:rsid w:val="006E76E6"/>
    <w:rsid w:val="006E7B34"/>
    <w:rsid w:val="006E7C75"/>
    <w:rsid w:val="006E7DF9"/>
    <w:rsid w:val="006F0078"/>
    <w:rsid w:val="006F0305"/>
    <w:rsid w:val="006F09EB"/>
    <w:rsid w:val="006F0A0A"/>
    <w:rsid w:val="006F0BBD"/>
    <w:rsid w:val="006F1121"/>
    <w:rsid w:val="006F1545"/>
    <w:rsid w:val="006F165F"/>
    <w:rsid w:val="006F16D0"/>
    <w:rsid w:val="006F1C06"/>
    <w:rsid w:val="006F1CF4"/>
    <w:rsid w:val="006F1DCA"/>
    <w:rsid w:val="006F241B"/>
    <w:rsid w:val="006F2584"/>
    <w:rsid w:val="006F273B"/>
    <w:rsid w:val="006F27B6"/>
    <w:rsid w:val="006F284C"/>
    <w:rsid w:val="006F2B4A"/>
    <w:rsid w:val="006F32DC"/>
    <w:rsid w:val="006F32EF"/>
    <w:rsid w:val="006F3397"/>
    <w:rsid w:val="006F3495"/>
    <w:rsid w:val="006F34E3"/>
    <w:rsid w:val="006F3C62"/>
    <w:rsid w:val="006F3DC4"/>
    <w:rsid w:val="006F474A"/>
    <w:rsid w:val="006F491C"/>
    <w:rsid w:val="006F4BD2"/>
    <w:rsid w:val="006F4CE6"/>
    <w:rsid w:val="006F4E46"/>
    <w:rsid w:val="006F4F5B"/>
    <w:rsid w:val="006F5275"/>
    <w:rsid w:val="006F5779"/>
    <w:rsid w:val="006F58F8"/>
    <w:rsid w:val="006F5AAE"/>
    <w:rsid w:val="006F5C1B"/>
    <w:rsid w:val="006F5DD5"/>
    <w:rsid w:val="006F5E2C"/>
    <w:rsid w:val="006F5F5B"/>
    <w:rsid w:val="006F6738"/>
    <w:rsid w:val="006F6D88"/>
    <w:rsid w:val="006F6FE5"/>
    <w:rsid w:val="006F735A"/>
    <w:rsid w:val="006F792D"/>
    <w:rsid w:val="006F79EC"/>
    <w:rsid w:val="006F7CCB"/>
    <w:rsid w:val="006F7CE7"/>
    <w:rsid w:val="006F7EE3"/>
    <w:rsid w:val="007003DD"/>
    <w:rsid w:val="00700A19"/>
    <w:rsid w:val="00700B6B"/>
    <w:rsid w:val="00700BE6"/>
    <w:rsid w:val="00700D9E"/>
    <w:rsid w:val="00701315"/>
    <w:rsid w:val="00701983"/>
    <w:rsid w:val="007019A7"/>
    <w:rsid w:val="00701B3F"/>
    <w:rsid w:val="00701F15"/>
    <w:rsid w:val="00701F4D"/>
    <w:rsid w:val="0070217A"/>
    <w:rsid w:val="007022F6"/>
    <w:rsid w:val="00702755"/>
    <w:rsid w:val="00702BB1"/>
    <w:rsid w:val="00702F28"/>
    <w:rsid w:val="007032B2"/>
    <w:rsid w:val="00703461"/>
    <w:rsid w:val="0070385B"/>
    <w:rsid w:val="00703A3A"/>
    <w:rsid w:val="00703E09"/>
    <w:rsid w:val="00703E40"/>
    <w:rsid w:val="00703E6F"/>
    <w:rsid w:val="00704084"/>
    <w:rsid w:val="00704237"/>
    <w:rsid w:val="007042C0"/>
    <w:rsid w:val="0070448F"/>
    <w:rsid w:val="0070498B"/>
    <w:rsid w:val="00704E13"/>
    <w:rsid w:val="00704F4E"/>
    <w:rsid w:val="0070501A"/>
    <w:rsid w:val="0070520F"/>
    <w:rsid w:val="00705668"/>
    <w:rsid w:val="00705C69"/>
    <w:rsid w:val="00705E34"/>
    <w:rsid w:val="0070693D"/>
    <w:rsid w:val="0070697F"/>
    <w:rsid w:val="00706E87"/>
    <w:rsid w:val="00706EE6"/>
    <w:rsid w:val="007073E2"/>
    <w:rsid w:val="00707437"/>
    <w:rsid w:val="0070749A"/>
    <w:rsid w:val="007074D6"/>
    <w:rsid w:val="007079BD"/>
    <w:rsid w:val="00707B58"/>
    <w:rsid w:val="00707B7D"/>
    <w:rsid w:val="00707BF5"/>
    <w:rsid w:val="00707EE7"/>
    <w:rsid w:val="00707F92"/>
    <w:rsid w:val="00710113"/>
    <w:rsid w:val="00710559"/>
    <w:rsid w:val="0071056F"/>
    <w:rsid w:val="007106B4"/>
    <w:rsid w:val="00710772"/>
    <w:rsid w:val="007107AF"/>
    <w:rsid w:val="007107C2"/>
    <w:rsid w:val="0071082A"/>
    <w:rsid w:val="00710831"/>
    <w:rsid w:val="00710D41"/>
    <w:rsid w:val="007114BB"/>
    <w:rsid w:val="0071162D"/>
    <w:rsid w:val="00711B80"/>
    <w:rsid w:val="00711E01"/>
    <w:rsid w:val="00711F99"/>
    <w:rsid w:val="007124F8"/>
    <w:rsid w:val="00712705"/>
    <w:rsid w:val="007127ED"/>
    <w:rsid w:val="007127FA"/>
    <w:rsid w:val="00712A15"/>
    <w:rsid w:val="00712C37"/>
    <w:rsid w:val="00712DD6"/>
    <w:rsid w:val="007134FD"/>
    <w:rsid w:val="00713548"/>
    <w:rsid w:val="00713551"/>
    <w:rsid w:val="00713632"/>
    <w:rsid w:val="00713B81"/>
    <w:rsid w:val="00713E33"/>
    <w:rsid w:val="00714373"/>
    <w:rsid w:val="007144B7"/>
    <w:rsid w:val="007145D6"/>
    <w:rsid w:val="007146D8"/>
    <w:rsid w:val="00714B32"/>
    <w:rsid w:val="00714C80"/>
    <w:rsid w:val="00714F4B"/>
    <w:rsid w:val="007150A7"/>
    <w:rsid w:val="0071555D"/>
    <w:rsid w:val="007155B6"/>
    <w:rsid w:val="00715756"/>
    <w:rsid w:val="0071591F"/>
    <w:rsid w:val="00715B3B"/>
    <w:rsid w:val="00715E51"/>
    <w:rsid w:val="00715E71"/>
    <w:rsid w:val="007160EE"/>
    <w:rsid w:val="0071619F"/>
    <w:rsid w:val="0071640E"/>
    <w:rsid w:val="007166D4"/>
    <w:rsid w:val="00716C41"/>
    <w:rsid w:val="00716E9F"/>
    <w:rsid w:val="00716FBE"/>
    <w:rsid w:val="007177DE"/>
    <w:rsid w:val="00717B02"/>
    <w:rsid w:val="00717EF6"/>
    <w:rsid w:val="00717FFA"/>
    <w:rsid w:val="007200CC"/>
    <w:rsid w:val="00720378"/>
    <w:rsid w:val="00720558"/>
    <w:rsid w:val="0072065F"/>
    <w:rsid w:val="00720893"/>
    <w:rsid w:val="00720928"/>
    <w:rsid w:val="007209F2"/>
    <w:rsid w:val="00720B10"/>
    <w:rsid w:val="00720F2C"/>
    <w:rsid w:val="00720F4C"/>
    <w:rsid w:val="00720F8E"/>
    <w:rsid w:val="00720FD7"/>
    <w:rsid w:val="0072101B"/>
    <w:rsid w:val="00721111"/>
    <w:rsid w:val="0072111C"/>
    <w:rsid w:val="007214EF"/>
    <w:rsid w:val="00721520"/>
    <w:rsid w:val="00721568"/>
    <w:rsid w:val="007215FC"/>
    <w:rsid w:val="007215FD"/>
    <w:rsid w:val="0072179D"/>
    <w:rsid w:val="0072199C"/>
    <w:rsid w:val="00721AD2"/>
    <w:rsid w:val="00721B11"/>
    <w:rsid w:val="00721F44"/>
    <w:rsid w:val="007222C5"/>
    <w:rsid w:val="00722A09"/>
    <w:rsid w:val="00722C88"/>
    <w:rsid w:val="00722D18"/>
    <w:rsid w:val="00722D61"/>
    <w:rsid w:val="00722DBA"/>
    <w:rsid w:val="007230B2"/>
    <w:rsid w:val="00723163"/>
    <w:rsid w:val="0072344D"/>
    <w:rsid w:val="00723A38"/>
    <w:rsid w:val="00723DBB"/>
    <w:rsid w:val="0072411E"/>
    <w:rsid w:val="00724D14"/>
    <w:rsid w:val="00724D73"/>
    <w:rsid w:val="00724E06"/>
    <w:rsid w:val="007250D4"/>
    <w:rsid w:val="007253B8"/>
    <w:rsid w:val="00725557"/>
    <w:rsid w:val="007255D9"/>
    <w:rsid w:val="007255DB"/>
    <w:rsid w:val="00725626"/>
    <w:rsid w:val="00725C8A"/>
    <w:rsid w:val="00725E74"/>
    <w:rsid w:val="00725EA0"/>
    <w:rsid w:val="0072622B"/>
    <w:rsid w:val="007264EF"/>
    <w:rsid w:val="00726906"/>
    <w:rsid w:val="00726AC1"/>
    <w:rsid w:val="00726EB2"/>
    <w:rsid w:val="0072728A"/>
    <w:rsid w:val="007273F5"/>
    <w:rsid w:val="007274DE"/>
    <w:rsid w:val="007276A9"/>
    <w:rsid w:val="00727AD9"/>
    <w:rsid w:val="00727C60"/>
    <w:rsid w:val="00727F16"/>
    <w:rsid w:val="00730111"/>
    <w:rsid w:val="007301C7"/>
    <w:rsid w:val="007301EB"/>
    <w:rsid w:val="007303F5"/>
    <w:rsid w:val="00730AED"/>
    <w:rsid w:val="007314E0"/>
    <w:rsid w:val="00731881"/>
    <w:rsid w:val="007319B6"/>
    <w:rsid w:val="00731B6C"/>
    <w:rsid w:val="00732113"/>
    <w:rsid w:val="00732153"/>
    <w:rsid w:val="007321C3"/>
    <w:rsid w:val="0073271A"/>
    <w:rsid w:val="00732A0F"/>
    <w:rsid w:val="00732AA5"/>
    <w:rsid w:val="00733029"/>
    <w:rsid w:val="00733032"/>
    <w:rsid w:val="0073332C"/>
    <w:rsid w:val="00733344"/>
    <w:rsid w:val="00733371"/>
    <w:rsid w:val="0073398A"/>
    <w:rsid w:val="00733A89"/>
    <w:rsid w:val="00733BC5"/>
    <w:rsid w:val="00733F97"/>
    <w:rsid w:val="00733FB1"/>
    <w:rsid w:val="007341B8"/>
    <w:rsid w:val="00734347"/>
    <w:rsid w:val="007343B5"/>
    <w:rsid w:val="007344DA"/>
    <w:rsid w:val="00734509"/>
    <w:rsid w:val="00734D6E"/>
    <w:rsid w:val="00734F47"/>
    <w:rsid w:val="00735244"/>
    <w:rsid w:val="007353CB"/>
    <w:rsid w:val="00735439"/>
    <w:rsid w:val="00735820"/>
    <w:rsid w:val="00735C10"/>
    <w:rsid w:val="00735E15"/>
    <w:rsid w:val="00735F77"/>
    <w:rsid w:val="007363AB"/>
    <w:rsid w:val="00736554"/>
    <w:rsid w:val="007365AE"/>
    <w:rsid w:val="00736621"/>
    <w:rsid w:val="0073687C"/>
    <w:rsid w:val="00736A4B"/>
    <w:rsid w:val="00736A5A"/>
    <w:rsid w:val="00736DB2"/>
    <w:rsid w:val="00737152"/>
    <w:rsid w:val="0073741F"/>
    <w:rsid w:val="00737AAB"/>
    <w:rsid w:val="00737B0C"/>
    <w:rsid w:val="00740017"/>
    <w:rsid w:val="00740406"/>
    <w:rsid w:val="00740435"/>
    <w:rsid w:val="00740558"/>
    <w:rsid w:val="007406AC"/>
    <w:rsid w:val="00740986"/>
    <w:rsid w:val="00740C75"/>
    <w:rsid w:val="00740D0C"/>
    <w:rsid w:val="00740EC3"/>
    <w:rsid w:val="00741846"/>
    <w:rsid w:val="00741CA3"/>
    <w:rsid w:val="0074209F"/>
    <w:rsid w:val="007421AC"/>
    <w:rsid w:val="007425C7"/>
    <w:rsid w:val="007427DE"/>
    <w:rsid w:val="00742B58"/>
    <w:rsid w:val="00742D79"/>
    <w:rsid w:val="00743714"/>
    <w:rsid w:val="00743769"/>
    <w:rsid w:val="007438F1"/>
    <w:rsid w:val="00743D3B"/>
    <w:rsid w:val="00744187"/>
    <w:rsid w:val="00744387"/>
    <w:rsid w:val="0074447C"/>
    <w:rsid w:val="007444E9"/>
    <w:rsid w:val="00744539"/>
    <w:rsid w:val="0074478D"/>
    <w:rsid w:val="0074488D"/>
    <w:rsid w:val="00744B30"/>
    <w:rsid w:val="00744D39"/>
    <w:rsid w:val="00744F40"/>
    <w:rsid w:val="0074509F"/>
    <w:rsid w:val="007454BF"/>
    <w:rsid w:val="00745A9C"/>
    <w:rsid w:val="00745C39"/>
    <w:rsid w:val="00745F34"/>
    <w:rsid w:val="0074602F"/>
    <w:rsid w:val="0074626D"/>
    <w:rsid w:val="0074649B"/>
    <w:rsid w:val="0074667F"/>
    <w:rsid w:val="0074670B"/>
    <w:rsid w:val="00746BEB"/>
    <w:rsid w:val="00746D77"/>
    <w:rsid w:val="007470B2"/>
    <w:rsid w:val="007472EA"/>
    <w:rsid w:val="00747495"/>
    <w:rsid w:val="00747573"/>
    <w:rsid w:val="007475AC"/>
    <w:rsid w:val="0075008E"/>
    <w:rsid w:val="0075056B"/>
    <w:rsid w:val="00750DC5"/>
    <w:rsid w:val="0075120E"/>
    <w:rsid w:val="00751715"/>
    <w:rsid w:val="007518E6"/>
    <w:rsid w:val="00751BB1"/>
    <w:rsid w:val="00751BC3"/>
    <w:rsid w:val="0075203A"/>
    <w:rsid w:val="007525DE"/>
    <w:rsid w:val="0075265F"/>
    <w:rsid w:val="00752782"/>
    <w:rsid w:val="007527F2"/>
    <w:rsid w:val="007528B9"/>
    <w:rsid w:val="007528BE"/>
    <w:rsid w:val="00752A4D"/>
    <w:rsid w:val="00752DDB"/>
    <w:rsid w:val="00752FD6"/>
    <w:rsid w:val="007531C1"/>
    <w:rsid w:val="007534E4"/>
    <w:rsid w:val="007536A9"/>
    <w:rsid w:val="0075385A"/>
    <w:rsid w:val="00753C72"/>
    <w:rsid w:val="00754112"/>
    <w:rsid w:val="007543A5"/>
    <w:rsid w:val="007545C9"/>
    <w:rsid w:val="007547CF"/>
    <w:rsid w:val="00754E62"/>
    <w:rsid w:val="00755402"/>
    <w:rsid w:val="0075546D"/>
    <w:rsid w:val="007554FC"/>
    <w:rsid w:val="007555A2"/>
    <w:rsid w:val="007555B4"/>
    <w:rsid w:val="007556D6"/>
    <w:rsid w:val="007559AC"/>
    <w:rsid w:val="00755A09"/>
    <w:rsid w:val="00755F3E"/>
    <w:rsid w:val="00755FDC"/>
    <w:rsid w:val="007560F5"/>
    <w:rsid w:val="00756151"/>
    <w:rsid w:val="007562C1"/>
    <w:rsid w:val="007567D0"/>
    <w:rsid w:val="00756BE5"/>
    <w:rsid w:val="00757255"/>
    <w:rsid w:val="007573DE"/>
    <w:rsid w:val="007576D1"/>
    <w:rsid w:val="007578A2"/>
    <w:rsid w:val="00757EE9"/>
    <w:rsid w:val="00757F54"/>
    <w:rsid w:val="00760390"/>
    <w:rsid w:val="00761D35"/>
    <w:rsid w:val="00761DA2"/>
    <w:rsid w:val="00761FB0"/>
    <w:rsid w:val="00762321"/>
    <w:rsid w:val="0076258E"/>
    <w:rsid w:val="007627B0"/>
    <w:rsid w:val="00762A48"/>
    <w:rsid w:val="00762BBB"/>
    <w:rsid w:val="00762F57"/>
    <w:rsid w:val="0076318F"/>
    <w:rsid w:val="0076334D"/>
    <w:rsid w:val="007642E5"/>
    <w:rsid w:val="00764578"/>
    <w:rsid w:val="007647B1"/>
    <w:rsid w:val="007647E8"/>
    <w:rsid w:val="00764F31"/>
    <w:rsid w:val="007650EA"/>
    <w:rsid w:val="00765397"/>
    <w:rsid w:val="00765557"/>
    <w:rsid w:val="00765727"/>
    <w:rsid w:val="007658BB"/>
    <w:rsid w:val="00766170"/>
    <w:rsid w:val="0076643F"/>
    <w:rsid w:val="00766855"/>
    <w:rsid w:val="00766DE1"/>
    <w:rsid w:val="00766EA0"/>
    <w:rsid w:val="00766FA2"/>
    <w:rsid w:val="00766FD3"/>
    <w:rsid w:val="0076720B"/>
    <w:rsid w:val="007673D9"/>
    <w:rsid w:val="00767453"/>
    <w:rsid w:val="00767501"/>
    <w:rsid w:val="007676F1"/>
    <w:rsid w:val="007677F1"/>
    <w:rsid w:val="00767A27"/>
    <w:rsid w:val="00767EB3"/>
    <w:rsid w:val="00767F9F"/>
    <w:rsid w:val="007700EA"/>
    <w:rsid w:val="00770A17"/>
    <w:rsid w:val="00770B4A"/>
    <w:rsid w:val="00770C19"/>
    <w:rsid w:val="007710D8"/>
    <w:rsid w:val="007716DA"/>
    <w:rsid w:val="00771ACE"/>
    <w:rsid w:val="00771C9A"/>
    <w:rsid w:val="00772433"/>
    <w:rsid w:val="00772665"/>
    <w:rsid w:val="00772A89"/>
    <w:rsid w:val="00772B17"/>
    <w:rsid w:val="00772C4C"/>
    <w:rsid w:val="00772CC1"/>
    <w:rsid w:val="00772EFA"/>
    <w:rsid w:val="0077372B"/>
    <w:rsid w:val="00773A17"/>
    <w:rsid w:val="00773E4D"/>
    <w:rsid w:val="00774408"/>
    <w:rsid w:val="007746B6"/>
    <w:rsid w:val="00774989"/>
    <w:rsid w:val="00774B7A"/>
    <w:rsid w:val="00774C6F"/>
    <w:rsid w:val="00774C7A"/>
    <w:rsid w:val="00774DF0"/>
    <w:rsid w:val="007753D7"/>
    <w:rsid w:val="007755C7"/>
    <w:rsid w:val="00776045"/>
    <w:rsid w:val="0077672F"/>
    <w:rsid w:val="007767EF"/>
    <w:rsid w:val="00776913"/>
    <w:rsid w:val="00776D12"/>
    <w:rsid w:val="00776DC6"/>
    <w:rsid w:val="00776F61"/>
    <w:rsid w:val="00776FDE"/>
    <w:rsid w:val="00777114"/>
    <w:rsid w:val="0077756C"/>
    <w:rsid w:val="00777F44"/>
    <w:rsid w:val="007801FB"/>
    <w:rsid w:val="00780581"/>
    <w:rsid w:val="00780661"/>
    <w:rsid w:val="0078099E"/>
    <w:rsid w:val="007809D3"/>
    <w:rsid w:val="007809F9"/>
    <w:rsid w:val="00780D8F"/>
    <w:rsid w:val="00780F38"/>
    <w:rsid w:val="00781213"/>
    <w:rsid w:val="007814C9"/>
    <w:rsid w:val="00781531"/>
    <w:rsid w:val="0078174E"/>
    <w:rsid w:val="00781B69"/>
    <w:rsid w:val="00782585"/>
    <w:rsid w:val="007825A5"/>
    <w:rsid w:val="00782A6F"/>
    <w:rsid w:val="00782B6A"/>
    <w:rsid w:val="00782C20"/>
    <w:rsid w:val="00782CFB"/>
    <w:rsid w:val="0078318D"/>
    <w:rsid w:val="0078329E"/>
    <w:rsid w:val="00783570"/>
    <w:rsid w:val="00783876"/>
    <w:rsid w:val="007839DC"/>
    <w:rsid w:val="00783B7E"/>
    <w:rsid w:val="007842BC"/>
    <w:rsid w:val="0078432E"/>
    <w:rsid w:val="0078460C"/>
    <w:rsid w:val="00784766"/>
    <w:rsid w:val="007848A4"/>
    <w:rsid w:val="00784A7A"/>
    <w:rsid w:val="00784AC1"/>
    <w:rsid w:val="00784C30"/>
    <w:rsid w:val="00784C71"/>
    <w:rsid w:val="00784DB1"/>
    <w:rsid w:val="00784E03"/>
    <w:rsid w:val="007851BE"/>
    <w:rsid w:val="00785213"/>
    <w:rsid w:val="0078551E"/>
    <w:rsid w:val="00785691"/>
    <w:rsid w:val="00785B6E"/>
    <w:rsid w:val="00785BBF"/>
    <w:rsid w:val="00785F90"/>
    <w:rsid w:val="00786126"/>
    <w:rsid w:val="00786389"/>
    <w:rsid w:val="007863BC"/>
    <w:rsid w:val="0078689C"/>
    <w:rsid w:val="0078697D"/>
    <w:rsid w:val="00786A91"/>
    <w:rsid w:val="00786DB3"/>
    <w:rsid w:val="007872AB"/>
    <w:rsid w:val="00787666"/>
    <w:rsid w:val="00790178"/>
    <w:rsid w:val="00790243"/>
    <w:rsid w:val="00790652"/>
    <w:rsid w:val="00790CB4"/>
    <w:rsid w:val="00790F1F"/>
    <w:rsid w:val="00790F8B"/>
    <w:rsid w:val="00790FAB"/>
    <w:rsid w:val="007910AA"/>
    <w:rsid w:val="00791141"/>
    <w:rsid w:val="007913E9"/>
    <w:rsid w:val="00791828"/>
    <w:rsid w:val="00791A91"/>
    <w:rsid w:val="00792525"/>
    <w:rsid w:val="0079283C"/>
    <w:rsid w:val="00792A15"/>
    <w:rsid w:val="00793493"/>
    <w:rsid w:val="007938CA"/>
    <w:rsid w:val="00793AED"/>
    <w:rsid w:val="00793CB7"/>
    <w:rsid w:val="0079417D"/>
    <w:rsid w:val="00794475"/>
    <w:rsid w:val="00794641"/>
    <w:rsid w:val="0079488C"/>
    <w:rsid w:val="00794EE7"/>
    <w:rsid w:val="007950AC"/>
    <w:rsid w:val="0079553C"/>
    <w:rsid w:val="007955DC"/>
    <w:rsid w:val="007957F7"/>
    <w:rsid w:val="0079598C"/>
    <w:rsid w:val="00795E6D"/>
    <w:rsid w:val="0079611D"/>
    <w:rsid w:val="00796236"/>
    <w:rsid w:val="00796238"/>
    <w:rsid w:val="007962DA"/>
    <w:rsid w:val="007965C8"/>
    <w:rsid w:val="00796A26"/>
    <w:rsid w:val="00796E57"/>
    <w:rsid w:val="00797DD9"/>
    <w:rsid w:val="007A0454"/>
    <w:rsid w:val="007A0688"/>
    <w:rsid w:val="007A0BDB"/>
    <w:rsid w:val="007A0D61"/>
    <w:rsid w:val="007A0E26"/>
    <w:rsid w:val="007A101F"/>
    <w:rsid w:val="007A10D1"/>
    <w:rsid w:val="007A17E4"/>
    <w:rsid w:val="007A1CE0"/>
    <w:rsid w:val="007A1EC7"/>
    <w:rsid w:val="007A2410"/>
    <w:rsid w:val="007A26BF"/>
    <w:rsid w:val="007A29CE"/>
    <w:rsid w:val="007A29E9"/>
    <w:rsid w:val="007A33CA"/>
    <w:rsid w:val="007A35BD"/>
    <w:rsid w:val="007A3936"/>
    <w:rsid w:val="007A3C6D"/>
    <w:rsid w:val="007A3D67"/>
    <w:rsid w:val="007A3DCB"/>
    <w:rsid w:val="007A3DE5"/>
    <w:rsid w:val="007A3E5E"/>
    <w:rsid w:val="007A3EC1"/>
    <w:rsid w:val="007A4039"/>
    <w:rsid w:val="007A4188"/>
    <w:rsid w:val="007A440D"/>
    <w:rsid w:val="007A46C7"/>
    <w:rsid w:val="007A4794"/>
    <w:rsid w:val="007A48E2"/>
    <w:rsid w:val="007A4A25"/>
    <w:rsid w:val="007A4E0E"/>
    <w:rsid w:val="007A539D"/>
    <w:rsid w:val="007A5817"/>
    <w:rsid w:val="007A5931"/>
    <w:rsid w:val="007A6218"/>
    <w:rsid w:val="007A6847"/>
    <w:rsid w:val="007A6B39"/>
    <w:rsid w:val="007A6E2E"/>
    <w:rsid w:val="007A6E5C"/>
    <w:rsid w:val="007A6E65"/>
    <w:rsid w:val="007A7070"/>
    <w:rsid w:val="007A7AD1"/>
    <w:rsid w:val="007A7F87"/>
    <w:rsid w:val="007A7FA1"/>
    <w:rsid w:val="007A7FED"/>
    <w:rsid w:val="007B01BB"/>
    <w:rsid w:val="007B03A8"/>
    <w:rsid w:val="007B03C2"/>
    <w:rsid w:val="007B043F"/>
    <w:rsid w:val="007B05F9"/>
    <w:rsid w:val="007B07D4"/>
    <w:rsid w:val="007B0A16"/>
    <w:rsid w:val="007B0C7B"/>
    <w:rsid w:val="007B0CE3"/>
    <w:rsid w:val="007B0DFF"/>
    <w:rsid w:val="007B0E26"/>
    <w:rsid w:val="007B0E6D"/>
    <w:rsid w:val="007B0EC9"/>
    <w:rsid w:val="007B12AB"/>
    <w:rsid w:val="007B1354"/>
    <w:rsid w:val="007B1A8A"/>
    <w:rsid w:val="007B1F4F"/>
    <w:rsid w:val="007B20AB"/>
    <w:rsid w:val="007B2B9C"/>
    <w:rsid w:val="007B3057"/>
    <w:rsid w:val="007B330B"/>
    <w:rsid w:val="007B3656"/>
    <w:rsid w:val="007B3C7F"/>
    <w:rsid w:val="007B3D30"/>
    <w:rsid w:val="007B3E4B"/>
    <w:rsid w:val="007B3F25"/>
    <w:rsid w:val="007B41C9"/>
    <w:rsid w:val="007B48C7"/>
    <w:rsid w:val="007B4920"/>
    <w:rsid w:val="007B515B"/>
    <w:rsid w:val="007B51AE"/>
    <w:rsid w:val="007B52BC"/>
    <w:rsid w:val="007B589C"/>
    <w:rsid w:val="007B59A2"/>
    <w:rsid w:val="007B5D67"/>
    <w:rsid w:val="007B5DDA"/>
    <w:rsid w:val="007B60E9"/>
    <w:rsid w:val="007B61EF"/>
    <w:rsid w:val="007B6527"/>
    <w:rsid w:val="007B6779"/>
    <w:rsid w:val="007B6CC3"/>
    <w:rsid w:val="007B70F7"/>
    <w:rsid w:val="007B7113"/>
    <w:rsid w:val="007B73C9"/>
    <w:rsid w:val="007B752C"/>
    <w:rsid w:val="007B75D3"/>
    <w:rsid w:val="007B79CB"/>
    <w:rsid w:val="007B7C16"/>
    <w:rsid w:val="007C01B1"/>
    <w:rsid w:val="007C0801"/>
    <w:rsid w:val="007C09E1"/>
    <w:rsid w:val="007C0A72"/>
    <w:rsid w:val="007C0B70"/>
    <w:rsid w:val="007C0C13"/>
    <w:rsid w:val="007C0DA5"/>
    <w:rsid w:val="007C1089"/>
    <w:rsid w:val="007C1B4C"/>
    <w:rsid w:val="007C1CC8"/>
    <w:rsid w:val="007C1DBF"/>
    <w:rsid w:val="007C1F44"/>
    <w:rsid w:val="007C2060"/>
    <w:rsid w:val="007C2330"/>
    <w:rsid w:val="007C23D2"/>
    <w:rsid w:val="007C27C3"/>
    <w:rsid w:val="007C2E57"/>
    <w:rsid w:val="007C2FA0"/>
    <w:rsid w:val="007C2FF6"/>
    <w:rsid w:val="007C3334"/>
    <w:rsid w:val="007C351D"/>
    <w:rsid w:val="007C3570"/>
    <w:rsid w:val="007C4000"/>
    <w:rsid w:val="007C452A"/>
    <w:rsid w:val="007C47C4"/>
    <w:rsid w:val="007C4F8A"/>
    <w:rsid w:val="007C51D7"/>
    <w:rsid w:val="007C53AA"/>
    <w:rsid w:val="007C542D"/>
    <w:rsid w:val="007C547B"/>
    <w:rsid w:val="007C5491"/>
    <w:rsid w:val="007C5641"/>
    <w:rsid w:val="007C6899"/>
    <w:rsid w:val="007C68C5"/>
    <w:rsid w:val="007C6E2A"/>
    <w:rsid w:val="007C6E82"/>
    <w:rsid w:val="007C6F41"/>
    <w:rsid w:val="007C6F65"/>
    <w:rsid w:val="007C7891"/>
    <w:rsid w:val="007C7C29"/>
    <w:rsid w:val="007C7C9C"/>
    <w:rsid w:val="007C7E5C"/>
    <w:rsid w:val="007D0013"/>
    <w:rsid w:val="007D0278"/>
    <w:rsid w:val="007D031E"/>
    <w:rsid w:val="007D0B97"/>
    <w:rsid w:val="007D0C17"/>
    <w:rsid w:val="007D0C8C"/>
    <w:rsid w:val="007D0E3C"/>
    <w:rsid w:val="007D0E4B"/>
    <w:rsid w:val="007D10B3"/>
    <w:rsid w:val="007D1170"/>
    <w:rsid w:val="007D11B8"/>
    <w:rsid w:val="007D1432"/>
    <w:rsid w:val="007D16DC"/>
    <w:rsid w:val="007D175E"/>
    <w:rsid w:val="007D19F7"/>
    <w:rsid w:val="007D1B51"/>
    <w:rsid w:val="007D2080"/>
    <w:rsid w:val="007D2484"/>
    <w:rsid w:val="007D2494"/>
    <w:rsid w:val="007D25F1"/>
    <w:rsid w:val="007D260D"/>
    <w:rsid w:val="007D2781"/>
    <w:rsid w:val="007D2A18"/>
    <w:rsid w:val="007D2B98"/>
    <w:rsid w:val="007D2D97"/>
    <w:rsid w:val="007D2E3A"/>
    <w:rsid w:val="007D30F0"/>
    <w:rsid w:val="007D31DC"/>
    <w:rsid w:val="007D33BB"/>
    <w:rsid w:val="007D3D79"/>
    <w:rsid w:val="007D45CE"/>
    <w:rsid w:val="007D4D0A"/>
    <w:rsid w:val="007D4E45"/>
    <w:rsid w:val="007D4F01"/>
    <w:rsid w:val="007D5069"/>
    <w:rsid w:val="007D5249"/>
    <w:rsid w:val="007D540E"/>
    <w:rsid w:val="007D549E"/>
    <w:rsid w:val="007D55A1"/>
    <w:rsid w:val="007D5AD1"/>
    <w:rsid w:val="007D5AEA"/>
    <w:rsid w:val="007D5C8D"/>
    <w:rsid w:val="007D5F5F"/>
    <w:rsid w:val="007D5F9E"/>
    <w:rsid w:val="007D6705"/>
    <w:rsid w:val="007D6FA3"/>
    <w:rsid w:val="007D715A"/>
    <w:rsid w:val="007D733F"/>
    <w:rsid w:val="007D7568"/>
    <w:rsid w:val="007D766F"/>
    <w:rsid w:val="007D76FF"/>
    <w:rsid w:val="007D7C4D"/>
    <w:rsid w:val="007D7F07"/>
    <w:rsid w:val="007E0337"/>
    <w:rsid w:val="007E03CE"/>
    <w:rsid w:val="007E05CF"/>
    <w:rsid w:val="007E07FA"/>
    <w:rsid w:val="007E0A89"/>
    <w:rsid w:val="007E0D10"/>
    <w:rsid w:val="007E0D92"/>
    <w:rsid w:val="007E1554"/>
    <w:rsid w:val="007E15CA"/>
    <w:rsid w:val="007E1751"/>
    <w:rsid w:val="007E1768"/>
    <w:rsid w:val="007E1DDF"/>
    <w:rsid w:val="007E21BC"/>
    <w:rsid w:val="007E28DA"/>
    <w:rsid w:val="007E2B3E"/>
    <w:rsid w:val="007E2D37"/>
    <w:rsid w:val="007E321F"/>
    <w:rsid w:val="007E38E5"/>
    <w:rsid w:val="007E41D2"/>
    <w:rsid w:val="007E42A0"/>
    <w:rsid w:val="007E441B"/>
    <w:rsid w:val="007E4D79"/>
    <w:rsid w:val="007E5009"/>
    <w:rsid w:val="007E50B5"/>
    <w:rsid w:val="007E5462"/>
    <w:rsid w:val="007E5490"/>
    <w:rsid w:val="007E5655"/>
    <w:rsid w:val="007E585F"/>
    <w:rsid w:val="007E593F"/>
    <w:rsid w:val="007E5A40"/>
    <w:rsid w:val="007E5D40"/>
    <w:rsid w:val="007E61C5"/>
    <w:rsid w:val="007E6417"/>
    <w:rsid w:val="007E72BE"/>
    <w:rsid w:val="007E742C"/>
    <w:rsid w:val="007E7510"/>
    <w:rsid w:val="007E752B"/>
    <w:rsid w:val="007E799A"/>
    <w:rsid w:val="007E7C40"/>
    <w:rsid w:val="007E7C48"/>
    <w:rsid w:val="007E7EEE"/>
    <w:rsid w:val="007E7F43"/>
    <w:rsid w:val="007F0264"/>
    <w:rsid w:val="007F0496"/>
    <w:rsid w:val="007F0713"/>
    <w:rsid w:val="007F0A18"/>
    <w:rsid w:val="007F0C72"/>
    <w:rsid w:val="007F0D3D"/>
    <w:rsid w:val="007F0D3F"/>
    <w:rsid w:val="007F0E4E"/>
    <w:rsid w:val="007F171B"/>
    <w:rsid w:val="007F1BA9"/>
    <w:rsid w:val="007F1CD8"/>
    <w:rsid w:val="007F1D45"/>
    <w:rsid w:val="007F2072"/>
    <w:rsid w:val="007F22E5"/>
    <w:rsid w:val="007F260E"/>
    <w:rsid w:val="007F27F6"/>
    <w:rsid w:val="007F2DC3"/>
    <w:rsid w:val="007F3406"/>
    <w:rsid w:val="007F3721"/>
    <w:rsid w:val="007F3B01"/>
    <w:rsid w:val="007F400D"/>
    <w:rsid w:val="007F48EE"/>
    <w:rsid w:val="007F4C17"/>
    <w:rsid w:val="007F4F45"/>
    <w:rsid w:val="007F5266"/>
    <w:rsid w:val="007F5537"/>
    <w:rsid w:val="007F55EC"/>
    <w:rsid w:val="007F5A3A"/>
    <w:rsid w:val="007F5C72"/>
    <w:rsid w:val="007F5D54"/>
    <w:rsid w:val="007F6080"/>
    <w:rsid w:val="007F6089"/>
    <w:rsid w:val="007F60D4"/>
    <w:rsid w:val="007F62F3"/>
    <w:rsid w:val="007F66BA"/>
    <w:rsid w:val="007F673D"/>
    <w:rsid w:val="007F69D0"/>
    <w:rsid w:val="007F6BD5"/>
    <w:rsid w:val="007F6CBD"/>
    <w:rsid w:val="007F6F48"/>
    <w:rsid w:val="007F6F94"/>
    <w:rsid w:val="007F79B5"/>
    <w:rsid w:val="007F7A91"/>
    <w:rsid w:val="007F7AA6"/>
    <w:rsid w:val="007F7D9D"/>
    <w:rsid w:val="008000F9"/>
    <w:rsid w:val="008004DC"/>
    <w:rsid w:val="00800630"/>
    <w:rsid w:val="00800842"/>
    <w:rsid w:val="0080085C"/>
    <w:rsid w:val="0080094F"/>
    <w:rsid w:val="008009F7"/>
    <w:rsid w:val="008009FA"/>
    <w:rsid w:val="00800B51"/>
    <w:rsid w:val="0080142B"/>
    <w:rsid w:val="008014C2"/>
    <w:rsid w:val="00801688"/>
    <w:rsid w:val="00801BBC"/>
    <w:rsid w:val="00801C82"/>
    <w:rsid w:val="00801D53"/>
    <w:rsid w:val="00802182"/>
    <w:rsid w:val="008022B4"/>
    <w:rsid w:val="0080230B"/>
    <w:rsid w:val="0080241F"/>
    <w:rsid w:val="00802659"/>
    <w:rsid w:val="00802E76"/>
    <w:rsid w:val="0080344D"/>
    <w:rsid w:val="00803482"/>
    <w:rsid w:val="0080398A"/>
    <w:rsid w:val="00803C4D"/>
    <w:rsid w:val="00803CC0"/>
    <w:rsid w:val="00803F1C"/>
    <w:rsid w:val="00804360"/>
    <w:rsid w:val="008045F4"/>
    <w:rsid w:val="008048AB"/>
    <w:rsid w:val="00804937"/>
    <w:rsid w:val="00804AD4"/>
    <w:rsid w:val="008050EC"/>
    <w:rsid w:val="00805177"/>
    <w:rsid w:val="00805A26"/>
    <w:rsid w:val="00805EDF"/>
    <w:rsid w:val="0080600E"/>
    <w:rsid w:val="008060E0"/>
    <w:rsid w:val="0080612C"/>
    <w:rsid w:val="0080639F"/>
    <w:rsid w:val="0080685C"/>
    <w:rsid w:val="008069C1"/>
    <w:rsid w:val="008069D1"/>
    <w:rsid w:val="00806CE0"/>
    <w:rsid w:val="00806D71"/>
    <w:rsid w:val="0080746B"/>
    <w:rsid w:val="00807593"/>
    <w:rsid w:val="008079CC"/>
    <w:rsid w:val="0081022C"/>
    <w:rsid w:val="00810541"/>
    <w:rsid w:val="00810566"/>
    <w:rsid w:val="00810860"/>
    <w:rsid w:val="0081099C"/>
    <w:rsid w:val="00810AC5"/>
    <w:rsid w:val="00810B64"/>
    <w:rsid w:val="00810CEE"/>
    <w:rsid w:val="00810F65"/>
    <w:rsid w:val="00811051"/>
    <w:rsid w:val="008112F7"/>
    <w:rsid w:val="008117BB"/>
    <w:rsid w:val="00811988"/>
    <w:rsid w:val="00811B47"/>
    <w:rsid w:val="00811C81"/>
    <w:rsid w:val="00811E7F"/>
    <w:rsid w:val="00812296"/>
    <w:rsid w:val="008124AE"/>
    <w:rsid w:val="00812ACD"/>
    <w:rsid w:val="00812ADE"/>
    <w:rsid w:val="00812B05"/>
    <w:rsid w:val="00812EFB"/>
    <w:rsid w:val="00812F47"/>
    <w:rsid w:val="0081371C"/>
    <w:rsid w:val="00813A9F"/>
    <w:rsid w:val="008140C5"/>
    <w:rsid w:val="00814173"/>
    <w:rsid w:val="0081449E"/>
    <w:rsid w:val="00814506"/>
    <w:rsid w:val="008146EC"/>
    <w:rsid w:val="00814818"/>
    <w:rsid w:val="0081496B"/>
    <w:rsid w:val="00815195"/>
    <w:rsid w:val="00815207"/>
    <w:rsid w:val="00815398"/>
    <w:rsid w:val="008153DF"/>
    <w:rsid w:val="00815497"/>
    <w:rsid w:val="00815971"/>
    <w:rsid w:val="00815A24"/>
    <w:rsid w:val="00815A4B"/>
    <w:rsid w:val="00815E08"/>
    <w:rsid w:val="00816112"/>
    <w:rsid w:val="0081622C"/>
    <w:rsid w:val="0081647F"/>
    <w:rsid w:val="00816513"/>
    <w:rsid w:val="008167A5"/>
    <w:rsid w:val="00816A42"/>
    <w:rsid w:val="00816AE5"/>
    <w:rsid w:val="00816ED6"/>
    <w:rsid w:val="00816F45"/>
    <w:rsid w:val="008170D4"/>
    <w:rsid w:val="00817276"/>
    <w:rsid w:val="0081746C"/>
    <w:rsid w:val="00817576"/>
    <w:rsid w:val="00817612"/>
    <w:rsid w:val="00817A0E"/>
    <w:rsid w:val="00817AA5"/>
    <w:rsid w:val="00817B08"/>
    <w:rsid w:val="00817C4A"/>
    <w:rsid w:val="00817DF4"/>
    <w:rsid w:val="00817E57"/>
    <w:rsid w:val="00820291"/>
    <w:rsid w:val="00820F92"/>
    <w:rsid w:val="00821959"/>
    <w:rsid w:val="00821C2C"/>
    <w:rsid w:val="00821FAB"/>
    <w:rsid w:val="00821FF7"/>
    <w:rsid w:val="0082233B"/>
    <w:rsid w:val="00822414"/>
    <w:rsid w:val="008225CB"/>
    <w:rsid w:val="008226D0"/>
    <w:rsid w:val="0082287D"/>
    <w:rsid w:val="00822988"/>
    <w:rsid w:val="00822FF5"/>
    <w:rsid w:val="0082333F"/>
    <w:rsid w:val="008234BE"/>
    <w:rsid w:val="0082350F"/>
    <w:rsid w:val="008235E6"/>
    <w:rsid w:val="00823783"/>
    <w:rsid w:val="008238F3"/>
    <w:rsid w:val="0082476C"/>
    <w:rsid w:val="00824A3F"/>
    <w:rsid w:val="00824E4E"/>
    <w:rsid w:val="008253A6"/>
    <w:rsid w:val="00825623"/>
    <w:rsid w:val="0082564F"/>
    <w:rsid w:val="008258DE"/>
    <w:rsid w:val="00825D2C"/>
    <w:rsid w:val="00825E86"/>
    <w:rsid w:val="00825F67"/>
    <w:rsid w:val="00825FF9"/>
    <w:rsid w:val="008266B8"/>
    <w:rsid w:val="00826860"/>
    <w:rsid w:val="00826C65"/>
    <w:rsid w:val="008271E7"/>
    <w:rsid w:val="00827229"/>
    <w:rsid w:val="00827365"/>
    <w:rsid w:val="00827496"/>
    <w:rsid w:val="00827622"/>
    <w:rsid w:val="0082785F"/>
    <w:rsid w:val="008278C5"/>
    <w:rsid w:val="00827D29"/>
    <w:rsid w:val="008306E5"/>
    <w:rsid w:val="00830929"/>
    <w:rsid w:val="008309CD"/>
    <w:rsid w:val="00830B1C"/>
    <w:rsid w:val="00830C4A"/>
    <w:rsid w:val="00830F17"/>
    <w:rsid w:val="0083140A"/>
    <w:rsid w:val="0083146E"/>
    <w:rsid w:val="008318FB"/>
    <w:rsid w:val="00831D3B"/>
    <w:rsid w:val="00832212"/>
    <w:rsid w:val="008325D9"/>
    <w:rsid w:val="00832784"/>
    <w:rsid w:val="00832873"/>
    <w:rsid w:val="00832B46"/>
    <w:rsid w:val="00832E7E"/>
    <w:rsid w:val="0083327F"/>
    <w:rsid w:val="0083343D"/>
    <w:rsid w:val="00833633"/>
    <w:rsid w:val="00833661"/>
    <w:rsid w:val="008336D0"/>
    <w:rsid w:val="008337BE"/>
    <w:rsid w:val="008338A4"/>
    <w:rsid w:val="0083395A"/>
    <w:rsid w:val="00833B1B"/>
    <w:rsid w:val="00833D8C"/>
    <w:rsid w:val="00833EAA"/>
    <w:rsid w:val="00834158"/>
    <w:rsid w:val="008342BE"/>
    <w:rsid w:val="0083487F"/>
    <w:rsid w:val="00834E68"/>
    <w:rsid w:val="008350B4"/>
    <w:rsid w:val="00835216"/>
    <w:rsid w:val="008352BF"/>
    <w:rsid w:val="008352F1"/>
    <w:rsid w:val="0083554E"/>
    <w:rsid w:val="00835819"/>
    <w:rsid w:val="0083588E"/>
    <w:rsid w:val="00835BD9"/>
    <w:rsid w:val="00835C46"/>
    <w:rsid w:val="00836060"/>
    <w:rsid w:val="0083613A"/>
    <w:rsid w:val="00836907"/>
    <w:rsid w:val="008369AB"/>
    <w:rsid w:val="008369D8"/>
    <w:rsid w:val="00836E35"/>
    <w:rsid w:val="00836F27"/>
    <w:rsid w:val="00837083"/>
    <w:rsid w:val="0083734D"/>
    <w:rsid w:val="008375A0"/>
    <w:rsid w:val="00837C23"/>
    <w:rsid w:val="00837C45"/>
    <w:rsid w:val="00837DC6"/>
    <w:rsid w:val="0084036C"/>
    <w:rsid w:val="00841611"/>
    <w:rsid w:val="008417D9"/>
    <w:rsid w:val="008418D2"/>
    <w:rsid w:val="00841B6E"/>
    <w:rsid w:val="00841B90"/>
    <w:rsid w:val="00841D37"/>
    <w:rsid w:val="00841E8D"/>
    <w:rsid w:val="00842033"/>
    <w:rsid w:val="008423EA"/>
    <w:rsid w:val="00842510"/>
    <w:rsid w:val="00842675"/>
    <w:rsid w:val="00842BB7"/>
    <w:rsid w:val="008436B8"/>
    <w:rsid w:val="00843934"/>
    <w:rsid w:val="00843BA5"/>
    <w:rsid w:val="00843E99"/>
    <w:rsid w:val="00843F3D"/>
    <w:rsid w:val="0084404F"/>
    <w:rsid w:val="0084424C"/>
    <w:rsid w:val="00844730"/>
    <w:rsid w:val="00844798"/>
    <w:rsid w:val="00844E00"/>
    <w:rsid w:val="00845264"/>
    <w:rsid w:val="00845447"/>
    <w:rsid w:val="008457C2"/>
    <w:rsid w:val="0084582A"/>
    <w:rsid w:val="00845D12"/>
    <w:rsid w:val="00845DC2"/>
    <w:rsid w:val="00846006"/>
    <w:rsid w:val="0084624B"/>
    <w:rsid w:val="0084626F"/>
    <w:rsid w:val="0084643A"/>
    <w:rsid w:val="0084650F"/>
    <w:rsid w:val="00846555"/>
    <w:rsid w:val="0084665C"/>
    <w:rsid w:val="00846690"/>
    <w:rsid w:val="0084677D"/>
    <w:rsid w:val="00846850"/>
    <w:rsid w:val="00846981"/>
    <w:rsid w:val="00846CB1"/>
    <w:rsid w:val="00846DCA"/>
    <w:rsid w:val="00847119"/>
    <w:rsid w:val="008472E2"/>
    <w:rsid w:val="00847AE5"/>
    <w:rsid w:val="00847D04"/>
    <w:rsid w:val="00847D66"/>
    <w:rsid w:val="00847E88"/>
    <w:rsid w:val="00850500"/>
    <w:rsid w:val="008505C6"/>
    <w:rsid w:val="00850819"/>
    <w:rsid w:val="008508B9"/>
    <w:rsid w:val="00850E4D"/>
    <w:rsid w:val="00851376"/>
    <w:rsid w:val="008514D3"/>
    <w:rsid w:val="0085156D"/>
    <w:rsid w:val="008515F1"/>
    <w:rsid w:val="00851A7D"/>
    <w:rsid w:val="00851BEA"/>
    <w:rsid w:val="00851DA5"/>
    <w:rsid w:val="008520EB"/>
    <w:rsid w:val="008525A9"/>
    <w:rsid w:val="0085266B"/>
    <w:rsid w:val="00853489"/>
    <w:rsid w:val="00853829"/>
    <w:rsid w:val="00853B54"/>
    <w:rsid w:val="00853BE4"/>
    <w:rsid w:val="00853F9D"/>
    <w:rsid w:val="008540B6"/>
    <w:rsid w:val="008540EE"/>
    <w:rsid w:val="0085423E"/>
    <w:rsid w:val="0085457E"/>
    <w:rsid w:val="008548E4"/>
    <w:rsid w:val="00854A32"/>
    <w:rsid w:val="00854DFB"/>
    <w:rsid w:val="00854F8F"/>
    <w:rsid w:val="008550C6"/>
    <w:rsid w:val="008554B8"/>
    <w:rsid w:val="0085567C"/>
    <w:rsid w:val="008556CA"/>
    <w:rsid w:val="00855D9C"/>
    <w:rsid w:val="008563A3"/>
    <w:rsid w:val="00856BF3"/>
    <w:rsid w:val="00856C3C"/>
    <w:rsid w:val="00856D9E"/>
    <w:rsid w:val="00857443"/>
    <w:rsid w:val="00857A82"/>
    <w:rsid w:val="00857D41"/>
    <w:rsid w:val="00857ED7"/>
    <w:rsid w:val="0086031A"/>
    <w:rsid w:val="008603F2"/>
    <w:rsid w:val="008605E6"/>
    <w:rsid w:val="00860A9F"/>
    <w:rsid w:val="00860B0A"/>
    <w:rsid w:val="00860B5F"/>
    <w:rsid w:val="008611BC"/>
    <w:rsid w:val="00861880"/>
    <w:rsid w:val="008619A1"/>
    <w:rsid w:val="00861D82"/>
    <w:rsid w:val="00862253"/>
    <w:rsid w:val="00862385"/>
    <w:rsid w:val="0086261F"/>
    <w:rsid w:val="008627EF"/>
    <w:rsid w:val="008629F3"/>
    <w:rsid w:val="00862EC5"/>
    <w:rsid w:val="0086335C"/>
    <w:rsid w:val="00863367"/>
    <w:rsid w:val="00863802"/>
    <w:rsid w:val="00863ED4"/>
    <w:rsid w:val="008643C2"/>
    <w:rsid w:val="008643F9"/>
    <w:rsid w:val="008644FA"/>
    <w:rsid w:val="0086456A"/>
    <w:rsid w:val="008645D3"/>
    <w:rsid w:val="008646C9"/>
    <w:rsid w:val="00864FF5"/>
    <w:rsid w:val="008650CC"/>
    <w:rsid w:val="008655E7"/>
    <w:rsid w:val="008656C2"/>
    <w:rsid w:val="008657F3"/>
    <w:rsid w:val="00865CB9"/>
    <w:rsid w:val="00865D33"/>
    <w:rsid w:val="00865D59"/>
    <w:rsid w:val="00866186"/>
    <w:rsid w:val="008664EC"/>
    <w:rsid w:val="008665ED"/>
    <w:rsid w:val="00866771"/>
    <w:rsid w:val="008668F6"/>
    <w:rsid w:val="00866E05"/>
    <w:rsid w:val="00866E4E"/>
    <w:rsid w:val="00867001"/>
    <w:rsid w:val="0086721D"/>
    <w:rsid w:val="008674C2"/>
    <w:rsid w:val="00867A05"/>
    <w:rsid w:val="00867A6D"/>
    <w:rsid w:val="00867AC2"/>
    <w:rsid w:val="00867B68"/>
    <w:rsid w:val="0087015F"/>
    <w:rsid w:val="0087074B"/>
    <w:rsid w:val="00870CEE"/>
    <w:rsid w:val="00870F88"/>
    <w:rsid w:val="008710B2"/>
    <w:rsid w:val="00871537"/>
    <w:rsid w:val="00871ACF"/>
    <w:rsid w:val="00871D0C"/>
    <w:rsid w:val="00871DF5"/>
    <w:rsid w:val="008721DA"/>
    <w:rsid w:val="0087259A"/>
    <w:rsid w:val="0087271C"/>
    <w:rsid w:val="00872A19"/>
    <w:rsid w:val="00872A3D"/>
    <w:rsid w:val="00873491"/>
    <w:rsid w:val="008737A5"/>
    <w:rsid w:val="00873836"/>
    <w:rsid w:val="00873A77"/>
    <w:rsid w:val="00873AF3"/>
    <w:rsid w:val="00873BD3"/>
    <w:rsid w:val="00873E8E"/>
    <w:rsid w:val="00873F60"/>
    <w:rsid w:val="00873F92"/>
    <w:rsid w:val="00874327"/>
    <w:rsid w:val="00874427"/>
    <w:rsid w:val="00874731"/>
    <w:rsid w:val="0087479F"/>
    <w:rsid w:val="00874C92"/>
    <w:rsid w:val="00874DE8"/>
    <w:rsid w:val="0087507A"/>
    <w:rsid w:val="0087511D"/>
    <w:rsid w:val="00875141"/>
    <w:rsid w:val="0087517E"/>
    <w:rsid w:val="0087518B"/>
    <w:rsid w:val="0087528D"/>
    <w:rsid w:val="00875343"/>
    <w:rsid w:val="00875B95"/>
    <w:rsid w:val="00875E91"/>
    <w:rsid w:val="008762FF"/>
    <w:rsid w:val="0087663B"/>
    <w:rsid w:val="00876822"/>
    <w:rsid w:val="008769DF"/>
    <w:rsid w:val="00876A9F"/>
    <w:rsid w:val="008771AD"/>
    <w:rsid w:val="00877250"/>
    <w:rsid w:val="00877442"/>
    <w:rsid w:val="0087747E"/>
    <w:rsid w:val="0087778E"/>
    <w:rsid w:val="00877CD0"/>
    <w:rsid w:val="00880B5E"/>
    <w:rsid w:val="00880BC8"/>
    <w:rsid w:val="00880FE8"/>
    <w:rsid w:val="00881157"/>
    <w:rsid w:val="008812F3"/>
    <w:rsid w:val="00881512"/>
    <w:rsid w:val="00881A67"/>
    <w:rsid w:val="00881B88"/>
    <w:rsid w:val="00881FF1"/>
    <w:rsid w:val="008823A7"/>
    <w:rsid w:val="0088252D"/>
    <w:rsid w:val="008825B3"/>
    <w:rsid w:val="008828EF"/>
    <w:rsid w:val="00882A03"/>
    <w:rsid w:val="00882DE2"/>
    <w:rsid w:val="00882FB6"/>
    <w:rsid w:val="00882FD5"/>
    <w:rsid w:val="008830A2"/>
    <w:rsid w:val="008832D9"/>
    <w:rsid w:val="00883311"/>
    <w:rsid w:val="008833C1"/>
    <w:rsid w:val="00883438"/>
    <w:rsid w:val="0088368C"/>
    <w:rsid w:val="008836BC"/>
    <w:rsid w:val="00883E21"/>
    <w:rsid w:val="00884663"/>
    <w:rsid w:val="00884AC8"/>
    <w:rsid w:val="00884DB2"/>
    <w:rsid w:val="00884ED1"/>
    <w:rsid w:val="00884FB6"/>
    <w:rsid w:val="00885223"/>
    <w:rsid w:val="00885396"/>
    <w:rsid w:val="00885450"/>
    <w:rsid w:val="00885553"/>
    <w:rsid w:val="00885737"/>
    <w:rsid w:val="008857A5"/>
    <w:rsid w:val="00885974"/>
    <w:rsid w:val="00885987"/>
    <w:rsid w:val="00885C06"/>
    <w:rsid w:val="00885CA7"/>
    <w:rsid w:val="00885E54"/>
    <w:rsid w:val="0088636C"/>
    <w:rsid w:val="0088678D"/>
    <w:rsid w:val="0088679A"/>
    <w:rsid w:val="00886814"/>
    <w:rsid w:val="00887304"/>
    <w:rsid w:val="0088761F"/>
    <w:rsid w:val="00887BD0"/>
    <w:rsid w:val="00887C19"/>
    <w:rsid w:val="00887CD8"/>
    <w:rsid w:val="00887F99"/>
    <w:rsid w:val="008902F5"/>
    <w:rsid w:val="00890634"/>
    <w:rsid w:val="00890650"/>
    <w:rsid w:val="008909B7"/>
    <w:rsid w:val="00890C56"/>
    <w:rsid w:val="00890FA9"/>
    <w:rsid w:val="00890FEF"/>
    <w:rsid w:val="0089119C"/>
    <w:rsid w:val="008914B5"/>
    <w:rsid w:val="00891AD0"/>
    <w:rsid w:val="00891F36"/>
    <w:rsid w:val="00892723"/>
    <w:rsid w:val="008927C7"/>
    <w:rsid w:val="00892A41"/>
    <w:rsid w:val="00892AB5"/>
    <w:rsid w:val="00892AD7"/>
    <w:rsid w:val="008934E9"/>
    <w:rsid w:val="00893506"/>
    <w:rsid w:val="0089369B"/>
    <w:rsid w:val="00893713"/>
    <w:rsid w:val="00893818"/>
    <w:rsid w:val="00893DA3"/>
    <w:rsid w:val="00893DFD"/>
    <w:rsid w:val="00893EF9"/>
    <w:rsid w:val="00894134"/>
    <w:rsid w:val="00894765"/>
    <w:rsid w:val="00894809"/>
    <w:rsid w:val="00894D26"/>
    <w:rsid w:val="00895389"/>
    <w:rsid w:val="00895472"/>
    <w:rsid w:val="008957E2"/>
    <w:rsid w:val="008958F9"/>
    <w:rsid w:val="00895D38"/>
    <w:rsid w:val="00895D93"/>
    <w:rsid w:val="00895FA2"/>
    <w:rsid w:val="00896099"/>
    <w:rsid w:val="008964DF"/>
    <w:rsid w:val="00896625"/>
    <w:rsid w:val="00896628"/>
    <w:rsid w:val="00896807"/>
    <w:rsid w:val="00896F65"/>
    <w:rsid w:val="00897145"/>
    <w:rsid w:val="00897313"/>
    <w:rsid w:val="0089759E"/>
    <w:rsid w:val="00897C0D"/>
    <w:rsid w:val="00897C86"/>
    <w:rsid w:val="00897D76"/>
    <w:rsid w:val="00897E12"/>
    <w:rsid w:val="008A011A"/>
    <w:rsid w:val="008A0437"/>
    <w:rsid w:val="008A0457"/>
    <w:rsid w:val="008A04E1"/>
    <w:rsid w:val="008A0DAD"/>
    <w:rsid w:val="008A0EC3"/>
    <w:rsid w:val="008A18E2"/>
    <w:rsid w:val="008A2170"/>
    <w:rsid w:val="008A21D5"/>
    <w:rsid w:val="008A2438"/>
    <w:rsid w:val="008A2501"/>
    <w:rsid w:val="008A27CC"/>
    <w:rsid w:val="008A292E"/>
    <w:rsid w:val="008A2B89"/>
    <w:rsid w:val="008A2F89"/>
    <w:rsid w:val="008A30E2"/>
    <w:rsid w:val="008A3196"/>
    <w:rsid w:val="008A3473"/>
    <w:rsid w:val="008A34A4"/>
    <w:rsid w:val="008A3644"/>
    <w:rsid w:val="008A375B"/>
    <w:rsid w:val="008A3B82"/>
    <w:rsid w:val="008A41EF"/>
    <w:rsid w:val="008A4355"/>
    <w:rsid w:val="008A43E2"/>
    <w:rsid w:val="008A4533"/>
    <w:rsid w:val="008A4748"/>
    <w:rsid w:val="008A47F3"/>
    <w:rsid w:val="008A4985"/>
    <w:rsid w:val="008A49F0"/>
    <w:rsid w:val="008A4B90"/>
    <w:rsid w:val="008A4BC0"/>
    <w:rsid w:val="008A4C2F"/>
    <w:rsid w:val="008A5A9D"/>
    <w:rsid w:val="008A5C86"/>
    <w:rsid w:val="008A5EA2"/>
    <w:rsid w:val="008A5EAB"/>
    <w:rsid w:val="008A62B2"/>
    <w:rsid w:val="008A633B"/>
    <w:rsid w:val="008A63C6"/>
    <w:rsid w:val="008A6716"/>
    <w:rsid w:val="008A6880"/>
    <w:rsid w:val="008A6B26"/>
    <w:rsid w:val="008A6C80"/>
    <w:rsid w:val="008A6CB5"/>
    <w:rsid w:val="008A72C5"/>
    <w:rsid w:val="008A72E6"/>
    <w:rsid w:val="008A742E"/>
    <w:rsid w:val="008A75D0"/>
    <w:rsid w:val="008A7874"/>
    <w:rsid w:val="008A7E0F"/>
    <w:rsid w:val="008B00E3"/>
    <w:rsid w:val="008B078A"/>
    <w:rsid w:val="008B08E2"/>
    <w:rsid w:val="008B0C96"/>
    <w:rsid w:val="008B0EF3"/>
    <w:rsid w:val="008B10ED"/>
    <w:rsid w:val="008B12F5"/>
    <w:rsid w:val="008B1402"/>
    <w:rsid w:val="008B15CE"/>
    <w:rsid w:val="008B192D"/>
    <w:rsid w:val="008B1A58"/>
    <w:rsid w:val="008B1BBB"/>
    <w:rsid w:val="008B1C8D"/>
    <w:rsid w:val="008B1CF7"/>
    <w:rsid w:val="008B1E57"/>
    <w:rsid w:val="008B20E5"/>
    <w:rsid w:val="008B212B"/>
    <w:rsid w:val="008B21E9"/>
    <w:rsid w:val="008B26CE"/>
    <w:rsid w:val="008B2D49"/>
    <w:rsid w:val="008B2D5F"/>
    <w:rsid w:val="008B31CA"/>
    <w:rsid w:val="008B3941"/>
    <w:rsid w:val="008B3DB5"/>
    <w:rsid w:val="008B41A1"/>
    <w:rsid w:val="008B426B"/>
    <w:rsid w:val="008B450E"/>
    <w:rsid w:val="008B4895"/>
    <w:rsid w:val="008B4B39"/>
    <w:rsid w:val="008B4CCC"/>
    <w:rsid w:val="008B4E58"/>
    <w:rsid w:val="008B5010"/>
    <w:rsid w:val="008B502C"/>
    <w:rsid w:val="008B516E"/>
    <w:rsid w:val="008B5196"/>
    <w:rsid w:val="008B5210"/>
    <w:rsid w:val="008B55C7"/>
    <w:rsid w:val="008B59E8"/>
    <w:rsid w:val="008B5ACB"/>
    <w:rsid w:val="008B6017"/>
    <w:rsid w:val="008B60FC"/>
    <w:rsid w:val="008B675B"/>
    <w:rsid w:val="008B6765"/>
    <w:rsid w:val="008B67FC"/>
    <w:rsid w:val="008B686C"/>
    <w:rsid w:val="008B6888"/>
    <w:rsid w:val="008B6BB8"/>
    <w:rsid w:val="008B6D49"/>
    <w:rsid w:val="008B6EC0"/>
    <w:rsid w:val="008B744E"/>
    <w:rsid w:val="008B751D"/>
    <w:rsid w:val="008B777D"/>
    <w:rsid w:val="008B77CB"/>
    <w:rsid w:val="008B793B"/>
    <w:rsid w:val="008B7C48"/>
    <w:rsid w:val="008B7DEA"/>
    <w:rsid w:val="008B7FD8"/>
    <w:rsid w:val="008C056E"/>
    <w:rsid w:val="008C0A49"/>
    <w:rsid w:val="008C0C3D"/>
    <w:rsid w:val="008C0CCF"/>
    <w:rsid w:val="008C10D9"/>
    <w:rsid w:val="008C1B2F"/>
    <w:rsid w:val="008C1BB7"/>
    <w:rsid w:val="008C1FE0"/>
    <w:rsid w:val="008C2225"/>
    <w:rsid w:val="008C294B"/>
    <w:rsid w:val="008C2AE9"/>
    <w:rsid w:val="008C33D1"/>
    <w:rsid w:val="008C3431"/>
    <w:rsid w:val="008C3892"/>
    <w:rsid w:val="008C3C05"/>
    <w:rsid w:val="008C3F6A"/>
    <w:rsid w:val="008C4229"/>
    <w:rsid w:val="008C4927"/>
    <w:rsid w:val="008C4928"/>
    <w:rsid w:val="008C4A05"/>
    <w:rsid w:val="008C4C11"/>
    <w:rsid w:val="008C5146"/>
    <w:rsid w:val="008C5543"/>
    <w:rsid w:val="008C5562"/>
    <w:rsid w:val="008C5713"/>
    <w:rsid w:val="008C5B79"/>
    <w:rsid w:val="008C5C35"/>
    <w:rsid w:val="008C5D8E"/>
    <w:rsid w:val="008C6103"/>
    <w:rsid w:val="008C6399"/>
    <w:rsid w:val="008C6414"/>
    <w:rsid w:val="008C6603"/>
    <w:rsid w:val="008C6720"/>
    <w:rsid w:val="008C6927"/>
    <w:rsid w:val="008C6949"/>
    <w:rsid w:val="008C6CD8"/>
    <w:rsid w:val="008C6EAF"/>
    <w:rsid w:val="008C70D3"/>
    <w:rsid w:val="008C710F"/>
    <w:rsid w:val="008C74AB"/>
    <w:rsid w:val="008C77C0"/>
    <w:rsid w:val="008C7AB2"/>
    <w:rsid w:val="008C7DB1"/>
    <w:rsid w:val="008D046B"/>
    <w:rsid w:val="008D098C"/>
    <w:rsid w:val="008D0A1E"/>
    <w:rsid w:val="008D0BE4"/>
    <w:rsid w:val="008D0EC6"/>
    <w:rsid w:val="008D1265"/>
    <w:rsid w:val="008D1330"/>
    <w:rsid w:val="008D1A69"/>
    <w:rsid w:val="008D1DCC"/>
    <w:rsid w:val="008D1F00"/>
    <w:rsid w:val="008D1FC9"/>
    <w:rsid w:val="008D21E0"/>
    <w:rsid w:val="008D23D9"/>
    <w:rsid w:val="008D2719"/>
    <w:rsid w:val="008D29D4"/>
    <w:rsid w:val="008D2A0D"/>
    <w:rsid w:val="008D2A6E"/>
    <w:rsid w:val="008D2E8E"/>
    <w:rsid w:val="008D3224"/>
    <w:rsid w:val="008D33B3"/>
    <w:rsid w:val="008D3823"/>
    <w:rsid w:val="008D39B8"/>
    <w:rsid w:val="008D3FA1"/>
    <w:rsid w:val="008D4062"/>
    <w:rsid w:val="008D41F9"/>
    <w:rsid w:val="008D43AD"/>
    <w:rsid w:val="008D4432"/>
    <w:rsid w:val="008D4690"/>
    <w:rsid w:val="008D4727"/>
    <w:rsid w:val="008D473F"/>
    <w:rsid w:val="008D4768"/>
    <w:rsid w:val="008D48B0"/>
    <w:rsid w:val="008D48BA"/>
    <w:rsid w:val="008D4A3F"/>
    <w:rsid w:val="008D4C94"/>
    <w:rsid w:val="008D5095"/>
    <w:rsid w:val="008D54E7"/>
    <w:rsid w:val="008D5CB6"/>
    <w:rsid w:val="008D5F0E"/>
    <w:rsid w:val="008D60FB"/>
    <w:rsid w:val="008D6267"/>
    <w:rsid w:val="008D65CF"/>
    <w:rsid w:val="008D68B9"/>
    <w:rsid w:val="008D6B07"/>
    <w:rsid w:val="008D6B8D"/>
    <w:rsid w:val="008D75CA"/>
    <w:rsid w:val="008D76ED"/>
    <w:rsid w:val="008D7912"/>
    <w:rsid w:val="008D7923"/>
    <w:rsid w:val="008D79A7"/>
    <w:rsid w:val="008E0137"/>
    <w:rsid w:val="008E03B8"/>
    <w:rsid w:val="008E075C"/>
    <w:rsid w:val="008E07BC"/>
    <w:rsid w:val="008E082F"/>
    <w:rsid w:val="008E0960"/>
    <w:rsid w:val="008E0B0A"/>
    <w:rsid w:val="008E0EDA"/>
    <w:rsid w:val="008E11CA"/>
    <w:rsid w:val="008E1471"/>
    <w:rsid w:val="008E1700"/>
    <w:rsid w:val="008E17DB"/>
    <w:rsid w:val="008E1940"/>
    <w:rsid w:val="008E20A5"/>
    <w:rsid w:val="008E2248"/>
    <w:rsid w:val="008E22AA"/>
    <w:rsid w:val="008E22F7"/>
    <w:rsid w:val="008E25ED"/>
    <w:rsid w:val="008E2A39"/>
    <w:rsid w:val="008E2CE1"/>
    <w:rsid w:val="008E2FC3"/>
    <w:rsid w:val="008E31B9"/>
    <w:rsid w:val="008E3511"/>
    <w:rsid w:val="008E354C"/>
    <w:rsid w:val="008E3759"/>
    <w:rsid w:val="008E3944"/>
    <w:rsid w:val="008E3B2C"/>
    <w:rsid w:val="008E3EC0"/>
    <w:rsid w:val="008E3FED"/>
    <w:rsid w:val="008E4267"/>
    <w:rsid w:val="008E4296"/>
    <w:rsid w:val="008E4455"/>
    <w:rsid w:val="008E449B"/>
    <w:rsid w:val="008E4946"/>
    <w:rsid w:val="008E4C06"/>
    <w:rsid w:val="008E50F6"/>
    <w:rsid w:val="008E53C0"/>
    <w:rsid w:val="008E5415"/>
    <w:rsid w:val="008E59E4"/>
    <w:rsid w:val="008E5A1F"/>
    <w:rsid w:val="008E5CEA"/>
    <w:rsid w:val="008E5DA5"/>
    <w:rsid w:val="008E6478"/>
    <w:rsid w:val="008E69E2"/>
    <w:rsid w:val="008E6A8E"/>
    <w:rsid w:val="008E6E7A"/>
    <w:rsid w:val="008E6F74"/>
    <w:rsid w:val="008E70A9"/>
    <w:rsid w:val="008E7255"/>
    <w:rsid w:val="008E74E7"/>
    <w:rsid w:val="008E75D4"/>
    <w:rsid w:val="008E7E47"/>
    <w:rsid w:val="008F0098"/>
    <w:rsid w:val="008F02C2"/>
    <w:rsid w:val="008F050C"/>
    <w:rsid w:val="008F0CBE"/>
    <w:rsid w:val="008F10DF"/>
    <w:rsid w:val="008F12CF"/>
    <w:rsid w:val="008F1612"/>
    <w:rsid w:val="008F17F5"/>
    <w:rsid w:val="008F1912"/>
    <w:rsid w:val="008F19CD"/>
    <w:rsid w:val="008F1E69"/>
    <w:rsid w:val="008F1F46"/>
    <w:rsid w:val="008F1F8A"/>
    <w:rsid w:val="008F2394"/>
    <w:rsid w:val="008F2478"/>
    <w:rsid w:val="008F25BE"/>
    <w:rsid w:val="008F27D0"/>
    <w:rsid w:val="008F2A26"/>
    <w:rsid w:val="008F2D9D"/>
    <w:rsid w:val="008F305F"/>
    <w:rsid w:val="008F3062"/>
    <w:rsid w:val="008F3087"/>
    <w:rsid w:val="008F3479"/>
    <w:rsid w:val="008F3526"/>
    <w:rsid w:val="008F3561"/>
    <w:rsid w:val="008F37C4"/>
    <w:rsid w:val="008F39A9"/>
    <w:rsid w:val="008F3E0A"/>
    <w:rsid w:val="008F3FD2"/>
    <w:rsid w:val="008F425A"/>
    <w:rsid w:val="008F4487"/>
    <w:rsid w:val="008F45C9"/>
    <w:rsid w:val="008F4711"/>
    <w:rsid w:val="008F471E"/>
    <w:rsid w:val="008F47E2"/>
    <w:rsid w:val="008F4962"/>
    <w:rsid w:val="008F4CDA"/>
    <w:rsid w:val="008F4EFD"/>
    <w:rsid w:val="008F55C8"/>
    <w:rsid w:val="008F58FC"/>
    <w:rsid w:val="008F5B40"/>
    <w:rsid w:val="008F5E8B"/>
    <w:rsid w:val="008F5FB3"/>
    <w:rsid w:val="008F627B"/>
    <w:rsid w:val="008F66DC"/>
    <w:rsid w:val="008F6877"/>
    <w:rsid w:val="008F696E"/>
    <w:rsid w:val="008F69CB"/>
    <w:rsid w:val="008F6A7F"/>
    <w:rsid w:val="008F6BBA"/>
    <w:rsid w:val="008F7000"/>
    <w:rsid w:val="008F724A"/>
    <w:rsid w:val="008F7500"/>
    <w:rsid w:val="008F7553"/>
    <w:rsid w:val="008F7B8B"/>
    <w:rsid w:val="008F7FA4"/>
    <w:rsid w:val="009003AE"/>
    <w:rsid w:val="00900920"/>
    <w:rsid w:val="00900AF1"/>
    <w:rsid w:val="00901029"/>
    <w:rsid w:val="00901586"/>
    <w:rsid w:val="00901A4C"/>
    <w:rsid w:val="009023CC"/>
    <w:rsid w:val="00902509"/>
    <w:rsid w:val="00902609"/>
    <w:rsid w:val="0090270B"/>
    <w:rsid w:val="00902EDB"/>
    <w:rsid w:val="00902EF1"/>
    <w:rsid w:val="00902F13"/>
    <w:rsid w:val="00902F2B"/>
    <w:rsid w:val="0090300E"/>
    <w:rsid w:val="009032C1"/>
    <w:rsid w:val="00903DD0"/>
    <w:rsid w:val="009041DC"/>
    <w:rsid w:val="009042DB"/>
    <w:rsid w:val="009042DC"/>
    <w:rsid w:val="00904343"/>
    <w:rsid w:val="009046A1"/>
    <w:rsid w:val="00904BD6"/>
    <w:rsid w:val="00905478"/>
    <w:rsid w:val="009054D0"/>
    <w:rsid w:val="0090550F"/>
    <w:rsid w:val="00905516"/>
    <w:rsid w:val="009056A6"/>
    <w:rsid w:val="00905AB9"/>
    <w:rsid w:val="00905C12"/>
    <w:rsid w:val="00905F8E"/>
    <w:rsid w:val="0090610F"/>
    <w:rsid w:val="0090613B"/>
    <w:rsid w:val="0090649D"/>
    <w:rsid w:val="00906820"/>
    <w:rsid w:val="00906DAC"/>
    <w:rsid w:val="00906E1D"/>
    <w:rsid w:val="00906E40"/>
    <w:rsid w:val="00907063"/>
    <w:rsid w:val="009072E5"/>
    <w:rsid w:val="00907324"/>
    <w:rsid w:val="009078C0"/>
    <w:rsid w:val="00907F68"/>
    <w:rsid w:val="00910381"/>
    <w:rsid w:val="009105A9"/>
    <w:rsid w:val="0091063B"/>
    <w:rsid w:val="00910C41"/>
    <w:rsid w:val="00910D7B"/>
    <w:rsid w:val="009111B6"/>
    <w:rsid w:val="00911472"/>
    <w:rsid w:val="009115E7"/>
    <w:rsid w:val="00911823"/>
    <w:rsid w:val="009119A7"/>
    <w:rsid w:val="00911AD8"/>
    <w:rsid w:val="00911CD9"/>
    <w:rsid w:val="00911DA9"/>
    <w:rsid w:val="009121A0"/>
    <w:rsid w:val="009123E5"/>
    <w:rsid w:val="00912540"/>
    <w:rsid w:val="009125F1"/>
    <w:rsid w:val="009125F7"/>
    <w:rsid w:val="00912B46"/>
    <w:rsid w:val="00912F2F"/>
    <w:rsid w:val="00912FB7"/>
    <w:rsid w:val="0091348F"/>
    <w:rsid w:val="00913739"/>
    <w:rsid w:val="009137EA"/>
    <w:rsid w:val="0091389C"/>
    <w:rsid w:val="00913A78"/>
    <w:rsid w:val="00913D8D"/>
    <w:rsid w:val="0091441A"/>
    <w:rsid w:val="009148CF"/>
    <w:rsid w:val="00914ADF"/>
    <w:rsid w:val="00914ECD"/>
    <w:rsid w:val="00915037"/>
    <w:rsid w:val="009154A4"/>
    <w:rsid w:val="009155FB"/>
    <w:rsid w:val="0091583A"/>
    <w:rsid w:val="009158F7"/>
    <w:rsid w:val="0091593A"/>
    <w:rsid w:val="009164F9"/>
    <w:rsid w:val="00916621"/>
    <w:rsid w:val="00916739"/>
    <w:rsid w:val="009169B5"/>
    <w:rsid w:val="009169CB"/>
    <w:rsid w:val="00916AB6"/>
    <w:rsid w:val="00916AF3"/>
    <w:rsid w:val="00916E0F"/>
    <w:rsid w:val="00917159"/>
    <w:rsid w:val="009171C7"/>
    <w:rsid w:val="009177D4"/>
    <w:rsid w:val="009179E9"/>
    <w:rsid w:val="009203E9"/>
    <w:rsid w:val="0092041F"/>
    <w:rsid w:val="00920607"/>
    <w:rsid w:val="009206C5"/>
    <w:rsid w:val="00920889"/>
    <w:rsid w:val="00920930"/>
    <w:rsid w:val="009209D4"/>
    <w:rsid w:val="009209FD"/>
    <w:rsid w:val="00920A58"/>
    <w:rsid w:val="00920A8C"/>
    <w:rsid w:val="00920AB3"/>
    <w:rsid w:val="00920C3E"/>
    <w:rsid w:val="00920F28"/>
    <w:rsid w:val="00921832"/>
    <w:rsid w:val="009219E0"/>
    <w:rsid w:val="00921AB4"/>
    <w:rsid w:val="00921E5E"/>
    <w:rsid w:val="00921F39"/>
    <w:rsid w:val="00921F55"/>
    <w:rsid w:val="009221B2"/>
    <w:rsid w:val="00922273"/>
    <w:rsid w:val="00922964"/>
    <w:rsid w:val="00922D48"/>
    <w:rsid w:val="00922FB8"/>
    <w:rsid w:val="00922FC4"/>
    <w:rsid w:val="00923148"/>
    <w:rsid w:val="0092359B"/>
    <w:rsid w:val="009238E7"/>
    <w:rsid w:val="00923C90"/>
    <w:rsid w:val="0092405F"/>
    <w:rsid w:val="0092424C"/>
    <w:rsid w:val="00924764"/>
    <w:rsid w:val="009249B2"/>
    <w:rsid w:val="00924C64"/>
    <w:rsid w:val="00925367"/>
    <w:rsid w:val="00925733"/>
    <w:rsid w:val="00925A19"/>
    <w:rsid w:val="00926755"/>
    <w:rsid w:val="00926943"/>
    <w:rsid w:val="00926A08"/>
    <w:rsid w:val="00926A94"/>
    <w:rsid w:val="00926AA0"/>
    <w:rsid w:val="00926BAE"/>
    <w:rsid w:val="00926D4F"/>
    <w:rsid w:val="00927033"/>
    <w:rsid w:val="009271A8"/>
    <w:rsid w:val="00927354"/>
    <w:rsid w:val="00927535"/>
    <w:rsid w:val="009275F3"/>
    <w:rsid w:val="00927D83"/>
    <w:rsid w:val="00927ED8"/>
    <w:rsid w:val="00927FBB"/>
    <w:rsid w:val="00930133"/>
    <w:rsid w:val="009301F7"/>
    <w:rsid w:val="009309EB"/>
    <w:rsid w:val="00930F4D"/>
    <w:rsid w:val="0093120D"/>
    <w:rsid w:val="009312A3"/>
    <w:rsid w:val="009316D4"/>
    <w:rsid w:val="00931907"/>
    <w:rsid w:val="00931B1C"/>
    <w:rsid w:val="00931D6C"/>
    <w:rsid w:val="00931E9D"/>
    <w:rsid w:val="00932773"/>
    <w:rsid w:val="00932C5D"/>
    <w:rsid w:val="00932E91"/>
    <w:rsid w:val="0093313B"/>
    <w:rsid w:val="009333AA"/>
    <w:rsid w:val="00933700"/>
    <w:rsid w:val="00933DAD"/>
    <w:rsid w:val="00933EE9"/>
    <w:rsid w:val="00933FCE"/>
    <w:rsid w:val="00934070"/>
    <w:rsid w:val="00934959"/>
    <w:rsid w:val="009349BE"/>
    <w:rsid w:val="00934A2C"/>
    <w:rsid w:val="00934B18"/>
    <w:rsid w:val="00934B4C"/>
    <w:rsid w:val="00934D16"/>
    <w:rsid w:val="00934DFB"/>
    <w:rsid w:val="00935013"/>
    <w:rsid w:val="0093501B"/>
    <w:rsid w:val="009353D7"/>
    <w:rsid w:val="009355D3"/>
    <w:rsid w:val="00935949"/>
    <w:rsid w:val="00935BCB"/>
    <w:rsid w:val="00936594"/>
    <w:rsid w:val="009366E0"/>
    <w:rsid w:val="0093685A"/>
    <w:rsid w:val="00936B61"/>
    <w:rsid w:val="00936F64"/>
    <w:rsid w:val="009370F3"/>
    <w:rsid w:val="00937444"/>
    <w:rsid w:val="0093771D"/>
    <w:rsid w:val="00937862"/>
    <w:rsid w:val="00937BCD"/>
    <w:rsid w:val="00940613"/>
    <w:rsid w:val="0094082C"/>
    <w:rsid w:val="00940AFA"/>
    <w:rsid w:val="00940DF6"/>
    <w:rsid w:val="00940FB2"/>
    <w:rsid w:val="009411A4"/>
    <w:rsid w:val="0094120E"/>
    <w:rsid w:val="009413D3"/>
    <w:rsid w:val="00941659"/>
    <w:rsid w:val="009416EC"/>
    <w:rsid w:val="00941B9C"/>
    <w:rsid w:val="00941EAA"/>
    <w:rsid w:val="00941EBA"/>
    <w:rsid w:val="00942414"/>
    <w:rsid w:val="009424DA"/>
    <w:rsid w:val="0094275B"/>
    <w:rsid w:val="009429BC"/>
    <w:rsid w:val="00942AD5"/>
    <w:rsid w:val="00942C1C"/>
    <w:rsid w:val="00942EC2"/>
    <w:rsid w:val="009431B7"/>
    <w:rsid w:val="00943552"/>
    <w:rsid w:val="00943A6F"/>
    <w:rsid w:val="00943D43"/>
    <w:rsid w:val="0094444C"/>
    <w:rsid w:val="0094464C"/>
    <w:rsid w:val="00944AC4"/>
    <w:rsid w:val="00944C2A"/>
    <w:rsid w:val="00944C59"/>
    <w:rsid w:val="00944F05"/>
    <w:rsid w:val="0094547C"/>
    <w:rsid w:val="0094599C"/>
    <w:rsid w:val="00945A2C"/>
    <w:rsid w:val="00945A76"/>
    <w:rsid w:val="00945C70"/>
    <w:rsid w:val="00945C77"/>
    <w:rsid w:val="0094696E"/>
    <w:rsid w:val="00946B9A"/>
    <w:rsid w:val="00946EFD"/>
    <w:rsid w:val="00946F18"/>
    <w:rsid w:val="009470BC"/>
    <w:rsid w:val="009475F5"/>
    <w:rsid w:val="009479ED"/>
    <w:rsid w:val="00947E15"/>
    <w:rsid w:val="009500D7"/>
    <w:rsid w:val="009502A2"/>
    <w:rsid w:val="009503D9"/>
    <w:rsid w:val="009507D3"/>
    <w:rsid w:val="009508AA"/>
    <w:rsid w:val="00950B7F"/>
    <w:rsid w:val="00950E0E"/>
    <w:rsid w:val="00951062"/>
    <w:rsid w:val="00951AE2"/>
    <w:rsid w:val="00951E65"/>
    <w:rsid w:val="0095229E"/>
    <w:rsid w:val="0095245A"/>
    <w:rsid w:val="00952502"/>
    <w:rsid w:val="0095257D"/>
    <w:rsid w:val="009529DA"/>
    <w:rsid w:val="00952AE7"/>
    <w:rsid w:val="00952BCA"/>
    <w:rsid w:val="00952E64"/>
    <w:rsid w:val="00952EDD"/>
    <w:rsid w:val="00952FD1"/>
    <w:rsid w:val="00952FE3"/>
    <w:rsid w:val="009538B9"/>
    <w:rsid w:val="00953A76"/>
    <w:rsid w:val="0095411D"/>
    <w:rsid w:val="00954147"/>
    <w:rsid w:val="009542D4"/>
    <w:rsid w:val="009542ED"/>
    <w:rsid w:val="009546E1"/>
    <w:rsid w:val="009546F4"/>
    <w:rsid w:val="00954809"/>
    <w:rsid w:val="0095497F"/>
    <w:rsid w:val="00954991"/>
    <w:rsid w:val="00954A4E"/>
    <w:rsid w:val="00954DFF"/>
    <w:rsid w:val="00954F20"/>
    <w:rsid w:val="009552C9"/>
    <w:rsid w:val="0095569B"/>
    <w:rsid w:val="009556DC"/>
    <w:rsid w:val="00955960"/>
    <w:rsid w:val="009559BF"/>
    <w:rsid w:val="00955AA1"/>
    <w:rsid w:val="00955E9C"/>
    <w:rsid w:val="00955F89"/>
    <w:rsid w:val="009562F9"/>
    <w:rsid w:val="0095634C"/>
    <w:rsid w:val="009565D1"/>
    <w:rsid w:val="009567A7"/>
    <w:rsid w:val="00956842"/>
    <w:rsid w:val="0095700E"/>
    <w:rsid w:val="00957448"/>
    <w:rsid w:val="0095753F"/>
    <w:rsid w:val="00957674"/>
    <w:rsid w:val="00957E2C"/>
    <w:rsid w:val="00960021"/>
    <w:rsid w:val="00960A27"/>
    <w:rsid w:val="00960AC4"/>
    <w:rsid w:val="00960AF4"/>
    <w:rsid w:val="009610C2"/>
    <w:rsid w:val="00961148"/>
    <w:rsid w:val="00961AAB"/>
    <w:rsid w:val="00961DDF"/>
    <w:rsid w:val="00962B4C"/>
    <w:rsid w:val="009633F4"/>
    <w:rsid w:val="009634C7"/>
    <w:rsid w:val="00963625"/>
    <w:rsid w:val="0096395A"/>
    <w:rsid w:val="00963D2D"/>
    <w:rsid w:val="0096435F"/>
    <w:rsid w:val="009643C0"/>
    <w:rsid w:val="00964642"/>
    <w:rsid w:val="00964A6F"/>
    <w:rsid w:val="00964E61"/>
    <w:rsid w:val="00964FF0"/>
    <w:rsid w:val="0096528E"/>
    <w:rsid w:val="00965364"/>
    <w:rsid w:val="00965426"/>
    <w:rsid w:val="00965692"/>
    <w:rsid w:val="00965FF1"/>
    <w:rsid w:val="009661AF"/>
    <w:rsid w:val="0096646F"/>
    <w:rsid w:val="009665AE"/>
    <w:rsid w:val="00966665"/>
    <w:rsid w:val="009666D9"/>
    <w:rsid w:val="0096684C"/>
    <w:rsid w:val="00966BE2"/>
    <w:rsid w:val="00966DEB"/>
    <w:rsid w:val="00967024"/>
    <w:rsid w:val="00967045"/>
    <w:rsid w:val="0096706E"/>
    <w:rsid w:val="0096735B"/>
    <w:rsid w:val="009673BF"/>
    <w:rsid w:val="00967592"/>
    <w:rsid w:val="009675EE"/>
    <w:rsid w:val="0096763A"/>
    <w:rsid w:val="0096766E"/>
    <w:rsid w:val="00967BDC"/>
    <w:rsid w:val="00967CCC"/>
    <w:rsid w:val="00967DAD"/>
    <w:rsid w:val="0097048E"/>
    <w:rsid w:val="00970B97"/>
    <w:rsid w:val="009712C6"/>
    <w:rsid w:val="00971629"/>
    <w:rsid w:val="00971902"/>
    <w:rsid w:val="009719FA"/>
    <w:rsid w:val="00971ADF"/>
    <w:rsid w:val="00972061"/>
    <w:rsid w:val="0097211D"/>
    <w:rsid w:val="009723AC"/>
    <w:rsid w:val="00972540"/>
    <w:rsid w:val="00972CBA"/>
    <w:rsid w:val="00972E9F"/>
    <w:rsid w:val="00973118"/>
    <w:rsid w:val="009731EE"/>
    <w:rsid w:val="00973BDF"/>
    <w:rsid w:val="00973E7C"/>
    <w:rsid w:val="00974482"/>
    <w:rsid w:val="009744E4"/>
    <w:rsid w:val="00974685"/>
    <w:rsid w:val="00974C38"/>
    <w:rsid w:val="00974CB1"/>
    <w:rsid w:val="00974D7E"/>
    <w:rsid w:val="00974EC9"/>
    <w:rsid w:val="00975034"/>
    <w:rsid w:val="009753E0"/>
    <w:rsid w:val="0097544B"/>
    <w:rsid w:val="00975C4E"/>
    <w:rsid w:val="00975E4C"/>
    <w:rsid w:val="00975F13"/>
    <w:rsid w:val="009760C3"/>
    <w:rsid w:val="00976430"/>
    <w:rsid w:val="00976577"/>
    <w:rsid w:val="00976633"/>
    <w:rsid w:val="00976CBA"/>
    <w:rsid w:val="009772CA"/>
    <w:rsid w:val="0097742E"/>
    <w:rsid w:val="009778CA"/>
    <w:rsid w:val="00977AE2"/>
    <w:rsid w:val="00977B1C"/>
    <w:rsid w:val="00977B52"/>
    <w:rsid w:val="00977B93"/>
    <w:rsid w:val="00977D82"/>
    <w:rsid w:val="00977E73"/>
    <w:rsid w:val="00977F70"/>
    <w:rsid w:val="0098038C"/>
    <w:rsid w:val="009805B0"/>
    <w:rsid w:val="009809FF"/>
    <w:rsid w:val="00980B7F"/>
    <w:rsid w:val="00980E04"/>
    <w:rsid w:val="00980EDD"/>
    <w:rsid w:val="00981174"/>
    <w:rsid w:val="0098144F"/>
    <w:rsid w:val="00981873"/>
    <w:rsid w:val="00981E2F"/>
    <w:rsid w:val="00981FBA"/>
    <w:rsid w:val="0098223E"/>
    <w:rsid w:val="0098252F"/>
    <w:rsid w:val="009827F4"/>
    <w:rsid w:val="00982A48"/>
    <w:rsid w:val="00982BBB"/>
    <w:rsid w:val="00982C0F"/>
    <w:rsid w:val="00982D5E"/>
    <w:rsid w:val="00982DA4"/>
    <w:rsid w:val="00983449"/>
    <w:rsid w:val="0098380E"/>
    <w:rsid w:val="00983CA3"/>
    <w:rsid w:val="00984007"/>
    <w:rsid w:val="00984198"/>
    <w:rsid w:val="00984776"/>
    <w:rsid w:val="00984E1B"/>
    <w:rsid w:val="0098519D"/>
    <w:rsid w:val="009853D7"/>
    <w:rsid w:val="00985879"/>
    <w:rsid w:val="00985B24"/>
    <w:rsid w:val="00985C1C"/>
    <w:rsid w:val="00985C45"/>
    <w:rsid w:val="0098608D"/>
    <w:rsid w:val="00986095"/>
    <w:rsid w:val="00986489"/>
    <w:rsid w:val="0098652C"/>
    <w:rsid w:val="009867A2"/>
    <w:rsid w:val="00986BFB"/>
    <w:rsid w:val="00986E88"/>
    <w:rsid w:val="00987846"/>
    <w:rsid w:val="00987964"/>
    <w:rsid w:val="00987A6C"/>
    <w:rsid w:val="00987E41"/>
    <w:rsid w:val="00987F72"/>
    <w:rsid w:val="009901A9"/>
    <w:rsid w:val="0099057A"/>
    <w:rsid w:val="009907F7"/>
    <w:rsid w:val="00990B08"/>
    <w:rsid w:val="00990C85"/>
    <w:rsid w:val="00990CE5"/>
    <w:rsid w:val="00991017"/>
    <w:rsid w:val="0099106A"/>
    <w:rsid w:val="009910E7"/>
    <w:rsid w:val="00991314"/>
    <w:rsid w:val="009913E4"/>
    <w:rsid w:val="00991613"/>
    <w:rsid w:val="00991BFF"/>
    <w:rsid w:val="00991CC6"/>
    <w:rsid w:val="00991EC9"/>
    <w:rsid w:val="00992087"/>
    <w:rsid w:val="009922A2"/>
    <w:rsid w:val="009923C4"/>
    <w:rsid w:val="00992497"/>
    <w:rsid w:val="009927B2"/>
    <w:rsid w:val="00992FB0"/>
    <w:rsid w:val="009932DD"/>
    <w:rsid w:val="0099354C"/>
    <w:rsid w:val="009937D9"/>
    <w:rsid w:val="00993864"/>
    <w:rsid w:val="009940D7"/>
    <w:rsid w:val="00994131"/>
    <w:rsid w:val="00994419"/>
    <w:rsid w:val="0099465A"/>
    <w:rsid w:val="00994A61"/>
    <w:rsid w:val="0099503C"/>
    <w:rsid w:val="009957F8"/>
    <w:rsid w:val="00995985"/>
    <w:rsid w:val="009959C5"/>
    <w:rsid w:val="009959C9"/>
    <w:rsid w:val="00995A4A"/>
    <w:rsid w:val="00995B97"/>
    <w:rsid w:val="00995C0D"/>
    <w:rsid w:val="0099633B"/>
    <w:rsid w:val="00996486"/>
    <w:rsid w:val="009966C9"/>
    <w:rsid w:val="00996B8A"/>
    <w:rsid w:val="00997407"/>
    <w:rsid w:val="00997A94"/>
    <w:rsid w:val="00997BC5"/>
    <w:rsid w:val="00997E31"/>
    <w:rsid w:val="00997E52"/>
    <w:rsid w:val="00997F87"/>
    <w:rsid w:val="00997FDB"/>
    <w:rsid w:val="009A0323"/>
    <w:rsid w:val="009A03A9"/>
    <w:rsid w:val="009A092B"/>
    <w:rsid w:val="009A0B3E"/>
    <w:rsid w:val="009A11B4"/>
    <w:rsid w:val="009A140A"/>
    <w:rsid w:val="009A1ABF"/>
    <w:rsid w:val="009A1B4C"/>
    <w:rsid w:val="009A1C21"/>
    <w:rsid w:val="009A1D44"/>
    <w:rsid w:val="009A22C5"/>
    <w:rsid w:val="009A2539"/>
    <w:rsid w:val="009A25F6"/>
    <w:rsid w:val="009A2749"/>
    <w:rsid w:val="009A2C0D"/>
    <w:rsid w:val="009A2DE2"/>
    <w:rsid w:val="009A30F6"/>
    <w:rsid w:val="009A33E2"/>
    <w:rsid w:val="009A3DB8"/>
    <w:rsid w:val="009A4178"/>
    <w:rsid w:val="009A4AD3"/>
    <w:rsid w:val="009A4AE5"/>
    <w:rsid w:val="009A4B37"/>
    <w:rsid w:val="009A4CC9"/>
    <w:rsid w:val="009A4EC8"/>
    <w:rsid w:val="009A4F41"/>
    <w:rsid w:val="009A5295"/>
    <w:rsid w:val="009A56F1"/>
    <w:rsid w:val="009A574A"/>
    <w:rsid w:val="009A585B"/>
    <w:rsid w:val="009A591E"/>
    <w:rsid w:val="009A5B34"/>
    <w:rsid w:val="009A5D42"/>
    <w:rsid w:val="009A607F"/>
    <w:rsid w:val="009A6186"/>
    <w:rsid w:val="009A626A"/>
    <w:rsid w:val="009A640E"/>
    <w:rsid w:val="009A65D7"/>
    <w:rsid w:val="009A68FF"/>
    <w:rsid w:val="009A69A0"/>
    <w:rsid w:val="009A6ADE"/>
    <w:rsid w:val="009A6CA2"/>
    <w:rsid w:val="009A72E5"/>
    <w:rsid w:val="009A738A"/>
    <w:rsid w:val="009A78E7"/>
    <w:rsid w:val="009A79B7"/>
    <w:rsid w:val="009A7A66"/>
    <w:rsid w:val="009A7DF4"/>
    <w:rsid w:val="009B02F7"/>
    <w:rsid w:val="009B046F"/>
    <w:rsid w:val="009B05A4"/>
    <w:rsid w:val="009B062E"/>
    <w:rsid w:val="009B0CD6"/>
    <w:rsid w:val="009B0D9C"/>
    <w:rsid w:val="009B105C"/>
    <w:rsid w:val="009B120B"/>
    <w:rsid w:val="009B1296"/>
    <w:rsid w:val="009B13D5"/>
    <w:rsid w:val="009B1688"/>
    <w:rsid w:val="009B1A6B"/>
    <w:rsid w:val="009B2084"/>
    <w:rsid w:val="009B220F"/>
    <w:rsid w:val="009B2454"/>
    <w:rsid w:val="009B2623"/>
    <w:rsid w:val="009B2830"/>
    <w:rsid w:val="009B2B4D"/>
    <w:rsid w:val="009B3386"/>
    <w:rsid w:val="009B33E4"/>
    <w:rsid w:val="009B342D"/>
    <w:rsid w:val="009B3595"/>
    <w:rsid w:val="009B381A"/>
    <w:rsid w:val="009B381B"/>
    <w:rsid w:val="009B3B35"/>
    <w:rsid w:val="009B3B7F"/>
    <w:rsid w:val="009B3C9E"/>
    <w:rsid w:val="009B401D"/>
    <w:rsid w:val="009B4027"/>
    <w:rsid w:val="009B4626"/>
    <w:rsid w:val="009B4685"/>
    <w:rsid w:val="009B4994"/>
    <w:rsid w:val="009B4CA0"/>
    <w:rsid w:val="009B4FCE"/>
    <w:rsid w:val="009B50A1"/>
    <w:rsid w:val="009B52CE"/>
    <w:rsid w:val="009B5398"/>
    <w:rsid w:val="009B53F0"/>
    <w:rsid w:val="009B5B35"/>
    <w:rsid w:val="009B5EF1"/>
    <w:rsid w:val="009B6281"/>
    <w:rsid w:val="009B62CA"/>
    <w:rsid w:val="009B6461"/>
    <w:rsid w:val="009B6585"/>
    <w:rsid w:val="009B6919"/>
    <w:rsid w:val="009B6C83"/>
    <w:rsid w:val="009B70DE"/>
    <w:rsid w:val="009B7119"/>
    <w:rsid w:val="009B7333"/>
    <w:rsid w:val="009B7765"/>
    <w:rsid w:val="009B7C38"/>
    <w:rsid w:val="009B7C50"/>
    <w:rsid w:val="009B7D05"/>
    <w:rsid w:val="009B7D9B"/>
    <w:rsid w:val="009C04E8"/>
    <w:rsid w:val="009C0618"/>
    <w:rsid w:val="009C0C08"/>
    <w:rsid w:val="009C0C46"/>
    <w:rsid w:val="009C121B"/>
    <w:rsid w:val="009C1309"/>
    <w:rsid w:val="009C15E1"/>
    <w:rsid w:val="009C1664"/>
    <w:rsid w:val="009C176D"/>
    <w:rsid w:val="009C1821"/>
    <w:rsid w:val="009C1890"/>
    <w:rsid w:val="009C1C1B"/>
    <w:rsid w:val="009C1DAB"/>
    <w:rsid w:val="009C22AA"/>
    <w:rsid w:val="009C23AE"/>
    <w:rsid w:val="009C23B6"/>
    <w:rsid w:val="009C244A"/>
    <w:rsid w:val="009C2C3F"/>
    <w:rsid w:val="009C2D00"/>
    <w:rsid w:val="009C339C"/>
    <w:rsid w:val="009C3511"/>
    <w:rsid w:val="009C3942"/>
    <w:rsid w:val="009C3BA8"/>
    <w:rsid w:val="009C3C33"/>
    <w:rsid w:val="009C3C4B"/>
    <w:rsid w:val="009C3CC1"/>
    <w:rsid w:val="009C3D85"/>
    <w:rsid w:val="009C3EF1"/>
    <w:rsid w:val="009C44EC"/>
    <w:rsid w:val="009C475A"/>
    <w:rsid w:val="009C48CD"/>
    <w:rsid w:val="009C494E"/>
    <w:rsid w:val="009C4C5F"/>
    <w:rsid w:val="009C4D2F"/>
    <w:rsid w:val="009C54CA"/>
    <w:rsid w:val="009C55AF"/>
    <w:rsid w:val="009C600C"/>
    <w:rsid w:val="009C60C5"/>
    <w:rsid w:val="009C61BB"/>
    <w:rsid w:val="009C6760"/>
    <w:rsid w:val="009C6A0D"/>
    <w:rsid w:val="009C6B63"/>
    <w:rsid w:val="009C6F5F"/>
    <w:rsid w:val="009C7131"/>
    <w:rsid w:val="009C74A3"/>
    <w:rsid w:val="009C777D"/>
    <w:rsid w:val="009C7859"/>
    <w:rsid w:val="009C7AEB"/>
    <w:rsid w:val="009C7BAA"/>
    <w:rsid w:val="009C7D21"/>
    <w:rsid w:val="009C7D64"/>
    <w:rsid w:val="009C7EA2"/>
    <w:rsid w:val="009C7F62"/>
    <w:rsid w:val="009C7F63"/>
    <w:rsid w:val="009C7FE4"/>
    <w:rsid w:val="009D037E"/>
    <w:rsid w:val="009D08CE"/>
    <w:rsid w:val="009D0D3A"/>
    <w:rsid w:val="009D0FBA"/>
    <w:rsid w:val="009D15D2"/>
    <w:rsid w:val="009D1618"/>
    <w:rsid w:val="009D181B"/>
    <w:rsid w:val="009D1822"/>
    <w:rsid w:val="009D1A08"/>
    <w:rsid w:val="009D1A38"/>
    <w:rsid w:val="009D21A7"/>
    <w:rsid w:val="009D230B"/>
    <w:rsid w:val="009D260E"/>
    <w:rsid w:val="009D2752"/>
    <w:rsid w:val="009D2C16"/>
    <w:rsid w:val="009D2ECA"/>
    <w:rsid w:val="009D33B2"/>
    <w:rsid w:val="009D33F5"/>
    <w:rsid w:val="009D3685"/>
    <w:rsid w:val="009D38F1"/>
    <w:rsid w:val="009D38F5"/>
    <w:rsid w:val="009D3A41"/>
    <w:rsid w:val="009D3EF3"/>
    <w:rsid w:val="009D42E6"/>
    <w:rsid w:val="009D53FA"/>
    <w:rsid w:val="009D5733"/>
    <w:rsid w:val="009D5770"/>
    <w:rsid w:val="009D5963"/>
    <w:rsid w:val="009D5F47"/>
    <w:rsid w:val="009D5F93"/>
    <w:rsid w:val="009D60B5"/>
    <w:rsid w:val="009D60DE"/>
    <w:rsid w:val="009D6140"/>
    <w:rsid w:val="009D67A8"/>
    <w:rsid w:val="009D6D2F"/>
    <w:rsid w:val="009D6E78"/>
    <w:rsid w:val="009D74D7"/>
    <w:rsid w:val="009D7611"/>
    <w:rsid w:val="009D767A"/>
    <w:rsid w:val="009D7969"/>
    <w:rsid w:val="009D7CFD"/>
    <w:rsid w:val="009E0289"/>
    <w:rsid w:val="009E05E3"/>
    <w:rsid w:val="009E0B61"/>
    <w:rsid w:val="009E0B84"/>
    <w:rsid w:val="009E0C30"/>
    <w:rsid w:val="009E11CC"/>
    <w:rsid w:val="009E12CB"/>
    <w:rsid w:val="009E12D8"/>
    <w:rsid w:val="009E13FC"/>
    <w:rsid w:val="009E1402"/>
    <w:rsid w:val="009E1BAF"/>
    <w:rsid w:val="009E21ED"/>
    <w:rsid w:val="009E273A"/>
    <w:rsid w:val="009E2826"/>
    <w:rsid w:val="009E2F48"/>
    <w:rsid w:val="009E3012"/>
    <w:rsid w:val="009E32CC"/>
    <w:rsid w:val="009E3B6A"/>
    <w:rsid w:val="009E3D1E"/>
    <w:rsid w:val="009E4117"/>
    <w:rsid w:val="009E45CB"/>
    <w:rsid w:val="009E4975"/>
    <w:rsid w:val="009E4E45"/>
    <w:rsid w:val="009E4E91"/>
    <w:rsid w:val="009E50CA"/>
    <w:rsid w:val="009E52EE"/>
    <w:rsid w:val="009E53DE"/>
    <w:rsid w:val="009E5525"/>
    <w:rsid w:val="009E5577"/>
    <w:rsid w:val="009E55C9"/>
    <w:rsid w:val="009E5617"/>
    <w:rsid w:val="009E58B4"/>
    <w:rsid w:val="009E5B14"/>
    <w:rsid w:val="009E5DD1"/>
    <w:rsid w:val="009E5E52"/>
    <w:rsid w:val="009E5FE1"/>
    <w:rsid w:val="009E61C0"/>
    <w:rsid w:val="009E63A1"/>
    <w:rsid w:val="009E6937"/>
    <w:rsid w:val="009E695C"/>
    <w:rsid w:val="009E69A4"/>
    <w:rsid w:val="009E6AB4"/>
    <w:rsid w:val="009E6C3E"/>
    <w:rsid w:val="009E6CC1"/>
    <w:rsid w:val="009E6D6F"/>
    <w:rsid w:val="009E761F"/>
    <w:rsid w:val="009E79F2"/>
    <w:rsid w:val="009E7C0B"/>
    <w:rsid w:val="009E7E3B"/>
    <w:rsid w:val="009F0505"/>
    <w:rsid w:val="009F074B"/>
    <w:rsid w:val="009F0941"/>
    <w:rsid w:val="009F0A4D"/>
    <w:rsid w:val="009F0DD7"/>
    <w:rsid w:val="009F0ED2"/>
    <w:rsid w:val="009F0F41"/>
    <w:rsid w:val="009F1026"/>
    <w:rsid w:val="009F156C"/>
    <w:rsid w:val="009F1747"/>
    <w:rsid w:val="009F19B5"/>
    <w:rsid w:val="009F1D4D"/>
    <w:rsid w:val="009F20B0"/>
    <w:rsid w:val="009F2659"/>
    <w:rsid w:val="009F2AF7"/>
    <w:rsid w:val="009F2EF7"/>
    <w:rsid w:val="009F3075"/>
    <w:rsid w:val="009F32AE"/>
    <w:rsid w:val="009F32C6"/>
    <w:rsid w:val="009F33BF"/>
    <w:rsid w:val="009F38F6"/>
    <w:rsid w:val="009F3CAF"/>
    <w:rsid w:val="009F40AE"/>
    <w:rsid w:val="009F4735"/>
    <w:rsid w:val="009F4EFC"/>
    <w:rsid w:val="009F50F4"/>
    <w:rsid w:val="009F51B6"/>
    <w:rsid w:val="009F5402"/>
    <w:rsid w:val="009F552D"/>
    <w:rsid w:val="009F564E"/>
    <w:rsid w:val="009F59B8"/>
    <w:rsid w:val="009F5AF5"/>
    <w:rsid w:val="009F6313"/>
    <w:rsid w:val="009F63BF"/>
    <w:rsid w:val="009F6409"/>
    <w:rsid w:val="009F6745"/>
    <w:rsid w:val="009F6C1A"/>
    <w:rsid w:val="009F6CA0"/>
    <w:rsid w:val="009F6CD8"/>
    <w:rsid w:val="009F72BB"/>
    <w:rsid w:val="009F73E1"/>
    <w:rsid w:val="009F7549"/>
    <w:rsid w:val="009F7C21"/>
    <w:rsid w:val="00A00055"/>
    <w:rsid w:val="00A00144"/>
    <w:rsid w:val="00A0073D"/>
    <w:rsid w:val="00A00B69"/>
    <w:rsid w:val="00A00BFD"/>
    <w:rsid w:val="00A0131C"/>
    <w:rsid w:val="00A017C9"/>
    <w:rsid w:val="00A01C60"/>
    <w:rsid w:val="00A01D16"/>
    <w:rsid w:val="00A01D5D"/>
    <w:rsid w:val="00A01E78"/>
    <w:rsid w:val="00A025AC"/>
    <w:rsid w:val="00A02652"/>
    <w:rsid w:val="00A02673"/>
    <w:rsid w:val="00A027FA"/>
    <w:rsid w:val="00A028A8"/>
    <w:rsid w:val="00A02A12"/>
    <w:rsid w:val="00A02BDB"/>
    <w:rsid w:val="00A0306A"/>
    <w:rsid w:val="00A03143"/>
    <w:rsid w:val="00A0334E"/>
    <w:rsid w:val="00A033C9"/>
    <w:rsid w:val="00A033DA"/>
    <w:rsid w:val="00A037F6"/>
    <w:rsid w:val="00A03A6F"/>
    <w:rsid w:val="00A044AF"/>
    <w:rsid w:val="00A04A60"/>
    <w:rsid w:val="00A04AD4"/>
    <w:rsid w:val="00A04AF7"/>
    <w:rsid w:val="00A04CFC"/>
    <w:rsid w:val="00A05269"/>
    <w:rsid w:val="00A052AC"/>
    <w:rsid w:val="00A05477"/>
    <w:rsid w:val="00A05A90"/>
    <w:rsid w:val="00A05B93"/>
    <w:rsid w:val="00A06120"/>
    <w:rsid w:val="00A0623D"/>
    <w:rsid w:val="00A06467"/>
    <w:rsid w:val="00A0686B"/>
    <w:rsid w:val="00A0692F"/>
    <w:rsid w:val="00A06AC6"/>
    <w:rsid w:val="00A06CA1"/>
    <w:rsid w:val="00A06E28"/>
    <w:rsid w:val="00A070F3"/>
    <w:rsid w:val="00A071F0"/>
    <w:rsid w:val="00A072D4"/>
    <w:rsid w:val="00A07707"/>
    <w:rsid w:val="00A07AD8"/>
    <w:rsid w:val="00A07AF5"/>
    <w:rsid w:val="00A07C4A"/>
    <w:rsid w:val="00A07E5F"/>
    <w:rsid w:val="00A104DF"/>
    <w:rsid w:val="00A10A00"/>
    <w:rsid w:val="00A10B59"/>
    <w:rsid w:val="00A10BE2"/>
    <w:rsid w:val="00A10E6B"/>
    <w:rsid w:val="00A10ED4"/>
    <w:rsid w:val="00A10F16"/>
    <w:rsid w:val="00A10FA5"/>
    <w:rsid w:val="00A113A9"/>
    <w:rsid w:val="00A11505"/>
    <w:rsid w:val="00A1170C"/>
    <w:rsid w:val="00A117B7"/>
    <w:rsid w:val="00A11AE1"/>
    <w:rsid w:val="00A11E23"/>
    <w:rsid w:val="00A11FFA"/>
    <w:rsid w:val="00A12152"/>
    <w:rsid w:val="00A12768"/>
    <w:rsid w:val="00A12867"/>
    <w:rsid w:val="00A129D6"/>
    <w:rsid w:val="00A129F4"/>
    <w:rsid w:val="00A12DA6"/>
    <w:rsid w:val="00A12F23"/>
    <w:rsid w:val="00A13103"/>
    <w:rsid w:val="00A1346B"/>
    <w:rsid w:val="00A13654"/>
    <w:rsid w:val="00A1380F"/>
    <w:rsid w:val="00A1381B"/>
    <w:rsid w:val="00A1385C"/>
    <w:rsid w:val="00A13900"/>
    <w:rsid w:val="00A13976"/>
    <w:rsid w:val="00A139B1"/>
    <w:rsid w:val="00A13D36"/>
    <w:rsid w:val="00A13DD1"/>
    <w:rsid w:val="00A154C3"/>
    <w:rsid w:val="00A15A90"/>
    <w:rsid w:val="00A15BCA"/>
    <w:rsid w:val="00A15D6A"/>
    <w:rsid w:val="00A15F71"/>
    <w:rsid w:val="00A160DA"/>
    <w:rsid w:val="00A1622F"/>
    <w:rsid w:val="00A16A61"/>
    <w:rsid w:val="00A16B1B"/>
    <w:rsid w:val="00A16D37"/>
    <w:rsid w:val="00A17003"/>
    <w:rsid w:val="00A17157"/>
    <w:rsid w:val="00A173EC"/>
    <w:rsid w:val="00A17685"/>
    <w:rsid w:val="00A1783E"/>
    <w:rsid w:val="00A17852"/>
    <w:rsid w:val="00A178DD"/>
    <w:rsid w:val="00A17EC0"/>
    <w:rsid w:val="00A20048"/>
    <w:rsid w:val="00A20353"/>
    <w:rsid w:val="00A20460"/>
    <w:rsid w:val="00A20A63"/>
    <w:rsid w:val="00A20DBC"/>
    <w:rsid w:val="00A2145C"/>
    <w:rsid w:val="00A21721"/>
    <w:rsid w:val="00A219A8"/>
    <w:rsid w:val="00A21A95"/>
    <w:rsid w:val="00A21B9A"/>
    <w:rsid w:val="00A221A0"/>
    <w:rsid w:val="00A2220D"/>
    <w:rsid w:val="00A2234D"/>
    <w:rsid w:val="00A23138"/>
    <w:rsid w:val="00A2319A"/>
    <w:rsid w:val="00A231BB"/>
    <w:rsid w:val="00A231C0"/>
    <w:rsid w:val="00A235A8"/>
    <w:rsid w:val="00A2376D"/>
    <w:rsid w:val="00A2380B"/>
    <w:rsid w:val="00A23D7A"/>
    <w:rsid w:val="00A23FFF"/>
    <w:rsid w:val="00A24010"/>
    <w:rsid w:val="00A24527"/>
    <w:rsid w:val="00A24801"/>
    <w:rsid w:val="00A249BF"/>
    <w:rsid w:val="00A24E43"/>
    <w:rsid w:val="00A24E67"/>
    <w:rsid w:val="00A24F19"/>
    <w:rsid w:val="00A2510D"/>
    <w:rsid w:val="00A25182"/>
    <w:rsid w:val="00A25228"/>
    <w:rsid w:val="00A253D7"/>
    <w:rsid w:val="00A2546A"/>
    <w:rsid w:val="00A2547A"/>
    <w:rsid w:val="00A254D2"/>
    <w:rsid w:val="00A2556A"/>
    <w:rsid w:val="00A2561A"/>
    <w:rsid w:val="00A25621"/>
    <w:rsid w:val="00A2572D"/>
    <w:rsid w:val="00A25B0A"/>
    <w:rsid w:val="00A25B6D"/>
    <w:rsid w:val="00A25E38"/>
    <w:rsid w:val="00A262AF"/>
    <w:rsid w:val="00A2643F"/>
    <w:rsid w:val="00A26639"/>
    <w:rsid w:val="00A26681"/>
    <w:rsid w:val="00A26943"/>
    <w:rsid w:val="00A26C11"/>
    <w:rsid w:val="00A26F8A"/>
    <w:rsid w:val="00A27205"/>
    <w:rsid w:val="00A2742D"/>
    <w:rsid w:val="00A275D7"/>
    <w:rsid w:val="00A27D56"/>
    <w:rsid w:val="00A27D5F"/>
    <w:rsid w:val="00A30211"/>
    <w:rsid w:val="00A3090A"/>
    <w:rsid w:val="00A30A66"/>
    <w:rsid w:val="00A30DA9"/>
    <w:rsid w:val="00A31632"/>
    <w:rsid w:val="00A317DD"/>
    <w:rsid w:val="00A32032"/>
    <w:rsid w:val="00A3207B"/>
    <w:rsid w:val="00A320D6"/>
    <w:rsid w:val="00A322CA"/>
    <w:rsid w:val="00A3259F"/>
    <w:rsid w:val="00A328B3"/>
    <w:rsid w:val="00A329E8"/>
    <w:rsid w:val="00A32BAF"/>
    <w:rsid w:val="00A32F4A"/>
    <w:rsid w:val="00A33604"/>
    <w:rsid w:val="00A33976"/>
    <w:rsid w:val="00A339A3"/>
    <w:rsid w:val="00A33BB5"/>
    <w:rsid w:val="00A33CDB"/>
    <w:rsid w:val="00A33F2C"/>
    <w:rsid w:val="00A33F57"/>
    <w:rsid w:val="00A34040"/>
    <w:rsid w:val="00A344B3"/>
    <w:rsid w:val="00A34625"/>
    <w:rsid w:val="00A34A7E"/>
    <w:rsid w:val="00A3515F"/>
    <w:rsid w:val="00A356AE"/>
    <w:rsid w:val="00A3575D"/>
    <w:rsid w:val="00A357AB"/>
    <w:rsid w:val="00A357FF"/>
    <w:rsid w:val="00A359A7"/>
    <w:rsid w:val="00A35CBB"/>
    <w:rsid w:val="00A35CE3"/>
    <w:rsid w:val="00A35E49"/>
    <w:rsid w:val="00A3607C"/>
    <w:rsid w:val="00A36098"/>
    <w:rsid w:val="00A36165"/>
    <w:rsid w:val="00A36354"/>
    <w:rsid w:val="00A363BD"/>
    <w:rsid w:val="00A36B39"/>
    <w:rsid w:val="00A36B9D"/>
    <w:rsid w:val="00A36D42"/>
    <w:rsid w:val="00A37440"/>
    <w:rsid w:val="00A3756B"/>
    <w:rsid w:val="00A3760F"/>
    <w:rsid w:val="00A376DC"/>
    <w:rsid w:val="00A379F0"/>
    <w:rsid w:val="00A379F5"/>
    <w:rsid w:val="00A405E8"/>
    <w:rsid w:val="00A40EE9"/>
    <w:rsid w:val="00A40F16"/>
    <w:rsid w:val="00A411BD"/>
    <w:rsid w:val="00A41365"/>
    <w:rsid w:val="00A4193D"/>
    <w:rsid w:val="00A41959"/>
    <w:rsid w:val="00A4206A"/>
    <w:rsid w:val="00A420E9"/>
    <w:rsid w:val="00A42259"/>
    <w:rsid w:val="00A426BF"/>
    <w:rsid w:val="00A427A2"/>
    <w:rsid w:val="00A4297C"/>
    <w:rsid w:val="00A42CF6"/>
    <w:rsid w:val="00A42D88"/>
    <w:rsid w:val="00A42E32"/>
    <w:rsid w:val="00A42F03"/>
    <w:rsid w:val="00A430F9"/>
    <w:rsid w:val="00A43282"/>
    <w:rsid w:val="00A43286"/>
    <w:rsid w:val="00A43685"/>
    <w:rsid w:val="00A43843"/>
    <w:rsid w:val="00A439A9"/>
    <w:rsid w:val="00A43CAE"/>
    <w:rsid w:val="00A43D5D"/>
    <w:rsid w:val="00A440BB"/>
    <w:rsid w:val="00A44165"/>
    <w:rsid w:val="00A44265"/>
    <w:rsid w:val="00A443E5"/>
    <w:rsid w:val="00A44446"/>
    <w:rsid w:val="00A4449E"/>
    <w:rsid w:val="00A44E84"/>
    <w:rsid w:val="00A44EAD"/>
    <w:rsid w:val="00A456BE"/>
    <w:rsid w:val="00A4583D"/>
    <w:rsid w:val="00A458BB"/>
    <w:rsid w:val="00A45C15"/>
    <w:rsid w:val="00A45D58"/>
    <w:rsid w:val="00A46904"/>
    <w:rsid w:val="00A46B7B"/>
    <w:rsid w:val="00A46BA2"/>
    <w:rsid w:val="00A46F61"/>
    <w:rsid w:val="00A46FDF"/>
    <w:rsid w:val="00A47090"/>
    <w:rsid w:val="00A4737C"/>
    <w:rsid w:val="00A477D3"/>
    <w:rsid w:val="00A47911"/>
    <w:rsid w:val="00A47F9F"/>
    <w:rsid w:val="00A503DE"/>
    <w:rsid w:val="00A508E5"/>
    <w:rsid w:val="00A509E2"/>
    <w:rsid w:val="00A50B61"/>
    <w:rsid w:val="00A50B7B"/>
    <w:rsid w:val="00A50D2D"/>
    <w:rsid w:val="00A50F2F"/>
    <w:rsid w:val="00A50FA3"/>
    <w:rsid w:val="00A50FCF"/>
    <w:rsid w:val="00A512A5"/>
    <w:rsid w:val="00A51744"/>
    <w:rsid w:val="00A517B4"/>
    <w:rsid w:val="00A51E46"/>
    <w:rsid w:val="00A52457"/>
    <w:rsid w:val="00A528D1"/>
    <w:rsid w:val="00A52D34"/>
    <w:rsid w:val="00A531DA"/>
    <w:rsid w:val="00A5335B"/>
    <w:rsid w:val="00A5337B"/>
    <w:rsid w:val="00A53982"/>
    <w:rsid w:val="00A53D16"/>
    <w:rsid w:val="00A54597"/>
    <w:rsid w:val="00A54861"/>
    <w:rsid w:val="00A54AB9"/>
    <w:rsid w:val="00A54B5A"/>
    <w:rsid w:val="00A54DD8"/>
    <w:rsid w:val="00A550B7"/>
    <w:rsid w:val="00A551AD"/>
    <w:rsid w:val="00A55219"/>
    <w:rsid w:val="00A55B8D"/>
    <w:rsid w:val="00A55C7B"/>
    <w:rsid w:val="00A55EEF"/>
    <w:rsid w:val="00A55FD1"/>
    <w:rsid w:val="00A5642C"/>
    <w:rsid w:val="00A56499"/>
    <w:rsid w:val="00A564DC"/>
    <w:rsid w:val="00A565AC"/>
    <w:rsid w:val="00A568C6"/>
    <w:rsid w:val="00A57053"/>
    <w:rsid w:val="00A578E6"/>
    <w:rsid w:val="00A57B49"/>
    <w:rsid w:val="00A57E57"/>
    <w:rsid w:val="00A57F82"/>
    <w:rsid w:val="00A60070"/>
    <w:rsid w:val="00A60593"/>
    <w:rsid w:val="00A60715"/>
    <w:rsid w:val="00A60DF4"/>
    <w:rsid w:val="00A610CD"/>
    <w:rsid w:val="00A615B0"/>
    <w:rsid w:val="00A61F90"/>
    <w:rsid w:val="00A62016"/>
    <w:rsid w:val="00A62098"/>
    <w:rsid w:val="00A6209A"/>
    <w:rsid w:val="00A620C5"/>
    <w:rsid w:val="00A62487"/>
    <w:rsid w:val="00A627D2"/>
    <w:rsid w:val="00A627DA"/>
    <w:rsid w:val="00A628DA"/>
    <w:rsid w:val="00A62B85"/>
    <w:rsid w:val="00A62B9E"/>
    <w:rsid w:val="00A62C2D"/>
    <w:rsid w:val="00A62C3B"/>
    <w:rsid w:val="00A62CF1"/>
    <w:rsid w:val="00A63437"/>
    <w:rsid w:val="00A635E2"/>
    <w:rsid w:val="00A637C7"/>
    <w:rsid w:val="00A63A78"/>
    <w:rsid w:val="00A640EF"/>
    <w:rsid w:val="00A6411A"/>
    <w:rsid w:val="00A64923"/>
    <w:rsid w:val="00A64A93"/>
    <w:rsid w:val="00A65066"/>
    <w:rsid w:val="00A65569"/>
    <w:rsid w:val="00A65638"/>
    <w:rsid w:val="00A65830"/>
    <w:rsid w:val="00A658E1"/>
    <w:rsid w:val="00A65954"/>
    <w:rsid w:val="00A65AC3"/>
    <w:rsid w:val="00A65ACB"/>
    <w:rsid w:val="00A65CC1"/>
    <w:rsid w:val="00A65FB0"/>
    <w:rsid w:val="00A66084"/>
    <w:rsid w:val="00A66363"/>
    <w:rsid w:val="00A66490"/>
    <w:rsid w:val="00A666C4"/>
    <w:rsid w:val="00A67020"/>
    <w:rsid w:val="00A67303"/>
    <w:rsid w:val="00A673A8"/>
    <w:rsid w:val="00A678A1"/>
    <w:rsid w:val="00A678CE"/>
    <w:rsid w:val="00A6797B"/>
    <w:rsid w:val="00A679A7"/>
    <w:rsid w:val="00A67C6B"/>
    <w:rsid w:val="00A67FD8"/>
    <w:rsid w:val="00A7030D"/>
    <w:rsid w:val="00A7105A"/>
    <w:rsid w:val="00A71400"/>
    <w:rsid w:val="00A714AB"/>
    <w:rsid w:val="00A7190E"/>
    <w:rsid w:val="00A71B46"/>
    <w:rsid w:val="00A71B59"/>
    <w:rsid w:val="00A72174"/>
    <w:rsid w:val="00A7230A"/>
    <w:rsid w:val="00A72957"/>
    <w:rsid w:val="00A729D1"/>
    <w:rsid w:val="00A72A35"/>
    <w:rsid w:val="00A72E2D"/>
    <w:rsid w:val="00A72EDD"/>
    <w:rsid w:val="00A731BF"/>
    <w:rsid w:val="00A73269"/>
    <w:rsid w:val="00A73892"/>
    <w:rsid w:val="00A73B2E"/>
    <w:rsid w:val="00A73B7E"/>
    <w:rsid w:val="00A7401D"/>
    <w:rsid w:val="00A7407B"/>
    <w:rsid w:val="00A7408E"/>
    <w:rsid w:val="00A740B9"/>
    <w:rsid w:val="00A74A27"/>
    <w:rsid w:val="00A74AA1"/>
    <w:rsid w:val="00A757F2"/>
    <w:rsid w:val="00A75A9C"/>
    <w:rsid w:val="00A75B29"/>
    <w:rsid w:val="00A76046"/>
    <w:rsid w:val="00A76263"/>
    <w:rsid w:val="00A76873"/>
    <w:rsid w:val="00A76DB5"/>
    <w:rsid w:val="00A77001"/>
    <w:rsid w:val="00A77801"/>
    <w:rsid w:val="00A77C7A"/>
    <w:rsid w:val="00A77E21"/>
    <w:rsid w:val="00A80502"/>
    <w:rsid w:val="00A807F2"/>
    <w:rsid w:val="00A80A6B"/>
    <w:rsid w:val="00A80D36"/>
    <w:rsid w:val="00A80E92"/>
    <w:rsid w:val="00A81008"/>
    <w:rsid w:val="00A814EE"/>
    <w:rsid w:val="00A81617"/>
    <w:rsid w:val="00A817B6"/>
    <w:rsid w:val="00A81A2C"/>
    <w:rsid w:val="00A81D4D"/>
    <w:rsid w:val="00A81DE1"/>
    <w:rsid w:val="00A81E6D"/>
    <w:rsid w:val="00A81E88"/>
    <w:rsid w:val="00A82364"/>
    <w:rsid w:val="00A8239B"/>
    <w:rsid w:val="00A82517"/>
    <w:rsid w:val="00A825A1"/>
    <w:rsid w:val="00A82EA7"/>
    <w:rsid w:val="00A831E4"/>
    <w:rsid w:val="00A83678"/>
    <w:rsid w:val="00A837F7"/>
    <w:rsid w:val="00A8380C"/>
    <w:rsid w:val="00A83D29"/>
    <w:rsid w:val="00A83D2C"/>
    <w:rsid w:val="00A84096"/>
    <w:rsid w:val="00A8423F"/>
    <w:rsid w:val="00A842A0"/>
    <w:rsid w:val="00A84314"/>
    <w:rsid w:val="00A84403"/>
    <w:rsid w:val="00A84477"/>
    <w:rsid w:val="00A8492D"/>
    <w:rsid w:val="00A849C5"/>
    <w:rsid w:val="00A84A29"/>
    <w:rsid w:val="00A84D3B"/>
    <w:rsid w:val="00A84EEE"/>
    <w:rsid w:val="00A8532D"/>
    <w:rsid w:val="00A85477"/>
    <w:rsid w:val="00A8571D"/>
    <w:rsid w:val="00A859F8"/>
    <w:rsid w:val="00A85C23"/>
    <w:rsid w:val="00A85E23"/>
    <w:rsid w:val="00A85F99"/>
    <w:rsid w:val="00A862F8"/>
    <w:rsid w:val="00A866D0"/>
    <w:rsid w:val="00A86937"/>
    <w:rsid w:val="00A86C0A"/>
    <w:rsid w:val="00A86D00"/>
    <w:rsid w:val="00A86F06"/>
    <w:rsid w:val="00A8707F"/>
    <w:rsid w:val="00A87156"/>
    <w:rsid w:val="00A87157"/>
    <w:rsid w:val="00A8761A"/>
    <w:rsid w:val="00A87819"/>
    <w:rsid w:val="00A87877"/>
    <w:rsid w:val="00A90034"/>
    <w:rsid w:val="00A9097D"/>
    <w:rsid w:val="00A90A31"/>
    <w:rsid w:val="00A90B35"/>
    <w:rsid w:val="00A912E1"/>
    <w:rsid w:val="00A91484"/>
    <w:rsid w:val="00A918C1"/>
    <w:rsid w:val="00A9258C"/>
    <w:rsid w:val="00A92B2D"/>
    <w:rsid w:val="00A92D19"/>
    <w:rsid w:val="00A92E97"/>
    <w:rsid w:val="00A93138"/>
    <w:rsid w:val="00A93522"/>
    <w:rsid w:val="00A9366F"/>
    <w:rsid w:val="00A93F13"/>
    <w:rsid w:val="00A94080"/>
    <w:rsid w:val="00A9421E"/>
    <w:rsid w:val="00A94E0E"/>
    <w:rsid w:val="00A94E9F"/>
    <w:rsid w:val="00A94F3C"/>
    <w:rsid w:val="00A950BC"/>
    <w:rsid w:val="00A9538F"/>
    <w:rsid w:val="00A953BF"/>
    <w:rsid w:val="00A95457"/>
    <w:rsid w:val="00A95535"/>
    <w:rsid w:val="00A95679"/>
    <w:rsid w:val="00A95835"/>
    <w:rsid w:val="00A95C36"/>
    <w:rsid w:val="00A95C6E"/>
    <w:rsid w:val="00A95CBB"/>
    <w:rsid w:val="00A95CF3"/>
    <w:rsid w:val="00A96001"/>
    <w:rsid w:val="00A970C5"/>
    <w:rsid w:val="00A972D1"/>
    <w:rsid w:val="00A978BF"/>
    <w:rsid w:val="00A97B33"/>
    <w:rsid w:val="00A97BA9"/>
    <w:rsid w:val="00A97FB6"/>
    <w:rsid w:val="00AA027F"/>
    <w:rsid w:val="00AA048A"/>
    <w:rsid w:val="00AA04A2"/>
    <w:rsid w:val="00AA0751"/>
    <w:rsid w:val="00AA087A"/>
    <w:rsid w:val="00AA09A2"/>
    <w:rsid w:val="00AA09AD"/>
    <w:rsid w:val="00AA09B7"/>
    <w:rsid w:val="00AA1294"/>
    <w:rsid w:val="00AA14CB"/>
    <w:rsid w:val="00AA1D44"/>
    <w:rsid w:val="00AA1D67"/>
    <w:rsid w:val="00AA26F7"/>
    <w:rsid w:val="00AA299D"/>
    <w:rsid w:val="00AA2DB1"/>
    <w:rsid w:val="00AA2DB7"/>
    <w:rsid w:val="00AA32A7"/>
    <w:rsid w:val="00AA3666"/>
    <w:rsid w:val="00AA380B"/>
    <w:rsid w:val="00AA3A92"/>
    <w:rsid w:val="00AA3CC3"/>
    <w:rsid w:val="00AA3DE2"/>
    <w:rsid w:val="00AA3DF8"/>
    <w:rsid w:val="00AA3F11"/>
    <w:rsid w:val="00AA42C4"/>
    <w:rsid w:val="00AA4463"/>
    <w:rsid w:val="00AA477C"/>
    <w:rsid w:val="00AA4D9D"/>
    <w:rsid w:val="00AA50BE"/>
    <w:rsid w:val="00AA54F6"/>
    <w:rsid w:val="00AA556F"/>
    <w:rsid w:val="00AA56D0"/>
    <w:rsid w:val="00AA5754"/>
    <w:rsid w:val="00AA61E8"/>
    <w:rsid w:val="00AA6473"/>
    <w:rsid w:val="00AA64DD"/>
    <w:rsid w:val="00AA652D"/>
    <w:rsid w:val="00AA695B"/>
    <w:rsid w:val="00AA7736"/>
    <w:rsid w:val="00AA78EE"/>
    <w:rsid w:val="00AA7937"/>
    <w:rsid w:val="00AA7DEB"/>
    <w:rsid w:val="00AA7F6F"/>
    <w:rsid w:val="00AA7FE0"/>
    <w:rsid w:val="00AB00C5"/>
    <w:rsid w:val="00AB0116"/>
    <w:rsid w:val="00AB0351"/>
    <w:rsid w:val="00AB0512"/>
    <w:rsid w:val="00AB0C45"/>
    <w:rsid w:val="00AB0E74"/>
    <w:rsid w:val="00AB1082"/>
    <w:rsid w:val="00AB1190"/>
    <w:rsid w:val="00AB1501"/>
    <w:rsid w:val="00AB15C9"/>
    <w:rsid w:val="00AB184F"/>
    <w:rsid w:val="00AB190A"/>
    <w:rsid w:val="00AB1C07"/>
    <w:rsid w:val="00AB1D5F"/>
    <w:rsid w:val="00AB1DE7"/>
    <w:rsid w:val="00AB21D6"/>
    <w:rsid w:val="00AB259A"/>
    <w:rsid w:val="00AB2716"/>
    <w:rsid w:val="00AB2F76"/>
    <w:rsid w:val="00AB3046"/>
    <w:rsid w:val="00AB314E"/>
    <w:rsid w:val="00AB36A9"/>
    <w:rsid w:val="00AB3B18"/>
    <w:rsid w:val="00AB3EDA"/>
    <w:rsid w:val="00AB43F6"/>
    <w:rsid w:val="00AB446E"/>
    <w:rsid w:val="00AB48B7"/>
    <w:rsid w:val="00AB52F0"/>
    <w:rsid w:val="00AB53F1"/>
    <w:rsid w:val="00AB547F"/>
    <w:rsid w:val="00AB5770"/>
    <w:rsid w:val="00AB5BFB"/>
    <w:rsid w:val="00AB5CE7"/>
    <w:rsid w:val="00AB60D9"/>
    <w:rsid w:val="00AB61E4"/>
    <w:rsid w:val="00AB624E"/>
    <w:rsid w:val="00AB62FD"/>
    <w:rsid w:val="00AB6544"/>
    <w:rsid w:val="00AB66AE"/>
    <w:rsid w:val="00AB66BF"/>
    <w:rsid w:val="00AB6874"/>
    <w:rsid w:val="00AB6EEE"/>
    <w:rsid w:val="00AB7183"/>
    <w:rsid w:val="00AB75C6"/>
    <w:rsid w:val="00AB76A6"/>
    <w:rsid w:val="00AB7D09"/>
    <w:rsid w:val="00AB7E0F"/>
    <w:rsid w:val="00AC00C7"/>
    <w:rsid w:val="00AC0121"/>
    <w:rsid w:val="00AC0177"/>
    <w:rsid w:val="00AC02FB"/>
    <w:rsid w:val="00AC09AA"/>
    <w:rsid w:val="00AC0D64"/>
    <w:rsid w:val="00AC0E16"/>
    <w:rsid w:val="00AC1166"/>
    <w:rsid w:val="00AC1248"/>
    <w:rsid w:val="00AC19CB"/>
    <w:rsid w:val="00AC1C1E"/>
    <w:rsid w:val="00AC21C1"/>
    <w:rsid w:val="00AC2928"/>
    <w:rsid w:val="00AC2AC5"/>
    <w:rsid w:val="00AC2E7F"/>
    <w:rsid w:val="00AC3102"/>
    <w:rsid w:val="00AC3617"/>
    <w:rsid w:val="00AC3C4D"/>
    <w:rsid w:val="00AC3D40"/>
    <w:rsid w:val="00AC3E50"/>
    <w:rsid w:val="00AC3E53"/>
    <w:rsid w:val="00AC4030"/>
    <w:rsid w:val="00AC4285"/>
    <w:rsid w:val="00AC42C7"/>
    <w:rsid w:val="00AC4BEC"/>
    <w:rsid w:val="00AC503E"/>
    <w:rsid w:val="00AC534C"/>
    <w:rsid w:val="00AC5504"/>
    <w:rsid w:val="00AC5976"/>
    <w:rsid w:val="00AC5AD5"/>
    <w:rsid w:val="00AC5ADF"/>
    <w:rsid w:val="00AC5B1D"/>
    <w:rsid w:val="00AC5B89"/>
    <w:rsid w:val="00AC5F68"/>
    <w:rsid w:val="00AC6687"/>
    <w:rsid w:val="00AC678E"/>
    <w:rsid w:val="00AC6C7A"/>
    <w:rsid w:val="00AC6D1C"/>
    <w:rsid w:val="00AC6DFA"/>
    <w:rsid w:val="00AC7163"/>
    <w:rsid w:val="00AC72A3"/>
    <w:rsid w:val="00AC74B7"/>
    <w:rsid w:val="00AC750B"/>
    <w:rsid w:val="00AC766D"/>
    <w:rsid w:val="00AC7A83"/>
    <w:rsid w:val="00AC7CE6"/>
    <w:rsid w:val="00AC7E43"/>
    <w:rsid w:val="00AC7FB7"/>
    <w:rsid w:val="00AD040E"/>
    <w:rsid w:val="00AD0B73"/>
    <w:rsid w:val="00AD10FD"/>
    <w:rsid w:val="00AD1142"/>
    <w:rsid w:val="00AD1157"/>
    <w:rsid w:val="00AD198B"/>
    <w:rsid w:val="00AD1AC2"/>
    <w:rsid w:val="00AD1B9D"/>
    <w:rsid w:val="00AD1C92"/>
    <w:rsid w:val="00AD1D81"/>
    <w:rsid w:val="00AD1DB5"/>
    <w:rsid w:val="00AD1F92"/>
    <w:rsid w:val="00AD20C3"/>
    <w:rsid w:val="00AD2893"/>
    <w:rsid w:val="00AD2972"/>
    <w:rsid w:val="00AD2C61"/>
    <w:rsid w:val="00AD2CA9"/>
    <w:rsid w:val="00AD2DA0"/>
    <w:rsid w:val="00AD2F8F"/>
    <w:rsid w:val="00AD3083"/>
    <w:rsid w:val="00AD30AA"/>
    <w:rsid w:val="00AD31E9"/>
    <w:rsid w:val="00AD32A1"/>
    <w:rsid w:val="00AD3494"/>
    <w:rsid w:val="00AD34CF"/>
    <w:rsid w:val="00AD3691"/>
    <w:rsid w:val="00AD3B36"/>
    <w:rsid w:val="00AD3BFB"/>
    <w:rsid w:val="00AD4156"/>
    <w:rsid w:val="00AD446C"/>
    <w:rsid w:val="00AD44F8"/>
    <w:rsid w:val="00AD452F"/>
    <w:rsid w:val="00AD4659"/>
    <w:rsid w:val="00AD4990"/>
    <w:rsid w:val="00AD534E"/>
    <w:rsid w:val="00AD5703"/>
    <w:rsid w:val="00AD573B"/>
    <w:rsid w:val="00AD5D4D"/>
    <w:rsid w:val="00AD5D94"/>
    <w:rsid w:val="00AD6380"/>
    <w:rsid w:val="00AD6856"/>
    <w:rsid w:val="00AD68E8"/>
    <w:rsid w:val="00AD6A7C"/>
    <w:rsid w:val="00AD6F41"/>
    <w:rsid w:val="00AD7098"/>
    <w:rsid w:val="00AD7BB2"/>
    <w:rsid w:val="00AD7D00"/>
    <w:rsid w:val="00AD7F25"/>
    <w:rsid w:val="00AD7F4B"/>
    <w:rsid w:val="00AD7FD7"/>
    <w:rsid w:val="00AE02FB"/>
    <w:rsid w:val="00AE05ED"/>
    <w:rsid w:val="00AE063F"/>
    <w:rsid w:val="00AE0CEB"/>
    <w:rsid w:val="00AE0EE6"/>
    <w:rsid w:val="00AE103A"/>
    <w:rsid w:val="00AE1585"/>
    <w:rsid w:val="00AE16D7"/>
    <w:rsid w:val="00AE16DB"/>
    <w:rsid w:val="00AE16F7"/>
    <w:rsid w:val="00AE1770"/>
    <w:rsid w:val="00AE185A"/>
    <w:rsid w:val="00AE1C57"/>
    <w:rsid w:val="00AE20CB"/>
    <w:rsid w:val="00AE2101"/>
    <w:rsid w:val="00AE2548"/>
    <w:rsid w:val="00AE2C5D"/>
    <w:rsid w:val="00AE2D52"/>
    <w:rsid w:val="00AE32FE"/>
    <w:rsid w:val="00AE3479"/>
    <w:rsid w:val="00AE3A24"/>
    <w:rsid w:val="00AE3C08"/>
    <w:rsid w:val="00AE46DB"/>
    <w:rsid w:val="00AE472C"/>
    <w:rsid w:val="00AE48BB"/>
    <w:rsid w:val="00AE4924"/>
    <w:rsid w:val="00AE4D51"/>
    <w:rsid w:val="00AE4FC5"/>
    <w:rsid w:val="00AE5488"/>
    <w:rsid w:val="00AE54EB"/>
    <w:rsid w:val="00AE5CC4"/>
    <w:rsid w:val="00AE5CDA"/>
    <w:rsid w:val="00AE5FFD"/>
    <w:rsid w:val="00AE60F2"/>
    <w:rsid w:val="00AE6775"/>
    <w:rsid w:val="00AE67C6"/>
    <w:rsid w:val="00AE68F1"/>
    <w:rsid w:val="00AE6AC2"/>
    <w:rsid w:val="00AE6B83"/>
    <w:rsid w:val="00AE6BC9"/>
    <w:rsid w:val="00AE6C70"/>
    <w:rsid w:val="00AE6DE4"/>
    <w:rsid w:val="00AE6F59"/>
    <w:rsid w:val="00AE6F91"/>
    <w:rsid w:val="00AE702A"/>
    <w:rsid w:val="00AE73B1"/>
    <w:rsid w:val="00AE74FE"/>
    <w:rsid w:val="00AE7715"/>
    <w:rsid w:val="00AE77C4"/>
    <w:rsid w:val="00AF03CA"/>
    <w:rsid w:val="00AF05C1"/>
    <w:rsid w:val="00AF076C"/>
    <w:rsid w:val="00AF0937"/>
    <w:rsid w:val="00AF0AE2"/>
    <w:rsid w:val="00AF0B04"/>
    <w:rsid w:val="00AF0DA1"/>
    <w:rsid w:val="00AF0FB9"/>
    <w:rsid w:val="00AF122B"/>
    <w:rsid w:val="00AF127A"/>
    <w:rsid w:val="00AF17B0"/>
    <w:rsid w:val="00AF1CC1"/>
    <w:rsid w:val="00AF1EC1"/>
    <w:rsid w:val="00AF2050"/>
    <w:rsid w:val="00AF2089"/>
    <w:rsid w:val="00AF215A"/>
    <w:rsid w:val="00AF240F"/>
    <w:rsid w:val="00AF284A"/>
    <w:rsid w:val="00AF298E"/>
    <w:rsid w:val="00AF2D6E"/>
    <w:rsid w:val="00AF3064"/>
    <w:rsid w:val="00AF3513"/>
    <w:rsid w:val="00AF3883"/>
    <w:rsid w:val="00AF3A3D"/>
    <w:rsid w:val="00AF3E3C"/>
    <w:rsid w:val="00AF423D"/>
    <w:rsid w:val="00AF425D"/>
    <w:rsid w:val="00AF4278"/>
    <w:rsid w:val="00AF44C3"/>
    <w:rsid w:val="00AF4BB3"/>
    <w:rsid w:val="00AF4BC2"/>
    <w:rsid w:val="00AF4C2C"/>
    <w:rsid w:val="00AF4D3A"/>
    <w:rsid w:val="00AF52A5"/>
    <w:rsid w:val="00AF53C6"/>
    <w:rsid w:val="00AF5571"/>
    <w:rsid w:val="00AF5677"/>
    <w:rsid w:val="00AF596C"/>
    <w:rsid w:val="00AF5AA9"/>
    <w:rsid w:val="00AF5E4C"/>
    <w:rsid w:val="00AF5E7A"/>
    <w:rsid w:val="00AF5F6D"/>
    <w:rsid w:val="00AF6094"/>
    <w:rsid w:val="00AF60E0"/>
    <w:rsid w:val="00AF66D2"/>
    <w:rsid w:val="00AF691C"/>
    <w:rsid w:val="00AF6A32"/>
    <w:rsid w:val="00AF6AFF"/>
    <w:rsid w:val="00AF6D56"/>
    <w:rsid w:val="00AF734D"/>
    <w:rsid w:val="00AF7544"/>
    <w:rsid w:val="00AF7667"/>
    <w:rsid w:val="00AF76FB"/>
    <w:rsid w:val="00AF77AE"/>
    <w:rsid w:val="00AF7B8C"/>
    <w:rsid w:val="00AF7EF9"/>
    <w:rsid w:val="00AF7F89"/>
    <w:rsid w:val="00B00247"/>
    <w:rsid w:val="00B00B50"/>
    <w:rsid w:val="00B00FAB"/>
    <w:rsid w:val="00B011EA"/>
    <w:rsid w:val="00B011F2"/>
    <w:rsid w:val="00B01497"/>
    <w:rsid w:val="00B0159E"/>
    <w:rsid w:val="00B0192B"/>
    <w:rsid w:val="00B01CCE"/>
    <w:rsid w:val="00B025E2"/>
    <w:rsid w:val="00B02C4E"/>
    <w:rsid w:val="00B02FBE"/>
    <w:rsid w:val="00B0318B"/>
    <w:rsid w:val="00B0341D"/>
    <w:rsid w:val="00B03882"/>
    <w:rsid w:val="00B03A26"/>
    <w:rsid w:val="00B03B60"/>
    <w:rsid w:val="00B03C07"/>
    <w:rsid w:val="00B041D8"/>
    <w:rsid w:val="00B04775"/>
    <w:rsid w:val="00B047C0"/>
    <w:rsid w:val="00B04817"/>
    <w:rsid w:val="00B04897"/>
    <w:rsid w:val="00B04ACE"/>
    <w:rsid w:val="00B04B7D"/>
    <w:rsid w:val="00B050EA"/>
    <w:rsid w:val="00B05B37"/>
    <w:rsid w:val="00B05DFC"/>
    <w:rsid w:val="00B0644A"/>
    <w:rsid w:val="00B0675F"/>
    <w:rsid w:val="00B06987"/>
    <w:rsid w:val="00B06C1C"/>
    <w:rsid w:val="00B06CFC"/>
    <w:rsid w:val="00B06E1C"/>
    <w:rsid w:val="00B06FE4"/>
    <w:rsid w:val="00B07000"/>
    <w:rsid w:val="00B077CE"/>
    <w:rsid w:val="00B07E78"/>
    <w:rsid w:val="00B07EBA"/>
    <w:rsid w:val="00B102E9"/>
    <w:rsid w:val="00B10684"/>
    <w:rsid w:val="00B10D93"/>
    <w:rsid w:val="00B10F4E"/>
    <w:rsid w:val="00B11004"/>
    <w:rsid w:val="00B11B2D"/>
    <w:rsid w:val="00B11BE3"/>
    <w:rsid w:val="00B11CC4"/>
    <w:rsid w:val="00B11DCE"/>
    <w:rsid w:val="00B121A7"/>
    <w:rsid w:val="00B12238"/>
    <w:rsid w:val="00B12280"/>
    <w:rsid w:val="00B12686"/>
    <w:rsid w:val="00B12FA9"/>
    <w:rsid w:val="00B1305F"/>
    <w:rsid w:val="00B13110"/>
    <w:rsid w:val="00B1311E"/>
    <w:rsid w:val="00B131AB"/>
    <w:rsid w:val="00B131FD"/>
    <w:rsid w:val="00B1357B"/>
    <w:rsid w:val="00B13ADD"/>
    <w:rsid w:val="00B13C95"/>
    <w:rsid w:val="00B13D6E"/>
    <w:rsid w:val="00B13DA0"/>
    <w:rsid w:val="00B13DE9"/>
    <w:rsid w:val="00B1414A"/>
    <w:rsid w:val="00B14334"/>
    <w:rsid w:val="00B14767"/>
    <w:rsid w:val="00B14E0A"/>
    <w:rsid w:val="00B14F30"/>
    <w:rsid w:val="00B14F7A"/>
    <w:rsid w:val="00B15121"/>
    <w:rsid w:val="00B15290"/>
    <w:rsid w:val="00B15CE2"/>
    <w:rsid w:val="00B15D1A"/>
    <w:rsid w:val="00B160E9"/>
    <w:rsid w:val="00B164CA"/>
    <w:rsid w:val="00B1664E"/>
    <w:rsid w:val="00B16700"/>
    <w:rsid w:val="00B16895"/>
    <w:rsid w:val="00B16901"/>
    <w:rsid w:val="00B16A2E"/>
    <w:rsid w:val="00B16B8D"/>
    <w:rsid w:val="00B16EB9"/>
    <w:rsid w:val="00B1736D"/>
    <w:rsid w:val="00B17715"/>
    <w:rsid w:val="00B1773A"/>
    <w:rsid w:val="00B177BC"/>
    <w:rsid w:val="00B17DBA"/>
    <w:rsid w:val="00B17F4A"/>
    <w:rsid w:val="00B20071"/>
    <w:rsid w:val="00B203D2"/>
    <w:rsid w:val="00B203F2"/>
    <w:rsid w:val="00B20412"/>
    <w:rsid w:val="00B20723"/>
    <w:rsid w:val="00B2115C"/>
    <w:rsid w:val="00B21524"/>
    <w:rsid w:val="00B218CB"/>
    <w:rsid w:val="00B21948"/>
    <w:rsid w:val="00B21BE2"/>
    <w:rsid w:val="00B221F3"/>
    <w:rsid w:val="00B224D4"/>
    <w:rsid w:val="00B22AE6"/>
    <w:rsid w:val="00B233D9"/>
    <w:rsid w:val="00B23860"/>
    <w:rsid w:val="00B23BBF"/>
    <w:rsid w:val="00B2426C"/>
    <w:rsid w:val="00B247B7"/>
    <w:rsid w:val="00B24991"/>
    <w:rsid w:val="00B24A9D"/>
    <w:rsid w:val="00B24BC8"/>
    <w:rsid w:val="00B24F59"/>
    <w:rsid w:val="00B25283"/>
    <w:rsid w:val="00B256B0"/>
    <w:rsid w:val="00B2572A"/>
    <w:rsid w:val="00B25CDF"/>
    <w:rsid w:val="00B25D3C"/>
    <w:rsid w:val="00B25D62"/>
    <w:rsid w:val="00B26250"/>
    <w:rsid w:val="00B262A4"/>
    <w:rsid w:val="00B26458"/>
    <w:rsid w:val="00B264BC"/>
    <w:rsid w:val="00B2650C"/>
    <w:rsid w:val="00B26584"/>
    <w:rsid w:val="00B266B7"/>
    <w:rsid w:val="00B266DC"/>
    <w:rsid w:val="00B2694A"/>
    <w:rsid w:val="00B26AAC"/>
    <w:rsid w:val="00B26B12"/>
    <w:rsid w:val="00B26C14"/>
    <w:rsid w:val="00B26F07"/>
    <w:rsid w:val="00B26FB4"/>
    <w:rsid w:val="00B2753D"/>
    <w:rsid w:val="00B27827"/>
    <w:rsid w:val="00B27BCD"/>
    <w:rsid w:val="00B27D61"/>
    <w:rsid w:val="00B302A6"/>
    <w:rsid w:val="00B302C7"/>
    <w:rsid w:val="00B303E0"/>
    <w:rsid w:val="00B304B7"/>
    <w:rsid w:val="00B30539"/>
    <w:rsid w:val="00B30977"/>
    <w:rsid w:val="00B30CFD"/>
    <w:rsid w:val="00B3141A"/>
    <w:rsid w:val="00B314DB"/>
    <w:rsid w:val="00B316B5"/>
    <w:rsid w:val="00B316B6"/>
    <w:rsid w:val="00B318E3"/>
    <w:rsid w:val="00B31924"/>
    <w:rsid w:val="00B319EC"/>
    <w:rsid w:val="00B31C19"/>
    <w:rsid w:val="00B3207A"/>
    <w:rsid w:val="00B3231C"/>
    <w:rsid w:val="00B32E38"/>
    <w:rsid w:val="00B32F4A"/>
    <w:rsid w:val="00B33091"/>
    <w:rsid w:val="00B33488"/>
    <w:rsid w:val="00B33A27"/>
    <w:rsid w:val="00B33E12"/>
    <w:rsid w:val="00B33E6F"/>
    <w:rsid w:val="00B34258"/>
    <w:rsid w:val="00B34437"/>
    <w:rsid w:val="00B34535"/>
    <w:rsid w:val="00B34991"/>
    <w:rsid w:val="00B349D1"/>
    <w:rsid w:val="00B34ACE"/>
    <w:rsid w:val="00B34D89"/>
    <w:rsid w:val="00B34DF4"/>
    <w:rsid w:val="00B35113"/>
    <w:rsid w:val="00B35161"/>
    <w:rsid w:val="00B356B0"/>
    <w:rsid w:val="00B36240"/>
    <w:rsid w:val="00B36D53"/>
    <w:rsid w:val="00B3701B"/>
    <w:rsid w:val="00B3718B"/>
    <w:rsid w:val="00B37446"/>
    <w:rsid w:val="00B37913"/>
    <w:rsid w:val="00B379F2"/>
    <w:rsid w:val="00B40069"/>
    <w:rsid w:val="00B4041B"/>
    <w:rsid w:val="00B4060E"/>
    <w:rsid w:val="00B40ADC"/>
    <w:rsid w:val="00B40F8F"/>
    <w:rsid w:val="00B40FB2"/>
    <w:rsid w:val="00B40FC2"/>
    <w:rsid w:val="00B41174"/>
    <w:rsid w:val="00B412CE"/>
    <w:rsid w:val="00B4164E"/>
    <w:rsid w:val="00B4171E"/>
    <w:rsid w:val="00B417D2"/>
    <w:rsid w:val="00B4182B"/>
    <w:rsid w:val="00B41C05"/>
    <w:rsid w:val="00B41E18"/>
    <w:rsid w:val="00B4264B"/>
    <w:rsid w:val="00B42AD2"/>
    <w:rsid w:val="00B42BA3"/>
    <w:rsid w:val="00B42BDB"/>
    <w:rsid w:val="00B42C1A"/>
    <w:rsid w:val="00B42EBE"/>
    <w:rsid w:val="00B4321D"/>
    <w:rsid w:val="00B434AA"/>
    <w:rsid w:val="00B43507"/>
    <w:rsid w:val="00B43AE5"/>
    <w:rsid w:val="00B43BEA"/>
    <w:rsid w:val="00B43BF1"/>
    <w:rsid w:val="00B43CAB"/>
    <w:rsid w:val="00B43CB8"/>
    <w:rsid w:val="00B43E21"/>
    <w:rsid w:val="00B43FC8"/>
    <w:rsid w:val="00B441DE"/>
    <w:rsid w:val="00B442C7"/>
    <w:rsid w:val="00B44752"/>
    <w:rsid w:val="00B44C7C"/>
    <w:rsid w:val="00B44CDD"/>
    <w:rsid w:val="00B44DD3"/>
    <w:rsid w:val="00B45219"/>
    <w:rsid w:val="00B45621"/>
    <w:rsid w:val="00B456B1"/>
    <w:rsid w:val="00B45759"/>
    <w:rsid w:val="00B458A8"/>
    <w:rsid w:val="00B45DF4"/>
    <w:rsid w:val="00B46228"/>
    <w:rsid w:val="00B4632A"/>
    <w:rsid w:val="00B46398"/>
    <w:rsid w:val="00B466AF"/>
    <w:rsid w:val="00B46A0F"/>
    <w:rsid w:val="00B46A8B"/>
    <w:rsid w:val="00B46F78"/>
    <w:rsid w:val="00B47055"/>
    <w:rsid w:val="00B470F9"/>
    <w:rsid w:val="00B47278"/>
    <w:rsid w:val="00B473D0"/>
    <w:rsid w:val="00B47486"/>
    <w:rsid w:val="00B476CE"/>
    <w:rsid w:val="00B50B43"/>
    <w:rsid w:val="00B50D3F"/>
    <w:rsid w:val="00B50E30"/>
    <w:rsid w:val="00B50E37"/>
    <w:rsid w:val="00B50EBB"/>
    <w:rsid w:val="00B51482"/>
    <w:rsid w:val="00B514A0"/>
    <w:rsid w:val="00B51D11"/>
    <w:rsid w:val="00B51F3F"/>
    <w:rsid w:val="00B520E4"/>
    <w:rsid w:val="00B523B9"/>
    <w:rsid w:val="00B528E6"/>
    <w:rsid w:val="00B529BF"/>
    <w:rsid w:val="00B530F1"/>
    <w:rsid w:val="00B5326D"/>
    <w:rsid w:val="00B5354B"/>
    <w:rsid w:val="00B53AD5"/>
    <w:rsid w:val="00B545D7"/>
    <w:rsid w:val="00B54749"/>
    <w:rsid w:val="00B547BC"/>
    <w:rsid w:val="00B54A0E"/>
    <w:rsid w:val="00B54C2A"/>
    <w:rsid w:val="00B54F1B"/>
    <w:rsid w:val="00B5550F"/>
    <w:rsid w:val="00B55599"/>
    <w:rsid w:val="00B55CE1"/>
    <w:rsid w:val="00B55FF8"/>
    <w:rsid w:val="00B561AD"/>
    <w:rsid w:val="00B56419"/>
    <w:rsid w:val="00B5652C"/>
    <w:rsid w:val="00B56AC1"/>
    <w:rsid w:val="00B56B37"/>
    <w:rsid w:val="00B56CBE"/>
    <w:rsid w:val="00B56FE9"/>
    <w:rsid w:val="00B570E7"/>
    <w:rsid w:val="00B57825"/>
    <w:rsid w:val="00B57970"/>
    <w:rsid w:val="00B57AF8"/>
    <w:rsid w:val="00B57E19"/>
    <w:rsid w:val="00B57F96"/>
    <w:rsid w:val="00B57FCA"/>
    <w:rsid w:val="00B600EF"/>
    <w:rsid w:val="00B600F0"/>
    <w:rsid w:val="00B6024D"/>
    <w:rsid w:val="00B605E4"/>
    <w:rsid w:val="00B60765"/>
    <w:rsid w:val="00B60964"/>
    <w:rsid w:val="00B6099A"/>
    <w:rsid w:val="00B60B60"/>
    <w:rsid w:val="00B60C1C"/>
    <w:rsid w:val="00B60C61"/>
    <w:rsid w:val="00B60CBC"/>
    <w:rsid w:val="00B6113A"/>
    <w:rsid w:val="00B61680"/>
    <w:rsid w:val="00B6191C"/>
    <w:rsid w:val="00B61A09"/>
    <w:rsid w:val="00B61E91"/>
    <w:rsid w:val="00B61F6A"/>
    <w:rsid w:val="00B621A1"/>
    <w:rsid w:val="00B630CF"/>
    <w:rsid w:val="00B63484"/>
    <w:rsid w:val="00B636B5"/>
    <w:rsid w:val="00B63838"/>
    <w:rsid w:val="00B63922"/>
    <w:rsid w:val="00B63DDB"/>
    <w:rsid w:val="00B642DE"/>
    <w:rsid w:val="00B64393"/>
    <w:rsid w:val="00B646C3"/>
    <w:rsid w:val="00B64A9C"/>
    <w:rsid w:val="00B64AE2"/>
    <w:rsid w:val="00B64B86"/>
    <w:rsid w:val="00B65585"/>
    <w:rsid w:val="00B65B17"/>
    <w:rsid w:val="00B65B7D"/>
    <w:rsid w:val="00B65FAC"/>
    <w:rsid w:val="00B6650F"/>
    <w:rsid w:val="00B6674E"/>
    <w:rsid w:val="00B66DDF"/>
    <w:rsid w:val="00B66F20"/>
    <w:rsid w:val="00B6720D"/>
    <w:rsid w:val="00B674E6"/>
    <w:rsid w:val="00B67A69"/>
    <w:rsid w:val="00B67B13"/>
    <w:rsid w:val="00B67DA3"/>
    <w:rsid w:val="00B706EF"/>
    <w:rsid w:val="00B707CB"/>
    <w:rsid w:val="00B70B44"/>
    <w:rsid w:val="00B70E8D"/>
    <w:rsid w:val="00B711E2"/>
    <w:rsid w:val="00B71885"/>
    <w:rsid w:val="00B71BBE"/>
    <w:rsid w:val="00B7222E"/>
    <w:rsid w:val="00B72332"/>
    <w:rsid w:val="00B72338"/>
    <w:rsid w:val="00B723ED"/>
    <w:rsid w:val="00B727DB"/>
    <w:rsid w:val="00B7294B"/>
    <w:rsid w:val="00B7294E"/>
    <w:rsid w:val="00B72977"/>
    <w:rsid w:val="00B72B38"/>
    <w:rsid w:val="00B72C4A"/>
    <w:rsid w:val="00B73061"/>
    <w:rsid w:val="00B732CC"/>
    <w:rsid w:val="00B736AE"/>
    <w:rsid w:val="00B73798"/>
    <w:rsid w:val="00B737A1"/>
    <w:rsid w:val="00B737FD"/>
    <w:rsid w:val="00B7397F"/>
    <w:rsid w:val="00B74317"/>
    <w:rsid w:val="00B74930"/>
    <w:rsid w:val="00B74B77"/>
    <w:rsid w:val="00B74CF0"/>
    <w:rsid w:val="00B74DF9"/>
    <w:rsid w:val="00B74EC9"/>
    <w:rsid w:val="00B7583A"/>
    <w:rsid w:val="00B75A71"/>
    <w:rsid w:val="00B760E4"/>
    <w:rsid w:val="00B765BB"/>
    <w:rsid w:val="00B76A78"/>
    <w:rsid w:val="00B76F8A"/>
    <w:rsid w:val="00B771FA"/>
    <w:rsid w:val="00B772CB"/>
    <w:rsid w:val="00B77911"/>
    <w:rsid w:val="00B77987"/>
    <w:rsid w:val="00B77CA4"/>
    <w:rsid w:val="00B77FA9"/>
    <w:rsid w:val="00B80262"/>
    <w:rsid w:val="00B803AC"/>
    <w:rsid w:val="00B803BE"/>
    <w:rsid w:val="00B8064A"/>
    <w:rsid w:val="00B80B1E"/>
    <w:rsid w:val="00B80B3F"/>
    <w:rsid w:val="00B80BBB"/>
    <w:rsid w:val="00B81169"/>
    <w:rsid w:val="00B81288"/>
    <w:rsid w:val="00B812D3"/>
    <w:rsid w:val="00B8136C"/>
    <w:rsid w:val="00B814A0"/>
    <w:rsid w:val="00B8166D"/>
    <w:rsid w:val="00B81742"/>
    <w:rsid w:val="00B819AD"/>
    <w:rsid w:val="00B81C16"/>
    <w:rsid w:val="00B81C52"/>
    <w:rsid w:val="00B81EAB"/>
    <w:rsid w:val="00B82668"/>
    <w:rsid w:val="00B8268E"/>
    <w:rsid w:val="00B82744"/>
    <w:rsid w:val="00B82D41"/>
    <w:rsid w:val="00B82F7D"/>
    <w:rsid w:val="00B83140"/>
    <w:rsid w:val="00B832D3"/>
    <w:rsid w:val="00B8368E"/>
    <w:rsid w:val="00B83B21"/>
    <w:rsid w:val="00B83B56"/>
    <w:rsid w:val="00B83C7C"/>
    <w:rsid w:val="00B83CAA"/>
    <w:rsid w:val="00B83ED3"/>
    <w:rsid w:val="00B8460A"/>
    <w:rsid w:val="00B84923"/>
    <w:rsid w:val="00B84AD5"/>
    <w:rsid w:val="00B84D32"/>
    <w:rsid w:val="00B84D3D"/>
    <w:rsid w:val="00B84DDA"/>
    <w:rsid w:val="00B84FF0"/>
    <w:rsid w:val="00B851B0"/>
    <w:rsid w:val="00B851ED"/>
    <w:rsid w:val="00B85958"/>
    <w:rsid w:val="00B85A22"/>
    <w:rsid w:val="00B85B17"/>
    <w:rsid w:val="00B85D0F"/>
    <w:rsid w:val="00B8600E"/>
    <w:rsid w:val="00B86BAA"/>
    <w:rsid w:val="00B86D74"/>
    <w:rsid w:val="00B86DBC"/>
    <w:rsid w:val="00B87185"/>
    <w:rsid w:val="00B87ADF"/>
    <w:rsid w:val="00B87D90"/>
    <w:rsid w:val="00B87DB6"/>
    <w:rsid w:val="00B90151"/>
    <w:rsid w:val="00B903F9"/>
    <w:rsid w:val="00B9049A"/>
    <w:rsid w:val="00B906F3"/>
    <w:rsid w:val="00B90728"/>
    <w:rsid w:val="00B90768"/>
    <w:rsid w:val="00B90CB4"/>
    <w:rsid w:val="00B90D86"/>
    <w:rsid w:val="00B90E72"/>
    <w:rsid w:val="00B90E79"/>
    <w:rsid w:val="00B90EC1"/>
    <w:rsid w:val="00B91111"/>
    <w:rsid w:val="00B91154"/>
    <w:rsid w:val="00B9126E"/>
    <w:rsid w:val="00B91369"/>
    <w:rsid w:val="00B917C7"/>
    <w:rsid w:val="00B91B61"/>
    <w:rsid w:val="00B91B6E"/>
    <w:rsid w:val="00B91CAC"/>
    <w:rsid w:val="00B91D22"/>
    <w:rsid w:val="00B91D9A"/>
    <w:rsid w:val="00B92358"/>
    <w:rsid w:val="00B9294F"/>
    <w:rsid w:val="00B92B20"/>
    <w:rsid w:val="00B92C9B"/>
    <w:rsid w:val="00B92D5A"/>
    <w:rsid w:val="00B92E42"/>
    <w:rsid w:val="00B930D1"/>
    <w:rsid w:val="00B93439"/>
    <w:rsid w:val="00B93474"/>
    <w:rsid w:val="00B9354E"/>
    <w:rsid w:val="00B93BA5"/>
    <w:rsid w:val="00B93F68"/>
    <w:rsid w:val="00B93FE4"/>
    <w:rsid w:val="00B9432B"/>
    <w:rsid w:val="00B944B2"/>
    <w:rsid w:val="00B944FB"/>
    <w:rsid w:val="00B94589"/>
    <w:rsid w:val="00B94760"/>
    <w:rsid w:val="00B94790"/>
    <w:rsid w:val="00B948CD"/>
    <w:rsid w:val="00B94B27"/>
    <w:rsid w:val="00B94C3F"/>
    <w:rsid w:val="00B94EAB"/>
    <w:rsid w:val="00B955AE"/>
    <w:rsid w:val="00B957E0"/>
    <w:rsid w:val="00B9588B"/>
    <w:rsid w:val="00B95C9D"/>
    <w:rsid w:val="00B95CD3"/>
    <w:rsid w:val="00B95DE5"/>
    <w:rsid w:val="00B95E11"/>
    <w:rsid w:val="00B95EE0"/>
    <w:rsid w:val="00B95F34"/>
    <w:rsid w:val="00B961C3"/>
    <w:rsid w:val="00B96300"/>
    <w:rsid w:val="00B965CA"/>
    <w:rsid w:val="00B9665E"/>
    <w:rsid w:val="00B966CC"/>
    <w:rsid w:val="00B96E22"/>
    <w:rsid w:val="00B97217"/>
    <w:rsid w:val="00B97310"/>
    <w:rsid w:val="00B977C7"/>
    <w:rsid w:val="00B97C86"/>
    <w:rsid w:val="00BA04E9"/>
    <w:rsid w:val="00BA0A5E"/>
    <w:rsid w:val="00BA10F2"/>
    <w:rsid w:val="00BA11E1"/>
    <w:rsid w:val="00BA1A67"/>
    <w:rsid w:val="00BA1C9C"/>
    <w:rsid w:val="00BA1D6D"/>
    <w:rsid w:val="00BA1D94"/>
    <w:rsid w:val="00BA234D"/>
    <w:rsid w:val="00BA23FD"/>
    <w:rsid w:val="00BA2600"/>
    <w:rsid w:val="00BA276C"/>
    <w:rsid w:val="00BA295C"/>
    <w:rsid w:val="00BA2D6A"/>
    <w:rsid w:val="00BA2DC2"/>
    <w:rsid w:val="00BA2F04"/>
    <w:rsid w:val="00BA3135"/>
    <w:rsid w:val="00BA397F"/>
    <w:rsid w:val="00BA3E56"/>
    <w:rsid w:val="00BA42C6"/>
    <w:rsid w:val="00BA4746"/>
    <w:rsid w:val="00BA4797"/>
    <w:rsid w:val="00BA483C"/>
    <w:rsid w:val="00BA4E7D"/>
    <w:rsid w:val="00BA526A"/>
    <w:rsid w:val="00BA528B"/>
    <w:rsid w:val="00BA53BB"/>
    <w:rsid w:val="00BA53D7"/>
    <w:rsid w:val="00BA55A1"/>
    <w:rsid w:val="00BA573E"/>
    <w:rsid w:val="00BA5D29"/>
    <w:rsid w:val="00BA5D33"/>
    <w:rsid w:val="00BA5E29"/>
    <w:rsid w:val="00BA5E32"/>
    <w:rsid w:val="00BA5E8E"/>
    <w:rsid w:val="00BA619C"/>
    <w:rsid w:val="00BA63B3"/>
    <w:rsid w:val="00BA678E"/>
    <w:rsid w:val="00BA683E"/>
    <w:rsid w:val="00BA6B53"/>
    <w:rsid w:val="00BA7312"/>
    <w:rsid w:val="00BA74C3"/>
    <w:rsid w:val="00BA754D"/>
    <w:rsid w:val="00BA75DB"/>
    <w:rsid w:val="00BA76C8"/>
    <w:rsid w:val="00BA778F"/>
    <w:rsid w:val="00BA792D"/>
    <w:rsid w:val="00BA79CE"/>
    <w:rsid w:val="00BA7C8E"/>
    <w:rsid w:val="00BA7CCA"/>
    <w:rsid w:val="00BA7F1C"/>
    <w:rsid w:val="00BA7F2B"/>
    <w:rsid w:val="00BB01F4"/>
    <w:rsid w:val="00BB0213"/>
    <w:rsid w:val="00BB0796"/>
    <w:rsid w:val="00BB0BEB"/>
    <w:rsid w:val="00BB11B1"/>
    <w:rsid w:val="00BB1354"/>
    <w:rsid w:val="00BB15C3"/>
    <w:rsid w:val="00BB19E7"/>
    <w:rsid w:val="00BB1DDA"/>
    <w:rsid w:val="00BB1F5B"/>
    <w:rsid w:val="00BB208D"/>
    <w:rsid w:val="00BB256D"/>
    <w:rsid w:val="00BB2A21"/>
    <w:rsid w:val="00BB2CBA"/>
    <w:rsid w:val="00BB2D95"/>
    <w:rsid w:val="00BB2F1B"/>
    <w:rsid w:val="00BB2F42"/>
    <w:rsid w:val="00BB306F"/>
    <w:rsid w:val="00BB3189"/>
    <w:rsid w:val="00BB336D"/>
    <w:rsid w:val="00BB35E4"/>
    <w:rsid w:val="00BB369E"/>
    <w:rsid w:val="00BB3B9C"/>
    <w:rsid w:val="00BB3DFB"/>
    <w:rsid w:val="00BB408A"/>
    <w:rsid w:val="00BB4116"/>
    <w:rsid w:val="00BB4145"/>
    <w:rsid w:val="00BB41C9"/>
    <w:rsid w:val="00BB4253"/>
    <w:rsid w:val="00BB49EB"/>
    <w:rsid w:val="00BB4BC3"/>
    <w:rsid w:val="00BB4CC8"/>
    <w:rsid w:val="00BB4DCA"/>
    <w:rsid w:val="00BB5240"/>
    <w:rsid w:val="00BB52E6"/>
    <w:rsid w:val="00BB5322"/>
    <w:rsid w:val="00BB5557"/>
    <w:rsid w:val="00BB572A"/>
    <w:rsid w:val="00BB5D6B"/>
    <w:rsid w:val="00BB5FC7"/>
    <w:rsid w:val="00BB64B7"/>
    <w:rsid w:val="00BB650E"/>
    <w:rsid w:val="00BB658B"/>
    <w:rsid w:val="00BB664F"/>
    <w:rsid w:val="00BB6E97"/>
    <w:rsid w:val="00BB7246"/>
    <w:rsid w:val="00BB72FE"/>
    <w:rsid w:val="00BB79ED"/>
    <w:rsid w:val="00BB7C91"/>
    <w:rsid w:val="00BB7D53"/>
    <w:rsid w:val="00BB7E95"/>
    <w:rsid w:val="00BC0178"/>
    <w:rsid w:val="00BC05A0"/>
    <w:rsid w:val="00BC05DA"/>
    <w:rsid w:val="00BC0622"/>
    <w:rsid w:val="00BC0D77"/>
    <w:rsid w:val="00BC0F3D"/>
    <w:rsid w:val="00BC1478"/>
    <w:rsid w:val="00BC18C9"/>
    <w:rsid w:val="00BC1A04"/>
    <w:rsid w:val="00BC2110"/>
    <w:rsid w:val="00BC25BD"/>
    <w:rsid w:val="00BC2753"/>
    <w:rsid w:val="00BC2AF0"/>
    <w:rsid w:val="00BC2AFC"/>
    <w:rsid w:val="00BC2D8D"/>
    <w:rsid w:val="00BC2EDB"/>
    <w:rsid w:val="00BC37F3"/>
    <w:rsid w:val="00BC39E9"/>
    <w:rsid w:val="00BC3C59"/>
    <w:rsid w:val="00BC4041"/>
    <w:rsid w:val="00BC433F"/>
    <w:rsid w:val="00BC4A2D"/>
    <w:rsid w:val="00BC4BBC"/>
    <w:rsid w:val="00BC4BE9"/>
    <w:rsid w:val="00BC4D36"/>
    <w:rsid w:val="00BC4DAA"/>
    <w:rsid w:val="00BC4E19"/>
    <w:rsid w:val="00BC4F90"/>
    <w:rsid w:val="00BC57DB"/>
    <w:rsid w:val="00BC5941"/>
    <w:rsid w:val="00BC5E4A"/>
    <w:rsid w:val="00BC6005"/>
    <w:rsid w:val="00BC6548"/>
    <w:rsid w:val="00BC65A4"/>
    <w:rsid w:val="00BC668B"/>
    <w:rsid w:val="00BC668F"/>
    <w:rsid w:val="00BC6855"/>
    <w:rsid w:val="00BC6BA2"/>
    <w:rsid w:val="00BC6C67"/>
    <w:rsid w:val="00BC6DCB"/>
    <w:rsid w:val="00BC6F74"/>
    <w:rsid w:val="00BC7022"/>
    <w:rsid w:val="00BC70E9"/>
    <w:rsid w:val="00BC7311"/>
    <w:rsid w:val="00BC736B"/>
    <w:rsid w:val="00BC7733"/>
    <w:rsid w:val="00BC797F"/>
    <w:rsid w:val="00BC79CF"/>
    <w:rsid w:val="00BC79FE"/>
    <w:rsid w:val="00BC7E53"/>
    <w:rsid w:val="00BD00E1"/>
    <w:rsid w:val="00BD0135"/>
    <w:rsid w:val="00BD0558"/>
    <w:rsid w:val="00BD07B1"/>
    <w:rsid w:val="00BD09C0"/>
    <w:rsid w:val="00BD0CF9"/>
    <w:rsid w:val="00BD0D9F"/>
    <w:rsid w:val="00BD0EB4"/>
    <w:rsid w:val="00BD1122"/>
    <w:rsid w:val="00BD139E"/>
    <w:rsid w:val="00BD191C"/>
    <w:rsid w:val="00BD1CB2"/>
    <w:rsid w:val="00BD2028"/>
    <w:rsid w:val="00BD2299"/>
    <w:rsid w:val="00BD23C2"/>
    <w:rsid w:val="00BD2651"/>
    <w:rsid w:val="00BD2703"/>
    <w:rsid w:val="00BD2DF4"/>
    <w:rsid w:val="00BD324A"/>
    <w:rsid w:val="00BD3342"/>
    <w:rsid w:val="00BD33F7"/>
    <w:rsid w:val="00BD3653"/>
    <w:rsid w:val="00BD38E4"/>
    <w:rsid w:val="00BD3A3F"/>
    <w:rsid w:val="00BD3D6F"/>
    <w:rsid w:val="00BD3D92"/>
    <w:rsid w:val="00BD41AE"/>
    <w:rsid w:val="00BD41BB"/>
    <w:rsid w:val="00BD441B"/>
    <w:rsid w:val="00BD4730"/>
    <w:rsid w:val="00BD495B"/>
    <w:rsid w:val="00BD4B89"/>
    <w:rsid w:val="00BD4CE2"/>
    <w:rsid w:val="00BD51C3"/>
    <w:rsid w:val="00BD5704"/>
    <w:rsid w:val="00BD5E95"/>
    <w:rsid w:val="00BD5F33"/>
    <w:rsid w:val="00BD6504"/>
    <w:rsid w:val="00BD6538"/>
    <w:rsid w:val="00BD6918"/>
    <w:rsid w:val="00BD6DAC"/>
    <w:rsid w:val="00BD726E"/>
    <w:rsid w:val="00BD7463"/>
    <w:rsid w:val="00BD76BF"/>
    <w:rsid w:val="00BD7826"/>
    <w:rsid w:val="00BD79CE"/>
    <w:rsid w:val="00BD7DCC"/>
    <w:rsid w:val="00BE025B"/>
    <w:rsid w:val="00BE02F6"/>
    <w:rsid w:val="00BE047B"/>
    <w:rsid w:val="00BE0B95"/>
    <w:rsid w:val="00BE0CBC"/>
    <w:rsid w:val="00BE0D78"/>
    <w:rsid w:val="00BE0EDF"/>
    <w:rsid w:val="00BE0F76"/>
    <w:rsid w:val="00BE120D"/>
    <w:rsid w:val="00BE158C"/>
    <w:rsid w:val="00BE167E"/>
    <w:rsid w:val="00BE1964"/>
    <w:rsid w:val="00BE1967"/>
    <w:rsid w:val="00BE19E0"/>
    <w:rsid w:val="00BE2175"/>
    <w:rsid w:val="00BE21C8"/>
    <w:rsid w:val="00BE2530"/>
    <w:rsid w:val="00BE29AA"/>
    <w:rsid w:val="00BE2AE0"/>
    <w:rsid w:val="00BE2FB6"/>
    <w:rsid w:val="00BE3101"/>
    <w:rsid w:val="00BE31DC"/>
    <w:rsid w:val="00BE3526"/>
    <w:rsid w:val="00BE358A"/>
    <w:rsid w:val="00BE376B"/>
    <w:rsid w:val="00BE3A33"/>
    <w:rsid w:val="00BE3D72"/>
    <w:rsid w:val="00BE3DD0"/>
    <w:rsid w:val="00BE3FD6"/>
    <w:rsid w:val="00BE4112"/>
    <w:rsid w:val="00BE4238"/>
    <w:rsid w:val="00BE4A27"/>
    <w:rsid w:val="00BE4AE9"/>
    <w:rsid w:val="00BE4C47"/>
    <w:rsid w:val="00BE5379"/>
    <w:rsid w:val="00BE5402"/>
    <w:rsid w:val="00BE5855"/>
    <w:rsid w:val="00BE58DF"/>
    <w:rsid w:val="00BE5987"/>
    <w:rsid w:val="00BE5F4F"/>
    <w:rsid w:val="00BE60B6"/>
    <w:rsid w:val="00BE6435"/>
    <w:rsid w:val="00BE64AF"/>
    <w:rsid w:val="00BE64B7"/>
    <w:rsid w:val="00BE65AE"/>
    <w:rsid w:val="00BE6A64"/>
    <w:rsid w:val="00BE6B69"/>
    <w:rsid w:val="00BE6BF1"/>
    <w:rsid w:val="00BE6C00"/>
    <w:rsid w:val="00BE6C3F"/>
    <w:rsid w:val="00BE6E94"/>
    <w:rsid w:val="00BE705C"/>
    <w:rsid w:val="00BE72B5"/>
    <w:rsid w:val="00BE73F9"/>
    <w:rsid w:val="00BE7498"/>
    <w:rsid w:val="00BE7509"/>
    <w:rsid w:val="00BE75DE"/>
    <w:rsid w:val="00BE7C1D"/>
    <w:rsid w:val="00BE7D95"/>
    <w:rsid w:val="00BF031D"/>
    <w:rsid w:val="00BF03D8"/>
    <w:rsid w:val="00BF0402"/>
    <w:rsid w:val="00BF0ACA"/>
    <w:rsid w:val="00BF0FCC"/>
    <w:rsid w:val="00BF1807"/>
    <w:rsid w:val="00BF180B"/>
    <w:rsid w:val="00BF1823"/>
    <w:rsid w:val="00BF1864"/>
    <w:rsid w:val="00BF1880"/>
    <w:rsid w:val="00BF1A40"/>
    <w:rsid w:val="00BF1B7B"/>
    <w:rsid w:val="00BF2146"/>
    <w:rsid w:val="00BF26E9"/>
    <w:rsid w:val="00BF2EF8"/>
    <w:rsid w:val="00BF2FF3"/>
    <w:rsid w:val="00BF3161"/>
    <w:rsid w:val="00BF3178"/>
    <w:rsid w:val="00BF339D"/>
    <w:rsid w:val="00BF3411"/>
    <w:rsid w:val="00BF3461"/>
    <w:rsid w:val="00BF34CC"/>
    <w:rsid w:val="00BF34D3"/>
    <w:rsid w:val="00BF3DF6"/>
    <w:rsid w:val="00BF4CCB"/>
    <w:rsid w:val="00BF4D34"/>
    <w:rsid w:val="00BF4EFB"/>
    <w:rsid w:val="00BF5612"/>
    <w:rsid w:val="00BF5AF5"/>
    <w:rsid w:val="00BF6159"/>
    <w:rsid w:val="00BF61E1"/>
    <w:rsid w:val="00BF6533"/>
    <w:rsid w:val="00BF6AD4"/>
    <w:rsid w:val="00BF6B82"/>
    <w:rsid w:val="00BF6FD8"/>
    <w:rsid w:val="00BF717E"/>
    <w:rsid w:val="00BF72EC"/>
    <w:rsid w:val="00BF7D6D"/>
    <w:rsid w:val="00BF7F7C"/>
    <w:rsid w:val="00C00058"/>
    <w:rsid w:val="00C0075D"/>
    <w:rsid w:val="00C00A9D"/>
    <w:rsid w:val="00C00CE3"/>
    <w:rsid w:val="00C00E20"/>
    <w:rsid w:val="00C01D45"/>
    <w:rsid w:val="00C01E60"/>
    <w:rsid w:val="00C01EB1"/>
    <w:rsid w:val="00C0258D"/>
    <w:rsid w:val="00C0275D"/>
    <w:rsid w:val="00C02859"/>
    <w:rsid w:val="00C029AF"/>
    <w:rsid w:val="00C02B17"/>
    <w:rsid w:val="00C02C79"/>
    <w:rsid w:val="00C02D36"/>
    <w:rsid w:val="00C02EA6"/>
    <w:rsid w:val="00C0310B"/>
    <w:rsid w:val="00C035E3"/>
    <w:rsid w:val="00C03680"/>
    <w:rsid w:val="00C03899"/>
    <w:rsid w:val="00C03F9C"/>
    <w:rsid w:val="00C04314"/>
    <w:rsid w:val="00C04499"/>
    <w:rsid w:val="00C045F5"/>
    <w:rsid w:val="00C047D5"/>
    <w:rsid w:val="00C047D9"/>
    <w:rsid w:val="00C04CBF"/>
    <w:rsid w:val="00C04F37"/>
    <w:rsid w:val="00C052ED"/>
    <w:rsid w:val="00C054DF"/>
    <w:rsid w:val="00C054F6"/>
    <w:rsid w:val="00C0580F"/>
    <w:rsid w:val="00C0593D"/>
    <w:rsid w:val="00C05AAD"/>
    <w:rsid w:val="00C05C0C"/>
    <w:rsid w:val="00C05EC5"/>
    <w:rsid w:val="00C06120"/>
    <w:rsid w:val="00C062C0"/>
    <w:rsid w:val="00C067C3"/>
    <w:rsid w:val="00C068D1"/>
    <w:rsid w:val="00C06C6C"/>
    <w:rsid w:val="00C06D6E"/>
    <w:rsid w:val="00C07105"/>
    <w:rsid w:val="00C071D4"/>
    <w:rsid w:val="00C07B37"/>
    <w:rsid w:val="00C07F88"/>
    <w:rsid w:val="00C07FFC"/>
    <w:rsid w:val="00C1008E"/>
    <w:rsid w:val="00C1072B"/>
    <w:rsid w:val="00C10C6B"/>
    <w:rsid w:val="00C10CCF"/>
    <w:rsid w:val="00C11042"/>
    <w:rsid w:val="00C113F3"/>
    <w:rsid w:val="00C116DE"/>
    <w:rsid w:val="00C116E8"/>
    <w:rsid w:val="00C118D8"/>
    <w:rsid w:val="00C11A27"/>
    <w:rsid w:val="00C12104"/>
    <w:rsid w:val="00C121E6"/>
    <w:rsid w:val="00C12270"/>
    <w:rsid w:val="00C12378"/>
    <w:rsid w:val="00C12709"/>
    <w:rsid w:val="00C12DEE"/>
    <w:rsid w:val="00C12DF1"/>
    <w:rsid w:val="00C1313C"/>
    <w:rsid w:val="00C13281"/>
    <w:rsid w:val="00C135D0"/>
    <w:rsid w:val="00C13881"/>
    <w:rsid w:val="00C13D44"/>
    <w:rsid w:val="00C143A1"/>
    <w:rsid w:val="00C143E8"/>
    <w:rsid w:val="00C148FE"/>
    <w:rsid w:val="00C14978"/>
    <w:rsid w:val="00C14B6B"/>
    <w:rsid w:val="00C152A5"/>
    <w:rsid w:val="00C15A24"/>
    <w:rsid w:val="00C15A62"/>
    <w:rsid w:val="00C15E00"/>
    <w:rsid w:val="00C15E41"/>
    <w:rsid w:val="00C15EAC"/>
    <w:rsid w:val="00C160CF"/>
    <w:rsid w:val="00C1629F"/>
    <w:rsid w:val="00C16451"/>
    <w:rsid w:val="00C168B1"/>
    <w:rsid w:val="00C1697E"/>
    <w:rsid w:val="00C169C4"/>
    <w:rsid w:val="00C169FE"/>
    <w:rsid w:val="00C174CA"/>
    <w:rsid w:val="00C1780A"/>
    <w:rsid w:val="00C1787E"/>
    <w:rsid w:val="00C17BE7"/>
    <w:rsid w:val="00C17C8F"/>
    <w:rsid w:val="00C17EBE"/>
    <w:rsid w:val="00C2009B"/>
    <w:rsid w:val="00C2045A"/>
    <w:rsid w:val="00C20D9C"/>
    <w:rsid w:val="00C20E98"/>
    <w:rsid w:val="00C21308"/>
    <w:rsid w:val="00C21337"/>
    <w:rsid w:val="00C21762"/>
    <w:rsid w:val="00C21974"/>
    <w:rsid w:val="00C21E02"/>
    <w:rsid w:val="00C21FDE"/>
    <w:rsid w:val="00C2207C"/>
    <w:rsid w:val="00C2211A"/>
    <w:rsid w:val="00C2240A"/>
    <w:rsid w:val="00C2268A"/>
    <w:rsid w:val="00C22742"/>
    <w:rsid w:val="00C22BEF"/>
    <w:rsid w:val="00C22E44"/>
    <w:rsid w:val="00C231C1"/>
    <w:rsid w:val="00C233AC"/>
    <w:rsid w:val="00C23507"/>
    <w:rsid w:val="00C2355D"/>
    <w:rsid w:val="00C236C1"/>
    <w:rsid w:val="00C2373E"/>
    <w:rsid w:val="00C240BD"/>
    <w:rsid w:val="00C241E7"/>
    <w:rsid w:val="00C24543"/>
    <w:rsid w:val="00C24624"/>
    <w:rsid w:val="00C247B9"/>
    <w:rsid w:val="00C24859"/>
    <w:rsid w:val="00C249F4"/>
    <w:rsid w:val="00C24A94"/>
    <w:rsid w:val="00C24CDF"/>
    <w:rsid w:val="00C24F0A"/>
    <w:rsid w:val="00C2517B"/>
    <w:rsid w:val="00C25480"/>
    <w:rsid w:val="00C25607"/>
    <w:rsid w:val="00C256A2"/>
    <w:rsid w:val="00C2582F"/>
    <w:rsid w:val="00C25B4E"/>
    <w:rsid w:val="00C260BF"/>
    <w:rsid w:val="00C2655E"/>
    <w:rsid w:val="00C265A1"/>
    <w:rsid w:val="00C26A02"/>
    <w:rsid w:val="00C26AD6"/>
    <w:rsid w:val="00C2728C"/>
    <w:rsid w:val="00C27349"/>
    <w:rsid w:val="00C278B3"/>
    <w:rsid w:val="00C27A6A"/>
    <w:rsid w:val="00C27B9B"/>
    <w:rsid w:val="00C27F2A"/>
    <w:rsid w:val="00C300ED"/>
    <w:rsid w:val="00C304FA"/>
    <w:rsid w:val="00C30573"/>
    <w:rsid w:val="00C30972"/>
    <w:rsid w:val="00C30AC4"/>
    <w:rsid w:val="00C30B18"/>
    <w:rsid w:val="00C30B9C"/>
    <w:rsid w:val="00C30D2D"/>
    <w:rsid w:val="00C315BA"/>
    <w:rsid w:val="00C318AE"/>
    <w:rsid w:val="00C31AE8"/>
    <w:rsid w:val="00C31CD7"/>
    <w:rsid w:val="00C32100"/>
    <w:rsid w:val="00C3244B"/>
    <w:rsid w:val="00C3249B"/>
    <w:rsid w:val="00C32539"/>
    <w:rsid w:val="00C32799"/>
    <w:rsid w:val="00C32962"/>
    <w:rsid w:val="00C329B6"/>
    <w:rsid w:val="00C331D7"/>
    <w:rsid w:val="00C33446"/>
    <w:rsid w:val="00C33726"/>
    <w:rsid w:val="00C337D7"/>
    <w:rsid w:val="00C33F62"/>
    <w:rsid w:val="00C34113"/>
    <w:rsid w:val="00C34137"/>
    <w:rsid w:val="00C3457E"/>
    <w:rsid w:val="00C34834"/>
    <w:rsid w:val="00C34A4C"/>
    <w:rsid w:val="00C34CEF"/>
    <w:rsid w:val="00C34E9B"/>
    <w:rsid w:val="00C35013"/>
    <w:rsid w:val="00C3530F"/>
    <w:rsid w:val="00C3534A"/>
    <w:rsid w:val="00C354CD"/>
    <w:rsid w:val="00C3552C"/>
    <w:rsid w:val="00C35606"/>
    <w:rsid w:val="00C356D3"/>
    <w:rsid w:val="00C35CE9"/>
    <w:rsid w:val="00C3601A"/>
    <w:rsid w:val="00C3617B"/>
    <w:rsid w:val="00C361F7"/>
    <w:rsid w:val="00C3623E"/>
    <w:rsid w:val="00C36652"/>
    <w:rsid w:val="00C368BD"/>
    <w:rsid w:val="00C36BF9"/>
    <w:rsid w:val="00C36DFD"/>
    <w:rsid w:val="00C372B6"/>
    <w:rsid w:val="00C37533"/>
    <w:rsid w:val="00C3766B"/>
    <w:rsid w:val="00C3782B"/>
    <w:rsid w:val="00C37FDB"/>
    <w:rsid w:val="00C401C4"/>
    <w:rsid w:val="00C40219"/>
    <w:rsid w:val="00C4028A"/>
    <w:rsid w:val="00C4032E"/>
    <w:rsid w:val="00C405FE"/>
    <w:rsid w:val="00C40641"/>
    <w:rsid w:val="00C4082F"/>
    <w:rsid w:val="00C40D8C"/>
    <w:rsid w:val="00C40F01"/>
    <w:rsid w:val="00C4102B"/>
    <w:rsid w:val="00C41462"/>
    <w:rsid w:val="00C415F7"/>
    <w:rsid w:val="00C4160B"/>
    <w:rsid w:val="00C4162A"/>
    <w:rsid w:val="00C4162E"/>
    <w:rsid w:val="00C417C3"/>
    <w:rsid w:val="00C41985"/>
    <w:rsid w:val="00C41AD0"/>
    <w:rsid w:val="00C41B7E"/>
    <w:rsid w:val="00C41D1E"/>
    <w:rsid w:val="00C41D81"/>
    <w:rsid w:val="00C4256A"/>
    <w:rsid w:val="00C4267E"/>
    <w:rsid w:val="00C42BE7"/>
    <w:rsid w:val="00C42CEA"/>
    <w:rsid w:val="00C42E8D"/>
    <w:rsid w:val="00C433C4"/>
    <w:rsid w:val="00C436C1"/>
    <w:rsid w:val="00C437CD"/>
    <w:rsid w:val="00C43A96"/>
    <w:rsid w:val="00C43CBF"/>
    <w:rsid w:val="00C43E22"/>
    <w:rsid w:val="00C440BB"/>
    <w:rsid w:val="00C440EB"/>
    <w:rsid w:val="00C441D8"/>
    <w:rsid w:val="00C443C8"/>
    <w:rsid w:val="00C44748"/>
    <w:rsid w:val="00C44880"/>
    <w:rsid w:val="00C4519A"/>
    <w:rsid w:val="00C45376"/>
    <w:rsid w:val="00C45415"/>
    <w:rsid w:val="00C45612"/>
    <w:rsid w:val="00C45834"/>
    <w:rsid w:val="00C45D0C"/>
    <w:rsid w:val="00C46451"/>
    <w:rsid w:val="00C46486"/>
    <w:rsid w:val="00C46810"/>
    <w:rsid w:val="00C46C5D"/>
    <w:rsid w:val="00C46D69"/>
    <w:rsid w:val="00C47936"/>
    <w:rsid w:val="00C47943"/>
    <w:rsid w:val="00C50392"/>
    <w:rsid w:val="00C50724"/>
    <w:rsid w:val="00C50811"/>
    <w:rsid w:val="00C50AE1"/>
    <w:rsid w:val="00C50BC3"/>
    <w:rsid w:val="00C50E0A"/>
    <w:rsid w:val="00C512B7"/>
    <w:rsid w:val="00C51515"/>
    <w:rsid w:val="00C51884"/>
    <w:rsid w:val="00C51A9D"/>
    <w:rsid w:val="00C51AA5"/>
    <w:rsid w:val="00C51B54"/>
    <w:rsid w:val="00C51D13"/>
    <w:rsid w:val="00C52032"/>
    <w:rsid w:val="00C520A7"/>
    <w:rsid w:val="00C529DC"/>
    <w:rsid w:val="00C52E97"/>
    <w:rsid w:val="00C52F80"/>
    <w:rsid w:val="00C53067"/>
    <w:rsid w:val="00C5332A"/>
    <w:rsid w:val="00C53354"/>
    <w:rsid w:val="00C533FC"/>
    <w:rsid w:val="00C53A80"/>
    <w:rsid w:val="00C53ADC"/>
    <w:rsid w:val="00C53D99"/>
    <w:rsid w:val="00C54035"/>
    <w:rsid w:val="00C540FE"/>
    <w:rsid w:val="00C54104"/>
    <w:rsid w:val="00C544C8"/>
    <w:rsid w:val="00C548BE"/>
    <w:rsid w:val="00C54BCF"/>
    <w:rsid w:val="00C54EB5"/>
    <w:rsid w:val="00C54F18"/>
    <w:rsid w:val="00C5517A"/>
    <w:rsid w:val="00C554CF"/>
    <w:rsid w:val="00C55590"/>
    <w:rsid w:val="00C5560D"/>
    <w:rsid w:val="00C55C98"/>
    <w:rsid w:val="00C55DC5"/>
    <w:rsid w:val="00C56267"/>
    <w:rsid w:val="00C564C8"/>
    <w:rsid w:val="00C5660B"/>
    <w:rsid w:val="00C56633"/>
    <w:rsid w:val="00C567DF"/>
    <w:rsid w:val="00C569CD"/>
    <w:rsid w:val="00C56A7B"/>
    <w:rsid w:val="00C56BB7"/>
    <w:rsid w:val="00C573E1"/>
    <w:rsid w:val="00C576B7"/>
    <w:rsid w:val="00C578A4"/>
    <w:rsid w:val="00C57C08"/>
    <w:rsid w:val="00C57CC7"/>
    <w:rsid w:val="00C57E21"/>
    <w:rsid w:val="00C60071"/>
    <w:rsid w:val="00C604DB"/>
    <w:rsid w:val="00C6050F"/>
    <w:rsid w:val="00C605C2"/>
    <w:rsid w:val="00C609C5"/>
    <w:rsid w:val="00C60EAA"/>
    <w:rsid w:val="00C60EEA"/>
    <w:rsid w:val="00C60FD6"/>
    <w:rsid w:val="00C61082"/>
    <w:rsid w:val="00C6114D"/>
    <w:rsid w:val="00C614A3"/>
    <w:rsid w:val="00C61566"/>
    <w:rsid w:val="00C616B6"/>
    <w:rsid w:val="00C61B5E"/>
    <w:rsid w:val="00C61CC5"/>
    <w:rsid w:val="00C62087"/>
    <w:rsid w:val="00C62141"/>
    <w:rsid w:val="00C62241"/>
    <w:rsid w:val="00C62564"/>
    <w:rsid w:val="00C62779"/>
    <w:rsid w:val="00C62AE2"/>
    <w:rsid w:val="00C62CFF"/>
    <w:rsid w:val="00C630D7"/>
    <w:rsid w:val="00C63412"/>
    <w:rsid w:val="00C634ED"/>
    <w:rsid w:val="00C6366B"/>
    <w:rsid w:val="00C63994"/>
    <w:rsid w:val="00C639C6"/>
    <w:rsid w:val="00C639FB"/>
    <w:rsid w:val="00C63D51"/>
    <w:rsid w:val="00C6438A"/>
    <w:rsid w:val="00C64C20"/>
    <w:rsid w:val="00C6568F"/>
    <w:rsid w:val="00C65722"/>
    <w:rsid w:val="00C65E14"/>
    <w:rsid w:val="00C65EAD"/>
    <w:rsid w:val="00C66807"/>
    <w:rsid w:val="00C66B04"/>
    <w:rsid w:val="00C66B72"/>
    <w:rsid w:val="00C66C39"/>
    <w:rsid w:val="00C66CA5"/>
    <w:rsid w:val="00C66E3D"/>
    <w:rsid w:val="00C67228"/>
    <w:rsid w:val="00C675D4"/>
    <w:rsid w:val="00C6769A"/>
    <w:rsid w:val="00C67740"/>
    <w:rsid w:val="00C7030F"/>
    <w:rsid w:val="00C70378"/>
    <w:rsid w:val="00C7056B"/>
    <w:rsid w:val="00C70812"/>
    <w:rsid w:val="00C709D4"/>
    <w:rsid w:val="00C709FD"/>
    <w:rsid w:val="00C70B35"/>
    <w:rsid w:val="00C70E50"/>
    <w:rsid w:val="00C7121C"/>
    <w:rsid w:val="00C713CE"/>
    <w:rsid w:val="00C713D2"/>
    <w:rsid w:val="00C71C0F"/>
    <w:rsid w:val="00C71DDD"/>
    <w:rsid w:val="00C71F60"/>
    <w:rsid w:val="00C722BA"/>
    <w:rsid w:val="00C72302"/>
    <w:rsid w:val="00C725C5"/>
    <w:rsid w:val="00C726E4"/>
    <w:rsid w:val="00C72736"/>
    <w:rsid w:val="00C72939"/>
    <w:rsid w:val="00C729FE"/>
    <w:rsid w:val="00C72AB3"/>
    <w:rsid w:val="00C72AD4"/>
    <w:rsid w:val="00C73007"/>
    <w:rsid w:val="00C73345"/>
    <w:rsid w:val="00C73D8E"/>
    <w:rsid w:val="00C746F6"/>
    <w:rsid w:val="00C74927"/>
    <w:rsid w:val="00C74A29"/>
    <w:rsid w:val="00C74AF3"/>
    <w:rsid w:val="00C751A0"/>
    <w:rsid w:val="00C7553C"/>
    <w:rsid w:val="00C755F5"/>
    <w:rsid w:val="00C7582E"/>
    <w:rsid w:val="00C75A24"/>
    <w:rsid w:val="00C75BB3"/>
    <w:rsid w:val="00C75D26"/>
    <w:rsid w:val="00C7606B"/>
    <w:rsid w:val="00C7625C"/>
    <w:rsid w:val="00C762F5"/>
    <w:rsid w:val="00C7651F"/>
    <w:rsid w:val="00C7669B"/>
    <w:rsid w:val="00C768DE"/>
    <w:rsid w:val="00C769B0"/>
    <w:rsid w:val="00C76DF0"/>
    <w:rsid w:val="00C7755C"/>
    <w:rsid w:val="00C777AC"/>
    <w:rsid w:val="00C777EF"/>
    <w:rsid w:val="00C77B1A"/>
    <w:rsid w:val="00C77BDE"/>
    <w:rsid w:val="00C80067"/>
    <w:rsid w:val="00C8077D"/>
    <w:rsid w:val="00C80B39"/>
    <w:rsid w:val="00C80D43"/>
    <w:rsid w:val="00C8114D"/>
    <w:rsid w:val="00C815AF"/>
    <w:rsid w:val="00C8164E"/>
    <w:rsid w:val="00C817A5"/>
    <w:rsid w:val="00C819AF"/>
    <w:rsid w:val="00C81B10"/>
    <w:rsid w:val="00C821A3"/>
    <w:rsid w:val="00C825C1"/>
    <w:rsid w:val="00C82945"/>
    <w:rsid w:val="00C82ED9"/>
    <w:rsid w:val="00C8384D"/>
    <w:rsid w:val="00C83A04"/>
    <w:rsid w:val="00C83C2A"/>
    <w:rsid w:val="00C83F12"/>
    <w:rsid w:val="00C842DF"/>
    <w:rsid w:val="00C84510"/>
    <w:rsid w:val="00C84A25"/>
    <w:rsid w:val="00C851E6"/>
    <w:rsid w:val="00C853B0"/>
    <w:rsid w:val="00C85578"/>
    <w:rsid w:val="00C85A89"/>
    <w:rsid w:val="00C85B93"/>
    <w:rsid w:val="00C85E9A"/>
    <w:rsid w:val="00C85F9F"/>
    <w:rsid w:val="00C86148"/>
    <w:rsid w:val="00C861DF"/>
    <w:rsid w:val="00C86278"/>
    <w:rsid w:val="00C8646E"/>
    <w:rsid w:val="00C86EE8"/>
    <w:rsid w:val="00C86F17"/>
    <w:rsid w:val="00C872FB"/>
    <w:rsid w:val="00C8759D"/>
    <w:rsid w:val="00C87837"/>
    <w:rsid w:val="00C87E2B"/>
    <w:rsid w:val="00C87EB8"/>
    <w:rsid w:val="00C90D02"/>
    <w:rsid w:val="00C90F17"/>
    <w:rsid w:val="00C90FA6"/>
    <w:rsid w:val="00C9127C"/>
    <w:rsid w:val="00C914C4"/>
    <w:rsid w:val="00C9157C"/>
    <w:rsid w:val="00C9176B"/>
    <w:rsid w:val="00C9192C"/>
    <w:rsid w:val="00C91A11"/>
    <w:rsid w:val="00C91BCA"/>
    <w:rsid w:val="00C91F1F"/>
    <w:rsid w:val="00C91FAE"/>
    <w:rsid w:val="00C9205E"/>
    <w:rsid w:val="00C92371"/>
    <w:rsid w:val="00C925E5"/>
    <w:rsid w:val="00C9263A"/>
    <w:rsid w:val="00C92BBF"/>
    <w:rsid w:val="00C92DFD"/>
    <w:rsid w:val="00C93069"/>
    <w:rsid w:val="00C93076"/>
    <w:rsid w:val="00C933F9"/>
    <w:rsid w:val="00C9346A"/>
    <w:rsid w:val="00C93901"/>
    <w:rsid w:val="00C939C5"/>
    <w:rsid w:val="00C93D7B"/>
    <w:rsid w:val="00C9443A"/>
    <w:rsid w:val="00C94480"/>
    <w:rsid w:val="00C94963"/>
    <w:rsid w:val="00C94BF7"/>
    <w:rsid w:val="00C94C3A"/>
    <w:rsid w:val="00C94D25"/>
    <w:rsid w:val="00C94D5E"/>
    <w:rsid w:val="00C94E03"/>
    <w:rsid w:val="00C95188"/>
    <w:rsid w:val="00C9543D"/>
    <w:rsid w:val="00C9562B"/>
    <w:rsid w:val="00C9567A"/>
    <w:rsid w:val="00C95E86"/>
    <w:rsid w:val="00C95F29"/>
    <w:rsid w:val="00C96C27"/>
    <w:rsid w:val="00C96E9B"/>
    <w:rsid w:val="00C9741F"/>
    <w:rsid w:val="00C977A4"/>
    <w:rsid w:val="00C97B5F"/>
    <w:rsid w:val="00CA02D4"/>
    <w:rsid w:val="00CA03F7"/>
    <w:rsid w:val="00CA08D1"/>
    <w:rsid w:val="00CA09B0"/>
    <w:rsid w:val="00CA0A7F"/>
    <w:rsid w:val="00CA0B91"/>
    <w:rsid w:val="00CA0BD8"/>
    <w:rsid w:val="00CA0DA6"/>
    <w:rsid w:val="00CA115B"/>
    <w:rsid w:val="00CA1167"/>
    <w:rsid w:val="00CA1392"/>
    <w:rsid w:val="00CA1713"/>
    <w:rsid w:val="00CA1877"/>
    <w:rsid w:val="00CA18FF"/>
    <w:rsid w:val="00CA19CA"/>
    <w:rsid w:val="00CA1CAE"/>
    <w:rsid w:val="00CA1CFC"/>
    <w:rsid w:val="00CA2398"/>
    <w:rsid w:val="00CA2420"/>
    <w:rsid w:val="00CA2443"/>
    <w:rsid w:val="00CA24E3"/>
    <w:rsid w:val="00CA2AED"/>
    <w:rsid w:val="00CA2F0C"/>
    <w:rsid w:val="00CA2FD0"/>
    <w:rsid w:val="00CA31B2"/>
    <w:rsid w:val="00CA346B"/>
    <w:rsid w:val="00CA39F5"/>
    <w:rsid w:val="00CA3FAB"/>
    <w:rsid w:val="00CA4050"/>
    <w:rsid w:val="00CA438E"/>
    <w:rsid w:val="00CA4570"/>
    <w:rsid w:val="00CA4935"/>
    <w:rsid w:val="00CA4E0B"/>
    <w:rsid w:val="00CA4E81"/>
    <w:rsid w:val="00CA51DB"/>
    <w:rsid w:val="00CA594D"/>
    <w:rsid w:val="00CA5B59"/>
    <w:rsid w:val="00CA5BC8"/>
    <w:rsid w:val="00CA5D79"/>
    <w:rsid w:val="00CA5EFF"/>
    <w:rsid w:val="00CA6001"/>
    <w:rsid w:val="00CA6347"/>
    <w:rsid w:val="00CA646A"/>
    <w:rsid w:val="00CA69B4"/>
    <w:rsid w:val="00CA6A7E"/>
    <w:rsid w:val="00CA6B51"/>
    <w:rsid w:val="00CA710A"/>
    <w:rsid w:val="00CA7628"/>
    <w:rsid w:val="00CA7658"/>
    <w:rsid w:val="00CA77C5"/>
    <w:rsid w:val="00CA7835"/>
    <w:rsid w:val="00CA7A77"/>
    <w:rsid w:val="00CA7D38"/>
    <w:rsid w:val="00CA7EA3"/>
    <w:rsid w:val="00CB0568"/>
    <w:rsid w:val="00CB09A0"/>
    <w:rsid w:val="00CB09E7"/>
    <w:rsid w:val="00CB0ACA"/>
    <w:rsid w:val="00CB0B97"/>
    <w:rsid w:val="00CB1367"/>
    <w:rsid w:val="00CB15BF"/>
    <w:rsid w:val="00CB1774"/>
    <w:rsid w:val="00CB1900"/>
    <w:rsid w:val="00CB1970"/>
    <w:rsid w:val="00CB1B22"/>
    <w:rsid w:val="00CB1CE9"/>
    <w:rsid w:val="00CB1D59"/>
    <w:rsid w:val="00CB1DEC"/>
    <w:rsid w:val="00CB1DFB"/>
    <w:rsid w:val="00CB1F54"/>
    <w:rsid w:val="00CB212D"/>
    <w:rsid w:val="00CB2209"/>
    <w:rsid w:val="00CB2365"/>
    <w:rsid w:val="00CB25B4"/>
    <w:rsid w:val="00CB2660"/>
    <w:rsid w:val="00CB268E"/>
    <w:rsid w:val="00CB2B44"/>
    <w:rsid w:val="00CB3178"/>
    <w:rsid w:val="00CB33DA"/>
    <w:rsid w:val="00CB355D"/>
    <w:rsid w:val="00CB3658"/>
    <w:rsid w:val="00CB3766"/>
    <w:rsid w:val="00CB3934"/>
    <w:rsid w:val="00CB3975"/>
    <w:rsid w:val="00CB3A04"/>
    <w:rsid w:val="00CB3AA7"/>
    <w:rsid w:val="00CB3BA9"/>
    <w:rsid w:val="00CB3D2A"/>
    <w:rsid w:val="00CB3F4F"/>
    <w:rsid w:val="00CB401E"/>
    <w:rsid w:val="00CB420B"/>
    <w:rsid w:val="00CB447C"/>
    <w:rsid w:val="00CB48DD"/>
    <w:rsid w:val="00CB4946"/>
    <w:rsid w:val="00CB4D49"/>
    <w:rsid w:val="00CB51F9"/>
    <w:rsid w:val="00CB5405"/>
    <w:rsid w:val="00CB55E6"/>
    <w:rsid w:val="00CB5B57"/>
    <w:rsid w:val="00CB5CC9"/>
    <w:rsid w:val="00CB6563"/>
    <w:rsid w:val="00CB675A"/>
    <w:rsid w:val="00CB68A6"/>
    <w:rsid w:val="00CB6914"/>
    <w:rsid w:val="00CB6A15"/>
    <w:rsid w:val="00CB6BBC"/>
    <w:rsid w:val="00CB6BD5"/>
    <w:rsid w:val="00CB6CDB"/>
    <w:rsid w:val="00CB6CE7"/>
    <w:rsid w:val="00CB6E4D"/>
    <w:rsid w:val="00CB7019"/>
    <w:rsid w:val="00CB7174"/>
    <w:rsid w:val="00CB72FC"/>
    <w:rsid w:val="00CB75DC"/>
    <w:rsid w:val="00CB768E"/>
    <w:rsid w:val="00CC033F"/>
    <w:rsid w:val="00CC0411"/>
    <w:rsid w:val="00CC0526"/>
    <w:rsid w:val="00CC06B3"/>
    <w:rsid w:val="00CC08FE"/>
    <w:rsid w:val="00CC0C3B"/>
    <w:rsid w:val="00CC1D21"/>
    <w:rsid w:val="00CC2014"/>
    <w:rsid w:val="00CC2355"/>
    <w:rsid w:val="00CC23DD"/>
    <w:rsid w:val="00CC2479"/>
    <w:rsid w:val="00CC25EE"/>
    <w:rsid w:val="00CC2BC5"/>
    <w:rsid w:val="00CC2CE0"/>
    <w:rsid w:val="00CC2D25"/>
    <w:rsid w:val="00CC2F8A"/>
    <w:rsid w:val="00CC2FB9"/>
    <w:rsid w:val="00CC305E"/>
    <w:rsid w:val="00CC3194"/>
    <w:rsid w:val="00CC31C5"/>
    <w:rsid w:val="00CC33E4"/>
    <w:rsid w:val="00CC3B70"/>
    <w:rsid w:val="00CC40F6"/>
    <w:rsid w:val="00CC437D"/>
    <w:rsid w:val="00CC44AC"/>
    <w:rsid w:val="00CC4507"/>
    <w:rsid w:val="00CC4FB6"/>
    <w:rsid w:val="00CC4FCD"/>
    <w:rsid w:val="00CC54BA"/>
    <w:rsid w:val="00CC5619"/>
    <w:rsid w:val="00CC5A69"/>
    <w:rsid w:val="00CC5E90"/>
    <w:rsid w:val="00CC5E9E"/>
    <w:rsid w:val="00CC5FD0"/>
    <w:rsid w:val="00CC60F0"/>
    <w:rsid w:val="00CC6286"/>
    <w:rsid w:val="00CC62A2"/>
    <w:rsid w:val="00CC636E"/>
    <w:rsid w:val="00CC68DB"/>
    <w:rsid w:val="00CC6DEA"/>
    <w:rsid w:val="00CC6EB4"/>
    <w:rsid w:val="00CC6EEB"/>
    <w:rsid w:val="00CC6FAE"/>
    <w:rsid w:val="00CC7018"/>
    <w:rsid w:val="00CC7072"/>
    <w:rsid w:val="00CC7123"/>
    <w:rsid w:val="00CC73C1"/>
    <w:rsid w:val="00CC743F"/>
    <w:rsid w:val="00CC759E"/>
    <w:rsid w:val="00CC76D2"/>
    <w:rsid w:val="00CC7862"/>
    <w:rsid w:val="00CC7B6E"/>
    <w:rsid w:val="00CC7BE0"/>
    <w:rsid w:val="00CC7D0D"/>
    <w:rsid w:val="00CC7F14"/>
    <w:rsid w:val="00CD046C"/>
    <w:rsid w:val="00CD04FC"/>
    <w:rsid w:val="00CD07FB"/>
    <w:rsid w:val="00CD0EA6"/>
    <w:rsid w:val="00CD1071"/>
    <w:rsid w:val="00CD1103"/>
    <w:rsid w:val="00CD127C"/>
    <w:rsid w:val="00CD186A"/>
    <w:rsid w:val="00CD1947"/>
    <w:rsid w:val="00CD1B0D"/>
    <w:rsid w:val="00CD215D"/>
    <w:rsid w:val="00CD21B3"/>
    <w:rsid w:val="00CD21DC"/>
    <w:rsid w:val="00CD241B"/>
    <w:rsid w:val="00CD2990"/>
    <w:rsid w:val="00CD2A95"/>
    <w:rsid w:val="00CD2B79"/>
    <w:rsid w:val="00CD31BC"/>
    <w:rsid w:val="00CD352F"/>
    <w:rsid w:val="00CD39A2"/>
    <w:rsid w:val="00CD3E9E"/>
    <w:rsid w:val="00CD3EA2"/>
    <w:rsid w:val="00CD4108"/>
    <w:rsid w:val="00CD4338"/>
    <w:rsid w:val="00CD489C"/>
    <w:rsid w:val="00CD49CE"/>
    <w:rsid w:val="00CD4B8B"/>
    <w:rsid w:val="00CD4BA5"/>
    <w:rsid w:val="00CD4EAB"/>
    <w:rsid w:val="00CD532F"/>
    <w:rsid w:val="00CD5CE4"/>
    <w:rsid w:val="00CD5E89"/>
    <w:rsid w:val="00CD6484"/>
    <w:rsid w:val="00CD66CD"/>
    <w:rsid w:val="00CD6740"/>
    <w:rsid w:val="00CD6BFE"/>
    <w:rsid w:val="00CD6EB1"/>
    <w:rsid w:val="00CD6F85"/>
    <w:rsid w:val="00CD72F1"/>
    <w:rsid w:val="00CD73B3"/>
    <w:rsid w:val="00CD741C"/>
    <w:rsid w:val="00CD7540"/>
    <w:rsid w:val="00CD7561"/>
    <w:rsid w:val="00CD7ABD"/>
    <w:rsid w:val="00CD7C47"/>
    <w:rsid w:val="00CE0033"/>
    <w:rsid w:val="00CE009C"/>
    <w:rsid w:val="00CE02F4"/>
    <w:rsid w:val="00CE04B9"/>
    <w:rsid w:val="00CE0543"/>
    <w:rsid w:val="00CE076C"/>
    <w:rsid w:val="00CE0F5A"/>
    <w:rsid w:val="00CE1745"/>
    <w:rsid w:val="00CE17C9"/>
    <w:rsid w:val="00CE1801"/>
    <w:rsid w:val="00CE1A73"/>
    <w:rsid w:val="00CE1DFC"/>
    <w:rsid w:val="00CE20B6"/>
    <w:rsid w:val="00CE245D"/>
    <w:rsid w:val="00CE2A89"/>
    <w:rsid w:val="00CE2FB5"/>
    <w:rsid w:val="00CE311B"/>
    <w:rsid w:val="00CE314C"/>
    <w:rsid w:val="00CE318B"/>
    <w:rsid w:val="00CE366D"/>
    <w:rsid w:val="00CE371E"/>
    <w:rsid w:val="00CE386E"/>
    <w:rsid w:val="00CE3D55"/>
    <w:rsid w:val="00CE40FF"/>
    <w:rsid w:val="00CE4343"/>
    <w:rsid w:val="00CE434E"/>
    <w:rsid w:val="00CE4419"/>
    <w:rsid w:val="00CE44CE"/>
    <w:rsid w:val="00CE4A64"/>
    <w:rsid w:val="00CE4C21"/>
    <w:rsid w:val="00CE4D31"/>
    <w:rsid w:val="00CE5199"/>
    <w:rsid w:val="00CE5305"/>
    <w:rsid w:val="00CE547B"/>
    <w:rsid w:val="00CE59DE"/>
    <w:rsid w:val="00CE5A44"/>
    <w:rsid w:val="00CE5C5B"/>
    <w:rsid w:val="00CE5D46"/>
    <w:rsid w:val="00CE5DB7"/>
    <w:rsid w:val="00CE5F5B"/>
    <w:rsid w:val="00CE6649"/>
    <w:rsid w:val="00CE66D5"/>
    <w:rsid w:val="00CE672C"/>
    <w:rsid w:val="00CE6D06"/>
    <w:rsid w:val="00CE6E61"/>
    <w:rsid w:val="00CE6E9A"/>
    <w:rsid w:val="00CE7809"/>
    <w:rsid w:val="00CE78B1"/>
    <w:rsid w:val="00CE7C68"/>
    <w:rsid w:val="00CE7F4A"/>
    <w:rsid w:val="00CE7FB0"/>
    <w:rsid w:val="00CF011F"/>
    <w:rsid w:val="00CF012B"/>
    <w:rsid w:val="00CF02D8"/>
    <w:rsid w:val="00CF0811"/>
    <w:rsid w:val="00CF102F"/>
    <w:rsid w:val="00CF11CB"/>
    <w:rsid w:val="00CF18D1"/>
    <w:rsid w:val="00CF1FAC"/>
    <w:rsid w:val="00CF2938"/>
    <w:rsid w:val="00CF29AF"/>
    <w:rsid w:val="00CF2B4C"/>
    <w:rsid w:val="00CF2D2D"/>
    <w:rsid w:val="00CF3144"/>
    <w:rsid w:val="00CF351C"/>
    <w:rsid w:val="00CF396D"/>
    <w:rsid w:val="00CF3A2D"/>
    <w:rsid w:val="00CF3E8C"/>
    <w:rsid w:val="00CF3FE8"/>
    <w:rsid w:val="00CF422C"/>
    <w:rsid w:val="00CF438A"/>
    <w:rsid w:val="00CF43DB"/>
    <w:rsid w:val="00CF45D6"/>
    <w:rsid w:val="00CF4A54"/>
    <w:rsid w:val="00CF4EE8"/>
    <w:rsid w:val="00CF4F4B"/>
    <w:rsid w:val="00CF54A5"/>
    <w:rsid w:val="00CF55F9"/>
    <w:rsid w:val="00CF581D"/>
    <w:rsid w:val="00CF5907"/>
    <w:rsid w:val="00CF5B9C"/>
    <w:rsid w:val="00CF5C49"/>
    <w:rsid w:val="00CF637A"/>
    <w:rsid w:val="00CF6754"/>
    <w:rsid w:val="00CF6787"/>
    <w:rsid w:val="00CF67F9"/>
    <w:rsid w:val="00CF690A"/>
    <w:rsid w:val="00CF6C35"/>
    <w:rsid w:val="00CF6DE7"/>
    <w:rsid w:val="00CF73AC"/>
    <w:rsid w:val="00CF7664"/>
    <w:rsid w:val="00CF7A42"/>
    <w:rsid w:val="00CF7E17"/>
    <w:rsid w:val="00CF7EB4"/>
    <w:rsid w:val="00D0014F"/>
    <w:rsid w:val="00D00193"/>
    <w:rsid w:val="00D00383"/>
    <w:rsid w:val="00D0086F"/>
    <w:rsid w:val="00D00928"/>
    <w:rsid w:val="00D00C12"/>
    <w:rsid w:val="00D01027"/>
    <w:rsid w:val="00D010CF"/>
    <w:rsid w:val="00D0122F"/>
    <w:rsid w:val="00D0142D"/>
    <w:rsid w:val="00D0171F"/>
    <w:rsid w:val="00D0175B"/>
    <w:rsid w:val="00D018AD"/>
    <w:rsid w:val="00D01BBD"/>
    <w:rsid w:val="00D01E41"/>
    <w:rsid w:val="00D01FD1"/>
    <w:rsid w:val="00D022A2"/>
    <w:rsid w:val="00D02CCF"/>
    <w:rsid w:val="00D02DAA"/>
    <w:rsid w:val="00D02DB7"/>
    <w:rsid w:val="00D03E7E"/>
    <w:rsid w:val="00D03F26"/>
    <w:rsid w:val="00D04259"/>
    <w:rsid w:val="00D044BD"/>
    <w:rsid w:val="00D046A0"/>
    <w:rsid w:val="00D046C4"/>
    <w:rsid w:val="00D04F27"/>
    <w:rsid w:val="00D052B4"/>
    <w:rsid w:val="00D05582"/>
    <w:rsid w:val="00D05894"/>
    <w:rsid w:val="00D059DE"/>
    <w:rsid w:val="00D05B0B"/>
    <w:rsid w:val="00D05D29"/>
    <w:rsid w:val="00D062FF"/>
    <w:rsid w:val="00D0639F"/>
    <w:rsid w:val="00D063AD"/>
    <w:rsid w:val="00D066BF"/>
    <w:rsid w:val="00D068DE"/>
    <w:rsid w:val="00D06C0D"/>
    <w:rsid w:val="00D0706F"/>
    <w:rsid w:val="00D07149"/>
    <w:rsid w:val="00D071B0"/>
    <w:rsid w:val="00D07351"/>
    <w:rsid w:val="00D078F2"/>
    <w:rsid w:val="00D07CD3"/>
    <w:rsid w:val="00D10017"/>
    <w:rsid w:val="00D1016C"/>
    <w:rsid w:val="00D10504"/>
    <w:rsid w:val="00D10680"/>
    <w:rsid w:val="00D108E9"/>
    <w:rsid w:val="00D10E07"/>
    <w:rsid w:val="00D10F5B"/>
    <w:rsid w:val="00D112E6"/>
    <w:rsid w:val="00D115FA"/>
    <w:rsid w:val="00D1165D"/>
    <w:rsid w:val="00D11A5E"/>
    <w:rsid w:val="00D11B06"/>
    <w:rsid w:val="00D122CE"/>
    <w:rsid w:val="00D1255D"/>
    <w:rsid w:val="00D12665"/>
    <w:rsid w:val="00D127BA"/>
    <w:rsid w:val="00D1284F"/>
    <w:rsid w:val="00D1292D"/>
    <w:rsid w:val="00D12CAB"/>
    <w:rsid w:val="00D12EFE"/>
    <w:rsid w:val="00D13137"/>
    <w:rsid w:val="00D1390E"/>
    <w:rsid w:val="00D13C2A"/>
    <w:rsid w:val="00D13D09"/>
    <w:rsid w:val="00D13FCE"/>
    <w:rsid w:val="00D1453E"/>
    <w:rsid w:val="00D14557"/>
    <w:rsid w:val="00D149F1"/>
    <w:rsid w:val="00D14D4D"/>
    <w:rsid w:val="00D14D5F"/>
    <w:rsid w:val="00D14ECA"/>
    <w:rsid w:val="00D14F16"/>
    <w:rsid w:val="00D15325"/>
    <w:rsid w:val="00D15370"/>
    <w:rsid w:val="00D159C3"/>
    <w:rsid w:val="00D15B6C"/>
    <w:rsid w:val="00D15EC3"/>
    <w:rsid w:val="00D15F59"/>
    <w:rsid w:val="00D162A1"/>
    <w:rsid w:val="00D163F2"/>
    <w:rsid w:val="00D1647D"/>
    <w:rsid w:val="00D166BA"/>
    <w:rsid w:val="00D167D5"/>
    <w:rsid w:val="00D167FE"/>
    <w:rsid w:val="00D16870"/>
    <w:rsid w:val="00D173C6"/>
    <w:rsid w:val="00D173D2"/>
    <w:rsid w:val="00D17482"/>
    <w:rsid w:val="00D17929"/>
    <w:rsid w:val="00D17CC0"/>
    <w:rsid w:val="00D17FBF"/>
    <w:rsid w:val="00D200F6"/>
    <w:rsid w:val="00D20226"/>
    <w:rsid w:val="00D202AC"/>
    <w:rsid w:val="00D203B3"/>
    <w:rsid w:val="00D2052B"/>
    <w:rsid w:val="00D20558"/>
    <w:rsid w:val="00D20A44"/>
    <w:rsid w:val="00D20AB9"/>
    <w:rsid w:val="00D20B84"/>
    <w:rsid w:val="00D20BD7"/>
    <w:rsid w:val="00D20D0E"/>
    <w:rsid w:val="00D20EA8"/>
    <w:rsid w:val="00D20FB9"/>
    <w:rsid w:val="00D2116F"/>
    <w:rsid w:val="00D211CE"/>
    <w:rsid w:val="00D21320"/>
    <w:rsid w:val="00D21891"/>
    <w:rsid w:val="00D21966"/>
    <w:rsid w:val="00D21A95"/>
    <w:rsid w:val="00D21A9E"/>
    <w:rsid w:val="00D21B3A"/>
    <w:rsid w:val="00D21D43"/>
    <w:rsid w:val="00D21ECA"/>
    <w:rsid w:val="00D21F40"/>
    <w:rsid w:val="00D22010"/>
    <w:rsid w:val="00D22566"/>
    <w:rsid w:val="00D22575"/>
    <w:rsid w:val="00D225CE"/>
    <w:rsid w:val="00D226F1"/>
    <w:rsid w:val="00D2281E"/>
    <w:rsid w:val="00D22A2B"/>
    <w:rsid w:val="00D22E8A"/>
    <w:rsid w:val="00D2333E"/>
    <w:rsid w:val="00D2360B"/>
    <w:rsid w:val="00D236A7"/>
    <w:rsid w:val="00D2399B"/>
    <w:rsid w:val="00D239E9"/>
    <w:rsid w:val="00D247B5"/>
    <w:rsid w:val="00D248F7"/>
    <w:rsid w:val="00D24A7F"/>
    <w:rsid w:val="00D24ED7"/>
    <w:rsid w:val="00D24EFB"/>
    <w:rsid w:val="00D251F2"/>
    <w:rsid w:val="00D25490"/>
    <w:rsid w:val="00D255FE"/>
    <w:rsid w:val="00D2562A"/>
    <w:rsid w:val="00D2577D"/>
    <w:rsid w:val="00D25974"/>
    <w:rsid w:val="00D25DA5"/>
    <w:rsid w:val="00D25E35"/>
    <w:rsid w:val="00D25E53"/>
    <w:rsid w:val="00D25FD8"/>
    <w:rsid w:val="00D2602F"/>
    <w:rsid w:val="00D26301"/>
    <w:rsid w:val="00D2631B"/>
    <w:rsid w:val="00D26A84"/>
    <w:rsid w:val="00D26D2F"/>
    <w:rsid w:val="00D271E9"/>
    <w:rsid w:val="00D27665"/>
    <w:rsid w:val="00D27690"/>
    <w:rsid w:val="00D276A7"/>
    <w:rsid w:val="00D27700"/>
    <w:rsid w:val="00D27B53"/>
    <w:rsid w:val="00D302B9"/>
    <w:rsid w:val="00D306D1"/>
    <w:rsid w:val="00D306F3"/>
    <w:rsid w:val="00D308F8"/>
    <w:rsid w:val="00D309B3"/>
    <w:rsid w:val="00D30B38"/>
    <w:rsid w:val="00D30BB0"/>
    <w:rsid w:val="00D30DD0"/>
    <w:rsid w:val="00D3127C"/>
    <w:rsid w:val="00D31642"/>
    <w:rsid w:val="00D31674"/>
    <w:rsid w:val="00D318D8"/>
    <w:rsid w:val="00D31F3C"/>
    <w:rsid w:val="00D32002"/>
    <w:rsid w:val="00D32082"/>
    <w:rsid w:val="00D324B3"/>
    <w:rsid w:val="00D3282D"/>
    <w:rsid w:val="00D329C8"/>
    <w:rsid w:val="00D33614"/>
    <w:rsid w:val="00D33852"/>
    <w:rsid w:val="00D33903"/>
    <w:rsid w:val="00D33AF6"/>
    <w:rsid w:val="00D33CE8"/>
    <w:rsid w:val="00D33E17"/>
    <w:rsid w:val="00D34291"/>
    <w:rsid w:val="00D343B8"/>
    <w:rsid w:val="00D345DE"/>
    <w:rsid w:val="00D34740"/>
    <w:rsid w:val="00D34786"/>
    <w:rsid w:val="00D34BE9"/>
    <w:rsid w:val="00D34C63"/>
    <w:rsid w:val="00D34E8F"/>
    <w:rsid w:val="00D34EC4"/>
    <w:rsid w:val="00D35634"/>
    <w:rsid w:val="00D35829"/>
    <w:rsid w:val="00D35966"/>
    <w:rsid w:val="00D35BD0"/>
    <w:rsid w:val="00D35D07"/>
    <w:rsid w:val="00D35F36"/>
    <w:rsid w:val="00D35F98"/>
    <w:rsid w:val="00D360E3"/>
    <w:rsid w:val="00D363CB"/>
    <w:rsid w:val="00D367BC"/>
    <w:rsid w:val="00D3681A"/>
    <w:rsid w:val="00D3682C"/>
    <w:rsid w:val="00D36B0E"/>
    <w:rsid w:val="00D36DC7"/>
    <w:rsid w:val="00D3710A"/>
    <w:rsid w:val="00D37396"/>
    <w:rsid w:val="00D373F6"/>
    <w:rsid w:val="00D37B53"/>
    <w:rsid w:val="00D37BBE"/>
    <w:rsid w:val="00D40168"/>
    <w:rsid w:val="00D401E6"/>
    <w:rsid w:val="00D4075D"/>
    <w:rsid w:val="00D409A3"/>
    <w:rsid w:val="00D413C3"/>
    <w:rsid w:val="00D415E8"/>
    <w:rsid w:val="00D4163E"/>
    <w:rsid w:val="00D41751"/>
    <w:rsid w:val="00D41B21"/>
    <w:rsid w:val="00D41B66"/>
    <w:rsid w:val="00D41BBF"/>
    <w:rsid w:val="00D41DC9"/>
    <w:rsid w:val="00D42D8E"/>
    <w:rsid w:val="00D43262"/>
    <w:rsid w:val="00D43675"/>
    <w:rsid w:val="00D43835"/>
    <w:rsid w:val="00D43A4E"/>
    <w:rsid w:val="00D43AD3"/>
    <w:rsid w:val="00D43B9E"/>
    <w:rsid w:val="00D43F6C"/>
    <w:rsid w:val="00D44154"/>
    <w:rsid w:val="00D44D1C"/>
    <w:rsid w:val="00D44E75"/>
    <w:rsid w:val="00D45354"/>
    <w:rsid w:val="00D455DD"/>
    <w:rsid w:val="00D45802"/>
    <w:rsid w:val="00D45CA7"/>
    <w:rsid w:val="00D46045"/>
    <w:rsid w:val="00D4610B"/>
    <w:rsid w:val="00D461A2"/>
    <w:rsid w:val="00D46263"/>
    <w:rsid w:val="00D4628A"/>
    <w:rsid w:val="00D4665B"/>
    <w:rsid w:val="00D46970"/>
    <w:rsid w:val="00D46A1F"/>
    <w:rsid w:val="00D46B2C"/>
    <w:rsid w:val="00D46CEA"/>
    <w:rsid w:val="00D46CFD"/>
    <w:rsid w:val="00D46E22"/>
    <w:rsid w:val="00D46E48"/>
    <w:rsid w:val="00D46EBE"/>
    <w:rsid w:val="00D471E9"/>
    <w:rsid w:val="00D4750B"/>
    <w:rsid w:val="00D47537"/>
    <w:rsid w:val="00D47A8E"/>
    <w:rsid w:val="00D47E7A"/>
    <w:rsid w:val="00D5022E"/>
    <w:rsid w:val="00D506C4"/>
    <w:rsid w:val="00D50823"/>
    <w:rsid w:val="00D50CF0"/>
    <w:rsid w:val="00D50D9E"/>
    <w:rsid w:val="00D50E69"/>
    <w:rsid w:val="00D51633"/>
    <w:rsid w:val="00D51C51"/>
    <w:rsid w:val="00D51F61"/>
    <w:rsid w:val="00D520F2"/>
    <w:rsid w:val="00D52474"/>
    <w:rsid w:val="00D524E7"/>
    <w:rsid w:val="00D52D14"/>
    <w:rsid w:val="00D52D7B"/>
    <w:rsid w:val="00D52EDC"/>
    <w:rsid w:val="00D52F9C"/>
    <w:rsid w:val="00D531E3"/>
    <w:rsid w:val="00D532F7"/>
    <w:rsid w:val="00D534C7"/>
    <w:rsid w:val="00D538AD"/>
    <w:rsid w:val="00D5390E"/>
    <w:rsid w:val="00D53D62"/>
    <w:rsid w:val="00D541CC"/>
    <w:rsid w:val="00D543A9"/>
    <w:rsid w:val="00D5477A"/>
    <w:rsid w:val="00D550AF"/>
    <w:rsid w:val="00D5519A"/>
    <w:rsid w:val="00D553E1"/>
    <w:rsid w:val="00D557EC"/>
    <w:rsid w:val="00D55A37"/>
    <w:rsid w:val="00D55BB5"/>
    <w:rsid w:val="00D562DC"/>
    <w:rsid w:val="00D5671A"/>
    <w:rsid w:val="00D56BFB"/>
    <w:rsid w:val="00D57276"/>
    <w:rsid w:val="00D5747F"/>
    <w:rsid w:val="00D57732"/>
    <w:rsid w:val="00D57CC6"/>
    <w:rsid w:val="00D57E70"/>
    <w:rsid w:val="00D6022F"/>
    <w:rsid w:val="00D60299"/>
    <w:rsid w:val="00D603D4"/>
    <w:rsid w:val="00D607FA"/>
    <w:rsid w:val="00D60CA1"/>
    <w:rsid w:val="00D60F3A"/>
    <w:rsid w:val="00D612F9"/>
    <w:rsid w:val="00D616FB"/>
    <w:rsid w:val="00D61CF7"/>
    <w:rsid w:val="00D6214E"/>
    <w:rsid w:val="00D62720"/>
    <w:rsid w:val="00D628CB"/>
    <w:rsid w:val="00D62D3D"/>
    <w:rsid w:val="00D62EE3"/>
    <w:rsid w:val="00D6322D"/>
    <w:rsid w:val="00D63D41"/>
    <w:rsid w:val="00D63EBC"/>
    <w:rsid w:val="00D6401D"/>
    <w:rsid w:val="00D64185"/>
    <w:rsid w:val="00D64A85"/>
    <w:rsid w:val="00D652B5"/>
    <w:rsid w:val="00D65495"/>
    <w:rsid w:val="00D65A02"/>
    <w:rsid w:val="00D65F09"/>
    <w:rsid w:val="00D65F25"/>
    <w:rsid w:val="00D661BB"/>
    <w:rsid w:val="00D66395"/>
    <w:rsid w:val="00D66426"/>
    <w:rsid w:val="00D664FC"/>
    <w:rsid w:val="00D66684"/>
    <w:rsid w:val="00D66A14"/>
    <w:rsid w:val="00D66B72"/>
    <w:rsid w:val="00D66E3A"/>
    <w:rsid w:val="00D670D4"/>
    <w:rsid w:val="00D67255"/>
    <w:rsid w:val="00D67780"/>
    <w:rsid w:val="00D6785E"/>
    <w:rsid w:val="00D67B63"/>
    <w:rsid w:val="00D67CC4"/>
    <w:rsid w:val="00D70810"/>
    <w:rsid w:val="00D712D3"/>
    <w:rsid w:val="00D7130B"/>
    <w:rsid w:val="00D71422"/>
    <w:rsid w:val="00D7151E"/>
    <w:rsid w:val="00D71A72"/>
    <w:rsid w:val="00D7200F"/>
    <w:rsid w:val="00D724ED"/>
    <w:rsid w:val="00D7257D"/>
    <w:rsid w:val="00D72582"/>
    <w:rsid w:val="00D72716"/>
    <w:rsid w:val="00D7282B"/>
    <w:rsid w:val="00D72DC6"/>
    <w:rsid w:val="00D73102"/>
    <w:rsid w:val="00D7337D"/>
    <w:rsid w:val="00D73420"/>
    <w:rsid w:val="00D73451"/>
    <w:rsid w:val="00D737C1"/>
    <w:rsid w:val="00D73BE4"/>
    <w:rsid w:val="00D7401B"/>
    <w:rsid w:val="00D7406F"/>
    <w:rsid w:val="00D7431C"/>
    <w:rsid w:val="00D7451B"/>
    <w:rsid w:val="00D74BA2"/>
    <w:rsid w:val="00D74D79"/>
    <w:rsid w:val="00D7519B"/>
    <w:rsid w:val="00D752E8"/>
    <w:rsid w:val="00D754E1"/>
    <w:rsid w:val="00D7558D"/>
    <w:rsid w:val="00D758B9"/>
    <w:rsid w:val="00D75996"/>
    <w:rsid w:val="00D75997"/>
    <w:rsid w:val="00D75E0D"/>
    <w:rsid w:val="00D75E7C"/>
    <w:rsid w:val="00D7603D"/>
    <w:rsid w:val="00D7609D"/>
    <w:rsid w:val="00D76222"/>
    <w:rsid w:val="00D76409"/>
    <w:rsid w:val="00D764A4"/>
    <w:rsid w:val="00D767FC"/>
    <w:rsid w:val="00D7682C"/>
    <w:rsid w:val="00D7684D"/>
    <w:rsid w:val="00D76B90"/>
    <w:rsid w:val="00D77087"/>
    <w:rsid w:val="00D7724D"/>
    <w:rsid w:val="00D77660"/>
    <w:rsid w:val="00D77E3E"/>
    <w:rsid w:val="00D80192"/>
    <w:rsid w:val="00D80196"/>
    <w:rsid w:val="00D80452"/>
    <w:rsid w:val="00D80B10"/>
    <w:rsid w:val="00D80BAC"/>
    <w:rsid w:val="00D810A9"/>
    <w:rsid w:val="00D810EB"/>
    <w:rsid w:val="00D812CF"/>
    <w:rsid w:val="00D81D92"/>
    <w:rsid w:val="00D81DB1"/>
    <w:rsid w:val="00D8270C"/>
    <w:rsid w:val="00D828B3"/>
    <w:rsid w:val="00D8295A"/>
    <w:rsid w:val="00D82BBC"/>
    <w:rsid w:val="00D82C41"/>
    <w:rsid w:val="00D82F57"/>
    <w:rsid w:val="00D82F90"/>
    <w:rsid w:val="00D83270"/>
    <w:rsid w:val="00D832DD"/>
    <w:rsid w:val="00D83493"/>
    <w:rsid w:val="00D834FD"/>
    <w:rsid w:val="00D83533"/>
    <w:rsid w:val="00D83D0E"/>
    <w:rsid w:val="00D84457"/>
    <w:rsid w:val="00D8456A"/>
    <w:rsid w:val="00D8460F"/>
    <w:rsid w:val="00D84B05"/>
    <w:rsid w:val="00D84F1F"/>
    <w:rsid w:val="00D850AC"/>
    <w:rsid w:val="00D85115"/>
    <w:rsid w:val="00D85295"/>
    <w:rsid w:val="00D85638"/>
    <w:rsid w:val="00D85731"/>
    <w:rsid w:val="00D85874"/>
    <w:rsid w:val="00D858B7"/>
    <w:rsid w:val="00D85BCD"/>
    <w:rsid w:val="00D85D3C"/>
    <w:rsid w:val="00D85D9B"/>
    <w:rsid w:val="00D85EAB"/>
    <w:rsid w:val="00D85EF7"/>
    <w:rsid w:val="00D860DF"/>
    <w:rsid w:val="00D86479"/>
    <w:rsid w:val="00D868E2"/>
    <w:rsid w:val="00D86926"/>
    <w:rsid w:val="00D86B6A"/>
    <w:rsid w:val="00D86C32"/>
    <w:rsid w:val="00D86C80"/>
    <w:rsid w:val="00D871DD"/>
    <w:rsid w:val="00D87369"/>
    <w:rsid w:val="00D8739D"/>
    <w:rsid w:val="00D873CB"/>
    <w:rsid w:val="00D87607"/>
    <w:rsid w:val="00D878B9"/>
    <w:rsid w:val="00D87BF1"/>
    <w:rsid w:val="00D87E60"/>
    <w:rsid w:val="00D900B7"/>
    <w:rsid w:val="00D90284"/>
    <w:rsid w:val="00D90291"/>
    <w:rsid w:val="00D906E2"/>
    <w:rsid w:val="00D906FD"/>
    <w:rsid w:val="00D90A05"/>
    <w:rsid w:val="00D90CDF"/>
    <w:rsid w:val="00D91193"/>
    <w:rsid w:val="00D91266"/>
    <w:rsid w:val="00D912E1"/>
    <w:rsid w:val="00D917CF"/>
    <w:rsid w:val="00D91882"/>
    <w:rsid w:val="00D91BCE"/>
    <w:rsid w:val="00D91C6A"/>
    <w:rsid w:val="00D91DF1"/>
    <w:rsid w:val="00D91F0B"/>
    <w:rsid w:val="00D9245F"/>
    <w:rsid w:val="00D92701"/>
    <w:rsid w:val="00D927A3"/>
    <w:rsid w:val="00D928B6"/>
    <w:rsid w:val="00D9291F"/>
    <w:rsid w:val="00D92961"/>
    <w:rsid w:val="00D92C49"/>
    <w:rsid w:val="00D92CC8"/>
    <w:rsid w:val="00D92D6D"/>
    <w:rsid w:val="00D9324C"/>
    <w:rsid w:val="00D938BF"/>
    <w:rsid w:val="00D93ACB"/>
    <w:rsid w:val="00D9413C"/>
    <w:rsid w:val="00D94765"/>
    <w:rsid w:val="00D9479F"/>
    <w:rsid w:val="00D947C4"/>
    <w:rsid w:val="00D94887"/>
    <w:rsid w:val="00D94A3B"/>
    <w:rsid w:val="00D95628"/>
    <w:rsid w:val="00D956C3"/>
    <w:rsid w:val="00D957DD"/>
    <w:rsid w:val="00D95A66"/>
    <w:rsid w:val="00D95CAC"/>
    <w:rsid w:val="00D95CEC"/>
    <w:rsid w:val="00D95FB0"/>
    <w:rsid w:val="00D96050"/>
    <w:rsid w:val="00D961AB"/>
    <w:rsid w:val="00D96436"/>
    <w:rsid w:val="00D96480"/>
    <w:rsid w:val="00D967D0"/>
    <w:rsid w:val="00D96E10"/>
    <w:rsid w:val="00D96E4F"/>
    <w:rsid w:val="00D9739F"/>
    <w:rsid w:val="00D97446"/>
    <w:rsid w:val="00D974F6"/>
    <w:rsid w:val="00D9757F"/>
    <w:rsid w:val="00D9763D"/>
    <w:rsid w:val="00D9793C"/>
    <w:rsid w:val="00D97B6E"/>
    <w:rsid w:val="00DA049F"/>
    <w:rsid w:val="00DA05DA"/>
    <w:rsid w:val="00DA080E"/>
    <w:rsid w:val="00DA0ACA"/>
    <w:rsid w:val="00DA0B90"/>
    <w:rsid w:val="00DA0CF1"/>
    <w:rsid w:val="00DA11C9"/>
    <w:rsid w:val="00DA1224"/>
    <w:rsid w:val="00DA1276"/>
    <w:rsid w:val="00DA138B"/>
    <w:rsid w:val="00DA14C4"/>
    <w:rsid w:val="00DA14C8"/>
    <w:rsid w:val="00DA14E2"/>
    <w:rsid w:val="00DA1707"/>
    <w:rsid w:val="00DA1993"/>
    <w:rsid w:val="00DA2039"/>
    <w:rsid w:val="00DA203D"/>
    <w:rsid w:val="00DA2351"/>
    <w:rsid w:val="00DA264A"/>
    <w:rsid w:val="00DA2675"/>
    <w:rsid w:val="00DA2C92"/>
    <w:rsid w:val="00DA326B"/>
    <w:rsid w:val="00DA332B"/>
    <w:rsid w:val="00DA380D"/>
    <w:rsid w:val="00DA38EA"/>
    <w:rsid w:val="00DA391E"/>
    <w:rsid w:val="00DA4062"/>
    <w:rsid w:val="00DA4372"/>
    <w:rsid w:val="00DA451E"/>
    <w:rsid w:val="00DA4592"/>
    <w:rsid w:val="00DA59AB"/>
    <w:rsid w:val="00DA5B57"/>
    <w:rsid w:val="00DA5F7B"/>
    <w:rsid w:val="00DA5F80"/>
    <w:rsid w:val="00DA5FD7"/>
    <w:rsid w:val="00DA684E"/>
    <w:rsid w:val="00DA6AB0"/>
    <w:rsid w:val="00DA6D54"/>
    <w:rsid w:val="00DA7111"/>
    <w:rsid w:val="00DA7B5F"/>
    <w:rsid w:val="00DA7BF2"/>
    <w:rsid w:val="00DA7E3F"/>
    <w:rsid w:val="00DA7EE8"/>
    <w:rsid w:val="00DB0010"/>
    <w:rsid w:val="00DB00A0"/>
    <w:rsid w:val="00DB0A25"/>
    <w:rsid w:val="00DB0D85"/>
    <w:rsid w:val="00DB11C3"/>
    <w:rsid w:val="00DB1255"/>
    <w:rsid w:val="00DB1335"/>
    <w:rsid w:val="00DB13F3"/>
    <w:rsid w:val="00DB14AA"/>
    <w:rsid w:val="00DB1657"/>
    <w:rsid w:val="00DB1767"/>
    <w:rsid w:val="00DB1843"/>
    <w:rsid w:val="00DB1F39"/>
    <w:rsid w:val="00DB22F3"/>
    <w:rsid w:val="00DB2856"/>
    <w:rsid w:val="00DB29D2"/>
    <w:rsid w:val="00DB2A77"/>
    <w:rsid w:val="00DB32E8"/>
    <w:rsid w:val="00DB330D"/>
    <w:rsid w:val="00DB34D4"/>
    <w:rsid w:val="00DB3618"/>
    <w:rsid w:val="00DB397C"/>
    <w:rsid w:val="00DB3C3F"/>
    <w:rsid w:val="00DB4292"/>
    <w:rsid w:val="00DB4904"/>
    <w:rsid w:val="00DB4CE5"/>
    <w:rsid w:val="00DB50A5"/>
    <w:rsid w:val="00DB535A"/>
    <w:rsid w:val="00DB567E"/>
    <w:rsid w:val="00DB5A76"/>
    <w:rsid w:val="00DB5BF0"/>
    <w:rsid w:val="00DB5C1D"/>
    <w:rsid w:val="00DB6648"/>
    <w:rsid w:val="00DB6960"/>
    <w:rsid w:val="00DB69E7"/>
    <w:rsid w:val="00DB6BC5"/>
    <w:rsid w:val="00DB6C5E"/>
    <w:rsid w:val="00DB6CA2"/>
    <w:rsid w:val="00DB6DCC"/>
    <w:rsid w:val="00DB76E2"/>
    <w:rsid w:val="00DB7AEB"/>
    <w:rsid w:val="00DB7BC2"/>
    <w:rsid w:val="00DB7CD5"/>
    <w:rsid w:val="00DC0183"/>
    <w:rsid w:val="00DC01D2"/>
    <w:rsid w:val="00DC0482"/>
    <w:rsid w:val="00DC0551"/>
    <w:rsid w:val="00DC05B8"/>
    <w:rsid w:val="00DC0767"/>
    <w:rsid w:val="00DC0A3C"/>
    <w:rsid w:val="00DC0D80"/>
    <w:rsid w:val="00DC0DE3"/>
    <w:rsid w:val="00DC11E7"/>
    <w:rsid w:val="00DC140D"/>
    <w:rsid w:val="00DC1580"/>
    <w:rsid w:val="00DC166C"/>
    <w:rsid w:val="00DC1A2E"/>
    <w:rsid w:val="00DC1A4D"/>
    <w:rsid w:val="00DC1D18"/>
    <w:rsid w:val="00DC1E9C"/>
    <w:rsid w:val="00DC2B87"/>
    <w:rsid w:val="00DC2C10"/>
    <w:rsid w:val="00DC32D8"/>
    <w:rsid w:val="00DC337C"/>
    <w:rsid w:val="00DC3564"/>
    <w:rsid w:val="00DC3942"/>
    <w:rsid w:val="00DC3981"/>
    <w:rsid w:val="00DC3B33"/>
    <w:rsid w:val="00DC4351"/>
    <w:rsid w:val="00DC435F"/>
    <w:rsid w:val="00DC44E2"/>
    <w:rsid w:val="00DC499C"/>
    <w:rsid w:val="00DC4DB4"/>
    <w:rsid w:val="00DC51DD"/>
    <w:rsid w:val="00DC51F6"/>
    <w:rsid w:val="00DC5A67"/>
    <w:rsid w:val="00DC5B0D"/>
    <w:rsid w:val="00DC5C29"/>
    <w:rsid w:val="00DC6095"/>
    <w:rsid w:val="00DC6180"/>
    <w:rsid w:val="00DC61EE"/>
    <w:rsid w:val="00DC6667"/>
    <w:rsid w:val="00DC669B"/>
    <w:rsid w:val="00DC672D"/>
    <w:rsid w:val="00DC6783"/>
    <w:rsid w:val="00DC67B2"/>
    <w:rsid w:val="00DC6884"/>
    <w:rsid w:val="00DC6B69"/>
    <w:rsid w:val="00DC6F0A"/>
    <w:rsid w:val="00DC6F6C"/>
    <w:rsid w:val="00DC6F7C"/>
    <w:rsid w:val="00DC7023"/>
    <w:rsid w:val="00DC7355"/>
    <w:rsid w:val="00DC74E5"/>
    <w:rsid w:val="00DC769A"/>
    <w:rsid w:val="00DC7BAF"/>
    <w:rsid w:val="00DC7E66"/>
    <w:rsid w:val="00DD063E"/>
    <w:rsid w:val="00DD0888"/>
    <w:rsid w:val="00DD0BBA"/>
    <w:rsid w:val="00DD0E82"/>
    <w:rsid w:val="00DD1443"/>
    <w:rsid w:val="00DD2142"/>
    <w:rsid w:val="00DD237C"/>
    <w:rsid w:val="00DD24ED"/>
    <w:rsid w:val="00DD256F"/>
    <w:rsid w:val="00DD298A"/>
    <w:rsid w:val="00DD2EC0"/>
    <w:rsid w:val="00DD31F9"/>
    <w:rsid w:val="00DD32A8"/>
    <w:rsid w:val="00DD3BC4"/>
    <w:rsid w:val="00DD3D86"/>
    <w:rsid w:val="00DD3E65"/>
    <w:rsid w:val="00DD3EF7"/>
    <w:rsid w:val="00DD410F"/>
    <w:rsid w:val="00DD4387"/>
    <w:rsid w:val="00DD4712"/>
    <w:rsid w:val="00DD49CF"/>
    <w:rsid w:val="00DD4BD2"/>
    <w:rsid w:val="00DD4C4D"/>
    <w:rsid w:val="00DD4CA8"/>
    <w:rsid w:val="00DD4D63"/>
    <w:rsid w:val="00DD4E5F"/>
    <w:rsid w:val="00DD515F"/>
    <w:rsid w:val="00DD59FB"/>
    <w:rsid w:val="00DD5B44"/>
    <w:rsid w:val="00DD5BBB"/>
    <w:rsid w:val="00DD5F5E"/>
    <w:rsid w:val="00DD65CF"/>
    <w:rsid w:val="00DD684B"/>
    <w:rsid w:val="00DD686E"/>
    <w:rsid w:val="00DD6B98"/>
    <w:rsid w:val="00DD6BA1"/>
    <w:rsid w:val="00DD6D14"/>
    <w:rsid w:val="00DD6D40"/>
    <w:rsid w:val="00DD6D92"/>
    <w:rsid w:val="00DD6F74"/>
    <w:rsid w:val="00DD70A5"/>
    <w:rsid w:val="00DD70D2"/>
    <w:rsid w:val="00DD7EE7"/>
    <w:rsid w:val="00DE02F3"/>
    <w:rsid w:val="00DE0367"/>
    <w:rsid w:val="00DE067B"/>
    <w:rsid w:val="00DE07D2"/>
    <w:rsid w:val="00DE07E4"/>
    <w:rsid w:val="00DE09A1"/>
    <w:rsid w:val="00DE09A5"/>
    <w:rsid w:val="00DE0A59"/>
    <w:rsid w:val="00DE1353"/>
    <w:rsid w:val="00DE13C7"/>
    <w:rsid w:val="00DE18AE"/>
    <w:rsid w:val="00DE19C3"/>
    <w:rsid w:val="00DE1ECE"/>
    <w:rsid w:val="00DE21FB"/>
    <w:rsid w:val="00DE2229"/>
    <w:rsid w:val="00DE2387"/>
    <w:rsid w:val="00DE26A0"/>
    <w:rsid w:val="00DE2805"/>
    <w:rsid w:val="00DE2A16"/>
    <w:rsid w:val="00DE2B80"/>
    <w:rsid w:val="00DE2B9E"/>
    <w:rsid w:val="00DE2DAB"/>
    <w:rsid w:val="00DE2DCE"/>
    <w:rsid w:val="00DE2F3F"/>
    <w:rsid w:val="00DE30FA"/>
    <w:rsid w:val="00DE3193"/>
    <w:rsid w:val="00DE3395"/>
    <w:rsid w:val="00DE3463"/>
    <w:rsid w:val="00DE449B"/>
    <w:rsid w:val="00DE488D"/>
    <w:rsid w:val="00DE4C67"/>
    <w:rsid w:val="00DE4D69"/>
    <w:rsid w:val="00DE4EA1"/>
    <w:rsid w:val="00DE4EC3"/>
    <w:rsid w:val="00DE5463"/>
    <w:rsid w:val="00DE54C6"/>
    <w:rsid w:val="00DE56F7"/>
    <w:rsid w:val="00DE5E6A"/>
    <w:rsid w:val="00DE610F"/>
    <w:rsid w:val="00DE6CA6"/>
    <w:rsid w:val="00DE70AC"/>
    <w:rsid w:val="00DE710B"/>
    <w:rsid w:val="00DE7243"/>
    <w:rsid w:val="00DE7267"/>
    <w:rsid w:val="00DE7423"/>
    <w:rsid w:val="00DE77BE"/>
    <w:rsid w:val="00DE77CF"/>
    <w:rsid w:val="00DE792A"/>
    <w:rsid w:val="00DF01D3"/>
    <w:rsid w:val="00DF05E8"/>
    <w:rsid w:val="00DF087C"/>
    <w:rsid w:val="00DF0C1C"/>
    <w:rsid w:val="00DF0D34"/>
    <w:rsid w:val="00DF0F2C"/>
    <w:rsid w:val="00DF0FC5"/>
    <w:rsid w:val="00DF1593"/>
    <w:rsid w:val="00DF1B4B"/>
    <w:rsid w:val="00DF1BCE"/>
    <w:rsid w:val="00DF203B"/>
    <w:rsid w:val="00DF22C9"/>
    <w:rsid w:val="00DF26AA"/>
    <w:rsid w:val="00DF2C04"/>
    <w:rsid w:val="00DF2CDA"/>
    <w:rsid w:val="00DF2D7E"/>
    <w:rsid w:val="00DF2EBC"/>
    <w:rsid w:val="00DF30DA"/>
    <w:rsid w:val="00DF332F"/>
    <w:rsid w:val="00DF36A5"/>
    <w:rsid w:val="00DF39A9"/>
    <w:rsid w:val="00DF3BCF"/>
    <w:rsid w:val="00DF40D4"/>
    <w:rsid w:val="00DF41C7"/>
    <w:rsid w:val="00DF43CA"/>
    <w:rsid w:val="00DF4976"/>
    <w:rsid w:val="00DF4BDC"/>
    <w:rsid w:val="00DF4C06"/>
    <w:rsid w:val="00DF4DC3"/>
    <w:rsid w:val="00DF4E47"/>
    <w:rsid w:val="00DF4E8E"/>
    <w:rsid w:val="00DF4FA5"/>
    <w:rsid w:val="00DF51BD"/>
    <w:rsid w:val="00DF52DC"/>
    <w:rsid w:val="00DF54E8"/>
    <w:rsid w:val="00DF5598"/>
    <w:rsid w:val="00DF55E9"/>
    <w:rsid w:val="00DF5814"/>
    <w:rsid w:val="00DF584F"/>
    <w:rsid w:val="00DF5850"/>
    <w:rsid w:val="00DF5D4F"/>
    <w:rsid w:val="00DF5E7D"/>
    <w:rsid w:val="00DF6137"/>
    <w:rsid w:val="00DF6243"/>
    <w:rsid w:val="00DF640C"/>
    <w:rsid w:val="00DF6541"/>
    <w:rsid w:val="00DF6BE3"/>
    <w:rsid w:val="00DF6D65"/>
    <w:rsid w:val="00DF6EE0"/>
    <w:rsid w:val="00DF7034"/>
    <w:rsid w:val="00DF70B7"/>
    <w:rsid w:val="00DF7380"/>
    <w:rsid w:val="00DF7740"/>
    <w:rsid w:val="00E0018F"/>
    <w:rsid w:val="00E00575"/>
    <w:rsid w:val="00E0068F"/>
    <w:rsid w:val="00E007B6"/>
    <w:rsid w:val="00E00943"/>
    <w:rsid w:val="00E00BED"/>
    <w:rsid w:val="00E00E8B"/>
    <w:rsid w:val="00E01699"/>
    <w:rsid w:val="00E017C6"/>
    <w:rsid w:val="00E01F68"/>
    <w:rsid w:val="00E0215A"/>
    <w:rsid w:val="00E0225F"/>
    <w:rsid w:val="00E0238B"/>
    <w:rsid w:val="00E025B6"/>
    <w:rsid w:val="00E02802"/>
    <w:rsid w:val="00E02D81"/>
    <w:rsid w:val="00E02F88"/>
    <w:rsid w:val="00E03197"/>
    <w:rsid w:val="00E0340B"/>
    <w:rsid w:val="00E03501"/>
    <w:rsid w:val="00E03579"/>
    <w:rsid w:val="00E03835"/>
    <w:rsid w:val="00E03899"/>
    <w:rsid w:val="00E038C5"/>
    <w:rsid w:val="00E03C99"/>
    <w:rsid w:val="00E03D10"/>
    <w:rsid w:val="00E03FB1"/>
    <w:rsid w:val="00E040FF"/>
    <w:rsid w:val="00E0434E"/>
    <w:rsid w:val="00E0459B"/>
    <w:rsid w:val="00E04626"/>
    <w:rsid w:val="00E04B90"/>
    <w:rsid w:val="00E050D2"/>
    <w:rsid w:val="00E05117"/>
    <w:rsid w:val="00E05283"/>
    <w:rsid w:val="00E0542D"/>
    <w:rsid w:val="00E054BE"/>
    <w:rsid w:val="00E05590"/>
    <w:rsid w:val="00E05839"/>
    <w:rsid w:val="00E05963"/>
    <w:rsid w:val="00E05B00"/>
    <w:rsid w:val="00E05DD4"/>
    <w:rsid w:val="00E062FB"/>
    <w:rsid w:val="00E06457"/>
    <w:rsid w:val="00E06482"/>
    <w:rsid w:val="00E06900"/>
    <w:rsid w:val="00E06907"/>
    <w:rsid w:val="00E06C14"/>
    <w:rsid w:val="00E07283"/>
    <w:rsid w:val="00E073AA"/>
    <w:rsid w:val="00E07432"/>
    <w:rsid w:val="00E07651"/>
    <w:rsid w:val="00E07921"/>
    <w:rsid w:val="00E07A00"/>
    <w:rsid w:val="00E07BDD"/>
    <w:rsid w:val="00E07C8F"/>
    <w:rsid w:val="00E07E9F"/>
    <w:rsid w:val="00E07F44"/>
    <w:rsid w:val="00E07FFB"/>
    <w:rsid w:val="00E100AC"/>
    <w:rsid w:val="00E100F6"/>
    <w:rsid w:val="00E10211"/>
    <w:rsid w:val="00E10B87"/>
    <w:rsid w:val="00E11263"/>
    <w:rsid w:val="00E113FD"/>
    <w:rsid w:val="00E11C7C"/>
    <w:rsid w:val="00E11EFC"/>
    <w:rsid w:val="00E12008"/>
    <w:rsid w:val="00E121A5"/>
    <w:rsid w:val="00E122BD"/>
    <w:rsid w:val="00E124D4"/>
    <w:rsid w:val="00E129DA"/>
    <w:rsid w:val="00E12D6E"/>
    <w:rsid w:val="00E12FA4"/>
    <w:rsid w:val="00E132E4"/>
    <w:rsid w:val="00E134C8"/>
    <w:rsid w:val="00E1365D"/>
    <w:rsid w:val="00E137B9"/>
    <w:rsid w:val="00E138AA"/>
    <w:rsid w:val="00E138C0"/>
    <w:rsid w:val="00E13D83"/>
    <w:rsid w:val="00E13F90"/>
    <w:rsid w:val="00E14095"/>
    <w:rsid w:val="00E140CF"/>
    <w:rsid w:val="00E14556"/>
    <w:rsid w:val="00E14A07"/>
    <w:rsid w:val="00E14C31"/>
    <w:rsid w:val="00E14F9B"/>
    <w:rsid w:val="00E150F2"/>
    <w:rsid w:val="00E15153"/>
    <w:rsid w:val="00E151A3"/>
    <w:rsid w:val="00E1541F"/>
    <w:rsid w:val="00E15E74"/>
    <w:rsid w:val="00E161B6"/>
    <w:rsid w:val="00E166A0"/>
    <w:rsid w:val="00E168F4"/>
    <w:rsid w:val="00E16A50"/>
    <w:rsid w:val="00E16C12"/>
    <w:rsid w:val="00E16C4B"/>
    <w:rsid w:val="00E16D17"/>
    <w:rsid w:val="00E17B93"/>
    <w:rsid w:val="00E20589"/>
    <w:rsid w:val="00E206A7"/>
    <w:rsid w:val="00E2087C"/>
    <w:rsid w:val="00E209A8"/>
    <w:rsid w:val="00E20E99"/>
    <w:rsid w:val="00E20EBA"/>
    <w:rsid w:val="00E21558"/>
    <w:rsid w:val="00E2197C"/>
    <w:rsid w:val="00E219C7"/>
    <w:rsid w:val="00E21A2F"/>
    <w:rsid w:val="00E21F0D"/>
    <w:rsid w:val="00E22213"/>
    <w:rsid w:val="00E2257A"/>
    <w:rsid w:val="00E2265D"/>
    <w:rsid w:val="00E226AD"/>
    <w:rsid w:val="00E229A6"/>
    <w:rsid w:val="00E22AFB"/>
    <w:rsid w:val="00E22C49"/>
    <w:rsid w:val="00E22D18"/>
    <w:rsid w:val="00E22FD5"/>
    <w:rsid w:val="00E2332B"/>
    <w:rsid w:val="00E2335C"/>
    <w:rsid w:val="00E236F6"/>
    <w:rsid w:val="00E23818"/>
    <w:rsid w:val="00E23870"/>
    <w:rsid w:val="00E239AD"/>
    <w:rsid w:val="00E23E3D"/>
    <w:rsid w:val="00E23EAA"/>
    <w:rsid w:val="00E23FC1"/>
    <w:rsid w:val="00E24905"/>
    <w:rsid w:val="00E24E60"/>
    <w:rsid w:val="00E24EAC"/>
    <w:rsid w:val="00E25594"/>
    <w:rsid w:val="00E256CB"/>
    <w:rsid w:val="00E25B14"/>
    <w:rsid w:val="00E25FD2"/>
    <w:rsid w:val="00E26C3D"/>
    <w:rsid w:val="00E26F09"/>
    <w:rsid w:val="00E26FA8"/>
    <w:rsid w:val="00E27024"/>
    <w:rsid w:val="00E2717A"/>
    <w:rsid w:val="00E2726E"/>
    <w:rsid w:val="00E276D7"/>
    <w:rsid w:val="00E27713"/>
    <w:rsid w:val="00E27C22"/>
    <w:rsid w:val="00E27E1F"/>
    <w:rsid w:val="00E27FBC"/>
    <w:rsid w:val="00E3032E"/>
    <w:rsid w:val="00E30410"/>
    <w:rsid w:val="00E30427"/>
    <w:rsid w:val="00E30B11"/>
    <w:rsid w:val="00E30B8F"/>
    <w:rsid w:val="00E31015"/>
    <w:rsid w:val="00E31199"/>
    <w:rsid w:val="00E3130F"/>
    <w:rsid w:val="00E31324"/>
    <w:rsid w:val="00E3162A"/>
    <w:rsid w:val="00E3177E"/>
    <w:rsid w:val="00E3199D"/>
    <w:rsid w:val="00E31AA3"/>
    <w:rsid w:val="00E3229C"/>
    <w:rsid w:val="00E32549"/>
    <w:rsid w:val="00E3262D"/>
    <w:rsid w:val="00E3282D"/>
    <w:rsid w:val="00E32E6B"/>
    <w:rsid w:val="00E334EE"/>
    <w:rsid w:val="00E3368E"/>
    <w:rsid w:val="00E336DD"/>
    <w:rsid w:val="00E3384C"/>
    <w:rsid w:val="00E345CB"/>
    <w:rsid w:val="00E34862"/>
    <w:rsid w:val="00E34B4D"/>
    <w:rsid w:val="00E34B77"/>
    <w:rsid w:val="00E34E0F"/>
    <w:rsid w:val="00E34F06"/>
    <w:rsid w:val="00E34F67"/>
    <w:rsid w:val="00E34F86"/>
    <w:rsid w:val="00E3503F"/>
    <w:rsid w:val="00E3510C"/>
    <w:rsid w:val="00E352FD"/>
    <w:rsid w:val="00E35456"/>
    <w:rsid w:val="00E3569E"/>
    <w:rsid w:val="00E3598B"/>
    <w:rsid w:val="00E35C6A"/>
    <w:rsid w:val="00E35CA6"/>
    <w:rsid w:val="00E36321"/>
    <w:rsid w:val="00E3639C"/>
    <w:rsid w:val="00E3643F"/>
    <w:rsid w:val="00E36659"/>
    <w:rsid w:val="00E36709"/>
    <w:rsid w:val="00E36EA1"/>
    <w:rsid w:val="00E36EFF"/>
    <w:rsid w:val="00E36F31"/>
    <w:rsid w:val="00E370AD"/>
    <w:rsid w:val="00E370FE"/>
    <w:rsid w:val="00E3711F"/>
    <w:rsid w:val="00E37318"/>
    <w:rsid w:val="00E375F7"/>
    <w:rsid w:val="00E379FB"/>
    <w:rsid w:val="00E37D41"/>
    <w:rsid w:val="00E40449"/>
    <w:rsid w:val="00E404DA"/>
    <w:rsid w:val="00E4053C"/>
    <w:rsid w:val="00E406A7"/>
    <w:rsid w:val="00E40C61"/>
    <w:rsid w:val="00E40EAA"/>
    <w:rsid w:val="00E4100A"/>
    <w:rsid w:val="00E41215"/>
    <w:rsid w:val="00E41873"/>
    <w:rsid w:val="00E41A17"/>
    <w:rsid w:val="00E41AE4"/>
    <w:rsid w:val="00E41D6E"/>
    <w:rsid w:val="00E42021"/>
    <w:rsid w:val="00E421BA"/>
    <w:rsid w:val="00E4227A"/>
    <w:rsid w:val="00E424EB"/>
    <w:rsid w:val="00E429E1"/>
    <w:rsid w:val="00E42BC5"/>
    <w:rsid w:val="00E42C57"/>
    <w:rsid w:val="00E42DC6"/>
    <w:rsid w:val="00E42F53"/>
    <w:rsid w:val="00E43047"/>
    <w:rsid w:val="00E43075"/>
    <w:rsid w:val="00E43157"/>
    <w:rsid w:val="00E43391"/>
    <w:rsid w:val="00E43532"/>
    <w:rsid w:val="00E435B7"/>
    <w:rsid w:val="00E438BC"/>
    <w:rsid w:val="00E43C7E"/>
    <w:rsid w:val="00E44029"/>
    <w:rsid w:val="00E4427A"/>
    <w:rsid w:val="00E442BF"/>
    <w:rsid w:val="00E442EF"/>
    <w:rsid w:val="00E443D8"/>
    <w:rsid w:val="00E44507"/>
    <w:rsid w:val="00E446E1"/>
    <w:rsid w:val="00E4495D"/>
    <w:rsid w:val="00E44A08"/>
    <w:rsid w:val="00E44F1B"/>
    <w:rsid w:val="00E44FB5"/>
    <w:rsid w:val="00E4522D"/>
    <w:rsid w:val="00E4564E"/>
    <w:rsid w:val="00E45AA1"/>
    <w:rsid w:val="00E45D84"/>
    <w:rsid w:val="00E45E4A"/>
    <w:rsid w:val="00E461B1"/>
    <w:rsid w:val="00E461CE"/>
    <w:rsid w:val="00E461DF"/>
    <w:rsid w:val="00E4688F"/>
    <w:rsid w:val="00E46CFE"/>
    <w:rsid w:val="00E47085"/>
    <w:rsid w:val="00E47274"/>
    <w:rsid w:val="00E475CB"/>
    <w:rsid w:val="00E476A7"/>
    <w:rsid w:val="00E476F7"/>
    <w:rsid w:val="00E5027C"/>
    <w:rsid w:val="00E502C3"/>
    <w:rsid w:val="00E50802"/>
    <w:rsid w:val="00E508DA"/>
    <w:rsid w:val="00E50985"/>
    <w:rsid w:val="00E5098A"/>
    <w:rsid w:val="00E509AD"/>
    <w:rsid w:val="00E50A60"/>
    <w:rsid w:val="00E50ACD"/>
    <w:rsid w:val="00E5111B"/>
    <w:rsid w:val="00E5125E"/>
    <w:rsid w:val="00E5178A"/>
    <w:rsid w:val="00E5183E"/>
    <w:rsid w:val="00E519B9"/>
    <w:rsid w:val="00E51B92"/>
    <w:rsid w:val="00E51F35"/>
    <w:rsid w:val="00E52120"/>
    <w:rsid w:val="00E52195"/>
    <w:rsid w:val="00E52778"/>
    <w:rsid w:val="00E528EB"/>
    <w:rsid w:val="00E52B0D"/>
    <w:rsid w:val="00E52B9C"/>
    <w:rsid w:val="00E532BF"/>
    <w:rsid w:val="00E53475"/>
    <w:rsid w:val="00E53522"/>
    <w:rsid w:val="00E53D1F"/>
    <w:rsid w:val="00E5464B"/>
    <w:rsid w:val="00E54667"/>
    <w:rsid w:val="00E5476A"/>
    <w:rsid w:val="00E549E8"/>
    <w:rsid w:val="00E54CF0"/>
    <w:rsid w:val="00E555A6"/>
    <w:rsid w:val="00E55C1E"/>
    <w:rsid w:val="00E55C9B"/>
    <w:rsid w:val="00E55EE9"/>
    <w:rsid w:val="00E56170"/>
    <w:rsid w:val="00E567D1"/>
    <w:rsid w:val="00E5697D"/>
    <w:rsid w:val="00E56AA3"/>
    <w:rsid w:val="00E56DC9"/>
    <w:rsid w:val="00E571A2"/>
    <w:rsid w:val="00E57390"/>
    <w:rsid w:val="00E577BB"/>
    <w:rsid w:val="00E57951"/>
    <w:rsid w:val="00E57D93"/>
    <w:rsid w:val="00E60177"/>
    <w:rsid w:val="00E6041E"/>
    <w:rsid w:val="00E6076F"/>
    <w:rsid w:val="00E6079F"/>
    <w:rsid w:val="00E60984"/>
    <w:rsid w:val="00E60DCD"/>
    <w:rsid w:val="00E60F11"/>
    <w:rsid w:val="00E611C5"/>
    <w:rsid w:val="00E6134B"/>
    <w:rsid w:val="00E6166A"/>
    <w:rsid w:val="00E61AF4"/>
    <w:rsid w:val="00E620D3"/>
    <w:rsid w:val="00E6236C"/>
    <w:rsid w:val="00E625E8"/>
    <w:rsid w:val="00E626A4"/>
    <w:rsid w:val="00E63181"/>
    <w:rsid w:val="00E6318B"/>
    <w:rsid w:val="00E632A1"/>
    <w:rsid w:val="00E63329"/>
    <w:rsid w:val="00E633AE"/>
    <w:rsid w:val="00E6354B"/>
    <w:rsid w:val="00E6377D"/>
    <w:rsid w:val="00E638E9"/>
    <w:rsid w:val="00E63F00"/>
    <w:rsid w:val="00E64439"/>
    <w:rsid w:val="00E64C50"/>
    <w:rsid w:val="00E64E6F"/>
    <w:rsid w:val="00E64EE2"/>
    <w:rsid w:val="00E64F6D"/>
    <w:rsid w:val="00E6503F"/>
    <w:rsid w:val="00E65121"/>
    <w:rsid w:val="00E6521A"/>
    <w:rsid w:val="00E65231"/>
    <w:rsid w:val="00E65490"/>
    <w:rsid w:val="00E65686"/>
    <w:rsid w:val="00E6583F"/>
    <w:rsid w:val="00E65A0A"/>
    <w:rsid w:val="00E65D77"/>
    <w:rsid w:val="00E65E9D"/>
    <w:rsid w:val="00E65EEA"/>
    <w:rsid w:val="00E6608B"/>
    <w:rsid w:val="00E66401"/>
    <w:rsid w:val="00E666EC"/>
    <w:rsid w:val="00E66CA6"/>
    <w:rsid w:val="00E671D9"/>
    <w:rsid w:val="00E6751B"/>
    <w:rsid w:val="00E67934"/>
    <w:rsid w:val="00E67D4F"/>
    <w:rsid w:val="00E67FE0"/>
    <w:rsid w:val="00E7071E"/>
    <w:rsid w:val="00E709CE"/>
    <w:rsid w:val="00E70C6E"/>
    <w:rsid w:val="00E70DB4"/>
    <w:rsid w:val="00E7107C"/>
    <w:rsid w:val="00E71634"/>
    <w:rsid w:val="00E71846"/>
    <w:rsid w:val="00E7199C"/>
    <w:rsid w:val="00E71AC7"/>
    <w:rsid w:val="00E71D4F"/>
    <w:rsid w:val="00E720CA"/>
    <w:rsid w:val="00E722E2"/>
    <w:rsid w:val="00E725D4"/>
    <w:rsid w:val="00E72680"/>
    <w:rsid w:val="00E72705"/>
    <w:rsid w:val="00E72BF4"/>
    <w:rsid w:val="00E73324"/>
    <w:rsid w:val="00E73DA2"/>
    <w:rsid w:val="00E73E69"/>
    <w:rsid w:val="00E73F34"/>
    <w:rsid w:val="00E741A4"/>
    <w:rsid w:val="00E741C9"/>
    <w:rsid w:val="00E74444"/>
    <w:rsid w:val="00E746DB"/>
    <w:rsid w:val="00E74D92"/>
    <w:rsid w:val="00E74DC8"/>
    <w:rsid w:val="00E751B6"/>
    <w:rsid w:val="00E751DA"/>
    <w:rsid w:val="00E752DD"/>
    <w:rsid w:val="00E75431"/>
    <w:rsid w:val="00E7570D"/>
    <w:rsid w:val="00E75A4B"/>
    <w:rsid w:val="00E75C30"/>
    <w:rsid w:val="00E75CDA"/>
    <w:rsid w:val="00E761D6"/>
    <w:rsid w:val="00E763FB"/>
    <w:rsid w:val="00E767F0"/>
    <w:rsid w:val="00E76888"/>
    <w:rsid w:val="00E775F0"/>
    <w:rsid w:val="00E7767B"/>
    <w:rsid w:val="00E77728"/>
    <w:rsid w:val="00E77817"/>
    <w:rsid w:val="00E77D80"/>
    <w:rsid w:val="00E77DCE"/>
    <w:rsid w:val="00E77E37"/>
    <w:rsid w:val="00E802E4"/>
    <w:rsid w:val="00E802F9"/>
    <w:rsid w:val="00E8030C"/>
    <w:rsid w:val="00E8072F"/>
    <w:rsid w:val="00E80909"/>
    <w:rsid w:val="00E80D57"/>
    <w:rsid w:val="00E80E14"/>
    <w:rsid w:val="00E80FE4"/>
    <w:rsid w:val="00E810C5"/>
    <w:rsid w:val="00E81BF2"/>
    <w:rsid w:val="00E820D5"/>
    <w:rsid w:val="00E821A1"/>
    <w:rsid w:val="00E822A7"/>
    <w:rsid w:val="00E82893"/>
    <w:rsid w:val="00E829D7"/>
    <w:rsid w:val="00E82BA0"/>
    <w:rsid w:val="00E82BEE"/>
    <w:rsid w:val="00E82CCE"/>
    <w:rsid w:val="00E82DD9"/>
    <w:rsid w:val="00E830D2"/>
    <w:rsid w:val="00E8354B"/>
    <w:rsid w:val="00E83651"/>
    <w:rsid w:val="00E83682"/>
    <w:rsid w:val="00E838BB"/>
    <w:rsid w:val="00E83BBD"/>
    <w:rsid w:val="00E83C3F"/>
    <w:rsid w:val="00E83F5C"/>
    <w:rsid w:val="00E840EE"/>
    <w:rsid w:val="00E841AF"/>
    <w:rsid w:val="00E84437"/>
    <w:rsid w:val="00E84727"/>
    <w:rsid w:val="00E849E5"/>
    <w:rsid w:val="00E84B42"/>
    <w:rsid w:val="00E84E07"/>
    <w:rsid w:val="00E84EB5"/>
    <w:rsid w:val="00E8505C"/>
    <w:rsid w:val="00E85662"/>
    <w:rsid w:val="00E85717"/>
    <w:rsid w:val="00E85865"/>
    <w:rsid w:val="00E8587C"/>
    <w:rsid w:val="00E85940"/>
    <w:rsid w:val="00E85A35"/>
    <w:rsid w:val="00E85BB1"/>
    <w:rsid w:val="00E8629D"/>
    <w:rsid w:val="00E86983"/>
    <w:rsid w:val="00E86A9C"/>
    <w:rsid w:val="00E86B98"/>
    <w:rsid w:val="00E87172"/>
    <w:rsid w:val="00E8734C"/>
    <w:rsid w:val="00E8744A"/>
    <w:rsid w:val="00E876D9"/>
    <w:rsid w:val="00E877A1"/>
    <w:rsid w:val="00E8789F"/>
    <w:rsid w:val="00E900BE"/>
    <w:rsid w:val="00E90559"/>
    <w:rsid w:val="00E90613"/>
    <w:rsid w:val="00E9074C"/>
    <w:rsid w:val="00E90AEF"/>
    <w:rsid w:val="00E90B04"/>
    <w:rsid w:val="00E90BF7"/>
    <w:rsid w:val="00E917E5"/>
    <w:rsid w:val="00E918FD"/>
    <w:rsid w:val="00E91A0A"/>
    <w:rsid w:val="00E91BB5"/>
    <w:rsid w:val="00E91BED"/>
    <w:rsid w:val="00E91CE8"/>
    <w:rsid w:val="00E91D64"/>
    <w:rsid w:val="00E91F27"/>
    <w:rsid w:val="00E92441"/>
    <w:rsid w:val="00E9247F"/>
    <w:rsid w:val="00E925A2"/>
    <w:rsid w:val="00E9272C"/>
    <w:rsid w:val="00E92B0C"/>
    <w:rsid w:val="00E92C44"/>
    <w:rsid w:val="00E92CA6"/>
    <w:rsid w:val="00E931CF"/>
    <w:rsid w:val="00E9373C"/>
    <w:rsid w:val="00E93945"/>
    <w:rsid w:val="00E93ACE"/>
    <w:rsid w:val="00E93BA7"/>
    <w:rsid w:val="00E93FD8"/>
    <w:rsid w:val="00E943D5"/>
    <w:rsid w:val="00E94914"/>
    <w:rsid w:val="00E94A36"/>
    <w:rsid w:val="00E950CD"/>
    <w:rsid w:val="00E9542C"/>
    <w:rsid w:val="00E956AB"/>
    <w:rsid w:val="00E956AD"/>
    <w:rsid w:val="00E95905"/>
    <w:rsid w:val="00E95C05"/>
    <w:rsid w:val="00E960E0"/>
    <w:rsid w:val="00E960F8"/>
    <w:rsid w:val="00E967BC"/>
    <w:rsid w:val="00E967FF"/>
    <w:rsid w:val="00E96E07"/>
    <w:rsid w:val="00E96E1A"/>
    <w:rsid w:val="00E97A6C"/>
    <w:rsid w:val="00E97A79"/>
    <w:rsid w:val="00E97B71"/>
    <w:rsid w:val="00E97C19"/>
    <w:rsid w:val="00E97F29"/>
    <w:rsid w:val="00EA00A7"/>
    <w:rsid w:val="00EA030C"/>
    <w:rsid w:val="00EA058D"/>
    <w:rsid w:val="00EA0A0E"/>
    <w:rsid w:val="00EA0ACD"/>
    <w:rsid w:val="00EA10FA"/>
    <w:rsid w:val="00EA1360"/>
    <w:rsid w:val="00EA14B3"/>
    <w:rsid w:val="00EA16D3"/>
    <w:rsid w:val="00EA16FC"/>
    <w:rsid w:val="00EA1A04"/>
    <w:rsid w:val="00EA1BEE"/>
    <w:rsid w:val="00EA1C2A"/>
    <w:rsid w:val="00EA1CA1"/>
    <w:rsid w:val="00EA301B"/>
    <w:rsid w:val="00EA33E8"/>
    <w:rsid w:val="00EA3619"/>
    <w:rsid w:val="00EA3BB7"/>
    <w:rsid w:val="00EA3CC1"/>
    <w:rsid w:val="00EA3D34"/>
    <w:rsid w:val="00EA4447"/>
    <w:rsid w:val="00EA4459"/>
    <w:rsid w:val="00EA4585"/>
    <w:rsid w:val="00EA458C"/>
    <w:rsid w:val="00EA4702"/>
    <w:rsid w:val="00EA4730"/>
    <w:rsid w:val="00EA4837"/>
    <w:rsid w:val="00EA4865"/>
    <w:rsid w:val="00EA4B01"/>
    <w:rsid w:val="00EA5190"/>
    <w:rsid w:val="00EA53B4"/>
    <w:rsid w:val="00EA59B1"/>
    <w:rsid w:val="00EA59BB"/>
    <w:rsid w:val="00EA5C48"/>
    <w:rsid w:val="00EA5D1F"/>
    <w:rsid w:val="00EA5DBC"/>
    <w:rsid w:val="00EA5E58"/>
    <w:rsid w:val="00EA609D"/>
    <w:rsid w:val="00EA618C"/>
    <w:rsid w:val="00EA640E"/>
    <w:rsid w:val="00EA68AD"/>
    <w:rsid w:val="00EA6B9C"/>
    <w:rsid w:val="00EA6BBB"/>
    <w:rsid w:val="00EA6E86"/>
    <w:rsid w:val="00EA71E0"/>
    <w:rsid w:val="00EA7416"/>
    <w:rsid w:val="00EA74FD"/>
    <w:rsid w:val="00EA79AB"/>
    <w:rsid w:val="00EA7DA0"/>
    <w:rsid w:val="00EA7DAD"/>
    <w:rsid w:val="00EB0009"/>
    <w:rsid w:val="00EB0237"/>
    <w:rsid w:val="00EB0584"/>
    <w:rsid w:val="00EB0A73"/>
    <w:rsid w:val="00EB0CC8"/>
    <w:rsid w:val="00EB0CE7"/>
    <w:rsid w:val="00EB0EBD"/>
    <w:rsid w:val="00EB1199"/>
    <w:rsid w:val="00EB1228"/>
    <w:rsid w:val="00EB1307"/>
    <w:rsid w:val="00EB1348"/>
    <w:rsid w:val="00EB151A"/>
    <w:rsid w:val="00EB17DA"/>
    <w:rsid w:val="00EB1949"/>
    <w:rsid w:val="00EB1FA6"/>
    <w:rsid w:val="00EB2252"/>
    <w:rsid w:val="00EB24A6"/>
    <w:rsid w:val="00EB24F9"/>
    <w:rsid w:val="00EB26D3"/>
    <w:rsid w:val="00EB2AC2"/>
    <w:rsid w:val="00EB2D76"/>
    <w:rsid w:val="00EB38D2"/>
    <w:rsid w:val="00EB3952"/>
    <w:rsid w:val="00EB39AE"/>
    <w:rsid w:val="00EB3E59"/>
    <w:rsid w:val="00EB3F5A"/>
    <w:rsid w:val="00EB408E"/>
    <w:rsid w:val="00EB413B"/>
    <w:rsid w:val="00EB454D"/>
    <w:rsid w:val="00EB473E"/>
    <w:rsid w:val="00EB492B"/>
    <w:rsid w:val="00EB496A"/>
    <w:rsid w:val="00EB4EF7"/>
    <w:rsid w:val="00EB51C0"/>
    <w:rsid w:val="00EB521A"/>
    <w:rsid w:val="00EB576A"/>
    <w:rsid w:val="00EB60D2"/>
    <w:rsid w:val="00EB6159"/>
    <w:rsid w:val="00EB65F1"/>
    <w:rsid w:val="00EB6709"/>
    <w:rsid w:val="00EB68BD"/>
    <w:rsid w:val="00EB6964"/>
    <w:rsid w:val="00EB6BB4"/>
    <w:rsid w:val="00EB6DE1"/>
    <w:rsid w:val="00EB71A1"/>
    <w:rsid w:val="00EB720C"/>
    <w:rsid w:val="00EB7601"/>
    <w:rsid w:val="00EB7776"/>
    <w:rsid w:val="00EB7C0C"/>
    <w:rsid w:val="00EB7CCF"/>
    <w:rsid w:val="00EB7D08"/>
    <w:rsid w:val="00EC01D9"/>
    <w:rsid w:val="00EC07A3"/>
    <w:rsid w:val="00EC0B28"/>
    <w:rsid w:val="00EC0B67"/>
    <w:rsid w:val="00EC1348"/>
    <w:rsid w:val="00EC250C"/>
    <w:rsid w:val="00EC25B8"/>
    <w:rsid w:val="00EC25DB"/>
    <w:rsid w:val="00EC271E"/>
    <w:rsid w:val="00EC2A68"/>
    <w:rsid w:val="00EC3420"/>
    <w:rsid w:val="00EC3939"/>
    <w:rsid w:val="00EC3B35"/>
    <w:rsid w:val="00EC3F5A"/>
    <w:rsid w:val="00EC456F"/>
    <w:rsid w:val="00EC46BE"/>
    <w:rsid w:val="00EC46F5"/>
    <w:rsid w:val="00EC48FA"/>
    <w:rsid w:val="00EC4DAF"/>
    <w:rsid w:val="00EC5171"/>
    <w:rsid w:val="00EC542B"/>
    <w:rsid w:val="00EC57CD"/>
    <w:rsid w:val="00EC57F1"/>
    <w:rsid w:val="00EC5871"/>
    <w:rsid w:val="00EC5AE5"/>
    <w:rsid w:val="00EC5C06"/>
    <w:rsid w:val="00EC5CB1"/>
    <w:rsid w:val="00EC5EC4"/>
    <w:rsid w:val="00EC5F21"/>
    <w:rsid w:val="00EC5FC9"/>
    <w:rsid w:val="00EC6131"/>
    <w:rsid w:val="00EC6162"/>
    <w:rsid w:val="00EC64A6"/>
    <w:rsid w:val="00EC699E"/>
    <w:rsid w:val="00EC6C07"/>
    <w:rsid w:val="00EC6FCD"/>
    <w:rsid w:val="00EC730A"/>
    <w:rsid w:val="00EC75CD"/>
    <w:rsid w:val="00EC7729"/>
    <w:rsid w:val="00EC7E71"/>
    <w:rsid w:val="00ED075D"/>
    <w:rsid w:val="00ED0D77"/>
    <w:rsid w:val="00ED1109"/>
    <w:rsid w:val="00ED13EE"/>
    <w:rsid w:val="00ED1421"/>
    <w:rsid w:val="00ED1454"/>
    <w:rsid w:val="00ED14D5"/>
    <w:rsid w:val="00ED1725"/>
    <w:rsid w:val="00ED18DC"/>
    <w:rsid w:val="00ED1A3E"/>
    <w:rsid w:val="00ED1B04"/>
    <w:rsid w:val="00ED1C68"/>
    <w:rsid w:val="00ED211C"/>
    <w:rsid w:val="00ED248C"/>
    <w:rsid w:val="00ED2642"/>
    <w:rsid w:val="00ED27A3"/>
    <w:rsid w:val="00ED2824"/>
    <w:rsid w:val="00ED295F"/>
    <w:rsid w:val="00ED2B97"/>
    <w:rsid w:val="00ED2DC6"/>
    <w:rsid w:val="00ED2FCF"/>
    <w:rsid w:val="00ED3118"/>
    <w:rsid w:val="00ED3A60"/>
    <w:rsid w:val="00ED3D04"/>
    <w:rsid w:val="00ED4148"/>
    <w:rsid w:val="00ED4370"/>
    <w:rsid w:val="00ED4911"/>
    <w:rsid w:val="00ED4F32"/>
    <w:rsid w:val="00ED50C9"/>
    <w:rsid w:val="00ED52D6"/>
    <w:rsid w:val="00ED54AA"/>
    <w:rsid w:val="00ED5D69"/>
    <w:rsid w:val="00ED5FA0"/>
    <w:rsid w:val="00ED65C4"/>
    <w:rsid w:val="00ED6765"/>
    <w:rsid w:val="00ED67F1"/>
    <w:rsid w:val="00ED75BD"/>
    <w:rsid w:val="00ED76BE"/>
    <w:rsid w:val="00ED7C53"/>
    <w:rsid w:val="00ED7DE2"/>
    <w:rsid w:val="00ED7FD0"/>
    <w:rsid w:val="00EE0032"/>
    <w:rsid w:val="00EE0034"/>
    <w:rsid w:val="00EE0397"/>
    <w:rsid w:val="00EE0432"/>
    <w:rsid w:val="00EE0747"/>
    <w:rsid w:val="00EE07CF"/>
    <w:rsid w:val="00EE07F7"/>
    <w:rsid w:val="00EE0E65"/>
    <w:rsid w:val="00EE0EF2"/>
    <w:rsid w:val="00EE0F3C"/>
    <w:rsid w:val="00EE0F45"/>
    <w:rsid w:val="00EE0F71"/>
    <w:rsid w:val="00EE1406"/>
    <w:rsid w:val="00EE1655"/>
    <w:rsid w:val="00EE1908"/>
    <w:rsid w:val="00EE1981"/>
    <w:rsid w:val="00EE1A7D"/>
    <w:rsid w:val="00EE1F51"/>
    <w:rsid w:val="00EE246F"/>
    <w:rsid w:val="00EE24F0"/>
    <w:rsid w:val="00EE2B90"/>
    <w:rsid w:val="00EE2B93"/>
    <w:rsid w:val="00EE2CE9"/>
    <w:rsid w:val="00EE3881"/>
    <w:rsid w:val="00EE3C36"/>
    <w:rsid w:val="00EE3CBA"/>
    <w:rsid w:val="00EE3EEA"/>
    <w:rsid w:val="00EE40D7"/>
    <w:rsid w:val="00EE4181"/>
    <w:rsid w:val="00EE42B2"/>
    <w:rsid w:val="00EE4414"/>
    <w:rsid w:val="00EE44D5"/>
    <w:rsid w:val="00EE4F2C"/>
    <w:rsid w:val="00EE5038"/>
    <w:rsid w:val="00EE51CE"/>
    <w:rsid w:val="00EE52BC"/>
    <w:rsid w:val="00EE5500"/>
    <w:rsid w:val="00EE56E1"/>
    <w:rsid w:val="00EE5735"/>
    <w:rsid w:val="00EE5737"/>
    <w:rsid w:val="00EE5AB2"/>
    <w:rsid w:val="00EE5B3D"/>
    <w:rsid w:val="00EE62E2"/>
    <w:rsid w:val="00EE66D5"/>
    <w:rsid w:val="00EE6BFA"/>
    <w:rsid w:val="00EE6E06"/>
    <w:rsid w:val="00EE78D4"/>
    <w:rsid w:val="00EE7AF3"/>
    <w:rsid w:val="00EE7DB5"/>
    <w:rsid w:val="00EE7DC6"/>
    <w:rsid w:val="00EF0086"/>
    <w:rsid w:val="00EF019F"/>
    <w:rsid w:val="00EF041B"/>
    <w:rsid w:val="00EF09B3"/>
    <w:rsid w:val="00EF0CFD"/>
    <w:rsid w:val="00EF0E20"/>
    <w:rsid w:val="00EF0E91"/>
    <w:rsid w:val="00EF0FDD"/>
    <w:rsid w:val="00EF10AE"/>
    <w:rsid w:val="00EF1533"/>
    <w:rsid w:val="00EF1620"/>
    <w:rsid w:val="00EF1FDC"/>
    <w:rsid w:val="00EF20EA"/>
    <w:rsid w:val="00EF25E4"/>
    <w:rsid w:val="00EF2CC9"/>
    <w:rsid w:val="00EF2E44"/>
    <w:rsid w:val="00EF300A"/>
    <w:rsid w:val="00EF3260"/>
    <w:rsid w:val="00EF3628"/>
    <w:rsid w:val="00EF36A2"/>
    <w:rsid w:val="00EF3789"/>
    <w:rsid w:val="00EF380F"/>
    <w:rsid w:val="00EF3997"/>
    <w:rsid w:val="00EF3A41"/>
    <w:rsid w:val="00EF3AAC"/>
    <w:rsid w:val="00EF3ACE"/>
    <w:rsid w:val="00EF3F5D"/>
    <w:rsid w:val="00EF40D4"/>
    <w:rsid w:val="00EF42B8"/>
    <w:rsid w:val="00EF4A52"/>
    <w:rsid w:val="00EF4B85"/>
    <w:rsid w:val="00EF4B8C"/>
    <w:rsid w:val="00EF4BBD"/>
    <w:rsid w:val="00EF4D4A"/>
    <w:rsid w:val="00EF4D82"/>
    <w:rsid w:val="00EF5489"/>
    <w:rsid w:val="00EF55FC"/>
    <w:rsid w:val="00EF58B9"/>
    <w:rsid w:val="00EF5C68"/>
    <w:rsid w:val="00EF5F2C"/>
    <w:rsid w:val="00EF619B"/>
    <w:rsid w:val="00EF65A4"/>
    <w:rsid w:val="00EF65DB"/>
    <w:rsid w:val="00EF66D7"/>
    <w:rsid w:val="00EF6B97"/>
    <w:rsid w:val="00EF6C7F"/>
    <w:rsid w:val="00EF6DE9"/>
    <w:rsid w:val="00EF7060"/>
    <w:rsid w:val="00EF73D7"/>
    <w:rsid w:val="00EF758E"/>
    <w:rsid w:val="00EF769D"/>
    <w:rsid w:val="00EF7710"/>
    <w:rsid w:val="00EF7AD6"/>
    <w:rsid w:val="00EF7ADD"/>
    <w:rsid w:val="00EF7B0E"/>
    <w:rsid w:val="00EF7C5E"/>
    <w:rsid w:val="00EF7E01"/>
    <w:rsid w:val="00F00055"/>
    <w:rsid w:val="00F00323"/>
    <w:rsid w:val="00F0043F"/>
    <w:rsid w:val="00F0062D"/>
    <w:rsid w:val="00F00735"/>
    <w:rsid w:val="00F00B55"/>
    <w:rsid w:val="00F00B7C"/>
    <w:rsid w:val="00F0113C"/>
    <w:rsid w:val="00F01B8B"/>
    <w:rsid w:val="00F01E62"/>
    <w:rsid w:val="00F01F7B"/>
    <w:rsid w:val="00F02058"/>
    <w:rsid w:val="00F02506"/>
    <w:rsid w:val="00F02540"/>
    <w:rsid w:val="00F0274E"/>
    <w:rsid w:val="00F027CA"/>
    <w:rsid w:val="00F02865"/>
    <w:rsid w:val="00F02932"/>
    <w:rsid w:val="00F02987"/>
    <w:rsid w:val="00F029E9"/>
    <w:rsid w:val="00F029FA"/>
    <w:rsid w:val="00F02AD1"/>
    <w:rsid w:val="00F02D9B"/>
    <w:rsid w:val="00F03017"/>
    <w:rsid w:val="00F031DF"/>
    <w:rsid w:val="00F03977"/>
    <w:rsid w:val="00F03B99"/>
    <w:rsid w:val="00F03C7D"/>
    <w:rsid w:val="00F03D56"/>
    <w:rsid w:val="00F03DA3"/>
    <w:rsid w:val="00F03E30"/>
    <w:rsid w:val="00F0417F"/>
    <w:rsid w:val="00F042BD"/>
    <w:rsid w:val="00F048F3"/>
    <w:rsid w:val="00F04F35"/>
    <w:rsid w:val="00F0509B"/>
    <w:rsid w:val="00F05E26"/>
    <w:rsid w:val="00F06349"/>
    <w:rsid w:val="00F06515"/>
    <w:rsid w:val="00F065B7"/>
    <w:rsid w:val="00F065D0"/>
    <w:rsid w:val="00F06AA1"/>
    <w:rsid w:val="00F06BB9"/>
    <w:rsid w:val="00F07182"/>
    <w:rsid w:val="00F071A7"/>
    <w:rsid w:val="00F07980"/>
    <w:rsid w:val="00F07BE5"/>
    <w:rsid w:val="00F07D4B"/>
    <w:rsid w:val="00F07F99"/>
    <w:rsid w:val="00F100C3"/>
    <w:rsid w:val="00F1043F"/>
    <w:rsid w:val="00F1049E"/>
    <w:rsid w:val="00F107B2"/>
    <w:rsid w:val="00F10A01"/>
    <w:rsid w:val="00F10D7E"/>
    <w:rsid w:val="00F10EF7"/>
    <w:rsid w:val="00F10F5F"/>
    <w:rsid w:val="00F10FF9"/>
    <w:rsid w:val="00F11623"/>
    <w:rsid w:val="00F119DA"/>
    <w:rsid w:val="00F11B32"/>
    <w:rsid w:val="00F11CDE"/>
    <w:rsid w:val="00F11CF8"/>
    <w:rsid w:val="00F121B8"/>
    <w:rsid w:val="00F12D3C"/>
    <w:rsid w:val="00F12E32"/>
    <w:rsid w:val="00F12E5C"/>
    <w:rsid w:val="00F13524"/>
    <w:rsid w:val="00F13B62"/>
    <w:rsid w:val="00F14024"/>
    <w:rsid w:val="00F141E4"/>
    <w:rsid w:val="00F146ED"/>
    <w:rsid w:val="00F14D01"/>
    <w:rsid w:val="00F14E7D"/>
    <w:rsid w:val="00F14F60"/>
    <w:rsid w:val="00F1510C"/>
    <w:rsid w:val="00F154CF"/>
    <w:rsid w:val="00F15811"/>
    <w:rsid w:val="00F15C84"/>
    <w:rsid w:val="00F15FDD"/>
    <w:rsid w:val="00F1644E"/>
    <w:rsid w:val="00F16538"/>
    <w:rsid w:val="00F16B67"/>
    <w:rsid w:val="00F16D7C"/>
    <w:rsid w:val="00F16E58"/>
    <w:rsid w:val="00F172A9"/>
    <w:rsid w:val="00F1734C"/>
    <w:rsid w:val="00F1755B"/>
    <w:rsid w:val="00F17789"/>
    <w:rsid w:val="00F202AA"/>
    <w:rsid w:val="00F2057E"/>
    <w:rsid w:val="00F2075F"/>
    <w:rsid w:val="00F20ABD"/>
    <w:rsid w:val="00F20CC3"/>
    <w:rsid w:val="00F2142B"/>
    <w:rsid w:val="00F218B3"/>
    <w:rsid w:val="00F2192C"/>
    <w:rsid w:val="00F219EA"/>
    <w:rsid w:val="00F21A94"/>
    <w:rsid w:val="00F21AB2"/>
    <w:rsid w:val="00F223FC"/>
    <w:rsid w:val="00F22765"/>
    <w:rsid w:val="00F228CD"/>
    <w:rsid w:val="00F22B42"/>
    <w:rsid w:val="00F22DF2"/>
    <w:rsid w:val="00F22F20"/>
    <w:rsid w:val="00F2325A"/>
    <w:rsid w:val="00F23431"/>
    <w:rsid w:val="00F236D8"/>
    <w:rsid w:val="00F236EB"/>
    <w:rsid w:val="00F2380D"/>
    <w:rsid w:val="00F2398A"/>
    <w:rsid w:val="00F23B3A"/>
    <w:rsid w:val="00F23B45"/>
    <w:rsid w:val="00F23C77"/>
    <w:rsid w:val="00F23C80"/>
    <w:rsid w:val="00F23DB8"/>
    <w:rsid w:val="00F23F87"/>
    <w:rsid w:val="00F24770"/>
    <w:rsid w:val="00F247A0"/>
    <w:rsid w:val="00F2488D"/>
    <w:rsid w:val="00F248DE"/>
    <w:rsid w:val="00F24DEA"/>
    <w:rsid w:val="00F250C7"/>
    <w:rsid w:val="00F250FC"/>
    <w:rsid w:val="00F253CC"/>
    <w:rsid w:val="00F2551C"/>
    <w:rsid w:val="00F255D0"/>
    <w:rsid w:val="00F2579B"/>
    <w:rsid w:val="00F25A36"/>
    <w:rsid w:val="00F25CD8"/>
    <w:rsid w:val="00F25D69"/>
    <w:rsid w:val="00F2600C"/>
    <w:rsid w:val="00F26524"/>
    <w:rsid w:val="00F26610"/>
    <w:rsid w:val="00F26A2B"/>
    <w:rsid w:val="00F26BDA"/>
    <w:rsid w:val="00F26F0A"/>
    <w:rsid w:val="00F2702A"/>
    <w:rsid w:val="00F270F1"/>
    <w:rsid w:val="00F270F7"/>
    <w:rsid w:val="00F2770D"/>
    <w:rsid w:val="00F2796D"/>
    <w:rsid w:val="00F27A79"/>
    <w:rsid w:val="00F27EFA"/>
    <w:rsid w:val="00F27FEF"/>
    <w:rsid w:val="00F30124"/>
    <w:rsid w:val="00F30148"/>
    <w:rsid w:val="00F3016F"/>
    <w:rsid w:val="00F301F1"/>
    <w:rsid w:val="00F3062D"/>
    <w:rsid w:val="00F30798"/>
    <w:rsid w:val="00F308BC"/>
    <w:rsid w:val="00F308DF"/>
    <w:rsid w:val="00F30E35"/>
    <w:rsid w:val="00F3180E"/>
    <w:rsid w:val="00F318EF"/>
    <w:rsid w:val="00F31DDD"/>
    <w:rsid w:val="00F31EA0"/>
    <w:rsid w:val="00F31EB3"/>
    <w:rsid w:val="00F32461"/>
    <w:rsid w:val="00F3246D"/>
    <w:rsid w:val="00F32619"/>
    <w:rsid w:val="00F32627"/>
    <w:rsid w:val="00F328BD"/>
    <w:rsid w:val="00F32D94"/>
    <w:rsid w:val="00F330E4"/>
    <w:rsid w:val="00F33748"/>
    <w:rsid w:val="00F33955"/>
    <w:rsid w:val="00F33AF9"/>
    <w:rsid w:val="00F3449B"/>
    <w:rsid w:val="00F34636"/>
    <w:rsid w:val="00F34894"/>
    <w:rsid w:val="00F34B5A"/>
    <w:rsid w:val="00F34D6F"/>
    <w:rsid w:val="00F351BB"/>
    <w:rsid w:val="00F3585A"/>
    <w:rsid w:val="00F35B60"/>
    <w:rsid w:val="00F35F7E"/>
    <w:rsid w:val="00F36342"/>
    <w:rsid w:val="00F367DC"/>
    <w:rsid w:val="00F367FD"/>
    <w:rsid w:val="00F3684D"/>
    <w:rsid w:val="00F3692A"/>
    <w:rsid w:val="00F36BBC"/>
    <w:rsid w:val="00F36BD1"/>
    <w:rsid w:val="00F36DD3"/>
    <w:rsid w:val="00F37106"/>
    <w:rsid w:val="00F37504"/>
    <w:rsid w:val="00F3776F"/>
    <w:rsid w:val="00F4002B"/>
    <w:rsid w:val="00F400D1"/>
    <w:rsid w:val="00F4059E"/>
    <w:rsid w:val="00F40611"/>
    <w:rsid w:val="00F40950"/>
    <w:rsid w:val="00F40F53"/>
    <w:rsid w:val="00F4141B"/>
    <w:rsid w:val="00F41724"/>
    <w:rsid w:val="00F417F4"/>
    <w:rsid w:val="00F4185C"/>
    <w:rsid w:val="00F41BBF"/>
    <w:rsid w:val="00F41C0D"/>
    <w:rsid w:val="00F41E1C"/>
    <w:rsid w:val="00F42346"/>
    <w:rsid w:val="00F42613"/>
    <w:rsid w:val="00F42707"/>
    <w:rsid w:val="00F428F3"/>
    <w:rsid w:val="00F42AAE"/>
    <w:rsid w:val="00F42BD0"/>
    <w:rsid w:val="00F43422"/>
    <w:rsid w:val="00F435E2"/>
    <w:rsid w:val="00F4360C"/>
    <w:rsid w:val="00F438B7"/>
    <w:rsid w:val="00F43B3A"/>
    <w:rsid w:val="00F4406D"/>
    <w:rsid w:val="00F4462C"/>
    <w:rsid w:val="00F446CF"/>
    <w:rsid w:val="00F446F3"/>
    <w:rsid w:val="00F446F9"/>
    <w:rsid w:val="00F44A15"/>
    <w:rsid w:val="00F44C09"/>
    <w:rsid w:val="00F44C14"/>
    <w:rsid w:val="00F44CA5"/>
    <w:rsid w:val="00F44CCA"/>
    <w:rsid w:val="00F44D14"/>
    <w:rsid w:val="00F44EFB"/>
    <w:rsid w:val="00F44FED"/>
    <w:rsid w:val="00F454F8"/>
    <w:rsid w:val="00F45631"/>
    <w:rsid w:val="00F4571E"/>
    <w:rsid w:val="00F458B4"/>
    <w:rsid w:val="00F45942"/>
    <w:rsid w:val="00F45ADC"/>
    <w:rsid w:val="00F45B86"/>
    <w:rsid w:val="00F45C02"/>
    <w:rsid w:val="00F460BD"/>
    <w:rsid w:val="00F46136"/>
    <w:rsid w:val="00F46421"/>
    <w:rsid w:val="00F46D7F"/>
    <w:rsid w:val="00F46DCE"/>
    <w:rsid w:val="00F46E91"/>
    <w:rsid w:val="00F47077"/>
    <w:rsid w:val="00F476EA"/>
    <w:rsid w:val="00F47F38"/>
    <w:rsid w:val="00F50106"/>
    <w:rsid w:val="00F50213"/>
    <w:rsid w:val="00F503E5"/>
    <w:rsid w:val="00F50484"/>
    <w:rsid w:val="00F506DB"/>
    <w:rsid w:val="00F50950"/>
    <w:rsid w:val="00F50C83"/>
    <w:rsid w:val="00F50CA8"/>
    <w:rsid w:val="00F50D1D"/>
    <w:rsid w:val="00F50E2F"/>
    <w:rsid w:val="00F51029"/>
    <w:rsid w:val="00F510CC"/>
    <w:rsid w:val="00F5120C"/>
    <w:rsid w:val="00F5126E"/>
    <w:rsid w:val="00F519CF"/>
    <w:rsid w:val="00F52036"/>
    <w:rsid w:val="00F5250D"/>
    <w:rsid w:val="00F52669"/>
    <w:rsid w:val="00F5266C"/>
    <w:rsid w:val="00F52D29"/>
    <w:rsid w:val="00F53091"/>
    <w:rsid w:val="00F536AD"/>
    <w:rsid w:val="00F536F2"/>
    <w:rsid w:val="00F537C8"/>
    <w:rsid w:val="00F539AD"/>
    <w:rsid w:val="00F53B15"/>
    <w:rsid w:val="00F53C56"/>
    <w:rsid w:val="00F53D74"/>
    <w:rsid w:val="00F54512"/>
    <w:rsid w:val="00F54740"/>
    <w:rsid w:val="00F54BB1"/>
    <w:rsid w:val="00F54ECA"/>
    <w:rsid w:val="00F550DF"/>
    <w:rsid w:val="00F55253"/>
    <w:rsid w:val="00F555C4"/>
    <w:rsid w:val="00F555D1"/>
    <w:rsid w:val="00F5569F"/>
    <w:rsid w:val="00F5572B"/>
    <w:rsid w:val="00F557DF"/>
    <w:rsid w:val="00F5584B"/>
    <w:rsid w:val="00F56089"/>
    <w:rsid w:val="00F560E0"/>
    <w:rsid w:val="00F56791"/>
    <w:rsid w:val="00F56AF1"/>
    <w:rsid w:val="00F56BA5"/>
    <w:rsid w:val="00F56C29"/>
    <w:rsid w:val="00F56C88"/>
    <w:rsid w:val="00F56E69"/>
    <w:rsid w:val="00F57246"/>
    <w:rsid w:val="00F57702"/>
    <w:rsid w:val="00F57724"/>
    <w:rsid w:val="00F57978"/>
    <w:rsid w:val="00F57B9F"/>
    <w:rsid w:val="00F57C03"/>
    <w:rsid w:val="00F57D68"/>
    <w:rsid w:val="00F607B9"/>
    <w:rsid w:val="00F60E22"/>
    <w:rsid w:val="00F60E5B"/>
    <w:rsid w:val="00F60E6C"/>
    <w:rsid w:val="00F61227"/>
    <w:rsid w:val="00F6165A"/>
    <w:rsid w:val="00F61A1A"/>
    <w:rsid w:val="00F61FE4"/>
    <w:rsid w:val="00F62282"/>
    <w:rsid w:val="00F62600"/>
    <w:rsid w:val="00F62748"/>
    <w:rsid w:val="00F62C58"/>
    <w:rsid w:val="00F62D1E"/>
    <w:rsid w:val="00F62FE2"/>
    <w:rsid w:val="00F6302F"/>
    <w:rsid w:val="00F63469"/>
    <w:rsid w:val="00F634D9"/>
    <w:rsid w:val="00F63CCB"/>
    <w:rsid w:val="00F640C5"/>
    <w:rsid w:val="00F6432D"/>
    <w:rsid w:val="00F649AD"/>
    <w:rsid w:val="00F64B8B"/>
    <w:rsid w:val="00F64DB1"/>
    <w:rsid w:val="00F65086"/>
    <w:rsid w:val="00F653D2"/>
    <w:rsid w:val="00F65545"/>
    <w:rsid w:val="00F659EC"/>
    <w:rsid w:val="00F669A4"/>
    <w:rsid w:val="00F6703B"/>
    <w:rsid w:val="00F6731B"/>
    <w:rsid w:val="00F67538"/>
    <w:rsid w:val="00F676E7"/>
    <w:rsid w:val="00F67A0A"/>
    <w:rsid w:val="00F67A50"/>
    <w:rsid w:val="00F67B09"/>
    <w:rsid w:val="00F67C38"/>
    <w:rsid w:val="00F70327"/>
    <w:rsid w:val="00F704B2"/>
    <w:rsid w:val="00F70FB8"/>
    <w:rsid w:val="00F711C6"/>
    <w:rsid w:val="00F7124D"/>
    <w:rsid w:val="00F71A9D"/>
    <w:rsid w:val="00F7244A"/>
    <w:rsid w:val="00F729BC"/>
    <w:rsid w:val="00F72BD4"/>
    <w:rsid w:val="00F72EB4"/>
    <w:rsid w:val="00F73170"/>
    <w:rsid w:val="00F734BE"/>
    <w:rsid w:val="00F73584"/>
    <w:rsid w:val="00F735AE"/>
    <w:rsid w:val="00F73687"/>
    <w:rsid w:val="00F7394A"/>
    <w:rsid w:val="00F739DF"/>
    <w:rsid w:val="00F74151"/>
    <w:rsid w:val="00F74322"/>
    <w:rsid w:val="00F746C3"/>
    <w:rsid w:val="00F746FE"/>
    <w:rsid w:val="00F74E0A"/>
    <w:rsid w:val="00F7516E"/>
    <w:rsid w:val="00F75766"/>
    <w:rsid w:val="00F75A47"/>
    <w:rsid w:val="00F75F3C"/>
    <w:rsid w:val="00F76487"/>
    <w:rsid w:val="00F764FE"/>
    <w:rsid w:val="00F76E2B"/>
    <w:rsid w:val="00F77C37"/>
    <w:rsid w:val="00F77CF9"/>
    <w:rsid w:val="00F77DF8"/>
    <w:rsid w:val="00F77F43"/>
    <w:rsid w:val="00F77FB6"/>
    <w:rsid w:val="00F804AE"/>
    <w:rsid w:val="00F80657"/>
    <w:rsid w:val="00F8067B"/>
    <w:rsid w:val="00F80A4F"/>
    <w:rsid w:val="00F80E66"/>
    <w:rsid w:val="00F81147"/>
    <w:rsid w:val="00F8126A"/>
    <w:rsid w:val="00F816DE"/>
    <w:rsid w:val="00F819BC"/>
    <w:rsid w:val="00F81BE3"/>
    <w:rsid w:val="00F82261"/>
    <w:rsid w:val="00F824E1"/>
    <w:rsid w:val="00F82642"/>
    <w:rsid w:val="00F82DD5"/>
    <w:rsid w:val="00F82E43"/>
    <w:rsid w:val="00F830C3"/>
    <w:rsid w:val="00F8350D"/>
    <w:rsid w:val="00F83A86"/>
    <w:rsid w:val="00F83E2B"/>
    <w:rsid w:val="00F84077"/>
    <w:rsid w:val="00F843AA"/>
    <w:rsid w:val="00F84D44"/>
    <w:rsid w:val="00F852F7"/>
    <w:rsid w:val="00F852FC"/>
    <w:rsid w:val="00F85337"/>
    <w:rsid w:val="00F85974"/>
    <w:rsid w:val="00F85A52"/>
    <w:rsid w:val="00F860B1"/>
    <w:rsid w:val="00F8621E"/>
    <w:rsid w:val="00F866A6"/>
    <w:rsid w:val="00F868FF"/>
    <w:rsid w:val="00F869AF"/>
    <w:rsid w:val="00F869E0"/>
    <w:rsid w:val="00F86B10"/>
    <w:rsid w:val="00F86B3A"/>
    <w:rsid w:val="00F875DA"/>
    <w:rsid w:val="00F876AC"/>
    <w:rsid w:val="00F877C0"/>
    <w:rsid w:val="00F87AE1"/>
    <w:rsid w:val="00F90217"/>
    <w:rsid w:val="00F90433"/>
    <w:rsid w:val="00F9043B"/>
    <w:rsid w:val="00F90590"/>
    <w:rsid w:val="00F90767"/>
    <w:rsid w:val="00F90AEF"/>
    <w:rsid w:val="00F90CAC"/>
    <w:rsid w:val="00F90CC2"/>
    <w:rsid w:val="00F90CDD"/>
    <w:rsid w:val="00F90CE4"/>
    <w:rsid w:val="00F91160"/>
    <w:rsid w:val="00F91542"/>
    <w:rsid w:val="00F917D1"/>
    <w:rsid w:val="00F91A90"/>
    <w:rsid w:val="00F91BBA"/>
    <w:rsid w:val="00F91BDC"/>
    <w:rsid w:val="00F9209D"/>
    <w:rsid w:val="00F92433"/>
    <w:rsid w:val="00F92850"/>
    <w:rsid w:val="00F92A8E"/>
    <w:rsid w:val="00F93327"/>
    <w:rsid w:val="00F9392B"/>
    <w:rsid w:val="00F93F64"/>
    <w:rsid w:val="00F93F8F"/>
    <w:rsid w:val="00F94216"/>
    <w:rsid w:val="00F94442"/>
    <w:rsid w:val="00F9451A"/>
    <w:rsid w:val="00F9491D"/>
    <w:rsid w:val="00F94F45"/>
    <w:rsid w:val="00F954CA"/>
    <w:rsid w:val="00F955EB"/>
    <w:rsid w:val="00F9568E"/>
    <w:rsid w:val="00F957AE"/>
    <w:rsid w:val="00F957C6"/>
    <w:rsid w:val="00F95A27"/>
    <w:rsid w:val="00F95A69"/>
    <w:rsid w:val="00F95D34"/>
    <w:rsid w:val="00F96160"/>
    <w:rsid w:val="00F96326"/>
    <w:rsid w:val="00F963B8"/>
    <w:rsid w:val="00F964F8"/>
    <w:rsid w:val="00F9653B"/>
    <w:rsid w:val="00F9666C"/>
    <w:rsid w:val="00F96778"/>
    <w:rsid w:val="00F968B0"/>
    <w:rsid w:val="00F96B55"/>
    <w:rsid w:val="00F96C41"/>
    <w:rsid w:val="00F96E6F"/>
    <w:rsid w:val="00F971FA"/>
    <w:rsid w:val="00F97516"/>
    <w:rsid w:val="00F976A7"/>
    <w:rsid w:val="00F97A52"/>
    <w:rsid w:val="00F97E2D"/>
    <w:rsid w:val="00F97E62"/>
    <w:rsid w:val="00FA00E2"/>
    <w:rsid w:val="00FA02EB"/>
    <w:rsid w:val="00FA0338"/>
    <w:rsid w:val="00FA0711"/>
    <w:rsid w:val="00FA084C"/>
    <w:rsid w:val="00FA08DD"/>
    <w:rsid w:val="00FA0908"/>
    <w:rsid w:val="00FA093F"/>
    <w:rsid w:val="00FA0D1A"/>
    <w:rsid w:val="00FA0D48"/>
    <w:rsid w:val="00FA174E"/>
    <w:rsid w:val="00FA1A07"/>
    <w:rsid w:val="00FA1A78"/>
    <w:rsid w:val="00FA1B34"/>
    <w:rsid w:val="00FA1EE7"/>
    <w:rsid w:val="00FA1FAA"/>
    <w:rsid w:val="00FA1FBB"/>
    <w:rsid w:val="00FA2595"/>
    <w:rsid w:val="00FA2B3C"/>
    <w:rsid w:val="00FA2E4F"/>
    <w:rsid w:val="00FA2E9D"/>
    <w:rsid w:val="00FA30A1"/>
    <w:rsid w:val="00FA35B3"/>
    <w:rsid w:val="00FA3858"/>
    <w:rsid w:val="00FA3987"/>
    <w:rsid w:val="00FA39E1"/>
    <w:rsid w:val="00FA3D42"/>
    <w:rsid w:val="00FA4035"/>
    <w:rsid w:val="00FA410D"/>
    <w:rsid w:val="00FA4293"/>
    <w:rsid w:val="00FA46DA"/>
    <w:rsid w:val="00FA4AD3"/>
    <w:rsid w:val="00FA4CD5"/>
    <w:rsid w:val="00FA4D1D"/>
    <w:rsid w:val="00FA57A0"/>
    <w:rsid w:val="00FA5859"/>
    <w:rsid w:val="00FA5957"/>
    <w:rsid w:val="00FA5C21"/>
    <w:rsid w:val="00FA5EAE"/>
    <w:rsid w:val="00FA5F9C"/>
    <w:rsid w:val="00FA60B9"/>
    <w:rsid w:val="00FA6127"/>
    <w:rsid w:val="00FA65A6"/>
    <w:rsid w:val="00FA65BB"/>
    <w:rsid w:val="00FA66D9"/>
    <w:rsid w:val="00FA6A30"/>
    <w:rsid w:val="00FA6C23"/>
    <w:rsid w:val="00FA6DA6"/>
    <w:rsid w:val="00FA7271"/>
    <w:rsid w:val="00FA7419"/>
    <w:rsid w:val="00FA7494"/>
    <w:rsid w:val="00FA7605"/>
    <w:rsid w:val="00FA77B7"/>
    <w:rsid w:val="00FA7959"/>
    <w:rsid w:val="00FA79C6"/>
    <w:rsid w:val="00FB0522"/>
    <w:rsid w:val="00FB05F9"/>
    <w:rsid w:val="00FB069F"/>
    <w:rsid w:val="00FB098E"/>
    <w:rsid w:val="00FB0A94"/>
    <w:rsid w:val="00FB0B2E"/>
    <w:rsid w:val="00FB0EC0"/>
    <w:rsid w:val="00FB1072"/>
    <w:rsid w:val="00FB1084"/>
    <w:rsid w:val="00FB10AB"/>
    <w:rsid w:val="00FB1351"/>
    <w:rsid w:val="00FB142C"/>
    <w:rsid w:val="00FB14D9"/>
    <w:rsid w:val="00FB1666"/>
    <w:rsid w:val="00FB1AC2"/>
    <w:rsid w:val="00FB2096"/>
    <w:rsid w:val="00FB2A66"/>
    <w:rsid w:val="00FB2E57"/>
    <w:rsid w:val="00FB2E91"/>
    <w:rsid w:val="00FB2ED7"/>
    <w:rsid w:val="00FB3912"/>
    <w:rsid w:val="00FB3A4F"/>
    <w:rsid w:val="00FB3D94"/>
    <w:rsid w:val="00FB3F52"/>
    <w:rsid w:val="00FB3F5D"/>
    <w:rsid w:val="00FB40F7"/>
    <w:rsid w:val="00FB4104"/>
    <w:rsid w:val="00FB4364"/>
    <w:rsid w:val="00FB43DD"/>
    <w:rsid w:val="00FB465A"/>
    <w:rsid w:val="00FB46EC"/>
    <w:rsid w:val="00FB4BD3"/>
    <w:rsid w:val="00FB4E37"/>
    <w:rsid w:val="00FB4EB8"/>
    <w:rsid w:val="00FB52E5"/>
    <w:rsid w:val="00FB54A0"/>
    <w:rsid w:val="00FB57E4"/>
    <w:rsid w:val="00FB5BF7"/>
    <w:rsid w:val="00FB5E1B"/>
    <w:rsid w:val="00FB616C"/>
    <w:rsid w:val="00FB62CF"/>
    <w:rsid w:val="00FB6330"/>
    <w:rsid w:val="00FB64DE"/>
    <w:rsid w:val="00FB6512"/>
    <w:rsid w:val="00FB68F0"/>
    <w:rsid w:val="00FB6A39"/>
    <w:rsid w:val="00FB6DB5"/>
    <w:rsid w:val="00FB726D"/>
    <w:rsid w:val="00FB739A"/>
    <w:rsid w:val="00FB78FA"/>
    <w:rsid w:val="00FB7B6A"/>
    <w:rsid w:val="00FC0A1C"/>
    <w:rsid w:val="00FC0F90"/>
    <w:rsid w:val="00FC0FA1"/>
    <w:rsid w:val="00FC1660"/>
    <w:rsid w:val="00FC171D"/>
    <w:rsid w:val="00FC1F8E"/>
    <w:rsid w:val="00FC2002"/>
    <w:rsid w:val="00FC219A"/>
    <w:rsid w:val="00FC2226"/>
    <w:rsid w:val="00FC27FD"/>
    <w:rsid w:val="00FC2925"/>
    <w:rsid w:val="00FC2B0C"/>
    <w:rsid w:val="00FC3301"/>
    <w:rsid w:val="00FC33C2"/>
    <w:rsid w:val="00FC351A"/>
    <w:rsid w:val="00FC36C7"/>
    <w:rsid w:val="00FC375C"/>
    <w:rsid w:val="00FC3A74"/>
    <w:rsid w:val="00FC3A77"/>
    <w:rsid w:val="00FC3B9C"/>
    <w:rsid w:val="00FC3E44"/>
    <w:rsid w:val="00FC4122"/>
    <w:rsid w:val="00FC415B"/>
    <w:rsid w:val="00FC47E0"/>
    <w:rsid w:val="00FC488C"/>
    <w:rsid w:val="00FC4AD2"/>
    <w:rsid w:val="00FC5180"/>
    <w:rsid w:val="00FC54C6"/>
    <w:rsid w:val="00FC54E2"/>
    <w:rsid w:val="00FC551C"/>
    <w:rsid w:val="00FC563C"/>
    <w:rsid w:val="00FC5691"/>
    <w:rsid w:val="00FC5AF3"/>
    <w:rsid w:val="00FC6038"/>
    <w:rsid w:val="00FC6152"/>
    <w:rsid w:val="00FC634A"/>
    <w:rsid w:val="00FC6609"/>
    <w:rsid w:val="00FC6FE3"/>
    <w:rsid w:val="00FC721A"/>
    <w:rsid w:val="00FC7319"/>
    <w:rsid w:val="00FC73F0"/>
    <w:rsid w:val="00FC78EB"/>
    <w:rsid w:val="00FC7C8A"/>
    <w:rsid w:val="00FC7D96"/>
    <w:rsid w:val="00FD0360"/>
    <w:rsid w:val="00FD0576"/>
    <w:rsid w:val="00FD05AE"/>
    <w:rsid w:val="00FD05B2"/>
    <w:rsid w:val="00FD094F"/>
    <w:rsid w:val="00FD0C3E"/>
    <w:rsid w:val="00FD0C7F"/>
    <w:rsid w:val="00FD0EFE"/>
    <w:rsid w:val="00FD11D8"/>
    <w:rsid w:val="00FD125C"/>
    <w:rsid w:val="00FD12E4"/>
    <w:rsid w:val="00FD13DD"/>
    <w:rsid w:val="00FD1971"/>
    <w:rsid w:val="00FD1A5F"/>
    <w:rsid w:val="00FD1ABA"/>
    <w:rsid w:val="00FD1AFA"/>
    <w:rsid w:val="00FD1C57"/>
    <w:rsid w:val="00FD1CEF"/>
    <w:rsid w:val="00FD1F21"/>
    <w:rsid w:val="00FD21EF"/>
    <w:rsid w:val="00FD2274"/>
    <w:rsid w:val="00FD2282"/>
    <w:rsid w:val="00FD26A1"/>
    <w:rsid w:val="00FD27E6"/>
    <w:rsid w:val="00FD2882"/>
    <w:rsid w:val="00FD2B50"/>
    <w:rsid w:val="00FD2E3F"/>
    <w:rsid w:val="00FD2FDF"/>
    <w:rsid w:val="00FD3315"/>
    <w:rsid w:val="00FD339E"/>
    <w:rsid w:val="00FD350A"/>
    <w:rsid w:val="00FD3C3B"/>
    <w:rsid w:val="00FD3D23"/>
    <w:rsid w:val="00FD3DC9"/>
    <w:rsid w:val="00FD421B"/>
    <w:rsid w:val="00FD4229"/>
    <w:rsid w:val="00FD44C4"/>
    <w:rsid w:val="00FD46A6"/>
    <w:rsid w:val="00FD49F4"/>
    <w:rsid w:val="00FD4EA0"/>
    <w:rsid w:val="00FD4EC1"/>
    <w:rsid w:val="00FD4F75"/>
    <w:rsid w:val="00FD51B3"/>
    <w:rsid w:val="00FD54DA"/>
    <w:rsid w:val="00FD5540"/>
    <w:rsid w:val="00FD56E1"/>
    <w:rsid w:val="00FD5921"/>
    <w:rsid w:val="00FD5F29"/>
    <w:rsid w:val="00FD60E3"/>
    <w:rsid w:val="00FD61D4"/>
    <w:rsid w:val="00FD66F9"/>
    <w:rsid w:val="00FD6EA3"/>
    <w:rsid w:val="00FD6FEF"/>
    <w:rsid w:val="00FD70E8"/>
    <w:rsid w:val="00FD729D"/>
    <w:rsid w:val="00FD73FC"/>
    <w:rsid w:val="00FD76F2"/>
    <w:rsid w:val="00FD7903"/>
    <w:rsid w:val="00FD79FD"/>
    <w:rsid w:val="00FD79FF"/>
    <w:rsid w:val="00FD7F9C"/>
    <w:rsid w:val="00FE00CC"/>
    <w:rsid w:val="00FE0262"/>
    <w:rsid w:val="00FE0851"/>
    <w:rsid w:val="00FE0A86"/>
    <w:rsid w:val="00FE0A9C"/>
    <w:rsid w:val="00FE0BC9"/>
    <w:rsid w:val="00FE0E1A"/>
    <w:rsid w:val="00FE0E59"/>
    <w:rsid w:val="00FE0EE6"/>
    <w:rsid w:val="00FE0F47"/>
    <w:rsid w:val="00FE12C4"/>
    <w:rsid w:val="00FE15F2"/>
    <w:rsid w:val="00FE18F9"/>
    <w:rsid w:val="00FE1DFE"/>
    <w:rsid w:val="00FE1F1B"/>
    <w:rsid w:val="00FE1F8C"/>
    <w:rsid w:val="00FE2268"/>
    <w:rsid w:val="00FE234C"/>
    <w:rsid w:val="00FE234D"/>
    <w:rsid w:val="00FE29EC"/>
    <w:rsid w:val="00FE31C6"/>
    <w:rsid w:val="00FE350D"/>
    <w:rsid w:val="00FE3566"/>
    <w:rsid w:val="00FE3793"/>
    <w:rsid w:val="00FE3895"/>
    <w:rsid w:val="00FE3B38"/>
    <w:rsid w:val="00FE4071"/>
    <w:rsid w:val="00FE4289"/>
    <w:rsid w:val="00FE45EF"/>
    <w:rsid w:val="00FE487F"/>
    <w:rsid w:val="00FE4928"/>
    <w:rsid w:val="00FE49FF"/>
    <w:rsid w:val="00FE5017"/>
    <w:rsid w:val="00FE52B3"/>
    <w:rsid w:val="00FE584B"/>
    <w:rsid w:val="00FE5B47"/>
    <w:rsid w:val="00FE5E14"/>
    <w:rsid w:val="00FE63A5"/>
    <w:rsid w:val="00FE66A3"/>
    <w:rsid w:val="00FE6783"/>
    <w:rsid w:val="00FE68A1"/>
    <w:rsid w:val="00FE6B45"/>
    <w:rsid w:val="00FE6BB0"/>
    <w:rsid w:val="00FE6F27"/>
    <w:rsid w:val="00FE7176"/>
    <w:rsid w:val="00FE72C4"/>
    <w:rsid w:val="00FE7413"/>
    <w:rsid w:val="00FE762A"/>
    <w:rsid w:val="00FE7E5A"/>
    <w:rsid w:val="00FF0199"/>
    <w:rsid w:val="00FF04EA"/>
    <w:rsid w:val="00FF0590"/>
    <w:rsid w:val="00FF08C7"/>
    <w:rsid w:val="00FF0923"/>
    <w:rsid w:val="00FF0BCF"/>
    <w:rsid w:val="00FF11B9"/>
    <w:rsid w:val="00FF14ED"/>
    <w:rsid w:val="00FF15EA"/>
    <w:rsid w:val="00FF1BD8"/>
    <w:rsid w:val="00FF222C"/>
    <w:rsid w:val="00FF22DB"/>
    <w:rsid w:val="00FF24F4"/>
    <w:rsid w:val="00FF2A34"/>
    <w:rsid w:val="00FF2B48"/>
    <w:rsid w:val="00FF2D28"/>
    <w:rsid w:val="00FF2E0B"/>
    <w:rsid w:val="00FF2EA1"/>
    <w:rsid w:val="00FF2FF7"/>
    <w:rsid w:val="00FF30E6"/>
    <w:rsid w:val="00FF342C"/>
    <w:rsid w:val="00FF3492"/>
    <w:rsid w:val="00FF3556"/>
    <w:rsid w:val="00FF3C0C"/>
    <w:rsid w:val="00FF3C4E"/>
    <w:rsid w:val="00FF460C"/>
    <w:rsid w:val="00FF4690"/>
    <w:rsid w:val="00FF4706"/>
    <w:rsid w:val="00FF4711"/>
    <w:rsid w:val="00FF48F6"/>
    <w:rsid w:val="00FF4D55"/>
    <w:rsid w:val="00FF4E38"/>
    <w:rsid w:val="00FF4EBD"/>
    <w:rsid w:val="00FF4F04"/>
    <w:rsid w:val="00FF522C"/>
    <w:rsid w:val="00FF53EA"/>
    <w:rsid w:val="00FF5851"/>
    <w:rsid w:val="00FF5EE6"/>
    <w:rsid w:val="00FF6BD0"/>
    <w:rsid w:val="00FF7255"/>
    <w:rsid w:val="00FF7621"/>
    <w:rsid w:val="00FF7876"/>
    <w:rsid w:val="00FF7B79"/>
    <w:rsid w:val="00FF7D01"/>
    <w:rsid w:val="00FF7DF5"/>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AE32F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87A6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heme="minorHAnsi" w:hAnsi="Verdana"/>
      <w:sz w:val="20"/>
      <w:szCs w:val="22"/>
      <w:bdr w:val="none" w:sz="0" w:space="0" w:color="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53D7"/>
    <w:rPr>
      <w:lang w:val="en-US" w:eastAsia="en-US"/>
    </w:rPr>
  </w:style>
  <w:style w:type="paragraph" w:styleId="Heading1">
    <w:name w:val="heading 1"/>
    <w:basedOn w:val="Normal"/>
    <w:next w:val="Normal"/>
    <w:link w:val="Heading1Char"/>
    <w:qFormat/>
    <w:rsid w:val="00E24E60"/>
    <w:pPr>
      <w:keepNext/>
      <w:numPr>
        <w:numId w:val="54"/>
      </w:num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uiPriority w:val="9"/>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iPriority w:val="9"/>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rPr>
  </w:style>
  <w:style w:type="paragraph" w:styleId="Footer">
    <w:name w:val="footer"/>
    <w:link w:val="FooterChar"/>
    <w:rsid w:val="007753D7"/>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7753D7"/>
    <w:rPr>
      <w:rFonts w:ascii="Cambria" w:eastAsia="Cambria" w:hAnsi="Cambria" w:cs="Cambria"/>
      <w:color w:val="000000"/>
      <w:u w:color="000000"/>
    </w:rPr>
  </w:style>
  <w:style w:type="paragraph" w:styleId="BodyTextIndent">
    <w:name w:val="Body Text Indent"/>
    <w:link w:val="BodyTextIndentChar"/>
    <w:rsid w:val="007753D7"/>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7753D7"/>
    <w:pPr>
      <w:ind w:left="720"/>
    </w:pPr>
    <w:rPr>
      <w:rFonts w:ascii="Cambria" w:eastAsia="Cambria" w:hAnsi="Cambria" w:cs="Cambria"/>
      <w:color w:val="000000"/>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uiPriority w:val="99"/>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24E60"/>
    <w:rPr>
      <w:rFonts w:asciiTheme="majorHAnsi" w:eastAsia="Times New Roman" w:hAnsiTheme="majorHAnsi"/>
      <w:b/>
      <w:sz w:val="20"/>
      <w:szCs w:val="20"/>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800842"/>
    <w:pPr>
      <w:tabs>
        <w:tab w:val="left" w:pos="1440"/>
        <w:tab w:val="right" w:leader="dot" w:pos="9350"/>
      </w:tabs>
      <w:spacing w:after="100"/>
      <w:ind w:left="1440" w:hanging="720"/>
    </w:pPr>
    <w:rPr>
      <w:rFonts w:asciiTheme="majorHAnsi" w:hAnsiTheme="majorHAnsi"/>
      <w:noProof/>
      <w:sz w:val="20"/>
      <w:szCs w:val="20"/>
      <w:lang w:val="es-CO"/>
    </w:rPr>
  </w:style>
  <w:style w:type="paragraph" w:styleId="TOC1">
    <w:name w:val="toc 1"/>
    <w:basedOn w:val="Normal"/>
    <w:next w:val="Normal"/>
    <w:autoRedefine/>
    <w:uiPriority w:val="39"/>
    <w:unhideWhenUsed/>
    <w:qFormat/>
    <w:rsid w:val="0080084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uiPriority w:val="9"/>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uiPriority w:val="99"/>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uiPriority w:val="99"/>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link w:val="Style1Char"/>
    <w:autoRedefine/>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unhideWhenUsed/>
    <w:qFormat/>
    <w:rsid w:val="00526252"/>
    <w:pPr>
      <w:keepLines/>
      <w:numPr>
        <w:numId w:val="0"/>
      </w:numPr>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0F7590"/>
    <w:rPr>
      <w:rFonts w:ascii="Univers" w:eastAsia="Times New Roman" w:hAnsi="Univers"/>
      <w:sz w:val="16"/>
      <w:szCs w:val="16"/>
      <w:u w:color="000000"/>
      <w:bdr w:val="none" w:sz="0" w:space="0" w:color="auto"/>
      <w:lang w:val="es-PY" w:eastAsia="en-US"/>
    </w:rPr>
  </w:style>
  <w:style w:type="paragraph" w:customStyle="1" w:styleId="MediumGrid1-Accent21">
    <w:name w:val="Medium Grid 1 - Accent 21"/>
    <w:uiPriority w:val="34"/>
    <w:qFormat/>
    <w:rsid w:val="003B4DAF"/>
    <w:pPr>
      <w:ind w:left="720"/>
    </w:pPr>
    <w:rPr>
      <w:rFonts w:ascii="Cambria" w:eastAsia="Cambria" w:hAnsi="Cambria" w:cs="Cambria"/>
      <w:color w:val="000000"/>
      <w:u w:color="000000"/>
      <w:lang w:val="en-US"/>
    </w:rPr>
  </w:style>
  <w:style w:type="paragraph" w:styleId="z-TopofForm">
    <w:name w:val="HTML Top of Form"/>
    <w:basedOn w:val="Normal"/>
    <w:next w:val="Normal"/>
    <w:link w:val="z-TopofFormChar"/>
    <w:hidden/>
    <w:uiPriority w:val="99"/>
    <w:semiHidden/>
    <w:unhideWhenUsed/>
    <w:rsid w:val="001F5955"/>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1F5955"/>
    <w:rPr>
      <w:rFonts w:ascii="Arial" w:eastAsia="Times New Roman" w:hAnsi="Arial" w:cs="Arial"/>
      <w:vanish/>
      <w:sz w:val="16"/>
      <w:szCs w:val="16"/>
      <w:bdr w:val="none" w:sz="0" w:space="0" w:color="auto"/>
      <w:lang w:val="en-US" w:eastAsia="en-US"/>
    </w:rPr>
  </w:style>
  <w:style w:type="paragraph" w:styleId="z-BottomofForm">
    <w:name w:val="HTML Bottom of Form"/>
    <w:basedOn w:val="Normal"/>
    <w:next w:val="Normal"/>
    <w:link w:val="z-BottomofFormChar"/>
    <w:hidden/>
    <w:uiPriority w:val="99"/>
    <w:semiHidden/>
    <w:unhideWhenUsed/>
    <w:rsid w:val="001F5955"/>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1F5955"/>
    <w:rPr>
      <w:rFonts w:ascii="Arial" w:eastAsia="Times New Roman" w:hAnsi="Arial" w:cs="Arial"/>
      <w:vanish/>
      <w:sz w:val="16"/>
      <w:szCs w:val="16"/>
      <w:bdr w:val="none" w:sz="0" w:space="0" w:color="auto"/>
      <w:lang w:val="en-US" w:eastAsia="en-US"/>
    </w:rPr>
  </w:style>
  <w:style w:type="paragraph" w:customStyle="1" w:styleId="s30eec3f8">
    <w:name w:val="s30eec3f8"/>
    <w:basedOn w:val="Normal"/>
    <w:rsid w:val="007B20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1">
    <w:name w:val="1"/>
    <w:basedOn w:val="Normal"/>
    <w:rsid w:val="00AE32F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87A6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heme="minorHAnsi" w:hAnsi="Verdana"/>
      <w:sz w:val="20"/>
      <w:szCs w:val="22"/>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5586">
      <w:bodyDiv w:val="1"/>
      <w:marLeft w:val="0"/>
      <w:marRight w:val="0"/>
      <w:marTop w:val="0"/>
      <w:marBottom w:val="0"/>
      <w:divBdr>
        <w:top w:val="none" w:sz="0" w:space="0" w:color="auto"/>
        <w:left w:val="none" w:sz="0" w:space="0" w:color="auto"/>
        <w:bottom w:val="none" w:sz="0" w:space="0" w:color="auto"/>
        <w:right w:val="none" w:sz="0" w:space="0" w:color="auto"/>
      </w:divBdr>
      <w:divsChild>
        <w:div w:id="1353456201">
          <w:marLeft w:val="0"/>
          <w:marRight w:val="0"/>
          <w:marTop w:val="0"/>
          <w:marBottom w:val="0"/>
          <w:divBdr>
            <w:top w:val="none" w:sz="0" w:space="0" w:color="auto"/>
            <w:left w:val="none" w:sz="0" w:space="0" w:color="auto"/>
            <w:bottom w:val="none" w:sz="0" w:space="0" w:color="auto"/>
            <w:right w:val="none" w:sz="0" w:space="0" w:color="auto"/>
          </w:divBdr>
          <w:divsChild>
            <w:div w:id="1301301712">
              <w:marLeft w:val="0"/>
              <w:marRight w:val="0"/>
              <w:marTop w:val="0"/>
              <w:marBottom w:val="0"/>
              <w:divBdr>
                <w:top w:val="none" w:sz="0" w:space="0" w:color="auto"/>
                <w:left w:val="none" w:sz="0" w:space="0" w:color="auto"/>
                <w:bottom w:val="none" w:sz="0" w:space="0" w:color="auto"/>
                <w:right w:val="none" w:sz="0" w:space="0" w:color="auto"/>
              </w:divBdr>
              <w:divsChild>
                <w:div w:id="13789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512569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285085130">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440344965">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16089">
      <w:bodyDiv w:val="1"/>
      <w:marLeft w:val="0"/>
      <w:marRight w:val="0"/>
      <w:marTop w:val="0"/>
      <w:marBottom w:val="0"/>
      <w:divBdr>
        <w:top w:val="none" w:sz="0" w:space="0" w:color="auto"/>
        <w:left w:val="none" w:sz="0" w:space="0" w:color="auto"/>
        <w:bottom w:val="none" w:sz="0" w:space="0" w:color="auto"/>
        <w:right w:val="none" w:sz="0" w:space="0" w:color="auto"/>
      </w:divBdr>
    </w:div>
    <w:div w:id="606502532">
      <w:bodyDiv w:val="1"/>
      <w:marLeft w:val="0"/>
      <w:marRight w:val="0"/>
      <w:marTop w:val="0"/>
      <w:marBottom w:val="0"/>
      <w:divBdr>
        <w:top w:val="none" w:sz="0" w:space="0" w:color="auto"/>
        <w:left w:val="none" w:sz="0" w:space="0" w:color="auto"/>
        <w:bottom w:val="none" w:sz="0" w:space="0" w:color="auto"/>
        <w:right w:val="none" w:sz="0" w:space="0" w:color="auto"/>
      </w:divBdr>
    </w:div>
    <w:div w:id="611480675">
      <w:bodyDiv w:val="1"/>
      <w:marLeft w:val="0"/>
      <w:marRight w:val="0"/>
      <w:marTop w:val="0"/>
      <w:marBottom w:val="0"/>
      <w:divBdr>
        <w:top w:val="none" w:sz="0" w:space="0" w:color="auto"/>
        <w:left w:val="none" w:sz="0" w:space="0" w:color="auto"/>
        <w:bottom w:val="none" w:sz="0" w:space="0" w:color="auto"/>
        <w:right w:val="none" w:sz="0" w:space="0" w:color="auto"/>
      </w:divBdr>
      <w:divsChild>
        <w:div w:id="253906060">
          <w:marLeft w:val="0"/>
          <w:marRight w:val="0"/>
          <w:marTop w:val="0"/>
          <w:marBottom w:val="0"/>
          <w:divBdr>
            <w:top w:val="none" w:sz="0" w:space="0" w:color="auto"/>
            <w:left w:val="none" w:sz="0" w:space="0" w:color="auto"/>
            <w:bottom w:val="none" w:sz="0" w:space="0" w:color="auto"/>
            <w:right w:val="none" w:sz="0" w:space="0" w:color="auto"/>
          </w:divBdr>
          <w:divsChild>
            <w:div w:id="1172834832">
              <w:marLeft w:val="0"/>
              <w:marRight w:val="0"/>
              <w:marTop w:val="0"/>
              <w:marBottom w:val="0"/>
              <w:divBdr>
                <w:top w:val="none" w:sz="0" w:space="0" w:color="auto"/>
                <w:left w:val="none" w:sz="0" w:space="0" w:color="auto"/>
                <w:bottom w:val="none" w:sz="0" w:space="0" w:color="auto"/>
                <w:right w:val="none" w:sz="0" w:space="0" w:color="auto"/>
              </w:divBdr>
              <w:divsChild>
                <w:div w:id="15439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7404963">
      <w:bodyDiv w:val="1"/>
      <w:marLeft w:val="0"/>
      <w:marRight w:val="0"/>
      <w:marTop w:val="0"/>
      <w:marBottom w:val="0"/>
      <w:divBdr>
        <w:top w:val="none" w:sz="0" w:space="0" w:color="auto"/>
        <w:left w:val="none" w:sz="0" w:space="0" w:color="auto"/>
        <w:bottom w:val="none" w:sz="0" w:space="0" w:color="auto"/>
        <w:right w:val="none" w:sz="0" w:space="0" w:color="auto"/>
      </w:divBdr>
    </w:div>
    <w:div w:id="814300285">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981352473">
      <w:bodyDiv w:val="1"/>
      <w:marLeft w:val="0"/>
      <w:marRight w:val="0"/>
      <w:marTop w:val="0"/>
      <w:marBottom w:val="0"/>
      <w:divBdr>
        <w:top w:val="none" w:sz="0" w:space="0" w:color="auto"/>
        <w:left w:val="none" w:sz="0" w:space="0" w:color="auto"/>
        <w:bottom w:val="none" w:sz="0" w:space="0" w:color="auto"/>
        <w:right w:val="none" w:sz="0" w:space="0" w:color="auto"/>
      </w:divBdr>
    </w:div>
    <w:div w:id="1015961032">
      <w:bodyDiv w:val="1"/>
      <w:marLeft w:val="0"/>
      <w:marRight w:val="0"/>
      <w:marTop w:val="0"/>
      <w:marBottom w:val="0"/>
      <w:divBdr>
        <w:top w:val="none" w:sz="0" w:space="0" w:color="auto"/>
        <w:left w:val="none" w:sz="0" w:space="0" w:color="auto"/>
        <w:bottom w:val="none" w:sz="0" w:space="0" w:color="auto"/>
        <w:right w:val="none" w:sz="0" w:space="0" w:color="auto"/>
      </w:divBdr>
      <w:divsChild>
        <w:div w:id="1428816711">
          <w:marLeft w:val="0"/>
          <w:marRight w:val="0"/>
          <w:marTop w:val="0"/>
          <w:marBottom w:val="0"/>
          <w:divBdr>
            <w:top w:val="none" w:sz="0" w:space="0" w:color="auto"/>
            <w:left w:val="none" w:sz="0" w:space="0" w:color="auto"/>
            <w:bottom w:val="none" w:sz="0" w:space="0" w:color="auto"/>
            <w:right w:val="none" w:sz="0" w:space="0" w:color="auto"/>
          </w:divBdr>
          <w:divsChild>
            <w:div w:id="63534394">
              <w:marLeft w:val="0"/>
              <w:marRight w:val="0"/>
              <w:marTop w:val="0"/>
              <w:marBottom w:val="0"/>
              <w:divBdr>
                <w:top w:val="none" w:sz="0" w:space="0" w:color="auto"/>
                <w:left w:val="none" w:sz="0" w:space="0" w:color="auto"/>
                <w:bottom w:val="none" w:sz="0" w:space="0" w:color="auto"/>
                <w:right w:val="none" w:sz="0" w:space="0" w:color="auto"/>
              </w:divBdr>
              <w:divsChild>
                <w:div w:id="15199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114984648">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63534">
      <w:bodyDiv w:val="1"/>
      <w:marLeft w:val="0"/>
      <w:marRight w:val="0"/>
      <w:marTop w:val="0"/>
      <w:marBottom w:val="0"/>
      <w:divBdr>
        <w:top w:val="none" w:sz="0" w:space="0" w:color="auto"/>
        <w:left w:val="none" w:sz="0" w:space="0" w:color="auto"/>
        <w:bottom w:val="none" w:sz="0" w:space="0" w:color="auto"/>
        <w:right w:val="none" w:sz="0" w:space="0" w:color="auto"/>
      </w:divBdr>
    </w:div>
    <w:div w:id="1248151637">
      <w:bodyDiv w:val="1"/>
      <w:marLeft w:val="0"/>
      <w:marRight w:val="0"/>
      <w:marTop w:val="0"/>
      <w:marBottom w:val="0"/>
      <w:divBdr>
        <w:top w:val="none" w:sz="0" w:space="0" w:color="auto"/>
        <w:left w:val="none" w:sz="0" w:space="0" w:color="auto"/>
        <w:bottom w:val="none" w:sz="0" w:space="0" w:color="auto"/>
        <w:right w:val="none" w:sz="0" w:space="0" w:color="auto"/>
      </w:divBdr>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98783">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2137100">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3114">
      <w:bodyDiv w:val="1"/>
      <w:marLeft w:val="0"/>
      <w:marRight w:val="0"/>
      <w:marTop w:val="0"/>
      <w:marBottom w:val="0"/>
      <w:divBdr>
        <w:top w:val="none" w:sz="0" w:space="0" w:color="auto"/>
        <w:left w:val="none" w:sz="0" w:space="0" w:color="auto"/>
        <w:bottom w:val="none" w:sz="0" w:space="0" w:color="auto"/>
        <w:right w:val="none" w:sz="0" w:space="0" w:color="auto"/>
      </w:divBdr>
      <w:divsChild>
        <w:div w:id="824705897">
          <w:marLeft w:val="0"/>
          <w:marRight w:val="0"/>
          <w:marTop w:val="0"/>
          <w:marBottom w:val="0"/>
          <w:divBdr>
            <w:top w:val="none" w:sz="0" w:space="0" w:color="auto"/>
            <w:left w:val="none" w:sz="0" w:space="0" w:color="auto"/>
            <w:bottom w:val="none" w:sz="0" w:space="0" w:color="auto"/>
            <w:right w:val="none" w:sz="0" w:space="0" w:color="auto"/>
          </w:divBdr>
          <w:divsChild>
            <w:div w:id="1783112884">
              <w:marLeft w:val="0"/>
              <w:marRight w:val="0"/>
              <w:marTop w:val="0"/>
              <w:marBottom w:val="0"/>
              <w:divBdr>
                <w:top w:val="none" w:sz="0" w:space="0" w:color="auto"/>
                <w:left w:val="none" w:sz="0" w:space="0" w:color="auto"/>
                <w:bottom w:val="none" w:sz="0" w:space="0" w:color="auto"/>
                <w:right w:val="none" w:sz="0" w:space="0" w:color="auto"/>
              </w:divBdr>
              <w:divsChild>
                <w:div w:id="12505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8499">
      <w:bodyDiv w:val="1"/>
      <w:marLeft w:val="0"/>
      <w:marRight w:val="0"/>
      <w:marTop w:val="0"/>
      <w:marBottom w:val="0"/>
      <w:divBdr>
        <w:top w:val="none" w:sz="0" w:space="0" w:color="auto"/>
        <w:left w:val="none" w:sz="0" w:space="0" w:color="auto"/>
        <w:bottom w:val="none" w:sz="0" w:space="0" w:color="auto"/>
        <w:right w:val="none" w:sz="0" w:space="0" w:color="auto"/>
      </w:divBdr>
    </w:div>
    <w:div w:id="1663240243">
      <w:bodyDiv w:val="1"/>
      <w:marLeft w:val="0"/>
      <w:marRight w:val="0"/>
      <w:marTop w:val="0"/>
      <w:marBottom w:val="0"/>
      <w:divBdr>
        <w:top w:val="none" w:sz="0" w:space="0" w:color="auto"/>
        <w:left w:val="none" w:sz="0" w:space="0" w:color="auto"/>
        <w:bottom w:val="none" w:sz="0" w:space="0" w:color="auto"/>
        <w:right w:val="none" w:sz="0" w:space="0" w:color="auto"/>
      </w:divBdr>
      <w:divsChild>
        <w:div w:id="110058648">
          <w:marLeft w:val="0"/>
          <w:marRight w:val="0"/>
          <w:marTop w:val="0"/>
          <w:marBottom w:val="0"/>
          <w:divBdr>
            <w:top w:val="none" w:sz="0" w:space="0" w:color="auto"/>
            <w:left w:val="none" w:sz="0" w:space="0" w:color="auto"/>
            <w:bottom w:val="none" w:sz="0" w:space="0" w:color="auto"/>
            <w:right w:val="none" w:sz="0" w:space="0" w:color="auto"/>
          </w:divBdr>
          <w:divsChild>
            <w:div w:id="125511039">
              <w:marLeft w:val="0"/>
              <w:marRight w:val="0"/>
              <w:marTop w:val="180"/>
              <w:marBottom w:val="0"/>
              <w:divBdr>
                <w:top w:val="none" w:sz="0" w:space="0" w:color="auto"/>
                <w:left w:val="none" w:sz="0" w:space="0" w:color="auto"/>
                <w:bottom w:val="none" w:sz="0" w:space="0" w:color="auto"/>
                <w:right w:val="none" w:sz="0" w:space="0" w:color="auto"/>
              </w:divBdr>
              <w:divsChild>
                <w:div w:id="811212909">
                  <w:marLeft w:val="0"/>
                  <w:marRight w:val="0"/>
                  <w:marTop w:val="0"/>
                  <w:marBottom w:val="0"/>
                  <w:divBdr>
                    <w:top w:val="none" w:sz="0" w:space="0" w:color="auto"/>
                    <w:left w:val="none" w:sz="0" w:space="0" w:color="auto"/>
                    <w:bottom w:val="none" w:sz="0" w:space="0" w:color="auto"/>
                    <w:right w:val="none" w:sz="0" w:space="0" w:color="auto"/>
                  </w:divBdr>
                  <w:divsChild>
                    <w:div w:id="1576278586">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180"/>
                          <w:marRight w:val="180"/>
                          <w:marTop w:val="0"/>
                          <w:marBottom w:val="0"/>
                          <w:divBdr>
                            <w:top w:val="single" w:sz="6" w:space="3" w:color="E5E5E5"/>
                            <w:left w:val="none" w:sz="0" w:space="0" w:color="auto"/>
                            <w:bottom w:val="none" w:sz="0" w:space="0" w:color="auto"/>
                            <w:right w:val="none" w:sz="0" w:space="0" w:color="auto"/>
                          </w:divBdr>
                          <w:divsChild>
                            <w:div w:id="1412317578">
                              <w:marLeft w:val="0"/>
                              <w:marRight w:val="0"/>
                              <w:marTop w:val="0"/>
                              <w:marBottom w:val="0"/>
                              <w:divBdr>
                                <w:top w:val="none" w:sz="0" w:space="0" w:color="auto"/>
                                <w:left w:val="none" w:sz="0" w:space="0" w:color="auto"/>
                                <w:bottom w:val="none" w:sz="0" w:space="0" w:color="auto"/>
                                <w:right w:val="none" w:sz="0" w:space="0" w:color="auto"/>
                              </w:divBdr>
                              <w:divsChild>
                                <w:div w:id="496187862">
                                  <w:marLeft w:val="0"/>
                                  <w:marRight w:val="0"/>
                                  <w:marTop w:val="0"/>
                                  <w:marBottom w:val="0"/>
                                  <w:divBdr>
                                    <w:top w:val="none" w:sz="0" w:space="0" w:color="auto"/>
                                    <w:left w:val="none" w:sz="0" w:space="0" w:color="auto"/>
                                    <w:bottom w:val="none" w:sz="0" w:space="0" w:color="auto"/>
                                    <w:right w:val="none" w:sz="0" w:space="0" w:color="auto"/>
                                  </w:divBdr>
                                  <w:divsChild>
                                    <w:div w:id="356152939">
                                      <w:marLeft w:val="0"/>
                                      <w:marRight w:val="0"/>
                                      <w:marTop w:val="0"/>
                                      <w:marBottom w:val="0"/>
                                      <w:divBdr>
                                        <w:top w:val="none" w:sz="0" w:space="0" w:color="auto"/>
                                        <w:left w:val="none" w:sz="0" w:space="0" w:color="auto"/>
                                        <w:bottom w:val="none" w:sz="0" w:space="0" w:color="auto"/>
                                        <w:right w:val="none" w:sz="0" w:space="0" w:color="auto"/>
                                      </w:divBdr>
                                    </w:div>
                                    <w:div w:id="495000895">
                                      <w:marLeft w:val="0"/>
                                      <w:marRight w:val="0"/>
                                      <w:marTop w:val="0"/>
                                      <w:marBottom w:val="0"/>
                                      <w:divBdr>
                                        <w:top w:val="none" w:sz="0" w:space="0" w:color="auto"/>
                                        <w:left w:val="none" w:sz="0" w:space="0" w:color="auto"/>
                                        <w:bottom w:val="none" w:sz="0" w:space="0" w:color="auto"/>
                                        <w:right w:val="none" w:sz="0" w:space="0" w:color="auto"/>
                                      </w:divBdr>
                                      <w:divsChild>
                                        <w:div w:id="148594779">
                                          <w:marLeft w:val="0"/>
                                          <w:marRight w:val="0"/>
                                          <w:marTop w:val="0"/>
                                          <w:marBottom w:val="0"/>
                                          <w:divBdr>
                                            <w:top w:val="none" w:sz="0" w:space="0" w:color="auto"/>
                                            <w:left w:val="none" w:sz="0" w:space="0" w:color="auto"/>
                                            <w:bottom w:val="none" w:sz="0" w:space="0" w:color="auto"/>
                                            <w:right w:val="none" w:sz="0" w:space="0" w:color="auto"/>
                                          </w:divBdr>
                                          <w:divsChild>
                                            <w:div w:id="2064522916">
                                              <w:marLeft w:val="0"/>
                                              <w:marRight w:val="0"/>
                                              <w:marTop w:val="0"/>
                                              <w:marBottom w:val="0"/>
                                              <w:divBdr>
                                                <w:top w:val="none" w:sz="0" w:space="0" w:color="auto"/>
                                                <w:left w:val="none" w:sz="0" w:space="0" w:color="auto"/>
                                                <w:bottom w:val="none" w:sz="0" w:space="0" w:color="auto"/>
                                                <w:right w:val="none" w:sz="0" w:space="0" w:color="auto"/>
                                              </w:divBdr>
                                              <w:divsChild>
                                                <w:div w:id="1291472498">
                                                  <w:marLeft w:val="0"/>
                                                  <w:marRight w:val="0"/>
                                                  <w:marTop w:val="0"/>
                                                  <w:marBottom w:val="0"/>
                                                  <w:divBdr>
                                                    <w:top w:val="none" w:sz="0" w:space="0" w:color="auto"/>
                                                    <w:left w:val="none" w:sz="0" w:space="0" w:color="auto"/>
                                                    <w:bottom w:val="none" w:sz="0" w:space="0" w:color="auto"/>
                                                    <w:right w:val="none" w:sz="0" w:space="0" w:color="auto"/>
                                                  </w:divBdr>
                                                  <w:divsChild>
                                                    <w:div w:id="1644576901">
                                                      <w:marLeft w:val="0"/>
                                                      <w:marRight w:val="0"/>
                                                      <w:marTop w:val="0"/>
                                                      <w:marBottom w:val="0"/>
                                                      <w:divBdr>
                                                        <w:top w:val="none" w:sz="0" w:space="0" w:color="auto"/>
                                                        <w:left w:val="none" w:sz="0" w:space="0" w:color="auto"/>
                                                        <w:bottom w:val="none" w:sz="0" w:space="0" w:color="auto"/>
                                                        <w:right w:val="none" w:sz="0" w:space="0" w:color="auto"/>
                                                      </w:divBdr>
                                                      <w:divsChild>
                                                        <w:div w:id="1328242944">
                                                          <w:marLeft w:val="0"/>
                                                          <w:marRight w:val="0"/>
                                                          <w:marTop w:val="480"/>
                                                          <w:marBottom w:val="0"/>
                                                          <w:divBdr>
                                                            <w:top w:val="none" w:sz="0" w:space="0" w:color="auto"/>
                                                            <w:left w:val="none" w:sz="0" w:space="0" w:color="auto"/>
                                                            <w:bottom w:val="none" w:sz="0" w:space="0" w:color="auto"/>
                                                            <w:right w:val="none" w:sz="0" w:space="0" w:color="auto"/>
                                                          </w:divBdr>
                                                          <w:divsChild>
                                                            <w:div w:id="479883735">
                                                              <w:marLeft w:val="0"/>
                                                              <w:marRight w:val="0"/>
                                                              <w:marTop w:val="0"/>
                                                              <w:marBottom w:val="0"/>
                                                              <w:divBdr>
                                                                <w:top w:val="none" w:sz="0" w:space="0" w:color="auto"/>
                                                                <w:left w:val="none" w:sz="0" w:space="0" w:color="auto"/>
                                                                <w:bottom w:val="none" w:sz="0" w:space="0" w:color="auto"/>
                                                                <w:right w:val="none" w:sz="0" w:space="0" w:color="auto"/>
                                                              </w:divBdr>
                                                              <w:divsChild>
                                                                <w:div w:id="193545575">
                                                                  <w:marLeft w:val="0"/>
                                                                  <w:marRight w:val="0"/>
                                                                  <w:marTop w:val="0"/>
                                                                  <w:marBottom w:val="0"/>
                                                                  <w:divBdr>
                                                                    <w:top w:val="none" w:sz="0" w:space="0" w:color="auto"/>
                                                                    <w:left w:val="none" w:sz="0" w:space="0" w:color="auto"/>
                                                                    <w:bottom w:val="none" w:sz="0" w:space="0" w:color="auto"/>
                                                                    <w:right w:val="none" w:sz="0" w:space="0" w:color="auto"/>
                                                                  </w:divBdr>
                                                                  <w:divsChild>
                                                                    <w:div w:id="1297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8080">
                                                              <w:marLeft w:val="0"/>
                                                              <w:marRight w:val="0"/>
                                                              <w:marTop w:val="0"/>
                                                              <w:marBottom w:val="0"/>
                                                              <w:divBdr>
                                                                <w:top w:val="none" w:sz="0" w:space="0" w:color="auto"/>
                                                                <w:left w:val="none" w:sz="0" w:space="0" w:color="auto"/>
                                                                <w:bottom w:val="none" w:sz="0" w:space="0" w:color="auto"/>
                                                                <w:right w:val="none" w:sz="0" w:space="0" w:color="auto"/>
                                                              </w:divBdr>
                                                              <w:divsChild>
                                                                <w:div w:id="1499879915">
                                                                  <w:marLeft w:val="0"/>
                                                                  <w:marRight w:val="0"/>
                                                                  <w:marTop w:val="0"/>
                                                                  <w:marBottom w:val="0"/>
                                                                  <w:divBdr>
                                                                    <w:top w:val="none" w:sz="0" w:space="0" w:color="auto"/>
                                                                    <w:left w:val="none" w:sz="0" w:space="0" w:color="auto"/>
                                                                    <w:bottom w:val="none" w:sz="0" w:space="0" w:color="auto"/>
                                                                    <w:right w:val="none" w:sz="0" w:space="0" w:color="auto"/>
                                                                  </w:divBdr>
                                                                  <w:divsChild>
                                                                    <w:div w:id="18039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3789">
                                                              <w:marLeft w:val="0"/>
                                                              <w:marRight w:val="0"/>
                                                              <w:marTop w:val="0"/>
                                                              <w:marBottom w:val="0"/>
                                                              <w:divBdr>
                                                                <w:top w:val="none" w:sz="0" w:space="0" w:color="auto"/>
                                                                <w:left w:val="none" w:sz="0" w:space="0" w:color="auto"/>
                                                                <w:bottom w:val="none" w:sz="0" w:space="0" w:color="auto"/>
                                                                <w:right w:val="none" w:sz="0" w:space="0" w:color="auto"/>
                                                              </w:divBdr>
                                                              <w:divsChild>
                                                                <w:div w:id="647708941">
                                                                  <w:marLeft w:val="0"/>
                                                                  <w:marRight w:val="0"/>
                                                                  <w:marTop w:val="0"/>
                                                                  <w:marBottom w:val="0"/>
                                                                  <w:divBdr>
                                                                    <w:top w:val="none" w:sz="0" w:space="0" w:color="auto"/>
                                                                    <w:left w:val="none" w:sz="0" w:space="0" w:color="auto"/>
                                                                    <w:bottom w:val="none" w:sz="0" w:space="0" w:color="auto"/>
                                                                    <w:right w:val="none" w:sz="0" w:space="0" w:color="auto"/>
                                                                  </w:divBdr>
                                                                  <w:divsChild>
                                                                    <w:div w:id="7842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2853">
                                                              <w:marLeft w:val="0"/>
                                                              <w:marRight w:val="0"/>
                                                              <w:marTop w:val="0"/>
                                                              <w:marBottom w:val="0"/>
                                                              <w:divBdr>
                                                                <w:top w:val="none" w:sz="0" w:space="0" w:color="auto"/>
                                                                <w:left w:val="none" w:sz="0" w:space="0" w:color="auto"/>
                                                                <w:bottom w:val="none" w:sz="0" w:space="0" w:color="auto"/>
                                                                <w:right w:val="none" w:sz="0" w:space="0" w:color="auto"/>
                                                              </w:divBdr>
                                                              <w:divsChild>
                                                                <w:div w:id="1856916083">
                                                                  <w:marLeft w:val="0"/>
                                                                  <w:marRight w:val="0"/>
                                                                  <w:marTop w:val="0"/>
                                                                  <w:marBottom w:val="0"/>
                                                                  <w:divBdr>
                                                                    <w:top w:val="none" w:sz="0" w:space="0" w:color="auto"/>
                                                                    <w:left w:val="none" w:sz="0" w:space="0" w:color="auto"/>
                                                                    <w:bottom w:val="none" w:sz="0" w:space="0" w:color="auto"/>
                                                                    <w:right w:val="none" w:sz="0" w:space="0" w:color="auto"/>
                                                                  </w:divBdr>
                                                                  <w:divsChild>
                                                                    <w:div w:id="12647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83">
                                                              <w:marLeft w:val="0"/>
                                                              <w:marRight w:val="0"/>
                                                              <w:marTop w:val="0"/>
                                                              <w:marBottom w:val="0"/>
                                                              <w:divBdr>
                                                                <w:top w:val="none" w:sz="0" w:space="0" w:color="auto"/>
                                                                <w:left w:val="none" w:sz="0" w:space="0" w:color="auto"/>
                                                                <w:bottom w:val="none" w:sz="0" w:space="0" w:color="auto"/>
                                                                <w:right w:val="none" w:sz="0" w:space="0" w:color="auto"/>
                                                              </w:divBdr>
                                                              <w:divsChild>
                                                                <w:div w:id="1996033417">
                                                                  <w:marLeft w:val="0"/>
                                                                  <w:marRight w:val="0"/>
                                                                  <w:marTop w:val="0"/>
                                                                  <w:marBottom w:val="0"/>
                                                                  <w:divBdr>
                                                                    <w:top w:val="none" w:sz="0" w:space="0" w:color="auto"/>
                                                                    <w:left w:val="none" w:sz="0" w:space="0" w:color="auto"/>
                                                                    <w:bottom w:val="none" w:sz="0" w:space="0" w:color="auto"/>
                                                                    <w:right w:val="none" w:sz="0" w:space="0" w:color="auto"/>
                                                                  </w:divBdr>
                                                                  <w:divsChild>
                                                                    <w:div w:id="19739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1646">
                                                              <w:marLeft w:val="0"/>
                                                              <w:marRight w:val="0"/>
                                                              <w:marTop w:val="0"/>
                                                              <w:marBottom w:val="0"/>
                                                              <w:divBdr>
                                                                <w:top w:val="none" w:sz="0" w:space="0" w:color="auto"/>
                                                                <w:left w:val="none" w:sz="0" w:space="0" w:color="auto"/>
                                                                <w:bottom w:val="none" w:sz="0" w:space="0" w:color="auto"/>
                                                                <w:right w:val="none" w:sz="0" w:space="0" w:color="auto"/>
                                                              </w:divBdr>
                                                              <w:divsChild>
                                                                <w:div w:id="1809011367">
                                                                  <w:marLeft w:val="0"/>
                                                                  <w:marRight w:val="0"/>
                                                                  <w:marTop w:val="0"/>
                                                                  <w:marBottom w:val="0"/>
                                                                  <w:divBdr>
                                                                    <w:top w:val="none" w:sz="0" w:space="0" w:color="auto"/>
                                                                    <w:left w:val="none" w:sz="0" w:space="0" w:color="auto"/>
                                                                    <w:bottom w:val="none" w:sz="0" w:space="0" w:color="auto"/>
                                                                    <w:right w:val="none" w:sz="0" w:space="0" w:color="auto"/>
                                                                  </w:divBdr>
                                                                  <w:divsChild>
                                                                    <w:div w:id="10738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16594">
          <w:marLeft w:val="0"/>
          <w:marRight w:val="0"/>
          <w:marTop w:val="0"/>
          <w:marBottom w:val="0"/>
          <w:divBdr>
            <w:top w:val="none" w:sz="0" w:space="0" w:color="auto"/>
            <w:left w:val="none" w:sz="0" w:space="0" w:color="auto"/>
            <w:bottom w:val="none" w:sz="0" w:space="0" w:color="auto"/>
            <w:right w:val="none" w:sz="0" w:space="0" w:color="auto"/>
          </w:divBdr>
          <w:divsChild>
            <w:div w:id="1357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184">
      <w:bodyDiv w:val="1"/>
      <w:marLeft w:val="0"/>
      <w:marRight w:val="0"/>
      <w:marTop w:val="0"/>
      <w:marBottom w:val="0"/>
      <w:divBdr>
        <w:top w:val="none" w:sz="0" w:space="0" w:color="auto"/>
        <w:left w:val="none" w:sz="0" w:space="0" w:color="auto"/>
        <w:bottom w:val="none" w:sz="0" w:space="0" w:color="auto"/>
        <w:right w:val="none" w:sz="0" w:space="0" w:color="auto"/>
      </w:divBdr>
    </w:div>
    <w:div w:id="1730836369">
      <w:bodyDiv w:val="1"/>
      <w:marLeft w:val="0"/>
      <w:marRight w:val="0"/>
      <w:marTop w:val="0"/>
      <w:marBottom w:val="0"/>
      <w:divBdr>
        <w:top w:val="none" w:sz="0" w:space="0" w:color="auto"/>
        <w:left w:val="none" w:sz="0" w:space="0" w:color="auto"/>
        <w:bottom w:val="none" w:sz="0" w:space="0" w:color="auto"/>
        <w:right w:val="none" w:sz="0" w:space="0" w:color="auto"/>
      </w:divBdr>
      <w:divsChild>
        <w:div w:id="1244685949">
          <w:marLeft w:val="0"/>
          <w:marRight w:val="0"/>
          <w:marTop w:val="0"/>
          <w:marBottom w:val="0"/>
          <w:divBdr>
            <w:top w:val="none" w:sz="0" w:space="0" w:color="auto"/>
            <w:left w:val="none" w:sz="0" w:space="0" w:color="auto"/>
            <w:bottom w:val="none" w:sz="0" w:space="0" w:color="auto"/>
            <w:right w:val="none" w:sz="0" w:space="0" w:color="auto"/>
          </w:divBdr>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87195">
      <w:bodyDiv w:val="1"/>
      <w:marLeft w:val="0"/>
      <w:marRight w:val="0"/>
      <w:marTop w:val="0"/>
      <w:marBottom w:val="0"/>
      <w:divBdr>
        <w:top w:val="none" w:sz="0" w:space="0" w:color="auto"/>
        <w:left w:val="none" w:sz="0" w:space="0" w:color="auto"/>
        <w:bottom w:val="none" w:sz="0" w:space="0" w:color="auto"/>
        <w:right w:val="none" w:sz="0" w:space="0" w:color="auto"/>
      </w:divBdr>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259">
      <w:bodyDiv w:val="1"/>
      <w:marLeft w:val="0"/>
      <w:marRight w:val="0"/>
      <w:marTop w:val="0"/>
      <w:marBottom w:val="0"/>
      <w:divBdr>
        <w:top w:val="none" w:sz="0" w:space="0" w:color="auto"/>
        <w:left w:val="none" w:sz="0" w:space="0" w:color="auto"/>
        <w:bottom w:val="none" w:sz="0" w:space="0" w:color="auto"/>
        <w:right w:val="none" w:sz="0" w:space="0" w:color="auto"/>
      </w:divBdr>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1277">
      <w:bodyDiv w:val="1"/>
      <w:marLeft w:val="0"/>
      <w:marRight w:val="0"/>
      <w:marTop w:val="0"/>
      <w:marBottom w:val="0"/>
      <w:divBdr>
        <w:top w:val="none" w:sz="0" w:space="0" w:color="auto"/>
        <w:left w:val="none" w:sz="0" w:space="0" w:color="auto"/>
        <w:bottom w:val="none" w:sz="0" w:space="0" w:color="auto"/>
        <w:right w:val="none" w:sz="0" w:space="0" w:color="auto"/>
      </w:divBdr>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86876998">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9139-68C6-4F4F-A13A-44E31CB6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14271</Words>
  <Characters>78778</Characters>
  <Application>Microsoft Office Word</Application>
  <DocSecurity>0</DocSecurity>
  <Lines>1486</Lines>
  <Paragraphs>392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Fontana, Maria Eva</cp:lastModifiedBy>
  <cp:revision>4</cp:revision>
  <cp:lastPrinted>2017-05-19T15:14:00Z</cp:lastPrinted>
  <dcterms:created xsi:type="dcterms:W3CDTF">2017-10-27T15:34:00Z</dcterms:created>
  <dcterms:modified xsi:type="dcterms:W3CDTF">2018-07-13T22:30:00Z</dcterms:modified>
</cp:coreProperties>
</file>