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E21797" w:rsidRDefault="00C52B26" w:rsidP="00627C9F">
      <w:pPr>
        <w:jc w:val="both"/>
        <w:rPr>
          <w:rFonts w:ascii="Cambria" w:hAnsi="Cambria" w:cs="Univers"/>
          <w:b/>
          <w:bCs/>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952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" fillcolor="#4a7194" stroked="f" strokeweight="2pt">
                <v:path arrowok="t"/>
              </v:rect>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txbx>
                        <w:txbxContent>
                          <w:p w:rsidR="00667DB2" w:rsidRDefault="00667DB2" w:rsidP="00AE5488">
                            <w:r>
                              <w:rPr>
                                <w:noProof/>
                              </w:rPr>
                              <w:drawing>
                                <wp:inline distT="0" distB="0" distL="0" distR="0">
                                  <wp:extent cx="2648585" cy="509270"/>
                                  <wp:effectExtent l="0" t="0" r="0" b="508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8585" cy="509270"/>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" filled="f" stroked="f" strokeweight=".5pt">
                <v:path arrowok="t"/>
                <v:textbox>
                  <w:txbxContent>
                    <w:p w:rsidR="00667DB2" w:rsidRDefault="00667DB2" w:rsidP="00AE5488">
                      <w:r>
                        <w:rPr>
                          <w:noProof/>
                        </w:rPr>
                        <w:drawing>
                          <wp:inline distT="0" distB="0" distL="0" distR="0">
                            <wp:extent cx="2648585" cy="509270"/>
                            <wp:effectExtent l="0" t="0" r="0" b="5080"/>
                            <wp:docPr id="2" name="Picture 12"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8585" cy="509270"/>
                                    </a:xfrm>
                                    <a:prstGeom prst="rect">
                                      <a:avLst/>
                                    </a:prstGeom>
                                    <a:noFill/>
                                    <a:ln>
                                      <a:noFill/>
                                    </a:ln>
                                  </pic:spPr>
                                </pic:pic>
                              </a:graphicData>
                            </a:graphic>
                          </wp:inline>
                        </w:drawing>
                      </w:r>
                      <w:r>
                        <w:tab/>
                        <w:t xml:space="preserve">                              </w:t>
                      </w:r>
                    </w:p>
                  </w:txbxContent>
                </v:textbox>
              </v:shape>
            </w:pict>
          </mc:Fallback>
        </mc:AlternateContent>
      </w:r>
    </w:p>
    <w:p w:rsidR="00040C3A" w:rsidRPr="00E21797" w:rsidRDefault="00040C3A" w:rsidP="00040C3A">
      <w:pPr>
        <w:tabs>
          <w:tab w:val="center" w:pos="5400"/>
        </w:tabs>
        <w:suppressAutoHyphens/>
        <w:jc w:val="both"/>
        <w:rPr>
          <w:rFonts w:ascii="Cambria" w:hAnsi="Cambria"/>
          <w:sz w:val="20"/>
          <w:szCs w:val="20"/>
          <w:lang w:val="es-ES"/>
        </w:rPr>
      </w:pPr>
    </w:p>
    <w:p w:rsidR="00040C3A" w:rsidRPr="00E21797" w:rsidRDefault="00040C3A" w:rsidP="00040C3A">
      <w:pPr>
        <w:tabs>
          <w:tab w:val="center" w:pos="5400"/>
        </w:tabs>
        <w:suppressAutoHyphens/>
        <w:jc w:val="both"/>
        <w:rPr>
          <w:rFonts w:ascii="Cambria" w:hAnsi="Cambria"/>
          <w:sz w:val="20"/>
          <w:szCs w:val="20"/>
          <w:lang w:val="es-ES"/>
        </w:rPr>
      </w:pPr>
    </w:p>
    <w:p w:rsidR="005128E4" w:rsidRPr="00E21797" w:rsidRDefault="005128E4" w:rsidP="00040C3A">
      <w:pPr>
        <w:tabs>
          <w:tab w:val="center" w:pos="5400"/>
        </w:tabs>
        <w:suppressAutoHyphens/>
        <w:rPr>
          <w:rFonts w:ascii="Cambria" w:hAnsi="Cambria"/>
          <w:sz w:val="20"/>
          <w:szCs w:val="20"/>
          <w:lang w:val="es-ES_tradnl"/>
        </w:rPr>
      </w:pPr>
    </w:p>
    <w:p w:rsidR="005128E4" w:rsidRPr="00E21797" w:rsidRDefault="005128E4" w:rsidP="00040C3A">
      <w:pPr>
        <w:tabs>
          <w:tab w:val="center" w:pos="5400"/>
        </w:tabs>
        <w:suppressAutoHyphens/>
        <w:rPr>
          <w:rFonts w:ascii="Cambria" w:hAnsi="Cambria"/>
          <w:sz w:val="20"/>
          <w:szCs w:val="20"/>
          <w:lang w:val="es-ES_tradnl"/>
        </w:rPr>
      </w:pPr>
    </w:p>
    <w:p w:rsidR="005128E4" w:rsidRPr="00E21797" w:rsidRDefault="005128E4" w:rsidP="00040C3A">
      <w:pPr>
        <w:tabs>
          <w:tab w:val="center" w:pos="5400"/>
        </w:tabs>
        <w:suppressAutoHyphens/>
        <w:rPr>
          <w:rFonts w:ascii="Cambria" w:hAnsi="Cambria"/>
          <w:sz w:val="20"/>
          <w:szCs w:val="20"/>
          <w:lang w:val="es-ES_tradnl"/>
        </w:rPr>
      </w:pPr>
    </w:p>
    <w:p w:rsidR="00040C3A" w:rsidRPr="00E21797" w:rsidRDefault="00040C3A" w:rsidP="005128E4">
      <w:pPr>
        <w:tabs>
          <w:tab w:val="center" w:pos="5400"/>
        </w:tabs>
        <w:suppressAutoHyphens/>
        <w:jc w:val="center"/>
        <w:rPr>
          <w:rFonts w:ascii="Cambria" w:hAnsi="Cambria"/>
          <w:sz w:val="20"/>
          <w:szCs w:val="20"/>
          <w:lang w:val="es-ES_tradnl"/>
        </w:rPr>
      </w:pPr>
    </w:p>
    <w:p w:rsidR="00040C3A" w:rsidRPr="00E21797" w:rsidRDefault="00040C3A" w:rsidP="005128E4">
      <w:pPr>
        <w:tabs>
          <w:tab w:val="center" w:pos="5400"/>
        </w:tabs>
        <w:suppressAutoHyphens/>
        <w:jc w:val="center"/>
        <w:rPr>
          <w:rFonts w:ascii="Cambria" w:hAnsi="Cambria"/>
          <w:sz w:val="20"/>
          <w:szCs w:val="20"/>
          <w:lang w:val="es-ES_tradnl"/>
        </w:rPr>
      </w:pPr>
    </w:p>
    <w:p w:rsidR="005B52B0" w:rsidRPr="00E21797" w:rsidRDefault="005B52B0" w:rsidP="005128E4">
      <w:pPr>
        <w:tabs>
          <w:tab w:val="center" w:pos="5400"/>
        </w:tabs>
        <w:suppressAutoHyphens/>
        <w:jc w:val="center"/>
        <w:rPr>
          <w:rFonts w:ascii="Cambria" w:hAnsi="Cambria"/>
          <w:sz w:val="20"/>
          <w:szCs w:val="20"/>
          <w:lang w:val="es-ES_tradnl"/>
        </w:rPr>
      </w:pPr>
    </w:p>
    <w:p w:rsidR="005B52B0" w:rsidRPr="00E21797" w:rsidRDefault="005B52B0" w:rsidP="005128E4">
      <w:pPr>
        <w:tabs>
          <w:tab w:val="center" w:pos="5400"/>
        </w:tabs>
        <w:suppressAutoHyphens/>
        <w:jc w:val="center"/>
        <w:rPr>
          <w:rFonts w:ascii="Cambria" w:hAnsi="Cambria"/>
          <w:sz w:val="20"/>
          <w:szCs w:val="20"/>
          <w:lang w:val="es-ES_tradnl"/>
        </w:rPr>
      </w:pPr>
    </w:p>
    <w:p w:rsidR="005B52B0" w:rsidRPr="00E21797" w:rsidRDefault="005B52B0" w:rsidP="005128E4">
      <w:pPr>
        <w:tabs>
          <w:tab w:val="center" w:pos="5400"/>
        </w:tabs>
        <w:suppressAutoHyphens/>
        <w:jc w:val="center"/>
        <w:rPr>
          <w:rFonts w:ascii="Cambria" w:hAnsi="Cambria"/>
          <w:sz w:val="20"/>
          <w:szCs w:val="20"/>
          <w:lang w:val="es-ES_tradnl"/>
        </w:rPr>
      </w:pPr>
    </w:p>
    <w:p w:rsidR="00040C3A" w:rsidRPr="00E21797" w:rsidRDefault="00040C3A" w:rsidP="00040C3A">
      <w:pPr>
        <w:tabs>
          <w:tab w:val="center" w:pos="5400"/>
        </w:tabs>
        <w:suppressAutoHyphens/>
        <w:jc w:val="center"/>
        <w:rPr>
          <w:rFonts w:ascii="Cambria" w:hAnsi="Cambria"/>
          <w:sz w:val="20"/>
          <w:szCs w:val="20"/>
          <w:lang w:val="es-ES_tradnl"/>
        </w:rPr>
      </w:pPr>
    </w:p>
    <w:p w:rsidR="00040C3A" w:rsidRPr="00E21797" w:rsidRDefault="00040C3A" w:rsidP="00040C3A">
      <w:pPr>
        <w:tabs>
          <w:tab w:val="center" w:pos="5400"/>
        </w:tabs>
        <w:suppressAutoHyphens/>
        <w:jc w:val="center"/>
        <w:rPr>
          <w:rFonts w:ascii="Cambria" w:hAnsi="Cambria"/>
          <w:sz w:val="20"/>
          <w:szCs w:val="20"/>
          <w:lang w:val="es-ES_tradnl"/>
        </w:rPr>
      </w:pPr>
    </w:p>
    <w:p w:rsidR="00040C3A" w:rsidRPr="00E21797" w:rsidRDefault="00C52B26" w:rsidP="00040C3A">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5168" behindDoc="0" locked="0" layoutInCell="1" allowOverlap="1">
                <wp:simplePos x="0" y="0"/>
                <wp:positionH relativeFrom="column">
                  <wp:posOffset>1354455</wp:posOffset>
                </wp:positionH>
                <wp:positionV relativeFrom="paragraph">
                  <wp:posOffset>104775</wp:posOffset>
                </wp:positionV>
                <wp:extent cx="4441190" cy="3140075"/>
                <wp:effectExtent l="0" t="0" r="0"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3140075"/>
                        </a:xfrm>
                        <a:prstGeom prst="rect">
                          <a:avLst/>
                        </a:prstGeom>
                        <a:noFill/>
                        <a:ln w="6350">
                          <a:noFill/>
                        </a:ln>
                        <a:effectLst/>
                      </wps:spPr>
                      <wps:txbx>
                        <w:txbxContent>
                          <w:p w:rsidR="00667DB2" w:rsidRPr="009975D1" w:rsidRDefault="00667DB2" w:rsidP="00997BC5">
                            <w:pPr>
                              <w:spacing w:line="276" w:lineRule="auto"/>
                              <w:rPr>
                                <w:rFonts w:ascii="Cambria" w:hAnsi="Cambria" w:cs="Arial"/>
                                <w:b/>
                                <w:bCs/>
                                <w:color w:val="0D0D0D"/>
                                <w:sz w:val="36"/>
                                <w:szCs w:val="22"/>
                                <w:lang w:val="es-ES_tradnl"/>
                              </w:rPr>
                            </w:pPr>
                            <w:r w:rsidRPr="009975D1">
                              <w:rPr>
                                <w:rFonts w:ascii="Cambria" w:hAnsi="Cambria" w:cs="Arial"/>
                                <w:b/>
                                <w:bCs/>
                                <w:color w:val="0D0D0D"/>
                                <w:sz w:val="36"/>
                                <w:szCs w:val="22"/>
                                <w:lang w:val="es-ES_tradnl"/>
                              </w:rPr>
                              <w:t xml:space="preserve">INFORME </w:t>
                            </w:r>
                            <w:r w:rsidRPr="009975D1">
                              <w:rPr>
                                <w:rFonts w:ascii="Cambria" w:hAnsi="Cambria" w:cs="Arial"/>
                                <w:b/>
                                <w:bCs/>
                                <w:color w:val="0D0D0D"/>
                                <w:sz w:val="36"/>
                                <w:szCs w:val="40"/>
                                <w:lang w:val="es-ES_tradnl"/>
                              </w:rPr>
                              <w:t>No.</w:t>
                            </w:r>
                            <w:r w:rsidRPr="009975D1">
                              <w:rPr>
                                <w:rFonts w:ascii="Cambria" w:hAnsi="Cambria" w:cs="Arial"/>
                                <w:b/>
                                <w:bCs/>
                                <w:color w:val="0D0D0D"/>
                                <w:sz w:val="36"/>
                                <w:szCs w:val="22"/>
                                <w:lang w:val="es-ES_tradnl"/>
                              </w:rPr>
                              <w:t xml:space="preserve"> </w:t>
                            </w:r>
                            <w:r w:rsidR="004715BA">
                              <w:rPr>
                                <w:rFonts w:ascii="Cambria" w:hAnsi="Cambria" w:cs="Arial"/>
                                <w:b/>
                                <w:bCs/>
                                <w:color w:val="0D0D0D"/>
                                <w:sz w:val="36"/>
                                <w:szCs w:val="22"/>
                                <w:lang w:val="es-ES_tradnl"/>
                              </w:rPr>
                              <w:t>77</w:t>
                            </w:r>
                            <w:r w:rsidRPr="009975D1">
                              <w:rPr>
                                <w:rFonts w:ascii="Cambria" w:hAnsi="Cambria" w:cs="Arial"/>
                                <w:b/>
                                <w:bCs/>
                                <w:color w:val="0D0D0D"/>
                                <w:sz w:val="36"/>
                                <w:szCs w:val="22"/>
                                <w:lang w:val="es-ES_tradnl"/>
                              </w:rPr>
                              <w:t>/1</w:t>
                            </w:r>
                            <w:r>
                              <w:rPr>
                                <w:rFonts w:ascii="Cambria" w:hAnsi="Cambria" w:cs="Arial"/>
                                <w:b/>
                                <w:bCs/>
                                <w:color w:val="0D0D0D"/>
                                <w:sz w:val="36"/>
                                <w:szCs w:val="22"/>
                                <w:lang w:val="es-ES_tradnl"/>
                              </w:rPr>
                              <w:t>6</w:t>
                            </w:r>
                          </w:p>
                          <w:p w:rsidR="00667DB2" w:rsidRPr="009975D1" w:rsidRDefault="00667DB2" w:rsidP="00997BC5">
                            <w:pP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CASO 12.602</w:t>
                            </w:r>
                          </w:p>
                          <w:p w:rsidR="00667DB2" w:rsidRDefault="00667DB2" w:rsidP="00436077">
                            <w:pPr>
                              <w:spacing w:line="276" w:lineRule="auto"/>
                              <w:rPr>
                                <w:rFonts w:ascii="Cambria" w:hAnsi="Cambria" w:cs="Arial"/>
                                <w:color w:val="0D0D0D"/>
                                <w:szCs w:val="22"/>
                                <w:lang w:val="es-ES_tradnl"/>
                              </w:rPr>
                            </w:pPr>
                          </w:p>
                          <w:p w:rsidR="00667DB2" w:rsidRDefault="00667DB2" w:rsidP="00436077">
                            <w:pPr>
                              <w:spacing w:line="276" w:lineRule="auto"/>
                              <w:rPr>
                                <w:rFonts w:ascii="Cambria" w:hAnsi="Cambria" w:cs="Arial"/>
                                <w:color w:val="0D0D0D"/>
                                <w:szCs w:val="22"/>
                                <w:lang w:val="es-ES_tradnl"/>
                              </w:rPr>
                            </w:pPr>
                            <w:r w:rsidRPr="009975D1">
                              <w:rPr>
                                <w:rFonts w:ascii="Cambria" w:hAnsi="Cambria" w:cs="Arial"/>
                                <w:color w:val="0D0D0D"/>
                                <w:szCs w:val="22"/>
                                <w:lang w:val="es-ES_tradnl"/>
                              </w:rPr>
                              <w:t xml:space="preserve">INFORME DE FONDO </w:t>
                            </w:r>
                          </w:p>
                          <w:p w:rsidR="00667DB2" w:rsidRDefault="00667DB2" w:rsidP="00436077">
                            <w:pPr>
                              <w:spacing w:line="276" w:lineRule="auto"/>
                              <w:rPr>
                                <w:rFonts w:ascii="Cambria" w:hAnsi="Cambria" w:cs="Arial"/>
                                <w:color w:val="0D0D0D"/>
                                <w:szCs w:val="22"/>
                                <w:lang w:val="es-ES_tradnl"/>
                              </w:rPr>
                            </w:pPr>
                            <w:r>
                              <w:rPr>
                                <w:rFonts w:ascii="Cambria" w:hAnsi="Cambria" w:cs="Arial"/>
                                <w:color w:val="0D0D0D"/>
                                <w:szCs w:val="22"/>
                                <w:lang w:val="es-ES_tradnl"/>
                              </w:rPr>
                              <w:t>WALTER MUNÁRRIZ ESCOBAR</w:t>
                            </w:r>
                            <w:r w:rsidR="004500DF">
                              <w:rPr>
                                <w:rFonts w:ascii="Cambria" w:hAnsi="Cambria" w:cs="Arial"/>
                                <w:color w:val="0D0D0D"/>
                                <w:szCs w:val="22"/>
                                <w:lang w:val="es-ES_tradnl"/>
                              </w:rPr>
                              <w:t xml:space="preserve"> Y OTROS</w:t>
                            </w:r>
                          </w:p>
                          <w:p w:rsidR="00667DB2" w:rsidRPr="009975D1" w:rsidRDefault="00667DB2" w:rsidP="00436077">
                            <w:pPr>
                              <w:spacing w:line="276" w:lineRule="auto"/>
                              <w:rPr>
                                <w:rFonts w:ascii="Cambria" w:hAnsi="Cambria" w:cs="Arial"/>
                                <w:color w:val="0D0D0D"/>
                                <w:szCs w:val="22"/>
                                <w:lang w:val="es-ES_tradnl"/>
                              </w:rPr>
                            </w:pPr>
                            <w:r>
                              <w:rPr>
                                <w:rFonts w:ascii="Cambria" w:hAnsi="Cambria" w:cs="Arial"/>
                                <w:color w:val="0D0D0D"/>
                                <w:szCs w:val="22"/>
                                <w:lang w:val="es-ES_tradnl"/>
                              </w:rPr>
                              <w:t>PERÚ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65pt;margin-top:8.25pt;width:349.7pt;height:24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" filled="f" stroked="f" strokeweight=".5pt">
                <v:path arrowok="t"/>
                <v:textbox>
                  <w:txbxContent>
                    <w:p w:rsidR="00667DB2" w:rsidRPr="009975D1" w:rsidRDefault="00667DB2" w:rsidP="00997BC5">
                      <w:pPr>
                        <w:spacing w:line="276" w:lineRule="auto"/>
                        <w:rPr>
                          <w:rFonts w:ascii="Cambria" w:hAnsi="Cambria" w:cs="Arial"/>
                          <w:b/>
                          <w:bCs/>
                          <w:color w:val="0D0D0D"/>
                          <w:sz w:val="36"/>
                          <w:szCs w:val="22"/>
                          <w:lang w:val="es-ES_tradnl"/>
                        </w:rPr>
                      </w:pPr>
                      <w:r w:rsidRPr="009975D1">
                        <w:rPr>
                          <w:rFonts w:ascii="Cambria" w:hAnsi="Cambria" w:cs="Arial"/>
                          <w:b/>
                          <w:bCs/>
                          <w:color w:val="0D0D0D"/>
                          <w:sz w:val="36"/>
                          <w:szCs w:val="22"/>
                          <w:lang w:val="es-ES_tradnl"/>
                        </w:rPr>
                        <w:t xml:space="preserve">INFORME </w:t>
                      </w:r>
                      <w:r w:rsidRPr="009975D1">
                        <w:rPr>
                          <w:rFonts w:ascii="Cambria" w:hAnsi="Cambria" w:cs="Arial"/>
                          <w:b/>
                          <w:bCs/>
                          <w:color w:val="0D0D0D"/>
                          <w:sz w:val="36"/>
                          <w:szCs w:val="40"/>
                          <w:lang w:val="es-ES_tradnl"/>
                        </w:rPr>
                        <w:t>No.</w:t>
                      </w:r>
                      <w:r w:rsidRPr="009975D1">
                        <w:rPr>
                          <w:rFonts w:ascii="Cambria" w:hAnsi="Cambria" w:cs="Arial"/>
                          <w:b/>
                          <w:bCs/>
                          <w:color w:val="0D0D0D"/>
                          <w:sz w:val="36"/>
                          <w:szCs w:val="22"/>
                          <w:lang w:val="es-ES_tradnl"/>
                        </w:rPr>
                        <w:t xml:space="preserve"> </w:t>
                      </w:r>
                      <w:r w:rsidR="004715BA">
                        <w:rPr>
                          <w:rFonts w:ascii="Cambria" w:hAnsi="Cambria" w:cs="Arial"/>
                          <w:b/>
                          <w:bCs/>
                          <w:color w:val="0D0D0D"/>
                          <w:sz w:val="36"/>
                          <w:szCs w:val="22"/>
                          <w:lang w:val="es-ES_tradnl"/>
                        </w:rPr>
                        <w:t>77</w:t>
                      </w:r>
                      <w:r w:rsidRPr="009975D1">
                        <w:rPr>
                          <w:rFonts w:ascii="Cambria" w:hAnsi="Cambria" w:cs="Arial"/>
                          <w:b/>
                          <w:bCs/>
                          <w:color w:val="0D0D0D"/>
                          <w:sz w:val="36"/>
                          <w:szCs w:val="22"/>
                          <w:lang w:val="es-ES_tradnl"/>
                        </w:rPr>
                        <w:t>/1</w:t>
                      </w:r>
                      <w:r>
                        <w:rPr>
                          <w:rFonts w:ascii="Cambria" w:hAnsi="Cambria" w:cs="Arial"/>
                          <w:b/>
                          <w:bCs/>
                          <w:color w:val="0D0D0D"/>
                          <w:sz w:val="36"/>
                          <w:szCs w:val="22"/>
                          <w:lang w:val="es-ES_tradnl"/>
                        </w:rPr>
                        <w:t>6</w:t>
                      </w:r>
                    </w:p>
                    <w:p w:rsidR="00667DB2" w:rsidRPr="009975D1" w:rsidRDefault="00667DB2" w:rsidP="00997BC5">
                      <w:pPr>
                        <w:spacing w:line="276" w:lineRule="auto"/>
                        <w:rPr>
                          <w:rFonts w:ascii="Cambria" w:hAnsi="Cambria" w:cs="Arial"/>
                          <w:b/>
                          <w:color w:val="0D0D0D"/>
                          <w:sz w:val="36"/>
                          <w:szCs w:val="22"/>
                          <w:lang w:val="es-ES_tradnl"/>
                        </w:rPr>
                      </w:pPr>
                      <w:r>
                        <w:rPr>
                          <w:rFonts w:ascii="Cambria" w:hAnsi="Cambria" w:cs="Arial"/>
                          <w:b/>
                          <w:color w:val="0D0D0D"/>
                          <w:sz w:val="36"/>
                          <w:szCs w:val="22"/>
                          <w:lang w:val="es-ES_tradnl"/>
                        </w:rPr>
                        <w:t>CASO 12.602</w:t>
                      </w:r>
                    </w:p>
                    <w:p w:rsidR="00667DB2" w:rsidRDefault="00667DB2" w:rsidP="00436077">
                      <w:pPr>
                        <w:spacing w:line="276" w:lineRule="auto"/>
                        <w:rPr>
                          <w:rFonts w:ascii="Cambria" w:hAnsi="Cambria" w:cs="Arial"/>
                          <w:color w:val="0D0D0D"/>
                          <w:szCs w:val="22"/>
                          <w:lang w:val="es-ES_tradnl"/>
                        </w:rPr>
                      </w:pPr>
                    </w:p>
                    <w:p w:rsidR="00667DB2" w:rsidRDefault="00667DB2" w:rsidP="00436077">
                      <w:pPr>
                        <w:spacing w:line="276" w:lineRule="auto"/>
                        <w:rPr>
                          <w:rFonts w:ascii="Cambria" w:hAnsi="Cambria" w:cs="Arial"/>
                          <w:color w:val="0D0D0D"/>
                          <w:szCs w:val="22"/>
                          <w:lang w:val="es-ES_tradnl"/>
                        </w:rPr>
                      </w:pPr>
                      <w:r w:rsidRPr="009975D1">
                        <w:rPr>
                          <w:rFonts w:ascii="Cambria" w:hAnsi="Cambria" w:cs="Arial"/>
                          <w:color w:val="0D0D0D"/>
                          <w:szCs w:val="22"/>
                          <w:lang w:val="es-ES_tradnl"/>
                        </w:rPr>
                        <w:t xml:space="preserve">INFORME DE FONDO </w:t>
                      </w:r>
                    </w:p>
                    <w:p w:rsidR="00667DB2" w:rsidRDefault="00667DB2" w:rsidP="00436077">
                      <w:pPr>
                        <w:spacing w:line="276" w:lineRule="auto"/>
                        <w:rPr>
                          <w:rFonts w:ascii="Cambria" w:hAnsi="Cambria" w:cs="Arial"/>
                          <w:color w:val="0D0D0D"/>
                          <w:szCs w:val="22"/>
                          <w:lang w:val="es-ES_tradnl"/>
                        </w:rPr>
                      </w:pPr>
                      <w:r>
                        <w:rPr>
                          <w:rFonts w:ascii="Cambria" w:hAnsi="Cambria" w:cs="Arial"/>
                          <w:color w:val="0D0D0D"/>
                          <w:szCs w:val="22"/>
                          <w:lang w:val="es-ES_tradnl"/>
                        </w:rPr>
                        <w:t>WALTER MUNÁRRIZ ESCOBAR</w:t>
                      </w:r>
                      <w:r w:rsidR="004500DF">
                        <w:rPr>
                          <w:rFonts w:ascii="Cambria" w:hAnsi="Cambria" w:cs="Arial"/>
                          <w:color w:val="0D0D0D"/>
                          <w:szCs w:val="22"/>
                          <w:lang w:val="es-ES_tradnl"/>
                        </w:rPr>
                        <w:t xml:space="preserve"> Y OTROS</w:t>
                      </w:r>
                    </w:p>
                    <w:p w:rsidR="00667DB2" w:rsidRPr="009975D1" w:rsidRDefault="00667DB2" w:rsidP="00436077">
                      <w:pPr>
                        <w:spacing w:line="276" w:lineRule="auto"/>
                        <w:rPr>
                          <w:rFonts w:ascii="Cambria" w:hAnsi="Cambria" w:cs="Arial"/>
                          <w:color w:val="0D0D0D"/>
                          <w:szCs w:val="22"/>
                          <w:lang w:val="es-ES_tradnl"/>
                        </w:rPr>
                      </w:pPr>
                      <w:r>
                        <w:rPr>
                          <w:rFonts w:ascii="Cambria" w:hAnsi="Cambria" w:cs="Arial"/>
                          <w:color w:val="0D0D0D"/>
                          <w:szCs w:val="22"/>
                          <w:lang w:val="es-ES_tradnl"/>
                        </w:rPr>
                        <w:t>PERÚ</w:t>
                      </w:r>
                    </w:p>
                  </w:txbxContent>
                </v:textbox>
              </v:shape>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txbx>
                        <w:txbxContent>
                          <w:p w:rsidR="00667DB2" w:rsidRPr="009975D1" w:rsidRDefault="00667DB2" w:rsidP="007A5817">
                            <w:pPr>
                              <w:spacing w:line="276" w:lineRule="auto"/>
                              <w:jc w:val="right"/>
                              <w:rPr>
                                <w:rFonts w:ascii="Calibri" w:hAnsi="Calibri"/>
                                <w:color w:val="FFFFFF"/>
                                <w:sz w:val="22"/>
                                <w:lang w:val="pt-BR"/>
                              </w:rPr>
                            </w:pPr>
                            <w:r w:rsidRPr="009975D1">
                              <w:rPr>
                                <w:rFonts w:ascii="Calibri" w:hAnsi="Calibri"/>
                                <w:color w:val="FFFFFF"/>
                                <w:sz w:val="22"/>
                                <w:lang w:val="pt-BR"/>
                              </w:rPr>
                              <w:t>OEA/Ser.L/V/II.</w:t>
                            </w:r>
                            <w:r>
                              <w:rPr>
                                <w:rFonts w:ascii="Calibri" w:hAnsi="Calibri"/>
                                <w:color w:val="FFFFFF"/>
                                <w:sz w:val="22"/>
                                <w:lang w:val="pt-BR"/>
                              </w:rPr>
                              <w:t>XX</w:t>
                            </w:r>
                          </w:p>
                          <w:p w:rsidR="00667DB2" w:rsidRPr="004715BA" w:rsidRDefault="00667DB2" w:rsidP="007A5817">
                            <w:pPr>
                              <w:spacing w:line="276" w:lineRule="auto"/>
                              <w:jc w:val="right"/>
                              <w:rPr>
                                <w:rFonts w:ascii="Calibri" w:hAnsi="Calibri"/>
                                <w:color w:val="FFFFFF"/>
                                <w:sz w:val="22"/>
                                <w:lang w:val="es-MX"/>
                              </w:rPr>
                            </w:pPr>
                            <w:r w:rsidRPr="004715BA">
                              <w:rPr>
                                <w:rFonts w:ascii="Calibri" w:hAnsi="Calibri"/>
                                <w:color w:val="FFFFFF"/>
                                <w:sz w:val="22"/>
                                <w:lang w:val="es-MX"/>
                              </w:rPr>
                              <w:t xml:space="preserve">Doc. </w:t>
                            </w:r>
                            <w:r w:rsidR="004715BA" w:rsidRPr="004715BA">
                              <w:rPr>
                                <w:rFonts w:ascii="Calibri" w:hAnsi="Calibri"/>
                                <w:color w:val="FFFFFF"/>
                                <w:sz w:val="22"/>
                                <w:lang w:val="es-MX"/>
                              </w:rPr>
                              <w:t>85</w:t>
                            </w:r>
                          </w:p>
                          <w:p w:rsidR="00667DB2" w:rsidRPr="004715BA" w:rsidRDefault="004500DF" w:rsidP="007A5817">
                            <w:pPr>
                              <w:spacing w:line="276" w:lineRule="auto"/>
                              <w:jc w:val="right"/>
                              <w:rPr>
                                <w:rFonts w:ascii="Calibri" w:hAnsi="Calibri"/>
                                <w:color w:val="FFFFFF"/>
                                <w:sz w:val="22"/>
                                <w:lang w:val="es-MX"/>
                              </w:rPr>
                            </w:pPr>
                            <w:r>
                              <w:rPr>
                                <w:rFonts w:ascii="Calibri" w:hAnsi="Calibri"/>
                                <w:color w:val="FFFFFF"/>
                                <w:sz w:val="22"/>
                                <w:lang w:val="es-MX"/>
                              </w:rPr>
                              <w:t>1</w:t>
                            </w:r>
                            <w:r w:rsidR="004715BA" w:rsidRPr="004715BA">
                              <w:rPr>
                                <w:rFonts w:ascii="Calibri" w:hAnsi="Calibri"/>
                                <w:color w:val="FFFFFF"/>
                                <w:sz w:val="22"/>
                                <w:lang w:val="es-MX"/>
                              </w:rPr>
                              <w:t xml:space="preserve">0 diciembre </w:t>
                            </w:r>
                            <w:r w:rsidR="00667DB2" w:rsidRPr="004715BA">
                              <w:rPr>
                                <w:rFonts w:ascii="Calibri" w:hAnsi="Calibri"/>
                                <w:color w:val="FFFFFF"/>
                                <w:sz w:val="22"/>
                                <w:lang w:val="es-MX"/>
                              </w:rPr>
                              <w:t>2016</w:t>
                            </w:r>
                          </w:p>
                          <w:p w:rsidR="00667DB2" w:rsidRPr="004715BA" w:rsidRDefault="00667DB2" w:rsidP="007A5817">
                            <w:pPr>
                              <w:spacing w:line="276" w:lineRule="auto"/>
                              <w:jc w:val="right"/>
                              <w:rPr>
                                <w:rFonts w:ascii="Calibri" w:hAnsi="Calibri"/>
                                <w:color w:val="FFFFFF"/>
                                <w:sz w:val="22"/>
                                <w:lang w:val="es-MX"/>
                              </w:rPr>
                            </w:pPr>
                            <w:r w:rsidRPr="004715BA">
                              <w:rPr>
                                <w:rFonts w:ascii="Calibri" w:hAnsi="Calibri"/>
                                <w:color w:val="FFFFFF"/>
                                <w:sz w:val="22"/>
                                <w:lang w:val="es-MX"/>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" filled="f" stroked="f" strokeweight=".5pt">
                <v:path arrowok="t"/>
                <v:textbox>
                  <w:txbxContent>
                    <w:p w:rsidR="00667DB2" w:rsidRPr="009975D1" w:rsidRDefault="00667DB2" w:rsidP="007A5817">
                      <w:pPr>
                        <w:spacing w:line="276" w:lineRule="auto"/>
                        <w:jc w:val="right"/>
                        <w:rPr>
                          <w:rFonts w:ascii="Calibri" w:hAnsi="Calibri"/>
                          <w:color w:val="FFFFFF"/>
                          <w:sz w:val="22"/>
                          <w:lang w:val="pt-BR"/>
                        </w:rPr>
                      </w:pPr>
                      <w:r w:rsidRPr="009975D1">
                        <w:rPr>
                          <w:rFonts w:ascii="Calibri" w:hAnsi="Calibri"/>
                          <w:color w:val="FFFFFF"/>
                          <w:sz w:val="22"/>
                          <w:lang w:val="pt-BR"/>
                        </w:rPr>
                        <w:t>OEA/Ser.L/V/II.</w:t>
                      </w:r>
                      <w:r>
                        <w:rPr>
                          <w:rFonts w:ascii="Calibri" w:hAnsi="Calibri"/>
                          <w:color w:val="FFFFFF"/>
                          <w:sz w:val="22"/>
                          <w:lang w:val="pt-BR"/>
                        </w:rPr>
                        <w:t>XX</w:t>
                      </w:r>
                    </w:p>
                    <w:p w:rsidR="00667DB2" w:rsidRPr="004715BA" w:rsidRDefault="00667DB2" w:rsidP="007A5817">
                      <w:pPr>
                        <w:spacing w:line="276" w:lineRule="auto"/>
                        <w:jc w:val="right"/>
                        <w:rPr>
                          <w:rFonts w:ascii="Calibri" w:hAnsi="Calibri"/>
                          <w:color w:val="FFFFFF"/>
                          <w:sz w:val="22"/>
                          <w:lang w:val="es-MX"/>
                        </w:rPr>
                      </w:pPr>
                      <w:r w:rsidRPr="004715BA">
                        <w:rPr>
                          <w:rFonts w:ascii="Calibri" w:hAnsi="Calibri"/>
                          <w:color w:val="FFFFFF"/>
                          <w:sz w:val="22"/>
                          <w:lang w:val="es-MX"/>
                        </w:rPr>
                        <w:t xml:space="preserve">Doc. </w:t>
                      </w:r>
                      <w:r w:rsidR="004715BA" w:rsidRPr="004715BA">
                        <w:rPr>
                          <w:rFonts w:ascii="Calibri" w:hAnsi="Calibri"/>
                          <w:color w:val="FFFFFF"/>
                          <w:sz w:val="22"/>
                          <w:lang w:val="es-MX"/>
                        </w:rPr>
                        <w:t>85</w:t>
                      </w:r>
                    </w:p>
                    <w:p w:rsidR="00667DB2" w:rsidRPr="004715BA" w:rsidRDefault="004500DF" w:rsidP="007A5817">
                      <w:pPr>
                        <w:spacing w:line="276" w:lineRule="auto"/>
                        <w:jc w:val="right"/>
                        <w:rPr>
                          <w:rFonts w:ascii="Calibri" w:hAnsi="Calibri"/>
                          <w:color w:val="FFFFFF"/>
                          <w:sz w:val="22"/>
                          <w:lang w:val="es-MX"/>
                        </w:rPr>
                      </w:pPr>
                      <w:r>
                        <w:rPr>
                          <w:rFonts w:ascii="Calibri" w:hAnsi="Calibri"/>
                          <w:color w:val="FFFFFF"/>
                          <w:sz w:val="22"/>
                          <w:lang w:val="es-MX"/>
                        </w:rPr>
                        <w:t>1</w:t>
                      </w:r>
                      <w:r w:rsidR="004715BA" w:rsidRPr="004715BA">
                        <w:rPr>
                          <w:rFonts w:ascii="Calibri" w:hAnsi="Calibri"/>
                          <w:color w:val="FFFFFF"/>
                          <w:sz w:val="22"/>
                          <w:lang w:val="es-MX"/>
                        </w:rPr>
                        <w:t xml:space="preserve">0 diciembre </w:t>
                      </w:r>
                      <w:r w:rsidR="00667DB2" w:rsidRPr="004715BA">
                        <w:rPr>
                          <w:rFonts w:ascii="Calibri" w:hAnsi="Calibri"/>
                          <w:color w:val="FFFFFF"/>
                          <w:sz w:val="22"/>
                          <w:lang w:val="es-MX"/>
                        </w:rPr>
                        <w:t>2016</w:t>
                      </w:r>
                    </w:p>
                    <w:p w:rsidR="00667DB2" w:rsidRPr="004715BA" w:rsidRDefault="00667DB2" w:rsidP="007A5817">
                      <w:pPr>
                        <w:spacing w:line="276" w:lineRule="auto"/>
                        <w:jc w:val="right"/>
                        <w:rPr>
                          <w:rFonts w:ascii="Calibri" w:hAnsi="Calibri"/>
                          <w:color w:val="FFFFFF"/>
                          <w:sz w:val="22"/>
                          <w:lang w:val="es-MX"/>
                        </w:rPr>
                      </w:pPr>
                      <w:r w:rsidRPr="004715BA">
                        <w:rPr>
                          <w:rFonts w:ascii="Calibri" w:hAnsi="Calibri"/>
                          <w:color w:val="FFFFFF"/>
                          <w:sz w:val="22"/>
                          <w:lang w:val="es-MX"/>
                        </w:rPr>
                        <w:t>Original: español</w:t>
                      </w:r>
                    </w:p>
                  </w:txbxContent>
                </v:textbox>
              </v:shape>
            </w:pict>
          </mc:Fallback>
        </mc:AlternateContent>
      </w:r>
    </w:p>
    <w:p w:rsidR="00040C3A" w:rsidRPr="00E21797" w:rsidRDefault="00040C3A" w:rsidP="00040C3A">
      <w:pPr>
        <w:tabs>
          <w:tab w:val="center" w:pos="5400"/>
        </w:tabs>
        <w:suppressAutoHyphens/>
        <w:jc w:val="center"/>
        <w:rPr>
          <w:rFonts w:ascii="Cambria" w:hAnsi="Cambria"/>
          <w:sz w:val="20"/>
          <w:szCs w:val="20"/>
          <w:lang w:val="es-ES_tradnl"/>
        </w:rPr>
      </w:pPr>
    </w:p>
    <w:p w:rsidR="00040C3A" w:rsidRPr="00E21797" w:rsidRDefault="00040C3A" w:rsidP="00040C3A">
      <w:pPr>
        <w:tabs>
          <w:tab w:val="center" w:pos="5400"/>
        </w:tabs>
        <w:suppressAutoHyphens/>
        <w:jc w:val="center"/>
        <w:rPr>
          <w:rFonts w:ascii="Cambria" w:hAnsi="Cambria"/>
          <w:sz w:val="20"/>
          <w:szCs w:val="20"/>
          <w:lang w:val="es-ES_tradnl"/>
        </w:rPr>
      </w:pPr>
    </w:p>
    <w:p w:rsidR="00040C3A" w:rsidRPr="00E21797" w:rsidRDefault="00040C3A" w:rsidP="00040C3A">
      <w:pPr>
        <w:tabs>
          <w:tab w:val="center" w:pos="5400"/>
        </w:tabs>
        <w:suppressAutoHyphens/>
        <w:jc w:val="center"/>
        <w:rPr>
          <w:rFonts w:ascii="Cambria" w:hAnsi="Cambria" w:cs="Arial"/>
          <w:sz w:val="20"/>
          <w:szCs w:val="20"/>
          <w:lang w:val="es-ES_tradnl"/>
        </w:rPr>
      </w:pPr>
    </w:p>
    <w:p w:rsidR="00040C3A" w:rsidRPr="00E21797" w:rsidRDefault="00040C3A" w:rsidP="00040C3A">
      <w:pPr>
        <w:tabs>
          <w:tab w:val="center" w:pos="5400"/>
        </w:tabs>
        <w:suppressAutoHyphens/>
        <w:jc w:val="center"/>
        <w:rPr>
          <w:rFonts w:ascii="Cambria" w:hAnsi="Cambria"/>
          <w:sz w:val="20"/>
          <w:szCs w:val="20"/>
          <w:lang w:val="es-ES_tradnl"/>
        </w:rPr>
      </w:pPr>
    </w:p>
    <w:p w:rsidR="00040C3A" w:rsidRPr="00E21797" w:rsidRDefault="00040C3A" w:rsidP="00040C3A">
      <w:pPr>
        <w:tabs>
          <w:tab w:val="center" w:pos="5400"/>
        </w:tabs>
        <w:suppressAutoHyphens/>
        <w:jc w:val="center"/>
        <w:rPr>
          <w:rFonts w:ascii="Cambria" w:hAnsi="Cambria"/>
          <w:sz w:val="20"/>
          <w:szCs w:val="20"/>
          <w:lang w:val="es-ES_tradnl"/>
        </w:rPr>
      </w:pPr>
    </w:p>
    <w:p w:rsidR="00040C3A" w:rsidRPr="00E21797" w:rsidRDefault="00040C3A" w:rsidP="00040C3A">
      <w:pPr>
        <w:tabs>
          <w:tab w:val="center" w:pos="5400"/>
        </w:tabs>
        <w:suppressAutoHyphens/>
        <w:jc w:val="center"/>
        <w:rPr>
          <w:rFonts w:ascii="Cambria" w:hAnsi="Cambria"/>
          <w:sz w:val="20"/>
          <w:szCs w:val="20"/>
          <w:lang w:val="es-ES_tradnl"/>
        </w:rPr>
      </w:pPr>
    </w:p>
    <w:p w:rsidR="00040C3A" w:rsidRPr="00E21797" w:rsidRDefault="00040C3A" w:rsidP="00040C3A">
      <w:pPr>
        <w:tabs>
          <w:tab w:val="center" w:pos="5400"/>
        </w:tabs>
        <w:suppressAutoHyphens/>
        <w:jc w:val="center"/>
        <w:rPr>
          <w:rFonts w:ascii="Cambria" w:hAnsi="Cambria"/>
          <w:sz w:val="20"/>
          <w:szCs w:val="20"/>
          <w:lang w:val="es-ES_tradnl"/>
        </w:rPr>
      </w:pPr>
    </w:p>
    <w:p w:rsidR="005128E4" w:rsidRPr="00E21797" w:rsidRDefault="005128E4" w:rsidP="00040C3A">
      <w:pPr>
        <w:tabs>
          <w:tab w:val="center" w:pos="5400"/>
        </w:tabs>
        <w:suppressAutoHyphens/>
        <w:jc w:val="center"/>
        <w:rPr>
          <w:rFonts w:ascii="Cambria" w:hAnsi="Cambria"/>
          <w:sz w:val="20"/>
          <w:szCs w:val="20"/>
          <w:lang w:val="es-ES_tradnl"/>
        </w:rPr>
      </w:pPr>
    </w:p>
    <w:p w:rsidR="00040C3A" w:rsidRPr="00E21797" w:rsidRDefault="00040C3A" w:rsidP="00040C3A">
      <w:pPr>
        <w:tabs>
          <w:tab w:val="center" w:pos="5400"/>
        </w:tabs>
        <w:suppressAutoHyphens/>
        <w:jc w:val="center"/>
        <w:rPr>
          <w:rFonts w:ascii="Cambria" w:hAnsi="Cambria"/>
          <w:sz w:val="20"/>
          <w:szCs w:val="20"/>
          <w:lang w:val="es-ES_tradnl"/>
        </w:rPr>
      </w:pPr>
    </w:p>
    <w:p w:rsidR="005128E4" w:rsidRPr="00E21797" w:rsidRDefault="005128E4" w:rsidP="00040C3A">
      <w:pPr>
        <w:tabs>
          <w:tab w:val="center" w:pos="5400"/>
        </w:tabs>
        <w:suppressAutoHyphens/>
        <w:jc w:val="center"/>
        <w:rPr>
          <w:rFonts w:ascii="Cambria" w:hAnsi="Cambria"/>
          <w:sz w:val="20"/>
          <w:szCs w:val="20"/>
          <w:lang w:val="es-ES_tradnl"/>
        </w:rPr>
      </w:pPr>
    </w:p>
    <w:p w:rsidR="005128E4" w:rsidRPr="00E21797" w:rsidRDefault="005128E4" w:rsidP="00040C3A">
      <w:pPr>
        <w:tabs>
          <w:tab w:val="center" w:pos="5400"/>
        </w:tabs>
        <w:suppressAutoHyphens/>
        <w:jc w:val="center"/>
        <w:rPr>
          <w:rFonts w:ascii="Cambria" w:hAnsi="Cambria"/>
          <w:sz w:val="20"/>
          <w:szCs w:val="20"/>
          <w:lang w:val="es-ES_tradnl"/>
        </w:rPr>
      </w:pPr>
    </w:p>
    <w:p w:rsidR="005128E4" w:rsidRPr="00E21797" w:rsidRDefault="005128E4" w:rsidP="00040C3A">
      <w:pPr>
        <w:tabs>
          <w:tab w:val="center" w:pos="5400"/>
        </w:tabs>
        <w:suppressAutoHyphens/>
        <w:jc w:val="center"/>
        <w:rPr>
          <w:rFonts w:ascii="Cambria" w:hAnsi="Cambria"/>
          <w:sz w:val="20"/>
          <w:szCs w:val="20"/>
          <w:lang w:val="es-ES_tradnl"/>
        </w:rPr>
      </w:pPr>
    </w:p>
    <w:p w:rsidR="00040C3A" w:rsidRPr="00E21797" w:rsidRDefault="00040C3A" w:rsidP="00040C3A">
      <w:pPr>
        <w:tabs>
          <w:tab w:val="center" w:pos="5400"/>
        </w:tabs>
        <w:suppressAutoHyphens/>
        <w:jc w:val="center"/>
        <w:rPr>
          <w:rFonts w:ascii="Cambria" w:hAnsi="Cambria"/>
          <w:sz w:val="20"/>
          <w:szCs w:val="20"/>
          <w:lang w:val="es-ES_tradnl"/>
        </w:rPr>
      </w:pPr>
    </w:p>
    <w:p w:rsidR="00040C3A" w:rsidRPr="00E21797" w:rsidRDefault="00040C3A"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C52B26" w:rsidP="00040C3A">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txbx>
                        <w:txbxContent>
                          <w:p w:rsidR="00667DB2" w:rsidRPr="009975D1" w:rsidRDefault="00667DB2" w:rsidP="0048690F">
                            <w:pPr>
                              <w:tabs>
                                <w:tab w:val="center" w:pos="5400"/>
                              </w:tabs>
                              <w:suppressAutoHyphens/>
                              <w:spacing w:before="60"/>
                              <w:jc w:val="both"/>
                              <w:rPr>
                                <w:rFonts w:ascii="Cambria" w:hAnsi="Cambria" w:cs="Univers"/>
                                <w:color w:val="0D0D0D"/>
                                <w:sz w:val="18"/>
                                <w:szCs w:val="20"/>
                                <w:lang w:val="es-ES_tradnl"/>
                              </w:rPr>
                            </w:pPr>
                            <w:r w:rsidRPr="009975D1">
                              <w:rPr>
                                <w:rFonts w:ascii="Cambria" w:hAnsi="Cambria"/>
                                <w:color w:val="0D0D0D"/>
                                <w:sz w:val="18"/>
                                <w:szCs w:val="20"/>
                                <w:lang w:val="es-ES"/>
                              </w:rPr>
                              <w:t xml:space="preserve">Aprobado por la Comisión en su sesión No. </w:t>
                            </w:r>
                            <w:r w:rsidR="004500DF">
                              <w:rPr>
                                <w:rFonts w:ascii="Cambria" w:hAnsi="Cambria"/>
                                <w:color w:val="0D0D0D"/>
                                <w:sz w:val="18"/>
                                <w:szCs w:val="20"/>
                                <w:lang w:val="es-ES"/>
                              </w:rPr>
                              <w:t>2072</w:t>
                            </w:r>
                            <w:r w:rsidRPr="009975D1">
                              <w:rPr>
                                <w:rFonts w:ascii="Cambria" w:hAnsi="Cambria"/>
                                <w:color w:val="0D0D0D"/>
                                <w:sz w:val="18"/>
                                <w:szCs w:val="20"/>
                                <w:lang w:val="es-ES"/>
                              </w:rPr>
                              <w:t xml:space="preserve"> celebrada</w:t>
                            </w:r>
                            <w:r w:rsidR="00725D10">
                              <w:rPr>
                                <w:rFonts w:ascii="Cambria" w:hAnsi="Cambria"/>
                                <w:color w:val="0D0D0D"/>
                                <w:sz w:val="18"/>
                                <w:szCs w:val="20"/>
                                <w:lang w:val="es-ES"/>
                              </w:rPr>
                              <w:t xml:space="preserve"> el 10 de diciembre de 2010</w:t>
                            </w:r>
                            <w:r w:rsidRPr="009975D1">
                              <w:rPr>
                                <w:rFonts w:ascii="Cambria" w:hAnsi="Cambria"/>
                                <w:color w:val="0D0D0D"/>
                                <w:sz w:val="18"/>
                                <w:szCs w:val="20"/>
                                <w:lang w:val="es-ES"/>
                              </w:rPr>
                              <w:t xml:space="preserve"> </w:t>
                            </w:r>
                            <w:r w:rsidR="004500DF">
                              <w:rPr>
                                <w:rFonts w:ascii="Cambria" w:hAnsi="Cambria"/>
                                <w:color w:val="0D0D0D"/>
                                <w:sz w:val="18"/>
                                <w:szCs w:val="20"/>
                                <w:lang w:val="es-ES"/>
                              </w:rPr>
                              <w:t xml:space="preserve">durante </w:t>
                            </w:r>
                            <w:r w:rsidRPr="009975D1">
                              <w:rPr>
                                <w:rFonts w:ascii="Cambria" w:hAnsi="Cambria"/>
                                <w:color w:val="0D0D0D"/>
                                <w:sz w:val="18"/>
                                <w:szCs w:val="20"/>
                                <w:lang w:val="es-ES"/>
                              </w:rPr>
                              <w:t xml:space="preserve">el </w:t>
                            </w:r>
                            <w:r w:rsidR="004500DF">
                              <w:rPr>
                                <w:rFonts w:ascii="Cambria" w:hAnsi="Cambria"/>
                                <w:color w:val="0D0D0D"/>
                                <w:sz w:val="18"/>
                                <w:szCs w:val="20"/>
                                <w:lang w:val="es-ES"/>
                              </w:rPr>
                              <w:t xml:space="preserve">160 </w:t>
                            </w:r>
                            <w:r w:rsidRPr="009975D1">
                              <w:rPr>
                                <w:rFonts w:ascii="Cambria" w:hAnsi="Cambria" w:cs="Univers"/>
                                <w:color w:val="0D0D0D"/>
                                <w:sz w:val="18"/>
                                <w:szCs w:val="20"/>
                                <w:lang w:val="es-ES_tradnl"/>
                              </w:rPr>
                              <w:t>período ordinario de sesiones</w:t>
                            </w:r>
                          </w:p>
                          <w:p w:rsidR="00667DB2" w:rsidRPr="009975D1" w:rsidRDefault="00667DB2" w:rsidP="00247403">
                            <w:pPr>
                              <w:tabs>
                                <w:tab w:val="center" w:pos="5400"/>
                              </w:tabs>
                              <w:suppressAutoHyphens/>
                              <w:spacing w:before="60"/>
                              <w:rPr>
                                <w:rFonts w:ascii="Calibri" w:hAnsi="Calibri" w:cs="Univers"/>
                                <w:color w:val="0D0D0D"/>
                                <w:sz w:val="20"/>
                                <w:szCs w:val="20"/>
                                <w:lang w:val="es-ES_tradnl"/>
                              </w:rPr>
                            </w:pPr>
                          </w:p>
                          <w:p w:rsidR="00667DB2" w:rsidRPr="009975D1" w:rsidRDefault="00667DB2" w:rsidP="0059191A">
                            <w:pP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" filled="f" stroked="f" strokeweight=".5pt">
                <v:path arrowok="t"/>
                <v:textbox>
                  <w:txbxContent>
                    <w:p w:rsidR="00667DB2" w:rsidRPr="009975D1" w:rsidRDefault="00667DB2" w:rsidP="0048690F">
                      <w:pPr>
                        <w:tabs>
                          <w:tab w:val="center" w:pos="5400"/>
                        </w:tabs>
                        <w:suppressAutoHyphens/>
                        <w:spacing w:before="60"/>
                        <w:jc w:val="both"/>
                        <w:rPr>
                          <w:rFonts w:ascii="Cambria" w:hAnsi="Cambria" w:cs="Univers"/>
                          <w:color w:val="0D0D0D"/>
                          <w:sz w:val="18"/>
                          <w:szCs w:val="20"/>
                          <w:lang w:val="es-ES_tradnl"/>
                        </w:rPr>
                      </w:pPr>
                      <w:r w:rsidRPr="009975D1">
                        <w:rPr>
                          <w:rFonts w:ascii="Cambria" w:hAnsi="Cambria"/>
                          <w:color w:val="0D0D0D"/>
                          <w:sz w:val="18"/>
                          <w:szCs w:val="20"/>
                          <w:lang w:val="es-ES"/>
                        </w:rPr>
                        <w:t xml:space="preserve">Aprobado por la Comisión en su sesión No. </w:t>
                      </w:r>
                      <w:r w:rsidR="004500DF">
                        <w:rPr>
                          <w:rFonts w:ascii="Cambria" w:hAnsi="Cambria"/>
                          <w:color w:val="0D0D0D"/>
                          <w:sz w:val="18"/>
                          <w:szCs w:val="20"/>
                          <w:lang w:val="es-ES"/>
                        </w:rPr>
                        <w:t>2072</w:t>
                      </w:r>
                      <w:r w:rsidRPr="009975D1">
                        <w:rPr>
                          <w:rFonts w:ascii="Cambria" w:hAnsi="Cambria"/>
                          <w:color w:val="0D0D0D"/>
                          <w:sz w:val="18"/>
                          <w:szCs w:val="20"/>
                          <w:lang w:val="es-ES"/>
                        </w:rPr>
                        <w:t xml:space="preserve"> celebrada</w:t>
                      </w:r>
                      <w:r w:rsidR="00725D10">
                        <w:rPr>
                          <w:rFonts w:ascii="Cambria" w:hAnsi="Cambria"/>
                          <w:color w:val="0D0D0D"/>
                          <w:sz w:val="18"/>
                          <w:szCs w:val="20"/>
                          <w:lang w:val="es-ES"/>
                        </w:rPr>
                        <w:t xml:space="preserve"> el 10 de diciembre de 2010</w:t>
                      </w:r>
                      <w:r w:rsidRPr="009975D1">
                        <w:rPr>
                          <w:rFonts w:ascii="Cambria" w:hAnsi="Cambria"/>
                          <w:color w:val="0D0D0D"/>
                          <w:sz w:val="18"/>
                          <w:szCs w:val="20"/>
                          <w:lang w:val="es-ES"/>
                        </w:rPr>
                        <w:t xml:space="preserve"> </w:t>
                      </w:r>
                      <w:r w:rsidR="004500DF">
                        <w:rPr>
                          <w:rFonts w:ascii="Cambria" w:hAnsi="Cambria"/>
                          <w:color w:val="0D0D0D"/>
                          <w:sz w:val="18"/>
                          <w:szCs w:val="20"/>
                          <w:lang w:val="es-ES"/>
                        </w:rPr>
                        <w:t xml:space="preserve">durante </w:t>
                      </w:r>
                      <w:r w:rsidRPr="009975D1">
                        <w:rPr>
                          <w:rFonts w:ascii="Cambria" w:hAnsi="Cambria"/>
                          <w:color w:val="0D0D0D"/>
                          <w:sz w:val="18"/>
                          <w:szCs w:val="20"/>
                          <w:lang w:val="es-ES"/>
                        </w:rPr>
                        <w:t xml:space="preserve">el </w:t>
                      </w:r>
                      <w:r w:rsidR="004500DF">
                        <w:rPr>
                          <w:rFonts w:ascii="Cambria" w:hAnsi="Cambria"/>
                          <w:color w:val="0D0D0D"/>
                          <w:sz w:val="18"/>
                          <w:szCs w:val="20"/>
                          <w:lang w:val="es-ES"/>
                        </w:rPr>
                        <w:t xml:space="preserve">160 </w:t>
                      </w:r>
                      <w:r w:rsidRPr="009975D1">
                        <w:rPr>
                          <w:rFonts w:ascii="Cambria" w:hAnsi="Cambria" w:cs="Univers"/>
                          <w:color w:val="0D0D0D"/>
                          <w:sz w:val="18"/>
                          <w:szCs w:val="20"/>
                          <w:lang w:val="es-ES_tradnl"/>
                        </w:rPr>
                        <w:t>período ordinario de sesiones</w:t>
                      </w:r>
                    </w:p>
                    <w:p w:rsidR="00667DB2" w:rsidRPr="009975D1" w:rsidRDefault="00667DB2" w:rsidP="00247403">
                      <w:pPr>
                        <w:tabs>
                          <w:tab w:val="center" w:pos="5400"/>
                        </w:tabs>
                        <w:suppressAutoHyphens/>
                        <w:spacing w:before="60"/>
                        <w:rPr>
                          <w:rFonts w:ascii="Calibri" w:hAnsi="Calibri" w:cs="Univers"/>
                          <w:color w:val="0D0D0D"/>
                          <w:sz w:val="20"/>
                          <w:szCs w:val="20"/>
                          <w:lang w:val="es-ES_tradnl"/>
                        </w:rPr>
                      </w:pPr>
                    </w:p>
                    <w:p w:rsidR="00667DB2" w:rsidRPr="009975D1" w:rsidRDefault="00667DB2" w:rsidP="0059191A">
                      <w:pPr>
                        <w:tabs>
                          <w:tab w:val="center" w:pos="5400"/>
                        </w:tabs>
                        <w:suppressAutoHyphens/>
                        <w:spacing w:before="60"/>
                        <w:rPr>
                          <w:rFonts w:ascii="Calibri" w:hAnsi="Calibri"/>
                          <w:color w:val="FFFFFF"/>
                          <w:spacing w:val="-2"/>
                          <w:sz w:val="16"/>
                          <w:lang w:val="es-ES"/>
                        </w:rPr>
                      </w:pPr>
                    </w:p>
                  </w:txbxContent>
                </v:textbox>
              </v:shape>
            </w:pict>
          </mc:Fallback>
        </mc:AlternateContent>
      </w: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A50FCF" w:rsidP="00040C3A">
      <w:pPr>
        <w:tabs>
          <w:tab w:val="center" w:pos="5400"/>
        </w:tabs>
        <w:suppressAutoHyphens/>
        <w:jc w:val="center"/>
        <w:rPr>
          <w:rFonts w:ascii="Cambria" w:hAnsi="Cambria"/>
          <w:sz w:val="20"/>
          <w:szCs w:val="20"/>
          <w:lang w:val="es-ES_tradnl"/>
        </w:rPr>
      </w:pPr>
    </w:p>
    <w:p w:rsidR="00A50FCF" w:rsidRPr="00E21797" w:rsidRDefault="00C52B26" w:rsidP="00040C3A">
      <w:pPr>
        <w:tabs>
          <w:tab w:val="center" w:pos="5400"/>
        </w:tabs>
        <w:suppressAutoHyphens/>
        <w:jc w:val="center"/>
        <w:rPr>
          <w:rFonts w:ascii="Cambria" w:hAnsi="Cambria"/>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txbx>
                        <w:txbxContent>
                          <w:p w:rsidR="00667DB2" w:rsidRPr="009975D1" w:rsidRDefault="00667DB2" w:rsidP="0048690F">
                            <w:pPr>
                              <w:spacing w:line="276" w:lineRule="auto"/>
                              <w:jc w:val="both"/>
                              <w:rPr>
                                <w:rFonts w:ascii="Cambria" w:hAnsi="Cambria"/>
                                <w:color w:val="595959"/>
                                <w:sz w:val="18"/>
                                <w:szCs w:val="18"/>
                                <w:lang w:val="es-ES"/>
                              </w:rPr>
                            </w:pPr>
                            <w:r w:rsidRPr="001E0363">
                              <w:rPr>
                                <w:rFonts w:ascii="Cambria" w:hAnsi="Cambria"/>
                                <w:b/>
                                <w:color w:val="595959"/>
                                <w:sz w:val="18"/>
                                <w:szCs w:val="18"/>
                                <w:lang w:val="pt-BR"/>
                              </w:rPr>
                              <w:t>Citar como:</w:t>
                            </w:r>
                            <w:r w:rsidRPr="001E0363">
                              <w:rPr>
                                <w:rFonts w:ascii="Cambria" w:hAnsi="Cambria"/>
                                <w:color w:val="595959"/>
                                <w:sz w:val="18"/>
                                <w:szCs w:val="18"/>
                                <w:lang w:val="pt-BR"/>
                              </w:rPr>
                              <w:t xml:space="preserve"> CIDH, Informe No. </w:t>
                            </w:r>
                            <w:r w:rsidR="004500DF" w:rsidRPr="004500DF">
                              <w:rPr>
                                <w:rFonts w:ascii="Cambria" w:hAnsi="Cambria"/>
                                <w:color w:val="595959"/>
                                <w:sz w:val="18"/>
                                <w:szCs w:val="18"/>
                                <w:lang w:val="pt-BR"/>
                              </w:rPr>
                              <w:t>7</w:t>
                            </w:r>
                            <w:r w:rsidR="004500DF">
                              <w:rPr>
                                <w:rFonts w:ascii="Cambria" w:hAnsi="Cambria"/>
                                <w:color w:val="595959"/>
                                <w:sz w:val="18"/>
                                <w:szCs w:val="18"/>
                                <w:lang w:val="pt-BR"/>
                              </w:rPr>
                              <w:t>7</w:t>
                            </w:r>
                            <w:r w:rsidRPr="004500DF">
                              <w:rPr>
                                <w:rFonts w:ascii="Cambria" w:hAnsi="Cambria"/>
                                <w:color w:val="595959"/>
                                <w:sz w:val="18"/>
                                <w:szCs w:val="18"/>
                                <w:lang w:val="pt-BR"/>
                              </w:rPr>
                              <w:t>/16, Caso</w:t>
                            </w:r>
                            <w:r w:rsidR="004500DF">
                              <w:rPr>
                                <w:rFonts w:ascii="Cambria" w:hAnsi="Cambria"/>
                                <w:color w:val="595959"/>
                                <w:sz w:val="18"/>
                                <w:szCs w:val="18"/>
                                <w:lang w:val="pt-BR"/>
                              </w:rPr>
                              <w:t xml:space="preserve"> 12.602</w:t>
                            </w:r>
                            <w:r w:rsidRPr="004500DF">
                              <w:rPr>
                                <w:rFonts w:ascii="Cambria" w:hAnsi="Cambria"/>
                                <w:color w:val="595959"/>
                                <w:sz w:val="18"/>
                                <w:szCs w:val="18"/>
                                <w:lang w:val="pt-BR"/>
                              </w:rPr>
                              <w:t xml:space="preserve">. </w:t>
                            </w:r>
                            <w:r w:rsidR="004500DF" w:rsidRPr="004500DF">
                              <w:rPr>
                                <w:rFonts w:ascii="Cambria" w:hAnsi="Cambria"/>
                                <w:color w:val="595959"/>
                                <w:sz w:val="18"/>
                                <w:szCs w:val="18"/>
                                <w:lang w:val="es-MX"/>
                              </w:rPr>
                              <w:t xml:space="preserve">Walter Munárriz Escobar y otros. </w:t>
                            </w:r>
                            <w:r w:rsidRPr="001E0363">
                              <w:rPr>
                                <w:rFonts w:ascii="Cambria" w:hAnsi="Cambria"/>
                                <w:color w:val="595959"/>
                                <w:sz w:val="18"/>
                                <w:szCs w:val="18"/>
                                <w:lang w:val="es-ES"/>
                              </w:rPr>
                              <w:t>Fondo. Perú.</w:t>
                            </w:r>
                            <w:r w:rsidR="004500DF">
                              <w:rPr>
                                <w:rFonts w:ascii="Cambria" w:hAnsi="Cambria"/>
                                <w:color w:val="595959"/>
                                <w:sz w:val="18"/>
                                <w:szCs w:val="18"/>
                                <w:lang w:val="es-ES"/>
                              </w:rPr>
                              <w:t xml:space="preserve"> 10</w:t>
                            </w:r>
                            <w:r w:rsidRPr="001E0363">
                              <w:rPr>
                                <w:rFonts w:ascii="Cambria" w:hAnsi="Cambria"/>
                                <w:color w:val="595959"/>
                                <w:sz w:val="18"/>
                                <w:szCs w:val="18"/>
                                <w:lang w:val="es-ES"/>
                              </w:rPr>
                              <w:t xml:space="preserve"> de</w:t>
                            </w:r>
                            <w:r w:rsidR="004500DF">
                              <w:rPr>
                                <w:rFonts w:ascii="Cambria" w:hAnsi="Cambria"/>
                                <w:color w:val="595959"/>
                                <w:sz w:val="18"/>
                                <w:szCs w:val="18"/>
                                <w:lang w:val="es-ES"/>
                              </w:rPr>
                              <w:t xml:space="preserve"> diciembre</w:t>
                            </w:r>
                            <w:r w:rsidRPr="001E0363">
                              <w:rPr>
                                <w:rFonts w:ascii="Cambria" w:hAnsi="Cambria"/>
                                <w:color w:val="595959"/>
                                <w:sz w:val="18"/>
                                <w:szCs w:val="18"/>
                                <w:lang w:val="es-ES"/>
                              </w:rPr>
                              <w:t xml:space="preserve"> de 201</w:t>
                            </w:r>
                            <w:r w:rsidR="004500DF">
                              <w:rPr>
                                <w:rFonts w:ascii="Cambria" w:hAnsi="Cambria"/>
                                <w:color w:val="595959"/>
                                <w:sz w:val="18"/>
                                <w:szCs w:val="18"/>
                                <w:lang w:val="es-ES"/>
                              </w:rPr>
                              <w:t>6</w:t>
                            </w:r>
                            <w:r w:rsidRPr="001E0363">
                              <w:rPr>
                                <w:rFonts w:ascii="Cambria" w:hAnsi="Cambria"/>
                                <w:color w:val="595959"/>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" filled="f" stroked="f" strokeweight=".5pt">
                <v:path arrowok="t"/>
                <v:textbox>
                  <w:txbxContent>
                    <w:p w:rsidR="00667DB2" w:rsidRPr="009975D1" w:rsidRDefault="00667DB2" w:rsidP="0048690F">
                      <w:pPr>
                        <w:spacing w:line="276" w:lineRule="auto"/>
                        <w:jc w:val="both"/>
                        <w:rPr>
                          <w:rFonts w:ascii="Cambria" w:hAnsi="Cambria"/>
                          <w:color w:val="595959"/>
                          <w:sz w:val="18"/>
                          <w:szCs w:val="18"/>
                          <w:lang w:val="es-ES"/>
                        </w:rPr>
                      </w:pPr>
                      <w:r w:rsidRPr="001E0363">
                        <w:rPr>
                          <w:rFonts w:ascii="Cambria" w:hAnsi="Cambria"/>
                          <w:b/>
                          <w:color w:val="595959"/>
                          <w:sz w:val="18"/>
                          <w:szCs w:val="18"/>
                          <w:lang w:val="pt-BR"/>
                        </w:rPr>
                        <w:t>Citar como:</w:t>
                      </w:r>
                      <w:r w:rsidRPr="001E0363">
                        <w:rPr>
                          <w:rFonts w:ascii="Cambria" w:hAnsi="Cambria"/>
                          <w:color w:val="595959"/>
                          <w:sz w:val="18"/>
                          <w:szCs w:val="18"/>
                          <w:lang w:val="pt-BR"/>
                        </w:rPr>
                        <w:t xml:space="preserve"> CIDH, Informe No. </w:t>
                      </w:r>
                      <w:r w:rsidR="004500DF" w:rsidRPr="004500DF">
                        <w:rPr>
                          <w:rFonts w:ascii="Cambria" w:hAnsi="Cambria"/>
                          <w:color w:val="595959"/>
                          <w:sz w:val="18"/>
                          <w:szCs w:val="18"/>
                          <w:lang w:val="pt-BR"/>
                        </w:rPr>
                        <w:t>7</w:t>
                      </w:r>
                      <w:r w:rsidR="004500DF">
                        <w:rPr>
                          <w:rFonts w:ascii="Cambria" w:hAnsi="Cambria"/>
                          <w:color w:val="595959"/>
                          <w:sz w:val="18"/>
                          <w:szCs w:val="18"/>
                          <w:lang w:val="pt-BR"/>
                        </w:rPr>
                        <w:t>7</w:t>
                      </w:r>
                      <w:r w:rsidRPr="004500DF">
                        <w:rPr>
                          <w:rFonts w:ascii="Cambria" w:hAnsi="Cambria"/>
                          <w:color w:val="595959"/>
                          <w:sz w:val="18"/>
                          <w:szCs w:val="18"/>
                          <w:lang w:val="pt-BR"/>
                        </w:rPr>
                        <w:t>/16, Caso</w:t>
                      </w:r>
                      <w:r w:rsidR="004500DF">
                        <w:rPr>
                          <w:rFonts w:ascii="Cambria" w:hAnsi="Cambria"/>
                          <w:color w:val="595959"/>
                          <w:sz w:val="18"/>
                          <w:szCs w:val="18"/>
                          <w:lang w:val="pt-BR"/>
                        </w:rPr>
                        <w:t xml:space="preserve"> 12.602</w:t>
                      </w:r>
                      <w:r w:rsidRPr="004500DF">
                        <w:rPr>
                          <w:rFonts w:ascii="Cambria" w:hAnsi="Cambria"/>
                          <w:color w:val="595959"/>
                          <w:sz w:val="18"/>
                          <w:szCs w:val="18"/>
                          <w:lang w:val="pt-BR"/>
                        </w:rPr>
                        <w:t xml:space="preserve">. </w:t>
                      </w:r>
                      <w:r w:rsidR="004500DF" w:rsidRPr="004500DF">
                        <w:rPr>
                          <w:rFonts w:ascii="Cambria" w:hAnsi="Cambria"/>
                          <w:color w:val="595959"/>
                          <w:sz w:val="18"/>
                          <w:szCs w:val="18"/>
                          <w:lang w:val="es-MX"/>
                        </w:rPr>
                        <w:t xml:space="preserve">Walter Munárriz Escobar y otros. </w:t>
                      </w:r>
                      <w:r w:rsidRPr="001E0363">
                        <w:rPr>
                          <w:rFonts w:ascii="Cambria" w:hAnsi="Cambria"/>
                          <w:color w:val="595959"/>
                          <w:sz w:val="18"/>
                          <w:szCs w:val="18"/>
                          <w:lang w:val="es-ES"/>
                        </w:rPr>
                        <w:t>Fondo. Perú.</w:t>
                      </w:r>
                      <w:r w:rsidR="004500DF">
                        <w:rPr>
                          <w:rFonts w:ascii="Cambria" w:hAnsi="Cambria"/>
                          <w:color w:val="595959"/>
                          <w:sz w:val="18"/>
                          <w:szCs w:val="18"/>
                          <w:lang w:val="es-ES"/>
                        </w:rPr>
                        <w:t xml:space="preserve"> 10</w:t>
                      </w:r>
                      <w:r w:rsidRPr="001E0363">
                        <w:rPr>
                          <w:rFonts w:ascii="Cambria" w:hAnsi="Cambria"/>
                          <w:color w:val="595959"/>
                          <w:sz w:val="18"/>
                          <w:szCs w:val="18"/>
                          <w:lang w:val="es-ES"/>
                        </w:rPr>
                        <w:t xml:space="preserve"> de</w:t>
                      </w:r>
                      <w:r w:rsidR="004500DF">
                        <w:rPr>
                          <w:rFonts w:ascii="Cambria" w:hAnsi="Cambria"/>
                          <w:color w:val="595959"/>
                          <w:sz w:val="18"/>
                          <w:szCs w:val="18"/>
                          <w:lang w:val="es-ES"/>
                        </w:rPr>
                        <w:t xml:space="preserve"> diciembre</w:t>
                      </w:r>
                      <w:r w:rsidRPr="001E0363">
                        <w:rPr>
                          <w:rFonts w:ascii="Cambria" w:hAnsi="Cambria"/>
                          <w:color w:val="595959"/>
                          <w:sz w:val="18"/>
                          <w:szCs w:val="18"/>
                          <w:lang w:val="es-ES"/>
                        </w:rPr>
                        <w:t xml:space="preserve"> de 201</w:t>
                      </w:r>
                      <w:r w:rsidR="004500DF">
                        <w:rPr>
                          <w:rFonts w:ascii="Cambria" w:hAnsi="Cambria"/>
                          <w:color w:val="595959"/>
                          <w:sz w:val="18"/>
                          <w:szCs w:val="18"/>
                          <w:lang w:val="es-ES"/>
                        </w:rPr>
                        <w:t>6</w:t>
                      </w:r>
                      <w:r w:rsidRPr="001E0363">
                        <w:rPr>
                          <w:rFonts w:ascii="Cambria" w:hAnsi="Cambria"/>
                          <w:color w:val="595959"/>
                          <w:sz w:val="18"/>
                          <w:szCs w:val="18"/>
                          <w:lang w:val="es-ES"/>
                        </w:rPr>
                        <w:t>.</w:t>
                      </w:r>
                    </w:p>
                  </w:txbxContent>
                </v:textbox>
              </v:shape>
            </w:pict>
          </mc:Fallback>
        </mc:AlternateContent>
      </w:r>
    </w:p>
    <w:p w:rsidR="00A50FCF" w:rsidRPr="00E21797" w:rsidRDefault="00A50FCF" w:rsidP="00040C3A">
      <w:pPr>
        <w:tabs>
          <w:tab w:val="center" w:pos="5400"/>
        </w:tabs>
        <w:suppressAutoHyphens/>
        <w:jc w:val="center"/>
        <w:rPr>
          <w:rFonts w:ascii="Cambria" w:hAnsi="Cambria"/>
          <w:sz w:val="20"/>
          <w:szCs w:val="20"/>
          <w:lang w:val="es-ES_tradnl"/>
        </w:rPr>
      </w:pPr>
    </w:p>
    <w:p w:rsidR="0090270B" w:rsidRPr="00E21797" w:rsidRDefault="00C52B26" w:rsidP="005516A1">
      <w:pPr>
        <w:tabs>
          <w:tab w:val="center" w:pos="5400"/>
        </w:tabs>
        <w:suppressAutoHyphens/>
        <w:jc w:val="center"/>
        <w:rPr>
          <w:rFonts w:ascii="Cambria" w:hAnsi="Cambria"/>
          <w:b/>
          <w:sz w:val="20"/>
          <w:szCs w:val="20"/>
          <w:lang w:val="es-ES_tradnl"/>
        </w:rPr>
      </w:pPr>
      <w:r>
        <w:rPr>
          <w:rFonts w:ascii="Cambria" w:hAnsi="Cambria"/>
          <w:noProof/>
          <w:sz w:val="20"/>
          <w:szCs w:val="20"/>
          <w:bdr w:val="none" w:sz="0" w:space="0" w:color="auto"/>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ysClr val="window" lastClr="FFFFFF"/>
                        </a:solidFill>
                        <a:ln w="6350">
                          <a:noFill/>
                        </a:ln>
                        <a:effectLst/>
                      </wps:spPr>
                      <wps:txbx>
                        <w:txbxContent>
                          <w:p w:rsidR="00667DB2" w:rsidRPr="009975D1" w:rsidRDefault="00667DB2" w:rsidP="00F02AD1">
                            <w:pPr>
                              <w:rPr>
                                <w:color w:val="FFFFFF"/>
                              </w:rPr>
                            </w:pPr>
                            <w:r>
                              <w:rPr>
                                <w:noProof/>
                                <w:color w:val="FFFFFF"/>
                              </w:rPr>
                              <w:drawing>
                                <wp:inline distT="0" distB="0" distL="0" distR="0">
                                  <wp:extent cx="1337310" cy="387985"/>
                                  <wp:effectExtent l="0" t="0" r="0" b="0"/>
                                  <wp:docPr id="4" name="Picture 2"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387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" fillcolor="window" stroked="f" strokeweight=".5pt">
                <v:path arrowok="t"/>
                <v:textbox>
                  <w:txbxContent>
                    <w:p w:rsidR="00667DB2" w:rsidRPr="009975D1" w:rsidRDefault="00667DB2" w:rsidP="00F02AD1">
                      <w:pPr>
                        <w:rPr>
                          <w:color w:val="FFFFFF"/>
                        </w:rPr>
                      </w:pPr>
                      <w:r>
                        <w:rPr>
                          <w:noProof/>
                          <w:color w:val="FFFFFF"/>
                        </w:rPr>
                        <w:drawing>
                          <wp:inline distT="0" distB="0" distL="0" distR="0">
                            <wp:extent cx="1337310" cy="387985"/>
                            <wp:effectExtent l="0" t="0" r="0" b="0"/>
                            <wp:docPr id="4" name="Picture 2"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310" cy="387985"/>
                                    </a:xfrm>
                                    <a:prstGeom prst="rect">
                                      <a:avLst/>
                                    </a:prstGeom>
                                    <a:noFill/>
                                    <a:ln>
                                      <a:noFill/>
                                    </a:ln>
                                  </pic:spPr>
                                </pic:pic>
                              </a:graphicData>
                            </a:graphic>
                          </wp:inline>
                        </w:drawing>
                      </w:r>
                    </w:p>
                  </w:txbxContent>
                </v:textbox>
              </v:shape>
            </w:pict>
          </mc:Fallback>
        </mc:AlternateContent>
      </w:r>
      <w:r>
        <w:rPr>
          <w:rFonts w:ascii="Cambria" w:hAnsi="Cambria"/>
          <w:noProof/>
          <w:sz w:val="20"/>
          <w:szCs w:val="20"/>
          <w:bdr w:val="none" w:sz="0" w:space="0" w:color="auto"/>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667DB2" w:rsidRPr="009975D1" w:rsidRDefault="00667DB2" w:rsidP="00D306D1">
                            <w:pPr>
                              <w:jc w:val="center"/>
                              <w:rPr>
                                <w:rFonts w:ascii="Calibri" w:hAnsi="Calibri"/>
                                <w:b/>
                                <w:color w:val="FFFFFF"/>
                              </w:rPr>
                            </w:pPr>
                            <w:r w:rsidRPr="009975D1">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" filled="f" stroked="f" strokeweight=".5pt">
                <v:path arrowok="t"/>
                <v:textbox>
                  <w:txbxContent>
                    <w:p w:rsidR="00667DB2" w:rsidRPr="009975D1" w:rsidRDefault="00667DB2" w:rsidP="00D306D1">
                      <w:pPr>
                        <w:jc w:val="center"/>
                        <w:rPr>
                          <w:rFonts w:ascii="Calibri" w:hAnsi="Calibri"/>
                          <w:b/>
                          <w:color w:val="FFFFFF"/>
                        </w:rPr>
                      </w:pPr>
                      <w:r w:rsidRPr="009975D1">
                        <w:rPr>
                          <w:rFonts w:ascii="Calibri" w:hAnsi="Calibri"/>
                          <w:b/>
                          <w:color w:val="FFFFFF"/>
                          <w:lang w:val="pt-BR"/>
                        </w:rPr>
                        <w:t>www.cidh.org</w:t>
                      </w:r>
                    </w:p>
                  </w:txbxContent>
                </v:textbox>
              </v:shape>
            </w:pict>
          </mc:Fallback>
        </mc:AlternateContent>
      </w:r>
    </w:p>
    <w:p w:rsidR="0070697F" w:rsidRPr="00E21797" w:rsidRDefault="0070697F" w:rsidP="005516A1">
      <w:pPr>
        <w:tabs>
          <w:tab w:val="center" w:pos="5400"/>
        </w:tabs>
        <w:suppressAutoHyphens/>
        <w:jc w:val="center"/>
        <w:rPr>
          <w:rFonts w:ascii="Cambria" w:hAnsi="Cambria"/>
          <w:b/>
          <w:sz w:val="20"/>
          <w:szCs w:val="20"/>
          <w:lang w:val="es-ES_tradnl"/>
        </w:rPr>
        <w:sectPr w:rsidR="0070697F" w:rsidRPr="00E21797"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436077" w:rsidRPr="00667DB2" w:rsidRDefault="00436077" w:rsidP="00436077">
      <w:pPr>
        <w:jc w:val="center"/>
        <w:rPr>
          <w:rFonts w:ascii="Cambria" w:hAnsi="Cambria"/>
          <w:b/>
          <w:sz w:val="20"/>
          <w:szCs w:val="20"/>
          <w:lang w:val="pt-BR"/>
        </w:rPr>
      </w:pPr>
      <w:r w:rsidRPr="00667DB2">
        <w:rPr>
          <w:rFonts w:ascii="Cambria" w:hAnsi="Cambria"/>
          <w:b/>
          <w:sz w:val="20"/>
          <w:szCs w:val="20"/>
          <w:lang w:val="pt-BR"/>
        </w:rPr>
        <w:lastRenderedPageBreak/>
        <w:t xml:space="preserve">INFORME No. </w:t>
      </w:r>
      <w:r w:rsidR="00C4012F">
        <w:rPr>
          <w:rFonts w:ascii="Cambria" w:hAnsi="Cambria"/>
          <w:b/>
          <w:sz w:val="20"/>
          <w:szCs w:val="20"/>
          <w:lang w:val="pt-BR"/>
        </w:rPr>
        <w:t>77</w:t>
      </w:r>
      <w:r w:rsidR="0093632F" w:rsidRPr="00667DB2">
        <w:rPr>
          <w:rFonts w:ascii="Cambria" w:hAnsi="Cambria"/>
          <w:b/>
          <w:sz w:val="20"/>
          <w:szCs w:val="20"/>
          <w:lang w:val="pt-BR"/>
        </w:rPr>
        <w:t>/</w:t>
      </w:r>
      <w:r w:rsidRPr="00667DB2">
        <w:rPr>
          <w:rFonts w:ascii="Cambria" w:hAnsi="Cambria"/>
          <w:b/>
          <w:sz w:val="20"/>
          <w:szCs w:val="20"/>
          <w:lang w:val="pt-BR"/>
        </w:rPr>
        <w:t>1</w:t>
      </w:r>
      <w:r w:rsidR="0003449A" w:rsidRPr="00667DB2">
        <w:rPr>
          <w:rFonts w:ascii="Cambria" w:hAnsi="Cambria"/>
          <w:b/>
          <w:sz w:val="20"/>
          <w:szCs w:val="20"/>
          <w:lang w:val="pt-BR"/>
        </w:rPr>
        <w:t>6</w:t>
      </w:r>
    </w:p>
    <w:p w:rsidR="0093632F" w:rsidRPr="00667DB2" w:rsidRDefault="0093632F" w:rsidP="0093632F">
      <w:pPr>
        <w:suppressAutoHyphens/>
        <w:jc w:val="center"/>
        <w:rPr>
          <w:rFonts w:ascii="Cambria" w:hAnsi="Cambria"/>
          <w:b/>
          <w:sz w:val="18"/>
          <w:szCs w:val="18"/>
          <w:lang w:val="pt-BR"/>
        </w:rPr>
      </w:pPr>
      <w:r w:rsidRPr="00667DB2">
        <w:rPr>
          <w:rFonts w:ascii="Cambria" w:hAnsi="Cambria"/>
          <w:b/>
          <w:sz w:val="18"/>
          <w:szCs w:val="18"/>
          <w:lang w:val="pt-BR"/>
        </w:rPr>
        <w:t xml:space="preserve">CASO 12.602 </w:t>
      </w:r>
    </w:p>
    <w:p w:rsidR="0093632F" w:rsidRPr="00667DB2" w:rsidRDefault="0093632F" w:rsidP="0093632F">
      <w:pPr>
        <w:suppressAutoHyphens/>
        <w:jc w:val="center"/>
        <w:rPr>
          <w:rFonts w:ascii="Cambria" w:hAnsi="Cambria"/>
          <w:sz w:val="18"/>
          <w:szCs w:val="18"/>
          <w:lang w:val="pt-BR"/>
        </w:rPr>
      </w:pPr>
      <w:r w:rsidRPr="00667DB2">
        <w:rPr>
          <w:rFonts w:ascii="Cambria" w:hAnsi="Cambria"/>
          <w:sz w:val="18"/>
          <w:szCs w:val="18"/>
          <w:lang w:val="pt-BR"/>
        </w:rPr>
        <w:t>WALTER MUNÁRRIZ ESCOBAR</w:t>
      </w:r>
    </w:p>
    <w:p w:rsidR="0093632F" w:rsidRPr="00FD5827" w:rsidRDefault="0093632F" w:rsidP="0093632F">
      <w:pPr>
        <w:suppressAutoHyphens/>
        <w:jc w:val="center"/>
        <w:rPr>
          <w:rFonts w:ascii="Cambria" w:hAnsi="Cambria"/>
          <w:sz w:val="18"/>
          <w:szCs w:val="18"/>
          <w:lang w:val="es-ES_tradnl"/>
        </w:rPr>
      </w:pPr>
      <w:r w:rsidRPr="00FD5827">
        <w:rPr>
          <w:rFonts w:ascii="Cambria" w:hAnsi="Cambria"/>
          <w:sz w:val="18"/>
          <w:szCs w:val="18"/>
          <w:lang w:val="es-ES_tradnl"/>
        </w:rPr>
        <w:t xml:space="preserve">INFORME DE FONDO </w:t>
      </w:r>
    </w:p>
    <w:p w:rsidR="0093632F" w:rsidRDefault="0093632F" w:rsidP="00436077">
      <w:pPr>
        <w:suppressAutoHyphens/>
        <w:jc w:val="center"/>
        <w:rPr>
          <w:rFonts w:ascii="Cambria" w:hAnsi="Cambria"/>
          <w:sz w:val="18"/>
          <w:szCs w:val="18"/>
          <w:lang w:val="es-ES_tradnl"/>
        </w:rPr>
      </w:pPr>
      <w:r w:rsidRPr="00FD5827">
        <w:rPr>
          <w:rFonts w:ascii="Cambria" w:hAnsi="Cambria"/>
          <w:sz w:val="18"/>
          <w:szCs w:val="18"/>
          <w:lang w:val="es-ES_tradnl"/>
        </w:rPr>
        <w:t>PERÚ</w:t>
      </w:r>
    </w:p>
    <w:p w:rsidR="00C4012F" w:rsidRDefault="00C4012F" w:rsidP="00436077">
      <w:pPr>
        <w:suppressAutoHyphens/>
        <w:jc w:val="center"/>
        <w:rPr>
          <w:rFonts w:ascii="Cambria" w:hAnsi="Cambria"/>
          <w:sz w:val="18"/>
          <w:szCs w:val="18"/>
          <w:lang w:val="es-ES_tradnl"/>
        </w:rPr>
      </w:pPr>
      <w:r>
        <w:rPr>
          <w:rFonts w:ascii="Cambria" w:hAnsi="Cambria"/>
          <w:sz w:val="18"/>
          <w:szCs w:val="18"/>
          <w:lang w:val="es-ES_tradnl"/>
        </w:rPr>
        <w:t>10 DE DICIEMBRE DE 2016</w:t>
      </w:r>
    </w:p>
    <w:p w:rsidR="0093632F" w:rsidRDefault="0093632F" w:rsidP="00436077">
      <w:pPr>
        <w:suppressAutoHyphens/>
        <w:jc w:val="center"/>
        <w:rPr>
          <w:rFonts w:ascii="Cambria" w:hAnsi="Cambria"/>
          <w:sz w:val="18"/>
          <w:szCs w:val="18"/>
          <w:lang w:val="es-ES_tradnl"/>
        </w:rPr>
      </w:pPr>
    </w:p>
    <w:p w:rsidR="0093632F" w:rsidRDefault="0093632F" w:rsidP="00436077">
      <w:pPr>
        <w:suppressAutoHyphens/>
        <w:jc w:val="center"/>
        <w:rPr>
          <w:rFonts w:ascii="Cambria" w:hAnsi="Cambria"/>
          <w:sz w:val="18"/>
          <w:szCs w:val="18"/>
          <w:lang w:val="es-ES_tradnl"/>
        </w:rPr>
      </w:pPr>
    </w:p>
    <w:p w:rsidR="00436077" w:rsidRPr="0093632F" w:rsidRDefault="00436077" w:rsidP="00436077">
      <w:pPr>
        <w:suppressAutoHyphens/>
        <w:jc w:val="center"/>
        <w:rPr>
          <w:rFonts w:ascii="Cambria" w:hAnsi="Cambria"/>
          <w:b/>
          <w:sz w:val="28"/>
          <w:szCs w:val="20"/>
        </w:rPr>
      </w:pPr>
      <w:r w:rsidRPr="0093632F">
        <w:rPr>
          <w:rFonts w:ascii="Cambria" w:hAnsi="Cambria"/>
          <w:b/>
          <w:sz w:val="28"/>
          <w:szCs w:val="20"/>
        </w:rPr>
        <w:t>ÍNDICE</w:t>
      </w:r>
    </w:p>
    <w:p w:rsidR="00436077" w:rsidRPr="00FD72F8" w:rsidRDefault="00436077" w:rsidP="00436077">
      <w:pPr>
        <w:suppressAutoHyphens/>
        <w:rPr>
          <w:rFonts w:ascii="Cambria" w:hAnsi="Cambria"/>
          <w:sz w:val="20"/>
          <w:szCs w:val="20"/>
        </w:rPr>
      </w:pPr>
    </w:p>
    <w:p w:rsidR="00436077" w:rsidRPr="00FD72F8" w:rsidRDefault="00436077" w:rsidP="00586951">
      <w:pPr>
        <w:pStyle w:val="TOC1"/>
        <w:tabs>
          <w:tab w:val="left" w:pos="720"/>
          <w:tab w:val="left" w:pos="1440"/>
          <w:tab w:val="right" w:leader="dot" w:pos="9350"/>
        </w:tabs>
        <w:rPr>
          <w:rFonts w:ascii="Cambria" w:hAnsi="Cambria"/>
          <w:sz w:val="20"/>
          <w:szCs w:val="20"/>
        </w:rPr>
      </w:pPr>
    </w:p>
    <w:p w:rsidR="00CD681D" w:rsidRPr="00520A90" w:rsidRDefault="00CD681D" w:rsidP="00FD5827">
      <w:pPr>
        <w:pStyle w:val="TOC1"/>
        <w:tabs>
          <w:tab w:val="left" w:pos="720"/>
          <w:tab w:val="left" w:pos="1440"/>
          <w:tab w:val="right" w:leader="dot" w:pos="9350"/>
        </w:tabs>
        <w:rPr>
          <w:rFonts w:ascii="Cambria" w:eastAsia="Times New Roman" w:hAnsi="Cambria"/>
          <w:noProof/>
          <w:sz w:val="20"/>
          <w:szCs w:val="20"/>
          <w:bdr w:val="none" w:sz="0" w:space="0" w:color="auto"/>
        </w:rPr>
      </w:pPr>
      <w:r w:rsidRPr="00520A90">
        <w:rPr>
          <w:rFonts w:ascii="Cambria" w:hAnsi="Cambria"/>
          <w:sz w:val="20"/>
          <w:szCs w:val="20"/>
        </w:rPr>
        <w:fldChar w:fldCharType="begin"/>
      </w:r>
      <w:r w:rsidRPr="00520A90">
        <w:rPr>
          <w:rFonts w:ascii="Cambria" w:hAnsi="Cambria"/>
          <w:sz w:val="20"/>
          <w:szCs w:val="20"/>
        </w:rPr>
        <w:instrText xml:space="preserve"> TOC \o "1-3" \h \z \u </w:instrText>
      </w:r>
      <w:r w:rsidRPr="00520A90">
        <w:rPr>
          <w:rFonts w:ascii="Cambria" w:hAnsi="Cambria"/>
          <w:sz w:val="20"/>
          <w:szCs w:val="20"/>
        </w:rPr>
        <w:fldChar w:fldCharType="separate"/>
      </w:r>
      <w:hyperlink w:anchor="_Toc467948046" w:history="1">
        <w:r w:rsidRPr="00520A90">
          <w:rPr>
            <w:rStyle w:val="Hyperlink"/>
            <w:rFonts w:ascii="Cambria" w:hAnsi="Cambria"/>
            <w:noProof/>
            <w:sz w:val="20"/>
            <w:szCs w:val="20"/>
          </w:rPr>
          <w:t>I.</w:t>
        </w:r>
        <w:r w:rsidRPr="00520A90">
          <w:rPr>
            <w:rFonts w:ascii="Cambria" w:eastAsia="Times New Roman" w:hAnsi="Cambria"/>
            <w:noProof/>
            <w:sz w:val="20"/>
            <w:szCs w:val="20"/>
            <w:bdr w:val="none" w:sz="0" w:space="0" w:color="auto"/>
          </w:rPr>
          <w:tab/>
        </w:r>
        <w:r w:rsidRPr="00520A90">
          <w:rPr>
            <w:rStyle w:val="Hyperlink"/>
            <w:rFonts w:ascii="Cambria" w:hAnsi="Cambria"/>
            <w:noProof/>
            <w:sz w:val="20"/>
            <w:szCs w:val="20"/>
          </w:rPr>
          <w:t>RESUMEN</w:t>
        </w:r>
        <w:r w:rsidRPr="00520A90">
          <w:rPr>
            <w:rFonts w:ascii="Cambria" w:hAnsi="Cambria"/>
            <w:noProof/>
            <w:webHidden/>
            <w:sz w:val="20"/>
            <w:szCs w:val="20"/>
          </w:rPr>
          <w:tab/>
        </w:r>
        <w:r w:rsidRPr="00520A90">
          <w:rPr>
            <w:rFonts w:ascii="Cambria" w:hAnsi="Cambria"/>
            <w:noProof/>
            <w:webHidden/>
            <w:sz w:val="20"/>
            <w:szCs w:val="20"/>
          </w:rPr>
          <w:fldChar w:fldCharType="begin"/>
        </w:r>
        <w:r w:rsidRPr="00520A90">
          <w:rPr>
            <w:rFonts w:ascii="Cambria" w:hAnsi="Cambria"/>
            <w:noProof/>
            <w:webHidden/>
            <w:sz w:val="20"/>
            <w:szCs w:val="20"/>
          </w:rPr>
          <w:instrText xml:space="preserve"> PAGEREF _Toc467948046 \h </w:instrText>
        </w:r>
        <w:r w:rsidRPr="00520A90">
          <w:rPr>
            <w:rFonts w:ascii="Cambria" w:hAnsi="Cambria"/>
            <w:noProof/>
            <w:webHidden/>
            <w:sz w:val="20"/>
            <w:szCs w:val="20"/>
          </w:rPr>
        </w:r>
        <w:r w:rsidRPr="00520A90">
          <w:rPr>
            <w:rFonts w:ascii="Cambria" w:hAnsi="Cambria"/>
            <w:noProof/>
            <w:webHidden/>
            <w:sz w:val="20"/>
            <w:szCs w:val="20"/>
          </w:rPr>
          <w:fldChar w:fldCharType="separate"/>
        </w:r>
        <w:r w:rsidRPr="00520A90">
          <w:rPr>
            <w:rFonts w:ascii="Cambria" w:hAnsi="Cambria"/>
            <w:noProof/>
            <w:webHidden/>
            <w:sz w:val="20"/>
            <w:szCs w:val="20"/>
          </w:rPr>
          <w:t>4</w:t>
        </w:r>
        <w:r w:rsidRPr="00520A90">
          <w:rPr>
            <w:rFonts w:ascii="Cambria" w:hAnsi="Cambria"/>
            <w:noProof/>
            <w:webHidden/>
            <w:sz w:val="20"/>
            <w:szCs w:val="20"/>
          </w:rPr>
          <w:fldChar w:fldCharType="end"/>
        </w:r>
      </w:hyperlink>
    </w:p>
    <w:p w:rsidR="00CD681D" w:rsidRPr="00520A90" w:rsidRDefault="00667DB2" w:rsidP="00FD5827">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67948047" w:history="1">
        <w:r w:rsidR="00CD681D" w:rsidRPr="00520A90">
          <w:rPr>
            <w:rStyle w:val="Hyperlink"/>
            <w:rFonts w:ascii="Cambria" w:hAnsi="Cambria"/>
            <w:noProof/>
            <w:sz w:val="20"/>
            <w:szCs w:val="20"/>
            <w:lang w:val="es-MX"/>
          </w:rPr>
          <w:t>II.</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lang w:val="es-MX"/>
          </w:rPr>
          <w:t>TRÁMITE ANTE LA CIDH</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_Toc467948047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4</w:t>
        </w:r>
        <w:r w:rsidR="00CD681D" w:rsidRPr="00520A90">
          <w:rPr>
            <w:rFonts w:ascii="Cambria" w:hAnsi="Cambria"/>
            <w:noProof/>
            <w:webHidden/>
            <w:sz w:val="20"/>
            <w:szCs w:val="20"/>
          </w:rPr>
          <w:fldChar w:fldCharType="end"/>
        </w:r>
      </w:hyperlink>
    </w:p>
    <w:p w:rsidR="00CD681D" w:rsidRPr="00520A90" w:rsidRDefault="00667DB2" w:rsidP="00FD5827">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67948048" w:history="1">
        <w:r w:rsidR="00CD681D" w:rsidRPr="00520A90">
          <w:rPr>
            <w:rStyle w:val="Hyperlink"/>
            <w:rFonts w:ascii="Cambria" w:hAnsi="Cambria"/>
            <w:noProof/>
            <w:sz w:val="20"/>
            <w:szCs w:val="20"/>
          </w:rPr>
          <w:t>III.</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rPr>
          <w:t>POSICIONES DE LAS PARTES</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_Toc467948048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5</w:t>
        </w:r>
        <w:r w:rsidR="00CD681D" w:rsidRPr="00520A90">
          <w:rPr>
            <w:rFonts w:ascii="Cambria" w:hAnsi="Cambria"/>
            <w:noProof/>
            <w:webHidden/>
            <w:sz w:val="20"/>
            <w:szCs w:val="20"/>
          </w:rPr>
          <w:fldChar w:fldCharType="end"/>
        </w:r>
      </w:hyperlink>
    </w:p>
    <w:p w:rsidR="00CD681D" w:rsidRPr="00520A90" w:rsidRDefault="00667DB2" w:rsidP="00FD5827">
      <w:pPr>
        <w:pStyle w:val="TOC2"/>
        <w:tabs>
          <w:tab w:val="left" w:pos="720"/>
        </w:tabs>
        <w:rPr>
          <w:rFonts w:ascii="Cambria" w:eastAsia="Times New Roman" w:hAnsi="Cambria"/>
          <w:noProof/>
          <w:sz w:val="20"/>
          <w:szCs w:val="20"/>
          <w:bdr w:val="none" w:sz="0" w:space="0" w:color="auto"/>
        </w:rPr>
      </w:pPr>
      <w:hyperlink w:anchor="_Toc467948049" w:history="1">
        <w:r w:rsidR="00CD681D" w:rsidRPr="00520A90">
          <w:rPr>
            <w:rStyle w:val="Hyperlink"/>
            <w:rFonts w:ascii="Cambria" w:hAnsi="Cambria"/>
            <w:noProof/>
            <w:sz w:val="20"/>
            <w:szCs w:val="20"/>
          </w:rPr>
          <w:t>A.</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lang w:val="es-ES"/>
          </w:rPr>
          <w:t>Posición</w:t>
        </w:r>
        <w:r w:rsidR="00CD681D" w:rsidRPr="00520A90">
          <w:rPr>
            <w:rStyle w:val="Hyperlink"/>
            <w:rFonts w:ascii="Cambria" w:hAnsi="Cambria"/>
            <w:noProof/>
            <w:sz w:val="20"/>
            <w:szCs w:val="20"/>
          </w:rPr>
          <w:t xml:space="preserve"> de los peticionarios</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_Toc467948049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5</w:t>
        </w:r>
        <w:r w:rsidR="00CD681D" w:rsidRPr="00520A90">
          <w:rPr>
            <w:rFonts w:ascii="Cambria" w:hAnsi="Cambria"/>
            <w:noProof/>
            <w:webHidden/>
            <w:sz w:val="20"/>
            <w:szCs w:val="20"/>
          </w:rPr>
          <w:fldChar w:fldCharType="end"/>
        </w:r>
      </w:hyperlink>
    </w:p>
    <w:p w:rsidR="00CD681D" w:rsidRPr="00520A90" w:rsidRDefault="00667DB2" w:rsidP="00FD5827">
      <w:pPr>
        <w:pStyle w:val="TOC2"/>
        <w:tabs>
          <w:tab w:val="left" w:pos="720"/>
        </w:tabs>
        <w:rPr>
          <w:rFonts w:ascii="Cambria" w:eastAsia="Times New Roman" w:hAnsi="Cambria"/>
          <w:noProof/>
          <w:sz w:val="20"/>
          <w:szCs w:val="20"/>
          <w:bdr w:val="none" w:sz="0" w:space="0" w:color="auto"/>
        </w:rPr>
      </w:pPr>
      <w:hyperlink w:anchor="_Toc467948050" w:history="1">
        <w:r w:rsidR="00CD681D" w:rsidRPr="00520A90">
          <w:rPr>
            <w:rStyle w:val="Hyperlink"/>
            <w:rFonts w:ascii="Cambria" w:hAnsi="Cambria"/>
            <w:noProof/>
            <w:sz w:val="20"/>
            <w:szCs w:val="20"/>
          </w:rPr>
          <w:t>B.</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rPr>
          <w:t>Posición del Estado</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_Toc467948050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7</w:t>
        </w:r>
        <w:r w:rsidR="00CD681D" w:rsidRPr="00520A90">
          <w:rPr>
            <w:rFonts w:ascii="Cambria" w:hAnsi="Cambria"/>
            <w:noProof/>
            <w:webHidden/>
            <w:sz w:val="20"/>
            <w:szCs w:val="20"/>
          </w:rPr>
          <w:fldChar w:fldCharType="end"/>
        </w:r>
      </w:hyperlink>
    </w:p>
    <w:p w:rsidR="00CD681D" w:rsidRPr="00520A90" w:rsidRDefault="00667DB2" w:rsidP="00FD5827">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67948051" w:history="1">
        <w:r w:rsidR="00CD681D" w:rsidRPr="00520A90">
          <w:rPr>
            <w:rStyle w:val="Hyperlink"/>
            <w:rFonts w:ascii="Cambria" w:hAnsi="Cambria"/>
            <w:noProof/>
            <w:sz w:val="20"/>
            <w:szCs w:val="20"/>
            <w:lang w:val="es-MX"/>
          </w:rPr>
          <w:t>IV.</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lang w:val="es-MX"/>
          </w:rPr>
          <w:t>HECHOS PROBADOS</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_Toc467948051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8</w:t>
        </w:r>
        <w:r w:rsidR="00CD681D" w:rsidRPr="00520A90">
          <w:rPr>
            <w:rFonts w:ascii="Cambria" w:hAnsi="Cambria"/>
            <w:noProof/>
            <w:webHidden/>
            <w:sz w:val="20"/>
            <w:szCs w:val="20"/>
          </w:rPr>
          <w:fldChar w:fldCharType="end"/>
        </w:r>
      </w:hyperlink>
    </w:p>
    <w:p w:rsidR="00CD681D" w:rsidRPr="00520A90" w:rsidRDefault="00667DB2" w:rsidP="00FD5827">
      <w:pPr>
        <w:pStyle w:val="TOC2"/>
        <w:tabs>
          <w:tab w:val="left" w:pos="720"/>
        </w:tabs>
        <w:rPr>
          <w:rFonts w:ascii="Cambria" w:eastAsia="Times New Roman" w:hAnsi="Cambria"/>
          <w:noProof/>
          <w:sz w:val="20"/>
          <w:szCs w:val="20"/>
          <w:bdr w:val="none" w:sz="0" w:space="0" w:color="auto"/>
        </w:rPr>
      </w:pPr>
      <w:hyperlink w:anchor="_Toc467948052" w:history="1">
        <w:r w:rsidR="00CD681D" w:rsidRPr="00520A90">
          <w:rPr>
            <w:rStyle w:val="Hyperlink"/>
            <w:rFonts w:ascii="Cambria" w:hAnsi="Cambria"/>
            <w:noProof/>
            <w:sz w:val="20"/>
            <w:szCs w:val="20"/>
            <w:lang w:val="es-ES"/>
          </w:rPr>
          <w:t>A.</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lang w:val="es-ES"/>
          </w:rPr>
          <w:t>Detención y desaparición de Walter Munárriz Escobar</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_Toc467948052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9</w:t>
        </w:r>
        <w:r w:rsidR="00CD681D" w:rsidRPr="00520A90">
          <w:rPr>
            <w:rFonts w:ascii="Cambria" w:hAnsi="Cambria"/>
            <w:noProof/>
            <w:webHidden/>
            <w:sz w:val="20"/>
            <w:szCs w:val="20"/>
          </w:rPr>
          <w:fldChar w:fldCharType="end"/>
        </w:r>
      </w:hyperlink>
    </w:p>
    <w:p w:rsidR="00CD681D" w:rsidRPr="00520A90" w:rsidRDefault="00667DB2" w:rsidP="00FD5827">
      <w:pPr>
        <w:pStyle w:val="TOC2"/>
        <w:tabs>
          <w:tab w:val="left" w:pos="720"/>
        </w:tabs>
        <w:rPr>
          <w:rFonts w:ascii="Cambria" w:eastAsia="Times New Roman" w:hAnsi="Cambria"/>
          <w:noProof/>
          <w:sz w:val="20"/>
          <w:szCs w:val="20"/>
          <w:bdr w:val="none" w:sz="0" w:space="0" w:color="auto"/>
        </w:rPr>
      </w:pPr>
      <w:hyperlink w:anchor="_Toc467948053" w:history="1">
        <w:r w:rsidR="00CD681D" w:rsidRPr="00520A90">
          <w:rPr>
            <w:rStyle w:val="Hyperlink"/>
            <w:rFonts w:ascii="Cambria" w:hAnsi="Cambria"/>
            <w:noProof/>
            <w:sz w:val="20"/>
            <w:szCs w:val="20"/>
            <w:lang w:val="es-MX"/>
          </w:rPr>
          <w:t>B.</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lang w:val="es-MX"/>
          </w:rPr>
          <w:t>Procesos internos relacionados con la desaparición de Walter Munárriz Escobar</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_Toc467948053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11</w:t>
        </w:r>
        <w:r w:rsidR="00CD681D" w:rsidRPr="00520A90">
          <w:rPr>
            <w:rFonts w:ascii="Cambria" w:hAnsi="Cambria"/>
            <w:noProof/>
            <w:webHidden/>
            <w:sz w:val="20"/>
            <w:szCs w:val="20"/>
          </w:rPr>
          <w:fldChar w:fldCharType="end"/>
        </w:r>
      </w:hyperlink>
    </w:p>
    <w:p w:rsidR="00CD681D" w:rsidRPr="00520A90" w:rsidRDefault="00667DB2" w:rsidP="00FD5827">
      <w:pPr>
        <w:pStyle w:val="TOC3"/>
        <w:tabs>
          <w:tab w:val="left" w:pos="720"/>
          <w:tab w:val="left" w:pos="2160"/>
        </w:tabs>
        <w:rPr>
          <w:rFonts w:ascii="Cambria" w:eastAsia="Times New Roman" w:hAnsi="Cambria"/>
          <w:noProof/>
          <w:sz w:val="20"/>
          <w:szCs w:val="20"/>
          <w:bdr w:val="none" w:sz="0" w:space="0" w:color="auto"/>
        </w:rPr>
      </w:pPr>
      <w:hyperlink w:anchor="_Toc467948054" w:history="1">
        <w:r w:rsidR="00CD681D" w:rsidRPr="00520A90">
          <w:rPr>
            <w:rStyle w:val="Hyperlink"/>
            <w:rFonts w:ascii="Cambria" w:hAnsi="Cambria"/>
            <w:noProof/>
            <w:sz w:val="20"/>
            <w:szCs w:val="20"/>
            <w:lang w:val="es-MX"/>
          </w:rPr>
          <w:t>1.</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lang w:val="es-MX"/>
          </w:rPr>
          <w:t>Investigación penal</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_Toc467948054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11</w:t>
        </w:r>
        <w:r w:rsidR="00CD681D" w:rsidRPr="00520A90">
          <w:rPr>
            <w:rFonts w:ascii="Cambria" w:hAnsi="Cambria"/>
            <w:noProof/>
            <w:webHidden/>
            <w:sz w:val="20"/>
            <w:szCs w:val="20"/>
          </w:rPr>
          <w:fldChar w:fldCharType="end"/>
        </w:r>
      </w:hyperlink>
    </w:p>
    <w:p w:rsidR="00CD681D" w:rsidRPr="00520A90" w:rsidRDefault="00667DB2" w:rsidP="00FD5827">
      <w:pPr>
        <w:pStyle w:val="TOC3"/>
        <w:tabs>
          <w:tab w:val="left" w:pos="720"/>
          <w:tab w:val="left" w:pos="2160"/>
        </w:tabs>
        <w:rPr>
          <w:rFonts w:ascii="Cambria" w:eastAsia="Times New Roman" w:hAnsi="Cambria"/>
          <w:noProof/>
          <w:sz w:val="20"/>
          <w:szCs w:val="20"/>
          <w:bdr w:val="none" w:sz="0" w:space="0" w:color="auto"/>
        </w:rPr>
      </w:pPr>
      <w:hyperlink w:anchor="_Toc467948055" w:history="1">
        <w:r w:rsidR="00CD681D" w:rsidRPr="00520A90">
          <w:rPr>
            <w:rStyle w:val="Hyperlink"/>
            <w:rFonts w:ascii="Cambria" w:hAnsi="Cambria"/>
            <w:noProof/>
            <w:sz w:val="20"/>
            <w:szCs w:val="20"/>
            <w:lang w:val="es-MX"/>
          </w:rPr>
          <w:t>2.</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lang w:val="es-MX"/>
          </w:rPr>
          <w:t>Proceso disciplinario</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_Toc467948055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16</w:t>
        </w:r>
        <w:r w:rsidR="00CD681D" w:rsidRPr="00520A90">
          <w:rPr>
            <w:rFonts w:ascii="Cambria" w:hAnsi="Cambria"/>
            <w:noProof/>
            <w:webHidden/>
            <w:sz w:val="20"/>
            <w:szCs w:val="20"/>
          </w:rPr>
          <w:fldChar w:fldCharType="end"/>
        </w:r>
      </w:hyperlink>
    </w:p>
    <w:p w:rsidR="00CD681D" w:rsidRPr="00520A90" w:rsidRDefault="00667DB2" w:rsidP="00FD5827">
      <w:pPr>
        <w:pStyle w:val="TOC3"/>
        <w:tabs>
          <w:tab w:val="left" w:pos="720"/>
          <w:tab w:val="left" w:pos="2160"/>
        </w:tabs>
        <w:rPr>
          <w:rFonts w:ascii="Cambria" w:eastAsia="Times New Roman" w:hAnsi="Cambria"/>
          <w:noProof/>
          <w:sz w:val="20"/>
          <w:szCs w:val="20"/>
          <w:bdr w:val="none" w:sz="0" w:space="0" w:color="auto"/>
        </w:rPr>
      </w:pPr>
      <w:hyperlink w:anchor="_Toc467948056" w:history="1">
        <w:r w:rsidR="00CD681D" w:rsidRPr="00520A90">
          <w:rPr>
            <w:rStyle w:val="Hyperlink"/>
            <w:rFonts w:ascii="Cambria" w:hAnsi="Cambria"/>
            <w:noProof/>
            <w:sz w:val="20"/>
            <w:szCs w:val="20"/>
            <w:lang w:val="es-MX"/>
          </w:rPr>
          <w:t>3.</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lang w:val="es-MX"/>
          </w:rPr>
          <w:t>Investigación de la Defensoría del Pueblo</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_Toc467948056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17</w:t>
        </w:r>
        <w:r w:rsidR="00CD681D" w:rsidRPr="00520A90">
          <w:rPr>
            <w:rFonts w:ascii="Cambria" w:hAnsi="Cambria"/>
            <w:noProof/>
            <w:webHidden/>
            <w:sz w:val="20"/>
            <w:szCs w:val="20"/>
          </w:rPr>
          <w:fldChar w:fldCharType="end"/>
        </w:r>
      </w:hyperlink>
    </w:p>
    <w:p w:rsidR="00CD681D" w:rsidRPr="00520A90" w:rsidRDefault="00667DB2" w:rsidP="00FD5827">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67948057" w:history="1">
        <w:r w:rsidR="00CD681D" w:rsidRPr="00520A90">
          <w:rPr>
            <w:rStyle w:val="Hyperlink"/>
            <w:rFonts w:ascii="Cambria" w:eastAsia="Times New Roman" w:hAnsi="Cambria"/>
            <w:bCs/>
            <w:noProof/>
            <w:sz w:val="20"/>
            <w:szCs w:val="20"/>
            <w:lang w:val="es-ES"/>
          </w:rPr>
          <w:t>V.</w:t>
        </w:r>
        <w:r w:rsidR="00CD681D" w:rsidRPr="00520A90">
          <w:rPr>
            <w:rFonts w:ascii="Cambria" w:eastAsia="Times New Roman" w:hAnsi="Cambria"/>
            <w:noProof/>
            <w:sz w:val="20"/>
            <w:szCs w:val="20"/>
            <w:bdr w:val="none" w:sz="0" w:space="0" w:color="auto"/>
          </w:rPr>
          <w:tab/>
        </w:r>
        <w:r w:rsidR="00CD681D" w:rsidRPr="00520A90">
          <w:rPr>
            <w:rStyle w:val="Hyperlink"/>
            <w:rFonts w:ascii="Cambria" w:eastAsia="Times New Roman" w:hAnsi="Cambria"/>
            <w:bCs/>
            <w:noProof/>
            <w:sz w:val="20"/>
            <w:szCs w:val="20"/>
            <w:lang w:val="es-ES"/>
          </w:rPr>
          <w:t>ANÁLISIS DE DERECHO</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_Toc467948057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19</w:t>
        </w:r>
        <w:r w:rsidR="00CD681D" w:rsidRPr="00520A90">
          <w:rPr>
            <w:rFonts w:ascii="Cambria" w:hAnsi="Cambria"/>
            <w:noProof/>
            <w:webHidden/>
            <w:sz w:val="20"/>
            <w:szCs w:val="20"/>
          </w:rPr>
          <w:fldChar w:fldCharType="end"/>
        </w:r>
      </w:hyperlink>
    </w:p>
    <w:p w:rsidR="00CD681D" w:rsidRPr="00520A90" w:rsidRDefault="00667DB2" w:rsidP="00FD5827">
      <w:pPr>
        <w:pStyle w:val="TOC2"/>
        <w:tabs>
          <w:tab w:val="left" w:pos="720"/>
        </w:tabs>
        <w:rPr>
          <w:rFonts w:ascii="Cambria" w:eastAsia="Times New Roman" w:hAnsi="Cambria"/>
          <w:noProof/>
          <w:sz w:val="20"/>
          <w:szCs w:val="20"/>
          <w:bdr w:val="none" w:sz="0" w:space="0" w:color="auto"/>
        </w:rPr>
      </w:pPr>
      <w:hyperlink w:anchor="_Toc467948058" w:history="1">
        <w:r w:rsidR="00CD681D" w:rsidRPr="00520A90">
          <w:rPr>
            <w:rStyle w:val="Hyperlink"/>
            <w:rFonts w:ascii="Cambria" w:hAnsi="Cambria"/>
            <w:noProof/>
            <w:sz w:val="20"/>
            <w:szCs w:val="20"/>
            <w:lang w:val="es-ES"/>
          </w:rPr>
          <w:t>A.</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lang w:val="es-ES"/>
          </w:rPr>
          <w:t>Derechos al reconocimiento de la personalidad jurídica, a la libertad personal, a la integridad personal y a la vida (Artículos 3.1, 7.1, 7.2, 7.3, 7.4, 7.5, 5.1, 5.2 y 4.1, en relación con el 1.1 de la Convención Americana); obligación prevista en el artículo I. a) de la Convención Interamericana sobre Desaparición Forzada de Personas y en los artículos 1 y 6 de la Convención Interamericana para Prevenir y Sancionar la Tortura</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_Toc467948058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19</w:t>
        </w:r>
        <w:r w:rsidR="00CD681D" w:rsidRPr="00520A90">
          <w:rPr>
            <w:rFonts w:ascii="Cambria" w:hAnsi="Cambria"/>
            <w:noProof/>
            <w:webHidden/>
            <w:sz w:val="20"/>
            <w:szCs w:val="20"/>
          </w:rPr>
          <w:fldChar w:fldCharType="end"/>
        </w:r>
      </w:hyperlink>
    </w:p>
    <w:p w:rsidR="00CD681D" w:rsidRPr="00520A90" w:rsidRDefault="00667DB2" w:rsidP="00FD5827">
      <w:pPr>
        <w:pStyle w:val="TOC3"/>
        <w:tabs>
          <w:tab w:val="left" w:pos="720"/>
          <w:tab w:val="left" w:pos="2160"/>
        </w:tabs>
        <w:rPr>
          <w:rFonts w:ascii="Cambria" w:eastAsia="Times New Roman" w:hAnsi="Cambria"/>
          <w:noProof/>
          <w:sz w:val="20"/>
          <w:szCs w:val="20"/>
          <w:bdr w:val="none" w:sz="0" w:space="0" w:color="auto"/>
        </w:rPr>
      </w:pPr>
      <w:hyperlink w:anchor="_Toc467948059" w:history="1">
        <w:r w:rsidR="00CD681D" w:rsidRPr="00520A90">
          <w:rPr>
            <w:rStyle w:val="Hyperlink"/>
            <w:rFonts w:ascii="Cambria" w:eastAsia="Times New Roman" w:hAnsi="Cambria" w:cs="Arial"/>
            <w:noProof/>
            <w:sz w:val="20"/>
            <w:szCs w:val="20"/>
            <w:lang w:val="es-MX"/>
          </w:rPr>
          <w:t>1.</w:t>
        </w:r>
        <w:r w:rsidR="00CD681D" w:rsidRPr="00520A90">
          <w:rPr>
            <w:rFonts w:ascii="Cambria" w:eastAsia="Times New Roman" w:hAnsi="Cambria"/>
            <w:noProof/>
            <w:sz w:val="20"/>
            <w:szCs w:val="20"/>
            <w:bdr w:val="none" w:sz="0" w:space="0" w:color="auto"/>
          </w:rPr>
          <w:tab/>
        </w:r>
        <w:r w:rsidR="00CD681D" w:rsidRPr="00520A90">
          <w:rPr>
            <w:rStyle w:val="Hyperlink"/>
            <w:rFonts w:ascii="Cambria" w:eastAsia="Times New Roman" w:hAnsi="Cambria" w:cs="Arial"/>
            <w:bCs/>
            <w:noProof/>
            <w:sz w:val="20"/>
            <w:szCs w:val="20"/>
            <w:lang w:val="es-MX"/>
          </w:rPr>
          <w:t>Consideraciones generales sobre la desaparición forzada de personas</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_Toc467948059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21</w:t>
        </w:r>
        <w:r w:rsidR="00CD681D" w:rsidRPr="00520A90">
          <w:rPr>
            <w:rFonts w:ascii="Cambria" w:hAnsi="Cambria"/>
            <w:noProof/>
            <w:webHidden/>
            <w:sz w:val="20"/>
            <w:szCs w:val="20"/>
          </w:rPr>
          <w:fldChar w:fldCharType="end"/>
        </w:r>
      </w:hyperlink>
    </w:p>
    <w:p w:rsidR="00CD681D" w:rsidRPr="00520A90" w:rsidRDefault="00667DB2" w:rsidP="00FD5827">
      <w:pPr>
        <w:pStyle w:val="TOC3"/>
        <w:tabs>
          <w:tab w:val="left" w:pos="720"/>
          <w:tab w:val="left" w:pos="2160"/>
        </w:tabs>
        <w:rPr>
          <w:rFonts w:ascii="Cambria" w:eastAsia="Times New Roman" w:hAnsi="Cambria"/>
          <w:noProof/>
          <w:sz w:val="20"/>
          <w:szCs w:val="20"/>
          <w:bdr w:val="none" w:sz="0" w:space="0" w:color="auto"/>
        </w:rPr>
      </w:pPr>
      <w:hyperlink w:anchor="_Toc467948060" w:history="1">
        <w:r w:rsidR="00CD681D" w:rsidRPr="00520A90">
          <w:rPr>
            <w:rStyle w:val="Hyperlink"/>
            <w:rFonts w:ascii="Cambria" w:eastAsia="Times New Roman" w:hAnsi="Cambria" w:cs="Arial"/>
            <w:noProof/>
            <w:sz w:val="20"/>
            <w:szCs w:val="20"/>
            <w:lang w:val="es-MX"/>
          </w:rPr>
          <w:t>2.</w:t>
        </w:r>
        <w:r w:rsidR="00CD681D" w:rsidRPr="00520A90">
          <w:rPr>
            <w:rFonts w:ascii="Cambria" w:eastAsia="Times New Roman" w:hAnsi="Cambria"/>
            <w:noProof/>
            <w:sz w:val="20"/>
            <w:szCs w:val="20"/>
            <w:bdr w:val="none" w:sz="0" w:space="0" w:color="auto"/>
          </w:rPr>
          <w:tab/>
        </w:r>
        <w:r w:rsidR="00CD681D" w:rsidRPr="00520A90">
          <w:rPr>
            <w:rStyle w:val="Hyperlink"/>
            <w:rFonts w:ascii="Cambria" w:eastAsia="Times New Roman" w:hAnsi="Cambria" w:cs="Arial"/>
            <w:bCs/>
            <w:noProof/>
            <w:sz w:val="20"/>
            <w:szCs w:val="20"/>
            <w:lang w:val="es-MX"/>
          </w:rPr>
          <w:t>Análisis del caso concreto</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_Toc467948060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23</w:t>
        </w:r>
        <w:r w:rsidR="00CD681D" w:rsidRPr="00520A90">
          <w:rPr>
            <w:rFonts w:ascii="Cambria" w:hAnsi="Cambria"/>
            <w:noProof/>
            <w:webHidden/>
            <w:sz w:val="20"/>
            <w:szCs w:val="20"/>
          </w:rPr>
          <w:fldChar w:fldCharType="end"/>
        </w:r>
      </w:hyperlink>
    </w:p>
    <w:p w:rsidR="00CD681D" w:rsidRPr="00520A90" w:rsidRDefault="00667DB2" w:rsidP="00FD5827">
      <w:pPr>
        <w:pStyle w:val="TOC2"/>
        <w:tabs>
          <w:tab w:val="left" w:pos="720"/>
        </w:tabs>
        <w:rPr>
          <w:rFonts w:ascii="Cambria" w:eastAsia="Times New Roman" w:hAnsi="Cambria"/>
          <w:noProof/>
          <w:sz w:val="20"/>
          <w:szCs w:val="20"/>
          <w:bdr w:val="none" w:sz="0" w:space="0" w:color="auto"/>
        </w:rPr>
      </w:pPr>
      <w:hyperlink w:anchor="_Toc467948061" w:history="1">
        <w:r w:rsidR="00CD681D" w:rsidRPr="00520A90">
          <w:rPr>
            <w:rStyle w:val="Hyperlink"/>
            <w:rFonts w:ascii="Cambria" w:eastAsia="Times New Roman" w:hAnsi="Cambria" w:cs="Arial"/>
            <w:noProof/>
            <w:sz w:val="20"/>
            <w:szCs w:val="20"/>
            <w:lang w:val="es-ES"/>
          </w:rPr>
          <w:t>B.</w:t>
        </w:r>
        <w:r w:rsidR="00CD681D" w:rsidRPr="00520A90">
          <w:rPr>
            <w:rFonts w:ascii="Cambria" w:eastAsia="Times New Roman" w:hAnsi="Cambria"/>
            <w:noProof/>
            <w:sz w:val="20"/>
            <w:szCs w:val="20"/>
            <w:bdr w:val="none" w:sz="0" w:space="0" w:color="auto"/>
          </w:rPr>
          <w:tab/>
        </w:r>
        <w:r w:rsidR="00CD681D" w:rsidRPr="00520A90">
          <w:rPr>
            <w:rStyle w:val="Hyperlink"/>
            <w:rFonts w:ascii="Cambria" w:eastAsia="Times New Roman" w:hAnsi="Cambria" w:cs="Arial"/>
            <w:bCs/>
            <w:iCs/>
            <w:noProof/>
            <w:sz w:val="20"/>
            <w:szCs w:val="20"/>
            <w:lang w:val="es-ES"/>
          </w:rPr>
          <w:t>Derecho a las garantías judiciales y protección judicial (artículos 8.1 y 25.1 de la Convención Americana) en relación con la obligación de respetar los derechos humanos (artículo 1.1 del mismo instrumento) y con la obligación de adoptad disposiciones de derecho interno, artículo I. b  de la Convención Interamericana sobre Desaparición Forzada de Personas y artículos 1, 6 y 8 de la Convención Interamericana para Prevenir y Sancionar la Tortura</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_Toc467948061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27</w:t>
        </w:r>
        <w:r w:rsidR="00CD681D" w:rsidRPr="00520A90">
          <w:rPr>
            <w:rFonts w:ascii="Cambria" w:hAnsi="Cambria"/>
            <w:noProof/>
            <w:webHidden/>
            <w:sz w:val="20"/>
            <w:szCs w:val="20"/>
          </w:rPr>
          <w:fldChar w:fldCharType="end"/>
        </w:r>
      </w:hyperlink>
    </w:p>
    <w:p w:rsidR="00CD681D" w:rsidRPr="00520A90" w:rsidRDefault="00667DB2" w:rsidP="00FD5827">
      <w:pPr>
        <w:pStyle w:val="TOC3"/>
        <w:tabs>
          <w:tab w:val="left" w:pos="720"/>
          <w:tab w:val="left" w:pos="2160"/>
        </w:tabs>
        <w:rPr>
          <w:rFonts w:ascii="Cambria" w:eastAsia="Times New Roman" w:hAnsi="Cambria"/>
          <w:noProof/>
          <w:sz w:val="20"/>
          <w:szCs w:val="20"/>
          <w:bdr w:val="none" w:sz="0" w:space="0" w:color="auto"/>
        </w:rPr>
      </w:pPr>
      <w:hyperlink w:anchor="_Toc467948062" w:history="1">
        <w:r w:rsidR="00CD681D" w:rsidRPr="00520A90">
          <w:rPr>
            <w:rStyle w:val="Hyperlink"/>
            <w:rFonts w:ascii="Cambria" w:hAnsi="Cambria"/>
            <w:noProof/>
            <w:sz w:val="20"/>
            <w:szCs w:val="20"/>
            <w:lang w:val="es-MX"/>
          </w:rPr>
          <w:t>1.</w:t>
        </w:r>
        <w:r w:rsidR="00CD681D" w:rsidRPr="00520A90">
          <w:rPr>
            <w:rFonts w:ascii="Cambria" w:eastAsia="Times New Roman" w:hAnsi="Cambria"/>
            <w:noProof/>
            <w:sz w:val="20"/>
            <w:szCs w:val="20"/>
            <w:bdr w:val="none" w:sz="0" w:space="0" w:color="auto"/>
          </w:rPr>
          <w:tab/>
        </w:r>
        <w:r w:rsidR="00CD681D" w:rsidRPr="00520A90">
          <w:rPr>
            <w:rStyle w:val="Hyperlink"/>
            <w:rFonts w:ascii="Cambria" w:hAnsi="Cambria"/>
            <w:noProof/>
            <w:sz w:val="20"/>
            <w:szCs w:val="20"/>
            <w:lang w:val="es-MX"/>
          </w:rPr>
          <w:t>Consideraciones generales sobre el deber de investigar en casos de desaparición forzada</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_Toc467948062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28</w:t>
        </w:r>
        <w:r w:rsidR="00CD681D" w:rsidRPr="00520A90">
          <w:rPr>
            <w:rFonts w:ascii="Cambria" w:hAnsi="Cambria"/>
            <w:noProof/>
            <w:webHidden/>
            <w:sz w:val="20"/>
            <w:szCs w:val="20"/>
          </w:rPr>
          <w:fldChar w:fldCharType="end"/>
        </w:r>
      </w:hyperlink>
    </w:p>
    <w:p w:rsidR="00CD681D" w:rsidRPr="00520A90" w:rsidRDefault="00667DB2" w:rsidP="00FD5827">
      <w:pPr>
        <w:pStyle w:val="TOC3"/>
        <w:tabs>
          <w:tab w:val="left" w:pos="720"/>
          <w:tab w:val="left" w:pos="2160"/>
        </w:tabs>
        <w:rPr>
          <w:rFonts w:ascii="Cambria" w:eastAsia="Times New Roman" w:hAnsi="Cambria"/>
          <w:noProof/>
          <w:sz w:val="20"/>
          <w:szCs w:val="20"/>
          <w:bdr w:val="none" w:sz="0" w:space="0" w:color="auto"/>
        </w:rPr>
      </w:pPr>
      <w:hyperlink w:anchor="_Toc467948063" w:history="1">
        <w:r w:rsidR="00CD681D" w:rsidRPr="00520A90">
          <w:rPr>
            <w:rStyle w:val="Hyperlink"/>
            <w:rFonts w:ascii="Cambria" w:eastAsia="Times New Roman" w:hAnsi="Cambria" w:cs="Arial"/>
            <w:noProof/>
            <w:sz w:val="20"/>
            <w:szCs w:val="20"/>
            <w:u w:color="000000"/>
            <w:lang w:val="es-MX"/>
          </w:rPr>
          <w:t>2.</w:t>
        </w:r>
        <w:r w:rsidR="00CD681D" w:rsidRPr="00520A90">
          <w:rPr>
            <w:rFonts w:ascii="Cambria" w:eastAsia="Times New Roman" w:hAnsi="Cambria"/>
            <w:noProof/>
            <w:sz w:val="20"/>
            <w:szCs w:val="20"/>
            <w:bdr w:val="none" w:sz="0" w:space="0" w:color="auto"/>
          </w:rPr>
          <w:tab/>
        </w:r>
        <w:r w:rsidR="00CD681D" w:rsidRPr="00520A90">
          <w:rPr>
            <w:rStyle w:val="Hyperlink"/>
            <w:rFonts w:ascii="Cambria" w:eastAsia="Times New Roman" w:hAnsi="Cambria" w:cs="Arial"/>
            <w:bCs/>
            <w:noProof/>
            <w:sz w:val="20"/>
            <w:szCs w:val="20"/>
            <w:u w:color="000000"/>
            <w:lang w:val="es-MX"/>
          </w:rPr>
          <w:t>Análisis de si el Estado cumplió con su obligación de investigar con la debida diligencia y en un plazo razonable</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_Toc467948063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31</w:t>
        </w:r>
        <w:r w:rsidR="00CD681D" w:rsidRPr="00520A90">
          <w:rPr>
            <w:rFonts w:ascii="Cambria" w:hAnsi="Cambria"/>
            <w:noProof/>
            <w:webHidden/>
            <w:sz w:val="20"/>
            <w:szCs w:val="20"/>
          </w:rPr>
          <w:fldChar w:fldCharType="end"/>
        </w:r>
      </w:hyperlink>
    </w:p>
    <w:p w:rsidR="00CD681D" w:rsidRPr="00520A90" w:rsidRDefault="00667DB2" w:rsidP="00FD5827">
      <w:pPr>
        <w:pStyle w:val="TOC2"/>
        <w:tabs>
          <w:tab w:val="left" w:pos="720"/>
        </w:tabs>
        <w:rPr>
          <w:rFonts w:ascii="Cambria" w:eastAsia="Times New Roman" w:hAnsi="Cambria"/>
          <w:noProof/>
          <w:sz w:val="20"/>
          <w:szCs w:val="20"/>
          <w:bdr w:val="none" w:sz="0" w:space="0" w:color="auto"/>
        </w:rPr>
      </w:pPr>
      <w:hyperlink w:anchor="_Toc467948064" w:history="1">
        <w:r w:rsidR="00CD681D" w:rsidRPr="00520A90">
          <w:rPr>
            <w:rStyle w:val="Hyperlink"/>
            <w:rFonts w:ascii="Cambria" w:eastAsia="Times New Roman" w:hAnsi="Cambria" w:cs="Arial"/>
            <w:noProof/>
            <w:sz w:val="20"/>
            <w:szCs w:val="20"/>
            <w:lang w:val="es-ES"/>
          </w:rPr>
          <w:t>C.</w:t>
        </w:r>
        <w:r w:rsidR="00CD681D" w:rsidRPr="00520A90">
          <w:rPr>
            <w:rFonts w:ascii="Cambria" w:eastAsia="Times New Roman" w:hAnsi="Cambria"/>
            <w:noProof/>
            <w:sz w:val="20"/>
            <w:szCs w:val="20"/>
            <w:bdr w:val="none" w:sz="0" w:space="0" w:color="auto"/>
          </w:rPr>
          <w:tab/>
        </w:r>
        <w:r w:rsidR="00CD681D" w:rsidRPr="00520A90">
          <w:rPr>
            <w:rStyle w:val="Hyperlink"/>
            <w:rFonts w:ascii="Cambria" w:eastAsia="Times New Roman" w:hAnsi="Cambria" w:cs="Arial"/>
            <w:bCs/>
            <w:iCs/>
            <w:noProof/>
            <w:sz w:val="20"/>
            <w:szCs w:val="20"/>
            <w:lang w:val="es-ES"/>
          </w:rPr>
          <w:t>Obligación de adoptar disposiciones de derecho interno relacionada con la tipificación del delito de desaparición forzada de personas (artículo 2 de la Convención Americana y III de la Convención Interamericana sobre Desaparición Forzada de Personas)</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_Toc467948064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33</w:t>
        </w:r>
        <w:r w:rsidR="00CD681D" w:rsidRPr="00520A90">
          <w:rPr>
            <w:rFonts w:ascii="Cambria" w:hAnsi="Cambria"/>
            <w:noProof/>
            <w:webHidden/>
            <w:sz w:val="20"/>
            <w:szCs w:val="20"/>
          </w:rPr>
          <w:fldChar w:fldCharType="end"/>
        </w:r>
      </w:hyperlink>
    </w:p>
    <w:p w:rsidR="00CD681D" w:rsidRPr="00520A90" w:rsidRDefault="00667DB2" w:rsidP="00FD5827">
      <w:pPr>
        <w:pStyle w:val="TOC2"/>
        <w:tabs>
          <w:tab w:val="left" w:pos="720"/>
        </w:tabs>
        <w:rPr>
          <w:rFonts w:ascii="Cambria" w:eastAsia="Times New Roman" w:hAnsi="Cambria"/>
          <w:noProof/>
          <w:sz w:val="20"/>
          <w:szCs w:val="20"/>
          <w:bdr w:val="none" w:sz="0" w:space="0" w:color="auto"/>
        </w:rPr>
      </w:pPr>
      <w:hyperlink w:anchor="_Toc467948065" w:history="1">
        <w:r w:rsidR="00CD681D" w:rsidRPr="00520A90">
          <w:rPr>
            <w:rStyle w:val="Hyperlink"/>
            <w:rFonts w:ascii="Cambria" w:eastAsia="Times New Roman" w:hAnsi="Cambria" w:cs="Arial"/>
            <w:noProof/>
            <w:sz w:val="20"/>
            <w:szCs w:val="20"/>
            <w:lang w:val="es-ES"/>
          </w:rPr>
          <w:t>D.</w:t>
        </w:r>
        <w:r w:rsidR="00CD681D" w:rsidRPr="00520A90">
          <w:rPr>
            <w:rFonts w:ascii="Cambria" w:eastAsia="Times New Roman" w:hAnsi="Cambria"/>
            <w:noProof/>
            <w:sz w:val="20"/>
            <w:szCs w:val="20"/>
            <w:bdr w:val="none" w:sz="0" w:space="0" w:color="auto"/>
          </w:rPr>
          <w:tab/>
        </w:r>
        <w:r w:rsidR="00CD681D" w:rsidRPr="00520A90">
          <w:rPr>
            <w:rStyle w:val="Hyperlink"/>
            <w:rFonts w:ascii="Cambria" w:eastAsia="Times New Roman" w:hAnsi="Cambria" w:cs="Arial"/>
            <w:bCs/>
            <w:iCs/>
            <w:noProof/>
            <w:sz w:val="20"/>
            <w:szCs w:val="20"/>
            <w:lang w:val="es-ES"/>
          </w:rPr>
          <w:t>Derecho a la integridad de los familiares de las víctimas (artículos 5.1 con relación al 1.1 de la Convención Americana sobre Derechos Humanos)</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_Toc467948065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34</w:t>
        </w:r>
        <w:r w:rsidR="00CD681D" w:rsidRPr="00520A90">
          <w:rPr>
            <w:rFonts w:ascii="Cambria" w:hAnsi="Cambria"/>
            <w:noProof/>
            <w:webHidden/>
            <w:sz w:val="20"/>
            <w:szCs w:val="20"/>
          </w:rPr>
          <w:fldChar w:fldCharType="end"/>
        </w:r>
      </w:hyperlink>
    </w:p>
    <w:p w:rsidR="00CD681D" w:rsidRPr="00520A90" w:rsidRDefault="00667DB2" w:rsidP="00FD5827">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67948066" w:history="1">
        <w:r w:rsidR="00CD681D" w:rsidRPr="00520A90">
          <w:rPr>
            <w:rStyle w:val="Hyperlink"/>
            <w:rFonts w:ascii="Cambria" w:eastAsia="Times New Roman" w:hAnsi="Cambria"/>
            <w:bCs/>
            <w:noProof/>
            <w:sz w:val="20"/>
            <w:szCs w:val="20"/>
          </w:rPr>
          <w:t>VI.</w:t>
        </w:r>
        <w:r w:rsidR="00CD681D" w:rsidRPr="00520A90">
          <w:rPr>
            <w:rFonts w:ascii="Cambria" w:eastAsia="Times New Roman" w:hAnsi="Cambria"/>
            <w:noProof/>
            <w:sz w:val="20"/>
            <w:szCs w:val="20"/>
            <w:bdr w:val="none" w:sz="0" w:space="0" w:color="auto"/>
          </w:rPr>
          <w:tab/>
        </w:r>
        <w:r w:rsidR="00CD681D" w:rsidRPr="00520A90">
          <w:rPr>
            <w:rStyle w:val="Hyperlink"/>
            <w:rFonts w:ascii="Cambria" w:eastAsia="Times New Roman" w:hAnsi="Cambria"/>
            <w:bCs/>
            <w:noProof/>
            <w:sz w:val="20"/>
            <w:szCs w:val="20"/>
          </w:rPr>
          <w:t>CONCLUSIONES</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_Toc467948066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35</w:t>
        </w:r>
        <w:r w:rsidR="00CD681D" w:rsidRPr="00520A90">
          <w:rPr>
            <w:rFonts w:ascii="Cambria" w:hAnsi="Cambria"/>
            <w:noProof/>
            <w:webHidden/>
            <w:sz w:val="20"/>
            <w:szCs w:val="20"/>
          </w:rPr>
          <w:fldChar w:fldCharType="end"/>
        </w:r>
      </w:hyperlink>
    </w:p>
    <w:p w:rsidR="00CD681D" w:rsidRPr="00520A90" w:rsidRDefault="00667DB2" w:rsidP="00FD5827">
      <w:pPr>
        <w:pStyle w:val="TOC1"/>
        <w:tabs>
          <w:tab w:val="left" w:pos="720"/>
          <w:tab w:val="left" w:pos="1440"/>
          <w:tab w:val="right" w:leader="dot" w:pos="9350"/>
        </w:tabs>
        <w:rPr>
          <w:rFonts w:ascii="Cambria" w:eastAsia="Times New Roman" w:hAnsi="Cambria"/>
          <w:noProof/>
          <w:sz w:val="20"/>
          <w:szCs w:val="20"/>
          <w:bdr w:val="none" w:sz="0" w:space="0" w:color="auto"/>
        </w:rPr>
      </w:pPr>
      <w:hyperlink w:anchor="_Toc467948067" w:history="1">
        <w:r w:rsidR="00CD681D" w:rsidRPr="00520A90">
          <w:rPr>
            <w:rStyle w:val="Hyperlink"/>
            <w:rFonts w:ascii="Cambria" w:eastAsia="Times New Roman" w:hAnsi="Cambria"/>
            <w:bCs/>
            <w:noProof/>
            <w:sz w:val="20"/>
            <w:szCs w:val="20"/>
            <w:lang w:val="es-AR"/>
          </w:rPr>
          <w:t>VII.</w:t>
        </w:r>
        <w:r w:rsidR="00CD681D" w:rsidRPr="00520A90">
          <w:rPr>
            <w:rFonts w:ascii="Cambria" w:eastAsia="Times New Roman" w:hAnsi="Cambria"/>
            <w:noProof/>
            <w:sz w:val="20"/>
            <w:szCs w:val="20"/>
            <w:bdr w:val="none" w:sz="0" w:space="0" w:color="auto"/>
          </w:rPr>
          <w:tab/>
        </w:r>
        <w:r w:rsidR="00CD681D" w:rsidRPr="00520A90">
          <w:rPr>
            <w:rStyle w:val="Hyperlink"/>
            <w:rFonts w:ascii="Cambria" w:eastAsia="Times New Roman" w:hAnsi="Cambria"/>
            <w:bCs/>
            <w:noProof/>
            <w:sz w:val="20"/>
            <w:szCs w:val="20"/>
            <w:lang w:val="es-AR"/>
          </w:rPr>
          <w:t>RECOMENDACIONES</w:t>
        </w:r>
        <w:r w:rsidR="00CD681D" w:rsidRPr="00520A90">
          <w:rPr>
            <w:rFonts w:ascii="Cambria" w:hAnsi="Cambria"/>
            <w:noProof/>
            <w:webHidden/>
            <w:sz w:val="20"/>
            <w:szCs w:val="20"/>
          </w:rPr>
          <w:tab/>
        </w:r>
        <w:r w:rsidR="00CD681D" w:rsidRPr="00520A90">
          <w:rPr>
            <w:rFonts w:ascii="Cambria" w:hAnsi="Cambria"/>
            <w:noProof/>
            <w:webHidden/>
            <w:sz w:val="20"/>
            <w:szCs w:val="20"/>
          </w:rPr>
          <w:fldChar w:fldCharType="begin"/>
        </w:r>
        <w:r w:rsidR="00CD681D" w:rsidRPr="00520A90">
          <w:rPr>
            <w:rFonts w:ascii="Cambria" w:hAnsi="Cambria"/>
            <w:noProof/>
            <w:webHidden/>
            <w:sz w:val="20"/>
            <w:szCs w:val="20"/>
          </w:rPr>
          <w:instrText xml:space="preserve"> PAGEREF _Toc467948067 \h </w:instrText>
        </w:r>
        <w:r w:rsidR="00CD681D" w:rsidRPr="00520A90">
          <w:rPr>
            <w:rFonts w:ascii="Cambria" w:hAnsi="Cambria"/>
            <w:noProof/>
            <w:webHidden/>
            <w:sz w:val="20"/>
            <w:szCs w:val="20"/>
          </w:rPr>
        </w:r>
        <w:r w:rsidR="00CD681D" w:rsidRPr="00520A90">
          <w:rPr>
            <w:rFonts w:ascii="Cambria" w:hAnsi="Cambria"/>
            <w:noProof/>
            <w:webHidden/>
            <w:sz w:val="20"/>
            <w:szCs w:val="20"/>
          </w:rPr>
          <w:fldChar w:fldCharType="separate"/>
        </w:r>
        <w:r w:rsidR="00CD681D" w:rsidRPr="00520A90">
          <w:rPr>
            <w:rFonts w:ascii="Cambria" w:hAnsi="Cambria"/>
            <w:noProof/>
            <w:webHidden/>
            <w:sz w:val="20"/>
            <w:szCs w:val="20"/>
          </w:rPr>
          <w:t>35</w:t>
        </w:r>
        <w:r w:rsidR="00CD681D" w:rsidRPr="00520A90">
          <w:rPr>
            <w:rFonts w:ascii="Cambria" w:hAnsi="Cambria"/>
            <w:noProof/>
            <w:webHidden/>
            <w:sz w:val="20"/>
            <w:szCs w:val="20"/>
          </w:rPr>
          <w:fldChar w:fldCharType="end"/>
        </w:r>
      </w:hyperlink>
    </w:p>
    <w:p w:rsidR="00667DB2" w:rsidRDefault="00CD681D" w:rsidP="00667DB2">
      <w:pPr>
        <w:tabs>
          <w:tab w:val="left" w:pos="720"/>
        </w:tabs>
        <w:rPr>
          <w:rFonts w:ascii="Cambria" w:hAnsi="Cambria" w:cs="Calibri"/>
          <w:sz w:val="20"/>
          <w:szCs w:val="20"/>
          <w:lang w:val="es-ES"/>
        </w:rPr>
      </w:pPr>
      <w:r w:rsidRPr="00520A90">
        <w:rPr>
          <w:rFonts w:ascii="Cambria" w:hAnsi="Cambria"/>
          <w:bCs/>
          <w:noProof/>
          <w:sz w:val="20"/>
          <w:szCs w:val="20"/>
        </w:rPr>
        <w:lastRenderedPageBreak/>
        <w:fldChar w:fldCharType="end"/>
      </w:r>
    </w:p>
    <w:p w:rsidR="00436077" w:rsidRPr="00FD5827" w:rsidRDefault="00436077" w:rsidP="00FD5827">
      <w:pPr>
        <w:jc w:val="center"/>
        <w:rPr>
          <w:rFonts w:ascii="Cambria" w:hAnsi="Cambria"/>
          <w:b/>
          <w:sz w:val="18"/>
          <w:szCs w:val="18"/>
          <w:lang w:val="es-ES"/>
        </w:rPr>
      </w:pPr>
      <w:r w:rsidRPr="00FD5827">
        <w:rPr>
          <w:rFonts w:ascii="Cambria" w:hAnsi="Cambria"/>
          <w:b/>
          <w:sz w:val="18"/>
          <w:szCs w:val="18"/>
          <w:lang w:val="es-ES"/>
        </w:rPr>
        <w:t xml:space="preserve">INFORME No. </w:t>
      </w:r>
      <w:r w:rsidR="00FB65BB">
        <w:rPr>
          <w:rFonts w:ascii="Cambria" w:hAnsi="Cambria"/>
          <w:b/>
          <w:sz w:val="18"/>
          <w:szCs w:val="18"/>
          <w:lang w:val="es-ES"/>
        </w:rPr>
        <w:t>77/</w:t>
      </w:r>
      <w:r w:rsidRPr="00FD5827">
        <w:rPr>
          <w:rFonts w:ascii="Cambria" w:hAnsi="Cambria"/>
          <w:b/>
          <w:sz w:val="18"/>
          <w:szCs w:val="18"/>
          <w:lang w:val="es-ES"/>
        </w:rPr>
        <w:t>1</w:t>
      </w:r>
      <w:r w:rsidR="00F56A5E" w:rsidRPr="00FD5827">
        <w:rPr>
          <w:rFonts w:ascii="Cambria" w:hAnsi="Cambria"/>
          <w:b/>
          <w:sz w:val="18"/>
          <w:szCs w:val="18"/>
          <w:lang w:val="es-ES"/>
        </w:rPr>
        <w:t>6</w:t>
      </w:r>
    </w:p>
    <w:p w:rsidR="00F56A5E" w:rsidRPr="00667DB2" w:rsidRDefault="00436077" w:rsidP="00FD5827">
      <w:pPr>
        <w:suppressAutoHyphens/>
        <w:jc w:val="center"/>
        <w:rPr>
          <w:rFonts w:ascii="Cambria" w:hAnsi="Cambria"/>
          <w:b/>
          <w:sz w:val="18"/>
          <w:szCs w:val="18"/>
          <w:lang w:val="pt-BR"/>
        </w:rPr>
      </w:pPr>
      <w:r w:rsidRPr="00667DB2">
        <w:rPr>
          <w:rFonts w:ascii="Cambria" w:hAnsi="Cambria"/>
          <w:b/>
          <w:sz w:val="18"/>
          <w:szCs w:val="18"/>
          <w:lang w:val="pt-BR"/>
        </w:rPr>
        <w:t>CASO</w:t>
      </w:r>
      <w:r w:rsidR="00804ABD" w:rsidRPr="00667DB2">
        <w:rPr>
          <w:rFonts w:ascii="Cambria" w:hAnsi="Cambria"/>
          <w:b/>
          <w:sz w:val="18"/>
          <w:szCs w:val="18"/>
          <w:lang w:val="pt-BR"/>
        </w:rPr>
        <w:t xml:space="preserve"> 12.602 </w:t>
      </w:r>
    </w:p>
    <w:p w:rsidR="00F56A5E" w:rsidRPr="00667DB2" w:rsidRDefault="00F56A5E" w:rsidP="00FD5827">
      <w:pPr>
        <w:suppressAutoHyphens/>
        <w:jc w:val="center"/>
        <w:rPr>
          <w:rFonts w:ascii="Cambria" w:hAnsi="Cambria"/>
          <w:sz w:val="18"/>
          <w:szCs w:val="18"/>
          <w:lang w:val="pt-BR"/>
        </w:rPr>
      </w:pPr>
      <w:r w:rsidRPr="00667DB2">
        <w:rPr>
          <w:rFonts w:ascii="Cambria" w:hAnsi="Cambria"/>
          <w:sz w:val="18"/>
          <w:szCs w:val="18"/>
          <w:lang w:val="pt-BR"/>
        </w:rPr>
        <w:t>WALTER MUNÁRRIZ ESCOBAR</w:t>
      </w:r>
    </w:p>
    <w:p w:rsidR="00804ABD" w:rsidRPr="00FD5827" w:rsidRDefault="00804ABD" w:rsidP="00FD5827">
      <w:pPr>
        <w:suppressAutoHyphens/>
        <w:jc w:val="center"/>
        <w:rPr>
          <w:rFonts w:ascii="Cambria" w:hAnsi="Cambria"/>
          <w:sz w:val="18"/>
          <w:szCs w:val="18"/>
          <w:lang w:val="es-ES_tradnl"/>
        </w:rPr>
      </w:pPr>
      <w:r w:rsidRPr="00FD5827">
        <w:rPr>
          <w:rFonts w:ascii="Cambria" w:hAnsi="Cambria"/>
          <w:sz w:val="18"/>
          <w:szCs w:val="18"/>
          <w:lang w:val="es-ES_tradnl"/>
        </w:rPr>
        <w:t xml:space="preserve">INFORME DE FONDO </w:t>
      </w:r>
    </w:p>
    <w:p w:rsidR="00436077" w:rsidRPr="00FD5827" w:rsidRDefault="00436077" w:rsidP="00FD5827">
      <w:pPr>
        <w:suppressAutoHyphens/>
        <w:jc w:val="center"/>
        <w:rPr>
          <w:rFonts w:ascii="Cambria" w:hAnsi="Cambria"/>
          <w:sz w:val="18"/>
          <w:szCs w:val="18"/>
          <w:lang w:val="es-ES_tradnl"/>
        </w:rPr>
      </w:pPr>
      <w:r w:rsidRPr="00FD5827">
        <w:rPr>
          <w:rFonts w:ascii="Cambria" w:hAnsi="Cambria"/>
          <w:sz w:val="18"/>
          <w:szCs w:val="18"/>
          <w:lang w:val="es-ES_tradnl"/>
        </w:rPr>
        <w:t>PERÚ</w:t>
      </w:r>
      <w:r w:rsidR="001E0363" w:rsidRPr="00FD5827">
        <w:rPr>
          <w:rStyle w:val="FootnoteReference"/>
          <w:rFonts w:ascii="Cambria" w:hAnsi="Cambria"/>
          <w:b/>
          <w:sz w:val="18"/>
          <w:szCs w:val="18"/>
          <w:lang w:val="es-ES"/>
        </w:rPr>
        <w:footnoteReference w:id="2"/>
      </w:r>
    </w:p>
    <w:p w:rsidR="00436077" w:rsidRPr="00FD5827" w:rsidRDefault="00FB65BB" w:rsidP="00FD5827">
      <w:pPr>
        <w:suppressAutoHyphens/>
        <w:jc w:val="center"/>
        <w:rPr>
          <w:rFonts w:ascii="Cambria" w:hAnsi="Cambria"/>
          <w:sz w:val="18"/>
          <w:szCs w:val="18"/>
          <w:lang w:val="es-ES_tradnl"/>
        </w:rPr>
      </w:pPr>
      <w:r>
        <w:rPr>
          <w:rFonts w:ascii="Cambria" w:hAnsi="Cambria"/>
          <w:sz w:val="18"/>
          <w:szCs w:val="18"/>
          <w:lang w:val="es-ES_tradnl"/>
        </w:rPr>
        <w:t>10</w:t>
      </w:r>
      <w:r w:rsidR="002B1EB4" w:rsidRPr="00FD5827">
        <w:rPr>
          <w:rFonts w:ascii="Cambria" w:hAnsi="Cambria"/>
          <w:sz w:val="18"/>
          <w:szCs w:val="18"/>
          <w:lang w:val="es-ES_tradnl"/>
        </w:rPr>
        <w:t xml:space="preserve"> DE </w:t>
      </w:r>
      <w:r>
        <w:rPr>
          <w:rFonts w:ascii="Cambria" w:hAnsi="Cambria"/>
          <w:sz w:val="18"/>
          <w:szCs w:val="18"/>
          <w:lang w:val="es-ES_tradnl"/>
        </w:rPr>
        <w:t>DICIEMBRE</w:t>
      </w:r>
      <w:r w:rsidR="00F56A5E" w:rsidRPr="00FD5827">
        <w:rPr>
          <w:rFonts w:ascii="Cambria" w:hAnsi="Cambria"/>
          <w:sz w:val="18"/>
          <w:szCs w:val="18"/>
          <w:lang w:val="es-ES_tradnl"/>
        </w:rPr>
        <w:t xml:space="preserve"> DE 2016</w:t>
      </w:r>
    </w:p>
    <w:p w:rsidR="00436077" w:rsidRPr="00E21797" w:rsidRDefault="00436077" w:rsidP="00436077">
      <w:pPr>
        <w:jc w:val="both"/>
        <w:rPr>
          <w:rFonts w:ascii="Cambria" w:hAnsi="Cambria" w:cs="Calibri"/>
          <w:sz w:val="20"/>
          <w:szCs w:val="20"/>
          <w:lang w:val="es-ES_tradnl"/>
        </w:rPr>
      </w:pPr>
    </w:p>
    <w:p w:rsidR="00436077" w:rsidRPr="00E21797" w:rsidRDefault="00436077" w:rsidP="00436077">
      <w:pPr>
        <w:jc w:val="both"/>
        <w:rPr>
          <w:rFonts w:ascii="Cambria" w:hAnsi="Cambria" w:cs="Calibri"/>
          <w:sz w:val="20"/>
          <w:szCs w:val="20"/>
          <w:lang w:val="es-ES_tradnl"/>
        </w:rPr>
      </w:pPr>
    </w:p>
    <w:p w:rsidR="00436077" w:rsidRPr="00E21797" w:rsidRDefault="00436077" w:rsidP="00436077">
      <w:pPr>
        <w:pStyle w:val="Heading1"/>
      </w:pPr>
      <w:bookmarkStart w:id="0" w:name="_Toc413687810"/>
      <w:bookmarkStart w:id="1" w:name="_Toc467948046"/>
      <w:r w:rsidRPr="00E21797">
        <w:t>RESUMEN</w:t>
      </w:r>
      <w:bookmarkEnd w:id="0"/>
      <w:bookmarkEnd w:id="1"/>
    </w:p>
    <w:p w:rsidR="00436077" w:rsidRPr="00E21797" w:rsidRDefault="00436077" w:rsidP="00436077">
      <w:pPr>
        <w:jc w:val="both"/>
        <w:rPr>
          <w:rFonts w:ascii="Cambria" w:hAnsi="Cambria" w:cs="Calibri"/>
          <w:b/>
          <w:sz w:val="20"/>
          <w:szCs w:val="20"/>
          <w:lang w:val="es-ES_tradnl"/>
        </w:rPr>
      </w:pPr>
    </w:p>
    <w:p w:rsidR="00436077" w:rsidRPr="00E21797"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S"/>
        </w:rPr>
      </w:pPr>
      <w:r w:rsidRPr="00E21797">
        <w:rPr>
          <w:rFonts w:ascii="Cambria" w:hAnsi="Cambria" w:cs="Arial"/>
          <w:color w:val="auto"/>
          <w:sz w:val="20"/>
          <w:szCs w:val="20"/>
          <w:bdr w:val="none" w:sz="0" w:space="0" w:color="auto"/>
          <w:lang w:val="es-AR" w:eastAsia="en-US"/>
        </w:rPr>
        <w:t>E</w:t>
      </w:r>
      <w:r w:rsidR="0004685E" w:rsidRPr="00E21797">
        <w:rPr>
          <w:rFonts w:ascii="Cambria" w:hAnsi="Cambria" w:cs="Arial"/>
          <w:color w:val="auto"/>
          <w:sz w:val="20"/>
          <w:szCs w:val="20"/>
          <w:bdr w:val="none" w:sz="0" w:space="0" w:color="auto"/>
          <w:lang w:val="es-AR" w:eastAsia="en-US"/>
        </w:rPr>
        <w:t xml:space="preserve">l 28 de junio de </w:t>
      </w:r>
      <w:r w:rsidR="00AC5F39" w:rsidRPr="00E21797">
        <w:rPr>
          <w:rFonts w:ascii="Cambria" w:hAnsi="Cambria" w:cs="Arial"/>
          <w:color w:val="auto"/>
          <w:sz w:val="20"/>
          <w:szCs w:val="20"/>
          <w:bdr w:val="none" w:sz="0" w:space="0" w:color="auto"/>
          <w:lang w:val="es-AR" w:eastAsia="en-US"/>
        </w:rPr>
        <w:t>2005</w:t>
      </w:r>
      <w:r w:rsidRPr="00E21797">
        <w:rPr>
          <w:rFonts w:ascii="Cambria" w:hAnsi="Cambria" w:cs="Arial"/>
          <w:sz w:val="20"/>
          <w:szCs w:val="20"/>
          <w:lang w:val="es-ES"/>
        </w:rPr>
        <w:t xml:space="preserve"> </w:t>
      </w:r>
      <w:r w:rsidRPr="00E21797">
        <w:rPr>
          <w:rFonts w:ascii="Cambria" w:hAnsi="Cambria"/>
          <w:sz w:val="20"/>
          <w:szCs w:val="20"/>
          <w:lang w:val="es-ES"/>
        </w:rPr>
        <w:t>la Comisión Interamericana de Derechos Humanos (en adelante “la Comisión”</w:t>
      </w:r>
      <w:r w:rsidR="005A31CC">
        <w:rPr>
          <w:rFonts w:ascii="Cambria" w:hAnsi="Cambria"/>
          <w:sz w:val="20"/>
          <w:szCs w:val="20"/>
          <w:lang w:val="es-ES"/>
        </w:rPr>
        <w:t>,</w:t>
      </w:r>
      <w:r w:rsidRPr="00E21797">
        <w:rPr>
          <w:rFonts w:ascii="Cambria" w:hAnsi="Cambria"/>
          <w:sz w:val="20"/>
          <w:szCs w:val="20"/>
          <w:lang w:val="es-ES"/>
        </w:rPr>
        <w:t xml:space="preserve">  “la Comisión Interamericana” o “la CIDH”) recibió</w:t>
      </w:r>
      <w:r w:rsidR="0004685E" w:rsidRPr="00E21797">
        <w:rPr>
          <w:rFonts w:ascii="Cambria" w:hAnsi="Cambria"/>
          <w:sz w:val="20"/>
          <w:szCs w:val="20"/>
          <w:lang w:val="es-ES"/>
        </w:rPr>
        <w:t xml:space="preserve"> una petición presentada por la Comisión de Derechos Humanos COMISEDH (en adelante “los peticionarios”)</w:t>
      </w:r>
      <w:r w:rsidRPr="00E21797">
        <w:rPr>
          <w:rFonts w:ascii="Cambria" w:hAnsi="Cambria"/>
          <w:sz w:val="20"/>
          <w:szCs w:val="20"/>
          <w:lang w:val="es-ES"/>
        </w:rPr>
        <w:t>, en la cual se alegó la</w:t>
      </w:r>
      <w:r w:rsidR="00706D44">
        <w:rPr>
          <w:rFonts w:ascii="Cambria" w:hAnsi="Cambria"/>
          <w:sz w:val="20"/>
          <w:szCs w:val="20"/>
          <w:lang w:val="es-ES"/>
        </w:rPr>
        <w:t xml:space="preserve"> </w:t>
      </w:r>
      <w:r w:rsidRPr="00E21797">
        <w:rPr>
          <w:rFonts w:ascii="Cambria" w:hAnsi="Cambria"/>
          <w:sz w:val="20"/>
          <w:szCs w:val="20"/>
          <w:lang w:val="es-ES"/>
        </w:rPr>
        <w:t>responsabilidad internacional del Estado de Perú (en adelante “el Estado”</w:t>
      </w:r>
      <w:r w:rsidR="005A31CC">
        <w:rPr>
          <w:rFonts w:ascii="Cambria" w:hAnsi="Cambria"/>
          <w:sz w:val="20"/>
          <w:szCs w:val="20"/>
          <w:lang w:val="es-ES"/>
        </w:rPr>
        <w:t>,</w:t>
      </w:r>
      <w:r w:rsidRPr="00E21797">
        <w:rPr>
          <w:rFonts w:ascii="Cambria" w:hAnsi="Cambria"/>
          <w:sz w:val="20"/>
          <w:szCs w:val="20"/>
          <w:lang w:val="es-ES"/>
        </w:rPr>
        <w:t xml:space="preserve"> “el Estado peruano” o “Perú”) </w:t>
      </w:r>
      <w:r w:rsidR="004E7CC3" w:rsidRPr="00E21797">
        <w:rPr>
          <w:rFonts w:ascii="Cambria" w:hAnsi="Cambria"/>
          <w:sz w:val="20"/>
          <w:szCs w:val="20"/>
          <w:lang w:val="es-ES"/>
        </w:rPr>
        <w:t xml:space="preserve">por </w:t>
      </w:r>
      <w:r w:rsidRPr="00E21797">
        <w:rPr>
          <w:rFonts w:ascii="Cambria" w:hAnsi="Cambria" w:cs="Arial"/>
          <w:sz w:val="20"/>
          <w:szCs w:val="20"/>
          <w:lang w:val="es-ES"/>
        </w:rPr>
        <w:t>la</w:t>
      </w:r>
      <w:r w:rsidR="00F80581">
        <w:rPr>
          <w:rFonts w:ascii="Cambria" w:hAnsi="Cambria" w:cs="Arial"/>
          <w:sz w:val="20"/>
          <w:szCs w:val="20"/>
          <w:lang w:val="es-ES"/>
        </w:rPr>
        <w:t xml:space="preserve"> supuesta</w:t>
      </w:r>
      <w:r w:rsidRPr="00E21797">
        <w:rPr>
          <w:rFonts w:ascii="Cambria" w:hAnsi="Cambria" w:cs="Arial"/>
          <w:sz w:val="20"/>
          <w:szCs w:val="20"/>
          <w:lang w:val="es-ES"/>
        </w:rPr>
        <w:t xml:space="preserve"> </w:t>
      </w:r>
      <w:r w:rsidR="00AC5F39" w:rsidRPr="00E21797">
        <w:rPr>
          <w:rFonts w:ascii="Cambria" w:hAnsi="Cambria" w:cs="Arial"/>
          <w:sz w:val="20"/>
          <w:szCs w:val="20"/>
          <w:lang w:val="es-ES"/>
        </w:rPr>
        <w:t>desaparici</w:t>
      </w:r>
      <w:r w:rsidR="0004685E" w:rsidRPr="00E21797">
        <w:rPr>
          <w:rFonts w:ascii="Cambria" w:hAnsi="Cambria" w:cs="Arial"/>
          <w:sz w:val="20"/>
          <w:szCs w:val="20"/>
          <w:lang w:val="es-ES"/>
        </w:rPr>
        <w:t xml:space="preserve">ón </w:t>
      </w:r>
      <w:r w:rsidR="00F80581">
        <w:rPr>
          <w:rFonts w:ascii="Cambria" w:hAnsi="Cambria" w:cs="Arial"/>
          <w:sz w:val="20"/>
          <w:szCs w:val="20"/>
          <w:lang w:val="es-ES"/>
        </w:rPr>
        <w:t xml:space="preserve">forzada </w:t>
      </w:r>
      <w:r w:rsidR="00AC5F39" w:rsidRPr="00E21797">
        <w:rPr>
          <w:rFonts w:ascii="Cambria" w:hAnsi="Cambria" w:cs="Arial"/>
          <w:sz w:val="20"/>
          <w:szCs w:val="20"/>
          <w:lang w:val="es-ES"/>
        </w:rPr>
        <w:t>de Walter Munárriz Escobar</w:t>
      </w:r>
      <w:r w:rsidRPr="00E21797">
        <w:rPr>
          <w:rFonts w:ascii="Cambria" w:hAnsi="Cambria" w:cs="Arial"/>
          <w:sz w:val="20"/>
          <w:szCs w:val="20"/>
          <w:lang w:val="es-ES"/>
        </w:rPr>
        <w:t xml:space="preserve">. </w:t>
      </w:r>
    </w:p>
    <w:p w:rsidR="00436077" w:rsidRPr="00E21797" w:rsidRDefault="00436077" w:rsidP="00436077">
      <w:pPr>
        <w:jc w:val="both"/>
        <w:rPr>
          <w:rFonts w:ascii="Cambria" w:hAnsi="Cambria" w:cs="Arial"/>
          <w:sz w:val="20"/>
          <w:szCs w:val="20"/>
          <w:lang w:val="es-ES"/>
        </w:rPr>
      </w:pPr>
    </w:p>
    <w:p w:rsidR="00436077" w:rsidRPr="00E21797"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iCs/>
          <w:sz w:val="20"/>
          <w:szCs w:val="20"/>
          <w:lang w:val="es-ES"/>
        </w:rPr>
      </w:pPr>
      <w:r w:rsidRPr="00E21797">
        <w:rPr>
          <w:rFonts w:ascii="Cambria" w:hAnsi="Cambria" w:cs="Arial"/>
          <w:sz w:val="20"/>
          <w:szCs w:val="20"/>
          <w:lang w:val="es-ES"/>
        </w:rPr>
        <w:t>Los peticionarios alegaron que</w:t>
      </w:r>
      <w:r w:rsidR="00966400" w:rsidRPr="00E21797">
        <w:rPr>
          <w:rFonts w:ascii="Cambria" w:hAnsi="Cambria" w:cs="Arial"/>
          <w:sz w:val="20"/>
          <w:szCs w:val="20"/>
          <w:lang w:val="es-ES"/>
        </w:rPr>
        <w:t xml:space="preserve"> </w:t>
      </w:r>
      <w:r w:rsidR="0004685E" w:rsidRPr="00E21797">
        <w:rPr>
          <w:rFonts w:ascii="Cambria" w:hAnsi="Cambria" w:cs="Arial"/>
          <w:sz w:val="20"/>
          <w:szCs w:val="20"/>
          <w:lang w:val="es-ES"/>
        </w:rPr>
        <w:t>Walter Munárriz Escobar desapareció el 20 de marzo de 1999, tras haber estado detenido en la Comisaría de Lircay</w:t>
      </w:r>
      <w:r w:rsidR="002E0D29">
        <w:rPr>
          <w:rFonts w:ascii="Cambria" w:hAnsi="Cambria" w:cs="Arial"/>
          <w:sz w:val="20"/>
          <w:szCs w:val="20"/>
          <w:lang w:val="es-ES"/>
        </w:rPr>
        <w:t xml:space="preserve">. Indicaron que han </w:t>
      </w:r>
      <w:r w:rsidR="007C6A9C" w:rsidRPr="00E21797">
        <w:rPr>
          <w:rFonts w:ascii="Cambria" w:hAnsi="Cambria" w:cs="Arial"/>
          <w:sz w:val="20"/>
          <w:szCs w:val="20"/>
          <w:lang w:val="es-ES"/>
        </w:rPr>
        <w:t>transcurrido más de 1</w:t>
      </w:r>
      <w:r w:rsidR="0004685E" w:rsidRPr="00E21797">
        <w:rPr>
          <w:rFonts w:ascii="Cambria" w:hAnsi="Cambria" w:cs="Arial"/>
          <w:sz w:val="20"/>
          <w:szCs w:val="20"/>
          <w:lang w:val="es-ES"/>
        </w:rPr>
        <w:t>7</w:t>
      </w:r>
      <w:r w:rsidR="007C6A9C" w:rsidRPr="00E21797">
        <w:rPr>
          <w:rFonts w:ascii="Cambria" w:hAnsi="Cambria" w:cs="Arial"/>
          <w:sz w:val="20"/>
          <w:szCs w:val="20"/>
          <w:lang w:val="es-ES"/>
        </w:rPr>
        <w:t xml:space="preserve"> años</w:t>
      </w:r>
      <w:r w:rsidR="00EB5A84">
        <w:rPr>
          <w:rFonts w:ascii="Cambria" w:hAnsi="Cambria" w:cs="Arial"/>
          <w:sz w:val="20"/>
          <w:szCs w:val="20"/>
          <w:lang w:val="es-ES"/>
        </w:rPr>
        <w:t xml:space="preserve"> y</w:t>
      </w:r>
      <w:r w:rsidR="007C6A9C" w:rsidRPr="00E21797">
        <w:rPr>
          <w:rFonts w:ascii="Cambria" w:hAnsi="Cambria" w:cs="Arial"/>
          <w:sz w:val="20"/>
          <w:szCs w:val="20"/>
          <w:lang w:val="es-ES"/>
        </w:rPr>
        <w:t xml:space="preserve"> </w:t>
      </w:r>
      <w:r w:rsidR="00966400" w:rsidRPr="00E21797">
        <w:rPr>
          <w:rFonts w:ascii="Cambria" w:hAnsi="Cambria" w:cs="Arial"/>
          <w:sz w:val="20"/>
          <w:szCs w:val="20"/>
          <w:lang w:val="es-ES"/>
        </w:rPr>
        <w:t>el Estado</w:t>
      </w:r>
      <w:r w:rsidR="00EB5A84">
        <w:rPr>
          <w:rFonts w:ascii="Cambria" w:hAnsi="Cambria" w:cs="Arial"/>
          <w:sz w:val="20"/>
          <w:szCs w:val="20"/>
          <w:lang w:val="es-ES"/>
        </w:rPr>
        <w:t xml:space="preserve"> peruano</w:t>
      </w:r>
      <w:r w:rsidR="00966400" w:rsidRPr="00E21797">
        <w:rPr>
          <w:rFonts w:ascii="Cambria" w:hAnsi="Cambria" w:cs="Arial"/>
          <w:sz w:val="20"/>
          <w:szCs w:val="20"/>
          <w:lang w:val="es-ES"/>
        </w:rPr>
        <w:t xml:space="preserve"> no ha concluido con las investigaciones para establecer </w:t>
      </w:r>
      <w:r w:rsidR="007C6A9C" w:rsidRPr="00E21797">
        <w:rPr>
          <w:rFonts w:ascii="Cambria" w:hAnsi="Cambria" w:cs="Arial"/>
          <w:sz w:val="20"/>
          <w:szCs w:val="20"/>
          <w:lang w:val="es-ES"/>
        </w:rPr>
        <w:t>el</w:t>
      </w:r>
      <w:r w:rsidR="00A4442E">
        <w:rPr>
          <w:rFonts w:ascii="Cambria" w:hAnsi="Cambria" w:cs="Arial"/>
          <w:sz w:val="20"/>
          <w:szCs w:val="20"/>
          <w:lang w:val="es-ES"/>
        </w:rPr>
        <w:t xml:space="preserve"> destino o </w:t>
      </w:r>
      <w:r w:rsidR="00966400" w:rsidRPr="00E21797">
        <w:rPr>
          <w:rFonts w:ascii="Cambria" w:hAnsi="Cambria" w:cs="Arial"/>
          <w:sz w:val="20"/>
          <w:szCs w:val="20"/>
          <w:lang w:val="es-ES"/>
        </w:rPr>
        <w:t>paradero</w:t>
      </w:r>
      <w:r w:rsidR="007C6A9C" w:rsidRPr="00E21797">
        <w:rPr>
          <w:rFonts w:ascii="Cambria" w:hAnsi="Cambria" w:cs="Arial"/>
          <w:sz w:val="20"/>
          <w:szCs w:val="20"/>
          <w:lang w:val="es-ES"/>
        </w:rPr>
        <w:t xml:space="preserve"> de la víctima</w:t>
      </w:r>
      <w:r w:rsidR="00966400" w:rsidRPr="00E21797">
        <w:rPr>
          <w:rFonts w:ascii="Cambria" w:hAnsi="Cambria" w:cs="Arial"/>
          <w:sz w:val="20"/>
          <w:szCs w:val="20"/>
          <w:lang w:val="es-ES"/>
        </w:rPr>
        <w:t xml:space="preserve"> y </w:t>
      </w:r>
      <w:r w:rsidR="001E5A19">
        <w:rPr>
          <w:rFonts w:ascii="Cambria" w:hAnsi="Cambria" w:cs="Arial"/>
          <w:sz w:val="20"/>
          <w:szCs w:val="20"/>
          <w:lang w:val="es-ES"/>
        </w:rPr>
        <w:t xml:space="preserve">establecer las responsabilidades por </w:t>
      </w:r>
      <w:r w:rsidR="007C6A9C" w:rsidRPr="00E21797">
        <w:rPr>
          <w:rFonts w:ascii="Cambria" w:hAnsi="Cambria" w:cs="Arial"/>
          <w:sz w:val="20"/>
          <w:szCs w:val="20"/>
          <w:lang w:val="es-ES"/>
        </w:rPr>
        <w:t>los hechos</w:t>
      </w:r>
      <w:r w:rsidR="00966400" w:rsidRPr="00E21797">
        <w:rPr>
          <w:rFonts w:ascii="Cambria" w:hAnsi="Cambria" w:cs="Arial"/>
          <w:sz w:val="20"/>
          <w:szCs w:val="20"/>
          <w:lang w:val="es-ES"/>
        </w:rPr>
        <w:t>.</w:t>
      </w:r>
      <w:r w:rsidRPr="00E21797">
        <w:rPr>
          <w:rFonts w:ascii="Cambria" w:hAnsi="Cambria"/>
          <w:sz w:val="20"/>
          <w:szCs w:val="20"/>
          <w:lang w:val="es-ES"/>
        </w:rPr>
        <w:t xml:space="preserve"> </w:t>
      </w:r>
    </w:p>
    <w:p w:rsidR="00436077" w:rsidRPr="00B216D3" w:rsidRDefault="00436077" w:rsidP="00B216D3">
      <w:pPr>
        <w:jc w:val="both"/>
        <w:rPr>
          <w:rFonts w:ascii="Cambria" w:hAnsi="Cambria" w:cs="Arial"/>
          <w:sz w:val="20"/>
          <w:szCs w:val="20"/>
          <w:lang w:val="es-ES"/>
        </w:rPr>
      </w:pPr>
    </w:p>
    <w:p w:rsidR="00436077" w:rsidRPr="00D902E3"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auto"/>
          <w:sz w:val="20"/>
          <w:szCs w:val="20"/>
          <w:lang w:val="es-ES"/>
        </w:rPr>
      </w:pPr>
      <w:r w:rsidRPr="00D902E3">
        <w:rPr>
          <w:rFonts w:ascii="Cambria" w:hAnsi="Cambria" w:cs="Univers"/>
          <w:color w:val="auto"/>
          <w:sz w:val="20"/>
          <w:szCs w:val="20"/>
        </w:rPr>
        <w:t>Por su parte, el Estado</w:t>
      </w:r>
      <w:r w:rsidR="00FA14A7" w:rsidRPr="00D902E3">
        <w:rPr>
          <w:rFonts w:ascii="Cambria" w:hAnsi="Cambria"/>
          <w:color w:val="auto"/>
          <w:sz w:val="20"/>
          <w:szCs w:val="20"/>
          <w:lang w:val="es-ES"/>
        </w:rPr>
        <w:t xml:space="preserve"> </w:t>
      </w:r>
      <w:r w:rsidR="00AF40A0" w:rsidRPr="00D902E3">
        <w:rPr>
          <w:rFonts w:ascii="Cambria" w:hAnsi="Cambria"/>
          <w:color w:val="auto"/>
          <w:sz w:val="20"/>
          <w:szCs w:val="20"/>
          <w:lang w:val="es-ES"/>
        </w:rPr>
        <w:t>afirmó que la detención de Walter Munárriz no fue arbitraria</w:t>
      </w:r>
      <w:r w:rsidR="001301F4" w:rsidRPr="00D902E3">
        <w:rPr>
          <w:rFonts w:ascii="Cambria" w:hAnsi="Cambria"/>
          <w:color w:val="auto"/>
          <w:sz w:val="20"/>
          <w:szCs w:val="20"/>
          <w:lang w:val="es-ES"/>
        </w:rPr>
        <w:t xml:space="preserve"> y</w:t>
      </w:r>
      <w:r w:rsidR="00F63067" w:rsidRPr="00D902E3">
        <w:rPr>
          <w:rFonts w:ascii="Cambria" w:hAnsi="Cambria"/>
          <w:color w:val="auto"/>
          <w:sz w:val="20"/>
          <w:szCs w:val="20"/>
          <w:lang w:val="es-ES"/>
        </w:rPr>
        <w:t xml:space="preserve"> </w:t>
      </w:r>
      <w:r w:rsidR="00AF40A0" w:rsidRPr="00D902E3">
        <w:rPr>
          <w:rFonts w:ascii="Cambria" w:hAnsi="Cambria"/>
          <w:color w:val="auto"/>
          <w:sz w:val="20"/>
          <w:szCs w:val="20"/>
          <w:lang w:val="es-ES"/>
        </w:rPr>
        <w:t xml:space="preserve">que </w:t>
      </w:r>
      <w:r w:rsidR="00C8025B" w:rsidRPr="00D902E3">
        <w:rPr>
          <w:rFonts w:ascii="Cambria" w:hAnsi="Cambria"/>
          <w:color w:val="auto"/>
          <w:sz w:val="20"/>
          <w:szCs w:val="20"/>
          <w:lang w:val="es-ES"/>
        </w:rPr>
        <w:t xml:space="preserve">permaneció </w:t>
      </w:r>
      <w:r w:rsidR="00AF40A0" w:rsidRPr="00D902E3">
        <w:rPr>
          <w:rFonts w:ascii="Cambria" w:hAnsi="Cambria"/>
          <w:color w:val="auto"/>
          <w:sz w:val="20"/>
          <w:szCs w:val="20"/>
          <w:lang w:val="es-ES"/>
        </w:rPr>
        <w:t>poco tiempo en la Comisar</w:t>
      </w:r>
      <w:r w:rsidR="001B03FC" w:rsidRPr="00D902E3">
        <w:rPr>
          <w:rFonts w:ascii="Cambria" w:hAnsi="Cambria"/>
          <w:color w:val="auto"/>
          <w:sz w:val="20"/>
          <w:szCs w:val="20"/>
          <w:lang w:val="es-ES"/>
        </w:rPr>
        <w:t>ía de Lircay</w:t>
      </w:r>
      <w:r w:rsidR="001301F4" w:rsidRPr="00D902E3">
        <w:rPr>
          <w:rFonts w:ascii="Cambria" w:hAnsi="Cambria"/>
          <w:color w:val="auto"/>
          <w:sz w:val="20"/>
          <w:szCs w:val="20"/>
          <w:lang w:val="es-ES"/>
        </w:rPr>
        <w:t xml:space="preserve">, retirándose </w:t>
      </w:r>
      <w:r w:rsidR="00C8025B" w:rsidRPr="00D902E3">
        <w:rPr>
          <w:rFonts w:ascii="Cambria" w:hAnsi="Cambria"/>
          <w:color w:val="auto"/>
          <w:sz w:val="20"/>
          <w:szCs w:val="20"/>
          <w:lang w:val="es-ES"/>
        </w:rPr>
        <w:t xml:space="preserve">de </w:t>
      </w:r>
      <w:r w:rsidR="001B03FC" w:rsidRPr="00D902E3">
        <w:rPr>
          <w:rFonts w:ascii="Cambria" w:hAnsi="Cambria"/>
          <w:color w:val="auto"/>
          <w:sz w:val="20"/>
          <w:szCs w:val="20"/>
          <w:lang w:val="es-ES"/>
        </w:rPr>
        <w:t xml:space="preserve">allí </w:t>
      </w:r>
      <w:r w:rsidR="00C8025B" w:rsidRPr="00D902E3">
        <w:rPr>
          <w:rFonts w:ascii="Cambria" w:hAnsi="Cambria"/>
          <w:color w:val="auto"/>
          <w:sz w:val="20"/>
          <w:szCs w:val="20"/>
          <w:lang w:val="es-ES"/>
        </w:rPr>
        <w:t>ese mismo día</w:t>
      </w:r>
      <w:r w:rsidR="00F63067" w:rsidRPr="00D902E3">
        <w:rPr>
          <w:rFonts w:ascii="Cambria" w:hAnsi="Cambria"/>
          <w:color w:val="auto"/>
          <w:sz w:val="20"/>
          <w:szCs w:val="20"/>
          <w:lang w:val="es-ES"/>
        </w:rPr>
        <w:t xml:space="preserve"> por no haberse formalizado denuncia en su contra</w:t>
      </w:r>
      <w:r w:rsidR="001301F4" w:rsidRPr="00D902E3">
        <w:rPr>
          <w:rFonts w:ascii="Cambria" w:hAnsi="Cambria"/>
          <w:color w:val="auto"/>
          <w:sz w:val="20"/>
          <w:szCs w:val="20"/>
          <w:lang w:val="es-ES"/>
        </w:rPr>
        <w:t xml:space="preserve">. Agregó que </w:t>
      </w:r>
      <w:r w:rsidR="00C8025B" w:rsidRPr="00D902E3">
        <w:rPr>
          <w:rFonts w:ascii="Cambria" w:hAnsi="Cambria"/>
          <w:color w:val="auto"/>
          <w:sz w:val="20"/>
          <w:szCs w:val="20"/>
          <w:lang w:val="es-ES"/>
        </w:rPr>
        <w:t>dos testigos lo vieron caminando en las calles aledañas</w:t>
      </w:r>
      <w:r w:rsidR="00EA2204" w:rsidRPr="00D902E3">
        <w:rPr>
          <w:rFonts w:ascii="Cambria" w:hAnsi="Cambria"/>
          <w:color w:val="auto"/>
          <w:sz w:val="20"/>
          <w:szCs w:val="20"/>
          <w:lang w:val="es-ES"/>
        </w:rPr>
        <w:t xml:space="preserve"> a </w:t>
      </w:r>
      <w:r w:rsidR="00706438" w:rsidRPr="00D902E3">
        <w:rPr>
          <w:rFonts w:ascii="Cambria" w:hAnsi="Cambria"/>
          <w:color w:val="auto"/>
          <w:sz w:val="20"/>
          <w:szCs w:val="20"/>
          <w:lang w:val="es-ES"/>
        </w:rPr>
        <w:t>dicha</w:t>
      </w:r>
      <w:r w:rsidR="00EA2204" w:rsidRPr="00D902E3">
        <w:rPr>
          <w:rFonts w:ascii="Cambria" w:hAnsi="Cambria"/>
          <w:color w:val="auto"/>
          <w:sz w:val="20"/>
          <w:szCs w:val="20"/>
          <w:lang w:val="es-ES"/>
        </w:rPr>
        <w:t xml:space="preserve"> comisaría</w:t>
      </w:r>
      <w:r w:rsidR="00706438" w:rsidRPr="00D902E3">
        <w:rPr>
          <w:rFonts w:ascii="Cambria" w:hAnsi="Cambria"/>
          <w:color w:val="auto"/>
          <w:sz w:val="20"/>
          <w:szCs w:val="20"/>
          <w:lang w:val="es-ES"/>
        </w:rPr>
        <w:t>, con visibles signos</w:t>
      </w:r>
      <w:r w:rsidR="00C8025B" w:rsidRPr="00D902E3">
        <w:rPr>
          <w:rFonts w:ascii="Cambria" w:hAnsi="Cambria"/>
          <w:color w:val="auto"/>
          <w:sz w:val="20"/>
          <w:szCs w:val="20"/>
          <w:lang w:val="es-ES"/>
        </w:rPr>
        <w:t xml:space="preserve"> de ebriedad. </w:t>
      </w:r>
      <w:r w:rsidR="001B03FC" w:rsidRPr="00D902E3">
        <w:rPr>
          <w:rFonts w:ascii="Cambria" w:hAnsi="Cambria"/>
          <w:color w:val="auto"/>
          <w:sz w:val="20"/>
          <w:szCs w:val="20"/>
          <w:lang w:val="es-ES"/>
        </w:rPr>
        <w:t xml:space="preserve">El Estado indicó que </w:t>
      </w:r>
      <w:r w:rsidR="00E16CCD" w:rsidRPr="00D902E3">
        <w:rPr>
          <w:rFonts w:ascii="Cambria" w:hAnsi="Cambria"/>
          <w:color w:val="auto"/>
          <w:sz w:val="20"/>
          <w:szCs w:val="20"/>
          <w:lang w:val="es-ES"/>
        </w:rPr>
        <w:t xml:space="preserve">la investigación y </w:t>
      </w:r>
      <w:r w:rsidR="001B03FC" w:rsidRPr="00D902E3">
        <w:rPr>
          <w:rFonts w:ascii="Cambria" w:hAnsi="Cambria"/>
          <w:color w:val="auto"/>
          <w:sz w:val="20"/>
          <w:szCs w:val="20"/>
          <w:lang w:val="es-ES"/>
        </w:rPr>
        <w:t xml:space="preserve">proceso penal </w:t>
      </w:r>
      <w:r w:rsidR="00F63067" w:rsidRPr="00D902E3">
        <w:rPr>
          <w:rFonts w:ascii="Cambria" w:hAnsi="Cambria"/>
          <w:color w:val="auto"/>
          <w:sz w:val="20"/>
          <w:szCs w:val="20"/>
          <w:lang w:val="es-ES"/>
        </w:rPr>
        <w:t xml:space="preserve">que se siguió por la desaparición de Walter Munárriz Escobar se desarrolló adecuadamente, habiéndose declarado la absolución de los procesados por falta de prueba. </w:t>
      </w:r>
    </w:p>
    <w:p w:rsidR="00436077" w:rsidRPr="00E21797" w:rsidRDefault="00436077" w:rsidP="00436077">
      <w:pPr>
        <w:jc w:val="both"/>
        <w:rPr>
          <w:rFonts w:ascii="Cambria" w:hAnsi="Cambria"/>
          <w:sz w:val="20"/>
          <w:szCs w:val="20"/>
          <w:lang w:val="es-ES"/>
        </w:rPr>
      </w:pPr>
    </w:p>
    <w:p w:rsidR="00436077" w:rsidRPr="003B3EB4" w:rsidRDefault="00436077" w:rsidP="003B3EB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1980"/>
        </w:tabs>
        <w:ind w:left="0" w:firstLine="720"/>
        <w:jc w:val="both"/>
        <w:rPr>
          <w:rFonts w:ascii="Cambria" w:hAnsi="Cambria" w:cs="Arial"/>
          <w:sz w:val="20"/>
          <w:szCs w:val="20"/>
          <w:lang w:val="es-AR"/>
        </w:rPr>
      </w:pPr>
      <w:r w:rsidRPr="000A14A6">
        <w:rPr>
          <w:rFonts w:ascii="Cambria" w:hAnsi="Cambria" w:cs="Arial"/>
          <w:sz w:val="20"/>
          <w:szCs w:val="20"/>
          <w:lang w:val="es-ES"/>
        </w:rPr>
        <w:t>Tras analizar la posición de las partes</w:t>
      </w:r>
      <w:r w:rsidR="00D902E3">
        <w:rPr>
          <w:rFonts w:ascii="Cambria" w:hAnsi="Cambria" w:cs="Arial"/>
          <w:sz w:val="20"/>
          <w:szCs w:val="20"/>
          <w:lang w:val="es-ES"/>
        </w:rPr>
        <w:t xml:space="preserve"> y la prueba obrante en el expediente,</w:t>
      </w:r>
      <w:r w:rsidRPr="000A14A6">
        <w:rPr>
          <w:rFonts w:ascii="Cambria" w:hAnsi="Cambria" w:cs="Arial"/>
          <w:sz w:val="20"/>
          <w:szCs w:val="20"/>
          <w:lang w:val="es-ES"/>
        </w:rPr>
        <w:t xml:space="preserve"> la Comisión Interamericana concluyó que el Estado peruano es responsable por la violación </w:t>
      </w:r>
      <w:r w:rsidR="00373196">
        <w:rPr>
          <w:rFonts w:ascii="Cambria" w:hAnsi="Cambria" w:cs="Arial"/>
          <w:sz w:val="20"/>
          <w:szCs w:val="20"/>
          <w:lang w:val="es-ES"/>
        </w:rPr>
        <w:t>de</w:t>
      </w:r>
      <w:r w:rsidR="006D249A" w:rsidRPr="000A14A6">
        <w:rPr>
          <w:rFonts w:ascii="Cambria" w:hAnsi="Cambria" w:cs="Arial"/>
          <w:sz w:val="20"/>
          <w:szCs w:val="20"/>
          <w:lang w:val="es-ES"/>
        </w:rPr>
        <w:t xml:space="preserve"> los </w:t>
      </w:r>
      <w:r w:rsidRPr="000A14A6">
        <w:rPr>
          <w:rFonts w:ascii="Cambria" w:hAnsi="Cambria" w:cs="Arial"/>
          <w:sz w:val="20"/>
          <w:szCs w:val="20"/>
          <w:lang w:val="es-ES"/>
        </w:rPr>
        <w:t xml:space="preserve">derechos </w:t>
      </w:r>
      <w:r w:rsidR="006D249A" w:rsidRPr="000A14A6">
        <w:rPr>
          <w:rFonts w:ascii="Cambria" w:hAnsi="Cambria" w:cs="Arial"/>
          <w:sz w:val="20"/>
          <w:szCs w:val="20"/>
          <w:lang w:val="es-ES"/>
        </w:rPr>
        <w:t xml:space="preserve">al reconocimiento de la personalidad jurídica, a la vida, a la integridad personal, a la libertad personal, a las garantías judiciales y a la protección judicial </w:t>
      </w:r>
      <w:r w:rsidRPr="000A14A6">
        <w:rPr>
          <w:rFonts w:ascii="Cambria" w:hAnsi="Cambria" w:cs="Arial"/>
          <w:sz w:val="20"/>
          <w:szCs w:val="20"/>
          <w:lang w:val="es-ES"/>
        </w:rPr>
        <w:t xml:space="preserve">consagrados en los artículos </w:t>
      </w:r>
      <w:r w:rsidR="00966400" w:rsidRPr="000A14A6">
        <w:rPr>
          <w:rFonts w:ascii="Cambria" w:hAnsi="Cambria" w:cs="Arial"/>
          <w:sz w:val="20"/>
          <w:szCs w:val="20"/>
          <w:lang w:val="es-ES"/>
        </w:rPr>
        <w:t>3, 4</w:t>
      </w:r>
      <w:r w:rsidR="0004685E" w:rsidRPr="000A14A6">
        <w:rPr>
          <w:rFonts w:ascii="Cambria" w:hAnsi="Cambria" w:cs="Arial"/>
          <w:sz w:val="20"/>
          <w:szCs w:val="20"/>
          <w:lang w:val="es-ES"/>
        </w:rPr>
        <w:t>.1</w:t>
      </w:r>
      <w:r w:rsidR="00966400" w:rsidRPr="000A14A6">
        <w:rPr>
          <w:rFonts w:ascii="Cambria" w:hAnsi="Cambria" w:cs="Arial"/>
          <w:sz w:val="20"/>
          <w:szCs w:val="20"/>
          <w:lang w:val="es-ES"/>
        </w:rPr>
        <w:t>, 5</w:t>
      </w:r>
      <w:r w:rsidR="0004685E" w:rsidRPr="000A14A6">
        <w:rPr>
          <w:rFonts w:ascii="Cambria" w:hAnsi="Cambria" w:cs="Arial"/>
          <w:sz w:val="20"/>
          <w:szCs w:val="20"/>
          <w:lang w:val="es-ES"/>
        </w:rPr>
        <w:t>.1, 5.2</w:t>
      </w:r>
      <w:r w:rsidR="00966400" w:rsidRPr="000A14A6">
        <w:rPr>
          <w:rFonts w:ascii="Cambria" w:hAnsi="Cambria" w:cs="Arial"/>
          <w:sz w:val="20"/>
          <w:szCs w:val="20"/>
          <w:lang w:val="es-ES"/>
        </w:rPr>
        <w:t>, 7</w:t>
      </w:r>
      <w:r w:rsidR="0003449A" w:rsidRPr="000A14A6">
        <w:rPr>
          <w:rFonts w:ascii="Cambria" w:hAnsi="Cambria" w:cs="Arial"/>
          <w:sz w:val="20"/>
          <w:szCs w:val="20"/>
          <w:lang w:val="es-ES"/>
        </w:rPr>
        <w:t>.1</w:t>
      </w:r>
      <w:r w:rsidR="00966400" w:rsidRPr="000A14A6">
        <w:rPr>
          <w:rFonts w:ascii="Cambria" w:hAnsi="Cambria" w:cs="Arial"/>
          <w:sz w:val="20"/>
          <w:szCs w:val="20"/>
          <w:lang w:val="es-ES"/>
        </w:rPr>
        <w:t>,</w:t>
      </w:r>
      <w:r w:rsidR="00175DBE">
        <w:rPr>
          <w:rFonts w:ascii="Cambria" w:hAnsi="Cambria" w:cs="Arial"/>
          <w:sz w:val="20"/>
          <w:szCs w:val="20"/>
          <w:lang w:val="es-ES"/>
        </w:rPr>
        <w:t xml:space="preserve"> 7.2, 7.3, 7.4, 7.5,</w:t>
      </w:r>
      <w:r w:rsidR="00966400" w:rsidRPr="000A14A6">
        <w:rPr>
          <w:rFonts w:ascii="Cambria" w:hAnsi="Cambria" w:cs="Arial"/>
          <w:sz w:val="20"/>
          <w:szCs w:val="20"/>
          <w:lang w:val="es-ES"/>
        </w:rPr>
        <w:t xml:space="preserve"> 8</w:t>
      </w:r>
      <w:r w:rsidR="0004685E" w:rsidRPr="000A14A6">
        <w:rPr>
          <w:rFonts w:ascii="Cambria" w:hAnsi="Cambria" w:cs="Arial"/>
          <w:sz w:val="20"/>
          <w:szCs w:val="20"/>
          <w:lang w:val="es-ES"/>
        </w:rPr>
        <w:t>.1</w:t>
      </w:r>
      <w:r w:rsidR="00966400" w:rsidRPr="000A14A6">
        <w:rPr>
          <w:rFonts w:ascii="Cambria" w:hAnsi="Cambria" w:cs="Arial"/>
          <w:sz w:val="20"/>
          <w:szCs w:val="20"/>
          <w:lang w:val="es-ES"/>
        </w:rPr>
        <w:t xml:space="preserve"> y 25</w:t>
      </w:r>
      <w:r w:rsidR="0004685E" w:rsidRPr="000A14A6">
        <w:rPr>
          <w:rFonts w:ascii="Cambria" w:hAnsi="Cambria" w:cs="Arial"/>
          <w:sz w:val="20"/>
          <w:szCs w:val="20"/>
          <w:lang w:val="es-ES"/>
        </w:rPr>
        <w:t>.1</w:t>
      </w:r>
      <w:r w:rsidR="00966400" w:rsidRPr="000A14A6">
        <w:rPr>
          <w:rFonts w:ascii="Cambria" w:hAnsi="Cambria" w:cs="Arial"/>
          <w:sz w:val="20"/>
          <w:szCs w:val="20"/>
          <w:lang w:val="es-ES"/>
        </w:rPr>
        <w:t xml:space="preserve"> </w:t>
      </w:r>
      <w:r w:rsidRPr="000A14A6">
        <w:rPr>
          <w:rFonts w:ascii="Cambria" w:hAnsi="Cambria" w:cs="Arial"/>
          <w:sz w:val="20"/>
          <w:szCs w:val="20"/>
          <w:lang w:val="es-ES"/>
        </w:rPr>
        <w:t xml:space="preserve">de la </w:t>
      </w:r>
      <w:r w:rsidRPr="000A14A6">
        <w:rPr>
          <w:rFonts w:ascii="Cambria" w:hAnsi="Cambria"/>
          <w:sz w:val="20"/>
          <w:szCs w:val="20"/>
          <w:lang w:val="es-ES"/>
        </w:rPr>
        <w:t>Convención Americana sobre Derechos Humanos (en adelante “la Convención Americana” o “la Convención”)</w:t>
      </w:r>
      <w:r w:rsidRPr="000A14A6">
        <w:rPr>
          <w:rFonts w:ascii="Cambria" w:hAnsi="Cambria" w:cs="Arial"/>
          <w:sz w:val="20"/>
          <w:szCs w:val="20"/>
          <w:lang w:val="es-ES"/>
        </w:rPr>
        <w:t>, en relación con las obligaciones establecidas en los artículos 1.1 y 2 del mismo instrumento, por la de</w:t>
      </w:r>
      <w:r w:rsidR="00966400" w:rsidRPr="000A14A6">
        <w:rPr>
          <w:rFonts w:ascii="Cambria" w:hAnsi="Cambria" w:cs="Arial"/>
          <w:sz w:val="20"/>
          <w:szCs w:val="20"/>
          <w:lang w:val="es-ES"/>
        </w:rPr>
        <w:t>saparición forzada de</w:t>
      </w:r>
      <w:r w:rsidR="007C6A9C" w:rsidRPr="000A14A6">
        <w:rPr>
          <w:rFonts w:ascii="Cambria" w:hAnsi="Cambria" w:cs="Arial"/>
          <w:sz w:val="20"/>
          <w:szCs w:val="20"/>
          <w:lang w:val="es-ES"/>
        </w:rPr>
        <w:t xml:space="preserve"> Walter Munárriz Escobar</w:t>
      </w:r>
      <w:r w:rsidR="00F56A5E" w:rsidRPr="000A14A6">
        <w:rPr>
          <w:rFonts w:ascii="Cambria" w:hAnsi="Cambria" w:cs="Arial"/>
          <w:sz w:val="20"/>
          <w:szCs w:val="20"/>
          <w:lang w:val="es-ES"/>
        </w:rPr>
        <w:t>.</w:t>
      </w:r>
      <w:r w:rsidR="007C6A9C" w:rsidRPr="000A14A6">
        <w:rPr>
          <w:rFonts w:ascii="Cambria" w:hAnsi="Cambria" w:cs="Arial"/>
          <w:sz w:val="20"/>
          <w:szCs w:val="20"/>
          <w:lang w:val="es-ES"/>
        </w:rPr>
        <w:t xml:space="preserve"> </w:t>
      </w:r>
      <w:r w:rsidR="006D249A" w:rsidRPr="000A14A6">
        <w:rPr>
          <w:rFonts w:ascii="Cambria" w:hAnsi="Cambria" w:cs="Arial"/>
          <w:sz w:val="20"/>
          <w:szCs w:val="20"/>
          <w:lang w:val="es-ES"/>
        </w:rPr>
        <w:t>Asimismo, la Comisión concluyó que el Estado violó los derechos a la integridad personal, garantías judiciales y protección judicial, establecidos en los artículos 5</w:t>
      </w:r>
      <w:r w:rsidR="0004685E" w:rsidRPr="000A14A6">
        <w:rPr>
          <w:rFonts w:ascii="Cambria" w:hAnsi="Cambria" w:cs="Arial"/>
          <w:sz w:val="20"/>
          <w:szCs w:val="20"/>
          <w:lang w:val="es-ES"/>
        </w:rPr>
        <w:t>.1</w:t>
      </w:r>
      <w:r w:rsidR="006D249A" w:rsidRPr="000A14A6">
        <w:rPr>
          <w:rFonts w:ascii="Cambria" w:hAnsi="Cambria" w:cs="Arial"/>
          <w:sz w:val="20"/>
          <w:szCs w:val="20"/>
          <w:lang w:val="es-ES"/>
        </w:rPr>
        <w:t>, 8</w:t>
      </w:r>
      <w:r w:rsidR="0004685E" w:rsidRPr="000A14A6">
        <w:rPr>
          <w:rFonts w:ascii="Cambria" w:hAnsi="Cambria" w:cs="Arial"/>
          <w:sz w:val="20"/>
          <w:szCs w:val="20"/>
          <w:lang w:val="es-ES"/>
        </w:rPr>
        <w:t>.1</w:t>
      </w:r>
      <w:r w:rsidR="006D249A" w:rsidRPr="000A14A6">
        <w:rPr>
          <w:rFonts w:ascii="Cambria" w:hAnsi="Cambria" w:cs="Arial"/>
          <w:sz w:val="20"/>
          <w:szCs w:val="20"/>
          <w:lang w:val="es-ES"/>
        </w:rPr>
        <w:t xml:space="preserve"> y 25</w:t>
      </w:r>
      <w:r w:rsidR="0004685E" w:rsidRPr="000A14A6">
        <w:rPr>
          <w:rFonts w:ascii="Cambria" w:hAnsi="Cambria" w:cs="Arial"/>
          <w:sz w:val="20"/>
          <w:szCs w:val="20"/>
          <w:lang w:val="es-ES"/>
        </w:rPr>
        <w:t>.1</w:t>
      </w:r>
      <w:r w:rsidR="006D249A" w:rsidRPr="000A14A6">
        <w:rPr>
          <w:rFonts w:ascii="Cambria" w:hAnsi="Cambria" w:cs="Arial"/>
          <w:sz w:val="20"/>
          <w:szCs w:val="20"/>
          <w:lang w:val="es-ES"/>
        </w:rPr>
        <w:t xml:space="preserve"> de la Convenci</w:t>
      </w:r>
      <w:r w:rsidR="006D249A" w:rsidRPr="000A14A6">
        <w:rPr>
          <w:rFonts w:ascii="Cambria" w:hAnsi="Cambria"/>
          <w:sz w:val="20"/>
          <w:szCs w:val="20"/>
          <w:lang w:val="es-ES"/>
        </w:rPr>
        <w:t xml:space="preserve">ón Americana en relación con las obligaciones establecidas en el artículo 1.1 y 2 del mismo instrumento, </w:t>
      </w:r>
      <w:r w:rsidR="006D249A" w:rsidRPr="000A14A6">
        <w:rPr>
          <w:rFonts w:ascii="Cambria" w:hAnsi="Cambria" w:cs="Arial"/>
          <w:sz w:val="20"/>
          <w:szCs w:val="20"/>
          <w:lang w:val="es-ES"/>
        </w:rPr>
        <w:t xml:space="preserve">en perjuicio de los familiares </w:t>
      </w:r>
      <w:r w:rsidR="000971FF" w:rsidRPr="000A14A6">
        <w:rPr>
          <w:rFonts w:ascii="Cambria" w:hAnsi="Cambria" w:cs="Arial"/>
          <w:sz w:val="20"/>
          <w:szCs w:val="20"/>
          <w:lang w:val="es-ES"/>
        </w:rPr>
        <w:t xml:space="preserve">de </w:t>
      </w:r>
      <w:r w:rsidR="00F56A5E" w:rsidRPr="000A14A6">
        <w:rPr>
          <w:rFonts w:ascii="Cambria" w:hAnsi="Cambria" w:cs="Arial"/>
          <w:sz w:val="20"/>
          <w:szCs w:val="20"/>
          <w:lang w:val="es-ES"/>
        </w:rPr>
        <w:t xml:space="preserve">Walter Munárriz Escobar. </w:t>
      </w:r>
      <w:r w:rsidR="000A14A6" w:rsidRPr="000A14A6">
        <w:rPr>
          <w:rFonts w:ascii="Cambria" w:hAnsi="Cambria" w:cs="Arial"/>
          <w:sz w:val="20"/>
          <w:szCs w:val="20"/>
          <w:lang w:val="es-ES"/>
        </w:rPr>
        <w:t>Finalmente, la C</w:t>
      </w:r>
      <w:r w:rsidR="000A14A6">
        <w:rPr>
          <w:rFonts w:ascii="Cambria" w:hAnsi="Cambria" w:cs="Arial"/>
          <w:sz w:val="20"/>
          <w:szCs w:val="20"/>
          <w:lang w:val="es-ES"/>
        </w:rPr>
        <w:t xml:space="preserve">omisión concluyó que el Estado peruano </w:t>
      </w:r>
      <w:r w:rsidR="000A14A6" w:rsidRPr="000A14A6">
        <w:rPr>
          <w:rFonts w:ascii="Cambria" w:hAnsi="Cambria" w:cs="Arial"/>
          <w:sz w:val="20"/>
          <w:szCs w:val="20"/>
          <w:lang w:val="es-ES"/>
        </w:rPr>
        <w:t>es responsable por la violación de las obligaciones establecidas en los artículos I a)</w:t>
      </w:r>
      <w:r w:rsidR="009C32E1">
        <w:rPr>
          <w:rFonts w:ascii="Cambria" w:hAnsi="Cambria" w:cs="Arial"/>
          <w:sz w:val="20"/>
          <w:szCs w:val="20"/>
          <w:lang w:val="es-ES"/>
        </w:rPr>
        <w:t xml:space="preserve">, </w:t>
      </w:r>
      <w:r w:rsidR="000A14A6" w:rsidRPr="000A14A6">
        <w:rPr>
          <w:rFonts w:ascii="Cambria" w:hAnsi="Cambria" w:cs="Arial"/>
          <w:sz w:val="20"/>
          <w:szCs w:val="20"/>
          <w:lang w:val="es-ES"/>
        </w:rPr>
        <w:t>I b)</w:t>
      </w:r>
      <w:r w:rsidR="009C32E1">
        <w:rPr>
          <w:rFonts w:ascii="Cambria" w:hAnsi="Cambria" w:cs="Arial"/>
          <w:sz w:val="20"/>
          <w:szCs w:val="20"/>
          <w:lang w:val="es-ES"/>
        </w:rPr>
        <w:t xml:space="preserve"> y III</w:t>
      </w:r>
      <w:r w:rsidR="000A14A6" w:rsidRPr="000A14A6">
        <w:rPr>
          <w:rFonts w:ascii="Cambria" w:hAnsi="Cambria" w:cs="Arial"/>
          <w:sz w:val="20"/>
          <w:szCs w:val="20"/>
          <w:lang w:val="es-ES"/>
        </w:rPr>
        <w:t xml:space="preserve"> de la Convención Interamericana sobre Desaparición Forzada de Personas</w:t>
      </w:r>
      <w:r w:rsidR="0033448C">
        <w:rPr>
          <w:rFonts w:ascii="Cambria" w:hAnsi="Cambria" w:cs="Arial"/>
          <w:sz w:val="20"/>
          <w:szCs w:val="20"/>
          <w:lang w:val="es-ES"/>
        </w:rPr>
        <w:t xml:space="preserve"> (en adelante “la CIDFP”)</w:t>
      </w:r>
      <w:r w:rsidR="003B3EB4" w:rsidRPr="003B3EB4">
        <w:rPr>
          <w:rFonts w:ascii="Cambria" w:eastAsia="Times New Roman" w:hAnsi="Cambria" w:cs="Arial"/>
          <w:color w:val="000000"/>
          <w:sz w:val="20"/>
          <w:szCs w:val="20"/>
          <w:u w:color="000000"/>
          <w:lang w:val="es-ES" w:eastAsia="es-ES"/>
        </w:rPr>
        <w:t xml:space="preserve"> </w:t>
      </w:r>
      <w:r w:rsidR="003B3EB4" w:rsidRPr="003B3EB4">
        <w:rPr>
          <w:rFonts w:ascii="Cambria" w:hAnsi="Cambria" w:cs="Arial"/>
          <w:sz w:val="20"/>
          <w:szCs w:val="20"/>
          <w:lang w:val="es-ES"/>
        </w:rPr>
        <w:t>y de los artículos 1, 6 y 8 de la Convención Interamericana para Prevenir y Sancionar la Tortura</w:t>
      </w:r>
      <w:r w:rsidR="001E4FB9">
        <w:rPr>
          <w:rFonts w:ascii="Cambria" w:hAnsi="Cambria" w:cs="Arial"/>
          <w:sz w:val="20"/>
          <w:szCs w:val="20"/>
          <w:lang w:val="es-ES"/>
        </w:rPr>
        <w:t xml:space="preserve"> (en adelante “la CIPST”)</w:t>
      </w:r>
      <w:r w:rsidR="003B3EB4" w:rsidRPr="003B3EB4">
        <w:rPr>
          <w:rFonts w:ascii="Cambria" w:hAnsi="Cambria" w:cs="Arial"/>
          <w:sz w:val="20"/>
          <w:szCs w:val="20"/>
          <w:lang w:val="es-ES"/>
        </w:rPr>
        <w:t xml:space="preserve">. </w:t>
      </w:r>
      <w:r w:rsidR="000A14A6" w:rsidRPr="003B3EB4">
        <w:rPr>
          <w:rFonts w:ascii="Cambria" w:hAnsi="Cambria" w:cs="Arial"/>
          <w:sz w:val="20"/>
          <w:szCs w:val="20"/>
          <w:lang w:val="es-ES"/>
        </w:rPr>
        <w:t xml:space="preserve"> </w:t>
      </w:r>
      <w:r w:rsidRPr="003B3EB4">
        <w:rPr>
          <w:rFonts w:ascii="Cambria" w:hAnsi="Cambria" w:cs="Arial"/>
          <w:sz w:val="20"/>
          <w:szCs w:val="20"/>
          <w:lang w:val="es-ES"/>
        </w:rPr>
        <w:t>En consecuencia, la Comisión formuló las recomendaciones correspondientes.</w:t>
      </w:r>
      <w:r w:rsidR="000971FF" w:rsidRPr="003B3EB4">
        <w:rPr>
          <w:rFonts w:ascii="Cambria" w:hAnsi="Cambria" w:cs="Arial"/>
          <w:sz w:val="20"/>
          <w:szCs w:val="20"/>
          <w:lang w:val="es-ES"/>
        </w:rPr>
        <w:t xml:space="preserve"> </w:t>
      </w:r>
    </w:p>
    <w:p w:rsidR="00436077" w:rsidRPr="00E21797" w:rsidRDefault="00436077" w:rsidP="00436077">
      <w:pPr>
        <w:jc w:val="both"/>
        <w:rPr>
          <w:rFonts w:ascii="Cambria" w:hAnsi="Cambria" w:cs="Univers"/>
          <w:sz w:val="20"/>
          <w:szCs w:val="20"/>
          <w:lang w:val="es-ES"/>
        </w:rPr>
      </w:pPr>
    </w:p>
    <w:p w:rsidR="00436077" w:rsidRPr="00E21797" w:rsidRDefault="00436077" w:rsidP="00436077">
      <w:pPr>
        <w:pStyle w:val="Heading1"/>
        <w:rPr>
          <w:lang w:val="es-MX"/>
        </w:rPr>
      </w:pPr>
      <w:bookmarkStart w:id="2" w:name="_Toc413687811"/>
      <w:bookmarkStart w:id="3" w:name="_Toc467948047"/>
      <w:r w:rsidRPr="00E21797">
        <w:rPr>
          <w:lang w:val="es-MX"/>
        </w:rPr>
        <w:t>TRÁMITE ANTE LA CIDH</w:t>
      </w:r>
      <w:bookmarkEnd w:id="2"/>
      <w:bookmarkEnd w:id="3"/>
    </w:p>
    <w:p w:rsidR="00436077" w:rsidRPr="00E21797" w:rsidRDefault="00436077" w:rsidP="00436077">
      <w:pPr>
        <w:jc w:val="both"/>
        <w:rPr>
          <w:rFonts w:ascii="Cambria" w:hAnsi="Cambria" w:cs="Univers"/>
          <w:sz w:val="20"/>
          <w:szCs w:val="20"/>
          <w:lang w:val="es-ES_tradnl"/>
        </w:rPr>
      </w:pPr>
    </w:p>
    <w:p w:rsidR="00436077" w:rsidRPr="00E21797" w:rsidRDefault="00A50C86"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E21797">
        <w:rPr>
          <w:rFonts w:ascii="Cambria" w:hAnsi="Cambria" w:cs="Arial"/>
          <w:sz w:val="20"/>
          <w:szCs w:val="20"/>
          <w:lang w:val="es-ES"/>
        </w:rPr>
        <w:t>E</w:t>
      </w:r>
      <w:r w:rsidR="006375BD">
        <w:rPr>
          <w:rFonts w:ascii="Cambria" w:hAnsi="Cambria" w:cs="Arial"/>
          <w:sz w:val="20"/>
          <w:szCs w:val="20"/>
          <w:lang w:val="es-ES"/>
        </w:rPr>
        <w:t>l</w:t>
      </w:r>
      <w:r w:rsidR="00F56A5E" w:rsidRPr="00E21797">
        <w:rPr>
          <w:rFonts w:ascii="Cambria" w:hAnsi="Cambria" w:cs="Arial"/>
          <w:sz w:val="20"/>
          <w:szCs w:val="20"/>
          <w:lang w:val="es-ES"/>
        </w:rPr>
        <w:t xml:space="preserve"> 28 de </w:t>
      </w:r>
      <w:r w:rsidRPr="00E21797">
        <w:rPr>
          <w:rFonts w:ascii="Cambria" w:hAnsi="Cambria" w:cs="Arial"/>
          <w:sz w:val="20"/>
          <w:szCs w:val="20"/>
          <w:lang w:val="es-ES"/>
        </w:rPr>
        <w:t xml:space="preserve">junio de </w:t>
      </w:r>
      <w:r w:rsidR="00436077" w:rsidRPr="00E21797">
        <w:rPr>
          <w:rFonts w:ascii="Cambria" w:hAnsi="Cambria" w:cs="Arial"/>
          <w:sz w:val="20"/>
          <w:szCs w:val="20"/>
          <w:lang w:val="es-ES"/>
        </w:rPr>
        <w:t>200</w:t>
      </w:r>
      <w:r w:rsidR="004E7CC3" w:rsidRPr="00E21797">
        <w:rPr>
          <w:rFonts w:ascii="Cambria" w:hAnsi="Cambria" w:cs="Arial"/>
          <w:sz w:val="20"/>
          <w:szCs w:val="20"/>
          <w:lang w:val="es-ES"/>
        </w:rPr>
        <w:t>5</w:t>
      </w:r>
      <w:r w:rsidR="00436077" w:rsidRPr="00E21797">
        <w:rPr>
          <w:rFonts w:ascii="Cambria" w:hAnsi="Cambria" w:cs="Arial"/>
          <w:sz w:val="20"/>
          <w:szCs w:val="20"/>
          <w:lang w:val="es-ES"/>
        </w:rPr>
        <w:t xml:space="preserve"> </w:t>
      </w:r>
      <w:r w:rsidR="00436077" w:rsidRPr="00E21797">
        <w:rPr>
          <w:rFonts w:ascii="Cambria" w:hAnsi="Cambria"/>
          <w:sz w:val="20"/>
          <w:szCs w:val="20"/>
          <w:lang w:val="es-ES"/>
        </w:rPr>
        <w:t xml:space="preserve">la Comisión Interamericana recibió </w:t>
      </w:r>
      <w:r w:rsidR="00F56A5E" w:rsidRPr="00E21797">
        <w:rPr>
          <w:rFonts w:ascii="Cambria" w:hAnsi="Cambria"/>
          <w:sz w:val="20"/>
          <w:szCs w:val="20"/>
          <w:lang w:val="es-ES"/>
        </w:rPr>
        <w:t>una petición presentada por la COMISEDH</w:t>
      </w:r>
      <w:r w:rsidR="0004685E" w:rsidRPr="00E21797">
        <w:rPr>
          <w:rFonts w:ascii="Cambria" w:hAnsi="Cambria"/>
          <w:sz w:val="20"/>
          <w:szCs w:val="20"/>
          <w:lang w:val="es-ES"/>
        </w:rPr>
        <w:t>,</w:t>
      </w:r>
      <w:r w:rsidR="00F56A5E" w:rsidRPr="00E21797">
        <w:rPr>
          <w:rFonts w:ascii="Cambria" w:hAnsi="Cambria"/>
          <w:sz w:val="20"/>
          <w:szCs w:val="20"/>
          <w:lang w:val="es-ES"/>
        </w:rPr>
        <w:t xml:space="preserve"> </w:t>
      </w:r>
      <w:r w:rsidR="00436077" w:rsidRPr="00E21797">
        <w:rPr>
          <w:rFonts w:ascii="Cambria" w:hAnsi="Cambria"/>
          <w:sz w:val="20"/>
          <w:szCs w:val="20"/>
        </w:rPr>
        <w:t xml:space="preserve">cuyo trámite hasta la decisión sobre admisibilidad se encuentra explicado en detalle en </w:t>
      </w:r>
      <w:r w:rsidR="00F56A5E" w:rsidRPr="00E21797">
        <w:rPr>
          <w:rFonts w:ascii="Cambria" w:hAnsi="Cambria"/>
          <w:sz w:val="20"/>
          <w:szCs w:val="20"/>
        </w:rPr>
        <w:t>el</w:t>
      </w:r>
      <w:r w:rsidR="00436077" w:rsidRPr="00E21797">
        <w:rPr>
          <w:rFonts w:ascii="Cambria" w:hAnsi="Cambria"/>
          <w:sz w:val="20"/>
          <w:szCs w:val="20"/>
        </w:rPr>
        <w:t xml:space="preserve"> informe de admisibilidad No.</w:t>
      </w:r>
      <w:r w:rsidR="00373196">
        <w:rPr>
          <w:rFonts w:ascii="Cambria" w:hAnsi="Cambria"/>
          <w:sz w:val="20"/>
          <w:szCs w:val="20"/>
        </w:rPr>
        <w:t xml:space="preserve"> </w:t>
      </w:r>
      <w:r w:rsidR="007C6A9C" w:rsidRPr="00E21797">
        <w:rPr>
          <w:rFonts w:ascii="Cambria" w:hAnsi="Cambria"/>
          <w:sz w:val="20"/>
          <w:szCs w:val="20"/>
        </w:rPr>
        <w:t>10/07</w:t>
      </w:r>
      <w:r w:rsidR="007C6A9C" w:rsidRPr="00E21797">
        <w:rPr>
          <w:rStyle w:val="FootnoteReference"/>
          <w:rFonts w:ascii="Cambria" w:hAnsi="Cambria"/>
          <w:sz w:val="20"/>
          <w:szCs w:val="20"/>
        </w:rPr>
        <w:footnoteReference w:id="3"/>
      </w:r>
      <w:r w:rsidR="00AC7DE9" w:rsidRPr="00E21797">
        <w:rPr>
          <w:rFonts w:ascii="Cambria" w:hAnsi="Cambria"/>
          <w:sz w:val="20"/>
          <w:szCs w:val="20"/>
        </w:rPr>
        <w:t>.</w:t>
      </w:r>
      <w:r w:rsidR="00436077" w:rsidRPr="00E21797">
        <w:rPr>
          <w:rFonts w:ascii="Cambria" w:hAnsi="Cambria"/>
          <w:sz w:val="20"/>
          <w:szCs w:val="20"/>
        </w:rPr>
        <w:t xml:space="preserve"> En dicho informe</w:t>
      </w:r>
      <w:r w:rsidR="00F56A5E" w:rsidRPr="00E21797">
        <w:rPr>
          <w:rFonts w:ascii="Cambria" w:hAnsi="Cambria"/>
          <w:sz w:val="20"/>
          <w:szCs w:val="20"/>
        </w:rPr>
        <w:t>,</w:t>
      </w:r>
      <w:r w:rsidR="00436077" w:rsidRPr="00E21797">
        <w:rPr>
          <w:rFonts w:ascii="Cambria" w:hAnsi="Cambria"/>
          <w:sz w:val="20"/>
          <w:szCs w:val="20"/>
        </w:rPr>
        <w:t xml:space="preserve"> la CIDH declaró la admisibilidad de la petici</w:t>
      </w:r>
      <w:r w:rsidR="00F56A5E" w:rsidRPr="00E21797">
        <w:rPr>
          <w:rFonts w:ascii="Cambria" w:hAnsi="Cambria"/>
          <w:sz w:val="20"/>
          <w:szCs w:val="20"/>
        </w:rPr>
        <w:t>ón</w:t>
      </w:r>
      <w:r w:rsidR="00436077" w:rsidRPr="00E21797">
        <w:rPr>
          <w:rFonts w:ascii="Cambria" w:hAnsi="Cambria"/>
          <w:sz w:val="20"/>
          <w:szCs w:val="20"/>
        </w:rPr>
        <w:t xml:space="preserve"> e indicó que los hechos alegados podrían caracterizar una violación de los derechos establecidos en los </w:t>
      </w:r>
      <w:r w:rsidR="00436077" w:rsidRPr="00E21797">
        <w:rPr>
          <w:rFonts w:ascii="Cambria" w:hAnsi="Cambria"/>
          <w:sz w:val="20"/>
          <w:szCs w:val="20"/>
        </w:rPr>
        <w:lastRenderedPageBreak/>
        <w:t>artículos</w:t>
      </w:r>
      <w:r w:rsidR="00D71B72" w:rsidRPr="00E21797">
        <w:rPr>
          <w:rFonts w:ascii="Cambria" w:hAnsi="Cambria"/>
          <w:sz w:val="20"/>
          <w:szCs w:val="20"/>
        </w:rPr>
        <w:t xml:space="preserve"> </w:t>
      </w:r>
      <w:r w:rsidR="00D71B72" w:rsidRPr="00E21797">
        <w:rPr>
          <w:rFonts w:ascii="Cambria" w:hAnsi="Cambria"/>
          <w:sz w:val="20"/>
          <w:szCs w:val="20"/>
          <w:lang w:val="es-MX"/>
        </w:rPr>
        <w:t xml:space="preserve">3, 4, 5, 7, 8 </w:t>
      </w:r>
      <w:r w:rsidR="006375BD">
        <w:rPr>
          <w:rFonts w:ascii="Cambria" w:hAnsi="Cambria"/>
          <w:sz w:val="20"/>
          <w:szCs w:val="20"/>
          <w:lang w:val="es-MX"/>
        </w:rPr>
        <w:t xml:space="preserve"> </w:t>
      </w:r>
      <w:r w:rsidR="00D71B72" w:rsidRPr="00E21797">
        <w:rPr>
          <w:rFonts w:ascii="Cambria" w:hAnsi="Cambria"/>
          <w:sz w:val="20"/>
          <w:szCs w:val="20"/>
          <w:lang w:val="es-MX"/>
        </w:rPr>
        <w:t xml:space="preserve">y 25 </w:t>
      </w:r>
      <w:r w:rsidR="00436077" w:rsidRPr="00E21797">
        <w:rPr>
          <w:rFonts w:ascii="Cambria" w:hAnsi="Cambria"/>
          <w:sz w:val="20"/>
          <w:szCs w:val="20"/>
        </w:rPr>
        <w:t>de la Convención Americana</w:t>
      </w:r>
      <w:r w:rsidR="0004685E" w:rsidRPr="00E21797">
        <w:rPr>
          <w:rFonts w:ascii="Cambria" w:hAnsi="Cambria"/>
          <w:sz w:val="20"/>
          <w:szCs w:val="20"/>
        </w:rPr>
        <w:t xml:space="preserve">, </w:t>
      </w:r>
      <w:r w:rsidR="00436077" w:rsidRPr="00E21797">
        <w:rPr>
          <w:rFonts w:ascii="Cambria" w:hAnsi="Cambria"/>
          <w:sz w:val="20"/>
          <w:szCs w:val="20"/>
        </w:rPr>
        <w:t xml:space="preserve"> en relación con las obligaciones establecidas en los artículos 1.1 y 2 del mismo instrumento. </w:t>
      </w:r>
      <w:r w:rsidR="0004685E" w:rsidRPr="00E21797">
        <w:rPr>
          <w:rFonts w:ascii="Cambria" w:hAnsi="Cambria"/>
          <w:sz w:val="20"/>
          <w:szCs w:val="20"/>
        </w:rPr>
        <w:t xml:space="preserve">Asimismo, declaró </w:t>
      </w:r>
      <w:r w:rsidR="00117F90">
        <w:rPr>
          <w:rFonts w:ascii="Cambria" w:hAnsi="Cambria"/>
          <w:sz w:val="20"/>
          <w:szCs w:val="20"/>
        </w:rPr>
        <w:t xml:space="preserve">la petición admisible </w:t>
      </w:r>
      <w:r w:rsidR="0004685E" w:rsidRPr="00E21797">
        <w:rPr>
          <w:rFonts w:ascii="Cambria" w:hAnsi="Cambria"/>
          <w:sz w:val="20"/>
          <w:szCs w:val="20"/>
        </w:rPr>
        <w:t>de los artículos I y III de la Convención Interamericana sobre Desaparición Forzada de Personas.</w:t>
      </w:r>
    </w:p>
    <w:p w:rsidR="00F56A5E" w:rsidRPr="00E21797" w:rsidRDefault="00F56A5E" w:rsidP="00F56A5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rPr>
      </w:pPr>
    </w:p>
    <w:p w:rsidR="009556CC" w:rsidRPr="006807FE" w:rsidRDefault="009777AD" w:rsidP="009556C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auto"/>
          <w:sz w:val="20"/>
          <w:szCs w:val="20"/>
        </w:rPr>
      </w:pPr>
      <w:r w:rsidRPr="006807FE">
        <w:rPr>
          <w:rFonts w:ascii="Cambria" w:hAnsi="Cambria"/>
          <w:color w:val="auto"/>
          <w:sz w:val="20"/>
          <w:szCs w:val="20"/>
        </w:rPr>
        <w:t xml:space="preserve">El </w:t>
      </w:r>
      <w:r w:rsidR="00EA3604" w:rsidRPr="006807FE">
        <w:rPr>
          <w:rFonts w:ascii="Cambria" w:hAnsi="Cambria"/>
          <w:color w:val="auto"/>
          <w:sz w:val="20"/>
          <w:szCs w:val="20"/>
        </w:rPr>
        <w:t>4 de abril de 2007 l</w:t>
      </w:r>
      <w:r w:rsidRPr="006807FE">
        <w:rPr>
          <w:rFonts w:ascii="Cambria" w:hAnsi="Cambria"/>
          <w:color w:val="auto"/>
          <w:sz w:val="20"/>
          <w:szCs w:val="20"/>
        </w:rPr>
        <w:t>a Comisión</w:t>
      </w:r>
      <w:r w:rsidR="00EA3604" w:rsidRPr="006807FE">
        <w:rPr>
          <w:rFonts w:ascii="Cambria" w:hAnsi="Cambria"/>
          <w:color w:val="auto"/>
          <w:sz w:val="20"/>
          <w:szCs w:val="20"/>
        </w:rPr>
        <w:t xml:space="preserve"> notificó a ambas partes la adopción del </w:t>
      </w:r>
      <w:r w:rsidR="008A7AD8" w:rsidRPr="006807FE">
        <w:rPr>
          <w:rFonts w:ascii="Cambria" w:hAnsi="Cambria"/>
          <w:color w:val="auto"/>
          <w:sz w:val="20"/>
          <w:szCs w:val="20"/>
        </w:rPr>
        <w:t>i</w:t>
      </w:r>
      <w:r w:rsidR="00EA3604" w:rsidRPr="006807FE">
        <w:rPr>
          <w:rFonts w:ascii="Cambria" w:hAnsi="Cambria"/>
          <w:color w:val="auto"/>
          <w:sz w:val="20"/>
          <w:szCs w:val="20"/>
        </w:rPr>
        <w:t xml:space="preserve">nforme de </w:t>
      </w:r>
      <w:r w:rsidR="008A7AD8" w:rsidRPr="006807FE">
        <w:rPr>
          <w:rFonts w:ascii="Cambria" w:hAnsi="Cambria"/>
          <w:color w:val="auto"/>
          <w:sz w:val="20"/>
          <w:szCs w:val="20"/>
        </w:rPr>
        <w:t>a</w:t>
      </w:r>
      <w:r w:rsidR="00EA3604" w:rsidRPr="006807FE">
        <w:rPr>
          <w:rFonts w:ascii="Cambria" w:hAnsi="Cambria"/>
          <w:color w:val="auto"/>
          <w:sz w:val="20"/>
          <w:szCs w:val="20"/>
        </w:rPr>
        <w:t>dmisibilidad y se puso a su disposición a fin de llegar a una solución amistosa del asunto. En  la misma comunicación, la CIDH otorgó a los peticionarios un plazo de dos meses para presentar sus observaciones adicionales sobre el fondo. L</w:t>
      </w:r>
      <w:r w:rsidR="003D3072" w:rsidRPr="006807FE">
        <w:rPr>
          <w:rFonts w:ascii="Cambria" w:hAnsi="Cambria"/>
          <w:color w:val="auto"/>
          <w:sz w:val="20"/>
          <w:szCs w:val="20"/>
        </w:rPr>
        <w:t xml:space="preserve">os peticionarios presentaron una comunicación </w:t>
      </w:r>
      <w:r w:rsidR="00C82466" w:rsidRPr="006807FE">
        <w:rPr>
          <w:rFonts w:ascii="Cambria" w:hAnsi="Cambria"/>
          <w:color w:val="auto"/>
          <w:sz w:val="20"/>
          <w:szCs w:val="20"/>
        </w:rPr>
        <w:t>el</w:t>
      </w:r>
      <w:r w:rsidR="003D3072" w:rsidRPr="006807FE">
        <w:rPr>
          <w:rFonts w:ascii="Cambria" w:hAnsi="Cambria"/>
          <w:color w:val="auto"/>
          <w:sz w:val="20"/>
          <w:szCs w:val="20"/>
        </w:rPr>
        <w:t xml:space="preserve"> 16 de abril de 2007</w:t>
      </w:r>
      <w:r w:rsidR="00F56A5E" w:rsidRPr="006807FE">
        <w:rPr>
          <w:rFonts w:ascii="Cambria" w:hAnsi="Cambria"/>
          <w:color w:val="auto"/>
          <w:sz w:val="20"/>
          <w:szCs w:val="20"/>
        </w:rPr>
        <w:t xml:space="preserve">, informando su disposición </w:t>
      </w:r>
      <w:r w:rsidR="000A7AE0" w:rsidRPr="006807FE">
        <w:rPr>
          <w:rFonts w:ascii="Cambria" w:hAnsi="Cambria"/>
          <w:color w:val="auto"/>
          <w:sz w:val="20"/>
          <w:szCs w:val="20"/>
        </w:rPr>
        <w:t>de</w:t>
      </w:r>
      <w:r w:rsidR="00F56A5E" w:rsidRPr="006807FE">
        <w:rPr>
          <w:rFonts w:ascii="Cambria" w:hAnsi="Cambria"/>
          <w:color w:val="auto"/>
          <w:sz w:val="20"/>
          <w:szCs w:val="20"/>
        </w:rPr>
        <w:t xml:space="preserve"> iniciar un proceso de solución amistosa</w:t>
      </w:r>
      <w:r w:rsidR="00C82466" w:rsidRPr="006807FE">
        <w:rPr>
          <w:rFonts w:ascii="Cambria" w:hAnsi="Cambria"/>
          <w:color w:val="auto"/>
          <w:sz w:val="20"/>
          <w:szCs w:val="20"/>
        </w:rPr>
        <w:t>.</w:t>
      </w:r>
      <w:r w:rsidR="00624252" w:rsidRPr="006807FE">
        <w:rPr>
          <w:rFonts w:ascii="Cambria" w:hAnsi="Cambria"/>
          <w:color w:val="auto"/>
          <w:sz w:val="20"/>
          <w:szCs w:val="20"/>
        </w:rPr>
        <w:t xml:space="preserve"> </w:t>
      </w:r>
      <w:r w:rsidR="00C82466" w:rsidRPr="006807FE">
        <w:rPr>
          <w:rFonts w:ascii="Cambria" w:hAnsi="Cambria"/>
          <w:color w:val="auto"/>
          <w:sz w:val="20"/>
          <w:szCs w:val="20"/>
        </w:rPr>
        <w:t>D</w:t>
      </w:r>
      <w:r w:rsidR="00624252" w:rsidRPr="006807FE">
        <w:rPr>
          <w:rFonts w:ascii="Cambria" w:hAnsi="Cambria"/>
          <w:color w:val="auto"/>
          <w:sz w:val="20"/>
          <w:szCs w:val="20"/>
        </w:rPr>
        <w:t xml:space="preserve">icha comunicación </w:t>
      </w:r>
      <w:r w:rsidR="0085572B" w:rsidRPr="006807FE">
        <w:rPr>
          <w:rFonts w:ascii="Cambria" w:hAnsi="Cambria"/>
          <w:color w:val="auto"/>
          <w:sz w:val="20"/>
          <w:szCs w:val="20"/>
        </w:rPr>
        <w:t>fue remitid</w:t>
      </w:r>
      <w:r w:rsidR="00624252" w:rsidRPr="006807FE">
        <w:rPr>
          <w:rFonts w:ascii="Cambria" w:hAnsi="Cambria"/>
          <w:color w:val="auto"/>
          <w:sz w:val="20"/>
          <w:szCs w:val="20"/>
        </w:rPr>
        <w:t>a</w:t>
      </w:r>
      <w:r w:rsidR="0085572B" w:rsidRPr="006807FE">
        <w:rPr>
          <w:rFonts w:ascii="Cambria" w:hAnsi="Cambria"/>
          <w:color w:val="auto"/>
          <w:sz w:val="20"/>
          <w:szCs w:val="20"/>
        </w:rPr>
        <w:t xml:space="preserve"> al Estado, solicitándole que, en el plazo de un mes, se pronunciara sobre la posibilidad de iniciar un proceso de solución amistosa. E</w:t>
      </w:r>
      <w:r w:rsidR="0062043C" w:rsidRPr="006807FE">
        <w:rPr>
          <w:rFonts w:ascii="Cambria" w:hAnsi="Cambria"/>
          <w:color w:val="auto"/>
          <w:sz w:val="20"/>
          <w:szCs w:val="20"/>
        </w:rPr>
        <w:t xml:space="preserve">l </w:t>
      </w:r>
      <w:r w:rsidR="00624252" w:rsidRPr="006807FE">
        <w:rPr>
          <w:rFonts w:ascii="Cambria" w:hAnsi="Cambria"/>
          <w:color w:val="auto"/>
          <w:sz w:val="20"/>
          <w:szCs w:val="20"/>
        </w:rPr>
        <w:t>9 de agosto de 200</w:t>
      </w:r>
      <w:r w:rsidR="003D5881">
        <w:rPr>
          <w:rFonts w:ascii="Cambria" w:hAnsi="Cambria"/>
          <w:color w:val="auto"/>
          <w:sz w:val="20"/>
          <w:szCs w:val="20"/>
        </w:rPr>
        <w:t>7</w:t>
      </w:r>
      <w:r w:rsidR="00624252" w:rsidRPr="006807FE">
        <w:rPr>
          <w:rFonts w:ascii="Cambria" w:hAnsi="Cambria"/>
          <w:color w:val="auto"/>
          <w:sz w:val="20"/>
          <w:szCs w:val="20"/>
        </w:rPr>
        <w:t xml:space="preserve">, el </w:t>
      </w:r>
      <w:r w:rsidR="0062043C" w:rsidRPr="006807FE">
        <w:rPr>
          <w:rFonts w:ascii="Cambria" w:hAnsi="Cambria"/>
          <w:color w:val="auto"/>
          <w:sz w:val="20"/>
          <w:szCs w:val="20"/>
        </w:rPr>
        <w:t xml:space="preserve">Estado presentó </w:t>
      </w:r>
      <w:r w:rsidR="00624252" w:rsidRPr="006807FE">
        <w:rPr>
          <w:rFonts w:ascii="Cambria" w:hAnsi="Cambria"/>
          <w:color w:val="auto"/>
          <w:sz w:val="20"/>
          <w:szCs w:val="20"/>
        </w:rPr>
        <w:t xml:space="preserve">un escrito con </w:t>
      </w:r>
      <w:r w:rsidR="00EC4294" w:rsidRPr="006807FE">
        <w:rPr>
          <w:rFonts w:ascii="Cambria" w:hAnsi="Cambria"/>
          <w:color w:val="auto"/>
          <w:sz w:val="20"/>
          <w:szCs w:val="20"/>
        </w:rPr>
        <w:t>observaciones</w:t>
      </w:r>
      <w:r w:rsidR="0004685E" w:rsidRPr="006807FE">
        <w:rPr>
          <w:rFonts w:ascii="Cambria" w:hAnsi="Cambria"/>
          <w:color w:val="auto"/>
          <w:sz w:val="20"/>
          <w:szCs w:val="20"/>
        </w:rPr>
        <w:t xml:space="preserve">, sin pronunciarse claramente </w:t>
      </w:r>
      <w:r w:rsidR="0049543D" w:rsidRPr="006807FE">
        <w:rPr>
          <w:rFonts w:ascii="Cambria" w:hAnsi="Cambria"/>
          <w:color w:val="auto"/>
          <w:sz w:val="20"/>
          <w:szCs w:val="20"/>
        </w:rPr>
        <w:t xml:space="preserve">sobre la posibilidad de </w:t>
      </w:r>
      <w:r w:rsidR="0004685E" w:rsidRPr="006807FE">
        <w:rPr>
          <w:rFonts w:ascii="Cambria" w:hAnsi="Cambria"/>
          <w:color w:val="auto"/>
          <w:sz w:val="20"/>
          <w:szCs w:val="20"/>
        </w:rPr>
        <w:t>iniciar un proceso de solución amistosa</w:t>
      </w:r>
      <w:r w:rsidR="0062043C" w:rsidRPr="006807FE">
        <w:rPr>
          <w:rFonts w:ascii="Cambria" w:hAnsi="Cambria"/>
          <w:color w:val="auto"/>
          <w:sz w:val="20"/>
          <w:szCs w:val="20"/>
        </w:rPr>
        <w:t xml:space="preserve">. </w:t>
      </w:r>
      <w:r w:rsidR="0049543D" w:rsidRPr="006807FE">
        <w:rPr>
          <w:rFonts w:ascii="Cambria" w:hAnsi="Cambria"/>
          <w:color w:val="auto"/>
          <w:sz w:val="20"/>
          <w:szCs w:val="20"/>
        </w:rPr>
        <w:t xml:space="preserve">El 17 de septiembre </w:t>
      </w:r>
      <w:r w:rsidR="009556CC" w:rsidRPr="006807FE">
        <w:rPr>
          <w:rFonts w:ascii="Cambria" w:hAnsi="Cambria"/>
          <w:color w:val="auto"/>
          <w:sz w:val="20"/>
          <w:szCs w:val="20"/>
        </w:rPr>
        <w:t xml:space="preserve">y 1 de octubre </w:t>
      </w:r>
      <w:r w:rsidR="0049543D" w:rsidRPr="006807FE">
        <w:rPr>
          <w:rFonts w:ascii="Cambria" w:hAnsi="Cambria"/>
          <w:color w:val="auto"/>
          <w:sz w:val="20"/>
          <w:szCs w:val="20"/>
        </w:rPr>
        <w:t xml:space="preserve">de 2007, </w:t>
      </w:r>
      <w:r w:rsidR="009556CC" w:rsidRPr="006807FE">
        <w:rPr>
          <w:rFonts w:ascii="Cambria" w:hAnsi="Cambria"/>
          <w:color w:val="auto"/>
          <w:sz w:val="20"/>
          <w:szCs w:val="20"/>
        </w:rPr>
        <w:t xml:space="preserve">el Estado presentó observaciones adicionales. </w:t>
      </w:r>
      <w:r w:rsidR="002B1C30" w:rsidRPr="006807FE">
        <w:rPr>
          <w:rFonts w:ascii="Cambria" w:hAnsi="Cambria"/>
          <w:color w:val="auto"/>
          <w:sz w:val="20"/>
          <w:szCs w:val="20"/>
        </w:rPr>
        <w:t>É</w:t>
      </w:r>
      <w:r w:rsidR="0049543D" w:rsidRPr="006807FE">
        <w:rPr>
          <w:rFonts w:ascii="Cambria" w:hAnsi="Cambria"/>
          <w:color w:val="auto"/>
          <w:sz w:val="20"/>
          <w:szCs w:val="20"/>
        </w:rPr>
        <w:t>st</w:t>
      </w:r>
      <w:r w:rsidR="009556CC" w:rsidRPr="006807FE">
        <w:rPr>
          <w:rFonts w:ascii="Cambria" w:hAnsi="Cambria"/>
          <w:color w:val="auto"/>
          <w:sz w:val="20"/>
          <w:szCs w:val="20"/>
        </w:rPr>
        <w:t>as, junto con la comunicación del 9 de agosto de 2007, fueron trasladadas a los peticionarios, quienes</w:t>
      </w:r>
      <w:r w:rsidR="0049543D" w:rsidRPr="006807FE">
        <w:rPr>
          <w:rFonts w:ascii="Cambria" w:hAnsi="Cambria"/>
          <w:color w:val="auto"/>
          <w:sz w:val="20"/>
          <w:szCs w:val="20"/>
        </w:rPr>
        <w:t xml:space="preserve">, mediante comunicación del 23 de octubre de 2007, remitieron </w:t>
      </w:r>
      <w:r w:rsidR="009556CC" w:rsidRPr="006807FE">
        <w:rPr>
          <w:rFonts w:ascii="Cambria" w:hAnsi="Cambria"/>
          <w:color w:val="auto"/>
          <w:sz w:val="20"/>
          <w:szCs w:val="20"/>
        </w:rPr>
        <w:t>observaciones. Mediante comunicación del 12 de diciembre de 2007, la Comisión dio por concluida su intervención en la búsqueda de un acuerdo de solución amistosa y solicitó a los peticionarios que, en el plazo de dos meses, presentaran s</w:t>
      </w:r>
      <w:r w:rsidR="00B216D3" w:rsidRPr="006807FE">
        <w:rPr>
          <w:rFonts w:ascii="Cambria" w:hAnsi="Cambria"/>
          <w:color w:val="auto"/>
          <w:sz w:val="20"/>
          <w:szCs w:val="20"/>
        </w:rPr>
        <w:t>us observaciones sobre el fondo, mismas que fueron presentadas el 23 de junio de 2009. La CIDH trasladó al Estado dichas observaciones d</w:t>
      </w:r>
      <w:r w:rsidR="004F545C" w:rsidRPr="006807FE">
        <w:rPr>
          <w:rFonts w:ascii="Cambria" w:hAnsi="Cambria"/>
          <w:color w:val="auto"/>
          <w:sz w:val="20"/>
          <w:szCs w:val="20"/>
        </w:rPr>
        <w:t xml:space="preserve">e fondo el 5 de agosto de 2009 y le </w:t>
      </w:r>
      <w:r w:rsidR="00B216D3" w:rsidRPr="006807FE">
        <w:rPr>
          <w:rFonts w:ascii="Cambria" w:hAnsi="Cambria"/>
          <w:color w:val="auto"/>
          <w:sz w:val="20"/>
          <w:szCs w:val="20"/>
        </w:rPr>
        <w:t>solicit</w:t>
      </w:r>
      <w:r w:rsidR="004F545C" w:rsidRPr="006807FE">
        <w:rPr>
          <w:rFonts w:ascii="Cambria" w:hAnsi="Cambria"/>
          <w:color w:val="auto"/>
          <w:sz w:val="20"/>
          <w:szCs w:val="20"/>
        </w:rPr>
        <w:t>ó</w:t>
      </w:r>
      <w:r w:rsidR="00B216D3" w:rsidRPr="006807FE">
        <w:rPr>
          <w:rFonts w:ascii="Cambria" w:hAnsi="Cambria"/>
          <w:color w:val="auto"/>
          <w:sz w:val="20"/>
          <w:szCs w:val="20"/>
        </w:rPr>
        <w:t xml:space="preserve"> sus observaciones adicionales </w:t>
      </w:r>
      <w:r w:rsidR="004F545C" w:rsidRPr="006807FE">
        <w:rPr>
          <w:rFonts w:ascii="Cambria" w:hAnsi="Cambria"/>
          <w:color w:val="auto"/>
          <w:sz w:val="20"/>
          <w:szCs w:val="20"/>
        </w:rPr>
        <w:t xml:space="preserve">sobre el fondo, </w:t>
      </w:r>
      <w:r w:rsidR="00B216D3" w:rsidRPr="006807FE">
        <w:rPr>
          <w:rFonts w:ascii="Cambria" w:hAnsi="Cambria"/>
          <w:color w:val="auto"/>
          <w:sz w:val="20"/>
          <w:szCs w:val="20"/>
        </w:rPr>
        <w:t xml:space="preserve">en el plazo de dos meses. </w:t>
      </w:r>
      <w:r w:rsidR="004330FF" w:rsidRPr="006807FE">
        <w:rPr>
          <w:rFonts w:ascii="Cambria" w:hAnsi="Cambria"/>
          <w:color w:val="auto"/>
          <w:sz w:val="20"/>
          <w:szCs w:val="20"/>
        </w:rPr>
        <w:t>El Estado respondió el 2 de octubre de ese año.</w:t>
      </w:r>
    </w:p>
    <w:p w:rsidR="009556CC" w:rsidRPr="006807FE" w:rsidRDefault="009556CC" w:rsidP="009556CC">
      <w:pPr>
        <w:pStyle w:val="ColorfulList-Accent12"/>
        <w:rPr>
          <w:rFonts w:ascii="Cambria" w:hAnsi="Cambria"/>
          <w:sz w:val="20"/>
          <w:szCs w:val="20"/>
          <w:lang w:val="es-MX"/>
        </w:rPr>
      </w:pPr>
    </w:p>
    <w:p w:rsidR="0062043C" w:rsidRPr="006807FE" w:rsidRDefault="0062043C" w:rsidP="0062043C">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olor w:val="auto"/>
          <w:sz w:val="20"/>
          <w:szCs w:val="20"/>
        </w:rPr>
      </w:pPr>
      <w:r w:rsidRPr="006807FE">
        <w:rPr>
          <w:rFonts w:ascii="Cambria" w:hAnsi="Cambria"/>
          <w:color w:val="auto"/>
          <w:sz w:val="20"/>
          <w:szCs w:val="20"/>
        </w:rPr>
        <w:t>Con posterioridad, la Comisión recibi</w:t>
      </w:r>
      <w:r w:rsidR="00B216D3" w:rsidRPr="006807FE">
        <w:rPr>
          <w:rFonts w:ascii="Cambria" w:hAnsi="Cambria"/>
          <w:color w:val="auto"/>
          <w:sz w:val="20"/>
          <w:szCs w:val="20"/>
        </w:rPr>
        <w:t xml:space="preserve">ó </w:t>
      </w:r>
      <w:r w:rsidRPr="006807FE">
        <w:rPr>
          <w:rFonts w:ascii="Cambria" w:hAnsi="Cambria"/>
          <w:color w:val="auto"/>
          <w:sz w:val="20"/>
          <w:szCs w:val="20"/>
        </w:rPr>
        <w:t xml:space="preserve">comunicaciones de los peticionarios </w:t>
      </w:r>
      <w:r w:rsidR="0062643E" w:rsidRPr="006807FE">
        <w:rPr>
          <w:rFonts w:ascii="Cambria" w:hAnsi="Cambria"/>
          <w:color w:val="auto"/>
          <w:sz w:val="20"/>
          <w:szCs w:val="20"/>
        </w:rPr>
        <w:t>de fechas 6 de abril de 2010</w:t>
      </w:r>
      <w:r w:rsidR="006807FE">
        <w:rPr>
          <w:rFonts w:ascii="Cambria" w:hAnsi="Cambria"/>
          <w:color w:val="auto"/>
          <w:sz w:val="20"/>
          <w:szCs w:val="20"/>
        </w:rPr>
        <w:t xml:space="preserve">, </w:t>
      </w:r>
      <w:r w:rsidR="0062643E" w:rsidRPr="006807FE">
        <w:rPr>
          <w:rFonts w:ascii="Cambria" w:hAnsi="Cambria"/>
          <w:color w:val="auto"/>
          <w:sz w:val="20"/>
          <w:szCs w:val="20"/>
        </w:rPr>
        <w:t>4 de abril de 2011</w:t>
      </w:r>
      <w:r w:rsidR="006807FE">
        <w:rPr>
          <w:rFonts w:ascii="Cambria" w:hAnsi="Cambria"/>
          <w:color w:val="auto"/>
          <w:sz w:val="20"/>
          <w:szCs w:val="20"/>
        </w:rPr>
        <w:t xml:space="preserve"> </w:t>
      </w:r>
      <w:r w:rsidR="00BF577C">
        <w:rPr>
          <w:rFonts w:ascii="Cambria" w:hAnsi="Cambria"/>
          <w:color w:val="auto"/>
          <w:sz w:val="20"/>
          <w:szCs w:val="20"/>
        </w:rPr>
        <w:t>y 17 de febrero de 2016</w:t>
      </w:r>
      <w:r w:rsidR="009777AD" w:rsidRPr="006807FE">
        <w:rPr>
          <w:rFonts w:ascii="Cambria" w:hAnsi="Cambria"/>
          <w:color w:val="auto"/>
          <w:sz w:val="20"/>
          <w:szCs w:val="20"/>
        </w:rPr>
        <w:t xml:space="preserve">; </w:t>
      </w:r>
      <w:r w:rsidR="0062643E" w:rsidRPr="006807FE">
        <w:rPr>
          <w:rFonts w:ascii="Cambria" w:hAnsi="Cambria"/>
          <w:color w:val="auto"/>
          <w:sz w:val="20"/>
          <w:szCs w:val="20"/>
        </w:rPr>
        <w:t xml:space="preserve"> así como </w:t>
      </w:r>
      <w:r w:rsidRPr="006807FE">
        <w:rPr>
          <w:rFonts w:ascii="Cambria" w:hAnsi="Cambria"/>
          <w:color w:val="auto"/>
          <w:sz w:val="20"/>
          <w:szCs w:val="20"/>
        </w:rPr>
        <w:t>del Estado</w:t>
      </w:r>
      <w:r w:rsidR="004F545C" w:rsidRPr="006807FE">
        <w:rPr>
          <w:rFonts w:ascii="Cambria" w:hAnsi="Cambria"/>
          <w:color w:val="auto"/>
          <w:sz w:val="20"/>
          <w:szCs w:val="20"/>
        </w:rPr>
        <w:t>,</w:t>
      </w:r>
      <w:r w:rsidRPr="006807FE">
        <w:rPr>
          <w:rFonts w:ascii="Cambria" w:hAnsi="Cambria"/>
          <w:color w:val="auto"/>
          <w:sz w:val="20"/>
          <w:szCs w:val="20"/>
        </w:rPr>
        <w:t xml:space="preserve"> </w:t>
      </w:r>
      <w:r w:rsidR="0062643E" w:rsidRPr="006807FE">
        <w:rPr>
          <w:rFonts w:ascii="Cambria" w:hAnsi="Cambria"/>
          <w:color w:val="auto"/>
          <w:sz w:val="20"/>
          <w:szCs w:val="20"/>
        </w:rPr>
        <w:t>de fechas 3</w:t>
      </w:r>
      <w:r w:rsidR="004330FF" w:rsidRPr="006807FE">
        <w:rPr>
          <w:rFonts w:ascii="Cambria" w:hAnsi="Cambria"/>
          <w:color w:val="auto"/>
          <w:sz w:val="20"/>
          <w:szCs w:val="20"/>
        </w:rPr>
        <w:t>0 de septiembre y 5 de diciembre</w:t>
      </w:r>
      <w:r w:rsidR="0062643E" w:rsidRPr="006807FE">
        <w:rPr>
          <w:rFonts w:ascii="Cambria" w:hAnsi="Cambria"/>
          <w:color w:val="auto"/>
          <w:sz w:val="20"/>
          <w:szCs w:val="20"/>
        </w:rPr>
        <w:t xml:space="preserve"> de 2011</w:t>
      </w:r>
      <w:r w:rsidR="00AB08CE" w:rsidRPr="006807FE">
        <w:rPr>
          <w:rFonts w:ascii="Cambria" w:hAnsi="Cambria"/>
          <w:color w:val="auto"/>
          <w:sz w:val="20"/>
          <w:szCs w:val="20"/>
        </w:rPr>
        <w:t>.</w:t>
      </w:r>
      <w:r w:rsidR="0062643E" w:rsidRPr="006807FE">
        <w:rPr>
          <w:rFonts w:ascii="Cambria" w:hAnsi="Cambria"/>
          <w:color w:val="auto"/>
          <w:sz w:val="20"/>
          <w:szCs w:val="20"/>
        </w:rPr>
        <w:t xml:space="preserve"> </w:t>
      </w:r>
      <w:r w:rsidR="00FE13D4" w:rsidRPr="006807FE">
        <w:rPr>
          <w:rFonts w:ascii="Cambria" w:hAnsi="Cambria"/>
          <w:color w:val="auto"/>
          <w:sz w:val="20"/>
          <w:szCs w:val="20"/>
        </w:rPr>
        <w:t xml:space="preserve">Las partes pertinentes de las </w:t>
      </w:r>
      <w:r w:rsidR="0062643E" w:rsidRPr="006807FE">
        <w:rPr>
          <w:rFonts w:ascii="Cambria" w:hAnsi="Cambria"/>
          <w:color w:val="auto"/>
          <w:sz w:val="20"/>
          <w:szCs w:val="20"/>
        </w:rPr>
        <w:t>comunicaciones h</w:t>
      </w:r>
      <w:r w:rsidRPr="006807FE">
        <w:rPr>
          <w:rFonts w:ascii="Cambria" w:hAnsi="Cambria"/>
          <w:color w:val="auto"/>
          <w:sz w:val="20"/>
          <w:szCs w:val="20"/>
        </w:rPr>
        <w:t>an sido debidamente trasladas a las partes.</w:t>
      </w:r>
    </w:p>
    <w:p w:rsidR="00436077" w:rsidRPr="00B216D3" w:rsidRDefault="00436077" w:rsidP="00436077">
      <w:pPr>
        <w:jc w:val="both"/>
        <w:rPr>
          <w:rFonts w:ascii="Cambria" w:hAnsi="Cambria"/>
          <w:sz w:val="20"/>
          <w:szCs w:val="20"/>
          <w:lang w:val="es-ES_tradnl"/>
        </w:rPr>
      </w:pPr>
    </w:p>
    <w:p w:rsidR="00436077" w:rsidRPr="00E21797" w:rsidRDefault="00436077" w:rsidP="00436077">
      <w:pPr>
        <w:pStyle w:val="Heading1"/>
      </w:pPr>
      <w:bookmarkStart w:id="4" w:name="_Toc413687812"/>
      <w:bookmarkStart w:id="5" w:name="_Toc467948048"/>
      <w:r w:rsidRPr="00E21797">
        <w:t>POSICIONES DE LAS PARTES</w:t>
      </w:r>
      <w:bookmarkEnd w:id="4"/>
      <w:bookmarkEnd w:id="5"/>
    </w:p>
    <w:p w:rsidR="00436077" w:rsidRPr="00E21797" w:rsidRDefault="00436077" w:rsidP="00436077">
      <w:pPr>
        <w:jc w:val="both"/>
        <w:rPr>
          <w:rFonts w:ascii="Cambria" w:hAnsi="Cambria" w:cs="Calibri"/>
          <w:sz w:val="20"/>
          <w:szCs w:val="20"/>
          <w:lang w:val="es-ES"/>
        </w:rPr>
      </w:pPr>
    </w:p>
    <w:p w:rsidR="00436077" w:rsidRPr="00FD5827" w:rsidRDefault="00436077" w:rsidP="00FD5827">
      <w:pPr>
        <w:pStyle w:val="Heading2"/>
      </w:pPr>
      <w:bookmarkStart w:id="6" w:name="_Toc413687813"/>
      <w:bookmarkStart w:id="7" w:name="_Toc467948049"/>
      <w:r w:rsidRPr="00FD5827">
        <w:t>Posición de los peticionarios</w:t>
      </w:r>
      <w:bookmarkEnd w:id="6"/>
      <w:bookmarkEnd w:id="7"/>
    </w:p>
    <w:p w:rsidR="00436077" w:rsidRPr="00E21797" w:rsidRDefault="00436077" w:rsidP="00436077">
      <w:pPr>
        <w:jc w:val="both"/>
        <w:rPr>
          <w:rFonts w:ascii="Cambria" w:hAnsi="Cambria" w:cs="Calibri"/>
          <w:sz w:val="20"/>
          <w:szCs w:val="20"/>
          <w:lang w:val="es-ES_tradnl"/>
        </w:rPr>
      </w:pPr>
    </w:p>
    <w:p w:rsidR="00512935" w:rsidRPr="00512935" w:rsidRDefault="009E6854" w:rsidP="00D13B0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9E6854">
        <w:rPr>
          <w:rFonts w:ascii="Cambria" w:hAnsi="Cambria" w:cs="Calibri"/>
          <w:sz w:val="20"/>
          <w:szCs w:val="20"/>
        </w:rPr>
        <w:t xml:space="preserve">Los peticionarios indicaron que </w:t>
      </w:r>
      <w:r w:rsidRPr="009E6854">
        <w:rPr>
          <w:rFonts w:ascii="Cambria" w:hAnsi="Cambria" w:cs="Arial"/>
          <w:sz w:val="20"/>
          <w:szCs w:val="20"/>
          <w:lang w:val="es-ES"/>
        </w:rPr>
        <w:t xml:space="preserve">Walter Munárriz Escobar </w:t>
      </w:r>
      <w:r w:rsidRPr="009E6854">
        <w:rPr>
          <w:rFonts w:ascii="Cambria" w:hAnsi="Cambria" w:cs="Calibri"/>
          <w:sz w:val="20"/>
          <w:szCs w:val="20"/>
        </w:rPr>
        <w:t xml:space="preserve">tenía 19 años de edad y era estudiante en la Facultad de Ingeniería de Minas en la Universidad de Huancavelica. Informaron que </w:t>
      </w:r>
      <w:r w:rsidR="00512935">
        <w:rPr>
          <w:rFonts w:ascii="Cambria" w:hAnsi="Cambria" w:cs="Calibri"/>
          <w:sz w:val="20"/>
          <w:szCs w:val="20"/>
        </w:rPr>
        <w:t>en la madrugada d</w:t>
      </w:r>
      <w:r w:rsidRPr="009E6854">
        <w:rPr>
          <w:rFonts w:ascii="Cambria" w:hAnsi="Cambria" w:cs="Calibri"/>
          <w:sz w:val="20"/>
          <w:szCs w:val="20"/>
          <w:lang w:val="es-MX"/>
        </w:rPr>
        <w:t>el 20 de marzo de 1999 Walter</w:t>
      </w:r>
      <w:r w:rsidR="00D23AB1">
        <w:rPr>
          <w:rFonts w:ascii="Cambria" w:hAnsi="Cambria" w:cs="Calibri"/>
          <w:sz w:val="20"/>
          <w:szCs w:val="20"/>
          <w:lang w:val="es-MX"/>
        </w:rPr>
        <w:t xml:space="preserve"> Munárriz</w:t>
      </w:r>
      <w:r w:rsidRPr="009E6854">
        <w:rPr>
          <w:rFonts w:ascii="Cambria" w:hAnsi="Cambria" w:cs="Calibri"/>
          <w:sz w:val="20"/>
          <w:szCs w:val="20"/>
          <w:lang w:val="es-MX"/>
        </w:rPr>
        <w:t xml:space="preserve"> acudió al Hotel “Los Manolos” buscando a un amigo y por error entró a la habitación de otra persona que resultó ser la esposa de</w:t>
      </w:r>
      <w:r w:rsidR="0075724B">
        <w:rPr>
          <w:rFonts w:ascii="Cambria" w:hAnsi="Cambria" w:cs="Calibri"/>
          <w:sz w:val="20"/>
          <w:szCs w:val="20"/>
          <w:lang w:val="es-MX"/>
        </w:rPr>
        <w:t xml:space="preserve"> un </w:t>
      </w:r>
      <w:r w:rsidR="00512935">
        <w:rPr>
          <w:rFonts w:ascii="Cambria" w:hAnsi="Cambria" w:cs="Calibri"/>
          <w:sz w:val="20"/>
          <w:szCs w:val="20"/>
          <w:lang w:val="es-MX"/>
        </w:rPr>
        <w:t>a</w:t>
      </w:r>
      <w:r w:rsidRPr="009E6854">
        <w:rPr>
          <w:rFonts w:ascii="Cambria" w:hAnsi="Cambria" w:cs="Calibri"/>
          <w:sz w:val="20"/>
          <w:szCs w:val="20"/>
          <w:lang w:val="es-MX"/>
        </w:rPr>
        <w:t>lfére</w:t>
      </w:r>
      <w:r w:rsidR="0075724B">
        <w:rPr>
          <w:rFonts w:ascii="Cambria" w:hAnsi="Cambria" w:cs="Calibri"/>
          <w:sz w:val="20"/>
          <w:szCs w:val="20"/>
          <w:lang w:val="es-MX"/>
        </w:rPr>
        <w:t>z de la Policía Nacional Peruana</w:t>
      </w:r>
      <w:r w:rsidR="00AB08CE">
        <w:rPr>
          <w:rFonts w:ascii="Cambria" w:hAnsi="Cambria" w:cs="Calibri"/>
          <w:sz w:val="20"/>
          <w:szCs w:val="20"/>
          <w:lang w:val="es-MX"/>
        </w:rPr>
        <w:t xml:space="preserve"> (PNP)</w:t>
      </w:r>
      <w:r w:rsidR="0075724B">
        <w:rPr>
          <w:rFonts w:ascii="Cambria" w:hAnsi="Cambria" w:cs="Calibri"/>
          <w:sz w:val="20"/>
          <w:szCs w:val="20"/>
          <w:lang w:val="es-MX"/>
        </w:rPr>
        <w:t xml:space="preserve">. Los peticionarios </w:t>
      </w:r>
      <w:r w:rsidR="000A14A6">
        <w:rPr>
          <w:rFonts w:ascii="Cambria" w:hAnsi="Cambria" w:cs="Calibri"/>
          <w:sz w:val="20"/>
          <w:szCs w:val="20"/>
          <w:lang w:val="es-MX"/>
        </w:rPr>
        <w:t xml:space="preserve">agregaron </w:t>
      </w:r>
      <w:r w:rsidR="0075724B">
        <w:rPr>
          <w:rFonts w:ascii="Cambria" w:hAnsi="Cambria" w:cs="Calibri"/>
          <w:sz w:val="20"/>
          <w:szCs w:val="20"/>
          <w:lang w:val="es-MX"/>
        </w:rPr>
        <w:t>que Walter</w:t>
      </w:r>
      <w:r w:rsidR="00AB08CE">
        <w:rPr>
          <w:rFonts w:ascii="Cambria" w:hAnsi="Cambria" w:cs="Calibri"/>
          <w:sz w:val="20"/>
          <w:szCs w:val="20"/>
          <w:lang w:val="es-MX"/>
        </w:rPr>
        <w:t xml:space="preserve"> Munárriz</w:t>
      </w:r>
      <w:r w:rsidR="0075724B">
        <w:rPr>
          <w:rFonts w:ascii="Cambria" w:hAnsi="Cambria" w:cs="Calibri"/>
          <w:sz w:val="20"/>
          <w:szCs w:val="20"/>
          <w:lang w:val="es-MX"/>
        </w:rPr>
        <w:t xml:space="preserve">, al darse cuenta del error, pidió disculpas y procedió a retirarse; sin embargo, la huésped, </w:t>
      </w:r>
      <w:r w:rsidRPr="009E6854">
        <w:rPr>
          <w:rFonts w:ascii="Cambria" w:hAnsi="Cambria" w:cs="Calibri"/>
          <w:sz w:val="20"/>
          <w:szCs w:val="20"/>
          <w:lang w:val="es-MX"/>
        </w:rPr>
        <w:t>al pensa</w:t>
      </w:r>
      <w:r w:rsidR="0075724B">
        <w:rPr>
          <w:rFonts w:ascii="Cambria" w:hAnsi="Cambria" w:cs="Calibri"/>
          <w:sz w:val="20"/>
          <w:szCs w:val="20"/>
          <w:lang w:val="es-MX"/>
        </w:rPr>
        <w:t>r que se trataba de un ladrón, dio aviso a la dueña del hotel</w:t>
      </w:r>
      <w:r w:rsidR="00AB08CE">
        <w:rPr>
          <w:rFonts w:ascii="Cambria" w:hAnsi="Cambria" w:cs="Calibri"/>
          <w:sz w:val="20"/>
          <w:szCs w:val="20"/>
          <w:lang w:val="es-MX"/>
        </w:rPr>
        <w:t xml:space="preserve"> y a la policía</w:t>
      </w:r>
      <w:r w:rsidR="0075724B">
        <w:rPr>
          <w:rFonts w:ascii="Cambria" w:hAnsi="Cambria" w:cs="Calibri"/>
          <w:sz w:val="20"/>
          <w:szCs w:val="20"/>
          <w:lang w:val="es-MX"/>
        </w:rPr>
        <w:t xml:space="preserve">. </w:t>
      </w:r>
      <w:r w:rsidR="00725B1F">
        <w:rPr>
          <w:rFonts w:ascii="Cambria" w:hAnsi="Cambria" w:cs="Calibri"/>
          <w:sz w:val="20"/>
          <w:szCs w:val="20"/>
          <w:lang w:val="es-MX"/>
        </w:rPr>
        <w:t>Indi</w:t>
      </w:r>
      <w:r w:rsidR="00D23AB1">
        <w:rPr>
          <w:rFonts w:ascii="Cambria" w:hAnsi="Cambria" w:cs="Calibri"/>
          <w:sz w:val="20"/>
          <w:szCs w:val="20"/>
          <w:lang w:val="es-MX"/>
        </w:rPr>
        <w:t>caron que e</w:t>
      </w:r>
      <w:r w:rsidRPr="009E6854">
        <w:rPr>
          <w:rFonts w:ascii="Cambria" w:hAnsi="Cambria" w:cs="Calibri"/>
          <w:sz w:val="20"/>
          <w:szCs w:val="20"/>
          <w:lang w:val="es-MX"/>
        </w:rPr>
        <w:t xml:space="preserve">sa misma noche, Walter </w:t>
      </w:r>
      <w:r w:rsidR="000A14A6">
        <w:rPr>
          <w:rFonts w:ascii="Cambria" w:hAnsi="Cambria" w:cs="Calibri"/>
          <w:sz w:val="20"/>
          <w:szCs w:val="20"/>
          <w:lang w:val="es-MX"/>
        </w:rPr>
        <w:t xml:space="preserve">Munárriz </w:t>
      </w:r>
      <w:r w:rsidRPr="009E6854">
        <w:rPr>
          <w:rFonts w:ascii="Cambria" w:hAnsi="Cambria" w:cs="Calibri"/>
          <w:sz w:val="20"/>
          <w:szCs w:val="20"/>
          <w:lang w:val="es-MX"/>
        </w:rPr>
        <w:t>fue detenido por un suboficial de la Policía Nacional Peruana y llevado a la Comisaría de Lircay</w:t>
      </w:r>
      <w:r w:rsidR="00725B1F">
        <w:rPr>
          <w:rFonts w:ascii="Cambria" w:hAnsi="Cambria" w:cs="Calibri"/>
          <w:sz w:val="20"/>
          <w:szCs w:val="20"/>
          <w:lang w:val="es-MX"/>
        </w:rPr>
        <w:t>, lugar al que se presentó l</w:t>
      </w:r>
      <w:r w:rsidR="00512935">
        <w:rPr>
          <w:rFonts w:ascii="Cambria" w:hAnsi="Cambria" w:cs="Calibri"/>
          <w:sz w:val="20"/>
          <w:szCs w:val="20"/>
          <w:lang w:val="es-MX"/>
        </w:rPr>
        <w:t xml:space="preserve">a dueña del hotel </w:t>
      </w:r>
      <w:r w:rsidR="00725B1F">
        <w:rPr>
          <w:rFonts w:ascii="Cambria" w:hAnsi="Cambria" w:cs="Calibri"/>
          <w:sz w:val="20"/>
          <w:szCs w:val="20"/>
          <w:lang w:val="es-MX"/>
        </w:rPr>
        <w:t xml:space="preserve">quien, </w:t>
      </w:r>
      <w:r w:rsidR="00512935">
        <w:rPr>
          <w:rFonts w:ascii="Cambria" w:hAnsi="Cambria" w:cs="Calibri"/>
          <w:sz w:val="20"/>
          <w:szCs w:val="20"/>
          <w:lang w:val="es-MX"/>
        </w:rPr>
        <w:t>al reconocerlo, decidió no formular denuncia en su contra. Los peticionarios afirma</w:t>
      </w:r>
      <w:r w:rsidR="000A14A6">
        <w:rPr>
          <w:rFonts w:ascii="Cambria" w:hAnsi="Cambria" w:cs="Calibri"/>
          <w:sz w:val="20"/>
          <w:szCs w:val="20"/>
          <w:lang w:val="es-MX"/>
        </w:rPr>
        <w:t>ro</w:t>
      </w:r>
      <w:r w:rsidR="00512935">
        <w:rPr>
          <w:rFonts w:ascii="Cambria" w:hAnsi="Cambria" w:cs="Calibri"/>
          <w:sz w:val="20"/>
          <w:szCs w:val="20"/>
          <w:lang w:val="es-MX"/>
        </w:rPr>
        <w:t xml:space="preserve">n que al retirarse </w:t>
      </w:r>
      <w:r w:rsidR="00725B1F">
        <w:rPr>
          <w:rFonts w:ascii="Cambria" w:hAnsi="Cambria" w:cs="Calibri"/>
          <w:sz w:val="20"/>
          <w:szCs w:val="20"/>
          <w:lang w:val="es-MX"/>
        </w:rPr>
        <w:t xml:space="preserve">dicha persona, </w:t>
      </w:r>
      <w:r w:rsidR="00512935">
        <w:rPr>
          <w:rFonts w:ascii="Cambria" w:hAnsi="Cambria" w:cs="Calibri"/>
          <w:sz w:val="20"/>
          <w:szCs w:val="20"/>
          <w:lang w:val="es-MX"/>
        </w:rPr>
        <w:t xml:space="preserve">Walter Munárriz </w:t>
      </w:r>
      <w:r w:rsidR="000A14A6">
        <w:rPr>
          <w:rFonts w:ascii="Cambria" w:hAnsi="Cambria" w:cs="Calibri"/>
          <w:sz w:val="20"/>
          <w:szCs w:val="20"/>
          <w:lang w:val="es-MX"/>
        </w:rPr>
        <w:t xml:space="preserve">Escobar </w:t>
      </w:r>
      <w:r w:rsidR="00512935">
        <w:rPr>
          <w:rFonts w:ascii="Cambria" w:hAnsi="Cambria" w:cs="Calibri"/>
          <w:sz w:val="20"/>
          <w:szCs w:val="20"/>
          <w:lang w:val="es-MX"/>
        </w:rPr>
        <w:t>se qued</w:t>
      </w:r>
      <w:r w:rsidR="00AB08CE">
        <w:rPr>
          <w:rFonts w:ascii="Cambria" w:hAnsi="Cambria" w:cs="Calibri"/>
          <w:sz w:val="20"/>
          <w:szCs w:val="20"/>
          <w:lang w:val="es-MX"/>
        </w:rPr>
        <w:t xml:space="preserve">ó en la dependencia policial y, desde entonces, se encuentra desaparecido. </w:t>
      </w:r>
    </w:p>
    <w:p w:rsidR="00512935" w:rsidRPr="00512935" w:rsidRDefault="00512935" w:rsidP="0051293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9E6854" w:rsidRPr="00AB08CE" w:rsidRDefault="007D07BF" w:rsidP="00D13B0F">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Pr>
          <w:rFonts w:ascii="Cambria" w:hAnsi="Cambria" w:cs="Calibri"/>
          <w:sz w:val="20"/>
          <w:szCs w:val="20"/>
          <w:lang w:val="es-MX"/>
        </w:rPr>
        <w:t>Los peticionarios afirma</w:t>
      </w:r>
      <w:r w:rsidR="000A14A6">
        <w:rPr>
          <w:rFonts w:ascii="Cambria" w:hAnsi="Cambria" w:cs="Calibri"/>
          <w:sz w:val="20"/>
          <w:szCs w:val="20"/>
          <w:lang w:val="es-MX"/>
        </w:rPr>
        <w:t>ro</w:t>
      </w:r>
      <w:r>
        <w:rPr>
          <w:rFonts w:ascii="Cambria" w:hAnsi="Cambria" w:cs="Calibri"/>
          <w:sz w:val="20"/>
          <w:szCs w:val="20"/>
          <w:lang w:val="es-MX"/>
        </w:rPr>
        <w:t>n que a</w:t>
      </w:r>
      <w:r w:rsidR="009E6854" w:rsidRPr="009E6854">
        <w:rPr>
          <w:rFonts w:ascii="Cambria" w:hAnsi="Cambria" w:cs="Calibri"/>
          <w:sz w:val="20"/>
          <w:szCs w:val="20"/>
          <w:lang w:val="es-MX"/>
        </w:rPr>
        <w:t xml:space="preserve">l acudir </w:t>
      </w:r>
      <w:r>
        <w:rPr>
          <w:rFonts w:ascii="Cambria" w:hAnsi="Cambria" w:cs="Calibri"/>
          <w:sz w:val="20"/>
          <w:szCs w:val="20"/>
          <w:lang w:val="es-MX"/>
        </w:rPr>
        <w:t xml:space="preserve">la </w:t>
      </w:r>
      <w:r w:rsidR="007B0BCC">
        <w:rPr>
          <w:rFonts w:ascii="Cambria" w:hAnsi="Cambria" w:cs="Calibri"/>
          <w:sz w:val="20"/>
          <w:szCs w:val="20"/>
          <w:lang w:val="es-MX"/>
        </w:rPr>
        <w:t xml:space="preserve">señora Gladys Escobar Candiotti, </w:t>
      </w:r>
      <w:r>
        <w:rPr>
          <w:rFonts w:ascii="Cambria" w:hAnsi="Cambria" w:cs="Calibri"/>
          <w:sz w:val="20"/>
          <w:szCs w:val="20"/>
          <w:lang w:val="es-MX"/>
        </w:rPr>
        <w:t>madre de Walter</w:t>
      </w:r>
      <w:r w:rsidR="0093784B">
        <w:rPr>
          <w:rFonts w:ascii="Cambria" w:hAnsi="Cambria" w:cs="Calibri"/>
          <w:sz w:val="20"/>
          <w:szCs w:val="20"/>
          <w:lang w:val="es-MX"/>
        </w:rPr>
        <w:t xml:space="preserve"> Munárriz</w:t>
      </w:r>
      <w:r w:rsidR="00EE3EFB">
        <w:rPr>
          <w:rFonts w:ascii="Cambria" w:hAnsi="Cambria" w:cs="Calibri"/>
          <w:sz w:val="20"/>
          <w:szCs w:val="20"/>
          <w:lang w:val="es-MX"/>
        </w:rPr>
        <w:t>,</w:t>
      </w:r>
      <w:r>
        <w:rPr>
          <w:rFonts w:ascii="Cambria" w:hAnsi="Cambria" w:cs="Calibri"/>
          <w:sz w:val="20"/>
          <w:szCs w:val="20"/>
          <w:lang w:val="es-MX"/>
        </w:rPr>
        <w:t xml:space="preserve"> </w:t>
      </w:r>
      <w:r w:rsidR="009E6854" w:rsidRPr="009E6854">
        <w:rPr>
          <w:rFonts w:ascii="Cambria" w:hAnsi="Cambria" w:cs="Calibri"/>
          <w:sz w:val="20"/>
          <w:szCs w:val="20"/>
          <w:lang w:val="es-MX"/>
        </w:rPr>
        <w:t xml:space="preserve">a </w:t>
      </w:r>
      <w:r>
        <w:rPr>
          <w:rFonts w:ascii="Cambria" w:hAnsi="Cambria" w:cs="Calibri"/>
          <w:sz w:val="20"/>
          <w:szCs w:val="20"/>
          <w:lang w:val="es-MX"/>
        </w:rPr>
        <w:t xml:space="preserve">la comisaría a </w:t>
      </w:r>
      <w:r w:rsidR="009E6854" w:rsidRPr="009E6854">
        <w:rPr>
          <w:rFonts w:ascii="Cambria" w:hAnsi="Cambria" w:cs="Calibri"/>
          <w:sz w:val="20"/>
          <w:szCs w:val="20"/>
          <w:lang w:val="es-MX"/>
        </w:rPr>
        <w:t>indagar sobre su paradero las autoridades policiales indicaron que ya había salido de</w:t>
      </w:r>
      <w:r w:rsidR="00EE3EFB">
        <w:rPr>
          <w:rFonts w:ascii="Cambria" w:hAnsi="Cambria" w:cs="Calibri"/>
          <w:sz w:val="20"/>
          <w:szCs w:val="20"/>
          <w:lang w:val="es-MX"/>
        </w:rPr>
        <w:t xml:space="preserve"> dicho lugar </w:t>
      </w:r>
      <w:r w:rsidR="00EE0C24">
        <w:rPr>
          <w:rFonts w:ascii="Cambria" w:hAnsi="Cambria" w:cs="Calibri"/>
          <w:sz w:val="20"/>
          <w:szCs w:val="20"/>
          <w:lang w:val="es-MX"/>
        </w:rPr>
        <w:t>con dirección a su casa y le negaron conocer su paradero</w:t>
      </w:r>
      <w:r w:rsidR="009E6854" w:rsidRPr="009E6854">
        <w:rPr>
          <w:rFonts w:ascii="Cambria" w:hAnsi="Cambria" w:cs="Calibri"/>
          <w:sz w:val="20"/>
          <w:szCs w:val="20"/>
          <w:lang w:val="es-MX"/>
        </w:rPr>
        <w:t xml:space="preserve">. </w:t>
      </w:r>
      <w:r w:rsidR="0011521D">
        <w:rPr>
          <w:rFonts w:ascii="Cambria" w:hAnsi="Cambria" w:cs="Calibri"/>
          <w:sz w:val="20"/>
          <w:szCs w:val="20"/>
          <w:lang w:val="es-MX"/>
        </w:rPr>
        <w:t>Narraron que,</w:t>
      </w:r>
      <w:r w:rsidR="00EE0C24">
        <w:rPr>
          <w:rFonts w:ascii="Cambria" w:hAnsi="Cambria" w:cs="Calibri"/>
          <w:sz w:val="20"/>
          <w:szCs w:val="20"/>
          <w:lang w:val="es-MX"/>
        </w:rPr>
        <w:t xml:space="preserve"> </w:t>
      </w:r>
      <w:r w:rsidR="0011521D">
        <w:rPr>
          <w:rFonts w:ascii="Cambria" w:hAnsi="Cambria" w:cs="Calibri"/>
          <w:sz w:val="20"/>
          <w:szCs w:val="20"/>
          <w:lang w:val="es-MX"/>
        </w:rPr>
        <w:t>a</w:t>
      </w:r>
      <w:r w:rsidR="00EE0C24">
        <w:rPr>
          <w:rFonts w:ascii="Cambria" w:hAnsi="Cambria" w:cs="Calibri"/>
          <w:sz w:val="20"/>
          <w:szCs w:val="20"/>
          <w:lang w:val="es-MX"/>
        </w:rPr>
        <w:t xml:space="preserve">l no encontrar a su hijo, volvió a la comisaría y solicitó revisar las instalaciones, encontrando detenidas a dos personas (Raúl Donaires Huamán y Marcos Leónidas Sierra Tueros), pero no a su hijo.  </w:t>
      </w:r>
    </w:p>
    <w:p w:rsidR="00AB08CE" w:rsidRPr="00AB08CE" w:rsidRDefault="00AB08CE" w:rsidP="00AB08C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lang w:val="es-MX"/>
        </w:rPr>
      </w:pPr>
    </w:p>
    <w:p w:rsidR="00AB08CE" w:rsidRDefault="00AB08CE" w:rsidP="00AB08C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MX"/>
        </w:rPr>
      </w:pPr>
      <w:r>
        <w:rPr>
          <w:rFonts w:ascii="Cambria" w:hAnsi="Cambria" w:cs="Calibri"/>
          <w:sz w:val="20"/>
          <w:szCs w:val="20"/>
          <w:lang w:val="es-MX"/>
        </w:rPr>
        <w:t xml:space="preserve">Los peticionarios </w:t>
      </w:r>
      <w:r w:rsidR="006E6A67">
        <w:rPr>
          <w:rFonts w:ascii="Cambria" w:hAnsi="Cambria" w:cs="Calibri"/>
          <w:sz w:val="20"/>
          <w:szCs w:val="20"/>
          <w:lang w:val="es-MX"/>
        </w:rPr>
        <w:t xml:space="preserve">señalaron </w:t>
      </w:r>
      <w:r>
        <w:rPr>
          <w:rFonts w:ascii="Cambria" w:hAnsi="Cambria" w:cs="Calibri"/>
          <w:sz w:val="20"/>
          <w:szCs w:val="20"/>
          <w:lang w:val="es-MX"/>
        </w:rPr>
        <w:t>que los familiares de Walter</w:t>
      </w:r>
      <w:r w:rsidR="006E6A67">
        <w:rPr>
          <w:rFonts w:ascii="Cambria" w:hAnsi="Cambria" w:cs="Calibri"/>
          <w:sz w:val="20"/>
          <w:szCs w:val="20"/>
          <w:lang w:val="es-MX"/>
        </w:rPr>
        <w:t xml:space="preserve"> Munárriz</w:t>
      </w:r>
      <w:r>
        <w:rPr>
          <w:rFonts w:ascii="Cambria" w:hAnsi="Cambria" w:cs="Calibri"/>
          <w:sz w:val="20"/>
          <w:szCs w:val="20"/>
          <w:lang w:val="es-MX"/>
        </w:rPr>
        <w:t xml:space="preserve"> h</w:t>
      </w:r>
      <w:r w:rsidRPr="00512935">
        <w:rPr>
          <w:rFonts w:ascii="Cambria" w:hAnsi="Cambria" w:cs="Calibri"/>
          <w:sz w:val="20"/>
          <w:szCs w:val="20"/>
          <w:lang w:val="es-MX"/>
        </w:rPr>
        <w:t>icieron del conocimiento de las autoridades correspondientes la desaparici</w:t>
      </w:r>
      <w:r>
        <w:rPr>
          <w:rFonts w:ascii="Cambria" w:hAnsi="Cambria" w:cs="Calibri"/>
          <w:sz w:val="20"/>
          <w:szCs w:val="20"/>
          <w:lang w:val="es-MX"/>
        </w:rPr>
        <w:t xml:space="preserve">ón </w:t>
      </w:r>
      <w:r w:rsidRPr="00512935">
        <w:rPr>
          <w:rFonts w:ascii="Cambria" w:hAnsi="Cambria" w:cs="Calibri"/>
          <w:sz w:val="20"/>
          <w:szCs w:val="20"/>
          <w:lang w:val="es-MX"/>
        </w:rPr>
        <w:t>y presentaron diversos recursos judiciales y administrativos.</w:t>
      </w:r>
      <w:r>
        <w:rPr>
          <w:rFonts w:ascii="Cambria" w:hAnsi="Cambria" w:cs="Calibri"/>
          <w:sz w:val="20"/>
          <w:szCs w:val="20"/>
          <w:lang w:val="es-MX"/>
        </w:rPr>
        <w:t xml:space="preserve"> Así, informaron que el 21 de marzo de 1999 </w:t>
      </w:r>
      <w:r w:rsidR="007B0BCC">
        <w:rPr>
          <w:rFonts w:ascii="Cambria" w:hAnsi="Cambria" w:cs="Calibri"/>
          <w:sz w:val="20"/>
          <w:szCs w:val="20"/>
          <w:lang w:val="es-MX"/>
        </w:rPr>
        <w:t xml:space="preserve">su </w:t>
      </w:r>
      <w:r>
        <w:rPr>
          <w:rFonts w:ascii="Cambria" w:hAnsi="Cambria" w:cs="Calibri"/>
          <w:sz w:val="20"/>
          <w:szCs w:val="20"/>
          <w:lang w:val="es-MX"/>
        </w:rPr>
        <w:t>madre se dirigió a la Fiscalía Provincial de Lircay para presentar la denuncia por la desaparición de su hijo, señalando que presumía que los policías que estaban de servicio el 20 de marzo de 1999 serían los presuntos autores de la desaparición. Los peticionarios afirma</w:t>
      </w:r>
      <w:r w:rsidR="006257AB">
        <w:rPr>
          <w:rFonts w:ascii="Cambria" w:hAnsi="Cambria" w:cs="Calibri"/>
          <w:sz w:val="20"/>
          <w:szCs w:val="20"/>
          <w:lang w:val="es-MX"/>
        </w:rPr>
        <w:t>ron</w:t>
      </w:r>
      <w:r>
        <w:rPr>
          <w:rFonts w:ascii="Cambria" w:hAnsi="Cambria" w:cs="Calibri"/>
          <w:sz w:val="20"/>
          <w:szCs w:val="20"/>
          <w:lang w:val="es-MX"/>
        </w:rPr>
        <w:t xml:space="preserve"> que la Fiscal se negó a atenderla y le pidió que volviera en 60 días. </w:t>
      </w:r>
      <w:r w:rsidR="006517E6">
        <w:rPr>
          <w:rFonts w:ascii="Cambria" w:hAnsi="Cambria"/>
          <w:sz w:val="20"/>
          <w:szCs w:val="20"/>
          <w:bdr w:val="none" w:sz="0" w:space="0" w:color="auto"/>
          <w:lang w:val="es-ES"/>
        </w:rPr>
        <w:t>Según los peticionarios, l</w:t>
      </w:r>
      <w:r w:rsidR="006517E6" w:rsidRPr="000230CD">
        <w:rPr>
          <w:rFonts w:ascii="Cambria" w:hAnsi="Cambria"/>
          <w:sz w:val="20"/>
          <w:szCs w:val="20"/>
          <w:bdr w:val="none" w:sz="0" w:space="0" w:color="auto"/>
          <w:lang w:val="es-ES"/>
        </w:rPr>
        <w:t xml:space="preserve">a </w:t>
      </w:r>
      <w:r w:rsidR="006517E6">
        <w:rPr>
          <w:rFonts w:ascii="Cambria" w:hAnsi="Cambria"/>
          <w:sz w:val="20"/>
          <w:szCs w:val="20"/>
          <w:bdr w:val="none" w:sz="0" w:space="0" w:color="auto"/>
          <w:lang w:val="es-ES"/>
        </w:rPr>
        <w:t xml:space="preserve">señora Gladys Escobar Candiotti </w:t>
      </w:r>
      <w:r w:rsidR="006517E6" w:rsidRPr="000230CD">
        <w:rPr>
          <w:rFonts w:ascii="Cambria" w:hAnsi="Cambria"/>
          <w:sz w:val="20"/>
          <w:szCs w:val="20"/>
          <w:bdr w:val="none" w:sz="0" w:space="0" w:color="auto"/>
          <w:lang w:val="es-ES"/>
        </w:rPr>
        <w:t>acudió en tres oportunidades</w:t>
      </w:r>
      <w:r w:rsidR="006517E6">
        <w:rPr>
          <w:rFonts w:ascii="Cambria" w:hAnsi="Cambria"/>
          <w:sz w:val="20"/>
          <w:szCs w:val="20"/>
          <w:bdr w:val="none" w:sz="0" w:space="0" w:color="auto"/>
          <w:lang w:val="es-ES"/>
        </w:rPr>
        <w:t xml:space="preserve"> ante dicha Fiscalía</w:t>
      </w:r>
      <w:r w:rsidR="006517E6" w:rsidRPr="000230CD">
        <w:rPr>
          <w:rFonts w:ascii="Cambria" w:hAnsi="Cambria"/>
          <w:sz w:val="20"/>
          <w:szCs w:val="20"/>
          <w:bdr w:val="none" w:sz="0" w:space="0" w:color="auto"/>
          <w:lang w:val="es-ES"/>
        </w:rPr>
        <w:t xml:space="preserve">, recibiendo la misma </w:t>
      </w:r>
      <w:r w:rsidR="006517E6" w:rsidRPr="000230CD">
        <w:rPr>
          <w:rFonts w:ascii="Cambria" w:hAnsi="Cambria"/>
          <w:sz w:val="20"/>
          <w:szCs w:val="20"/>
          <w:bdr w:val="none" w:sz="0" w:space="0" w:color="auto"/>
          <w:lang w:val="es-ES"/>
        </w:rPr>
        <w:lastRenderedPageBreak/>
        <w:t>negativa</w:t>
      </w:r>
      <w:r w:rsidR="006517E6">
        <w:rPr>
          <w:rFonts w:ascii="Cambria" w:hAnsi="Cambria"/>
          <w:sz w:val="20"/>
          <w:szCs w:val="20"/>
          <w:bdr w:val="none" w:sz="0" w:space="0" w:color="auto"/>
          <w:lang w:val="es-ES"/>
        </w:rPr>
        <w:t>. Los peticionarios a</w:t>
      </w:r>
      <w:r w:rsidR="006257AB">
        <w:rPr>
          <w:rFonts w:ascii="Cambria" w:hAnsi="Cambria" w:cs="Calibri"/>
          <w:sz w:val="20"/>
          <w:szCs w:val="20"/>
          <w:lang w:val="es-MX"/>
        </w:rPr>
        <w:t>gregaron que</w:t>
      </w:r>
      <w:r w:rsidR="006517E6">
        <w:rPr>
          <w:rFonts w:ascii="Cambria" w:hAnsi="Cambria" w:cs="Calibri"/>
          <w:sz w:val="20"/>
          <w:szCs w:val="20"/>
          <w:lang w:val="es-MX"/>
        </w:rPr>
        <w:t>,</w:t>
      </w:r>
      <w:r w:rsidR="006257AB">
        <w:rPr>
          <w:rFonts w:ascii="Cambria" w:hAnsi="Cambria" w:cs="Calibri"/>
          <w:sz w:val="20"/>
          <w:szCs w:val="20"/>
          <w:lang w:val="es-MX"/>
        </w:rPr>
        <w:t xml:space="preserve"> </w:t>
      </w:r>
      <w:r w:rsidR="00BB7719">
        <w:rPr>
          <w:rFonts w:ascii="Cambria" w:hAnsi="Cambria" w:cs="Calibri"/>
          <w:sz w:val="20"/>
          <w:szCs w:val="20"/>
          <w:lang w:val="es-MX"/>
        </w:rPr>
        <w:t>a</w:t>
      </w:r>
      <w:r>
        <w:rPr>
          <w:rFonts w:ascii="Cambria" w:hAnsi="Cambria" w:cs="Calibri"/>
          <w:sz w:val="20"/>
          <w:szCs w:val="20"/>
          <w:lang w:val="es-MX"/>
        </w:rPr>
        <w:t xml:space="preserve">l día siguiente, la señora Escobar Candiotti denunció la desaparición de su hijo en la Comisaría de Lircay.  </w:t>
      </w:r>
    </w:p>
    <w:p w:rsidR="00512935" w:rsidRPr="00EE0C24" w:rsidRDefault="00512935" w:rsidP="00512935">
      <w:pPr>
        <w:pStyle w:val="MediumGrid1-Accent21"/>
        <w:rPr>
          <w:rFonts w:cs="Calibri"/>
          <w:sz w:val="20"/>
          <w:szCs w:val="20"/>
          <w:lang w:val="es-ES_tradnl"/>
        </w:rPr>
      </w:pPr>
    </w:p>
    <w:p w:rsidR="00EE0C24" w:rsidRDefault="00512935" w:rsidP="0051293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MX"/>
        </w:rPr>
      </w:pPr>
      <w:r w:rsidRPr="00512935">
        <w:rPr>
          <w:rFonts w:ascii="Cambria" w:hAnsi="Cambria" w:cs="Calibri"/>
          <w:sz w:val="20"/>
          <w:szCs w:val="20"/>
          <w:lang w:val="es-MX"/>
        </w:rPr>
        <w:t>L</w:t>
      </w:r>
      <w:r w:rsidR="000A14A6">
        <w:rPr>
          <w:rFonts w:ascii="Cambria" w:hAnsi="Cambria" w:cs="Calibri"/>
          <w:sz w:val="20"/>
          <w:szCs w:val="20"/>
          <w:lang w:val="es-MX"/>
        </w:rPr>
        <w:t xml:space="preserve">os peticionarios señalaron </w:t>
      </w:r>
      <w:r w:rsidRPr="00512935">
        <w:rPr>
          <w:rFonts w:ascii="Cambria" w:hAnsi="Cambria" w:cs="Calibri"/>
          <w:sz w:val="20"/>
          <w:szCs w:val="20"/>
          <w:lang w:val="es-MX"/>
        </w:rPr>
        <w:t xml:space="preserve">que </w:t>
      </w:r>
      <w:r w:rsidR="00EE0C24">
        <w:rPr>
          <w:rFonts w:ascii="Cambria" w:hAnsi="Cambria" w:cs="Calibri"/>
          <w:sz w:val="20"/>
          <w:szCs w:val="20"/>
          <w:lang w:val="es-MX"/>
        </w:rPr>
        <w:t xml:space="preserve">el 23 y 24 de marzo del mismo año se interpusieron denuncias por la desaparición </w:t>
      </w:r>
      <w:r w:rsidRPr="00512935">
        <w:rPr>
          <w:rFonts w:ascii="Cambria" w:hAnsi="Cambria" w:cs="Calibri"/>
          <w:sz w:val="20"/>
          <w:szCs w:val="20"/>
          <w:lang w:val="es-MX"/>
        </w:rPr>
        <w:t xml:space="preserve">de Walter Munárriz </w:t>
      </w:r>
      <w:r w:rsidR="00EE0C24">
        <w:rPr>
          <w:rFonts w:ascii="Cambria" w:hAnsi="Cambria" w:cs="Calibri"/>
          <w:sz w:val="20"/>
          <w:szCs w:val="20"/>
          <w:lang w:val="es-MX"/>
        </w:rPr>
        <w:t>ante la Defensoría del Pueblo de Huancavelica. Agrega</w:t>
      </w:r>
      <w:r w:rsidR="00BB7719">
        <w:rPr>
          <w:rFonts w:ascii="Cambria" w:hAnsi="Cambria" w:cs="Calibri"/>
          <w:sz w:val="20"/>
          <w:szCs w:val="20"/>
          <w:lang w:val="es-MX"/>
        </w:rPr>
        <w:t>ro</w:t>
      </w:r>
      <w:r w:rsidR="00EE0C24">
        <w:rPr>
          <w:rFonts w:ascii="Cambria" w:hAnsi="Cambria" w:cs="Calibri"/>
          <w:sz w:val="20"/>
          <w:szCs w:val="20"/>
          <w:lang w:val="es-MX"/>
        </w:rPr>
        <w:t>n que</w:t>
      </w:r>
      <w:r w:rsidR="00DA1A46">
        <w:rPr>
          <w:rFonts w:ascii="Cambria" w:hAnsi="Cambria" w:cs="Calibri"/>
          <w:sz w:val="20"/>
          <w:szCs w:val="20"/>
          <w:lang w:val="es-MX"/>
        </w:rPr>
        <w:t xml:space="preserve">, al siguiente mes, </w:t>
      </w:r>
      <w:r w:rsidR="00EE0C24">
        <w:rPr>
          <w:rFonts w:ascii="Cambria" w:hAnsi="Cambria" w:cs="Calibri"/>
          <w:sz w:val="20"/>
          <w:szCs w:val="20"/>
          <w:lang w:val="es-MX"/>
        </w:rPr>
        <w:t>la madre remitió escrito</w:t>
      </w:r>
      <w:r w:rsidR="00DA1A46">
        <w:rPr>
          <w:rFonts w:ascii="Cambria" w:hAnsi="Cambria" w:cs="Calibri"/>
          <w:sz w:val="20"/>
          <w:szCs w:val="20"/>
          <w:lang w:val="es-MX"/>
        </w:rPr>
        <w:t>s</w:t>
      </w:r>
      <w:r w:rsidR="00EE0C24">
        <w:rPr>
          <w:rFonts w:ascii="Cambria" w:hAnsi="Cambria" w:cs="Calibri"/>
          <w:sz w:val="20"/>
          <w:szCs w:val="20"/>
          <w:lang w:val="es-MX"/>
        </w:rPr>
        <w:t xml:space="preserve"> al Ministro de Interior y al Presidente de la Comisión de Derechos Humanos del Congreso de la República, solicitando apoyo para dar con el paradero de su hijo. </w:t>
      </w:r>
    </w:p>
    <w:p w:rsidR="00EE0C24" w:rsidRDefault="00EE0C24" w:rsidP="00EE0C24">
      <w:pPr>
        <w:pStyle w:val="MediumGrid1-Accent21"/>
        <w:rPr>
          <w:rFonts w:cs="Calibri"/>
          <w:sz w:val="20"/>
          <w:szCs w:val="20"/>
          <w:lang w:val="es-MX"/>
        </w:rPr>
      </w:pPr>
    </w:p>
    <w:p w:rsidR="0069252A" w:rsidRDefault="00DA1A46" w:rsidP="0019124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MX"/>
        </w:rPr>
      </w:pPr>
      <w:r>
        <w:rPr>
          <w:rFonts w:ascii="Cambria" w:hAnsi="Cambria" w:cs="Calibri"/>
          <w:sz w:val="20"/>
          <w:szCs w:val="20"/>
          <w:lang w:val="es-MX"/>
        </w:rPr>
        <w:t>Los peticionarios indica</w:t>
      </w:r>
      <w:r w:rsidR="000A14A6">
        <w:rPr>
          <w:rFonts w:ascii="Cambria" w:hAnsi="Cambria" w:cs="Calibri"/>
          <w:sz w:val="20"/>
          <w:szCs w:val="20"/>
          <w:lang w:val="es-MX"/>
        </w:rPr>
        <w:t>ro</w:t>
      </w:r>
      <w:r>
        <w:rPr>
          <w:rFonts w:ascii="Cambria" w:hAnsi="Cambria" w:cs="Calibri"/>
          <w:sz w:val="20"/>
          <w:szCs w:val="20"/>
          <w:lang w:val="es-MX"/>
        </w:rPr>
        <w:t>n que el 22 de abril del mismo año, la Fiscalía Provincial Mixta de Angaraes formalizó denuncia contra el Capitán PNP Roberto Gastiabur</w:t>
      </w:r>
      <w:r w:rsidR="002E410B">
        <w:rPr>
          <w:rFonts w:ascii="Cambria" w:hAnsi="Cambria" w:cs="Calibri"/>
          <w:sz w:val="20"/>
          <w:szCs w:val="20"/>
          <w:lang w:val="es-MX"/>
        </w:rPr>
        <w:t xml:space="preserve">ú </w:t>
      </w:r>
      <w:r>
        <w:rPr>
          <w:rFonts w:ascii="Cambria" w:hAnsi="Cambria" w:cs="Calibri"/>
          <w:sz w:val="20"/>
          <w:szCs w:val="20"/>
          <w:lang w:val="es-MX"/>
        </w:rPr>
        <w:t xml:space="preserve">Nakada, Alferéz PNP Claudio Gutiérrez Velásquez y el Suboficial PNP </w:t>
      </w:r>
      <w:r w:rsidR="00846F01">
        <w:rPr>
          <w:rFonts w:ascii="Cambria" w:hAnsi="Cambria" w:cs="Calibri"/>
          <w:sz w:val="20"/>
          <w:szCs w:val="20"/>
          <w:lang w:val="es-MX"/>
        </w:rPr>
        <w:t>Adolfo</w:t>
      </w:r>
      <w:r>
        <w:rPr>
          <w:rFonts w:ascii="Cambria" w:hAnsi="Cambria" w:cs="Calibri"/>
          <w:sz w:val="20"/>
          <w:szCs w:val="20"/>
          <w:lang w:val="es-MX"/>
        </w:rPr>
        <w:t xml:space="preserve"> Ángeles Ramos, por el delito contra la humanidad en la modalidad de desaparición en agravio de Walter Munárriz Escobar. </w:t>
      </w:r>
      <w:r w:rsidR="00F47AE3">
        <w:rPr>
          <w:rFonts w:ascii="Cambria" w:hAnsi="Cambria" w:cs="Calibri"/>
          <w:sz w:val="20"/>
          <w:szCs w:val="20"/>
          <w:lang w:val="es-MX"/>
        </w:rPr>
        <w:t xml:space="preserve"> Agrega</w:t>
      </w:r>
      <w:r w:rsidR="000A14A6">
        <w:rPr>
          <w:rFonts w:ascii="Cambria" w:hAnsi="Cambria" w:cs="Calibri"/>
          <w:sz w:val="20"/>
          <w:szCs w:val="20"/>
          <w:lang w:val="es-MX"/>
        </w:rPr>
        <w:t>ro</w:t>
      </w:r>
      <w:r w:rsidR="00F47AE3">
        <w:rPr>
          <w:rFonts w:ascii="Cambria" w:hAnsi="Cambria" w:cs="Calibri"/>
          <w:sz w:val="20"/>
          <w:szCs w:val="20"/>
          <w:lang w:val="es-MX"/>
        </w:rPr>
        <w:t xml:space="preserve">n que el 1 de junio de 2000, la Fiscalía Superior Mixta de Huancavelica formuló acusación sustancial en contra de los tres oficiales señalados y de otros dos: Gunther Cuaresma Ramos y Percy Salvatierra Laura, solicitando se les impusiera 15 años de pena privativa de libertad, inhabilitación y el pago de diez mil nuevos soles. </w:t>
      </w:r>
      <w:r w:rsidR="006B2321">
        <w:rPr>
          <w:rFonts w:ascii="Cambria" w:hAnsi="Cambria" w:cs="Calibri"/>
          <w:sz w:val="20"/>
          <w:szCs w:val="20"/>
          <w:lang w:val="es-MX"/>
        </w:rPr>
        <w:t>Señalaron que e</w:t>
      </w:r>
      <w:r w:rsidR="00F47AE3">
        <w:rPr>
          <w:rFonts w:ascii="Cambria" w:hAnsi="Cambria" w:cs="Calibri"/>
          <w:sz w:val="20"/>
          <w:szCs w:val="20"/>
          <w:lang w:val="es-MX"/>
        </w:rPr>
        <w:t xml:space="preserve">l 15 de febrero </w:t>
      </w:r>
      <w:r w:rsidR="00812DC6">
        <w:rPr>
          <w:rFonts w:ascii="Cambria" w:hAnsi="Cambria" w:cs="Calibri"/>
          <w:sz w:val="20"/>
          <w:szCs w:val="20"/>
          <w:lang w:val="es-MX"/>
        </w:rPr>
        <w:t xml:space="preserve">de </w:t>
      </w:r>
      <w:r w:rsidR="00F47AE3" w:rsidRPr="00D239B3">
        <w:rPr>
          <w:rFonts w:ascii="Cambria" w:hAnsi="Cambria" w:cs="Calibri"/>
          <w:sz w:val="20"/>
          <w:szCs w:val="20"/>
          <w:lang w:val="es-MX"/>
        </w:rPr>
        <w:t>2001</w:t>
      </w:r>
      <w:r w:rsidR="00812DC6" w:rsidRPr="00D239B3">
        <w:rPr>
          <w:rFonts w:ascii="Cambria" w:hAnsi="Cambria" w:cs="Calibri"/>
          <w:sz w:val="20"/>
          <w:szCs w:val="20"/>
          <w:lang w:val="es-MX"/>
        </w:rPr>
        <w:t>,</w:t>
      </w:r>
      <w:r w:rsidR="00F47AE3" w:rsidRPr="00D239B3">
        <w:rPr>
          <w:rFonts w:ascii="Cambria" w:hAnsi="Cambria" w:cs="Calibri"/>
          <w:sz w:val="20"/>
          <w:szCs w:val="20"/>
          <w:lang w:val="es-MX"/>
        </w:rPr>
        <w:t xml:space="preserve"> la Corte Superior </w:t>
      </w:r>
      <w:r w:rsidR="00EA3682" w:rsidRPr="00D239B3">
        <w:rPr>
          <w:rFonts w:ascii="Cambria" w:hAnsi="Cambria" w:cs="Calibri"/>
          <w:sz w:val="20"/>
          <w:szCs w:val="20"/>
          <w:lang w:val="es-MX"/>
        </w:rPr>
        <w:t xml:space="preserve">Mixta de Huancavelica condenó a Roberto Eugenio Gastiaburú Nakada y Adolfo Ángeles Ramos, como autores del delito contra </w:t>
      </w:r>
      <w:r w:rsidR="002E410B" w:rsidRPr="00D239B3">
        <w:rPr>
          <w:rFonts w:ascii="Cambria" w:hAnsi="Cambria" w:cs="Calibri"/>
          <w:sz w:val="20"/>
          <w:szCs w:val="20"/>
          <w:lang w:val="es-MX"/>
        </w:rPr>
        <w:t>la humanidad en su modalidad de desaparición</w:t>
      </w:r>
      <w:r w:rsidR="002E410B">
        <w:rPr>
          <w:rFonts w:ascii="Cambria" w:hAnsi="Cambria" w:cs="Calibri"/>
          <w:sz w:val="20"/>
          <w:szCs w:val="20"/>
          <w:lang w:val="es-MX"/>
        </w:rPr>
        <w:t xml:space="preserve"> forzada en agravio de Walter Munárriz Escobar, imponiéndoles 18 años de pena privativa de libertad e inhabilitación y absolviendo a los demás oficiales.</w:t>
      </w:r>
      <w:r w:rsidR="00CE62A2">
        <w:rPr>
          <w:rFonts w:ascii="Cambria" w:hAnsi="Cambria" w:cs="Calibri"/>
          <w:sz w:val="20"/>
          <w:szCs w:val="20"/>
          <w:lang w:val="es-MX"/>
        </w:rPr>
        <w:t xml:space="preserve"> </w:t>
      </w:r>
    </w:p>
    <w:p w:rsidR="0069252A" w:rsidRDefault="0069252A" w:rsidP="0069252A">
      <w:pPr>
        <w:pStyle w:val="ListParagraph"/>
        <w:rPr>
          <w:rFonts w:ascii="Cambria" w:hAnsi="Cambria" w:cs="Calibri"/>
          <w:sz w:val="20"/>
          <w:szCs w:val="20"/>
          <w:lang w:val="es-MX"/>
        </w:rPr>
      </w:pPr>
    </w:p>
    <w:p w:rsidR="00191243" w:rsidRPr="00512935" w:rsidRDefault="00CE62A2" w:rsidP="00191243">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MX"/>
        </w:rPr>
      </w:pPr>
      <w:r>
        <w:rPr>
          <w:rFonts w:ascii="Cambria" w:hAnsi="Cambria" w:cs="Calibri"/>
          <w:sz w:val="20"/>
          <w:szCs w:val="20"/>
          <w:lang w:val="es-MX"/>
        </w:rPr>
        <w:t>Indicaron que l</w:t>
      </w:r>
      <w:r w:rsidR="002E410B">
        <w:rPr>
          <w:rFonts w:ascii="Cambria" w:hAnsi="Cambria" w:cs="Calibri"/>
          <w:sz w:val="20"/>
          <w:szCs w:val="20"/>
          <w:lang w:val="es-MX"/>
        </w:rPr>
        <w:t xml:space="preserve">a Primera Fiscalía Suprema solicitó la declaratoria </w:t>
      </w:r>
      <w:r w:rsidR="00812DC6">
        <w:rPr>
          <w:rFonts w:ascii="Cambria" w:hAnsi="Cambria" w:cs="Calibri"/>
          <w:sz w:val="20"/>
          <w:szCs w:val="20"/>
          <w:lang w:val="es-MX"/>
        </w:rPr>
        <w:t xml:space="preserve">de nulidad </w:t>
      </w:r>
      <w:r w:rsidR="002E410B">
        <w:rPr>
          <w:rFonts w:ascii="Cambria" w:hAnsi="Cambria" w:cs="Calibri"/>
          <w:sz w:val="20"/>
          <w:szCs w:val="20"/>
          <w:lang w:val="es-MX"/>
        </w:rPr>
        <w:t xml:space="preserve">de la sentencia sólo en el extremo que absuelve a los tres oficiales. </w:t>
      </w:r>
      <w:r w:rsidR="008C3A4A">
        <w:rPr>
          <w:rFonts w:ascii="Cambria" w:hAnsi="Cambria" w:cs="Calibri"/>
          <w:sz w:val="20"/>
          <w:szCs w:val="20"/>
          <w:lang w:val="es-MX"/>
        </w:rPr>
        <w:t>Señalaron que el 13 de diciembre de 2001 la Sala Penal Suprema emitió una resolución señalando ciertas irregularidades procesales de forma durante el juicio oral</w:t>
      </w:r>
      <w:r w:rsidR="0080419F">
        <w:rPr>
          <w:rFonts w:ascii="Cambria" w:hAnsi="Cambria" w:cs="Calibri"/>
          <w:sz w:val="20"/>
          <w:szCs w:val="20"/>
          <w:lang w:val="es-MX"/>
        </w:rPr>
        <w:t>,</w:t>
      </w:r>
      <w:r w:rsidR="008C3A4A">
        <w:rPr>
          <w:rFonts w:ascii="Cambria" w:hAnsi="Cambria" w:cs="Calibri"/>
          <w:sz w:val="20"/>
          <w:szCs w:val="20"/>
          <w:lang w:val="es-MX"/>
        </w:rPr>
        <w:t xml:space="preserve">  declar</w:t>
      </w:r>
      <w:r w:rsidR="0080419F">
        <w:rPr>
          <w:rFonts w:ascii="Cambria" w:hAnsi="Cambria" w:cs="Calibri"/>
          <w:sz w:val="20"/>
          <w:szCs w:val="20"/>
          <w:lang w:val="es-MX"/>
        </w:rPr>
        <w:t>ó</w:t>
      </w:r>
      <w:r w:rsidR="008C3A4A">
        <w:rPr>
          <w:rFonts w:ascii="Cambria" w:hAnsi="Cambria" w:cs="Calibri"/>
          <w:sz w:val="20"/>
          <w:szCs w:val="20"/>
          <w:lang w:val="es-MX"/>
        </w:rPr>
        <w:t xml:space="preserve"> nula la sentencia del 15 de febrero de 2001 y mandó a que se realizara un nuevo juicio oral.</w:t>
      </w:r>
      <w:r w:rsidR="00191243">
        <w:rPr>
          <w:rFonts w:ascii="Cambria" w:hAnsi="Cambria" w:cs="Calibri"/>
          <w:sz w:val="20"/>
          <w:szCs w:val="20"/>
          <w:lang w:val="es-MX"/>
        </w:rPr>
        <w:t xml:space="preserve"> Los peticionarios indicaron que el 25 de mayo de 2004 la Corte Superior Mixta de Huancavelica absolvió a Roberto Eugenio Gastiaburú Nakada, Claudio Gutiérrez Velásquez, Adolfo Ángeles Ramos,</w:t>
      </w:r>
      <w:r w:rsidR="00191243" w:rsidRPr="00575E2B">
        <w:rPr>
          <w:rFonts w:ascii="Cambria" w:hAnsi="Cambria" w:cs="Calibri"/>
          <w:sz w:val="20"/>
          <w:szCs w:val="20"/>
          <w:lang w:val="es-MX"/>
        </w:rPr>
        <w:t xml:space="preserve"> </w:t>
      </w:r>
      <w:r w:rsidR="00191243">
        <w:rPr>
          <w:rFonts w:ascii="Cambria" w:hAnsi="Cambria" w:cs="Calibri"/>
          <w:sz w:val="20"/>
          <w:szCs w:val="20"/>
          <w:lang w:val="es-MX"/>
        </w:rPr>
        <w:t>Gunther Cuaresma Ramos y Percy Salvatierr</w:t>
      </w:r>
      <w:r w:rsidR="0069252A">
        <w:rPr>
          <w:rFonts w:ascii="Cambria" w:hAnsi="Cambria" w:cs="Calibri"/>
          <w:sz w:val="20"/>
          <w:szCs w:val="20"/>
          <w:lang w:val="es-MX"/>
        </w:rPr>
        <w:t>a Laura por no haberse acreditado con pruebas irrefutables que fueron autores o partícipes de la desaparición</w:t>
      </w:r>
      <w:r w:rsidR="00AC7F82">
        <w:rPr>
          <w:rFonts w:ascii="Cambria" w:hAnsi="Cambria" w:cs="Calibri"/>
          <w:sz w:val="20"/>
          <w:szCs w:val="20"/>
          <w:lang w:val="es-MX"/>
        </w:rPr>
        <w:t xml:space="preserve"> de Walter Munárriz.</w:t>
      </w:r>
      <w:r w:rsidR="00191243">
        <w:rPr>
          <w:rFonts w:ascii="Cambria" w:hAnsi="Cambria" w:cs="Calibri"/>
          <w:sz w:val="20"/>
          <w:szCs w:val="20"/>
          <w:lang w:val="es-MX"/>
        </w:rPr>
        <w:t xml:space="preserve"> Agrega</w:t>
      </w:r>
      <w:r w:rsidR="007A3A91">
        <w:rPr>
          <w:rFonts w:ascii="Cambria" w:hAnsi="Cambria" w:cs="Calibri"/>
          <w:sz w:val="20"/>
          <w:szCs w:val="20"/>
          <w:lang w:val="es-MX"/>
        </w:rPr>
        <w:t>ro</w:t>
      </w:r>
      <w:r w:rsidR="00191243">
        <w:rPr>
          <w:rFonts w:ascii="Cambria" w:hAnsi="Cambria" w:cs="Calibri"/>
          <w:sz w:val="20"/>
          <w:szCs w:val="20"/>
          <w:lang w:val="es-MX"/>
        </w:rPr>
        <w:t xml:space="preserve">n que el 20 de octubre del mismo año, la Corte determinó no haber nulidad en dicha sentencia. </w:t>
      </w:r>
    </w:p>
    <w:p w:rsidR="00D13B0F" w:rsidRPr="00E21797" w:rsidRDefault="00D13B0F" w:rsidP="00191243">
      <w:pPr>
        <w:pStyle w:val="MediumGrid1-Accent21"/>
        <w:ind w:left="0"/>
        <w:rPr>
          <w:rFonts w:cs="Arial"/>
          <w:sz w:val="20"/>
          <w:szCs w:val="20"/>
          <w:lang w:val="es-ES_tradnl"/>
        </w:rPr>
      </w:pPr>
    </w:p>
    <w:p w:rsidR="00AB08CE" w:rsidRPr="003F182E" w:rsidRDefault="00CE0E84" w:rsidP="003F182E">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cs="Calibri"/>
          <w:sz w:val="20"/>
          <w:szCs w:val="20"/>
          <w:lang w:val="es-MX"/>
        </w:rPr>
      </w:pPr>
      <w:r w:rsidRPr="001D1C55">
        <w:rPr>
          <w:rFonts w:ascii="Cambria" w:hAnsi="Cambria" w:cs="Calibri"/>
          <w:sz w:val="20"/>
          <w:szCs w:val="20"/>
          <w:lang w:val="es-MX"/>
        </w:rPr>
        <w:t>En cuanto a la</w:t>
      </w:r>
      <w:r w:rsidR="001D1C55" w:rsidRPr="001D1C55">
        <w:rPr>
          <w:rFonts w:ascii="Cambria" w:hAnsi="Cambria" w:cs="Calibri"/>
          <w:sz w:val="20"/>
          <w:szCs w:val="20"/>
          <w:lang w:val="es-MX"/>
        </w:rPr>
        <w:t>s investigaciones realizadas por la</w:t>
      </w:r>
      <w:r w:rsidRPr="001D1C55">
        <w:rPr>
          <w:rFonts w:ascii="Cambria" w:hAnsi="Cambria" w:cs="Calibri"/>
          <w:sz w:val="20"/>
          <w:szCs w:val="20"/>
          <w:lang w:val="es-MX"/>
        </w:rPr>
        <w:t xml:space="preserve"> Defensoría del Pueblo, los peticionarios in</w:t>
      </w:r>
      <w:r w:rsidR="000A14A6">
        <w:rPr>
          <w:rFonts w:ascii="Cambria" w:hAnsi="Cambria" w:cs="Calibri"/>
          <w:sz w:val="20"/>
          <w:szCs w:val="20"/>
          <w:lang w:val="es-MX"/>
        </w:rPr>
        <w:t>formaron</w:t>
      </w:r>
      <w:r w:rsidRPr="001D1C55">
        <w:rPr>
          <w:rFonts w:ascii="Cambria" w:hAnsi="Cambria" w:cs="Calibri"/>
          <w:sz w:val="20"/>
          <w:szCs w:val="20"/>
          <w:lang w:val="es-MX"/>
        </w:rPr>
        <w:t xml:space="preserve"> que realizó varias entrevistas, así como la revisión del libro de ocurrencias y del registro de control de la Comisaría PNP de Ccochaccasa y de la Jefatura Provincial PNP Angaraes-Lircay. Los peticionarios in</w:t>
      </w:r>
      <w:r w:rsidR="00647923">
        <w:rPr>
          <w:rFonts w:ascii="Cambria" w:hAnsi="Cambria" w:cs="Calibri"/>
          <w:sz w:val="20"/>
          <w:szCs w:val="20"/>
          <w:lang w:val="es-MX"/>
        </w:rPr>
        <w:t xml:space="preserve">dicaron </w:t>
      </w:r>
      <w:r w:rsidRPr="001D1C55">
        <w:rPr>
          <w:rFonts w:ascii="Cambria" w:hAnsi="Cambria" w:cs="Calibri"/>
          <w:sz w:val="20"/>
          <w:szCs w:val="20"/>
          <w:lang w:val="es-MX"/>
        </w:rPr>
        <w:t xml:space="preserve">que la Defensoría concluyó </w:t>
      </w:r>
      <w:r w:rsidR="006442E0">
        <w:rPr>
          <w:rFonts w:ascii="Cambria" w:hAnsi="Cambria" w:cs="Calibri"/>
          <w:sz w:val="20"/>
          <w:szCs w:val="20"/>
          <w:lang w:val="es-MX"/>
        </w:rPr>
        <w:t xml:space="preserve">que: i) </w:t>
      </w:r>
      <w:r w:rsidRPr="001D1C55">
        <w:rPr>
          <w:rFonts w:ascii="Cambria" w:hAnsi="Cambria" w:cs="Calibri"/>
          <w:sz w:val="20"/>
          <w:szCs w:val="20"/>
          <w:lang w:val="es-MX"/>
        </w:rPr>
        <w:t>“existen indicios de la desaparición del ciudadano Walter Munárriz Escobar, a manos del personal policial de la Jefatura Provincial PNP de Lircay […]”</w:t>
      </w:r>
      <w:r w:rsidR="006442E0">
        <w:rPr>
          <w:rFonts w:ascii="Cambria" w:hAnsi="Cambria" w:cs="Calibri"/>
          <w:sz w:val="20"/>
          <w:szCs w:val="20"/>
          <w:lang w:val="es-MX"/>
        </w:rPr>
        <w:t xml:space="preserve">; ii) </w:t>
      </w:r>
      <w:r w:rsidR="004D4CB3" w:rsidRPr="00617EAE">
        <w:rPr>
          <w:rFonts w:ascii="Cambria" w:hAnsi="Cambria" w:cs="Calibri"/>
          <w:sz w:val="20"/>
          <w:szCs w:val="20"/>
          <w:lang w:val="es-MX"/>
        </w:rPr>
        <w:t>la detención se hizo de manera arbitraria</w:t>
      </w:r>
      <w:r w:rsidR="004D4CB3" w:rsidRPr="006442E0">
        <w:rPr>
          <w:rFonts w:ascii="Cambria" w:hAnsi="Cambria" w:cs="Calibri"/>
          <w:sz w:val="20"/>
          <w:szCs w:val="20"/>
          <w:lang w:val="es-MX"/>
        </w:rPr>
        <w:t xml:space="preserve"> sin que existiera denuncia alguna y sin que fuera registrada debidamente</w:t>
      </w:r>
      <w:r w:rsidR="002E0C89">
        <w:rPr>
          <w:rFonts w:ascii="Cambria" w:hAnsi="Cambria" w:cs="Calibri"/>
          <w:sz w:val="20"/>
          <w:szCs w:val="20"/>
          <w:lang w:val="es-MX"/>
        </w:rPr>
        <w:t xml:space="preserve">; iii) </w:t>
      </w:r>
      <w:r w:rsidR="004D4CB3" w:rsidRPr="006442E0">
        <w:rPr>
          <w:rFonts w:ascii="Cambria" w:hAnsi="Cambria" w:cs="Calibri"/>
          <w:sz w:val="20"/>
          <w:szCs w:val="20"/>
          <w:lang w:val="es-MX"/>
        </w:rPr>
        <w:t>la Fiscal Provincial no investigó</w:t>
      </w:r>
      <w:r w:rsidR="00582A75">
        <w:rPr>
          <w:rFonts w:ascii="Cambria" w:hAnsi="Cambria" w:cs="Calibri"/>
          <w:sz w:val="20"/>
          <w:szCs w:val="20"/>
          <w:lang w:val="es-MX"/>
        </w:rPr>
        <w:t xml:space="preserve"> imparcial y</w:t>
      </w:r>
      <w:r w:rsidR="004D4CB3" w:rsidRPr="006442E0">
        <w:rPr>
          <w:rFonts w:ascii="Cambria" w:hAnsi="Cambria" w:cs="Calibri"/>
          <w:sz w:val="20"/>
          <w:szCs w:val="20"/>
          <w:lang w:val="es-MX"/>
        </w:rPr>
        <w:t xml:space="preserve"> objetivamente los hechos</w:t>
      </w:r>
      <w:r w:rsidR="002E0C89">
        <w:rPr>
          <w:rFonts w:ascii="Cambria" w:hAnsi="Cambria" w:cs="Calibri"/>
          <w:sz w:val="20"/>
          <w:szCs w:val="20"/>
          <w:lang w:val="es-MX"/>
        </w:rPr>
        <w:t>; iv) no se realizaron pruebas fundamentales que habrían podido orientar el rumbo del proceso;</w:t>
      </w:r>
      <w:r w:rsidR="00A92E66">
        <w:rPr>
          <w:rFonts w:ascii="Cambria" w:hAnsi="Cambria" w:cs="Calibri"/>
          <w:sz w:val="20"/>
          <w:szCs w:val="20"/>
          <w:lang w:val="es-MX"/>
        </w:rPr>
        <w:t xml:space="preserve"> y</w:t>
      </w:r>
      <w:r w:rsidR="002E0C89">
        <w:rPr>
          <w:rFonts w:ascii="Cambria" w:hAnsi="Cambria" w:cs="Calibri"/>
          <w:sz w:val="20"/>
          <w:szCs w:val="20"/>
          <w:lang w:val="es-MX"/>
        </w:rPr>
        <w:t xml:space="preserve"> v) Walter Munárriz “fue sometido a maltratos físicos y verbales por personal policial”</w:t>
      </w:r>
      <w:r w:rsidR="000719AB">
        <w:rPr>
          <w:rFonts w:ascii="Cambria" w:hAnsi="Cambria" w:cs="Calibri"/>
          <w:sz w:val="20"/>
          <w:szCs w:val="20"/>
          <w:lang w:val="es-MX"/>
        </w:rPr>
        <w:t>.</w:t>
      </w:r>
    </w:p>
    <w:p w:rsidR="001D1C55" w:rsidRDefault="001D1C55" w:rsidP="003F182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Calibri"/>
          <w:sz w:val="20"/>
          <w:szCs w:val="20"/>
          <w:lang w:val="es-MX"/>
        </w:rPr>
      </w:pPr>
    </w:p>
    <w:p w:rsidR="00637EFB" w:rsidRDefault="000A14A6" w:rsidP="001D1C5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MX"/>
        </w:rPr>
      </w:pPr>
      <w:r>
        <w:rPr>
          <w:rFonts w:ascii="Cambria" w:hAnsi="Cambria" w:cs="Calibri"/>
          <w:sz w:val="20"/>
          <w:szCs w:val="20"/>
          <w:lang w:val="es-MX"/>
        </w:rPr>
        <w:t>Los peticionarios alegaron</w:t>
      </w:r>
      <w:r w:rsidR="001D1C55">
        <w:rPr>
          <w:rFonts w:ascii="Cambria" w:hAnsi="Cambria" w:cs="Calibri"/>
          <w:sz w:val="20"/>
          <w:szCs w:val="20"/>
          <w:lang w:val="es-MX"/>
        </w:rPr>
        <w:t xml:space="preserve"> que la falta de debida diligencia en las investigaciones constituy</w:t>
      </w:r>
      <w:r w:rsidR="00812DC6">
        <w:rPr>
          <w:rFonts w:ascii="Cambria" w:hAnsi="Cambria" w:cs="Calibri"/>
          <w:sz w:val="20"/>
          <w:szCs w:val="20"/>
          <w:lang w:val="es-MX"/>
        </w:rPr>
        <w:t xml:space="preserve">ó un </w:t>
      </w:r>
      <w:r w:rsidR="001D1C55">
        <w:rPr>
          <w:rFonts w:ascii="Cambria" w:hAnsi="Cambria" w:cs="Calibri"/>
          <w:sz w:val="20"/>
          <w:szCs w:val="20"/>
          <w:lang w:val="es-MX"/>
        </w:rPr>
        <w:t>obstáculo para el acceso a la justicia</w:t>
      </w:r>
      <w:r w:rsidR="00812DC6">
        <w:rPr>
          <w:rFonts w:ascii="Cambria" w:hAnsi="Cambria" w:cs="Calibri"/>
          <w:sz w:val="20"/>
          <w:szCs w:val="20"/>
          <w:lang w:val="es-MX"/>
        </w:rPr>
        <w:t>,</w:t>
      </w:r>
      <w:r w:rsidR="001D1C55">
        <w:rPr>
          <w:rFonts w:ascii="Cambria" w:hAnsi="Cambria" w:cs="Calibri"/>
          <w:sz w:val="20"/>
          <w:szCs w:val="20"/>
          <w:lang w:val="es-MX"/>
        </w:rPr>
        <w:t xml:space="preserve"> de tal forma que, a la fecha, exist</w:t>
      </w:r>
      <w:r w:rsidR="00FB5EDB">
        <w:rPr>
          <w:rFonts w:ascii="Cambria" w:hAnsi="Cambria" w:cs="Calibri"/>
          <w:sz w:val="20"/>
          <w:szCs w:val="20"/>
          <w:lang w:val="es-MX"/>
        </w:rPr>
        <w:t>e</w:t>
      </w:r>
      <w:r w:rsidR="001D1C55">
        <w:rPr>
          <w:rFonts w:ascii="Cambria" w:hAnsi="Cambria" w:cs="Calibri"/>
          <w:sz w:val="20"/>
          <w:szCs w:val="20"/>
          <w:lang w:val="es-MX"/>
        </w:rPr>
        <w:t xml:space="preserve"> una situación de impunidad</w:t>
      </w:r>
      <w:r w:rsidR="00637EFB">
        <w:rPr>
          <w:rFonts w:ascii="Cambria" w:hAnsi="Cambria" w:cs="Calibri"/>
          <w:sz w:val="20"/>
          <w:szCs w:val="20"/>
          <w:lang w:val="es-MX"/>
        </w:rPr>
        <w:t xml:space="preserve">, en contravención </w:t>
      </w:r>
      <w:r w:rsidR="00637EFB" w:rsidRPr="00637EFB">
        <w:rPr>
          <w:rFonts w:ascii="Cambria" w:hAnsi="Cambria" w:cs="Calibri"/>
          <w:b/>
          <w:sz w:val="20"/>
          <w:szCs w:val="20"/>
          <w:lang w:val="es-MX"/>
        </w:rPr>
        <w:t xml:space="preserve">a </w:t>
      </w:r>
      <w:r w:rsidR="003219C2">
        <w:rPr>
          <w:rFonts w:ascii="Cambria" w:hAnsi="Cambria" w:cs="Calibri"/>
          <w:b/>
          <w:sz w:val="20"/>
          <w:szCs w:val="20"/>
          <w:lang w:val="es-MX"/>
        </w:rPr>
        <w:t xml:space="preserve">los derechos a </w:t>
      </w:r>
      <w:r w:rsidR="00637EFB" w:rsidRPr="00637EFB">
        <w:rPr>
          <w:rFonts w:ascii="Cambria" w:hAnsi="Cambria" w:cs="Calibri"/>
          <w:b/>
          <w:sz w:val="20"/>
          <w:szCs w:val="20"/>
          <w:lang w:val="es-MX"/>
        </w:rPr>
        <w:t>las garantías y protección judiciales.</w:t>
      </w:r>
      <w:r w:rsidR="00637EFB">
        <w:rPr>
          <w:rFonts w:ascii="Cambria" w:hAnsi="Cambria" w:cs="Calibri"/>
          <w:sz w:val="20"/>
          <w:szCs w:val="20"/>
          <w:lang w:val="es-MX"/>
        </w:rPr>
        <w:t xml:space="preserve"> </w:t>
      </w:r>
      <w:r w:rsidR="00D006CE">
        <w:rPr>
          <w:rFonts w:ascii="Cambria" w:hAnsi="Cambria" w:cs="Calibri"/>
          <w:sz w:val="20"/>
          <w:szCs w:val="20"/>
          <w:lang w:val="es-MX"/>
        </w:rPr>
        <w:t>Indicaron que desde el inicio de las acciones judiciales emprendidas por los familiares de Walter Munárriz, se presentaron trabas procesales</w:t>
      </w:r>
      <w:r w:rsidR="008F660C">
        <w:rPr>
          <w:rFonts w:ascii="Cambria" w:hAnsi="Cambria" w:cs="Calibri"/>
          <w:sz w:val="20"/>
          <w:szCs w:val="20"/>
          <w:lang w:val="es-MX"/>
        </w:rPr>
        <w:t>, pues la Fiscal se negó en un principio a recibir la denuncia de la madre de Walter Munárriz y, posteriormente, demostró una actuación parcializada. Asimismo, señala</w:t>
      </w:r>
      <w:r w:rsidR="00B250DB">
        <w:rPr>
          <w:rFonts w:ascii="Cambria" w:hAnsi="Cambria" w:cs="Calibri"/>
          <w:sz w:val="20"/>
          <w:szCs w:val="20"/>
          <w:lang w:val="es-MX"/>
        </w:rPr>
        <w:t>ron</w:t>
      </w:r>
      <w:r w:rsidR="008F660C">
        <w:rPr>
          <w:rFonts w:ascii="Cambria" w:hAnsi="Cambria" w:cs="Calibri"/>
          <w:sz w:val="20"/>
          <w:szCs w:val="20"/>
          <w:lang w:val="es-MX"/>
        </w:rPr>
        <w:t xml:space="preserve"> que una </w:t>
      </w:r>
      <w:r w:rsidR="00625919">
        <w:rPr>
          <w:rFonts w:ascii="Cambria" w:hAnsi="Cambria" w:cs="Calibri"/>
          <w:sz w:val="20"/>
          <w:szCs w:val="20"/>
          <w:lang w:val="es-MX"/>
        </w:rPr>
        <w:t>persona que estuvo detenid</w:t>
      </w:r>
      <w:r w:rsidR="008F660C">
        <w:rPr>
          <w:rFonts w:ascii="Cambria" w:hAnsi="Cambria" w:cs="Calibri"/>
          <w:sz w:val="20"/>
          <w:szCs w:val="20"/>
          <w:lang w:val="es-MX"/>
        </w:rPr>
        <w:t>a</w:t>
      </w:r>
      <w:r w:rsidR="00625919">
        <w:rPr>
          <w:rFonts w:ascii="Cambria" w:hAnsi="Cambria" w:cs="Calibri"/>
          <w:sz w:val="20"/>
          <w:szCs w:val="20"/>
          <w:lang w:val="es-MX"/>
        </w:rPr>
        <w:t xml:space="preserve"> en la Comisaría de Lircay el mismo día que Walter Munárriz, </w:t>
      </w:r>
      <w:r w:rsidR="008F660C">
        <w:rPr>
          <w:rFonts w:ascii="Cambria" w:hAnsi="Cambria" w:cs="Calibri"/>
          <w:sz w:val="20"/>
          <w:szCs w:val="20"/>
          <w:lang w:val="es-MX"/>
        </w:rPr>
        <w:t xml:space="preserve">fue coaccionada </w:t>
      </w:r>
      <w:r w:rsidR="00625919">
        <w:rPr>
          <w:rFonts w:ascii="Cambria" w:hAnsi="Cambria" w:cs="Calibri"/>
          <w:sz w:val="20"/>
          <w:szCs w:val="20"/>
          <w:lang w:val="es-MX"/>
        </w:rPr>
        <w:t>a fin de que declarara que no había sucedido nada anormal el día de los hechos.</w:t>
      </w:r>
      <w:r w:rsidR="00D006CE">
        <w:rPr>
          <w:rFonts w:ascii="Cambria" w:hAnsi="Cambria" w:cs="Calibri"/>
          <w:sz w:val="20"/>
          <w:szCs w:val="20"/>
          <w:lang w:val="es-MX"/>
        </w:rPr>
        <w:t xml:space="preserve"> Agregaron que,</w:t>
      </w:r>
      <w:r w:rsidR="00AB08CE">
        <w:rPr>
          <w:rFonts w:ascii="Cambria" w:hAnsi="Cambria" w:cs="Calibri"/>
          <w:sz w:val="20"/>
          <w:szCs w:val="20"/>
          <w:lang w:val="es-MX"/>
        </w:rPr>
        <w:t xml:space="preserve"> 17 años despué</w:t>
      </w:r>
      <w:r w:rsidR="00C13091">
        <w:rPr>
          <w:rFonts w:ascii="Cambria" w:hAnsi="Cambria" w:cs="Calibri"/>
          <w:sz w:val="20"/>
          <w:szCs w:val="20"/>
          <w:lang w:val="es-MX"/>
        </w:rPr>
        <w:t>s</w:t>
      </w:r>
      <w:r w:rsidR="00AB08CE">
        <w:rPr>
          <w:rFonts w:ascii="Cambria" w:hAnsi="Cambria" w:cs="Calibri"/>
          <w:sz w:val="20"/>
          <w:szCs w:val="20"/>
          <w:lang w:val="es-MX"/>
        </w:rPr>
        <w:t xml:space="preserve">, </w:t>
      </w:r>
      <w:r>
        <w:rPr>
          <w:rFonts w:ascii="Cambria" w:hAnsi="Cambria" w:cs="Calibri"/>
          <w:sz w:val="20"/>
          <w:szCs w:val="20"/>
          <w:lang w:val="es-MX"/>
        </w:rPr>
        <w:t>el Estado peruano no ha determinado quiénes son los responsables de la desaparición de Walter Munárriz</w:t>
      </w:r>
      <w:r w:rsidR="00AB08CE">
        <w:rPr>
          <w:rFonts w:ascii="Cambria" w:hAnsi="Cambria" w:cs="Calibri"/>
          <w:sz w:val="20"/>
          <w:szCs w:val="20"/>
          <w:lang w:val="es-MX"/>
        </w:rPr>
        <w:t xml:space="preserve"> y no </w:t>
      </w:r>
      <w:r>
        <w:rPr>
          <w:rFonts w:ascii="Cambria" w:hAnsi="Cambria" w:cs="Calibri"/>
          <w:sz w:val="20"/>
          <w:szCs w:val="20"/>
          <w:lang w:val="es-MX"/>
        </w:rPr>
        <w:t xml:space="preserve">ha </w:t>
      </w:r>
      <w:r w:rsidR="00C13091">
        <w:rPr>
          <w:rFonts w:ascii="Cambria" w:hAnsi="Cambria" w:cs="Calibri"/>
          <w:sz w:val="20"/>
          <w:szCs w:val="20"/>
          <w:lang w:val="es-MX"/>
        </w:rPr>
        <w:t xml:space="preserve">adoptado </w:t>
      </w:r>
      <w:r>
        <w:rPr>
          <w:rFonts w:ascii="Cambria" w:hAnsi="Cambria" w:cs="Calibri"/>
          <w:sz w:val="20"/>
          <w:szCs w:val="20"/>
          <w:lang w:val="es-MX"/>
        </w:rPr>
        <w:t xml:space="preserve">medidas efectivas para determinar su paradero. </w:t>
      </w:r>
    </w:p>
    <w:p w:rsidR="00637EFB" w:rsidRDefault="00637EFB" w:rsidP="00637EFB">
      <w:pPr>
        <w:pStyle w:val="MediumGrid1-Accent21"/>
        <w:rPr>
          <w:rFonts w:cs="Calibri"/>
          <w:sz w:val="20"/>
          <w:szCs w:val="20"/>
          <w:lang w:val="es-MX"/>
        </w:rPr>
      </w:pPr>
    </w:p>
    <w:p w:rsidR="00637EFB" w:rsidRDefault="00637EFB" w:rsidP="001D1C5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MX"/>
        </w:rPr>
      </w:pPr>
      <w:r>
        <w:rPr>
          <w:rFonts w:ascii="Cambria" w:hAnsi="Cambria" w:cs="Calibri"/>
          <w:sz w:val="20"/>
          <w:szCs w:val="20"/>
          <w:lang w:val="es-MX"/>
        </w:rPr>
        <w:t xml:space="preserve">En relación </w:t>
      </w:r>
      <w:r w:rsidR="009B58E3">
        <w:rPr>
          <w:rFonts w:ascii="Cambria" w:hAnsi="Cambria" w:cs="Calibri"/>
          <w:sz w:val="20"/>
          <w:szCs w:val="20"/>
          <w:lang w:val="es-MX"/>
        </w:rPr>
        <w:t>con e</w:t>
      </w:r>
      <w:r w:rsidR="000A14A6" w:rsidRPr="000A14A6">
        <w:rPr>
          <w:rFonts w:ascii="Cambria" w:hAnsi="Cambria" w:cs="Calibri"/>
          <w:sz w:val="20"/>
          <w:szCs w:val="20"/>
          <w:lang w:val="es-MX"/>
        </w:rPr>
        <w:t>l</w:t>
      </w:r>
      <w:r w:rsidR="000A14A6">
        <w:rPr>
          <w:rFonts w:ascii="Cambria" w:hAnsi="Cambria" w:cs="Calibri"/>
          <w:b/>
          <w:sz w:val="20"/>
          <w:szCs w:val="20"/>
          <w:lang w:val="es-MX"/>
        </w:rPr>
        <w:t xml:space="preserve"> derecho a </w:t>
      </w:r>
      <w:r w:rsidRPr="00637EFB">
        <w:rPr>
          <w:rFonts w:ascii="Cambria" w:hAnsi="Cambria" w:cs="Calibri"/>
          <w:b/>
          <w:sz w:val="20"/>
          <w:szCs w:val="20"/>
          <w:lang w:val="es-MX"/>
        </w:rPr>
        <w:t>la vida y a la integridad personal</w:t>
      </w:r>
      <w:r>
        <w:rPr>
          <w:rFonts w:ascii="Cambria" w:hAnsi="Cambria" w:cs="Calibri"/>
          <w:sz w:val="20"/>
          <w:szCs w:val="20"/>
          <w:lang w:val="es-MX"/>
        </w:rPr>
        <w:t>, los peticionarios sost</w:t>
      </w:r>
      <w:r w:rsidR="000A14A6">
        <w:rPr>
          <w:rFonts w:ascii="Cambria" w:hAnsi="Cambria" w:cs="Calibri"/>
          <w:sz w:val="20"/>
          <w:szCs w:val="20"/>
          <w:lang w:val="es-MX"/>
        </w:rPr>
        <w:t>uvieron</w:t>
      </w:r>
      <w:r>
        <w:rPr>
          <w:rFonts w:ascii="Cambria" w:hAnsi="Cambria" w:cs="Calibri"/>
          <w:sz w:val="20"/>
          <w:szCs w:val="20"/>
          <w:lang w:val="es-MX"/>
        </w:rPr>
        <w:t xml:space="preserve"> que el Estado es responsable </w:t>
      </w:r>
      <w:r w:rsidR="00B250DB">
        <w:rPr>
          <w:rFonts w:ascii="Cambria" w:hAnsi="Cambria" w:cs="Calibri"/>
          <w:sz w:val="20"/>
          <w:szCs w:val="20"/>
          <w:lang w:val="es-MX"/>
        </w:rPr>
        <w:t>por</w:t>
      </w:r>
      <w:r>
        <w:rPr>
          <w:rFonts w:ascii="Cambria" w:hAnsi="Cambria" w:cs="Calibri"/>
          <w:sz w:val="20"/>
          <w:szCs w:val="20"/>
          <w:lang w:val="es-MX"/>
        </w:rPr>
        <w:t xml:space="preserve"> la desaparición de Walter Munárriz quien fue visto con vida, por última vez, en la Comisaría de Lircay.  Los peticionarios alega</w:t>
      </w:r>
      <w:r w:rsidR="000A14A6">
        <w:rPr>
          <w:rFonts w:ascii="Cambria" w:hAnsi="Cambria" w:cs="Calibri"/>
          <w:sz w:val="20"/>
          <w:szCs w:val="20"/>
          <w:lang w:val="es-MX"/>
        </w:rPr>
        <w:t>ro</w:t>
      </w:r>
      <w:r>
        <w:rPr>
          <w:rFonts w:ascii="Cambria" w:hAnsi="Cambria" w:cs="Calibri"/>
          <w:sz w:val="20"/>
          <w:szCs w:val="20"/>
          <w:lang w:val="es-MX"/>
        </w:rPr>
        <w:t xml:space="preserve">n también que </w:t>
      </w:r>
      <w:r w:rsidR="000A14A6">
        <w:rPr>
          <w:rFonts w:ascii="Cambria" w:hAnsi="Cambria" w:cs="Calibri"/>
          <w:sz w:val="20"/>
          <w:szCs w:val="20"/>
          <w:lang w:val="es-MX"/>
        </w:rPr>
        <w:t xml:space="preserve">durante </w:t>
      </w:r>
      <w:r>
        <w:rPr>
          <w:rFonts w:ascii="Cambria" w:hAnsi="Cambria" w:cs="Calibri"/>
          <w:sz w:val="20"/>
          <w:szCs w:val="20"/>
          <w:lang w:val="es-MX"/>
        </w:rPr>
        <w:t>el tiempo que estuvo detenido en dicha comisaría, fue víctima de agresiones física</w:t>
      </w:r>
      <w:r w:rsidR="00AB08CE">
        <w:rPr>
          <w:rFonts w:ascii="Cambria" w:hAnsi="Cambria" w:cs="Calibri"/>
          <w:sz w:val="20"/>
          <w:szCs w:val="20"/>
          <w:lang w:val="es-MX"/>
        </w:rPr>
        <w:t>s</w:t>
      </w:r>
      <w:r>
        <w:rPr>
          <w:rFonts w:ascii="Cambria" w:hAnsi="Cambria" w:cs="Calibri"/>
          <w:sz w:val="20"/>
          <w:szCs w:val="20"/>
          <w:lang w:val="es-MX"/>
        </w:rPr>
        <w:t xml:space="preserve"> por parte de agentes del Estado peruano. </w:t>
      </w:r>
    </w:p>
    <w:p w:rsidR="000A14A6" w:rsidRDefault="000A14A6" w:rsidP="000A14A6">
      <w:pPr>
        <w:pStyle w:val="MediumGrid1-Accent21"/>
        <w:rPr>
          <w:rFonts w:cs="Calibri"/>
          <w:sz w:val="20"/>
          <w:szCs w:val="20"/>
          <w:lang w:val="es-MX"/>
        </w:rPr>
      </w:pPr>
    </w:p>
    <w:p w:rsidR="000A14A6" w:rsidRDefault="000A14A6" w:rsidP="001D1C5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MX"/>
        </w:rPr>
      </w:pPr>
      <w:r>
        <w:rPr>
          <w:rFonts w:ascii="Cambria" w:hAnsi="Cambria" w:cs="Calibri"/>
          <w:sz w:val="20"/>
          <w:szCs w:val="20"/>
          <w:lang w:val="es-MX"/>
        </w:rPr>
        <w:t xml:space="preserve"> En </w:t>
      </w:r>
      <w:r w:rsidRPr="000A14A6">
        <w:rPr>
          <w:rFonts w:ascii="Cambria" w:hAnsi="Cambria" w:cs="Calibri"/>
          <w:sz w:val="20"/>
          <w:szCs w:val="20"/>
          <w:lang w:val="es-MX"/>
        </w:rPr>
        <w:t>cuanto al</w:t>
      </w:r>
      <w:r w:rsidRPr="000A14A6">
        <w:rPr>
          <w:rFonts w:ascii="Cambria" w:hAnsi="Cambria" w:cs="Calibri"/>
          <w:b/>
          <w:sz w:val="20"/>
          <w:szCs w:val="20"/>
          <w:lang w:val="es-MX"/>
        </w:rPr>
        <w:t xml:space="preserve"> derecho a la libertad personal</w:t>
      </w:r>
      <w:r>
        <w:rPr>
          <w:rFonts w:ascii="Cambria" w:hAnsi="Cambria" w:cs="Calibri"/>
          <w:sz w:val="20"/>
          <w:szCs w:val="20"/>
          <w:lang w:val="es-MX"/>
        </w:rPr>
        <w:t xml:space="preserve">, los peticionarios afirmaron que Walter Munárriz Escobar fue detenido de manera arbitraria e ilegal por agentes del Estado peruano, tal como lo habría comprobado la Defensoría del Pueblo. </w:t>
      </w:r>
    </w:p>
    <w:p w:rsidR="00637EFB" w:rsidRDefault="00637EFB" w:rsidP="00637EFB">
      <w:pPr>
        <w:pStyle w:val="MediumGrid1-Accent21"/>
        <w:rPr>
          <w:rFonts w:cs="Calibri"/>
          <w:sz w:val="20"/>
          <w:szCs w:val="20"/>
          <w:lang w:val="es-MX"/>
        </w:rPr>
      </w:pPr>
    </w:p>
    <w:p w:rsidR="001D1C55" w:rsidRPr="001D1C55" w:rsidRDefault="001D1C55" w:rsidP="001D1C5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MX"/>
        </w:rPr>
      </w:pPr>
      <w:r>
        <w:rPr>
          <w:rFonts w:ascii="Cambria" w:hAnsi="Cambria" w:cs="Calibri"/>
          <w:sz w:val="20"/>
          <w:szCs w:val="20"/>
          <w:lang w:val="es-MX"/>
        </w:rPr>
        <w:t xml:space="preserve"> </w:t>
      </w:r>
      <w:r w:rsidR="000A14A6">
        <w:rPr>
          <w:rFonts w:ascii="Cambria" w:hAnsi="Cambria" w:cs="Calibri"/>
          <w:sz w:val="20"/>
          <w:szCs w:val="20"/>
          <w:lang w:val="es-MX"/>
        </w:rPr>
        <w:t xml:space="preserve">Con respecto al </w:t>
      </w:r>
      <w:r w:rsidR="000A14A6">
        <w:rPr>
          <w:rFonts w:ascii="Cambria" w:hAnsi="Cambria" w:cs="Calibri"/>
          <w:b/>
          <w:sz w:val="20"/>
          <w:szCs w:val="20"/>
          <w:lang w:val="es-MX"/>
        </w:rPr>
        <w:t xml:space="preserve">derecho a la verdad y el derecho a la integridad personal de los familiares, </w:t>
      </w:r>
      <w:r w:rsidR="000A14A6">
        <w:rPr>
          <w:rFonts w:ascii="Cambria" w:hAnsi="Cambria" w:cs="Calibri"/>
          <w:sz w:val="20"/>
          <w:szCs w:val="20"/>
          <w:lang w:val="es-MX"/>
        </w:rPr>
        <w:t xml:space="preserve"> los peticionarios alegaron que </w:t>
      </w:r>
      <w:r>
        <w:rPr>
          <w:rFonts w:ascii="Cambria" w:hAnsi="Cambria" w:cs="Calibri"/>
          <w:sz w:val="20"/>
          <w:szCs w:val="20"/>
          <w:lang w:val="es-MX"/>
        </w:rPr>
        <w:t>habiendo transcurrido más de 17 años, aún se desconoce el paradero de Walter Mun</w:t>
      </w:r>
      <w:r w:rsidR="000A14A6">
        <w:rPr>
          <w:rFonts w:ascii="Cambria" w:hAnsi="Cambria" w:cs="Calibri"/>
          <w:sz w:val="20"/>
          <w:szCs w:val="20"/>
          <w:lang w:val="es-MX"/>
        </w:rPr>
        <w:t xml:space="preserve">árriz Escobar, lo que ha infligido graves sufrimientos a sus familiares, quienes mantienen la incertidumbre de si estará vivo o muerto. </w:t>
      </w:r>
    </w:p>
    <w:p w:rsidR="00A85115" w:rsidRPr="00AB08CE" w:rsidRDefault="00A85115" w:rsidP="00C6699F">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cs="Calibri"/>
          <w:sz w:val="20"/>
          <w:szCs w:val="20"/>
          <w:lang w:val="es-MX"/>
        </w:rPr>
      </w:pPr>
    </w:p>
    <w:p w:rsidR="00436077" w:rsidRPr="00E21797" w:rsidRDefault="00436077" w:rsidP="00FD5827">
      <w:pPr>
        <w:pStyle w:val="Heading2"/>
      </w:pPr>
      <w:bookmarkStart w:id="8" w:name="_Toc413687814"/>
      <w:bookmarkStart w:id="9" w:name="_Toc467948050"/>
      <w:r w:rsidRPr="00E21797">
        <w:t>Posición del Estado</w:t>
      </w:r>
      <w:bookmarkEnd w:id="8"/>
      <w:bookmarkEnd w:id="9"/>
    </w:p>
    <w:p w:rsidR="00436077" w:rsidRPr="00E21797" w:rsidRDefault="00436077" w:rsidP="00436077">
      <w:pPr>
        <w:jc w:val="both"/>
        <w:rPr>
          <w:rFonts w:ascii="Cambria" w:hAnsi="Cambria" w:cs="Calibri"/>
          <w:sz w:val="20"/>
          <w:szCs w:val="20"/>
          <w:lang w:val="es-ES_tradnl"/>
        </w:rPr>
      </w:pPr>
    </w:p>
    <w:p w:rsidR="008D6335" w:rsidRDefault="00436077"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8D6335">
        <w:rPr>
          <w:rFonts w:ascii="Cambria" w:hAnsi="Cambria" w:cs="Calibri"/>
          <w:sz w:val="20"/>
          <w:szCs w:val="20"/>
        </w:rPr>
        <w:t xml:space="preserve">El Estado </w:t>
      </w:r>
      <w:r w:rsidR="000A14A6" w:rsidRPr="008D6335">
        <w:rPr>
          <w:rFonts w:ascii="Cambria" w:hAnsi="Cambria" w:cs="Calibri"/>
          <w:sz w:val="20"/>
          <w:szCs w:val="20"/>
        </w:rPr>
        <w:t xml:space="preserve">informó </w:t>
      </w:r>
      <w:r w:rsidR="00E33F28" w:rsidRPr="008D6335">
        <w:rPr>
          <w:rFonts w:ascii="Cambria" w:hAnsi="Cambria" w:cs="Calibri"/>
          <w:sz w:val="20"/>
          <w:szCs w:val="20"/>
        </w:rPr>
        <w:t xml:space="preserve">que existe un Plan Nacional de Derechos Humanos que busca efectivizar la transversalidad de los mismos, a nivel de toda la estructura pública. </w:t>
      </w:r>
      <w:r w:rsidR="000E3EB0" w:rsidRPr="008D6335">
        <w:rPr>
          <w:rFonts w:ascii="Cambria" w:hAnsi="Cambria" w:cs="Calibri"/>
          <w:sz w:val="20"/>
          <w:szCs w:val="20"/>
        </w:rPr>
        <w:t>Afirmó que es voluntad del Estado investigar l</w:t>
      </w:r>
      <w:r w:rsidR="00C64A5C" w:rsidRPr="008D6335">
        <w:rPr>
          <w:rFonts w:ascii="Cambria" w:hAnsi="Cambria" w:cs="Calibri"/>
          <w:sz w:val="20"/>
          <w:szCs w:val="20"/>
        </w:rPr>
        <w:t>a</w:t>
      </w:r>
      <w:r w:rsidR="000E3EB0" w:rsidRPr="008D6335">
        <w:rPr>
          <w:rFonts w:ascii="Cambria" w:hAnsi="Cambria" w:cs="Calibri"/>
          <w:sz w:val="20"/>
          <w:szCs w:val="20"/>
        </w:rPr>
        <w:t xml:space="preserve"> comisión de delitos contra los derechos humanos; en particular aquellos que, como la desaparición forzada, son </w:t>
      </w:r>
      <w:r w:rsidR="003044BA" w:rsidRPr="008D6335">
        <w:rPr>
          <w:rFonts w:ascii="Cambria" w:hAnsi="Cambria" w:cs="Calibri"/>
          <w:sz w:val="20"/>
          <w:szCs w:val="20"/>
        </w:rPr>
        <w:t>de carácter permanente</w:t>
      </w:r>
      <w:r w:rsidR="000E3EB0" w:rsidRPr="008D6335">
        <w:rPr>
          <w:rFonts w:ascii="Cambria" w:hAnsi="Cambria" w:cs="Calibri"/>
          <w:sz w:val="20"/>
          <w:szCs w:val="20"/>
        </w:rPr>
        <w:t>.</w:t>
      </w:r>
      <w:r w:rsidR="00570E5A" w:rsidRPr="008D6335">
        <w:rPr>
          <w:rFonts w:ascii="Cambria" w:hAnsi="Cambria" w:cs="Calibri"/>
          <w:sz w:val="20"/>
          <w:szCs w:val="20"/>
        </w:rPr>
        <w:t xml:space="preserve"> Agregó que desde la dación de la sentencia de la Corte Interamericana de Derechos Humanos en el caso Barrios Altos, la obligación de investigar se ha hecho más efectiva de lo que habrí</w:t>
      </w:r>
      <w:r w:rsidR="0046506B" w:rsidRPr="008D6335">
        <w:rPr>
          <w:rFonts w:ascii="Cambria" w:hAnsi="Cambria" w:cs="Calibri"/>
          <w:sz w:val="20"/>
          <w:szCs w:val="20"/>
        </w:rPr>
        <w:t>a sido en el pasado.  Así</w:t>
      </w:r>
      <w:r w:rsidR="00EA5BFF" w:rsidRPr="008D6335">
        <w:rPr>
          <w:rFonts w:ascii="Cambria" w:hAnsi="Cambria" w:cs="Calibri"/>
          <w:sz w:val="20"/>
          <w:szCs w:val="20"/>
        </w:rPr>
        <w:t>,</w:t>
      </w:r>
      <w:r w:rsidR="0046506B" w:rsidRPr="008D6335">
        <w:rPr>
          <w:rFonts w:ascii="Cambria" w:hAnsi="Cambria" w:cs="Calibri"/>
          <w:sz w:val="20"/>
          <w:szCs w:val="20"/>
        </w:rPr>
        <w:t xml:space="preserve"> señaló</w:t>
      </w:r>
      <w:r w:rsidR="00570E5A" w:rsidRPr="008D6335">
        <w:rPr>
          <w:rFonts w:ascii="Cambria" w:hAnsi="Cambria" w:cs="Calibri"/>
          <w:sz w:val="20"/>
          <w:szCs w:val="20"/>
        </w:rPr>
        <w:t xml:space="preserve"> que dicha sentencia hace referencia a </w:t>
      </w:r>
      <w:r w:rsidR="00C64A5C" w:rsidRPr="008D6335">
        <w:rPr>
          <w:rFonts w:ascii="Cambria" w:hAnsi="Cambria" w:cs="Calibri"/>
          <w:sz w:val="20"/>
          <w:szCs w:val="20"/>
        </w:rPr>
        <w:t xml:space="preserve">que </w:t>
      </w:r>
      <w:r w:rsidR="00570E5A" w:rsidRPr="008D6335">
        <w:rPr>
          <w:rFonts w:ascii="Cambria" w:hAnsi="Cambria" w:cs="Calibri"/>
          <w:sz w:val="20"/>
          <w:szCs w:val="20"/>
        </w:rPr>
        <w:t xml:space="preserve">la obligación de investigar es de medio o de comportamiento </w:t>
      </w:r>
      <w:r w:rsidR="00C64A5C" w:rsidRPr="008D6335">
        <w:rPr>
          <w:rFonts w:ascii="Cambria" w:hAnsi="Cambria" w:cs="Calibri"/>
          <w:sz w:val="20"/>
          <w:szCs w:val="20"/>
        </w:rPr>
        <w:t xml:space="preserve">y que el Estado peruano no </w:t>
      </w:r>
      <w:r w:rsidR="00570E5A" w:rsidRPr="008D6335">
        <w:rPr>
          <w:rFonts w:ascii="Cambria" w:hAnsi="Cambria" w:cs="Calibri"/>
          <w:sz w:val="20"/>
          <w:szCs w:val="20"/>
        </w:rPr>
        <w:t>la ha incumplido por el hecho de que no haya podido pr</w:t>
      </w:r>
      <w:r w:rsidR="00C64A5C" w:rsidRPr="008D6335">
        <w:rPr>
          <w:rFonts w:ascii="Cambria" w:hAnsi="Cambria" w:cs="Calibri"/>
          <w:sz w:val="20"/>
          <w:szCs w:val="20"/>
        </w:rPr>
        <w:t>oducir resultado satisfactorio, debido a la complejidad del caso materia del presente informe</w:t>
      </w:r>
      <w:r w:rsidR="008D6335">
        <w:rPr>
          <w:rFonts w:ascii="Cambria" w:hAnsi="Cambria" w:cs="Calibri"/>
          <w:sz w:val="20"/>
          <w:szCs w:val="20"/>
        </w:rPr>
        <w:t>.</w:t>
      </w:r>
      <w:r w:rsidR="00C64A5C" w:rsidRPr="008D6335">
        <w:rPr>
          <w:rFonts w:ascii="Cambria" w:hAnsi="Cambria" w:cs="Calibri"/>
          <w:sz w:val="20"/>
          <w:szCs w:val="20"/>
        </w:rPr>
        <w:t xml:space="preserve"> </w:t>
      </w:r>
    </w:p>
    <w:p w:rsidR="008D6335" w:rsidRDefault="008D6335" w:rsidP="008D633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8D6335" w:rsidRDefault="008D6335" w:rsidP="008D6335">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E21797">
        <w:rPr>
          <w:rFonts w:ascii="Cambria" w:hAnsi="Cambria" w:cs="Calibri"/>
          <w:sz w:val="20"/>
          <w:szCs w:val="20"/>
        </w:rPr>
        <w:t>En sus primer</w:t>
      </w:r>
      <w:r w:rsidR="00E63A97">
        <w:rPr>
          <w:rFonts w:ascii="Cambria" w:hAnsi="Cambria" w:cs="Calibri"/>
          <w:sz w:val="20"/>
          <w:szCs w:val="20"/>
        </w:rPr>
        <w:t>os escritos</w:t>
      </w:r>
      <w:r>
        <w:rPr>
          <w:rFonts w:ascii="Cambria" w:hAnsi="Cambria" w:cs="Calibri"/>
          <w:sz w:val="20"/>
          <w:szCs w:val="20"/>
        </w:rPr>
        <w:t>, el Estado</w:t>
      </w:r>
      <w:r w:rsidRPr="00E21797">
        <w:rPr>
          <w:rFonts w:ascii="Cambria" w:hAnsi="Cambria" w:cs="Calibri"/>
          <w:sz w:val="20"/>
          <w:szCs w:val="20"/>
        </w:rPr>
        <w:t xml:space="preserve"> </w:t>
      </w:r>
      <w:r w:rsidR="00E63A97">
        <w:rPr>
          <w:rFonts w:ascii="Cambria" w:hAnsi="Cambria" w:cs="Calibri"/>
          <w:sz w:val="20"/>
          <w:szCs w:val="20"/>
        </w:rPr>
        <w:t xml:space="preserve">peruano </w:t>
      </w:r>
      <w:r w:rsidRPr="00E21797">
        <w:rPr>
          <w:rFonts w:ascii="Cambria" w:hAnsi="Cambria" w:cs="Calibri"/>
          <w:sz w:val="20"/>
          <w:szCs w:val="20"/>
        </w:rPr>
        <w:t>manifestó que “en el presente caso, existen indicios razonables de que estamos ante un caso de desaparición forzada, independientemente de quienes sean los implicados de la comisión de este delito. Lo que sí es presumible que este haya sido cometido por a</w:t>
      </w:r>
      <w:r>
        <w:rPr>
          <w:rFonts w:ascii="Cambria" w:hAnsi="Cambria" w:cs="Calibri"/>
          <w:sz w:val="20"/>
          <w:szCs w:val="20"/>
        </w:rPr>
        <w:t>gentes del Estado”. Posterior a la adopción del</w:t>
      </w:r>
      <w:r w:rsidRPr="00E21797">
        <w:rPr>
          <w:rFonts w:ascii="Cambria" w:hAnsi="Cambria" w:cs="Calibri"/>
          <w:sz w:val="20"/>
          <w:szCs w:val="20"/>
        </w:rPr>
        <w:t xml:space="preserve"> informe de admisibilidad</w:t>
      </w:r>
      <w:r w:rsidR="00984835">
        <w:rPr>
          <w:rFonts w:ascii="Cambria" w:hAnsi="Cambria" w:cs="Calibri"/>
          <w:sz w:val="20"/>
          <w:szCs w:val="20"/>
        </w:rPr>
        <w:t xml:space="preserve"> y como se detalla más adelante,</w:t>
      </w:r>
      <w:r w:rsidRPr="00E21797">
        <w:rPr>
          <w:rFonts w:ascii="Cambria" w:hAnsi="Cambria" w:cs="Calibri"/>
          <w:sz w:val="20"/>
          <w:szCs w:val="20"/>
        </w:rPr>
        <w:t xml:space="preserve"> el Estado indicó que el personal de la Policía Nacional del Perú, comprometido en la intervención del desaparecido Walter Munárriz Escobar, habría obrado de manera negligente al no aplicar el Procedimiento Operativo Policial, pero </w:t>
      </w:r>
      <w:r>
        <w:rPr>
          <w:rFonts w:ascii="Cambria" w:hAnsi="Cambria" w:cs="Calibri"/>
          <w:sz w:val="20"/>
          <w:szCs w:val="20"/>
        </w:rPr>
        <w:t xml:space="preserve">indicó </w:t>
      </w:r>
      <w:r w:rsidRPr="00E21797">
        <w:rPr>
          <w:rFonts w:ascii="Cambria" w:hAnsi="Cambria" w:cs="Calibri"/>
          <w:sz w:val="20"/>
          <w:szCs w:val="20"/>
        </w:rPr>
        <w:t>que no exist</w:t>
      </w:r>
      <w:r>
        <w:rPr>
          <w:rFonts w:ascii="Cambria" w:hAnsi="Cambria" w:cs="Calibri"/>
          <w:sz w:val="20"/>
          <w:szCs w:val="20"/>
        </w:rPr>
        <w:t xml:space="preserve">ían </w:t>
      </w:r>
      <w:r w:rsidRPr="00E21797">
        <w:rPr>
          <w:rFonts w:ascii="Cambria" w:hAnsi="Cambria" w:cs="Calibri"/>
          <w:sz w:val="20"/>
          <w:szCs w:val="20"/>
        </w:rPr>
        <w:t>pruebas que dem</w:t>
      </w:r>
      <w:r>
        <w:rPr>
          <w:rFonts w:ascii="Cambria" w:hAnsi="Cambria" w:cs="Calibri"/>
          <w:sz w:val="20"/>
          <w:szCs w:val="20"/>
        </w:rPr>
        <w:t xml:space="preserve">ostraran </w:t>
      </w:r>
      <w:r w:rsidRPr="00E21797">
        <w:rPr>
          <w:rFonts w:ascii="Cambria" w:hAnsi="Cambria" w:cs="Calibri"/>
          <w:sz w:val="20"/>
          <w:szCs w:val="20"/>
        </w:rPr>
        <w:t xml:space="preserve">la responsabilidad del Estado en la desaparición de Walter Munárriz Escobar. </w:t>
      </w:r>
    </w:p>
    <w:p w:rsidR="00436077" w:rsidRPr="008D6335" w:rsidRDefault="000E3EB0" w:rsidP="008D6335">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r w:rsidRPr="008D6335">
        <w:rPr>
          <w:rFonts w:ascii="Cambria" w:hAnsi="Cambria" w:cs="Calibri"/>
          <w:sz w:val="20"/>
          <w:szCs w:val="20"/>
        </w:rPr>
        <w:t xml:space="preserve"> </w:t>
      </w:r>
      <w:r w:rsidR="00E33F28" w:rsidRPr="008D6335">
        <w:rPr>
          <w:rFonts w:ascii="Cambria" w:hAnsi="Cambria" w:cs="Calibri"/>
          <w:sz w:val="20"/>
          <w:szCs w:val="20"/>
        </w:rPr>
        <w:t xml:space="preserve"> </w:t>
      </w:r>
    </w:p>
    <w:p w:rsidR="008D6335" w:rsidRPr="00E21797" w:rsidRDefault="00C120BC"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Pr>
          <w:rFonts w:ascii="Cambria" w:hAnsi="Cambria" w:cs="Calibri"/>
          <w:sz w:val="20"/>
          <w:szCs w:val="20"/>
        </w:rPr>
        <w:t>Con r</w:t>
      </w:r>
      <w:r w:rsidR="008D6335">
        <w:rPr>
          <w:rFonts w:ascii="Cambria" w:hAnsi="Cambria" w:cs="Calibri"/>
          <w:sz w:val="20"/>
          <w:szCs w:val="20"/>
        </w:rPr>
        <w:t xml:space="preserve">especto al </w:t>
      </w:r>
      <w:r w:rsidR="008D6335" w:rsidRPr="008D6335">
        <w:rPr>
          <w:rFonts w:ascii="Cambria" w:hAnsi="Cambria" w:cs="Calibri"/>
          <w:b/>
          <w:sz w:val="20"/>
          <w:szCs w:val="20"/>
        </w:rPr>
        <w:t>derecho a las garantías judiciales y a la protección judicial</w:t>
      </w:r>
      <w:r w:rsidR="008D6335">
        <w:rPr>
          <w:rFonts w:ascii="Cambria" w:hAnsi="Cambria" w:cs="Calibri"/>
          <w:sz w:val="20"/>
          <w:szCs w:val="20"/>
        </w:rPr>
        <w:t xml:space="preserve">, el Estado señaló que el proceso penal que se siguió por la desaparición de Walter Munárriz Escobar se desarrolló adecuadamente, habiéndose declarado la absolución de los procesados por falta de pruebas, lo que no es óbice para que en un momento dado se presenten pruebas que permitan </w:t>
      </w:r>
      <w:r w:rsidR="00E63A97">
        <w:rPr>
          <w:rFonts w:ascii="Cambria" w:hAnsi="Cambria" w:cs="Calibri"/>
          <w:sz w:val="20"/>
          <w:szCs w:val="20"/>
        </w:rPr>
        <w:t>reabrir</w:t>
      </w:r>
      <w:r w:rsidR="008D6335">
        <w:rPr>
          <w:rFonts w:ascii="Cambria" w:hAnsi="Cambria" w:cs="Calibri"/>
          <w:sz w:val="20"/>
          <w:szCs w:val="20"/>
        </w:rPr>
        <w:t xml:space="preserve"> el proceso penal. El Estado agreg</w:t>
      </w:r>
      <w:r w:rsidR="00E63A97">
        <w:rPr>
          <w:rFonts w:ascii="Cambria" w:hAnsi="Cambria" w:cs="Calibri"/>
          <w:sz w:val="20"/>
          <w:szCs w:val="20"/>
        </w:rPr>
        <w:t>ó</w:t>
      </w:r>
      <w:r w:rsidR="008D6335">
        <w:rPr>
          <w:rFonts w:ascii="Cambria" w:hAnsi="Cambria" w:cs="Calibri"/>
          <w:sz w:val="20"/>
          <w:szCs w:val="20"/>
        </w:rPr>
        <w:t xml:space="preserve"> que se interpusieron los recursos que la jurisdicción interna faculta, dentro de los plazos oportunos, a fin de determinar la identidad de los responsables de la desaparición de </w:t>
      </w:r>
      <w:r>
        <w:rPr>
          <w:rFonts w:ascii="Cambria" w:hAnsi="Cambria" w:cs="Calibri"/>
          <w:sz w:val="20"/>
          <w:szCs w:val="20"/>
        </w:rPr>
        <w:t xml:space="preserve">la presunta víctima, </w:t>
      </w:r>
      <w:r w:rsidR="008D6335">
        <w:rPr>
          <w:rFonts w:ascii="Cambria" w:hAnsi="Cambria" w:cs="Calibri"/>
          <w:sz w:val="20"/>
          <w:szCs w:val="20"/>
        </w:rPr>
        <w:t xml:space="preserve">habiendo confirmado la Corte Suprema, en observancia de los principios de presunción de inocencia, </w:t>
      </w:r>
      <w:r w:rsidR="008D6335" w:rsidRPr="008D6335">
        <w:rPr>
          <w:rFonts w:ascii="Cambria" w:hAnsi="Cambria" w:cs="Calibri"/>
          <w:i/>
          <w:sz w:val="20"/>
          <w:szCs w:val="20"/>
        </w:rPr>
        <w:t>indubio pro reo</w:t>
      </w:r>
      <w:r w:rsidR="008D6335">
        <w:rPr>
          <w:rFonts w:ascii="Cambria" w:hAnsi="Cambria" w:cs="Calibri"/>
          <w:sz w:val="20"/>
          <w:szCs w:val="20"/>
        </w:rPr>
        <w:t xml:space="preserve"> y prueba suficiente, la absoluci</w:t>
      </w:r>
      <w:r w:rsidR="00E63A97">
        <w:rPr>
          <w:rFonts w:ascii="Cambria" w:hAnsi="Cambria" w:cs="Calibri"/>
          <w:sz w:val="20"/>
          <w:szCs w:val="20"/>
        </w:rPr>
        <w:t>ón de los procesados</w:t>
      </w:r>
      <w:r w:rsidR="00867F22">
        <w:rPr>
          <w:rFonts w:ascii="Cambria" w:hAnsi="Cambria" w:cs="Calibri"/>
          <w:sz w:val="20"/>
          <w:szCs w:val="20"/>
        </w:rPr>
        <w:t xml:space="preserve">. El Estado enfatizó que </w:t>
      </w:r>
      <w:r w:rsidR="00E63A97" w:rsidRPr="00E21797">
        <w:rPr>
          <w:rFonts w:ascii="Cambria" w:hAnsi="Cambria" w:cs="Calibri"/>
          <w:sz w:val="20"/>
          <w:szCs w:val="20"/>
        </w:rPr>
        <w:t xml:space="preserve">el proceso judicial </w:t>
      </w:r>
      <w:r w:rsidR="00E63A97">
        <w:rPr>
          <w:rFonts w:ascii="Cambria" w:hAnsi="Cambria" w:cs="Calibri"/>
          <w:sz w:val="20"/>
          <w:szCs w:val="20"/>
        </w:rPr>
        <w:t xml:space="preserve">se encuentra </w:t>
      </w:r>
      <w:r w:rsidR="00E63A97" w:rsidRPr="00E21797">
        <w:rPr>
          <w:rFonts w:ascii="Cambria" w:hAnsi="Cambria" w:cs="Calibri"/>
          <w:sz w:val="20"/>
          <w:szCs w:val="20"/>
        </w:rPr>
        <w:t>bajo la protección del principio constitucional de cosa juzgada</w:t>
      </w:r>
      <w:r w:rsidR="00E63A97">
        <w:rPr>
          <w:rFonts w:ascii="Cambria" w:hAnsi="Cambria" w:cs="Calibri"/>
          <w:sz w:val="20"/>
          <w:szCs w:val="20"/>
        </w:rPr>
        <w:t>.</w:t>
      </w:r>
    </w:p>
    <w:p w:rsidR="000A7AE0" w:rsidRPr="00E21797" w:rsidRDefault="000A7AE0" w:rsidP="000A7AE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0A7AE0" w:rsidRDefault="000A7AE0" w:rsidP="000A7AE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E21797">
        <w:rPr>
          <w:rFonts w:ascii="Cambria" w:hAnsi="Cambria" w:cs="Calibri"/>
          <w:sz w:val="20"/>
          <w:szCs w:val="20"/>
        </w:rPr>
        <w:t xml:space="preserve"> </w:t>
      </w:r>
      <w:r w:rsidR="006E27B9">
        <w:rPr>
          <w:rFonts w:ascii="Cambria" w:hAnsi="Cambria" w:cs="Calibri"/>
          <w:sz w:val="20"/>
          <w:szCs w:val="20"/>
        </w:rPr>
        <w:t xml:space="preserve"> Agregó que se respetaron los derechos al libre acceso al órgano jurisdiccional, a realizar actividad probatoria, de defensa, al contradictorio e igualdad sustancial en el proceso, a la obtención de una resolución fundada en el derecho, a acceder a los medios impugnatorios regulados y </w:t>
      </w:r>
      <w:r w:rsidR="003A57A0">
        <w:rPr>
          <w:rFonts w:ascii="Cambria" w:hAnsi="Cambria" w:cs="Calibri"/>
          <w:sz w:val="20"/>
          <w:szCs w:val="20"/>
        </w:rPr>
        <w:t xml:space="preserve">a la </w:t>
      </w:r>
      <w:r w:rsidR="006E27B9">
        <w:rPr>
          <w:rFonts w:ascii="Cambria" w:hAnsi="Cambria" w:cs="Calibri"/>
          <w:sz w:val="20"/>
          <w:szCs w:val="20"/>
        </w:rPr>
        <w:t>observa</w:t>
      </w:r>
      <w:r w:rsidR="006C0A10">
        <w:rPr>
          <w:rFonts w:ascii="Cambria" w:hAnsi="Cambria" w:cs="Calibri"/>
          <w:sz w:val="20"/>
          <w:szCs w:val="20"/>
        </w:rPr>
        <w:t xml:space="preserve">ncia </w:t>
      </w:r>
      <w:r w:rsidR="006E27B9">
        <w:rPr>
          <w:rFonts w:ascii="Cambria" w:hAnsi="Cambria" w:cs="Calibri"/>
          <w:sz w:val="20"/>
          <w:szCs w:val="20"/>
        </w:rPr>
        <w:t xml:space="preserve">del principio de legalidad. </w:t>
      </w:r>
    </w:p>
    <w:p w:rsidR="008D6335" w:rsidRPr="00E63A97" w:rsidRDefault="008D6335" w:rsidP="008D6335">
      <w:pPr>
        <w:pStyle w:val="MediumGrid1-Accent21"/>
        <w:rPr>
          <w:rFonts w:cs="Calibri"/>
          <w:sz w:val="20"/>
          <w:szCs w:val="20"/>
          <w:lang w:val="es-ES_tradnl"/>
        </w:rPr>
      </w:pPr>
    </w:p>
    <w:p w:rsidR="000A7AE0" w:rsidRDefault="008D6335" w:rsidP="000A7AE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rPr>
      </w:pPr>
      <w:r w:rsidRPr="008D6335">
        <w:rPr>
          <w:rFonts w:ascii="Cambria" w:hAnsi="Cambria" w:cs="Calibri"/>
          <w:sz w:val="20"/>
          <w:szCs w:val="20"/>
        </w:rPr>
        <w:t>El Estado advirtió que “se puede observar que el personal de la Policía Nacional del Perú (PNP) comprometido en la intervención del desaparecido Walter Munárriz Escobar […] habría obrado de manera negligente al no aplicar el Procedimiento Operativo Policial, motivo de la investigación de</w:t>
      </w:r>
      <w:r w:rsidR="003254F1">
        <w:rPr>
          <w:rFonts w:ascii="Cambria" w:hAnsi="Cambria" w:cs="Calibri"/>
          <w:sz w:val="20"/>
          <w:szCs w:val="20"/>
        </w:rPr>
        <w:t xml:space="preserve"> </w:t>
      </w:r>
      <w:r w:rsidRPr="008D6335">
        <w:rPr>
          <w:rFonts w:ascii="Cambria" w:hAnsi="Cambria" w:cs="Calibri"/>
          <w:sz w:val="20"/>
          <w:szCs w:val="20"/>
        </w:rPr>
        <w:t>l</w:t>
      </w:r>
      <w:r w:rsidR="003254F1">
        <w:rPr>
          <w:rFonts w:ascii="Cambria" w:hAnsi="Cambria" w:cs="Calibri"/>
          <w:sz w:val="20"/>
          <w:szCs w:val="20"/>
        </w:rPr>
        <w:t>a</w:t>
      </w:r>
      <w:r w:rsidRPr="008D6335">
        <w:rPr>
          <w:rFonts w:ascii="Cambria" w:hAnsi="Cambria" w:cs="Calibri"/>
          <w:sz w:val="20"/>
          <w:szCs w:val="20"/>
        </w:rPr>
        <w:t xml:space="preserve"> que fue objeto Walter MUNÁRRIZ ESCOBAR, en razón de no haber formulado documento alguno como resultado de dicha intervención, estableciendo la responsabilidad y/o inocencia del intervenido que amerite su libertad y/o detención; procediendo a otorgarle su libertad por un simple desistimiento verbal de las partes agraviadas, en el momento de los hechos”.  Así,</w:t>
      </w:r>
      <w:r>
        <w:rPr>
          <w:rFonts w:ascii="Cambria" w:hAnsi="Cambria" w:cs="Calibri"/>
          <w:sz w:val="20"/>
          <w:szCs w:val="20"/>
        </w:rPr>
        <w:t xml:space="preserve"> el</w:t>
      </w:r>
      <w:r w:rsidRPr="008D6335">
        <w:rPr>
          <w:rFonts w:ascii="Cambria" w:hAnsi="Cambria"/>
          <w:sz w:val="20"/>
          <w:szCs w:val="20"/>
          <w:bdr w:val="none" w:sz="0" w:space="0" w:color="auto"/>
        </w:rPr>
        <w:t xml:space="preserve"> Estado informó que se </w:t>
      </w:r>
      <w:r>
        <w:rPr>
          <w:rFonts w:ascii="Cambria" w:hAnsi="Cambria"/>
          <w:sz w:val="20"/>
          <w:szCs w:val="20"/>
          <w:bdr w:val="none" w:sz="0" w:space="0" w:color="auto"/>
        </w:rPr>
        <w:t>impuso una sanción disciplinaria de entre 6 y 10 días de arresto</w:t>
      </w:r>
      <w:r w:rsidR="00E63A97">
        <w:rPr>
          <w:rFonts w:ascii="Cambria" w:hAnsi="Cambria"/>
          <w:sz w:val="20"/>
          <w:szCs w:val="20"/>
          <w:bdr w:val="none" w:sz="0" w:space="0" w:color="auto"/>
        </w:rPr>
        <w:t xml:space="preserve"> simple</w:t>
      </w:r>
      <w:r>
        <w:rPr>
          <w:rFonts w:ascii="Cambria" w:hAnsi="Cambria"/>
          <w:sz w:val="20"/>
          <w:szCs w:val="20"/>
          <w:bdr w:val="none" w:sz="0" w:space="0" w:color="auto"/>
        </w:rPr>
        <w:t xml:space="preserve"> a los oficiales involucrados. </w:t>
      </w:r>
    </w:p>
    <w:p w:rsidR="008D6335" w:rsidRPr="00E63A97" w:rsidRDefault="008D6335" w:rsidP="008D6335">
      <w:pPr>
        <w:pStyle w:val="MediumGrid1-Accent21"/>
        <w:rPr>
          <w:sz w:val="20"/>
          <w:szCs w:val="20"/>
          <w:bdr w:val="none" w:sz="0" w:space="0" w:color="auto"/>
          <w:lang w:val="es-ES_tradnl"/>
        </w:rPr>
      </w:pPr>
    </w:p>
    <w:p w:rsidR="006E27B9" w:rsidRDefault="008D6335" w:rsidP="000A7AE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rPr>
      </w:pPr>
      <w:r w:rsidRPr="006E27B9">
        <w:rPr>
          <w:rFonts w:ascii="Cambria" w:hAnsi="Cambria"/>
          <w:sz w:val="20"/>
          <w:szCs w:val="20"/>
          <w:bdr w:val="none" w:sz="0" w:space="0" w:color="auto"/>
        </w:rPr>
        <w:lastRenderedPageBreak/>
        <w:t>El Estado, en posteriores comunicaciones</w:t>
      </w:r>
      <w:r w:rsidR="00833F62">
        <w:rPr>
          <w:rFonts w:ascii="Cambria" w:hAnsi="Cambria"/>
          <w:sz w:val="20"/>
          <w:szCs w:val="20"/>
          <w:bdr w:val="none" w:sz="0" w:space="0" w:color="auto"/>
        </w:rPr>
        <w:t xml:space="preserve"> y</w:t>
      </w:r>
      <w:r w:rsidRPr="006E27B9">
        <w:rPr>
          <w:rFonts w:ascii="Cambria" w:hAnsi="Cambria"/>
          <w:sz w:val="20"/>
          <w:szCs w:val="20"/>
          <w:bdr w:val="none" w:sz="0" w:space="0" w:color="auto"/>
        </w:rPr>
        <w:t xml:space="preserve"> respecto al </w:t>
      </w:r>
      <w:r w:rsidRPr="006E27B9">
        <w:rPr>
          <w:rFonts w:ascii="Cambria" w:hAnsi="Cambria"/>
          <w:b/>
          <w:sz w:val="20"/>
          <w:szCs w:val="20"/>
          <w:bdr w:val="none" w:sz="0" w:space="0" w:color="auto"/>
        </w:rPr>
        <w:t>derecho a la vida, a la libertad personal y a la integridad personal</w:t>
      </w:r>
      <w:r w:rsidRPr="006E27B9">
        <w:rPr>
          <w:rFonts w:ascii="Cambria" w:hAnsi="Cambria"/>
          <w:sz w:val="20"/>
          <w:szCs w:val="20"/>
          <w:bdr w:val="none" w:sz="0" w:space="0" w:color="auto"/>
        </w:rPr>
        <w:t xml:space="preserve">, manifestó que Walter Munárriz Escobar </w:t>
      </w:r>
      <w:r w:rsidR="00E64320">
        <w:rPr>
          <w:rFonts w:ascii="Cambria" w:hAnsi="Cambria"/>
          <w:sz w:val="20"/>
          <w:szCs w:val="20"/>
          <w:bdr w:val="none" w:sz="0" w:space="0" w:color="auto"/>
        </w:rPr>
        <w:t>fue conducido a la C</w:t>
      </w:r>
      <w:r w:rsidR="006E27B9" w:rsidRPr="006E27B9">
        <w:rPr>
          <w:rFonts w:ascii="Cambria" w:hAnsi="Cambria"/>
          <w:sz w:val="20"/>
          <w:szCs w:val="20"/>
          <w:bdr w:val="none" w:sz="0" w:space="0" w:color="auto"/>
        </w:rPr>
        <w:t xml:space="preserve">omisaría de Lircay no en forma ilegal o arbitraria, sino a solicitud de las personas afectadas. </w:t>
      </w:r>
      <w:r w:rsidR="00833F62">
        <w:rPr>
          <w:rFonts w:ascii="Cambria" w:hAnsi="Cambria"/>
          <w:sz w:val="20"/>
          <w:szCs w:val="20"/>
          <w:bdr w:val="none" w:sz="0" w:space="0" w:color="auto"/>
        </w:rPr>
        <w:t xml:space="preserve">Señaló que </w:t>
      </w:r>
      <w:r w:rsidR="006E27B9" w:rsidRPr="006E27B9">
        <w:rPr>
          <w:rFonts w:ascii="Cambria" w:hAnsi="Cambria"/>
          <w:sz w:val="20"/>
          <w:szCs w:val="20"/>
          <w:bdr w:val="none" w:sz="0" w:space="0" w:color="auto"/>
        </w:rPr>
        <w:t>dentro del recinto policial no fue conducido a un cuarto o lugar apartado para que nadie lo viera, con el afán de ocult</w:t>
      </w:r>
      <w:r w:rsidR="00E63A97">
        <w:rPr>
          <w:rFonts w:ascii="Cambria" w:hAnsi="Cambria"/>
          <w:sz w:val="20"/>
          <w:szCs w:val="20"/>
          <w:bdr w:val="none" w:sz="0" w:space="0" w:color="auto"/>
        </w:rPr>
        <w:t>arlo, para torturarlo o matarlo;</w:t>
      </w:r>
      <w:r w:rsidR="006E27B9" w:rsidRPr="006E27B9">
        <w:rPr>
          <w:rFonts w:ascii="Cambria" w:hAnsi="Cambria"/>
          <w:sz w:val="20"/>
          <w:szCs w:val="20"/>
          <w:bdr w:val="none" w:sz="0" w:space="0" w:color="auto"/>
        </w:rPr>
        <w:t xml:space="preserve"> por el contrario</w:t>
      </w:r>
      <w:r w:rsidR="00E63A97">
        <w:rPr>
          <w:rFonts w:ascii="Cambria" w:hAnsi="Cambria"/>
          <w:sz w:val="20"/>
          <w:szCs w:val="20"/>
          <w:bdr w:val="none" w:sz="0" w:space="0" w:color="auto"/>
        </w:rPr>
        <w:t xml:space="preserve">, indicó que se cuenta con </w:t>
      </w:r>
      <w:r w:rsidR="006E27B9" w:rsidRPr="006E27B9">
        <w:rPr>
          <w:rFonts w:ascii="Cambria" w:hAnsi="Cambria"/>
          <w:sz w:val="20"/>
          <w:szCs w:val="20"/>
          <w:bdr w:val="none" w:sz="0" w:space="0" w:color="auto"/>
        </w:rPr>
        <w:t xml:space="preserve">la declaración de la dueña del Hospedaje </w:t>
      </w:r>
      <w:r w:rsidR="00E63A97">
        <w:rPr>
          <w:rFonts w:ascii="Cambria" w:hAnsi="Cambria"/>
          <w:sz w:val="20"/>
          <w:szCs w:val="20"/>
          <w:bdr w:val="none" w:sz="0" w:space="0" w:color="auto"/>
        </w:rPr>
        <w:t>“</w:t>
      </w:r>
      <w:r w:rsidR="006E27B9" w:rsidRPr="006E27B9">
        <w:rPr>
          <w:rFonts w:ascii="Cambria" w:hAnsi="Cambria"/>
          <w:sz w:val="20"/>
          <w:szCs w:val="20"/>
          <w:bdr w:val="none" w:sz="0" w:space="0" w:color="auto"/>
        </w:rPr>
        <w:t>Los Manolos</w:t>
      </w:r>
      <w:r w:rsidR="00E63A97">
        <w:rPr>
          <w:rFonts w:ascii="Cambria" w:hAnsi="Cambria"/>
          <w:sz w:val="20"/>
          <w:szCs w:val="20"/>
          <w:bdr w:val="none" w:sz="0" w:space="0" w:color="auto"/>
        </w:rPr>
        <w:t>”</w:t>
      </w:r>
      <w:r w:rsidR="006E27B9" w:rsidRPr="006E27B9">
        <w:rPr>
          <w:rFonts w:ascii="Cambria" w:hAnsi="Cambria"/>
          <w:sz w:val="20"/>
          <w:szCs w:val="20"/>
          <w:bdr w:val="none" w:sz="0" w:space="0" w:color="auto"/>
        </w:rPr>
        <w:t xml:space="preserve"> qu</w:t>
      </w:r>
      <w:r w:rsidR="00E63A97">
        <w:rPr>
          <w:rFonts w:ascii="Cambria" w:hAnsi="Cambria"/>
          <w:sz w:val="20"/>
          <w:szCs w:val="20"/>
          <w:bdr w:val="none" w:sz="0" w:space="0" w:color="auto"/>
        </w:rPr>
        <w:t>ien</w:t>
      </w:r>
      <w:r w:rsidR="006E27B9" w:rsidRPr="006E27B9">
        <w:rPr>
          <w:rFonts w:ascii="Cambria" w:hAnsi="Cambria"/>
          <w:sz w:val="20"/>
          <w:szCs w:val="20"/>
          <w:bdr w:val="none" w:sz="0" w:space="0" w:color="auto"/>
        </w:rPr>
        <w:t xml:space="preserve"> vio a Walter</w:t>
      </w:r>
      <w:r w:rsidR="00E63A97">
        <w:rPr>
          <w:rFonts w:ascii="Cambria" w:hAnsi="Cambria"/>
          <w:sz w:val="20"/>
          <w:szCs w:val="20"/>
          <w:bdr w:val="none" w:sz="0" w:space="0" w:color="auto"/>
        </w:rPr>
        <w:t xml:space="preserve"> Munárriz</w:t>
      </w:r>
      <w:r w:rsidR="006E27B9" w:rsidRPr="006E27B9">
        <w:rPr>
          <w:rFonts w:ascii="Cambria" w:hAnsi="Cambria"/>
          <w:sz w:val="20"/>
          <w:szCs w:val="20"/>
          <w:bdr w:val="none" w:sz="0" w:space="0" w:color="auto"/>
        </w:rPr>
        <w:t xml:space="preserve"> recostado en la banca dentro de la Comisaría y que</w:t>
      </w:r>
      <w:r w:rsidR="00E63A97">
        <w:rPr>
          <w:rFonts w:ascii="Cambria" w:hAnsi="Cambria"/>
          <w:sz w:val="20"/>
          <w:szCs w:val="20"/>
          <w:bdr w:val="none" w:sz="0" w:space="0" w:color="auto"/>
        </w:rPr>
        <w:t>,</w:t>
      </w:r>
      <w:r w:rsidR="006E27B9" w:rsidRPr="006E27B9">
        <w:rPr>
          <w:rFonts w:ascii="Cambria" w:hAnsi="Cambria"/>
          <w:sz w:val="20"/>
          <w:szCs w:val="20"/>
          <w:bdr w:val="none" w:sz="0" w:space="0" w:color="auto"/>
        </w:rPr>
        <w:t xml:space="preserve"> al </w:t>
      </w:r>
      <w:r w:rsidR="00E63A97">
        <w:rPr>
          <w:rFonts w:ascii="Cambria" w:hAnsi="Cambria"/>
          <w:sz w:val="20"/>
          <w:szCs w:val="20"/>
          <w:bdr w:val="none" w:sz="0" w:space="0" w:color="auto"/>
        </w:rPr>
        <w:t xml:space="preserve">reconocerlo, decidió </w:t>
      </w:r>
      <w:r w:rsidR="006E27B9" w:rsidRPr="006E27B9">
        <w:rPr>
          <w:rFonts w:ascii="Cambria" w:hAnsi="Cambria"/>
          <w:sz w:val="20"/>
          <w:szCs w:val="20"/>
          <w:bdr w:val="none" w:sz="0" w:space="0" w:color="auto"/>
        </w:rPr>
        <w:t>no present</w:t>
      </w:r>
      <w:r w:rsidR="00E63A97">
        <w:rPr>
          <w:rFonts w:ascii="Cambria" w:hAnsi="Cambria"/>
          <w:sz w:val="20"/>
          <w:szCs w:val="20"/>
          <w:bdr w:val="none" w:sz="0" w:space="0" w:color="auto"/>
        </w:rPr>
        <w:t>ar</w:t>
      </w:r>
      <w:r w:rsidR="006E27B9" w:rsidRPr="006E27B9">
        <w:rPr>
          <w:rFonts w:ascii="Cambria" w:hAnsi="Cambria"/>
          <w:sz w:val="20"/>
          <w:szCs w:val="20"/>
          <w:bdr w:val="none" w:sz="0" w:space="0" w:color="auto"/>
        </w:rPr>
        <w:t xml:space="preserve"> denuncia y se ofreció a llevarlo</w:t>
      </w:r>
      <w:r w:rsidR="00E63A97">
        <w:rPr>
          <w:rFonts w:ascii="Cambria" w:hAnsi="Cambria"/>
          <w:sz w:val="20"/>
          <w:szCs w:val="20"/>
          <w:bdr w:val="none" w:sz="0" w:space="0" w:color="auto"/>
        </w:rPr>
        <w:t xml:space="preserve"> a su casa</w:t>
      </w:r>
      <w:r w:rsidR="006E27B9" w:rsidRPr="006E27B9">
        <w:rPr>
          <w:rFonts w:ascii="Cambria" w:hAnsi="Cambria"/>
          <w:sz w:val="20"/>
          <w:szCs w:val="20"/>
          <w:bdr w:val="none" w:sz="0" w:space="0" w:color="auto"/>
        </w:rPr>
        <w:t xml:space="preserve">. </w:t>
      </w:r>
      <w:r w:rsidR="00E63A97">
        <w:rPr>
          <w:rFonts w:ascii="Cambria" w:hAnsi="Cambria"/>
          <w:sz w:val="20"/>
          <w:szCs w:val="20"/>
          <w:bdr w:val="none" w:sz="0" w:space="0" w:color="auto"/>
        </w:rPr>
        <w:t xml:space="preserve"> El Estado afirmó que</w:t>
      </w:r>
      <w:r w:rsidR="006E27B9" w:rsidRPr="006E27B9">
        <w:rPr>
          <w:rFonts w:ascii="Cambria" w:hAnsi="Cambria"/>
          <w:sz w:val="20"/>
          <w:szCs w:val="20"/>
          <w:bdr w:val="none" w:sz="0" w:space="0" w:color="auto"/>
        </w:rPr>
        <w:t xml:space="preserve"> Walter</w:t>
      </w:r>
      <w:r w:rsidR="00E63A97">
        <w:rPr>
          <w:rFonts w:ascii="Cambria" w:hAnsi="Cambria"/>
          <w:sz w:val="20"/>
          <w:szCs w:val="20"/>
          <w:bdr w:val="none" w:sz="0" w:space="0" w:color="auto"/>
        </w:rPr>
        <w:t xml:space="preserve"> Munárriz</w:t>
      </w:r>
      <w:r w:rsidR="006E27B9" w:rsidRPr="006E27B9">
        <w:rPr>
          <w:rFonts w:ascii="Cambria" w:hAnsi="Cambria"/>
          <w:sz w:val="20"/>
          <w:szCs w:val="20"/>
          <w:bdr w:val="none" w:sz="0" w:space="0" w:color="auto"/>
        </w:rPr>
        <w:t xml:space="preserve"> se quedó en la Comisaría por </w:t>
      </w:r>
      <w:r w:rsidR="000D6E9C">
        <w:rPr>
          <w:rFonts w:ascii="Cambria" w:hAnsi="Cambria"/>
          <w:sz w:val="20"/>
          <w:szCs w:val="20"/>
          <w:bdr w:val="none" w:sz="0" w:space="0" w:color="auto"/>
        </w:rPr>
        <w:t xml:space="preserve">voluntad </w:t>
      </w:r>
      <w:r w:rsidR="006E27B9" w:rsidRPr="006E27B9">
        <w:rPr>
          <w:rFonts w:ascii="Cambria" w:hAnsi="Cambria"/>
          <w:sz w:val="20"/>
          <w:szCs w:val="20"/>
          <w:bdr w:val="none" w:sz="0" w:space="0" w:color="auto"/>
        </w:rPr>
        <w:t xml:space="preserve">propia y con signos de ebriedad. </w:t>
      </w:r>
    </w:p>
    <w:p w:rsidR="006E27B9" w:rsidRPr="00E63A97" w:rsidRDefault="006E27B9" w:rsidP="006E27B9">
      <w:pPr>
        <w:pStyle w:val="MediumGrid1-Accent21"/>
        <w:rPr>
          <w:sz w:val="20"/>
          <w:szCs w:val="20"/>
          <w:bdr w:val="none" w:sz="0" w:space="0" w:color="auto"/>
          <w:lang w:val="es-ES_tradnl"/>
        </w:rPr>
      </w:pPr>
    </w:p>
    <w:p w:rsidR="008D6335" w:rsidRDefault="00E13B59" w:rsidP="000A7AE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rPr>
      </w:pPr>
      <w:r>
        <w:rPr>
          <w:rFonts w:ascii="Cambria" w:hAnsi="Cambria"/>
          <w:sz w:val="20"/>
          <w:szCs w:val="20"/>
          <w:bdr w:val="none" w:sz="0" w:space="0" w:color="auto"/>
        </w:rPr>
        <w:t>E</w:t>
      </w:r>
      <w:r w:rsidR="006E27B9">
        <w:rPr>
          <w:rFonts w:ascii="Cambria" w:hAnsi="Cambria"/>
          <w:sz w:val="20"/>
          <w:szCs w:val="20"/>
          <w:bdr w:val="none" w:sz="0" w:space="0" w:color="auto"/>
        </w:rPr>
        <w:t xml:space="preserve">l Estado </w:t>
      </w:r>
      <w:r w:rsidR="00E63A97">
        <w:rPr>
          <w:rFonts w:ascii="Cambria" w:hAnsi="Cambria"/>
          <w:sz w:val="20"/>
          <w:szCs w:val="20"/>
          <w:bdr w:val="none" w:sz="0" w:space="0" w:color="auto"/>
        </w:rPr>
        <w:t xml:space="preserve">indicó </w:t>
      </w:r>
      <w:r w:rsidR="006E27B9">
        <w:rPr>
          <w:rFonts w:ascii="Cambria" w:hAnsi="Cambria"/>
          <w:sz w:val="20"/>
          <w:szCs w:val="20"/>
          <w:bdr w:val="none" w:sz="0" w:space="0" w:color="auto"/>
        </w:rPr>
        <w:t>que Walter</w:t>
      </w:r>
      <w:r>
        <w:rPr>
          <w:rFonts w:ascii="Cambria" w:hAnsi="Cambria"/>
          <w:sz w:val="20"/>
          <w:szCs w:val="20"/>
          <w:bdr w:val="none" w:sz="0" w:space="0" w:color="auto"/>
        </w:rPr>
        <w:t xml:space="preserve"> Munárriz </w:t>
      </w:r>
      <w:r w:rsidR="008D6335" w:rsidRPr="006E27B9">
        <w:rPr>
          <w:rFonts w:ascii="Cambria" w:hAnsi="Cambria"/>
          <w:sz w:val="20"/>
          <w:szCs w:val="20"/>
          <w:bdr w:val="none" w:sz="0" w:space="0" w:color="auto"/>
        </w:rPr>
        <w:t xml:space="preserve">estuvo </w:t>
      </w:r>
      <w:r w:rsidR="00434677">
        <w:rPr>
          <w:rFonts w:ascii="Cambria" w:hAnsi="Cambria"/>
          <w:sz w:val="20"/>
          <w:szCs w:val="20"/>
          <w:bdr w:val="none" w:sz="0" w:space="0" w:color="auto"/>
        </w:rPr>
        <w:t xml:space="preserve">poco tiempo </w:t>
      </w:r>
      <w:r w:rsidR="008D6335" w:rsidRPr="006E27B9">
        <w:rPr>
          <w:rFonts w:ascii="Cambria" w:hAnsi="Cambria"/>
          <w:sz w:val="20"/>
          <w:szCs w:val="20"/>
          <w:bdr w:val="none" w:sz="0" w:space="0" w:color="auto"/>
        </w:rPr>
        <w:t>en la Comisaría de Lircay</w:t>
      </w:r>
      <w:r w:rsidR="000D6E9C">
        <w:rPr>
          <w:rFonts w:ascii="Cambria" w:hAnsi="Cambria"/>
          <w:sz w:val="20"/>
          <w:szCs w:val="20"/>
          <w:bdr w:val="none" w:sz="0" w:space="0" w:color="auto"/>
        </w:rPr>
        <w:t xml:space="preserve">, </w:t>
      </w:r>
      <w:r w:rsidR="008D6335" w:rsidRPr="006E27B9">
        <w:rPr>
          <w:rFonts w:ascii="Cambria" w:hAnsi="Cambria"/>
          <w:sz w:val="20"/>
          <w:szCs w:val="20"/>
          <w:bdr w:val="none" w:sz="0" w:space="0" w:color="auto"/>
        </w:rPr>
        <w:t xml:space="preserve">se retiró de </w:t>
      </w:r>
      <w:r w:rsidR="004E5FC3">
        <w:rPr>
          <w:rFonts w:ascii="Cambria" w:hAnsi="Cambria"/>
          <w:sz w:val="20"/>
          <w:szCs w:val="20"/>
          <w:bdr w:val="none" w:sz="0" w:space="0" w:color="auto"/>
        </w:rPr>
        <w:t>allí</w:t>
      </w:r>
      <w:r w:rsidR="008D6335" w:rsidRPr="006E27B9">
        <w:rPr>
          <w:rFonts w:ascii="Cambria" w:hAnsi="Cambria"/>
          <w:sz w:val="20"/>
          <w:szCs w:val="20"/>
          <w:bdr w:val="none" w:sz="0" w:space="0" w:color="auto"/>
        </w:rPr>
        <w:t xml:space="preserve"> aproximadamente a las 5 am del mismo día</w:t>
      </w:r>
      <w:r w:rsidR="000D6E9C">
        <w:rPr>
          <w:rFonts w:ascii="Cambria" w:hAnsi="Cambria"/>
          <w:sz w:val="20"/>
          <w:szCs w:val="20"/>
          <w:bdr w:val="none" w:sz="0" w:space="0" w:color="auto"/>
        </w:rPr>
        <w:t xml:space="preserve"> y</w:t>
      </w:r>
      <w:r w:rsidR="008D6335" w:rsidRPr="006E27B9">
        <w:rPr>
          <w:rFonts w:ascii="Cambria" w:hAnsi="Cambria"/>
          <w:sz w:val="20"/>
          <w:szCs w:val="20"/>
          <w:bdr w:val="none" w:sz="0" w:space="0" w:color="auto"/>
        </w:rPr>
        <w:t xml:space="preserve"> fue observado por dos testigos quienes lo reconocieron plenamente</w:t>
      </w:r>
      <w:r w:rsidR="00485940">
        <w:rPr>
          <w:rFonts w:ascii="Cambria" w:hAnsi="Cambria"/>
          <w:sz w:val="20"/>
          <w:szCs w:val="20"/>
          <w:bdr w:val="none" w:sz="0" w:space="0" w:color="auto"/>
        </w:rPr>
        <w:t xml:space="preserve"> e indicaron</w:t>
      </w:r>
      <w:r w:rsidR="008D6335" w:rsidRPr="006E27B9">
        <w:rPr>
          <w:rFonts w:ascii="Cambria" w:hAnsi="Cambria"/>
          <w:sz w:val="20"/>
          <w:szCs w:val="20"/>
          <w:bdr w:val="none" w:sz="0" w:space="0" w:color="auto"/>
        </w:rPr>
        <w:t xml:space="preserve"> que se dirigía por inmediaciones del Jr. Olímpico hacia el barrio Bellavista, mostrando visibles síntomas de ebriedad. </w:t>
      </w:r>
    </w:p>
    <w:p w:rsidR="006E27B9" w:rsidRPr="006E27B9" w:rsidRDefault="006E27B9" w:rsidP="006E27B9">
      <w:pPr>
        <w:pStyle w:val="MediumGrid1-Accent21"/>
        <w:rPr>
          <w:sz w:val="20"/>
          <w:szCs w:val="20"/>
          <w:bdr w:val="none" w:sz="0" w:space="0" w:color="auto"/>
          <w:lang w:val="es-MX"/>
        </w:rPr>
      </w:pPr>
    </w:p>
    <w:p w:rsidR="00041605" w:rsidRPr="000D6E9C" w:rsidRDefault="006E27B9" w:rsidP="000A7AE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rPr>
      </w:pPr>
      <w:r w:rsidRPr="000D6E9C">
        <w:rPr>
          <w:rFonts w:ascii="Cambria" w:hAnsi="Cambria"/>
          <w:sz w:val="20"/>
          <w:szCs w:val="20"/>
          <w:bdr w:val="none" w:sz="0" w:space="0" w:color="auto"/>
        </w:rPr>
        <w:t>El Estado indicó que los efectivos policiales involucrados en ningú</w:t>
      </w:r>
      <w:r w:rsidR="00E81CB0" w:rsidRPr="000D6E9C">
        <w:rPr>
          <w:rFonts w:ascii="Cambria" w:hAnsi="Cambria"/>
          <w:sz w:val="20"/>
          <w:szCs w:val="20"/>
          <w:bdr w:val="none" w:sz="0" w:space="0" w:color="auto"/>
        </w:rPr>
        <w:t xml:space="preserve">n momento han negado su participación en los hechos de esa madrugada ni su identidad. </w:t>
      </w:r>
      <w:r w:rsidR="00041605" w:rsidRPr="000D6E9C">
        <w:rPr>
          <w:rFonts w:ascii="Cambria" w:hAnsi="Cambria"/>
          <w:sz w:val="20"/>
          <w:szCs w:val="20"/>
          <w:bdr w:val="none" w:sz="0" w:space="0" w:color="auto"/>
        </w:rPr>
        <w:t xml:space="preserve">Asimismo, </w:t>
      </w:r>
      <w:r w:rsidR="00AE3339">
        <w:rPr>
          <w:rFonts w:ascii="Cambria" w:hAnsi="Cambria"/>
          <w:sz w:val="20"/>
          <w:szCs w:val="20"/>
          <w:bdr w:val="none" w:sz="0" w:space="0" w:color="auto"/>
        </w:rPr>
        <w:t xml:space="preserve">señaló </w:t>
      </w:r>
      <w:r w:rsidR="00041605" w:rsidRPr="000D6E9C">
        <w:rPr>
          <w:rFonts w:ascii="Cambria" w:hAnsi="Cambria"/>
          <w:sz w:val="20"/>
          <w:szCs w:val="20"/>
          <w:bdr w:val="none" w:sz="0" w:space="0" w:color="auto"/>
        </w:rPr>
        <w:t>que la versión dada por el testigo Marcos Leonidas Sierra Tueros</w:t>
      </w:r>
      <w:r w:rsidR="000D6E9C">
        <w:rPr>
          <w:rFonts w:ascii="Cambria" w:hAnsi="Cambria"/>
          <w:sz w:val="20"/>
          <w:szCs w:val="20"/>
          <w:bdr w:val="none" w:sz="0" w:space="0" w:color="auto"/>
        </w:rPr>
        <w:t>, respecto a los supuestos malos tratos de que fue víctima Walter Munárriz en la Comisaría,</w:t>
      </w:r>
      <w:r w:rsidR="00041605" w:rsidRPr="000D6E9C">
        <w:rPr>
          <w:rFonts w:ascii="Cambria" w:hAnsi="Cambria"/>
          <w:sz w:val="20"/>
          <w:szCs w:val="20"/>
          <w:bdr w:val="none" w:sz="0" w:space="0" w:color="auto"/>
        </w:rPr>
        <w:t xml:space="preserve"> fue falsa y fue inducid</w:t>
      </w:r>
      <w:r w:rsidR="00D30968">
        <w:rPr>
          <w:rFonts w:ascii="Cambria" w:hAnsi="Cambria"/>
          <w:sz w:val="20"/>
          <w:szCs w:val="20"/>
          <w:bdr w:val="none" w:sz="0" w:space="0" w:color="auto"/>
        </w:rPr>
        <w:t>a</w:t>
      </w:r>
      <w:r w:rsidR="00041605" w:rsidRPr="000D6E9C">
        <w:rPr>
          <w:rFonts w:ascii="Cambria" w:hAnsi="Cambria"/>
          <w:sz w:val="20"/>
          <w:szCs w:val="20"/>
          <w:bdr w:val="none" w:sz="0" w:space="0" w:color="auto"/>
        </w:rPr>
        <w:t xml:space="preserve"> por un familiar del supuesto agraviado</w:t>
      </w:r>
      <w:r w:rsidR="000F665A">
        <w:rPr>
          <w:rFonts w:ascii="Cambria" w:hAnsi="Cambria"/>
          <w:sz w:val="20"/>
          <w:szCs w:val="20"/>
          <w:bdr w:val="none" w:sz="0" w:space="0" w:color="auto"/>
        </w:rPr>
        <w:t xml:space="preserve"> – quien era familiar del juez que conocía su causa penal –</w:t>
      </w:r>
      <w:r w:rsidR="00041605" w:rsidRPr="000D6E9C">
        <w:rPr>
          <w:rFonts w:ascii="Cambria" w:hAnsi="Cambria"/>
          <w:sz w:val="20"/>
          <w:szCs w:val="20"/>
          <w:bdr w:val="none" w:sz="0" w:space="0" w:color="auto"/>
        </w:rPr>
        <w:t xml:space="preserve"> a</w:t>
      </w:r>
      <w:r w:rsidR="000F665A">
        <w:rPr>
          <w:rFonts w:ascii="Cambria" w:hAnsi="Cambria"/>
          <w:sz w:val="20"/>
          <w:szCs w:val="20"/>
          <w:bdr w:val="none" w:sz="0" w:space="0" w:color="auto"/>
        </w:rPr>
        <w:t xml:space="preserve"> </w:t>
      </w:r>
      <w:r w:rsidR="00041605" w:rsidRPr="000D6E9C">
        <w:rPr>
          <w:rFonts w:ascii="Cambria" w:hAnsi="Cambria"/>
          <w:sz w:val="20"/>
          <w:szCs w:val="20"/>
          <w:bdr w:val="none" w:sz="0" w:space="0" w:color="auto"/>
        </w:rPr>
        <w:t xml:space="preserve">fin de que inculpara a los efectivos policiales a cambio de recibir una ayuda en un proceso penal en el </w:t>
      </w:r>
      <w:r w:rsidR="003C74EB">
        <w:rPr>
          <w:rFonts w:ascii="Cambria" w:hAnsi="Cambria"/>
          <w:sz w:val="20"/>
          <w:szCs w:val="20"/>
          <w:bdr w:val="none" w:sz="0" w:space="0" w:color="auto"/>
        </w:rPr>
        <w:t>cual se encontraba involucrado</w:t>
      </w:r>
      <w:r w:rsidR="00064CDA">
        <w:rPr>
          <w:rFonts w:ascii="Cambria" w:hAnsi="Cambria"/>
          <w:sz w:val="20"/>
          <w:szCs w:val="20"/>
          <w:bdr w:val="none" w:sz="0" w:space="0" w:color="auto"/>
        </w:rPr>
        <w:t>.</w:t>
      </w:r>
    </w:p>
    <w:p w:rsidR="006E27B9" w:rsidRPr="006E27B9" w:rsidRDefault="006E27B9" w:rsidP="006E27B9">
      <w:pPr>
        <w:pStyle w:val="MediumGrid1-Accent21"/>
        <w:rPr>
          <w:sz w:val="20"/>
          <w:szCs w:val="20"/>
          <w:bdr w:val="none" w:sz="0" w:space="0" w:color="auto"/>
          <w:lang w:val="es-MX"/>
        </w:rPr>
      </w:pPr>
    </w:p>
    <w:p w:rsidR="00BB5731" w:rsidRPr="00BB5731" w:rsidRDefault="006E27B9" w:rsidP="00BB573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Pr>
          <w:rFonts w:ascii="Cambria" w:hAnsi="Cambria"/>
          <w:sz w:val="20"/>
          <w:szCs w:val="20"/>
          <w:bdr w:val="none" w:sz="0" w:space="0" w:color="auto"/>
        </w:rPr>
        <w:t xml:space="preserve">Respecto a la obligación </w:t>
      </w:r>
      <w:r w:rsidRPr="000414CF">
        <w:rPr>
          <w:rFonts w:ascii="Cambria" w:hAnsi="Cambria"/>
          <w:sz w:val="20"/>
          <w:szCs w:val="20"/>
          <w:bdr w:val="none" w:sz="0" w:space="0" w:color="auto"/>
        </w:rPr>
        <w:t>de</w:t>
      </w:r>
      <w:r w:rsidRPr="006E27B9">
        <w:rPr>
          <w:rFonts w:ascii="Cambria" w:hAnsi="Cambria"/>
          <w:b/>
          <w:sz w:val="20"/>
          <w:szCs w:val="20"/>
          <w:bdr w:val="none" w:sz="0" w:space="0" w:color="auto"/>
        </w:rPr>
        <w:t xml:space="preserve"> adoptar disposiciones de derecho interno</w:t>
      </w:r>
      <w:r>
        <w:rPr>
          <w:rFonts w:ascii="Cambria" w:hAnsi="Cambria"/>
          <w:sz w:val="20"/>
          <w:szCs w:val="20"/>
          <w:bdr w:val="none" w:sz="0" w:space="0" w:color="auto"/>
        </w:rPr>
        <w:t xml:space="preserve">, el Estado </w:t>
      </w:r>
      <w:r w:rsidR="000D6E9C">
        <w:rPr>
          <w:rFonts w:ascii="Cambria" w:hAnsi="Cambria"/>
          <w:sz w:val="20"/>
          <w:szCs w:val="20"/>
          <w:bdr w:val="none" w:sz="0" w:space="0" w:color="auto"/>
        </w:rPr>
        <w:t>no presentó ningún alegato; por el contario</w:t>
      </w:r>
      <w:r w:rsidR="00BB5731">
        <w:rPr>
          <w:rFonts w:ascii="Cambria" w:hAnsi="Cambria"/>
          <w:sz w:val="20"/>
          <w:szCs w:val="20"/>
          <w:bdr w:val="none" w:sz="0" w:space="0" w:color="auto"/>
        </w:rPr>
        <w:t>,</w:t>
      </w:r>
      <w:r w:rsidR="00BB5731" w:rsidRPr="00BB5731">
        <w:rPr>
          <w:rFonts w:ascii="Cambria" w:hAnsi="Cambria"/>
          <w:sz w:val="20"/>
          <w:szCs w:val="20"/>
          <w:bdr w:val="none" w:sz="0" w:space="0" w:color="auto"/>
          <w:lang w:val="es-ES"/>
        </w:rPr>
        <w:t xml:space="preserve"> </w:t>
      </w:r>
      <w:r w:rsidR="00BB5731">
        <w:rPr>
          <w:rFonts w:ascii="Cambria" w:hAnsi="Cambria"/>
          <w:sz w:val="20"/>
          <w:szCs w:val="20"/>
          <w:bdr w:val="none" w:sz="0" w:space="0" w:color="auto"/>
          <w:lang w:val="es-ES"/>
        </w:rPr>
        <w:t xml:space="preserve">en </w:t>
      </w:r>
      <w:r w:rsidR="00BB5731" w:rsidRPr="00BB5731">
        <w:rPr>
          <w:rFonts w:ascii="Cambria" w:hAnsi="Cambria"/>
          <w:sz w:val="20"/>
          <w:szCs w:val="20"/>
          <w:bdr w:val="none" w:sz="0" w:space="0" w:color="auto"/>
          <w:lang w:val="es-ES"/>
        </w:rPr>
        <w:t>Informe N° 004-2011-FSPNC-MP-FN del 4 de abril de 2011,</w:t>
      </w:r>
      <w:r w:rsidR="00BB5731">
        <w:rPr>
          <w:rFonts w:ascii="Cambria" w:hAnsi="Cambria"/>
          <w:sz w:val="20"/>
          <w:szCs w:val="20"/>
          <w:bdr w:val="none" w:sz="0" w:space="0" w:color="auto"/>
          <w:lang w:val="es-ES"/>
        </w:rPr>
        <w:t xml:space="preserve"> </w:t>
      </w:r>
      <w:r w:rsidR="00BB5731" w:rsidRPr="00BB5731">
        <w:rPr>
          <w:rFonts w:ascii="Cambria" w:hAnsi="Cambria"/>
          <w:sz w:val="20"/>
          <w:szCs w:val="20"/>
          <w:bdr w:val="none" w:sz="0" w:space="0" w:color="auto"/>
          <w:lang w:val="es-ES"/>
        </w:rPr>
        <w:t>el Fiscal Superior Coordinador de la Fiscalía Superior Penal Nacional y Fiscalías Penales Supraprovinciales</w:t>
      </w:r>
      <w:r w:rsidR="00BB5731">
        <w:rPr>
          <w:rFonts w:ascii="Cambria" w:hAnsi="Cambria"/>
          <w:sz w:val="20"/>
          <w:szCs w:val="20"/>
          <w:bdr w:val="none" w:sz="0" w:space="0" w:color="auto"/>
          <w:lang w:val="es-ES"/>
        </w:rPr>
        <w:t xml:space="preserve"> </w:t>
      </w:r>
      <w:r w:rsidR="00BB5731" w:rsidRPr="00BB5731">
        <w:rPr>
          <w:rFonts w:ascii="Cambria" w:hAnsi="Cambria"/>
          <w:sz w:val="20"/>
          <w:szCs w:val="20"/>
          <w:bdr w:val="none" w:sz="0" w:space="0" w:color="auto"/>
          <w:lang w:val="es-ES"/>
        </w:rPr>
        <w:t>afirm</w:t>
      </w:r>
      <w:r w:rsidR="00BB5731">
        <w:rPr>
          <w:rFonts w:ascii="Cambria" w:hAnsi="Cambria"/>
          <w:sz w:val="20"/>
          <w:szCs w:val="20"/>
          <w:bdr w:val="none" w:sz="0" w:space="0" w:color="auto"/>
          <w:lang w:val="es-ES"/>
        </w:rPr>
        <w:t>ó</w:t>
      </w:r>
      <w:r w:rsidR="00BB5731" w:rsidRPr="00BB5731">
        <w:rPr>
          <w:rFonts w:ascii="Cambria" w:hAnsi="Cambria"/>
          <w:sz w:val="20"/>
          <w:szCs w:val="20"/>
          <w:bdr w:val="none" w:sz="0" w:space="0" w:color="auto"/>
          <w:lang w:val="es-ES"/>
        </w:rPr>
        <w:t xml:space="preserve"> que “la redacción del artículo 320 del Código Penal no se adecua a la tipificación del Delito de Desaparición Forzada conforme a las normas internacionales antes citadas, debido a que el tipo penal en nuestra normativa interna es restrictivo”</w:t>
      </w:r>
      <w:r w:rsidR="00BB5731" w:rsidRPr="00BB5731">
        <w:rPr>
          <w:rFonts w:ascii="Cambria" w:hAnsi="Cambria"/>
          <w:sz w:val="20"/>
          <w:szCs w:val="20"/>
          <w:bdr w:val="none" w:sz="0" w:space="0" w:color="auto"/>
          <w:vertAlign w:val="superscript"/>
          <w:lang w:val="es-ES"/>
        </w:rPr>
        <w:footnoteReference w:id="4"/>
      </w:r>
      <w:r w:rsidR="00BB5731" w:rsidRPr="00BB5731">
        <w:rPr>
          <w:rFonts w:ascii="Cambria" w:hAnsi="Cambria"/>
          <w:sz w:val="20"/>
          <w:szCs w:val="20"/>
          <w:bdr w:val="none" w:sz="0" w:space="0" w:color="auto"/>
          <w:lang w:val="es-ES"/>
        </w:rPr>
        <w:t xml:space="preserve">. </w:t>
      </w:r>
    </w:p>
    <w:p w:rsidR="006D3E11" w:rsidRPr="00E21797" w:rsidRDefault="006D3E11" w:rsidP="006D3E1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6D3E11" w:rsidRPr="00E21797" w:rsidRDefault="006D3E11"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E21797">
        <w:rPr>
          <w:rFonts w:ascii="Cambria" w:hAnsi="Cambria"/>
          <w:sz w:val="20"/>
          <w:szCs w:val="20"/>
          <w:bdr w:val="none" w:sz="0" w:space="0" w:color="auto"/>
        </w:rPr>
        <w:t>E</w:t>
      </w:r>
      <w:r w:rsidR="000D6E9C">
        <w:rPr>
          <w:rFonts w:ascii="Cambria" w:hAnsi="Cambria"/>
          <w:sz w:val="20"/>
          <w:szCs w:val="20"/>
          <w:bdr w:val="none" w:sz="0" w:space="0" w:color="auto"/>
        </w:rPr>
        <w:t>n general, e</w:t>
      </w:r>
      <w:r w:rsidRPr="00E21797">
        <w:rPr>
          <w:rFonts w:ascii="Cambria" w:hAnsi="Cambria"/>
          <w:sz w:val="20"/>
          <w:szCs w:val="20"/>
          <w:bdr w:val="none" w:sz="0" w:space="0" w:color="auto"/>
        </w:rPr>
        <w:t xml:space="preserve">l Estado </w:t>
      </w:r>
      <w:r w:rsidR="00E13B59">
        <w:rPr>
          <w:rFonts w:ascii="Cambria" w:hAnsi="Cambria"/>
          <w:sz w:val="20"/>
          <w:szCs w:val="20"/>
          <w:bdr w:val="none" w:sz="0" w:space="0" w:color="auto"/>
        </w:rPr>
        <w:t xml:space="preserve">argumentó </w:t>
      </w:r>
      <w:r w:rsidRPr="00E21797">
        <w:rPr>
          <w:rFonts w:ascii="Cambria" w:hAnsi="Cambria"/>
          <w:sz w:val="20"/>
          <w:szCs w:val="20"/>
          <w:bdr w:val="none" w:sz="0" w:space="0" w:color="auto"/>
        </w:rPr>
        <w:t xml:space="preserve">la ausencia </w:t>
      </w:r>
      <w:r w:rsidR="00E13B59">
        <w:rPr>
          <w:rFonts w:ascii="Cambria" w:hAnsi="Cambria"/>
          <w:sz w:val="20"/>
          <w:szCs w:val="20"/>
          <w:bdr w:val="none" w:sz="0" w:space="0" w:color="auto"/>
        </w:rPr>
        <w:t>de responsabilidad en relación con</w:t>
      </w:r>
      <w:r w:rsidRPr="00E21797">
        <w:rPr>
          <w:rFonts w:ascii="Cambria" w:hAnsi="Cambria"/>
          <w:sz w:val="20"/>
          <w:szCs w:val="20"/>
          <w:bdr w:val="none" w:sz="0" w:space="0" w:color="auto"/>
        </w:rPr>
        <w:t xml:space="preserve"> la</w:t>
      </w:r>
      <w:r w:rsidR="00E13B59">
        <w:rPr>
          <w:rFonts w:ascii="Cambria" w:hAnsi="Cambria"/>
          <w:sz w:val="20"/>
          <w:szCs w:val="20"/>
          <w:bdr w:val="none" w:sz="0" w:space="0" w:color="auto"/>
        </w:rPr>
        <w:t xml:space="preserve"> alegada</w:t>
      </w:r>
      <w:r w:rsidRPr="00E21797">
        <w:rPr>
          <w:rFonts w:ascii="Cambria" w:hAnsi="Cambria"/>
          <w:sz w:val="20"/>
          <w:szCs w:val="20"/>
          <w:bdr w:val="none" w:sz="0" w:space="0" w:color="auto"/>
        </w:rPr>
        <w:t xml:space="preserve"> desaparición forzada de</w:t>
      </w:r>
      <w:r w:rsidR="007F1E21" w:rsidRPr="00E21797">
        <w:rPr>
          <w:rFonts w:ascii="Cambria" w:eastAsia="Arial Unicode MS" w:hAnsi="Cambria" w:cs="Arial"/>
          <w:color w:val="auto"/>
          <w:sz w:val="20"/>
          <w:szCs w:val="20"/>
          <w:lang w:val="es-ES" w:eastAsia="en-US"/>
        </w:rPr>
        <w:t xml:space="preserve"> </w:t>
      </w:r>
      <w:r w:rsidR="007F1E21" w:rsidRPr="00E21797">
        <w:rPr>
          <w:rFonts w:ascii="Cambria" w:hAnsi="Cambria"/>
          <w:sz w:val="20"/>
          <w:szCs w:val="20"/>
          <w:bdr w:val="none" w:sz="0" w:space="0" w:color="auto"/>
          <w:lang w:val="es-ES"/>
        </w:rPr>
        <w:t>Walter Munárriz Escobar</w:t>
      </w:r>
      <w:r w:rsidR="008B1E86">
        <w:rPr>
          <w:rFonts w:ascii="Cambria" w:hAnsi="Cambria"/>
          <w:sz w:val="20"/>
          <w:szCs w:val="20"/>
          <w:bdr w:val="none" w:sz="0" w:space="0" w:color="auto"/>
          <w:lang w:val="es-ES"/>
        </w:rPr>
        <w:t xml:space="preserve"> así como respecto de </w:t>
      </w:r>
      <w:r w:rsidRPr="00E21797">
        <w:rPr>
          <w:rFonts w:ascii="Cambria" w:hAnsi="Cambria"/>
          <w:sz w:val="20"/>
          <w:szCs w:val="20"/>
          <w:bdr w:val="none" w:sz="0" w:space="0" w:color="auto"/>
        </w:rPr>
        <w:t>los artículos 8 y 25 de la Convención Americana en conexión con los artículos 1.1 y 2 del mismo instrumento</w:t>
      </w:r>
      <w:r w:rsidR="000A7AE0" w:rsidRPr="00E21797">
        <w:rPr>
          <w:rFonts w:ascii="Cambria" w:hAnsi="Cambria"/>
          <w:sz w:val="20"/>
          <w:szCs w:val="20"/>
          <w:bdr w:val="none" w:sz="0" w:space="0" w:color="auto"/>
        </w:rPr>
        <w:t>.</w:t>
      </w:r>
    </w:p>
    <w:p w:rsidR="00436077" w:rsidRPr="00E21797" w:rsidRDefault="00436077" w:rsidP="00436077">
      <w:pPr>
        <w:jc w:val="both"/>
        <w:rPr>
          <w:rFonts w:ascii="Cambria" w:hAnsi="Cambria" w:cs="Calibri"/>
          <w:sz w:val="20"/>
          <w:szCs w:val="20"/>
          <w:lang w:val="es-ES_tradnl"/>
        </w:rPr>
      </w:pPr>
    </w:p>
    <w:p w:rsidR="00436077" w:rsidRPr="00D73FB3" w:rsidRDefault="007F1E21" w:rsidP="00436077">
      <w:pPr>
        <w:pStyle w:val="Heading1"/>
        <w:rPr>
          <w:lang w:val="es-MX"/>
        </w:rPr>
      </w:pPr>
      <w:bookmarkStart w:id="10" w:name="_Toc467948051"/>
      <w:bookmarkStart w:id="11" w:name="_Toc413687822"/>
      <w:r w:rsidRPr="00D73FB3">
        <w:rPr>
          <w:lang w:val="es-MX"/>
        </w:rPr>
        <w:t>H</w:t>
      </w:r>
      <w:r w:rsidR="00436077" w:rsidRPr="00D73FB3">
        <w:rPr>
          <w:lang w:val="es-MX"/>
        </w:rPr>
        <w:t>ECHO</w:t>
      </w:r>
      <w:r w:rsidR="00E13B59" w:rsidRPr="00D73FB3">
        <w:rPr>
          <w:lang w:val="es-MX"/>
        </w:rPr>
        <w:t>S</w:t>
      </w:r>
      <w:r w:rsidRPr="00D73FB3">
        <w:rPr>
          <w:lang w:val="es-MX"/>
        </w:rPr>
        <w:t xml:space="preserve"> </w:t>
      </w:r>
      <w:r w:rsidR="004962DD" w:rsidRPr="00D73FB3">
        <w:rPr>
          <w:lang w:val="es-MX"/>
        </w:rPr>
        <w:t>PROBADOS</w:t>
      </w:r>
      <w:bookmarkEnd w:id="10"/>
      <w:r w:rsidRPr="00D73FB3">
        <w:rPr>
          <w:lang w:val="es-MX"/>
        </w:rPr>
        <w:t xml:space="preserve"> </w:t>
      </w:r>
      <w:bookmarkEnd w:id="11"/>
    </w:p>
    <w:p w:rsidR="007D649B" w:rsidRPr="00E21797" w:rsidRDefault="007D649B" w:rsidP="007D649B">
      <w:pPr>
        <w:rPr>
          <w:rFonts w:ascii="Cambria" w:hAnsi="Cambria"/>
          <w:sz w:val="20"/>
          <w:szCs w:val="20"/>
          <w:lang w:val="es-MX"/>
        </w:rPr>
      </w:pPr>
    </w:p>
    <w:p w:rsidR="00393BA0" w:rsidRPr="00E21797" w:rsidRDefault="00393BA0" w:rsidP="000A7AE0">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E21797">
        <w:rPr>
          <w:rFonts w:ascii="Cambria" w:hAnsi="Cambria" w:cs="Calibri"/>
          <w:sz w:val="20"/>
          <w:szCs w:val="20"/>
        </w:rPr>
        <w:t xml:space="preserve">La Comisión estima pertinente recordar que </w:t>
      </w:r>
      <w:r w:rsidR="003948AB">
        <w:rPr>
          <w:rFonts w:ascii="Cambria" w:hAnsi="Cambria" w:cs="Calibri"/>
          <w:sz w:val="20"/>
          <w:szCs w:val="20"/>
        </w:rPr>
        <w:t xml:space="preserve">conforme a la </w:t>
      </w:r>
      <w:r w:rsidRPr="00E21797">
        <w:rPr>
          <w:rFonts w:ascii="Cambria" w:hAnsi="Cambria" w:cs="Calibri"/>
          <w:sz w:val="20"/>
          <w:szCs w:val="20"/>
        </w:rPr>
        <w:t>jurisprudencia del sistema interamericano los criterios de valoración de la prueba son menos rígidos que los sistemas legales internos y que</w:t>
      </w:r>
      <w:r w:rsidR="003948AB">
        <w:rPr>
          <w:rFonts w:ascii="Cambria" w:hAnsi="Cambria" w:cs="Calibri"/>
          <w:sz w:val="20"/>
          <w:szCs w:val="20"/>
        </w:rPr>
        <w:t xml:space="preserve"> es posible </w:t>
      </w:r>
      <w:r w:rsidRPr="00E21797">
        <w:rPr>
          <w:rFonts w:ascii="Cambria" w:hAnsi="Cambria" w:cs="Calibri"/>
          <w:sz w:val="20"/>
          <w:szCs w:val="20"/>
        </w:rPr>
        <w:t>“evaluar libremente las pruebas”</w:t>
      </w:r>
      <w:r w:rsidRPr="00E21797">
        <w:rPr>
          <w:rStyle w:val="FootnoteReference"/>
          <w:rFonts w:ascii="Cambria" w:hAnsi="Cambria"/>
          <w:sz w:val="20"/>
          <w:szCs w:val="20"/>
        </w:rPr>
        <w:footnoteReference w:id="5"/>
      </w:r>
      <w:r w:rsidRPr="00E21797">
        <w:rPr>
          <w:rFonts w:ascii="Cambria" w:hAnsi="Cambria" w:cs="Calibri"/>
          <w:sz w:val="20"/>
          <w:szCs w:val="20"/>
        </w:rPr>
        <w:t>. En este sentido, la Corte Interamericana ha señalado que se “debe aplicar una valoración de la prueba que tenga en cuenta la gravedad de la atribución de la responsabilidad internacional del Estado y que, sin perjuicio de ello, sea capaz de crear la convicción de la verdad de los hechos alegados”</w:t>
      </w:r>
      <w:r w:rsidRPr="00E21797">
        <w:rPr>
          <w:rStyle w:val="FootnoteReference"/>
          <w:rFonts w:ascii="Cambria" w:hAnsi="Cambria"/>
          <w:sz w:val="20"/>
          <w:szCs w:val="20"/>
        </w:rPr>
        <w:footnoteReference w:id="6"/>
      </w:r>
      <w:r w:rsidR="008E4819" w:rsidRPr="00E21797">
        <w:rPr>
          <w:rFonts w:ascii="Cambria" w:hAnsi="Cambria" w:cs="Calibri"/>
          <w:sz w:val="20"/>
          <w:szCs w:val="20"/>
        </w:rPr>
        <w:t>.</w:t>
      </w:r>
      <w:r w:rsidRPr="00E21797">
        <w:rPr>
          <w:rFonts w:ascii="Cambria" w:hAnsi="Cambria" w:cs="Calibri"/>
          <w:sz w:val="20"/>
          <w:szCs w:val="20"/>
        </w:rPr>
        <w:t xml:space="preserve"> La Corte ha indicado que es “legítimo el uso de la prueba circunstancial, los indicios y las presunciones para fundar una sentencia, siempre que de ellos puedan inferirse conclusiones  consistentes sobre los hechos”</w:t>
      </w:r>
      <w:r w:rsidRPr="00E21797">
        <w:rPr>
          <w:rStyle w:val="FootnoteReference"/>
          <w:rFonts w:ascii="Cambria" w:hAnsi="Cambria"/>
          <w:sz w:val="20"/>
          <w:szCs w:val="20"/>
        </w:rPr>
        <w:footnoteReference w:id="7"/>
      </w:r>
      <w:r w:rsidR="008E4819" w:rsidRPr="00E21797">
        <w:rPr>
          <w:rFonts w:ascii="Cambria" w:hAnsi="Cambria" w:cs="Calibri"/>
          <w:sz w:val="20"/>
          <w:szCs w:val="20"/>
        </w:rPr>
        <w:t>.</w:t>
      </w:r>
      <w:r w:rsidRPr="00E21797">
        <w:rPr>
          <w:rFonts w:ascii="Cambria" w:hAnsi="Cambria" w:cs="Calibri"/>
          <w:sz w:val="20"/>
          <w:szCs w:val="20"/>
        </w:rPr>
        <w:t xml:space="preserve"> </w:t>
      </w:r>
    </w:p>
    <w:p w:rsidR="008E4819" w:rsidRPr="00E21797" w:rsidRDefault="008E4819" w:rsidP="008E4819">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8E4819" w:rsidRPr="00E21797" w:rsidRDefault="008E4819" w:rsidP="008E4819">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E21797">
        <w:rPr>
          <w:rFonts w:ascii="Cambria" w:hAnsi="Cambria"/>
          <w:sz w:val="20"/>
          <w:szCs w:val="20"/>
          <w:lang w:val="es-ES"/>
        </w:rPr>
        <w:t xml:space="preserve">La Comisión resalta que en casos en los que se argumenta una posible desaparición forzada, la práctica de los órganos del sistema interamericano ha tomado en especial consideración la naturaleza de </w:t>
      </w:r>
      <w:r w:rsidRPr="00E21797">
        <w:rPr>
          <w:rFonts w:ascii="Cambria" w:hAnsi="Cambria"/>
          <w:sz w:val="20"/>
          <w:szCs w:val="20"/>
          <w:lang w:val="es-ES"/>
        </w:rPr>
        <w:lastRenderedPageBreak/>
        <w:t xml:space="preserve">esta violación, cuyo propósito es borrar toda huella material del crimen y, generalmente, se encuentra seguida de una serie de acciones y </w:t>
      </w:r>
      <w:r w:rsidRPr="00E21797">
        <w:rPr>
          <w:rFonts w:ascii="Cambria" w:hAnsi="Cambria" w:cs="Arial"/>
          <w:sz w:val="20"/>
          <w:szCs w:val="20"/>
          <w:lang w:val="es-ES"/>
        </w:rPr>
        <w:t>omisiones</w:t>
      </w:r>
      <w:r w:rsidRPr="00E21797">
        <w:rPr>
          <w:rFonts w:ascii="Cambria" w:hAnsi="Cambria"/>
          <w:sz w:val="20"/>
          <w:szCs w:val="20"/>
          <w:lang w:val="es-ES"/>
        </w:rPr>
        <w:t xml:space="preserve"> de funcionarios estatales buscando encubrir el hecho a través de maniobras que inician con la negativa de la privación de libertad, continúan con la desinformación o la aportación de datos falsos sobre el paradero o destino de la víctima y van hasta la realización de investigaciones ineficaces y poco diligentes que, lejos de establecer la verdad, perpetúan el desconocimiento de lo sucedido a la víctima</w:t>
      </w:r>
      <w:r w:rsidRPr="00E21797">
        <w:rPr>
          <w:rStyle w:val="FootnoteReference"/>
          <w:rFonts w:ascii="Cambria" w:hAnsi="Cambria"/>
          <w:sz w:val="20"/>
          <w:szCs w:val="20"/>
          <w:lang w:val="es-ES"/>
        </w:rPr>
        <w:footnoteReference w:id="8"/>
      </w:r>
      <w:r w:rsidRPr="00E21797">
        <w:rPr>
          <w:rFonts w:ascii="Cambria" w:hAnsi="Cambria"/>
          <w:sz w:val="20"/>
          <w:szCs w:val="20"/>
          <w:lang w:val="es-ES"/>
        </w:rPr>
        <w:t xml:space="preserve">.     </w:t>
      </w:r>
    </w:p>
    <w:p w:rsidR="00393BA0" w:rsidRPr="00E21797" w:rsidRDefault="00393BA0" w:rsidP="000A7AE0">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s="Calibri"/>
          <w:sz w:val="20"/>
          <w:szCs w:val="20"/>
        </w:rPr>
      </w:pPr>
    </w:p>
    <w:p w:rsidR="00465BD4" w:rsidRPr="00E21797" w:rsidRDefault="00465BD4" w:rsidP="00465BD4">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Arial"/>
          <w:sz w:val="20"/>
          <w:szCs w:val="20"/>
          <w:lang w:val="es-ES"/>
        </w:rPr>
      </w:pPr>
      <w:r w:rsidRPr="00E21797">
        <w:rPr>
          <w:rFonts w:ascii="Cambria" w:hAnsi="Cambria" w:cs="Arial"/>
          <w:sz w:val="20"/>
          <w:szCs w:val="20"/>
          <w:lang w:val="es-ES"/>
        </w:rPr>
        <w:t>En la misma línea, la Corte ha indicado que tratándose de un caso de alegada desaparición forzada, la prueba indiciaria y presuntiva resulta de especial  importancia ya que “esta forma de violación se caracteriza por procurar la supresión de todo elemento que permita comprobar la detención, el paradero y la suerte de las víctimas”</w:t>
      </w:r>
      <w:r w:rsidRPr="00E21797">
        <w:rPr>
          <w:rStyle w:val="FootnoteReference"/>
          <w:rFonts w:ascii="Cambria" w:hAnsi="Cambria" w:cs="Arial"/>
          <w:sz w:val="20"/>
          <w:szCs w:val="20"/>
          <w:lang w:val="es-ES"/>
        </w:rPr>
        <w:footnoteReference w:id="9"/>
      </w:r>
      <w:r w:rsidRPr="00E21797">
        <w:rPr>
          <w:rFonts w:ascii="Cambria" w:hAnsi="Cambria" w:cs="Arial"/>
          <w:sz w:val="20"/>
          <w:szCs w:val="20"/>
          <w:lang w:val="es-ES"/>
        </w:rPr>
        <w:t xml:space="preserve">. </w:t>
      </w:r>
    </w:p>
    <w:p w:rsidR="00C503A5" w:rsidRPr="00E21797" w:rsidRDefault="00C503A5" w:rsidP="00C503A5">
      <w:pPr>
        <w:pStyle w:val="MediumGrid1-Accent21"/>
        <w:rPr>
          <w:rFonts w:cs="Calibri"/>
          <w:sz w:val="20"/>
          <w:szCs w:val="20"/>
          <w:highlight w:val="yellow"/>
          <w:lang w:val="es-MX"/>
        </w:rPr>
      </w:pPr>
    </w:p>
    <w:p w:rsidR="00C503A5" w:rsidRPr="00E21797" w:rsidRDefault="00465BD4" w:rsidP="00436077">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E21797">
        <w:rPr>
          <w:rFonts w:ascii="Cambria" w:hAnsi="Cambria" w:cs="Calibri"/>
          <w:sz w:val="20"/>
          <w:szCs w:val="20"/>
          <w:lang w:val="es-MX"/>
        </w:rPr>
        <w:t xml:space="preserve">A continuación, la </w:t>
      </w:r>
      <w:r w:rsidR="00C503A5" w:rsidRPr="00E21797">
        <w:rPr>
          <w:rFonts w:ascii="Cambria" w:hAnsi="Cambria" w:cs="Calibri"/>
          <w:sz w:val="20"/>
          <w:szCs w:val="20"/>
        </w:rPr>
        <w:t>Comisión se pr</w:t>
      </w:r>
      <w:r w:rsidR="00B876EF" w:rsidRPr="00E21797">
        <w:rPr>
          <w:rFonts w:ascii="Cambria" w:hAnsi="Cambria" w:cs="Calibri"/>
          <w:sz w:val="20"/>
          <w:szCs w:val="20"/>
        </w:rPr>
        <w:t xml:space="preserve">onunciará </w:t>
      </w:r>
      <w:r w:rsidR="00CC1E17" w:rsidRPr="00E21797">
        <w:rPr>
          <w:rFonts w:ascii="Cambria" w:hAnsi="Cambria" w:cs="Calibri"/>
          <w:sz w:val="20"/>
          <w:szCs w:val="20"/>
        </w:rPr>
        <w:t>sobre los hechos que considera probados y los evaluará a la luz de las disposiciones relevantes de la Co</w:t>
      </w:r>
      <w:r w:rsidR="004745BA">
        <w:rPr>
          <w:rFonts w:ascii="Cambria" w:hAnsi="Cambria" w:cs="Calibri"/>
          <w:sz w:val="20"/>
          <w:szCs w:val="20"/>
        </w:rPr>
        <w:t>nvención</w:t>
      </w:r>
      <w:r w:rsidR="004601D2">
        <w:rPr>
          <w:rFonts w:ascii="Cambria" w:hAnsi="Cambria" w:cs="Calibri"/>
          <w:sz w:val="20"/>
          <w:szCs w:val="20"/>
        </w:rPr>
        <w:t xml:space="preserve"> Americana y de la Convención Interamericana sobre Desaparición Forzada de Personas. </w:t>
      </w:r>
    </w:p>
    <w:p w:rsidR="00C32418" w:rsidRPr="00E21797" w:rsidRDefault="00C32418" w:rsidP="00FD5827">
      <w:pPr>
        <w:pStyle w:val="Heading2"/>
        <w:numPr>
          <w:ilvl w:val="0"/>
          <w:numId w:val="0"/>
        </w:numPr>
        <w:ind w:left="720"/>
      </w:pPr>
    </w:p>
    <w:p w:rsidR="004962DD" w:rsidRPr="00860573" w:rsidRDefault="000230CD" w:rsidP="00FD5827">
      <w:pPr>
        <w:pStyle w:val="Heading2"/>
        <w:numPr>
          <w:ilvl w:val="0"/>
          <w:numId w:val="58"/>
        </w:numPr>
      </w:pPr>
      <w:bookmarkStart w:id="12" w:name="_Toc467948052"/>
      <w:r w:rsidRPr="00860573">
        <w:t xml:space="preserve">Detención y desaparición de </w:t>
      </w:r>
      <w:r w:rsidR="00F67A70" w:rsidRPr="00860573">
        <w:t>Walter Munárriz Escobar</w:t>
      </w:r>
      <w:bookmarkEnd w:id="12"/>
      <w:r w:rsidR="00EE60DA" w:rsidRPr="00860573">
        <w:t xml:space="preserve"> </w:t>
      </w:r>
    </w:p>
    <w:p w:rsidR="004433D3" w:rsidRPr="00E21797" w:rsidRDefault="004433D3" w:rsidP="00FD5827">
      <w:pPr>
        <w:pStyle w:val="Heading3"/>
        <w:numPr>
          <w:ilvl w:val="0"/>
          <w:numId w:val="0"/>
        </w:numPr>
        <w:ind w:left="1440"/>
      </w:pPr>
    </w:p>
    <w:p w:rsidR="00C316A3" w:rsidRPr="00900401" w:rsidRDefault="001F1E00" w:rsidP="00900401">
      <w:pPr>
        <w:pStyle w:val="BodyTextInden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lang w:val="es-MX"/>
        </w:rPr>
      </w:pPr>
      <w:r w:rsidRPr="00900401">
        <w:rPr>
          <w:rFonts w:ascii="Cambria" w:hAnsi="Cambria" w:cs="Calibri"/>
          <w:sz w:val="20"/>
          <w:szCs w:val="20"/>
          <w:lang w:val="es-MX"/>
        </w:rPr>
        <w:t xml:space="preserve">Según la narración de los peticionarios, </w:t>
      </w:r>
      <w:r w:rsidR="00146B61" w:rsidRPr="00900401">
        <w:rPr>
          <w:rFonts w:ascii="Cambria" w:hAnsi="Cambria" w:cs="Calibri"/>
          <w:sz w:val="20"/>
          <w:szCs w:val="20"/>
          <w:lang w:val="es-MX"/>
        </w:rPr>
        <w:t>Walter Munárriz Escobar</w:t>
      </w:r>
      <w:r w:rsidR="000632AB" w:rsidRPr="00900401">
        <w:rPr>
          <w:rFonts w:ascii="Cambria" w:hAnsi="Cambria" w:cs="Calibri"/>
          <w:sz w:val="20"/>
          <w:szCs w:val="20"/>
          <w:lang w:val="es-MX"/>
        </w:rPr>
        <w:t xml:space="preserve">, </w:t>
      </w:r>
      <w:r w:rsidR="001B06F1" w:rsidRPr="00900401">
        <w:rPr>
          <w:rFonts w:ascii="Cambria" w:hAnsi="Cambria" w:cs="Calibri"/>
          <w:sz w:val="20"/>
          <w:szCs w:val="20"/>
          <w:lang w:val="es-MX"/>
        </w:rPr>
        <w:t xml:space="preserve">de 19 años de edad, </w:t>
      </w:r>
      <w:r w:rsidR="000632AB" w:rsidRPr="00900401">
        <w:rPr>
          <w:rFonts w:ascii="Cambria" w:hAnsi="Cambria" w:cs="Calibri"/>
          <w:sz w:val="20"/>
          <w:szCs w:val="20"/>
          <w:lang w:val="es-MX"/>
        </w:rPr>
        <w:t>c</w:t>
      </w:r>
      <w:r w:rsidR="001B06F1" w:rsidRPr="00900401">
        <w:rPr>
          <w:rFonts w:ascii="Cambria" w:hAnsi="Cambria" w:cs="Calibri"/>
          <w:sz w:val="20"/>
          <w:szCs w:val="20"/>
          <w:lang w:val="es-MX"/>
        </w:rPr>
        <w:t xml:space="preserve">ursaba el segundo ciclo de la Facultad de Ingeniería de Minas en </w:t>
      </w:r>
      <w:r w:rsidRPr="00900401">
        <w:rPr>
          <w:rFonts w:ascii="Cambria" w:hAnsi="Cambria" w:cs="Calibri"/>
          <w:sz w:val="20"/>
          <w:szCs w:val="20"/>
          <w:lang w:val="es-MX"/>
        </w:rPr>
        <w:t>la Universidad de Huancavelica y v</w:t>
      </w:r>
      <w:r w:rsidR="001B06F1" w:rsidRPr="00900401">
        <w:rPr>
          <w:rFonts w:ascii="Cambria" w:hAnsi="Cambria" w:cs="Calibri"/>
          <w:sz w:val="20"/>
          <w:szCs w:val="20"/>
          <w:lang w:val="es-MX"/>
        </w:rPr>
        <w:t xml:space="preserve">ivía con su madre, Gladys </w:t>
      </w:r>
      <w:r w:rsidR="00501366" w:rsidRPr="00900401">
        <w:rPr>
          <w:rFonts w:ascii="Cambria" w:hAnsi="Cambria" w:cs="Calibri"/>
          <w:sz w:val="20"/>
          <w:szCs w:val="20"/>
          <w:lang w:val="es-MX"/>
        </w:rPr>
        <w:t xml:space="preserve"> Justina </w:t>
      </w:r>
      <w:r w:rsidR="001B06F1" w:rsidRPr="00900401">
        <w:rPr>
          <w:rFonts w:ascii="Cambria" w:hAnsi="Cambria" w:cs="Calibri"/>
          <w:sz w:val="20"/>
          <w:szCs w:val="20"/>
          <w:lang w:val="es-MX"/>
        </w:rPr>
        <w:t>Escobar Candiotti y sus cinco hermanos: Eric, Glad</w:t>
      </w:r>
      <w:r w:rsidR="007F0F19" w:rsidRPr="00900401">
        <w:rPr>
          <w:rFonts w:ascii="Cambria" w:hAnsi="Cambria" w:cs="Calibri"/>
          <w:sz w:val="20"/>
          <w:szCs w:val="20"/>
          <w:lang w:val="es-MX"/>
        </w:rPr>
        <w:t>y</w:t>
      </w:r>
      <w:r w:rsidR="001B06F1" w:rsidRPr="00900401">
        <w:rPr>
          <w:rFonts w:ascii="Cambria" w:hAnsi="Cambria" w:cs="Calibri"/>
          <w:sz w:val="20"/>
          <w:szCs w:val="20"/>
          <w:lang w:val="es-MX"/>
        </w:rPr>
        <w:t>s, Amparo, Junior y  Alaín</w:t>
      </w:r>
      <w:r w:rsidR="00900401">
        <w:rPr>
          <w:rStyle w:val="FootnoteReference"/>
          <w:rFonts w:ascii="Cambria" w:hAnsi="Cambria" w:cs="Calibri"/>
          <w:sz w:val="20"/>
          <w:szCs w:val="20"/>
          <w:lang w:val="es-MX"/>
        </w:rPr>
        <w:footnoteReference w:id="10"/>
      </w:r>
      <w:r w:rsidRPr="00900401">
        <w:rPr>
          <w:rFonts w:ascii="Cambria" w:hAnsi="Cambria" w:cs="Calibri"/>
          <w:sz w:val="20"/>
          <w:szCs w:val="20"/>
          <w:lang w:val="es-MX"/>
        </w:rPr>
        <w:t xml:space="preserve">. </w:t>
      </w:r>
    </w:p>
    <w:p w:rsidR="00C316A3" w:rsidRPr="0075471C" w:rsidRDefault="00C316A3" w:rsidP="0075471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lang w:val="es-MX"/>
        </w:rPr>
      </w:pPr>
    </w:p>
    <w:p w:rsidR="00C316A3" w:rsidRDefault="00C316A3"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Pr>
          <w:rFonts w:ascii="Cambria" w:hAnsi="Cambria"/>
          <w:sz w:val="20"/>
          <w:szCs w:val="20"/>
          <w:bdr w:val="none" w:sz="0" w:space="0" w:color="auto"/>
          <w:lang w:val="es-ES"/>
        </w:rPr>
        <w:t>Las partes coinciden en los hechos</w:t>
      </w:r>
      <w:r w:rsidR="00F01BD1">
        <w:rPr>
          <w:rFonts w:ascii="Cambria" w:hAnsi="Cambria"/>
          <w:sz w:val="20"/>
          <w:szCs w:val="20"/>
          <w:bdr w:val="none" w:sz="0" w:space="0" w:color="auto"/>
          <w:lang w:val="es-ES"/>
        </w:rPr>
        <w:t xml:space="preserve"> básicos</w:t>
      </w:r>
      <w:r>
        <w:rPr>
          <w:rFonts w:ascii="Cambria" w:hAnsi="Cambria"/>
          <w:sz w:val="20"/>
          <w:szCs w:val="20"/>
          <w:bdr w:val="none" w:sz="0" w:space="0" w:color="auto"/>
          <w:lang w:val="es-ES"/>
        </w:rPr>
        <w:t xml:space="preserve"> que se describen en los párrafos subsiguientes </w:t>
      </w:r>
      <w:r w:rsidR="00E2462D">
        <w:rPr>
          <w:rFonts w:ascii="Cambria" w:hAnsi="Cambria"/>
          <w:sz w:val="20"/>
          <w:szCs w:val="20"/>
          <w:bdr w:val="none" w:sz="0" w:space="0" w:color="auto"/>
          <w:lang w:val="es-ES"/>
        </w:rPr>
        <w:t>33</w:t>
      </w:r>
      <w:r>
        <w:rPr>
          <w:rFonts w:ascii="Cambria" w:hAnsi="Cambria"/>
          <w:sz w:val="20"/>
          <w:szCs w:val="20"/>
          <w:bdr w:val="none" w:sz="0" w:space="0" w:color="auto"/>
          <w:lang w:val="es-ES"/>
        </w:rPr>
        <w:t xml:space="preserve"> y</w:t>
      </w:r>
      <w:r w:rsidR="00E2462D">
        <w:rPr>
          <w:rFonts w:ascii="Cambria" w:hAnsi="Cambria"/>
          <w:sz w:val="20"/>
          <w:szCs w:val="20"/>
          <w:bdr w:val="none" w:sz="0" w:space="0" w:color="auto"/>
          <w:lang w:val="es-ES"/>
        </w:rPr>
        <w:t xml:space="preserve"> 34</w:t>
      </w:r>
      <w:r>
        <w:rPr>
          <w:rFonts w:ascii="Cambria" w:hAnsi="Cambria"/>
          <w:sz w:val="20"/>
          <w:szCs w:val="20"/>
          <w:bdr w:val="none" w:sz="0" w:space="0" w:color="auto"/>
          <w:lang w:val="es-ES"/>
        </w:rPr>
        <w:t xml:space="preserve">. Además, los mismos fueron establecidos en la sentencia de 25 de mayo de 2004. </w:t>
      </w:r>
      <w:r w:rsidR="007074E2">
        <w:rPr>
          <w:rFonts w:ascii="Cambria" w:hAnsi="Cambria"/>
          <w:sz w:val="20"/>
          <w:szCs w:val="20"/>
          <w:bdr w:val="none" w:sz="0" w:space="0" w:color="auto"/>
          <w:lang w:val="es-ES"/>
        </w:rPr>
        <w:t>Tomando en cuenta que la descripción en dicho fallo judicial coincide con la narración de las partes que, a su vez, es coincidente entre sí</w:t>
      </w:r>
      <w:r w:rsidR="00F01BD1">
        <w:rPr>
          <w:rFonts w:ascii="Cambria" w:hAnsi="Cambria"/>
          <w:sz w:val="20"/>
          <w:szCs w:val="20"/>
          <w:bdr w:val="none" w:sz="0" w:space="0" w:color="auto"/>
          <w:lang w:val="es-ES"/>
        </w:rPr>
        <w:t xml:space="preserve">, </w:t>
      </w:r>
      <w:r w:rsidR="007074E2">
        <w:rPr>
          <w:rFonts w:ascii="Cambria" w:hAnsi="Cambria"/>
          <w:sz w:val="20"/>
          <w:szCs w:val="20"/>
          <w:bdr w:val="none" w:sz="0" w:space="0" w:color="auto"/>
          <w:lang w:val="es-ES"/>
        </w:rPr>
        <w:t xml:space="preserve">la Comisión los da por establecidos. </w:t>
      </w:r>
    </w:p>
    <w:p w:rsidR="00C316A3" w:rsidRDefault="00C316A3" w:rsidP="00AE6008">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1870D6" w:rsidRPr="008673F7" w:rsidRDefault="001F1E00"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E21797">
        <w:rPr>
          <w:rFonts w:ascii="Cambria" w:hAnsi="Cambria"/>
          <w:sz w:val="20"/>
          <w:szCs w:val="20"/>
          <w:bdr w:val="none" w:sz="0" w:space="0" w:color="auto"/>
          <w:lang w:val="es-ES"/>
        </w:rPr>
        <w:t xml:space="preserve">Walter Munárriz fue detenido </w:t>
      </w:r>
      <w:r w:rsidR="00CA7938" w:rsidRPr="00E21797">
        <w:rPr>
          <w:rFonts w:ascii="Cambria" w:hAnsi="Cambria"/>
          <w:sz w:val="20"/>
          <w:szCs w:val="20"/>
          <w:bdr w:val="none" w:sz="0" w:space="0" w:color="auto"/>
          <w:lang w:val="es-ES"/>
        </w:rPr>
        <w:t>en</w:t>
      </w:r>
      <w:r w:rsidR="0086671D">
        <w:rPr>
          <w:rFonts w:ascii="Cambria" w:hAnsi="Cambria"/>
          <w:sz w:val="20"/>
          <w:szCs w:val="20"/>
          <w:bdr w:val="none" w:sz="0" w:space="0" w:color="auto"/>
          <w:lang w:val="es-ES"/>
        </w:rPr>
        <w:t xml:space="preserve"> el Hospedaje “Los Manolos”</w:t>
      </w:r>
      <w:r w:rsidR="00CA7938" w:rsidRPr="00E21797">
        <w:rPr>
          <w:rFonts w:ascii="Cambria" w:hAnsi="Cambria"/>
          <w:sz w:val="20"/>
          <w:szCs w:val="20"/>
          <w:bdr w:val="none" w:sz="0" w:space="0" w:color="auto"/>
          <w:lang w:val="es-ES"/>
        </w:rPr>
        <w:t xml:space="preserve"> la madrugada de</w:t>
      </w:r>
      <w:r w:rsidRPr="00E21797">
        <w:rPr>
          <w:rFonts w:ascii="Cambria" w:hAnsi="Cambria"/>
          <w:sz w:val="20"/>
          <w:szCs w:val="20"/>
          <w:bdr w:val="none" w:sz="0" w:space="0" w:color="auto"/>
          <w:lang w:val="es-ES"/>
        </w:rPr>
        <w:t>l 20 de marzo de 1999, por un suboficial de la Policía Nacional Peruana</w:t>
      </w:r>
      <w:r w:rsidR="0093643A">
        <w:rPr>
          <w:rFonts w:ascii="Cambria" w:hAnsi="Cambria"/>
          <w:sz w:val="20"/>
          <w:szCs w:val="20"/>
          <w:bdr w:val="none" w:sz="0" w:space="0" w:color="auto"/>
          <w:lang w:val="es-ES"/>
        </w:rPr>
        <w:t xml:space="preserve"> (PNP)</w:t>
      </w:r>
      <w:r w:rsidRPr="00E21797">
        <w:rPr>
          <w:rFonts w:ascii="Cambria" w:hAnsi="Cambria"/>
          <w:sz w:val="20"/>
          <w:szCs w:val="20"/>
          <w:bdr w:val="none" w:sz="0" w:space="0" w:color="auto"/>
          <w:lang w:val="es-ES"/>
        </w:rPr>
        <w:t xml:space="preserve"> y llevado a la </w:t>
      </w:r>
      <w:r w:rsidR="00CF2E46">
        <w:rPr>
          <w:rFonts w:ascii="Cambria" w:hAnsi="Cambria"/>
          <w:sz w:val="20"/>
          <w:szCs w:val="20"/>
          <w:bdr w:val="none" w:sz="0" w:space="0" w:color="auto"/>
          <w:lang w:val="es-ES"/>
        </w:rPr>
        <w:t xml:space="preserve">Comisaría de Lircay en Perú </w:t>
      </w:r>
      <w:r w:rsidR="000E27C1">
        <w:rPr>
          <w:rFonts w:ascii="Cambria" w:hAnsi="Cambria"/>
          <w:sz w:val="20"/>
          <w:szCs w:val="20"/>
          <w:bdr w:val="none" w:sz="0" w:space="0" w:color="auto"/>
          <w:lang w:val="es-ES"/>
        </w:rPr>
        <w:t xml:space="preserve">tras </w:t>
      </w:r>
      <w:r w:rsidRPr="00E21797">
        <w:rPr>
          <w:rFonts w:ascii="Cambria" w:hAnsi="Cambria"/>
          <w:sz w:val="20"/>
          <w:szCs w:val="20"/>
          <w:bdr w:val="none" w:sz="0" w:space="0" w:color="auto"/>
          <w:lang w:val="es-ES"/>
        </w:rPr>
        <w:t xml:space="preserve">haber entrado a la habitación de dos huéspedes </w:t>
      </w:r>
      <w:r w:rsidR="0075471C" w:rsidRPr="00E21797">
        <w:rPr>
          <w:rFonts w:ascii="Cambria" w:hAnsi="Cambria"/>
          <w:sz w:val="20"/>
          <w:szCs w:val="20"/>
          <w:bdr w:val="none" w:sz="0" w:space="0" w:color="auto"/>
          <w:lang w:val="es-ES"/>
        </w:rPr>
        <w:t>en</w:t>
      </w:r>
      <w:r w:rsidR="00E17E1E">
        <w:rPr>
          <w:rFonts w:ascii="Cambria" w:hAnsi="Cambria"/>
          <w:sz w:val="20"/>
          <w:szCs w:val="20"/>
          <w:bdr w:val="none" w:sz="0" w:space="0" w:color="auto"/>
          <w:lang w:val="es-ES"/>
        </w:rPr>
        <w:t xml:space="preserve"> dicho Hospedaje</w:t>
      </w:r>
      <w:r w:rsidR="001870D6">
        <w:rPr>
          <w:rStyle w:val="FootnoteReference"/>
          <w:rFonts w:ascii="Cambria" w:hAnsi="Cambria"/>
          <w:sz w:val="20"/>
          <w:szCs w:val="20"/>
          <w:bdr w:val="none" w:sz="0" w:space="0" w:color="auto"/>
          <w:lang w:val="es-ES"/>
        </w:rPr>
        <w:footnoteReference w:id="11"/>
      </w:r>
      <w:r w:rsidR="0075471C" w:rsidRPr="00E21797">
        <w:rPr>
          <w:rFonts w:ascii="Cambria" w:hAnsi="Cambria"/>
          <w:sz w:val="20"/>
          <w:szCs w:val="20"/>
          <w:bdr w:val="none" w:sz="0" w:space="0" w:color="auto"/>
          <w:lang w:val="es-ES"/>
        </w:rPr>
        <w:t>.</w:t>
      </w:r>
      <w:r w:rsidR="00F82116">
        <w:rPr>
          <w:rFonts w:ascii="Cambria" w:hAnsi="Cambria"/>
          <w:sz w:val="20"/>
          <w:szCs w:val="20"/>
          <w:bdr w:val="none" w:sz="0" w:space="0" w:color="auto"/>
          <w:lang w:val="es-ES"/>
        </w:rPr>
        <w:t xml:space="preserve"> Los peticionarios describieron consistentemente y el Estado no controvirtió que dicha habitación correspondía a un agente de la policía y su esposa.</w:t>
      </w:r>
      <w:r w:rsidR="0075471C" w:rsidRPr="00E21797">
        <w:rPr>
          <w:rFonts w:ascii="Cambria" w:hAnsi="Cambria"/>
          <w:sz w:val="20"/>
          <w:szCs w:val="20"/>
          <w:bdr w:val="none" w:sz="0" w:space="0" w:color="auto"/>
          <w:lang w:val="es-ES"/>
        </w:rPr>
        <w:t xml:space="preserve"> </w:t>
      </w:r>
      <w:r w:rsidR="00D101AB" w:rsidRPr="005B0E1E">
        <w:rPr>
          <w:rFonts w:ascii="Cambria" w:hAnsi="Cambria"/>
          <w:color w:val="auto"/>
          <w:sz w:val="20"/>
          <w:szCs w:val="20"/>
          <w:bdr w:val="none" w:sz="0" w:space="0" w:color="auto"/>
          <w:lang w:val="es-ES"/>
        </w:rPr>
        <w:t>Según l</w:t>
      </w:r>
      <w:r w:rsidR="00AE6008" w:rsidRPr="005B0E1E">
        <w:rPr>
          <w:rFonts w:ascii="Cambria" w:hAnsi="Cambria"/>
          <w:color w:val="auto"/>
          <w:sz w:val="20"/>
          <w:szCs w:val="20"/>
          <w:bdr w:val="none" w:sz="0" w:space="0" w:color="auto"/>
          <w:lang w:val="es-ES"/>
        </w:rPr>
        <w:t>os peticionarios</w:t>
      </w:r>
      <w:r w:rsidR="00D101AB" w:rsidRPr="005B0E1E">
        <w:rPr>
          <w:rFonts w:ascii="Cambria" w:hAnsi="Cambria"/>
          <w:color w:val="auto"/>
          <w:sz w:val="20"/>
          <w:szCs w:val="20"/>
          <w:bdr w:val="none" w:sz="0" w:space="0" w:color="auto"/>
          <w:lang w:val="es-ES"/>
        </w:rPr>
        <w:t>,</w:t>
      </w:r>
      <w:r w:rsidR="00AE6008" w:rsidRPr="005B0E1E">
        <w:rPr>
          <w:rFonts w:ascii="Cambria" w:hAnsi="Cambria"/>
          <w:color w:val="auto"/>
          <w:sz w:val="20"/>
          <w:szCs w:val="20"/>
          <w:bdr w:val="none" w:sz="0" w:space="0" w:color="auto"/>
          <w:lang w:val="es-ES"/>
        </w:rPr>
        <w:t xml:space="preserve"> </w:t>
      </w:r>
      <w:r w:rsidR="00D101AB" w:rsidRPr="005B0E1E">
        <w:rPr>
          <w:rFonts w:ascii="Cambria" w:hAnsi="Cambria"/>
          <w:color w:val="auto"/>
          <w:sz w:val="20"/>
          <w:szCs w:val="20"/>
          <w:bdr w:val="none" w:sz="0" w:space="0" w:color="auto"/>
          <w:lang w:val="es-ES"/>
        </w:rPr>
        <w:t xml:space="preserve">Walter Munárriz </w:t>
      </w:r>
      <w:r w:rsidR="00AE6008" w:rsidRPr="005B0E1E">
        <w:rPr>
          <w:rFonts w:ascii="Cambria" w:hAnsi="Cambria"/>
          <w:color w:val="auto"/>
          <w:sz w:val="20"/>
          <w:szCs w:val="20"/>
          <w:bdr w:val="none" w:sz="0" w:space="0" w:color="auto"/>
          <w:lang w:val="es-ES"/>
        </w:rPr>
        <w:t>acudió a dicho hotel para visitar a su amigo Jorge Suárez</w:t>
      </w:r>
      <w:r w:rsidR="00811FBE" w:rsidRPr="005B0E1E">
        <w:rPr>
          <w:rFonts w:ascii="Cambria" w:hAnsi="Cambria"/>
          <w:color w:val="auto"/>
          <w:sz w:val="20"/>
          <w:szCs w:val="20"/>
          <w:bdr w:val="none" w:sz="0" w:space="0" w:color="auto"/>
          <w:lang w:val="es-ES"/>
        </w:rPr>
        <w:t>,</w:t>
      </w:r>
      <w:r w:rsidR="00AE6008" w:rsidRPr="005B0E1E">
        <w:rPr>
          <w:rFonts w:ascii="Cambria" w:hAnsi="Cambria"/>
          <w:color w:val="auto"/>
          <w:sz w:val="20"/>
          <w:szCs w:val="20"/>
          <w:bdr w:val="none" w:sz="0" w:space="0" w:color="auto"/>
          <w:lang w:val="es-ES"/>
        </w:rPr>
        <w:t xml:space="preserve"> quien se hospedaba allí.</w:t>
      </w:r>
      <w:r w:rsidR="002A4968">
        <w:rPr>
          <w:rFonts w:ascii="Cambria" w:hAnsi="Cambria"/>
          <w:color w:val="auto"/>
          <w:sz w:val="20"/>
          <w:szCs w:val="20"/>
          <w:bdr w:val="none" w:sz="0" w:space="0" w:color="auto"/>
          <w:lang w:val="es-ES"/>
        </w:rPr>
        <w:t xml:space="preserve"> </w:t>
      </w:r>
      <w:r w:rsidR="00D37C75">
        <w:rPr>
          <w:rFonts w:ascii="Cambria" w:hAnsi="Cambria"/>
          <w:sz w:val="20"/>
          <w:szCs w:val="20"/>
          <w:bdr w:val="none" w:sz="0" w:space="0" w:color="auto"/>
          <w:lang w:val="es-ES"/>
        </w:rPr>
        <w:t>La Comisión no cuenta con documentación que sustente la base constitucional y/o legal de la detenció</w:t>
      </w:r>
      <w:r w:rsidR="00C343CE">
        <w:rPr>
          <w:rFonts w:ascii="Cambria" w:hAnsi="Cambria"/>
          <w:sz w:val="20"/>
          <w:szCs w:val="20"/>
          <w:bdr w:val="none" w:sz="0" w:space="0" w:color="auto"/>
          <w:lang w:val="es-ES"/>
        </w:rPr>
        <w:t>n en estas circunstancias. Tampoco se cuenta con registro alguno del ingreso de Walter Munárriz a la Comisaría de Lircay</w:t>
      </w:r>
      <w:r w:rsidR="00C343CE" w:rsidRPr="008673F7">
        <w:rPr>
          <w:rFonts w:ascii="Cambria" w:hAnsi="Cambria"/>
          <w:sz w:val="20"/>
          <w:szCs w:val="20"/>
          <w:bdr w:val="none" w:sz="0" w:space="0" w:color="auto"/>
          <w:lang w:val="es-ES"/>
        </w:rPr>
        <w:t>.</w:t>
      </w:r>
      <w:r w:rsidR="00D37C75" w:rsidRPr="008673F7">
        <w:rPr>
          <w:rFonts w:ascii="Cambria" w:hAnsi="Cambria"/>
          <w:sz w:val="20"/>
          <w:szCs w:val="20"/>
          <w:bdr w:val="none" w:sz="0" w:space="0" w:color="auto"/>
          <w:lang w:val="es-ES"/>
        </w:rPr>
        <w:t xml:space="preserve"> Por el contrario, el Estado reconoció que no se emitió documentación oficial alguna al respecto. </w:t>
      </w:r>
    </w:p>
    <w:p w:rsidR="001870D6" w:rsidRDefault="001870D6" w:rsidP="001870D6">
      <w:pPr>
        <w:pStyle w:val="MediumGrid1-Accent21"/>
        <w:rPr>
          <w:sz w:val="20"/>
          <w:szCs w:val="20"/>
          <w:bdr w:val="none" w:sz="0" w:space="0" w:color="auto"/>
          <w:lang w:val="es-ES"/>
        </w:rPr>
      </w:pPr>
    </w:p>
    <w:p w:rsidR="005B0E1E" w:rsidRPr="00EB2C68" w:rsidRDefault="001870D6"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1870D6">
        <w:rPr>
          <w:rFonts w:ascii="Cambria" w:hAnsi="Cambria"/>
          <w:sz w:val="20"/>
          <w:szCs w:val="20"/>
          <w:bdr w:val="none" w:sz="0" w:space="0" w:color="auto"/>
          <w:lang w:val="es-ES"/>
        </w:rPr>
        <w:t>Walter Munárriz fue llevado a la Comisaría PNP de Lircay, aproximadamente a las 4:10 am, por el oficial Gunther Cuaresma Ramos</w:t>
      </w:r>
      <w:r>
        <w:rPr>
          <w:rStyle w:val="FootnoteReference"/>
          <w:rFonts w:ascii="Cambria" w:hAnsi="Cambria"/>
          <w:sz w:val="20"/>
          <w:szCs w:val="20"/>
          <w:bdr w:val="none" w:sz="0" w:space="0" w:color="auto"/>
          <w:lang w:val="es-ES"/>
        </w:rPr>
        <w:footnoteReference w:id="12"/>
      </w:r>
      <w:r w:rsidRPr="001870D6">
        <w:rPr>
          <w:rFonts w:ascii="Cambria" w:hAnsi="Cambria"/>
          <w:sz w:val="20"/>
          <w:szCs w:val="20"/>
          <w:bdr w:val="none" w:sz="0" w:space="0" w:color="auto"/>
          <w:lang w:val="es-ES"/>
        </w:rPr>
        <w:t xml:space="preserve">. Minutos después, la </w:t>
      </w:r>
      <w:r w:rsidR="0075471C" w:rsidRPr="001870D6">
        <w:rPr>
          <w:rFonts w:ascii="Cambria" w:hAnsi="Cambria"/>
          <w:sz w:val="20"/>
          <w:szCs w:val="20"/>
          <w:bdr w:val="none" w:sz="0" w:space="0" w:color="auto"/>
          <w:lang w:val="es-ES"/>
        </w:rPr>
        <w:t>dueña del ho</w:t>
      </w:r>
      <w:r w:rsidR="000C3CC1">
        <w:rPr>
          <w:rFonts w:ascii="Cambria" w:hAnsi="Cambria"/>
          <w:sz w:val="20"/>
          <w:szCs w:val="20"/>
          <w:bdr w:val="none" w:sz="0" w:space="0" w:color="auto"/>
          <w:lang w:val="es-ES"/>
        </w:rPr>
        <w:t>spedaje “Los Manolos”</w:t>
      </w:r>
      <w:r>
        <w:rPr>
          <w:rFonts w:ascii="Cambria" w:hAnsi="Cambria"/>
          <w:sz w:val="20"/>
          <w:szCs w:val="20"/>
          <w:bdr w:val="none" w:sz="0" w:space="0" w:color="auto"/>
          <w:lang w:val="es-ES"/>
        </w:rPr>
        <w:t>, Maura Romero Bendezú</w:t>
      </w:r>
      <w:r w:rsidR="000C16EF">
        <w:rPr>
          <w:rFonts w:ascii="Cambria" w:hAnsi="Cambria"/>
          <w:sz w:val="20"/>
          <w:szCs w:val="20"/>
          <w:bdr w:val="none" w:sz="0" w:space="0" w:color="auto"/>
          <w:lang w:val="es-ES"/>
        </w:rPr>
        <w:t>,</w:t>
      </w:r>
      <w:r>
        <w:rPr>
          <w:rFonts w:ascii="Cambria" w:hAnsi="Cambria"/>
          <w:sz w:val="20"/>
          <w:szCs w:val="20"/>
          <w:bdr w:val="none" w:sz="0" w:space="0" w:color="auto"/>
          <w:lang w:val="es-ES"/>
        </w:rPr>
        <w:t xml:space="preserve"> se apersonó junto con su hermano en la Comisaría y, al darse cuenta de que se trataba de Walter Munárri</w:t>
      </w:r>
      <w:r w:rsidR="0093643A">
        <w:rPr>
          <w:rFonts w:ascii="Cambria" w:hAnsi="Cambria"/>
          <w:sz w:val="20"/>
          <w:szCs w:val="20"/>
          <w:bdr w:val="none" w:sz="0" w:space="0" w:color="auto"/>
          <w:lang w:val="es-ES"/>
        </w:rPr>
        <w:t>z, a quien conocía desde niño</w:t>
      </w:r>
      <w:r w:rsidR="008808BA">
        <w:rPr>
          <w:rStyle w:val="FootnoteReference"/>
          <w:rFonts w:ascii="Cambria" w:hAnsi="Cambria"/>
          <w:sz w:val="20"/>
          <w:szCs w:val="20"/>
          <w:bdr w:val="none" w:sz="0" w:space="0" w:color="auto"/>
          <w:lang w:val="es-ES"/>
        </w:rPr>
        <w:footnoteReference w:id="13"/>
      </w:r>
      <w:r w:rsidR="0093643A">
        <w:rPr>
          <w:rFonts w:ascii="Cambria" w:hAnsi="Cambria"/>
          <w:sz w:val="20"/>
          <w:szCs w:val="20"/>
          <w:bdr w:val="none" w:sz="0" w:space="0" w:color="auto"/>
          <w:lang w:val="es-ES"/>
        </w:rPr>
        <w:t xml:space="preserve"> y ser</w:t>
      </w:r>
      <w:r w:rsidR="000C16EF">
        <w:rPr>
          <w:rFonts w:ascii="Cambria" w:hAnsi="Cambria"/>
          <w:sz w:val="20"/>
          <w:szCs w:val="20"/>
          <w:bdr w:val="none" w:sz="0" w:space="0" w:color="auto"/>
          <w:lang w:val="es-ES"/>
        </w:rPr>
        <w:t xml:space="preserve"> éste</w:t>
      </w:r>
      <w:r w:rsidR="0093643A">
        <w:rPr>
          <w:rFonts w:ascii="Cambria" w:hAnsi="Cambria"/>
          <w:sz w:val="20"/>
          <w:szCs w:val="20"/>
          <w:bdr w:val="none" w:sz="0" w:space="0" w:color="auto"/>
          <w:lang w:val="es-ES"/>
        </w:rPr>
        <w:t xml:space="preserve"> </w:t>
      </w:r>
      <w:r>
        <w:rPr>
          <w:rFonts w:ascii="Cambria" w:hAnsi="Cambria"/>
          <w:sz w:val="20"/>
          <w:szCs w:val="20"/>
          <w:bdr w:val="none" w:sz="0" w:space="0" w:color="auto"/>
          <w:lang w:val="es-ES"/>
        </w:rPr>
        <w:t xml:space="preserve">una persona tranquila, </w:t>
      </w:r>
      <w:r w:rsidR="002B45FA">
        <w:rPr>
          <w:rFonts w:ascii="Cambria" w:hAnsi="Cambria"/>
          <w:sz w:val="20"/>
          <w:szCs w:val="20"/>
          <w:bdr w:val="none" w:sz="0" w:space="0" w:color="auto"/>
          <w:lang w:val="es-ES"/>
        </w:rPr>
        <w:t xml:space="preserve">indicó </w:t>
      </w:r>
      <w:r>
        <w:rPr>
          <w:rFonts w:ascii="Cambria" w:hAnsi="Cambria"/>
          <w:sz w:val="20"/>
          <w:szCs w:val="20"/>
          <w:bdr w:val="none" w:sz="0" w:space="0" w:color="auto"/>
          <w:lang w:val="es-ES"/>
        </w:rPr>
        <w:t xml:space="preserve">al oficial Ángeles </w:t>
      </w:r>
      <w:r>
        <w:rPr>
          <w:rFonts w:ascii="Cambria" w:hAnsi="Cambria"/>
          <w:sz w:val="20"/>
          <w:szCs w:val="20"/>
          <w:bdr w:val="none" w:sz="0" w:space="0" w:color="auto"/>
          <w:lang w:val="es-ES"/>
        </w:rPr>
        <w:lastRenderedPageBreak/>
        <w:t>Ramos que no formularía denuncia en su contra</w:t>
      </w:r>
      <w:r w:rsidR="002B45FA">
        <w:rPr>
          <w:rStyle w:val="FootnoteReference"/>
          <w:rFonts w:ascii="Cambria" w:hAnsi="Cambria"/>
          <w:sz w:val="20"/>
          <w:szCs w:val="20"/>
          <w:bdr w:val="none" w:sz="0" w:space="0" w:color="auto"/>
          <w:lang w:val="es-ES"/>
        </w:rPr>
        <w:footnoteReference w:id="14"/>
      </w:r>
      <w:r>
        <w:rPr>
          <w:rFonts w:ascii="Cambria" w:hAnsi="Cambria"/>
          <w:sz w:val="20"/>
          <w:szCs w:val="20"/>
          <w:bdr w:val="none" w:sz="0" w:space="0" w:color="auto"/>
          <w:lang w:val="es-ES"/>
        </w:rPr>
        <w:t xml:space="preserve">. </w:t>
      </w:r>
      <w:r w:rsidR="0075471C" w:rsidRPr="001870D6">
        <w:rPr>
          <w:rFonts w:ascii="Cambria" w:hAnsi="Cambria"/>
          <w:sz w:val="20"/>
          <w:szCs w:val="20"/>
          <w:bdr w:val="none" w:sz="0" w:space="0" w:color="auto"/>
          <w:lang w:val="es-ES"/>
        </w:rPr>
        <w:t>Al retirarse</w:t>
      </w:r>
      <w:r w:rsidR="000230CD" w:rsidRPr="001870D6">
        <w:rPr>
          <w:rFonts w:ascii="Cambria" w:hAnsi="Cambria"/>
          <w:sz w:val="20"/>
          <w:szCs w:val="20"/>
          <w:bdr w:val="none" w:sz="0" w:space="0" w:color="auto"/>
          <w:lang w:val="es-ES"/>
        </w:rPr>
        <w:t xml:space="preserve"> </w:t>
      </w:r>
      <w:r>
        <w:rPr>
          <w:rFonts w:ascii="Cambria" w:hAnsi="Cambria"/>
          <w:sz w:val="20"/>
          <w:szCs w:val="20"/>
          <w:bdr w:val="none" w:sz="0" w:space="0" w:color="auto"/>
          <w:lang w:val="es-ES"/>
        </w:rPr>
        <w:t xml:space="preserve">la señora Maura Romero, aproximadamente a las 4:30 am del mismo 20 de marzo de 1999, </w:t>
      </w:r>
      <w:r w:rsidR="0075471C" w:rsidRPr="001870D6">
        <w:rPr>
          <w:rFonts w:ascii="Cambria" w:hAnsi="Cambria"/>
          <w:sz w:val="20"/>
          <w:szCs w:val="20"/>
          <w:bdr w:val="none" w:sz="0" w:space="0" w:color="auto"/>
          <w:lang w:val="es-ES"/>
        </w:rPr>
        <w:t>Walter Munárriz se quedó en la dependencia policial</w:t>
      </w:r>
      <w:r w:rsidR="009C2ECD">
        <w:rPr>
          <w:rFonts w:ascii="Cambria" w:hAnsi="Cambria"/>
          <w:sz w:val="20"/>
          <w:szCs w:val="20"/>
          <w:bdr w:val="none" w:sz="0" w:space="0" w:color="auto"/>
          <w:lang w:val="es-ES"/>
        </w:rPr>
        <w:t xml:space="preserve"> bajo custodia estatal</w:t>
      </w:r>
      <w:r w:rsidR="0075471C" w:rsidRPr="001F1E00">
        <w:rPr>
          <w:rFonts w:ascii="Cambria" w:eastAsia="Calibri" w:hAnsi="Cambria"/>
          <w:color w:val="auto"/>
          <w:sz w:val="20"/>
          <w:szCs w:val="20"/>
          <w:bdr w:val="none" w:sz="0" w:space="0" w:color="auto"/>
          <w:vertAlign w:val="superscript"/>
          <w:lang w:val="es-MX" w:eastAsia="en-US"/>
        </w:rPr>
        <w:footnoteReference w:id="15"/>
      </w:r>
      <w:r w:rsidR="00CA7938" w:rsidRPr="001870D6">
        <w:rPr>
          <w:rFonts w:ascii="Cambria" w:hAnsi="Cambria"/>
          <w:sz w:val="20"/>
          <w:szCs w:val="20"/>
          <w:lang w:val="es-MX"/>
        </w:rPr>
        <w:t>.</w:t>
      </w:r>
      <w:r w:rsidR="00A80794">
        <w:rPr>
          <w:rFonts w:ascii="Cambria" w:hAnsi="Cambria"/>
          <w:sz w:val="20"/>
          <w:szCs w:val="20"/>
          <w:lang w:val="es-MX"/>
        </w:rPr>
        <w:t xml:space="preserve"> </w:t>
      </w:r>
    </w:p>
    <w:p w:rsidR="005B0E1E" w:rsidRDefault="005B0E1E" w:rsidP="005B0E1E">
      <w:pPr>
        <w:pStyle w:val="ColorfulList-Accent12"/>
        <w:rPr>
          <w:rFonts w:ascii="Cambria" w:hAnsi="Cambria"/>
          <w:sz w:val="20"/>
          <w:szCs w:val="20"/>
          <w:lang w:val="es-MX"/>
        </w:rPr>
      </w:pPr>
    </w:p>
    <w:p w:rsidR="001B06F1" w:rsidRPr="000C3CC1" w:rsidRDefault="005A5BD1"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Pr>
          <w:rFonts w:ascii="Cambria" w:hAnsi="Cambria"/>
          <w:sz w:val="20"/>
          <w:szCs w:val="20"/>
          <w:lang w:val="es-MX"/>
        </w:rPr>
        <w:t>Desde entonces, no se tiene noticia</w:t>
      </w:r>
      <w:r w:rsidR="00D4569E">
        <w:rPr>
          <w:rFonts w:ascii="Cambria" w:hAnsi="Cambria"/>
          <w:sz w:val="20"/>
          <w:szCs w:val="20"/>
          <w:lang w:val="es-MX"/>
        </w:rPr>
        <w:t xml:space="preserve"> comprobada</w:t>
      </w:r>
      <w:r w:rsidR="000C16EF">
        <w:rPr>
          <w:rFonts w:ascii="Cambria" w:hAnsi="Cambria"/>
          <w:sz w:val="20"/>
          <w:szCs w:val="20"/>
          <w:lang w:val="es-MX"/>
        </w:rPr>
        <w:t xml:space="preserve"> de su destino o paradero. </w:t>
      </w:r>
    </w:p>
    <w:p w:rsidR="000C3CC1" w:rsidRDefault="000C3CC1" w:rsidP="008B1679">
      <w:pPr>
        <w:pStyle w:val="MediumGrid1-Accent21"/>
        <w:rPr>
          <w:sz w:val="20"/>
          <w:szCs w:val="20"/>
          <w:bdr w:val="none" w:sz="0" w:space="0" w:color="auto"/>
          <w:lang w:val="es-ES"/>
        </w:rPr>
      </w:pPr>
    </w:p>
    <w:p w:rsidR="00A57D41" w:rsidRPr="00EB2C68" w:rsidRDefault="00A57D41"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EB2C68">
        <w:rPr>
          <w:rFonts w:ascii="Cambria" w:hAnsi="Cambria"/>
          <w:sz w:val="20"/>
          <w:szCs w:val="20"/>
          <w:bdr w:val="none" w:sz="0" w:space="0" w:color="auto"/>
          <w:lang w:val="es-ES"/>
        </w:rPr>
        <w:t xml:space="preserve">Marcos Leónidas Sierra Tueros, quien el día de los hechos se encontraba detenido en la Comisaría de Lircay, declaró ante personal de la Defensoría del Pueblo afirmando que en la madrugada de ese día escuchó quejidos de una persona pidiendo que “ya no le peguen más”, logrando distinguir las voces de los sub-oficiales Cuaresma Ramos y Ángeles Ramos como </w:t>
      </w:r>
      <w:r w:rsidR="00C8482B" w:rsidRPr="001D0EF0">
        <w:rPr>
          <w:rFonts w:ascii="Cambria" w:hAnsi="Cambria"/>
          <w:sz w:val="20"/>
          <w:szCs w:val="20"/>
          <w:bdr w:val="none" w:sz="0" w:space="0" w:color="auto"/>
          <w:lang w:val="es-ES"/>
        </w:rPr>
        <w:t>los agresores</w:t>
      </w:r>
      <w:r w:rsidRPr="00E715D0">
        <w:rPr>
          <w:rFonts w:ascii="Cambria" w:hAnsi="Cambria"/>
          <w:sz w:val="20"/>
          <w:szCs w:val="20"/>
          <w:bdr w:val="none" w:sz="0" w:space="0" w:color="auto"/>
          <w:lang w:val="es-ES"/>
        </w:rPr>
        <w:t>, agregando que conjuntamente con Raúl Don</w:t>
      </w:r>
      <w:r w:rsidR="005B0E1E" w:rsidRPr="00E715D0">
        <w:rPr>
          <w:rFonts w:ascii="Cambria" w:hAnsi="Cambria"/>
          <w:sz w:val="20"/>
          <w:szCs w:val="20"/>
          <w:bdr w:val="none" w:sz="0" w:space="0" w:color="auto"/>
          <w:lang w:val="es-ES"/>
        </w:rPr>
        <w:t>a</w:t>
      </w:r>
      <w:r w:rsidR="00A11284" w:rsidRPr="00E715D0">
        <w:rPr>
          <w:rFonts w:ascii="Cambria" w:hAnsi="Cambria"/>
          <w:sz w:val="20"/>
          <w:szCs w:val="20"/>
          <w:bdr w:val="none" w:sz="0" w:space="0" w:color="auto"/>
          <w:lang w:val="es-ES"/>
        </w:rPr>
        <w:t>y</w:t>
      </w:r>
      <w:r w:rsidRPr="00E715D0">
        <w:rPr>
          <w:rFonts w:ascii="Cambria" w:hAnsi="Cambria"/>
          <w:sz w:val="20"/>
          <w:szCs w:val="20"/>
          <w:bdr w:val="none" w:sz="0" w:space="0" w:color="auto"/>
          <w:lang w:val="es-ES"/>
        </w:rPr>
        <w:t>res Huamán fue coaccionado para que declar</w:t>
      </w:r>
      <w:r w:rsidR="00C8482B" w:rsidRPr="0003059F">
        <w:rPr>
          <w:rFonts w:ascii="Cambria" w:hAnsi="Cambria"/>
          <w:sz w:val="20"/>
          <w:szCs w:val="20"/>
          <w:bdr w:val="none" w:sz="0" w:space="0" w:color="auto"/>
          <w:lang w:val="es-ES"/>
        </w:rPr>
        <w:t>ara</w:t>
      </w:r>
      <w:r w:rsidRPr="0003059F">
        <w:rPr>
          <w:rFonts w:ascii="Cambria" w:hAnsi="Cambria"/>
          <w:sz w:val="20"/>
          <w:szCs w:val="20"/>
          <w:bdr w:val="none" w:sz="0" w:space="0" w:color="auto"/>
          <w:lang w:val="es-ES"/>
        </w:rPr>
        <w:t xml:space="preserve"> ante el Fiscal Provincial y ante cualquier otra autoridad que la madrugada de aquel día no había sucedido nada</w:t>
      </w:r>
      <w:r w:rsidR="005A5BD1" w:rsidRPr="00EB2C68">
        <w:rPr>
          <w:rStyle w:val="FootnoteReference"/>
          <w:rFonts w:ascii="Cambria" w:hAnsi="Cambria"/>
          <w:sz w:val="20"/>
          <w:szCs w:val="20"/>
          <w:bdr w:val="none" w:sz="0" w:space="0" w:color="auto"/>
          <w:lang w:val="es-ES"/>
        </w:rPr>
        <w:footnoteReference w:id="16"/>
      </w:r>
      <w:r w:rsidRPr="00EB2C68">
        <w:rPr>
          <w:rFonts w:ascii="Cambria" w:hAnsi="Cambria"/>
          <w:sz w:val="20"/>
          <w:szCs w:val="20"/>
          <w:bdr w:val="none" w:sz="0" w:space="0" w:color="auto"/>
          <w:lang w:val="es-ES"/>
        </w:rPr>
        <w:t>.</w:t>
      </w:r>
      <w:r w:rsidR="008B1679" w:rsidRPr="00EB2C68">
        <w:rPr>
          <w:rFonts w:ascii="Cambria" w:hAnsi="Cambria"/>
          <w:sz w:val="20"/>
          <w:szCs w:val="20"/>
          <w:bdr w:val="none" w:sz="0" w:space="0" w:color="auto"/>
          <w:lang w:val="es-ES"/>
        </w:rPr>
        <w:t xml:space="preserve"> Según Informe de la Defensoría del Pueblo “Raúl Donayres Huamán, quien permaneció detenido hasta el 25 de marzo, se acercó en un determinado momento al chofer de la oficina manifestándole que deseaba proporcionar información sobre los hechos, indicando que lo llamaran al teléfono […], ya que no se sentía seguro</w:t>
      </w:r>
      <w:r w:rsidR="000B66DA" w:rsidRPr="00EB2C68">
        <w:rPr>
          <w:rFonts w:ascii="Cambria" w:hAnsi="Cambria"/>
          <w:sz w:val="20"/>
          <w:szCs w:val="20"/>
          <w:bdr w:val="none" w:sz="0" w:space="0" w:color="auto"/>
          <w:lang w:val="es-ES"/>
        </w:rPr>
        <w:t xml:space="preserve"> en dicha ciudad, agregando </w:t>
      </w:r>
      <w:r w:rsidR="008B1679" w:rsidRPr="00EB2C68">
        <w:rPr>
          <w:rFonts w:ascii="Cambria" w:hAnsi="Cambria"/>
          <w:sz w:val="20"/>
          <w:szCs w:val="20"/>
          <w:bdr w:val="none" w:sz="0" w:space="0" w:color="auto"/>
          <w:lang w:val="es-ES"/>
        </w:rPr>
        <w:t>rápidamente que el día de los hechos escuchó quejidos provenientes de la Oficina de Prevención, afirmando que el SO2 PNP Cuaresma Ramos, es un efectivo de carácter irascible y prepotente”</w:t>
      </w:r>
      <w:r w:rsidR="008B1679" w:rsidRPr="00EB2C68">
        <w:rPr>
          <w:rStyle w:val="FootnoteReference"/>
          <w:rFonts w:ascii="Cambria" w:hAnsi="Cambria"/>
          <w:sz w:val="20"/>
          <w:szCs w:val="20"/>
          <w:bdr w:val="none" w:sz="0" w:space="0" w:color="auto"/>
          <w:lang w:val="es-ES"/>
        </w:rPr>
        <w:footnoteReference w:id="17"/>
      </w:r>
      <w:r w:rsidR="008B1679" w:rsidRPr="00EB2C68">
        <w:rPr>
          <w:rFonts w:ascii="Cambria" w:hAnsi="Cambria"/>
          <w:sz w:val="20"/>
          <w:szCs w:val="20"/>
          <w:bdr w:val="none" w:sz="0" w:space="0" w:color="auto"/>
          <w:lang w:val="es-ES"/>
        </w:rPr>
        <w:t>.</w:t>
      </w:r>
      <w:r w:rsidR="000B66DA" w:rsidRPr="00EB2C68">
        <w:rPr>
          <w:rFonts w:ascii="Cambria" w:hAnsi="Cambria"/>
          <w:sz w:val="20"/>
          <w:szCs w:val="20"/>
          <w:bdr w:val="none" w:sz="0" w:space="0" w:color="auto"/>
          <w:lang w:val="es-ES"/>
        </w:rPr>
        <w:t xml:space="preserve"> La Comisión no cuenta con información respecto a si la Defensoría del Pueblo se entrevistó </w:t>
      </w:r>
      <w:r w:rsidR="00377C89" w:rsidRPr="00EB2C68">
        <w:rPr>
          <w:rFonts w:ascii="Cambria" w:hAnsi="Cambria"/>
          <w:sz w:val="20"/>
          <w:szCs w:val="20"/>
          <w:bdr w:val="none" w:sz="0" w:space="0" w:color="auto"/>
          <w:lang w:val="es-ES"/>
        </w:rPr>
        <w:t xml:space="preserve">posteriormente </w:t>
      </w:r>
      <w:r w:rsidR="000B66DA" w:rsidRPr="00EB2C68">
        <w:rPr>
          <w:rFonts w:ascii="Cambria" w:hAnsi="Cambria"/>
          <w:sz w:val="20"/>
          <w:szCs w:val="20"/>
          <w:bdr w:val="none" w:sz="0" w:space="0" w:color="auto"/>
          <w:lang w:val="es-ES"/>
        </w:rPr>
        <w:t>con Raúl Donayres Huamán.</w:t>
      </w:r>
    </w:p>
    <w:p w:rsidR="004745BA" w:rsidRDefault="004745BA" w:rsidP="004745BA">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r>
        <w:rPr>
          <w:rFonts w:ascii="Cambria" w:hAnsi="Cambria"/>
          <w:sz w:val="20"/>
          <w:szCs w:val="20"/>
          <w:bdr w:val="none" w:sz="0" w:space="0" w:color="auto"/>
          <w:lang w:val="es-ES"/>
        </w:rPr>
        <w:t xml:space="preserve"> </w:t>
      </w:r>
    </w:p>
    <w:p w:rsidR="000230CD" w:rsidRDefault="002A4968"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A11284">
        <w:rPr>
          <w:rFonts w:ascii="Cambria" w:hAnsi="Cambria"/>
          <w:sz w:val="20"/>
          <w:szCs w:val="20"/>
          <w:bdr w:val="none" w:sz="0" w:space="0" w:color="auto"/>
          <w:lang w:val="es-ES"/>
        </w:rPr>
        <w:t xml:space="preserve">En entrevista ante la </w:t>
      </w:r>
      <w:r w:rsidR="00AB3E0E" w:rsidRPr="00A11284">
        <w:rPr>
          <w:rFonts w:ascii="Cambria" w:hAnsi="Cambria"/>
          <w:sz w:val="20"/>
          <w:szCs w:val="20"/>
          <w:bdr w:val="none" w:sz="0" w:space="0" w:color="auto"/>
          <w:lang w:val="es-ES"/>
        </w:rPr>
        <w:t>Comisión de Derechos Humanos (</w:t>
      </w:r>
      <w:r w:rsidRPr="00A11284">
        <w:rPr>
          <w:rFonts w:ascii="Cambria" w:hAnsi="Cambria"/>
          <w:sz w:val="20"/>
          <w:szCs w:val="20"/>
          <w:bdr w:val="none" w:sz="0" w:space="0" w:color="auto"/>
          <w:lang w:val="es-ES"/>
        </w:rPr>
        <w:t>COMISEDH</w:t>
      </w:r>
      <w:r w:rsidR="00AB3E0E" w:rsidRPr="00A11284">
        <w:rPr>
          <w:rFonts w:ascii="Cambria" w:hAnsi="Cambria"/>
          <w:sz w:val="20"/>
          <w:szCs w:val="20"/>
          <w:bdr w:val="none" w:sz="0" w:space="0" w:color="auto"/>
          <w:lang w:val="es-ES"/>
        </w:rPr>
        <w:t>)</w:t>
      </w:r>
      <w:r w:rsidRPr="00A11284">
        <w:rPr>
          <w:rFonts w:ascii="Cambria" w:hAnsi="Cambria"/>
          <w:sz w:val="20"/>
          <w:szCs w:val="20"/>
          <w:bdr w:val="none" w:sz="0" w:space="0" w:color="auto"/>
          <w:lang w:val="es-ES"/>
        </w:rPr>
        <w:t>, la señora Gladys Escobar</w:t>
      </w:r>
      <w:r w:rsidR="00EB2C68">
        <w:rPr>
          <w:rFonts w:ascii="Cambria" w:hAnsi="Cambria"/>
          <w:sz w:val="20"/>
          <w:szCs w:val="20"/>
          <w:bdr w:val="none" w:sz="0" w:space="0" w:color="auto"/>
          <w:lang w:val="es-ES"/>
        </w:rPr>
        <w:t>, madre de la presunta víctima,</w:t>
      </w:r>
      <w:r w:rsidR="00E179C3" w:rsidRPr="00A11284">
        <w:rPr>
          <w:rFonts w:ascii="Cambria" w:hAnsi="Cambria"/>
          <w:sz w:val="20"/>
          <w:szCs w:val="20"/>
          <w:bdr w:val="none" w:sz="0" w:space="0" w:color="auto"/>
          <w:lang w:val="es-ES"/>
        </w:rPr>
        <w:t xml:space="preserve"> señaló que el mismo 20 de marzo de 1999, </w:t>
      </w:r>
      <w:r w:rsidR="00B41073" w:rsidRPr="00A11284">
        <w:rPr>
          <w:rFonts w:ascii="Cambria" w:hAnsi="Cambria"/>
          <w:sz w:val="20"/>
          <w:szCs w:val="20"/>
          <w:bdr w:val="none" w:sz="0" w:space="0" w:color="auto"/>
          <w:lang w:val="es-ES"/>
        </w:rPr>
        <w:t xml:space="preserve">entre las </w:t>
      </w:r>
      <w:r w:rsidR="00E179C3" w:rsidRPr="00A11284">
        <w:rPr>
          <w:rFonts w:ascii="Cambria" w:hAnsi="Cambria"/>
          <w:sz w:val="20"/>
          <w:szCs w:val="20"/>
          <w:bdr w:val="none" w:sz="0" w:space="0" w:color="auto"/>
          <w:lang w:val="es-ES"/>
        </w:rPr>
        <w:t>8</w:t>
      </w:r>
      <w:r w:rsidR="00B41073" w:rsidRPr="00A11284">
        <w:rPr>
          <w:rFonts w:ascii="Cambria" w:hAnsi="Cambria"/>
          <w:sz w:val="20"/>
          <w:szCs w:val="20"/>
          <w:bdr w:val="none" w:sz="0" w:space="0" w:color="auto"/>
          <w:lang w:val="es-ES"/>
        </w:rPr>
        <w:t>:00 y las</w:t>
      </w:r>
      <w:r w:rsidR="00E179C3" w:rsidRPr="00A11284">
        <w:rPr>
          <w:rFonts w:ascii="Cambria" w:hAnsi="Cambria"/>
          <w:sz w:val="20"/>
          <w:szCs w:val="20"/>
          <w:bdr w:val="none" w:sz="0" w:space="0" w:color="auto"/>
          <w:lang w:val="es-ES"/>
        </w:rPr>
        <w:t xml:space="preserve"> 8:30 de la mañana, cuando iba camino a su trabajo, se encontró con el hermano de la dueña del hotel</w:t>
      </w:r>
      <w:r w:rsidR="00AB3E0E" w:rsidRPr="00A11284">
        <w:rPr>
          <w:rFonts w:ascii="Cambria" w:hAnsi="Cambria"/>
          <w:sz w:val="20"/>
          <w:szCs w:val="20"/>
          <w:bdr w:val="none" w:sz="0" w:space="0" w:color="auto"/>
          <w:lang w:val="es-ES"/>
        </w:rPr>
        <w:t xml:space="preserve"> “Los Manolos”</w:t>
      </w:r>
      <w:r w:rsidR="00E179C3" w:rsidRPr="00A11284">
        <w:rPr>
          <w:rFonts w:ascii="Cambria" w:hAnsi="Cambria"/>
          <w:sz w:val="20"/>
          <w:szCs w:val="20"/>
          <w:bdr w:val="none" w:sz="0" w:space="0" w:color="auto"/>
          <w:lang w:val="es-ES"/>
        </w:rPr>
        <w:t>, quien le informó que su hijo Walter Munárriz había sido detenido en la madrugada</w:t>
      </w:r>
      <w:r w:rsidR="00542F4F" w:rsidRPr="00A11284">
        <w:rPr>
          <w:rFonts w:ascii="Cambria" w:hAnsi="Cambria"/>
          <w:sz w:val="20"/>
          <w:szCs w:val="20"/>
          <w:bdr w:val="none" w:sz="0" w:space="0" w:color="auto"/>
          <w:lang w:val="es-ES"/>
        </w:rPr>
        <w:t>, pero le indicó que “seguramente lo han soltado -me dijo el señor- porque mi hermana Maura no le ha denunciado porque le conoce”</w:t>
      </w:r>
      <w:r w:rsidR="00542F4F">
        <w:rPr>
          <w:rStyle w:val="FootnoteReference"/>
          <w:rFonts w:ascii="Cambria" w:hAnsi="Cambria"/>
          <w:sz w:val="20"/>
          <w:szCs w:val="20"/>
          <w:bdr w:val="none" w:sz="0" w:space="0" w:color="auto"/>
          <w:lang w:val="es-ES"/>
        </w:rPr>
        <w:footnoteReference w:id="18"/>
      </w:r>
      <w:r w:rsidR="00542F4F" w:rsidRPr="00A11284">
        <w:rPr>
          <w:rFonts w:ascii="Cambria" w:hAnsi="Cambria"/>
          <w:sz w:val="20"/>
          <w:szCs w:val="20"/>
          <w:bdr w:val="none" w:sz="0" w:space="0" w:color="auto"/>
          <w:lang w:val="es-ES"/>
        </w:rPr>
        <w:t xml:space="preserve">. </w:t>
      </w:r>
      <w:r w:rsidR="003B4B46" w:rsidRPr="00A11284">
        <w:rPr>
          <w:rFonts w:ascii="Cambria" w:hAnsi="Cambria"/>
          <w:sz w:val="20"/>
          <w:szCs w:val="20"/>
          <w:bdr w:val="none" w:sz="0" w:space="0" w:color="auto"/>
          <w:lang w:val="es-ES"/>
        </w:rPr>
        <w:t>Consta que en la misma entrevista, la señora Escobar señaló que a</w:t>
      </w:r>
      <w:r w:rsidR="00542F4F" w:rsidRPr="00A11284">
        <w:rPr>
          <w:rFonts w:ascii="Cambria" w:hAnsi="Cambria"/>
          <w:sz w:val="20"/>
          <w:szCs w:val="20"/>
          <w:bdr w:val="none" w:sz="0" w:space="0" w:color="auto"/>
          <w:lang w:val="es-ES"/>
        </w:rPr>
        <w:t xml:space="preserve"> las dos de la tarde de ese mismo d</w:t>
      </w:r>
      <w:r w:rsidR="003B4B46" w:rsidRPr="00A11284">
        <w:rPr>
          <w:rFonts w:ascii="Cambria" w:hAnsi="Cambria"/>
          <w:sz w:val="20"/>
          <w:szCs w:val="20"/>
          <w:bdr w:val="none" w:sz="0" w:space="0" w:color="auto"/>
          <w:lang w:val="es-ES"/>
        </w:rPr>
        <w:t xml:space="preserve">ía, </w:t>
      </w:r>
      <w:r w:rsidR="00542F4F" w:rsidRPr="00A11284">
        <w:rPr>
          <w:rFonts w:ascii="Cambria" w:hAnsi="Cambria"/>
          <w:sz w:val="20"/>
          <w:szCs w:val="20"/>
          <w:bdr w:val="none" w:sz="0" w:space="0" w:color="auto"/>
          <w:lang w:val="es-ES"/>
        </w:rPr>
        <w:t>al no encontrar</w:t>
      </w:r>
      <w:r w:rsidR="003B4B46" w:rsidRPr="00A11284">
        <w:rPr>
          <w:rFonts w:ascii="Cambria" w:hAnsi="Cambria"/>
          <w:sz w:val="20"/>
          <w:szCs w:val="20"/>
          <w:bdr w:val="none" w:sz="0" w:space="0" w:color="auto"/>
          <w:lang w:val="es-ES"/>
        </w:rPr>
        <w:t xml:space="preserve"> a su hijo</w:t>
      </w:r>
      <w:r w:rsidR="00542F4F" w:rsidRPr="00A11284">
        <w:rPr>
          <w:rFonts w:ascii="Cambria" w:hAnsi="Cambria"/>
          <w:sz w:val="20"/>
          <w:szCs w:val="20"/>
          <w:bdr w:val="none" w:sz="0" w:space="0" w:color="auto"/>
          <w:lang w:val="es-ES"/>
        </w:rPr>
        <w:t>, imaginó que se habría ido con sus dos hermanos menores a Huancavelica. A la medianoche que volvieron sus dos hijos menores, sin Walter, la señora Escobar Candiotti junto con otr</w:t>
      </w:r>
      <w:r w:rsidR="00B41073" w:rsidRPr="00A11284">
        <w:rPr>
          <w:rFonts w:ascii="Cambria" w:hAnsi="Cambria"/>
          <w:sz w:val="20"/>
          <w:szCs w:val="20"/>
          <w:bdr w:val="none" w:sz="0" w:space="0" w:color="auto"/>
          <w:lang w:val="es-ES"/>
        </w:rPr>
        <w:t>o</w:t>
      </w:r>
      <w:r w:rsidR="00542F4F" w:rsidRPr="00A11284">
        <w:rPr>
          <w:rFonts w:ascii="Cambria" w:hAnsi="Cambria"/>
          <w:sz w:val="20"/>
          <w:szCs w:val="20"/>
          <w:bdr w:val="none" w:sz="0" w:space="0" w:color="auto"/>
          <w:lang w:val="es-ES"/>
        </w:rPr>
        <w:t xml:space="preserve"> hijo mayor</w:t>
      </w:r>
      <w:r w:rsidR="00B41073" w:rsidRPr="00A11284">
        <w:rPr>
          <w:rFonts w:ascii="Cambria" w:hAnsi="Cambria"/>
          <w:sz w:val="20"/>
          <w:szCs w:val="20"/>
          <w:bdr w:val="none" w:sz="0" w:space="0" w:color="auto"/>
          <w:lang w:val="es-ES"/>
        </w:rPr>
        <w:t xml:space="preserve"> “fuimos a indagar, preguntamos a sus amigos y sus amigas, incluso por la recta de la comisaría por esos sitios nadie lo ha visto señorita, se ha esfumado mi hijo, que yo más preocupada fui de vuelta a la policía y le dije señor </w:t>
      </w:r>
      <w:r w:rsidR="00840BF2" w:rsidRPr="00A11284">
        <w:rPr>
          <w:rFonts w:ascii="Cambria" w:hAnsi="Cambria"/>
          <w:sz w:val="20"/>
          <w:szCs w:val="20"/>
          <w:bdr w:val="none" w:sz="0" w:space="0" w:color="auto"/>
          <w:lang w:val="es-ES"/>
        </w:rPr>
        <w:t xml:space="preserve">mi hijo no aparece por ningún sitio”. </w:t>
      </w:r>
      <w:r w:rsidR="00D6660F" w:rsidRPr="00A11284">
        <w:rPr>
          <w:rFonts w:ascii="Cambria" w:hAnsi="Cambria"/>
          <w:sz w:val="20"/>
          <w:szCs w:val="20"/>
          <w:bdr w:val="none" w:sz="0" w:space="0" w:color="auto"/>
          <w:lang w:val="es-ES"/>
        </w:rPr>
        <w:t>La señora Escobar describió que e</w:t>
      </w:r>
      <w:r w:rsidR="003B4B46" w:rsidRPr="00A11284">
        <w:rPr>
          <w:rFonts w:ascii="Cambria" w:hAnsi="Cambria"/>
          <w:sz w:val="20"/>
          <w:szCs w:val="20"/>
          <w:bdr w:val="none" w:sz="0" w:space="0" w:color="auto"/>
          <w:lang w:val="es-ES"/>
        </w:rPr>
        <w:t>n la Comisaría le dijeron que su hijo había salido de allí a las 5 de la mañana y ella solicitó revisar las instalaciones, hallando detenidas a dos personas, pero no a su hijo</w:t>
      </w:r>
      <w:r w:rsidR="00D6660F">
        <w:rPr>
          <w:rStyle w:val="FootnoteReference"/>
          <w:rFonts w:ascii="Cambria" w:hAnsi="Cambria"/>
          <w:sz w:val="20"/>
          <w:szCs w:val="20"/>
          <w:bdr w:val="none" w:sz="0" w:space="0" w:color="auto"/>
          <w:lang w:val="es-ES"/>
        </w:rPr>
        <w:footnoteReference w:id="19"/>
      </w:r>
      <w:r w:rsidR="003B4B46" w:rsidRPr="00A11284">
        <w:rPr>
          <w:rFonts w:ascii="Cambria" w:hAnsi="Cambria"/>
          <w:sz w:val="20"/>
          <w:szCs w:val="20"/>
          <w:bdr w:val="none" w:sz="0" w:space="0" w:color="auto"/>
          <w:lang w:val="es-ES"/>
        </w:rPr>
        <w:t xml:space="preserve">. </w:t>
      </w:r>
      <w:r w:rsidR="008759FE">
        <w:rPr>
          <w:rFonts w:ascii="Cambria" w:hAnsi="Cambria"/>
          <w:sz w:val="20"/>
          <w:szCs w:val="20"/>
          <w:bdr w:val="none" w:sz="0" w:space="0" w:color="auto"/>
          <w:lang w:val="es-ES"/>
        </w:rPr>
        <w:t xml:space="preserve">El Estado no controvirtió el hecho de que la madre de Walter Munárriz se apersonó en la Comisaría de Lircay ni tampoco que se le hubiera dado la respuesta descrita. </w:t>
      </w:r>
    </w:p>
    <w:p w:rsidR="00704A73" w:rsidRPr="00704A73" w:rsidRDefault="00704A73" w:rsidP="00704A73">
      <w:pPr>
        <w:pStyle w:val="ColorfulList-Accent12"/>
        <w:rPr>
          <w:rFonts w:ascii="Cambria" w:eastAsia="Times New Roman" w:hAnsi="Cambria"/>
          <w:color w:val="000000"/>
          <w:sz w:val="20"/>
          <w:szCs w:val="20"/>
          <w:u w:color="000000"/>
          <w:bdr w:val="none" w:sz="0" w:space="0" w:color="auto"/>
          <w:lang w:val="es-ES" w:eastAsia="es-ES"/>
        </w:rPr>
      </w:pPr>
    </w:p>
    <w:p w:rsidR="00704A73" w:rsidRPr="00704A73" w:rsidRDefault="00704A73"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704A73">
        <w:rPr>
          <w:rFonts w:ascii="Cambria" w:hAnsi="Cambria"/>
          <w:sz w:val="20"/>
          <w:szCs w:val="20"/>
          <w:bdr w:val="none" w:sz="0" w:space="0" w:color="auto"/>
          <w:lang w:val="es-ES"/>
        </w:rPr>
        <w:lastRenderedPageBreak/>
        <w:t>El Estado ha señalado que dos personas, Juan Martín Silva González y Lucinda P</w:t>
      </w:r>
      <w:r w:rsidR="0059129E">
        <w:rPr>
          <w:rFonts w:ascii="Cambria" w:hAnsi="Cambria"/>
          <w:sz w:val="20"/>
          <w:szCs w:val="20"/>
          <w:bdr w:val="none" w:sz="0" w:space="0" w:color="auto"/>
          <w:lang w:val="es-ES"/>
        </w:rPr>
        <w:t>once</w:t>
      </w:r>
      <w:r w:rsidRPr="00704A73">
        <w:rPr>
          <w:rFonts w:ascii="Cambria" w:hAnsi="Cambria"/>
          <w:sz w:val="20"/>
          <w:szCs w:val="20"/>
          <w:bdr w:val="none" w:sz="0" w:space="0" w:color="auto"/>
          <w:lang w:val="es-ES"/>
        </w:rPr>
        <w:t xml:space="preserve"> Saforas, vieron a Walter Munárriz Escobar en las inmediaciones de la Comisaría de Lircay el mismo sábado 20  de marzo de 1999, aproximadamente a las 5:15 am. Ambas personas rindieron su declaración ante las autoridades judiciales</w:t>
      </w:r>
      <w:r w:rsidR="00E715D0">
        <w:rPr>
          <w:rFonts w:ascii="Cambria" w:hAnsi="Cambria"/>
          <w:sz w:val="20"/>
          <w:szCs w:val="20"/>
          <w:bdr w:val="none" w:sz="0" w:space="0" w:color="auto"/>
          <w:lang w:val="es-ES"/>
        </w:rPr>
        <w:t>. Si bien en la sentencia de 25 de mayo de 2004 la Corte Superior Mixta de Huancavelica se refirió a estos testimonios como</w:t>
      </w:r>
      <w:r w:rsidR="006B1F42">
        <w:rPr>
          <w:rFonts w:ascii="Cambria" w:hAnsi="Cambria"/>
          <w:sz w:val="20"/>
          <w:szCs w:val="20"/>
          <w:bdr w:val="none" w:sz="0" w:space="0" w:color="auto"/>
          <w:lang w:val="es-ES"/>
        </w:rPr>
        <w:t xml:space="preserve"> pr</w:t>
      </w:r>
      <w:r w:rsidR="00D4569E">
        <w:rPr>
          <w:rFonts w:ascii="Cambria" w:hAnsi="Cambria"/>
          <w:sz w:val="20"/>
          <w:szCs w:val="20"/>
          <w:bdr w:val="none" w:sz="0" w:space="0" w:color="auto"/>
          <w:lang w:val="es-ES"/>
        </w:rPr>
        <w:t>u</w:t>
      </w:r>
      <w:r w:rsidR="006B1F42">
        <w:rPr>
          <w:rFonts w:ascii="Cambria" w:hAnsi="Cambria"/>
          <w:sz w:val="20"/>
          <w:szCs w:val="20"/>
          <w:bdr w:val="none" w:sz="0" w:space="0" w:color="auto"/>
          <w:lang w:val="es-ES"/>
        </w:rPr>
        <w:t>eba</w:t>
      </w:r>
      <w:r w:rsidR="00E715D0">
        <w:rPr>
          <w:rFonts w:ascii="Cambria" w:hAnsi="Cambria"/>
          <w:sz w:val="20"/>
          <w:szCs w:val="20"/>
          <w:bdr w:val="none" w:sz="0" w:space="0" w:color="auto"/>
          <w:lang w:val="es-ES"/>
        </w:rPr>
        <w:t xml:space="preserve"> de “descargo”</w:t>
      </w:r>
      <w:r w:rsidR="0003059F">
        <w:rPr>
          <w:rFonts w:ascii="Cambria" w:hAnsi="Cambria"/>
          <w:sz w:val="20"/>
          <w:szCs w:val="20"/>
          <w:bdr w:val="none" w:sz="0" w:space="0" w:color="auto"/>
          <w:lang w:val="es-ES"/>
        </w:rPr>
        <w:t xml:space="preserve">, la Comisión toma nota de que el mismo Tribunal las había descartado previamente. Así, dicha Corte Superior </w:t>
      </w:r>
      <w:r w:rsidRPr="00704A73">
        <w:rPr>
          <w:rFonts w:ascii="Cambria" w:hAnsi="Cambria"/>
          <w:sz w:val="20"/>
          <w:szCs w:val="20"/>
          <w:bdr w:val="none" w:sz="0" w:space="0" w:color="auto"/>
          <w:lang w:val="es-ES"/>
        </w:rPr>
        <w:t xml:space="preserve">en su sentencia del 15 de febrero de 2001, </w:t>
      </w:r>
      <w:r w:rsidR="00F95AC3">
        <w:rPr>
          <w:rFonts w:ascii="Cambria" w:hAnsi="Cambria"/>
          <w:sz w:val="20"/>
          <w:szCs w:val="20"/>
          <w:bdr w:val="none" w:sz="0" w:space="0" w:color="auto"/>
          <w:lang w:val="es-ES"/>
        </w:rPr>
        <w:t>indicó</w:t>
      </w:r>
      <w:r w:rsidRPr="00704A73">
        <w:rPr>
          <w:rFonts w:ascii="Cambria" w:hAnsi="Cambria"/>
          <w:sz w:val="20"/>
          <w:szCs w:val="20"/>
          <w:bdr w:val="none" w:sz="0" w:space="0" w:color="auto"/>
          <w:lang w:val="es-ES"/>
        </w:rPr>
        <w:t xml:space="preserve">: </w:t>
      </w:r>
    </w:p>
    <w:p w:rsidR="00704A73" w:rsidRPr="00151347" w:rsidRDefault="00704A73" w:rsidP="00704A73">
      <w:pPr>
        <w:pStyle w:val="ColorfulList-Accent12"/>
        <w:rPr>
          <w:rFonts w:ascii="Cambria" w:hAnsi="Cambria"/>
          <w:sz w:val="20"/>
          <w:szCs w:val="20"/>
          <w:bdr w:val="none" w:sz="0" w:space="0" w:color="auto"/>
          <w:lang w:val="es-ES"/>
        </w:rPr>
      </w:pPr>
    </w:p>
    <w:p w:rsidR="00704A73" w:rsidRPr="00151347" w:rsidRDefault="00704A73" w:rsidP="00704A7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810" w:firstLine="0"/>
        <w:jc w:val="both"/>
        <w:rPr>
          <w:rFonts w:ascii="Cambria" w:hAnsi="Cambria"/>
          <w:color w:val="auto"/>
          <w:sz w:val="20"/>
          <w:szCs w:val="20"/>
          <w:bdr w:val="none" w:sz="0" w:space="0" w:color="auto"/>
          <w:lang w:val="es-ES"/>
        </w:rPr>
      </w:pPr>
      <w:r w:rsidRPr="00151347">
        <w:rPr>
          <w:rFonts w:ascii="Cambria" w:hAnsi="Cambria"/>
          <w:color w:val="auto"/>
          <w:sz w:val="20"/>
          <w:szCs w:val="20"/>
          <w:bdr w:val="none" w:sz="0" w:space="0" w:color="auto"/>
          <w:lang w:val="es-ES"/>
        </w:rPr>
        <w:t>[…] las testimoniales de descargo […] no tiene asidero de veracidad por no ser homogéneas, coherentes ni uniformes […] han sido completamente desvirtuadas con la inspección judicial que obra a fojas quinientos cincuentiuno, en la que categóricamente por el principio de inmediación  se ha demostrado la imposibilidad material de poder distinguir a una persona e identificarla desde la distancia que los testigos referidos señalan […]</w:t>
      </w:r>
      <w:r w:rsidRPr="00151347">
        <w:rPr>
          <w:rStyle w:val="FootnoteReference"/>
          <w:rFonts w:ascii="Cambria" w:hAnsi="Cambria"/>
          <w:color w:val="auto"/>
          <w:sz w:val="20"/>
          <w:szCs w:val="20"/>
          <w:bdr w:val="none" w:sz="0" w:space="0" w:color="auto"/>
          <w:lang w:val="es-ES"/>
        </w:rPr>
        <w:footnoteReference w:id="20"/>
      </w:r>
      <w:r w:rsidR="00E715D0" w:rsidRPr="00151347">
        <w:rPr>
          <w:rFonts w:ascii="Cambria" w:hAnsi="Cambria"/>
          <w:color w:val="auto"/>
          <w:sz w:val="20"/>
          <w:szCs w:val="20"/>
          <w:bdr w:val="none" w:sz="0" w:space="0" w:color="auto"/>
          <w:lang w:val="es-ES"/>
        </w:rPr>
        <w:t>.</w:t>
      </w:r>
    </w:p>
    <w:p w:rsidR="00704A73" w:rsidRPr="00704A73" w:rsidRDefault="00704A73" w:rsidP="00704A7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highlight w:val="yellow"/>
          <w:bdr w:val="none" w:sz="0" w:space="0" w:color="auto"/>
          <w:lang w:val="es-ES"/>
        </w:rPr>
      </w:pPr>
    </w:p>
    <w:p w:rsidR="00704A73" w:rsidRPr="005A157E" w:rsidRDefault="00704A73" w:rsidP="00704A73">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color w:val="auto"/>
          <w:sz w:val="20"/>
          <w:szCs w:val="20"/>
          <w:bdr w:val="none" w:sz="0" w:space="0" w:color="auto"/>
          <w:lang w:val="es-ES"/>
        </w:rPr>
      </w:pPr>
    </w:p>
    <w:p w:rsidR="002766C1" w:rsidRPr="00490AD9" w:rsidRDefault="00284F0A"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5A157E">
        <w:rPr>
          <w:rFonts w:ascii="Cambria" w:hAnsi="Cambria"/>
          <w:sz w:val="20"/>
          <w:szCs w:val="20"/>
          <w:bdr w:val="none" w:sz="0" w:space="0" w:color="auto"/>
          <w:lang w:val="es-ES"/>
        </w:rPr>
        <w:t>En similar sentido, e</w:t>
      </w:r>
      <w:r w:rsidR="002766C1" w:rsidRPr="005A157E">
        <w:rPr>
          <w:rFonts w:ascii="Cambria" w:hAnsi="Cambria"/>
          <w:sz w:val="20"/>
          <w:szCs w:val="20"/>
          <w:bdr w:val="none" w:sz="0" w:space="0" w:color="auto"/>
          <w:lang w:val="es-ES"/>
        </w:rPr>
        <w:t>n informe de 29 de marzo de 1999, la Defensoría del Pueblo señaló contradicciones en las manifestaciones de los partícipes, tanto de las personas que se encontraban en el hospedaje “Los Manolos” como de los oficiales de policía. La Defensoría destacó también la afirmación del testigo Juan Martín Silva González en el sentido de haber visto al desaparecido la madrugada del 20 de marzo de 1999, calificando tal testimonio como refutable</w:t>
      </w:r>
      <w:r w:rsidR="008B1679" w:rsidRPr="005A157E">
        <w:rPr>
          <w:rFonts w:ascii="Cambria" w:hAnsi="Cambria"/>
          <w:sz w:val="20"/>
          <w:szCs w:val="20"/>
          <w:bdr w:val="none" w:sz="0" w:space="0" w:color="auto"/>
          <w:lang w:val="es-ES"/>
        </w:rPr>
        <w:t xml:space="preserve">. Así, la Defensoría </w:t>
      </w:r>
      <w:r w:rsidR="00600460" w:rsidRPr="005A157E">
        <w:rPr>
          <w:rFonts w:ascii="Cambria" w:hAnsi="Cambria"/>
          <w:sz w:val="20"/>
          <w:szCs w:val="20"/>
          <w:bdr w:val="none" w:sz="0" w:space="0" w:color="auto"/>
          <w:lang w:val="es-ES"/>
        </w:rPr>
        <w:t xml:space="preserve">llamó la atención </w:t>
      </w:r>
      <w:r w:rsidR="008B1679" w:rsidRPr="005A157E">
        <w:rPr>
          <w:rFonts w:ascii="Cambria" w:hAnsi="Cambria"/>
          <w:sz w:val="20"/>
          <w:szCs w:val="20"/>
          <w:bdr w:val="none" w:sz="0" w:space="0" w:color="auto"/>
          <w:lang w:val="es-ES"/>
        </w:rPr>
        <w:t xml:space="preserve">que el desaparecido no haya sido visto por ningún ciudadano más, sobre todo si se tiene en </w:t>
      </w:r>
      <w:r w:rsidR="008B1679" w:rsidRPr="008E227F">
        <w:rPr>
          <w:rFonts w:ascii="Cambria" w:hAnsi="Cambria"/>
          <w:sz w:val="20"/>
          <w:szCs w:val="20"/>
          <w:bdr w:val="none" w:sz="0" w:space="0" w:color="auto"/>
          <w:lang w:val="es-ES"/>
        </w:rPr>
        <w:t>cuenta que los días sábados hay ferias a las cuales concurren los comerciantes”</w:t>
      </w:r>
      <w:r w:rsidR="008B1679" w:rsidRPr="008E227F">
        <w:rPr>
          <w:rStyle w:val="FootnoteReference"/>
          <w:rFonts w:ascii="Cambria" w:hAnsi="Cambria"/>
          <w:sz w:val="20"/>
          <w:szCs w:val="20"/>
          <w:bdr w:val="none" w:sz="0" w:space="0" w:color="auto"/>
          <w:lang w:val="es-ES"/>
        </w:rPr>
        <w:footnoteReference w:id="21"/>
      </w:r>
      <w:r w:rsidR="008B1679" w:rsidRPr="008E227F">
        <w:rPr>
          <w:rFonts w:ascii="Cambria" w:hAnsi="Cambria"/>
          <w:sz w:val="20"/>
          <w:szCs w:val="20"/>
          <w:bdr w:val="none" w:sz="0" w:space="0" w:color="auto"/>
          <w:lang w:val="es-ES"/>
        </w:rPr>
        <w:t xml:space="preserve">.  </w:t>
      </w:r>
      <w:r w:rsidR="002766C1" w:rsidRPr="00490AD9">
        <w:rPr>
          <w:rFonts w:ascii="Cambria" w:hAnsi="Cambria"/>
          <w:sz w:val="20"/>
          <w:szCs w:val="20"/>
          <w:bdr w:val="none" w:sz="0" w:space="0" w:color="auto"/>
          <w:lang w:val="es-ES"/>
        </w:rPr>
        <w:t xml:space="preserve"> </w:t>
      </w:r>
    </w:p>
    <w:p w:rsidR="00377C89" w:rsidRPr="00490AD9" w:rsidRDefault="00377C89" w:rsidP="00377C89">
      <w:pPr>
        <w:pStyle w:val="ColorfulList-Accent12"/>
        <w:rPr>
          <w:rFonts w:ascii="Cambria" w:hAnsi="Cambria"/>
          <w:sz w:val="20"/>
          <w:szCs w:val="20"/>
          <w:bdr w:val="none" w:sz="0" w:space="0" w:color="auto"/>
          <w:lang w:val="es-ES"/>
        </w:rPr>
      </w:pPr>
    </w:p>
    <w:p w:rsidR="00377C89" w:rsidRPr="008E227F" w:rsidRDefault="00377C89"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490AD9">
        <w:rPr>
          <w:rFonts w:ascii="Cambria" w:hAnsi="Cambria"/>
          <w:sz w:val="20"/>
          <w:szCs w:val="20"/>
          <w:bdr w:val="none" w:sz="0" w:space="0" w:color="auto"/>
          <w:lang w:val="es-ES"/>
        </w:rPr>
        <w:t xml:space="preserve">Asimismo, la Defensoría del Pueblo afirmó que en </w:t>
      </w:r>
      <w:r w:rsidR="00704A73" w:rsidRPr="00490AD9">
        <w:rPr>
          <w:rFonts w:ascii="Cambria" w:hAnsi="Cambria"/>
          <w:sz w:val="20"/>
          <w:szCs w:val="20"/>
          <w:bdr w:val="none" w:sz="0" w:space="0" w:color="auto"/>
          <w:lang w:val="es-ES"/>
        </w:rPr>
        <w:t>su</w:t>
      </w:r>
      <w:r w:rsidRPr="00490AD9">
        <w:rPr>
          <w:rFonts w:ascii="Cambria" w:hAnsi="Cambria"/>
          <w:sz w:val="20"/>
          <w:szCs w:val="20"/>
          <w:bdr w:val="none" w:sz="0" w:space="0" w:color="auto"/>
          <w:lang w:val="es-ES"/>
        </w:rPr>
        <w:t xml:space="preserve"> declaración</w:t>
      </w:r>
      <w:r w:rsidR="00704A73" w:rsidRPr="00490AD9">
        <w:rPr>
          <w:rFonts w:ascii="Cambria" w:hAnsi="Cambria"/>
          <w:sz w:val="20"/>
          <w:szCs w:val="20"/>
          <w:bdr w:val="none" w:sz="0" w:space="0" w:color="auto"/>
          <w:lang w:val="es-ES"/>
        </w:rPr>
        <w:t xml:space="preserve"> ante dicha dependencia, </w:t>
      </w:r>
      <w:r w:rsidRPr="00490AD9">
        <w:rPr>
          <w:rFonts w:ascii="Cambria" w:hAnsi="Cambria"/>
          <w:sz w:val="20"/>
          <w:szCs w:val="20"/>
          <w:bdr w:val="none" w:sz="0" w:space="0" w:color="auto"/>
          <w:lang w:val="es-ES"/>
        </w:rPr>
        <w:t>Marcos Sierra</w:t>
      </w:r>
      <w:r w:rsidR="006E300C" w:rsidRPr="00490AD9">
        <w:rPr>
          <w:rFonts w:ascii="Cambria" w:hAnsi="Cambria"/>
          <w:sz w:val="20"/>
          <w:szCs w:val="20"/>
          <w:bdr w:val="none" w:sz="0" w:space="0" w:color="auto"/>
          <w:lang w:val="es-ES"/>
        </w:rPr>
        <w:t>s</w:t>
      </w:r>
      <w:r w:rsidRPr="00490AD9">
        <w:rPr>
          <w:rFonts w:ascii="Cambria" w:hAnsi="Cambria"/>
          <w:sz w:val="20"/>
          <w:szCs w:val="20"/>
          <w:bdr w:val="none" w:sz="0" w:space="0" w:color="auto"/>
          <w:lang w:val="es-ES"/>
        </w:rPr>
        <w:t xml:space="preserve"> Tueros</w:t>
      </w:r>
      <w:r w:rsidR="00636AB1" w:rsidRPr="00490AD9">
        <w:rPr>
          <w:rFonts w:ascii="Cambria" w:hAnsi="Cambria"/>
          <w:sz w:val="20"/>
          <w:szCs w:val="20"/>
          <w:bdr w:val="none" w:sz="0" w:space="0" w:color="auto"/>
          <w:lang w:val="es-ES"/>
        </w:rPr>
        <w:t xml:space="preserve"> indicó que la señora Lucinda Ponce Sáfora, quien le da pensión, le mencionó que “había sido aleccionad</w:t>
      </w:r>
      <w:r w:rsidR="006E300C" w:rsidRPr="00490AD9">
        <w:rPr>
          <w:rFonts w:ascii="Cambria" w:hAnsi="Cambria"/>
          <w:sz w:val="20"/>
          <w:szCs w:val="20"/>
          <w:bdr w:val="none" w:sz="0" w:space="0" w:color="auto"/>
          <w:lang w:val="es-ES"/>
        </w:rPr>
        <w:t>a</w:t>
      </w:r>
      <w:r w:rsidR="00636AB1" w:rsidRPr="00490AD9">
        <w:rPr>
          <w:rFonts w:ascii="Cambria" w:hAnsi="Cambria"/>
          <w:sz w:val="20"/>
          <w:szCs w:val="20"/>
          <w:bdr w:val="none" w:sz="0" w:space="0" w:color="auto"/>
          <w:lang w:val="es-ES"/>
        </w:rPr>
        <w:t xml:space="preserve"> para que declare que la madrugada del referido día, vio a un joven de cabellos largos que transitaba por la arteria en donde se encuentra ubicado(sic) la Comisaría PNP de Lircay”</w:t>
      </w:r>
      <w:r w:rsidR="00636AB1" w:rsidRPr="00490AD9">
        <w:rPr>
          <w:rStyle w:val="FootnoteReference"/>
          <w:rFonts w:ascii="Cambria" w:hAnsi="Cambria"/>
          <w:sz w:val="20"/>
          <w:szCs w:val="20"/>
          <w:bdr w:val="none" w:sz="0" w:space="0" w:color="auto"/>
          <w:lang w:val="es-ES"/>
        </w:rPr>
        <w:footnoteReference w:id="22"/>
      </w:r>
      <w:r w:rsidR="00636AB1" w:rsidRPr="00490AD9">
        <w:rPr>
          <w:rFonts w:ascii="Cambria" w:hAnsi="Cambria"/>
          <w:sz w:val="20"/>
          <w:szCs w:val="20"/>
          <w:bdr w:val="none" w:sz="0" w:space="0" w:color="auto"/>
          <w:lang w:val="es-ES"/>
        </w:rPr>
        <w:t>.</w:t>
      </w:r>
      <w:r w:rsidRPr="008E227F">
        <w:rPr>
          <w:rFonts w:ascii="Cambria" w:hAnsi="Cambria"/>
          <w:sz w:val="20"/>
          <w:szCs w:val="20"/>
          <w:bdr w:val="none" w:sz="0" w:space="0" w:color="auto"/>
          <w:lang w:val="es-ES"/>
        </w:rPr>
        <w:t xml:space="preserve"> </w:t>
      </w:r>
    </w:p>
    <w:p w:rsidR="00704A73" w:rsidRPr="008673F7" w:rsidRDefault="00704A73" w:rsidP="0090040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900401" w:rsidRPr="008673F7" w:rsidRDefault="00704A73"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8673F7">
        <w:rPr>
          <w:rFonts w:ascii="Cambria" w:hAnsi="Cambria"/>
          <w:sz w:val="20"/>
          <w:szCs w:val="20"/>
          <w:bdr w:val="none" w:sz="0" w:space="0" w:color="auto"/>
          <w:lang w:val="es-ES"/>
        </w:rPr>
        <w:t xml:space="preserve">La Comisión no cuenta con elemento probatorio alguno que corrobore la afirmación de los funcionarios policiales en el sentido de haber dejado en libertad a Walter Munárriz. Como se indicó </w:t>
      </w:r>
      <w:r w:rsidR="003E6D58">
        <w:rPr>
          <w:rFonts w:ascii="Cambria" w:hAnsi="Cambria"/>
          <w:sz w:val="20"/>
          <w:szCs w:val="20"/>
          <w:bdr w:val="none" w:sz="0" w:space="0" w:color="auto"/>
          <w:lang w:val="es-ES"/>
        </w:rPr>
        <w:t xml:space="preserve">anteriormente, </w:t>
      </w:r>
      <w:r w:rsidRPr="008673F7">
        <w:rPr>
          <w:rFonts w:ascii="Cambria" w:hAnsi="Cambria"/>
          <w:sz w:val="20"/>
          <w:szCs w:val="20"/>
          <w:bdr w:val="none" w:sz="0" w:space="0" w:color="auto"/>
          <w:lang w:val="es-ES"/>
        </w:rPr>
        <w:t xml:space="preserve">el Estado peruano reconoció que no existe registro alguno de su detención, de su ingreso a la Comisaría de Lircay ni de su supuesta liberación. </w:t>
      </w:r>
    </w:p>
    <w:p w:rsidR="00900401" w:rsidRDefault="00900401" w:rsidP="0090040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C343CE" w:rsidRPr="00900401" w:rsidRDefault="00907697"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Pr>
          <w:rFonts w:ascii="Cambria" w:hAnsi="Cambria"/>
          <w:sz w:val="20"/>
          <w:szCs w:val="20"/>
          <w:bdr w:val="none" w:sz="0" w:space="0" w:color="auto"/>
          <w:lang w:val="es-ES"/>
        </w:rPr>
        <w:t>Más allá de los testimonios cuestionados a nivel interno</w:t>
      </w:r>
      <w:r w:rsidR="002B4717">
        <w:rPr>
          <w:rFonts w:ascii="Cambria" w:hAnsi="Cambria"/>
          <w:sz w:val="20"/>
          <w:szCs w:val="20"/>
          <w:bdr w:val="none" w:sz="0" w:space="0" w:color="auto"/>
          <w:lang w:val="es-ES"/>
        </w:rPr>
        <w:t xml:space="preserve"> y respecto de los cuales existen indicios de manipulación,</w:t>
      </w:r>
      <w:r>
        <w:rPr>
          <w:rFonts w:ascii="Cambria" w:hAnsi="Cambria"/>
          <w:sz w:val="20"/>
          <w:szCs w:val="20"/>
          <w:bdr w:val="none" w:sz="0" w:space="0" w:color="auto"/>
          <w:lang w:val="es-ES"/>
        </w:rPr>
        <w:t xml:space="preserve"> el Estado no ha aportado elemento probatorio alguno que demueste su hipótesis. En ese sentido, </w:t>
      </w:r>
      <w:r w:rsidR="00AD2F75" w:rsidRPr="00900401">
        <w:rPr>
          <w:rFonts w:ascii="Cambria" w:hAnsi="Cambria"/>
          <w:sz w:val="20"/>
          <w:szCs w:val="20"/>
          <w:bdr w:val="none" w:sz="0" w:space="0" w:color="auto"/>
          <w:lang w:val="es-ES"/>
        </w:rPr>
        <w:t>la Comisión da por establecido que la última vez que Walter Munárriz fue visto se encontraba bajo custodia del Estado</w:t>
      </w:r>
      <w:r w:rsidR="0077707C" w:rsidRPr="00900401">
        <w:rPr>
          <w:rFonts w:ascii="Cambria" w:hAnsi="Cambria"/>
          <w:sz w:val="20"/>
          <w:szCs w:val="20"/>
          <w:bdr w:val="none" w:sz="0" w:space="0" w:color="auto"/>
          <w:lang w:val="es-ES"/>
        </w:rPr>
        <w:t xml:space="preserve">. </w:t>
      </w:r>
    </w:p>
    <w:p w:rsidR="00802279" w:rsidRPr="007F5BCA" w:rsidRDefault="00802279" w:rsidP="00802279">
      <w:pPr>
        <w:pStyle w:val="ColorfulList-Accent12"/>
        <w:rPr>
          <w:rFonts w:ascii="Cambria" w:hAnsi="Cambria"/>
          <w:sz w:val="20"/>
          <w:szCs w:val="20"/>
          <w:bdr w:val="none" w:sz="0" w:space="0" w:color="auto"/>
          <w:lang w:val="es-ES"/>
        </w:rPr>
      </w:pPr>
    </w:p>
    <w:p w:rsidR="00774110" w:rsidRPr="001827D0" w:rsidRDefault="00EB58C0"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Pr>
          <w:rFonts w:ascii="Cambria" w:hAnsi="Cambria"/>
          <w:sz w:val="20"/>
          <w:szCs w:val="20"/>
          <w:bdr w:val="none" w:sz="0" w:space="0" w:color="auto"/>
          <w:lang w:val="es-ES"/>
        </w:rPr>
        <w:t>Además de las denuncias que se describen más adelante y que dieron lugar a la investigación penal, e</w:t>
      </w:r>
      <w:r w:rsidR="00774110" w:rsidRPr="00774110">
        <w:rPr>
          <w:rFonts w:ascii="Cambria" w:hAnsi="Cambria"/>
          <w:sz w:val="20"/>
          <w:szCs w:val="20"/>
          <w:bdr w:val="none" w:sz="0" w:space="0" w:color="auto"/>
          <w:lang w:val="es-ES"/>
        </w:rPr>
        <w:t xml:space="preserve">n abril de 1999, la madre de Walter Munárriz presentó escritos al Defensor del Pueblo, al Ministro </w:t>
      </w:r>
      <w:r w:rsidR="00774110" w:rsidRPr="001827D0">
        <w:rPr>
          <w:rFonts w:ascii="Cambria" w:hAnsi="Cambria"/>
          <w:sz w:val="20"/>
          <w:szCs w:val="20"/>
          <w:bdr w:val="none" w:sz="0" w:space="0" w:color="auto"/>
          <w:lang w:val="es-ES"/>
        </w:rPr>
        <w:t>del Interior y al Presidente de la Comisión de Derechos Humanos del Congreso de la República solicitando apoyo en la investigación sobre la desaparición de su hijo</w:t>
      </w:r>
      <w:r w:rsidR="00774110" w:rsidRPr="001827D0">
        <w:rPr>
          <w:rStyle w:val="FootnoteReference"/>
          <w:sz w:val="20"/>
          <w:szCs w:val="20"/>
          <w:lang w:val="es-ES"/>
        </w:rPr>
        <w:footnoteReference w:id="23"/>
      </w:r>
      <w:r w:rsidR="00774110" w:rsidRPr="001827D0">
        <w:rPr>
          <w:rFonts w:ascii="Cambria" w:hAnsi="Cambria"/>
          <w:sz w:val="20"/>
          <w:szCs w:val="20"/>
          <w:bdr w:val="none" w:sz="0" w:space="0" w:color="auto"/>
          <w:lang w:val="es-ES"/>
        </w:rPr>
        <w:t xml:space="preserve">. </w:t>
      </w:r>
    </w:p>
    <w:p w:rsidR="004745BA" w:rsidRDefault="004745BA" w:rsidP="004745BA">
      <w:pPr>
        <w:pStyle w:val="MediumGrid1-Accent21"/>
        <w:rPr>
          <w:sz w:val="20"/>
          <w:szCs w:val="20"/>
          <w:bdr w:val="none" w:sz="0" w:space="0" w:color="auto"/>
          <w:lang w:val="es-ES"/>
        </w:rPr>
      </w:pPr>
    </w:p>
    <w:p w:rsidR="004745BA" w:rsidRDefault="004745BA"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bdr w:val="none" w:sz="0" w:space="0" w:color="auto"/>
          <w:lang w:val="es-ES"/>
        </w:rPr>
      </w:pPr>
      <w:r>
        <w:rPr>
          <w:rFonts w:ascii="Cambria" w:hAnsi="Cambria"/>
          <w:sz w:val="20"/>
          <w:szCs w:val="20"/>
          <w:bdr w:val="none" w:sz="0" w:space="0" w:color="auto"/>
          <w:lang w:val="es-ES"/>
        </w:rPr>
        <w:t xml:space="preserve">Como se indicará más adelante en el presente informe, en el marco de las investigaciones penales no se ha esclarecido lo sucedido a Walter Munárriz Escobar. </w:t>
      </w:r>
    </w:p>
    <w:p w:rsidR="000230CD" w:rsidRDefault="000230CD" w:rsidP="000230CD">
      <w:pPr>
        <w:pStyle w:val="MediumGrid1-Accent21"/>
        <w:rPr>
          <w:sz w:val="20"/>
          <w:szCs w:val="20"/>
          <w:bdr w:val="none" w:sz="0" w:space="0" w:color="auto"/>
          <w:lang w:val="es-ES"/>
        </w:rPr>
      </w:pPr>
    </w:p>
    <w:p w:rsidR="000230CD" w:rsidRDefault="00FD5827" w:rsidP="00FD5827">
      <w:pPr>
        <w:pStyle w:val="Heading2"/>
        <w:numPr>
          <w:ilvl w:val="0"/>
          <w:numId w:val="58"/>
        </w:numPr>
        <w:ind w:left="1440" w:hanging="720"/>
      </w:pPr>
      <w:bookmarkStart w:id="13" w:name="_Toc467948053"/>
      <w:r>
        <w:br w:type="page"/>
      </w:r>
      <w:r w:rsidR="000230CD">
        <w:lastRenderedPageBreak/>
        <w:t>Procesos internos relacionados con la desaparición de Walter Munárriz Escobar</w:t>
      </w:r>
      <w:bookmarkEnd w:id="13"/>
    </w:p>
    <w:p w:rsidR="000230CD" w:rsidRPr="000230CD" w:rsidRDefault="000230CD" w:rsidP="000230CD">
      <w:pPr>
        <w:rPr>
          <w:lang w:val="es-MX"/>
        </w:rPr>
      </w:pPr>
    </w:p>
    <w:p w:rsidR="000230CD" w:rsidRPr="00FD5827" w:rsidRDefault="000230CD" w:rsidP="00FD5827">
      <w:pPr>
        <w:pStyle w:val="Heading3"/>
      </w:pPr>
      <w:bookmarkStart w:id="14" w:name="_Toc467948054"/>
      <w:r w:rsidRPr="00FD5827">
        <w:t>Investigación penal</w:t>
      </w:r>
      <w:bookmarkEnd w:id="14"/>
      <w:r w:rsidRPr="00FD5827">
        <w:t xml:space="preserve"> </w:t>
      </w:r>
    </w:p>
    <w:p w:rsidR="00CA7938" w:rsidRDefault="00CA7938" w:rsidP="00035185">
      <w:pPr>
        <w:pStyle w:val="MediumGrid1-Accent21"/>
        <w:jc w:val="both"/>
        <w:rPr>
          <w:sz w:val="20"/>
          <w:szCs w:val="20"/>
          <w:lang w:val="es-MX"/>
        </w:rPr>
      </w:pPr>
    </w:p>
    <w:p w:rsidR="007B025A" w:rsidRPr="00DF2B51" w:rsidRDefault="000230CD"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0230CD">
        <w:rPr>
          <w:rFonts w:ascii="Cambria" w:hAnsi="Cambria"/>
          <w:sz w:val="20"/>
          <w:szCs w:val="20"/>
          <w:bdr w:val="none" w:sz="0" w:space="0" w:color="auto"/>
          <w:lang w:val="es-ES"/>
        </w:rPr>
        <w:t>Los peticionarios señalaron que, al día siguiente</w:t>
      </w:r>
      <w:r w:rsidR="0083557D">
        <w:rPr>
          <w:rFonts w:ascii="Cambria" w:hAnsi="Cambria"/>
          <w:sz w:val="20"/>
          <w:szCs w:val="20"/>
          <w:bdr w:val="none" w:sz="0" w:space="0" w:color="auto"/>
          <w:lang w:val="es-ES"/>
        </w:rPr>
        <w:t xml:space="preserve"> de la desaparición de Walter Munárriz</w:t>
      </w:r>
      <w:r w:rsidRPr="000230CD">
        <w:rPr>
          <w:rFonts w:ascii="Cambria" w:hAnsi="Cambria"/>
          <w:sz w:val="20"/>
          <w:szCs w:val="20"/>
          <w:bdr w:val="none" w:sz="0" w:space="0" w:color="auto"/>
          <w:lang w:val="es-ES"/>
        </w:rPr>
        <w:t xml:space="preserve">, </w:t>
      </w:r>
      <w:r w:rsidR="0083557D">
        <w:rPr>
          <w:rFonts w:ascii="Cambria" w:hAnsi="Cambria"/>
          <w:sz w:val="20"/>
          <w:szCs w:val="20"/>
          <w:bdr w:val="none" w:sz="0" w:space="0" w:color="auto"/>
          <w:lang w:val="es-ES"/>
        </w:rPr>
        <w:t xml:space="preserve">su </w:t>
      </w:r>
      <w:r w:rsidRPr="000230CD">
        <w:rPr>
          <w:rFonts w:ascii="Cambria" w:hAnsi="Cambria"/>
          <w:sz w:val="20"/>
          <w:szCs w:val="20"/>
          <w:bdr w:val="none" w:sz="0" w:space="0" w:color="auto"/>
          <w:lang w:val="es-ES"/>
        </w:rPr>
        <w:t>madre</w:t>
      </w:r>
      <w:r w:rsidR="0083557D">
        <w:rPr>
          <w:rFonts w:ascii="Cambria" w:hAnsi="Cambria"/>
          <w:sz w:val="20"/>
          <w:szCs w:val="20"/>
          <w:bdr w:val="none" w:sz="0" w:space="0" w:color="auto"/>
          <w:lang w:val="es-ES"/>
        </w:rPr>
        <w:t xml:space="preserve">, Gladys </w:t>
      </w:r>
      <w:r w:rsidR="00B830C1">
        <w:rPr>
          <w:rFonts w:ascii="Cambria" w:hAnsi="Cambria"/>
          <w:sz w:val="20"/>
          <w:szCs w:val="20"/>
          <w:bdr w:val="none" w:sz="0" w:space="0" w:color="auto"/>
          <w:lang w:val="es-ES"/>
        </w:rPr>
        <w:t xml:space="preserve">Escobar </w:t>
      </w:r>
      <w:r w:rsidR="0083557D">
        <w:rPr>
          <w:rFonts w:ascii="Cambria" w:hAnsi="Cambria"/>
          <w:sz w:val="20"/>
          <w:szCs w:val="20"/>
          <w:bdr w:val="none" w:sz="0" w:space="0" w:color="auto"/>
          <w:lang w:val="es-ES"/>
        </w:rPr>
        <w:t>Candiotti</w:t>
      </w:r>
      <w:r w:rsidRPr="000230CD">
        <w:rPr>
          <w:rFonts w:ascii="Cambria" w:hAnsi="Cambria"/>
          <w:sz w:val="20"/>
          <w:szCs w:val="20"/>
          <w:bdr w:val="none" w:sz="0" w:space="0" w:color="auto"/>
          <w:lang w:val="es-ES"/>
        </w:rPr>
        <w:t xml:space="preserve"> se dirigió a la Fiscalía Provincial de Lircay para presentar </w:t>
      </w:r>
      <w:r w:rsidR="0083557D">
        <w:rPr>
          <w:rFonts w:ascii="Cambria" w:hAnsi="Cambria"/>
          <w:sz w:val="20"/>
          <w:szCs w:val="20"/>
          <w:bdr w:val="none" w:sz="0" w:space="0" w:color="auto"/>
          <w:lang w:val="es-ES"/>
        </w:rPr>
        <w:t xml:space="preserve">la </w:t>
      </w:r>
      <w:r w:rsidRPr="000230CD">
        <w:rPr>
          <w:rFonts w:ascii="Cambria" w:hAnsi="Cambria"/>
          <w:sz w:val="20"/>
          <w:szCs w:val="20"/>
          <w:bdr w:val="none" w:sz="0" w:space="0" w:color="auto"/>
          <w:lang w:val="es-ES"/>
        </w:rPr>
        <w:t xml:space="preserve">denuncia </w:t>
      </w:r>
      <w:r w:rsidR="0083557D">
        <w:rPr>
          <w:rFonts w:ascii="Cambria" w:hAnsi="Cambria"/>
          <w:sz w:val="20"/>
          <w:szCs w:val="20"/>
          <w:bdr w:val="none" w:sz="0" w:space="0" w:color="auto"/>
          <w:lang w:val="es-ES"/>
        </w:rPr>
        <w:t>correspondiente</w:t>
      </w:r>
      <w:r w:rsidR="00B830C1">
        <w:rPr>
          <w:rFonts w:ascii="Cambria" w:hAnsi="Cambria"/>
          <w:sz w:val="20"/>
          <w:szCs w:val="20"/>
          <w:bdr w:val="none" w:sz="0" w:space="0" w:color="auto"/>
          <w:lang w:val="es-ES"/>
        </w:rPr>
        <w:t>.</w:t>
      </w:r>
      <w:r w:rsidRPr="000230CD">
        <w:rPr>
          <w:rFonts w:ascii="Cambria" w:hAnsi="Cambria"/>
          <w:sz w:val="20"/>
          <w:szCs w:val="20"/>
          <w:bdr w:val="none" w:sz="0" w:space="0" w:color="auto"/>
          <w:lang w:val="es-ES"/>
        </w:rPr>
        <w:t xml:space="preserve"> </w:t>
      </w:r>
      <w:r w:rsidR="00B830C1">
        <w:rPr>
          <w:rFonts w:ascii="Cambria" w:hAnsi="Cambria"/>
          <w:sz w:val="20"/>
          <w:szCs w:val="20"/>
          <w:bdr w:val="none" w:sz="0" w:space="0" w:color="auto"/>
          <w:lang w:val="es-ES"/>
        </w:rPr>
        <w:t>S</w:t>
      </w:r>
      <w:r w:rsidRPr="000230CD">
        <w:rPr>
          <w:rFonts w:ascii="Cambria" w:hAnsi="Cambria"/>
          <w:sz w:val="20"/>
          <w:szCs w:val="20"/>
          <w:bdr w:val="none" w:sz="0" w:space="0" w:color="auto"/>
          <w:lang w:val="es-ES"/>
        </w:rPr>
        <w:t xml:space="preserve">in embargo, </w:t>
      </w:r>
      <w:r w:rsidR="00AD1446">
        <w:rPr>
          <w:rFonts w:ascii="Cambria" w:hAnsi="Cambria"/>
          <w:sz w:val="20"/>
          <w:szCs w:val="20"/>
          <w:bdr w:val="none" w:sz="0" w:space="0" w:color="auto"/>
          <w:lang w:val="es-ES"/>
        </w:rPr>
        <w:t>afirma</w:t>
      </w:r>
      <w:r w:rsidR="00B830C1">
        <w:rPr>
          <w:rFonts w:ascii="Cambria" w:hAnsi="Cambria"/>
          <w:sz w:val="20"/>
          <w:szCs w:val="20"/>
          <w:bdr w:val="none" w:sz="0" w:space="0" w:color="auto"/>
          <w:lang w:val="es-ES"/>
        </w:rPr>
        <w:t>ro</w:t>
      </w:r>
      <w:r w:rsidR="00AD1446">
        <w:rPr>
          <w:rFonts w:ascii="Cambria" w:hAnsi="Cambria"/>
          <w:sz w:val="20"/>
          <w:szCs w:val="20"/>
          <w:bdr w:val="none" w:sz="0" w:space="0" w:color="auto"/>
          <w:lang w:val="es-ES"/>
        </w:rPr>
        <w:t xml:space="preserve">n </w:t>
      </w:r>
      <w:r w:rsidR="0083557D">
        <w:rPr>
          <w:rFonts w:ascii="Cambria" w:hAnsi="Cambria"/>
          <w:sz w:val="20"/>
          <w:szCs w:val="20"/>
          <w:bdr w:val="none" w:sz="0" w:space="0" w:color="auto"/>
          <w:lang w:val="es-ES"/>
        </w:rPr>
        <w:t xml:space="preserve">que </w:t>
      </w:r>
      <w:r w:rsidRPr="000230CD">
        <w:rPr>
          <w:rFonts w:ascii="Cambria" w:hAnsi="Cambria"/>
          <w:sz w:val="20"/>
          <w:szCs w:val="20"/>
          <w:bdr w:val="none" w:sz="0" w:space="0" w:color="auto"/>
          <w:lang w:val="es-ES"/>
        </w:rPr>
        <w:t>la Fiscal</w:t>
      </w:r>
      <w:r w:rsidR="0083557D">
        <w:rPr>
          <w:rFonts w:ascii="Cambria" w:hAnsi="Cambria"/>
          <w:sz w:val="20"/>
          <w:szCs w:val="20"/>
          <w:bdr w:val="none" w:sz="0" w:space="0" w:color="auto"/>
          <w:lang w:val="es-ES"/>
        </w:rPr>
        <w:t xml:space="preserve"> en turno</w:t>
      </w:r>
      <w:r w:rsidR="007B00FA">
        <w:rPr>
          <w:rFonts w:ascii="Cambria" w:hAnsi="Cambria"/>
          <w:sz w:val="20"/>
          <w:szCs w:val="20"/>
          <w:bdr w:val="none" w:sz="0" w:space="0" w:color="auto"/>
          <w:lang w:val="es-ES"/>
        </w:rPr>
        <w:t xml:space="preserve">, Silvia Montero Meléndez, </w:t>
      </w:r>
      <w:r w:rsidR="0083557D">
        <w:rPr>
          <w:rFonts w:ascii="Cambria" w:hAnsi="Cambria"/>
          <w:sz w:val="20"/>
          <w:szCs w:val="20"/>
          <w:bdr w:val="none" w:sz="0" w:space="0" w:color="auto"/>
          <w:lang w:val="es-ES"/>
        </w:rPr>
        <w:t xml:space="preserve"> se negó a atenderla y </w:t>
      </w:r>
      <w:r w:rsidRPr="000230CD">
        <w:rPr>
          <w:rFonts w:ascii="Cambria" w:hAnsi="Cambria"/>
          <w:sz w:val="20"/>
          <w:szCs w:val="20"/>
          <w:bdr w:val="none" w:sz="0" w:space="0" w:color="auto"/>
          <w:lang w:val="es-ES"/>
        </w:rPr>
        <w:t xml:space="preserve">le </w:t>
      </w:r>
      <w:r w:rsidR="004F37D4">
        <w:rPr>
          <w:rFonts w:ascii="Cambria" w:hAnsi="Cambria"/>
          <w:sz w:val="20"/>
          <w:szCs w:val="20"/>
          <w:bdr w:val="none" w:sz="0" w:space="0" w:color="auto"/>
          <w:lang w:val="es-ES"/>
        </w:rPr>
        <w:t xml:space="preserve">cuestionó si es que </w:t>
      </w:r>
      <w:r w:rsidRPr="000230CD">
        <w:rPr>
          <w:rFonts w:ascii="Cambria" w:hAnsi="Cambria"/>
          <w:sz w:val="20"/>
          <w:szCs w:val="20"/>
          <w:bdr w:val="none" w:sz="0" w:space="0" w:color="auto"/>
          <w:lang w:val="es-ES"/>
        </w:rPr>
        <w:t>“cree que los policías son matones, estamos en tiempo de terrorismo o qué”</w:t>
      </w:r>
      <w:r w:rsidR="004F37D4">
        <w:rPr>
          <w:rFonts w:ascii="Cambria" w:hAnsi="Cambria"/>
          <w:sz w:val="20"/>
          <w:szCs w:val="20"/>
          <w:bdr w:val="none" w:sz="0" w:space="0" w:color="auto"/>
          <w:lang w:val="es-ES"/>
        </w:rPr>
        <w:t xml:space="preserve">, agregando que </w:t>
      </w:r>
      <w:r w:rsidRPr="000230CD">
        <w:rPr>
          <w:rFonts w:ascii="Cambria" w:hAnsi="Cambria"/>
          <w:sz w:val="20"/>
          <w:szCs w:val="20"/>
          <w:bdr w:val="none" w:sz="0" w:space="0" w:color="auto"/>
          <w:lang w:val="es-ES"/>
        </w:rPr>
        <w:t>tenía</w:t>
      </w:r>
      <w:r w:rsidR="0083557D">
        <w:rPr>
          <w:rFonts w:ascii="Cambria" w:hAnsi="Cambria"/>
          <w:sz w:val="20"/>
          <w:szCs w:val="20"/>
          <w:bdr w:val="none" w:sz="0" w:space="0" w:color="auto"/>
          <w:lang w:val="es-ES"/>
        </w:rPr>
        <w:t>n</w:t>
      </w:r>
      <w:r w:rsidRPr="000230CD">
        <w:rPr>
          <w:rFonts w:ascii="Cambria" w:hAnsi="Cambria"/>
          <w:sz w:val="20"/>
          <w:szCs w:val="20"/>
          <w:bdr w:val="none" w:sz="0" w:space="0" w:color="auto"/>
          <w:lang w:val="es-ES"/>
        </w:rPr>
        <w:t xml:space="preserve"> que pasar dos meses para </w:t>
      </w:r>
      <w:r w:rsidR="0083557D">
        <w:rPr>
          <w:rFonts w:ascii="Cambria" w:hAnsi="Cambria"/>
          <w:sz w:val="20"/>
          <w:szCs w:val="20"/>
          <w:bdr w:val="none" w:sz="0" w:space="0" w:color="auto"/>
          <w:lang w:val="es-ES"/>
        </w:rPr>
        <w:t>que pudiera inter</w:t>
      </w:r>
      <w:r w:rsidRPr="000230CD">
        <w:rPr>
          <w:rFonts w:ascii="Cambria" w:hAnsi="Cambria"/>
          <w:sz w:val="20"/>
          <w:szCs w:val="20"/>
          <w:bdr w:val="none" w:sz="0" w:space="0" w:color="auto"/>
          <w:lang w:val="es-ES"/>
        </w:rPr>
        <w:t>poner la denuncia</w:t>
      </w:r>
      <w:r w:rsidRPr="000230CD">
        <w:rPr>
          <w:rStyle w:val="FootnoteReference"/>
          <w:rFonts w:ascii="Cambria" w:hAnsi="Cambria"/>
          <w:sz w:val="20"/>
          <w:szCs w:val="20"/>
          <w:bdr w:val="none" w:sz="0" w:space="0" w:color="auto"/>
          <w:lang w:val="es-ES"/>
        </w:rPr>
        <w:footnoteReference w:id="24"/>
      </w:r>
      <w:r>
        <w:rPr>
          <w:rFonts w:ascii="Cambria" w:hAnsi="Cambria"/>
          <w:sz w:val="20"/>
          <w:szCs w:val="20"/>
          <w:bdr w:val="none" w:sz="0" w:space="0" w:color="auto"/>
          <w:lang w:val="es-ES"/>
        </w:rPr>
        <w:t>.</w:t>
      </w:r>
      <w:r w:rsidRPr="000230CD">
        <w:rPr>
          <w:rFonts w:ascii="Cambria" w:hAnsi="Cambria"/>
          <w:sz w:val="20"/>
          <w:szCs w:val="20"/>
          <w:bdr w:val="none" w:sz="0" w:space="0" w:color="auto"/>
          <w:lang w:val="es-ES"/>
        </w:rPr>
        <w:t xml:space="preserve"> </w:t>
      </w:r>
      <w:r w:rsidR="000439BC">
        <w:rPr>
          <w:rFonts w:ascii="Cambria" w:hAnsi="Cambria"/>
          <w:sz w:val="20"/>
          <w:szCs w:val="20"/>
          <w:bdr w:val="none" w:sz="0" w:space="0" w:color="auto"/>
          <w:lang w:val="es-ES"/>
        </w:rPr>
        <w:t xml:space="preserve">Así en la Ampliatoria de queja ante la Defensoría del Pueblo, del 25 de marzo de 1999, la señora Escobar Candiotti solicitó se dejara expresa constancia de que “la </w:t>
      </w:r>
      <w:r w:rsidR="000439BC" w:rsidRPr="00DF56F2">
        <w:rPr>
          <w:rFonts w:ascii="Cambria" w:hAnsi="Cambria"/>
          <w:sz w:val="20"/>
          <w:szCs w:val="20"/>
          <w:bdr w:val="none" w:sz="0" w:space="0" w:color="auto"/>
          <w:lang w:val="es-ES"/>
        </w:rPr>
        <w:t>Fiscal Silvia Montero Meléndez se ha negado a recepcionar mi denuncia aduciendo que vuelva en 60 días”</w:t>
      </w:r>
      <w:r w:rsidR="000439BC" w:rsidRPr="00DF56F2">
        <w:rPr>
          <w:rStyle w:val="FootnoteReference"/>
          <w:rFonts w:ascii="Cambria" w:hAnsi="Cambria"/>
          <w:sz w:val="20"/>
          <w:szCs w:val="20"/>
          <w:bdr w:val="none" w:sz="0" w:space="0" w:color="auto"/>
          <w:lang w:val="es-ES"/>
        </w:rPr>
        <w:footnoteReference w:id="25"/>
      </w:r>
      <w:r w:rsidR="000439BC" w:rsidRPr="00DF56F2">
        <w:rPr>
          <w:rFonts w:ascii="Cambria" w:hAnsi="Cambria"/>
          <w:sz w:val="20"/>
          <w:szCs w:val="20"/>
          <w:bdr w:val="none" w:sz="0" w:space="0" w:color="auto"/>
          <w:lang w:val="es-ES"/>
        </w:rPr>
        <w:t>.</w:t>
      </w:r>
      <w:r w:rsidR="00367061" w:rsidRPr="00DF56F2">
        <w:rPr>
          <w:rFonts w:ascii="Cambria" w:hAnsi="Cambria"/>
          <w:sz w:val="20"/>
          <w:szCs w:val="20"/>
          <w:bdr w:val="none" w:sz="0" w:space="0" w:color="auto"/>
          <w:lang w:val="es-ES"/>
        </w:rPr>
        <w:t xml:space="preserve"> </w:t>
      </w:r>
      <w:r w:rsidR="00367061" w:rsidRPr="00DF2B51">
        <w:rPr>
          <w:rFonts w:ascii="Cambria" w:hAnsi="Cambria"/>
          <w:sz w:val="20"/>
          <w:szCs w:val="20"/>
          <w:bdr w:val="none" w:sz="0" w:space="0" w:color="auto"/>
          <w:lang w:val="es-ES"/>
        </w:rPr>
        <w:t xml:space="preserve">El Estado no controvirtió lo alegado por la señora Escobar, sobre la negativa </w:t>
      </w:r>
      <w:r w:rsidR="005E4FBA">
        <w:rPr>
          <w:rFonts w:ascii="Cambria" w:hAnsi="Cambria"/>
          <w:sz w:val="20"/>
          <w:szCs w:val="20"/>
          <w:bdr w:val="none" w:sz="0" w:space="0" w:color="auto"/>
          <w:lang w:val="es-ES"/>
        </w:rPr>
        <w:t xml:space="preserve">inicial </w:t>
      </w:r>
      <w:r w:rsidR="00367061" w:rsidRPr="00DF2B51">
        <w:rPr>
          <w:rFonts w:ascii="Cambria" w:hAnsi="Cambria"/>
          <w:sz w:val="20"/>
          <w:szCs w:val="20"/>
          <w:bdr w:val="none" w:sz="0" w:space="0" w:color="auto"/>
          <w:lang w:val="es-ES"/>
        </w:rPr>
        <w:t>de la Fiscal Montero de recibir la denuncia.</w:t>
      </w:r>
      <w:r w:rsidR="007B00FA" w:rsidRPr="00DF2B51">
        <w:rPr>
          <w:rFonts w:ascii="Cambria" w:hAnsi="Cambria"/>
          <w:sz w:val="20"/>
          <w:szCs w:val="20"/>
          <w:bdr w:val="none" w:sz="0" w:space="0" w:color="auto"/>
          <w:lang w:val="es-ES"/>
        </w:rPr>
        <w:t xml:space="preserve"> </w:t>
      </w:r>
    </w:p>
    <w:p w:rsidR="00AD1446" w:rsidRDefault="00AD1446" w:rsidP="00AD144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400835" w:rsidRPr="009A7B7A" w:rsidRDefault="00AD1446"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bdr w:val="none" w:sz="0" w:space="0" w:color="auto"/>
          <w:lang w:val="es-ES"/>
        </w:rPr>
      </w:pPr>
      <w:r>
        <w:rPr>
          <w:rFonts w:ascii="Cambria" w:hAnsi="Cambria"/>
          <w:sz w:val="20"/>
          <w:szCs w:val="20"/>
          <w:bdr w:val="none" w:sz="0" w:space="0" w:color="auto"/>
          <w:lang w:val="es-ES"/>
        </w:rPr>
        <w:t>El 22 de marzo de 1999 la señora Escobar Candiotti presentó denuncia por la desaparición de su hijo ante la Comisaría de Lircay</w:t>
      </w:r>
      <w:r>
        <w:rPr>
          <w:rStyle w:val="FootnoteReference"/>
          <w:rFonts w:ascii="Cambria" w:hAnsi="Cambria"/>
          <w:sz w:val="20"/>
          <w:szCs w:val="20"/>
          <w:bdr w:val="none" w:sz="0" w:space="0" w:color="auto"/>
          <w:lang w:val="es-ES"/>
        </w:rPr>
        <w:footnoteReference w:id="26"/>
      </w:r>
      <w:r>
        <w:rPr>
          <w:rFonts w:ascii="Cambria" w:hAnsi="Cambria"/>
          <w:sz w:val="20"/>
          <w:szCs w:val="20"/>
          <w:bdr w:val="none" w:sz="0" w:space="0" w:color="auto"/>
          <w:lang w:val="es-ES"/>
        </w:rPr>
        <w:t xml:space="preserve">. </w:t>
      </w:r>
      <w:r w:rsidR="0047328E">
        <w:rPr>
          <w:rFonts w:ascii="Cambria" w:hAnsi="Cambria"/>
          <w:sz w:val="20"/>
          <w:szCs w:val="20"/>
          <w:bdr w:val="none" w:sz="0" w:space="0" w:color="auto"/>
          <w:lang w:val="es-ES"/>
        </w:rPr>
        <w:t xml:space="preserve"> </w:t>
      </w:r>
      <w:r w:rsidR="00302758">
        <w:rPr>
          <w:rFonts w:ascii="Cambria" w:hAnsi="Cambria"/>
          <w:sz w:val="20"/>
          <w:szCs w:val="20"/>
          <w:bdr w:val="none" w:sz="0" w:space="0" w:color="auto"/>
          <w:lang w:val="es-ES"/>
        </w:rPr>
        <w:t xml:space="preserve">En su declaración instructiva el Capitán PNP Roberto Gastiaburú Nakada </w:t>
      </w:r>
      <w:r w:rsidR="00A356F0">
        <w:rPr>
          <w:rFonts w:ascii="Cambria" w:hAnsi="Cambria"/>
          <w:sz w:val="20"/>
          <w:szCs w:val="20"/>
          <w:bdr w:val="none" w:sz="0" w:space="0" w:color="auto"/>
          <w:lang w:val="es-ES"/>
        </w:rPr>
        <w:t xml:space="preserve">hizo referencia a </w:t>
      </w:r>
      <w:r w:rsidR="005E2DFB">
        <w:rPr>
          <w:rFonts w:ascii="Cambria" w:hAnsi="Cambria"/>
          <w:sz w:val="20"/>
          <w:szCs w:val="20"/>
          <w:bdr w:val="none" w:sz="0" w:space="0" w:color="auto"/>
          <w:lang w:val="es-ES"/>
        </w:rPr>
        <w:t xml:space="preserve">la denuncia ante la </w:t>
      </w:r>
      <w:r w:rsidR="005E2DFB" w:rsidRPr="009A7B7A">
        <w:rPr>
          <w:rFonts w:ascii="Cambria" w:hAnsi="Cambria"/>
          <w:sz w:val="20"/>
          <w:szCs w:val="20"/>
          <w:bdr w:val="none" w:sz="0" w:space="0" w:color="auto"/>
          <w:lang w:val="es-ES"/>
        </w:rPr>
        <w:t>Policía de la madre y hermana de Walter Mun</w:t>
      </w:r>
      <w:r w:rsidR="005E2DFB" w:rsidRPr="000B421B">
        <w:rPr>
          <w:rFonts w:ascii="Cambria" w:hAnsi="Cambria"/>
          <w:sz w:val="20"/>
          <w:szCs w:val="20"/>
          <w:bdr w:val="none" w:sz="0" w:space="0" w:color="auto"/>
          <w:lang w:val="es-ES"/>
        </w:rPr>
        <w:t>árriz Escobar, así como a supuestas diligencias de búsqueda</w:t>
      </w:r>
      <w:r w:rsidR="000B421B">
        <w:rPr>
          <w:rFonts w:ascii="Cambria" w:hAnsi="Cambria"/>
          <w:sz w:val="20"/>
          <w:szCs w:val="20"/>
          <w:bdr w:val="none" w:sz="0" w:space="0" w:color="auto"/>
          <w:lang w:val="es-ES"/>
        </w:rPr>
        <w:t xml:space="preserve"> efectuadas por la propia policía</w:t>
      </w:r>
      <w:r w:rsidR="00105686">
        <w:rPr>
          <w:rStyle w:val="FootnoteReference"/>
          <w:rFonts w:ascii="Cambria" w:hAnsi="Cambria"/>
          <w:sz w:val="20"/>
          <w:szCs w:val="20"/>
          <w:bdr w:val="none" w:sz="0" w:space="0" w:color="auto"/>
          <w:lang w:val="es-ES"/>
        </w:rPr>
        <w:footnoteReference w:id="27"/>
      </w:r>
      <w:r w:rsidR="000B421B">
        <w:rPr>
          <w:rFonts w:ascii="Cambria" w:hAnsi="Cambria"/>
          <w:sz w:val="20"/>
          <w:szCs w:val="20"/>
          <w:bdr w:val="none" w:sz="0" w:space="0" w:color="auto"/>
          <w:lang w:val="es-ES"/>
        </w:rPr>
        <w:t>.</w:t>
      </w:r>
      <w:r w:rsidR="009A7B7A" w:rsidRPr="000B421B">
        <w:rPr>
          <w:rFonts w:ascii="Cambria" w:hAnsi="Cambria"/>
          <w:sz w:val="20"/>
          <w:szCs w:val="20"/>
          <w:bdr w:val="none" w:sz="0" w:space="0" w:color="auto"/>
          <w:lang w:val="es-ES"/>
        </w:rPr>
        <w:t xml:space="preserve"> </w:t>
      </w:r>
    </w:p>
    <w:p w:rsidR="0047328E" w:rsidRDefault="0047328E" w:rsidP="0047328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A6DAC" w:rsidRPr="000A6DAC" w:rsidRDefault="000A6DAC"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bdr w:val="none" w:sz="0" w:space="0" w:color="auto"/>
          <w:lang w:val="es-ES"/>
        </w:rPr>
      </w:pPr>
      <w:r w:rsidRPr="000A6DAC">
        <w:rPr>
          <w:rFonts w:ascii="Cambria" w:hAnsi="Cambria"/>
          <w:sz w:val="20"/>
          <w:szCs w:val="20"/>
          <w:bdr w:val="none" w:sz="0" w:space="0" w:color="auto"/>
          <w:lang w:val="es-ES"/>
        </w:rPr>
        <w:t>El 23 de marzo del mismo año, la señora Escobar Candiotti formalizó denuncia penal contra el personal que se encontraba de turno en la Delegación de la Policía Nacional el día de la desaparición de su hijo</w:t>
      </w:r>
      <w:r w:rsidRPr="000A6DAC">
        <w:rPr>
          <w:rStyle w:val="FootnoteReference"/>
          <w:rFonts w:ascii="Cambria" w:hAnsi="Cambria"/>
          <w:sz w:val="20"/>
          <w:szCs w:val="20"/>
          <w:bdr w:val="none" w:sz="0" w:space="0" w:color="auto"/>
          <w:lang w:val="es-ES"/>
        </w:rPr>
        <w:footnoteReference w:id="28"/>
      </w:r>
      <w:r w:rsidRPr="000A6DAC">
        <w:rPr>
          <w:rFonts w:ascii="Cambria" w:hAnsi="Cambria"/>
          <w:sz w:val="20"/>
          <w:szCs w:val="20"/>
          <w:bdr w:val="none" w:sz="0" w:space="0" w:color="auto"/>
          <w:lang w:val="es-ES"/>
        </w:rPr>
        <w:t>.</w:t>
      </w:r>
      <w:r w:rsidR="00494F88" w:rsidRPr="000A6DAC">
        <w:rPr>
          <w:rFonts w:ascii="Cambria" w:hAnsi="Cambria"/>
          <w:sz w:val="20"/>
          <w:szCs w:val="20"/>
          <w:bdr w:val="none" w:sz="0" w:space="0" w:color="auto"/>
          <w:lang w:val="es-ES"/>
        </w:rPr>
        <w:t xml:space="preserve"> </w:t>
      </w:r>
    </w:p>
    <w:p w:rsidR="000A6DAC" w:rsidRPr="000A6DAC" w:rsidRDefault="000A6DAC" w:rsidP="000A6DAC">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bdr w:val="none" w:sz="0" w:space="0" w:color="auto"/>
          <w:lang w:val="es-ES"/>
        </w:rPr>
      </w:pPr>
    </w:p>
    <w:p w:rsidR="005A1EB7" w:rsidRPr="00D96B4E" w:rsidRDefault="000A6DAC"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bdr w:val="none" w:sz="0" w:space="0" w:color="auto"/>
          <w:lang w:val="es-ES"/>
        </w:rPr>
      </w:pPr>
      <w:r w:rsidRPr="00D96B4E">
        <w:rPr>
          <w:rFonts w:ascii="Cambria" w:hAnsi="Cambria"/>
          <w:sz w:val="20"/>
          <w:szCs w:val="20"/>
          <w:bdr w:val="none" w:sz="0" w:space="0" w:color="auto"/>
          <w:lang w:val="es-ES"/>
        </w:rPr>
        <w:t xml:space="preserve">En </w:t>
      </w:r>
      <w:r w:rsidR="00494F88" w:rsidRPr="00D96B4E">
        <w:rPr>
          <w:rFonts w:ascii="Cambria" w:hAnsi="Cambria"/>
          <w:sz w:val="20"/>
          <w:szCs w:val="20"/>
          <w:bdr w:val="none" w:sz="0" w:space="0" w:color="auto"/>
          <w:lang w:val="es-ES"/>
        </w:rPr>
        <w:t>entrevista que la</w:t>
      </w:r>
      <w:r w:rsidR="005A1EB7" w:rsidRPr="00D96B4E">
        <w:rPr>
          <w:rFonts w:ascii="Cambria" w:hAnsi="Cambria"/>
          <w:sz w:val="20"/>
          <w:szCs w:val="20"/>
          <w:bdr w:val="none" w:sz="0" w:space="0" w:color="auto"/>
          <w:lang w:val="es-ES"/>
        </w:rPr>
        <w:t xml:space="preserve"> Defensoría del Pueblo realizó el 25 de marzo de 1999 a la entonces Fiscal encargada</w:t>
      </w:r>
      <w:r w:rsidR="00047ED9" w:rsidRPr="00D96B4E">
        <w:rPr>
          <w:rFonts w:ascii="Cambria" w:hAnsi="Cambria"/>
          <w:sz w:val="20"/>
          <w:szCs w:val="20"/>
          <w:bdr w:val="none" w:sz="0" w:space="0" w:color="auto"/>
          <w:lang w:val="es-ES"/>
        </w:rPr>
        <w:t xml:space="preserve"> de la investigación,</w:t>
      </w:r>
      <w:r w:rsidR="00494F88" w:rsidRPr="00D96B4E">
        <w:rPr>
          <w:rFonts w:ascii="Cambria" w:hAnsi="Cambria"/>
          <w:sz w:val="20"/>
          <w:szCs w:val="20"/>
          <w:bdr w:val="none" w:sz="0" w:space="0" w:color="auto"/>
          <w:lang w:val="es-ES"/>
        </w:rPr>
        <w:t xml:space="preserve"> </w:t>
      </w:r>
      <w:r w:rsidR="005A1EB7" w:rsidRPr="00D96B4E">
        <w:rPr>
          <w:rFonts w:ascii="Cambria" w:hAnsi="Cambria"/>
          <w:sz w:val="20"/>
          <w:szCs w:val="20"/>
          <w:bdr w:val="none" w:sz="0" w:space="0" w:color="auto"/>
          <w:lang w:val="es-ES"/>
        </w:rPr>
        <w:t xml:space="preserve">Silvia Montero Meléndez , ésta refirió que: </w:t>
      </w:r>
    </w:p>
    <w:p w:rsidR="005A1EB7" w:rsidRPr="00D96B4E" w:rsidRDefault="005A1EB7" w:rsidP="005A1EB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5A1EB7" w:rsidRPr="00D96B4E" w:rsidRDefault="005A1EB7" w:rsidP="005A1EB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s-ES"/>
        </w:rPr>
      </w:pPr>
      <w:r w:rsidRPr="00D96B4E">
        <w:rPr>
          <w:rFonts w:ascii="Cambria" w:hAnsi="Cambria"/>
          <w:sz w:val="20"/>
          <w:szCs w:val="20"/>
          <w:bdr w:val="none" w:sz="0" w:space="0" w:color="auto"/>
          <w:lang w:val="es-ES"/>
        </w:rPr>
        <w:t xml:space="preserve">[…] mi despacho ha iniciado las investigaciones correspondientes por la presunta desaparición del ciudadano Walter Munárriz Escobar, habiendo recabado las manifestaciones de las siguientes personas: Marcos Leónidas Sierra Tueros, Raúl Donayres Huaman, [ilegible], Máximo Romero Bendezu, Lucinda Ponce Sáforas, Mary Lilian Lizarme Luis, Luis Angel </w:t>
      </w:r>
      <w:r w:rsidR="00A73AEC" w:rsidRPr="00D96B4E">
        <w:rPr>
          <w:rFonts w:ascii="Cambria" w:hAnsi="Cambria"/>
          <w:sz w:val="20"/>
          <w:szCs w:val="20"/>
          <w:bdr w:val="none" w:sz="0" w:space="0" w:color="auto"/>
          <w:lang w:val="es-ES"/>
        </w:rPr>
        <w:t>[ilegible], Patrick Jeanette Flores Mendoza de Gutiérrez […]</w:t>
      </w:r>
      <w:r w:rsidR="00775F8E" w:rsidRPr="00D96B4E">
        <w:rPr>
          <w:rStyle w:val="FootnoteReference"/>
          <w:rFonts w:ascii="Cambria" w:hAnsi="Cambria"/>
          <w:sz w:val="20"/>
          <w:szCs w:val="20"/>
          <w:bdr w:val="none" w:sz="0" w:space="0" w:color="auto"/>
          <w:lang w:val="es-ES"/>
        </w:rPr>
        <w:footnoteReference w:id="29"/>
      </w:r>
      <w:r w:rsidR="00566D14" w:rsidRPr="00D96B4E">
        <w:rPr>
          <w:rFonts w:ascii="Cambria" w:hAnsi="Cambria"/>
          <w:sz w:val="20"/>
          <w:szCs w:val="20"/>
          <w:bdr w:val="none" w:sz="0" w:space="0" w:color="auto"/>
          <w:lang w:val="es-ES"/>
        </w:rPr>
        <w:t>.</w:t>
      </w:r>
      <w:r w:rsidR="00A73AEC" w:rsidRPr="00D96B4E">
        <w:rPr>
          <w:rFonts w:ascii="Cambria" w:hAnsi="Cambria"/>
          <w:sz w:val="20"/>
          <w:szCs w:val="20"/>
          <w:bdr w:val="none" w:sz="0" w:space="0" w:color="auto"/>
          <w:lang w:val="es-ES"/>
        </w:rPr>
        <w:t xml:space="preserve"> </w:t>
      </w:r>
    </w:p>
    <w:p w:rsidR="00A73AEC" w:rsidRPr="000A2BA4" w:rsidRDefault="00A73AEC" w:rsidP="005A1EB7">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highlight w:val="yellow"/>
          <w:bdr w:val="none" w:sz="0" w:space="0" w:color="auto"/>
          <w:lang w:val="es-ES"/>
        </w:rPr>
      </w:pPr>
    </w:p>
    <w:p w:rsidR="00775F8E" w:rsidRPr="00D96B4E" w:rsidRDefault="00775F8E"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bdr w:val="none" w:sz="0" w:space="0" w:color="auto"/>
          <w:lang w:val="es-ES"/>
        </w:rPr>
      </w:pPr>
      <w:r w:rsidRPr="00D96B4E">
        <w:rPr>
          <w:rFonts w:ascii="Cambria" w:hAnsi="Cambria"/>
          <w:sz w:val="20"/>
          <w:szCs w:val="20"/>
          <w:bdr w:val="none" w:sz="0" w:space="0" w:color="auto"/>
          <w:lang w:val="es-ES"/>
        </w:rPr>
        <w:lastRenderedPageBreak/>
        <w:t xml:space="preserve">El comisionado responsable de la Defensoría del Pueblo dejó asentado en el informe de gestión de dicha entrevista que la Fiscal </w:t>
      </w:r>
      <w:r w:rsidR="00047ED9" w:rsidRPr="00D96B4E">
        <w:rPr>
          <w:rFonts w:ascii="Cambria" w:hAnsi="Cambria"/>
          <w:sz w:val="20"/>
          <w:szCs w:val="20"/>
          <w:bdr w:val="none" w:sz="0" w:space="0" w:color="auto"/>
          <w:lang w:val="es-ES"/>
        </w:rPr>
        <w:t xml:space="preserve">indicó </w:t>
      </w:r>
      <w:r w:rsidRPr="00D96B4E">
        <w:rPr>
          <w:rFonts w:ascii="Cambria" w:hAnsi="Cambria"/>
          <w:sz w:val="20"/>
          <w:szCs w:val="20"/>
          <w:bdr w:val="none" w:sz="0" w:space="0" w:color="auto"/>
          <w:lang w:val="es-ES"/>
        </w:rPr>
        <w:t>que “</w:t>
      </w:r>
      <w:r w:rsidR="00047ED9" w:rsidRPr="00D96B4E">
        <w:rPr>
          <w:rFonts w:ascii="Cambria" w:hAnsi="Cambria"/>
          <w:sz w:val="20"/>
          <w:szCs w:val="20"/>
          <w:bdr w:val="none" w:sz="0" w:space="0" w:color="auto"/>
          <w:lang w:val="es-ES"/>
        </w:rPr>
        <w:t>l</w:t>
      </w:r>
      <w:r w:rsidRPr="00D96B4E">
        <w:rPr>
          <w:rFonts w:ascii="Cambria" w:hAnsi="Cambria"/>
          <w:sz w:val="20"/>
          <w:szCs w:val="20"/>
          <w:bdr w:val="none" w:sz="0" w:space="0" w:color="auto"/>
          <w:lang w:val="es-ES"/>
        </w:rPr>
        <w:t>as investigaciones las viene realizando personalmente, habiendo solicitado el apoyo de la División de Huancavelica, mediante oficio No. 125.99 [ilegible] solicitando incluso movilidad para rastrillaje […] para tratar de ubicar al estudiante aludido. La Fiscal Provincial agrega que su despacho está agotando las gestiones necesarias para esclarecer los hechos convenientemente”</w:t>
      </w:r>
      <w:r w:rsidR="0091016E" w:rsidRPr="00D96B4E">
        <w:rPr>
          <w:rStyle w:val="FootnoteReference"/>
          <w:rFonts w:ascii="Cambria" w:hAnsi="Cambria"/>
          <w:sz w:val="20"/>
          <w:szCs w:val="20"/>
          <w:bdr w:val="none" w:sz="0" w:space="0" w:color="auto"/>
          <w:lang w:val="es-ES"/>
        </w:rPr>
        <w:footnoteReference w:id="30"/>
      </w:r>
      <w:r w:rsidRPr="00D96B4E">
        <w:rPr>
          <w:rFonts w:ascii="Cambria" w:hAnsi="Cambria"/>
          <w:sz w:val="20"/>
          <w:szCs w:val="20"/>
          <w:bdr w:val="none" w:sz="0" w:space="0" w:color="auto"/>
          <w:lang w:val="es-ES"/>
        </w:rPr>
        <w:t xml:space="preserve">. </w:t>
      </w:r>
    </w:p>
    <w:p w:rsidR="00775F8E" w:rsidRDefault="00775F8E" w:rsidP="00775F8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bdr w:val="none" w:sz="0" w:space="0" w:color="auto"/>
          <w:lang w:val="es-ES"/>
        </w:rPr>
      </w:pPr>
    </w:p>
    <w:p w:rsidR="00DF2B51" w:rsidRPr="00456FC2" w:rsidRDefault="00DF2B51"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bdr w:val="none" w:sz="0" w:space="0" w:color="auto"/>
          <w:lang w:val="es-ES"/>
        </w:rPr>
      </w:pPr>
      <w:r w:rsidRPr="00DF2B51">
        <w:rPr>
          <w:rFonts w:ascii="Cambria" w:hAnsi="Cambria"/>
          <w:sz w:val="20"/>
          <w:szCs w:val="20"/>
          <w:bdr w:val="none" w:sz="0" w:space="0" w:color="auto"/>
          <w:lang w:val="es-ES"/>
        </w:rPr>
        <w:t>La Comisión observa que el 27 de marzo del mismo año, la Municipalidad Provincial de Angaraes, Comités de Defensa y Desarrollo de los tres Barrios de Lircay, la Escuela Académico Profesional de Minas y el “pueblo en general”, remitieron una solicitud al Fiscal Superior de Huancavelica, solicitando “se nombrara un fiscal Ad Hoc dado que la actual Fiscal Provincial de Lircay Silvia Montero Meléndez se ha parcializado descaradamente poniéndose de acuerdo con las versiones dadas por la Policía Nacional, en vez de salvaguardar los intereses u (sic) derechos de los ciudadanos de esta comunidad”</w:t>
      </w:r>
      <w:r w:rsidRPr="00DF2B51">
        <w:rPr>
          <w:rStyle w:val="FootnoteReference"/>
          <w:rFonts w:ascii="Cambria" w:hAnsi="Cambria"/>
          <w:sz w:val="20"/>
          <w:szCs w:val="20"/>
          <w:bdr w:val="none" w:sz="0" w:space="0" w:color="auto"/>
          <w:lang w:val="es-ES"/>
        </w:rPr>
        <w:footnoteReference w:id="31"/>
      </w:r>
      <w:r w:rsidRPr="00DF2B51">
        <w:rPr>
          <w:rFonts w:ascii="Cambria" w:hAnsi="Cambria"/>
          <w:sz w:val="20"/>
          <w:szCs w:val="20"/>
          <w:bdr w:val="none" w:sz="0" w:space="0" w:color="auto"/>
          <w:lang w:val="es-ES"/>
        </w:rPr>
        <w:t xml:space="preserve">. </w:t>
      </w:r>
      <w:r w:rsidR="00E26E52">
        <w:rPr>
          <w:rFonts w:ascii="Cambria" w:hAnsi="Cambria"/>
          <w:sz w:val="20"/>
          <w:szCs w:val="20"/>
          <w:bdr w:val="none" w:sz="0" w:space="0" w:color="auto"/>
          <w:lang w:val="es-ES"/>
        </w:rPr>
        <w:t>E</w:t>
      </w:r>
      <w:r w:rsidRPr="00DF56F2">
        <w:rPr>
          <w:rFonts w:ascii="Cambria" w:hAnsi="Cambria"/>
          <w:sz w:val="20"/>
          <w:szCs w:val="20"/>
          <w:bdr w:val="none" w:sz="0" w:space="0" w:color="auto"/>
          <w:lang w:val="es-ES"/>
        </w:rPr>
        <w:t>l  3 de mayo de 1999</w:t>
      </w:r>
      <w:r w:rsidRPr="00302758">
        <w:rPr>
          <w:rFonts w:ascii="Cambria" w:hAnsi="Cambria"/>
          <w:sz w:val="20"/>
          <w:szCs w:val="20"/>
          <w:bdr w:val="none" w:sz="0" w:space="0" w:color="auto"/>
          <w:lang w:val="es-ES"/>
        </w:rPr>
        <w:t xml:space="preserve"> la Fiscalía Superior de Gestión  de</w:t>
      </w:r>
      <w:r w:rsidRPr="00A356F0">
        <w:rPr>
          <w:rFonts w:ascii="Cambria" w:hAnsi="Cambria"/>
          <w:sz w:val="20"/>
          <w:szCs w:val="20"/>
          <w:bdr w:val="none" w:sz="0" w:space="0" w:color="auto"/>
          <w:lang w:val="es-ES"/>
        </w:rPr>
        <w:t xml:space="preserve"> Gobierno del Distrito Judicial emitió una resolución en la que</w:t>
      </w:r>
      <w:r w:rsidR="00783209">
        <w:rPr>
          <w:rFonts w:ascii="Cambria" w:hAnsi="Cambria"/>
          <w:sz w:val="20"/>
          <w:szCs w:val="20"/>
          <w:bdr w:val="none" w:sz="0" w:space="0" w:color="auto"/>
          <w:lang w:val="es-ES"/>
        </w:rPr>
        <w:t xml:space="preserve"> tomó en cuenta esta solicitud y a la vez </w:t>
      </w:r>
      <w:r w:rsidRPr="00A356F0">
        <w:rPr>
          <w:rFonts w:ascii="Cambria" w:hAnsi="Cambria"/>
          <w:sz w:val="20"/>
          <w:szCs w:val="20"/>
          <w:bdr w:val="none" w:sz="0" w:space="0" w:color="auto"/>
          <w:lang w:val="es-ES"/>
        </w:rPr>
        <w:t xml:space="preserve">hizo referencia </w:t>
      </w:r>
      <w:r w:rsidRPr="00456FC2">
        <w:rPr>
          <w:rFonts w:ascii="Cambria" w:hAnsi="Cambria"/>
          <w:sz w:val="20"/>
          <w:szCs w:val="20"/>
          <w:bdr w:val="none" w:sz="0" w:space="0" w:color="auto"/>
          <w:lang w:val="es-ES"/>
        </w:rPr>
        <w:t xml:space="preserve">al caso de Walter Munarriz Escobar en los siguientes términos: </w:t>
      </w:r>
    </w:p>
    <w:p w:rsidR="00DF2B51" w:rsidRDefault="00DF2B51" w:rsidP="00DF2B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DF2B51" w:rsidRDefault="00DF2B51" w:rsidP="00DF2B5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s-ES"/>
        </w:rPr>
      </w:pPr>
      <w:r>
        <w:rPr>
          <w:rFonts w:ascii="Cambria" w:hAnsi="Cambria"/>
          <w:sz w:val="20"/>
          <w:szCs w:val="20"/>
          <w:bdr w:val="none" w:sz="0" w:space="0" w:color="auto"/>
          <w:lang w:val="es-ES"/>
        </w:rPr>
        <w:t>[…] apartar a la doctora Silvia Montero Meléndez  del conocimiento de dicha causa, por su manifiesta negligencia, retardo en las investigaciones prejurisdiccionales practicadas al respecto y por la desconfianza que le tiene la población de Lircay-Anganares  y los familiares del referido estudiante desaparecido[…]</w:t>
      </w:r>
      <w:r>
        <w:rPr>
          <w:rStyle w:val="FootnoteReference"/>
          <w:rFonts w:ascii="Cambria" w:hAnsi="Cambria"/>
          <w:sz w:val="20"/>
          <w:szCs w:val="20"/>
          <w:bdr w:val="none" w:sz="0" w:space="0" w:color="auto"/>
          <w:lang w:val="es-ES"/>
        </w:rPr>
        <w:footnoteReference w:id="32"/>
      </w:r>
      <w:r>
        <w:rPr>
          <w:rFonts w:ascii="Cambria" w:hAnsi="Cambria"/>
          <w:sz w:val="20"/>
          <w:szCs w:val="20"/>
          <w:bdr w:val="none" w:sz="0" w:space="0" w:color="auto"/>
          <w:lang w:val="es-ES"/>
        </w:rPr>
        <w:t>.</w:t>
      </w:r>
    </w:p>
    <w:p w:rsidR="00DF2B51" w:rsidRDefault="00DF2B51" w:rsidP="00775F8E">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Cambria" w:hAnsi="Cambria"/>
          <w:sz w:val="20"/>
          <w:szCs w:val="20"/>
          <w:bdr w:val="none" w:sz="0" w:space="0" w:color="auto"/>
          <w:lang w:val="es-ES"/>
        </w:rPr>
      </w:pPr>
    </w:p>
    <w:p w:rsidR="0065087A" w:rsidRPr="00043DC1" w:rsidRDefault="000230CD"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bdr w:val="none" w:sz="0" w:space="0" w:color="auto"/>
          <w:lang w:val="es-ES"/>
        </w:rPr>
      </w:pPr>
      <w:r w:rsidRPr="0065087A">
        <w:rPr>
          <w:rFonts w:ascii="Cambria" w:hAnsi="Cambria"/>
          <w:sz w:val="20"/>
          <w:szCs w:val="20"/>
          <w:bdr w:val="none" w:sz="0" w:space="0" w:color="auto"/>
          <w:lang w:val="es-ES"/>
        </w:rPr>
        <w:t xml:space="preserve">El 23 de abril de 1999 la Fiscalía Mixta de Angaraes formalizó denuncia penal ante el Juzgado Mixto de Angaraes-Lircay contra los </w:t>
      </w:r>
      <w:r w:rsidR="0083557D" w:rsidRPr="0065087A">
        <w:rPr>
          <w:rFonts w:ascii="Cambria" w:hAnsi="Cambria"/>
          <w:sz w:val="20"/>
          <w:szCs w:val="20"/>
          <w:bdr w:val="none" w:sz="0" w:space="0" w:color="auto"/>
          <w:lang w:val="es-ES"/>
        </w:rPr>
        <w:t>o</w:t>
      </w:r>
      <w:r w:rsidRPr="0065087A">
        <w:rPr>
          <w:rFonts w:ascii="Cambria" w:hAnsi="Cambria"/>
          <w:sz w:val="20"/>
          <w:szCs w:val="20"/>
          <w:bdr w:val="none" w:sz="0" w:space="0" w:color="auto"/>
          <w:lang w:val="es-ES"/>
        </w:rPr>
        <w:t>ficiales</w:t>
      </w:r>
      <w:r w:rsidR="00C8482B" w:rsidRPr="0065087A">
        <w:rPr>
          <w:rFonts w:ascii="Cambria" w:hAnsi="Cambria"/>
          <w:sz w:val="20"/>
          <w:szCs w:val="20"/>
          <w:bdr w:val="none" w:sz="0" w:space="0" w:color="auto"/>
          <w:lang w:val="es-ES"/>
        </w:rPr>
        <w:t>:</w:t>
      </w:r>
      <w:r w:rsidR="00AD1446" w:rsidRPr="0065087A">
        <w:rPr>
          <w:rFonts w:ascii="Cambria" w:hAnsi="Cambria"/>
          <w:sz w:val="20"/>
          <w:szCs w:val="20"/>
          <w:bdr w:val="none" w:sz="0" w:space="0" w:color="auto"/>
          <w:lang w:val="es-MX"/>
        </w:rPr>
        <w:t xml:space="preserve"> Capitán PNP Roberto Gastiaburú Nakada, Alferéz PNP Claudio Gutiérrez Velásquez y Suboficial PNP Adolfo Ángeles Ramos</w:t>
      </w:r>
      <w:r w:rsidRPr="0065087A">
        <w:rPr>
          <w:rFonts w:ascii="Cambria" w:hAnsi="Cambria"/>
          <w:sz w:val="20"/>
          <w:szCs w:val="20"/>
          <w:bdr w:val="none" w:sz="0" w:space="0" w:color="auto"/>
          <w:lang w:val="es-ES"/>
        </w:rPr>
        <w:t>, por la comisión del delito contra la humanidad en su modalidad de desaparición forzada</w:t>
      </w:r>
      <w:r w:rsidR="0083557D" w:rsidRPr="0065087A">
        <w:rPr>
          <w:rFonts w:ascii="Cambria" w:hAnsi="Cambria"/>
          <w:sz w:val="20"/>
          <w:szCs w:val="20"/>
          <w:bdr w:val="none" w:sz="0" w:space="0" w:color="auto"/>
          <w:lang w:val="es-ES"/>
        </w:rPr>
        <w:t>,</w:t>
      </w:r>
      <w:r w:rsidRPr="0065087A">
        <w:rPr>
          <w:rFonts w:ascii="Cambria" w:hAnsi="Cambria"/>
          <w:sz w:val="20"/>
          <w:szCs w:val="20"/>
          <w:bdr w:val="none" w:sz="0" w:space="0" w:color="auto"/>
          <w:lang w:val="es-ES"/>
        </w:rPr>
        <w:t xml:space="preserve"> en agravio de Walter Munárriz Escobar</w:t>
      </w:r>
      <w:r w:rsidRPr="000230CD">
        <w:rPr>
          <w:rStyle w:val="FootnoteReference"/>
          <w:sz w:val="20"/>
          <w:szCs w:val="20"/>
          <w:lang w:val="es-ES"/>
        </w:rPr>
        <w:footnoteReference w:id="33"/>
      </w:r>
      <w:r w:rsidRPr="0065087A">
        <w:rPr>
          <w:rFonts w:ascii="Cambria" w:hAnsi="Cambria"/>
          <w:sz w:val="20"/>
          <w:szCs w:val="20"/>
          <w:bdr w:val="none" w:sz="0" w:space="0" w:color="auto"/>
          <w:lang w:val="es-ES"/>
        </w:rPr>
        <w:t xml:space="preserve">.  El 26 de abril </w:t>
      </w:r>
      <w:r w:rsidRPr="008A5B8C">
        <w:rPr>
          <w:rFonts w:ascii="Cambria" w:hAnsi="Cambria"/>
          <w:sz w:val="20"/>
          <w:szCs w:val="20"/>
          <w:bdr w:val="none" w:sz="0" w:space="0" w:color="auto"/>
          <w:lang w:val="es-ES"/>
        </w:rPr>
        <w:t xml:space="preserve">del mismo año, dicho juzgado abrió instrucción en contra de los 3 oficiales </w:t>
      </w:r>
      <w:r w:rsidR="0083557D" w:rsidRPr="008A5B8C">
        <w:rPr>
          <w:rFonts w:ascii="Cambria" w:hAnsi="Cambria"/>
          <w:sz w:val="20"/>
          <w:szCs w:val="20"/>
          <w:bdr w:val="none" w:sz="0" w:space="0" w:color="auto"/>
          <w:lang w:val="es-ES"/>
        </w:rPr>
        <w:t xml:space="preserve">señalados </w:t>
      </w:r>
      <w:r w:rsidRPr="008A5B8C">
        <w:rPr>
          <w:rFonts w:ascii="Cambria" w:hAnsi="Cambria"/>
          <w:sz w:val="20"/>
          <w:szCs w:val="20"/>
          <w:bdr w:val="none" w:sz="0" w:space="0" w:color="auto"/>
          <w:lang w:val="es-ES"/>
        </w:rPr>
        <w:t>y dictó orden de detención</w:t>
      </w:r>
      <w:r w:rsidRPr="00536214">
        <w:rPr>
          <w:rStyle w:val="FootnoteReference"/>
          <w:sz w:val="20"/>
          <w:szCs w:val="20"/>
          <w:lang w:val="es-ES"/>
        </w:rPr>
        <w:footnoteReference w:id="34"/>
      </w:r>
      <w:r w:rsidRPr="00536214">
        <w:rPr>
          <w:rFonts w:ascii="Cambria" w:hAnsi="Cambria"/>
          <w:sz w:val="20"/>
          <w:szCs w:val="20"/>
          <w:bdr w:val="none" w:sz="0" w:space="0" w:color="auto"/>
          <w:lang w:val="es-ES"/>
        </w:rPr>
        <w:t xml:space="preserve">. </w:t>
      </w:r>
    </w:p>
    <w:p w:rsidR="00047ED9" w:rsidRPr="00E55D51" w:rsidRDefault="00047ED9" w:rsidP="00047ED9">
      <w:pPr>
        <w:pStyle w:val="ColorfulList-Accent12"/>
        <w:rPr>
          <w:rFonts w:ascii="Cambria" w:hAnsi="Cambria"/>
          <w:sz w:val="20"/>
          <w:szCs w:val="20"/>
          <w:bdr w:val="none" w:sz="0" w:space="0" w:color="auto"/>
          <w:lang w:val="es-ES"/>
        </w:rPr>
      </w:pPr>
    </w:p>
    <w:p w:rsidR="000230CD" w:rsidRPr="008A5B8C" w:rsidRDefault="000230CD"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810"/>
        <w:jc w:val="both"/>
        <w:rPr>
          <w:rFonts w:ascii="Cambria" w:hAnsi="Cambria"/>
          <w:sz w:val="20"/>
          <w:szCs w:val="20"/>
          <w:bdr w:val="none" w:sz="0" w:space="0" w:color="auto"/>
          <w:lang w:val="es-ES"/>
        </w:rPr>
      </w:pPr>
      <w:r w:rsidRPr="00E55D51">
        <w:rPr>
          <w:rFonts w:ascii="Cambria" w:hAnsi="Cambria"/>
          <w:sz w:val="20"/>
          <w:szCs w:val="20"/>
          <w:bdr w:val="none" w:sz="0" w:space="0" w:color="auto"/>
          <w:lang w:val="es-ES"/>
        </w:rPr>
        <w:t>El 24 de junio de</w:t>
      </w:r>
      <w:r w:rsidR="00AD1446" w:rsidRPr="00E25161">
        <w:rPr>
          <w:rFonts w:ascii="Cambria" w:hAnsi="Cambria"/>
          <w:sz w:val="20"/>
          <w:szCs w:val="20"/>
          <w:bdr w:val="none" w:sz="0" w:space="0" w:color="auto"/>
          <w:lang w:val="es-ES"/>
        </w:rPr>
        <w:t xml:space="preserve"> 1999</w:t>
      </w:r>
      <w:r w:rsidRPr="00E25161">
        <w:rPr>
          <w:rFonts w:ascii="Cambria" w:hAnsi="Cambria"/>
          <w:sz w:val="20"/>
          <w:szCs w:val="20"/>
          <w:bdr w:val="none" w:sz="0" w:space="0" w:color="auto"/>
          <w:lang w:val="es-ES"/>
        </w:rPr>
        <w:t xml:space="preserve"> </w:t>
      </w:r>
      <w:r w:rsidR="0083557D" w:rsidRPr="00E25161">
        <w:rPr>
          <w:rFonts w:ascii="Cambria" w:hAnsi="Cambria"/>
          <w:sz w:val="20"/>
          <w:szCs w:val="20"/>
          <w:bdr w:val="none" w:sz="0" w:space="0" w:color="auto"/>
          <w:lang w:val="es-ES"/>
        </w:rPr>
        <w:t xml:space="preserve">el juzgado </w:t>
      </w:r>
      <w:r w:rsidRPr="00E25161">
        <w:rPr>
          <w:rFonts w:ascii="Cambria" w:hAnsi="Cambria"/>
          <w:sz w:val="20"/>
          <w:szCs w:val="20"/>
          <w:bdr w:val="none" w:sz="0" w:space="0" w:color="auto"/>
          <w:lang w:val="es-ES"/>
        </w:rPr>
        <w:t>amplió la instrucción contra</w:t>
      </w:r>
      <w:r w:rsidR="00AD1446" w:rsidRPr="00E25161">
        <w:rPr>
          <w:rFonts w:ascii="Cambria" w:hAnsi="Cambria"/>
          <w:sz w:val="20"/>
          <w:szCs w:val="20"/>
          <w:bdr w:val="none" w:sz="0" w:space="0" w:color="auto"/>
          <w:lang w:val="es-ES"/>
        </w:rPr>
        <w:t xml:space="preserve"> los Suboficiales PNP Gunther Cuaresma Ramos, Percy Bladimir Salvatierra y Carlos Hugo Valdivia Urrutia</w:t>
      </w:r>
      <w:r w:rsidRPr="00E25161">
        <w:rPr>
          <w:rFonts w:ascii="Cambria" w:hAnsi="Cambria"/>
          <w:sz w:val="20"/>
          <w:szCs w:val="20"/>
          <w:bdr w:val="none" w:sz="0" w:space="0" w:color="auto"/>
          <w:lang w:val="es-ES"/>
        </w:rPr>
        <w:t>, dict</w:t>
      </w:r>
      <w:r w:rsidR="0083557D" w:rsidRPr="0010331D">
        <w:rPr>
          <w:rFonts w:ascii="Cambria" w:hAnsi="Cambria"/>
          <w:sz w:val="20"/>
          <w:szCs w:val="20"/>
          <w:bdr w:val="none" w:sz="0" w:space="0" w:color="auto"/>
          <w:lang w:val="es-ES"/>
        </w:rPr>
        <w:t xml:space="preserve">ándoles </w:t>
      </w:r>
      <w:r w:rsidRPr="0010331D">
        <w:rPr>
          <w:rFonts w:ascii="Cambria" w:hAnsi="Cambria"/>
          <w:sz w:val="20"/>
          <w:szCs w:val="20"/>
          <w:bdr w:val="none" w:sz="0" w:space="0" w:color="auto"/>
          <w:lang w:val="es-ES"/>
        </w:rPr>
        <w:t>también orden de detención</w:t>
      </w:r>
      <w:r w:rsidRPr="008A5B8C">
        <w:rPr>
          <w:rStyle w:val="FootnoteReference"/>
          <w:sz w:val="20"/>
          <w:szCs w:val="20"/>
          <w:lang w:val="es-ES"/>
        </w:rPr>
        <w:footnoteReference w:id="35"/>
      </w:r>
      <w:r w:rsidRPr="008A5B8C">
        <w:rPr>
          <w:rFonts w:ascii="Cambria" w:hAnsi="Cambria"/>
          <w:sz w:val="20"/>
          <w:szCs w:val="20"/>
          <w:bdr w:val="none" w:sz="0" w:space="0" w:color="auto"/>
          <w:lang w:val="es-ES"/>
        </w:rPr>
        <w:t>.</w:t>
      </w:r>
      <w:r w:rsidR="00D2133B" w:rsidRPr="008A5B8C">
        <w:rPr>
          <w:rFonts w:ascii="Cambria" w:hAnsi="Cambria"/>
          <w:sz w:val="20"/>
          <w:szCs w:val="20"/>
          <w:bdr w:val="none" w:sz="0" w:space="0" w:color="auto"/>
          <w:lang w:val="es-ES"/>
        </w:rPr>
        <w:t xml:space="preserve"> En dicha resolución, el Juzgado Mixto de Angaraes-Lircay determin</w:t>
      </w:r>
      <w:r w:rsidR="00E26D17" w:rsidRPr="008A5B8C">
        <w:rPr>
          <w:rFonts w:ascii="Cambria" w:hAnsi="Cambria"/>
          <w:sz w:val="20"/>
          <w:szCs w:val="20"/>
          <w:bdr w:val="none" w:sz="0" w:space="0" w:color="auto"/>
          <w:lang w:val="es-ES"/>
        </w:rPr>
        <w:t>ó</w:t>
      </w:r>
      <w:r w:rsidR="00D2133B" w:rsidRPr="008A5B8C">
        <w:rPr>
          <w:rFonts w:ascii="Cambria" w:hAnsi="Cambria"/>
          <w:sz w:val="20"/>
          <w:szCs w:val="20"/>
          <w:bdr w:val="none" w:sz="0" w:space="0" w:color="auto"/>
          <w:lang w:val="es-ES"/>
        </w:rPr>
        <w:t xml:space="preserve"> que: </w:t>
      </w:r>
    </w:p>
    <w:p w:rsidR="00D2133B" w:rsidRPr="008A5B8C" w:rsidRDefault="00D2133B" w:rsidP="00D2133B">
      <w:pPr>
        <w:pStyle w:val="ColorfulList-Accent12"/>
        <w:ind w:right="810"/>
        <w:rPr>
          <w:rFonts w:ascii="Cambria" w:hAnsi="Cambria"/>
          <w:sz w:val="20"/>
          <w:szCs w:val="20"/>
          <w:bdr w:val="none" w:sz="0" w:space="0" w:color="auto"/>
          <w:lang w:val="es-ES"/>
        </w:rPr>
      </w:pPr>
    </w:p>
    <w:p w:rsidR="00D2133B" w:rsidRDefault="00E26D17" w:rsidP="00D2133B">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810" w:firstLine="0"/>
        <w:jc w:val="both"/>
        <w:rPr>
          <w:rFonts w:ascii="Cambria" w:hAnsi="Cambria"/>
          <w:sz w:val="20"/>
          <w:szCs w:val="20"/>
          <w:bdr w:val="none" w:sz="0" w:space="0" w:color="auto"/>
          <w:lang w:val="es-ES"/>
        </w:rPr>
      </w:pPr>
      <w:r w:rsidRPr="008A5B8C">
        <w:rPr>
          <w:rFonts w:ascii="Cambria" w:hAnsi="Cambria"/>
          <w:sz w:val="20"/>
          <w:szCs w:val="20"/>
          <w:bdr w:val="none" w:sz="0" w:space="0" w:color="auto"/>
          <w:lang w:val="es-ES"/>
        </w:rPr>
        <w:t xml:space="preserve">[…] </w:t>
      </w:r>
      <w:r w:rsidR="00D2133B" w:rsidRPr="008A5B8C">
        <w:rPr>
          <w:rFonts w:ascii="Cambria" w:hAnsi="Cambria"/>
          <w:sz w:val="20"/>
          <w:szCs w:val="20"/>
          <w:bdr w:val="none" w:sz="0" w:space="0" w:color="auto"/>
          <w:lang w:val="es-ES"/>
        </w:rPr>
        <w:t>Conforme lo detalla el Representante del Ministerio Público, surgen del proceso indicios y presunciones pero que parten de hechos constatables, aquéllos miembros policiales también han tenido intervención en la desaparición del menor agraviado, pues éste en la noche de los hechos fue puesto a disposición de la Comisaría por el Sub-Oficial PNP Cuaresma Ramos, sin documento alguno y recién al día siguiente enterado de los hecho</w:t>
      </w:r>
      <w:r w:rsidR="00FB4B73" w:rsidRPr="008A5B8C">
        <w:rPr>
          <w:rFonts w:ascii="Cambria" w:hAnsi="Cambria"/>
          <w:sz w:val="20"/>
          <w:szCs w:val="20"/>
          <w:bdr w:val="none" w:sz="0" w:space="0" w:color="auto"/>
          <w:lang w:val="es-ES"/>
        </w:rPr>
        <w:t>s</w:t>
      </w:r>
      <w:r w:rsidR="00D2133B" w:rsidRPr="008A5B8C">
        <w:rPr>
          <w:rFonts w:ascii="Cambria" w:hAnsi="Cambria"/>
          <w:sz w:val="20"/>
          <w:szCs w:val="20"/>
          <w:bdr w:val="none" w:sz="0" w:space="0" w:color="auto"/>
          <w:lang w:val="es-ES"/>
        </w:rPr>
        <w:t xml:space="preserve">, los confecciona y esto por orden superior; y para cohonestar su responsabilidad afirma falseando la verdad de que sí lo puso a disposición del Jefe de Informe y Auxilios de Turno con el documento respectivo, lo que no fue así. De igual manera el Sub-Oficial PNP Percy Bladimir Salvatierra Lauda da versiones contradictorias sobre su actuación en la noche de los hechos y coincidentemente Cuaresma Ramos, Valdivia Urrutia y el Capitán PNP Gastiaburü Nakada se dirigen de ronda inopinada en el carro Comancar </w:t>
      </w:r>
      <w:r w:rsidRPr="008A5B8C">
        <w:rPr>
          <w:rFonts w:ascii="Cambria" w:hAnsi="Cambria"/>
          <w:sz w:val="20"/>
          <w:szCs w:val="20"/>
          <w:bdr w:val="none" w:sz="0" w:space="0" w:color="auto"/>
          <w:lang w:val="es-ES"/>
        </w:rPr>
        <w:t xml:space="preserve">de la Comisaría, al </w:t>
      </w:r>
      <w:r w:rsidRPr="008A5B8C">
        <w:rPr>
          <w:rFonts w:ascii="Cambria" w:hAnsi="Cambria"/>
          <w:sz w:val="20"/>
          <w:szCs w:val="20"/>
          <w:bdr w:val="none" w:sz="0" w:space="0" w:color="auto"/>
          <w:lang w:val="es-ES"/>
        </w:rPr>
        <w:lastRenderedPageBreak/>
        <w:t>asiento minero de Julcani demorando en el viaje solamente de ida, el excesivo tiempo de más de dos horas; actos que nos llevan al convencimiento de que los tres miembros policiales también han tenido participación en los hechos investigados […]</w:t>
      </w:r>
      <w:r w:rsidR="00B17DB8">
        <w:rPr>
          <w:rStyle w:val="FootnoteReference"/>
          <w:rFonts w:ascii="Cambria" w:hAnsi="Cambria"/>
          <w:sz w:val="20"/>
          <w:szCs w:val="20"/>
          <w:bdr w:val="none" w:sz="0" w:space="0" w:color="auto"/>
          <w:lang w:val="es-ES"/>
        </w:rPr>
        <w:footnoteReference w:id="36"/>
      </w:r>
      <w:r w:rsidRPr="008A5B8C">
        <w:rPr>
          <w:rFonts w:ascii="Cambria" w:hAnsi="Cambria"/>
          <w:sz w:val="20"/>
          <w:szCs w:val="20"/>
          <w:bdr w:val="none" w:sz="0" w:space="0" w:color="auto"/>
          <w:lang w:val="es-ES"/>
        </w:rPr>
        <w:t>.</w:t>
      </w:r>
    </w:p>
    <w:p w:rsidR="005A678F" w:rsidRDefault="005A678F" w:rsidP="005A678F">
      <w:pPr>
        <w:pStyle w:val="ColorfulList-Accent12"/>
        <w:rPr>
          <w:sz w:val="20"/>
          <w:szCs w:val="20"/>
          <w:lang w:val="es-MX"/>
        </w:rPr>
      </w:pPr>
    </w:p>
    <w:p w:rsidR="00B9517C" w:rsidRDefault="001D22A3" w:rsidP="007C345F">
      <w:pPr>
        <w:pStyle w:val="MediumGrid1-Accent21"/>
        <w:numPr>
          <w:ilvl w:val="0"/>
          <w:numId w:val="65"/>
        </w:numPr>
        <w:ind w:left="0" w:firstLine="720"/>
        <w:jc w:val="both"/>
        <w:rPr>
          <w:sz w:val="20"/>
          <w:szCs w:val="20"/>
          <w:lang w:val="es-MX"/>
        </w:rPr>
      </w:pPr>
      <w:r>
        <w:rPr>
          <w:sz w:val="20"/>
          <w:szCs w:val="20"/>
          <w:lang w:val="es-MX"/>
        </w:rPr>
        <w:t>Mediante Dictamen Fiscal No. 01-2000 de</w:t>
      </w:r>
      <w:r w:rsidR="00B9517C">
        <w:rPr>
          <w:sz w:val="20"/>
          <w:szCs w:val="20"/>
          <w:lang w:val="es-MX"/>
        </w:rPr>
        <w:t xml:space="preserve"> 19 de enero de 2000, el Ministerio Público, d</w:t>
      </w:r>
      <w:r>
        <w:rPr>
          <w:sz w:val="20"/>
          <w:szCs w:val="20"/>
          <w:lang w:val="es-MX"/>
        </w:rPr>
        <w:t>io</w:t>
      </w:r>
      <w:r w:rsidR="00B9517C">
        <w:rPr>
          <w:sz w:val="20"/>
          <w:szCs w:val="20"/>
          <w:lang w:val="es-MX"/>
        </w:rPr>
        <w:t xml:space="preserve"> por acreditado el ilícito penal de desaparición forzada en agravio de Walter Munárriz Escobar, con responsabilidad de Roberto Eugenio Gastiaburú Nakada, </w:t>
      </w:r>
      <w:r w:rsidR="009B2013">
        <w:rPr>
          <w:sz w:val="20"/>
          <w:szCs w:val="20"/>
          <w:lang w:val="es-MX"/>
        </w:rPr>
        <w:t xml:space="preserve">Claudio </w:t>
      </w:r>
      <w:r w:rsidR="009B2013">
        <w:rPr>
          <w:sz w:val="20"/>
          <w:szCs w:val="20"/>
          <w:lang w:val="es-MX"/>
        </w:rPr>
        <w:br/>
        <w:t>Tomás Gutiérrez Velásquez, Adolfo Edgar Ángeles Ramos, Percy Bladimir Salvatierra y Gunther Cuaresma Ramos</w:t>
      </w:r>
      <w:r w:rsidR="009B2013">
        <w:rPr>
          <w:rStyle w:val="FootnoteReference"/>
          <w:sz w:val="20"/>
          <w:szCs w:val="20"/>
          <w:lang w:val="es-MX"/>
        </w:rPr>
        <w:footnoteReference w:id="37"/>
      </w:r>
      <w:r w:rsidR="009B2013">
        <w:rPr>
          <w:sz w:val="20"/>
          <w:szCs w:val="20"/>
          <w:lang w:val="es-MX"/>
        </w:rPr>
        <w:t xml:space="preserve">.  Mediante Dictamen Acusatorio No. 010-2000 del 1 de junio de 2000, la Fiscalía Superior Mixta de Huancavelica formuló acusación sustancial contra el Cap. PNP Roberto Eugenio Gastiaburú Nakada, </w:t>
      </w:r>
      <w:r w:rsidR="003371F5">
        <w:rPr>
          <w:sz w:val="20"/>
          <w:szCs w:val="20"/>
          <w:lang w:val="es-MX"/>
        </w:rPr>
        <w:t xml:space="preserve">contra el alferez </w:t>
      </w:r>
      <w:r w:rsidR="009B2013">
        <w:rPr>
          <w:sz w:val="20"/>
          <w:szCs w:val="20"/>
          <w:lang w:val="es-MX"/>
        </w:rPr>
        <w:t>Claudio</w:t>
      </w:r>
      <w:r w:rsidR="003371F5">
        <w:rPr>
          <w:sz w:val="20"/>
          <w:szCs w:val="20"/>
          <w:lang w:val="es-MX"/>
        </w:rPr>
        <w:t xml:space="preserve"> </w:t>
      </w:r>
      <w:r w:rsidR="009B2013">
        <w:rPr>
          <w:sz w:val="20"/>
          <w:szCs w:val="20"/>
          <w:lang w:val="es-MX"/>
        </w:rPr>
        <w:t xml:space="preserve">Tomás Gutiérrez Velásquez, </w:t>
      </w:r>
      <w:r w:rsidR="003371F5">
        <w:rPr>
          <w:sz w:val="20"/>
          <w:szCs w:val="20"/>
          <w:lang w:val="es-MX"/>
        </w:rPr>
        <w:t xml:space="preserve">contra el SO2 PNP </w:t>
      </w:r>
      <w:r w:rsidR="009B2013">
        <w:rPr>
          <w:sz w:val="20"/>
          <w:szCs w:val="20"/>
          <w:lang w:val="es-MX"/>
        </w:rPr>
        <w:t>Adolfo Edgar Ángeles Ramos,</w:t>
      </w:r>
      <w:r w:rsidR="003371F5">
        <w:rPr>
          <w:sz w:val="20"/>
          <w:szCs w:val="20"/>
          <w:lang w:val="es-MX"/>
        </w:rPr>
        <w:t xml:space="preserve"> contra el SO2 PNP</w:t>
      </w:r>
      <w:r w:rsidR="009B2013">
        <w:rPr>
          <w:sz w:val="20"/>
          <w:szCs w:val="20"/>
          <w:lang w:val="es-MX"/>
        </w:rPr>
        <w:t xml:space="preserve"> Percy Bladimir Salvatierra y </w:t>
      </w:r>
      <w:r w:rsidR="003371F5">
        <w:rPr>
          <w:sz w:val="20"/>
          <w:szCs w:val="20"/>
          <w:lang w:val="es-MX"/>
        </w:rPr>
        <w:t xml:space="preserve">contra el SO2 PNP </w:t>
      </w:r>
      <w:r w:rsidR="009B2013">
        <w:rPr>
          <w:sz w:val="20"/>
          <w:szCs w:val="20"/>
          <w:lang w:val="es-MX"/>
        </w:rPr>
        <w:t>Gunther Cuaresma Ramos</w:t>
      </w:r>
      <w:r w:rsidR="003371F5">
        <w:rPr>
          <w:rStyle w:val="FootnoteReference"/>
          <w:sz w:val="20"/>
          <w:szCs w:val="20"/>
          <w:lang w:val="es-MX"/>
        </w:rPr>
        <w:footnoteReference w:id="38"/>
      </w:r>
      <w:r w:rsidR="003371F5">
        <w:rPr>
          <w:sz w:val="20"/>
          <w:szCs w:val="20"/>
          <w:lang w:val="es-MX"/>
        </w:rPr>
        <w:t xml:space="preserve">. Mediante dictamen Acusatorio </w:t>
      </w:r>
      <w:r w:rsidR="00564AC5">
        <w:rPr>
          <w:sz w:val="20"/>
          <w:szCs w:val="20"/>
          <w:lang w:val="es-MX"/>
        </w:rPr>
        <w:t xml:space="preserve">No. 018-2000 de 7 de agosto de 2000, la misma Fiscalía Superior formuló acusación sustancial en contra del SOT3 PNP Carlos Hugo Valdivia Urrutia, por el </w:t>
      </w:r>
      <w:r w:rsidR="005C2528">
        <w:rPr>
          <w:sz w:val="20"/>
          <w:szCs w:val="20"/>
          <w:lang w:val="es-MX"/>
        </w:rPr>
        <w:t xml:space="preserve">mismo </w:t>
      </w:r>
      <w:r w:rsidR="00564AC5">
        <w:rPr>
          <w:sz w:val="20"/>
          <w:szCs w:val="20"/>
          <w:lang w:val="es-MX"/>
        </w:rPr>
        <w:t>delito, en agravio de Walter Munárriz Escobar</w:t>
      </w:r>
      <w:r w:rsidR="00564AC5">
        <w:rPr>
          <w:rStyle w:val="FootnoteReference"/>
          <w:sz w:val="20"/>
          <w:szCs w:val="20"/>
          <w:lang w:val="es-MX"/>
        </w:rPr>
        <w:footnoteReference w:id="39"/>
      </w:r>
      <w:r w:rsidR="00564AC5">
        <w:rPr>
          <w:sz w:val="20"/>
          <w:szCs w:val="20"/>
          <w:lang w:val="es-MX"/>
        </w:rPr>
        <w:t xml:space="preserve">. El 14 de agosto de 2000, la Corte Superior de Justicia de Huancavelica emitió auto de enjuiciamiento en contra de </w:t>
      </w:r>
      <w:r w:rsidR="00A0003F">
        <w:rPr>
          <w:sz w:val="20"/>
          <w:szCs w:val="20"/>
          <w:lang w:val="es-MX"/>
        </w:rPr>
        <w:t>todos los oficiales señalados</w:t>
      </w:r>
      <w:r w:rsidR="00A0003F">
        <w:rPr>
          <w:rStyle w:val="FootnoteReference"/>
          <w:sz w:val="20"/>
          <w:szCs w:val="20"/>
          <w:lang w:val="es-MX"/>
        </w:rPr>
        <w:footnoteReference w:id="40"/>
      </w:r>
      <w:r w:rsidR="00A0003F">
        <w:rPr>
          <w:sz w:val="20"/>
          <w:szCs w:val="20"/>
          <w:lang w:val="es-MX"/>
        </w:rPr>
        <w:t>.</w:t>
      </w:r>
    </w:p>
    <w:p w:rsidR="00B9517C" w:rsidRDefault="00B9517C" w:rsidP="00BD16C3">
      <w:pPr>
        <w:pStyle w:val="MediumGrid1-Accent21"/>
        <w:jc w:val="both"/>
        <w:rPr>
          <w:sz w:val="20"/>
          <w:szCs w:val="20"/>
          <w:lang w:val="es-MX"/>
        </w:rPr>
      </w:pPr>
    </w:p>
    <w:p w:rsidR="00043DC1" w:rsidRDefault="00133D5B" w:rsidP="007C345F">
      <w:pPr>
        <w:pStyle w:val="MediumGrid1-Accent21"/>
        <w:numPr>
          <w:ilvl w:val="0"/>
          <w:numId w:val="65"/>
        </w:numPr>
        <w:ind w:left="0" w:firstLine="720"/>
        <w:jc w:val="both"/>
        <w:rPr>
          <w:sz w:val="20"/>
          <w:szCs w:val="20"/>
          <w:lang w:val="es-MX"/>
        </w:rPr>
      </w:pPr>
      <w:r w:rsidRPr="00E25161">
        <w:rPr>
          <w:sz w:val="20"/>
          <w:szCs w:val="20"/>
          <w:lang w:val="es-MX"/>
        </w:rPr>
        <w:t xml:space="preserve">Durante </w:t>
      </w:r>
      <w:r w:rsidR="00586241" w:rsidRPr="00E25161">
        <w:rPr>
          <w:sz w:val="20"/>
          <w:szCs w:val="20"/>
          <w:lang w:val="es-MX"/>
        </w:rPr>
        <w:t xml:space="preserve">la instrucción </w:t>
      </w:r>
      <w:r w:rsidRPr="00E25161">
        <w:rPr>
          <w:sz w:val="20"/>
          <w:szCs w:val="20"/>
          <w:lang w:val="es-MX"/>
        </w:rPr>
        <w:t>penal, se recabaron las declaraciones</w:t>
      </w:r>
      <w:r w:rsidR="00FE6E4F" w:rsidRPr="00E25161">
        <w:rPr>
          <w:sz w:val="20"/>
          <w:szCs w:val="20"/>
          <w:lang w:val="es-MX"/>
        </w:rPr>
        <w:t xml:space="preserve"> instructivas de los inculpados; declaraciones testimoniales; </w:t>
      </w:r>
      <w:r w:rsidR="00FE6E4F" w:rsidRPr="00B24554">
        <w:rPr>
          <w:sz w:val="20"/>
          <w:szCs w:val="20"/>
          <w:lang w:val="es-MX"/>
        </w:rPr>
        <w:t>se realizaron dictámenes periciales, diligencias de confrontación</w:t>
      </w:r>
      <w:r w:rsidR="009D250D" w:rsidRPr="00B24554">
        <w:rPr>
          <w:sz w:val="20"/>
          <w:szCs w:val="20"/>
          <w:lang w:val="es-MX"/>
        </w:rPr>
        <w:t xml:space="preserve"> e inspecciones judiciales</w:t>
      </w:r>
      <w:r w:rsidR="00DB4078" w:rsidRPr="00B24554">
        <w:rPr>
          <w:sz w:val="20"/>
          <w:szCs w:val="20"/>
          <w:lang w:val="es-MX"/>
        </w:rPr>
        <w:t>.</w:t>
      </w:r>
      <w:r w:rsidR="00DB4078" w:rsidRPr="00371203">
        <w:rPr>
          <w:sz w:val="20"/>
          <w:szCs w:val="20"/>
          <w:lang w:val="es-MX"/>
        </w:rPr>
        <w:t xml:space="preserve"> </w:t>
      </w:r>
      <w:r w:rsidR="00043DC1" w:rsidRPr="00E455CA">
        <w:rPr>
          <w:sz w:val="20"/>
          <w:szCs w:val="20"/>
          <w:lang w:val="es-MX"/>
        </w:rPr>
        <w:t xml:space="preserve">Mediante </w:t>
      </w:r>
      <w:r w:rsidR="00043DC1" w:rsidRPr="008A3317">
        <w:rPr>
          <w:sz w:val="20"/>
          <w:szCs w:val="20"/>
          <w:lang w:val="es-MX"/>
        </w:rPr>
        <w:t>sentencia del 15 de febrero de 2001, la Sala Mixta de la Corte Superior de Justicia condenó a los</w:t>
      </w:r>
      <w:r w:rsidR="00043DC1" w:rsidRPr="00B27605">
        <w:rPr>
          <w:sz w:val="20"/>
          <w:szCs w:val="20"/>
          <w:lang w:val="es-MX"/>
        </w:rPr>
        <w:t xml:space="preserve"> oficiales Roberto Eugenio</w:t>
      </w:r>
      <w:r w:rsidR="00043DC1" w:rsidRPr="00AD1446">
        <w:rPr>
          <w:sz w:val="20"/>
          <w:szCs w:val="20"/>
          <w:lang w:val="es-MX"/>
        </w:rPr>
        <w:t xml:space="preserve"> Gastiaburú Nakada y Adolfo Ángeles Ramos</w:t>
      </w:r>
      <w:r w:rsidR="00043DC1" w:rsidRPr="00E21797">
        <w:rPr>
          <w:sz w:val="20"/>
          <w:szCs w:val="20"/>
          <w:lang w:val="es-MX"/>
        </w:rPr>
        <w:t>, como autores del delito contra la humanidad en la modalidad de desaparición forzada, en agravio de Walter Munárriz Escobar, imponiéndoles dieciocho años de pena privativa de libertad</w:t>
      </w:r>
      <w:r w:rsidR="00043DC1">
        <w:rPr>
          <w:sz w:val="20"/>
          <w:szCs w:val="20"/>
          <w:lang w:val="es-MX"/>
        </w:rPr>
        <w:t xml:space="preserve">, </w:t>
      </w:r>
      <w:r w:rsidR="00043DC1" w:rsidRPr="00E21797">
        <w:rPr>
          <w:sz w:val="20"/>
          <w:szCs w:val="20"/>
          <w:lang w:val="es-MX"/>
        </w:rPr>
        <w:t>inhabilitación</w:t>
      </w:r>
      <w:r w:rsidR="00043DC1">
        <w:rPr>
          <w:sz w:val="20"/>
          <w:szCs w:val="20"/>
          <w:lang w:val="es-MX"/>
        </w:rPr>
        <w:t xml:space="preserve"> y la suma de 20,000 nuevos soles, por concepto de reparación civil</w:t>
      </w:r>
      <w:r w:rsidR="00043DC1" w:rsidRPr="00E21797">
        <w:rPr>
          <w:sz w:val="20"/>
          <w:szCs w:val="20"/>
          <w:lang w:val="es-MX"/>
        </w:rPr>
        <w:t>. Los demás acusados fueron absueltos</w:t>
      </w:r>
      <w:r w:rsidR="00043DC1">
        <w:rPr>
          <w:rStyle w:val="FootnoteReference"/>
          <w:sz w:val="20"/>
          <w:szCs w:val="20"/>
          <w:lang w:val="es-MX"/>
        </w:rPr>
        <w:footnoteReference w:id="41"/>
      </w:r>
      <w:r w:rsidR="00043DC1" w:rsidRPr="0086282D">
        <w:rPr>
          <w:sz w:val="20"/>
          <w:szCs w:val="20"/>
          <w:lang w:val="es-MX"/>
        </w:rPr>
        <w:t>.</w:t>
      </w:r>
      <w:r w:rsidR="00043DC1" w:rsidRPr="00E21797">
        <w:rPr>
          <w:sz w:val="20"/>
          <w:szCs w:val="20"/>
          <w:lang w:val="es-MX"/>
        </w:rPr>
        <w:t xml:space="preserve">  </w:t>
      </w:r>
    </w:p>
    <w:p w:rsidR="009B1B40" w:rsidRDefault="009B1B40" w:rsidP="00B24554">
      <w:pPr>
        <w:pStyle w:val="MediumGrid1-Accent21"/>
        <w:ind w:left="0"/>
        <w:jc w:val="both"/>
        <w:rPr>
          <w:sz w:val="20"/>
          <w:szCs w:val="20"/>
          <w:lang w:val="es-MX"/>
        </w:rPr>
      </w:pPr>
    </w:p>
    <w:p w:rsidR="00BD255F" w:rsidRPr="00A863B1" w:rsidRDefault="0010331D" w:rsidP="007C345F">
      <w:pPr>
        <w:pStyle w:val="MediumGrid1-Accent21"/>
        <w:numPr>
          <w:ilvl w:val="0"/>
          <w:numId w:val="65"/>
        </w:numPr>
        <w:ind w:left="1440" w:hanging="630"/>
        <w:jc w:val="both"/>
        <w:rPr>
          <w:sz w:val="20"/>
          <w:szCs w:val="20"/>
          <w:lang w:val="es-MX"/>
        </w:rPr>
      </w:pPr>
      <w:r w:rsidRPr="00A863B1">
        <w:rPr>
          <w:sz w:val="20"/>
          <w:szCs w:val="20"/>
          <w:lang w:val="es-MX"/>
        </w:rPr>
        <w:t>Den</w:t>
      </w:r>
      <w:r w:rsidR="00311567" w:rsidRPr="00A863B1">
        <w:rPr>
          <w:sz w:val="20"/>
          <w:szCs w:val="20"/>
          <w:lang w:val="es-MX"/>
        </w:rPr>
        <w:t>t</w:t>
      </w:r>
      <w:r w:rsidRPr="00A863B1">
        <w:rPr>
          <w:sz w:val="20"/>
          <w:szCs w:val="20"/>
          <w:lang w:val="es-MX"/>
        </w:rPr>
        <w:t xml:space="preserve">ro de las consideraciones de </w:t>
      </w:r>
      <w:r w:rsidR="00311567" w:rsidRPr="00A863B1">
        <w:rPr>
          <w:sz w:val="20"/>
          <w:szCs w:val="20"/>
          <w:lang w:val="es-MX"/>
        </w:rPr>
        <w:t xml:space="preserve">dicha </w:t>
      </w:r>
      <w:r w:rsidRPr="00A863B1">
        <w:rPr>
          <w:sz w:val="20"/>
          <w:szCs w:val="20"/>
          <w:lang w:val="es-MX"/>
        </w:rPr>
        <w:t>Sala Mixta se encuentran</w:t>
      </w:r>
      <w:r w:rsidR="003B3DB7" w:rsidRPr="00A863B1">
        <w:rPr>
          <w:sz w:val="20"/>
          <w:szCs w:val="20"/>
          <w:lang w:val="es-MX"/>
        </w:rPr>
        <w:t>:</w:t>
      </w:r>
      <w:r w:rsidR="00BD255F" w:rsidRPr="00A863B1">
        <w:rPr>
          <w:sz w:val="20"/>
          <w:szCs w:val="20"/>
          <w:lang w:val="es-MX"/>
        </w:rPr>
        <w:t xml:space="preserve"> </w:t>
      </w:r>
    </w:p>
    <w:p w:rsidR="00BD255F" w:rsidRPr="00A863B1" w:rsidRDefault="00BD255F" w:rsidP="00BD255F">
      <w:pPr>
        <w:pStyle w:val="ColorfulList-Accent12"/>
        <w:rPr>
          <w:sz w:val="20"/>
          <w:szCs w:val="20"/>
          <w:lang w:val="es-MX"/>
        </w:rPr>
      </w:pPr>
    </w:p>
    <w:p w:rsidR="00BD255F" w:rsidRDefault="00BD255F" w:rsidP="005A535D">
      <w:pPr>
        <w:pStyle w:val="MediumGrid1-Accent21"/>
        <w:ind w:right="720"/>
        <w:jc w:val="both"/>
        <w:rPr>
          <w:sz w:val="20"/>
          <w:szCs w:val="20"/>
          <w:lang w:val="es-MX"/>
        </w:rPr>
      </w:pPr>
      <w:r w:rsidRPr="00A863B1">
        <w:rPr>
          <w:sz w:val="20"/>
          <w:szCs w:val="20"/>
          <w:lang w:val="es-MX"/>
        </w:rPr>
        <w:t xml:space="preserve">[…] </w:t>
      </w:r>
      <w:r w:rsidR="003B3DB7" w:rsidRPr="00A863B1">
        <w:rPr>
          <w:sz w:val="20"/>
          <w:szCs w:val="20"/>
          <w:lang w:val="es-MX"/>
        </w:rPr>
        <w:t xml:space="preserve">plenamente comprobada </w:t>
      </w:r>
      <w:r w:rsidRPr="00A863B1">
        <w:rPr>
          <w:sz w:val="20"/>
          <w:szCs w:val="20"/>
          <w:lang w:val="es-MX"/>
        </w:rPr>
        <w:t xml:space="preserve">la detención del desaparecido Walter Munárriz Escobar, en las circunstancias referidas en el considerando que </w:t>
      </w:r>
      <w:r w:rsidR="00D94AD0" w:rsidRPr="00A863B1">
        <w:rPr>
          <w:sz w:val="20"/>
          <w:szCs w:val="20"/>
          <w:lang w:val="es-MX"/>
        </w:rPr>
        <w:t>presede (sic), por el acusado Gu</w:t>
      </w:r>
      <w:r w:rsidRPr="00A863B1">
        <w:rPr>
          <w:sz w:val="20"/>
          <w:szCs w:val="20"/>
          <w:lang w:val="es-MX"/>
        </w:rPr>
        <w:t xml:space="preserve">nther Cuaresma Ramos, no siendo pertinente conforme al </w:t>
      </w:r>
      <w:r w:rsidR="00320D12" w:rsidRPr="00A863B1">
        <w:rPr>
          <w:sz w:val="20"/>
          <w:szCs w:val="20"/>
          <w:lang w:val="es-MX"/>
        </w:rPr>
        <w:t xml:space="preserve">ilícito penal que se instruye, analizar la legitimidad de esta intervención, resultando en cambio sí pertinente para hacer reproche de responsabilidad penal frente al delito de desaparición forzada que se juzga, el hecho de que el acusado conforme se encuentra plenamente demostrado con prueba suficiente, dejó al detenido después de haber desenvuelto su función policial de intervenirlo en la vía pública y con base a la denuncia formulada en forma verbal por </w:t>
      </w:r>
      <w:r w:rsidR="00320D12" w:rsidRPr="001D2963">
        <w:rPr>
          <w:sz w:val="20"/>
          <w:szCs w:val="20"/>
          <w:lang w:val="es-MX"/>
        </w:rPr>
        <w:t xml:space="preserve">doña </w:t>
      </w:r>
      <w:r w:rsidR="00320D12" w:rsidRPr="00BD16C3">
        <w:rPr>
          <w:sz w:val="20"/>
          <w:szCs w:val="20"/>
          <w:lang w:val="es-MX"/>
        </w:rPr>
        <w:t>Patrick</w:t>
      </w:r>
      <w:r w:rsidR="00320D12" w:rsidRPr="001D2963">
        <w:rPr>
          <w:sz w:val="20"/>
          <w:szCs w:val="20"/>
          <w:lang w:val="es-MX"/>
        </w:rPr>
        <w:t xml:space="preserve"> Fl</w:t>
      </w:r>
      <w:r w:rsidR="005A535D" w:rsidRPr="001D2963">
        <w:rPr>
          <w:sz w:val="20"/>
          <w:szCs w:val="20"/>
          <w:lang w:val="es-MX"/>
        </w:rPr>
        <w:t>o</w:t>
      </w:r>
      <w:r w:rsidR="00320D12" w:rsidRPr="00B35E20">
        <w:rPr>
          <w:sz w:val="20"/>
          <w:szCs w:val="20"/>
          <w:lang w:val="es-MX"/>
        </w:rPr>
        <w:t>res de Gutiérrez y después de haber puesto en conocimi</w:t>
      </w:r>
      <w:r w:rsidR="00320D12" w:rsidRPr="00A43A02">
        <w:rPr>
          <w:sz w:val="20"/>
          <w:szCs w:val="20"/>
          <w:lang w:val="es-MX"/>
        </w:rPr>
        <w:t>ento de su coacusado Ángeles</w:t>
      </w:r>
      <w:r w:rsidR="00320D12" w:rsidRPr="00A863B1">
        <w:rPr>
          <w:sz w:val="20"/>
          <w:szCs w:val="20"/>
          <w:lang w:val="es-MX"/>
        </w:rPr>
        <w:t xml:space="preserve"> Ramos, conforme también se encuentra acreditado en autos, para posteriormente </w:t>
      </w:r>
      <w:r w:rsidR="003B3DB7" w:rsidRPr="00A863B1">
        <w:rPr>
          <w:sz w:val="20"/>
          <w:szCs w:val="20"/>
          <w:lang w:val="es-MX"/>
        </w:rPr>
        <w:t xml:space="preserve">[…] </w:t>
      </w:r>
      <w:r w:rsidR="008009CD" w:rsidRPr="00A863B1">
        <w:rPr>
          <w:sz w:val="20"/>
          <w:szCs w:val="20"/>
          <w:lang w:val="es-MX"/>
        </w:rPr>
        <w:t>proceder a retirarse a descansar a los dormitorios</w:t>
      </w:r>
      <w:r w:rsidR="005A535D" w:rsidRPr="00A863B1">
        <w:rPr>
          <w:sz w:val="20"/>
          <w:szCs w:val="20"/>
          <w:lang w:val="es-MX"/>
        </w:rPr>
        <w:t xml:space="preserve"> </w:t>
      </w:r>
      <w:r w:rsidR="008009CD" w:rsidRPr="00A863B1">
        <w:rPr>
          <w:sz w:val="20"/>
          <w:szCs w:val="20"/>
          <w:lang w:val="es-MX"/>
        </w:rPr>
        <w:t xml:space="preserve">de la Comisaría en razón de que había culminado su turno, correspondiendo el turno subsiguiente a su coacusado Ángeles Ramos; siendo en </w:t>
      </w:r>
      <w:r w:rsidR="008009CD" w:rsidRPr="00A863B1">
        <w:rPr>
          <w:sz w:val="20"/>
          <w:szCs w:val="20"/>
          <w:lang w:val="es-MX"/>
        </w:rPr>
        <w:lastRenderedPageBreak/>
        <w:t xml:space="preserve">consecuencia a </w:t>
      </w:r>
      <w:r w:rsidR="00D94AD0" w:rsidRPr="00A863B1">
        <w:rPr>
          <w:sz w:val="20"/>
          <w:szCs w:val="20"/>
          <w:lang w:val="es-MX"/>
        </w:rPr>
        <w:t>partir de ello que al acusado Gu</w:t>
      </w:r>
      <w:r w:rsidR="008009CD" w:rsidRPr="00A863B1">
        <w:rPr>
          <w:sz w:val="20"/>
          <w:szCs w:val="20"/>
          <w:lang w:val="es-MX"/>
        </w:rPr>
        <w:t>nther Cuaresma Ramos no puede hacérsele reproche de responsabilidad penal por el delito que se instruye, en razón de que</w:t>
      </w:r>
      <w:r w:rsidR="005A535D" w:rsidRPr="00A863B1">
        <w:rPr>
          <w:sz w:val="20"/>
          <w:szCs w:val="20"/>
          <w:lang w:val="es-MX"/>
        </w:rPr>
        <w:t xml:space="preserve"> […] </w:t>
      </w:r>
      <w:r w:rsidR="008009CD" w:rsidRPr="00A863B1">
        <w:rPr>
          <w:sz w:val="20"/>
          <w:szCs w:val="20"/>
          <w:lang w:val="es-MX"/>
        </w:rPr>
        <w:t xml:space="preserve">ha roto la relación causal entre su acción y el resultado conforme a los elementos constitutivos de delito de desaparición forzada </w:t>
      </w:r>
      <w:r w:rsidR="001B5778" w:rsidRPr="00A863B1">
        <w:rPr>
          <w:sz w:val="20"/>
          <w:szCs w:val="20"/>
          <w:lang w:val="es-MX"/>
        </w:rPr>
        <w:t>[…]</w:t>
      </w:r>
      <w:r w:rsidR="003B3DB7" w:rsidRPr="00A863B1">
        <w:rPr>
          <w:sz w:val="20"/>
          <w:szCs w:val="20"/>
          <w:lang w:val="es-MX"/>
        </w:rPr>
        <w:t>.</w:t>
      </w:r>
      <w:r w:rsidR="005A535D" w:rsidRPr="00A863B1">
        <w:rPr>
          <w:sz w:val="20"/>
          <w:szCs w:val="20"/>
          <w:lang w:val="es-MX"/>
        </w:rPr>
        <w:t xml:space="preserve"> QUINTO.-  </w:t>
      </w:r>
      <w:r w:rsidR="00BC70F8" w:rsidRPr="00A863B1">
        <w:rPr>
          <w:sz w:val="20"/>
          <w:szCs w:val="20"/>
          <w:lang w:val="es-MX"/>
        </w:rPr>
        <w:t xml:space="preserve">[…] </w:t>
      </w:r>
      <w:r w:rsidR="00A85E6C" w:rsidRPr="00A863B1">
        <w:rPr>
          <w:sz w:val="20"/>
          <w:szCs w:val="20"/>
          <w:lang w:val="es-MX"/>
        </w:rPr>
        <w:t xml:space="preserve">el acusado Sub Oficial de Segunda Adolfo Edgar Ángeles Ramos, quien despliega acción policial respecto al detenido Walter Munárriz Escobar, al haber actuado como Oficial de Informes y auxilios de la Comisaría de Lircay, bajo su responsabilidad en razón del turno de su servicio; habiéndose no solamente limitado </w:t>
      </w:r>
      <w:r w:rsidR="00E35089" w:rsidRPr="00A863B1">
        <w:rPr>
          <w:sz w:val="20"/>
          <w:szCs w:val="20"/>
          <w:lang w:val="es-MX"/>
        </w:rPr>
        <w:t xml:space="preserve">a mantener la condición de detenido de Walter Munárriz Escobar, a quien se lo dejan bajo su responsabilidad con el parte correspondiente, conforme se encuentra acreditado en autos, sino que también a (sic) ejecutado acciones que han constituido privaciones de la </w:t>
      </w:r>
      <w:r w:rsidR="008D7B1C" w:rsidRPr="00A863B1">
        <w:rPr>
          <w:sz w:val="20"/>
          <w:szCs w:val="20"/>
          <w:lang w:val="es-MX"/>
        </w:rPr>
        <w:t>libertad</w:t>
      </w:r>
      <w:r w:rsidR="00E35089" w:rsidRPr="00A863B1">
        <w:rPr>
          <w:sz w:val="20"/>
          <w:szCs w:val="20"/>
          <w:lang w:val="es-MX"/>
        </w:rPr>
        <w:t xml:space="preserve"> del desaparecido Munárriz Escobar […] que además incluye en la escena del crimen al </w:t>
      </w:r>
      <w:r w:rsidR="008D7B1C" w:rsidRPr="00A863B1">
        <w:rPr>
          <w:sz w:val="20"/>
          <w:szCs w:val="20"/>
          <w:lang w:val="es-MX"/>
        </w:rPr>
        <w:t>Capitán</w:t>
      </w:r>
      <w:r w:rsidR="00E35089" w:rsidRPr="00A863B1">
        <w:rPr>
          <w:sz w:val="20"/>
          <w:szCs w:val="20"/>
          <w:lang w:val="es-MX"/>
        </w:rPr>
        <w:t xml:space="preserve">  de la Policía Nacional del Perú, Roberto Gastiaburú Nakada, en raz</w:t>
      </w:r>
      <w:r w:rsidR="008D7B1C" w:rsidRPr="00A863B1">
        <w:rPr>
          <w:sz w:val="20"/>
          <w:szCs w:val="20"/>
          <w:lang w:val="es-MX"/>
        </w:rPr>
        <w:t>ón de que […]es la persona que además de haber asumido la responsabilidad frente al detenido en su condición de Jefe de la Delegación Policial de Lircay […] a (sic) ordenado además la detención de éste, al ordenar que su coacusado Angeles Ramos “lo trajera” cuando el detenido, ahora desaparecido, se disponía a abandonar la Comisarí</w:t>
      </w:r>
      <w:r w:rsidR="003B3DB7" w:rsidRPr="00A863B1">
        <w:rPr>
          <w:sz w:val="20"/>
          <w:szCs w:val="20"/>
          <w:lang w:val="es-MX"/>
        </w:rPr>
        <w:t>a</w:t>
      </w:r>
      <w:r w:rsidR="008D7B1C" w:rsidRPr="00A863B1">
        <w:rPr>
          <w:sz w:val="20"/>
          <w:szCs w:val="20"/>
          <w:lang w:val="es-MX"/>
        </w:rPr>
        <w:t xml:space="preserve"> de mutuo (sic) propio, versión corroborada[…], autorizó que el detenido Walter Munárriz Escobar </w:t>
      </w:r>
      <w:r w:rsidR="003B3DB7" w:rsidRPr="00A863B1">
        <w:rPr>
          <w:sz w:val="20"/>
          <w:szCs w:val="20"/>
          <w:lang w:val="es-MX"/>
        </w:rPr>
        <w:t>s</w:t>
      </w:r>
      <w:r w:rsidR="008D7B1C" w:rsidRPr="00A863B1">
        <w:rPr>
          <w:sz w:val="20"/>
          <w:szCs w:val="20"/>
          <w:lang w:val="es-MX"/>
        </w:rPr>
        <w:t>e retirará de la Comisaría donde se encontraba detenido, incidiendo (sic) además tercamente que el desaparecido no se encontraba detenido sino que estaba “intervenido”</w:t>
      </w:r>
      <w:r w:rsidR="003C464A" w:rsidRPr="00A863B1">
        <w:rPr>
          <w:sz w:val="20"/>
          <w:szCs w:val="20"/>
          <w:lang w:val="es-MX"/>
        </w:rPr>
        <w:t>, pretendiendo con esta adjetivasión escluir (sic) su responsabilidad punitiva, vanamente (sic),  […]</w:t>
      </w:r>
      <w:r w:rsidR="00EA64D1" w:rsidRPr="00A863B1">
        <w:rPr>
          <w:sz w:val="20"/>
          <w:szCs w:val="20"/>
          <w:lang w:val="es-MX"/>
        </w:rPr>
        <w:t xml:space="preserve"> no existe certeza de valoración jurídica de que en efecto el detenido haya sido puesto en libertad la madrugada del día sábado veinte de Marzo de mil novecionetos noventiune (sic) a las cinco y quince de la madrugada aproximadamente; en razón además de que las testimoniales de descargo […] no tienen asidero de veracidad</w:t>
      </w:r>
      <w:r w:rsidR="00816C95" w:rsidRPr="00A863B1">
        <w:rPr>
          <w:sz w:val="20"/>
          <w:szCs w:val="20"/>
          <w:lang w:val="es-MX"/>
        </w:rPr>
        <w:t>; […]</w:t>
      </w:r>
      <w:r w:rsidR="00114274" w:rsidRPr="00A863B1">
        <w:rPr>
          <w:rStyle w:val="FootnoteReference"/>
          <w:sz w:val="20"/>
          <w:szCs w:val="20"/>
          <w:lang w:val="es-MX"/>
        </w:rPr>
        <w:footnoteReference w:id="42"/>
      </w:r>
      <w:r w:rsidR="00EA64D1">
        <w:rPr>
          <w:sz w:val="20"/>
          <w:szCs w:val="20"/>
          <w:lang w:val="es-MX"/>
        </w:rPr>
        <w:t xml:space="preserve"> </w:t>
      </w:r>
    </w:p>
    <w:p w:rsidR="00BD255F" w:rsidRDefault="00BD255F" w:rsidP="00BD255F">
      <w:pPr>
        <w:pStyle w:val="ColorfulList-Accent12"/>
        <w:rPr>
          <w:sz w:val="20"/>
          <w:szCs w:val="20"/>
          <w:lang w:val="es-MX"/>
        </w:rPr>
      </w:pPr>
    </w:p>
    <w:p w:rsidR="000230CD" w:rsidRPr="00E21797" w:rsidRDefault="000230CD" w:rsidP="007C345F">
      <w:pPr>
        <w:pStyle w:val="MediumGrid1-Accent21"/>
        <w:numPr>
          <w:ilvl w:val="0"/>
          <w:numId w:val="65"/>
        </w:numPr>
        <w:ind w:left="0" w:firstLine="810"/>
        <w:jc w:val="both"/>
        <w:rPr>
          <w:sz w:val="20"/>
          <w:szCs w:val="20"/>
          <w:lang w:val="es-MX"/>
        </w:rPr>
      </w:pPr>
      <w:r w:rsidRPr="00E21797">
        <w:rPr>
          <w:sz w:val="20"/>
          <w:szCs w:val="20"/>
          <w:lang w:val="es-MX"/>
        </w:rPr>
        <w:t xml:space="preserve">El 13 de diciembre de 2001 la Sala Penal Suprema declaró nula la sentencia de primera instancia por irregularidades procesales de la Sala Penal Superior y ordenó </w:t>
      </w:r>
      <w:r w:rsidR="0095530C">
        <w:rPr>
          <w:sz w:val="20"/>
          <w:szCs w:val="20"/>
          <w:lang w:val="es-MX"/>
        </w:rPr>
        <w:t xml:space="preserve">que </w:t>
      </w:r>
      <w:r w:rsidR="00594DAC">
        <w:rPr>
          <w:sz w:val="20"/>
          <w:szCs w:val="20"/>
          <w:lang w:val="es-MX"/>
        </w:rPr>
        <w:t>esa</w:t>
      </w:r>
      <w:r w:rsidR="0095530C">
        <w:rPr>
          <w:sz w:val="20"/>
          <w:szCs w:val="20"/>
          <w:lang w:val="es-MX"/>
        </w:rPr>
        <w:t xml:space="preserve"> S</w:t>
      </w:r>
      <w:r w:rsidRPr="00E21797">
        <w:rPr>
          <w:sz w:val="20"/>
          <w:szCs w:val="20"/>
          <w:lang w:val="es-MX"/>
        </w:rPr>
        <w:t>ala realizara un nuevo juicio oral</w:t>
      </w:r>
      <w:r w:rsidRPr="001F1E00">
        <w:rPr>
          <w:rStyle w:val="FootnoteReference"/>
          <w:sz w:val="20"/>
          <w:szCs w:val="20"/>
          <w:lang w:val="es-MX"/>
        </w:rPr>
        <w:footnoteReference w:id="43"/>
      </w:r>
      <w:r w:rsidRPr="00E21797">
        <w:rPr>
          <w:sz w:val="20"/>
          <w:szCs w:val="20"/>
          <w:lang w:val="es-MX"/>
        </w:rPr>
        <w:t xml:space="preserve">. </w:t>
      </w:r>
      <w:r w:rsidR="00573AA5">
        <w:rPr>
          <w:sz w:val="20"/>
          <w:szCs w:val="20"/>
          <w:lang w:val="es-MX"/>
        </w:rPr>
        <w:t xml:space="preserve">Esta decisión </w:t>
      </w:r>
      <w:r w:rsidRPr="00E21797">
        <w:rPr>
          <w:sz w:val="20"/>
          <w:szCs w:val="20"/>
          <w:lang w:val="es-MX"/>
        </w:rPr>
        <w:t>indica que</w:t>
      </w:r>
      <w:r w:rsidR="0095530C">
        <w:rPr>
          <w:sz w:val="20"/>
          <w:szCs w:val="20"/>
          <w:lang w:val="es-MX"/>
        </w:rPr>
        <w:t>:</w:t>
      </w:r>
      <w:r w:rsidRPr="00E21797">
        <w:rPr>
          <w:sz w:val="20"/>
          <w:szCs w:val="20"/>
          <w:lang w:val="es-MX"/>
        </w:rPr>
        <w:t xml:space="preserve"> </w:t>
      </w:r>
    </w:p>
    <w:p w:rsidR="000230CD" w:rsidRPr="001F1E00" w:rsidRDefault="000230CD" w:rsidP="000230CD">
      <w:pPr>
        <w:pStyle w:val="MediumGrid1-Accent21"/>
        <w:rPr>
          <w:sz w:val="20"/>
          <w:szCs w:val="20"/>
          <w:lang w:val="es-MX"/>
        </w:rPr>
      </w:pPr>
    </w:p>
    <w:p w:rsidR="000230CD" w:rsidRPr="001F1E00" w:rsidRDefault="000230CD" w:rsidP="000C3CC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s-ES"/>
        </w:rPr>
      </w:pPr>
      <w:r>
        <w:rPr>
          <w:rFonts w:ascii="Cambria" w:hAnsi="Cambria"/>
          <w:sz w:val="20"/>
          <w:szCs w:val="20"/>
          <w:lang w:val="es-MX"/>
        </w:rPr>
        <w:t>[…]</w:t>
      </w:r>
      <w:r w:rsidRPr="001F1E00">
        <w:rPr>
          <w:rFonts w:ascii="Cambria" w:hAnsi="Cambria"/>
          <w:sz w:val="20"/>
          <w:szCs w:val="20"/>
          <w:lang w:val="es-MX"/>
        </w:rPr>
        <w:t>de la revisión de autos, se advierte, que durante el Juicio Oral, el Colegiado ha incurrido en una serie de irregularidades; esto es, que iniciado el juzgamiento, omitió disponer se diera lectura a la acusación fiscal […]; asimismo dispuso el examen por separado de los acusados, sin embargo no cumplió con dar lectura a las declaraciones de los mismos antes de la requisitoria oral […]; obra un dictamen acusatorio ampliatorio, el mismo que fue emitido y presentado después de los alegatos de defensa, como es de verse del acta de lectura de sentencia de fojas dos mil siete, advirtiéndose al respecto que no obra mandado alguno para emitir dicha ampliación; de la misma acta de audiencia, también se advierte que no se dio lectura a las Cuestiones de Hecho, pese a que la pena a imponerse era efectiva; a lo que se agrega que tanto las Cuestiones de Hecho y la Sentencia materia de grado no fueron certificadas por el Secretario de la Sala Penal Superior; incurriéndose así de esta manera en causal de nulidad</w:t>
      </w:r>
      <w:r>
        <w:rPr>
          <w:rFonts w:ascii="Cambria" w:hAnsi="Cambria"/>
          <w:sz w:val="20"/>
          <w:szCs w:val="20"/>
          <w:lang w:val="es-MX"/>
        </w:rPr>
        <w:t xml:space="preserve"> [</w:t>
      </w:r>
      <w:r w:rsidRPr="001F1E00">
        <w:rPr>
          <w:rFonts w:ascii="Cambria" w:hAnsi="Cambria"/>
          <w:sz w:val="20"/>
          <w:szCs w:val="20"/>
          <w:lang w:val="es-MX"/>
        </w:rPr>
        <w:t>…</w:t>
      </w:r>
      <w:r>
        <w:rPr>
          <w:rFonts w:ascii="Cambria" w:hAnsi="Cambria"/>
          <w:sz w:val="20"/>
          <w:szCs w:val="20"/>
          <w:lang w:val="es-MX"/>
        </w:rPr>
        <w:t>]</w:t>
      </w:r>
      <w:r w:rsidRPr="001F1E00">
        <w:rPr>
          <w:rStyle w:val="FootnoteReference"/>
          <w:rFonts w:ascii="Cambria" w:hAnsi="Cambria"/>
          <w:sz w:val="20"/>
          <w:szCs w:val="20"/>
          <w:lang w:val="es-MX"/>
        </w:rPr>
        <w:footnoteReference w:id="44"/>
      </w:r>
      <w:r>
        <w:rPr>
          <w:rFonts w:ascii="Cambria" w:hAnsi="Cambria"/>
          <w:sz w:val="20"/>
          <w:szCs w:val="20"/>
          <w:lang w:val="es-MX"/>
        </w:rPr>
        <w:t>.</w:t>
      </w:r>
      <w:r w:rsidRPr="001F1E00">
        <w:rPr>
          <w:rFonts w:ascii="Cambria" w:hAnsi="Cambria"/>
          <w:sz w:val="20"/>
          <w:szCs w:val="20"/>
          <w:lang w:val="es-MX"/>
        </w:rPr>
        <w:t xml:space="preserve"> </w:t>
      </w:r>
    </w:p>
    <w:p w:rsidR="000230CD" w:rsidRPr="001F1E00" w:rsidRDefault="000230CD" w:rsidP="000230CD">
      <w:pPr>
        <w:pStyle w:val="MediumGrid1-Accent21"/>
        <w:rPr>
          <w:sz w:val="20"/>
          <w:szCs w:val="20"/>
          <w:lang w:val="es-MX"/>
        </w:rPr>
      </w:pPr>
    </w:p>
    <w:p w:rsidR="00A15DC6" w:rsidRDefault="00A15DC6" w:rsidP="007C345F">
      <w:pPr>
        <w:pStyle w:val="MediumGrid1-Accent21"/>
        <w:numPr>
          <w:ilvl w:val="0"/>
          <w:numId w:val="65"/>
        </w:numPr>
        <w:ind w:left="0" w:firstLine="720"/>
        <w:jc w:val="both"/>
        <w:rPr>
          <w:sz w:val="20"/>
          <w:szCs w:val="20"/>
          <w:lang w:val="es-AR"/>
        </w:rPr>
      </w:pPr>
      <w:r>
        <w:rPr>
          <w:sz w:val="20"/>
          <w:szCs w:val="20"/>
          <w:lang w:val="es-AR"/>
        </w:rPr>
        <w:lastRenderedPageBreak/>
        <w:t>Por resolución de 1 de abril de 2002, la Sala Mixta de la Corte Superior de Justicia de Huancavelica, conced</w:t>
      </w:r>
      <w:r w:rsidR="00A85E6C">
        <w:rPr>
          <w:sz w:val="20"/>
          <w:szCs w:val="20"/>
          <w:lang w:val="es-AR"/>
        </w:rPr>
        <w:t>ió</w:t>
      </w:r>
      <w:r>
        <w:rPr>
          <w:sz w:val="20"/>
          <w:szCs w:val="20"/>
          <w:lang w:val="es-AR"/>
        </w:rPr>
        <w:t xml:space="preserve"> libertad inmediata a los acusados Roberto Eugenio Gastiaburu Nakada y Adolfo Edga</w:t>
      </w:r>
      <w:r w:rsidR="00CC1E13">
        <w:rPr>
          <w:sz w:val="20"/>
          <w:szCs w:val="20"/>
          <w:lang w:val="es-AR"/>
        </w:rPr>
        <w:t>r</w:t>
      </w:r>
      <w:r>
        <w:rPr>
          <w:sz w:val="20"/>
          <w:szCs w:val="20"/>
          <w:lang w:val="es-AR"/>
        </w:rPr>
        <w:t xml:space="preserve"> Ángeles Ramos</w:t>
      </w:r>
      <w:r w:rsidR="00CC1E13">
        <w:rPr>
          <w:rStyle w:val="FootnoteReference"/>
          <w:sz w:val="20"/>
          <w:szCs w:val="20"/>
          <w:lang w:val="es-AR"/>
        </w:rPr>
        <w:footnoteReference w:id="45"/>
      </w:r>
      <w:r w:rsidR="00CC1E13">
        <w:rPr>
          <w:sz w:val="20"/>
          <w:szCs w:val="20"/>
          <w:lang w:val="es-AR"/>
        </w:rPr>
        <w:t>.</w:t>
      </w:r>
      <w:r>
        <w:rPr>
          <w:sz w:val="20"/>
          <w:szCs w:val="20"/>
          <w:lang w:val="es-AR"/>
        </w:rPr>
        <w:t xml:space="preserve"> </w:t>
      </w:r>
    </w:p>
    <w:p w:rsidR="00A15DC6" w:rsidRDefault="00A15DC6" w:rsidP="00A15DC6">
      <w:pPr>
        <w:pStyle w:val="MediumGrid1-Accent21"/>
        <w:jc w:val="both"/>
        <w:rPr>
          <w:sz w:val="20"/>
          <w:szCs w:val="20"/>
          <w:lang w:val="es-AR"/>
        </w:rPr>
      </w:pPr>
    </w:p>
    <w:p w:rsidR="000230CD" w:rsidRPr="00E21797" w:rsidRDefault="00A6234C" w:rsidP="007C345F">
      <w:pPr>
        <w:pStyle w:val="MediumGrid1-Accent21"/>
        <w:numPr>
          <w:ilvl w:val="0"/>
          <w:numId w:val="65"/>
        </w:numPr>
        <w:ind w:left="0" w:firstLine="720"/>
        <w:jc w:val="both"/>
        <w:rPr>
          <w:sz w:val="20"/>
          <w:szCs w:val="20"/>
          <w:lang w:val="es-AR"/>
        </w:rPr>
      </w:pPr>
      <w:r>
        <w:rPr>
          <w:sz w:val="20"/>
          <w:szCs w:val="20"/>
          <w:lang w:val="es-AR"/>
        </w:rPr>
        <w:t>Tras la celebración de un nuevo juicio oral, e</w:t>
      </w:r>
      <w:r w:rsidR="000230CD" w:rsidRPr="00E21797">
        <w:rPr>
          <w:sz w:val="20"/>
          <w:szCs w:val="20"/>
          <w:lang w:val="es-AR"/>
        </w:rPr>
        <w:t xml:space="preserve">l 25 de mayo de 2004 la Sala Mixta de la Corte Superior de Justicia de Huancavelica absolvió a todos los acusados, </w:t>
      </w:r>
      <w:r w:rsidR="000C3CC1">
        <w:rPr>
          <w:sz w:val="20"/>
          <w:szCs w:val="20"/>
          <w:lang w:val="es-AR"/>
        </w:rPr>
        <w:t xml:space="preserve">tanto de la pena como de la responsabilidad civil </w:t>
      </w:r>
      <w:r w:rsidR="000230CD" w:rsidRPr="00E21797">
        <w:rPr>
          <w:sz w:val="20"/>
          <w:szCs w:val="20"/>
          <w:lang w:val="es-AR"/>
        </w:rPr>
        <w:t xml:space="preserve">por haberse </w:t>
      </w:r>
      <w:r w:rsidR="000C3CC1">
        <w:rPr>
          <w:sz w:val="20"/>
          <w:szCs w:val="20"/>
          <w:lang w:val="es-AR"/>
        </w:rPr>
        <w:t>“</w:t>
      </w:r>
      <w:r w:rsidR="000230CD" w:rsidRPr="00E21797">
        <w:rPr>
          <w:sz w:val="20"/>
          <w:szCs w:val="20"/>
          <w:lang w:val="es-AR"/>
        </w:rPr>
        <w:t xml:space="preserve">comprobado la desaparición del agraviado Walter Munárriz Escobar pero no la responsabilidad </w:t>
      </w:r>
      <w:r w:rsidR="000C3CC1">
        <w:rPr>
          <w:sz w:val="20"/>
          <w:szCs w:val="20"/>
          <w:lang w:val="es-AR"/>
        </w:rPr>
        <w:t xml:space="preserve">penal </w:t>
      </w:r>
      <w:r w:rsidR="000230CD" w:rsidRPr="00E21797">
        <w:rPr>
          <w:sz w:val="20"/>
          <w:szCs w:val="20"/>
          <w:lang w:val="es-AR"/>
        </w:rPr>
        <w:t>de los procesados</w:t>
      </w:r>
      <w:r w:rsidR="000C3CC1">
        <w:rPr>
          <w:sz w:val="20"/>
          <w:szCs w:val="20"/>
          <w:lang w:val="es-AR"/>
        </w:rPr>
        <w:t xml:space="preserve"> […]</w:t>
      </w:r>
      <w:r w:rsidR="000230CD" w:rsidRPr="00E21797">
        <w:rPr>
          <w:sz w:val="20"/>
          <w:szCs w:val="20"/>
          <w:lang w:val="es-AR"/>
        </w:rPr>
        <w:t>”</w:t>
      </w:r>
      <w:r w:rsidR="000230CD">
        <w:rPr>
          <w:rStyle w:val="FootnoteReference"/>
          <w:sz w:val="20"/>
          <w:szCs w:val="20"/>
          <w:lang w:val="es-AR"/>
        </w:rPr>
        <w:footnoteReference w:id="46"/>
      </w:r>
      <w:r w:rsidR="00594DAC">
        <w:rPr>
          <w:sz w:val="20"/>
          <w:szCs w:val="20"/>
          <w:lang w:val="es-AR"/>
        </w:rPr>
        <w:t>;</w:t>
      </w:r>
      <w:r w:rsidR="000C3CC1">
        <w:rPr>
          <w:sz w:val="20"/>
          <w:szCs w:val="20"/>
          <w:lang w:val="es-AR"/>
        </w:rPr>
        <w:t xml:space="preserve"> decidió ar</w:t>
      </w:r>
      <w:r w:rsidR="00594DAC">
        <w:rPr>
          <w:sz w:val="20"/>
          <w:szCs w:val="20"/>
          <w:lang w:val="es-AR"/>
        </w:rPr>
        <w:t xml:space="preserve">chivar provisoriamente la causa </w:t>
      </w:r>
      <w:r w:rsidR="000230CD" w:rsidRPr="00E21797">
        <w:rPr>
          <w:sz w:val="20"/>
          <w:szCs w:val="20"/>
          <w:lang w:val="es-AR"/>
        </w:rPr>
        <w:t>y orden</w:t>
      </w:r>
      <w:r w:rsidR="0095530C">
        <w:rPr>
          <w:sz w:val="20"/>
          <w:szCs w:val="20"/>
          <w:lang w:val="es-AR"/>
        </w:rPr>
        <w:t>ó</w:t>
      </w:r>
      <w:r w:rsidR="000230CD" w:rsidRPr="00E21797">
        <w:rPr>
          <w:sz w:val="20"/>
          <w:szCs w:val="20"/>
          <w:lang w:val="es-AR"/>
        </w:rPr>
        <w:t xml:space="preserve"> continuar con las investigaciones “sobre el paradero del agraviado, así como de los presuntos responsables de la desaparición forzada”</w:t>
      </w:r>
      <w:r w:rsidR="000230CD" w:rsidRPr="001F1E00">
        <w:rPr>
          <w:rStyle w:val="FootnoteReference"/>
          <w:rFonts w:eastAsia="Times New Roman" w:cs="Times New Roman"/>
          <w:sz w:val="20"/>
          <w:szCs w:val="20"/>
          <w:lang w:val="es-MX"/>
        </w:rPr>
        <w:footnoteReference w:id="47"/>
      </w:r>
      <w:r w:rsidR="000230CD" w:rsidRPr="00E21797">
        <w:rPr>
          <w:sz w:val="20"/>
          <w:szCs w:val="20"/>
          <w:lang w:val="es-AR"/>
        </w:rPr>
        <w:t xml:space="preserve">. </w:t>
      </w:r>
      <w:r w:rsidR="000C3CC1">
        <w:rPr>
          <w:sz w:val="20"/>
          <w:szCs w:val="20"/>
          <w:lang w:val="es-AR"/>
        </w:rPr>
        <w:t>Se interpusieron recursos de nulidad contra dicha sentencia absolutoria y, e</w:t>
      </w:r>
      <w:r w:rsidR="000230CD" w:rsidRPr="00E21797">
        <w:rPr>
          <w:sz w:val="20"/>
          <w:szCs w:val="20"/>
          <w:lang w:val="es-AR"/>
        </w:rPr>
        <w:t>l 20 de octubre de 2004, la Sala Penal Permanente de la Corte Suprema de Justicia determinó no haber nulidad en la sentencia del 25 de mayo de 2004</w:t>
      </w:r>
      <w:r w:rsidR="00161EC8">
        <w:rPr>
          <w:sz w:val="20"/>
          <w:szCs w:val="20"/>
          <w:lang w:val="es-AR"/>
        </w:rPr>
        <w:t xml:space="preserve"> indicando</w:t>
      </w:r>
      <w:r w:rsidR="00E268EB">
        <w:rPr>
          <w:sz w:val="20"/>
          <w:szCs w:val="20"/>
          <w:lang w:val="es-AR"/>
        </w:rPr>
        <w:t>:</w:t>
      </w:r>
    </w:p>
    <w:p w:rsidR="000230CD" w:rsidRPr="00E21797" w:rsidRDefault="000230CD" w:rsidP="000230CD">
      <w:pPr>
        <w:pStyle w:val="MediumGrid1-Accent21"/>
        <w:jc w:val="both"/>
        <w:rPr>
          <w:sz w:val="20"/>
          <w:szCs w:val="20"/>
          <w:lang w:val="es-AR"/>
        </w:rPr>
      </w:pPr>
    </w:p>
    <w:p w:rsidR="000230CD" w:rsidRDefault="000230CD" w:rsidP="000C3CC1">
      <w:pPr>
        <w:pStyle w:val="MediumGrid1-Accent21"/>
        <w:ind w:right="720"/>
        <w:jc w:val="both"/>
        <w:rPr>
          <w:sz w:val="20"/>
          <w:szCs w:val="20"/>
          <w:lang w:val="es-AR"/>
        </w:rPr>
      </w:pPr>
      <w:r w:rsidRPr="00E21797">
        <w:rPr>
          <w:sz w:val="20"/>
          <w:szCs w:val="20"/>
          <w:lang w:val="es-AR"/>
        </w:rPr>
        <w:t xml:space="preserve">[…]Que en el caso de autos, la actividad probatoria actuada en el proceso no ha permitido confirmar fehacientemente la hipótesis criminosa recaída contra los procesados Roberto Eugenio Gastiaburú Nakada, Adolfo Edgar Ángeles Ramos, </w:t>
      </w:r>
      <w:r w:rsidRPr="000B1B8C">
        <w:rPr>
          <w:sz w:val="20"/>
          <w:szCs w:val="20"/>
          <w:lang w:val="es-AR"/>
        </w:rPr>
        <w:t>Claudio Tomás Gutiérrez Velásquez</w:t>
      </w:r>
      <w:r>
        <w:rPr>
          <w:sz w:val="20"/>
          <w:szCs w:val="20"/>
          <w:lang w:val="es-AR"/>
        </w:rPr>
        <w:t>,</w:t>
      </w:r>
      <w:r w:rsidRPr="000B1B8C">
        <w:rPr>
          <w:sz w:val="20"/>
          <w:szCs w:val="20"/>
          <w:lang w:val="es-AR"/>
        </w:rPr>
        <w:t xml:space="preserve"> Gunther Cuaresma Ramos</w:t>
      </w:r>
      <w:r>
        <w:rPr>
          <w:sz w:val="20"/>
          <w:szCs w:val="20"/>
          <w:lang w:val="es-AR"/>
        </w:rPr>
        <w:t>,</w:t>
      </w:r>
      <w:r w:rsidRPr="000B1B8C">
        <w:rPr>
          <w:sz w:val="20"/>
          <w:szCs w:val="20"/>
          <w:lang w:val="es-AR"/>
        </w:rPr>
        <w:t xml:space="preserve"> </w:t>
      </w:r>
      <w:r w:rsidRPr="00E21797">
        <w:rPr>
          <w:sz w:val="20"/>
          <w:szCs w:val="20"/>
          <w:lang w:val="es-AR"/>
        </w:rPr>
        <w:t xml:space="preserve">Percy Salvatierra Laura y Carlos Hugo Valdivia Urrutia, miembros de la Policía Nacional del Perú, a quienes se les atribuye haber participado en la desaparición del agraviado Walter Munarriz Escobar […] Que a pesar de haberse acreditado la conducción y detención del agraviado dentro de las instalaciones de la Comisaría de la ciudad, en autos no existen elementos probatorios que conlleven a corroborar la sindicación contradictoria de la persona de Leonidas Marcos Sierra Tueros, quien en el acto oral (ver fojas dos mil quinientos ochentinueve) manifiesta finalmente que lo declarado contra los encausados de haber escuchado ruidos, golpes secos y sollozos de un joven en circunstancias que se encontraba en los calabozos de </w:t>
      </w:r>
      <w:r w:rsidR="0095530C">
        <w:rPr>
          <w:sz w:val="20"/>
          <w:szCs w:val="20"/>
          <w:lang w:val="es-AR"/>
        </w:rPr>
        <w:t>la dependencia policial la madru</w:t>
      </w:r>
      <w:r w:rsidRPr="00E21797">
        <w:rPr>
          <w:sz w:val="20"/>
          <w:szCs w:val="20"/>
          <w:lang w:val="es-AR"/>
        </w:rPr>
        <w:t>gada de los hechos, no se ajusta a la verdad y que si declaró en ese sentido fue por el ofrecimiento que le hiciera un familiar del agraviado de ayudarlo en el proceso penal por el cual sufría detención […], por lo que se presenta un estado de duda razonable sobre su participación en la comisión de los hechos investigados que beneficia a los encausados en estricta aplicación del principio de indubio pro reo; en consecuencia lo resuelto por la Sala Superior se encuentra arreglado a ley […]</w:t>
      </w:r>
      <w:r w:rsidRPr="00E21797">
        <w:rPr>
          <w:rStyle w:val="FootnoteReference"/>
          <w:sz w:val="20"/>
          <w:szCs w:val="20"/>
          <w:lang w:val="es-AR"/>
        </w:rPr>
        <w:footnoteReference w:id="48"/>
      </w:r>
    </w:p>
    <w:p w:rsidR="005D68B5" w:rsidRPr="00E21797" w:rsidRDefault="005D68B5" w:rsidP="000C3CC1">
      <w:pPr>
        <w:pStyle w:val="MediumGrid1-Accent21"/>
        <w:ind w:right="720"/>
        <w:jc w:val="both"/>
        <w:rPr>
          <w:sz w:val="20"/>
          <w:szCs w:val="20"/>
          <w:lang w:val="es-AR"/>
        </w:rPr>
      </w:pPr>
    </w:p>
    <w:p w:rsidR="00511042" w:rsidRPr="00511042" w:rsidRDefault="00511042" w:rsidP="007C345F">
      <w:pPr>
        <w:pStyle w:val="MediumGrid1-Accent21"/>
        <w:numPr>
          <w:ilvl w:val="0"/>
          <w:numId w:val="65"/>
        </w:numPr>
        <w:ind w:left="0" w:firstLine="720"/>
        <w:jc w:val="both"/>
        <w:rPr>
          <w:sz w:val="20"/>
          <w:szCs w:val="20"/>
          <w:lang w:val="es-MX"/>
        </w:rPr>
      </w:pPr>
      <w:r w:rsidRPr="00511042">
        <w:rPr>
          <w:sz w:val="20"/>
          <w:szCs w:val="20"/>
          <w:lang w:val="es-MX"/>
        </w:rPr>
        <w:t xml:space="preserve">Mediante informe No. 245-2009-JUS/PPES del 3 de agosto de 2009, el Estado remitió </w:t>
      </w:r>
      <w:r w:rsidR="00E31041">
        <w:rPr>
          <w:sz w:val="20"/>
          <w:szCs w:val="20"/>
          <w:lang w:val="es-MX"/>
        </w:rPr>
        <w:t xml:space="preserve">a la CIDH </w:t>
      </w:r>
      <w:r w:rsidRPr="00511042">
        <w:rPr>
          <w:sz w:val="20"/>
          <w:szCs w:val="20"/>
          <w:lang w:val="es-MX"/>
        </w:rPr>
        <w:t>informe de la Procuraduría Pública del Poder Judicial en el que se indica</w:t>
      </w:r>
      <w:r w:rsidR="00161EC8">
        <w:rPr>
          <w:sz w:val="20"/>
          <w:szCs w:val="20"/>
          <w:lang w:val="es-MX"/>
        </w:rPr>
        <w:t xml:space="preserve"> que</w:t>
      </w:r>
      <w:r w:rsidRPr="00511042">
        <w:rPr>
          <w:sz w:val="20"/>
          <w:szCs w:val="20"/>
          <w:lang w:val="es-MX"/>
        </w:rPr>
        <w:t xml:space="preserve">: </w:t>
      </w:r>
    </w:p>
    <w:p w:rsidR="00511042" w:rsidRPr="00E21797" w:rsidRDefault="00511042" w:rsidP="00511042">
      <w:pPr>
        <w:pStyle w:val="MediumGrid1-Accent21"/>
        <w:rPr>
          <w:sz w:val="20"/>
          <w:szCs w:val="20"/>
          <w:bdr w:val="none" w:sz="0" w:space="0" w:color="auto"/>
          <w:lang w:val="es-ES"/>
        </w:rPr>
      </w:pPr>
    </w:p>
    <w:p w:rsidR="00511042" w:rsidRDefault="00511042" w:rsidP="000C3CC1">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Cambria" w:hAnsi="Cambria"/>
          <w:sz w:val="20"/>
          <w:szCs w:val="20"/>
          <w:bdr w:val="none" w:sz="0" w:space="0" w:color="auto"/>
          <w:lang w:val="es-ES"/>
        </w:rPr>
      </w:pPr>
      <w:r w:rsidRPr="00E21797">
        <w:rPr>
          <w:rFonts w:ascii="Cambria" w:hAnsi="Cambria"/>
          <w:sz w:val="20"/>
          <w:szCs w:val="20"/>
          <w:bdr w:val="none" w:sz="0" w:space="0" w:color="auto"/>
          <w:lang w:val="es-ES"/>
        </w:rPr>
        <w:t>El caso de Walter Munárriz Escobar fue materia tanto de investigación preliminar como judicial, quien en última instancia y en atención al principio de independencia en el ejercicio de la función jurisdiccional, absolvió a los presuntos autores del delito de desaparición forzada, encontrándose el proceso judicial bajo la protección del principio constitucional de cosa juzgada, al haberse pronunciado en última instancia la Corte Suprema declarando no haber nulidad de la sentencia absolutoria</w:t>
      </w:r>
      <w:r w:rsidRPr="00E21797">
        <w:rPr>
          <w:rStyle w:val="FootnoteReference"/>
          <w:rFonts w:ascii="Cambria" w:hAnsi="Cambria"/>
          <w:sz w:val="20"/>
          <w:szCs w:val="20"/>
          <w:bdr w:val="none" w:sz="0" w:space="0" w:color="auto"/>
          <w:lang w:val="es-ES"/>
        </w:rPr>
        <w:footnoteReference w:id="49"/>
      </w:r>
      <w:r w:rsidRPr="00E21797">
        <w:rPr>
          <w:rFonts w:ascii="Cambria" w:hAnsi="Cambria"/>
          <w:sz w:val="20"/>
          <w:szCs w:val="20"/>
          <w:bdr w:val="none" w:sz="0" w:space="0" w:color="auto"/>
          <w:lang w:val="es-ES"/>
        </w:rPr>
        <w:t xml:space="preserve">. </w:t>
      </w:r>
    </w:p>
    <w:p w:rsidR="00511042" w:rsidRPr="00E21797" w:rsidRDefault="00511042" w:rsidP="00511042">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230CD" w:rsidRPr="001D4F56" w:rsidRDefault="0095530C" w:rsidP="007C345F">
      <w:pPr>
        <w:pStyle w:val="BodyTextInden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ind w:left="0" w:firstLine="810"/>
        <w:jc w:val="both"/>
        <w:rPr>
          <w:rFonts w:ascii="Cambria" w:hAnsi="Cambria"/>
          <w:sz w:val="20"/>
          <w:szCs w:val="20"/>
          <w:bdr w:val="none" w:sz="0" w:space="0" w:color="auto"/>
          <w:lang w:val="es-ES"/>
        </w:rPr>
      </w:pPr>
      <w:r>
        <w:rPr>
          <w:rFonts w:ascii="Cambria" w:hAnsi="Cambria"/>
          <w:sz w:val="20"/>
          <w:szCs w:val="20"/>
          <w:bdr w:val="none" w:sz="0" w:space="0" w:color="auto"/>
          <w:lang w:val="es-ES"/>
        </w:rPr>
        <w:lastRenderedPageBreak/>
        <w:t xml:space="preserve">De la información </w:t>
      </w:r>
      <w:r w:rsidR="0086282D" w:rsidRPr="005671AB">
        <w:rPr>
          <w:rFonts w:ascii="Cambria" w:hAnsi="Cambria"/>
          <w:sz w:val="20"/>
          <w:szCs w:val="20"/>
          <w:bdr w:val="none" w:sz="0" w:space="0" w:color="auto"/>
          <w:lang w:val="es-ES"/>
        </w:rPr>
        <w:t>proporcionada por las partes, la Comisión advierte que</w:t>
      </w:r>
      <w:r w:rsidR="00601F03" w:rsidRPr="005671AB">
        <w:rPr>
          <w:rFonts w:ascii="Cambria" w:hAnsi="Cambria"/>
          <w:sz w:val="20"/>
          <w:szCs w:val="20"/>
          <w:bdr w:val="none" w:sz="0" w:space="0" w:color="auto"/>
          <w:lang w:val="es-ES"/>
        </w:rPr>
        <w:t xml:space="preserve">, </w:t>
      </w:r>
      <w:r w:rsidR="001D4F56">
        <w:rPr>
          <w:rFonts w:ascii="Cambria" w:hAnsi="Cambria"/>
          <w:sz w:val="20"/>
          <w:szCs w:val="20"/>
          <w:bdr w:val="none" w:sz="0" w:space="0" w:color="auto"/>
          <w:lang w:val="es-ES"/>
        </w:rPr>
        <w:t xml:space="preserve">con </w:t>
      </w:r>
      <w:r w:rsidR="00601F03" w:rsidRPr="005671AB">
        <w:rPr>
          <w:rFonts w:ascii="Cambria" w:hAnsi="Cambria"/>
          <w:sz w:val="20"/>
          <w:szCs w:val="20"/>
          <w:bdr w:val="none" w:sz="0" w:space="0" w:color="auto"/>
          <w:lang w:val="es-ES"/>
        </w:rPr>
        <w:t>posterior</w:t>
      </w:r>
      <w:r w:rsidR="001D4F56">
        <w:rPr>
          <w:rFonts w:ascii="Cambria" w:hAnsi="Cambria"/>
          <w:sz w:val="20"/>
          <w:szCs w:val="20"/>
          <w:bdr w:val="none" w:sz="0" w:space="0" w:color="auto"/>
          <w:lang w:val="es-ES"/>
        </w:rPr>
        <w:t>idad</w:t>
      </w:r>
      <w:r w:rsidR="00601F03" w:rsidRPr="005671AB">
        <w:rPr>
          <w:rFonts w:ascii="Cambria" w:hAnsi="Cambria"/>
          <w:sz w:val="20"/>
          <w:szCs w:val="20"/>
          <w:bdr w:val="none" w:sz="0" w:space="0" w:color="auto"/>
          <w:lang w:val="es-ES"/>
        </w:rPr>
        <w:t xml:space="preserve"> a la resolución del </w:t>
      </w:r>
      <w:r w:rsidR="00601F03" w:rsidRPr="005671AB">
        <w:rPr>
          <w:rFonts w:ascii="Cambria" w:hAnsi="Cambria"/>
          <w:sz w:val="20"/>
          <w:szCs w:val="20"/>
          <w:lang w:val="es-AR"/>
        </w:rPr>
        <w:t>20 de octubre de 2004</w:t>
      </w:r>
      <w:r w:rsidR="000C3CC1" w:rsidRPr="005671AB">
        <w:rPr>
          <w:rFonts w:ascii="Cambria" w:hAnsi="Cambria"/>
          <w:sz w:val="20"/>
          <w:szCs w:val="20"/>
          <w:lang w:val="es-AR"/>
        </w:rPr>
        <w:t xml:space="preserve"> de la Sala Penal Permanente de la Corte Suprema de Justicia, </w:t>
      </w:r>
      <w:r w:rsidRPr="005671AB">
        <w:rPr>
          <w:rFonts w:ascii="Cambria" w:hAnsi="Cambria"/>
          <w:sz w:val="20"/>
          <w:szCs w:val="20"/>
          <w:bdr w:val="none" w:sz="0" w:space="0" w:color="auto"/>
          <w:lang w:val="es-ES"/>
        </w:rPr>
        <w:t>no se ha</w:t>
      </w:r>
      <w:r w:rsidR="003716B6">
        <w:rPr>
          <w:rFonts w:ascii="Cambria" w:hAnsi="Cambria"/>
          <w:sz w:val="20"/>
          <w:szCs w:val="20"/>
          <w:bdr w:val="none" w:sz="0" w:space="0" w:color="auto"/>
          <w:lang w:val="es-ES"/>
        </w:rPr>
        <w:t>n</w:t>
      </w:r>
      <w:r w:rsidR="006408C4">
        <w:rPr>
          <w:rFonts w:ascii="Cambria" w:hAnsi="Cambria"/>
          <w:sz w:val="20"/>
          <w:szCs w:val="20"/>
          <w:bdr w:val="none" w:sz="0" w:space="0" w:color="auto"/>
          <w:lang w:val="es-ES"/>
        </w:rPr>
        <w:t xml:space="preserve"> adelantado investigaci</w:t>
      </w:r>
      <w:r w:rsidR="003716B6">
        <w:rPr>
          <w:rFonts w:ascii="Cambria" w:hAnsi="Cambria"/>
          <w:sz w:val="20"/>
          <w:szCs w:val="20"/>
          <w:bdr w:val="none" w:sz="0" w:space="0" w:color="auto"/>
          <w:lang w:val="es-ES"/>
        </w:rPr>
        <w:t>o</w:t>
      </w:r>
      <w:r w:rsidR="006408C4">
        <w:rPr>
          <w:rFonts w:ascii="Cambria" w:hAnsi="Cambria"/>
          <w:sz w:val="20"/>
          <w:szCs w:val="20"/>
          <w:bdr w:val="none" w:sz="0" w:space="0" w:color="auto"/>
          <w:lang w:val="es-ES"/>
        </w:rPr>
        <w:t>n</w:t>
      </w:r>
      <w:r w:rsidR="003716B6">
        <w:rPr>
          <w:rFonts w:ascii="Cambria" w:hAnsi="Cambria"/>
          <w:sz w:val="20"/>
          <w:szCs w:val="20"/>
          <w:bdr w:val="none" w:sz="0" w:space="0" w:color="auto"/>
          <w:lang w:val="es-ES"/>
        </w:rPr>
        <w:t>es</w:t>
      </w:r>
      <w:r w:rsidR="006408C4">
        <w:rPr>
          <w:rFonts w:ascii="Cambria" w:hAnsi="Cambria"/>
          <w:sz w:val="20"/>
          <w:szCs w:val="20"/>
          <w:bdr w:val="none" w:sz="0" w:space="0" w:color="auto"/>
          <w:lang w:val="es-ES"/>
        </w:rPr>
        <w:t xml:space="preserve"> adicional</w:t>
      </w:r>
      <w:r w:rsidR="003716B6">
        <w:rPr>
          <w:rFonts w:ascii="Cambria" w:hAnsi="Cambria"/>
          <w:sz w:val="20"/>
          <w:szCs w:val="20"/>
          <w:bdr w:val="none" w:sz="0" w:space="0" w:color="auto"/>
          <w:lang w:val="es-ES"/>
        </w:rPr>
        <w:t>es</w:t>
      </w:r>
      <w:r w:rsidR="006408C4" w:rsidRPr="00053344">
        <w:rPr>
          <w:rFonts w:ascii="Cambria" w:hAnsi="Cambria"/>
          <w:sz w:val="20"/>
          <w:szCs w:val="20"/>
          <w:bdr w:val="none" w:sz="0" w:space="0" w:color="auto"/>
          <w:lang w:val="es-ES"/>
        </w:rPr>
        <w:t xml:space="preserve"> sobre la desaparici</w:t>
      </w:r>
      <w:r w:rsidR="006408C4" w:rsidRPr="008D7057">
        <w:rPr>
          <w:rFonts w:ascii="Cambria" w:hAnsi="Cambria"/>
          <w:sz w:val="20"/>
          <w:szCs w:val="20"/>
          <w:bdr w:val="none" w:sz="0" w:space="0" w:color="auto"/>
          <w:lang w:val="es-ES"/>
        </w:rPr>
        <w:t xml:space="preserve">ón </w:t>
      </w:r>
      <w:r w:rsidRPr="008D7057">
        <w:rPr>
          <w:rFonts w:ascii="Cambria" w:hAnsi="Cambria"/>
          <w:sz w:val="20"/>
          <w:szCs w:val="20"/>
          <w:bdr w:val="none" w:sz="0" w:space="0" w:color="auto"/>
          <w:lang w:val="es-ES"/>
        </w:rPr>
        <w:t>Walter Munárriz Escobar</w:t>
      </w:r>
      <w:r w:rsidR="006408C4" w:rsidRPr="008D7057">
        <w:rPr>
          <w:rFonts w:ascii="Cambria" w:hAnsi="Cambria"/>
          <w:sz w:val="20"/>
          <w:szCs w:val="20"/>
          <w:bdr w:val="none" w:sz="0" w:space="0" w:color="auto"/>
          <w:lang w:val="es-ES"/>
        </w:rPr>
        <w:t xml:space="preserve">. Tampoco se ha realizado diligencia </w:t>
      </w:r>
      <w:r w:rsidR="001D4F56">
        <w:rPr>
          <w:rFonts w:ascii="Cambria" w:hAnsi="Cambria"/>
          <w:sz w:val="20"/>
          <w:szCs w:val="20"/>
          <w:bdr w:val="none" w:sz="0" w:space="0" w:color="auto"/>
          <w:lang w:val="es-ES"/>
        </w:rPr>
        <w:t xml:space="preserve">alguna </w:t>
      </w:r>
      <w:r w:rsidR="006408C4" w:rsidRPr="008D7057">
        <w:rPr>
          <w:rFonts w:ascii="Cambria" w:hAnsi="Cambria"/>
          <w:sz w:val="20"/>
          <w:szCs w:val="20"/>
          <w:bdr w:val="none" w:sz="0" w:space="0" w:color="auto"/>
          <w:lang w:val="es-ES"/>
        </w:rPr>
        <w:t>con el objetivo de bus</w:t>
      </w:r>
      <w:r w:rsidR="006408C4" w:rsidRPr="00FB6844">
        <w:rPr>
          <w:rFonts w:ascii="Cambria" w:hAnsi="Cambria"/>
          <w:sz w:val="20"/>
          <w:szCs w:val="20"/>
          <w:bdr w:val="none" w:sz="0" w:space="0" w:color="auto"/>
          <w:lang w:val="es-ES"/>
        </w:rPr>
        <w:t>car su paradero o el de sus restos mortal</w:t>
      </w:r>
      <w:r w:rsidR="006408C4" w:rsidRPr="00A529ED">
        <w:rPr>
          <w:rFonts w:ascii="Cambria" w:hAnsi="Cambria"/>
          <w:sz w:val="20"/>
          <w:szCs w:val="20"/>
          <w:bdr w:val="none" w:sz="0" w:space="0" w:color="auto"/>
          <w:lang w:val="es-ES"/>
        </w:rPr>
        <w:t xml:space="preserve">es. </w:t>
      </w:r>
      <w:r w:rsidR="006408C4" w:rsidRPr="009C32E1">
        <w:rPr>
          <w:rFonts w:ascii="Cambria" w:hAnsi="Cambria"/>
          <w:sz w:val="20"/>
          <w:szCs w:val="20"/>
          <w:bdr w:val="none" w:sz="0" w:space="0" w:color="auto"/>
          <w:lang w:val="es-ES"/>
        </w:rPr>
        <w:t>Esto, a pesar de que en la sentenci</w:t>
      </w:r>
      <w:r w:rsidR="006408C4" w:rsidRPr="00FE13D4">
        <w:rPr>
          <w:rFonts w:ascii="Cambria" w:hAnsi="Cambria"/>
          <w:sz w:val="20"/>
          <w:szCs w:val="20"/>
          <w:bdr w:val="none" w:sz="0" w:space="0" w:color="auto"/>
          <w:lang w:val="es-ES"/>
        </w:rPr>
        <w:t xml:space="preserve">a que quedó en firme, esto es, la del </w:t>
      </w:r>
      <w:r w:rsidR="006408C4" w:rsidRPr="0090574C">
        <w:rPr>
          <w:rFonts w:ascii="Cambria" w:hAnsi="Cambria"/>
          <w:sz w:val="20"/>
          <w:szCs w:val="20"/>
          <w:lang w:val="es-AR"/>
        </w:rPr>
        <w:t>25 de mayo de 2004, la Sala Mixta de la Corte Superior de Justicia de Huancavelica declaró probada la desaparición de Walter Munárriz y ordenó continuar con la</w:t>
      </w:r>
      <w:r w:rsidR="005C0CBB">
        <w:rPr>
          <w:rFonts w:ascii="Cambria" w:hAnsi="Cambria"/>
          <w:sz w:val="20"/>
          <w:szCs w:val="20"/>
          <w:lang w:val="es-AR"/>
        </w:rPr>
        <w:t>s</w:t>
      </w:r>
      <w:r w:rsidR="006408C4" w:rsidRPr="0090574C">
        <w:rPr>
          <w:rFonts w:ascii="Cambria" w:hAnsi="Cambria"/>
          <w:sz w:val="20"/>
          <w:szCs w:val="20"/>
          <w:lang w:val="es-AR"/>
        </w:rPr>
        <w:t xml:space="preserve"> investigaci</w:t>
      </w:r>
      <w:r w:rsidR="005C0CBB">
        <w:rPr>
          <w:rFonts w:ascii="Cambria" w:hAnsi="Cambria"/>
          <w:sz w:val="20"/>
          <w:szCs w:val="20"/>
          <w:lang w:val="es-AR"/>
        </w:rPr>
        <w:t>o</w:t>
      </w:r>
      <w:r w:rsidR="006408C4" w:rsidRPr="0090574C">
        <w:rPr>
          <w:rFonts w:ascii="Cambria" w:hAnsi="Cambria"/>
          <w:sz w:val="20"/>
          <w:szCs w:val="20"/>
          <w:lang w:val="es-AR"/>
        </w:rPr>
        <w:t>n</w:t>
      </w:r>
      <w:r w:rsidR="005C0CBB">
        <w:rPr>
          <w:rFonts w:ascii="Cambria" w:hAnsi="Cambria"/>
          <w:sz w:val="20"/>
          <w:szCs w:val="20"/>
          <w:lang w:val="es-AR"/>
        </w:rPr>
        <w:t>es</w:t>
      </w:r>
      <w:r w:rsidR="006408C4" w:rsidRPr="0090574C">
        <w:rPr>
          <w:rFonts w:ascii="Cambria" w:hAnsi="Cambria"/>
          <w:sz w:val="20"/>
          <w:szCs w:val="20"/>
          <w:lang w:val="es-AR"/>
        </w:rPr>
        <w:t>.</w:t>
      </w:r>
      <w:r w:rsidR="006408C4">
        <w:rPr>
          <w:sz w:val="20"/>
          <w:szCs w:val="20"/>
          <w:lang w:val="es-AR"/>
        </w:rPr>
        <w:t xml:space="preserve"> </w:t>
      </w:r>
    </w:p>
    <w:p w:rsidR="001D4F56" w:rsidRPr="006408C4" w:rsidRDefault="001D4F56" w:rsidP="001D4F56">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720" w:firstLine="0"/>
        <w:jc w:val="both"/>
        <w:rPr>
          <w:rFonts w:ascii="Cambria" w:hAnsi="Cambria"/>
          <w:sz w:val="20"/>
          <w:szCs w:val="20"/>
          <w:bdr w:val="none" w:sz="0" w:space="0" w:color="auto"/>
          <w:lang w:val="es-ES"/>
        </w:rPr>
      </w:pPr>
    </w:p>
    <w:p w:rsidR="00046DA5" w:rsidRDefault="00046DA5" w:rsidP="00FD5827">
      <w:pPr>
        <w:pStyle w:val="Heading3"/>
      </w:pPr>
      <w:bookmarkStart w:id="15" w:name="_Toc467948055"/>
      <w:r>
        <w:t>Proceso disciplinario</w:t>
      </w:r>
      <w:bookmarkEnd w:id="15"/>
      <w:r>
        <w:t xml:space="preserve"> </w:t>
      </w:r>
    </w:p>
    <w:p w:rsidR="000230CD" w:rsidRDefault="000230CD" w:rsidP="000230CD">
      <w:pPr>
        <w:pStyle w:val="MediumGrid1-Accent21"/>
        <w:jc w:val="both"/>
        <w:rPr>
          <w:sz w:val="20"/>
          <w:szCs w:val="20"/>
          <w:lang w:val="es-ES"/>
        </w:rPr>
      </w:pPr>
    </w:p>
    <w:p w:rsidR="001F1E00" w:rsidRPr="007C1F46" w:rsidRDefault="007C1F46" w:rsidP="007C345F">
      <w:pPr>
        <w:pStyle w:val="MediumGrid1-Accent21"/>
        <w:numPr>
          <w:ilvl w:val="0"/>
          <w:numId w:val="65"/>
        </w:numPr>
        <w:ind w:left="0" w:firstLine="810"/>
        <w:jc w:val="both"/>
        <w:rPr>
          <w:sz w:val="20"/>
          <w:szCs w:val="20"/>
          <w:lang w:val="es-MX"/>
        </w:rPr>
      </w:pPr>
      <w:r>
        <w:rPr>
          <w:sz w:val="20"/>
          <w:szCs w:val="20"/>
          <w:bdr w:val="none" w:sz="0" w:space="0" w:color="auto"/>
          <w:lang w:val="es-MX"/>
        </w:rPr>
        <w:t>Mediante Informe Nro. 133-2007-JUS/CNDH-SE/CESAPI,</w:t>
      </w:r>
      <w:r w:rsidR="00681B1C">
        <w:rPr>
          <w:sz w:val="20"/>
          <w:szCs w:val="20"/>
          <w:bdr w:val="none" w:sz="0" w:space="0" w:color="auto"/>
          <w:lang w:val="es-MX"/>
        </w:rPr>
        <w:t xml:space="preserve"> del 12 de septiembre de 2007,</w:t>
      </w:r>
      <w:r>
        <w:rPr>
          <w:sz w:val="20"/>
          <w:szCs w:val="20"/>
          <w:bdr w:val="none" w:sz="0" w:space="0" w:color="auto"/>
          <w:lang w:val="es-MX"/>
        </w:rPr>
        <w:t xml:space="preserve"> el Estado envió </w:t>
      </w:r>
      <w:r w:rsidR="00096D0F">
        <w:rPr>
          <w:sz w:val="20"/>
          <w:szCs w:val="20"/>
          <w:bdr w:val="none" w:sz="0" w:space="0" w:color="auto"/>
          <w:lang w:val="es-MX"/>
        </w:rPr>
        <w:t xml:space="preserve">a la Comisión </w:t>
      </w:r>
      <w:r w:rsidR="003148D7">
        <w:rPr>
          <w:sz w:val="20"/>
          <w:szCs w:val="20"/>
          <w:bdr w:val="none" w:sz="0" w:space="0" w:color="auto"/>
          <w:lang w:val="es-MX"/>
        </w:rPr>
        <w:t xml:space="preserve">documentación </w:t>
      </w:r>
      <w:r>
        <w:rPr>
          <w:sz w:val="20"/>
          <w:szCs w:val="20"/>
          <w:bdr w:val="none" w:sz="0" w:space="0" w:color="auto"/>
          <w:lang w:val="es-MX"/>
        </w:rPr>
        <w:t>relativa a las investigaciones administrativas-disciplinarias con relación a la presunta desaparición de Walter Munárriz Escobar por parte del personal de la Jefatura Provincial PNP de Angaraes.</w:t>
      </w:r>
    </w:p>
    <w:p w:rsidR="007C1F46" w:rsidRPr="007C1F46" w:rsidRDefault="007C1F46" w:rsidP="007C1F46">
      <w:pPr>
        <w:pStyle w:val="MediumGrid1-Accent21"/>
        <w:jc w:val="both"/>
        <w:rPr>
          <w:sz w:val="20"/>
          <w:szCs w:val="20"/>
          <w:lang w:val="es-MX"/>
        </w:rPr>
      </w:pPr>
    </w:p>
    <w:p w:rsidR="007C1F46" w:rsidRDefault="007C1F46" w:rsidP="007C345F">
      <w:pPr>
        <w:pStyle w:val="MediumGrid1-Accent21"/>
        <w:numPr>
          <w:ilvl w:val="0"/>
          <w:numId w:val="65"/>
        </w:numPr>
        <w:ind w:left="0" w:firstLine="810"/>
        <w:jc w:val="both"/>
        <w:rPr>
          <w:sz w:val="20"/>
          <w:szCs w:val="20"/>
          <w:lang w:val="es-MX"/>
        </w:rPr>
      </w:pPr>
      <w:r>
        <w:rPr>
          <w:sz w:val="20"/>
          <w:szCs w:val="20"/>
          <w:lang w:val="es-MX"/>
        </w:rPr>
        <w:t>El</w:t>
      </w:r>
      <w:r w:rsidR="00AC1D43">
        <w:rPr>
          <w:sz w:val="20"/>
          <w:szCs w:val="20"/>
          <w:lang w:val="es-MX"/>
        </w:rPr>
        <w:t xml:space="preserve"> Estado remitió el</w:t>
      </w:r>
      <w:r>
        <w:rPr>
          <w:sz w:val="20"/>
          <w:szCs w:val="20"/>
          <w:lang w:val="es-MX"/>
        </w:rPr>
        <w:t xml:space="preserve"> Parte Nro. 014-99-FPAH-SRPMP-HVCA/INSP.C</w:t>
      </w:r>
      <w:r w:rsidR="00AA4AF2">
        <w:rPr>
          <w:sz w:val="20"/>
          <w:szCs w:val="20"/>
          <w:lang w:val="es-MX"/>
        </w:rPr>
        <w:t>, de 8 de abril de 1999,</w:t>
      </w:r>
      <w:r>
        <w:rPr>
          <w:sz w:val="20"/>
          <w:szCs w:val="20"/>
          <w:lang w:val="es-MX"/>
        </w:rPr>
        <w:t xml:space="preserve"> </w:t>
      </w:r>
      <w:r w:rsidR="00AC1D43">
        <w:rPr>
          <w:sz w:val="20"/>
          <w:szCs w:val="20"/>
          <w:lang w:val="es-MX"/>
        </w:rPr>
        <w:t xml:space="preserve">en el que se </w:t>
      </w:r>
      <w:r>
        <w:rPr>
          <w:sz w:val="20"/>
          <w:szCs w:val="20"/>
          <w:lang w:val="es-MX"/>
        </w:rPr>
        <w:t>refiere que el 24 de marzo de 1999, la Fiscal Provincial de Lircay-Angaraes, Silvia Montero Meléndez, remitió el oficio Nor. 125-99-MP-FPMANGARAES al Coronel PNP de la Sub Región de Huancavelica, mediante el que pone en conocimiento la desaparición de Walter Munárriz Escobar y el presunto involucramiento de agentes estatales. En su oficio, la Fiscal refiere que “seguro se esclarecerá con las investigaciones que haga este Despacho […], siendo dichas versiones totalmente falsas ya que actualmente se vive una época de paz y no hay atentados contra los derechos humanos”</w:t>
      </w:r>
      <w:r>
        <w:rPr>
          <w:rStyle w:val="FootnoteReference"/>
          <w:sz w:val="20"/>
          <w:szCs w:val="20"/>
          <w:lang w:val="es-MX"/>
        </w:rPr>
        <w:footnoteReference w:id="50"/>
      </w:r>
      <w:r>
        <w:rPr>
          <w:sz w:val="20"/>
          <w:szCs w:val="20"/>
          <w:lang w:val="es-MX"/>
        </w:rPr>
        <w:t>. Asimismo, la Fiscal solicit</w:t>
      </w:r>
      <w:r w:rsidR="008D7057">
        <w:rPr>
          <w:sz w:val="20"/>
          <w:szCs w:val="20"/>
          <w:lang w:val="es-MX"/>
        </w:rPr>
        <w:t>ó</w:t>
      </w:r>
      <w:r>
        <w:rPr>
          <w:sz w:val="20"/>
          <w:szCs w:val="20"/>
          <w:lang w:val="es-MX"/>
        </w:rPr>
        <w:t xml:space="preserve"> al Coronel PNP de la Sub Región de Huancavelica, por ser su función esclarecer los hechos denunciados, que ayude a las investigaciones a encontrar a Walter Munárriz Escobar y “sobre todo dejar bien en alto con orgullo el nombre de las instituciones que representamos”</w:t>
      </w:r>
      <w:r>
        <w:rPr>
          <w:rStyle w:val="FootnoteReference"/>
          <w:sz w:val="20"/>
          <w:szCs w:val="20"/>
          <w:lang w:val="es-MX"/>
        </w:rPr>
        <w:footnoteReference w:id="51"/>
      </w:r>
      <w:r>
        <w:rPr>
          <w:sz w:val="20"/>
          <w:szCs w:val="20"/>
          <w:lang w:val="es-MX"/>
        </w:rPr>
        <w:t xml:space="preserve">. </w:t>
      </w:r>
    </w:p>
    <w:p w:rsidR="00AA4AF2" w:rsidRDefault="00AA4AF2" w:rsidP="00AA4AF2">
      <w:pPr>
        <w:pStyle w:val="MediumGrid1-Accent21"/>
        <w:rPr>
          <w:sz w:val="20"/>
          <w:szCs w:val="20"/>
          <w:lang w:val="es-MX"/>
        </w:rPr>
      </w:pPr>
    </w:p>
    <w:p w:rsidR="00AA4AF2" w:rsidRDefault="00AA4AF2" w:rsidP="007C345F">
      <w:pPr>
        <w:pStyle w:val="MediumGrid1-Accent21"/>
        <w:numPr>
          <w:ilvl w:val="0"/>
          <w:numId w:val="65"/>
        </w:numPr>
        <w:ind w:left="0" w:firstLine="810"/>
        <w:jc w:val="both"/>
        <w:rPr>
          <w:sz w:val="20"/>
          <w:szCs w:val="20"/>
          <w:lang w:val="es-MX"/>
        </w:rPr>
      </w:pPr>
      <w:r>
        <w:rPr>
          <w:sz w:val="20"/>
          <w:szCs w:val="20"/>
          <w:lang w:val="es-MX"/>
        </w:rPr>
        <w:t xml:space="preserve">De las diligencias practicadas, referidas en el Parte </w:t>
      </w:r>
      <w:r w:rsidRPr="00AA4AF2">
        <w:rPr>
          <w:sz w:val="20"/>
          <w:szCs w:val="20"/>
          <w:lang w:val="es-MX"/>
        </w:rPr>
        <w:t>014-99-FPAH-SRPMP-HVCA/INSP.C</w:t>
      </w:r>
      <w:r>
        <w:rPr>
          <w:sz w:val="20"/>
          <w:szCs w:val="20"/>
          <w:lang w:val="es-MX"/>
        </w:rPr>
        <w:t>, se advierte que el Comandante Inspector de la Policía Nacional del Perú:</w:t>
      </w:r>
    </w:p>
    <w:p w:rsidR="00AA4AF2" w:rsidRDefault="00AA4AF2" w:rsidP="00AA4AF2">
      <w:pPr>
        <w:pStyle w:val="MediumGrid1-Accent21"/>
        <w:rPr>
          <w:sz w:val="20"/>
          <w:szCs w:val="20"/>
          <w:lang w:val="es-MX"/>
        </w:rPr>
      </w:pPr>
    </w:p>
    <w:p w:rsidR="00AA4AF2" w:rsidRDefault="00AA4AF2" w:rsidP="007C345F">
      <w:pPr>
        <w:pStyle w:val="MediumGrid1-Accent21"/>
        <w:numPr>
          <w:ilvl w:val="0"/>
          <w:numId w:val="63"/>
        </w:numPr>
        <w:jc w:val="both"/>
        <w:rPr>
          <w:sz w:val="20"/>
          <w:szCs w:val="20"/>
          <w:lang w:val="es-MX"/>
        </w:rPr>
      </w:pPr>
      <w:r>
        <w:rPr>
          <w:sz w:val="20"/>
          <w:szCs w:val="20"/>
          <w:lang w:val="es-MX"/>
        </w:rPr>
        <w:t>S</w:t>
      </w:r>
      <w:r w:rsidRPr="00AA4AF2">
        <w:rPr>
          <w:sz w:val="20"/>
          <w:szCs w:val="20"/>
          <w:lang w:val="es-MX"/>
        </w:rPr>
        <w:t xml:space="preserve">e entrevistó con </w:t>
      </w:r>
      <w:r>
        <w:rPr>
          <w:sz w:val="20"/>
          <w:szCs w:val="20"/>
          <w:lang w:val="es-MX"/>
        </w:rPr>
        <w:t xml:space="preserve"> los </w:t>
      </w:r>
      <w:r w:rsidRPr="00AA4AF2">
        <w:rPr>
          <w:sz w:val="20"/>
          <w:szCs w:val="20"/>
          <w:lang w:val="es-MX"/>
        </w:rPr>
        <w:t>agentes policiales involucrados en los hechos</w:t>
      </w:r>
      <w:r w:rsidR="007734B2">
        <w:rPr>
          <w:sz w:val="20"/>
          <w:szCs w:val="20"/>
          <w:lang w:val="es-MX"/>
        </w:rPr>
        <w:t>,</w:t>
      </w:r>
    </w:p>
    <w:p w:rsidR="00AA4AF2" w:rsidRDefault="00AA4AF2" w:rsidP="007C345F">
      <w:pPr>
        <w:pStyle w:val="MediumGrid1-Accent21"/>
        <w:numPr>
          <w:ilvl w:val="0"/>
          <w:numId w:val="63"/>
        </w:numPr>
        <w:jc w:val="both"/>
        <w:rPr>
          <w:sz w:val="20"/>
          <w:szCs w:val="20"/>
          <w:lang w:val="es-MX"/>
        </w:rPr>
      </w:pPr>
      <w:r>
        <w:rPr>
          <w:sz w:val="20"/>
          <w:szCs w:val="20"/>
          <w:lang w:val="es-MX"/>
        </w:rPr>
        <w:t>Obtuvo copia del Rol de Servicios de la Jefatura Provincial de Angaraes del 19 y 20 de marzo de 1999</w:t>
      </w:r>
      <w:r w:rsidR="007734B2">
        <w:rPr>
          <w:sz w:val="20"/>
          <w:szCs w:val="20"/>
          <w:lang w:val="es-MX"/>
        </w:rPr>
        <w:t>,</w:t>
      </w:r>
    </w:p>
    <w:p w:rsidR="00AA4AF2" w:rsidRDefault="00AA4AF2" w:rsidP="007C345F">
      <w:pPr>
        <w:pStyle w:val="MediumGrid1-Accent21"/>
        <w:numPr>
          <w:ilvl w:val="0"/>
          <w:numId w:val="63"/>
        </w:numPr>
        <w:jc w:val="both"/>
        <w:rPr>
          <w:sz w:val="20"/>
          <w:szCs w:val="20"/>
          <w:lang w:val="es-MX"/>
        </w:rPr>
      </w:pPr>
      <w:r>
        <w:rPr>
          <w:sz w:val="20"/>
          <w:szCs w:val="20"/>
          <w:lang w:val="es-MX"/>
        </w:rPr>
        <w:t>Solicitó copia de antecedentes de tres oficiales</w:t>
      </w:r>
      <w:r w:rsidR="007734B2">
        <w:rPr>
          <w:sz w:val="20"/>
          <w:szCs w:val="20"/>
          <w:lang w:val="es-MX"/>
        </w:rPr>
        <w:t>, y</w:t>
      </w:r>
    </w:p>
    <w:p w:rsidR="00AA4AF2" w:rsidRDefault="00AA4AF2" w:rsidP="007C345F">
      <w:pPr>
        <w:pStyle w:val="MediumGrid1-Accent21"/>
        <w:numPr>
          <w:ilvl w:val="0"/>
          <w:numId w:val="63"/>
        </w:numPr>
        <w:jc w:val="both"/>
        <w:rPr>
          <w:sz w:val="20"/>
          <w:szCs w:val="20"/>
          <w:lang w:val="es-MX"/>
        </w:rPr>
      </w:pPr>
      <w:r>
        <w:rPr>
          <w:sz w:val="20"/>
          <w:szCs w:val="20"/>
          <w:lang w:val="es-MX"/>
        </w:rPr>
        <w:t xml:space="preserve">Obtuvo copia del Parte Policial Nro. 30-99, formulado por el personal del Departamento de Investigación Criminal PNP-Huancavelica, con relación a la desaparición de Walter Munárriz Escobar </w:t>
      </w:r>
      <w:r>
        <w:rPr>
          <w:rStyle w:val="FootnoteReference"/>
          <w:sz w:val="20"/>
          <w:szCs w:val="20"/>
          <w:lang w:val="es-MX"/>
        </w:rPr>
        <w:footnoteReference w:id="52"/>
      </w:r>
      <w:r w:rsidR="007734B2">
        <w:rPr>
          <w:sz w:val="20"/>
          <w:szCs w:val="20"/>
          <w:lang w:val="es-MX"/>
        </w:rPr>
        <w:t>.</w:t>
      </w:r>
    </w:p>
    <w:p w:rsidR="00AA4AF2" w:rsidRDefault="00AA4AF2" w:rsidP="00AA4AF2">
      <w:pPr>
        <w:pStyle w:val="MediumGrid1-Accent21"/>
        <w:rPr>
          <w:sz w:val="20"/>
          <w:szCs w:val="20"/>
          <w:lang w:val="es-MX"/>
        </w:rPr>
      </w:pPr>
    </w:p>
    <w:p w:rsidR="00AA4AF2" w:rsidRDefault="00AA4AF2" w:rsidP="007C345F">
      <w:pPr>
        <w:pStyle w:val="MediumGrid1-Accent21"/>
        <w:numPr>
          <w:ilvl w:val="0"/>
          <w:numId w:val="65"/>
        </w:numPr>
        <w:ind w:left="0" w:firstLine="810"/>
        <w:jc w:val="both"/>
        <w:rPr>
          <w:sz w:val="20"/>
          <w:szCs w:val="20"/>
          <w:lang w:val="es-MX"/>
        </w:rPr>
      </w:pPr>
      <w:r>
        <w:rPr>
          <w:sz w:val="20"/>
          <w:szCs w:val="20"/>
          <w:lang w:val="es-MX"/>
        </w:rPr>
        <w:t>Las conclusiones a las que arribó el Comandante Inspector de la Inspectoría PNP de Huancavelicason las siguientes:</w:t>
      </w:r>
    </w:p>
    <w:p w:rsidR="00AA4AF2" w:rsidRDefault="00AA4AF2" w:rsidP="00AA4AF2">
      <w:pPr>
        <w:pStyle w:val="MediumGrid1-Accent21"/>
        <w:jc w:val="both"/>
        <w:rPr>
          <w:sz w:val="20"/>
          <w:szCs w:val="20"/>
          <w:lang w:val="es-MX"/>
        </w:rPr>
      </w:pPr>
    </w:p>
    <w:p w:rsidR="00AA4AF2" w:rsidRDefault="00AA4AF2" w:rsidP="007C345F">
      <w:pPr>
        <w:pStyle w:val="MediumGrid1-Accent21"/>
        <w:numPr>
          <w:ilvl w:val="0"/>
          <w:numId w:val="64"/>
        </w:numPr>
        <w:jc w:val="both"/>
        <w:rPr>
          <w:sz w:val="20"/>
          <w:szCs w:val="20"/>
          <w:lang w:val="es-MX"/>
        </w:rPr>
      </w:pPr>
      <w:r>
        <w:rPr>
          <w:sz w:val="20"/>
          <w:szCs w:val="20"/>
          <w:lang w:val="es-MX"/>
        </w:rPr>
        <w:t>Está probado que el Cap. PNP Roberto GAS</w:t>
      </w:r>
      <w:r w:rsidR="00AC1D43">
        <w:rPr>
          <w:sz w:val="20"/>
          <w:szCs w:val="20"/>
          <w:lang w:val="es-MX"/>
        </w:rPr>
        <w:t>T</w:t>
      </w:r>
      <w:r>
        <w:rPr>
          <w:sz w:val="20"/>
          <w:szCs w:val="20"/>
          <w:lang w:val="es-MX"/>
        </w:rPr>
        <w:t xml:space="preserve">IABURU NAKADA ha incurrido en FALTA POR NEGLIGENCIA, al poner poco celo en el cumplimiento de sus funciones como Comisario de Lircay, por no exigir al SO2. PNP Gunther CUARESMA RAMOS, la formulación oportuna del respectivo parte de remisión del civil Walter MUNÁRRIZ ESCOBAR (19), por presunción de robo, y adoptar procedimientos policiales inapropiados, dando libertad al intervenido y ser posteriormente quejado por la Sra. Gladys ESCOBAR CANDIOTTI, madre del civil en mención por </w:t>
      </w:r>
      <w:r>
        <w:rPr>
          <w:sz w:val="20"/>
          <w:szCs w:val="20"/>
          <w:lang w:val="es-MX"/>
        </w:rPr>
        <w:lastRenderedPageBreak/>
        <w:t>la presunta desaparición de éste […]. Por lo que el Suscrito le ha impuesto la sanción disciplinaria de SEIS (06) Días de Arresto Simple.</w:t>
      </w:r>
    </w:p>
    <w:p w:rsidR="00AA4AF2" w:rsidRDefault="00AA4AF2" w:rsidP="00AA4AF2">
      <w:pPr>
        <w:pStyle w:val="MediumGrid1-Accent21"/>
        <w:ind w:left="1080"/>
        <w:jc w:val="both"/>
        <w:rPr>
          <w:sz w:val="20"/>
          <w:szCs w:val="20"/>
          <w:lang w:val="es-MX"/>
        </w:rPr>
      </w:pPr>
    </w:p>
    <w:p w:rsidR="00AA4AF2" w:rsidRPr="00A43A02" w:rsidRDefault="00AA4AF2" w:rsidP="007C345F">
      <w:pPr>
        <w:pStyle w:val="MediumGrid1-Accent21"/>
        <w:numPr>
          <w:ilvl w:val="0"/>
          <w:numId w:val="64"/>
        </w:numPr>
        <w:jc w:val="both"/>
        <w:rPr>
          <w:sz w:val="20"/>
          <w:szCs w:val="20"/>
          <w:lang w:val="es-MX"/>
        </w:rPr>
      </w:pPr>
      <w:r w:rsidRPr="00783BBE">
        <w:rPr>
          <w:sz w:val="20"/>
          <w:szCs w:val="20"/>
          <w:lang w:val="es-MX"/>
        </w:rPr>
        <w:t xml:space="preserve">Está </w:t>
      </w:r>
      <w:r w:rsidRPr="001D2963">
        <w:rPr>
          <w:sz w:val="20"/>
          <w:szCs w:val="20"/>
          <w:lang w:val="es-MX"/>
        </w:rPr>
        <w:t>probado que el SO2 PNP Adolfo E. ANGELES RAMOS, se encuentra incuso (sic) en FALTA CONTRA LA OBEDIENCIA al no dar cumplimiento a las directivas y/o procedimientos operativos policiales en su condición de Oficial de Informes y Auxilios Accidental de la Comi</w:t>
      </w:r>
      <w:r w:rsidRPr="00B35E20">
        <w:rPr>
          <w:sz w:val="20"/>
          <w:szCs w:val="20"/>
          <w:lang w:val="es-MX"/>
        </w:rPr>
        <w:t>saría de Lircay, al recepcionar al intervenido Walter MUNÁRRIZ ESCOBAR (19), por presunción de robo, del SO2 PNP Gunther CUARESMA RAMOS, sin el parte de remisión respectivo, y posteriormente dar lugar a quejas contra el personal policial por la presunta de</w:t>
      </w:r>
      <w:r w:rsidRPr="00A43A02">
        <w:rPr>
          <w:sz w:val="20"/>
          <w:szCs w:val="20"/>
          <w:lang w:val="es-MX"/>
        </w:rPr>
        <w:t xml:space="preserve">saparición del civil en mención hasta la fecha […]. Por lo que ha sido responsabilizado disciplinariamente con DIEZ (10) Días de Arresto Simple. </w:t>
      </w:r>
    </w:p>
    <w:p w:rsidR="00AA4AF2" w:rsidRDefault="00AA4AF2" w:rsidP="00AA4AF2">
      <w:pPr>
        <w:pStyle w:val="MediumGrid1-Accent21"/>
        <w:rPr>
          <w:sz w:val="20"/>
          <w:szCs w:val="20"/>
          <w:lang w:val="es-MX"/>
        </w:rPr>
      </w:pPr>
    </w:p>
    <w:p w:rsidR="00AA4AF2" w:rsidRDefault="00AA4AF2" w:rsidP="007C345F">
      <w:pPr>
        <w:pStyle w:val="MediumGrid1-Accent21"/>
        <w:numPr>
          <w:ilvl w:val="0"/>
          <w:numId w:val="64"/>
        </w:numPr>
        <w:jc w:val="both"/>
        <w:rPr>
          <w:sz w:val="20"/>
          <w:szCs w:val="20"/>
          <w:lang w:val="es-MX"/>
        </w:rPr>
      </w:pPr>
      <w:r>
        <w:rPr>
          <w:sz w:val="20"/>
          <w:szCs w:val="20"/>
          <w:lang w:val="es-MX"/>
        </w:rPr>
        <w:t xml:space="preserve">Está probado que el SO2. PNP Gunther CUARESMA RAMOS, se encuentra incurso en FALTA CONTRA LA OBEDIENCIA, al no dar cumplimiento a las directivas y/o procedimientos operativos policiales, al poner a disposición de la Comisaría de Lircay, al intervenido Walter MUNÁRRIZ ESCOBAR (19), por presunción de robo, sin la formulación oportuna del respectivo parte de remisión, y posteriormente dar lugar a quejas contra el personal policial por la presunta desaparición del civil en mención hasta la fecha […]. Por lo que ha sido responsabilizado disciplinariamente con DIEZ (10) Días de Arresto Simple. </w:t>
      </w:r>
    </w:p>
    <w:p w:rsidR="00AA4AF2" w:rsidRDefault="00AA4AF2" w:rsidP="00AA4AF2">
      <w:pPr>
        <w:pStyle w:val="MediumGrid1-Accent21"/>
        <w:rPr>
          <w:sz w:val="20"/>
          <w:szCs w:val="20"/>
          <w:lang w:val="es-MX"/>
        </w:rPr>
      </w:pPr>
    </w:p>
    <w:p w:rsidR="00AA4AF2" w:rsidRDefault="00AA4AF2" w:rsidP="007C345F">
      <w:pPr>
        <w:pStyle w:val="MediumGrid1-Accent21"/>
        <w:numPr>
          <w:ilvl w:val="0"/>
          <w:numId w:val="64"/>
        </w:numPr>
        <w:jc w:val="both"/>
        <w:rPr>
          <w:sz w:val="20"/>
          <w:szCs w:val="20"/>
          <w:lang w:val="es-MX"/>
        </w:rPr>
      </w:pPr>
      <w:r>
        <w:rPr>
          <w:sz w:val="20"/>
          <w:szCs w:val="20"/>
          <w:lang w:val="es-MX"/>
        </w:rPr>
        <w:t>Está probado que con motivo de la presente investigación, el Alfz. PNP Claudio GUTIÉRREZ VELÁSQUEZ, se encuentra incurso en FALTA POR ABANDONO DE SERVICIO, al haber</w:t>
      </w:r>
      <w:r w:rsidR="00B35E20">
        <w:rPr>
          <w:sz w:val="20"/>
          <w:szCs w:val="20"/>
          <w:lang w:val="es-MX"/>
        </w:rPr>
        <w:t>se</w:t>
      </w:r>
      <w:r>
        <w:rPr>
          <w:sz w:val="20"/>
          <w:szCs w:val="20"/>
          <w:lang w:val="es-MX"/>
        </w:rPr>
        <w:t xml:space="preserve"> ausentado sin causa justificada del Destacamento PNP Recuperada y dirigirse a la localidad de Lircay, desde las 14:30 hrs del 20MAR99 a las 12:00 hrs del 21MAR99 […]. Por cuyo motivo ha sido responsabilizado con SEIS (6) Días de Arresto Simple</w:t>
      </w:r>
      <w:r w:rsidR="00AB2BA5">
        <w:rPr>
          <w:rStyle w:val="FootnoteReference"/>
          <w:sz w:val="20"/>
          <w:szCs w:val="20"/>
          <w:lang w:val="es-MX"/>
        </w:rPr>
        <w:footnoteReference w:id="53"/>
      </w:r>
      <w:r>
        <w:rPr>
          <w:sz w:val="20"/>
          <w:szCs w:val="20"/>
          <w:lang w:val="es-MX"/>
        </w:rPr>
        <w:t xml:space="preserve">. </w:t>
      </w:r>
    </w:p>
    <w:p w:rsidR="0005137D" w:rsidRDefault="0005137D" w:rsidP="0005137D">
      <w:pPr>
        <w:pStyle w:val="MediumGrid1-Accent21"/>
        <w:rPr>
          <w:sz w:val="20"/>
          <w:szCs w:val="20"/>
          <w:lang w:val="es-MX"/>
        </w:rPr>
      </w:pPr>
    </w:p>
    <w:p w:rsidR="0005137D" w:rsidRDefault="0005137D" w:rsidP="007C345F">
      <w:pPr>
        <w:pStyle w:val="MediumGrid1-Accent21"/>
        <w:numPr>
          <w:ilvl w:val="0"/>
          <w:numId w:val="65"/>
        </w:numPr>
        <w:ind w:left="0" w:firstLine="810"/>
        <w:jc w:val="both"/>
        <w:rPr>
          <w:sz w:val="20"/>
          <w:szCs w:val="20"/>
          <w:lang w:val="es-MX"/>
        </w:rPr>
      </w:pPr>
      <w:r>
        <w:rPr>
          <w:sz w:val="20"/>
          <w:szCs w:val="20"/>
          <w:lang w:val="es-MX"/>
        </w:rPr>
        <w:t xml:space="preserve">La Comisión </w:t>
      </w:r>
      <w:r w:rsidR="00E90A32">
        <w:rPr>
          <w:sz w:val="20"/>
          <w:szCs w:val="20"/>
          <w:lang w:val="es-MX"/>
        </w:rPr>
        <w:t xml:space="preserve">no cuenta con información </w:t>
      </w:r>
      <w:r>
        <w:rPr>
          <w:sz w:val="20"/>
          <w:szCs w:val="20"/>
          <w:lang w:val="es-MX"/>
        </w:rPr>
        <w:t xml:space="preserve">respecto </w:t>
      </w:r>
      <w:r w:rsidR="00E90A32">
        <w:rPr>
          <w:sz w:val="20"/>
          <w:szCs w:val="20"/>
          <w:lang w:val="es-MX"/>
        </w:rPr>
        <w:t>del</w:t>
      </w:r>
      <w:r>
        <w:rPr>
          <w:sz w:val="20"/>
          <w:szCs w:val="20"/>
          <w:lang w:val="es-MX"/>
        </w:rPr>
        <w:t xml:space="preserve"> cumplimiento</w:t>
      </w:r>
      <w:r w:rsidR="00E90A32">
        <w:rPr>
          <w:sz w:val="20"/>
          <w:szCs w:val="20"/>
          <w:lang w:val="es-MX"/>
        </w:rPr>
        <w:t xml:space="preserve"> </w:t>
      </w:r>
      <w:r>
        <w:rPr>
          <w:sz w:val="20"/>
          <w:szCs w:val="20"/>
          <w:lang w:val="es-MX"/>
        </w:rPr>
        <w:t xml:space="preserve">de las sanciones disciplinarias  impuestas. </w:t>
      </w:r>
    </w:p>
    <w:p w:rsidR="00046DA5" w:rsidRDefault="00046DA5" w:rsidP="00046DA5">
      <w:pPr>
        <w:pStyle w:val="MediumGrid1-Accent21"/>
        <w:jc w:val="both"/>
        <w:rPr>
          <w:sz w:val="20"/>
          <w:szCs w:val="20"/>
          <w:lang w:val="es-MX"/>
        </w:rPr>
      </w:pPr>
    </w:p>
    <w:p w:rsidR="00046DA5" w:rsidRPr="00046DA5" w:rsidRDefault="00046DA5" w:rsidP="00FD5827">
      <w:pPr>
        <w:pStyle w:val="Heading3"/>
      </w:pPr>
      <w:bookmarkStart w:id="16" w:name="_Toc467948056"/>
      <w:r w:rsidRPr="00046DA5">
        <w:t>Investigación de la Defensoría del Pueblo</w:t>
      </w:r>
      <w:bookmarkEnd w:id="16"/>
      <w:r w:rsidRPr="00046DA5">
        <w:t xml:space="preserve"> </w:t>
      </w:r>
    </w:p>
    <w:p w:rsidR="00CA7938" w:rsidRDefault="00CA7938" w:rsidP="00CA7938">
      <w:pPr>
        <w:pStyle w:val="MediumGrid1-Accent21"/>
        <w:rPr>
          <w:sz w:val="20"/>
          <w:szCs w:val="20"/>
          <w:lang w:val="es-MX"/>
        </w:rPr>
      </w:pPr>
    </w:p>
    <w:p w:rsidR="007C1F46" w:rsidRDefault="007F36CF" w:rsidP="007C345F">
      <w:pPr>
        <w:pStyle w:val="MediumGrid1-Accent21"/>
        <w:numPr>
          <w:ilvl w:val="0"/>
          <w:numId w:val="65"/>
        </w:numPr>
        <w:ind w:left="0" w:firstLine="810"/>
        <w:jc w:val="both"/>
        <w:rPr>
          <w:sz w:val="20"/>
          <w:szCs w:val="20"/>
          <w:lang w:val="es-MX"/>
        </w:rPr>
      </w:pPr>
      <w:r>
        <w:rPr>
          <w:sz w:val="20"/>
          <w:szCs w:val="20"/>
          <w:lang w:val="es-MX"/>
        </w:rPr>
        <w:t>E</w:t>
      </w:r>
      <w:r w:rsidR="00046DA5">
        <w:rPr>
          <w:sz w:val="20"/>
          <w:szCs w:val="20"/>
          <w:lang w:val="es-MX"/>
        </w:rPr>
        <w:t>l 23 de marzo de 1999 el profesor de la Universidad de Huancavelica, Emilio Torralba Rivero denunció ante la Defensoría del Pueblo en Huancavelica la desaparición de Walter Munárriz</w:t>
      </w:r>
      <w:r w:rsidR="00E90A32">
        <w:rPr>
          <w:rStyle w:val="FootnoteReference"/>
          <w:sz w:val="20"/>
          <w:szCs w:val="20"/>
          <w:lang w:val="es-MX"/>
        </w:rPr>
        <w:footnoteReference w:id="54"/>
      </w:r>
      <w:r w:rsidR="00046DA5">
        <w:rPr>
          <w:sz w:val="20"/>
          <w:szCs w:val="20"/>
          <w:lang w:val="es-MX"/>
        </w:rPr>
        <w:t xml:space="preserve">. </w:t>
      </w:r>
      <w:r w:rsidR="00FF1B8C">
        <w:rPr>
          <w:sz w:val="20"/>
          <w:szCs w:val="20"/>
          <w:lang w:val="es-MX"/>
        </w:rPr>
        <w:t xml:space="preserve">Su madre también </w:t>
      </w:r>
      <w:r w:rsidR="00046DA5">
        <w:rPr>
          <w:sz w:val="20"/>
          <w:szCs w:val="20"/>
          <w:lang w:val="es-MX"/>
        </w:rPr>
        <w:t xml:space="preserve">presentó denuncia ante la misma oficina el 25 </w:t>
      </w:r>
      <w:r w:rsidR="006B5902">
        <w:rPr>
          <w:sz w:val="20"/>
          <w:szCs w:val="20"/>
          <w:lang w:val="es-MX"/>
        </w:rPr>
        <w:t>de marzo de 1999</w:t>
      </w:r>
      <w:r w:rsidR="00046DA5">
        <w:rPr>
          <w:rStyle w:val="FootnoteReference"/>
          <w:sz w:val="20"/>
          <w:szCs w:val="20"/>
          <w:lang w:val="es-MX"/>
        </w:rPr>
        <w:footnoteReference w:id="55"/>
      </w:r>
      <w:r w:rsidR="00046DA5">
        <w:rPr>
          <w:sz w:val="20"/>
          <w:szCs w:val="20"/>
          <w:lang w:val="es-MX"/>
        </w:rPr>
        <w:t xml:space="preserve">. </w:t>
      </w:r>
      <w:r w:rsidR="00046DA5" w:rsidRPr="001F1E00">
        <w:rPr>
          <w:sz w:val="20"/>
          <w:szCs w:val="20"/>
          <w:lang w:val="es-MX"/>
        </w:rPr>
        <w:t xml:space="preserve"> </w:t>
      </w:r>
    </w:p>
    <w:p w:rsidR="007C1F46" w:rsidRPr="007C1F46" w:rsidRDefault="007C1F46" w:rsidP="007C1F46">
      <w:pPr>
        <w:pStyle w:val="MediumGrid1-Accent21"/>
        <w:jc w:val="both"/>
        <w:rPr>
          <w:sz w:val="20"/>
          <w:szCs w:val="20"/>
          <w:lang w:val="es-MX"/>
        </w:rPr>
      </w:pPr>
    </w:p>
    <w:p w:rsidR="007C1F46" w:rsidRDefault="0091016E" w:rsidP="007C345F">
      <w:pPr>
        <w:pStyle w:val="MediumGrid1-Accent21"/>
        <w:numPr>
          <w:ilvl w:val="0"/>
          <w:numId w:val="65"/>
        </w:numPr>
        <w:ind w:left="0" w:firstLine="810"/>
        <w:jc w:val="both"/>
        <w:rPr>
          <w:sz w:val="20"/>
          <w:szCs w:val="20"/>
          <w:lang w:val="es-MX"/>
        </w:rPr>
      </w:pPr>
      <w:r>
        <w:rPr>
          <w:sz w:val="20"/>
          <w:szCs w:val="20"/>
          <w:lang w:val="es-MX"/>
        </w:rPr>
        <w:t>El 25 de marzo de 1999, l</w:t>
      </w:r>
      <w:r w:rsidR="007C1F46">
        <w:rPr>
          <w:sz w:val="20"/>
          <w:szCs w:val="20"/>
          <w:lang w:val="es-MX"/>
        </w:rPr>
        <w:t>a Defensoría del Pueblo se entrevistó con la madre de Walter Munárri</w:t>
      </w:r>
      <w:r w:rsidR="0083557D">
        <w:rPr>
          <w:sz w:val="20"/>
          <w:szCs w:val="20"/>
          <w:lang w:val="es-MX"/>
        </w:rPr>
        <w:t>z</w:t>
      </w:r>
      <w:r w:rsidR="00E90A32">
        <w:rPr>
          <w:sz w:val="20"/>
          <w:szCs w:val="20"/>
          <w:lang w:val="es-MX"/>
        </w:rPr>
        <w:t>;</w:t>
      </w:r>
      <w:r w:rsidR="007C1F46">
        <w:rPr>
          <w:sz w:val="20"/>
          <w:szCs w:val="20"/>
          <w:lang w:val="es-MX"/>
        </w:rPr>
        <w:t xml:space="preserve"> </w:t>
      </w:r>
      <w:r>
        <w:rPr>
          <w:sz w:val="20"/>
          <w:szCs w:val="20"/>
          <w:lang w:val="es-MX"/>
        </w:rPr>
        <w:t xml:space="preserve">con Gladys Munárriz Escobar, hermana de Walter Munárriz; </w:t>
      </w:r>
      <w:r w:rsidR="007C1F46">
        <w:rPr>
          <w:sz w:val="20"/>
          <w:szCs w:val="20"/>
          <w:lang w:val="es-MX"/>
        </w:rPr>
        <w:t xml:space="preserve">con la Fiscal Provincial </w:t>
      </w:r>
      <w:r w:rsidR="00E90A32">
        <w:rPr>
          <w:sz w:val="20"/>
          <w:szCs w:val="20"/>
          <w:lang w:val="es-MX"/>
        </w:rPr>
        <w:t xml:space="preserve">de Angaraes; con </w:t>
      </w:r>
      <w:r>
        <w:rPr>
          <w:sz w:val="20"/>
          <w:szCs w:val="20"/>
          <w:lang w:val="es-MX"/>
        </w:rPr>
        <w:t xml:space="preserve">Marcos Leonidas Sierra Tuero, quien </w:t>
      </w:r>
      <w:r w:rsidR="007C1F46">
        <w:rPr>
          <w:sz w:val="20"/>
          <w:szCs w:val="20"/>
          <w:lang w:val="es-MX"/>
        </w:rPr>
        <w:t>estuv</w:t>
      </w:r>
      <w:r>
        <w:rPr>
          <w:sz w:val="20"/>
          <w:szCs w:val="20"/>
          <w:lang w:val="es-MX"/>
        </w:rPr>
        <w:t>o</w:t>
      </w:r>
      <w:r w:rsidR="007C1F46">
        <w:rPr>
          <w:sz w:val="20"/>
          <w:szCs w:val="20"/>
          <w:lang w:val="es-MX"/>
        </w:rPr>
        <w:t xml:space="preserve"> detenid</w:t>
      </w:r>
      <w:r>
        <w:rPr>
          <w:sz w:val="20"/>
          <w:szCs w:val="20"/>
          <w:lang w:val="es-MX"/>
        </w:rPr>
        <w:t>o</w:t>
      </w:r>
      <w:r w:rsidR="007C1F46">
        <w:rPr>
          <w:sz w:val="20"/>
          <w:szCs w:val="20"/>
          <w:lang w:val="es-MX"/>
        </w:rPr>
        <w:t xml:space="preserve"> en la Comisaría de Lircay</w:t>
      </w:r>
      <w:r>
        <w:rPr>
          <w:sz w:val="20"/>
          <w:szCs w:val="20"/>
          <w:lang w:val="es-MX"/>
        </w:rPr>
        <w:t xml:space="preserve"> el mismo 20 de marzo de 1999;</w:t>
      </w:r>
      <w:r w:rsidR="00B84D30">
        <w:rPr>
          <w:sz w:val="20"/>
          <w:szCs w:val="20"/>
          <w:lang w:val="es-MX"/>
        </w:rPr>
        <w:t xml:space="preserve"> con la señora Maura Romero, dueña del hospedaje “Los Manolos”;</w:t>
      </w:r>
      <w:r>
        <w:rPr>
          <w:sz w:val="20"/>
          <w:szCs w:val="20"/>
          <w:lang w:val="es-MX"/>
        </w:rPr>
        <w:t xml:space="preserve"> </w:t>
      </w:r>
      <w:r w:rsidRPr="00D52C32">
        <w:rPr>
          <w:sz w:val="20"/>
          <w:szCs w:val="20"/>
          <w:lang w:val="es-MX"/>
        </w:rPr>
        <w:t>con</w:t>
      </w:r>
      <w:r w:rsidR="00B84D30" w:rsidRPr="007F5BCA">
        <w:rPr>
          <w:color w:val="auto"/>
          <w:sz w:val="20"/>
          <w:szCs w:val="20"/>
          <w:bdr w:val="none" w:sz="0" w:space="0" w:color="auto"/>
          <w:lang w:val="es-ES"/>
        </w:rPr>
        <w:t xml:space="preserve"> </w:t>
      </w:r>
      <w:r w:rsidR="00B84D30" w:rsidRPr="00D52C32">
        <w:rPr>
          <w:color w:val="auto"/>
          <w:sz w:val="20"/>
          <w:szCs w:val="20"/>
          <w:bdr w:val="none" w:sz="0" w:space="0" w:color="auto"/>
          <w:lang w:val="es-ES"/>
        </w:rPr>
        <w:t>Juan Martín Silva González</w:t>
      </w:r>
      <w:r w:rsidR="00D87067">
        <w:rPr>
          <w:color w:val="auto"/>
          <w:sz w:val="20"/>
          <w:szCs w:val="20"/>
          <w:bdr w:val="none" w:sz="0" w:space="0" w:color="auto"/>
          <w:lang w:val="es-ES"/>
        </w:rPr>
        <w:t xml:space="preserve">, </w:t>
      </w:r>
      <w:r w:rsidR="007C1F46">
        <w:rPr>
          <w:sz w:val="20"/>
          <w:szCs w:val="20"/>
          <w:lang w:val="es-MX"/>
        </w:rPr>
        <w:t>con el Director Municipal de Lircay y con algunos efectivos policiales</w:t>
      </w:r>
      <w:r w:rsidR="007C1F46">
        <w:rPr>
          <w:rStyle w:val="FootnoteReference"/>
          <w:sz w:val="20"/>
          <w:szCs w:val="20"/>
          <w:lang w:val="es-MX"/>
        </w:rPr>
        <w:footnoteReference w:id="56"/>
      </w:r>
      <w:r w:rsidR="007C1F46">
        <w:rPr>
          <w:sz w:val="20"/>
          <w:szCs w:val="20"/>
          <w:lang w:val="es-MX"/>
        </w:rPr>
        <w:t xml:space="preserve">. Asimismo, </w:t>
      </w:r>
      <w:r w:rsidR="00A57D41">
        <w:rPr>
          <w:sz w:val="20"/>
          <w:szCs w:val="20"/>
          <w:lang w:val="es-MX"/>
        </w:rPr>
        <w:t>e</w:t>
      </w:r>
      <w:r w:rsidR="007C1F46">
        <w:rPr>
          <w:sz w:val="20"/>
          <w:szCs w:val="20"/>
          <w:lang w:val="es-MX"/>
        </w:rPr>
        <w:t xml:space="preserve">ntre las conclusiones emitidas en sus informes de marzo de 1999, </w:t>
      </w:r>
      <w:r w:rsidR="000A49B7">
        <w:rPr>
          <w:sz w:val="20"/>
          <w:szCs w:val="20"/>
          <w:lang w:val="es-MX"/>
        </w:rPr>
        <w:t>la Defensoría señaló que</w:t>
      </w:r>
      <w:r w:rsidR="007C1F46">
        <w:rPr>
          <w:sz w:val="20"/>
          <w:szCs w:val="20"/>
          <w:lang w:val="es-MX"/>
        </w:rPr>
        <w:t xml:space="preserve">: </w:t>
      </w:r>
    </w:p>
    <w:p w:rsidR="007C1F46" w:rsidRDefault="007C1F46" w:rsidP="007C1F46">
      <w:pPr>
        <w:pStyle w:val="MediumGrid1-Accent21"/>
        <w:rPr>
          <w:sz w:val="20"/>
          <w:szCs w:val="20"/>
          <w:lang w:val="es-MX"/>
        </w:rPr>
      </w:pPr>
    </w:p>
    <w:p w:rsidR="000A49B7" w:rsidRDefault="000A49B7" w:rsidP="000A49B7">
      <w:pPr>
        <w:pStyle w:val="MediumGrid1-Accent21"/>
        <w:ind w:right="720"/>
        <w:jc w:val="both"/>
        <w:rPr>
          <w:sz w:val="20"/>
          <w:szCs w:val="20"/>
          <w:lang w:val="es-MX"/>
        </w:rPr>
      </w:pPr>
      <w:r>
        <w:rPr>
          <w:sz w:val="20"/>
          <w:szCs w:val="20"/>
          <w:lang w:val="es-MX"/>
        </w:rPr>
        <w:t xml:space="preserve">- se aprecia que el desaparecido fue detenido arbitrariamente, sin que existiera denuncia alguna, ya que el Sub Oficial PNP Cuaresma Ramos al momento de intervenir debió solicitar que Patrick Flores Gutiérrez y Luis Guerrero Pareja lo acompañen para presentar los cargos correspondientes, más aún procedió a detenerlo basándose simplemente en afirmaciones de </w:t>
      </w:r>
      <w:r>
        <w:rPr>
          <w:sz w:val="20"/>
          <w:szCs w:val="20"/>
          <w:lang w:val="es-MX"/>
        </w:rPr>
        <w:lastRenderedPageBreak/>
        <w:t>las primeras de las nombradas […]</w:t>
      </w:r>
      <w:r w:rsidR="00D87067">
        <w:rPr>
          <w:sz w:val="20"/>
          <w:szCs w:val="20"/>
          <w:lang w:val="es-MX"/>
        </w:rPr>
        <w:t>. En todo caso, debió consignarse en los libros correspondientes la intervención de Walter Munárriz Escobar</w:t>
      </w:r>
      <w:r>
        <w:rPr>
          <w:rStyle w:val="FootnoteReference"/>
          <w:sz w:val="20"/>
          <w:szCs w:val="20"/>
          <w:lang w:val="es-MX"/>
        </w:rPr>
        <w:footnoteReference w:id="57"/>
      </w:r>
      <w:r w:rsidR="00D87067">
        <w:rPr>
          <w:sz w:val="20"/>
          <w:szCs w:val="20"/>
          <w:lang w:val="es-MX"/>
        </w:rPr>
        <w:t>.</w:t>
      </w:r>
    </w:p>
    <w:p w:rsidR="000A49B7" w:rsidRDefault="000A49B7" w:rsidP="000A49B7">
      <w:pPr>
        <w:pStyle w:val="MediumGrid1-Accent21"/>
        <w:jc w:val="both"/>
        <w:rPr>
          <w:sz w:val="20"/>
          <w:szCs w:val="20"/>
          <w:lang w:val="es-MX"/>
        </w:rPr>
      </w:pPr>
      <w:r>
        <w:rPr>
          <w:sz w:val="20"/>
          <w:szCs w:val="20"/>
          <w:lang w:val="es-MX"/>
        </w:rPr>
        <w:t xml:space="preserve"> </w:t>
      </w:r>
    </w:p>
    <w:p w:rsidR="007C1F46" w:rsidRDefault="007C1F46" w:rsidP="00E90A32">
      <w:pPr>
        <w:pStyle w:val="MediumGrid1-Accent21"/>
        <w:ind w:right="720"/>
        <w:jc w:val="both"/>
        <w:rPr>
          <w:sz w:val="20"/>
          <w:szCs w:val="20"/>
          <w:lang w:val="es-MX"/>
        </w:rPr>
      </w:pPr>
      <w:r>
        <w:rPr>
          <w:sz w:val="20"/>
          <w:szCs w:val="20"/>
          <w:lang w:val="es-MX"/>
        </w:rPr>
        <w:t>- existen indicios de la desaparición del ciudadano Walter Munárriz Escobar, a manos del personal policial de la Jefatura Provincial PNP de Lircay, por las actividades inusuales a las que se dedicaron el día de los hechos, como el dirigirse a realizar visitas de inspección a los campamentos de Julcaní y Ccochacasa</w:t>
      </w:r>
      <w:r w:rsidR="001971BC">
        <w:rPr>
          <w:sz w:val="20"/>
          <w:szCs w:val="20"/>
          <w:lang w:val="es-MX"/>
        </w:rPr>
        <w:t>, debiendo resaltar el gran nerviosismo y tensión del Capitán Roberto Gaistiaburú Nakada, en el momento en que se realizaron diligencias en la Jefatura Provincial de Angaraes</w:t>
      </w:r>
      <w:r w:rsidR="001971BC">
        <w:rPr>
          <w:rStyle w:val="FootnoteReference"/>
          <w:sz w:val="20"/>
          <w:szCs w:val="20"/>
          <w:lang w:val="es-MX"/>
        </w:rPr>
        <w:footnoteReference w:id="58"/>
      </w:r>
      <w:r w:rsidR="001971BC">
        <w:rPr>
          <w:sz w:val="20"/>
          <w:szCs w:val="20"/>
          <w:lang w:val="es-MX"/>
        </w:rPr>
        <w:t>.</w:t>
      </w:r>
    </w:p>
    <w:p w:rsidR="007C1F46" w:rsidRDefault="007C1F46" w:rsidP="00E90A32">
      <w:pPr>
        <w:pStyle w:val="MediumGrid1-Accent21"/>
        <w:ind w:right="720"/>
        <w:jc w:val="both"/>
        <w:rPr>
          <w:sz w:val="20"/>
          <w:szCs w:val="20"/>
          <w:lang w:val="es-MX"/>
        </w:rPr>
      </w:pPr>
    </w:p>
    <w:p w:rsidR="007410B5" w:rsidRDefault="00AD7C87" w:rsidP="007C345F">
      <w:pPr>
        <w:pStyle w:val="MediumGrid1-Accent21"/>
        <w:numPr>
          <w:ilvl w:val="0"/>
          <w:numId w:val="65"/>
        </w:numPr>
        <w:ind w:left="0" w:firstLine="810"/>
        <w:jc w:val="both"/>
        <w:rPr>
          <w:sz w:val="20"/>
          <w:szCs w:val="20"/>
          <w:lang w:val="es-MX"/>
        </w:rPr>
      </w:pPr>
      <w:r>
        <w:rPr>
          <w:sz w:val="20"/>
          <w:szCs w:val="20"/>
          <w:lang w:val="es-MX"/>
        </w:rPr>
        <w:t xml:space="preserve">No obstante, en </w:t>
      </w:r>
      <w:r w:rsidRPr="00AD7C87">
        <w:rPr>
          <w:sz w:val="20"/>
          <w:szCs w:val="20"/>
          <w:lang w:val="es-MX"/>
        </w:rPr>
        <w:t xml:space="preserve">su informe N° 020-099- RDP/HVCA </w:t>
      </w:r>
      <w:r w:rsidR="00C77CE5" w:rsidRPr="00AD7C87">
        <w:rPr>
          <w:sz w:val="20"/>
          <w:szCs w:val="20"/>
          <w:lang w:val="es-MX"/>
        </w:rPr>
        <w:t xml:space="preserve">de </w:t>
      </w:r>
      <w:r w:rsidR="007410B5" w:rsidRPr="00AD7C87">
        <w:rPr>
          <w:sz w:val="20"/>
          <w:szCs w:val="20"/>
          <w:lang w:val="es-MX"/>
        </w:rPr>
        <w:t>29</w:t>
      </w:r>
      <w:r w:rsidR="007410B5" w:rsidRPr="007410B5">
        <w:rPr>
          <w:sz w:val="20"/>
          <w:szCs w:val="20"/>
          <w:lang w:val="es-MX"/>
        </w:rPr>
        <w:t xml:space="preserve"> de marzo de 1999</w:t>
      </w:r>
      <w:r w:rsidR="007410B5">
        <w:rPr>
          <w:sz w:val="20"/>
          <w:szCs w:val="20"/>
          <w:lang w:val="es-MX"/>
        </w:rPr>
        <w:t xml:space="preserve">, la Defensoría indica: </w:t>
      </w:r>
    </w:p>
    <w:p w:rsidR="007410B5" w:rsidRDefault="007410B5" w:rsidP="007410B5">
      <w:pPr>
        <w:pStyle w:val="MediumGrid1-Accent21"/>
        <w:jc w:val="both"/>
        <w:rPr>
          <w:sz w:val="20"/>
          <w:szCs w:val="20"/>
          <w:lang w:val="es-MX"/>
        </w:rPr>
      </w:pPr>
    </w:p>
    <w:p w:rsidR="007410B5" w:rsidRDefault="007410B5" w:rsidP="007410B5">
      <w:pPr>
        <w:pStyle w:val="MediumGrid1-Accent21"/>
        <w:ind w:right="720"/>
        <w:jc w:val="both"/>
        <w:rPr>
          <w:sz w:val="20"/>
          <w:szCs w:val="20"/>
          <w:lang w:val="es-MX"/>
        </w:rPr>
      </w:pPr>
      <w:r>
        <w:rPr>
          <w:sz w:val="20"/>
          <w:szCs w:val="20"/>
          <w:lang w:val="es-MX"/>
        </w:rPr>
        <w:t>[…] Sin perjuicio de lo expuesto, no se descarta la posibilidad que Walter Munárriz Escobar agobiado por sus problemas familiares y por los hechos suscitados se haya marchado a otro lugar […]</w:t>
      </w:r>
      <w:r>
        <w:rPr>
          <w:rStyle w:val="FootnoteReference"/>
          <w:sz w:val="20"/>
          <w:szCs w:val="20"/>
          <w:lang w:val="es-MX"/>
        </w:rPr>
        <w:footnoteReference w:id="59"/>
      </w:r>
      <w:r w:rsidR="00800C59">
        <w:rPr>
          <w:sz w:val="20"/>
          <w:szCs w:val="20"/>
          <w:lang w:val="es-MX"/>
        </w:rPr>
        <w:t>.</w:t>
      </w:r>
    </w:p>
    <w:p w:rsidR="001F1E00" w:rsidRPr="00E21797" w:rsidRDefault="001F1E00" w:rsidP="001F1E00">
      <w:pPr>
        <w:pStyle w:val="MediumGrid1-Accent21"/>
        <w:rPr>
          <w:sz w:val="20"/>
          <w:szCs w:val="20"/>
          <w:lang w:val="es-MX"/>
        </w:rPr>
      </w:pPr>
    </w:p>
    <w:p w:rsidR="001B06F1" w:rsidRPr="00E21797" w:rsidRDefault="00146017" w:rsidP="007C345F">
      <w:pPr>
        <w:pStyle w:val="MediumGrid1-Accent21"/>
        <w:numPr>
          <w:ilvl w:val="0"/>
          <w:numId w:val="65"/>
        </w:numPr>
        <w:ind w:left="0" w:firstLine="810"/>
        <w:jc w:val="both"/>
        <w:rPr>
          <w:sz w:val="20"/>
          <w:szCs w:val="20"/>
          <w:lang w:val="es-MX"/>
        </w:rPr>
      </w:pPr>
      <w:r w:rsidRPr="00E21797">
        <w:rPr>
          <w:sz w:val="20"/>
          <w:szCs w:val="20"/>
          <w:lang w:val="es-MX"/>
        </w:rPr>
        <w:t>E</w:t>
      </w:r>
      <w:r w:rsidR="00D07474" w:rsidRPr="00E21797">
        <w:rPr>
          <w:sz w:val="20"/>
          <w:szCs w:val="20"/>
          <w:lang w:val="es-MX"/>
        </w:rPr>
        <w:t>n su informe del 22 de abril de 1999</w:t>
      </w:r>
      <w:r w:rsidR="00FC660B">
        <w:rPr>
          <w:sz w:val="20"/>
          <w:szCs w:val="20"/>
          <w:lang w:val="es-MX"/>
        </w:rPr>
        <w:t>, habiendo tomado en cuenta toda la información recabada hasta ese momento,</w:t>
      </w:r>
      <w:r w:rsidR="00D07474" w:rsidRPr="00E21797">
        <w:rPr>
          <w:sz w:val="20"/>
          <w:szCs w:val="20"/>
          <w:lang w:val="es-MX"/>
        </w:rPr>
        <w:t xml:space="preserve"> la Defensoría del Pueblo</w:t>
      </w:r>
      <w:r w:rsidRPr="00E21797">
        <w:rPr>
          <w:sz w:val="20"/>
          <w:szCs w:val="20"/>
          <w:lang w:val="es-MX"/>
        </w:rPr>
        <w:t xml:space="preserve"> </w:t>
      </w:r>
      <w:r w:rsidR="00636DB5">
        <w:rPr>
          <w:sz w:val="20"/>
          <w:szCs w:val="20"/>
          <w:lang w:val="es-MX"/>
        </w:rPr>
        <w:t xml:space="preserve">concluyó </w:t>
      </w:r>
      <w:r w:rsidRPr="00E21797">
        <w:rPr>
          <w:sz w:val="20"/>
          <w:szCs w:val="20"/>
          <w:lang w:val="es-MX"/>
        </w:rPr>
        <w:t>que</w:t>
      </w:r>
      <w:r w:rsidR="00A1013C" w:rsidRPr="00E21797">
        <w:rPr>
          <w:sz w:val="20"/>
          <w:szCs w:val="20"/>
          <w:lang w:val="es-MX"/>
        </w:rPr>
        <w:t>:</w:t>
      </w:r>
    </w:p>
    <w:p w:rsidR="00D07474" w:rsidRPr="00E21797" w:rsidRDefault="00D07474" w:rsidP="00D07474">
      <w:pPr>
        <w:pStyle w:val="MediumGrid1-Accent21"/>
        <w:rPr>
          <w:sz w:val="20"/>
          <w:szCs w:val="20"/>
          <w:lang w:val="es-MX"/>
        </w:rPr>
      </w:pPr>
    </w:p>
    <w:p w:rsidR="00D07474" w:rsidRPr="00E21797" w:rsidRDefault="00D07474" w:rsidP="00D07474">
      <w:pPr>
        <w:ind w:left="720" w:right="720"/>
        <w:jc w:val="both"/>
        <w:rPr>
          <w:rFonts w:ascii="Cambria" w:hAnsi="Cambria"/>
          <w:sz w:val="20"/>
          <w:szCs w:val="20"/>
          <w:lang w:val="es-MX"/>
        </w:rPr>
      </w:pPr>
      <w:r w:rsidRPr="00E21797">
        <w:rPr>
          <w:rFonts w:ascii="Cambria" w:hAnsi="Cambria"/>
          <w:sz w:val="20"/>
          <w:szCs w:val="20"/>
          <w:lang w:val="es-MX"/>
        </w:rPr>
        <w:t>De las inve</w:t>
      </w:r>
      <w:r w:rsidR="00A1013C" w:rsidRPr="00E21797">
        <w:rPr>
          <w:rFonts w:ascii="Cambria" w:hAnsi="Cambria"/>
          <w:sz w:val="20"/>
          <w:szCs w:val="20"/>
          <w:lang w:val="es-MX"/>
        </w:rPr>
        <w:t xml:space="preserve">stigaciones practicadas </w:t>
      </w:r>
      <w:r w:rsidRPr="00E21797">
        <w:rPr>
          <w:rFonts w:ascii="Cambria" w:hAnsi="Cambria"/>
          <w:sz w:val="20"/>
          <w:szCs w:val="20"/>
          <w:lang w:val="es-MX"/>
        </w:rPr>
        <w:t>ha quedado demostr</w:t>
      </w:r>
      <w:r w:rsidR="00A1013C" w:rsidRPr="00E21797">
        <w:rPr>
          <w:rFonts w:ascii="Cambria" w:hAnsi="Cambria"/>
          <w:sz w:val="20"/>
          <w:szCs w:val="20"/>
          <w:lang w:val="es-MX"/>
        </w:rPr>
        <w:t>ado que el ciudadano Walter Muná</w:t>
      </w:r>
      <w:r w:rsidRPr="00E21797">
        <w:rPr>
          <w:rFonts w:ascii="Cambria" w:hAnsi="Cambria"/>
          <w:sz w:val="20"/>
          <w:szCs w:val="20"/>
          <w:lang w:val="es-MX"/>
        </w:rPr>
        <w:t>rriz Escobar fue detenido arbitrariamente en la Comisaría PNP de Lircay-Angaraes, el día 20/03/99; detención que no fue registrada en los libros de ocurrencia de calle común ni en el Registro de detenidos de dicha dependencia policial</w:t>
      </w:r>
      <w:r w:rsidR="00CA7938" w:rsidRPr="00E21797">
        <w:rPr>
          <w:rFonts w:ascii="Cambria" w:hAnsi="Cambria"/>
          <w:sz w:val="20"/>
          <w:szCs w:val="20"/>
          <w:lang w:val="es-MX"/>
        </w:rPr>
        <w:t>.</w:t>
      </w:r>
    </w:p>
    <w:p w:rsidR="00D07474" w:rsidRPr="00E21797" w:rsidRDefault="00D07474" w:rsidP="00D07474">
      <w:pPr>
        <w:ind w:left="720" w:right="720"/>
        <w:jc w:val="both"/>
        <w:rPr>
          <w:rFonts w:ascii="Cambria" w:hAnsi="Cambria"/>
          <w:sz w:val="20"/>
          <w:szCs w:val="20"/>
          <w:lang w:val="es-MX"/>
        </w:rPr>
      </w:pPr>
    </w:p>
    <w:p w:rsidR="00D07474" w:rsidRPr="00E21797" w:rsidRDefault="00D07474" w:rsidP="00D07474">
      <w:pPr>
        <w:ind w:left="720" w:right="720"/>
        <w:jc w:val="both"/>
        <w:rPr>
          <w:rFonts w:ascii="Cambria" w:hAnsi="Cambria"/>
          <w:sz w:val="20"/>
          <w:szCs w:val="20"/>
          <w:lang w:val="es-MX"/>
        </w:rPr>
      </w:pPr>
      <w:r w:rsidRPr="00E21797">
        <w:rPr>
          <w:rFonts w:ascii="Cambria" w:hAnsi="Cambria"/>
          <w:sz w:val="20"/>
          <w:szCs w:val="20"/>
          <w:lang w:val="es-MX"/>
        </w:rPr>
        <w:t>Durante su detención fue sometido a maltratos físicos y verbales por personal policial, estando identificados hasta el momento el Alf. PNP Claudio Gutiérrez Velásquez y los SO2 PNP G</w:t>
      </w:r>
      <w:r w:rsidR="00565B1E" w:rsidRPr="00E21797">
        <w:rPr>
          <w:rFonts w:ascii="Cambria" w:hAnsi="Cambria"/>
          <w:sz w:val="20"/>
          <w:szCs w:val="20"/>
          <w:lang w:val="es-MX"/>
        </w:rPr>
        <w:t>unther Cuaresma Ramos y Adolfo Á</w:t>
      </w:r>
      <w:r w:rsidRPr="00E21797">
        <w:rPr>
          <w:rFonts w:ascii="Cambria" w:hAnsi="Cambria"/>
          <w:sz w:val="20"/>
          <w:szCs w:val="20"/>
          <w:lang w:val="es-MX"/>
        </w:rPr>
        <w:t xml:space="preserve">ngeles Ramos. </w:t>
      </w:r>
    </w:p>
    <w:p w:rsidR="00D07474" w:rsidRPr="00E21797" w:rsidRDefault="00D07474" w:rsidP="00D07474">
      <w:pPr>
        <w:ind w:left="720" w:right="720"/>
        <w:jc w:val="both"/>
        <w:rPr>
          <w:rFonts w:ascii="Cambria" w:hAnsi="Cambria"/>
          <w:sz w:val="20"/>
          <w:szCs w:val="20"/>
          <w:lang w:val="es-MX"/>
        </w:rPr>
      </w:pPr>
    </w:p>
    <w:p w:rsidR="00D07474" w:rsidRPr="00E21797" w:rsidRDefault="00D07474" w:rsidP="00D07474">
      <w:pPr>
        <w:ind w:left="720" w:right="720"/>
        <w:jc w:val="both"/>
        <w:rPr>
          <w:rFonts w:ascii="Cambria" w:hAnsi="Cambria"/>
          <w:sz w:val="20"/>
          <w:szCs w:val="20"/>
          <w:lang w:val="es-MX"/>
        </w:rPr>
      </w:pPr>
      <w:r w:rsidRPr="00E21797">
        <w:rPr>
          <w:rFonts w:ascii="Cambria" w:hAnsi="Cambria"/>
          <w:sz w:val="20"/>
          <w:szCs w:val="20"/>
          <w:lang w:val="es-MX"/>
        </w:rPr>
        <w:t>No está acr</w:t>
      </w:r>
      <w:r w:rsidR="00565B1E" w:rsidRPr="00E21797">
        <w:rPr>
          <w:rFonts w:ascii="Cambria" w:hAnsi="Cambria"/>
          <w:sz w:val="20"/>
          <w:szCs w:val="20"/>
          <w:lang w:val="es-MX"/>
        </w:rPr>
        <w:t>editado que el joven Walter Muná</w:t>
      </w:r>
      <w:r w:rsidRPr="00E21797">
        <w:rPr>
          <w:rFonts w:ascii="Cambria" w:hAnsi="Cambria"/>
          <w:sz w:val="20"/>
          <w:szCs w:val="20"/>
          <w:lang w:val="es-MX"/>
        </w:rPr>
        <w:t>rriz Escobar, luego de haber sido detenido haya sido puesto en libertad</w:t>
      </w:r>
      <w:r w:rsidRPr="00E21797">
        <w:rPr>
          <w:rStyle w:val="FootnoteReference"/>
          <w:rFonts w:ascii="Cambria" w:hAnsi="Cambria"/>
          <w:sz w:val="20"/>
          <w:szCs w:val="20"/>
          <w:lang w:val="es-MX"/>
        </w:rPr>
        <w:footnoteReference w:id="60"/>
      </w:r>
      <w:r w:rsidR="001F1E00" w:rsidRPr="00E21797">
        <w:rPr>
          <w:rFonts w:ascii="Cambria" w:hAnsi="Cambria"/>
          <w:sz w:val="20"/>
          <w:szCs w:val="20"/>
          <w:lang w:val="es-MX"/>
        </w:rPr>
        <w:t>.</w:t>
      </w:r>
    </w:p>
    <w:p w:rsidR="00565B1E" w:rsidRPr="00E21797" w:rsidRDefault="00565B1E" w:rsidP="007410B5">
      <w:pPr>
        <w:pStyle w:val="MediumGrid1-Accent21"/>
        <w:jc w:val="both"/>
        <w:rPr>
          <w:sz w:val="20"/>
          <w:szCs w:val="20"/>
          <w:lang w:val="es-MX"/>
        </w:rPr>
      </w:pPr>
    </w:p>
    <w:p w:rsidR="00565B1E" w:rsidRPr="00652A12" w:rsidRDefault="007B00FA" w:rsidP="007C345F">
      <w:pPr>
        <w:pStyle w:val="MediumGrid1-Accent21"/>
        <w:numPr>
          <w:ilvl w:val="0"/>
          <w:numId w:val="65"/>
        </w:numPr>
        <w:ind w:left="0" w:firstLine="810"/>
        <w:jc w:val="both"/>
        <w:rPr>
          <w:sz w:val="20"/>
          <w:szCs w:val="20"/>
          <w:lang w:val="es-MX"/>
        </w:rPr>
      </w:pPr>
      <w:r>
        <w:rPr>
          <w:sz w:val="20"/>
          <w:szCs w:val="20"/>
          <w:lang w:val="es-MX"/>
        </w:rPr>
        <w:t xml:space="preserve">Asimismo, en </w:t>
      </w:r>
      <w:r w:rsidR="007C1F46">
        <w:rPr>
          <w:sz w:val="20"/>
          <w:szCs w:val="20"/>
          <w:lang w:val="es-MX"/>
        </w:rPr>
        <w:t xml:space="preserve">su </w:t>
      </w:r>
      <w:r w:rsidR="00565B1E" w:rsidRPr="00E21797">
        <w:rPr>
          <w:sz w:val="20"/>
          <w:szCs w:val="20"/>
          <w:lang w:val="es-MX"/>
        </w:rPr>
        <w:t>informe del 8 de octubre de 1999</w:t>
      </w:r>
      <w:r w:rsidR="00D157A0" w:rsidRPr="00E21797">
        <w:rPr>
          <w:sz w:val="20"/>
          <w:szCs w:val="20"/>
          <w:lang w:val="es-MX"/>
        </w:rPr>
        <w:t>,</w:t>
      </w:r>
      <w:r w:rsidR="00565B1E" w:rsidRPr="00E21797">
        <w:rPr>
          <w:sz w:val="20"/>
          <w:szCs w:val="20"/>
          <w:lang w:val="es-MX"/>
        </w:rPr>
        <w:t xml:space="preserve"> </w:t>
      </w:r>
      <w:r w:rsidR="00D157A0" w:rsidRPr="00E21797">
        <w:rPr>
          <w:sz w:val="20"/>
          <w:szCs w:val="20"/>
          <w:lang w:val="es-MX"/>
        </w:rPr>
        <w:t xml:space="preserve">la Defensoría del Pueblo señaló que “es indudable que como consecuencia de la actuación negligente y parcializada de la </w:t>
      </w:r>
      <w:r w:rsidR="00565B1E" w:rsidRPr="00E21797">
        <w:rPr>
          <w:sz w:val="20"/>
          <w:szCs w:val="20"/>
          <w:lang w:val="es-MX"/>
        </w:rPr>
        <w:t xml:space="preserve">Ex Fiscal Provincial de Angaraes </w:t>
      </w:r>
      <w:r w:rsidR="00D157A0" w:rsidRPr="00E21797">
        <w:rPr>
          <w:sz w:val="20"/>
          <w:szCs w:val="20"/>
          <w:lang w:val="es-MX"/>
        </w:rPr>
        <w:t xml:space="preserve">[…], </w:t>
      </w:r>
      <w:r w:rsidR="00565B1E" w:rsidRPr="00E21797">
        <w:rPr>
          <w:sz w:val="20"/>
          <w:szCs w:val="20"/>
          <w:lang w:val="es-MX"/>
        </w:rPr>
        <w:t>los encausados han tenido acceso a las investigaciones prejurisdiccionales</w:t>
      </w:r>
      <w:r w:rsidR="00D157A0" w:rsidRPr="00E21797">
        <w:rPr>
          <w:sz w:val="20"/>
          <w:szCs w:val="20"/>
          <w:lang w:val="es-MX"/>
        </w:rPr>
        <w:t>, al recepcionarse las manifestaciones iniciales en la Jefatura Provincial PNP de Angaraes, motivo por el cual al prestar s</w:t>
      </w:r>
      <w:r w:rsidR="00565B1E" w:rsidRPr="00E21797">
        <w:rPr>
          <w:sz w:val="20"/>
          <w:szCs w:val="20"/>
          <w:lang w:val="es-MX"/>
        </w:rPr>
        <w:t>us instructivas</w:t>
      </w:r>
      <w:r w:rsidR="00D157A0" w:rsidRPr="00E21797">
        <w:rPr>
          <w:sz w:val="20"/>
          <w:szCs w:val="20"/>
          <w:lang w:val="es-MX"/>
        </w:rPr>
        <w:t xml:space="preserve">, tratan de </w:t>
      </w:r>
      <w:r w:rsidR="00565B1E" w:rsidRPr="00E21797">
        <w:rPr>
          <w:sz w:val="20"/>
          <w:szCs w:val="20"/>
          <w:lang w:val="es-MX"/>
        </w:rPr>
        <w:t>desvirtuar uniformemente los cargos formulados en su contra</w:t>
      </w:r>
      <w:r w:rsidR="001F1E00" w:rsidRPr="00E21797">
        <w:rPr>
          <w:sz w:val="20"/>
          <w:szCs w:val="20"/>
          <w:lang w:val="es-MX"/>
        </w:rPr>
        <w:t xml:space="preserve"> [</w:t>
      </w:r>
      <w:r w:rsidR="00D157A0" w:rsidRPr="00E21797">
        <w:rPr>
          <w:sz w:val="20"/>
          <w:szCs w:val="20"/>
          <w:lang w:val="es-MX"/>
        </w:rPr>
        <w:t>…</w:t>
      </w:r>
      <w:r w:rsidR="001F1E00" w:rsidRPr="00E21797">
        <w:rPr>
          <w:sz w:val="20"/>
          <w:szCs w:val="20"/>
          <w:lang w:val="es-MX"/>
        </w:rPr>
        <w:t>]</w:t>
      </w:r>
      <w:r w:rsidR="00146017" w:rsidRPr="00E21797">
        <w:rPr>
          <w:sz w:val="20"/>
          <w:szCs w:val="20"/>
          <w:lang w:val="es-MX"/>
        </w:rPr>
        <w:t>”</w:t>
      </w:r>
      <w:r w:rsidR="00D157A0" w:rsidRPr="00E21797">
        <w:rPr>
          <w:rStyle w:val="FootnoteReference"/>
          <w:sz w:val="20"/>
          <w:szCs w:val="20"/>
          <w:lang w:val="es-MX"/>
        </w:rPr>
        <w:footnoteReference w:id="61"/>
      </w:r>
      <w:r w:rsidR="00565B1E" w:rsidRPr="00E21797">
        <w:rPr>
          <w:sz w:val="20"/>
          <w:szCs w:val="20"/>
          <w:lang w:val="es-MX"/>
        </w:rPr>
        <w:t xml:space="preserve">. </w:t>
      </w:r>
      <w:r w:rsidR="0075330E">
        <w:rPr>
          <w:sz w:val="20"/>
          <w:szCs w:val="20"/>
          <w:lang w:val="es-MX"/>
        </w:rPr>
        <w:t xml:space="preserve"> El informe concluye que “hasta el momento no se ha acreditado fehacientemente la responsabilidad de los policías involucrados en el referido proceso, existiendo cierta letanía en las investigaciones jurisdiccionales. No habiéndose </w:t>
      </w:r>
      <w:r w:rsidR="0075330E" w:rsidRPr="00652A12">
        <w:rPr>
          <w:sz w:val="20"/>
          <w:szCs w:val="20"/>
          <w:lang w:val="es-MX"/>
        </w:rPr>
        <w:t>actuado pruebas fundamentales que pueden orientar el rumbo del proceso […]”</w:t>
      </w:r>
      <w:r w:rsidR="0075330E" w:rsidRPr="00652A12">
        <w:rPr>
          <w:rStyle w:val="FootnoteReference"/>
          <w:sz w:val="20"/>
          <w:szCs w:val="20"/>
          <w:lang w:val="es-MX"/>
        </w:rPr>
        <w:footnoteReference w:id="62"/>
      </w:r>
      <w:r w:rsidR="0075330E" w:rsidRPr="00652A12">
        <w:rPr>
          <w:sz w:val="20"/>
          <w:szCs w:val="20"/>
          <w:lang w:val="es-MX"/>
        </w:rPr>
        <w:t>.</w:t>
      </w:r>
    </w:p>
    <w:p w:rsidR="007B00FA" w:rsidRPr="00652A12" w:rsidRDefault="007B00FA" w:rsidP="007B00FA">
      <w:pPr>
        <w:pStyle w:val="MediumGrid1-Accent21"/>
        <w:jc w:val="both"/>
        <w:rPr>
          <w:sz w:val="20"/>
          <w:szCs w:val="20"/>
          <w:lang w:val="es-MX"/>
        </w:rPr>
      </w:pPr>
    </w:p>
    <w:p w:rsidR="000B781C" w:rsidRDefault="00AD0F2B" w:rsidP="007C345F">
      <w:pPr>
        <w:pStyle w:val="MediumGrid1-Accent21"/>
        <w:numPr>
          <w:ilvl w:val="0"/>
          <w:numId w:val="65"/>
        </w:numPr>
        <w:ind w:left="0" w:firstLine="810"/>
        <w:jc w:val="both"/>
        <w:rPr>
          <w:sz w:val="20"/>
          <w:szCs w:val="20"/>
          <w:lang w:val="es-AR"/>
        </w:rPr>
      </w:pPr>
      <w:r w:rsidRPr="00652A12">
        <w:rPr>
          <w:sz w:val="20"/>
          <w:szCs w:val="20"/>
          <w:lang w:val="es-MX"/>
        </w:rPr>
        <w:t xml:space="preserve">Respecto a </w:t>
      </w:r>
      <w:r w:rsidR="005E7B09" w:rsidRPr="00652A12">
        <w:rPr>
          <w:sz w:val="20"/>
          <w:szCs w:val="20"/>
          <w:lang w:val="es-MX"/>
        </w:rPr>
        <w:t>las</w:t>
      </w:r>
      <w:r w:rsidRPr="00652A12">
        <w:rPr>
          <w:sz w:val="20"/>
          <w:szCs w:val="20"/>
          <w:lang w:val="es-MX"/>
        </w:rPr>
        <w:t xml:space="preserve"> pruebas </w:t>
      </w:r>
      <w:r w:rsidR="005E7B09" w:rsidRPr="00652A12">
        <w:rPr>
          <w:sz w:val="20"/>
          <w:szCs w:val="20"/>
          <w:lang w:val="es-MX"/>
        </w:rPr>
        <w:t xml:space="preserve">fundamentales </w:t>
      </w:r>
      <w:r w:rsidRPr="00652A12">
        <w:rPr>
          <w:sz w:val="20"/>
          <w:szCs w:val="20"/>
          <w:lang w:val="es-MX"/>
        </w:rPr>
        <w:t xml:space="preserve">no realizadas, </w:t>
      </w:r>
      <w:r w:rsidR="008F0165" w:rsidRPr="00652A12">
        <w:rPr>
          <w:sz w:val="20"/>
          <w:szCs w:val="20"/>
          <w:lang w:val="es-MX"/>
        </w:rPr>
        <w:t xml:space="preserve">la Defensoría </w:t>
      </w:r>
      <w:r w:rsidRPr="00652A12">
        <w:rPr>
          <w:sz w:val="20"/>
          <w:szCs w:val="20"/>
          <w:lang w:val="es-MX"/>
        </w:rPr>
        <w:t>e</w:t>
      </w:r>
      <w:r w:rsidR="001039C9" w:rsidRPr="00652A12">
        <w:rPr>
          <w:sz w:val="20"/>
          <w:szCs w:val="20"/>
          <w:lang w:val="es-AR"/>
        </w:rPr>
        <w:t>n su informe del 31 de marzo de 1999, ref</w:t>
      </w:r>
      <w:r w:rsidR="005E7B09" w:rsidRPr="00652A12">
        <w:rPr>
          <w:sz w:val="20"/>
          <w:szCs w:val="20"/>
          <w:lang w:val="es-AR"/>
        </w:rPr>
        <w:t>irió</w:t>
      </w:r>
      <w:r w:rsidR="008F0165" w:rsidRPr="00652A12">
        <w:rPr>
          <w:sz w:val="20"/>
          <w:szCs w:val="20"/>
          <w:lang w:val="es-AR"/>
        </w:rPr>
        <w:t xml:space="preserve"> </w:t>
      </w:r>
      <w:r w:rsidR="001039C9" w:rsidRPr="00652A12">
        <w:rPr>
          <w:sz w:val="20"/>
          <w:szCs w:val="20"/>
          <w:lang w:val="es-AR"/>
        </w:rPr>
        <w:t xml:space="preserve">haberse entrevistado con la Fiscal Provincial, “a fin de verificar el avance de las </w:t>
      </w:r>
      <w:r w:rsidR="001039C9" w:rsidRPr="00652A12">
        <w:rPr>
          <w:sz w:val="20"/>
          <w:szCs w:val="20"/>
          <w:lang w:val="es-AR"/>
        </w:rPr>
        <w:lastRenderedPageBreak/>
        <w:t>investigaciones prejurisdiccionales sobre los hechos, apreciándose que después de recepcionar las manifestaciones de los efectivos policiales implicados, no ha practicado más diligencias”</w:t>
      </w:r>
      <w:r w:rsidR="001039C9" w:rsidRPr="00652A12">
        <w:rPr>
          <w:rStyle w:val="FootnoteReference"/>
          <w:sz w:val="20"/>
          <w:szCs w:val="20"/>
          <w:lang w:val="es-AR"/>
        </w:rPr>
        <w:footnoteReference w:id="63"/>
      </w:r>
      <w:r w:rsidR="001039C9" w:rsidRPr="00652A12">
        <w:rPr>
          <w:sz w:val="20"/>
          <w:szCs w:val="20"/>
          <w:lang w:val="es-AR"/>
        </w:rPr>
        <w:t xml:space="preserve">. En </w:t>
      </w:r>
      <w:r w:rsidR="008F0165" w:rsidRPr="00652A12">
        <w:rPr>
          <w:sz w:val="20"/>
          <w:szCs w:val="20"/>
          <w:lang w:val="es-AR"/>
        </w:rPr>
        <w:t xml:space="preserve">su </w:t>
      </w:r>
      <w:r w:rsidRPr="00652A12">
        <w:rPr>
          <w:sz w:val="20"/>
          <w:szCs w:val="20"/>
          <w:lang w:val="es-AR"/>
        </w:rPr>
        <w:t>informe del 8 de octubre de 1999, la Defensoría del Pueblo se refiere a</w:t>
      </w:r>
      <w:r w:rsidR="00082318" w:rsidRPr="00652A12">
        <w:rPr>
          <w:sz w:val="20"/>
          <w:szCs w:val="20"/>
          <w:lang w:val="es-AR"/>
        </w:rPr>
        <w:t xml:space="preserve"> pruebas que la Fiscalía no había llevado a cabo:</w:t>
      </w:r>
      <w:r w:rsidRPr="00652A12">
        <w:rPr>
          <w:sz w:val="20"/>
          <w:szCs w:val="20"/>
          <w:lang w:val="es-AR"/>
        </w:rPr>
        <w:t xml:space="preserve"> “las testimoniales de Raúl Donayres Huamán (quien también se encontraba recluido en la Jefatura PNP de Angaraes la madrugada del 20/03/99), de Maura Romero de Raez, Diligencias de Reconstrucción: a) para corroborar las aseveraciones de Marcos Sierra Tueros, b) respecto al trayecto que recorrió el vehículo policial la madrugada del 20/03/9 [sic]; Pericia Mecánica que determine el estado del vehículo Policial AVIR; Inspecciones Judiciales en los Campamentos Mineros de Julcani, Ccochaccasa y Recuperada; las Testimoniales de: SO1 PNP Jorge Carey Romero, SO1 PNP Hugo Quispe Natividad, SO1 PNP José Paco Nolazco, efectivos policiales que prestaban servicios en la Mina Recuperada</w:t>
      </w:r>
      <w:r w:rsidR="00CB66E3" w:rsidRPr="00652A12">
        <w:rPr>
          <w:sz w:val="20"/>
          <w:szCs w:val="20"/>
          <w:lang w:val="es-AR"/>
        </w:rPr>
        <w:t>”</w:t>
      </w:r>
      <w:r w:rsidR="00CB66E3" w:rsidRPr="00652A12">
        <w:rPr>
          <w:rStyle w:val="FootnoteReference"/>
          <w:sz w:val="20"/>
          <w:szCs w:val="20"/>
          <w:lang w:val="es-AR"/>
        </w:rPr>
        <w:footnoteReference w:id="64"/>
      </w:r>
      <w:r w:rsidR="00CB66E3" w:rsidRPr="00652A12">
        <w:rPr>
          <w:sz w:val="20"/>
          <w:szCs w:val="20"/>
          <w:lang w:val="es-AR"/>
        </w:rPr>
        <w:t>.</w:t>
      </w:r>
    </w:p>
    <w:p w:rsidR="000B781C" w:rsidRDefault="000B781C" w:rsidP="000B781C">
      <w:pPr>
        <w:pStyle w:val="MediumGrid1-Accent21"/>
        <w:ind w:left="810"/>
        <w:jc w:val="both"/>
        <w:rPr>
          <w:sz w:val="20"/>
          <w:szCs w:val="20"/>
          <w:lang w:val="es-AR"/>
        </w:rPr>
      </w:pPr>
    </w:p>
    <w:p w:rsidR="000B1B8C" w:rsidRPr="00A74DFD" w:rsidRDefault="00EB12ED" w:rsidP="007C345F">
      <w:pPr>
        <w:pStyle w:val="MediumGrid1-Accent21"/>
        <w:numPr>
          <w:ilvl w:val="0"/>
          <w:numId w:val="65"/>
        </w:numPr>
        <w:ind w:left="0" w:firstLine="810"/>
        <w:jc w:val="both"/>
        <w:rPr>
          <w:sz w:val="20"/>
          <w:szCs w:val="20"/>
          <w:lang w:val="es-AR"/>
        </w:rPr>
      </w:pPr>
      <w:r w:rsidRPr="000B781C">
        <w:rPr>
          <w:sz w:val="20"/>
          <w:szCs w:val="20"/>
          <w:lang w:val="es-MX"/>
        </w:rPr>
        <w:t>Según relato de los peticionarios, l</w:t>
      </w:r>
      <w:r w:rsidR="007B00FA" w:rsidRPr="000B781C">
        <w:rPr>
          <w:sz w:val="20"/>
          <w:szCs w:val="20"/>
          <w:lang w:val="es-MX"/>
        </w:rPr>
        <w:t xml:space="preserve">a información y pruebas obtenidas por la Defensoría del Pueblo, fueron puestas a consideración del Ministerio Público, dentro de la investigación seguida por la desaparición de Walter Munárriz Escobar. </w:t>
      </w:r>
      <w:r w:rsidR="000F7BC7" w:rsidRPr="000B781C">
        <w:rPr>
          <w:sz w:val="20"/>
          <w:szCs w:val="20"/>
          <w:lang w:val="es-MX"/>
        </w:rPr>
        <w:t xml:space="preserve"> </w:t>
      </w:r>
      <w:r w:rsidRPr="000B781C">
        <w:rPr>
          <w:sz w:val="20"/>
          <w:szCs w:val="20"/>
          <w:lang w:val="es-MX"/>
        </w:rPr>
        <w:t>En ese sentido, u</w:t>
      </w:r>
      <w:r w:rsidR="000F7BC7" w:rsidRPr="000B781C">
        <w:rPr>
          <w:sz w:val="20"/>
          <w:szCs w:val="20"/>
          <w:lang w:val="es-MX"/>
        </w:rPr>
        <w:t>na de las recomendaciones del informe del 8 de octubre de 1999, fue precisamente mantener “contacto permanente, con los magistrados que actualmente investigan los hechos, a fin de coadyuvar en el esclarecimiento de los hechos”</w:t>
      </w:r>
      <w:r w:rsidR="000F7BC7" w:rsidRPr="00EB12ED">
        <w:rPr>
          <w:rStyle w:val="FootnoteReference"/>
          <w:sz w:val="20"/>
          <w:szCs w:val="20"/>
          <w:lang w:val="es-MX"/>
        </w:rPr>
        <w:footnoteReference w:id="65"/>
      </w:r>
      <w:r w:rsidR="005D3DE8" w:rsidRPr="000B781C">
        <w:rPr>
          <w:sz w:val="20"/>
          <w:szCs w:val="20"/>
          <w:lang w:val="es-MX"/>
        </w:rPr>
        <w:t>.</w:t>
      </w:r>
    </w:p>
    <w:p w:rsidR="00A74DFD" w:rsidRDefault="00A74DFD" w:rsidP="00A74DFD">
      <w:pPr>
        <w:pStyle w:val="MediumGrid1-Accent21"/>
        <w:jc w:val="both"/>
        <w:rPr>
          <w:sz w:val="20"/>
          <w:szCs w:val="20"/>
          <w:lang w:val="es-AR"/>
        </w:rPr>
      </w:pPr>
    </w:p>
    <w:p w:rsidR="00656B80" w:rsidRPr="00656B80" w:rsidRDefault="00656B80" w:rsidP="00656B80">
      <w:pPr>
        <w:numPr>
          <w:ilvl w:val="0"/>
          <w:numId w:val="53"/>
        </w:numPr>
        <w:tabs>
          <w:tab w:val="num" w:pos="360"/>
        </w:tabs>
        <w:ind w:left="1440" w:hanging="720"/>
        <w:jc w:val="both"/>
        <w:outlineLvl w:val="0"/>
        <w:rPr>
          <w:rFonts w:ascii="Cambria" w:eastAsia="Times New Roman" w:hAnsi="Cambria"/>
          <w:b/>
          <w:bCs/>
          <w:color w:val="365F91"/>
          <w:sz w:val="20"/>
          <w:szCs w:val="20"/>
          <w:lang w:val="es-ES"/>
        </w:rPr>
      </w:pPr>
      <w:bookmarkStart w:id="18" w:name="_Toc467948057"/>
      <w:r w:rsidRPr="00656B80">
        <w:rPr>
          <w:rFonts w:ascii="Cambria" w:eastAsia="Times New Roman" w:hAnsi="Cambria"/>
          <w:b/>
          <w:bCs/>
          <w:color w:val="365F91"/>
          <w:sz w:val="20"/>
          <w:szCs w:val="20"/>
          <w:lang w:val="es-ES"/>
        </w:rPr>
        <w:t>ANÁLISIS DE DERECHO</w:t>
      </w:r>
      <w:bookmarkEnd w:id="18"/>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outlineLvl w:val="1"/>
        <w:rPr>
          <w:rFonts w:ascii="Cambria" w:eastAsia="Times New Roman" w:hAnsi="Cambria" w:cs="Arial"/>
          <w:b/>
          <w:bCs/>
          <w:iCs/>
          <w:sz w:val="20"/>
          <w:szCs w:val="20"/>
          <w:bdr w:val="none" w:sz="0" w:space="0" w:color="auto"/>
          <w:lang w:val="es-MX"/>
        </w:rPr>
      </w:pPr>
    </w:p>
    <w:p w:rsidR="00656B80" w:rsidRPr="00656B80" w:rsidRDefault="00656B80" w:rsidP="007C345F">
      <w:pPr>
        <w:numPr>
          <w:ilvl w:val="0"/>
          <w:numId w:val="67"/>
        </w:numPr>
        <w:ind w:left="0" w:firstLine="810"/>
        <w:jc w:val="both"/>
        <w:rPr>
          <w:rFonts w:ascii="Cambria" w:hAnsi="Cambria"/>
          <w:sz w:val="20"/>
          <w:szCs w:val="20"/>
          <w:lang w:val="es-ES"/>
        </w:rPr>
      </w:pPr>
      <w:r w:rsidRPr="00656B80">
        <w:rPr>
          <w:rFonts w:ascii="Cambria" w:hAnsi="Cambria"/>
          <w:sz w:val="20"/>
          <w:szCs w:val="20"/>
          <w:lang w:val="es-ES"/>
        </w:rPr>
        <w:t>Tomando en cuenta las posiciones de las partes y los hechos probados, la Comisión efectuará su análisis de fondo en dos</w:t>
      </w:r>
      <w:r w:rsidR="00D94784">
        <w:rPr>
          <w:rFonts w:ascii="Cambria" w:hAnsi="Cambria"/>
          <w:sz w:val="20"/>
          <w:szCs w:val="20"/>
          <w:lang w:val="es-ES"/>
        </w:rPr>
        <w:t xml:space="preserve"> partes</w:t>
      </w:r>
      <w:r w:rsidRPr="00656B80">
        <w:rPr>
          <w:rFonts w:ascii="Cambria" w:hAnsi="Cambria"/>
          <w:sz w:val="20"/>
          <w:szCs w:val="20"/>
          <w:lang w:val="es-ES"/>
        </w:rPr>
        <w:t>. En primer lugar, la CIDH analizará la información disponible sobre la alegada desaparición forzada a la luz de la Convención Americana</w:t>
      </w:r>
      <w:r w:rsidR="003B3EB4">
        <w:rPr>
          <w:rFonts w:ascii="Cambria" w:hAnsi="Cambria"/>
          <w:sz w:val="20"/>
          <w:szCs w:val="20"/>
          <w:lang w:val="es-ES"/>
        </w:rPr>
        <w:t xml:space="preserve">, </w:t>
      </w:r>
      <w:r w:rsidRPr="00656B80">
        <w:rPr>
          <w:rFonts w:ascii="Cambria" w:hAnsi="Cambria"/>
          <w:sz w:val="20"/>
          <w:szCs w:val="20"/>
          <w:lang w:val="es-ES"/>
        </w:rPr>
        <w:t>la CIDFP</w:t>
      </w:r>
      <w:r w:rsidR="003B3EB4">
        <w:rPr>
          <w:rFonts w:ascii="Cambria" w:hAnsi="Cambria"/>
          <w:sz w:val="20"/>
          <w:szCs w:val="20"/>
          <w:lang w:val="es-ES"/>
        </w:rPr>
        <w:t xml:space="preserve"> y la CIPST</w:t>
      </w:r>
      <w:r w:rsidRPr="00656B80">
        <w:rPr>
          <w:rFonts w:ascii="Cambria" w:hAnsi="Cambria"/>
          <w:sz w:val="20"/>
          <w:szCs w:val="20"/>
          <w:lang w:val="es-ES"/>
        </w:rPr>
        <w:t xml:space="preserve">. En segundo lugar, la CIDH analizarán las investigaciones y procesos iniciados a nivel interno con ocasión a tales hechos a la luz de los mismos instrumentos internacionales. </w:t>
      </w:r>
    </w:p>
    <w:p w:rsidR="00656B80" w:rsidRPr="00656B80" w:rsidRDefault="00656B80" w:rsidP="00656B80">
      <w:pPr>
        <w:ind w:left="720"/>
        <w:jc w:val="both"/>
        <w:rPr>
          <w:rFonts w:ascii="Cambria" w:eastAsia="Times New Roman" w:hAnsi="Cambria"/>
          <w:color w:val="000000"/>
          <w:sz w:val="20"/>
          <w:szCs w:val="20"/>
          <w:u w:color="000000"/>
          <w:lang w:val="es-MX" w:eastAsia="es-ES"/>
        </w:rPr>
      </w:pPr>
    </w:p>
    <w:p w:rsidR="00656B80" w:rsidRPr="00FD72F8" w:rsidRDefault="00656B80" w:rsidP="00FD5827">
      <w:pPr>
        <w:pStyle w:val="Heading2"/>
        <w:numPr>
          <w:ilvl w:val="0"/>
          <w:numId w:val="70"/>
        </w:numPr>
      </w:pPr>
      <w:bookmarkStart w:id="19" w:name="_Toc467948058"/>
      <w:r w:rsidRPr="00FD72F8">
        <w:t>Derechos al reconocimiento de la personalidad jurídica, a la libertad personal, a la integridad personal y a la vida (Artículos 3.1, 7.1, 7.2, 7.3, 7.4, 7.5, 5.1, 5.2 y 4.1, en relación con el 1.1 de la Convención Americana); obligación prevista en el artículo I. a) de la Convención Interamericana sobre Desaparición Forzada de Personas y en los artículos 1 y 6 de la Convención Interamericana para Prevenir y Sancionar la Tortura</w:t>
      </w:r>
      <w:bookmarkEnd w:id="19"/>
    </w:p>
    <w:p w:rsidR="00656B80" w:rsidRPr="00656B80" w:rsidRDefault="00656B80" w:rsidP="00656B80">
      <w:pPr>
        <w:ind w:left="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La Comisión analizará en esta sección si lo sucedido a Walter Munárriz Escobar constituye una desaparición forzada y, por lo tanto, si se configuró una violación de los derechos al reconocimiento de la personalidad jurídica, a la vida, a la integridad personal y a la libertad personal en su perjuicio, en relación con la obligación de respeto en cabeza del Estado</w:t>
      </w:r>
      <w:r w:rsidRPr="00656B80">
        <w:rPr>
          <w:rFonts w:ascii="Cambria" w:eastAsia="Times New Roman" w:hAnsi="Cambria" w:cs="Arial"/>
          <w:color w:val="000000"/>
          <w:sz w:val="20"/>
          <w:szCs w:val="20"/>
          <w:u w:color="000000"/>
          <w:lang w:val="es-ES" w:eastAsia="es-ES"/>
        </w:rPr>
        <w:t>.</w:t>
      </w:r>
    </w:p>
    <w:p w:rsidR="00656B80" w:rsidRPr="00656B80" w:rsidRDefault="00656B80" w:rsidP="00656B80">
      <w:pPr>
        <w:ind w:left="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El artículo 3 de la Convención Americana establece: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u w:color="000000"/>
          <w:lang w:val="es-ES" w:eastAsia="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Toda persona tiene derecho al reconocimiento de su personalidad jurídica.</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El artículo 4.1 de la Convención estipula: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olor w:val="000000"/>
          <w:sz w:val="20"/>
          <w:szCs w:val="20"/>
          <w:u w:color="000000"/>
          <w:lang w:val="es-ES" w:eastAsia="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Toda persona tiene derecho a que se respete su vida. Este derecho estará protegido por la ley y, en general, a partir del momento de la concepción. Nadie puede ser privado de la vida arbitrariamente.</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El artículo 5 de la Convención establece, en los relevante: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Cambria" w:eastAsia="Times New Roman" w:hAnsi="Cambria"/>
          <w:color w:val="000000"/>
          <w:sz w:val="20"/>
          <w:szCs w:val="20"/>
          <w:u w:color="000000"/>
          <w:lang w:val="es-ES" w:eastAsia="es-ES"/>
        </w:rPr>
      </w:pPr>
    </w:p>
    <w:p w:rsidR="00656B80" w:rsidRPr="00656B80" w:rsidRDefault="00656B80" w:rsidP="004502D1">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lastRenderedPageBreak/>
        <w:t>Toda persona tiene derecho a que se respete su integridad física, psíquica y moral.</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u w:color="000000"/>
          <w:lang w:val="es-ES" w:eastAsia="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2.</w:t>
      </w:r>
      <w:r w:rsidRPr="00656B80">
        <w:rPr>
          <w:rFonts w:ascii="Cambria" w:eastAsia="Times New Roman" w:hAnsi="Cambria"/>
          <w:color w:val="000000"/>
          <w:sz w:val="20"/>
          <w:szCs w:val="20"/>
          <w:u w:color="000000"/>
          <w:lang w:val="es-ES" w:eastAsia="es-ES"/>
        </w:rPr>
        <w:tab/>
        <w:t>Nadie debe ser sometido a torturas ni a penas o tratos crueles, inhumanos o degradantes. Toda persona privada de libertad será tratada con el respeto debido a la dignidad inherente al ser humano.</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El artículo 7 de la Convención establece, en lo relevante:</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olor w:val="000000"/>
          <w:sz w:val="20"/>
          <w:szCs w:val="20"/>
          <w:u w:color="000000"/>
          <w:lang w:val="es-ES" w:eastAsia="es-ES"/>
        </w:rPr>
      </w:pPr>
    </w:p>
    <w:p w:rsidR="00656B80" w:rsidRDefault="00656B80" w:rsidP="007C345F">
      <w:pPr>
        <w:numPr>
          <w:ilvl w:val="0"/>
          <w:numId w:val="68"/>
        </w:numPr>
        <w:tabs>
          <w:tab w:val="left" w:pos="630"/>
        </w:tabs>
        <w:ind w:right="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Toda persona tiene derecho a la libertad y a la seguridad personales.</w:t>
      </w:r>
    </w:p>
    <w:p w:rsidR="00F862AE" w:rsidRPr="00656B80" w:rsidRDefault="00F862AE" w:rsidP="00F862AE">
      <w:pPr>
        <w:tabs>
          <w:tab w:val="left" w:pos="630"/>
        </w:tabs>
        <w:ind w:left="1080" w:right="720"/>
        <w:jc w:val="both"/>
        <w:rPr>
          <w:rFonts w:ascii="Cambria" w:eastAsia="Times New Roman" w:hAnsi="Cambria"/>
          <w:color w:val="000000"/>
          <w:sz w:val="20"/>
          <w:szCs w:val="20"/>
          <w:u w:color="000000"/>
          <w:lang w:val="es-ES" w:eastAsia="es-ES"/>
        </w:rPr>
      </w:pPr>
    </w:p>
    <w:p w:rsidR="00656B80" w:rsidRDefault="00656B80" w:rsidP="007C345F">
      <w:pPr>
        <w:widowControl w:val="0"/>
        <w:numPr>
          <w:ilvl w:val="0"/>
          <w:numId w:val="68"/>
        </w:numPr>
        <w:tabs>
          <w:tab w:val="left" w:pos="630"/>
        </w:tabs>
        <w:autoSpaceDE w:val="0"/>
        <w:autoSpaceDN w:val="0"/>
        <w:adjustRightInd w:val="0"/>
        <w:ind w:left="720" w:right="720" w:firstLine="0"/>
        <w:jc w:val="both"/>
        <w:rPr>
          <w:rFonts w:ascii="Cambria" w:hAnsi="Cambria" w:cs="Verdana"/>
          <w:sz w:val="20"/>
          <w:szCs w:val="20"/>
          <w:lang w:val="es-CO" w:bidi="en-US"/>
        </w:rPr>
      </w:pPr>
      <w:r w:rsidRPr="00656B80">
        <w:rPr>
          <w:rFonts w:ascii="Cambria" w:hAnsi="Cambria" w:cs="Verdana"/>
          <w:sz w:val="20"/>
          <w:szCs w:val="20"/>
          <w:lang w:val="es-CO" w:bidi="en-US"/>
        </w:rPr>
        <w:t>Nadie puede ser privado de su libertad física, salvo por las causas y en las condiciones fijadas de antemano por las Constituciones Políticas de los Estados partes o por las leyes dictadas conforme a ellas.</w:t>
      </w:r>
    </w:p>
    <w:p w:rsidR="00F862AE" w:rsidRPr="00656B80" w:rsidRDefault="00F862AE" w:rsidP="00F862AE">
      <w:pPr>
        <w:widowControl w:val="0"/>
        <w:tabs>
          <w:tab w:val="left" w:pos="630"/>
        </w:tabs>
        <w:autoSpaceDE w:val="0"/>
        <w:autoSpaceDN w:val="0"/>
        <w:adjustRightInd w:val="0"/>
        <w:ind w:left="1080" w:right="720"/>
        <w:jc w:val="both"/>
        <w:rPr>
          <w:rFonts w:ascii="Cambria" w:hAnsi="Cambria" w:cs="Times-Roman"/>
          <w:sz w:val="20"/>
          <w:szCs w:val="20"/>
          <w:lang w:val="es-CO" w:bidi="en-US"/>
        </w:rPr>
      </w:pPr>
    </w:p>
    <w:p w:rsidR="00656B80" w:rsidRDefault="00656B80" w:rsidP="007C345F">
      <w:pPr>
        <w:widowControl w:val="0"/>
        <w:numPr>
          <w:ilvl w:val="0"/>
          <w:numId w:val="68"/>
        </w:numPr>
        <w:tabs>
          <w:tab w:val="left" w:pos="630"/>
        </w:tabs>
        <w:autoSpaceDE w:val="0"/>
        <w:autoSpaceDN w:val="0"/>
        <w:adjustRightInd w:val="0"/>
        <w:ind w:right="720"/>
        <w:jc w:val="both"/>
        <w:rPr>
          <w:rFonts w:ascii="Cambria" w:hAnsi="Cambria" w:cs="Verdana"/>
          <w:sz w:val="20"/>
          <w:szCs w:val="20"/>
          <w:lang w:val="es-CO" w:bidi="en-US"/>
        </w:rPr>
      </w:pPr>
      <w:r w:rsidRPr="00656B80">
        <w:rPr>
          <w:rFonts w:ascii="Cambria" w:hAnsi="Cambria" w:cs="Verdana"/>
          <w:sz w:val="20"/>
          <w:szCs w:val="20"/>
          <w:lang w:val="es-CO" w:bidi="en-US"/>
        </w:rPr>
        <w:t>Nadie puede ser sometido a detención o encarcelamiento arbitrarios.</w:t>
      </w:r>
    </w:p>
    <w:p w:rsidR="00F862AE" w:rsidRPr="00656B80" w:rsidRDefault="00F862AE" w:rsidP="00F862AE">
      <w:pPr>
        <w:widowControl w:val="0"/>
        <w:tabs>
          <w:tab w:val="left" w:pos="630"/>
        </w:tabs>
        <w:autoSpaceDE w:val="0"/>
        <w:autoSpaceDN w:val="0"/>
        <w:adjustRightInd w:val="0"/>
        <w:ind w:left="1080" w:right="720"/>
        <w:jc w:val="both"/>
        <w:rPr>
          <w:rFonts w:ascii="Cambria" w:hAnsi="Cambria" w:cs="Times-Roman"/>
          <w:sz w:val="20"/>
          <w:szCs w:val="20"/>
          <w:lang w:val="es-CO" w:bidi="en-US"/>
        </w:rPr>
      </w:pPr>
    </w:p>
    <w:p w:rsidR="00656B80" w:rsidRDefault="00656B80" w:rsidP="007C345F">
      <w:pPr>
        <w:widowControl w:val="0"/>
        <w:numPr>
          <w:ilvl w:val="0"/>
          <w:numId w:val="68"/>
        </w:numPr>
        <w:tabs>
          <w:tab w:val="left" w:pos="630"/>
        </w:tabs>
        <w:autoSpaceDE w:val="0"/>
        <w:autoSpaceDN w:val="0"/>
        <w:adjustRightInd w:val="0"/>
        <w:ind w:left="720" w:right="720" w:firstLine="0"/>
        <w:jc w:val="both"/>
        <w:rPr>
          <w:rFonts w:ascii="Cambria" w:hAnsi="Cambria" w:cs="Verdana"/>
          <w:sz w:val="20"/>
          <w:szCs w:val="20"/>
          <w:lang w:val="es-CO" w:bidi="en-US"/>
        </w:rPr>
      </w:pPr>
      <w:r w:rsidRPr="00656B80">
        <w:rPr>
          <w:rFonts w:ascii="Cambria" w:hAnsi="Cambria" w:cs="Verdana"/>
          <w:sz w:val="20"/>
          <w:szCs w:val="20"/>
          <w:lang w:val="es-CO" w:bidi="en-US"/>
        </w:rPr>
        <w:t>Toda persona detenida o retenida debe ser informada de las razones de su detención y notificada, sin demora, del cargo o cargos formulados contra ella.</w:t>
      </w:r>
    </w:p>
    <w:p w:rsidR="00F862AE" w:rsidRPr="00656B80" w:rsidRDefault="00F862AE" w:rsidP="00F862AE">
      <w:pPr>
        <w:widowControl w:val="0"/>
        <w:tabs>
          <w:tab w:val="left" w:pos="630"/>
        </w:tabs>
        <w:autoSpaceDE w:val="0"/>
        <w:autoSpaceDN w:val="0"/>
        <w:adjustRightInd w:val="0"/>
        <w:ind w:left="1080" w:right="720"/>
        <w:jc w:val="both"/>
        <w:rPr>
          <w:rFonts w:ascii="Cambria" w:hAnsi="Cambria" w:cs="Times-Roman"/>
          <w:sz w:val="20"/>
          <w:szCs w:val="20"/>
          <w:lang w:val="es-CO" w:bidi="en-US"/>
        </w:rPr>
      </w:pPr>
    </w:p>
    <w:p w:rsidR="00656B80" w:rsidRPr="00656B80" w:rsidRDefault="00656B80" w:rsidP="00F862AE">
      <w:pPr>
        <w:tabs>
          <w:tab w:val="left" w:pos="630"/>
        </w:tabs>
        <w:ind w:left="720" w:right="720"/>
        <w:jc w:val="both"/>
        <w:rPr>
          <w:rFonts w:ascii="Cambria" w:eastAsia="Times New Roman" w:hAnsi="Cambria"/>
          <w:color w:val="000000"/>
          <w:sz w:val="20"/>
          <w:szCs w:val="20"/>
          <w:u w:color="000000"/>
          <w:lang w:val="es-ES" w:eastAsia="es-ES"/>
        </w:rPr>
      </w:pPr>
      <w:r w:rsidRPr="00656B80">
        <w:rPr>
          <w:rFonts w:ascii="Cambria" w:eastAsia="Times New Roman" w:hAnsi="Cambria" w:cs="Verdana"/>
          <w:color w:val="000000"/>
          <w:sz w:val="20"/>
          <w:szCs w:val="20"/>
          <w:u w:color="000000"/>
          <w:lang w:val="es-ES_tradnl" w:eastAsia="es-ES" w:bidi="en-US"/>
        </w:rPr>
        <w:t>5.   </w:t>
      </w:r>
      <w:r w:rsidR="00F862AE">
        <w:rPr>
          <w:rFonts w:ascii="Cambria" w:eastAsia="Times New Roman" w:hAnsi="Cambria" w:cs="Verdana"/>
          <w:color w:val="000000"/>
          <w:sz w:val="20"/>
          <w:szCs w:val="20"/>
          <w:u w:color="000000"/>
          <w:lang w:val="es-ES_tradnl" w:eastAsia="es-ES" w:bidi="en-US"/>
        </w:rPr>
        <w:tab/>
      </w:r>
      <w:r w:rsidRPr="00656B80">
        <w:rPr>
          <w:rFonts w:ascii="Cambria" w:eastAsia="Times New Roman" w:hAnsi="Cambria" w:cs="Verdana"/>
          <w:color w:val="000000"/>
          <w:sz w:val="20"/>
          <w:szCs w:val="20"/>
          <w:u w:color="000000"/>
          <w:lang w:val="es-ES_tradnl" w:eastAsia="es-ES" w:bidi="en-US"/>
        </w:rPr>
        <w:t>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u w:color="000000"/>
          <w:lang w:val="es-ES" w:eastAsia="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El artículo 1.1 de la Convención establece:</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olor w:val="000000"/>
          <w:sz w:val="20"/>
          <w:szCs w:val="20"/>
          <w:u w:color="000000"/>
          <w:lang w:val="es-ES" w:eastAsia="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rsidR="00656B80" w:rsidRPr="00656B80" w:rsidRDefault="00656B80" w:rsidP="00656B80">
      <w:pPr>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A su vez, el artículo I. a) de la Convención Interamericana sobre Desaparición Forzada de Personas estipula que:</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Artículo I</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olor w:val="000000"/>
          <w:sz w:val="20"/>
          <w:szCs w:val="20"/>
          <w:u w:color="000000"/>
          <w:lang w:val="es-ES" w:eastAsia="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Los Estados partes en esta Convención se comprometen a:</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olor w:val="000000"/>
          <w:sz w:val="20"/>
          <w:szCs w:val="20"/>
          <w:u w:color="000000"/>
          <w:lang w:val="es-ES" w:eastAsia="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a) </w:t>
      </w:r>
      <w:r w:rsidR="003B2F02">
        <w:rPr>
          <w:rFonts w:ascii="Cambria" w:eastAsia="Times New Roman" w:hAnsi="Cambria"/>
          <w:color w:val="000000"/>
          <w:sz w:val="20"/>
          <w:szCs w:val="20"/>
          <w:u w:color="000000"/>
          <w:lang w:val="es-ES" w:eastAsia="es-ES"/>
        </w:rPr>
        <w:tab/>
      </w:r>
      <w:r w:rsidRPr="00656B80">
        <w:rPr>
          <w:rFonts w:ascii="Cambria" w:eastAsia="Times New Roman" w:hAnsi="Cambria"/>
          <w:color w:val="000000"/>
          <w:sz w:val="20"/>
          <w:szCs w:val="20"/>
          <w:u w:color="000000"/>
          <w:lang w:val="es-ES" w:eastAsia="es-ES"/>
        </w:rPr>
        <w:t>No practicar, no permitir, ni tolerar la desaparición forzada de personas, ni aun en estado de emergencia, excepción o suspensión de garantías individuales;</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Por su parte, los artículos 1 y 6 de la Convención Interamericana para Prevenir y Sancionar la Tortura señalan:</w:t>
      </w:r>
    </w:p>
    <w:p w:rsidR="00656B80" w:rsidRPr="00656B80" w:rsidRDefault="00656B80" w:rsidP="00656B80">
      <w:pPr>
        <w:ind w:left="2160" w:hanging="720"/>
        <w:jc w:val="both"/>
        <w:rPr>
          <w:rFonts w:ascii="Cambria" w:eastAsia="Times New Roman" w:hAnsi="Cambria"/>
          <w:color w:val="000000"/>
          <w:sz w:val="20"/>
          <w:szCs w:val="20"/>
          <w:u w:color="000000"/>
          <w:lang w:val="es-ES" w:eastAsia="es-ES"/>
        </w:rPr>
      </w:pPr>
    </w:p>
    <w:p w:rsidR="00656B80" w:rsidRPr="00656B80" w:rsidRDefault="00656B80" w:rsidP="00FD5827">
      <w:pPr>
        <w:numPr>
          <w:ilvl w:val="0"/>
          <w:numId w:val="66"/>
        </w:numPr>
        <w:tabs>
          <w:tab w:val="left" w:pos="720"/>
          <w:tab w:val="left" w:pos="1080"/>
        </w:tabs>
        <w:suppressAutoHyphens/>
        <w:ind w:left="720" w:right="720" w:firstLine="0"/>
        <w:jc w:val="both"/>
        <w:rPr>
          <w:rFonts w:ascii="Cambria" w:hAnsi="Cambria"/>
          <w:spacing w:val="-3"/>
          <w:sz w:val="20"/>
          <w:szCs w:val="20"/>
          <w:lang w:val="es-ES"/>
        </w:rPr>
      </w:pPr>
      <w:r w:rsidRPr="00656B80">
        <w:rPr>
          <w:rFonts w:ascii="Cambria" w:hAnsi="Cambria"/>
          <w:spacing w:val="-3"/>
          <w:sz w:val="20"/>
          <w:szCs w:val="20"/>
          <w:lang w:val="es-ES"/>
        </w:rPr>
        <w:t>Los Estados partes se obligan a prevenir y a sancionar la tortura en los términos de la presente Convención.</w:t>
      </w:r>
    </w:p>
    <w:p w:rsidR="00656B80" w:rsidRPr="00656B80" w:rsidRDefault="00656B80" w:rsidP="00FD5827">
      <w:pPr>
        <w:tabs>
          <w:tab w:val="left" w:pos="720"/>
          <w:tab w:val="left" w:pos="1080"/>
        </w:tabs>
        <w:suppressAutoHyphens/>
        <w:ind w:left="720" w:right="720"/>
        <w:jc w:val="both"/>
        <w:rPr>
          <w:rFonts w:ascii="Cambria" w:hAnsi="Cambria"/>
          <w:spacing w:val="-3"/>
          <w:sz w:val="20"/>
          <w:szCs w:val="20"/>
          <w:lang w:val="es-ES"/>
        </w:rPr>
      </w:pPr>
    </w:p>
    <w:p w:rsidR="00656B80" w:rsidRPr="00656B80" w:rsidRDefault="00FD5827" w:rsidP="00FD5827">
      <w:pPr>
        <w:tabs>
          <w:tab w:val="left" w:pos="720"/>
          <w:tab w:val="left" w:pos="1080"/>
        </w:tabs>
        <w:suppressAutoHyphens/>
        <w:ind w:left="720" w:right="720"/>
        <w:jc w:val="both"/>
        <w:rPr>
          <w:rFonts w:ascii="Cambria" w:hAnsi="Cambria"/>
          <w:spacing w:val="-3"/>
          <w:sz w:val="20"/>
          <w:szCs w:val="20"/>
          <w:lang w:val="es-ES"/>
        </w:rPr>
      </w:pPr>
      <w:r w:rsidRPr="00656B80">
        <w:rPr>
          <w:rFonts w:ascii="Cambria" w:hAnsi="Cambria"/>
          <w:spacing w:val="-3"/>
          <w:sz w:val="20"/>
          <w:szCs w:val="20"/>
          <w:lang w:val="es-ES"/>
        </w:rPr>
        <w:t xml:space="preserve"> </w:t>
      </w:r>
      <w:r w:rsidR="00656B80" w:rsidRPr="00656B80">
        <w:rPr>
          <w:rFonts w:ascii="Cambria" w:hAnsi="Cambria"/>
          <w:spacing w:val="-3"/>
          <w:sz w:val="20"/>
          <w:szCs w:val="20"/>
          <w:lang w:val="es-ES"/>
        </w:rPr>
        <w:t>(…)</w:t>
      </w:r>
    </w:p>
    <w:p w:rsidR="00656B80" w:rsidRPr="00656B80" w:rsidRDefault="00656B80" w:rsidP="00FD5827">
      <w:pPr>
        <w:tabs>
          <w:tab w:val="left" w:pos="720"/>
          <w:tab w:val="left" w:pos="1080"/>
        </w:tabs>
        <w:suppressAutoHyphens/>
        <w:ind w:left="720" w:right="720"/>
        <w:jc w:val="both"/>
        <w:rPr>
          <w:rFonts w:ascii="Cambria" w:hAnsi="Cambria"/>
          <w:spacing w:val="-3"/>
          <w:sz w:val="20"/>
          <w:szCs w:val="20"/>
          <w:lang w:val="es-ES"/>
        </w:rPr>
      </w:pPr>
    </w:p>
    <w:p w:rsidR="00656B80" w:rsidRPr="00656B80" w:rsidRDefault="00656B80" w:rsidP="00FD5827">
      <w:pPr>
        <w:tabs>
          <w:tab w:val="left" w:pos="630"/>
        </w:tabs>
        <w:ind w:left="720" w:right="720"/>
        <w:jc w:val="both"/>
        <w:rPr>
          <w:rFonts w:ascii="Cambria" w:eastAsia="Times New Roman" w:hAnsi="Cambria" w:cs="Verdana"/>
          <w:color w:val="000000"/>
          <w:sz w:val="20"/>
          <w:szCs w:val="20"/>
          <w:u w:color="000000"/>
          <w:lang w:val="es-ES_tradnl" w:eastAsia="es-ES" w:bidi="en-US"/>
        </w:rPr>
      </w:pPr>
      <w:r w:rsidRPr="00656B80">
        <w:rPr>
          <w:rFonts w:ascii="Cambria" w:eastAsia="Times New Roman" w:hAnsi="Cambria" w:cs="Verdana"/>
          <w:color w:val="000000"/>
          <w:sz w:val="20"/>
          <w:szCs w:val="20"/>
          <w:u w:color="000000"/>
          <w:lang w:val="es-ES_tradnl" w:eastAsia="es-ES" w:bidi="en-US"/>
        </w:rPr>
        <w:lastRenderedPageBreak/>
        <w:t xml:space="preserve">6. </w:t>
      </w:r>
      <w:r w:rsidR="003B2F02" w:rsidRPr="003B2F02">
        <w:rPr>
          <w:rFonts w:ascii="Cambria" w:eastAsia="Times New Roman" w:hAnsi="Cambria" w:cs="Verdana"/>
          <w:color w:val="000000"/>
          <w:sz w:val="20"/>
          <w:szCs w:val="20"/>
          <w:u w:color="000000"/>
          <w:lang w:val="es-ES_tradnl" w:eastAsia="es-ES" w:bidi="en-US"/>
        </w:rPr>
        <w:tab/>
      </w:r>
      <w:r w:rsidRPr="00656B80">
        <w:rPr>
          <w:rFonts w:ascii="Cambria" w:eastAsia="Times New Roman" w:hAnsi="Cambria" w:cs="Verdana"/>
          <w:color w:val="000000"/>
          <w:sz w:val="20"/>
          <w:szCs w:val="20"/>
          <w:u w:color="000000"/>
          <w:lang w:val="es-ES_tradnl" w:eastAsia="es-ES" w:bidi="en-US"/>
        </w:rPr>
        <w:t>De conformidad con lo dispuesto en el artículo 1, los Estados partes tomarán medidas efectivas para prevenir y sancionar la tortura en el ámbito de su jurisdicción.</w:t>
      </w:r>
    </w:p>
    <w:p w:rsidR="00656B80" w:rsidRPr="00656B80" w:rsidRDefault="00656B80" w:rsidP="00FD5827">
      <w:pPr>
        <w:tabs>
          <w:tab w:val="left" w:pos="1080"/>
        </w:tabs>
        <w:suppressAutoHyphens/>
        <w:ind w:left="720" w:right="720" w:firstLine="360"/>
        <w:jc w:val="both"/>
        <w:rPr>
          <w:rFonts w:ascii="Cambria" w:hAnsi="Cambria"/>
          <w:spacing w:val="-3"/>
          <w:sz w:val="20"/>
          <w:szCs w:val="20"/>
          <w:lang w:val="es-ES"/>
        </w:rPr>
      </w:pPr>
    </w:p>
    <w:p w:rsidR="00656B80" w:rsidRPr="00656B80" w:rsidRDefault="00656B80" w:rsidP="00FD5827">
      <w:pPr>
        <w:tabs>
          <w:tab w:val="left" w:pos="1080"/>
        </w:tabs>
        <w:suppressAutoHyphens/>
        <w:ind w:left="720" w:right="720"/>
        <w:jc w:val="both"/>
        <w:rPr>
          <w:rFonts w:ascii="Cambria" w:hAnsi="Cambria"/>
          <w:spacing w:val="-3"/>
          <w:sz w:val="20"/>
          <w:szCs w:val="20"/>
          <w:lang w:val="es-ES"/>
        </w:rPr>
      </w:pPr>
      <w:r w:rsidRPr="00656B80">
        <w:rPr>
          <w:rFonts w:ascii="Cambria" w:hAnsi="Cambria"/>
          <w:spacing w:val="-3"/>
          <w:sz w:val="20"/>
          <w:szCs w:val="20"/>
          <w:lang w:val="es-ES"/>
        </w:rPr>
        <w:t>Los Estados partes se asegurarán de que todos los actos de tortura y los intentos de cometer tales actos constituyan delitos conforme a su derecho penal, estableciendo para castigarlos sanciones severas que tengan en cuenta su gravedad.</w:t>
      </w:r>
    </w:p>
    <w:p w:rsidR="00656B80" w:rsidRPr="00656B80" w:rsidRDefault="00656B80" w:rsidP="003B2F02">
      <w:pPr>
        <w:tabs>
          <w:tab w:val="left" w:pos="1080"/>
        </w:tabs>
        <w:suppressAutoHyphens/>
        <w:ind w:left="720" w:right="720" w:firstLine="360"/>
        <w:jc w:val="both"/>
        <w:rPr>
          <w:rFonts w:ascii="Cambria" w:hAnsi="Cambria"/>
          <w:spacing w:val="-3"/>
          <w:sz w:val="20"/>
          <w:szCs w:val="20"/>
          <w:lang w:val="es-ES"/>
        </w:rPr>
      </w:pPr>
    </w:p>
    <w:p w:rsidR="00656B80" w:rsidRPr="00656B80" w:rsidRDefault="00656B80" w:rsidP="003B2F02">
      <w:pPr>
        <w:tabs>
          <w:tab w:val="left" w:pos="1080"/>
        </w:tabs>
        <w:suppressAutoHyphens/>
        <w:ind w:left="720" w:right="720"/>
        <w:jc w:val="both"/>
        <w:rPr>
          <w:rFonts w:ascii="Cambria" w:hAnsi="Cambria"/>
          <w:spacing w:val="-3"/>
          <w:sz w:val="20"/>
          <w:szCs w:val="20"/>
          <w:lang w:val="es-ES"/>
        </w:rPr>
      </w:pPr>
      <w:r w:rsidRPr="00656B80">
        <w:rPr>
          <w:rFonts w:ascii="Cambria" w:hAnsi="Cambria"/>
          <w:spacing w:val="-3"/>
          <w:sz w:val="20"/>
          <w:szCs w:val="20"/>
          <w:lang w:val="es-ES"/>
        </w:rPr>
        <w:t>Igualmente, los Estados partes tomarán medidas efectivas para prevenir y sancionar, además, otros tratos o penas crueles, inhumanos o degradantes en el ámbito de su jurisdicción.</w:t>
      </w:r>
    </w:p>
    <w:p w:rsidR="00656B80" w:rsidRPr="00656B80" w:rsidRDefault="00656B80" w:rsidP="003B2F02">
      <w:pPr>
        <w:tabs>
          <w:tab w:val="left" w:pos="1080"/>
        </w:tabs>
        <w:suppressAutoHyphens/>
        <w:ind w:left="720" w:right="720" w:firstLine="360"/>
        <w:jc w:val="both"/>
        <w:rPr>
          <w:rFonts w:ascii="Cambria" w:hAnsi="Cambria"/>
          <w:spacing w:val="-3"/>
          <w:sz w:val="20"/>
          <w:szCs w:val="20"/>
          <w:lang w:val="es-ES"/>
        </w:rPr>
      </w:pPr>
    </w:p>
    <w:p w:rsidR="00656B80" w:rsidRPr="00656B80" w:rsidRDefault="00656B80" w:rsidP="007C345F">
      <w:pPr>
        <w:numPr>
          <w:ilvl w:val="0"/>
          <w:numId w:val="62"/>
        </w:numPr>
        <w:ind w:hanging="1890"/>
        <w:jc w:val="both"/>
        <w:outlineLvl w:val="2"/>
        <w:rPr>
          <w:rFonts w:ascii="Cambria" w:eastAsia="Times New Roman" w:hAnsi="Cambria" w:cs="Arial"/>
          <w:b/>
          <w:bCs/>
          <w:sz w:val="20"/>
          <w:szCs w:val="20"/>
          <w:bdr w:val="none" w:sz="0" w:space="0" w:color="auto"/>
          <w:lang w:val="es-MX"/>
        </w:rPr>
      </w:pPr>
      <w:bookmarkStart w:id="20" w:name="_Toc467948059"/>
      <w:r w:rsidRPr="00656B80">
        <w:rPr>
          <w:rFonts w:ascii="Cambria" w:eastAsia="Times New Roman" w:hAnsi="Cambria" w:cs="Arial"/>
          <w:b/>
          <w:bCs/>
          <w:sz w:val="20"/>
          <w:szCs w:val="20"/>
          <w:bdr w:val="none" w:sz="0" w:space="0" w:color="auto"/>
          <w:lang w:val="es-MX"/>
        </w:rPr>
        <w:t>Consideraciones generales sobre la desaparición forzada de personas</w:t>
      </w:r>
      <w:bookmarkEnd w:id="20"/>
    </w:p>
    <w:p w:rsidR="00656B80" w:rsidRPr="00656B80" w:rsidRDefault="00656B80" w:rsidP="00656B80">
      <w:pPr>
        <w:ind w:left="720"/>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olor w:val="000000"/>
          <w:sz w:val="20"/>
          <w:szCs w:val="20"/>
          <w:u w:color="000000"/>
          <w:lang w:val="es-ES_tradnl" w:eastAsia="es-ES"/>
        </w:rPr>
        <w:t xml:space="preserve">Desde sus primeros casos, la Corte Interamericana se ha referido a la práctica de las desapariciones forzadas señalando que: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u w:color="000000"/>
          <w:lang w:val="es-ES_tradnl" w:eastAsia="es-ES"/>
        </w:rPr>
      </w:pPr>
    </w:p>
    <w:p w:rsidR="00656B80" w:rsidRPr="00656B80" w:rsidRDefault="00656B80" w:rsidP="00FD5827">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u w:color="000000"/>
          <w:lang w:val="es-ES_tradnl" w:eastAsia="es-ES"/>
        </w:rPr>
      </w:pPr>
      <w:r w:rsidRPr="00656B80">
        <w:rPr>
          <w:rFonts w:ascii="Cambria" w:eastAsia="Times New Roman" w:hAnsi="Cambria"/>
          <w:color w:val="000000"/>
          <w:sz w:val="20"/>
          <w:szCs w:val="20"/>
          <w:u w:color="000000"/>
          <w:lang w:val="es-ES_tradnl" w:eastAsia="es-ES"/>
        </w:rPr>
        <w:t>La desaparición forzada o involuntaria constituye una de las más graves y crueles violaciones de los derechos humanos, pues no sólo produce una privación arbitraria de la libertad sino que pone en peligro la integridad personal, la seguridad y la propia vida del detenido. Además, le coloca en un estado de completa indefensión, acarreando otros delitos conexos.  De ahí la importancia de que el Estado tome todas las medidas necesarias para evitar dichos hechos, los investigue y sancione a los responsables y además informe a los familiares el paradero del desaparecido y los indemnice en su caso</w:t>
      </w:r>
      <w:r w:rsidRPr="00656B80">
        <w:rPr>
          <w:rFonts w:ascii="Cambria" w:eastAsia="Times New Roman" w:hAnsi="Cambria"/>
          <w:color w:val="000000"/>
          <w:sz w:val="20"/>
          <w:szCs w:val="20"/>
          <w:u w:color="000000"/>
          <w:vertAlign w:val="superscript"/>
          <w:lang w:val="es-ES_tradnl" w:eastAsia="es-ES"/>
        </w:rPr>
        <w:footnoteReference w:id="66"/>
      </w:r>
      <w:r w:rsidRPr="00656B80">
        <w:rPr>
          <w:rFonts w:ascii="Cambria" w:eastAsia="Times New Roman" w:hAnsi="Cambria"/>
          <w:color w:val="000000"/>
          <w:sz w:val="20"/>
          <w:szCs w:val="20"/>
          <w:u w:color="000000"/>
          <w:lang w:val="es-ES_tradnl" w:eastAsia="es-ES"/>
        </w:rPr>
        <w:t>.</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olor w:val="000000"/>
          <w:sz w:val="20"/>
          <w:szCs w:val="20"/>
          <w:u w:color="000000"/>
          <w:lang w:val="es-ES_tradnl" w:eastAsia="es-ES"/>
        </w:rPr>
        <w:t>En lo que respecta a las características de la desaparición forzada, la Comisión y la Corte han señalado que la CIDFP, al igual que diferentes instrumentos internacionales</w:t>
      </w:r>
      <w:r w:rsidRPr="00656B80">
        <w:rPr>
          <w:rFonts w:ascii="Cambria" w:eastAsia="Times New Roman" w:hAnsi="Cambria"/>
          <w:color w:val="000000"/>
          <w:sz w:val="20"/>
          <w:szCs w:val="20"/>
          <w:u w:color="000000"/>
          <w:vertAlign w:val="superscript"/>
          <w:lang w:val="es-ES_tradnl" w:eastAsia="es-ES"/>
        </w:rPr>
        <w:footnoteReference w:id="67"/>
      </w:r>
      <w:r w:rsidRPr="00656B80">
        <w:rPr>
          <w:rFonts w:ascii="Cambria" w:eastAsia="Times New Roman" w:hAnsi="Cambria"/>
          <w:color w:val="000000"/>
          <w:sz w:val="20"/>
          <w:szCs w:val="20"/>
          <w:u w:color="000000"/>
          <w:lang w:val="es-ES_tradnl" w:eastAsia="es-ES"/>
        </w:rPr>
        <w:t>, coinciden en establecer como elementos concurrentes y constitutivos de la desaparición forzada: a) la privación de la libertad; b) la intervención directa de agentes estatales o la aquiescencia de éstos; y c) la negativa a reconocer la detención y de revelar la suerte o paradero de la persona interesada</w:t>
      </w:r>
      <w:r w:rsidRPr="00656B80">
        <w:rPr>
          <w:rFonts w:ascii="Cambria" w:eastAsia="Times New Roman" w:hAnsi="Cambria"/>
          <w:color w:val="000000"/>
          <w:sz w:val="20"/>
          <w:szCs w:val="20"/>
          <w:u w:color="000000"/>
          <w:vertAlign w:val="superscript"/>
          <w:lang w:val="es-ES_tradnl" w:eastAsia="es-ES"/>
        </w:rPr>
        <w:footnoteReference w:id="68"/>
      </w:r>
      <w:r w:rsidRPr="00656B80">
        <w:rPr>
          <w:rFonts w:ascii="Cambria" w:eastAsia="Times New Roman" w:hAnsi="Cambria"/>
          <w:color w:val="000000"/>
          <w:sz w:val="20"/>
          <w:szCs w:val="20"/>
          <w:u w:color="000000"/>
          <w:lang w:val="es-ES_tradnl" w:eastAsia="es-ES"/>
        </w:rPr>
        <w:t xml:space="preserv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u w:color="000000"/>
          <w:lang w:val="es-ES_tradnl"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olor w:val="000000"/>
          <w:sz w:val="20"/>
          <w:szCs w:val="20"/>
          <w:u w:color="000000"/>
          <w:lang w:val="es-ES_tradnl" w:eastAsia="es-ES"/>
        </w:rPr>
        <w:t>Asimismo, la Comisión ha indicado reiteradamente que la desaparición forzada es una violación de carácter continuado o permanente, lo que a su vez implica que sus efectos se prolongan en el tiempo mientras no se establezca el destino o paradero de la víctima. Esta característica coloca al Estado en una situación de violación continua de sus obligaciones internacionales hasta tanto no se tenga claridad sobre el destino sufrido por la víctima</w:t>
      </w:r>
      <w:r w:rsidRPr="00656B80">
        <w:rPr>
          <w:rFonts w:ascii="Cambria" w:eastAsia="Times New Roman" w:hAnsi="Cambria"/>
          <w:color w:val="000000"/>
          <w:sz w:val="20"/>
          <w:szCs w:val="20"/>
          <w:u w:color="000000"/>
          <w:vertAlign w:val="superscript"/>
          <w:lang w:val="es-ES_tradnl" w:eastAsia="es-ES"/>
        </w:rPr>
        <w:footnoteReference w:id="69"/>
      </w:r>
      <w:r w:rsidRPr="00656B80">
        <w:rPr>
          <w:rFonts w:ascii="Cambria" w:eastAsia="Times New Roman" w:hAnsi="Cambria"/>
          <w:color w:val="000000"/>
          <w:sz w:val="20"/>
          <w:szCs w:val="20"/>
          <w:u w:color="000000"/>
          <w:lang w:val="es-ES_tradnl" w:eastAsia="es-ES"/>
        </w:rPr>
        <w:t xml:space="preserve">. </w:t>
      </w:r>
    </w:p>
    <w:p w:rsidR="00656B80" w:rsidRPr="00656B80" w:rsidRDefault="00656B80" w:rsidP="00656B80">
      <w:pPr>
        <w:ind w:firstLine="720"/>
        <w:jc w:val="both"/>
        <w:rPr>
          <w:rFonts w:ascii="Cambria" w:hAnsi="Cambria"/>
          <w:sz w:val="20"/>
          <w:szCs w:val="20"/>
          <w:lang w:val="es-MX"/>
        </w:rPr>
      </w:pPr>
    </w:p>
    <w:p w:rsidR="000E6FE7" w:rsidRPr="00B94249"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B94249">
        <w:rPr>
          <w:rFonts w:ascii="Cambria" w:eastAsia="Times New Roman" w:hAnsi="Cambria"/>
          <w:color w:val="000000"/>
          <w:sz w:val="20"/>
          <w:szCs w:val="20"/>
          <w:u w:color="000000"/>
          <w:lang w:val="es-ES_tradnl" w:eastAsia="es-ES"/>
        </w:rPr>
        <w:t>Dado su carácter de violación pluriofensiva, permanente y autónoma, la Corte Interamericana ha señalado que el análisis de una posible desaparición forzada no debe enfocarse de manera aislada, dividida y fragmentada sólo en la detención o posible tortura, o el riesgo de perder la vida, sino más bien el enfoque debe ser en el conjunto de hechos que se presentan en el caso en consideración</w:t>
      </w:r>
      <w:r w:rsidRPr="00656B80">
        <w:rPr>
          <w:rFonts w:ascii="Cambria" w:eastAsia="Times New Roman" w:hAnsi="Cambria"/>
          <w:color w:val="000000"/>
          <w:sz w:val="20"/>
          <w:szCs w:val="20"/>
          <w:u w:color="000000"/>
          <w:vertAlign w:val="superscript"/>
          <w:lang w:val="es-ES_tradnl" w:eastAsia="es-ES"/>
        </w:rPr>
        <w:footnoteReference w:id="70"/>
      </w:r>
      <w:r w:rsidRPr="00B94249">
        <w:rPr>
          <w:rFonts w:ascii="Cambria" w:eastAsia="Times New Roman" w:hAnsi="Cambria"/>
          <w:color w:val="000000"/>
          <w:sz w:val="20"/>
          <w:szCs w:val="20"/>
          <w:u w:color="000000"/>
          <w:lang w:val="es-ES_tradnl" w:eastAsia="es-ES"/>
        </w:rPr>
        <w:t xml:space="preserve">. De este modo, el tratamiento integral de la desaparición forzada como una forma compleja de violación de derechos </w:t>
      </w:r>
      <w:r w:rsidRPr="00B94249">
        <w:rPr>
          <w:rFonts w:ascii="Cambria" w:eastAsia="Times New Roman" w:hAnsi="Cambria"/>
          <w:color w:val="000000"/>
          <w:sz w:val="20"/>
          <w:szCs w:val="20"/>
          <w:u w:color="000000"/>
          <w:lang w:val="es-ES_tradnl" w:eastAsia="es-ES"/>
        </w:rPr>
        <w:lastRenderedPageBreak/>
        <w:t>humanos ha llevado a la Comisión y a la Corte a analizar en forma conjunta la violación de varios derechos reconocidos en la Convención</w:t>
      </w:r>
      <w:r w:rsidRPr="00656B80">
        <w:rPr>
          <w:rFonts w:ascii="Cambria" w:eastAsia="Times New Roman" w:hAnsi="Cambria"/>
          <w:color w:val="000000"/>
          <w:sz w:val="20"/>
          <w:szCs w:val="20"/>
          <w:u w:color="000000"/>
          <w:vertAlign w:val="superscript"/>
          <w:lang w:val="es-ES_tradnl" w:eastAsia="es-ES"/>
        </w:rPr>
        <w:footnoteReference w:id="71"/>
      </w:r>
      <w:r w:rsidRPr="00B94249">
        <w:rPr>
          <w:rFonts w:ascii="Cambria" w:eastAsia="Times New Roman" w:hAnsi="Cambria"/>
          <w:color w:val="000000"/>
          <w:sz w:val="20"/>
          <w:szCs w:val="20"/>
          <w:u w:color="000000"/>
          <w:lang w:val="es-ES_tradnl" w:eastAsia="es-ES"/>
        </w:rPr>
        <w:t>.</w:t>
      </w:r>
    </w:p>
    <w:p w:rsidR="00656B80" w:rsidRPr="00656B80" w:rsidRDefault="00656B80" w:rsidP="00656B80">
      <w:pPr>
        <w:ind w:firstLine="720"/>
        <w:jc w:val="both"/>
        <w:rPr>
          <w:rFonts w:ascii="Cambria" w:hAnsi="Cambria"/>
          <w:sz w:val="20"/>
          <w:szCs w:val="20"/>
          <w:lang w:val="es-MX"/>
        </w:rPr>
      </w:pPr>
    </w:p>
    <w:p w:rsidR="000E6FE7"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DB4BD9">
        <w:rPr>
          <w:rFonts w:ascii="Cambria" w:eastAsia="Times New Roman" w:hAnsi="Cambria"/>
          <w:color w:val="000000"/>
          <w:sz w:val="20"/>
          <w:szCs w:val="20"/>
          <w:u w:color="000000"/>
          <w:lang w:val="es-ES_tradnl" w:eastAsia="es-ES"/>
        </w:rPr>
        <w:t>En este sentido</w:t>
      </w:r>
      <w:r w:rsidRPr="00656B80">
        <w:rPr>
          <w:rFonts w:ascii="Cambria" w:eastAsia="Times New Roman" w:hAnsi="Cambria"/>
          <w:color w:val="000000"/>
          <w:sz w:val="20"/>
          <w:szCs w:val="20"/>
          <w:u w:color="000000"/>
          <w:lang w:val="es-ES_tradnl" w:eastAsia="es-ES"/>
        </w:rPr>
        <w:t>, la Corte ha empleado una perspectiva integral de la desaparición forzada de personas en razón de la pluralidad de conductas que, cohesionadas por un único fin, vulneran de manera permanente bienes jurídicos protegidos por la Convención Americana</w:t>
      </w:r>
      <w:r w:rsidRPr="00656B80">
        <w:rPr>
          <w:rFonts w:ascii="Cambria" w:eastAsia="Times New Roman" w:hAnsi="Cambria"/>
          <w:color w:val="000000"/>
          <w:sz w:val="20"/>
          <w:szCs w:val="20"/>
          <w:u w:color="000000"/>
          <w:vertAlign w:val="superscript"/>
          <w:lang w:val="es-ES_tradnl" w:eastAsia="es-ES"/>
        </w:rPr>
        <w:footnoteReference w:id="72"/>
      </w:r>
      <w:r w:rsidRPr="00656B80">
        <w:rPr>
          <w:rFonts w:ascii="Cambria" w:eastAsia="Times New Roman" w:hAnsi="Cambria"/>
          <w:color w:val="000000"/>
          <w:sz w:val="20"/>
          <w:szCs w:val="20"/>
          <w:u w:color="000000"/>
          <w:lang w:val="es-ES_tradnl" w:eastAsia="es-ES"/>
        </w:rPr>
        <w:t>. En particular, en estos casos la Corte ha analizado de manera conjunta la violación de los derechos al reconocimiento de la personalidad jurídica, a la vida, a la integridad personal y a la libertad personal, consagrados en los artículos 3, 4, 5 y 7 de la Convención, respectivamente</w:t>
      </w:r>
      <w:r w:rsidRPr="00656B80">
        <w:rPr>
          <w:rFonts w:ascii="Cambria" w:eastAsia="Times New Roman" w:hAnsi="Cambria"/>
          <w:color w:val="000000"/>
          <w:sz w:val="20"/>
          <w:szCs w:val="20"/>
          <w:u w:color="000000"/>
          <w:vertAlign w:val="superscript"/>
          <w:lang w:val="es-ES_tradnl" w:eastAsia="es-ES"/>
        </w:rPr>
        <w:footnoteReference w:id="73"/>
      </w:r>
      <w:r w:rsidRPr="00656B80">
        <w:rPr>
          <w:rFonts w:ascii="Cambria" w:eastAsia="Times New Roman" w:hAnsi="Cambria"/>
          <w:color w:val="000000"/>
          <w:sz w:val="20"/>
          <w:szCs w:val="20"/>
          <w:u w:color="000000"/>
          <w:lang w:val="es-ES_tradnl" w:eastAsia="es-ES"/>
        </w:rPr>
        <w:t xml:space="preserve">. </w:t>
      </w:r>
    </w:p>
    <w:p w:rsidR="000E6FE7" w:rsidRDefault="000E6FE7" w:rsidP="000E6FE7">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_tradnl" w:eastAsia="es-ES"/>
        </w:rPr>
      </w:pPr>
    </w:p>
    <w:p w:rsidR="000E6FE7" w:rsidRPr="00B94249" w:rsidRDefault="000E6FE7"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B94249">
        <w:rPr>
          <w:rFonts w:ascii="Cambria" w:eastAsia="Times New Roman" w:hAnsi="Cambria"/>
          <w:color w:val="000000"/>
          <w:sz w:val="20"/>
          <w:szCs w:val="20"/>
          <w:u w:color="000000"/>
          <w:lang w:val="es-ES_tradnl" w:eastAsia="es-ES"/>
        </w:rPr>
        <w:t>La Comis</w:t>
      </w:r>
      <w:r w:rsidR="00B94249" w:rsidRPr="00B94249">
        <w:rPr>
          <w:rFonts w:ascii="Cambria" w:eastAsia="Times New Roman" w:hAnsi="Cambria"/>
          <w:color w:val="000000"/>
          <w:sz w:val="20"/>
          <w:szCs w:val="20"/>
          <w:u w:color="000000"/>
          <w:lang w:val="es-ES_tradnl" w:eastAsia="es-ES"/>
        </w:rPr>
        <w:t>ión</w:t>
      </w:r>
      <w:r w:rsidRPr="00B94249">
        <w:rPr>
          <w:rFonts w:ascii="Cambria" w:eastAsia="Times New Roman" w:hAnsi="Cambria"/>
          <w:color w:val="000000"/>
          <w:sz w:val="20"/>
          <w:szCs w:val="20"/>
          <w:u w:color="000000"/>
          <w:lang w:val="es-ES_tradnl" w:eastAsia="es-ES"/>
        </w:rPr>
        <w:t xml:space="preserve"> ha </w:t>
      </w:r>
      <w:r w:rsidR="00B94249" w:rsidRPr="00B94249">
        <w:rPr>
          <w:rFonts w:ascii="Cambria" w:eastAsia="Times New Roman" w:hAnsi="Cambria"/>
          <w:color w:val="000000"/>
          <w:sz w:val="20"/>
          <w:szCs w:val="20"/>
          <w:u w:color="000000"/>
          <w:lang w:val="es-ES_tradnl" w:eastAsia="es-ES"/>
        </w:rPr>
        <w:t xml:space="preserve">establecido </w:t>
      </w:r>
      <w:r w:rsidRPr="00B94249">
        <w:rPr>
          <w:rFonts w:ascii="Cambria" w:eastAsia="Times New Roman" w:hAnsi="Cambria"/>
          <w:color w:val="000000"/>
          <w:sz w:val="20"/>
          <w:szCs w:val="20"/>
          <w:u w:color="000000"/>
          <w:lang w:val="es-ES_tradnl" w:eastAsia="es-ES"/>
        </w:rPr>
        <w:t>que la desaparición como violación de múltiples derechos, busca y produce la anulación de la personalidad jurídica de la víctima</w:t>
      </w:r>
      <w:r w:rsidR="00B94249">
        <w:rPr>
          <w:rStyle w:val="FootnoteReference"/>
          <w:rFonts w:ascii="Cambria" w:eastAsia="Times New Roman" w:hAnsi="Cambria"/>
          <w:color w:val="000000"/>
          <w:sz w:val="20"/>
          <w:szCs w:val="20"/>
          <w:u w:color="000000"/>
          <w:lang w:val="es-ES_tradnl" w:eastAsia="es-ES"/>
        </w:rPr>
        <w:footnoteReference w:id="74"/>
      </w:r>
      <w:r w:rsidRPr="00B94249">
        <w:rPr>
          <w:rFonts w:ascii="Cambria" w:eastAsia="Times New Roman" w:hAnsi="Cambria"/>
          <w:color w:val="000000"/>
          <w:sz w:val="20"/>
          <w:szCs w:val="20"/>
          <w:u w:color="000000"/>
          <w:lang w:val="es-ES_tradnl" w:eastAsia="es-ES"/>
        </w:rPr>
        <w:t xml:space="preserve">. </w:t>
      </w:r>
      <w:r w:rsidR="00B94249">
        <w:rPr>
          <w:rFonts w:ascii="Cambria" w:eastAsia="Times New Roman" w:hAnsi="Cambria"/>
          <w:color w:val="000000"/>
          <w:sz w:val="20"/>
          <w:szCs w:val="20"/>
          <w:u w:color="000000"/>
          <w:lang w:val="es-ES_tradnl" w:eastAsia="es-ES"/>
        </w:rPr>
        <w:t xml:space="preserve">Asimismo, ha </w:t>
      </w:r>
      <w:r w:rsidRPr="00B94249">
        <w:rPr>
          <w:rFonts w:ascii="Cambria" w:eastAsia="Times New Roman" w:hAnsi="Cambria"/>
          <w:color w:val="000000"/>
          <w:sz w:val="20"/>
          <w:szCs w:val="20"/>
          <w:u w:color="000000"/>
          <w:lang w:val="es-ES_tradnl" w:eastAsia="es-ES"/>
        </w:rPr>
        <w:t>considerado que la conexión entre desaparición forzada y el derecho a la personalidad jurídica, radica en el hecho de que el objetivo preciso de la práctica de la desaparición forzada e</w:t>
      </w:r>
      <w:r w:rsidR="00B94249">
        <w:rPr>
          <w:rFonts w:ascii="Cambria" w:eastAsia="Times New Roman" w:hAnsi="Cambria"/>
          <w:color w:val="000000"/>
          <w:sz w:val="20"/>
          <w:szCs w:val="20"/>
          <w:u w:color="000000"/>
          <w:lang w:val="es-ES_tradnl" w:eastAsia="es-ES"/>
        </w:rPr>
        <w:t>s</w:t>
      </w:r>
      <w:r w:rsidRPr="00B94249">
        <w:rPr>
          <w:rFonts w:ascii="Cambria" w:eastAsia="Times New Roman" w:hAnsi="Cambria"/>
          <w:color w:val="000000"/>
          <w:sz w:val="20"/>
          <w:szCs w:val="20"/>
          <w:u w:color="000000"/>
          <w:lang w:val="es-ES_tradnl" w:eastAsia="es-ES"/>
        </w:rPr>
        <w:t xml:space="preserve"> sustraer al individuo de la protección que le es debida</w:t>
      </w:r>
      <w:r w:rsidR="00B94249">
        <w:rPr>
          <w:rStyle w:val="FootnoteReference"/>
          <w:rFonts w:ascii="Cambria" w:eastAsia="Times New Roman" w:hAnsi="Cambria"/>
          <w:color w:val="000000"/>
          <w:sz w:val="20"/>
          <w:szCs w:val="20"/>
          <w:u w:color="000000"/>
          <w:lang w:val="es-ES_tradnl" w:eastAsia="es-ES"/>
        </w:rPr>
        <w:footnoteReference w:id="75"/>
      </w:r>
      <w:r w:rsidR="00DB4BD9">
        <w:rPr>
          <w:rFonts w:ascii="Cambria" w:eastAsia="Times New Roman" w:hAnsi="Cambria"/>
          <w:color w:val="000000"/>
          <w:sz w:val="20"/>
          <w:szCs w:val="20"/>
          <w:u w:color="000000"/>
          <w:lang w:val="es-ES_tradnl" w:eastAsia="es-ES"/>
        </w:rPr>
        <w:t>, mantenerlo fuera del mundo real y jurídico</w:t>
      </w:r>
      <w:r w:rsidR="00B85103">
        <w:rPr>
          <w:rFonts w:ascii="Cambria" w:eastAsia="Times New Roman" w:hAnsi="Cambria"/>
          <w:color w:val="000000"/>
          <w:sz w:val="20"/>
          <w:szCs w:val="20"/>
          <w:u w:color="000000"/>
          <w:lang w:val="es-ES_tradnl" w:eastAsia="es-ES"/>
        </w:rPr>
        <w:t xml:space="preserve"> y</w:t>
      </w:r>
      <w:r w:rsidR="00DB4BD9">
        <w:rPr>
          <w:rFonts w:ascii="Cambria" w:eastAsia="Times New Roman" w:hAnsi="Cambria"/>
          <w:color w:val="000000"/>
          <w:sz w:val="20"/>
          <w:szCs w:val="20"/>
          <w:u w:color="000000"/>
          <w:lang w:val="es-ES_tradnl" w:eastAsia="es-ES"/>
        </w:rPr>
        <w:t xml:space="preserve"> ocultar su destino final</w:t>
      </w:r>
      <w:r w:rsidR="00B85103">
        <w:rPr>
          <w:rStyle w:val="FootnoteReference"/>
          <w:rFonts w:ascii="Cambria" w:eastAsia="Times New Roman" w:hAnsi="Cambria"/>
          <w:color w:val="000000"/>
          <w:sz w:val="20"/>
          <w:szCs w:val="20"/>
          <w:u w:color="000000"/>
          <w:lang w:val="es-ES_tradnl" w:eastAsia="es-ES"/>
        </w:rPr>
        <w:footnoteReference w:id="76"/>
      </w:r>
      <w:r w:rsidR="00B85103">
        <w:rPr>
          <w:rFonts w:ascii="Cambria" w:eastAsia="Times New Roman" w:hAnsi="Cambria"/>
          <w:color w:val="000000"/>
          <w:sz w:val="20"/>
          <w:szCs w:val="20"/>
          <w:u w:color="000000"/>
          <w:lang w:val="es-ES_tradnl" w:eastAsia="es-ES"/>
        </w:rPr>
        <w:t>.</w:t>
      </w:r>
      <w:r w:rsidR="00DB4BD9">
        <w:rPr>
          <w:rFonts w:ascii="Cambria" w:eastAsia="Times New Roman" w:hAnsi="Cambria"/>
          <w:color w:val="000000"/>
          <w:sz w:val="20"/>
          <w:szCs w:val="20"/>
          <w:u w:color="000000"/>
          <w:lang w:val="es-ES_tradnl" w:eastAsia="es-ES"/>
        </w:rPr>
        <w:t xml:space="preserve"> </w:t>
      </w:r>
    </w:p>
    <w:p w:rsidR="00656B80" w:rsidRPr="00656B80" w:rsidRDefault="00656B80" w:rsidP="00656B80">
      <w:pPr>
        <w:ind w:firstLine="720"/>
        <w:jc w:val="both"/>
        <w:rPr>
          <w:rFonts w:ascii="Cambria" w:hAnsi="Cambria"/>
          <w:sz w:val="20"/>
          <w:szCs w:val="20"/>
          <w:lang w:val="es-MX"/>
        </w:rPr>
      </w:pPr>
    </w:p>
    <w:p w:rsidR="00656B80" w:rsidRPr="00656B80" w:rsidRDefault="00DB4BD9"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Pr>
          <w:rFonts w:ascii="Cambria" w:eastAsia="Times New Roman" w:hAnsi="Cambria"/>
          <w:color w:val="000000"/>
          <w:sz w:val="20"/>
          <w:szCs w:val="20"/>
          <w:u w:color="000000"/>
          <w:lang w:val="es-ES_tradnl" w:eastAsia="es-ES"/>
        </w:rPr>
        <w:t>L</w:t>
      </w:r>
      <w:r w:rsidR="00656B80" w:rsidRPr="00656B80">
        <w:rPr>
          <w:rFonts w:ascii="Cambria" w:eastAsia="Times New Roman" w:hAnsi="Cambria"/>
          <w:color w:val="000000"/>
          <w:sz w:val="20"/>
          <w:szCs w:val="20"/>
          <w:u w:color="000000"/>
          <w:lang w:val="es-ES_tradnl" w:eastAsia="es-ES"/>
        </w:rPr>
        <w:t xml:space="preserve">a Corte en el caso </w:t>
      </w:r>
      <w:r w:rsidR="00656B80" w:rsidRPr="00656B80">
        <w:rPr>
          <w:rFonts w:ascii="Cambria" w:eastAsia="Times New Roman" w:hAnsi="Cambria"/>
          <w:i/>
          <w:color w:val="000000"/>
          <w:sz w:val="20"/>
          <w:szCs w:val="20"/>
          <w:u w:color="000000"/>
          <w:lang w:val="es-ES_tradnl" w:eastAsia="es-ES"/>
        </w:rPr>
        <w:t>Anzualdo Castro vs. Perú</w:t>
      </w:r>
      <w:r w:rsidR="00656B80" w:rsidRPr="00656B80">
        <w:rPr>
          <w:rFonts w:ascii="Cambria" w:eastAsia="Times New Roman" w:hAnsi="Cambria"/>
          <w:color w:val="000000"/>
          <w:sz w:val="20"/>
          <w:szCs w:val="20"/>
          <w:u w:color="000000"/>
          <w:lang w:val="es-ES_tradnl" w:eastAsia="es-ES"/>
        </w:rPr>
        <w:t xml:space="preserve"> consideró que: </w:t>
      </w:r>
    </w:p>
    <w:p w:rsidR="00656B80" w:rsidRPr="00656B80" w:rsidRDefault="00656B80" w:rsidP="00656B80">
      <w:pPr>
        <w:rPr>
          <w:rFonts w:ascii="Cambria" w:hAnsi="Cambria"/>
          <w:sz w:val="20"/>
          <w:szCs w:val="20"/>
          <w:lang w:val="es-CO"/>
        </w:rPr>
      </w:pPr>
    </w:p>
    <w:p w:rsidR="00656B80" w:rsidRPr="00656B80" w:rsidRDefault="00656B80" w:rsidP="003B2F02">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u w:color="000000"/>
          <w:lang w:val="es-ES_tradnl" w:eastAsia="es-ES"/>
        </w:rPr>
      </w:pPr>
      <w:r w:rsidRPr="00656B80">
        <w:rPr>
          <w:rFonts w:ascii="Cambria" w:eastAsia="Times New Roman" w:hAnsi="Cambria"/>
          <w:color w:val="000000"/>
          <w:sz w:val="20"/>
          <w:szCs w:val="20"/>
          <w:u w:color="000000"/>
          <w:lang w:val="es-ES_tradnl" w:eastAsia="es-ES"/>
        </w:rPr>
        <w:t>[E]n casos de desaparición forzada, atendiendo al carácter múltiple y complejo de esta grave violación de derechos humanos, su ejecución puede conllevar la vulneración específica del derecho al reconocimiento de la personalidad jurídica. Más allá de que la persona desaparecida no pueda continuar gozando y ejerciendo otros, y eventualmente todos, los derechos de los cuales también es titular, su desaparición busca no sólo una de las más graves formas de sustracción de una persona de todo ámbito del ordenamiento jurídico, sino también negar su existencia misma y dejarla en una suerte de limbo o situación de indeterminación jurídica ante la sociedad y el Estado</w:t>
      </w:r>
      <w:r w:rsidRPr="00656B80">
        <w:rPr>
          <w:rFonts w:ascii="Cambria" w:eastAsia="Times New Roman" w:hAnsi="Cambria"/>
          <w:color w:val="000000"/>
          <w:sz w:val="20"/>
          <w:szCs w:val="20"/>
          <w:u w:color="000000"/>
          <w:vertAlign w:val="superscript"/>
          <w:lang w:val="es-ES_tradnl" w:eastAsia="es-ES"/>
        </w:rPr>
        <w:footnoteReference w:id="77"/>
      </w:r>
      <w:r w:rsidRPr="00656B80">
        <w:rPr>
          <w:rFonts w:ascii="Cambria" w:eastAsia="Times New Roman" w:hAnsi="Cambria"/>
          <w:color w:val="000000"/>
          <w:sz w:val="20"/>
          <w:szCs w:val="20"/>
          <w:u w:color="000000"/>
          <w:lang w:val="es-ES_tradnl" w:eastAsia="es-ES"/>
        </w:rPr>
        <w:t xml:space="preserve">. </w:t>
      </w:r>
    </w:p>
    <w:p w:rsidR="00656B80" w:rsidRPr="00656B80" w:rsidRDefault="00656B80" w:rsidP="00656B80">
      <w:pPr>
        <w:rPr>
          <w:rFonts w:ascii="Cambria" w:hAnsi="Cambria"/>
          <w:sz w:val="20"/>
          <w:szCs w:val="20"/>
          <w:lang w:val="es-MX"/>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En lo que respecta a violaciones al derecho a la vida e integridad personal, a partir de la vivencia de la desaparición forzada, el Tribunal ha establecido que:</w:t>
      </w:r>
    </w:p>
    <w:p w:rsidR="00656B80" w:rsidRPr="00656B80" w:rsidRDefault="00656B80" w:rsidP="00656B80">
      <w:pPr>
        <w:jc w:val="both"/>
        <w:rPr>
          <w:rFonts w:ascii="Cambria" w:hAnsi="Cambria"/>
          <w:sz w:val="20"/>
          <w:szCs w:val="20"/>
          <w:lang w:val="es-ES"/>
        </w:rPr>
      </w:pPr>
    </w:p>
    <w:p w:rsidR="00656B80" w:rsidRPr="00656B80" w:rsidRDefault="00656B80" w:rsidP="003B2F02">
      <w:pPr>
        <w:autoSpaceDE w:val="0"/>
        <w:autoSpaceDN w:val="0"/>
        <w:adjustRightInd w:val="0"/>
        <w:ind w:left="720" w:right="720" w:firstLine="720"/>
        <w:jc w:val="both"/>
        <w:rPr>
          <w:rFonts w:ascii="Cambria" w:hAnsi="Cambria"/>
          <w:sz w:val="20"/>
          <w:szCs w:val="20"/>
          <w:lang w:val="es-ES"/>
        </w:rPr>
      </w:pPr>
      <w:r w:rsidRPr="00656B80">
        <w:rPr>
          <w:rFonts w:ascii="Cambria" w:hAnsi="Cambria"/>
          <w:sz w:val="20"/>
          <w:szCs w:val="20"/>
          <w:lang w:val="es-ES"/>
        </w:rPr>
        <w:t>el sometimiento de detenidos a cuerpos represivos oficiales, agentes estatales o particulares que actúen con su aquiescencia o tolerancia, que impunemente practiquen la tortura y el asesinato representa, por sí mismo, una infracción al deber de prevención de violaciones a los derechos a la integridad personal y a la vida, aún en el supuesto de que no puedan demostrarse los hechos de torturas o de privación de la vida de la persona en el caso concreto</w:t>
      </w:r>
      <w:r w:rsidRPr="00656B80">
        <w:rPr>
          <w:rFonts w:ascii="Cambria" w:hAnsi="Cambria"/>
          <w:sz w:val="20"/>
          <w:szCs w:val="20"/>
          <w:vertAlign w:val="superscript"/>
          <w:lang w:val="es-ES"/>
        </w:rPr>
        <w:footnoteReference w:id="78"/>
      </w:r>
      <w:r w:rsidRPr="00656B80">
        <w:rPr>
          <w:rFonts w:ascii="Cambria" w:hAnsi="Cambria"/>
          <w:sz w:val="20"/>
          <w:szCs w:val="20"/>
          <w:lang w:val="es-ES"/>
        </w:rPr>
        <w:t xml:space="preserve">. </w:t>
      </w:r>
    </w:p>
    <w:p w:rsidR="00656B80" w:rsidRPr="00656B80" w:rsidRDefault="00656B80" w:rsidP="003B2F02">
      <w:pPr>
        <w:ind w:left="720" w:right="540" w:firstLine="720"/>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En cuanto al derecho a la integridad personal, en particular, la Corte Interamericana ha reconocido que la desaparición forzada es violatoria de ese derecho pues “el solo hecho del aislamiento prolongado y de la incomunicación coactiva, representa un tratamiento cruel e inhumano [...] en contradicción con los párrafos 1 y 2 del citado artículo”</w:t>
      </w:r>
      <w:r w:rsidRPr="00656B80">
        <w:rPr>
          <w:rFonts w:ascii="Cambria" w:eastAsia="Times New Roman" w:hAnsi="Cambria"/>
          <w:color w:val="000000"/>
          <w:sz w:val="20"/>
          <w:szCs w:val="20"/>
          <w:u w:color="000000"/>
          <w:vertAlign w:val="superscript"/>
          <w:lang w:val="es-ES" w:eastAsia="es-ES"/>
        </w:rPr>
        <w:footnoteReference w:id="79"/>
      </w:r>
      <w:r w:rsidRPr="00656B80">
        <w:rPr>
          <w:rFonts w:ascii="Cambria" w:eastAsia="Times New Roman" w:hAnsi="Cambria"/>
          <w:color w:val="000000"/>
          <w:sz w:val="20"/>
          <w:szCs w:val="20"/>
          <w:u w:color="000000"/>
          <w:lang w:val="es-ES" w:eastAsia="es-ES"/>
        </w:rPr>
        <w:t>. En concreto, la Corte ha establecido que resulta evidente que las víctimas de esta práctica se ven vulneradas en su integridad personal en todas sus dimensiones</w:t>
      </w:r>
      <w:r w:rsidRPr="00656B80">
        <w:rPr>
          <w:rFonts w:ascii="Cambria" w:eastAsia="Times New Roman" w:hAnsi="Cambria"/>
          <w:color w:val="000000"/>
          <w:sz w:val="20"/>
          <w:szCs w:val="20"/>
          <w:u w:color="000000"/>
          <w:vertAlign w:val="superscript"/>
          <w:lang w:val="es-ES" w:eastAsia="es-ES"/>
        </w:rPr>
        <w:footnoteReference w:id="80"/>
      </w:r>
      <w:r w:rsidRPr="00656B80">
        <w:rPr>
          <w:rFonts w:ascii="Cambria" w:eastAsia="Times New Roman" w:hAnsi="Cambria"/>
          <w:color w:val="000000"/>
          <w:sz w:val="20"/>
          <w:szCs w:val="20"/>
          <w:u w:color="000000"/>
          <w:lang w:val="es-ES" w:eastAsia="es-ES"/>
        </w:rPr>
        <w:t>.</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16084A">
        <w:rPr>
          <w:rFonts w:ascii="Cambria" w:eastAsia="Times New Roman" w:hAnsi="Cambria"/>
          <w:color w:val="000000"/>
          <w:sz w:val="20"/>
          <w:szCs w:val="20"/>
          <w:u w:color="000000"/>
          <w:lang w:val="es-ES_tradnl" w:eastAsia="es-ES"/>
        </w:rPr>
        <w:t xml:space="preserve">Específicamente en cuanto al derecho a la vida, de acuerdo </w:t>
      </w:r>
      <w:r w:rsidRPr="0016084A">
        <w:rPr>
          <w:rFonts w:ascii="Cambria" w:eastAsia="Times New Roman" w:hAnsi="Cambria" w:cs="Univers"/>
          <w:color w:val="000000"/>
          <w:sz w:val="20"/>
          <w:szCs w:val="20"/>
          <w:u w:color="000000"/>
          <w:lang w:val="es-ES_tradnl" w:eastAsia="es-ES"/>
        </w:rPr>
        <w:t>con la jurisprudencia de la Corte, la</w:t>
      </w:r>
      <w:r w:rsidRPr="0016084A">
        <w:rPr>
          <w:rFonts w:ascii="Cambria" w:eastAsia="Times New Roman" w:hAnsi="Cambria"/>
          <w:color w:val="000000"/>
          <w:sz w:val="20"/>
          <w:szCs w:val="20"/>
          <w:u w:color="000000"/>
          <w:lang w:val="es-ES_tradnl" w:eastAsia="es-ES"/>
        </w:rPr>
        <w:t xml:space="preserve"> práctica de desapariciones ha implicado</w:t>
      </w:r>
      <w:r w:rsidRPr="00656B80">
        <w:rPr>
          <w:rFonts w:ascii="Cambria" w:eastAsia="Times New Roman" w:hAnsi="Cambria"/>
          <w:color w:val="000000"/>
          <w:sz w:val="20"/>
          <w:szCs w:val="20"/>
          <w:u w:color="000000"/>
          <w:lang w:val="es-ES_tradnl" w:eastAsia="es-ES"/>
        </w:rPr>
        <w:t xml:space="preserve"> con frecuencia la ejecución de los detenidos, en secreto y sin fórmula de juicio, seguida del ocultamiento del </w:t>
      </w:r>
      <w:r w:rsidRPr="00656B80">
        <w:rPr>
          <w:rFonts w:ascii="Cambria" w:eastAsia="Times New Roman" w:hAnsi="Cambria" w:cs="Univers"/>
          <w:color w:val="000000"/>
          <w:sz w:val="20"/>
          <w:szCs w:val="20"/>
          <w:u w:color="000000"/>
          <w:lang w:val="es-ES_tradnl" w:eastAsia="es-ES"/>
        </w:rPr>
        <w:t>cadáver</w:t>
      </w:r>
      <w:r w:rsidRPr="00656B80">
        <w:rPr>
          <w:rFonts w:ascii="Cambria" w:eastAsia="Times New Roman" w:hAnsi="Cambria"/>
          <w:color w:val="000000"/>
          <w:sz w:val="20"/>
          <w:szCs w:val="20"/>
          <w:u w:color="000000"/>
          <w:lang w:val="es-ES_tradnl" w:eastAsia="es-ES"/>
        </w:rPr>
        <w:t xml:space="preserve"> con el objeto de borrar toda huella material del crimen y de procurar la impunidad absoluta, lo que significa una brutal violación del derecho a la vida, reconocido en el artículo 4 de la Convención</w:t>
      </w:r>
      <w:r w:rsidRPr="00656B80">
        <w:rPr>
          <w:rFonts w:ascii="Cambria" w:eastAsia="Times New Roman" w:hAnsi="Cambria"/>
          <w:color w:val="000000"/>
          <w:sz w:val="20"/>
          <w:szCs w:val="20"/>
          <w:u w:color="000000"/>
          <w:vertAlign w:val="superscript"/>
          <w:lang w:val="es-ES_tradnl" w:eastAsia="es-ES"/>
        </w:rPr>
        <w:footnoteReference w:id="81"/>
      </w:r>
      <w:r w:rsidRPr="00656B80">
        <w:rPr>
          <w:rFonts w:ascii="Cambria" w:eastAsia="Times New Roman" w:hAnsi="Cambria"/>
          <w:color w:val="000000"/>
          <w:sz w:val="20"/>
          <w:szCs w:val="20"/>
          <w:u w:color="000000"/>
          <w:lang w:val="es-ES_tradnl" w:eastAsia="es-ES"/>
        </w:rPr>
        <w:t>. Esta violación también resulta del riesgo extremo que la desaparición forzada implica para la vida de la víctima.</w:t>
      </w:r>
    </w:p>
    <w:p w:rsidR="00656B80" w:rsidRPr="00656B80" w:rsidRDefault="00656B80" w:rsidP="00656B80">
      <w:pPr>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De la misma manera, en casos de desaparición forzada de personas, el Tribunal ha señalado que no </w:t>
      </w:r>
      <w:r w:rsidRPr="00656B80">
        <w:rPr>
          <w:rFonts w:ascii="Cambria" w:eastAsia="Times New Roman" w:hAnsi="Cambria" w:cs="Arial"/>
          <w:color w:val="000000"/>
          <w:sz w:val="20"/>
          <w:szCs w:val="20"/>
          <w:u w:color="000000"/>
          <w:lang w:val="es-ES" w:eastAsia="es-ES"/>
        </w:rPr>
        <w:t>es</w:t>
      </w:r>
      <w:r w:rsidRPr="00656B80">
        <w:rPr>
          <w:rFonts w:ascii="Cambria" w:eastAsia="Times New Roman" w:hAnsi="Cambria"/>
          <w:color w:val="000000"/>
          <w:sz w:val="20"/>
          <w:szCs w:val="20"/>
          <w:u w:color="000000"/>
          <w:lang w:val="es-ES" w:eastAsia="es-ES"/>
        </w:rPr>
        <w:t xml:space="preserve"> necesario efectuar un análisis detallado de la detención con relación a cada una de las garantías establecidas en el artículo 7 de la Convención Americana. Ello, puesto que cuando se encuentra probado que la privación de libertad constituyó un paso previo a la desaparición, resulta innecesario determinar si las víctimas fueron informadas de los motivos de su detención, si </w:t>
      </w:r>
      <w:r w:rsidRPr="00656B80" w:rsidDel="00AA6BDE">
        <w:rPr>
          <w:rFonts w:ascii="Cambria" w:eastAsia="Times New Roman" w:hAnsi="Cambria"/>
          <w:color w:val="000000"/>
          <w:sz w:val="20"/>
          <w:szCs w:val="20"/>
          <w:u w:color="000000"/>
          <w:lang w:val="es-ES" w:eastAsia="es-ES"/>
        </w:rPr>
        <w:t xml:space="preserve">ésta se dio </w:t>
      </w:r>
      <w:r w:rsidRPr="00656B80">
        <w:rPr>
          <w:rFonts w:ascii="Cambria" w:eastAsia="Times New Roman" w:hAnsi="Cambria"/>
          <w:color w:val="000000"/>
          <w:sz w:val="20"/>
          <w:szCs w:val="20"/>
          <w:u w:color="000000"/>
          <w:lang w:val="es-ES" w:eastAsia="es-ES"/>
        </w:rPr>
        <w:t>al margen de los motivos y condiciones establecidos en la legislación vigente en la época de los hechos, ni si el acto de detención fue irrazonable, imprevisible o carente de proporcionalidad</w:t>
      </w:r>
      <w:r w:rsidRPr="00656B80">
        <w:rPr>
          <w:rFonts w:ascii="Cambria" w:eastAsia="Times New Roman" w:hAnsi="Cambria"/>
          <w:color w:val="000000"/>
          <w:sz w:val="20"/>
          <w:szCs w:val="20"/>
          <w:u w:color="000000"/>
          <w:vertAlign w:val="superscript"/>
          <w:lang w:val="es-ES" w:eastAsia="es-ES"/>
        </w:rPr>
        <w:footnoteReference w:id="82"/>
      </w:r>
      <w:r w:rsidRPr="00656B80">
        <w:rPr>
          <w:rFonts w:ascii="Cambria" w:eastAsia="Times New Roman" w:hAnsi="Cambria"/>
          <w:color w:val="000000"/>
          <w:sz w:val="20"/>
          <w:szCs w:val="20"/>
          <w:u w:color="000000"/>
          <w:lang w:val="es-ES" w:eastAsia="es-ES"/>
        </w:rPr>
        <w:t>. Lo anterior, porque al analizarse un supuesto de desaparición forzada se debe tener en cuenta que la privación de la libertad es solamente el inicio de la configuración de una violación compleja</w:t>
      </w:r>
      <w:r w:rsidRPr="00656B80">
        <w:rPr>
          <w:rFonts w:ascii="Cambria" w:eastAsia="Times New Roman" w:hAnsi="Cambria"/>
          <w:b/>
          <w:color w:val="000000"/>
          <w:sz w:val="20"/>
          <w:szCs w:val="20"/>
          <w:u w:color="000000"/>
          <w:lang w:val="es-ES" w:eastAsia="es-ES"/>
        </w:rPr>
        <w:t xml:space="preserve"> </w:t>
      </w:r>
      <w:r w:rsidRPr="00656B80">
        <w:rPr>
          <w:rFonts w:ascii="Cambria" w:eastAsia="Times New Roman" w:hAnsi="Cambria"/>
          <w:color w:val="000000"/>
          <w:sz w:val="20"/>
          <w:szCs w:val="20"/>
          <w:u w:color="000000"/>
          <w:lang w:val="es-ES" w:eastAsia="es-ES"/>
        </w:rPr>
        <w:t>que se prolonga en el tiempo hasta que se conoce la suerte y el paradero de la víctima</w:t>
      </w:r>
      <w:r w:rsidRPr="00656B80">
        <w:rPr>
          <w:rFonts w:ascii="Cambria" w:eastAsia="Times New Roman" w:hAnsi="Cambria"/>
          <w:color w:val="000000"/>
          <w:sz w:val="20"/>
          <w:szCs w:val="20"/>
          <w:u w:color="000000"/>
          <w:vertAlign w:val="superscript"/>
          <w:lang w:val="es-ES" w:eastAsia="es-ES"/>
        </w:rPr>
        <w:footnoteReference w:id="83"/>
      </w:r>
      <w:r w:rsidRPr="00656B80">
        <w:rPr>
          <w:rFonts w:ascii="Cambria" w:eastAsia="Times New Roman" w:hAnsi="Cambria"/>
          <w:color w:val="000000"/>
          <w:sz w:val="20"/>
          <w:szCs w:val="20"/>
          <w:u w:color="000000"/>
          <w:lang w:val="es-ES" w:eastAsia="es-ES"/>
        </w:rPr>
        <w:t>.</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Cambria" w:eastAsia="Times New Roman" w:hAnsi="Cambria" w:cs="Arial"/>
          <w:sz w:val="20"/>
          <w:szCs w:val="20"/>
          <w:bdr w:val="none" w:sz="0" w:space="0" w:color="auto"/>
          <w:lang w:val="es-ES_tradnl"/>
        </w:rPr>
      </w:pPr>
    </w:p>
    <w:p w:rsidR="00656B80" w:rsidRPr="00656B80" w:rsidRDefault="00656B80" w:rsidP="007C345F">
      <w:pPr>
        <w:numPr>
          <w:ilvl w:val="0"/>
          <w:numId w:val="62"/>
        </w:numPr>
        <w:tabs>
          <w:tab w:val="num" w:pos="360"/>
        </w:tabs>
        <w:ind w:hanging="1890"/>
        <w:jc w:val="both"/>
        <w:outlineLvl w:val="2"/>
        <w:rPr>
          <w:rFonts w:ascii="Cambria" w:eastAsia="Times New Roman" w:hAnsi="Cambria" w:cs="Arial"/>
          <w:b/>
          <w:bCs/>
          <w:sz w:val="20"/>
          <w:szCs w:val="20"/>
          <w:bdr w:val="none" w:sz="0" w:space="0" w:color="auto"/>
          <w:lang w:val="es-MX"/>
        </w:rPr>
      </w:pPr>
      <w:bookmarkStart w:id="21" w:name="_Toc467948060"/>
      <w:r w:rsidRPr="00656B80">
        <w:rPr>
          <w:rFonts w:ascii="Cambria" w:eastAsia="Times New Roman" w:hAnsi="Cambria" w:cs="Arial"/>
          <w:b/>
          <w:bCs/>
          <w:sz w:val="20"/>
          <w:szCs w:val="20"/>
          <w:bdr w:val="none" w:sz="0" w:space="0" w:color="auto"/>
          <w:lang w:val="es-MX"/>
        </w:rPr>
        <w:t>Análisis del caso concreto</w:t>
      </w:r>
      <w:bookmarkEnd w:id="21"/>
    </w:p>
    <w:p w:rsidR="00656B80" w:rsidRPr="00656B80" w:rsidRDefault="00656B80" w:rsidP="00656B80">
      <w:pPr>
        <w:ind w:firstLine="720"/>
        <w:rPr>
          <w:rFonts w:ascii="Cambria" w:hAnsi="Cambria"/>
          <w:sz w:val="20"/>
          <w:szCs w:val="20"/>
          <w:lang w:val="es-MX"/>
        </w:rPr>
      </w:pPr>
    </w:p>
    <w:p w:rsid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sidDel="00C869DF">
        <w:rPr>
          <w:rFonts w:ascii="Cambria" w:eastAsia="Times New Roman" w:hAnsi="Cambria"/>
          <w:color w:val="000000"/>
          <w:sz w:val="20"/>
          <w:szCs w:val="20"/>
          <w:u w:color="000000"/>
          <w:lang w:val="es-ES_tradnl" w:eastAsia="es-ES"/>
        </w:rPr>
        <w:t xml:space="preserve">Tomando en cuenta lo anterior, la Comisión analizará en este punto si en el caso de </w:t>
      </w:r>
      <w:r w:rsidRPr="00656B80">
        <w:rPr>
          <w:rFonts w:ascii="Cambria" w:eastAsia="Times New Roman" w:hAnsi="Cambria"/>
          <w:color w:val="000000"/>
          <w:sz w:val="20"/>
          <w:szCs w:val="20"/>
          <w:u w:color="000000"/>
          <w:lang w:val="es-ES_tradnl" w:eastAsia="es-ES"/>
        </w:rPr>
        <w:t xml:space="preserve">Walter Munárriz Escobar </w:t>
      </w:r>
      <w:r w:rsidRPr="00656B80" w:rsidDel="00C869DF">
        <w:rPr>
          <w:rFonts w:ascii="Cambria" w:eastAsia="Times New Roman" w:hAnsi="Cambria"/>
          <w:color w:val="000000"/>
          <w:sz w:val="20"/>
          <w:szCs w:val="20"/>
          <w:u w:color="000000"/>
          <w:lang w:val="es-ES_tradnl" w:eastAsia="es-ES"/>
        </w:rPr>
        <w:t xml:space="preserve">se encuentran presentes los elementos constitutivos de desaparición forzada de personas en el siguiente orden: i) La privación de libertad </w:t>
      </w:r>
      <w:r w:rsidRPr="00656B80">
        <w:rPr>
          <w:rFonts w:ascii="Cambria" w:eastAsia="Times New Roman" w:hAnsi="Cambria"/>
          <w:color w:val="000000"/>
          <w:sz w:val="20"/>
          <w:szCs w:val="20"/>
          <w:u w:color="000000"/>
          <w:lang w:val="es-ES_tradnl" w:eastAsia="es-ES"/>
        </w:rPr>
        <w:t xml:space="preserve">y la participación </w:t>
      </w:r>
      <w:r w:rsidRPr="00656B80" w:rsidDel="00C869DF">
        <w:rPr>
          <w:rFonts w:ascii="Cambria" w:eastAsia="Times New Roman" w:hAnsi="Cambria"/>
          <w:color w:val="000000"/>
          <w:sz w:val="20"/>
          <w:szCs w:val="20"/>
          <w:u w:color="000000"/>
          <w:lang w:val="es-ES_tradnl" w:eastAsia="es-ES"/>
        </w:rPr>
        <w:t>de agentes estatales; y ii) La negativa de la privación de libertad o de proveer información sobre el destino o paradero.</w:t>
      </w:r>
    </w:p>
    <w:p w:rsidR="008527CC" w:rsidRPr="00656B80" w:rsidRDefault="008527CC" w:rsidP="008527C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_tradnl" w:eastAsia="es-ES"/>
        </w:rPr>
      </w:pPr>
    </w:p>
    <w:p w:rsidR="00656B80" w:rsidRPr="00656B80" w:rsidDel="00C869DF" w:rsidRDefault="007370C8" w:rsidP="00656B80">
      <w:pPr>
        <w:keepNext/>
        <w:ind w:firstLine="720"/>
        <w:outlineLvl w:val="3"/>
        <w:rPr>
          <w:rFonts w:ascii="Cambria" w:eastAsia="Times New Roman" w:hAnsi="Cambria"/>
          <w:b/>
          <w:bCs/>
          <w:color w:val="000000"/>
          <w:sz w:val="20"/>
          <w:szCs w:val="20"/>
          <w:u w:color="000000"/>
          <w:lang w:val="es-MX" w:eastAsia="es-ES"/>
        </w:rPr>
      </w:pPr>
      <w:r>
        <w:rPr>
          <w:rFonts w:ascii="Cambria" w:eastAsia="Times New Roman" w:hAnsi="Cambria"/>
          <w:b/>
          <w:bCs/>
          <w:sz w:val="20"/>
          <w:szCs w:val="20"/>
          <w:lang w:val="es-MX"/>
        </w:rPr>
        <w:t>2.1</w:t>
      </w:r>
      <w:r w:rsidR="00656B80" w:rsidRPr="00656B80">
        <w:rPr>
          <w:rFonts w:ascii="Cambria" w:eastAsia="Times New Roman" w:hAnsi="Cambria"/>
          <w:b/>
          <w:bCs/>
          <w:sz w:val="20"/>
          <w:szCs w:val="20"/>
          <w:lang w:val="es-MX"/>
        </w:rPr>
        <w:tab/>
      </w:r>
      <w:r w:rsidR="00656B80" w:rsidRPr="00656B80" w:rsidDel="00C869DF">
        <w:rPr>
          <w:rFonts w:ascii="Cambria" w:eastAsia="Times New Roman" w:hAnsi="Cambria"/>
          <w:b/>
          <w:bCs/>
          <w:sz w:val="20"/>
          <w:szCs w:val="20"/>
          <w:lang w:val="es-MX"/>
        </w:rPr>
        <w:t>La privación de libertad</w:t>
      </w:r>
      <w:r w:rsidR="00656B80" w:rsidRPr="00656B80">
        <w:rPr>
          <w:rFonts w:ascii="Cambria" w:eastAsia="Times New Roman" w:hAnsi="Cambria"/>
          <w:b/>
          <w:bCs/>
          <w:sz w:val="20"/>
          <w:szCs w:val="20"/>
          <w:lang w:val="es-MX"/>
        </w:rPr>
        <w:t xml:space="preserve"> y la participación de</w:t>
      </w:r>
      <w:r w:rsidR="00656B80" w:rsidRPr="00656B80" w:rsidDel="00C869DF">
        <w:rPr>
          <w:rFonts w:ascii="Cambria" w:eastAsia="Times New Roman" w:hAnsi="Cambria"/>
          <w:b/>
          <w:bCs/>
          <w:sz w:val="20"/>
          <w:szCs w:val="20"/>
          <w:lang w:val="es-MX"/>
        </w:rPr>
        <w:t xml:space="preserve"> agentes estatales</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_tradnl"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olor w:val="000000"/>
          <w:sz w:val="20"/>
          <w:szCs w:val="20"/>
          <w:u w:color="000000"/>
          <w:bdr w:val="none" w:sz="0" w:space="0" w:color="auto"/>
          <w:lang w:val="es-ES_tradnl" w:eastAsia="es-ES"/>
        </w:rPr>
        <w:t xml:space="preserve">En el presente caso no </w:t>
      </w:r>
      <w:r w:rsidRPr="00656B80">
        <w:rPr>
          <w:rFonts w:ascii="Cambria" w:eastAsia="Times New Roman" w:hAnsi="Cambria" w:cs="Arial"/>
          <w:color w:val="000000"/>
          <w:sz w:val="20"/>
          <w:szCs w:val="20"/>
          <w:u w:color="000000"/>
          <w:lang w:val="es-ES" w:eastAsia="es-ES"/>
        </w:rPr>
        <w:t xml:space="preserve">existe controversia sobre el hecho de que el 20 de marzo de 1999 Walter Munárriz Escobar fue detenido en el Hospedaje Los Manolos por personal policial y llevado a la Comisaría de Lircay, donde estuvo privado de libertad. En ese sentido, el primer elemento constitutivo de la desaparición forzada se encuentra satisfecho.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_tradnl"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s="Arial"/>
          <w:color w:val="000000"/>
          <w:sz w:val="20"/>
          <w:szCs w:val="20"/>
          <w:u w:color="000000"/>
          <w:lang w:val="es-ES" w:eastAsia="es-ES"/>
        </w:rPr>
        <w:t xml:space="preserve">La controversia entre las partes consiste en si Walter Munárriz permaneció en la Comisaría para ser posteriormente desaparecido por parte de agentes estatales, o si se encuentra acreditada la versión oficial de la liberación.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s="Arial"/>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olor w:val="000000"/>
          <w:sz w:val="20"/>
          <w:szCs w:val="20"/>
          <w:u w:color="000000"/>
          <w:lang w:val="es-ES_tradnl" w:eastAsia="es-ES"/>
        </w:rPr>
        <w:t xml:space="preserve">En el caso </w:t>
      </w:r>
      <w:r w:rsidRPr="00656B80">
        <w:rPr>
          <w:rFonts w:ascii="Cambria" w:eastAsia="Times New Roman" w:hAnsi="Cambria"/>
          <w:i/>
          <w:color w:val="000000"/>
          <w:sz w:val="20"/>
          <w:szCs w:val="20"/>
          <w:u w:color="000000"/>
          <w:lang w:val="es-ES_tradnl" w:eastAsia="es-ES"/>
        </w:rPr>
        <w:t xml:space="preserve">Osorio Rivera y otros vs. Perú, </w:t>
      </w:r>
      <w:r w:rsidRPr="00656B80">
        <w:rPr>
          <w:rFonts w:ascii="Cambria" w:eastAsia="Times New Roman" w:hAnsi="Cambria"/>
          <w:color w:val="000000"/>
          <w:sz w:val="20"/>
          <w:szCs w:val="20"/>
          <w:u w:color="000000"/>
          <w:lang w:val="es-ES_tradnl" w:eastAsia="es-ES"/>
        </w:rPr>
        <w:t>la Corte Interamericana analizó una desaparición forzada en la cual el Estado aceptó la detención pero argumentó que la víctima había sido puesta en libertad y, por lo tanto, su desaparición no le era atribuible. Sobre este alegato, la Corte indicó que “tanto en el Perú como en otros países en que se han producido desapariciones forzadas, existe información respecto a que las autoridades informan haber puesto en libertad a la persona que se alega desaparecida como una práctica para ocultar la verdadera suerte o paradero de la persona que ha sido detenida”</w:t>
      </w:r>
      <w:r w:rsidRPr="00656B80">
        <w:rPr>
          <w:rFonts w:ascii="Cambria" w:eastAsia="Times New Roman" w:hAnsi="Cambria"/>
          <w:color w:val="000000"/>
          <w:sz w:val="20"/>
          <w:szCs w:val="20"/>
          <w:u w:color="000000"/>
          <w:vertAlign w:val="superscript"/>
          <w:lang w:val="es-ES_tradnl" w:eastAsia="es-ES"/>
        </w:rPr>
        <w:footnoteReference w:id="84"/>
      </w:r>
      <w:r w:rsidRPr="00656B80">
        <w:rPr>
          <w:rFonts w:ascii="Cambria" w:eastAsia="Times New Roman" w:hAnsi="Cambria"/>
          <w:color w:val="000000"/>
          <w:sz w:val="20"/>
          <w:szCs w:val="20"/>
          <w:u w:color="000000"/>
          <w:lang w:val="es-ES_tradnl" w:eastAsia="es-ES"/>
        </w:rPr>
        <w:t>.</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_tradnl"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olor w:val="000000"/>
          <w:sz w:val="20"/>
          <w:szCs w:val="20"/>
          <w:u w:color="000000"/>
          <w:bdr w:val="none" w:sz="0" w:space="0" w:color="auto"/>
          <w:lang w:val="es-ES_tradnl" w:eastAsia="es-ES"/>
        </w:rPr>
        <w:t xml:space="preserve">La </w:t>
      </w:r>
      <w:r w:rsidRPr="00656B80">
        <w:rPr>
          <w:rFonts w:ascii="Cambria" w:eastAsia="Times New Roman" w:hAnsi="Cambria"/>
          <w:color w:val="000000"/>
          <w:sz w:val="20"/>
          <w:szCs w:val="20"/>
          <w:u w:color="000000"/>
          <w:lang w:val="es-ES_tradnl" w:eastAsia="es-ES"/>
        </w:rPr>
        <w:t>Comisión</w:t>
      </w:r>
      <w:r w:rsidRPr="00656B80">
        <w:rPr>
          <w:rFonts w:ascii="Cambria" w:eastAsia="Times New Roman" w:hAnsi="Cambria"/>
          <w:color w:val="000000"/>
          <w:sz w:val="20"/>
          <w:szCs w:val="20"/>
          <w:u w:color="000000"/>
          <w:bdr w:val="none" w:sz="0" w:space="0" w:color="auto"/>
          <w:lang w:val="es-ES_tradnl" w:eastAsia="es-ES"/>
        </w:rPr>
        <w:t xml:space="preserve"> subraya que, al encontrarse bajo custodia del Estado, éste tenía una obligación especial de garante de los derechos de Walter Munárriz, así como una obligación de investigar exhaustivamente su desaparición, con el objeto de brindar una explicación satisfactoria de lo sucedido. </w:t>
      </w:r>
      <w:r w:rsidRPr="00656B80">
        <w:rPr>
          <w:rFonts w:ascii="Cambria" w:eastAsia="Times New Roman" w:hAnsi="Cambria"/>
          <w:color w:val="000000"/>
          <w:sz w:val="20"/>
          <w:szCs w:val="20"/>
          <w:u w:color="000000"/>
          <w:lang w:val="es-ES_tradnl" w:eastAsia="es-ES"/>
        </w:rPr>
        <w:t xml:space="preserve">En ese sentido, corresponde al Estado demostrar su afirmación sobre la alegada liberación a través de medios probatorios suficientes para desvirtuar la participación de agentes estatales en la desaparición y su correspondiente responsabilidad.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s="Arial"/>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s="Arial"/>
          <w:color w:val="000000"/>
          <w:sz w:val="20"/>
          <w:szCs w:val="20"/>
          <w:u w:color="000000"/>
          <w:lang w:val="es-ES" w:eastAsia="es-ES"/>
        </w:rPr>
        <w:t xml:space="preserve">Al respecto, la Comisión observa en primer lugar que no existe prueba documental </w:t>
      </w:r>
      <w:r w:rsidR="00074FED">
        <w:rPr>
          <w:rFonts w:ascii="Cambria" w:eastAsia="Times New Roman" w:hAnsi="Cambria" w:cs="Arial"/>
          <w:color w:val="000000"/>
          <w:sz w:val="20"/>
          <w:szCs w:val="20"/>
          <w:u w:color="000000"/>
          <w:lang w:val="es-ES" w:eastAsia="es-ES"/>
        </w:rPr>
        <w:t xml:space="preserve">que </w:t>
      </w:r>
      <w:r w:rsidRPr="00656B80">
        <w:rPr>
          <w:rFonts w:ascii="Cambria" w:eastAsia="Times New Roman" w:hAnsi="Cambria" w:cs="Arial"/>
          <w:color w:val="000000"/>
          <w:sz w:val="20"/>
          <w:szCs w:val="20"/>
          <w:u w:color="000000"/>
          <w:lang w:val="es-ES" w:eastAsia="es-ES"/>
        </w:rPr>
        <w:t xml:space="preserve">acredite dicha liberación. El Estado, los propios agentes policiales involucrados y la autoridad disciplinaria que los sancionó, coinciden en indicar que no existe constancia alguna en los registros de la Comisaría de Lircay que demuestre que Walter Munárriz fue puesto en libertad.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s="Arial"/>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s="Arial"/>
          <w:color w:val="000000"/>
          <w:sz w:val="20"/>
          <w:szCs w:val="20"/>
          <w:u w:color="000000"/>
          <w:lang w:val="es-ES" w:eastAsia="es-ES"/>
        </w:rPr>
        <w:t xml:space="preserve">En segundo lugar, la Comisión nota que la única prueba aducida por el Estado se relaciona con la declaración de dos personas – Lucinda Ponce y Juan Martin Silva – que narraron haber visto a Walter Munárriz en la madrugada del 20 de marzo de 1999 en las inmediaciones de la Comisaría de Lircay. Sobre esta prueba, la Comisión toma en cuenta que tal como se estableció en los hechos probados, tanto la Corte Superior Mixta de Huancavelica como la Defensoría del Pueblo restaron credibilidad a estos testimonios al indicar que los mismos no eran homogéneos, presentaron contradicciones y, particularmente, que habían quedado desvanecidos mediante inspecciones judiciales que demostraron que era materialmente imposible haber reconocido a Walter Munárriz a la distancia en que se encontraban los supuestos testigos.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s="Arial"/>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s="Arial"/>
          <w:color w:val="000000"/>
          <w:sz w:val="20"/>
          <w:szCs w:val="20"/>
          <w:u w:color="000000"/>
          <w:lang w:val="es-ES" w:eastAsia="es-ES"/>
        </w:rPr>
        <w:t>También se restó credibilidad a dichos testimonios por el hecho de que ninguna otra persona hubiera visto a</w:t>
      </w:r>
      <w:r w:rsidR="00C95448">
        <w:rPr>
          <w:rFonts w:ascii="Cambria" w:eastAsia="Times New Roman" w:hAnsi="Cambria" w:cs="Arial"/>
          <w:color w:val="000000"/>
          <w:sz w:val="20"/>
          <w:szCs w:val="20"/>
          <w:u w:color="000000"/>
          <w:lang w:val="es-ES" w:eastAsia="es-ES"/>
        </w:rPr>
        <w:t xml:space="preserve"> Walter Munárriz</w:t>
      </w:r>
      <w:r w:rsidRPr="00656B80">
        <w:rPr>
          <w:rFonts w:ascii="Cambria" w:eastAsia="Times New Roman" w:hAnsi="Cambria" w:cs="Arial"/>
          <w:color w:val="000000"/>
          <w:sz w:val="20"/>
          <w:szCs w:val="20"/>
          <w:u w:color="000000"/>
          <w:lang w:val="es-ES" w:eastAsia="es-ES"/>
        </w:rPr>
        <w:t>. Además de dichas determinaciones de autoridades a nivel interno sobre los referidos testimonios, la Comisión destaca que conforme a los hechos probados, una de las personas que afirmó haber visto a Walter Munárriz (Lucinda Ponce) le habría indicado a una de las personas detenidas en la Comisaría (señor Sierra Tueros) que había sido “aleccionada” para declarar que vió a un jover de cabello largo que transitaba por la zona.</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_tradnl"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s="Arial"/>
          <w:color w:val="000000"/>
          <w:sz w:val="20"/>
          <w:szCs w:val="20"/>
          <w:u w:color="000000"/>
          <w:lang w:val="es-ES" w:eastAsia="es-ES"/>
        </w:rPr>
        <w:t>En tercer lugar, a</w:t>
      </w:r>
      <w:r w:rsidR="00CE0420">
        <w:rPr>
          <w:rFonts w:ascii="Cambria" w:eastAsia="Times New Roman" w:hAnsi="Cambria" w:cs="Arial"/>
          <w:color w:val="000000"/>
          <w:sz w:val="20"/>
          <w:szCs w:val="20"/>
          <w:u w:color="000000"/>
          <w:lang w:val="es-ES" w:eastAsia="es-ES"/>
        </w:rPr>
        <w:t>demás de</w:t>
      </w:r>
      <w:r w:rsidRPr="00656B80">
        <w:rPr>
          <w:rFonts w:ascii="Cambria" w:eastAsia="Times New Roman" w:hAnsi="Cambria" w:cs="Arial"/>
          <w:color w:val="000000"/>
          <w:sz w:val="20"/>
          <w:szCs w:val="20"/>
          <w:u w:color="000000"/>
          <w:lang w:val="es-ES" w:eastAsia="es-ES"/>
        </w:rPr>
        <w:t xml:space="preserve"> la falta de constancia documental de la liberación y a la falta de credibilidad de los testimonios de la señora Ponce y del señor Silva, la Comisión considera que existen múltiples elementos cincunstanciales que resultan consistentes con la participación de agentes estatales en la desaparición de Walter Munárriz.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s="Arial"/>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s="Arial"/>
          <w:color w:val="000000"/>
          <w:sz w:val="20"/>
          <w:szCs w:val="20"/>
          <w:u w:color="000000"/>
          <w:lang w:val="es-ES" w:eastAsia="es-ES"/>
        </w:rPr>
        <w:t xml:space="preserve">Al respecto, la Comisión destaca que el Estado reconoció el incumplimiento de los reglamentos y protocolos policiales en toda la actuación estatal respecto de Walter Munárriz, incluyendo la falta absoluta de registro y documentación oficial sobre su detención, traslado e ingreso a la Comisaría de Lircay.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s="Arial"/>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s="Arial"/>
          <w:color w:val="000000"/>
          <w:sz w:val="20"/>
          <w:szCs w:val="20"/>
          <w:u w:color="000000"/>
          <w:lang w:val="es-ES" w:eastAsia="es-ES"/>
        </w:rPr>
        <w:t xml:space="preserve">Además, la Comisión observa que en la detención, traslado e ingreso a la Comisaría de Lircay se incumplieron todas las garantías contempladas en el artíclo 7 de la Convención Americana. Si bien como se indicó arriba, en un caso de alegada desaparición forzada la privación de libertad puede ser de cualquier forma sin que resulte necesario demostrar el incumplimiento de dichas garantías, en el presente caso tal </w:t>
      </w:r>
      <w:r w:rsidRPr="00656B80">
        <w:rPr>
          <w:rFonts w:ascii="Cambria" w:eastAsia="Times New Roman" w:hAnsi="Cambria" w:cs="Arial"/>
          <w:color w:val="000000"/>
          <w:sz w:val="20"/>
          <w:szCs w:val="20"/>
          <w:u w:color="000000"/>
          <w:lang w:val="es-ES" w:eastAsia="es-ES"/>
        </w:rPr>
        <w:lastRenderedPageBreak/>
        <w:t xml:space="preserve">incumplimiento es tan manifiesto que se constituye en un indicio adicional de que la actuación de los agentes del Estado apuntaba a no dejar constancia escrita de la situación de Walter Munárriz.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_tradnl"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s="Arial"/>
          <w:color w:val="000000"/>
          <w:sz w:val="20"/>
          <w:szCs w:val="20"/>
          <w:u w:color="000000"/>
          <w:lang w:val="es-ES" w:eastAsia="es-ES"/>
        </w:rPr>
        <w:t>En la misma línea, la Comisión resalta que existen varios indicios que permiten afirmar que en diferentes momentos existió presión para que los testigos indicaran ciertas cosas fa</w:t>
      </w:r>
      <w:r w:rsidR="001D0520">
        <w:rPr>
          <w:rFonts w:ascii="Cambria" w:eastAsia="Times New Roman" w:hAnsi="Cambria" w:cs="Arial"/>
          <w:color w:val="000000"/>
          <w:sz w:val="20"/>
          <w:szCs w:val="20"/>
          <w:u w:color="000000"/>
          <w:lang w:val="es-ES" w:eastAsia="es-ES"/>
        </w:rPr>
        <w:t xml:space="preserve">vorables a la versión policial; por lo menos dos </w:t>
      </w:r>
      <w:r w:rsidR="00631804">
        <w:rPr>
          <w:rFonts w:ascii="Cambria" w:eastAsia="Times New Roman" w:hAnsi="Cambria" w:cs="Arial"/>
          <w:color w:val="000000"/>
          <w:sz w:val="20"/>
          <w:szCs w:val="20"/>
          <w:u w:color="000000"/>
          <w:lang w:val="es-ES" w:eastAsia="es-ES"/>
        </w:rPr>
        <w:t xml:space="preserve">testigos describieron haber recibido </w:t>
      </w:r>
      <w:r w:rsidRPr="00656B80">
        <w:rPr>
          <w:rFonts w:ascii="Cambria" w:eastAsia="Times New Roman" w:hAnsi="Cambria" w:cs="Arial"/>
          <w:color w:val="000000"/>
          <w:sz w:val="20"/>
          <w:szCs w:val="20"/>
          <w:u w:color="000000"/>
          <w:lang w:val="es-ES" w:eastAsia="es-ES"/>
        </w:rPr>
        <w:t xml:space="preserve">amenazas para acallar que estuvieron detenidos con Walter Munárriz. Este punto será analizado más adelante en lo relativo al encubrimiento. En esta sección, la CIDH se limita a notar que estos elementos constituyen indicios adicionales de la participación de agentes estatales.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_tradnl"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s="Arial"/>
          <w:color w:val="000000"/>
          <w:sz w:val="20"/>
          <w:szCs w:val="20"/>
          <w:u w:color="000000"/>
          <w:lang w:val="es-ES" w:eastAsia="es-ES"/>
        </w:rPr>
        <w:t xml:space="preserve">Asimismo, la Comisión resalta la información sobre los maltratos sufridos por Walter Munárriz mientras estuvo privado de libertad en la Comisaría de Lircay. Si bien conforme a los estándares descritos en casos de desaparición forzada no es necesario demostrar la existencia de actos específicos de tortura o maltratos para determinar violaciones del derecho a la integridad personal, en el presente caso existen elementos que apuntan a que Walter Munárriz fue efectivamente víctima de maltratos físicos, lo que se consituye en un indicio adicional que desvirtúa la hipótesis de liberación del Estado.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_tradnl"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_tradnl"/>
        </w:rPr>
        <w:t xml:space="preserve">Al respecto, consta </w:t>
      </w:r>
      <w:r w:rsidRPr="00656B80">
        <w:rPr>
          <w:rFonts w:ascii="Cambria" w:hAnsi="Cambria"/>
          <w:sz w:val="20"/>
          <w:szCs w:val="20"/>
          <w:lang w:val="es-ES"/>
        </w:rPr>
        <w:t xml:space="preserve">la declaración rendida por Marcos Sierra Tueros ante el representante del Defensor del Pueblo conforme a la cual: </w:t>
      </w:r>
    </w:p>
    <w:p w:rsidR="00656B80" w:rsidRPr="00656B80" w:rsidRDefault="00656B80" w:rsidP="00ED2B57">
      <w:pPr>
        <w:ind w:right="810"/>
        <w:rPr>
          <w:rFonts w:ascii="Cambria" w:hAnsi="Cambria"/>
          <w:sz w:val="20"/>
          <w:szCs w:val="20"/>
          <w:lang w:val="es-ES"/>
        </w:rPr>
      </w:pPr>
    </w:p>
    <w:p w:rsidR="00656B80" w:rsidRPr="00656B80" w:rsidRDefault="00656B80" w:rsidP="00ED2B57">
      <w:pPr>
        <w:pBdr>
          <w:top w:val="none" w:sz="0" w:space="0" w:color="auto"/>
          <w:left w:val="none" w:sz="0" w:space="0" w:color="auto"/>
          <w:bottom w:val="none" w:sz="0" w:space="0" w:color="auto"/>
          <w:right w:val="none" w:sz="0" w:space="0" w:color="auto"/>
          <w:between w:val="none" w:sz="0" w:space="0" w:color="auto"/>
          <w:bar w:val="none" w:sz="0" w:color="auto"/>
        </w:pBdr>
        <w:ind w:left="720" w:right="810"/>
        <w:jc w:val="both"/>
        <w:rPr>
          <w:rFonts w:ascii="Cambria" w:hAnsi="Cambria"/>
          <w:sz w:val="20"/>
          <w:szCs w:val="20"/>
          <w:lang w:val="es-ES"/>
        </w:rPr>
      </w:pPr>
      <w:r w:rsidRPr="00656B80">
        <w:rPr>
          <w:rFonts w:ascii="Cambria" w:hAnsi="Cambria"/>
          <w:sz w:val="20"/>
          <w:szCs w:val="20"/>
          <w:lang w:val="es-ES"/>
        </w:rPr>
        <w:t>[…] la madrugada del 20/03/99, escuchó gritos de un muchacho co</w:t>
      </w:r>
      <w:r w:rsidR="001D0520">
        <w:rPr>
          <w:rFonts w:ascii="Cambria" w:hAnsi="Cambria"/>
          <w:sz w:val="20"/>
          <w:szCs w:val="20"/>
          <w:lang w:val="es-ES"/>
        </w:rPr>
        <w:t>m</w:t>
      </w:r>
      <w:r w:rsidRPr="00656B80">
        <w:rPr>
          <w:rFonts w:ascii="Cambria" w:hAnsi="Cambria"/>
          <w:sz w:val="20"/>
          <w:szCs w:val="20"/>
          <w:lang w:val="es-ES"/>
        </w:rPr>
        <w:t>o si lo estuvieran golpeando, aclarando dijo que la citada persona se quejaba, pidiendo que ya no le peguen más; que los gritos se escucharon por espacio de veinte a treinta minutos […]</w:t>
      </w:r>
      <w:r w:rsidRPr="00656B80">
        <w:rPr>
          <w:rFonts w:ascii="Cambria" w:hAnsi="Cambria"/>
          <w:sz w:val="20"/>
          <w:szCs w:val="20"/>
          <w:vertAlign w:val="superscript"/>
          <w:lang w:val="es-ES"/>
        </w:rPr>
        <w:footnoteReference w:id="85"/>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MX"/>
        </w:rPr>
        <w:t>Asimismo, consta su declaración ante la Fiscalía Superior de Huancavelica, quien dijo haber reconocido la voz de los policías que estaban maltratando a Walter Munárriz Escobar y le decían que:</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656B80">
        <w:rPr>
          <w:rFonts w:ascii="Cambria" w:hAnsi="Cambria"/>
          <w:sz w:val="20"/>
          <w:szCs w:val="20"/>
          <w:lang w:val="es-ES"/>
        </w:rPr>
        <w:t>Habla c…, a qué has entrado al cuarto, siendo esto por un lapso de media hora aproximadamente, luego de ello se quedó silencio como si se hubiesen tirado a dormir, después se  escuchó como si jalaban algo, de ahí ya no se escuchó nada</w:t>
      </w:r>
      <w:r w:rsidRPr="00656B80">
        <w:rPr>
          <w:rFonts w:ascii="Cambria" w:hAnsi="Cambria"/>
          <w:sz w:val="20"/>
          <w:szCs w:val="20"/>
          <w:vertAlign w:val="superscript"/>
          <w:lang w:val="es-ES"/>
        </w:rPr>
        <w:footnoteReference w:id="86"/>
      </w:r>
      <w:r w:rsidRPr="00656B80">
        <w:rPr>
          <w:rFonts w:ascii="Cambria" w:hAnsi="Cambria"/>
          <w:sz w:val="20"/>
          <w:szCs w:val="20"/>
          <w:lang w:val="es-ES"/>
        </w:rPr>
        <w:t xml:space="preserv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Si bien con posterioridad, el señor Marcos Sierra Tueros cambió el sentido de su declaración ante la Fiscalía, consta la declaración que él mismo rindió ante la Defensoría del Pueblo, en la que manifestó que “fue coaccionado para que declare ante la Fiscalía que no había sucedido nada anormal el día de los hechos”</w:t>
      </w:r>
      <w:r w:rsidRPr="00656B80">
        <w:rPr>
          <w:rFonts w:ascii="Cambria" w:hAnsi="Cambria"/>
          <w:sz w:val="20"/>
          <w:szCs w:val="20"/>
          <w:vertAlign w:val="superscript"/>
          <w:lang w:val="es-ES"/>
        </w:rPr>
        <w:footnoteReference w:id="87"/>
      </w:r>
      <w:r w:rsidRPr="00656B80">
        <w:rPr>
          <w:rFonts w:ascii="Cambria" w:hAnsi="Cambria"/>
          <w:sz w:val="20"/>
          <w:szCs w:val="20"/>
          <w:lang w:val="es-ES"/>
        </w:rPr>
        <w:t xml:space="preserve">. Como se indicará posteriormente, las razones de esta retractación no fueron debidamente investigadas por el Estado a fin de esclarecer si obedeció a alguna forma de presión o amenaza por parte de agentes estatales. </w:t>
      </w:r>
    </w:p>
    <w:p w:rsidR="00656B80" w:rsidRPr="00656B80" w:rsidRDefault="00656B80" w:rsidP="00C8110A">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 xml:space="preserve">Asimismo, la madre de Walter Munárriz Escobar declaró que: </w:t>
      </w:r>
    </w:p>
    <w:p w:rsidR="00656B80" w:rsidRPr="00656B80" w:rsidRDefault="00656B80" w:rsidP="00656B80">
      <w:pPr>
        <w:rPr>
          <w:rFonts w:ascii="Cambria" w:hAnsi="Cambria"/>
          <w:sz w:val="20"/>
          <w:szCs w:val="20"/>
          <w:lang w:val="es-MX"/>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656B80">
        <w:rPr>
          <w:rFonts w:ascii="Cambria" w:hAnsi="Cambria"/>
          <w:sz w:val="20"/>
          <w:szCs w:val="20"/>
          <w:lang w:val="es-ES"/>
        </w:rPr>
        <w:t>[…] posteriormente vino la esposa del señor Sierra Tueros y ella me dijo, dice a tu hijo le han maltratado duro, incluso la pared sonaba como si le chancaran la cabeza y tu hijo gritaba le decían carajo a que has entrado y dice en un momento todo a quedado en silencia y al poco rato arrancó el carro […]</w:t>
      </w:r>
      <w:r w:rsidRPr="00656B80">
        <w:rPr>
          <w:rFonts w:ascii="Cambria" w:hAnsi="Cambria"/>
          <w:sz w:val="20"/>
          <w:szCs w:val="20"/>
          <w:vertAlign w:val="superscript"/>
          <w:lang w:val="es-ES"/>
        </w:rPr>
        <w:footnoteReference w:id="88"/>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 xml:space="preserve">A lo anterior se suma lo indicado en el informe de la Defensoría del Pueblo sobre el señor Donayres – también detenido en la Comisaría el día de los hechos – quien se habría acercado al chofer de </w:t>
      </w:r>
      <w:r w:rsidRPr="00656B80">
        <w:rPr>
          <w:rFonts w:ascii="Cambria" w:hAnsi="Cambria"/>
          <w:sz w:val="20"/>
          <w:szCs w:val="20"/>
          <w:lang w:val="es-ES"/>
        </w:rPr>
        <w:lastRenderedPageBreak/>
        <w:t xml:space="preserve">dicha institución para decirle que quería dar información sobre los quejidos que escuchó en la Comisaría pero que no se sentía seguro. </w:t>
      </w:r>
    </w:p>
    <w:p w:rsidR="00C95448" w:rsidRPr="00656B80" w:rsidRDefault="00C95448" w:rsidP="00C95448">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 xml:space="preserve">Con base en los anteriores elementos, la Defensoría del Pueblo concluyó que: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1440"/>
        <w:jc w:val="both"/>
        <w:rPr>
          <w:rFonts w:ascii="Cambria" w:hAnsi="Cambria"/>
          <w:sz w:val="20"/>
          <w:szCs w:val="20"/>
          <w:lang w:val="es-ES"/>
        </w:rPr>
      </w:pPr>
    </w:p>
    <w:p w:rsidR="00656B80" w:rsidRPr="00656B80" w:rsidRDefault="00656B80" w:rsidP="00267A01">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656B80">
        <w:rPr>
          <w:rFonts w:ascii="Cambria" w:hAnsi="Cambria"/>
          <w:sz w:val="20"/>
          <w:szCs w:val="20"/>
          <w:lang w:val="es-ES"/>
        </w:rPr>
        <w:t>Durante su detención Walter Munárriz Escobar fue sometido a maltratos físicos y verbales por personal policial […]</w:t>
      </w:r>
      <w:r w:rsidRPr="00656B80">
        <w:rPr>
          <w:rFonts w:ascii="Cambria" w:hAnsi="Cambria"/>
          <w:sz w:val="20"/>
          <w:szCs w:val="20"/>
          <w:vertAlign w:val="superscript"/>
          <w:lang w:val="es-ES"/>
        </w:rPr>
        <w:footnoteReference w:id="89"/>
      </w:r>
    </w:p>
    <w:p w:rsidR="00656B80" w:rsidRPr="00656B80" w:rsidRDefault="00656B80" w:rsidP="00C8110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Cs/>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s="Arial"/>
          <w:color w:val="000000"/>
          <w:sz w:val="20"/>
          <w:szCs w:val="20"/>
          <w:u w:color="000000"/>
          <w:lang w:val="es-ES" w:eastAsia="es-ES"/>
        </w:rPr>
        <w:t xml:space="preserve">En virtud de lo anterior, la Comisión recapitula que no existe prueba documental alguna de la liberación, que los testimonios aducidos por el Estado y que constituyen la única prueba de la alegada liberación de Walter Munárriz Escobar no cumplen con estándares mínimos de credibilidad, que existen múltiples elementos circunstanciales que tomados en su conjunto demuestran que la actuación policial en general respecto de Walter Munárriz fue irregular y arbitraria y que existen declaraciones que apuntan a </w:t>
      </w:r>
      <w:r w:rsidR="00F85821">
        <w:rPr>
          <w:rFonts w:ascii="Cambria" w:eastAsia="Times New Roman" w:hAnsi="Cambria" w:cs="Arial"/>
          <w:color w:val="000000"/>
          <w:sz w:val="20"/>
          <w:szCs w:val="20"/>
          <w:u w:color="000000"/>
          <w:lang w:val="es-ES" w:eastAsia="es-ES"/>
        </w:rPr>
        <w:t>golpes</w:t>
      </w:r>
      <w:r w:rsidR="00D32662">
        <w:rPr>
          <w:rFonts w:ascii="Cambria" w:eastAsia="Times New Roman" w:hAnsi="Cambria" w:cs="Arial"/>
          <w:color w:val="000000"/>
          <w:sz w:val="20"/>
          <w:szCs w:val="20"/>
          <w:u w:color="000000"/>
          <w:lang w:val="es-ES" w:eastAsia="es-ES"/>
        </w:rPr>
        <w:t xml:space="preserve">, </w:t>
      </w:r>
      <w:r w:rsidR="008A02D6">
        <w:rPr>
          <w:rFonts w:ascii="Cambria" w:eastAsia="Times New Roman" w:hAnsi="Cambria" w:cs="Arial"/>
          <w:color w:val="000000"/>
          <w:sz w:val="20"/>
          <w:szCs w:val="20"/>
          <w:u w:color="000000"/>
          <w:lang w:val="es-ES" w:eastAsia="es-ES"/>
        </w:rPr>
        <w:t xml:space="preserve">insultos y </w:t>
      </w:r>
      <w:r w:rsidR="00F85821">
        <w:rPr>
          <w:rFonts w:ascii="Cambria" w:eastAsia="Times New Roman" w:hAnsi="Cambria" w:cs="Arial"/>
          <w:color w:val="000000"/>
          <w:sz w:val="20"/>
          <w:szCs w:val="20"/>
          <w:u w:color="000000"/>
          <w:lang w:val="es-ES" w:eastAsia="es-ES"/>
        </w:rPr>
        <w:t xml:space="preserve">otros abusos </w:t>
      </w:r>
      <w:r w:rsidRPr="00656B80">
        <w:rPr>
          <w:rFonts w:ascii="Cambria" w:eastAsia="Times New Roman" w:hAnsi="Cambria" w:cs="Arial"/>
          <w:color w:val="000000"/>
          <w:sz w:val="20"/>
          <w:szCs w:val="20"/>
          <w:u w:color="000000"/>
          <w:lang w:val="es-ES" w:eastAsia="es-ES"/>
        </w:rPr>
        <w:t>sufridos por él</w:t>
      </w:r>
      <w:r w:rsidR="00F85821">
        <w:rPr>
          <w:rFonts w:ascii="Cambria" w:eastAsia="Times New Roman" w:hAnsi="Cambria" w:cs="Arial"/>
          <w:color w:val="000000"/>
          <w:sz w:val="20"/>
          <w:szCs w:val="20"/>
          <w:u w:color="000000"/>
          <w:lang w:val="es-ES" w:eastAsia="es-ES"/>
        </w:rPr>
        <w:t>,</w:t>
      </w:r>
      <w:r w:rsidRPr="00656B80">
        <w:rPr>
          <w:rFonts w:ascii="Cambria" w:eastAsia="Times New Roman" w:hAnsi="Cambria" w:cs="Arial"/>
          <w:color w:val="000000"/>
          <w:sz w:val="20"/>
          <w:szCs w:val="20"/>
          <w:u w:color="000000"/>
          <w:lang w:val="es-ES" w:eastAsia="es-ES"/>
        </w:rPr>
        <w:t xml:space="preserve"> bajo custodia del Estado. Con base en todo lo anterior, el Estado peruano no logró demostrar la liberación de Walter Munárriz y, por lo tanto, no pudo desvirtuar la participación de agentes estatales en su desaparición.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Cambria" w:eastAsia="Times New Roman" w:hAnsi="Cambria"/>
          <w:color w:val="000000"/>
          <w:sz w:val="20"/>
          <w:szCs w:val="20"/>
          <w:u w:color="000000"/>
          <w:lang w:val="es-ES_tradnl"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_tradnl" w:eastAsia="es-ES"/>
        </w:rPr>
      </w:pPr>
      <w:r w:rsidRPr="00656B80">
        <w:rPr>
          <w:rFonts w:ascii="Cambria" w:eastAsia="Times New Roman" w:hAnsi="Cambria" w:cs="Arial"/>
          <w:color w:val="000000"/>
          <w:sz w:val="20"/>
          <w:szCs w:val="20"/>
          <w:u w:color="000000"/>
          <w:lang w:val="es-ES" w:eastAsia="es-ES"/>
        </w:rPr>
        <w:t xml:space="preserve">En ese sentido, la Comisión concluye que el primer elemento constitutivo de la desaparición forzada consistente en la privación de libertad y la participación de agentes estatales, se encuentra satisfecho. </w:t>
      </w:r>
    </w:p>
    <w:p w:rsidR="00656B80" w:rsidRPr="00656B80" w:rsidRDefault="00656B80" w:rsidP="00453C9C">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mbria" w:hAnsi="Cambria"/>
          <w:bCs/>
          <w:sz w:val="20"/>
          <w:szCs w:val="20"/>
          <w:lang w:val="es-ES"/>
        </w:rPr>
      </w:pPr>
    </w:p>
    <w:p w:rsidR="00656B80" w:rsidRPr="00656B80" w:rsidRDefault="00656B80" w:rsidP="00656B80">
      <w:pPr>
        <w:keepNext/>
        <w:ind w:firstLine="720"/>
        <w:outlineLvl w:val="3"/>
        <w:rPr>
          <w:rFonts w:ascii="Cambria" w:eastAsia="Times New Roman" w:hAnsi="Cambria"/>
          <w:b/>
          <w:bCs/>
          <w:sz w:val="20"/>
          <w:szCs w:val="20"/>
          <w:lang w:val="es-MX"/>
        </w:rPr>
      </w:pPr>
      <w:r w:rsidRPr="00656B80">
        <w:rPr>
          <w:rFonts w:ascii="Cambria" w:eastAsia="Times New Roman" w:hAnsi="Cambria"/>
          <w:b/>
          <w:bCs/>
          <w:sz w:val="20"/>
          <w:szCs w:val="20"/>
          <w:lang w:val="es-MX"/>
        </w:rPr>
        <w:t>2.2</w:t>
      </w:r>
      <w:r w:rsidRPr="00656B80">
        <w:rPr>
          <w:rFonts w:ascii="Cambria" w:eastAsia="Times New Roman" w:hAnsi="Cambria"/>
          <w:b/>
          <w:bCs/>
          <w:sz w:val="20"/>
          <w:szCs w:val="20"/>
          <w:lang w:val="es-MX"/>
        </w:rPr>
        <w:tab/>
      </w:r>
      <w:r w:rsidRPr="00656B80" w:rsidDel="00C869DF">
        <w:rPr>
          <w:rFonts w:ascii="Cambria" w:eastAsia="Times New Roman" w:hAnsi="Cambria"/>
          <w:b/>
          <w:bCs/>
          <w:sz w:val="20"/>
          <w:szCs w:val="20"/>
          <w:lang w:val="es-MX"/>
        </w:rPr>
        <w:t xml:space="preserve">La negativa de la privación de libertad </w:t>
      </w:r>
      <w:r w:rsidRPr="00656B80">
        <w:rPr>
          <w:rFonts w:ascii="Cambria" w:eastAsia="Times New Roman" w:hAnsi="Cambria"/>
          <w:b/>
          <w:bCs/>
          <w:sz w:val="20"/>
          <w:szCs w:val="20"/>
          <w:lang w:val="es-MX"/>
        </w:rPr>
        <w:t>y</w:t>
      </w:r>
      <w:r w:rsidRPr="00656B80" w:rsidDel="00C869DF">
        <w:rPr>
          <w:rFonts w:ascii="Cambria" w:eastAsia="Times New Roman" w:hAnsi="Cambria"/>
          <w:b/>
          <w:bCs/>
          <w:sz w:val="20"/>
          <w:szCs w:val="20"/>
          <w:lang w:val="es-MX"/>
        </w:rPr>
        <w:t xml:space="preserve"> de proveer información sobre el destino o paradero</w:t>
      </w:r>
    </w:p>
    <w:p w:rsidR="00656B80" w:rsidRPr="00656B80" w:rsidRDefault="00656B80" w:rsidP="00656B80">
      <w:pPr>
        <w:rPr>
          <w:rFonts w:ascii="Cambria" w:hAnsi="Cambria"/>
          <w:sz w:val="20"/>
          <w:szCs w:val="20"/>
          <w:lang w:val="es-MX"/>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 xml:space="preserve">Habiendo establecido </w:t>
      </w:r>
      <w:r w:rsidRPr="00656B80">
        <w:rPr>
          <w:rFonts w:ascii="Cambria" w:hAnsi="Cambria"/>
          <w:sz w:val="20"/>
          <w:szCs w:val="20"/>
          <w:bdr w:val="none" w:sz="0" w:space="0" w:color="auto"/>
          <w:lang w:val="es-ES"/>
        </w:rPr>
        <w:t>la privación de libertad y su continuidad por parte de agentes estatales, la Comisión advierte que las autoridades policiales activaron diversos mecanismos de encubrimiento.</w:t>
      </w:r>
    </w:p>
    <w:p w:rsidR="00656B80" w:rsidRPr="00656B80" w:rsidRDefault="00656B80" w:rsidP="00453C9C">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bdr w:val="none" w:sz="0" w:space="0" w:color="auto"/>
          <w:lang w:val="es-ES"/>
        </w:rPr>
        <w:t xml:space="preserve">En primer lugar, consta que los oficiales que se encontraban en la Comisaría de Lircay no registraron en los libros de ocurrencia de calle común ni en el registro de detenidos de esa dependencia la detención de Walter Munárriz Escobar. Por la falta de cumplimiento de los protocolos policiales en los registros, se siguió un proceso disciplinario que concluyó en la amonestación de todos los oficiales involucrados en los hechos, como quedó establecido en la sección de hechos probados.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 xml:space="preserve">En segundo lugar, la señora Gladys Escobar Candiotti, madre de Walter Munárriz Escobar, indicó que el mismo 20 de marzo de 1999 acudió a la Comisaría de Lircay a preguntar por su hijo, donde le afirmaron que no se encontraba allí. Al día siguiente, la señora Escobar se dirigió a la Fiscalía Provincial de Lircay, a fin de presentar la denuncia correspondiente por la desaparición de su hijo. Los peticionarios indicaron consistentemente que la Fiscal se negó a atenderla y le pidió que regresara en 60 días, efectuando manifestaciones de incredulidad sobre lo que quería denunciar la señora Escobar. La señora Escobar regresó en tres oportunidades a esa Fiscalía y recibió la misma negativa. El Estado no controvirtió este hecho, el cual resulta consistente con la separación de esta fiscal de la investigación y con las conclusiones de la Defensoría del Pueblo sobre su falta de diligencia e imparcialidad, aspecto que será analizado más adelante. La negativa de la Fiscal Provincial de Lircay impidió que se iniciaran las investigaciones correspondientes de manera inmediata. </w:t>
      </w:r>
    </w:p>
    <w:p w:rsidR="00656B80" w:rsidRPr="00656B80" w:rsidRDefault="00656B80" w:rsidP="00656B80">
      <w:pPr>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 xml:space="preserve">En tercer lugar, la CIDH subraya que, en la ampliación de denuncia presentada el 22 de junio de 1999,  el Fiscal Superior manifestó que: </w:t>
      </w:r>
    </w:p>
    <w:p w:rsidR="00656B80" w:rsidRPr="00656B80" w:rsidRDefault="00656B80" w:rsidP="00656B80">
      <w:pPr>
        <w:rPr>
          <w:rFonts w:ascii="Cambria" w:hAnsi="Cambria"/>
          <w:sz w:val="20"/>
          <w:szCs w:val="20"/>
          <w:lang w:val="es-MX"/>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hAnsi="Cambria"/>
          <w:sz w:val="20"/>
          <w:szCs w:val="20"/>
          <w:lang w:val="es-ES"/>
        </w:rPr>
      </w:pPr>
      <w:r w:rsidRPr="00656B80">
        <w:rPr>
          <w:rFonts w:ascii="Cambria" w:hAnsi="Cambria"/>
          <w:sz w:val="20"/>
          <w:szCs w:val="20"/>
          <w:lang w:val="es-MX"/>
        </w:rPr>
        <w:t xml:space="preserve">Del estudio de autos, a la fecha se tiene que al prestar su manifestación instructiva de fojas 250, la persona del inculpado Adolfo Edgar Angeles Aamos, indica que el SO. PNP Gunther Cuaresma Ramos, cuando pone a disposición de la Comisaría de Lirca a la persona de Walter Munárriz Escobar, cuando este se encontraba de servicio como Oficial de Informes y </w:t>
      </w:r>
      <w:r w:rsidRPr="00656B80">
        <w:rPr>
          <w:rFonts w:ascii="Cambria" w:hAnsi="Cambria"/>
          <w:sz w:val="20"/>
          <w:szCs w:val="20"/>
          <w:lang w:val="es-MX"/>
        </w:rPr>
        <w:lastRenderedPageBreak/>
        <w:t>Auxilios, lo hace sin documento alguno, y que los documentos los confeccionan por orden superior al día siguiente, cuando ya estaban enterados de los presentes hechos investigados […] lo cual conlleva a presumir que tan sólo lo hace con la finalidad de encubrir su participación o responsabilidad en el presente caso</w:t>
      </w:r>
      <w:r w:rsidRPr="00656B80">
        <w:rPr>
          <w:rFonts w:ascii="Cambria" w:hAnsi="Cambria"/>
          <w:sz w:val="20"/>
          <w:szCs w:val="20"/>
          <w:vertAlign w:val="superscript"/>
          <w:lang w:val="es-MX"/>
        </w:rPr>
        <w:footnoteReference w:id="90"/>
      </w:r>
      <w:r w:rsidRPr="00656B80">
        <w:rPr>
          <w:rFonts w:ascii="Cambria" w:hAnsi="Cambria"/>
          <w:sz w:val="20"/>
          <w:szCs w:val="20"/>
          <w:lang w:val="es-MX"/>
        </w:rPr>
        <w:t>.</w:t>
      </w:r>
    </w:p>
    <w:p w:rsidR="00656B80" w:rsidRPr="00656B80" w:rsidRDefault="00656B80" w:rsidP="00656B80">
      <w:pPr>
        <w:rPr>
          <w:rFonts w:ascii="Cambria" w:hAnsi="Cambria"/>
          <w:sz w:val="20"/>
          <w:szCs w:val="20"/>
          <w:lang w:val="es-MX"/>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En cuarto lugar, también resulta pertinente des</w:t>
      </w:r>
      <w:r w:rsidR="00AC5CA9">
        <w:rPr>
          <w:rFonts w:ascii="Cambria" w:hAnsi="Cambria"/>
          <w:sz w:val="20"/>
          <w:szCs w:val="20"/>
          <w:lang w:val="es-ES"/>
        </w:rPr>
        <w:t>tacar</w:t>
      </w:r>
      <w:r w:rsidRPr="00656B80">
        <w:rPr>
          <w:rFonts w:ascii="Cambria" w:hAnsi="Cambria"/>
          <w:sz w:val="20"/>
          <w:szCs w:val="20"/>
          <w:lang w:val="es-ES"/>
        </w:rPr>
        <w:t xml:space="preserve"> en este punto como elemento adicional de encubrimiento, los indicios de diversas formas de presión o amenaza que surgen de algunas declaraciones. Esto incluye la manifestación de haber recibido presiones y posterior retractación del señor Sierra Tueros, la manifestación de temor del señor Donayres para declarar ante la Defensoría del Pueblo y la manifestación de la señora Ponce de haber sido aleccionada para declarar que había visto a Walter Munárriz. </w:t>
      </w:r>
    </w:p>
    <w:p w:rsidR="00656B80" w:rsidRPr="00656B80" w:rsidRDefault="00656B80" w:rsidP="00453C9C">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Cambria" w:hAnsi="Cambria"/>
          <w:sz w:val="20"/>
          <w:szCs w:val="20"/>
          <w:lang w:val="es-ES"/>
        </w:rPr>
      </w:pPr>
    </w:p>
    <w:p w:rsid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 xml:space="preserve">En virtud de lo anterior, la Comisión considera demostrado que las autoridades estatales negaron que Walter Munárriz Escobar continuó detenido bajo su custodia y se abstuvieron de dar información sobre su destino o paradero. </w:t>
      </w:r>
    </w:p>
    <w:p w:rsidR="00ED2B57" w:rsidRDefault="00ED2B57" w:rsidP="00ED2B57">
      <w:pPr>
        <w:pStyle w:val="ListParagraph"/>
        <w:rPr>
          <w:rFonts w:ascii="Cambria" w:hAnsi="Cambria"/>
          <w:sz w:val="20"/>
          <w:szCs w:val="20"/>
          <w:lang w:val="es-ES"/>
        </w:rPr>
      </w:pPr>
    </w:p>
    <w:p w:rsidR="00656B80" w:rsidRPr="00656B80" w:rsidRDefault="00656B80" w:rsidP="00656B80">
      <w:pPr>
        <w:keepNext/>
        <w:ind w:firstLine="720"/>
        <w:outlineLvl w:val="3"/>
        <w:rPr>
          <w:rFonts w:ascii="Cambria" w:eastAsia="Times New Roman" w:hAnsi="Cambria"/>
          <w:b/>
          <w:bCs/>
          <w:sz w:val="20"/>
          <w:szCs w:val="20"/>
          <w:lang w:val="es-MX"/>
        </w:rPr>
      </w:pPr>
      <w:r w:rsidRPr="00656B80">
        <w:rPr>
          <w:rFonts w:ascii="Cambria" w:eastAsia="Times New Roman" w:hAnsi="Cambria"/>
          <w:b/>
          <w:bCs/>
          <w:sz w:val="20"/>
          <w:szCs w:val="20"/>
          <w:lang w:val="es-MX"/>
        </w:rPr>
        <w:t>2.3</w:t>
      </w:r>
      <w:r w:rsidRPr="00656B80">
        <w:rPr>
          <w:rFonts w:ascii="Cambria" w:eastAsia="Times New Roman" w:hAnsi="Cambria"/>
          <w:b/>
          <w:bCs/>
          <w:sz w:val="20"/>
          <w:szCs w:val="20"/>
          <w:lang w:val="es-MX"/>
        </w:rPr>
        <w:tab/>
        <w:t>Conclusión sobre la existencia de desaparición forzada</w:t>
      </w:r>
    </w:p>
    <w:p w:rsidR="00656B80" w:rsidRPr="00656B80" w:rsidRDefault="00656B80" w:rsidP="00453C9C">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En virtud de lo dicho anteriormente, la Comisión concluye que el Estado no ha ofrecido una explicación satisfactoria sobre lo sucedido a Walter Munárriz Escobar, quien la última vez que fue visto con vida, se encontraba en la Comisaría de Lircay y, por lo tanto, no desvirtuó su responsabilidad. La Comisión concluye que Walter Munárriz Escobar fue desaparecido forzadamente pues como ha sido analizado, se encuentran presentes los elementos constitutivos de dicha grave violación de derechos humanos. En ese sentido, la Comisión concluye que el Estado peruano violó, y continúa violando, los derechos al reconocimiento de la personalidad jurídica, a la vida, a la integridad personal y a la libertad personal establecidos en los artículos 3.1, 4.1, 5.1</w:t>
      </w:r>
      <w:r w:rsidR="00186D50">
        <w:rPr>
          <w:rFonts w:ascii="Cambria" w:hAnsi="Cambria"/>
          <w:sz w:val="20"/>
          <w:szCs w:val="20"/>
          <w:lang w:val="es-ES"/>
        </w:rPr>
        <w:t>,</w:t>
      </w:r>
      <w:r w:rsidRPr="00656B80">
        <w:rPr>
          <w:rFonts w:ascii="Cambria" w:hAnsi="Cambria"/>
          <w:sz w:val="20"/>
          <w:szCs w:val="20"/>
          <w:lang w:val="es-ES"/>
        </w:rPr>
        <w:t xml:space="preserve"> 7.1</w:t>
      </w:r>
      <w:r w:rsidR="00186D50">
        <w:rPr>
          <w:rFonts w:ascii="Cambria" w:hAnsi="Cambria"/>
          <w:sz w:val="20"/>
          <w:szCs w:val="20"/>
          <w:lang w:val="es-ES"/>
        </w:rPr>
        <w:t>, 7.2, 7.3, 7.4 y 7.5</w:t>
      </w:r>
      <w:r w:rsidRPr="00656B80">
        <w:rPr>
          <w:rFonts w:ascii="Cambria" w:hAnsi="Cambria"/>
          <w:sz w:val="20"/>
          <w:szCs w:val="20"/>
          <w:lang w:val="es-ES"/>
        </w:rPr>
        <w:t xml:space="preserve"> de la Convención Americana en perjuicio de Walter Munárriz Escobar, en relación con las obligaciones establecidas en los artículos 1.1 del mismo instrumento. Asimismo, la Comisión concluye que el Estado violó el artículo i a) de la Convención Interamericana sobre Desaparición Forzada de Personas</w:t>
      </w:r>
      <w:r w:rsidRPr="00656B80">
        <w:rPr>
          <w:rFonts w:ascii="Cambria" w:eastAsia="Times New Roman" w:hAnsi="Cambria" w:cs="Arial"/>
          <w:sz w:val="20"/>
          <w:szCs w:val="20"/>
          <w:bdr w:val="none" w:sz="0" w:space="0" w:color="auto"/>
          <w:vertAlign w:val="superscript"/>
          <w:lang w:val="es-ES_tradnl"/>
        </w:rPr>
        <w:footnoteReference w:id="91"/>
      </w:r>
      <w:r w:rsidRPr="00656B80">
        <w:rPr>
          <w:rFonts w:ascii="Cambria" w:hAnsi="Cambria"/>
          <w:sz w:val="20"/>
          <w:szCs w:val="20"/>
          <w:lang w:val="es-ES"/>
        </w:rPr>
        <w:t xml:space="preserve"> y en los artículos 1 y 6 de la Convención Interamericana para Prevenir y Sancionar la Tortura.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_tradnl" w:eastAsia="es-ES"/>
        </w:rPr>
      </w:pPr>
    </w:p>
    <w:p w:rsidR="00656B80" w:rsidRPr="00656B80" w:rsidRDefault="00656B80" w:rsidP="0082075E">
      <w:pPr>
        <w:numPr>
          <w:ilvl w:val="0"/>
          <w:numId w:val="58"/>
        </w:numPr>
        <w:tabs>
          <w:tab w:val="num" w:pos="360"/>
        </w:tabs>
        <w:ind w:left="0" w:firstLine="810"/>
        <w:jc w:val="both"/>
        <w:outlineLvl w:val="1"/>
        <w:rPr>
          <w:rFonts w:ascii="Cambria" w:eastAsia="Times New Roman" w:hAnsi="Cambria" w:cs="Arial"/>
          <w:b/>
          <w:bCs/>
          <w:iCs/>
          <w:sz w:val="20"/>
          <w:szCs w:val="20"/>
          <w:bdr w:val="none" w:sz="0" w:space="0" w:color="auto"/>
          <w:lang w:val="es-ES"/>
        </w:rPr>
      </w:pPr>
      <w:bookmarkStart w:id="22" w:name="_Toc413687836"/>
      <w:bookmarkStart w:id="23" w:name="_Toc467948061"/>
      <w:r w:rsidRPr="00656B80">
        <w:rPr>
          <w:rFonts w:ascii="Cambria" w:eastAsia="Times New Roman" w:hAnsi="Cambria" w:cs="Arial"/>
          <w:b/>
          <w:bCs/>
          <w:iCs/>
          <w:sz w:val="20"/>
          <w:szCs w:val="20"/>
          <w:bdr w:val="none" w:sz="0" w:space="0" w:color="auto"/>
          <w:lang w:val="es-ES"/>
        </w:rPr>
        <w:t>Derecho a las garantías judiciales y protección judicial (artículos 8.1 y 25.1 de la Convención Americana) en relación con la obligación de respetar los derechos humanos (artículo 1.1 del mismo instrumento)</w:t>
      </w:r>
      <w:bookmarkEnd w:id="22"/>
      <w:r w:rsidRPr="00656B80">
        <w:rPr>
          <w:rFonts w:ascii="Cambria" w:eastAsia="Times New Roman" w:hAnsi="Cambria" w:cs="Arial"/>
          <w:b/>
          <w:bCs/>
          <w:iCs/>
          <w:sz w:val="20"/>
          <w:szCs w:val="20"/>
          <w:bdr w:val="none" w:sz="0" w:space="0" w:color="auto"/>
          <w:lang w:val="es-ES"/>
        </w:rPr>
        <w:t xml:space="preserve"> y con la obligación de adoptad disposiciones de derecho interno, artículo I. b  de la Convención Interamericana sobre Desaparición Forzada de Personas y artículos 1, 6 y 8 de la Convención Interamericana para Prevenir y Sancionar la Tortura</w:t>
      </w:r>
      <w:bookmarkEnd w:id="23"/>
      <w:r w:rsidRPr="00656B80">
        <w:rPr>
          <w:rFonts w:ascii="Cambria" w:eastAsia="Times New Roman" w:hAnsi="Cambria" w:cs="Arial"/>
          <w:b/>
          <w:bCs/>
          <w:iCs/>
          <w:sz w:val="20"/>
          <w:szCs w:val="20"/>
          <w:bdr w:val="none" w:sz="0" w:space="0" w:color="auto"/>
          <w:lang w:val="es-ES"/>
        </w:rPr>
        <w:t xml:space="preserve"> </w:t>
      </w:r>
    </w:p>
    <w:p w:rsidR="00656B80" w:rsidRPr="00656B80" w:rsidRDefault="00656B80" w:rsidP="00656B80">
      <w:pPr>
        <w:tabs>
          <w:tab w:val="left" w:pos="90"/>
          <w:tab w:val="center" w:pos="4680"/>
          <w:tab w:val="left" w:pos="6511"/>
        </w:tabs>
        <w:jc w:val="both"/>
        <w:rPr>
          <w:rFonts w:ascii="Cambria" w:hAnsi="Cambria"/>
          <w:b/>
          <w:sz w:val="20"/>
          <w:szCs w:val="20"/>
          <w:lang w:val="es-MX"/>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CO" w:eastAsia="es-ES"/>
        </w:rPr>
        <w:t>Los artículos de la Convención Americana referidos en el título arriba establecen lo siguiente:</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 w:eastAsia="es-ES"/>
        </w:rPr>
      </w:pPr>
    </w:p>
    <w:p w:rsidR="00656B80" w:rsidRPr="00656B80" w:rsidRDefault="00656B80" w:rsidP="00656B80">
      <w:pPr>
        <w:ind w:firstLine="708"/>
        <w:jc w:val="both"/>
        <w:rPr>
          <w:rFonts w:ascii="Cambria" w:hAnsi="Cambria"/>
          <w:sz w:val="20"/>
          <w:szCs w:val="20"/>
          <w:lang w:val="es-CO"/>
        </w:rPr>
      </w:pPr>
      <w:r w:rsidRPr="00656B80">
        <w:rPr>
          <w:rFonts w:ascii="Cambria" w:hAnsi="Cambria"/>
          <w:sz w:val="20"/>
          <w:szCs w:val="20"/>
          <w:lang w:val="es-CO"/>
        </w:rPr>
        <w:t xml:space="preserve">Artículo 8.1 Garantías Judiciales  </w:t>
      </w:r>
    </w:p>
    <w:p w:rsidR="00656B80" w:rsidRPr="00656B80" w:rsidRDefault="00656B80" w:rsidP="00656B80">
      <w:pPr>
        <w:jc w:val="both"/>
        <w:rPr>
          <w:rFonts w:ascii="Cambria" w:hAnsi="Cambria"/>
          <w:sz w:val="20"/>
          <w:szCs w:val="20"/>
          <w:lang w:val="es-CO"/>
        </w:rPr>
      </w:pPr>
    </w:p>
    <w:p w:rsidR="00656B80" w:rsidRPr="00656B80" w:rsidRDefault="00656B80" w:rsidP="00656B80">
      <w:pPr>
        <w:ind w:left="708" w:right="720"/>
        <w:jc w:val="both"/>
        <w:rPr>
          <w:rFonts w:ascii="Cambria" w:hAnsi="Cambria"/>
          <w:sz w:val="20"/>
          <w:szCs w:val="20"/>
          <w:lang w:val="es-CO"/>
        </w:rPr>
      </w:pPr>
      <w:r w:rsidRPr="00656B80">
        <w:rPr>
          <w:rFonts w:ascii="Cambria" w:hAnsi="Cambria"/>
          <w:sz w:val="20"/>
          <w:szCs w:val="20"/>
          <w:lang w:val="es-CO"/>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656B80" w:rsidRPr="00656B80" w:rsidRDefault="00656B80" w:rsidP="00656B80">
      <w:pPr>
        <w:jc w:val="both"/>
        <w:rPr>
          <w:rFonts w:ascii="Cambria" w:hAnsi="Cambria"/>
          <w:sz w:val="20"/>
          <w:szCs w:val="20"/>
          <w:lang w:val="es-CO"/>
        </w:rPr>
      </w:pPr>
    </w:p>
    <w:p w:rsidR="00656B80" w:rsidRPr="00656B80" w:rsidRDefault="0093632F" w:rsidP="00656B80">
      <w:pPr>
        <w:ind w:firstLine="708"/>
        <w:jc w:val="both"/>
        <w:rPr>
          <w:rFonts w:ascii="Cambria" w:hAnsi="Cambria"/>
          <w:sz w:val="20"/>
          <w:szCs w:val="20"/>
          <w:lang w:val="es-CO"/>
        </w:rPr>
      </w:pPr>
      <w:r>
        <w:rPr>
          <w:rFonts w:ascii="Cambria" w:hAnsi="Cambria"/>
          <w:sz w:val="20"/>
          <w:szCs w:val="20"/>
          <w:lang w:val="es-CO"/>
        </w:rPr>
        <w:br w:type="page"/>
      </w:r>
      <w:r w:rsidR="00656B80" w:rsidRPr="00656B80">
        <w:rPr>
          <w:rFonts w:ascii="Cambria" w:hAnsi="Cambria"/>
          <w:sz w:val="20"/>
          <w:szCs w:val="20"/>
          <w:lang w:val="es-CO"/>
        </w:rPr>
        <w:lastRenderedPageBreak/>
        <w:t xml:space="preserve">Artículo </w:t>
      </w:r>
      <w:r w:rsidR="00656B80" w:rsidRPr="00656B80">
        <w:rPr>
          <w:rFonts w:ascii="Cambria" w:hAnsi="Cambria"/>
          <w:spacing w:val="-2"/>
          <w:sz w:val="20"/>
          <w:szCs w:val="20"/>
          <w:lang w:val="es-CO"/>
        </w:rPr>
        <w:t>25</w:t>
      </w:r>
      <w:r w:rsidR="00656B80" w:rsidRPr="00656B80">
        <w:rPr>
          <w:rFonts w:ascii="Cambria" w:hAnsi="Cambria"/>
          <w:sz w:val="20"/>
          <w:szCs w:val="20"/>
          <w:lang w:val="es-CO"/>
        </w:rPr>
        <w:t xml:space="preserve">.1 Protección Judicial </w:t>
      </w:r>
    </w:p>
    <w:p w:rsidR="00656B80" w:rsidRPr="00656B80" w:rsidRDefault="00656B80" w:rsidP="00656B80">
      <w:pPr>
        <w:jc w:val="both"/>
        <w:rPr>
          <w:rFonts w:ascii="Cambria" w:hAnsi="Cambria"/>
          <w:sz w:val="20"/>
          <w:szCs w:val="20"/>
          <w:lang w:val="es-CO"/>
        </w:rPr>
      </w:pPr>
    </w:p>
    <w:p w:rsidR="00656B80" w:rsidRPr="00656B80" w:rsidRDefault="00656B80" w:rsidP="00656B80">
      <w:pPr>
        <w:ind w:left="720" w:right="720" w:hanging="12"/>
        <w:jc w:val="both"/>
        <w:rPr>
          <w:rFonts w:ascii="Cambria" w:hAnsi="Cambria"/>
          <w:sz w:val="20"/>
          <w:szCs w:val="20"/>
          <w:lang w:val="es-CO"/>
        </w:rPr>
      </w:pPr>
      <w:r w:rsidRPr="00656B80">
        <w:rPr>
          <w:rFonts w:ascii="Cambria" w:hAnsi="Cambria"/>
          <w:sz w:val="20"/>
          <w:szCs w:val="20"/>
          <w:lang w:val="es-CO"/>
        </w:rPr>
        <w:t>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p w:rsidR="00656B80" w:rsidRPr="00656B80" w:rsidRDefault="00656B80" w:rsidP="00656B80">
      <w:pPr>
        <w:rPr>
          <w:rFonts w:ascii="Cambria" w:hAnsi="Cambria"/>
          <w:sz w:val="20"/>
          <w:szCs w:val="20"/>
          <w:lang w:val="es-CO"/>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CO" w:eastAsia="es-ES"/>
        </w:rPr>
        <w:t xml:space="preserve">El </w:t>
      </w:r>
      <w:r w:rsidRPr="00656B80">
        <w:rPr>
          <w:rFonts w:ascii="Cambria" w:eastAsia="Times New Roman" w:hAnsi="Cambria"/>
          <w:color w:val="000000"/>
          <w:sz w:val="20"/>
          <w:szCs w:val="20"/>
          <w:u w:color="000000"/>
          <w:lang w:val="es-MX" w:eastAsia="es-ES"/>
        </w:rPr>
        <w:t>artículo I. b. de la Convención Interamericana sobre Desaparición Forzada de Personas establece que los Estados partes de dicha Convención se comprometen a “sancionar en el ámbito de su jurisdicción a los autores, cómplices y encubridores del delito de desaparición forzada de personas, así como la tentativa de comisión del mismo”.</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En adición a los artículos 1 y 6 de la Convención Interamericana para Prevenir y Sancionar la Tortura citados arriba, el artículo 8 de dicho instrumento establece que: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 w:eastAsia="es-ES"/>
        </w:rPr>
      </w:pPr>
    </w:p>
    <w:p w:rsidR="00656B80" w:rsidRDefault="00656B80" w:rsidP="00656B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cs="Tahoma"/>
          <w:sz w:val="20"/>
          <w:szCs w:val="20"/>
          <w:bdr w:val="none" w:sz="0" w:space="0" w:color="auto"/>
          <w:lang w:val="es-MX"/>
        </w:rPr>
      </w:pPr>
      <w:r w:rsidRPr="00656B80">
        <w:rPr>
          <w:rFonts w:ascii="Cambria" w:hAnsi="Cambria" w:cs="Tahoma"/>
          <w:sz w:val="20"/>
          <w:szCs w:val="20"/>
          <w:bdr w:val="none" w:sz="0" w:space="0" w:color="auto"/>
          <w:lang w:val="es-MX"/>
        </w:rPr>
        <w:t>Los Estados partes garantizarán a toda persona que denuncie haber sido sometida a tortura en el ámbito de su jurisdicción el derecho a que el caso sea examinado imparcialmente.</w:t>
      </w:r>
    </w:p>
    <w:p w:rsidR="00335412" w:rsidRPr="00656B80" w:rsidRDefault="00335412" w:rsidP="00656B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cs="Times"/>
          <w:sz w:val="20"/>
          <w:szCs w:val="20"/>
          <w:bdr w:val="none" w:sz="0" w:space="0" w:color="auto"/>
          <w:lang w:val="es-MX"/>
        </w:rPr>
      </w:pPr>
    </w:p>
    <w:p w:rsidR="00656B80" w:rsidRDefault="00656B80" w:rsidP="00656B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cs="Tahoma"/>
          <w:sz w:val="20"/>
          <w:szCs w:val="20"/>
          <w:bdr w:val="none" w:sz="0" w:space="0" w:color="auto"/>
          <w:lang w:val="es-MX"/>
        </w:rPr>
      </w:pPr>
      <w:r w:rsidRPr="00656B80">
        <w:rPr>
          <w:rFonts w:ascii="Cambria" w:hAnsi="Cambria" w:cs="Tahoma"/>
          <w:sz w:val="20"/>
          <w:szCs w:val="20"/>
          <w:bdr w:val="none" w:sz="0" w:space="0" w:color="auto"/>
          <w:lang w:val="es-MX"/>
        </w:rPr>
        <w:t>Asimismo, cuando exista denuncia o razón fundada para creer que se ha cometido un acto de tortura en el ámbito de su jurisdicción, los Estados partes garantizarán que sus respectivas autoridades procederán de oficio y de inmediato a realizar una investigación sobre el caso y a iniciar, cuando corresponda, el respectivo proceso penal.</w:t>
      </w:r>
    </w:p>
    <w:p w:rsidR="00335412" w:rsidRPr="00656B80" w:rsidRDefault="00335412" w:rsidP="00656B8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ight="720"/>
        <w:jc w:val="both"/>
        <w:rPr>
          <w:rFonts w:ascii="Cambria" w:hAnsi="Cambria" w:cs="Times"/>
          <w:sz w:val="20"/>
          <w:szCs w:val="20"/>
          <w:bdr w:val="none" w:sz="0" w:space="0" w:color="auto"/>
          <w:lang w:val="es-MX"/>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u w:color="000000"/>
          <w:lang w:val="es-ES" w:eastAsia="es-ES"/>
        </w:rPr>
      </w:pPr>
      <w:r w:rsidRPr="00656B80">
        <w:rPr>
          <w:rFonts w:ascii="Cambria" w:eastAsia="Times New Roman" w:hAnsi="Cambria" w:cs="Tahoma"/>
          <w:color w:val="000000"/>
          <w:sz w:val="20"/>
          <w:szCs w:val="20"/>
          <w:u w:color="000000"/>
          <w:bdr w:val="none" w:sz="0" w:space="0" w:color="auto"/>
          <w:lang w:val="es-ES_tradnl" w:eastAsia="es-ES"/>
        </w:rPr>
        <w:t>Una vez agotado el ordenamiento jurídico interno del respectivo Estado y los recursos que éste prevé, el caso podrá ser sometido a instancias internacionales cuya competencia haya sido aceptada por ese Estado.</w:t>
      </w:r>
    </w:p>
    <w:p w:rsidR="00656B80" w:rsidRPr="00656B80" w:rsidRDefault="00656B80" w:rsidP="00656B80">
      <w:pPr>
        <w:ind w:left="720"/>
        <w:jc w:val="both"/>
        <w:outlineLvl w:val="2"/>
        <w:rPr>
          <w:rFonts w:ascii="Cambria" w:eastAsia="Times New Roman" w:hAnsi="Cambria" w:cs="Arial"/>
          <w:b/>
          <w:bCs/>
          <w:sz w:val="20"/>
          <w:szCs w:val="20"/>
          <w:bdr w:val="none" w:sz="0" w:space="0" w:color="auto"/>
          <w:lang w:val="es-MX"/>
        </w:rPr>
      </w:pPr>
    </w:p>
    <w:p w:rsidR="00656B80" w:rsidRPr="0020713E" w:rsidRDefault="00656B80" w:rsidP="00FD5827">
      <w:pPr>
        <w:pStyle w:val="Heading3"/>
        <w:numPr>
          <w:ilvl w:val="0"/>
          <w:numId w:val="69"/>
        </w:numPr>
        <w:ind w:left="1440" w:hanging="720"/>
      </w:pPr>
      <w:bookmarkStart w:id="24" w:name="_Toc467948062"/>
      <w:r w:rsidRPr="0020713E">
        <w:t>Consideraciones generales sobre el deber de investigar en casos de desaparición forzada</w:t>
      </w:r>
      <w:bookmarkEnd w:id="24"/>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MX" w:eastAsia="es-ES"/>
        </w:rPr>
        <w:t xml:space="preserve"> </w:t>
      </w: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PE"/>
        </w:rPr>
        <w:t xml:space="preserve">De la jurisprudencia interamericana resulta que, cuando se trata de la denuncia de la desaparición de una persona, existe un vínculo inescindible entre la respuesta estatal y la protección de la vida e integridad de la persona que se denuncia desaparecida. </w:t>
      </w:r>
      <w:r w:rsidRPr="00656B80">
        <w:rPr>
          <w:rFonts w:ascii="Cambria" w:hAnsi="Cambria"/>
          <w:bCs/>
          <w:iCs/>
          <w:sz w:val="20"/>
          <w:szCs w:val="20"/>
          <w:lang w:val="es-EC"/>
        </w:rPr>
        <w:t>La Comisión reitera que “</w:t>
      </w:r>
      <w:r w:rsidRPr="00656B80">
        <w:rPr>
          <w:rFonts w:ascii="Cambria" w:hAnsi="Cambria"/>
          <w:sz w:val="20"/>
          <w:szCs w:val="20"/>
          <w:lang w:val="es-CO"/>
        </w:rPr>
        <w:t xml:space="preserve">cuando haya motivos razonables para sospechar que una persona ha sido sometida a desaparición, es imprescindible la actuación pronta e </w:t>
      </w:r>
      <w:r w:rsidRPr="00656B80">
        <w:rPr>
          <w:rFonts w:ascii="Cambria" w:hAnsi="Cambria"/>
          <w:sz w:val="20"/>
          <w:szCs w:val="20"/>
          <w:lang w:val="es-EC"/>
        </w:rPr>
        <w:t>inmediata</w:t>
      </w:r>
      <w:r w:rsidRPr="00656B80">
        <w:rPr>
          <w:rFonts w:ascii="Cambria" w:hAnsi="Cambria"/>
          <w:sz w:val="20"/>
          <w:szCs w:val="20"/>
          <w:lang w:val="es-CO"/>
        </w:rPr>
        <w:t xml:space="preserve"> de las autoridades fiscales y judiciales ordenando medidas oportunas y necesarias dirigidas a la determinación del paradero de la víctima o el lugar donde pueda encontrarse privada de libertad</w:t>
      </w:r>
      <w:bookmarkStart w:id="25" w:name="_Ref280106061"/>
      <w:r w:rsidRPr="00656B80">
        <w:rPr>
          <w:rFonts w:ascii="Cambria" w:hAnsi="Cambria"/>
          <w:sz w:val="20"/>
          <w:szCs w:val="20"/>
          <w:lang w:val="es-CO"/>
        </w:rPr>
        <w:t>”</w:t>
      </w:r>
      <w:r w:rsidRPr="00656B80">
        <w:rPr>
          <w:rFonts w:ascii="Cambria" w:hAnsi="Cambria"/>
          <w:sz w:val="20"/>
          <w:szCs w:val="20"/>
          <w:vertAlign w:val="superscript"/>
        </w:rPr>
        <w:footnoteReference w:id="92"/>
      </w:r>
      <w:bookmarkEnd w:id="25"/>
      <w:r w:rsidRPr="00656B80">
        <w:rPr>
          <w:rFonts w:ascii="Cambria" w:hAnsi="Cambria"/>
          <w:sz w:val="20"/>
          <w:szCs w:val="20"/>
          <w:lang w:val="es-CO"/>
        </w:rPr>
        <w:t xml:space="preserve">. </w:t>
      </w:r>
    </w:p>
    <w:p w:rsidR="00656B80" w:rsidRPr="00656B80" w:rsidRDefault="00656B80" w:rsidP="00656B80">
      <w:pPr>
        <w:rPr>
          <w:rFonts w:ascii="Cambria" w:hAnsi="Cambria"/>
          <w:sz w:val="20"/>
          <w:szCs w:val="20"/>
          <w:lang w:val="es-MX"/>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MX" w:eastAsia="es-ES"/>
        </w:rPr>
        <w:t xml:space="preserve">La Corte ha señalado que “en virtud de la protección otorgada por los artículos 8 y 25 de la Convención, los Estados están obligados a suministrar recursos judiciales efectivos a las víctimas de violaciones </w:t>
      </w:r>
      <w:r w:rsidRPr="00656B80">
        <w:rPr>
          <w:rFonts w:ascii="Cambria" w:eastAsia="Times New Roman" w:hAnsi="Cambria" w:cs="Arial"/>
          <w:color w:val="000000"/>
          <w:sz w:val="20"/>
          <w:szCs w:val="20"/>
          <w:u w:color="000000"/>
          <w:lang w:val="es-MX" w:eastAsia="es-ES"/>
        </w:rPr>
        <w:t>de</w:t>
      </w:r>
      <w:r w:rsidRPr="00656B80">
        <w:rPr>
          <w:rFonts w:ascii="Cambria" w:eastAsia="Times New Roman" w:hAnsi="Cambria"/>
          <w:color w:val="000000"/>
          <w:sz w:val="20"/>
          <w:szCs w:val="20"/>
          <w:u w:color="000000"/>
          <w:lang w:val="es-MX" w:eastAsia="es-ES"/>
        </w:rPr>
        <w:t xml:space="preserve"> los derechos humanos, que deben ser sustanciados de conformidad con las reglas del debido proceso legal”</w:t>
      </w:r>
      <w:r w:rsidRPr="00656B80">
        <w:rPr>
          <w:rFonts w:ascii="Cambria" w:eastAsia="Times New Roman" w:hAnsi="Cambria"/>
          <w:color w:val="000000"/>
          <w:sz w:val="20"/>
          <w:szCs w:val="20"/>
          <w:u w:color="000000"/>
          <w:vertAlign w:val="superscript"/>
          <w:lang w:val="es-ES_tradnl" w:eastAsia="es-ES"/>
        </w:rPr>
        <w:footnoteReference w:id="93"/>
      </w:r>
      <w:r w:rsidRPr="00656B80">
        <w:rPr>
          <w:rFonts w:ascii="Cambria" w:eastAsia="Times New Roman" w:hAnsi="Cambria"/>
          <w:color w:val="000000"/>
          <w:sz w:val="20"/>
          <w:szCs w:val="20"/>
          <w:u w:color="000000"/>
          <w:lang w:val="es-MX" w:eastAsia="es-ES"/>
        </w:rPr>
        <w:t xml:space="preserve">. </w:t>
      </w:r>
      <w:r w:rsidRPr="00656B80">
        <w:rPr>
          <w:rFonts w:ascii="Cambria" w:eastAsia="Times New Roman" w:hAnsi="Cambria"/>
          <w:b/>
          <w:color w:val="000000"/>
          <w:sz w:val="20"/>
          <w:szCs w:val="20"/>
          <w:u w:color="000000"/>
          <w:lang w:val="es-MX" w:eastAsia="es-ES"/>
        </w:rPr>
        <w:t xml:space="preserve"> </w:t>
      </w:r>
      <w:r w:rsidRPr="00656B80">
        <w:rPr>
          <w:rFonts w:ascii="Cambria" w:eastAsia="Times New Roman" w:hAnsi="Cambria"/>
          <w:color w:val="000000"/>
          <w:sz w:val="20"/>
          <w:szCs w:val="20"/>
          <w:u w:color="000000"/>
          <w:lang w:val="es-MX" w:eastAsia="es-ES"/>
        </w:rPr>
        <w:t xml:space="preserve">Asimismo, la Corte ha indicado que: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MX" w:eastAsia="es-ES"/>
        </w:rPr>
      </w:pPr>
    </w:p>
    <w:p w:rsidR="00656B80" w:rsidRPr="00656B80" w:rsidRDefault="00656B80" w:rsidP="00656B80">
      <w:pPr>
        <w:tabs>
          <w:tab w:val="left" w:pos="1440"/>
        </w:tabs>
        <w:ind w:left="720" w:right="720"/>
        <w:jc w:val="both"/>
        <w:rPr>
          <w:rFonts w:ascii="Cambria" w:hAnsi="Cambria"/>
          <w:sz w:val="20"/>
          <w:szCs w:val="20"/>
          <w:lang w:val="es-MX"/>
        </w:rPr>
      </w:pPr>
      <w:r w:rsidRPr="00656B80">
        <w:rPr>
          <w:rFonts w:ascii="Cambria" w:hAnsi="Cambria"/>
          <w:sz w:val="20"/>
          <w:szCs w:val="20"/>
          <w:lang w:val="es-MX"/>
        </w:rPr>
        <w:lastRenderedPageBreak/>
        <w:t>Del artículo 8 de la Convención se desprende que las víctimas de las violaciones de los derechos humanos, o sus familiares, deben contar con amplias posibilidades de ser oídos y actuar en los respectivos procesos, tanto en procura del esclarecimiento de los hechos y del castigo de los responsables, como en busca de una debida reparación</w:t>
      </w:r>
      <w:r w:rsidRPr="00656B80">
        <w:rPr>
          <w:rFonts w:ascii="Cambria" w:hAnsi="Cambria"/>
          <w:sz w:val="20"/>
          <w:szCs w:val="20"/>
          <w:vertAlign w:val="superscript"/>
        </w:rPr>
        <w:footnoteReference w:id="94"/>
      </w:r>
      <w:r w:rsidRPr="00656B80">
        <w:rPr>
          <w:rFonts w:ascii="Cambria" w:hAnsi="Cambria"/>
          <w:sz w:val="20"/>
          <w:szCs w:val="20"/>
          <w:lang w:val="es-MX"/>
        </w:rPr>
        <w:t>.</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pacing w:val="-2"/>
          <w:sz w:val="20"/>
          <w:szCs w:val="20"/>
          <w:lang w:val="es-CR"/>
        </w:rPr>
        <w:t xml:space="preserve"> </w:t>
      </w:r>
      <w:r w:rsidRPr="00656B80">
        <w:rPr>
          <w:rFonts w:ascii="Cambria" w:hAnsi="Cambria"/>
          <w:sz w:val="20"/>
          <w:szCs w:val="20"/>
          <w:lang w:val="es-ES"/>
        </w:rPr>
        <w:t>Como ha indicado la C</w:t>
      </w:r>
      <w:r w:rsidR="0016084A">
        <w:rPr>
          <w:rFonts w:ascii="Cambria" w:hAnsi="Cambria"/>
          <w:sz w:val="20"/>
          <w:szCs w:val="20"/>
          <w:lang w:val="es-ES"/>
        </w:rPr>
        <w:t xml:space="preserve">omisión, </w:t>
      </w:r>
      <w:r w:rsidRPr="00656B80">
        <w:rPr>
          <w:rFonts w:ascii="Cambria" w:hAnsi="Cambria"/>
          <w:sz w:val="20"/>
          <w:szCs w:val="20"/>
          <w:lang w:val="es-ES"/>
        </w:rPr>
        <w:t>el Estado tiene la obligación de que “cada acto estatal que conforma el proceso investigativo, así como la investigación en su totalidad, debe estar orientado hacia una finalidad específica, la determinación de la verdad y la investigación, persecución, captura, enjuiciamiento, y en su caso, la sanción de los responsables de los hechos”</w:t>
      </w:r>
      <w:r w:rsidRPr="00656B80">
        <w:rPr>
          <w:rFonts w:ascii="Cambria" w:hAnsi="Cambria"/>
          <w:sz w:val="20"/>
          <w:szCs w:val="20"/>
          <w:vertAlign w:val="superscript"/>
        </w:rPr>
        <w:footnoteReference w:id="95"/>
      </w:r>
      <w:r w:rsidRPr="00656B80">
        <w:rPr>
          <w:rFonts w:ascii="Cambria" w:hAnsi="Cambria"/>
          <w:sz w:val="20"/>
          <w:szCs w:val="20"/>
          <w:lang w:val="es-ES"/>
        </w:rPr>
        <w:t>.</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pacing w:val="-2"/>
          <w:sz w:val="20"/>
          <w:szCs w:val="20"/>
          <w:lang w:val="es-CR"/>
        </w:rPr>
        <w:t xml:space="preserve">Así la Corte ha señalado que la obligación de investigar implica que una vez que las autoridades estatales tengan conocimiento del hecho, </w:t>
      </w:r>
      <w:r w:rsidRPr="00656B80">
        <w:rPr>
          <w:rFonts w:ascii="Cambria" w:hAnsi="Cambria"/>
          <w:bCs/>
          <w:spacing w:val="-2"/>
          <w:sz w:val="20"/>
          <w:szCs w:val="20"/>
          <w:lang w:val="es-CR"/>
        </w:rPr>
        <w:t>deben</w:t>
      </w:r>
      <w:r w:rsidRPr="00656B80">
        <w:rPr>
          <w:rFonts w:ascii="Cambria" w:hAnsi="Cambria"/>
          <w:spacing w:val="-2"/>
          <w:sz w:val="20"/>
          <w:szCs w:val="20"/>
          <w:lang w:val="es-CR"/>
        </w:rPr>
        <w:t xml:space="preserve"> iniciar</w:t>
      </w:r>
      <w:r w:rsidRPr="00656B80">
        <w:rPr>
          <w:rFonts w:ascii="Cambria" w:hAnsi="Cambria"/>
          <w:i/>
          <w:spacing w:val="-2"/>
          <w:sz w:val="20"/>
          <w:szCs w:val="20"/>
          <w:lang w:val="es-CR"/>
        </w:rPr>
        <w:t xml:space="preserve"> ex officio</w:t>
      </w:r>
      <w:r w:rsidRPr="00656B80">
        <w:rPr>
          <w:rFonts w:ascii="Cambria" w:hAnsi="Cambria"/>
          <w:spacing w:val="-2"/>
          <w:sz w:val="20"/>
          <w:szCs w:val="20"/>
          <w:lang w:val="es-CR"/>
        </w:rPr>
        <w:t xml:space="preserve"> y sin dilación, una investigación seria, imparcial y efectiva por todos los medios legales disponibles y orientada a la determinación de la verdad y a la persecución, captura, enjuiciamiento y eventual castigo de todos los autores de los hechos</w:t>
      </w:r>
      <w:r w:rsidRPr="00656B80">
        <w:rPr>
          <w:rFonts w:ascii="Cambria" w:hAnsi="Cambria"/>
          <w:spacing w:val="-2"/>
          <w:sz w:val="20"/>
          <w:szCs w:val="20"/>
          <w:vertAlign w:val="superscript"/>
          <w:lang w:val="es-CR"/>
        </w:rPr>
        <w:footnoteReference w:id="96"/>
      </w:r>
      <w:r w:rsidRPr="00656B80">
        <w:rPr>
          <w:rFonts w:ascii="Cambria" w:hAnsi="Cambria"/>
          <w:spacing w:val="-2"/>
          <w:sz w:val="20"/>
          <w:szCs w:val="20"/>
          <w:lang w:val="es-CR"/>
        </w:rPr>
        <w:t>, especialmente cuando están o puedan estar involucrados agentes estatales</w:t>
      </w:r>
      <w:r w:rsidRPr="00656B80">
        <w:rPr>
          <w:rFonts w:ascii="Cambria" w:eastAsia="Batang" w:hAnsi="Cambria"/>
          <w:spacing w:val="-2"/>
          <w:sz w:val="20"/>
          <w:szCs w:val="20"/>
          <w:vertAlign w:val="superscript"/>
          <w:lang w:val="es-CR"/>
        </w:rPr>
        <w:footnoteReference w:id="97"/>
      </w:r>
      <w:r w:rsidRPr="00656B80">
        <w:rPr>
          <w:rFonts w:ascii="Cambria" w:hAnsi="Cambria"/>
          <w:spacing w:val="-2"/>
          <w:sz w:val="20"/>
          <w:szCs w:val="20"/>
          <w:lang w:val="es-CR"/>
        </w:rPr>
        <w:t>. Este deber es una obligación de medio y no de resultado, que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w:t>
      </w:r>
      <w:r w:rsidRPr="00656B80">
        <w:rPr>
          <w:rFonts w:ascii="Cambria" w:hAnsi="Cambria"/>
          <w:spacing w:val="-2"/>
          <w:sz w:val="20"/>
          <w:szCs w:val="20"/>
          <w:vertAlign w:val="superscript"/>
          <w:lang w:val="es-CR"/>
        </w:rPr>
        <w:footnoteReference w:id="98"/>
      </w:r>
      <w:r w:rsidRPr="00656B80">
        <w:rPr>
          <w:rFonts w:ascii="Cambria" w:hAnsi="Cambria"/>
          <w:spacing w:val="-2"/>
          <w:sz w:val="20"/>
          <w:szCs w:val="20"/>
          <w:lang w:val="es-CR"/>
        </w:rPr>
        <w:t>. La obligación del Estado de investigar debe cumplirse diligentemente para evitar la impunidad y que este tipo de hechos vuelvan a repetirse</w:t>
      </w:r>
      <w:r w:rsidRPr="00656B80">
        <w:rPr>
          <w:rFonts w:ascii="Cambria" w:eastAsia="Batang" w:hAnsi="Cambria"/>
          <w:spacing w:val="-2"/>
          <w:sz w:val="20"/>
          <w:szCs w:val="20"/>
          <w:vertAlign w:val="superscript"/>
          <w:lang w:val="es-CR"/>
        </w:rPr>
        <w:footnoteReference w:id="99"/>
      </w:r>
      <w:r w:rsidRPr="00656B80">
        <w:rPr>
          <w:rFonts w:ascii="Cambria" w:hAnsi="Cambria"/>
          <w:spacing w:val="-2"/>
          <w:sz w:val="20"/>
          <w:szCs w:val="20"/>
          <w:lang w:val="es-CR"/>
        </w:rPr>
        <w:t xml:space="preserve">. </w:t>
      </w:r>
    </w:p>
    <w:p w:rsidR="00656B80" w:rsidRPr="00656B80" w:rsidRDefault="00656B80" w:rsidP="00656B80">
      <w:pPr>
        <w:jc w:val="both"/>
        <w:rPr>
          <w:rFonts w:ascii="Cambria" w:hAnsi="Cambria"/>
          <w:spacing w:val="-2"/>
          <w:sz w:val="20"/>
          <w:szCs w:val="20"/>
          <w:lang w:val="es-CR"/>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La Corte Interamericana ha establecido que para que exista un recurso efectivo no basta con que esté previsto por la Constitución o la ley o con que sea formalmente admisible, sino que se requiere que sea realmente idóneo para establecer si se ha incurrido en una violación a los derechos humanos y proveer lo necesario para remediarla</w:t>
      </w:r>
      <w:r w:rsidRPr="00656B80">
        <w:rPr>
          <w:rFonts w:ascii="Cambria" w:eastAsia="Times New Roman" w:hAnsi="Cambria"/>
          <w:color w:val="000000"/>
          <w:sz w:val="20"/>
          <w:szCs w:val="20"/>
          <w:u w:color="000000"/>
          <w:vertAlign w:val="superscript"/>
          <w:lang w:val="es-ES_tradnl" w:eastAsia="es-ES"/>
        </w:rPr>
        <w:footnoteReference w:id="100"/>
      </w:r>
      <w:r w:rsidRPr="00656B80">
        <w:rPr>
          <w:rFonts w:ascii="Cambria" w:eastAsia="Times New Roman" w:hAnsi="Cambria"/>
          <w:color w:val="000000"/>
          <w:sz w:val="20"/>
          <w:szCs w:val="20"/>
          <w:u w:color="000000"/>
          <w:lang w:val="es-ES" w:eastAsia="es-ES"/>
        </w:rPr>
        <w:t xml:space="preserv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p>
    <w:p w:rsidR="001D283E"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color w:val="000000"/>
          <w:sz w:val="20"/>
          <w:szCs w:val="20"/>
          <w:u w:color="000000"/>
          <w:lang w:val="es-ES" w:eastAsia="ja-JP"/>
        </w:rPr>
      </w:pPr>
      <w:r w:rsidRPr="001D283E">
        <w:rPr>
          <w:rFonts w:ascii="Cambria" w:eastAsia="Times New Roman" w:hAnsi="Cambria"/>
          <w:color w:val="000000"/>
          <w:sz w:val="20"/>
          <w:szCs w:val="20"/>
          <w:u w:color="000000"/>
          <w:bdr w:val="none" w:sz="0" w:space="0" w:color="auto"/>
          <w:lang w:val="es-ES" w:eastAsia="es-ES"/>
        </w:rPr>
        <w:t xml:space="preserve">De lo anterior se desprende que, si uno de los objetivos de la desaparición forzada es impedir el ejercicio de los recursos legales y de las garantías procesales pertinentes, cuando una persona ha sido sometida a detención, retención o cualquier forma de privación de la libertad con el objetivo de ocasionar su desaparición forzada, si la víctima misma no puede acceder a los recursos disponibles, resulta fundamental que los familiares u otras personas allegadas puedan acceder a procedimientos o recursos </w:t>
      </w:r>
      <w:r w:rsidRPr="001D283E">
        <w:rPr>
          <w:rFonts w:ascii="Cambria" w:eastAsia="Times New Roman" w:hAnsi="Cambria"/>
          <w:color w:val="000000"/>
          <w:sz w:val="20"/>
          <w:szCs w:val="20"/>
          <w:u w:color="000000"/>
          <w:bdr w:val="none" w:sz="0" w:space="0" w:color="auto"/>
          <w:lang w:val="es-ES" w:eastAsia="es-ES"/>
        </w:rPr>
        <w:lastRenderedPageBreak/>
        <w:t>judiciales rápidos y eficaces como medio para determinar su paradero o su estado de salud o para individualizar a la autoridad que ordenó la privación de libertad o la hizo efectiva</w:t>
      </w:r>
      <w:r w:rsidRPr="00656B80">
        <w:rPr>
          <w:rFonts w:ascii="Cambria" w:eastAsia="Times New Roman" w:hAnsi="Cambria"/>
          <w:color w:val="000000"/>
          <w:sz w:val="20"/>
          <w:szCs w:val="20"/>
          <w:u w:color="000000"/>
          <w:bdr w:val="none" w:sz="0" w:space="0" w:color="auto"/>
          <w:vertAlign w:val="superscript"/>
          <w:lang w:val="es-ES_tradnl" w:eastAsia="es-ES"/>
        </w:rPr>
        <w:footnoteReference w:id="101"/>
      </w:r>
      <w:r w:rsidRPr="001D283E">
        <w:rPr>
          <w:rFonts w:ascii="Cambria" w:eastAsia="Times New Roman" w:hAnsi="Cambria"/>
          <w:color w:val="000000"/>
          <w:sz w:val="20"/>
          <w:szCs w:val="20"/>
          <w:u w:color="000000"/>
          <w:bdr w:val="none" w:sz="0" w:space="0" w:color="auto"/>
          <w:lang w:val="es-ES" w:eastAsia="es-ES"/>
        </w:rPr>
        <w:t xml:space="preserve">. </w:t>
      </w:r>
    </w:p>
    <w:p w:rsidR="001D283E" w:rsidRDefault="001D283E" w:rsidP="001D283E">
      <w:pPr>
        <w:pStyle w:val="ListParagraph"/>
        <w:rPr>
          <w:rFonts w:ascii="Cambria" w:hAnsi="Cambria"/>
          <w:sz w:val="20"/>
          <w:szCs w:val="20"/>
          <w:lang w:val="es-MX"/>
        </w:rPr>
      </w:pPr>
    </w:p>
    <w:p w:rsidR="001D283E" w:rsidRPr="001D283E" w:rsidRDefault="003F51F1"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color w:val="000000"/>
          <w:sz w:val="20"/>
          <w:szCs w:val="20"/>
          <w:u w:color="000000"/>
          <w:lang w:val="es-ES" w:eastAsia="ja-JP"/>
        </w:rPr>
      </w:pPr>
      <w:r>
        <w:rPr>
          <w:rFonts w:ascii="Cambria" w:hAnsi="Cambria"/>
          <w:sz w:val="20"/>
          <w:szCs w:val="20"/>
          <w:lang w:val="es-MX"/>
        </w:rPr>
        <w:t>U</w:t>
      </w:r>
      <w:r w:rsidR="001D283E" w:rsidRPr="001D283E">
        <w:rPr>
          <w:rFonts w:ascii="Cambria" w:hAnsi="Cambria"/>
          <w:sz w:val="20"/>
          <w:szCs w:val="20"/>
          <w:lang w:val="es-MX"/>
        </w:rPr>
        <w:t>na persona que se encuentra en detención, en condiciones de ilegalidad y arbitrariedad</w:t>
      </w:r>
      <w:r>
        <w:rPr>
          <w:rFonts w:ascii="Cambria" w:hAnsi="Cambria"/>
          <w:sz w:val="20"/>
          <w:szCs w:val="20"/>
          <w:lang w:val="es-MX"/>
        </w:rPr>
        <w:t>,</w:t>
      </w:r>
      <w:r w:rsidR="001D283E" w:rsidRPr="001D283E">
        <w:rPr>
          <w:rFonts w:ascii="Cambria" w:hAnsi="Cambria"/>
          <w:sz w:val="20"/>
          <w:szCs w:val="20"/>
          <w:lang w:val="es-MX"/>
        </w:rPr>
        <w:t xml:space="preserve"> se encuentra en </w:t>
      </w:r>
      <w:r>
        <w:rPr>
          <w:rFonts w:ascii="Cambria" w:hAnsi="Cambria"/>
          <w:sz w:val="20"/>
          <w:szCs w:val="20"/>
          <w:lang w:val="es-MX"/>
        </w:rPr>
        <w:t xml:space="preserve">una situación de </w:t>
      </w:r>
      <w:r w:rsidR="001D283E" w:rsidRPr="001D283E">
        <w:rPr>
          <w:rFonts w:ascii="Cambria" w:hAnsi="Cambria"/>
          <w:sz w:val="20"/>
          <w:szCs w:val="20"/>
          <w:lang w:val="es-MX"/>
        </w:rPr>
        <w:t>especial riesgo</w:t>
      </w:r>
      <w:r>
        <w:rPr>
          <w:rFonts w:ascii="Cambria" w:hAnsi="Cambria"/>
          <w:sz w:val="20"/>
          <w:szCs w:val="20"/>
          <w:lang w:val="es-MX"/>
        </w:rPr>
        <w:t xml:space="preserve">. Por ello, </w:t>
      </w:r>
      <w:r w:rsidR="001D283E" w:rsidRPr="001D283E">
        <w:rPr>
          <w:rFonts w:ascii="Cambria" w:hAnsi="Cambria"/>
          <w:sz w:val="20"/>
          <w:szCs w:val="20"/>
          <w:lang w:val="es-MX"/>
        </w:rPr>
        <w:t xml:space="preserve">las actuaciones iniciales dentro de la investigación de </w:t>
      </w:r>
      <w:r>
        <w:rPr>
          <w:rFonts w:ascii="Cambria" w:hAnsi="Cambria"/>
          <w:sz w:val="20"/>
          <w:szCs w:val="20"/>
          <w:lang w:val="es-MX"/>
        </w:rPr>
        <w:t>una denunciada de</w:t>
      </w:r>
      <w:r w:rsidR="001D283E" w:rsidRPr="001D283E">
        <w:rPr>
          <w:rFonts w:ascii="Cambria" w:hAnsi="Cambria"/>
          <w:sz w:val="20"/>
          <w:szCs w:val="20"/>
          <w:lang w:val="es-MX"/>
        </w:rPr>
        <w:t>saparición</w:t>
      </w:r>
      <w:r>
        <w:rPr>
          <w:rFonts w:ascii="Cambria" w:hAnsi="Cambria"/>
          <w:sz w:val="20"/>
          <w:szCs w:val="20"/>
          <w:lang w:val="es-MX"/>
        </w:rPr>
        <w:t xml:space="preserve"> forzada</w:t>
      </w:r>
      <w:r w:rsidR="001D283E" w:rsidRPr="001D283E">
        <w:rPr>
          <w:rFonts w:ascii="Cambria" w:hAnsi="Cambria"/>
          <w:sz w:val="20"/>
          <w:szCs w:val="20"/>
          <w:lang w:val="es-MX"/>
        </w:rPr>
        <w:t xml:space="preserve">, cobran especial relevancia para salvaguardar la vida y la integridad personal de la víctima. </w:t>
      </w:r>
    </w:p>
    <w:p w:rsidR="00656B80" w:rsidRPr="00656B80" w:rsidRDefault="00656B80" w:rsidP="00656B80">
      <w:pPr>
        <w:rPr>
          <w:rFonts w:ascii="Cambria" w:hAnsi="Cambria"/>
          <w:sz w:val="20"/>
          <w:szCs w:val="20"/>
          <w:lang w:val="es-MX"/>
        </w:rPr>
      </w:pPr>
    </w:p>
    <w:p w:rsid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La Corte ha establecido el deber del Estado de investigar los hechos mientras se mantenga la incertidumbre sobre la suerte de la persona desaparecida y la necesidad de brindar un recurso sencillo y rápido para el caso, con las debidas garantías</w:t>
      </w:r>
      <w:r w:rsidRPr="00656B80">
        <w:rPr>
          <w:rFonts w:ascii="Cambria" w:hAnsi="Cambria"/>
          <w:sz w:val="20"/>
          <w:szCs w:val="20"/>
          <w:vertAlign w:val="superscript"/>
          <w:lang w:val="es-ES" w:bidi="x-none"/>
        </w:rPr>
        <w:footnoteReference w:id="102"/>
      </w:r>
      <w:r w:rsidRPr="00656B80">
        <w:rPr>
          <w:rFonts w:ascii="Cambria" w:hAnsi="Cambria"/>
          <w:sz w:val="20"/>
          <w:szCs w:val="20"/>
          <w:lang w:val="es-ES"/>
        </w:rPr>
        <w:t>. La  Comisión recuerda en este sentido que los Estados deben garantizar el derecho a la verdad de la víctima o de sus familiares a través de la investigación y el juzgamiento que previenen los artículos 8 y 25 de la Convención</w:t>
      </w:r>
      <w:r w:rsidRPr="00656B80">
        <w:rPr>
          <w:rFonts w:ascii="Cambria" w:hAnsi="Cambria"/>
          <w:sz w:val="20"/>
          <w:szCs w:val="20"/>
          <w:vertAlign w:val="superscript"/>
          <w:lang w:val="es-ES"/>
        </w:rPr>
        <w:footnoteReference w:id="103"/>
      </w:r>
      <w:r w:rsidRPr="00656B80">
        <w:rPr>
          <w:rFonts w:ascii="Cambria" w:hAnsi="Cambria"/>
          <w:sz w:val="20"/>
          <w:szCs w:val="20"/>
          <w:lang w:val="es-ES"/>
        </w:rPr>
        <w:t>.</w:t>
      </w:r>
    </w:p>
    <w:p w:rsidR="00656B80" w:rsidRPr="00656B80" w:rsidRDefault="00656B80" w:rsidP="00656B80">
      <w:pPr>
        <w:rPr>
          <w:rFonts w:ascii="Cambria" w:hAnsi="Cambria"/>
          <w:sz w:val="20"/>
          <w:szCs w:val="20"/>
          <w:lang w:val="es-MX"/>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cs="Verdana"/>
          <w:sz w:val="20"/>
          <w:szCs w:val="20"/>
          <w:lang w:val="es-ES"/>
        </w:rPr>
        <w:t>Finalmente, en lo que respecta al derecho a conocer la verdad ha sido reconocido en diversos instrumentos de Naciones Unidas y por la Asamblea General de la Organización de los Estados Americanos (OEA)</w:t>
      </w:r>
      <w:r w:rsidRPr="00656B80">
        <w:rPr>
          <w:rFonts w:ascii="Cambria" w:hAnsi="Cambria" w:cs="Verdana"/>
          <w:sz w:val="20"/>
          <w:szCs w:val="20"/>
          <w:vertAlign w:val="superscript"/>
          <w:lang w:val="es-ES"/>
        </w:rPr>
        <w:footnoteReference w:id="104"/>
      </w:r>
      <w:r w:rsidRPr="00656B80">
        <w:rPr>
          <w:rFonts w:ascii="Cambria" w:hAnsi="Cambria" w:cs="Verdana"/>
          <w:sz w:val="20"/>
          <w:szCs w:val="20"/>
          <w:lang w:val="es-ES"/>
        </w:rPr>
        <w:t xml:space="preserve">. Por su parte, </w:t>
      </w:r>
      <w:r w:rsidRPr="00656B80">
        <w:rPr>
          <w:rFonts w:ascii="Cambria" w:hAnsi="Cambria"/>
          <w:sz w:val="20"/>
          <w:szCs w:val="20"/>
          <w:lang w:val="es-ES"/>
        </w:rPr>
        <w:t xml:space="preserve">la Corte Interamericana </w:t>
      </w:r>
      <w:r w:rsidRPr="00656B80">
        <w:rPr>
          <w:rFonts w:ascii="Cambria" w:hAnsi="Cambria" w:cs="Verdana"/>
          <w:sz w:val="20"/>
          <w:szCs w:val="20"/>
          <w:lang w:val="es-ES"/>
        </w:rPr>
        <w:t xml:space="preserve">ha determinado el contenido del derecho a conocer la verdad, en particular, en casos de desaparición forzada. En el </w:t>
      </w:r>
      <w:r w:rsidRPr="00656B80">
        <w:rPr>
          <w:rFonts w:ascii="Cambria" w:hAnsi="Cambria" w:cs="Verdana"/>
          <w:i/>
          <w:iCs/>
          <w:sz w:val="20"/>
          <w:szCs w:val="20"/>
          <w:lang w:val="es-ES"/>
        </w:rPr>
        <w:t xml:space="preserve">caso Velásquez Rodríguez vs. Honduras, </w:t>
      </w:r>
      <w:r w:rsidRPr="00656B80">
        <w:rPr>
          <w:rFonts w:ascii="Cambria" w:hAnsi="Cambria" w:cs="Verdana"/>
          <w:sz w:val="20"/>
          <w:szCs w:val="20"/>
          <w:lang w:val="es-ES"/>
        </w:rPr>
        <w:t>la Corte afirmó la existencia de un “derecho de los familiares de la víctima de conocer cuál fue el destino de ésta y, en su caso, dónde se encuentran sus restos”</w:t>
      </w:r>
      <w:r w:rsidRPr="00656B80">
        <w:rPr>
          <w:rFonts w:ascii="Cambria" w:hAnsi="Cambria" w:cs="Verdana"/>
          <w:sz w:val="20"/>
          <w:szCs w:val="20"/>
          <w:vertAlign w:val="superscript"/>
          <w:lang w:val="es-ES"/>
        </w:rPr>
        <w:footnoteReference w:id="105"/>
      </w:r>
      <w:r w:rsidRPr="00656B80">
        <w:rPr>
          <w:rFonts w:ascii="Cambria" w:hAnsi="Cambria" w:cs="Verdana"/>
          <w:sz w:val="20"/>
          <w:szCs w:val="20"/>
          <w:lang w:val="es-ES"/>
        </w:rPr>
        <w:t>. En este tipo de casos se entiende que los familiares de la persona desaparecida son víctimas de los hechos constitutivos de la desaparición forzada, lo que les confiere el derecho a que los hechos sean investigados y que los responsables sean procesados y, en su caso, sancionados</w:t>
      </w:r>
      <w:r w:rsidRPr="00656B80">
        <w:rPr>
          <w:rFonts w:ascii="Cambria" w:hAnsi="Cambria" w:cs="Verdana"/>
          <w:sz w:val="20"/>
          <w:szCs w:val="20"/>
          <w:vertAlign w:val="superscript"/>
          <w:lang w:val="es-ES"/>
        </w:rPr>
        <w:footnoteReference w:id="106"/>
      </w:r>
      <w:r w:rsidRPr="00656B80">
        <w:rPr>
          <w:rFonts w:ascii="Cambria" w:hAnsi="Cambria" w:cs="Verdana"/>
          <w:sz w:val="20"/>
          <w:szCs w:val="20"/>
          <w:lang w:val="es-ES"/>
        </w:rPr>
        <w:t>. La Corte ha reconocido que el derecho a conocer la verdad de los familiares de víctimas de graves violaciones de derechos humanos se enmarca en el derecho de acceso a la justicia</w:t>
      </w:r>
      <w:r w:rsidRPr="00656B80">
        <w:rPr>
          <w:rFonts w:ascii="Cambria" w:hAnsi="Cambria" w:cs="Verdana"/>
          <w:sz w:val="20"/>
          <w:szCs w:val="20"/>
          <w:vertAlign w:val="superscript"/>
          <w:lang w:val="es-ES"/>
        </w:rPr>
        <w:footnoteReference w:id="107"/>
      </w:r>
      <w:r w:rsidRPr="00656B80">
        <w:rPr>
          <w:rFonts w:ascii="Cambria" w:hAnsi="Cambria" w:cs="Verdana"/>
          <w:sz w:val="20"/>
          <w:szCs w:val="20"/>
          <w:lang w:val="es-ES"/>
        </w:rPr>
        <w:t xml:space="preserve">. </w:t>
      </w:r>
    </w:p>
    <w:p w:rsidR="00656B80" w:rsidRPr="00656B80" w:rsidRDefault="00656B80" w:rsidP="00656B80">
      <w:pPr>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En el mismo sentido, la Corte ha sostenido que</w:t>
      </w:r>
      <w:r w:rsidR="0051690B">
        <w:rPr>
          <w:rFonts w:ascii="Cambria" w:hAnsi="Cambria"/>
          <w:sz w:val="20"/>
          <w:szCs w:val="20"/>
          <w:lang w:val="es-ES"/>
        </w:rPr>
        <w:t>:</w:t>
      </w:r>
    </w:p>
    <w:p w:rsidR="00656B80" w:rsidRPr="00656B80" w:rsidRDefault="00656B80" w:rsidP="00656B80">
      <w:pPr>
        <w:rPr>
          <w:rFonts w:ascii="Cambria" w:hAnsi="Cambria"/>
          <w:sz w:val="20"/>
          <w:szCs w:val="20"/>
          <w:lang w:val="es-MX"/>
        </w:rPr>
      </w:pPr>
    </w:p>
    <w:p w:rsidR="00656B80" w:rsidRPr="00656B80" w:rsidRDefault="00656B80" w:rsidP="00656B80">
      <w:pPr>
        <w:autoSpaceDE w:val="0"/>
        <w:autoSpaceDN w:val="0"/>
        <w:adjustRightInd w:val="0"/>
        <w:ind w:left="720" w:right="720"/>
        <w:jc w:val="both"/>
        <w:rPr>
          <w:rFonts w:ascii="Cambria" w:eastAsia="Cambria" w:hAnsi="Cambria" w:cs="Verdana"/>
          <w:color w:val="000000"/>
          <w:sz w:val="20"/>
          <w:szCs w:val="20"/>
          <w:u w:color="000000"/>
          <w:lang w:val="es-ES" w:eastAsia="es-ES"/>
        </w:rPr>
      </w:pPr>
      <w:r w:rsidRPr="00656B80">
        <w:rPr>
          <w:rFonts w:ascii="Cambria" w:eastAsia="Cambria" w:hAnsi="Cambria" w:cs="Verdana"/>
          <w:color w:val="000000"/>
          <w:sz w:val="20"/>
          <w:szCs w:val="20"/>
          <w:u w:color="000000"/>
          <w:lang w:val="es-ES" w:eastAsia="es-ES"/>
        </w:rPr>
        <w:t xml:space="preserve">el derecho a conocer la verdad tiene como efecto necesario que en una sociedad democrática se conozca la verdad sobre los hechos de graves violaciones de derechos humanos. Esta es una justa expectativa que el Estado debe satisfacer, por un lado, mediante la obligación de investigar las violaciones de derechos humanos y, por el otro, con la divulgación pública de los resultados de los procesos </w:t>
      </w:r>
      <w:r w:rsidRPr="00656B80">
        <w:rPr>
          <w:rFonts w:ascii="Cambria" w:eastAsia="Cambria" w:hAnsi="Cambria" w:cs="Cambria"/>
          <w:color w:val="000000"/>
          <w:sz w:val="20"/>
          <w:szCs w:val="20"/>
          <w:u w:color="000000"/>
          <w:lang w:val="es-ES" w:eastAsia="es-ES"/>
        </w:rPr>
        <w:t>penales</w:t>
      </w:r>
      <w:r w:rsidRPr="00656B80">
        <w:rPr>
          <w:rFonts w:ascii="Cambria" w:eastAsia="Cambria" w:hAnsi="Cambria" w:cs="Verdana"/>
          <w:color w:val="000000"/>
          <w:sz w:val="20"/>
          <w:szCs w:val="20"/>
          <w:u w:color="000000"/>
          <w:lang w:val="es-ES" w:eastAsia="es-ES"/>
        </w:rPr>
        <w:t xml:space="preserve"> e investigativos. Esto exige del Estado la determinación procesal de los patrones de actuación conjunta y de todas las personas que de diversas formas participaron en dichas violaciones y sus correspondientes responsabilidades. Además, en cumplimiento de sus obligaciones de garantizar el derecho a conocer la verdad, los Estados pueden establecer comisiones de la verdad, las que contribuyen a la construcción y preservación de la memoria histórica, el esclarecimiento de </w:t>
      </w:r>
      <w:r w:rsidRPr="00656B80">
        <w:rPr>
          <w:rFonts w:ascii="Cambria" w:eastAsia="Cambria" w:hAnsi="Cambria" w:cs="Verdana"/>
          <w:color w:val="000000"/>
          <w:sz w:val="20"/>
          <w:szCs w:val="20"/>
          <w:u w:color="000000"/>
          <w:lang w:val="es-ES" w:eastAsia="es-ES"/>
        </w:rPr>
        <w:lastRenderedPageBreak/>
        <w:t>hechos y la determinación de responsabilidades institucionales, sociales y políticas en determinados períodos históricos de una sociedad</w:t>
      </w:r>
      <w:r w:rsidRPr="00656B80">
        <w:rPr>
          <w:rFonts w:ascii="Cambria" w:eastAsia="Cambria" w:hAnsi="Cambria" w:cs="Verdana"/>
          <w:color w:val="000000"/>
          <w:sz w:val="20"/>
          <w:szCs w:val="20"/>
          <w:u w:color="000000"/>
          <w:vertAlign w:val="superscript"/>
          <w:lang w:val="es-ES" w:eastAsia="es-ES"/>
        </w:rPr>
        <w:footnoteReference w:id="108"/>
      </w:r>
      <w:r w:rsidRPr="00656B80">
        <w:rPr>
          <w:rFonts w:ascii="Cambria" w:eastAsia="Cambria" w:hAnsi="Cambria" w:cs="Verdana"/>
          <w:color w:val="000000"/>
          <w:sz w:val="20"/>
          <w:szCs w:val="20"/>
          <w:u w:color="000000"/>
          <w:lang w:val="es-ES" w:eastAsia="es-ES"/>
        </w:rPr>
        <w:t>.</w:t>
      </w:r>
    </w:p>
    <w:p w:rsidR="00656B80" w:rsidRPr="00656B80" w:rsidRDefault="00656B80" w:rsidP="00656B80">
      <w:pPr>
        <w:autoSpaceDE w:val="0"/>
        <w:autoSpaceDN w:val="0"/>
        <w:adjustRightInd w:val="0"/>
        <w:ind w:left="720" w:right="720"/>
        <w:jc w:val="both"/>
        <w:rPr>
          <w:rFonts w:ascii="Cambria" w:eastAsia="Cambria" w:hAnsi="Cambria" w:cs="Verdana"/>
          <w:color w:val="000000"/>
          <w:sz w:val="20"/>
          <w:szCs w:val="20"/>
          <w:u w:color="000000"/>
          <w:lang w:val="es-ES" w:eastAsia="es-ES"/>
        </w:rPr>
      </w:pPr>
    </w:p>
    <w:p w:rsidR="00656B80" w:rsidRPr="00656B80" w:rsidRDefault="00656B80" w:rsidP="0051690B">
      <w:pPr>
        <w:numPr>
          <w:ilvl w:val="0"/>
          <w:numId w:val="57"/>
        </w:numPr>
        <w:tabs>
          <w:tab w:val="num" w:pos="360"/>
        </w:tabs>
        <w:ind w:left="0" w:firstLine="720"/>
        <w:jc w:val="both"/>
        <w:outlineLvl w:val="2"/>
        <w:rPr>
          <w:rFonts w:ascii="Cambria" w:eastAsia="Times New Roman" w:hAnsi="Cambria" w:cs="Arial"/>
          <w:b/>
          <w:bCs/>
          <w:sz w:val="20"/>
          <w:szCs w:val="20"/>
          <w:u w:color="000000"/>
          <w:bdr w:val="none" w:sz="0" w:space="0" w:color="auto"/>
          <w:lang w:val="es-MX"/>
        </w:rPr>
      </w:pPr>
      <w:bookmarkStart w:id="26" w:name="_Toc467948063"/>
      <w:r w:rsidRPr="00656B80">
        <w:rPr>
          <w:rFonts w:ascii="Cambria" w:eastAsia="Times New Roman" w:hAnsi="Cambria" w:cs="Arial"/>
          <w:b/>
          <w:bCs/>
          <w:sz w:val="20"/>
          <w:szCs w:val="20"/>
          <w:u w:color="000000"/>
          <w:bdr w:val="none" w:sz="0" w:space="0" w:color="auto"/>
          <w:lang w:val="es-MX"/>
        </w:rPr>
        <w:t>Análisis de si el Estado cumplió con su obligación de investigar con la debida diligencia y en un plazo razonable</w:t>
      </w:r>
      <w:bookmarkEnd w:id="26"/>
    </w:p>
    <w:p w:rsidR="00656B80" w:rsidRPr="00656B80" w:rsidRDefault="00656B80" w:rsidP="00656B80">
      <w:pPr>
        <w:autoSpaceDE w:val="0"/>
        <w:autoSpaceDN w:val="0"/>
        <w:adjustRightInd w:val="0"/>
        <w:ind w:left="720" w:right="720"/>
        <w:jc w:val="both"/>
        <w:rPr>
          <w:rFonts w:ascii="Cambria" w:eastAsia="Cambria" w:hAnsi="Cambria" w:cs="Cambria"/>
          <w:color w:val="000000"/>
          <w:sz w:val="20"/>
          <w:szCs w:val="20"/>
          <w:u w:color="000000"/>
          <w:lang w:val="es-ES" w:eastAsia="es-ES"/>
        </w:rPr>
      </w:pPr>
    </w:p>
    <w:p w:rsidR="00CB28B1"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La Comisión considera que, en casos como los presentes, corresponde al Estado demostrar que sus autoridades cumplieron con sus obligaciones bajo la Convención Americana y la Convención Interamericana sobre Desaparición Forzada desde su entrada en vigor para el Estado concernido. Específicamente, es carga del Estado demostrar que sus autoridades procedieron de manera diligente con las investigaciones, tras ser informadas de una desaparición. Además, tomando en cuenta que existen elementos suficientes para activar el deber de investigar posibles actos de tortura en el contexto de la desaparición de la víctima, la Comisión también estima pertinente invocar las obligaciones de investigación derivadas de la Convención Interamericana para Prevenir y Sancionar la Tortura. </w:t>
      </w:r>
    </w:p>
    <w:p w:rsidR="00CB28B1" w:rsidRDefault="00CB28B1" w:rsidP="00CB28B1">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p>
    <w:p w:rsidR="00CB28B1"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La Comisión advierte que las autoridades no tomaron acciones específicas y de manera inmediata, al conocer de la desaparición denunciada, para dar con el paradero de Walter Munárriz Escobar </w:t>
      </w:r>
      <w:r w:rsidRPr="00656B80">
        <w:rPr>
          <w:rFonts w:ascii="Cambria" w:eastAsia="Times New Roman" w:hAnsi="Cambria"/>
          <w:bCs/>
          <w:color w:val="000000"/>
          <w:sz w:val="20"/>
          <w:szCs w:val="20"/>
          <w:u w:color="000000"/>
          <w:lang w:val="es-ES" w:eastAsia="es-ES"/>
        </w:rPr>
        <w:t>y proteger su vida e integridad, máxime cuando desapareció tras haber sido detenido por agentes del Estado. Así, consta que el mismo día de los hechos, la señora Gladys Escobar Candiotti se apersonó en la Comisaría de Lircay donde preguntó por su hijo e informó de su desaparición</w:t>
      </w:r>
      <w:r w:rsidRPr="00656B80">
        <w:rPr>
          <w:rFonts w:ascii="Cambria" w:eastAsia="Times New Roman" w:hAnsi="Cambria"/>
          <w:bCs/>
          <w:color w:val="000000"/>
          <w:sz w:val="20"/>
          <w:szCs w:val="20"/>
          <w:u w:color="000000"/>
          <w:vertAlign w:val="superscript"/>
          <w:lang w:val="es-ES" w:eastAsia="es-ES"/>
        </w:rPr>
        <w:footnoteReference w:id="109"/>
      </w:r>
      <w:r w:rsidRPr="00656B80">
        <w:rPr>
          <w:rFonts w:ascii="Cambria" w:eastAsia="Times New Roman" w:hAnsi="Cambria"/>
          <w:bCs/>
          <w:color w:val="000000"/>
          <w:sz w:val="20"/>
          <w:szCs w:val="20"/>
          <w:u w:color="000000"/>
          <w:lang w:val="es-ES" w:eastAsia="es-ES"/>
        </w:rPr>
        <w:t>. Al día siguiente, intentó presentar denuncia por la desaparición de su hijo ante la Fiscalía Provincial de Lircay, donde la Comisión ya consideró suficientemente probado que la Fiscal se negó a recibir la denuncia y le pidió que volviera dos meses después.</w:t>
      </w:r>
    </w:p>
    <w:p w:rsidR="00CB28B1" w:rsidRDefault="00CB28B1" w:rsidP="00CB28B1">
      <w:pPr>
        <w:pStyle w:val="ListParagraph"/>
        <w:rPr>
          <w:rFonts w:ascii="Cambria" w:eastAsia="Times New Roman" w:hAnsi="Cambria"/>
          <w:bCs/>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bCs/>
          <w:color w:val="000000"/>
          <w:sz w:val="20"/>
          <w:szCs w:val="20"/>
          <w:u w:color="000000"/>
          <w:lang w:val="es-ES" w:eastAsia="es-ES"/>
        </w:rPr>
        <w:t xml:space="preserve">De la información disponible resulta evidente que la referida Fiscal que debía impulsar las investigaciones iniciales, </w:t>
      </w:r>
      <w:r w:rsidR="00B50E9C">
        <w:rPr>
          <w:rFonts w:ascii="Cambria" w:eastAsia="Times New Roman" w:hAnsi="Cambria"/>
          <w:bCs/>
          <w:color w:val="000000"/>
          <w:sz w:val="20"/>
          <w:szCs w:val="20"/>
          <w:u w:color="000000"/>
          <w:lang w:val="es-ES" w:eastAsia="es-ES"/>
        </w:rPr>
        <w:t xml:space="preserve">manifestó un </w:t>
      </w:r>
      <w:r w:rsidRPr="00656B80">
        <w:rPr>
          <w:rFonts w:ascii="Cambria" w:eastAsia="Times New Roman" w:hAnsi="Cambria"/>
          <w:bCs/>
          <w:color w:val="000000"/>
          <w:sz w:val="20"/>
          <w:szCs w:val="20"/>
          <w:u w:color="000000"/>
          <w:lang w:val="es-ES" w:eastAsia="es-ES"/>
        </w:rPr>
        <w:t xml:space="preserve">prejuicio a favor de las autoridades policiales involucradas. Así, no solamente se negó a recibir la denuncia efectuando manifestaciones de incredulidad a la madre de la víctima indicando que no era tiempo de terrorismo, sino que en documentos oficiales relativos a la investigación indicó expresamente que el objeto de la investigación era demostrar la ausencia de responsabilidad de los policías para “dejar en alto” la institución. </w:t>
      </w:r>
    </w:p>
    <w:p w:rsidR="00656B80" w:rsidRPr="00656B80" w:rsidRDefault="00656B80" w:rsidP="00656B80">
      <w:pPr>
        <w:rPr>
          <w:rFonts w:ascii="Cambria" w:hAnsi="Cambria"/>
          <w:sz w:val="20"/>
          <w:szCs w:val="20"/>
          <w:highlight w:val="yellow"/>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Con base en lo anterior, la Comisión considera que las investigaciones iniciales fueron llevadas a cabo por una autoridad que no contaba con garantías mínimas de imparcialidad.</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Además de lo anterior, esta falta de imparcialidad se vio claramente reflejada en la manera superficial en que se realizaron las investigaciones tanto relativas a la búsqueda de Walter Munárriz Escobar como las relativas al esclarecimiento de las respectivas responsabilidades.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La falta de debida diligencia inicial fue destacada en el informe preliminar, sin fecha, de la Defensoría del Pueblo en la que se refirió explícitamente a la falta de práctica de pruebas fundamentales. Al respecto concluyó: </w:t>
      </w:r>
    </w:p>
    <w:p w:rsidR="00656B80" w:rsidRPr="00656B80" w:rsidRDefault="00656B80" w:rsidP="00656B80">
      <w:pPr>
        <w:jc w:val="both"/>
        <w:rPr>
          <w:rFonts w:ascii="Cambria" w:hAnsi="Cambria"/>
          <w:sz w:val="20"/>
          <w:szCs w:val="20"/>
          <w:lang w:val="es-MX"/>
        </w:rPr>
      </w:pPr>
    </w:p>
    <w:p w:rsidR="00656B80" w:rsidRPr="00656B80" w:rsidRDefault="00656B80" w:rsidP="00F24543">
      <w:pPr>
        <w:ind w:left="720" w:right="720"/>
        <w:jc w:val="both"/>
        <w:rPr>
          <w:rFonts w:ascii="Cambria" w:hAnsi="Cambria"/>
          <w:sz w:val="20"/>
          <w:szCs w:val="20"/>
          <w:lang w:val="es-MX"/>
        </w:rPr>
      </w:pPr>
      <w:r w:rsidRPr="00656B80">
        <w:rPr>
          <w:rFonts w:ascii="Cambria" w:hAnsi="Cambria"/>
          <w:sz w:val="20"/>
          <w:szCs w:val="20"/>
          <w:lang w:val="es-MX"/>
        </w:rPr>
        <w:t xml:space="preserve">Se aprecia lentitud en la investigación conducida por la representante del Ministerio Público, quien se limitó a recepcionar manifestaciones, sin practicar otras diligencias necesarias para el cabal esclarecimiento del hecho investigado, tampoco coordinó con las demás entidades para la búsqueda del agraviado. La referida </w:t>
      </w:r>
      <w:r w:rsidRPr="0063240C">
        <w:rPr>
          <w:rFonts w:ascii="Cambria" w:hAnsi="Cambria"/>
          <w:sz w:val="20"/>
          <w:szCs w:val="20"/>
          <w:lang w:val="es-MX"/>
        </w:rPr>
        <w:t>magistrada</w:t>
      </w:r>
      <w:r w:rsidR="0063240C">
        <w:rPr>
          <w:rFonts w:ascii="Cambria" w:hAnsi="Cambria"/>
          <w:sz w:val="20"/>
          <w:szCs w:val="20"/>
          <w:lang w:val="es-MX"/>
        </w:rPr>
        <w:t xml:space="preserve"> (sic)</w:t>
      </w:r>
      <w:r w:rsidRPr="00656B80">
        <w:rPr>
          <w:rFonts w:ascii="Cambria" w:hAnsi="Cambria"/>
          <w:sz w:val="20"/>
          <w:szCs w:val="20"/>
          <w:lang w:val="es-MX"/>
        </w:rPr>
        <w:t xml:space="preserve"> otorgó absoluta credibilidad a las afirmaciones dadas por los policías implicados</w:t>
      </w:r>
      <w:r w:rsidR="004869B1" w:rsidRPr="00656B80">
        <w:rPr>
          <w:rFonts w:ascii="Cambria" w:hAnsi="Cambria"/>
          <w:sz w:val="20"/>
          <w:szCs w:val="20"/>
          <w:lang w:val="es-MX"/>
        </w:rPr>
        <w:t xml:space="preserve"> </w:t>
      </w:r>
      <w:r w:rsidRPr="00656B80">
        <w:rPr>
          <w:rFonts w:ascii="Cambria" w:hAnsi="Cambria"/>
          <w:sz w:val="20"/>
          <w:szCs w:val="20"/>
          <w:lang w:val="es-MX"/>
        </w:rPr>
        <w:t>…”</w:t>
      </w:r>
      <w:r w:rsidRPr="00656B80">
        <w:rPr>
          <w:rFonts w:ascii="Cambria" w:hAnsi="Cambria"/>
          <w:sz w:val="20"/>
          <w:szCs w:val="20"/>
          <w:vertAlign w:val="superscript"/>
          <w:lang w:val="es-MX"/>
        </w:rPr>
        <w:footnoteReference w:id="110"/>
      </w:r>
      <w:r w:rsidRPr="00656B80">
        <w:rPr>
          <w:rFonts w:ascii="Cambria" w:hAnsi="Cambria"/>
          <w:sz w:val="20"/>
          <w:szCs w:val="20"/>
          <w:lang w:val="es-MX"/>
        </w:rPr>
        <w:t>.</w:t>
      </w:r>
    </w:p>
    <w:p w:rsidR="00656B80" w:rsidRPr="00656B80" w:rsidRDefault="00656B80" w:rsidP="00656B80">
      <w:pPr>
        <w:rPr>
          <w:rFonts w:ascii="Cambria" w:hAnsi="Cambria"/>
          <w:bCs/>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lastRenderedPageBreak/>
        <w:t>La Comisión destaca que en casos de desaparición forzada las diligencias iniciales de investigación resulta cruciales y pueden ser determinantes en las perspectivas reales de esclarecimiento del paradero de la persona desaparecida, así como de la determinación de las posibles responsabilidades. En ese sentido, la falta de debida diligencia en las etapas iniciales de investigación de una desaparición forzada de personas tiene un impacto especialmente negativo en toda la investigación.</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 </w:t>
      </w: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De la investigación seguida con posterioridad, la Comisión no cuenta con elementos que </w:t>
      </w:r>
      <w:r w:rsidR="00BA0699">
        <w:rPr>
          <w:rFonts w:ascii="Cambria" w:eastAsia="Times New Roman" w:hAnsi="Cambria"/>
          <w:color w:val="000000"/>
          <w:sz w:val="20"/>
          <w:szCs w:val="20"/>
          <w:u w:color="000000"/>
          <w:lang w:val="es-ES" w:eastAsia="es-ES"/>
        </w:rPr>
        <w:t xml:space="preserve">indiquen que </w:t>
      </w:r>
      <w:r w:rsidRPr="00656B80">
        <w:rPr>
          <w:rFonts w:ascii="Cambria" w:eastAsia="Times New Roman" w:hAnsi="Cambria"/>
          <w:color w:val="000000"/>
          <w:sz w:val="20"/>
          <w:szCs w:val="20"/>
          <w:u w:color="000000"/>
          <w:lang w:val="es-ES" w:eastAsia="es-ES"/>
        </w:rPr>
        <w:t xml:space="preserve">el Estado </w:t>
      </w:r>
      <w:r w:rsidR="00BA0699">
        <w:rPr>
          <w:rFonts w:ascii="Cambria" w:eastAsia="Times New Roman" w:hAnsi="Cambria"/>
          <w:color w:val="000000"/>
          <w:sz w:val="20"/>
          <w:szCs w:val="20"/>
          <w:u w:color="000000"/>
          <w:lang w:val="es-ES" w:eastAsia="es-ES"/>
        </w:rPr>
        <w:t xml:space="preserve">identificó las graves falla en la etapa inicial de la investigación o tomó medidas para remediarlas en la medida de lo posible. </w:t>
      </w:r>
      <w:r w:rsidRPr="00656B80">
        <w:rPr>
          <w:rFonts w:ascii="Cambria" w:eastAsia="Times New Roman" w:hAnsi="Cambria"/>
          <w:color w:val="000000"/>
          <w:sz w:val="20"/>
          <w:szCs w:val="20"/>
          <w:u w:color="000000"/>
          <w:lang w:val="es-ES" w:eastAsia="es-ES"/>
        </w:rPr>
        <w:t xml:space="preserve">Además, existen elementos respecto de los cuales no consta que se hubieran agotado líneas de investigación. Así por ejemplo, no consta que las autoridades a cargo de la investigación hubieran investigado exhaustivamente los diferentes indicios de presiones y amenazas que habrían activado los funcionarios policiales y que se encuentran referidas a lo largo del presente informe de fondo. Tampoco consta que se hubiera agotado una línea de investigación relativa a las supuestas actividades insusuales de algunos de los policías involucrados el día de la desaparición de Walter Munárriz. En la misma línea, no se investigaron a profundidad los </w:t>
      </w:r>
      <w:r w:rsidR="00BA0699">
        <w:rPr>
          <w:rFonts w:ascii="Cambria" w:eastAsia="Times New Roman" w:hAnsi="Cambria"/>
          <w:color w:val="000000"/>
          <w:sz w:val="20"/>
          <w:szCs w:val="20"/>
          <w:u w:color="000000"/>
          <w:lang w:val="es-ES" w:eastAsia="es-ES"/>
        </w:rPr>
        <w:t xml:space="preserve">diferentes testimonios que dieron cuenta de golpes y otros abusos comentidos contra Walter Munárriz Escobar, durante su detención en </w:t>
      </w:r>
      <w:r w:rsidRPr="00656B80">
        <w:rPr>
          <w:rFonts w:ascii="Cambria" w:eastAsia="Times New Roman" w:hAnsi="Cambria"/>
          <w:color w:val="000000"/>
          <w:sz w:val="20"/>
          <w:szCs w:val="20"/>
          <w:u w:color="000000"/>
          <w:lang w:val="es-ES" w:eastAsia="es-ES"/>
        </w:rPr>
        <w:t>la Comisaría de Lircay.</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La Comisión recapitula que mediante sentencia de fecha 15 de febrero de 2001, la Sala Mixta de la Corte Superior de Justicia de Huancavelica, condenó a dos agentes policiales, como responsables del delito contra la humanidad en la modalidad de desaparición forzada, en agravio de Walter Munárriz Escobar. Asimismo, la Comisión observa que el 13 de diciembre de 2001, la Sala Penal Suprema declaró la sentencia en cuestión nula</w:t>
      </w:r>
      <w:r w:rsidRPr="00656B80">
        <w:rPr>
          <w:rFonts w:ascii="Cambria" w:eastAsia="Times New Roman" w:hAnsi="Cambria"/>
          <w:color w:val="000000"/>
          <w:sz w:val="20"/>
          <w:szCs w:val="20"/>
          <w:u w:color="000000"/>
          <w:lang w:val="es-MX" w:eastAsia="es-ES"/>
        </w:rPr>
        <w:t xml:space="preserve"> y ordenó que se realizará un nuevo juicio oral. El 25 de mayo de 2004 la Sala Mixta de la Corte Superior de Justicia de Huancavelica absolvió a todos los acusados por “haberse comprobado la desaparición del agraviado Walter Munárriz Escobar pero no la responsabilidad de los procesados […]”. La misma Sala decidió archivar provisoriamente la causa y continuar con las investigaciones “sobre el paradero del agraviado, así como de los presuntos responsables de la desaparición forzada”.</w:t>
      </w:r>
    </w:p>
    <w:p w:rsidR="00656B80" w:rsidRPr="00656B80" w:rsidRDefault="00656B80" w:rsidP="00656B80">
      <w:pPr>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De lo dicho anteriormente, la Comisión considera que las conclusiones a las que llegaron las autoridades internas no fueron el resultado de una investigación seria, diligente y exhaustiva, conforme a las obligaciones estatales bajo la Convención Americana, la Convención Interamericana sobre Desaparición Forzada y la Convención Interamericana para Prevenir y Sancionar la Tortura. En ese sentido, la absolución de los responsables no inhibe que el Estado adelante una investigación conforme a dichas obligaciones para esclarecer lo sucedido y establecer las responsabilidades respectivas, sin que sea oponible el principio de </w:t>
      </w:r>
      <w:r w:rsidRPr="00656B80">
        <w:rPr>
          <w:rFonts w:ascii="Cambria" w:eastAsia="Times New Roman" w:hAnsi="Cambria"/>
          <w:i/>
          <w:color w:val="000000"/>
          <w:sz w:val="20"/>
          <w:szCs w:val="20"/>
          <w:u w:color="000000"/>
          <w:lang w:val="es-ES" w:eastAsia="es-ES"/>
        </w:rPr>
        <w:t xml:space="preserve">ne bis in ídem. </w:t>
      </w:r>
      <w:r w:rsidRPr="00656B80">
        <w:rPr>
          <w:rFonts w:ascii="Cambria" w:eastAsia="Times New Roman" w:hAnsi="Cambria"/>
          <w:color w:val="000000"/>
          <w:sz w:val="20"/>
          <w:szCs w:val="20"/>
          <w:u w:color="000000"/>
          <w:lang w:val="es-ES" w:eastAsia="es-ES"/>
        </w:rPr>
        <w:t xml:space="preserve">Esto resulta consistente con las recomendaciones que se efectúan en la parte final del presente informe.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2160" w:hanging="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La Comisión advierte además que, desde el 20 de octubre de 2004, fecha en que se resolvieron otros recursos y se confirmó la sentencia del 25 de mayo de ese año, el Estado no ha impulsado las investigaciones ni avanzado el esclarecimiento de los hechos. El Estado tampoco ha presentado información que demuestre que se estuvieren siguiendo otras líneas de investigación o que exista un plan de búsqueda del destino o paradero de la víctima. </w:t>
      </w:r>
    </w:p>
    <w:p w:rsidR="00656B80" w:rsidRPr="00656B80" w:rsidRDefault="00656B80" w:rsidP="00656B80">
      <w:pPr>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Al día de la aprobación del presente informe, habiendo pasado más de 17 años del inicio de ejecución de la desaparición forzada de Walter Munárriz Escobar,  ésta</w:t>
      </w:r>
      <w:r w:rsidRPr="00656B80">
        <w:rPr>
          <w:rFonts w:ascii="Cambria" w:eastAsia="Times New Roman" w:hAnsi="Cambria"/>
          <w:color w:val="000000"/>
          <w:sz w:val="20"/>
          <w:szCs w:val="20"/>
          <w:u w:color="000000"/>
          <w:lang w:val="es-MX" w:eastAsia="es-ES"/>
        </w:rPr>
        <w:t xml:space="preserve"> aún no ha sido esclarecida y el Estado no ha presentado una explicación que permita justificar la ausencia del impulso procesal. En ese sentido, la Comisión considera que el Estado ha incurrido en una demora excesiva en las investigaciones y que las mismas no se sustentan en la complejidad del asunto, sino en la falta de impulso y diligencia por parte del Estado.  </w:t>
      </w:r>
    </w:p>
    <w:p w:rsidR="00656B80" w:rsidRPr="00656B80" w:rsidRDefault="00656B80" w:rsidP="00656B80">
      <w:pPr>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lang w:val="es-ES"/>
        </w:rPr>
      </w:pPr>
      <w:r w:rsidRPr="00656B80">
        <w:rPr>
          <w:rFonts w:ascii="Cambria" w:hAnsi="Cambria"/>
          <w:sz w:val="20"/>
          <w:szCs w:val="20"/>
          <w:lang w:val="es-ES"/>
        </w:rPr>
        <w:t xml:space="preserve">En virtud de las anteriores consideraciones, la Comisión concluye que el Estado de Perú no ha arbitrado los medios necesarios para cumplir con su obligación de investigar, juzgar y sancionar, en un plazo razonable y con la debida diligencia, a los responsables de las violaciones de derechos humanos analizadas en el presente informe. En consecuencia, la Comisión concluye que el Estado de Perú es responsable por la violación de los derechos a las garantías judiciales y a la protección judicial establecidos en los artículos 8 y 25 de la Convención Americana, en relación con las obligaciones establecidas en el artículo </w:t>
      </w:r>
      <w:r w:rsidRPr="00656B80">
        <w:rPr>
          <w:rFonts w:ascii="Cambria" w:hAnsi="Cambria"/>
          <w:sz w:val="20"/>
          <w:szCs w:val="20"/>
          <w:lang w:val="es-ES"/>
        </w:rPr>
        <w:lastRenderedPageBreak/>
        <w:t xml:space="preserve">1.1 del mismo instrumento, en perjuicio de </w:t>
      </w:r>
      <w:r w:rsidRPr="00656B80">
        <w:rPr>
          <w:rFonts w:ascii="Cambria" w:hAnsi="Cambria"/>
          <w:bCs/>
          <w:sz w:val="20"/>
          <w:szCs w:val="20"/>
          <w:lang w:val="es-MX"/>
        </w:rPr>
        <w:t xml:space="preserve">Walter Munárriz Escobar </w:t>
      </w:r>
      <w:r w:rsidRPr="00656B80">
        <w:rPr>
          <w:rFonts w:ascii="Cambria" w:hAnsi="Cambria"/>
          <w:sz w:val="20"/>
          <w:szCs w:val="20"/>
          <w:lang w:val="es-ES"/>
        </w:rPr>
        <w:t xml:space="preserve">y sus familias. Asimismo, el Estado de Perú es responsable por la violación del artículo I b) de la Convención Interamericana sobre Desaparición Forzada de Personas y de los artículos 1, 6 y 8 de la Convención Interamericana para Prevenir y Sancionar la Tortura. </w:t>
      </w:r>
    </w:p>
    <w:p w:rsidR="00656B80" w:rsidRPr="00656B80" w:rsidRDefault="00656B80" w:rsidP="002413D5">
      <w:pPr>
        <w:ind w:left="810"/>
        <w:jc w:val="both"/>
        <w:outlineLvl w:val="1"/>
        <w:rPr>
          <w:rFonts w:ascii="Cambria" w:eastAsia="Times New Roman" w:hAnsi="Cambria" w:cs="Arial"/>
          <w:b/>
          <w:bCs/>
          <w:iCs/>
          <w:sz w:val="20"/>
          <w:szCs w:val="20"/>
          <w:bdr w:val="none" w:sz="0" w:space="0" w:color="auto"/>
          <w:lang w:val="es-ES"/>
        </w:rPr>
      </w:pPr>
    </w:p>
    <w:p w:rsidR="00656B80" w:rsidRPr="00656B80" w:rsidRDefault="00656B80" w:rsidP="002413D5">
      <w:pPr>
        <w:numPr>
          <w:ilvl w:val="0"/>
          <w:numId w:val="58"/>
        </w:numPr>
        <w:tabs>
          <w:tab w:val="num" w:pos="360"/>
        </w:tabs>
        <w:ind w:left="0" w:firstLine="810"/>
        <w:jc w:val="both"/>
        <w:outlineLvl w:val="1"/>
        <w:rPr>
          <w:rFonts w:ascii="Cambria" w:eastAsia="Times New Roman" w:hAnsi="Cambria" w:cs="Arial"/>
          <w:b/>
          <w:bCs/>
          <w:iCs/>
          <w:sz w:val="20"/>
          <w:szCs w:val="20"/>
          <w:bdr w:val="none" w:sz="0" w:space="0" w:color="auto"/>
          <w:lang w:val="es-ES"/>
        </w:rPr>
      </w:pPr>
      <w:bookmarkStart w:id="27" w:name="_Toc467948064"/>
      <w:r w:rsidRPr="00656B80">
        <w:rPr>
          <w:rFonts w:ascii="Cambria" w:eastAsia="Times New Roman" w:hAnsi="Cambria" w:cs="Arial"/>
          <w:b/>
          <w:bCs/>
          <w:iCs/>
          <w:sz w:val="20"/>
          <w:szCs w:val="20"/>
          <w:bdr w:val="none" w:sz="0" w:space="0" w:color="auto"/>
          <w:lang w:val="es-ES"/>
        </w:rPr>
        <w:t>Obligación de adoptar disposiciones de derecho interno relacionada con la tipificación del delito de desaparición forzada de personas (artículo 2 de la Convención Americana y III de la Convención Interamericana sobre De</w:t>
      </w:r>
      <w:r w:rsidR="002413D5">
        <w:rPr>
          <w:rFonts w:ascii="Cambria" w:eastAsia="Times New Roman" w:hAnsi="Cambria" w:cs="Arial"/>
          <w:b/>
          <w:bCs/>
          <w:iCs/>
          <w:sz w:val="20"/>
          <w:szCs w:val="20"/>
          <w:bdr w:val="none" w:sz="0" w:space="0" w:color="auto"/>
          <w:lang w:val="es-ES"/>
        </w:rPr>
        <w:t>saparición Forzada de Personas)</w:t>
      </w:r>
      <w:bookmarkEnd w:id="27"/>
    </w:p>
    <w:p w:rsidR="00656B80" w:rsidRPr="00656B80" w:rsidRDefault="00656B80" w:rsidP="00656B80">
      <w:pPr>
        <w:ind w:firstLine="720"/>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El artículo 2 de la Convención Americana indica que: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s="Arial"/>
          <w:color w:val="000000"/>
          <w:sz w:val="20"/>
          <w:szCs w:val="20"/>
          <w:u w:color="000000"/>
          <w:lang w:val="es-ES" w:eastAsia="ja-JP"/>
        </w:rPr>
        <w:t xml:space="preserve">El artículo III de la CISDFP establece lo siguiente: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ES"/>
        </w:rPr>
      </w:pPr>
      <w:r w:rsidRPr="00656B80">
        <w:rPr>
          <w:rFonts w:ascii="Cambria" w:eastAsia="Times New Roman" w:hAnsi="Cambria"/>
          <w:sz w:val="20"/>
          <w:szCs w:val="20"/>
          <w:bdr w:val="none" w:sz="0" w:space="0" w:color="auto"/>
          <w:lang w:val="es-ES"/>
        </w:rPr>
        <w:t>Los Estados partes se comprometen a adoptar, con arreglo a sus procedimientos constitucionales, las medidas legislativas que fueren necesarias para tipificar como delito la desaparición forzada de personas, y a imponerle una pena apropiada que tenga en cuenta su extrema gravedad. Dicho delito será considerado como continuado o permanente mientras no se establezca el destino o paradero de la víctima.</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bdr w:val="none" w:sz="0" w:space="0" w:color="auto"/>
          <w:lang w:val="es-ES"/>
        </w:rPr>
      </w:pPr>
    </w:p>
    <w:p w:rsidR="00656B80" w:rsidRPr="00656B80" w:rsidRDefault="00656B80" w:rsidP="002413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sz w:val="20"/>
          <w:szCs w:val="20"/>
          <w:u w:color="000000"/>
          <w:bdr w:val="none" w:sz="0" w:space="0" w:color="auto"/>
          <w:lang w:val="es-ES"/>
        </w:rPr>
      </w:pPr>
      <w:r w:rsidRPr="00656B80">
        <w:rPr>
          <w:rFonts w:ascii="Cambria" w:eastAsia="Times New Roman" w:hAnsi="Cambria"/>
          <w:sz w:val="20"/>
          <w:szCs w:val="20"/>
          <w:u w:color="000000"/>
          <w:bdr w:val="none" w:sz="0" w:space="0" w:color="auto"/>
          <w:lang w:val="es-ES"/>
        </w:rPr>
        <w:t>Los Estados partes podrán establecer circunstancias atenuantes para los que hubieren participado en actos que constituyan una desaparición forzada cuando contribuyan a la aparición con vida de la víctima o suministren informaciones que permitan esclarecer la desaparición forzada de una persona.</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En  la sentencia de la Corte Interamericana en el caso Gómez Palomino vs. Perú de 22 de noviembre de 2005, dicho tribunal concluyó que la tipificación del delito de desaparición forzada contemplada en el artículo 320 del Código Penal peruano no se ajusta a los estándares interamericanos en la materia, por lo cual ordenó su modificación de conformidad con la definición prevista en el artículo III de la CISDFP</w:t>
      </w:r>
      <w:r w:rsidRPr="00656B80">
        <w:rPr>
          <w:rFonts w:ascii="Cambria" w:eastAsia="Times New Roman" w:hAnsi="Cambria"/>
          <w:color w:val="000000"/>
          <w:sz w:val="20"/>
          <w:szCs w:val="20"/>
          <w:u w:color="000000"/>
          <w:vertAlign w:val="superscript"/>
          <w:lang w:val="es-ES" w:eastAsia="es-ES"/>
        </w:rPr>
        <w:footnoteReference w:id="111"/>
      </w:r>
      <w:r w:rsidRPr="00656B80">
        <w:rPr>
          <w:rFonts w:ascii="Cambria" w:eastAsia="Times New Roman" w:hAnsi="Cambria"/>
          <w:color w:val="000000"/>
          <w:sz w:val="20"/>
          <w:szCs w:val="20"/>
          <w:u w:color="000000"/>
          <w:lang w:val="es-ES" w:eastAsia="es-ES"/>
        </w:rPr>
        <w:t xml:space="preserve">. La citada disposición del Código Penal peruano establece: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sz w:val="20"/>
          <w:szCs w:val="20"/>
          <w:u w:color="000000"/>
          <w:lang w:val="es-ES" w:eastAsia="es-ES"/>
        </w:rPr>
      </w:pPr>
    </w:p>
    <w:p w:rsidR="00656B80" w:rsidRPr="00656B80" w:rsidRDefault="00656B80" w:rsidP="002413D5">
      <w:pPr>
        <w:pBdr>
          <w:top w:val="none" w:sz="0" w:space="0" w:color="auto"/>
          <w:left w:val="none" w:sz="0" w:space="0" w:color="auto"/>
          <w:bottom w:val="none" w:sz="0" w:space="0" w:color="auto"/>
          <w:right w:val="none" w:sz="0" w:space="0" w:color="auto"/>
          <w:between w:val="none" w:sz="0" w:space="0" w:color="auto"/>
          <w:bar w:val="none" w:sz="0" w:color="auto"/>
        </w:pBdr>
        <w:ind w:left="720" w:right="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El funcionario o servidor público que prive a una persona de su libertad, ordenando o ejecutando acciones que tenga por resultado su desaparición debidamente comprobada, será reprimido con pena privativa de libertad no menor de quince años e inhabilitación, conforme al Artículo 36 incisos 1) y 2)</w:t>
      </w:r>
      <w:r w:rsidRPr="00656B80">
        <w:rPr>
          <w:rFonts w:ascii="Cambria" w:eastAsia="Times New Roman" w:hAnsi="Cambria"/>
          <w:color w:val="000000"/>
          <w:sz w:val="20"/>
          <w:szCs w:val="20"/>
          <w:u w:color="000000"/>
          <w:vertAlign w:val="superscript"/>
          <w:lang w:val="es-ES" w:eastAsia="es-ES"/>
        </w:rPr>
        <w:footnoteReference w:id="112"/>
      </w:r>
      <w:r w:rsidRPr="00656B80">
        <w:rPr>
          <w:rFonts w:ascii="Cambria" w:eastAsia="Times New Roman" w:hAnsi="Cambria"/>
          <w:color w:val="000000"/>
          <w:sz w:val="20"/>
          <w:szCs w:val="20"/>
          <w:u w:color="000000"/>
          <w:lang w:val="es-ES" w:eastAsia="es-ES"/>
        </w:rPr>
        <w:t>.</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En el caso Gómez Palomino, la Corte Interamericana concluyó que la tipificación contenida en la norma glosada “restringe la autoría de la desaparición forzada a los funcionarios o servidores públicos” y que la misma “no contiene todas las formas de participación delictiva que se incluyen en el artículo II de la [CISDFP], resultando así incompleta”. Por otro lado, la Corte Interamericana subrayó que el artículo 320 del Código Penal peruano no incorpora la negativa de reconocer la detención y revelar la suerte o el paradero de la persona detenida como elementos del tipo penal de desaparición forzada. Finalmente, la Corte observó que “el artículo 320 del Código Penal […] hace una referencia a que la desaparición debe ser “debidamente comprobada” [lo cual] presenta graves dificultades en su interpretación”</w:t>
      </w:r>
      <w:r w:rsidRPr="00656B80">
        <w:rPr>
          <w:rFonts w:ascii="Cambria" w:eastAsia="Times New Roman" w:hAnsi="Cambria"/>
          <w:color w:val="000000"/>
          <w:sz w:val="20"/>
          <w:szCs w:val="20"/>
          <w:u w:color="000000"/>
          <w:vertAlign w:val="superscript"/>
          <w:lang w:val="es-ES" w:eastAsia="es-ES"/>
        </w:rPr>
        <w:footnoteReference w:id="113"/>
      </w:r>
      <w:r w:rsidRPr="00656B80">
        <w:rPr>
          <w:rFonts w:ascii="Cambria" w:eastAsia="Times New Roman" w:hAnsi="Cambria"/>
          <w:color w:val="000000"/>
          <w:sz w:val="20"/>
          <w:szCs w:val="20"/>
          <w:u w:color="000000"/>
          <w:lang w:val="es-ES" w:eastAsia="es-ES"/>
        </w:rPr>
        <w:t xml:space="preserv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Respecto del presente caso, la Comisión advierte que el Fiscal Superior Coordinador de la Fiscalía Superior Penal Nacional y Fiscalías Penales Supraprovinciales emitió el Informe N° 004-2011-FSPNC-MP-FN del 4 de abril de 2011, dirigido al Representante Alterno de la Fiscalía de la Nación ante el Consejo Nacional de Derechos Humanos, mediante el que afirma que “la redacción del artículo 320 del Código Penal no se adecua a la tipificación del Delito de Desaparición Forzada conforme a las normas internacionales antes citadas, debido a que el tipo penal en nuestra normativa interna es restrictivo”</w:t>
      </w:r>
      <w:r w:rsidRPr="00656B80">
        <w:rPr>
          <w:rFonts w:ascii="Cambria" w:eastAsia="Times New Roman" w:hAnsi="Cambria"/>
          <w:color w:val="000000"/>
          <w:sz w:val="20"/>
          <w:szCs w:val="20"/>
          <w:u w:color="000000"/>
          <w:vertAlign w:val="superscript"/>
          <w:lang w:val="es-ES" w:eastAsia="es-ES"/>
        </w:rPr>
        <w:footnoteReference w:id="114"/>
      </w:r>
      <w:r w:rsidRPr="00656B80">
        <w:rPr>
          <w:rFonts w:ascii="Cambria" w:eastAsia="Times New Roman" w:hAnsi="Cambria"/>
          <w:color w:val="000000"/>
          <w:sz w:val="20"/>
          <w:szCs w:val="20"/>
          <w:u w:color="000000"/>
          <w:lang w:val="es-ES" w:eastAsia="es-ES"/>
        </w:rPr>
        <w:t>. En el mismo informe, el Fiscal indica que es pertinente proponer una modificación a la Legislación.  Por otra parte, señala que el elemento de “desaparición debidamente comprobada” que establece el artículo 320 del Código Penal, genera interpretaciones judiciales que podrían generar impunidad</w:t>
      </w:r>
      <w:r w:rsidRPr="00656B80">
        <w:rPr>
          <w:rFonts w:ascii="Cambria" w:eastAsia="Times New Roman" w:hAnsi="Cambria"/>
          <w:color w:val="000000"/>
          <w:sz w:val="20"/>
          <w:szCs w:val="20"/>
          <w:u w:color="000000"/>
          <w:vertAlign w:val="superscript"/>
          <w:lang w:val="es-ES" w:eastAsia="es-ES"/>
        </w:rPr>
        <w:footnoteReference w:id="115"/>
      </w:r>
      <w:r w:rsidRPr="00656B80">
        <w:rPr>
          <w:rFonts w:ascii="Cambria" w:eastAsia="Times New Roman" w:hAnsi="Cambria"/>
          <w:color w:val="000000"/>
          <w:sz w:val="20"/>
          <w:szCs w:val="20"/>
          <w:u w:color="000000"/>
          <w:lang w:val="es-ES" w:eastAsia="es-ES"/>
        </w:rPr>
        <w:t>.</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En el caso Anzualdo Castro y, posteriormente en el caso Osorio Rivera, la Corte subrayó que el texto del artículo 320 del Código Penal peruano no había sido modificado y concluyó que “mientras [el artículo] no sea correctamente adecuado a los estándares internacionales, el Estado continúa incumpliendo los artículos 2 de la Convención Americana y III de la Convención Interamericana sobre Desaparición Forzada de Personas”</w:t>
      </w:r>
      <w:r w:rsidRPr="00656B80">
        <w:rPr>
          <w:rFonts w:ascii="Cambria" w:eastAsia="Times New Roman" w:hAnsi="Cambria"/>
          <w:color w:val="000000"/>
          <w:sz w:val="20"/>
          <w:szCs w:val="20"/>
          <w:u w:color="000000"/>
          <w:vertAlign w:val="superscript"/>
          <w:lang w:val="es-ES" w:eastAsia="es-ES"/>
        </w:rPr>
        <w:footnoteReference w:id="116"/>
      </w:r>
      <w:r w:rsidRPr="00656B80">
        <w:rPr>
          <w:rFonts w:ascii="Cambria" w:eastAsia="Times New Roman" w:hAnsi="Cambria"/>
          <w:color w:val="000000"/>
          <w:sz w:val="20"/>
          <w:szCs w:val="20"/>
          <w:u w:color="000000"/>
          <w:lang w:val="es-ES" w:eastAsia="es-ES"/>
        </w:rPr>
        <w:t>. En el mismo sentido, mediante resolución de 5 de julio de 2011 sobre la supervisión al cumplimiento de la sentencia dictada en el caso Gómez Palomino, la Corte Interamericana expresó que “el Estado no ha presentado información sobre qué acciones concretas habría adoptado para reformar la legislación penal en los términos señalados en la sentencia”</w:t>
      </w:r>
      <w:r w:rsidRPr="00656B80">
        <w:rPr>
          <w:rFonts w:ascii="Cambria" w:eastAsia="Times New Roman" w:hAnsi="Cambria"/>
          <w:color w:val="000000"/>
          <w:sz w:val="20"/>
          <w:szCs w:val="20"/>
          <w:u w:color="000000"/>
          <w:vertAlign w:val="superscript"/>
          <w:lang w:val="es-ES" w:eastAsia="es-ES"/>
        </w:rPr>
        <w:footnoteReference w:id="117"/>
      </w:r>
      <w:r w:rsidRPr="00656B80">
        <w:rPr>
          <w:rFonts w:ascii="Cambria" w:eastAsia="Times New Roman" w:hAnsi="Cambria"/>
          <w:color w:val="000000"/>
          <w:sz w:val="20"/>
          <w:szCs w:val="20"/>
          <w:u w:color="000000"/>
          <w:lang w:val="es-ES" w:eastAsia="es-ES"/>
        </w:rPr>
        <w:t xml:space="preserve">.  </w:t>
      </w:r>
    </w:p>
    <w:p w:rsidR="00656B80" w:rsidRPr="00656B80" w:rsidRDefault="00656B80" w:rsidP="00656B80">
      <w:pPr>
        <w:jc w:val="both"/>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Dado que, a la fecha, el Estado peruano no ha modificado el tipo penal de desaparición forzada previsto en el artículo 320 del Código Penal, a través de los mecanismos previstos en su ordenamiento, la CIDH considera que subsiste un incumplimiento de la obligación de adoptar disposiciones de derecho interno, en los términos del artículo 2 de la Convención Americana y III de la CIDFP.</w:t>
      </w:r>
    </w:p>
    <w:p w:rsidR="00656B80" w:rsidRPr="00656B80" w:rsidRDefault="00656B80" w:rsidP="002413D5">
      <w:pPr>
        <w:ind w:left="810"/>
        <w:jc w:val="both"/>
        <w:outlineLvl w:val="1"/>
        <w:rPr>
          <w:rFonts w:ascii="Cambria" w:eastAsia="Times New Roman" w:hAnsi="Cambria" w:cs="Arial"/>
          <w:b/>
          <w:bCs/>
          <w:iCs/>
          <w:sz w:val="20"/>
          <w:szCs w:val="20"/>
          <w:bdr w:val="none" w:sz="0" w:space="0" w:color="auto"/>
          <w:lang w:val="es-ES"/>
        </w:rPr>
      </w:pPr>
    </w:p>
    <w:p w:rsidR="00656B80" w:rsidRPr="00656B80" w:rsidRDefault="00656B80" w:rsidP="002413D5">
      <w:pPr>
        <w:numPr>
          <w:ilvl w:val="0"/>
          <w:numId w:val="58"/>
        </w:numPr>
        <w:tabs>
          <w:tab w:val="num" w:pos="360"/>
        </w:tabs>
        <w:ind w:left="0" w:firstLine="810"/>
        <w:jc w:val="both"/>
        <w:outlineLvl w:val="1"/>
        <w:rPr>
          <w:rFonts w:ascii="Cambria" w:eastAsia="Times New Roman" w:hAnsi="Cambria" w:cs="Arial"/>
          <w:b/>
          <w:bCs/>
          <w:iCs/>
          <w:sz w:val="20"/>
          <w:szCs w:val="20"/>
          <w:bdr w:val="none" w:sz="0" w:space="0" w:color="auto"/>
          <w:lang w:val="es-ES"/>
        </w:rPr>
      </w:pPr>
      <w:bookmarkStart w:id="28" w:name="_Toc467948065"/>
      <w:r w:rsidRPr="00656B80">
        <w:rPr>
          <w:rFonts w:ascii="Cambria" w:eastAsia="Times New Roman" w:hAnsi="Cambria" w:cs="Arial"/>
          <w:b/>
          <w:bCs/>
          <w:iCs/>
          <w:sz w:val="20"/>
          <w:szCs w:val="20"/>
          <w:bdr w:val="none" w:sz="0" w:space="0" w:color="auto"/>
          <w:lang w:val="es-ES"/>
        </w:rPr>
        <w:t>Derecho a la integridad de los familiares de las víctimas (artículos 5.1 con relación al 1.1 de la Convención Americana sobre Derechos Humanos)</w:t>
      </w:r>
      <w:bookmarkEnd w:id="28"/>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hAnsi="Cambria"/>
          <w:sz w:val="20"/>
          <w:szCs w:val="20"/>
          <w:u w:color="000000"/>
          <w:lang w:val="es-MX"/>
        </w:rPr>
        <w:t xml:space="preserve">La </w:t>
      </w:r>
      <w:r w:rsidR="0000526D">
        <w:rPr>
          <w:rFonts w:ascii="Cambria" w:hAnsi="Cambria"/>
          <w:sz w:val="20"/>
          <w:szCs w:val="20"/>
          <w:u w:color="000000"/>
          <w:lang w:val="es-MX"/>
        </w:rPr>
        <w:t xml:space="preserve">Comisión y la </w:t>
      </w:r>
      <w:r w:rsidRPr="00656B80">
        <w:rPr>
          <w:rFonts w:ascii="Cambria" w:hAnsi="Cambria"/>
          <w:sz w:val="20"/>
          <w:szCs w:val="20"/>
          <w:u w:color="000000"/>
          <w:lang w:val="es-MX"/>
        </w:rPr>
        <w:t>Corte Interamericana</w:t>
      </w:r>
      <w:r w:rsidR="0000526D">
        <w:rPr>
          <w:rFonts w:ascii="Cambria" w:hAnsi="Cambria"/>
          <w:sz w:val="20"/>
          <w:szCs w:val="20"/>
          <w:u w:color="000000"/>
          <w:lang w:val="es-MX"/>
        </w:rPr>
        <w:t>s</w:t>
      </w:r>
      <w:r w:rsidRPr="00656B80">
        <w:rPr>
          <w:rFonts w:ascii="Cambria" w:hAnsi="Cambria"/>
          <w:sz w:val="20"/>
          <w:szCs w:val="20"/>
          <w:u w:color="000000"/>
          <w:lang w:val="es-MX"/>
        </w:rPr>
        <w:t xml:space="preserve"> ha</w:t>
      </w:r>
      <w:r w:rsidR="0000526D">
        <w:rPr>
          <w:rFonts w:ascii="Cambria" w:hAnsi="Cambria"/>
          <w:sz w:val="20"/>
          <w:szCs w:val="20"/>
          <w:u w:color="000000"/>
          <w:lang w:val="es-MX"/>
        </w:rPr>
        <w:t>n</w:t>
      </w:r>
      <w:r w:rsidRPr="00656B80">
        <w:rPr>
          <w:rFonts w:ascii="Cambria" w:hAnsi="Cambria"/>
          <w:sz w:val="20"/>
          <w:szCs w:val="20"/>
          <w:u w:color="000000"/>
          <w:lang w:val="es-MX"/>
        </w:rPr>
        <w:t xml:space="preserve"> considerado en numerosos casos que los familiares de las víctimas de violaciones de los derechos humanos pueden ser, a su vez, </w:t>
      </w:r>
      <w:r w:rsidRPr="0093632F">
        <w:rPr>
          <w:rFonts w:ascii="Cambria" w:hAnsi="Cambria"/>
          <w:sz w:val="20"/>
          <w:szCs w:val="20"/>
          <w:u w:color="000000"/>
          <w:lang w:val="es-MX"/>
        </w:rPr>
        <w:t>víctimas</w:t>
      </w:r>
      <w:r w:rsidRPr="0093632F">
        <w:rPr>
          <w:rFonts w:ascii="Cambria" w:hAnsi="Cambria"/>
          <w:sz w:val="20"/>
          <w:szCs w:val="20"/>
          <w:u w:color="000000"/>
          <w:vertAlign w:val="superscript"/>
        </w:rPr>
        <w:footnoteReference w:id="118"/>
      </w:r>
      <w:r w:rsidRPr="0093632F">
        <w:rPr>
          <w:rFonts w:ascii="Cambria" w:hAnsi="Cambria"/>
          <w:sz w:val="20"/>
          <w:szCs w:val="20"/>
          <w:u w:color="000000"/>
          <w:lang w:val="es-MX"/>
        </w:rPr>
        <w:t>.</w:t>
      </w:r>
      <w:r w:rsidRPr="00656B80">
        <w:rPr>
          <w:rFonts w:ascii="Cambria" w:hAnsi="Cambria"/>
          <w:sz w:val="20"/>
          <w:szCs w:val="20"/>
          <w:u w:color="000000"/>
          <w:lang w:val="es-MX"/>
        </w:rPr>
        <w:t xml:space="preserve"> En particular, en casos que involucran la desaparición forzada de personas, es posible entender que la violación del derecho a la integridad psíquica y moral de los familiares de la víctima, es una consecuencia directa de ese fenómeno, y que la desaparición forzada genera un severo sufrimiento por el hecho mismo, que se acrecienta, entre otros factores, por la constante negativa de las autoridades estatales de proporcionar información acerca del</w:t>
      </w:r>
      <w:r w:rsidR="00335412">
        <w:rPr>
          <w:rFonts w:ascii="Cambria" w:hAnsi="Cambria"/>
          <w:sz w:val="20"/>
          <w:szCs w:val="20"/>
          <w:u w:color="000000"/>
          <w:lang w:val="es-MX"/>
        </w:rPr>
        <w:t xml:space="preserve"> </w:t>
      </w:r>
      <w:r w:rsidRPr="00656B80">
        <w:rPr>
          <w:rFonts w:ascii="Cambria" w:hAnsi="Cambria"/>
          <w:sz w:val="20"/>
          <w:szCs w:val="20"/>
          <w:u w:color="000000"/>
          <w:lang w:val="es-MX"/>
        </w:rPr>
        <w:t>paradero de la víctima o de iniciar una investigación eficaz para lograr el esclarecimiento de lo sucedido</w:t>
      </w:r>
      <w:r w:rsidRPr="00656B80">
        <w:rPr>
          <w:rFonts w:ascii="Cambria" w:hAnsi="Cambria"/>
          <w:sz w:val="20"/>
          <w:szCs w:val="20"/>
          <w:u w:color="000000"/>
          <w:vertAlign w:val="superscript"/>
        </w:rPr>
        <w:footnoteReference w:id="119"/>
      </w:r>
      <w:r w:rsidRPr="00656B80">
        <w:rPr>
          <w:rFonts w:ascii="Cambria" w:hAnsi="Cambria"/>
          <w:sz w:val="20"/>
          <w:szCs w:val="20"/>
          <w:u w:color="000000"/>
          <w:lang w:val="es-MX"/>
        </w:rPr>
        <w:t>. Así, la Corte ha llegado a considerar que la privación continua de la verdad acerca del destino de un desaparecido constituye una forma de trato cruel e inhumano para los familiares cercanos</w:t>
      </w:r>
      <w:r w:rsidRPr="00656B80">
        <w:rPr>
          <w:rFonts w:ascii="Cambria" w:hAnsi="Cambria"/>
          <w:sz w:val="20"/>
          <w:szCs w:val="20"/>
          <w:u w:color="000000"/>
          <w:vertAlign w:val="superscript"/>
          <w:lang w:val="es-MX"/>
        </w:rPr>
        <w:footnoteReference w:id="120"/>
      </w:r>
      <w:r w:rsidRPr="00656B80">
        <w:rPr>
          <w:rFonts w:ascii="Cambria" w:hAnsi="Cambria"/>
          <w:sz w:val="20"/>
          <w:szCs w:val="20"/>
          <w:u w:color="000000"/>
          <w:lang w:val="es-MX"/>
        </w:rPr>
        <w:t>.</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olor w:val="000000"/>
          <w:sz w:val="20"/>
          <w:szCs w:val="20"/>
          <w:u w:color="000000"/>
          <w:lang w:val="es-ES"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lastRenderedPageBreak/>
        <w:t>Asimismo, ante los hechos de una desaparición forzada, el Estado tiene la obligación de garantizar el derecho a la integridad personal de los familiares también por la vía de investigaciones efectivas. Más aún, la ausencia de recursos efectivos ha sido considerada por la Corte como fuente de sufrimiento y angustia adicionales para las víctimas y sus familiares</w:t>
      </w:r>
      <w:r w:rsidRPr="00656B80">
        <w:rPr>
          <w:rFonts w:ascii="Cambria" w:eastAsia="Times New Roman" w:hAnsi="Cambria"/>
          <w:color w:val="000000"/>
          <w:sz w:val="20"/>
          <w:szCs w:val="20"/>
          <w:u w:color="000000"/>
          <w:vertAlign w:val="superscript"/>
          <w:lang w:val="es-ES" w:eastAsia="es-ES"/>
        </w:rPr>
        <w:footnoteReference w:id="121"/>
      </w:r>
      <w:r w:rsidRPr="00656B80">
        <w:rPr>
          <w:rFonts w:ascii="Cambria" w:eastAsia="Times New Roman" w:hAnsi="Cambria"/>
          <w:color w:val="000000"/>
          <w:sz w:val="20"/>
          <w:szCs w:val="20"/>
          <w:u w:color="000000"/>
          <w:lang w:val="es-ES" w:eastAsia="es-ES"/>
        </w:rPr>
        <w:t>. En el presente caso y,  como ha quedado establecido en el apartado de hechos probados, los familiares de Walter Munárriz Escobar se dieron a la tarea de buscarlo, sin tener respuesta por parte de las autoridades.</w:t>
      </w:r>
    </w:p>
    <w:p w:rsidR="00656B80" w:rsidRPr="00656B80" w:rsidRDefault="00656B80" w:rsidP="00656B80">
      <w:pPr>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La </w:t>
      </w:r>
      <w:r w:rsidRPr="00656B80">
        <w:rPr>
          <w:rFonts w:ascii="Cambria" w:eastAsia="Times New Roman" w:hAnsi="Cambria"/>
          <w:color w:val="000000"/>
          <w:sz w:val="20"/>
          <w:szCs w:val="20"/>
          <w:u w:color="000000"/>
          <w:lang w:val="es-ES_tradnl" w:eastAsia="es-ES"/>
        </w:rPr>
        <w:t>Comisión observa que, a la fecha, los familiares de</w:t>
      </w:r>
      <w:r w:rsidRPr="00656B80">
        <w:rPr>
          <w:rFonts w:ascii="Cambria" w:eastAsia="Times New Roman" w:hAnsi="Cambria" w:cs="Arial"/>
          <w:color w:val="000000"/>
          <w:sz w:val="20"/>
          <w:szCs w:val="20"/>
          <w:u w:color="000000"/>
          <w:lang w:val="es-ES" w:eastAsia="es-ES"/>
        </w:rPr>
        <w:t xml:space="preserve"> Walter Munárriz Escobar,</w:t>
      </w:r>
      <w:r w:rsidRPr="00656B80">
        <w:rPr>
          <w:rFonts w:ascii="Cambria" w:eastAsia="Times New Roman" w:hAnsi="Cambria"/>
          <w:color w:val="000000"/>
          <w:sz w:val="20"/>
          <w:szCs w:val="20"/>
          <w:u w:color="000000"/>
          <w:lang w:val="es-ES_tradnl" w:eastAsia="es-ES"/>
        </w:rPr>
        <w:t xml:space="preserve"> no conocen su destino o paradero y no han contado con una respuesta judicial adecuada. El Estado no proporcionó a la familia de la víctima, un recurso judicial efectivo que estableciera la verdad de los hechos, las sanciones de los autores materiales e intelectuales y la reparación  correspondiente.</w:t>
      </w:r>
    </w:p>
    <w:p w:rsidR="00656B80" w:rsidRPr="00656B80" w:rsidRDefault="00656B80" w:rsidP="00656B80">
      <w:pPr>
        <w:rPr>
          <w:rFonts w:ascii="Cambria" w:hAnsi="Cambria"/>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_tradnl" w:eastAsia="es-ES"/>
        </w:rPr>
        <w:t>La Comisión considera que por la naturaleza de los hechos del caso, la situación de impunidad y los efectos necesarios en el núcleo familiar de las víctimas, el Estado también violó el derecho a la integridad personal consagrado en el artículo 5.1 de la Convención Americana, en relación con las obligaciones establecidas en el artículo 1.1 del mismo instrumento, en perjuicio de los familiares de</w:t>
      </w:r>
      <w:r w:rsidRPr="00656B80">
        <w:rPr>
          <w:rFonts w:ascii="Cambria" w:eastAsia="Times New Roman" w:hAnsi="Cambria" w:cs="Arial"/>
          <w:color w:val="000000"/>
          <w:sz w:val="20"/>
          <w:szCs w:val="20"/>
          <w:u w:color="000000"/>
          <w:lang w:val="es-ES" w:eastAsia="es-ES"/>
        </w:rPr>
        <w:t xml:space="preserve"> Walter Munárriz Escobar</w:t>
      </w:r>
      <w:r w:rsidRPr="00656B80">
        <w:rPr>
          <w:rFonts w:ascii="Cambria" w:eastAsia="Times New Roman" w:hAnsi="Cambria"/>
          <w:color w:val="000000"/>
          <w:sz w:val="20"/>
          <w:szCs w:val="20"/>
          <w:u w:color="000000"/>
          <w:lang w:val="es-ES_tradnl" w:eastAsia="es-ES"/>
        </w:rPr>
        <w:t>.</w:t>
      </w:r>
    </w:p>
    <w:p w:rsidR="00656B80" w:rsidRPr="00656B80" w:rsidRDefault="00656B80" w:rsidP="00656B80">
      <w:pPr>
        <w:tabs>
          <w:tab w:val="left" w:pos="90"/>
          <w:tab w:val="center" w:pos="4680"/>
          <w:tab w:val="left" w:pos="6511"/>
        </w:tabs>
        <w:ind w:firstLine="720"/>
        <w:jc w:val="both"/>
        <w:rPr>
          <w:rFonts w:ascii="Cambria" w:hAnsi="Cambria"/>
          <w:b/>
          <w:sz w:val="20"/>
          <w:szCs w:val="20"/>
          <w:lang w:val="es-ES"/>
        </w:rPr>
      </w:pPr>
    </w:p>
    <w:p w:rsidR="00656B80" w:rsidRPr="00656B80" w:rsidRDefault="00656B80" w:rsidP="00656B80">
      <w:pPr>
        <w:numPr>
          <w:ilvl w:val="0"/>
          <w:numId w:val="53"/>
        </w:numPr>
        <w:tabs>
          <w:tab w:val="num" w:pos="360"/>
        </w:tabs>
        <w:ind w:left="0" w:firstLine="720"/>
        <w:jc w:val="both"/>
        <w:outlineLvl w:val="0"/>
        <w:rPr>
          <w:rFonts w:ascii="Cambria" w:eastAsia="Times New Roman" w:hAnsi="Cambria"/>
          <w:b/>
          <w:bCs/>
          <w:color w:val="365F91"/>
          <w:sz w:val="20"/>
          <w:szCs w:val="20"/>
        </w:rPr>
      </w:pPr>
      <w:bookmarkStart w:id="29" w:name="_Toc413687837"/>
      <w:bookmarkStart w:id="30" w:name="_Toc467948066"/>
      <w:r w:rsidRPr="00656B80">
        <w:rPr>
          <w:rFonts w:ascii="Cambria" w:eastAsia="Times New Roman" w:hAnsi="Cambria"/>
          <w:b/>
          <w:bCs/>
          <w:color w:val="365F91"/>
          <w:sz w:val="20"/>
          <w:szCs w:val="20"/>
        </w:rPr>
        <w:t>CONCLUSIONES</w:t>
      </w:r>
      <w:bookmarkEnd w:id="29"/>
      <w:bookmarkEnd w:id="30"/>
    </w:p>
    <w:p w:rsidR="00656B80" w:rsidRPr="00656B80" w:rsidRDefault="00656B80" w:rsidP="00656B80">
      <w:pPr>
        <w:tabs>
          <w:tab w:val="left" w:pos="90"/>
          <w:tab w:val="center" w:pos="4680"/>
          <w:tab w:val="left" w:pos="6511"/>
        </w:tabs>
        <w:ind w:firstLine="720"/>
        <w:jc w:val="both"/>
        <w:rPr>
          <w:rFonts w:ascii="Cambria" w:hAnsi="Cambria"/>
          <w:b/>
          <w:sz w:val="20"/>
          <w:szCs w:val="20"/>
          <w:lang w:val="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color w:val="000000"/>
          <w:sz w:val="20"/>
          <w:szCs w:val="20"/>
          <w:u w:color="000000"/>
          <w:lang w:val="es-AR" w:eastAsia="es-ES"/>
        </w:rPr>
      </w:pPr>
      <w:r w:rsidRPr="00656B80">
        <w:rPr>
          <w:rFonts w:ascii="Cambria" w:eastAsia="Times New Roman" w:hAnsi="Cambria"/>
          <w:color w:val="000000"/>
          <w:sz w:val="20"/>
          <w:szCs w:val="20"/>
          <w:u w:color="000000"/>
          <w:lang w:val="es-ES" w:eastAsia="es-ES"/>
        </w:rPr>
        <w:t>La Comisión concluye que el Estado de Perú es responsable por la violación de los der</w:t>
      </w:r>
      <w:r w:rsidRPr="00656B80">
        <w:rPr>
          <w:rFonts w:ascii="Cambria" w:eastAsia="Times New Roman" w:hAnsi="Cambria" w:cs="Arial"/>
          <w:color w:val="000000"/>
          <w:sz w:val="20"/>
          <w:szCs w:val="20"/>
          <w:u w:color="000000"/>
          <w:lang w:val="es-ES" w:eastAsia="es-ES"/>
        </w:rPr>
        <w:t xml:space="preserve">echos a la personalidad jurídica, a la vida, a la integridad personal, a la libertad personal, a las garantías judiciales y a la protección judicial consagrados en los artículos 3, 4.1, 5.1, 5.2, 7.1, 7.2, 7.3, 7.4, 7.5, 8.1 y 25.1 de la Convención Americana en relación con el artículo 1.1  y 2 del mismo instrumento en perjuicio de Walter Munárriz Escobar. Con respecto a los familiares de la víctima, el Estado es responsable de la violación a los artículos 5.1, 8.1 y 25.1 de la Convención Americana en relación con el 1.1 y 2 del mismo instrumento internacional. Asimismo, la Comisión concluye que el Estado es responsable por la violación de los artículos I y III de la Convención Interamericana sobre Desaparición Forzada de Personas y de los artículos 1, 6 y 8 de la Convención Interamericana para Prevenir y Sancionar la Tortura.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Times New Roman" w:hAnsi="Cambria" w:cs="Arial"/>
          <w:color w:val="000000"/>
          <w:sz w:val="20"/>
          <w:szCs w:val="20"/>
          <w:u w:color="000000"/>
          <w:lang w:val="es-AR" w:eastAsia="es-ES"/>
        </w:rPr>
      </w:pPr>
    </w:p>
    <w:p w:rsidR="00656B80" w:rsidRPr="00656B80" w:rsidRDefault="00656B80" w:rsidP="00656B80">
      <w:pPr>
        <w:numPr>
          <w:ilvl w:val="0"/>
          <w:numId w:val="53"/>
        </w:numPr>
        <w:tabs>
          <w:tab w:val="num" w:pos="360"/>
        </w:tabs>
        <w:ind w:left="1440" w:hanging="720"/>
        <w:jc w:val="both"/>
        <w:outlineLvl w:val="0"/>
        <w:rPr>
          <w:rFonts w:ascii="Cambria" w:eastAsia="Times New Roman" w:hAnsi="Cambria"/>
          <w:b/>
          <w:bCs/>
          <w:color w:val="365F91"/>
          <w:sz w:val="20"/>
          <w:szCs w:val="20"/>
          <w:lang w:val="es-AR"/>
        </w:rPr>
      </w:pPr>
      <w:bookmarkStart w:id="31" w:name="_Toc467948067"/>
      <w:r w:rsidRPr="00656B80">
        <w:rPr>
          <w:rFonts w:ascii="Cambria" w:eastAsia="Times New Roman" w:hAnsi="Cambria"/>
          <w:b/>
          <w:bCs/>
          <w:color w:val="365F91"/>
          <w:sz w:val="20"/>
          <w:szCs w:val="20"/>
          <w:lang w:val="es-AR"/>
        </w:rPr>
        <w:t>RECOMENDACIONES</w:t>
      </w:r>
      <w:bookmarkEnd w:id="31"/>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Arial"/>
          <w:color w:val="000000"/>
          <w:sz w:val="20"/>
          <w:szCs w:val="20"/>
          <w:u w:color="000000"/>
          <w:lang w:val="es-AR" w:eastAsia="es-ES"/>
        </w:rPr>
      </w:pPr>
    </w:p>
    <w:p w:rsidR="00656B80" w:rsidRPr="00656B80" w:rsidRDefault="00656B80" w:rsidP="007C345F">
      <w:pPr>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eastAsia="Times New Roman" w:hAnsi="Cambria" w:cs="Arial"/>
          <w:color w:val="000000"/>
          <w:sz w:val="20"/>
          <w:szCs w:val="20"/>
          <w:u w:color="000000"/>
          <w:lang w:val="es-AR" w:eastAsia="es-ES"/>
        </w:rPr>
      </w:pPr>
      <w:r w:rsidRPr="00656B80">
        <w:rPr>
          <w:rFonts w:ascii="Cambria" w:eastAsia="Times New Roman" w:hAnsi="Cambria" w:cs="Arial"/>
          <w:color w:val="000000"/>
          <w:sz w:val="20"/>
          <w:szCs w:val="20"/>
          <w:u w:color="000000"/>
          <w:lang w:val="es-AR" w:eastAsia="es-ES"/>
        </w:rPr>
        <w:t xml:space="preserve">Con fundamento en el análisis y las conclusiones del presente informe,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Arial"/>
          <w:color w:val="000000"/>
          <w:sz w:val="20"/>
          <w:szCs w:val="20"/>
          <w:u w:color="000000"/>
          <w:lang w:val="es-AR" w:eastAsia="es-ES"/>
        </w:rPr>
      </w:pPr>
    </w:p>
    <w:p w:rsidR="00656B80" w:rsidRPr="00656B80" w:rsidRDefault="00656B80" w:rsidP="00656B80">
      <w:pPr>
        <w:tabs>
          <w:tab w:val="left" w:pos="1440"/>
        </w:tabs>
        <w:ind w:firstLine="720"/>
        <w:jc w:val="both"/>
        <w:rPr>
          <w:rFonts w:ascii="Cambria" w:hAnsi="Cambria" w:cs="Arial"/>
          <w:b/>
          <w:sz w:val="20"/>
          <w:szCs w:val="20"/>
          <w:lang w:val="es-AR"/>
        </w:rPr>
      </w:pPr>
    </w:p>
    <w:p w:rsidR="00656B80" w:rsidRPr="00656B80" w:rsidRDefault="00656B80" w:rsidP="00656B80">
      <w:pPr>
        <w:tabs>
          <w:tab w:val="left" w:pos="720"/>
        </w:tabs>
        <w:jc w:val="both"/>
        <w:rPr>
          <w:rFonts w:ascii="Cambria" w:hAnsi="Cambria" w:cs="Arial"/>
          <w:b/>
          <w:sz w:val="20"/>
          <w:szCs w:val="20"/>
          <w:lang w:val="es-AR"/>
        </w:rPr>
      </w:pPr>
      <w:r w:rsidRPr="00656B80">
        <w:rPr>
          <w:rFonts w:ascii="Cambria" w:hAnsi="Cambria" w:cs="Arial"/>
          <w:b/>
          <w:sz w:val="20"/>
          <w:szCs w:val="20"/>
          <w:lang w:val="es-AR"/>
        </w:rPr>
        <w:tab/>
        <w:t xml:space="preserve">LA COMISIÓN INTERAMERICANA DE DERECHOS HUMANOS RECOMIENDA </w:t>
      </w:r>
      <w:r w:rsidRPr="00656B80">
        <w:rPr>
          <w:rFonts w:ascii="MingLiU" w:eastAsia="MingLiU" w:hAnsi="MingLiU" w:cs="MingLiU"/>
          <w:b/>
          <w:sz w:val="20"/>
          <w:szCs w:val="20"/>
          <w:lang w:val="es-AR"/>
        </w:rPr>
        <w:br/>
      </w:r>
      <w:r w:rsidRPr="00656B80">
        <w:rPr>
          <w:rFonts w:ascii="Cambria" w:hAnsi="Cambria" w:cs="Arial"/>
          <w:b/>
          <w:sz w:val="20"/>
          <w:szCs w:val="20"/>
          <w:lang w:val="es-AR"/>
        </w:rPr>
        <w:t>AL ESTADO DE PERÚ,</w:t>
      </w:r>
    </w:p>
    <w:p w:rsidR="00656B80" w:rsidRPr="00656B80" w:rsidRDefault="00656B80" w:rsidP="00656B80">
      <w:pPr>
        <w:tabs>
          <w:tab w:val="left" w:pos="1440"/>
        </w:tabs>
        <w:jc w:val="both"/>
        <w:rPr>
          <w:rFonts w:ascii="Cambria" w:hAnsi="Cambria" w:cs="Arial"/>
          <w:sz w:val="20"/>
          <w:szCs w:val="20"/>
          <w:lang w:val="es-ES_tradnl"/>
        </w:rPr>
      </w:pPr>
    </w:p>
    <w:p w:rsidR="00656B80" w:rsidRPr="00656B80" w:rsidRDefault="00656B80" w:rsidP="00656B8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Investigar de manera completa, imparcial y efectiva el paradero de </w:t>
      </w:r>
      <w:r w:rsidRPr="00656B80">
        <w:rPr>
          <w:rFonts w:ascii="Cambria" w:eastAsia="Times New Roman" w:hAnsi="Cambria" w:cs="Arial"/>
          <w:color w:val="000000"/>
          <w:sz w:val="20"/>
          <w:szCs w:val="20"/>
          <w:u w:color="000000"/>
          <w:lang w:val="es-ES" w:eastAsia="es-ES"/>
        </w:rPr>
        <w:t xml:space="preserve">Walter Munárriz Escobar </w:t>
      </w:r>
      <w:r w:rsidRPr="00656B80">
        <w:rPr>
          <w:rFonts w:ascii="Cambria" w:eastAsia="Times New Roman" w:hAnsi="Cambria"/>
          <w:color w:val="000000"/>
          <w:sz w:val="20"/>
          <w:szCs w:val="20"/>
          <w:u w:color="000000"/>
          <w:lang w:val="es-ES" w:eastAsia="es-ES"/>
        </w:rPr>
        <w:t>y, de ser el caso, adoptar las medidas necesarias para identificar y entregar</w:t>
      </w:r>
      <w:r w:rsidR="004A0CF6">
        <w:rPr>
          <w:rFonts w:ascii="Cambria" w:eastAsia="Times New Roman" w:hAnsi="Cambria"/>
          <w:color w:val="000000"/>
          <w:sz w:val="20"/>
          <w:szCs w:val="20"/>
          <w:u w:color="000000"/>
          <w:lang w:val="es-ES" w:eastAsia="es-ES"/>
        </w:rPr>
        <w:t xml:space="preserve"> a los </w:t>
      </w:r>
      <w:r w:rsidRPr="00656B80">
        <w:rPr>
          <w:rFonts w:ascii="Cambria" w:eastAsia="Times New Roman" w:hAnsi="Cambria"/>
          <w:color w:val="000000"/>
          <w:sz w:val="20"/>
          <w:szCs w:val="20"/>
          <w:u w:color="000000"/>
          <w:lang w:val="es-ES" w:eastAsia="es-ES"/>
        </w:rPr>
        <w:t>familiares</w:t>
      </w:r>
      <w:r w:rsidR="004A0CF6">
        <w:rPr>
          <w:rFonts w:ascii="Cambria" w:eastAsia="Times New Roman" w:hAnsi="Cambria"/>
          <w:color w:val="000000"/>
          <w:sz w:val="20"/>
          <w:szCs w:val="20"/>
          <w:u w:color="000000"/>
          <w:lang w:val="es-ES" w:eastAsia="es-ES"/>
        </w:rPr>
        <w:t xml:space="preserve"> de éste, según sean sus deseos, sus</w:t>
      </w:r>
      <w:r w:rsidRPr="00656B80">
        <w:rPr>
          <w:rFonts w:ascii="Cambria" w:eastAsia="Times New Roman" w:hAnsi="Cambria"/>
          <w:color w:val="000000"/>
          <w:sz w:val="20"/>
          <w:szCs w:val="20"/>
          <w:u w:color="000000"/>
          <w:lang w:val="es-ES" w:eastAsia="es-ES"/>
        </w:rPr>
        <w:t xml:space="preserve"> restos mortales. </w:t>
      </w:r>
    </w:p>
    <w:p w:rsidR="00656B80" w:rsidRPr="00656B80" w:rsidRDefault="00656B80" w:rsidP="00656B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Cambria" w:eastAsia="Times New Roman" w:hAnsi="Cambria"/>
          <w:color w:val="000000"/>
          <w:sz w:val="20"/>
          <w:szCs w:val="20"/>
          <w:u w:color="000000"/>
          <w:lang w:val="es-ES" w:eastAsia="es-ES"/>
        </w:rPr>
      </w:pPr>
    </w:p>
    <w:p w:rsidR="00656B80" w:rsidRPr="00656B80" w:rsidRDefault="00656B80" w:rsidP="00656B8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Llevar a cabo los procedimientos internos relacionados con las violaciones a los derechos humanos declaradas en el presente informe y conducir los procesos correspondientes por el delito de desaparición forzada de</w:t>
      </w:r>
      <w:r w:rsidRPr="00656B80">
        <w:rPr>
          <w:rFonts w:ascii="Cambria" w:eastAsia="Times New Roman" w:hAnsi="Cambria" w:cs="Arial"/>
          <w:color w:val="000000"/>
          <w:sz w:val="20"/>
          <w:szCs w:val="20"/>
          <w:u w:color="000000"/>
          <w:lang w:val="es-ES" w:eastAsia="es-ES"/>
        </w:rPr>
        <w:t xml:space="preserve"> Walter Munárriz Escobar</w:t>
      </w:r>
      <w:r w:rsidRPr="00656B80">
        <w:rPr>
          <w:rFonts w:ascii="Cambria" w:eastAsia="Times New Roman" w:hAnsi="Cambria"/>
          <w:color w:val="000000"/>
          <w:sz w:val="20"/>
          <w:szCs w:val="20"/>
          <w:u w:color="000000"/>
          <w:lang w:val="es-ES" w:eastAsia="es-ES"/>
        </w:rPr>
        <w:t xml:space="preserve">; de manera imparcial, efectiva y dentro de un plazo razonable, con el objeto de esclarecer los hechos en forma completa, identificar a todos los responsables e imponer las sanciones que correspondan. </w:t>
      </w:r>
    </w:p>
    <w:p w:rsidR="00656B80" w:rsidRPr="00656B80" w:rsidRDefault="00656B80" w:rsidP="00656B80">
      <w:pPr>
        <w:rPr>
          <w:rFonts w:ascii="Cambria" w:hAnsi="Cambria"/>
          <w:sz w:val="20"/>
          <w:szCs w:val="20"/>
          <w:lang w:val="es-ES"/>
        </w:rPr>
      </w:pPr>
    </w:p>
    <w:p w:rsidR="00656B80" w:rsidRPr="00656B80" w:rsidRDefault="00656B80" w:rsidP="00656B8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Reparar adecuadamente las violaciones de derechos humanos declaradas en el presente informe tanto en el aspecto material como moral, incluyendo una justa compensación, el establecimiento y </w:t>
      </w:r>
      <w:r w:rsidRPr="00656B80">
        <w:rPr>
          <w:rFonts w:ascii="Cambria" w:eastAsia="Times New Roman" w:hAnsi="Cambria"/>
          <w:color w:val="000000"/>
          <w:sz w:val="20"/>
          <w:szCs w:val="20"/>
          <w:u w:color="000000"/>
          <w:lang w:val="es-ES" w:eastAsia="es-ES"/>
        </w:rPr>
        <w:lastRenderedPageBreak/>
        <w:t xml:space="preserve">difusión de la verdad histórica de los hechos y la implementación de un programa adecuado de atención a los familiares de </w:t>
      </w:r>
      <w:r w:rsidRPr="00656B80">
        <w:rPr>
          <w:rFonts w:ascii="Cambria" w:eastAsia="Times New Roman" w:hAnsi="Cambria" w:cs="Arial"/>
          <w:color w:val="000000"/>
          <w:sz w:val="20"/>
          <w:szCs w:val="20"/>
          <w:u w:color="000000"/>
          <w:lang w:val="es-ES" w:eastAsia="es-ES"/>
        </w:rPr>
        <w:t>Walter Munárriz Escobar</w:t>
      </w:r>
      <w:r w:rsidRPr="00656B80">
        <w:rPr>
          <w:rFonts w:ascii="Cambria" w:eastAsia="Times New Roman" w:hAnsi="Cambria"/>
          <w:color w:val="000000"/>
          <w:sz w:val="20"/>
          <w:szCs w:val="20"/>
          <w:u w:color="000000"/>
          <w:lang w:val="es-ES" w:eastAsia="es-ES"/>
        </w:rPr>
        <w:t>.</w:t>
      </w:r>
    </w:p>
    <w:p w:rsidR="00656B80" w:rsidRPr="00656B80" w:rsidRDefault="00656B80" w:rsidP="00656B80">
      <w:pPr>
        <w:rPr>
          <w:rFonts w:ascii="Cambria" w:hAnsi="Cambria"/>
          <w:sz w:val="20"/>
          <w:szCs w:val="20"/>
          <w:lang w:val="es-ES"/>
        </w:rPr>
      </w:pPr>
    </w:p>
    <w:p w:rsidR="00656B80" w:rsidRPr="00656B80" w:rsidRDefault="00656B80" w:rsidP="00656B8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Adoptar medidas de no repetición necesarias para evitar que en el futuro se produzcan hechos similares. En particular, disponer las medidas necesarias para fortalecer la capacidad institucional para investigar casos desaparición forzada de personas, incluyendo la búsqueda exhaustiva del paradero de la persona desaparecida, así como el establecimiento de las respectivas responsabilidades. </w:t>
      </w:r>
    </w:p>
    <w:p w:rsidR="00656B80" w:rsidRPr="00656B80" w:rsidRDefault="00656B80" w:rsidP="00656B80">
      <w:pPr>
        <w:rPr>
          <w:rFonts w:ascii="Cambria" w:hAnsi="Cambria"/>
          <w:sz w:val="20"/>
          <w:szCs w:val="20"/>
          <w:lang w:val="es-ES"/>
        </w:rPr>
      </w:pPr>
    </w:p>
    <w:p w:rsidR="00656B80" w:rsidRPr="00656B80" w:rsidRDefault="00656B80" w:rsidP="00656B8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Reconocer </w:t>
      </w:r>
      <w:r w:rsidR="00090EA1">
        <w:rPr>
          <w:rFonts w:ascii="Cambria" w:eastAsia="Times New Roman" w:hAnsi="Cambria"/>
          <w:color w:val="000000"/>
          <w:sz w:val="20"/>
          <w:szCs w:val="20"/>
          <w:u w:color="000000"/>
          <w:lang w:val="es-ES" w:eastAsia="es-ES"/>
        </w:rPr>
        <w:t xml:space="preserve">su responsabilidad por la desaparición </w:t>
      </w:r>
      <w:r w:rsidR="00080E65">
        <w:rPr>
          <w:rFonts w:ascii="Cambria" w:eastAsia="Times New Roman" w:hAnsi="Cambria"/>
          <w:color w:val="000000"/>
          <w:sz w:val="20"/>
          <w:szCs w:val="20"/>
          <w:u w:color="000000"/>
          <w:lang w:val="es-ES" w:eastAsia="es-ES"/>
        </w:rPr>
        <w:t xml:space="preserve">forzada </w:t>
      </w:r>
      <w:r w:rsidR="00090EA1">
        <w:rPr>
          <w:rFonts w:ascii="Cambria" w:eastAsia="Times New Roman" w:hAnsi="Cambria"/>
          <w:color w:val="000000"/>
          <w:sz w:val="20"/>
          <w:szCs w:val="20"/>
          <w:u w:color="000000"/>
          <w:lang w:val="es-ES" w:eastAsia="es-ES"/>
        </w:rPr>
        <w:t>de Walter Munárriz Escobar</w:t>
      </w:r>
      <w:r w:rsidRPr="00656B80">
        <w:rPr>
          <w:rFonts w:ascii="Cambria" w:eastAsia="Times New Roman" w:hAnsi="Cambria"/>
          <w:color w:val="000000"/>
          <w:sz w:val="20"/>
          <w:szCs w:val="20"/>
          <w:u w:color="000000"/>
          <w:lang w:val="es-ES" w:eastAsia="es-ES"/>
        </w:rPr>
        <w:t xml:space="preserve">.  </w:t>
      </w:r>
    </w:p>
    <w:p w:rsidR="00656B80" w:rsidRPr="00656B80" w:rsidRDefault="00656B80" w:rsidP="00656B80">
      <w:pPr>
        <w:rPr>
          <w:rFonts w:ascii="Cambria" w:hAnsi="Cambria"/>
          <w:sz w:val="20"/>
          <w:szCs w:val="20"/>
          <w:lang w:val="es-ES"/>
        </w:rPr>
      </w:pPr>
    </w:p>
    <w:p w:rsidR="00656B80" w:rsidRPr="00656B80" w:rsidRDefault="00656B80" w:rsidP="00656B8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Cambria" w:eastAsia="Times New Roman" w:hAnsi="Cambria"/>
          <w:color w:val="000000"/>
          <w:sz w:val="20"/>
          <w:szCs w:val="20"/>
          <w:u w:color="000000"/>
          <w:lang w:val="es-ES" w:eastAsia="es-ES"/>
        </w:rPr>
      </w:pPr>
      <w:r w:rsidRPr="00656B80">
        <w:rPr>
          <w:rFonts w:ascii="Cambria" w:eastAsia="Times New Roman" w:hAnsi="Cambria"/>
          <w:color w:val="000000"/>
          <w:sz w:val="20"/>
          <w:szCs w:val="20"/>
          <w:u w:color="000000"/>
          <w:lang w:val="es-ES" w:eastAsia="es-ES"/>
        </w:rPr>
        <w:t xml:space="preserve">Reformar la legislación penal a fin de que la tipificación del delito de desaparición forzada de personas se ajuste a los estándares interamericanos. </w:t>
      </w:r>
    </w:p>
    <w:p w:rsidR="00A74DFD" w:rsidRPr="00656B80" w:rsidRDefault="00A74DFD" w:rsidP="00A74DFD">
      <w:pPr>
        <w:pStyle w:val="MediumGrid1-Accent21"/>
        <w:jc w:val="both"/>
        <w:rPr>
          <w:sz w:val="20"/>
          <w:szCs w:val="20"/>
          <w:lang w:val="es-MX"/>
        </w:rPr>
      </w:pPr>
    </w:p>
    <w:sectPr w:rsidR="00A74DFD" w:rsidRPr="00656B80" w:rsidSect="00436077">
      <w:type w:val="oddPag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DB2" w:rsidRDefault="00667DB2">
      <w:r>
        <w:separator/>
      </w:r>
    </w:p>
  </w:endnote>
  <w:endnote w:type="continuationSeparator" w:id="0">
    <w:p w:rsidR="00667DB2" w:rsidRDefault="0066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Roman">
    <w:altName w:val="Times"/>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B2" w:rsidRPr="00934A2C" w:rsidRDefault="00667DB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77F8B">
      <w:rPr>
        <w:noProof/>
        <w:sz w:val="16"/>
        <w:szCs w:val="22"/>
      </w:rPr>
      <w:t>37</w:t>
    </w:r>
    <w:r w:rsidRPr="00934A2C">
      <w:rPr>
        <w:noProof/>
        <w:sz w:val="16"/>
        <w:szCs w:val="22"/>
      </w:rPr>
      <w:fldChar w:fldCharType="end"/>
    </w:r>
  </w:p>
  <w:p w:rsidR="00667DB2" w:rsidRDefault="00667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B2" w:rsidRPr="00934A2C" w:rsidRDefault="00667DB2">
    <w:pPr>
      <w:pStyle w:val="Footer"/>
      <w:jc w:val="center"/>
      <w:rPr>
        <w:sz w:val="16"/>
        <w:szCs w:val="22"/>
      </w:rPr>
    </w:pPr>
  </w:p>
  <w:p w:rsidR="00667DB2" w:rsidRDefault="00667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DB2" w:rsidRPr="009975D1" w:rsidRDefault="00667DB2">
      <w:pPr>
        <w:rPr>
          <w:rFonts w:ascii="Cambria" w:hAnsi="Cambria"/>
          <w:sz w:val="16"/>
          <w:szCs w:val="16"/>
        </w:rPr>
      </w:pPr>
      <w:r w:rsidRPr="009975D1">
        <w:rPr>
          <w:rFonts w:ascii="Cambria" w:hAnsi="Cambria"/>
          <w:sz w:val="16"/>
          <w:szCs w:val="16"/>
        </w:rPr>
        <w:separator/>
      </w:r>
    </w:p>
  </w:footnote>
  <w:footnote w:type="continuationSeparator" w:id="0">
    <w:p w:rsidR="00667DB2" w:rsidRPr="009975D1" w:rsidRDefault="00667DB2" w:rsidP="000F35ED">
      <w:pPr>
        <w:rPr>
          <w:rFonts w:ascii="Cambria" w:hAnsi="Cambria"/>
          <w:sz w:val="16"/>
          <w:szCs w:val="16"/>
        </w:rPr>
      </w:pPr>
      <w:r w:rsidRPr="009975D1">
        <w:rPr>
          <w:rFonts w:ascii="Cambria" w:hAnsi="Cambria"/>
          <w:sz w:val="16"/>
          <w:szCs w:val="16"/>
        </w:rPr>
        <w:separator/>
      </w:r>
    </w:p>
    <w:p w:rsidR="00667DB2" w:rsidRPr="009975D1" w:rsidRDefault="00667DB2" w:rsidP="000F35ED">
      <w:pPr>
        <w:pStyle w:val="Footer"/>
        <w:rPr>
          <w:sz w:val="16"/>
          <w:szCs w:val="16"/>
        </w:rPr>
      </w:pPr>
      <w:r w:rsidRPr="009975D1">
        <w:rPr>
          <w:sz w:val="16"/>
          <w:szCs w:val="16"/>
        </w:rPr>
        <w:t xml:space="preserve">[… </w:t>
      </w:r>
      <w:proofErr w:type="spellStart"/>
      <w:proofErr w:type="gramStart"/>
      <w:r w:rsidRPr="009975D1">
        <w:rPr>
          <w:sz w:val="16"/>
          <w:szCs w:val="16"/>
        </w:rPr>
        <w:t>continuación</w:t>
      </w:r>
      <w:proofErr w:type="spellEnd"/>
      <w:proofErr w:type="gramEnd"/>
      <w:r w:rsidRPr="009975D1">
        <w:rPr>
          <w:sz w:val="16"/>
          <w:szCs w:val="16"/>
        </w:rPr>
        <w:t>]</w:t>
      </w:r>
    </w:p>
  </w:footnote>
  <w:footnote w:type="continuationNotice" w:id="1">
    <w:p w:rsidR="00667DB2" w:rsidRPr="009975D1" w:rsidRDefault="00667DB2" w:rsidP="000F35ED">
      <w:pPr>
        <w:jc w:val="right"/>
        <w:rPr>
          <w:rFonts w:ascii="Cambria" w:hAnsi="Cambria"/>
          <w:sz w:val="16"/>
          <w:szCs w:val="16"/>
          <w:lang w:val="es-ES"/>
        </w:rPr>
      </w:pPr>
      <w:r w:rsidRPr="009975D1">
        <w:rPr>
          <w:rFonts w:ascii="Cambria" w:hAnsi="Cambria"/>
          <w:sz w:val="16"/>
          <w:szCs w:val="16"/>
          <w:lang w:val="es-ES"/>
        </w:rPr>
        <w:t>[</w:t>
      </w:r>
      <w:proofErr w:type="gramStart"/>
      <w:r w:rsidRPr="009975D1">
        <w:rPr>
          <w:rFonts w:ascii="Cambria" w:hAnsi="Cambria"/>
          <w:sz w:val="16"/>
          <w:szCs w:val="16"/>
          <w:lang w:val="es-ES"/>
        </w:rPr>
        <w:t>continúa</w:t>
      </w:r>
      <w:proofErr w:type="gramEnd"/>
      <w:r w:rsidRPr="009975D1">
        <w:rPr>
          <w:rFonts w:ascii="Cambria" w:hAnsi="Cambria"/>
          <w:sz w:val="16"/>
          <w:szCs w:val="16"/>
          <w:lang w:val="es-ES"/>
        </w:rPr>
        <w:t>…]</w:t>
      </w:r>
    </w:p>
  </w:footnote>
  <w:footnote w:id="2">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Conforme a lo dispuesto en el artículo 17(2) del Reglamento de la Comisión, el Comisionado Francisco José </w:t>
      </w:r>
      <w:proofErr w:type="spellStart"/>
      <w:r w:rsidRPr="00520A90">
        <w:rPr>
          <w:rFonts w:ascii="Cambria" w:hAnsi="Cambria"/>
          <w:sz w:val="16"/>
          <w:szCs w:val="16"/>
          <w:lang w:val="es-MX"/>
        </w:rPr>
        <w:t>Eguiguren</w:t>
      </w:r>
      <w:proofErr w:type="spellEnd"/>
      <w:r w:rsidRPr="00520A90">
        <w:rPr>
          <w:rFonts w:ascii="Cambria" w:hAnsi="Cambria"/>
          <w:sz w:val="16"/>
          <w:szCs w:val="16"/>
          <w:lang w:val="es-MX"/>
        </w:rPr>
        <w:t xml:space="preserve"> </w:t>
      </w:r>
      <w:proofErr w:type="spellStart"/>
      <w:r w:rsidRPr="00520A90">
        <w:rPr>
          <w:rFonts w:ascii="Cambria" w:hAnsi="Cambria"/>
          <w:sz w:val="16"/>
          <w:szCs w:val="16"/>
          <w:lang w:val="es-MX"/>
        </w:rPr>
        <w:t>Praeli</w:t>
      </w:r>
      <w:proofErr w:type="spellEnd"/>
      <w:r w:rsidRPr="00520A90">
        <w:rPr>
          <w:rFonts w:ascii="Cambria" w:hAnsi="Cambria"/>
          <w:sz w:val="16"/>
          <w:szCs w:val="16"/>
          <w:lang w:val="es-MX"/>
        </w:rPr>
        <w:t xml:space="preserve">, de nacionalidad peruana, no participó del proceso de deliberación y aprobación del presente informe. </w:t>
      </w:r>
    </w:p>
  </w:footnote>
  <w:footnote w:id="3">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ES"/>
        </w:rPr>
        <w:t xml:space="preserve"> </w:t>
      </w:r>
      <w:r w:rsidRPr="00520A90">
        <w:rPr>
          <w:rFonts w:ascii="Cambria" w:hAnsi="Cambria"/>
          <w:sz w:val="16"/>
          <w:szCs w:val="16"/>
          <w:lang w:val="es-MX"/>
        </w:rPr>
        <w:t xml:space="preserve">CIDH, Informe No.10/07. Caso 12.602, Admisibilidad, Walter Munárriz Escobar, 28 de febrero de 2007, </w:t>
      </w:r>
      <w:proofErr w:type="spellStart"/>
      <w:r w:rsidRPr="00520A90">
        <w:rPr>
          <w:rFonts w:ascii="Cambria" w:hAnsi="Cambria"/>
          <w:sz w:val="16"/>
          <w:szCs w:val="16"/>
          <w:lang w:val="es-MX"/>
        </w:rPr>
        <w:t>párrs</w:t>
      </w:r>
      <w:proofErr w:type="spellEnd"/>
      <w:r w:rsidRPr="00520A90">
        <w:rPr>
          <w:rFonts w:ascii="Cambria" w:hAnsi="Cambria"/>
          <w:sz w:val="16"/>
          <w:szCs w:val="16"/>
          <w:lang w:val="es-MX"/>
        </w:rPr>
        <w:t xml:space="preserve">. 5 al 10. </w:t>
      </w:r>
      <w:hyperlink r:id="rId1" w:history="1">
        <w:r w:rsidRPr="00520A90">
          <w:rPr>
            <w:rStyle w:val="Hyperlink"/>
            <w:rFonts w:ascii="Cambria" w:hAnsi="Cambria"/>
            <w:sz w:val="16"/>
            <w:szCs w:val="16"/>
            <w:lang w:val="es-MX"/>
          </w:rPr>
          <w:t>http://www.cidh.oas.org/annualrep/2007sp/Peru735.05sp.htm</w:t>
        </w:r>
      </w:hyperlink>
      <w:r w:rsidRPr="00520A90">
        <w:rPr>
          <w:rFonts w:ascii="Cambria" w:hAnsi="Cambria"/>
          <w:sz w:val="16"/>
          <w:szCs w:val="16"/>
          <w:lang w:val="es-MX"/>
        </w:rPr>
        <w:t xml:space="preserve"> </w:t>
      </w:r>
    </w:p>
  </w:footnote>
  <w:footnote w:id="4">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CO"/>
        </w:rPr>
        <w:t xml:space="preserve"> Anexo</w:t>
      </w:r>
      <w:r>
        <w:rPr>
          <w:rFonts w:ascii="Cambria" w:hAnsi="Cambria"/>
          <w:sz w:val="16"/>
          <w:szCs w:val="16"/>
          <w:lang w:val="es-CO"/>
        </w:rPr>
        <w:t xml:space="preserve"> 1</w:t>
      </w:r>
      <w:r w:rsidRPr="00520A90">
        <w:rPr>
          <w:rFonts w:ascii="Cambria" w:hAnsi="Cambria"/>
          <w:sz w:val="16"/>
          <w:szCs w:val="16"/>
          <w:lang w:val="es-CO"/>
        </w:rPr>
        <w:t xml:space="preserve">. </w:t>
      </w:r>
      <w:r w:rsidRPr="00520A90">
        <w:rPr>
          <w:rFonts w:ascii="Cambria" w:hAnsi="Cambria"/>
          <w:sz w:val="16"/>
          <w:szCs w:val="16"/>
          <w:lang w:val="es-ES"/>
        </w:rPr>
        <w:t>Informe N° 004-2011-FSPNC-MP-FN del 4 de abril de 2011, remitido como a</w:t>
      </w:r>
      <w:r w:rsidRPr="00520A90">
        <w:rPr>
          <w:rFonts w:ascii="Cambria" w:hAnsi="Cambria"/>
          <w:sz w:val="16"/>
          <w:szCs w:val="16"/>
          <w:lang w:val="es-MX"/>
        </w:rPr>
        <w:t>nexo a comunicación del Estado</w:t>
      </w:r>
      <w:r>
        <w:rPr>
          <w:rFonts w:ascii="Cambria" w:hAnsi="Cambria"/>
          <w:sz w:val="16"/>
          <w:szCs w:val="16"/>
          <w:lang w:val="es-MX"/>
        </w:rPr>
        <w:t>,</w:t>
      </w:r>
      <w:r w:rsidRPr="00520A90">
        <w:rPr>
          <w:rFonts w:ascii="Cambria" w:hAnsi="Cambria"/>
          <w:sz w:val="16"/>
          <w:szCs w:val="16"/>
          <w:lang w:val="es-MX"/>
        </w:rPr>
        <w:t xml:space="preserve"> Nota No. 7-5-M/785 del 5 de diciembre de 2011. </w:t>
      </w:r>
    </w:p>
  </w:footnote>
  <w:footnote w:id="5">
    <w:p w:rsidR="00667DB2" w:rsidRPr="00520A90" w:rsidRDefault="00667DB2" w:rsidP="00FD5827">
      <w:pPr>
        <w:pStyle w:val="FootnoteText"/>
        <w:spacing w:after="120"/>
        <w:ind w:firstLine="720"/>
        <w:jc w:val="both"/>
        <w:rPr>
          <w:rFonts w:ascii="Cambria" w:hAnsi="Cambria"/>
          <w:sz w:val="16"/>
          <w:szCs w:val="16"/>
          <w:lang w:val="es-ES_tradnl"/>
        </w:rPr>
      </w:pPr>
      <w:r w:rsidRPr="00520A90">
        <w:rPr>
          <w:rStyle w:val="FootnoteReference"/>
          <w:rFonts w:ascii="Cambria" w:hAnsi="Cambria"/>
          <w:sz w:val="16"/>
          <w:szCs w:val="16"/>
        </w:rPr>
        <w:footnoteRef/>
      </w:r>
      <w:r w:rsidRPr="00520A90">
        <w:rPr>
          <w:rFonts w:ascii="Cambria" w:hAnsi="Cambria"/>
          <w:sz w:val="16"/>
          <w:szCs w:val="16"/>
          <w:lang w:val="pt-BR"/>
        </w:rPr>
        <w:t xml:space="preserve"> </w:t>
      </w:r>
      <w:r w:rsidRPr="00520A90">
        <w:rPr>
          <w:rFonts w:ascii="Cambria" w:hAnsi="Cambria"/>
          <w:color w:val="auto"/>
          <w:sz w:val="16"/>
          <w:szCs w:val="16"/>
          <w:lang w:val="pt-BR"/>
        </w:rPr>
        <w:t xml:space="preserve">Corte IDH. </w:t>
      </w:r>
      <w:r w:rsidRPr="00520A90">
        <w:rPr>
          <w:rFonts w:ascii="Cambria" w:hAnsi="Cambria"/>
          <w:i/>
          <w:color w:val="auto"/>
          <w:sz w:val="16"/>
          <w:szCs w:val="16"/>
          <w:lang w:val="es-ES_tradnl"/>
        </w:rPr>
        <w:t>Caso Velásquez Rodríguez Vs. Honduras</w:t>
      </w:r>
      <w:r w:rsidRPr="00520A90">
        <w:rPr>
          <w:rFonts w:ascii="Cambria" w:hAnsi="Cambria"/>
          <w:color w:val="auto"/>
          <w:sz w:val="16"/>
          <w:szCs w:val="16"/>
          <w:lang w:val="es-ES_tradnl"/>
        </w:rPr>
        <w:t xml:space="preserve">. Fondo. Sentencia de 29 de julio de 1988. Serie C No. 4, </w:t>
      </w:r>
      <w:proofErr w:type="spellStart"/>
      <w:r w:rsidRPr="00520A90">
        <w:rPr>
          <w:rFonts w:ascii="Cambria" w:hAnsi="Cambria"/>
          <w:color w:val="auto"/>
          <w:sz w:val="16"/>
          <w:szCs w:val="16"/>
          <w:lang w:val="es-ES_tradnl"/>
        </w:rPr>
        <w:t>párrs</w:t>
      </w:r>
      <w:proofErr w:type="spellEnd"/>
      <w:r w:rsidRPr="00520A90">
        <w:rPr>
          <w:rFonts w:ascii="Cambria" w:hAnsi="Cambria"/>
          <w:color w:val="auto"/>
          <w:sz w:val="16"/>
          <w:szCs w:val="16"/>
          <w:lang w:val="es-ES_tradnl"/>
        </w:rPr>
        <w:t>. 127 y 128.</w:t>
      </w:r>
    </w:p>
  </w:footnote>
  <w:footnote w:id="6">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w:t>
      </w:r>
      <w:hyperlink r:id="rId2" w:history="1">
        <w:r w:rsidRPr="00520A90">
          <w:rPr>
            <w:rFonts w:ascii="Cambria" w:hAnsi="Cambria"/>
            <w:sz w:val="16"/>
            <w:szCs w:val="16"/>
            <w:lang w:val="es-ES_tradnl"/>
          </w:rPr>
          <w:t>Corte IDH</w:t>
        </w:r>
        <w:r w:rsidRPr="00520A90">
          <w:rPr>
            <w:rFonts w:ascii="Cambria" w:hAnsi="Cambria"/>
            <w:i/>
            <w:sz w:val="16"/>
            <w:szCs w:val="16"/>
            <w:lang w:val="es-ES_tradnl"/>
          </w:rPr>
          <w:t xml:space="preserve">. Caso González Medina y familiares Vs. República Dominicana. </w:t>
        </w:r>
        <w:r w:rsidRPr="00520A90">
          <w:rPr>
            <w:rFonts w:ascii="Cambria" w:hAnsi="Cambria"/>
            <w:sz w:val="16"/>
            <w:szCs w:val="16"/>
            <w:lang w:val="es-ES_tradnl"/>
          </w:rPr>
          <w:t>Excepciones Preliminares, Fondo, Reparaciones y Costas. Sentencia de 27 de febrero de 2012 Serie C No. 240</w:t>
        </w:r>
      </w:hyperlink>
      <w:r w:rsidRPr="00520A90">
        <w:rPr>
          <w:rFonts w:ascii="Cambria" w:hAnsi="Cambria"/>
          <w:sz w:val="16"/>
          <w:szCs w:val="16"/>
          <w:lang w:val="es-ES_tradnl"/>
        </w:rPr>
        <w:t>, párr. 132.</w:t>
      </w:r>
    </w:p>
  </w:footnote>
  <w:footnote w:id="7">
    <w:p w:rsidR="00667DB2" w:rsidRPr="00520A90" w:rsidRDefault="00667DB2" w:rsidP="00FD5827">
      <w:pPr>
        <w:spacing w:after="120"/>
        <w:ind w:firstLine="720"/>
        <w:jc w:val="both"/>
        <w:rPr>
          <w:rFonts w:ascii="Cambria" w:hAnsi="Cambria"/>
          <w:sz w:val="16"/>
          <w:szCs w:val="16"/>
          <w:lang w:val="es-MX"/>
        </w:rPr>
      </w:pPr>
      <w:r w:rsidRPr="00520A90">
        <w:rPr>
          <w:rStyle w:val="FootnoteReference"/>
          <w:rFonts w:ascii="Cambria" w:hAnsi="Cambria"/>
          <w:sz w:val="16"/>
          <w:szCs w:val="16"/>
          <w:lang w:val="es-ES_tradnl"/>
        </w:rPr>
        <w:footnoteRef/>
      </w:r>
      <w:r w:rsidRPr="00520A90">
        <w:rPr>
          <w:rFonts w:ascii="Cambria" w:hAnsi="Cambria"/>
          <w:sz w:val="16"/>
          <w:szCs w:val="16"/>
          <w:lang w:val="es-ES_tradnl"/>
        </w:rPr>
        <w:t xml:space="preserve"> </w:t>
      </w:r>
      <w:hyperlink r:id="rId3" w:history="1">
        <w:r w:rsidRPr="00520A90">
          <w:rPr>
            <w:rFonts w:ascii="Cambria" w:hAnsi="Cambria"/>
            <w:sz w:val="16"/>
            <w:szCs w:val="16"/>
            <w:lang w:val="es-ES_tradnl"/>
          </w:rPr>
          <w:t>Corte IDH</w:t>
        </w:r>
        <w:r w:rsidRPr="00520A90">
          <w:rPr>
            <w:rFonts w:ascii="Cambria" w:hAnsi="Cambria"/>
            <w:i/>
            <w:sz w:val="16"/>
            <w:szCs w:val="16"/>
            <w:lang w:val="es-ES_tradnl"/>
          </w:rPr>
          <w:t xml:space="preserve">. Caso González Medina y familiares Vs. República Dominicana. </w:t>
        </w:r>
        <w:r w:rsidRPr="00520A90">
          <w:rPr>
            <w:rFonts w:ascii="Cambria" w:hAnsi="Cambria"/>
            <w:sz w:val="16"/>
            <w:szCs w:val="16"/>
            <w:lang w:val="es-ES_tradnl"/>
          </w:rPr>
          <w:t>Excepciones Preliminares, Fondo, Reparaciones y Costas. Sentencia de 27 de febrero de 2012. Serie C No. 240</w:t>
        </w:r>
      </w:hyperlink>
      <w:r w:rsidRPr="00520A90">
        <w:rPr>
          <w:rFonts w:ascii="Cambria" w:hAnsi="Cambria"/>
          <w:sz w:val="16"/>
          <w:szCs w:val="16"/>
          <w:lang w:val="es-ES_tradnl"/>
        </w:rPr>
        <w:t xml:space="preserve">, párr. 134. Citando. </w:t>
      </w:r>
      <w:r w:rsidRPr="00520A90">
        <w:rPr>
          <w:rFonts w:ascii="Cambria" w:hAnsi="Cambria"/>
          <w:i/>
          <w:sz w:val="16"/>
          <w:szCs w:val="16"/>
          <w:lang w:val="es-ES_tradnl"/>
        </w:rPr>
        <w:t xml:space="preserve">Caso De la Masacre de las Dos Erres Vs. Guatemala. </w:t>
      </w:r>
      <w:r w:rsidRPr="00520A90">
        <w:rPr>
          <w:rFonts w:ascii="Cambria" w:hAnsi="Cambria"/>
          <w:sz w:val="16"/>
          <w:szCs w:val="16"/>
          <w:lang w:val="es-ES_tradnl"/>
        </w:rPr>
        <w:t>Excepción Preliminar, Fondo, Reparaciones y Costas</w:t>
      </w:r>
      <w:r w:rsidRPr="00520A90">
        <w:rPr>
          <w:rFonts w:ascii="Cambria" w:hAnsi="Cambria"/>
          <w:i/>
          <w:sz w:val="16"/>
          <w:szCs w:val="16"/>
          <w:lang w:val="es-ES_tradnl"/>
        </w:rPr>
        <w:t>.</w:t>
      </w:r>
      <w:r w:rsidRPr="00520A90">
        <w:rPr>
          <w:rFonts w:ascii="Cambria" w:hAnsi="Cambria"/>
          <w:sz w:val="16"/>
          <w:szCs w:val="16"/>
          <w:lang w:val="es-ES_tradnl"/>
        </w:rPr>
        <w:t xml:space="preserve"> Sentencia de 24 de noviembre de 2009. Serie C No. 21, párr. 197.</w:t>
      </w:r>
    </w:p>
  </w:footnote>
  <w:footnote w:id="8">
    <w:p w:rsidR="00667DB2" w:rsidRPr="00520A90" w:rsidRDefault="00667DB2" w:rsidP="00FD5827">
      <w:pPr>
        <w:pStyle w:val="FootnoteText"/>
        <w:spacing w:after="120"/>
        <w:ind w:firstLine="720"/>
        <w:jc w:val="both"/>
        <w:rPr>
          <w:rFonts w:ascii="Cambria" w:hAnsi="Cambria"/>
          <w:sz w:val="16"/>
          <w:szCs w:val="16"/>
          <w:lang w:val="es-CO"/>
        </w:rPr>
      </w:pPr>
      <w:r w:rsidRPr="00520A90">
        <w:rPr>
          <w:rStyle w:val="FootnoteReference"/>
          <w:rFonts w:ascii="Cambria" w:hAnsi="Cambria"/>
          <w:sz w:val="16"/>
          <w:szCs w:val="16"/>
        </w:rPr>
        <w:footnoteRef/>
      </w:r>
      <w:r w:rsidRPr="00520A90">
        <w:rPr>
          <w:rFonts w:ascii="Cambria" w:hAnsi="Cambria"/>
          <w:sz w:val="16"/>
          <w:szCs w:val="16"/>
          <w:lang w:val="es-ES"/>
        </w:rPr>
        <w:t xml:space="preserve"> CIDH. Informe No. 111/09. </w:t>
      </w:r>
      <w:r w:rsidRPr="00520A90">
        <w:rPr>
          <w:rFonts w:ascii="Cambria" w:hAnsi="Cambria"/>
          <w:i/>
          <w:sz w:val="16"/>
          <w:szCs w:val="16"/>
          <w:lang w:val="es-ES"/>
        </w:rPr>
        <w:t xml:space="preserve">Caso 11.324. </w:t>
      </w:r>
      <w:r w:rsidRPr="00520A90">
        <w:rPr>
          <w:rFonts w:ascii="Cambria" w:hAnsi="Cambria"/>
          <w:i/>
          <w:sz w:val="16"/>
          <w:szCs w:val="16"/>
          <w:lang w:val="es-CO"/>
        </w:rPr>
        <w:t xml:space="preserve">Fondo. Narciso González Medina. </w:t>
      </w:r>
      <w:r w:rsidRPr="00520A90">
        <w:rPr>
          <w:rFonts w:ascii="Cambria" w:hAnsi="Cambria"/>
          <w:sz w:val="16"/>
          <w:szCs w:val="16"/>
          <w:lang w:val="es-CO"/>
        </w:rPr>
        <w:t xml:space="preserve">República Dominicana. 10 de noviembre de 2009. Párr. 56. </w:t>
      </w:r>
    </w:p>
  </w:footnote>
  <w:footnote w:id="9">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CO"/>
        </w:rPr>
        <w:t xml:space="preserve"> </w:t>
      </w:r>
      <w:hyperlink r:id="rId4" w:history="1">
        <w:r w:rsidRPr="00520A90">
          <w:rPr>
            <w:rFonts w:ascii="Cambria" w:hAnsi="Cambria"/>
            <w:sz w:val="16"/>
            <w:szCs w:val="16"/>
            <w:lang w:val="es-ES_tradnl"/>
          </w:rPr>
          <w:t>Corte IDH.</w:t>
        </w:r>
        <w:r w:rsidRPr="00520A90">
          <w:rPr>
            <w:rFonts w:ascii="Cambria" w:hAnsi="Cambria"/>
            <w:i/>
            <w:sz w:val="16"/>
            <w:szCs w:val="16"/>
            <w:lang w:val="es-ES_tradnl"/>
          </w:rPr>
          <w:t xml:space="preserve"> Caso González Medina y familiares Vs. República Dominicana. </w:t>
        </w:r>
        <w:r w:rsidRPr="00520A90">
          <w:rPr>
            <w:rFonts w:ascii="Cambria" w:hAnsi="Cambria"/>
            <w:sz w:val="16"/>
            <w:szCs w:val="16"/>
            <w:lang w:val="es-ES_tradnl"/>
          </w:rPr>
          <w:t>Excepciones Preliminares, Fondo, Reparaciones y Costas. Sentencia de 27 de febrero de 2012 Serie C No. 240</w:t>
        </w:r>
      </w:hyperlink>
      <w:r w:rsidRPr="00520A90">
        <w:rPr>
          <w:rFonts w:ascii="Cambria" w:hAnsi="Cambria"/>
          <w:sz w:val="16"/>
          <w:szCs w:val="16"/>
          <w:lang w:val="es-ES_tradnl"/>
        </w:rPr>
        <w:t>, párr. 134.</w:t>
      </w:r>
    </w:p>
  </w:footnote>
  <w:footnote w:id="10">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C2F43">
        <w:rPr>
          <w:rFonts w:ascii="Cambria" w:hAnsi="Cambria"/>
          <w:sz w:val="16"/>
          <w:szCs w:val="16"/>
          <w:lang w:val="es-MX"/>
        </w:rPr>
        <w:t xml:space="preserve"> 2</w:t>
      </w:r>
      <w:r w:rsidRPr="00520A90">
        <w:rPr>
          <w:rFonts w:ascii="Cambria" w:hAnsi="Cambria"/>
          <w:sz w:val="16"/>
          <w:szCs w:val="16"/>
          <w:lang w:val="es-MX"/>
        </w:rPr>
        <w:t>. Petición inicial del 23 de junio de 2005.</w:t>
      </w:r>
    </w:p>
  </w:footnote>
  <w:footnote w:id="11">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C2F43">
        <w:rPr>
          <w:rFonts w:ascii="Cambria" w:hAnsi="Cambria"/>
          <w:sz w:val="16"/>
          <w:szCs w:val="16"/>
          <w:lang w:val="es-MX"/>
        </w:rPr>
        <w:t xml:space="preserve"> 3</w:t>
      </w:r>
      <w:r w:rsidRPr="00520A90">
        <w:rPr>
          <w:rFonts w:ascii="Cambria" w:hAnsi="Cambria"/>
          <w:sz w:val="16"/>
          <w:szCs w:val="16"/>
          <w:lang w:val="es-MX"/>
        </w:rPr>
        <w:t>. Copia de sentencia del 25 de mayo de 2004. Anexo a comunicación del Estado. Nota No. 7-5-M/066 del 9 de febrero de 2006.</w:t>
      </w:r>
    </w:p>
  </w:footnote>
  <w:footnote w:id="12">
    <w:p w:rsidR="00667DB2" w:rsidRPr="00520A90" w:rsidRDefault="00667DB2" w:rsidP="00FD5827">
      <w:pPr>
        <w:pStyle w:val="FootnoteText"/>
        <w:spacing w:after="120"/>
        <w:ind w:firstLine="720"/>
        <w:jc w:val="both"/>
        <w:rPr>
          <w:rFonts w:ascii="Cambria" w:hAnsi="Cambria"/>
          <w:color w:val="auto"/>
          <w:sz w:val="16"/>
          <w:szCs w:val="16"/>
          <w:lang w:val="es-MX"/>
        </w:rPr>
      </w:pPr>
      <w:r w:rsidRPr="00520A90">
        <w:rPr>
          <w:rStyle w:val="FootnoteReference"/>
          <w:rFonts w:ascii="Cambria" w:hAnsi="Cambria"/>
          <w:color w:val="auto"/>
          <w:sz w:val="16"/>
          <w:szCs w:val="16"/>
        </w:rPr>
        <w:footnoteRef/>
      </w:r>
      <w:r w:rsidRPr="00520A90">
        <w:rPr>
          <w:rFonts w:ascii="Cambria" w:hAnsi="Cambria"/>
          <w:color w:val="auto"/>
          <w:sz w:val="16"/>
          <w:szCs w:val="16"/>
          <w:lang w:val="es-MX"/>
        </w:rPr>
        <w:t xml:space="preserve"> Anexo</w:t>
      </w:r>
      <w:r w:rsidR="004C2F43">
        <w:rPr>
          <w:rFonts w:ascii="Cambria" w:hAnsi="Cambria"/>
          <w:color w:val="auto"/>
          <w:sz w:val="16"/>
          <w:szCs w:val="16"/>
          <w:lang w:val="es-MX"/>
        </w:rPr>
        <w:t xml:space="preserve"> 3</w:t>
      </w:r>
      <w:r w:rsidRPr="00520A90">
        <w:rPr>
          <w:rFonts w:ascii="Cambria" w:hAnsi="Cambria"/>
          <w:color w:val="auto"/>
          <w:sz w:val="16"/>
          <w:szCs w:val="16"/>
          <w:lang w:val="es-MX"/>
        </w:rPr>
        <w:t>. Copia de sentencia del 25 de mayo de 2004. Anexo a comunicación del Estado. Nota No. 7-5-M/066 del 9 de febrero de 2006.</w:t>
      </w:r>
    </w:p>
  </w:footnote>
  <w:footnote w:id="13">
    <w:p w:rsidR="00667DB2" w:rsidRPr="00520A90" w:rsidRDefault="00667DB2" w:rsidP="00FD5827">
      <w:pPr>
        <w:pStyle w:val="FootnoteText"/>
        <w:spacing w:after="120"/>
        <w:ind w:firstLine="720"/>
        <w:jc w:val="both"/>
        <w:rPr>
          <w:rFonts w:ascii="Cambria" w:hAnsi="Cambria"/>
          <w:color w:val="auto"/>
          <w:sz w:val="16"/>
          <w:szCs w:val="16"/>
          <w:lang w:val="es-MX"/>
        </w:rPr>
      </w:pPr>
      <w:r w:rsidRPr="00520A90">
        <w:rPr>
          <w:rStyle w:val="FootnoteReference"/>
          <w:rFonts w:ascii="Cambria" w:hAnsi="Cambria"/>
          <w:color w:val="auto"/>
          <w:sz w:val="16"/>
          <w:szCs w:val="16"/>
        </w:rPr>
        <w:footnoteRef/>
      </w:r>
      <w:r w:rsidRPr="00520A90">
        <w:rPr>
          <w:rFonts w:ascii="Cambria" w:hAnsi="Cambria"/>
          <w:color w:val="auto"/>
          <w:sz w:val="16"/>
          <w:szCs w:val="16"/>
          <w:lang w:val="es-MX"/>
        </w:rPr>
        <w:t xml:space="preserve"> Anexo</w:t>
      </w:r>
      <w:r w:rsidR="004C2F43">
        <w:rPr>
          <w:rFonts w:ascii="Cambria" w:hAnsi="Cambria"/>
          <w:color w:val="auto"/>
          <w:sz w:val="16"/>
          <w:szCs w:val="16"/>
          <w:lang w:val="es-MX"/>
        </w:rPr>
        <w:t xml:space="preserve"> 4</w:t>
      </w:r>
      <w:r w:rsidRPr="00520A90">
        <w:rPr>
          <w:rFonts w:ascii="Cambria" w:hAnsi="Cambria"/>
          <w:color w:val="auto"/>
          <w:sz w:val="16"/>
          <w:szCs w:val="16"/>
          <w:lang w:val="es-MX"/>
        </w:rPr>
        <w:t xml:space="preserve">. Manifestación de la señora Maura Romero, del 27 de marzo de 1999, ante el Inspector de la Jefatura Provincial PNP de </w:t>
      </w:r>
      <w:proofErr w:type="spellStart"/>
      <w:r w:rsidRPr="00520A90">
        <w:rPr>
          <w:rFonts w:ascii="Cambria" w:hAnsi="Cambria"/>
          <w:color w:val="auto"/>
          <w:sz w:val="16"/>
          <w:szCs w:val="16"/>
          <w:lang w:val="es-MX"/>
        </w:rPr>
        <w:t>Angaraes</w:t>
      </w:r>
      <w:proofErr w:type="spellEnd"/>
      <w:r w:rsidRPr="00520A90">
        <w:rPr>
          <w:rFonts w:ascii="Cambria" w:hAnsi="Cambria"/>
          <w:color w:val="auto"/>
          <w:sz w:val="16"/>
          <w:szCs w:val="16"/>
          <w:lang w:val="es-MX"/>
        </w:rPr>
        <w:t xml:space="preserve">. Anexo a comunicación del Estado. Nota No. 7-5-M/438 del 1 de octubre de 2007. En dicha declaración, la señora Romero declaró que conocía a Walter Munárriz Escobar desde niño “en razón de unirle un prado de parentesco lejano con la madre de mismo, doña Gladys Escobar </w:t>
      </w:r>
      <w:proofErr w:type="spellStart"/>
      <w:r w:rsidRPr="00520A90">
        <w:rPr>
          <w:rFonts w:ascii="Cambria" w:hAnsi="Cambria"/>
          <w:color w:val="auto"/>
          <w:sz w:val="16"/>
          <w:szCs w:val="16"/>
          <w:lang w:val="es-MX"/>
        </w:rPr>
        <w:t>Candiotti</w:t>
      </w:r>
      <w:proofErr w:type="spellEnd"/>
      <w:r w:rsidRPr="00520A90">
        <w:rPr>
          <w:rFonts w:ascii="Cambria" w:hAnsi="Cambria"/>
          <w:color w:val="auto"/>
          <w:sz w:val="16"/>
          <w:szCs w:val="16"/>
          <w:lang w:val="es-MX"/>
        </w:rPr>
        <w:t xml:space="preserve">, y en razón de tener amistad con toda su familia”. </w:t>
      </w:r>
    </w:p>
  </w:footnote>
  <w:footnote w:id="14">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color w:val="auto"/>
          <w:sz w:val="16"/>
          <w:szCs w:val="16"/>
        </w:rPr>
        <w:footnoteRef/>
      </w:r>
      <w:r w:rsidRPr="00520A90">
        <w:rPr>
          <w:rFonts w:ascii="Cambria" w:hAnsi="Cambria"/>
          <w:color w:val="auto"/>
          <w:sz w:val="16"/>
          <w:szCs w:val="16"/>
          <w:lang w:val="es-MX"/>
        </w:rPr>
        <w:t xml:space="preserve"> Anexo</w:t>
      </w:r>
      <w:r w:rsidR="004C2F43">
        <w:rPr>
          <w:rFonts w:ascii="Cambria" w:hAnsi="Cambria"/>
          <w:color w:val="auto"/>
          <w:sz w:val="16"/>
          <w:szCs w:val="16"/>
          <w:lang w:val="es-MX"/>
        </w:rPr>
        <w:t xml:space="preserve"> 3</w:t>
      </w:r>
      <w:r w:rsidRPr="00520A90">
        <w:rPr>
          <w:rFonts w:ascii="Cambria" w:hAnsi="Cambria"/>
          <w:color w:val="auto"/>
          <w:sz w:val="16"/>
          <w:szCs w:val="16"/>
          <w:lang w:val="es-MX"/>
        </w:rPr>
        <w:t>. Copia de sentencia del 25 de</w:t>
      </w:r>
      <w:r w:rsidRPr="00520A90">
        <w:rPr>
          <w:rFonts w:ascii="Cambria" w:hAnsi="Cambria"/>
          <w:sz w:val="16"/>
          <w:szCs w:val="16"/>
          <w:lang w:val="es-MX"/>
        </w:rPr>
        <w:t xml:space="preserve"> mayo de 2004. Anexo a comunicación del Estado. Nota No. 7-5-M/066 del 9 de febrero de 2006.</w:t>
      </w:r>
    </w:p>
  </w:footnote>
  <w:footnote w:id="15">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C2F43">
        <w:rPr>
          <w:rFonts w:ascii="Cambria" w:hAnsi="Cambria"/>
          <w:sz w:val="16"/>
          <w:szCs w:val="16"/>
          <w:lang w:val="es-MX"/>
        </w:rPr>
        <w:t xml:space="preserve"> 3</w:t>
      </w:r>
      <w:r w:rsidRPr="00520A90">
        <w:rPr>
          <w:rFonts w:ascii="Cambria" w:hAnsi="Cambria"/>
          <w:sz w:val="16"/>
          <w:szCs w:val="16"/>
          <w:lang w:val="es-MX"/>
        </w:rPr>
        <w:t>. Copia de sentencia del 25 de mayo de 2004. Anexo a comunicación del Estado. Nota No. 7-5-M/066 del 9 de febrero de 2006.</w:t>
      </w:r>
    </w:p>
    <w:p w:rsidR="00667DB2" w:rsidRPr="00520A90" w:rsidRDefault="00667DB2" w:rsidP="00FD5827">
      <w:pPr>
        <w:pStyle w:val="FootnoteText"/>
        <w:spacing w:after="120"/>
        <w:ind w:firstLine="720"/>
        <w:jc w:val="both"/>
        <w:rPr>
          <w:rFonts w:ascii="Cambria" w:hAnsi="Cambria"/>
          <w:sz w:val="16"/>
          <w:szCs w:val="16"/>
          <w:lang w:val="es-MX"/>
        </w:rPr>
      </w:pPr>
    </w:p>
  </w:footnote>
  <w:footnote w:id="16">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C2F43">
        <w:rPr>
          <w:rFonts w:ascii="Cambria" w:hAnsi="Cambria"/>
          <w:sz w:val="16"/>
          <w:szCs w:val="16"/>
          <w:lang w:val="es-MX"/>
        </w:rPr>
        <w:t xml:space="preserve"> </w:t>
      </w:r>
      <w:r w:rsidR="00BA5D29">
        <w:rPr>
          <w:rFonts w:ascii="Cambria" w:hAnsi="Cambria"/>
          <w:sz w:val="16"/>
          <w:szCs w:val="16"/>
          <w:lang w:val="es-MX"/>
        </w:rPr>
        <w:t>5</w:t>
      </w:r>
      <w:r w:rsidRPr="00520A90">
        <w:rPr>
          <w:rFonts w:ascii="Cambria" w:hAnsi="Cambria"/>
          <w:sz w:val="16"/>
          <w:szCs w:val="16"/>
          <w:lang w:val="es-MX"/>
        </w:rPr>
        <w:t xml:space="preserve">. Informe preliminar de la Defensoría del Pueblo. Anexo a petición inicial. </w:t>
      </w:r>
    </w:p>
  </w:footnote>
  <w:footnote w:id="17">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A5D29">
        <w:rPr>
          <w:rFonts w:ascii="Cambria" w:hAnsi="Cambria"/>
          <w:sz w:val="16"/>
          <w:szCs w:val="16"/>
          <w:lang w:val="es-MX"/>
        </w:rPr>
        <w:t xml:space="preserve"> 6</w:t>
      </w:r>
      <w:r w:rsidRPr="00520A90">
        <w:rPr>
          <w:rFonts w:ascii="Cambria" w:hAnsi="Cambria"/>
          <w:sz w:val="16"/>
          <w:szCs w:val="16"/>
          <w:lang w:val="es-MX"/>
        </w:rPr>
        <w:t>. Informe de la Defensoría del Pueblo del 29 de marzo de 1999. Anexo 20 de la petición inicial.</w:t>
      </w:r>
    </w:p>
  </w:footnote>
  <w:footnote w:id="18">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A5D29">
        <w:rPr>
          <w:rFonts w:ascii="Cambria" w:hAnsi="Cambria"/>
          <w:sz w:val="16"/>
          <w:szCs w:val="16"/>
          <w:lang w:val="es-MX"/>
        </w:rPr>
        <w:t xml:space="preserve"> 7</w:t>
      </w:r>
      <w:r w:rsidRPr="00520A90">
        <w:rPr>
          <w:rFonts w:ascii="Cambria" w:hAnsi="Cambria"/>
          <w:sz w:val="16"/>
          <w:szCs w:val="16"/>
          <w:lang w:val="es-MX"/>
        </w:rPr>
        <w:t xml:space="preserve">. </w:t>
      </w:r>
      <w:r w:rsidR="000367C7" w:rsidRPr="000367C7">
        <w:rPr>
          <w:rFonts w:ascii="Cambria" w:hAnsi="Cambria"/>
          <w:sz w:val="16"/>
          <w:szCs w:val="16"/>
          <w:lang w:val="es-MX"/>
        </w:rPr>
        <w:t>Declaración de la señora Gladys Escobar ante la COMISEDH, rendida el 29 de abril de 1999. Anexo 39 de la petición inicial.</w:t>
      </w:r>
    </w:p>
  </w:footnote>
  <w:footnote w:id="19">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A5D29">
        <w:rPr>
          <w:rFonts w:ascii="Cambria" w:hAnsi="Cambria"/>
          <w:sz w:val="16"/>
          <w:szCs w:val="16"/>
          <w:lang w:val="es-MX"/>
        </w:rPr>
        <w:t xml:space="preserve"> 7</w:t>
      </w:r>
      <w:r w:rsidRPr="00520A90">
        <w:rPr>
          <w:rFonts w:ascii="Cambria" w:hAnsi="Cambria"/>
          <w:sz w:val="16"/>
          <w:szCs w:val="16"/>
          <w:lang w:val="es-MX"/>
        </w:rPr>
        <w:t xml:space="preserve">. </w:t>
      </w:r>
      <w:r w:rsidR="000367C7" w:rsidRPr="000367C7">
        <w:rPr>
          <w:rFonts w:ascii="Cambria" w:hAnsi="Cambria"/>
          <w:sz w:val="16"/>
          <w:szCs w:val="16"/>
          <w:lang w:val="es-MX"/>
        </w:rPr>
        <w:t>Declaración de la señora Gladys Escobar ante la COMISEDH, rendida el 29 de abril de 1999. Anexo 39 de la petición inicial.</w:t>
      </w:r>
    </w:p>
  </w:footnote>
  <w:footnote w:id="20">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C2F43">
        <w:rPr>
          <w:rFonts w:ascii="Cambria" w:hAnsi="Cambria"/>
          <w:sz w:val="16"/>
          <w:szCs w:val="16"/>
          <w:lang w:val="es-MX"/>
        </w:rPr>
        <w:t xml:space="preserve"> </w:t>
      </w:r>
      <w:r w:rsidR="00BA5D29">
        <w:rPr>
          <w:rFonts w:ascii="Cambria" w:hAnsi="Cambria"/>
          <w:sz w:val="16"/>
          <w:szCs w:val="16"/>
          <w:lang w:val="es-MX"/>
        </w:rPr>
        <w:t>8</w:t>
      </w:r>
      <w:r w:rsidRPr="00520A90">
        <w:rPr>
          <w:rFonts w:ascii="Cambria" w:hAnsi="Cambria"/>
          <w:sz w:val="16"/>
          <w:szCs w:val="16"/>
          <w:lang w:val="es-MX"/>
        </w:rPr>
        <w:t>. Sentencia del 15 de febrero de 2001. Anexo a comunicación del Estado. Nota No. 7-5-M/066 del 9 de febrero de 2006.</w:t>
      </w:r>
    </w:p>
  </w:footnote>
  <w:footnote w:id="21">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C2F43">
        <w:rPr>
          <w:rFonts w:ascii="Cambria" w:hAnsi="Cambria"/>
          <w:sz w:val="16"/>
          <w:szCs w:val="16"/>
          <w:lang w:val="es-MX"/>
        </w:rPr>
        <w:t xml:space="preserve"> </w:t>
      </w:r>
      <w:r w:rsidR="00BA5D29">
        <w:rPr>
          <w:rFonts w:ascii="Cambria" w:hAnsi="Cambria"/>
          <w:sz w:val="16"/>
          <w:szCs w:val="16"/>
          <w:lang w:val="es-MX"/>
        </w:rPr>
        <w:t>6</w:t>
      </w:r>
      <w:r w:rsidRPr="00520A90">
        <w:rPr>
          <w:rFonts w:ascii="Cambria" w:hAnsi="Cambria"/>
          <w:sz w:val="16"/>
          <w:szCs w:val="16"/>
          <w:lang w:val="es-MX"/>
        </w:rPr>
        <w:t xml:space="preserve">. Informe de la Defensoría del Pueblo del 29 de marzo de 1999. Anexo 20 de la petición inicial. </w:t>
      </w:r>
    </w:p>
  </w:footnote>
  <w:footnote w:id="22">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A5D29">
        <w:rPr>
          <w:rFonts w:ascii="Cambria" w:hAnsi="Cambria"/>
          <w:sz w:val="16"/>
          <w:szCs w:val="16"/>
          <w:lang w:val="es-MX"/>
        </w:rPr>
        <w:t xml:space="preserve"> 9</w:t>
      </w:r>
      <w:r w:rsidRPr="00520A90">
        <w:rPr>
          <w:rFonts w:ascii="Cambria" w:hAnsi="Cambria"/>
          <w:sz w:val="16"/>
          <w:szCs w:val="16"/>
          <w:lang w:val="es-MX"/>
        </w:rPr>
        <w:t>. Informe de la Defensoría del Pueblo del 31 de marzo de 1999. Anexo 23 de la petición inicial.</w:t>
      </w:r>
    </w:p>
  </w:footnote>
  <w:footnote w:id="23">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C2F43">
        <w:rPr>
          <w:rFonts w:ascii="Cambria" w:hAnsi="Cambria"/>
          <w:sz w:val="16"/>
          <w:szCs w:val="16"/>
          <w:lang w:val="es-MX"/>
        </w:rPr>
        <w:t xml:space="preserve"> </w:t>
      </w:r>
      <w:r w:rsidR="00BA5D29">
        <w:rPr>
          <w:rFonts w:ascii="Cambria" w:hAnsi="Cambria"/>
          <w:sz w:val="16"/>
          <w:szCs w:val="16"/>
          <w:lang w:val="es-MX"/>
        </w:rPr>
        <w:t>10</w:t>
      </w:r>
      <w:r w:rsidRPr="00520A90">
        <w:rPr>
          <w:rFonts w:ascii="Cambria" w:hAnsi="Cambria"/>
          <w:sz w:val="16"/>
          <w:szCs w:val="16"/>
          <w:lang w:val="es-MX"/>
        </w:rPr>
        <w:t xml:space="preserve">. Copias de cartas dirigidas al Defensor del Pueblo, al Ministro del Interior y al Presidente de la Comisión de Derechos Humanos del Congreso de la República. </w:t>
      </w:r>
      <w:r w:rsidR="004C2F43">
        <w:rPr>
          <w:rFonts w:ascii="Cambria" w:hAnsi="Cambria"/>
          <w:sz w:val="16"/>
          <w:szCs w:val="16"/>
          <w:lang w:val="es-MX"/>
        </w:rPr>
        <w:t>Anexo a p</w:t>
      </w:r>
      <w:r w:rsidRPr="00520A90">
        <w:rPr>
          <w:rFonts w:ascii="Cambria" w:hAnsi="Cambria"/>
          <w:sz w:val="16"/>
          <w:szCs w:val="16"/>
          <w:lang w:val="es-MX"/>
        </w:rPr>
        <w:t>etición inicial.</w:t>
      </w:r>
    </w:p>
  </w:footnote>
  <w:footnote w:id="24">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C2F43">
        <w:rPr>
          <w:rFonts w:ascii="Cambria" w:hAnsi="Cambria"/>
          <w:sz w:val="16"/>
          <w:szCs w:val="16"/>
          <w:lang w:val="es-MX"/>
        </w:rPr>
        <w:t xml:space="preserve"> </w:t>
      </w:r>
      <w:r w:rsidR="00BA5D29">
        <w:rPr>
          <w:rFonts w:ascii="Cambria" w:hAnsi="Cambria"/>
          <w:sz w:val="16"/>
          <w:szCs w:val="16"/>
          <w:lang w:val="es-MX"/>
        </w:rPr>
        <w:t>7</w:t>
      </w:r>
      <w:r w:rsidRPr="00520A90">
        <w:rPr>
          <w:rFonts w:ascii="Cambria" w:hAnsi="Cambria"/>
          <w:sz w:val="16"/>
          <w:szCs w:val="16"/>
          <w:lang w:val="es-MX"/>
        </w:rPr>
        <w:t>. Declaración de la señora Gladys Escobar ante la COMISEDH, rendida el 29 de abril de 1999.</w:t>
      </w:r>
      <w:r w:rsidR="004C2F43">
        <w:rPr>
          <w:rFonts w:ascii="Cambria" w:hAnsi="Cambria"/>
          <w:sz w:val="16"/>
          <w:szCs w:val="16"/>
          <w:lang w:val="es-MX"/>
        </w:rPr>
        <w:t xml:space="preserve"> Anexo 39 de la petición inicial. </w:t>
      </w:r>
    </w:p>
  </w:footnote>
  <w:footnote w:id="25">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A5D29">
        <w:rPr>
          <w:rFonts w:ascii="Cambria" w:hAnsi="Cambria"/>
          <w:sz w:val="16"/>
          <w:szCs w:val="16"/>
          <w:lang w:val="es-MX"/>
        </w:rPr>
        <w:t xml:space="preserve"> 11</w:t>
      </w:r>
      <w:r w:rsidRPr="00520A90">
        <w:rPr>
          <w:rFonts w:ascii="Cambria" w:hAnsi="Cambria"/>
          <w:sz w:val="16"/>
          <w:szCs w:val="16"/>
          <w:lang w:val="es-MX"/>
        </w:rPr>
        <w:t>. Ampliatoria de queja ante la Defensoría del Pueblo. Anexo a petición inicial del 23 de junio de 2005.</w:t>
      </w:r>
    </w:p>
  </w:footnote>
  <w:footnote w:id="26">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A5D29">
        <w:rPr>
          <w:rFonts w:ascii="Cambria" w:hAnsi="Cambria"/>
          <w:sz w:val="16"/>
          <w:szCs w:val="16"/>
          <w:lang w:val="es-MX"/>
        </w:rPr>
        <w:t xml:space="preserve"> 12</w:t>
      </w:r>
      <w:r w:rsidRPr="00520A90">
        <w:rPr>
          <w:rFonts w:ascii="Cambria" w:hAnsi="Cambria"/>
          <w:sz w:val="16"/>
          <w:szCs w:val="16"/>
          <w:lang w:val="es-MX"/>
        </w:rPr>
        <w:t xml:space="preserve">. Denuncia presentada ante la Comisaría de </w:t>
      </w:r>
      <w:proofErr w:type="spellStart"/>
      <w:r w:rsidRPr="00520A90">
        <w:rPr>
          <w:rFonts w:ascii="Cambria" w:hAnsi="Cambria"/>
          <w:sz w:val="16"/>
          <w:szCs w:val="16"/>
          <w:lang w:val="es-MX"/>
        </w:rPr>
        <w:t>Lircay</w:t>
      </w:r>
      <w:proofErr w:type="spellEnd"/>
      <w:r w:rsidRPr="00520A90">
        <w:rPr>
          <w:rFonts w:ascii="Cambria" w:hAnsi="Cambria"/>
          <w:sz w:val="16"/>
          <w:szCs w:val="16"/>
          <w:lang w:val="es-MX"/>
        </w:rPr>
        <w:t xml:space="preserve"> el 22 de marzo de 1999. Anexo 4 de la petición inicial. </w:t>
      </w:r>
    </w:p>
  </w:footnote>
  <w:footnote w:id="27">
    <w:p w:rsidR="00667DB2" w:rsidRPr="00520A90" w:rsidRDefault="00667DB2" w:rsidP="00FD5827">
      <w:pPr>
        <w:pStyle w:val="FootnoteText"/>
        <w:spacing w:after="120"/>
        <w:ind w:firstLine="720"/>
        <w:jc w:val="both"/>
        <w:rPr>
          <w:rFonts w:ascii="Cambria" w:hAnsi="Cambria"/>
          <w:sz w:val="16"/>
          <w:szCs w:val="16"/>
          <w:lang w:val="es-CO"/>
        </w:rPr>
      </w:pPr>
      <w:r w:rsidRPr="00520A90">
        <w:rPr>
          <w:rStyle w:val="FootnoteReference"/>
          <w:rFonts w:ascii="Cambria" w:hAnsi="Cambria"/>
          <w:sz w:val="16"/>
          <w:szCs w:val="16"/>
        </w:rPr>
        <w:footnoteRef/>
      </w:r>
      <w:r w:rsidRPr="00520A90">
        <w:rPr>
          <w:rFonts w:ascii="Cambria" w:hAnsi="Cambria"/>
          <w:sz w:val="16"/>
          <w:szCs w:val="16"/>
          <w:lang w:val="es-CO"/>
        </w:rPr>
        <w:t xml:space="preserve"> Anexo</w:t>
      </w:r>
      <w:r w:rsidR="00BA5D29">
        <w:rPr>
          <w:rFonts w:ascii="Cambria" w:hAnsi="Cambria"/>
          <w:sz w:val="16"/>
          <w:szCs w:val="16"/>
          <w:lang w:val="es-CO"/>
        </w:rPr>
        <w:t xml:space="preserve"> 13</w:t>
      </w:r>
      <w:r w:rsidRPr="00520A90">
        <w:rPr>
          <w:rFonts w:ascii="Cambria" w:hAnsi="Cambria"/>
          <w:sz w:val="16"/>
          <w:szCs w:val="16"/>
          <w:lang w:val="es-CO"/>
        </w:rPr>
        <w:t xml:space="preserve">. Dictamen fiscal No. 01-2000. </w:t>
      </w:r>
      <w:r w:rsidRPr="00520A90">
        <w:rPr>
          <w:rFonts w:ascii="Cambria" w:hAnsi="Cambria"/>
          <w:sz w:val="16"/>
          <w:szCs w:val="16"/>
          <w:lang w:val="es-MX"/>
        </w:rPr>
        <w:t xml:space="preserve">Anexo a comunicación del Estado. Nota No. 7-5-M/066 del 9 de febrero de 2006. </w:t>
      </w:r>
      <w:r w:rsidRPr="00520A90">
        <w:rPr>
          <w:rFonts w:ascii="Cambria" w:hAnsi="Cambria"/>
          <w:sz w:val="16"/>
          <w:szCs w:val="16"/>
          <w:lang w:val="es-CO"/>
        </w:rPr>
        <w:t>Específicamente indicó que “</w:t>
      </w:r>
      <w:r w:rsidRPr="00520A90">
        <w:rPr>
          <w:rFonts w:ascii="Cambria" w:hAnsi="Cambria"/>
          <w:sz w:val="16"/>
          <w:szCs w:val="16"/>
          <w:bdr w:val="none" w:sz="0" w:space="0" w:color="auto"/>
          <w:lang w:val="es-ES"/>
        </w:rPr>
        <w:t xml:space="preserve">[…] al no existir ninguna denuncia en su contra, ordenó que se retirara siendo las 5:15 am aproximadamente, dirigiéndose luego en el carro policial junto con el SO2 PNP, Percy Bladimir Salvatierra Laura  y el SOT3 PNP Carlos Hugo Valdivia Urrutia […] se dirigieron de patrullaje a la Mina </w:t>
      </w:r>
      <w:proofErr w:type="spellStart"/>
      <w:r w:rsidRPr="00520A90">
        <w:rPr>
          <w:rFonts w:ascii="Cambria" w:hAnsi="Cambria"/>
          <w:sz w:val="16"/>
          <w:szCs w:val="16"/>
          <w:bdr w:val="none" w:sz="0" w:space="0" w:color="auto"/>
          <w:lang w:val="es-ES"/>
        </w:rPr>
        <w:t>Julcani</w:t>
      </w:r>
      <w:proofErr w:type="spellEnd"/>
      <w:r w:rsidRPr="00520A90">
        <w:rPr>
          <w:rFonts w:ascii="Cambria" w:hAnsi="Cambria"/>
          <w:sz w:val="16"/>
          <w:szCs w:val="16"/>
          <w:bdr w:val="none" w:sz="0" w:space="0" w:color="auto"/>
          <w:lang w:val="es-ES"/>
        </w:rPr>
        <w:t xml:space="preserve">, conforme orden dispuesta por el Coronel PNP. </w:t>
      </w:r>
      <w:proofErr w:type="spellStart"/>
      <w:r w:rsidRPr="00520A90">
        <w:rPr>
          <w:rFonts w:ascii="Cambria" w:hAnsi="Cambria"/>
          <w:sz w:val="16"/>
          <w:szCs w:val="16"/>
          <w:bdr w:val="none" w:sz="0" w:space="0" w:color="auto"/>
          <w:lang w:val="es-ES"/>
        </w:rPr>
        <w:t>Lingan</w:t>
      </w:r>
      <w:proofErr w:type="spellEnd"/>
      <w:r w:rsidRPr="00520A90">
        <w:rPr>
          <w:rFonts w:ascii="Cambria" w:hAnsi="Cambria"/>
          <w:sz w:val="16"/>
          <w:szCs w:val="16"/>
          <w:bdr w:val="none" w:sz="0" w:space="0" w:color="auto"/>
          <w:lang w:val="es-ES"/>
        </w:rPr>
        <w:t xml:space="preserve"> Ríos, llegando a esa a las 7:30 am, saliendo de esa a las 11.00 am, posteriormente a una visita de Inspección a la Comisaría de </w:t>
      </w:r>
      <w:proofErr w:type="spellStart"/>
      <w:r w:rsidRPr="00520A90">
        <w:rPr>
          <w:rFonts w:ascii="Cambria" w:hAnsi="Cambria"/>
          <w:sz w:val="16"/>
          <w:szCs w:val="16"/>
          <w:bdr w:val="none" w:sz="0" w:space="0" w:color="auto"/>
          <w:lang w:val="es-ES"/>
        </w:rPr>
        <w:t>Ccochaccasa</w:t>
      </w:r>
      <w:proofErr w:type="spellEnd"/>
      <w:r w:rsidRPr="00520A90">
        <w:rPr>
          <w:rFonts w:ascii="Cambria" w:hAnsi="Cambria"/>
          <w:sz w:val="16"/>
          <w:szCs w:val="16"/>
          <w:bdr w:val="none" w:sz="0" w:space="0" w:color="auto"/>
          <w:lang w:val="es-ES"/>
        </w:rPr>
        <w:t xml:space="preserve">, retornando a las 01:45 pm, aproximadamente. El domingo 21 de marzo de 1999 cuando se encontraba en la Plaza Andres Avelino Cáceres, en la fiesta de la Guinda, Tuna y Cochinilla, lo llamó el señor </w:t>
      </w:r>
      <w:proofErr w:type="spellStart"/>
      <w:r w:rsidRPr="00520A90">
        <w:rPr>
          <w:rFonts w:ascii="Cambria" w:hAnsi="Cambria"/>
          <w:sz w:val="16"/>
          <w:szCs w:val="16"/>
          <w:bdr w:val="none" w:sz="0" w:space="0" w:color="auto"/>
          <w:lang w:val="es-ES"/>
        </w:rPr>
        <w:t>Genebrando</w:t>
      </w:r>
      <w:proofErr w:type="spellEnd"/>
      <w:r w:rsidRPr="00520A90">
        <w:rPr>
          <w:rFonts w:ascii="Cambria" w:hAnsi="Cambria"/>
          <w:sz w:val="16"/>
          <w:szCs w:val="16"/>
          <w:bdr w:val="none" w:sz="0" w:space="0" w:color="auto"/>
          <w:lang w:val="es-ES"/>
        </w:rPr>
        <w:t xml:space="preserve"> Aranda, el que estaba acompañado de la señora Gladys Justina Escobar </w:t>
      </w:r>
      <w:proofErr w:type="spellStart"/>
      <w:r w:rsidRPr="00520A90">
        <w:rPr>
          <w:rFonts w:ascii="Cambria" w:hAnsi="Cambria"/>
          <w:sz w:val="16"/>
          <w:szCs w:val="16"/>
          <w:bdr w:val="none" w:sz="0" w:space="0" w:color="auto"/>
          <w:lang w:val="es-ES"/>
        </w:rPr>
        <w:t>Candiotti</w:t>
      </w:r>
      <w:proofErr w:type="spellEnd"/>
      <w:r w:rsidRPr="00520A90">
        <w:rPr>
          <w:rFonts w:ascii="Cambria" w:hAnsi="Cambria"/>
          <w:sz w:val="16"/>
          <w:szCs w:val="16"/>
          <w:bdr w:val="none" w:sz="0" w:space="0" w:color="auto"/>
          <w:lang w:val="es-ES"/>
        </w:rPr>
        <w:t xml:space="preserve"> y su hija Gladys Munárriz Escobar, quienes le dijeron que Walter había desaparecido por lo que les dijo que se apersonaran a la Comisaría para que asienten su denuncia, que comunica de ello a su Jefe el Coronel </w:t>
      </w:r>
      <w:proofErr w:type="spellStart"/>
      <w:r w:rsidRPr="00520A90">
        <w:rPr>
          <w:rFonts w:ascii="Cambria" w:hAnsi="Cambria"/>
          <w:sz w:val="16"/>
          <w:szCs w:val="16"/>
          <w:bdr w:val="none" w:sz="0" w:space="0" w:color="auto"/>
          <w:lang w:val="es-ES"/>
        </w:rPr>
        <w:t>Lingán</w:t>
      </w:r>
      <w:proofErr w:type="spellEnd"/>
      <w:r w:rsidRPr="00520A90">
        <w:rPr>
          <w:rFonts w:ascii="Cambria" w:hAnsi="Cambria"/>
          <w:sz w:val="16"/>
          <w:szCs w:val="16"/>
          <w:bdr w:val="none" w:sz="0" w:space="0" w:color="auto"/>
          <w:lang w:val="es-ES"/>
        </w:rPr>
        <w:t xml:space="preserve"> Ríos el día 22 de marzo de 1999, ya que estaban implicando al personal policial, así mismo solicitó Personal Especializado para que investiguen el presente caso; y el 24 de marzo de 1999 solicitó a la Fiscalía Provincial Mixta de </w:t>
      </w:r>
      <w:proofErr w:type="spellStart"/>
      <w:r w:rsidRPr="00520A90">
        <w:rPr>
          <w:rFonts w:ascii="Cambria" w:hAnsi="Cambria"/>
          <w:sz w:val="16"/>
          <w:szCs w:val="16"/>
          <w:bdr w:val="none" w:sz="0" w:space="0" w:color="auto"/>
          <w:lang w:val="es-ES"/>
        </w:rPr>
        <w:t>Angaráes</w:t>
      </w:r>
      <w:proofErr w:type="spellEnd"/>
      <w:r w:rsidRPr="00520A90">
        <w:rPr>
          <w:rFonts w:ascii="Cambria" w:hAnsi="Cambria"/>
          <w:sz w:val="16"/>
          <w:szCs w:val="16"/>
          <w:bdr w:val="none" w:sz="0" w:space="0" w:color="auto"/>
          <w:lang w:val="es-ES"/>
        </w:rPr>
        <w:t xml:space="preserve"> para que realice las investigaciones […]. Con el personal policial y Bomberos de Huancavelica, han realizado la operación de búsqueda río arriba y río abajo con la finalidad de ubicar al desaparecido Walter Munárriz Escobar con resultado  negativo […].</w:t>
      </w:r>
    </w:p>
  </w:footnote>
  <w:footnote w:id="28">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A5D29">
        <w:rPr>
          <w:rFonts w:ascii="Cambria" w:hAnsi="Cambria"/>
          <w:sz w:val="16"/>
          <w:szCs w:val="16"/>
          <w:lang w:val="es-MX"/>
        </w:rPr>
        <w:t>14</w:t>
      </w:r>
      <w:r w:rsidRPr="00520A90">
        <w:rPr>
          <w:rFonts w:ascii="Cambria" w:hAnsi="Cambria"/>
          <w:sz w:val="16"/>
          <w:szCs w:val="16"/>
          <w:lang w:val="es-MX"/>
        </w:rPr>
        <w:t xml:space="preserve">. Denuncia formal presentada por la señora Gladys Escobar </w:t>
      </w:r>
      <w:proofErr w:type="spellStart"/>
      <w:r w:rsidRPr="00520A90">
        <w:rPr>
          <w:rFonts w:ascii="Cambria" w:hAnsi="Cambria"/>
          <w:sz w:val="16"/>
          <w:szCs w:val="16"/>
          <w:lang w:val="es-MX"/>
        </w:rPr>
        <w:t>Candiotti</w:t>
      </w:r>
      <w:proofErr w:type="spellEnd"/>
      <w:r w:rsidRPr="00520A90">
        <w:rPr>
          <w:rFonts w:ascii="Cambria" w:hAnsi="Cambria"/>
          <w:sz w:val="16"/>
          <w:szCs w:val="16"/>
          <w:lang w:val="es-MX"/>
        </w:rPr>
        <w:t xml:space="preserve"> el 23 de marzo de 1999. Anexo 6 de la petición inicial.</w:t>
      </w:r>
    </w:p>
  </w:footnote>
  <w:footnote w:id="29">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A5D29">
        <w:rPr>
          <w:rFonts w:ascii="Cambria" w:hAnsi="Cambria"/>
          <w:sz w:val="16"/>
          <w:szCs w:val="16"/>
          <w:lang w:val="es-MX"/>
        </w:rPr>
        <w:t xml:space="preserve"> 15</w:t>
      </w:r>
      <w:r w:rsidRPr="00520A90">
        <w:rPr>
          <w:rFonts w:ascii="Cambria" w:hAnsi="Cambria"/>
          <w:sz w:val="16"/>
          <w:szCs w:val="16"/>
          <w:lang w:val="es-MX"/>
        </w:rPr>
        <w:t xml:space="preserve">. Informe de gestión de la Defensoría del Pueblo del 25 de marzo de 1999. Entrevista a Silvia Montero Meléndez. Anexo11 de la petición inicial. </w:t>
      </w:r>
    </w:p>
  </w:footnote>
  <w:footnote w:id="30">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A5D29">
        <w:rPr>
          <w:rFonts w:ascii="Cambria" w:hAnsi="Cambria"/>
          <w:sz w:val="16"/>
          <w:szCs w:val="16"/>
          <w:lang w:val="es-MX"/>
        </w:rPr>
        <w:t xml:space="preserve"> 15</w:t>
      </w:r>
      <w:r w:rsidRPr="00520A90">
        <w:rPr>
          <w:rFonts w:ascii="Cambria" w:hAnsi="Cambria"/>
          <w:sz w:val="16"/>
          <w:szCs w:val="16"/>
          <w:lang w:val="es-MX"/>
        </w:rPr>
        <w:t>. Informe de gestión de la Defensoría del Pueblo del 25 de marzo de 1999. Entrevista a Silvia Montero Meléndez. Anexo11 de la petición inicial.</w:t>
      </w:r>
    </w:p>
  </w:footnote>
  <w:footnote w:id="31">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A5D29">
        <w:rPr>
          <w:rFonts w:ascii="Cambria" w:hAnsi="Cambria"/>
          <w:sz w:val="16"/>
          <w:szCs w:val="16"/>
          <w:lang w:val="es-MX"/>
        </w:rPr>
        <w:t xml:space="preserve"> 16</w:t>
      </w:r>
      <w:r w:rsidRPr="00520A90">
        <w:rPr>
          <w:rFonts w:ascii="Cambria" w:hAnsi="Cambria"/>
          <w:sz w:val="16"/>
          <w:szCs w:val="16"/>
          <w:lang w:val="es-MX"/>
        </w:rPr>
        <w:t xml:space="preserve">. Carta del 27 de marzo de 1999 remitida al Fiscal Superior de Huancavelica. </w:t>
      </w:r>
    </w:p>
  </w:footnote>
  <w:footnote w:id="32">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A5D29">
        <w:rPr>
          <w:rFonts w:ascii="Cambria" w:hAnsi="Cambria"/>
          <w:sz w:val="16"/>
          <w:szCs w:val="16"/>
          <w:lang w:val="es-MX"/>
        </w:rPr>
        <w:t xml:space="preserve"> 17</w:t>
      </w:r>
      <w:r w:rsidRPr="00520A90">
        <w:rPr>
          <w:rFonts w:ascii="Cambria" w:hAnsi="Cambria"/>
          <w:sz w:val="16"/>
          <w:szCs w:val="16"/>
          <w:lang w:val="es-MX"/>
        </w:rPr>
        <w:t>. Resolución de</w:t>
      </w:r>
      <w:r w:rsidRPr="00520A90">
        <w:rPr>
          <w:rFonts w:ascii="Cambria" w:hAnsi="Cambria"/>
          <w:sz w:val="16"/>
          <w:szCs w:val="16"/>
          <w:bdr w:val="none" w:sz="0" w:space="0" w:color="auto"/>
          <w:lang w:val="es-ES"/>
        </w:rPr>
        <w:t xml:space="preserve"> la Fiscalía Superior de Gestión  de Gobierno del Distrito Judicial, de 3 de mayo de 1999. Anexo a la petición inicial. </w:t>
      </w:r>
    </w:p>
  </w:footnote>
  <w:footnote w:id="33">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755315">
        <w:rPr>
          <w:rFonts w:ascii="Cambria" w:hAnsi="Cambria"/>
          <w:sz w:val="16"/>
          <w:szCs w:val="16"/>
          <w:lang w:val="es-MX"/>
        </w:rPr>
        <w:t xml:space="preserve"> 18</w:t>
      </w:r>
      <w:r w:rsidRPr="00520A90">
        <w:rPr>
          <w:rFonts w:ascii="Cambria" w:hAnsi="Cambria"/>
          <w:sz w:val="16"/>
          <w:szCs w:val="16"/>
          <w:lang w:val="es-MX"/>
        </w:rPr>
        <w:t xml:space="preserve">. Copia de la denuncia formal 22-99. Anexo al Informe </w:t>
      </w:r>
      <w:r w:rsidRPr="00520A90">
        <w:rPr>
          <w:rFonts w:ascii="Cambria" w:hAnsi="Cambria"/>
          <w:sz w:val="16"/>
          <w:szCs w:val="16"/>
          <w:lang w:val="es-AR"/>
        </w:rPr>
        <w:t xml:space="preserve">No. 010-2006- JUS/CNDH-SE/CESAPI del 30 de enero de 2006, presentado por el </w:t>
      </w:r>
      <w:r w:rsidRPr="00520A90">
        <w:rPr>
          <w:rFonts w:ascii="Cambria" w:hAnsi="Cambria"/>
          <w:sz w:val="16"/>
          <w:szCs w:val="16"/>
          <w:lang w:val="es-MX"/>
        </w:rPr>
        <w:t xml:space="preserve">Estado mediante Nota No. 7-5-M/066 del 9 de febrero de 2006. </w:t>
      </w:r>
    </w:p>
  </w:footnote>
  <w:footnote w:id="34">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755315">
        <w:rPr>
          <w:rFonts w:ascii="Cambria" w:hAnsi="Cambria"/>
          <w:sz w:val="16"/>
          <w:szCs w:val="16"/>
          <w:lang w:val="es-MX"/>
        </w:rPr>
        <w:t xml:space="preserve"> 19</w:t>
      </w:r>
      <w:r w:rsidRPr="00520A90">
        <w:rPr>
          <w:rFonts w:ascii="Cambria" w:hAnsi="Cambria"/>
          <w:sz w:val="16"/>
          <w:szCs w:val="16"/>
          <w:lang w:val="es-MX"/>
        </w:rPr>
        <w:t xml:space="preserve">. Copia del auto de apertura de instrucción del 26 de abril de 1999. Anexo al Informe </w:t>
      </w:r>
      <w:r w:rsidRPr="00520A90">
        <w:rPr>
          <w:rFonts w:ascii="Cambria" w:hAnsi="Cambria"/>
          <w:sz w:val="16"/>
          <w:szCs w:val="16"/>
          <w:lang w:val="es-AR"/>
        </w:rPr>
        <w:t xml:space="preserve">No. 010-2006- JUS/CNDH-SE/CESAPI del 30 de enero de 2006, presentado por el </w:t>
      </w:r>
      <w:r w:rsidRPr="00520A90">
        <w:rPr>
          <w:rFonts w:ascii="Cambria" w:hAnsi="Cambria"/>
          <w:sz w:val="16"/>
          <w:szCs w:val="16"/>
          <w:lang w:val="es-MX"/>
        </w:rPr>
        <w:t xml:space="preserve">Estado mediante Nota No. 7-5-M/066 del 9 de febrero de 2006. </w:t>
      </w:r>
    </w:p>
  </w:footnote>
  <w:footnote w:id="35">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755315">
        <w:rPr>
          <w:rFonts w:ascii="Cambria" w:hAnsi="Cambria"/>
          <w:sz w:val="16"/>
          <w:szCs w:val="16"/>
          <w:lang w:val="es-MX"/>
        </w:rPr>
        <w:t xml:space="preserve"> 20</w:t>
      </w:r>
      <w:r w:rsidRPr="00520A90">
        <w:rPr>
          <w:rFonts w:ascii="Cambria" w:hAnsi="Cambria"/>
          <w:sz w:val="16"/>
          <w:szCs w:val="16"/>
          <w:lang w:val="es-MX"/>
        </w:rPr>
        <w:t xml:space="preserve">. Copia de la Resolución No. 34 del 24 de junio de 1999. Anexo al Informe </w:t>
      </w:r>
      <w:r w:rsidRPr="00520A90">
        <w:rPr>
          <w:rFonts w:ascii="Cambria" w:hAnsi="Cambria"/>
          <w:sz w:val="16"/>
          <w:szCs w:val="16"/>
          <w:lang w:val="es-AR"/>
        </w:rPr>
        <w:t xml:space="preserve">No. 010-2006- JUS/CNDH-SE/CESAPI del 30 de enero de 2006, presentado por el </w:t>
      </w:r>
      <w:r w:rsidRPr="00520A90">
        <w:rPr>
          <w:rFonts w:ascii="Cambria" w:hAnsi="Cambria"/>
          <w:sz w:val="16"/>
          <w:szCs w:val="16"/>
          <w:lang w:val="es-MX"/>
        </w:rPr>
        <w:t xml:space="preserve">Estado mediante Nota No. 7-5-M/066 del 9 de febrero de 2006. </w:t>
      </w:r>
    </w:p>
  </w:footnote>
  <w:footnote w:id="36">
    <w:p w:rsidR="00667DB2" w:rsidRPr="00520A90" w:rsidRDefault="00667DB2" w:rsidP="00FD5827">
      <w:pPr>
        <w:pStyle w:val="FootnoteText"/>
        <w:spacing w:after="120"/>
        <w:ind w:firstLine="720"/>
        <w:jc w:val="both"/>
        <w:rPr>
          <w:rFonts w:ascii="Cambria" w:hAnsi="Cambria"/>
          <w:sz w:val="16"/>
          <w:szCs w:val="16"/>
          <w:lang w:val="es-MX"/>
        </w:rPr>
      </w:pPr>
      <w:r w:rsidRPr="00520A90">
        <w:rPr>
          <w:rFonts w:ascii="Cambria" w:hAnsi="Cambria"/>
          <w:sz w:val="16"/>
          <w:szCs w:val="16"/>
          <w:vertAlign w:val="superscript"/>
        </w:rPr>
        <w:footnoteRef/>
      </w:r>
      <w:r w:rsidRPr="00520A90">
        <w:rPr>
          <w:rFonts w:ascii="Cambria" w:hAnsi="Cambria"/>
          <w:sz w:val="16"/>
          <w:szCs w:val="16"/>
          <w:lang w:val="es-MX"/>
        </w:rPr>
        <w:t xml:space="preserve"> Anexo</w:t>
      </w:r>
      <w:r w:rsidR="00BE5E48">
        <w:rPr>
          <w:rFonts w:ascii="Cambria" w:hAnsi="Cambria"/>
          <w:sz w:val="16"/>
          <w:szCs w:val="16"/>
          <w:lang w:val="es-MX"/>
        </w:rPr>
        <w:t xml:space="preserve"> 20</w:t>
      </w:r>
      <w:r w:rsidRPr="00520A90">
        <w:rPr>
          <w:rFonts w:ascii="Cambria" w:hAnsi="Cambria"/>
          <w:sz w:val="16"/>
          <w:szCs w:val="16"/>
          <w:lang w:val="es-MX"/>
        </w:rPr>
        <w:t xml:space="preserve">. Copia de la Resolución No. 34 del 24 de junio de 1999. Anexo al Informe </w:t>
      </w:r>
      <w:r w:rsidRPr="00520A90">
        <w:rPr>
          <w:rFonts w:ascii="Cambria" w:hAnsi="Cambria"/>
          <w:sz w:val="16"/>
          <w:szCs w:val="16"/>
          <w:lang w:val="es-AR"/>
        </w:rPr>
        <w:t xml:space="preserve">No. 010-2006- JUS/CNDH-SE/CESAPI del 30 de enero de 2006, presentado por el </w:t>
      </w:r>
      <w:r w:rsidRPr="00520A90">
        <w:rPr>
          <w:rFonts w:ascii="Cambria" w:hAnsi="Cambria"/>
          <w:sz w:val="16"/>
          <w:szCs w:val="16"/>
          <w:lang w:val="es-MX"/>
        </w:rPr>
        <w:t xml:space="preserve">Estado mediante Nota No. 7-5-M/066 del 9 de febrero de 2006. </w:t>
      </w:r>
    </w:p>
  </w:footnote>
  <w:footnote w:id="37">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w:t>
      </w:r>
      <w:r w:rsidRPr="00520A90">
        <w:rPr>
          <w:rFonts w:ascii="Cambria" w:hAnsi="Cambria"/>
          <w:sz w:val="16"/>
          <w:szCs w:val="16"/>
          <w:lang w:val="es-CO"/>
        </w:rPr>
        <w:t>Anexo</w:t>
      </w:r>
      <w:r w:rsidR="00BE5E48">
        <w:rPr>
          <w:rFonts w:ascii="Cambria" w:hAnsi="Cambria"/>
          <w:sz w:val="16"/>
          <w:szCs w:val="16"/>
          <w:lang w:val="es-CO"/>
        </w:rPr>
        <w:t xml:space="preserve"> 13</w:t>
      </w:r>
      <w:r w:rsidRPr="00520A90">
        <w:rPr>
          <w:rFonts w:ascii="Cambria" w:hAnsi="Cambria"/>
          <w:sz w:val="16"/>
          <w:szCs w:val="16"/>
          <w:lang w:val="es-CO"/>
        </w:rPr>
        <w:t xml:space="preserve">. Dictamen fiscal No. 01-2000 del 19 de enero de 2000. </w:t>
      </w:r>
      <w:r w:rsidRPr="00520A90">
        <w:rPr>
          <w:rFonts w:ascii="Cambria" w:hAnsi="Cambria"/>
          <w:sz w:val="16"/>
          <w:szCs w:val="16"/>
          <w:lang w:val="es-MX"/>
        </w:rPr>
        <w:t>Anexo a comunicación del Estado. Nota No. 7-5-M/066 del 9 de febrero de 2006.</w:t>
      </w:r>
    </w:p>
  </w:footnote>
  <w:footnote w:id="38">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w:t>
      </w:r>
      <w:r w:rsidRPr="00520A90">
        <w:rPr>
          <w:rFonts w:ascii="Cambria" w:hAnsi="Cambria"/>
          <w:sz w:val="16"/>
          <w:szCs w:val="16"/>
          <w:lang w:val="es-CO"/>
        </w:rPr>
        <w:t>Anexo</w:t>
      </w:r>
      <w:r w:rsidR="00BE5E48">
        <w:rPr>
          <w:rFonts w:ascii="Cambria" w:hAnsi="Cambria"/>
          <w:sz w:val="16"/>
          <w:szCs w:val="16"/>
          <w:lang w:val="es-CO"/>
        </w:rPr>
        <w:t xml:space="preserve"> 21</w:t>
      </w:r>
      <w:r w:rsidRPr="00520A90">
        <w:rPr>
          <w:rFonts w:ascii="Cambria" w:hAnsi="Cambria"/>
          <w:sz w:val="16"/>
          <w:szCs w:val="16"/>
          <w:lang w:val="es-CO"/>
        </w:rPr>
        <w:t xml:space="preserve">. Dictamen acusatorio No. 10-2000 de 1 de junio de 2000. </w:t>
      </w:r>
      <w:r w:rsidRPr="00520A90">
        <w:rPr>
          <w:rFonts w:ascii="Cambria" w:hAnsi="Cambria"/>
          <w:sz w:val="16"/>
          <w:szCs w:val="16"/>
          <w:lang w:val="es-MX"/>
        </w:rPr>
        <w:t>Anexo a comunicación del Estado. Nota No. 7-5-M/066 del 9 de febrero de 2006.</w:t>
      </w:r>
    </w:p>
  </w:footnote>
  <w:footnote w:id="39">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w:t>
      </w:r>
      <w:r w:rsidRPr="00520A90">
        <w:rPr>
          <w:rFonts w:ascii="Cambria" w:hAnsi="Cambria"/>
          <w:sz w:val="16"/>
          <w:szCs w:val="16"/>
          <w:lang w:val="es-CO"/>
        </w:rPr>
        <w:t>Anexo</w:t>
      </w:r>
      <w:r w:rsidR="00797FBD">
        <w:rPr>
          <w:rFonts w:ascii="Cambria" w:hAnsi="Cambria"/>
          <w:sz w:val="16"/>
          <w:szCs w:val="16"/>
          <w:lang w:val="es-CO"/>
        </w:rPr>
        <w:t xml:space="preserve"> 22</w:t>
      </w:r>
      <w:r w:rsidRPr="00520A90">
        <w:rPr>
          <w:rFonts w:ascii="Cambria" w:hAnsi="Cambria"/>
          <w:sz w:val="16"/>
          <w:szCs w:val="16"/>
          <w:lang w:val="es-CO"/>
        </w:rPr>
        <w:t xml:space="preserve">. Dictamen acusatorio No. 18-2000 de 7 de agosto de 2000. </w:t>
      </w:r>
      <w:r w:rsidRPr="00520A90">
        <w:rPr>
          <w:rFonts w:ascii="Cambria" w:hAnsi="Cambria"/>
          <w:sz w:val="16"/>
          <w:szCs w:val="16"/>
          <w:lang w:val="es-MX"/>
        </w:rPr>
        <w:t>Anexo a comunicación del Estado. Nota No. 7-5-M/066 del 9 de febrero de 2006.</w:t>
      </w:r>
    </w:p>
  </w:footnote>
  <w:footnote w:id="40">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w:t>
      </w:r>
      <w:r w:rsidRPr="00520A90">
        <w:rPr>
          <w:rFonts w:ascii="Cambria" w:hAnsi="Cambria"/>
          <w:sz w:val="16"/>
          <w:szCs w:val="16"/>
          <w:lang w:val="es-CO"/>
        </w:rPr>
        <w:t>Anexo</w:t>
      </w:r>
      <w:r w:rsidR="00797FBD">
        <w:rPr>
          <w:rFonts w:ascii="Cambria" w:hAnsi="Cambria"/>
          <w:sz w:val="16"/>
          <w:szCs w:val="16"/>
          <w:lang w:val="es-CO"/>
        </w:rPr>
        <w:t xml:space="preserve"> 23</w:t>
      </w:r>
      <w:r w:rsidRPr="00520A90">
        <w:rPr>
          <w:rFonts w:ascii="Cambria" w:hAnsi="Cambria"/>
          <w:sz w:val="16"/>
          <w:szCs w:val="16"/>
          <w:lang w:val="es-CO"/>
        </w:rPr>
        <w:t xml:space="preserve">. Resolución No. 100  de 14 de agosto de 2000. </w:t>
      </w:r>
      <w:r w:rsidRPr="00520A90">
        <w:rPr>
          <w:rFonts w:ascii="Cambria" w:hAnsi="Cambria"/>
          <w:sz w:val="16"/>
          <w:szCs w:val="16"/>
          <w:lang w:val="es-MX"/>
        </w:rPr>
        <w:t>Anexo a comunicación del Estado. Nota No. 7-5-M/066 del 9 de febrero de 2006.</w:t>
      </w:r>
    </w:p>
  </w:footnote>
  <w:footnote w:id="41">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797FBD">
        <w:rPr>
          <w:rFonts w:ascii="Cambria" w:hAnsi="Cambria"/>
          <w:sz w:val="16"/>
          <w:szCs w:val="16"/>
          <w:lang w:val="es-MX"/>
        </w:rPr>
        <w:t xml:space="preserve"> 8</w:t>
      </w:r>
      <w:r w:rsidRPr="00520A90">
        <w:rPr>
          <w:rFonts w:ascii="Cambria" w:hAnsi="Cambria"/>
          <w:sz w:val="16"/>
          <w:szCs w:val="16"/>
          <w:lang w:val="es-MX"/>
        </w:rPr>
        <w:t>. Copia de sentencia del 15 de febrero de 2001. Anexo a comunicación del Estado. Nota No. 7-5-M/066 del 9 de febrero de 2006.</w:t>
      </w:r>
    </w:p>
  </w:footnote>
  <w:footnote w:id="42">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797FBD">
        <w:rPr>
          <w:rFonts w:ascii="Cambria" w:hAnsi="Cambria"/>
          <w:sz w:val="16"/>
          <w:szCs w:val="16"/>
          <w:lang w:val="es-MX"/>
        </w:rPr>
        <w:t xml:space="preserve"> 8</w:t>
      </w:r>
      <w:r w:rsidRPr="00520A90">
        <w:rPr>
          <w:rFonts w:ascii="Cambria" w:hAnsi="Cambria"/>
          <w:sz w:val="16"/>
          <w:szCs w:val="16"/>
          <w:lang w:val="es-MX"/>
        </w:rPr>
        <w:t>. Copia de sentencia del 15 de febrero de 2001. Anexo a comunicación del Estado. Nota No. 7-5-M/066 del 9 de febrero de 2006.</w:t>
      </w:r>
    </w:p>
  </w:footnote>
  <w:footnote w:id="43">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797FBD">
        <w:rPr>
          <w:rFonts w:ascii="Cambria" w:hAnsi="Cambria"/>
          <w:sz w:val="16"/>
          <w:szCs w:val="16"/>
          <w:lang w:val="es-MX"/>
        </w:rPr>
        <w:t xml:space="preserve"> 24</w:t>
      </w:r>
      <w:r w:rsidRPr="00520A90">
        <w:rPr>
          <w:rFonts w:ascii="Cambria" w:hAnsi="Cambria"/>
          <w:sz w:val="16"/>
          <w:szCs w:val="16"/>
          <w:lang w:val="es-MX"/>
        </w:rPr>
        <w:t>. Copia de Ejecutoria Suprema del 13 de diciembre de 2001. Anexo a comunicación del Estado. Nota No. 7-5-M/066 del 9 de febrero de 2006.</w:t>
      </w:r>
    </w:p>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797FBD">
        <w:rPr>
          <w:rFonts w:ascii="Cambria" w:hAnsi="Cambria"/>
          <w:sz w:val="16"/>
          <w:szCs w:val="16"/>
          <w:lang w:val="es-MX"/>
        </w:rPr>
        <w:t xml:space="preserve"> 24</w:t>
      </w:r>
      <w:r w:rsidRPr="00520A90">
        <w:rPr>
          <w:rFonts w:ascii="Cambria" w:hAnsi="Cambria"/>
          <w:sz w:val="16"/>
          <w:szCs w:val="16"/>
          <w:lang w:val="es-MX"/>
        </w:rPr>
        <w:t>. Copia de Ejecutoria Suprema del 13</w:t>
      </w:r>
      <w:r w:rsidR="00797FBD">
        <w:rPr>
          <w:rFonts w:ascii="Cambria" w:hAnsi="Cambria"/>
          <w:sz w:val="16"/>
          <w:szCs w:val="16"/>
          <w:lang w:val="es-MX"/>
        </w:rPr>
        <w:t xml:space="preserve"> de diciembre de 2001. Anexo a c</w:t>
      </w:r>
      <w:r w:rsidRPr="00520A90">
        <w:rPr>
          <w:rFonts w:ascii="Cambria" w:hAnsi="Cambria"/>
          <w:sz w:val="16"/>
          <w:szCs w:val="16"/>
          <w:lang w:val="es-MX"/>
        </w:rPr>
        <w:t>omunicación del Estado. Nota No. 7-5-M/066 del 9 de febrero de 2006.</w:t>
      </w:r>
    </w:p>
  </w:footnote>
  <w:footnote w:id="44">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151EF0">
        <w:rPr>
          <w:rFonts w:ascii="Cambria" w:hAnsi="Cambria"/>
          <w:sz w:val="16"/>
          <w:szCs w:val="16"/>
          <w:lang w:val="es-MX"/>
        </w:rPr>
        <w:t xml:space="preserve"> 24</w:t>
      </w:r>
      <w:r w:rsidRPr="00520A90">
        <w:rPr>
          <w:rFonts w:ascii="Cambria" w:hAnsi="Cambria"/>
          <w:sz w:val="16"/>
          <w:szCs w:val="16"/>
          <w:lang w:val="es-MX"/>
        </w:rPr>
        <w:t>. Copia de Ejecutoria Suprema del 13 de diciembre de 2001. Anexo a comunicación del Estado. Nota No. 7-5-M/066 del 9 de febrero de 2006.</w:t>
      </w:r>
    </w:p>
  </w:footnote>
  <w:footnote w:id="45">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151EF0">
        <w:rPr>
          <w:rFonts w:ascii="Cambria" w:hAnsi="Cambria"/>
          <w:sz w:val="16"/>
          <w:szCs w:val="16"/>
          <w:lang w:val="es-MX"/>
        </w:rPr>
        <w:t xml:space="preserve"> 25</w:t>
      </w:r>
      <w:r w:rsidRPr="00520A90">
        <w:rPr>
          <w:rFonts w:ascii="Cambria" w:hAnsi="Cambria"/>
          <w:sz w:val="16"/>
          <w:szCs w:val="16"/>
          <w:lang w:val="es-MX"/>
        </w:rPr>
        <w:t xml:space="preserve">. Copia de sentencia del 1 de abril de 2001. Anexo a petición inicial. </w:t>
      </w:r>
    </w:p>
  </w:footnote>
  <w:footnote w:id="46">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151EF0">
        <w:rPr>
          <w:rFonts w:ascii="Cambria" w:hAnsi="Cambria"/>
          <w:sz w:val="16"/>
          <w:szCs w:val="16"/>
          <w:lang w:val="es-MX"/>
        </w:rPr>
        <w:t xml:space="preserve"> 3</w:t>
      </w:r>
      <w:r w:rsidRPr="00520A90">
        <w:rPr>
          <w:rFonts w:ascii="Cambria" w:hAnsi="Cambria"/>
          <w:sz w:val="16"/>
          <w:szCs w:val="16"/>
          <w:lang w:val="es-MX"/>
        </w:rPr>
        <w:t>. Copia de sentencia del 25 de mayo de 2004. Anexo a comunicación del Estado. Nota No. 7-5-M/066 del 9 de febrero de 2006.</w:t>
      </w:r>
    </w:p>
  </w:footnote>
  <w:footnote w:id="47">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151EF0">
        <w:rPr>
          <w:rFonts w:ascii="Cambria" w:hAnsi="Cambria"/>
          <w:sz w:val="16"/>
          <w:szCs w:val="16"/>
          <w:lang w:val="es-MX"/>
        </w:rPr>
        <w:t xml:space="preserve"> 3</w:t>
      </w:r>
      <w:r w:rsidRPr="00520A90">
        <w:rPr>
          <w:rFonts w:ascii="Cambria" w:hAnsi="Cambria"/>
          <w:sz w:val="16"/>
          <w:szCs w:val="16"/>
          <w:lang w:val="es-MX"/>
        </w:rPr>
        <w:t>. Copia de sentencia del 25 de mayo de 2004. Anexo a comunicación del Estado. Nota No. 7-5-M/066 del 9 de febrero de 2006.</w:t>
      </w:r>
    </w:p>
  </w:footnote>
  <w:footnote w:id="48">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B6482B">
        <w:rPr>
          <w:rFonts w:ascii="Cambria" w:hAnsi="Cambria"/>
          <w:sz w:val="16"/>
          <w:szCs w:val="16"/>
          <w:lang w:val="es-MX"/>
        </w:rPr>
        <w:t>26.</w:t>
      </w:r>
      <w:r w:rsidRPr="00520A90">
        <w:rPr>
          <w:rFonts w:ascii="Cambria" w:hAnsi="Cambria"/>
          <w:sz w:val="16"/>
          <w:szCs w:val="16"/>
          <w:lang w:val="es-MX"/>
        </w:rPr>
        <w:t xml:space="preserve"> Copia de la resolución de la Sala Penal Permanente de la Corte Suprema de Justicia del 20 de octubre de 2004. Anexo a comunicación del Estado. Nota No. 7-5-M/066 del 9 de febrero de 2006.</w:t>
      </w:r>
    </w:p>
  </w:footnote>
  <w:footnote w:id="49">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DB35D9">
        <w:rPr>
          <w:rFonts w:ascii="Cambria" w:hAnsi="Cambria"/>
          <w:sz w:val="16"/>
          <w:szCs w:val="16"/>
          <w:lang w:val="es-MX"/>
        </w:rPr>
        <w:t xml:space="preserve"> 27</w:t>
      </w:r>
      <w:r w:rsidRPr="00520A90">
        <w:rPr>
          <w:rFonts w:ascii="Cambria" w:hAnsi="Cambria"/>
          <w:sz w:val="16"/>
          <w:szCs w:val="16"/>
          <w:lang w:val="es-MX"/>
        </w:rPr>
        <w:t xml:space="preserve">. Oficio No. 2339-09-CE-PJ/PP del 28 de septiembre de 2009, remitida como anexo a Nota del Estado No. 7-5-M/690 del 20 de octubre de 2009.  </w:t>
      </w:r>
    </w:p>
  </w:footnote>
  <w:footnote w:id="50">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DB35D9">
        <w:rPr>
          <w:rFonts w:ascii="Cambria" w:hAnsi="Cambria"/>
          <w:sz w:val="16"/>
          <w:szCs w:val="16"/>
          <w:lang w:val="es-MX"/>
        </w:rPr>
        <w:t xml:space="preserve"> 28</w:t>
      </w:r>
      <w:r w:rsidRPr="00520A90">
        <w:rPr>
          <w:rFonts w:ascii="Cambria" w:hAnsi="Cambria"/>
          <w:sz w:val="16"/>
          <w:szCs w:val="16"/>
          <w:lang w:val="es-MX"/>
        </w:rPr>
        <w:t xml:space="preserve">. Copia del Parte 014-99-FPAH-SRPMP-HVCA/INSP.C, remitido como anexo a Nota del Estado No. 7-5-M/409 del 17 de septiembre de 2007. </w:t>
      </w:r>
    </w:p>
  </w:footnote>
  <w:footnote w:id="51">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DB35D9">
        <w:rPr>
          <w:rFonts w:ascii="Cambria" w:hAnsi="Cambria"/>
          <w:sz w:val="16"/>
          <w:szCs w:val="16"/>
          <w:lang w:val="es-MX"/>
        </w:rPr>
        <w:t xml:space="preserve"> 28</w:t>
      </w:r>
      <w:r w:rsidRPr="00520A90">
        <w:rPr>
          <w:rFonts w:ascii="Cambria" w:hAnsi="Cambria"/>
          <w:sz w:val="16"/>
          <w:szCs w:val="16"/>
          <w:lang w:val="es-MX"/>
        </w:rPr>
        <w:t>. Copia del Parte 014-99-FPAH-SRPMP-HVCA/INSP.C, remitido como anexo a Nota del Estado No. 7-5-M/409 del 17 de septiembre de 2007.</w:t>
      </w:r>
    </w:p>
  </w:footnote>
  <w:footnote w:id="52">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DB35D9">
        <w:rPr>
          <w:rFonts w:ascii="Cambria" w:hAnsi="Cambria"/>
          <w:sz w:val="16"/>
          <w:szCs w:val="16"/>
          <w:lang w:val="es-MX"/>
        </w:rPr>
        <w:t xml:space="preserve"> 28</w:t>
      </w:r>
      <w:r w:rsidRPr="00520A90">
        <w:rPr>
          <w:rFonts w:ascii="Cambria" w:hAnsi="Cambria"/>
          <w:sz w:val="16"/>
          <w:szCs w:val="16"/>
          <w:lang w:val="es-MX"/>
        </w:rPr>
        <w:t>. Copia del Parte 014-99-FPAH-SRPMP-HVCA/INSP.C, remitido como anexo a Nota del Estado No. 7-5-M/409 del 17 de septiembre de 2007.</w:t>
      </w:r>
    </w:p>
  </w:footnote>
  <w:footnote w:id="53">
    <w:p w:rsidR="00AB2BA5" w:rsidRPr="00DB35D9" w:rsidRDefault="00AB2BA5" w:rsidP="00E07B90">
      <w:pPr>
        <w:pStyle w:val="FootnoteText"/>
        <w:ind w:firstLine="720"/>
        <w:rPr>
          <w:sz w:val="16"/>
          <w:szCs w:val="16"/>
          <w:lang w:val="es-MX"/>
        </w:rPr>
      </w:pPr>
      <w:r>
        <w:rPr>
          <w:rStyle w:val="FootnoteReference"/>
        </w:rPr>
        <w:footnoteRef/>
      </w:r>
      <w:r w:rsidR="00E07B90" w:rsidRPr="00E07B90">
        <w:rPr>
          <w:lang w:val="es-MX"/>
        </w:rPr>
        <w:t xml:space="preserve"> </w:t>
      </w:r>
      <w:r w:rsidR="00E07B90" w:rsidRPr="00D94784">
        <w:rPr>
          <w:rFonts w:asciiTheme="majorHAnsi" w:hAnsiTheme="majorHAnsi"/>
          <w:sz w:val="16"/>
          <w:szCs w:val="16"/>
          <w:lang w:val="es-MX"/>
        </w:rPr>
        <w:t>Anexo</w:t>
      </w:r>
      <w:r w:rsidR="00DB35D9">
        <w:rPr>
          <w:rFonts w:asciiTheme="majorHAnsi" w:hAnsiTheme="majorHAnsi"/>
          <w:sz w:val="16"/>
          <w:szCs w:val="16"/>
          <w:lang w:val="es-MX"/>
        </w:rPr>
        <w:t xml:space="preserve"> 28</w:t>
      </w:r>
      <w:r w:rsidR="00E07B90" w:rsidRPr="00D94784">
        <w:rPr>
          <w:rFonts w:asciiTheme="majorHAnsi" w:hAnsiTheme="majorHAnsi"/>
          <w:sz w:val="16"/>
          <w:szCs w:val="16"/>
          <w:lang w:val="es-MX"/>
        </w:rPr>
        <w:t>.</w:t>
      </w:r>
      <w:r w:rsidR="00D94784" w:rsidRPr="00DB35D9">
        <w:rPr>
          <w:sz w:val="16"/>
          <w:szCs w:val="16"/>
          <w:lang w:val="es-MX"/>
        </w:rPr>
        <w:t xml:space="preserve"> </w:t>
      </w:r>
      <w:r w:rsidR="00DB35D9" w:rsidRPr="00DB35D9">
        <w:rPr>
          <w:sz w:val="16"/>
          <w:szCs w:val="16"/>
          <w:lang w:val="es-MX"/>
        </w:rPr>
        <w:t>Copia del Parte 014-99-FPAH-SRPMP-HVCA/INSP.C, remitido como anexo a Nota del Estado No. 7-5-M/409 del 17 de septiembre de 2007.</w:t>
      </w:r>
      <w:r w:rsidRPr="00DB35D9">
        <w:rPr>
          <w:sz w:val="16"/>
          <w:szCs w:val="16"/>
          <w:lang w:val="es-MX"/>
        </w:rPr>
        <w:t xml:space="preserve"> </w:t>
      </w:r>
    </w:p>
  </w:footnote>
  <w:footnote w:id="54">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DB35D9">
        <w:rPr>
          <w:rFonts w:ascii="Cambria" w:hAnsi="Cambria"/>
          <w:sz w:val="16"/>
          <w:szCs w:val="16"/>
          <w:lang w:val="es-MX"/>
        </w:rPr>
        <w:t xml:space="preserve"> 29</w:t>
      </w:r>
      <w:r w:rsidRPr="00520A90">
        <w:rPr>
          <w:rFonts w:ascii="Cambria" w:hAnsi="Cambria"/>
          <w:sz w:val="16"/>
          <w:szCs w:val="16"/>
          <w:lang w:val="es-MX"/>
        </w:rPr>
        <w:t>. Inf</w:t>
      </w:r>
      <w:bookmarkStart w:id="17" w:name="_GoBack"/>
      <w:bookmarkEnd w:id="17"/>
      <w:r w:rsidRPr="00520A90">
        <w:rPr>
          <w:rFonts w:ascii="Cambria" w:hAnsi="Cambria"/>
          <w:sz w:val="16"/>
          <w:szCs w:val="16"/>
          <w:lang w:val="es-MX"/>
        </w:rPr>
        <w:t>orme N° 020-099- RDP/HVCA</w:t>
      </w:r>
      <w:r w:rsidR="00D925D1">
        <w:rPr>
          <w:rFonts w:ascii="Cambria" w:hAnsi="Cambria"/>
          <w:sz w:val="16"/>
          <w:szCs w:val="16"/>
          <w:lang w:val="es-MX"/>
        </w:rPr>
        <w:t xml:space="preserve"> de la Defensoría del Pueblo, </w:t>
      </w:r>
      <w:r w:rsidRPr="00520A90">
        <w:rPr>
          <w:rFonts w:ascii="Cambria" w:hAnsi="Cambria"/>
          <w:sz w:val="16"/>
          <w:szCs w:val="16"/>
          <w:lang w:val="es-MX"/>
        </w:rPr>
        <w:t>de 29 de marzo de 1999. Anexo a petición inicial.</w:t>
      </w:r>
    </w:p>
  </w:footnote>
  <w:footnote w:id="55">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DB35D9">
        <w:rPr>
          <w:rFonts w:ascii="Cambria" w:hAnsi="Cambria"/>
          <w:sz w:val="16"/>
          <w:szCs w:val="16"/>
          <w:lang w:val="es-MX"/>
        </w:rPr>
        <w:t xml:space="preserve"> 30</w:t>
      </w:r>
      <w:r w:rsidRPr="00520A90">
        <w:rPr>
          <w:rFonts w:ascii="Cambria" w:hAnsi="Cambria"/>
          <w:sz w:val="16"/>
          <w:szCs w:val="16"/>
          <w:lang w:val="es-MX"/>
        </w:rPr>
        <w:t>. Ficha de recepción de queja de la Defensoría del Pueblo. Anexo 9 de la petición inicial.</w:t>
      </w:r>
    </w:p>
  </w:footnote>
  <w:footnote w:id="56">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DB35D9">
        <w:rPr>
          <w:rFonts w:ascii="Cambria" w:hAnsi="Cambria"/>
          <w:sz w:val="16"/>
          <w:szCs w:val="16"/>
          <w:lang w:val="es-MX"/>
        </w:rPr>
        <w:t xml:space="preserve"> 31</w:t>
      </w:r>
      <w:r w:rsidRPr="00520A90">
        <w:rPr>
          <w:rFonts w:ascii="Cambria" w:hAnsi="Cambria"/>
          <w:sz w:val="16"/>
          <w:szCs w:val="16"/>
          <w:lang w:val="es-MX"/>
        </w:rPr>
        <w:t xml:space="preserve">. Informes N° 020-099, 021-99 y 022-99- RDP/HVCA </w:t>
      </w:r>
      <w:r w:rsidR="00D925D1">
        <w:rPr>
          <w:rFonts w:ascii="Cambria" w:hAnsi="Cambria"/>
          <w:sz w:val="16"/>
          <w:szCs w:val="16"/>
          <w:lang w:val="es-MX"/>
        </w:rPr>
        <w:t xml:space="preserve"> de la Defensoría del Pueblo</w:t>
      </w:r>
      <w:r w:rsidRPr="00520A90">
        <w:rPr>
          <w:rFonts w:ascii="Cambria" w:hAnsi="Cambria"/>
          <w:sz w:val="16"/>
          <w:szCs w:val="16"/>
          <w:lang w:val="es-MX"/>
        </w:rPr>
        <w:t xml:space="preserve">. Anexo a petición inicial. </w:t>
      </w:r>
    </w:p>
  </w:footnote>
  <w:footnote w:id="57">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D925D1">
        <w:rPr>
          <w:rFonts w:ascii="Cambria" w:hAnsi="Cambria"/>
          <w:sz w:val="16"/>
          <w:szCs w:val="16"/>
          <w:lang w:val="es-MX"/>
        </w:rPr>
        <w:t xml:space="preserve"> 32</w:t>
      </w:r>
      <w:r w:rsidRPr="00520A90">
        <w:rPr>
          <w:rFonts w:ascii="Cambria" w:hAnsi="Cambria"/>
          <w:sz w:val="16"/>
          <w:szCs w:val="16"/>
          <w:lang w:val="es-MX"/>
        </w:rPr>
        <w:t>. Informe N° 021-099- RDP/HVCA de la Defensoría del Pueblo</w:t>
      </w:r>
      <w:r w:rsidR="006E572F">
        <w:rPr>
          <w:rFonts w:ascii="Cambria" w:hAnsi="Cambria"/>
          <w:sz w:val="16"/>
          <w:szCs w:val="16"/>
          <w:lang w:val="es-MX"/>
        </w:rPr>
        <w:t>,</w:t>
      </w:r>
      <w:r w:rsidRPr="00520A90">
        <w:rPr>
          <w:rFonts w:ascii="Cambria" w:hAnsi="Cambria"/>
          <w:sz w:val="16"/>
          <w:szCs w:val="16"/>
          <w:lang w:val="es-MX"/>
        </w:rPr>
        <w:t xml:space="preserve"> de 30 de marzo de 1999. Anexo a petición inicial.</w:t>
      </w:r>
    </w:p>
  </w:footnote>
  <w:footnote w:id="58">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D925D1">
        <w:rPr>
          <w:rFonts w:ascii="Cambria" w:hAnsi="Cambria"/>
          <w:sz w:val="16"/>
          <w:szCs w:val="16"/>
          <w:lang w:val="es-MX"/>
        </w:rPr>
        <w:t xml:space="preserve"> 29</w:t>
      </w:r>
      <w:r w:rsidRPr="00520A90">
        <w:rPr>
          <w:rFonts w:ascii="Cambria" w:hAnsi="Cambria"/>
          <w:sz w:val="16"/>
          <w:szCs w:val="16"/>
          <w:lang w:val="es-MX"/>
        </w:rPr>
        <w:t>. Informe N° 020-099- RDP/HVCA de la Defensoría del Pueblo,  de 29 de marzo de 1999. Anexo a petición inicial.</w:t>
      </w:r>
    </w:p>
  </w:footnote>
  <w:footnote w:id="59">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D925D1">
        <w:rPr>
          <w:rFonts w:ascii="Cambria" w:hAnsi="Cambria"/>
          <w:sz w:val="16"/>
          <w:szCs w:val="16"/>
          <w:lang w:val="es-MX"/>
        </w:rPr>
        <w:t xml:space="preserve"> 29</w:t>
      </w:r>
      <w:r w:rsidRPr="00520A90">
        <w:rPr>
          <w:rFonts w:ascii="Cambria" w:hAnsi="Cambria"/>
          <w:sz w:val="16"/>
          <w:szCs w:val="16"/>
          <w:lang w:val="es-MX"/>
        </w:rPr>
        <w:t>. Informe N° 020-099- RDP/HVCA de la Defensoría del Pueblo, de 29 de marzo de 1999. Anexo a petición inicial.</w:t>
      </w:r>
    </w:p>
  </w:footnote>
  <w:footnote w:id="60">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7B284E">
        <w:rPr>
          <w:rFonts w:ascii="Cambria" w:hAnsi="Cambria"/>
          <w:sz w:val="16"/>
          <w:szCs w:val="16"/>
          <w:lang w:val="es-MX"/>
        </w:rPr>
        <w:t xml:space="preserve"> 33</w:t>
      </w:r>
      <w:r w:rsidRPr="00520A90">
        <w:rPr>
          <w:rFonts w:ascii="Cambria" w:hAnsi="Cambria"/>
          <w:sz w:val="16"/>
          <w:szCs w:val="16"/>
          <w:lang w:val="es-MX"/>
        </w:rPr>
        <w:t xml:space="preserve">. Informe N° 024-99-RDP/HVCA de la Defensoría del Pueblo, de fecha 22 de abril de 1999. Anexo 31 de la petición inicial. </w:t>
      </w:r>
    </w:p>
  </w:footnote>
  <w:footnote w:id="61">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7B284E">
        <w:rPr>
          <w:rFonts w:ascii="Cambria" w:hAnsi="Cambria"/>
          <w:sz w:val="16"/>
          <w:szCs w:val="16"/>
          <w:lang w:val="es-MX"/>
        </w:rPr>
        <w:t xml:space="preserve"> 34</w:t>
      </w:r>
      <w:r w:rsidRPr="00520A90">
        <w:rPr>
          <w:rFonts w:ascii="Cambria" w:hAnsi="Cambria"/>
          <w:sz w:val="16"/>
          <w:szCs w:val="16"/>
          <w:lang w:val="es-MX"/>
        </w:rPr>
        <w:t>. Informe No. 033-99-RDP-PPPAV/HVCA de la Defensoría del Pueblo, de fecha 8 de octubre de 1999. Anexo 51 de la petición inicial.</w:t>
      </w:r>
    </w:p>
  </w:footnote>
  <w:footnote w:id="62">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E45F9">
        <w:rPr>
          <w:rFonts w:ascii="Cambria" w:hAnsi="Cambria"/>
          <w:sz w:val="16"/>
          <w:szCs w:val="16"/>
          <w:lang w:val="es-MX"/>
        </w:rPr>
        <w:t xml:space="preserve"> 34</w:t>
      </w:r>
      <w:r w:rsidRPr="00520A90">
        <w:rPr>
          <w:rFonts w:ascii="Cambria" w:hAnsi="Cambria"/>
          <w:sz w:val="16"/>
          <w:szCs w:val="16"/>
          <w:lang w:val="es-MX"/>
        </w:rPr>
        <w:t>. Informe No. 033-99-RDP-PPPAV/HVCA de la Defensoría del Pueblo, de fecha 8 de octubre de 1999. Anexo 51 de la petición inicial.</w:t>
      </w:r>
    </w:p>
  </w:footnote>
  <w:footnote w:id="63">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E45F9">
        <w:rPr>
          <w:rFonts w:ascii="Cambria" w:hAnsi="Cambria"/>
          <w:sz w:val="16"/>
          <w:szCs w:val="16"/>
          <w:lang w:val="es-MX"/>
        </w:rPr>
        <w:t>35</w:t>
      </w:r>
      <w:r w:rsidRPr="00520A90">
        <w:rPr>
          <w:rFonts w:ascii="Cambria" w:hAnsi="Cambria"/>
          <w:sz w:val="16"/>
          <w:szCs w:val="16"/>
          <w:lang w:val="es-MX"/>
        </w:rPr>
        <w:t>.</w:t>
      </w:r>
      <w:r w:rsidR="004E45F9">
        <w:rPr>
          <w:rFonts w:ascii="Cambria" w:hAnsi="Cambria"/>
          <w:sz w:val="16"/>
          <w:szCs w:val="16"/>
          <w:lang w:val="es-MX"/>
        </w:rPr>
        <w:t xml:space="preserve"> </w:t>
      </w:r>
      <w:r w:rsidRPr="00520A90">
        <w:rPr>
          <w:rFonts w:ascii="Cambria" w:hAnsi="Cambria"/>
          <w:sz w:val="16"/>
          <w:szCs w:val="16"/>
          <w:lang w:val="es-MX"/>
        </w:rPr>
        <w:t>Informe N° 022-099- RDP/HVCA de la Defensoría del Pueblo, del 31 de marzo de 1999. Anexo a petición inicial.</w:t>
      </w:r>
    </w:p>
  </w:footnote>
  <w:footnote w:id="64">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E45F9">
        <w:rPr>
          <w:rFonts w:ascii="Cambria" w:hAnsi="Cambria"/>
          <w:sz w:val="16"/>
          <w:szCs w:val="16"/>
          <w:lang w:val="es-MX"/>
        </w:rPr>
        <w:t xml:space="preserve"> 34</w:t>
      </w:r>
      <w:r w:rsidRPr="00520A90">
        <w:rPr>
          <w:rFonts w:ascii="Cambria" w:hAnsi="Cambria"/>
          <w:sz w:val="16"/>
          <w:szCs w:val="16"/>
          <w:lang w:val="es-MX"/>
        </w:rPr>
        <w:t>. Informe No. 033-99-RDP-PPPAV/HVCA del Defensor del Pueblo, de fecha 8 de octubre de 1999. Anexo 51 de la petición inicial.</w:t>
      </w:r>
    </w:p>
  </w:footnote>
  <w:footnote w:id="65">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E45F9">
        <w:rPr>
          <w:rFonts w:ascii="Cambria" w:hAnsi="Cambria"/>
          <w:sz w:val="16"/>
          <w:szCs w:val="16"/>
          <w:lang w:val="es-MX"/>
        </w:rPr>
        <w:t xml:space="preserve"> 34</w:t>
      </w:r>
      <w:r w:rsidRPr="00520A90">
        <w:rPr>
          <w:rFonts w:ascii="Cambria" w:hAnsi="Cambria"/>
          <w:sz w:val="16"/>
          <w:szCs w:val="16"/>
          <w:lang w:val="es-MX"/>
        </w:rPr>
        <w:t>. Informe No. 033-99-RDP-PPPAV/HVCA del Defensor del Pueblo, de fecha 8 de octubre de 1999. Anexo 51 de la petición inicial.</w:t>
      </w:r>
    </w:p>
  </w:footnote>
  <w:footnote w:id="66">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667DB2">
        <w:rPr>
          <w:rFonts w:ascii="Cambria" w:hAnsi="Cambria"/>
          <w:sz w:val="16"/>
          <w:szCs w:val="16"/>
          <w:lang w:val="es-MX"/>
        </w:rPr>
        <w:t xml:space="preserve"> Corte IDH., </w:t>
      </w:r>
      <w:r w:rsidRPr="00667DB2">
        <w:rPr>
          <w:rFonts w:ascii="Cambria" w:hAnsi="Cambria"/>
          <w:bCs/>
          <w:i/>
          <w:sz w:val="16"/>
          <w:szCs w:val="16"/>
          <w:lang w:val="es-MX"/>
        </w:rPr>
        <w:t xml:space="preserve">Caso Blake Vs. </w:t>
      </w:r>
      <w:r w:rsidRPr="00520A90">
        <w:rPr>
          <w:rFonts w:ascii="Cambria" w:hAnsi="Cambria"/>
          <w:bCs/>
          <w:i/>
          <w:sz w:val="16"/>
          <w:szCs w:val="16"/>
          <w:lang w:val="es-MX"/>
        </w:rPr>
        <w:t>Guatemala.</w:t>
      </w:r>
      <w:r w:rsidRPr="00520A90">
        <w:rPr>
          <w:rFonts w:ascii="Cambria" w:hAnsi="Cambria"/>
          <w:bCs/>
          <w:sz w:val="16"/>
          <w:szCs w:val="16"/>
          <w:lang w:val="es-MX"/>
        </w:rPr>
        <w:t xml:space="preserve"> </w:t>
      </w:r>
      <w:r w:rsidRPr="00520A90">
        <w:rPr>
          <w:rFonts w:ascii="Cambria" w:hAnsi="Cambria"/>
          <w:sz w:val="16"/>
          <w:szCs w:val="16"/>
          <w:lang w:val="es-AR"/>
        </w:rPr>
        <w:t>Excepciones Preliminares. Sentencia de 2 de julio de 1996. Serie C No. 27, párr. 66.</w:t>
      </w:r>
    </w:p>
  </w:footnote>
  <w:footnote w:id="67">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w:t>
      </w:r>
      <w:r w:rsidRPr="00520A90">
        <w:rPr>
          <w:rFonts w:ascii="Cambria" w:hAnsi="Cambria"/>
          <w:sz w:val="16"/>
          <w:szCs w:val="16"/>
          <w:lang w:val="es-ES"/>
        </w:rPr>
        <w:t>Los Órganos del Sistema se han referido a los siguientes instrumentos: Consejo Económico y Social de las Naciones Unidas, Informe del Grupo de Trabajo sobre la Desaparición Forzada o Involuntaria de Personas, Observación General al artículo 4 de la Declaración sobre la protección de todas las personas contra las desapariciones forzadas de 15 de enero de 1996. (E/CN. 4/1996/38), párr. 55; y artículo 2 de la Convención Internacional para la protección de todas las personas contra las desapariciones forzadas.</w:t>
      </w:r>
    </w:p>
  </w:footnote>
  <w:footnote w:id="68">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CIDH. Informe No. 111/09. Caso 11.324. </w:t>
      </w:r>
      <w:r w:rsidRPr="00520A90">
        <w:rPr>
          <w:rFonts w:ascii="Cambria" w:hAnsi="Cambria"/>
          <w:sz w:val="16"/>
          <w:szCs w:val="16"/>
          <w:lang w:val="es-CO"/>
        </w:rPr>
        <w:t xml:space="preserve">Fondo. </w:t>
      </w:r>
      <w:r w:rsidRPr="00520A90">
        <w:rPr>
          <w:rFonts w:ascii="Cambria" w:hAnsi="Cambria"/>
          <w:i/>
          <w:sz w:val="16"/>
          <w:szCs w:val="16"/>
          <w:lang w:val="es-CO"/>
        </w:rPr>
        <w:t>Narciso González Medina</w:t>
      </w:r>
      <w:r w:rsidRPr="00520A90">
        <w:rPr>
          <w:rFonts w:ascii="Cambria" w:hAnsi="Cambria"/>
          <w:sz w:val="16"/>
          <w:szCs w:val="16"/>
          <w:lang w:val="es-CO"/>
        </w:rPr>
        <w:t>. República Dominicana. 10 de noviembre de 2009. Párr. 130; y</w:t>
      </w:r>
      <w:r w:rsidRPr="00520A90">
        <w:rPr>
          <w:rFonts w:ascii="Cambria" w:hAnsi="Cambria"/>
          <w:sz w:val="16"/>
          <w:szCs w:val="16"/>
          <w:lang w:val="es-MX"/>
        </w:rPr>
        <w:t xml:space="preserve"> Corte IDH, </w:t>
      </w:r>
      <w:r w:rsidRPr="00520A90">
        <w:rPr>
          <w:rFonts w:ascii="Cambria" w:hAnsi="Cambria"/>
          <w:bCs/>
          <w:i/>
          <w:sz w:val="16"/>
          <w:szCs w:val="16"/>
          <w:lang w:val="es-MX"/>
        </w:rPr>
        <w:t xml:space="preserve">Caso </w:t>
      </w:r>
      <w:proofErr w:type="spellStart"/>
      <w:r w:rsidRPr="00520A90">
        <w:rPr>
          <w:rFonts w:ascii="Cambria" w:hAnsi="Cambria"/>
          <w:bCs/>
          <w:i/>
          <w:sz w:val="16"/>
          <w:szCs w:val="16"/>
          <w:lang w:val="es-MX"/>
        </w:rPr>
        <w:t>Anzualdo</w:t>
      </w:r>
      <w:proofErr w:type="spellEnd"/>
      <w:r w:rsidRPr="00520A90">
        <w:rPr>
          <w:rFonts w:ascii="Cambria" w:hAnsi="Cambria"/>
          <w:bCs/>
          <w:i/>
          <w:sz w:val="16"/>
          <w:szCs w:val="16"/>
          <w:lang w:val="es-MX"/>
        </w:rPr>
        <w:t xml:space="preserve"> Castro Vs. </w:t>
      </w:r>
      <w:r w:rsidRPr="00520A90">
        <w:rPr>
          <w:rFonts w:ascii="Cambria" w:hAnsi="Cambria"/>
          <w:bCs/>
          <w:i/>
          <w:sz w:val="16"/>
          <w:szCs w:val="16"/>
          <w:lang w:val="es-ES"/>
        </w:rPr>
        <w:t>Perú.</w:t>
      </w:r>
      <w:r w:rsidRPr="00520A90">
        <w:rPr>
          <w:rFonts w:ascii="Cambria" w:hAnsi="Cambria"/>
          <w:bCs/>
          <w:sz w:val="16"/>
          <w:szCs w:val="16"/>
          <w:lang w:val="es-ES"/>
        </w:rPr>
        <w:t xml:space="preserve"> </w:t>
      </w:r>
      <w:r w:rsidRPr="00520A90">
        <w:rPr>
          <w:rFonts w:ascii="Cambria" w:hAnsi="Cambria"/>
          <w:sz w:val="16"/>
          <w:szCs w:val="16"/>
          <w:lang w:val="es-ES"/>
        </w:rPr>
        <w:t>Excepción Preliminar, Fondo, Reparaciones y Costas. Sentencia de 22 de Septiembre de 2009. Serie C No. 202, párr. 60.</w:t>
      </w:r>
    </w:p>
  </w:footnote>
  <w:footnote w:id="69">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w:t>
      </w:r>
      <w:r w:rsidRPr="00520A90">
        <w:rPr>
          <w:rFonts w:ascii="Cambria" w:hAnsi="Cambria"/>
          <w:sz w:val="16"/>
          <w:szCs w:val="16"/>
          <w:lang w:val="es-ES"/>
        </w:rPr>
        <w:t xml:space="preserve">CIDH, Demanda ante la Corte Interamericana en el caso de </w:t>
      </w:r>
      <w:r w:rsidRPr="00520A90">
        <w:rPr>
          <w:rFonts w:ascii="Cambria" w:hAnsi="Cambria"/>
          <w:i/>
          <w:sz w:val="16"/>
          <w:szCs w:val="16"/>
          <w:lang w:val="es-ES"/>
        </w:rPr>
        <w:t xml:space="preserve">Renato </w:t>
      </w:r>
      <w:proofErr w:type="spellStart"/>
      <w:r w:rsidRPr="00520A90">
        <w:rPr>
          <w:rFonts w:ascii="Cambria" w:hAnsi="Cambria"/>
          <w:i/>
          <w:sz w:val="16"/>
          <w:szCs w:val="16"/>
          <w:lang w:val="es-ES"/>
        </w:rPr>
        <w:t>Ticona</w:t>
      </w:r>
      <w:proofErr w:type="spellEnd"/>
      <w:r w:rsidRPr="00520A90">
        <w:rPr>
          <w:rFonts w:ascii="Cambria" w:hAnsi="Cambria"/>
          <w:i/>
          <w:sz w:val="16"/>
          <w:szCs w:val="16"/>
          <w:lang w:val="es-ES"/>
        </w:rPr>
        <w:t xml:space="preserve"> Estrada y otros (12.527) contra la República de Bolivia</w:t>
      </w:r>
      <w:r w:rsidRPr="00520A90">
        <w:rPr>
          <w:rFonts w:ascii="Cambria" w:hAnsi="Cambria"/>
          <w:sz w:val="16"/>
          <w:szCs w:val="16"/>
          <w:lang w:val="es-ES"/>
        </w:rPr>
        <w:t>, 8 de agosto de 2007, párr. 108.</w:t>
      </w:r>
    </w:p>
  </w:footnote>
  <w:footnote w:id="70">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CO"/>
        </w:rPr>
        <w:t xml:space="preserve"> Corte I.D.H., </w:t>
      </w:r>
      <w:r w:rsidRPr="00520A90">
        <w:rPr>
          <w:rFonts w:ascii="Cambria" w:hAnsi="Cambria"/>
          <w:i/>
          <w:sz w:val="16"/>
          <w:szCs w:val="16"/>
          <w:lang w:val="es-CO"/>
        </w:rPr>
        <w:t xml:space="preserve">Caso </w:t>
      </w:r>
      <w:proofErr w:type="spellStart"/>
      <w:r w:rsidRPr="00520A90">
        <w:rPr>
          <w:rFonts w:ascii="Cambria" w:hAnsi="Cambria"/>
          <w:i/>
          <w:sz w:val="16"/>
          <w:szCs w:val="16"/>
          <w:lang w:val="es-CO"/>
        </w:rPr>
        <w:t>Ticona</w:t>
      </w:r>
      <w:proofErr w:type="spellEnd"/>
      <w:r w:rsidRPr="00520A90">
        <w:rPr>
          <w:rFonts w:ascii="Cambria" w:hAnsi="Cambria"/>
          <w:i/>
          <w:sz w:val="16"/>
          <w:szCs w:val="16"/>
          <w:lang w:val="es-CO"/>
        </w:rPr>
        <w:t xml:space="preserve"> Estrada Vs. </w:t>
      </w:r>
      <w:r w:rsidRPr="00520A90">
        <w:rPr>
          <w:rFonts w:ascii="Cambria" w:hAnsi="Cambria"/>
          <w:i/>
          <w:sz w:val="16"/>
          <w:szCs w:val="16"/>
          <w:lang w:val="es-MX"/>
        </w:rPr>
        <w:t xml:space="preserve">Bolivia. </w:t>
      </w:r>
      <w:r w:rsidRPr="00520A90">
        <w:rPr>
          <w:rFonts w:ascii="Cambria" w:hAnsi="Cambria"/>
          <w:i/>
          <w:sz w:val="16"/>
          <w:szCs w:val="16"/>
          <w:lang w:val="es-ES"/>
        </w:rPr>
        <w:t xml:space="preserve">Fondo, Reparaciones y Costas. </w:t>
      </w:r>
      <w:r w:rsidRPr="00520A90">
        <w:rPr>
          <w:rFonts w:ascii="Cambria" w:hAnsi="Cambria"/>
          <w:sz w:val="16"/>
          <w:szCs w:val="16"/>
          <w:lang w:val="es-ES"/>
        </w:rPr>
        <w:t xml:space="preserve">Sentencia de 27 de noviembre de 2008. </w:t>
      </w:r>
      <w:r w:rsidRPr="00520A90">
        <w:rPr>
          <w:rFonts w:ascii="Cambria" w:hAnsi="Cambria"/>
          <w:sz w:val="16"/>
          <w:szCs w:val="16"/>
          <w:lang w:val="es-MX"/>
        </w:rPr>
        <w:t>Serie C No. 191, párr. 56.</w:t>
      </w:r>
    </w:p>
  </w:footnote>
  <w:footnote w:id="71">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CO"/>
        </w:rPr>
        <w:t xml:space="preserve">CIDH, Informe No. 101/01, Caso 10.247 y otros, Ejecuciones Extrajudiciales y Desapariciones Forzadas de Personas, Perú, 11 de octubre de 2001, párr. 178, disponible en </w:t>
      </w:r>
      <w:hyperlink r:id="rId5" w:history="1">
        <w:r w:rsidRPr="00520A90">
          <w:rPr>
            <w:rStyle w:val="Hyperlink"/>
            <w:rFonts w:ascii="Cambria" w:hAnsi="Cambria"/>
            <w:sz w:val="16"/>
            <w:szCs w:val="16"/>
            <w:lang w:val="es-CO"/>
          </w:rPr>
          <w:t>www.cidh.oas.org/annualrep/2001sp/Peru10247.htm</w:t>
        </w:r>
      </w:hyperlink>
      <w:r w:rsidRPr="00520A90">
        <w:rPr>
          <w:rFonts w:ascii="Cambria" w:hAnsi="Cambria"/>
          <w:sz w:val="16"/>
          <w:szCs w:val="16"/>
          <w:lang w:val="es-CO"/>
        </w:rPr>
        <w:t xml:space="preserve">; y </w:t>
      </w:r>
      <w:r w:rsidRPr="00520A90">
        <w:rPr>
          <w:rFonts w:ascii="Cambria" w:hAnsi="Cambria"/>
          <w:sz w:val="16"/>
          <w:szCs w:val="16"/>
          <w:lang w:val="es-MX"/>
        </w:rPr>
        <w:t xml:space="preserve">Corte IDH., </w:t>
      </w:r>
      <w:r w:rsidRPr="00520A90">
        <w:rPr>
          <w:rFonts w:ascii="Cambria" w:hAnsi="Cambria"/>
          <w:i/>
          <w:sz w:val="16"/>
          <w:szCs w:val="16"/>
          <w:lang w:val="es-MX"/>
        </w:rPr>
        <w:t xml:space="preserve">Caso </w:t>
      </w:r>
      <w:proofErr w:type="spellStart"/>
      <w:r w:rsidRPr="00520A90">
        <w:rPr>
          <w:rFonts w:ascii="Cambria" w:hAnsi="Cambria"/>
          <w:i/>
          <w:sz w:val="16"/>
          <w:szCs w:val="16"/>
          <w:lang w:val="es-MX"/>
        </w:rPr>
        <w:t>Tiu</w:t>
      </w:r>
      <w:proofErr w:type="spellEnd"/>
      <w:r w:rsidRPr="00520A90">
        <w:rPr>
          <w:rFonts w:ascii="Cambria" w:hAnsi="Cambria"/>
          <w:i/>
          <w:sz w:val="16"/>
          <w:szCs w:val="16"/>
          <w:lang w:val="es-MX"/>
        </w:rPr>
        <w:t xml:space="preserve"> </w:t>
      </w:r>
      <w:proofErr w:type="spellStart"/>
      <w:r w:rsidRPr="00520A90">
        <w:rPr>
          <w:rFonts w:ascii="Cambria" w:hAnsi="Cambria"/>
          <w:i/>
          <w:sz w:val="16"/>
          <w:szCs w:val="16"/>
          <w:lang w:val="es-MX"/>
        </w:rPr>
        <w:t>Tojín</w:t>
      </w:r>
      <w:proofErr w:type="spellEnd"/>
      <w:r w:rsidRPr="00520A90">
        <w:rPr>
          <w:rFonts w:ascii="Cambria" w:hAnsi="Cambria"/>
          <w:i/>
          <w:sz w:val="16"/>
          <w:szCs w:val="16"/>
          <w:lang w:val="es-MX"/>
        </w:rPr>
        <w:t xml:space="preserve"> Vs. </w:t>
      </w:r>
      <w:r w:rsidRPr="00520A90">
        <w:rPr>
          <w:rFonts w:ascii="Cambria" w:hAnsi="Cambria"/>
          <w:i/>
          <w:sz w:val="16"/>
          <w:szCs w:val="16"/>
          <w:lang w:val="es-ES"/>
        </w:rPr>
        <w:t xml:space="preserve">Guatemala. Fondo, Reparaciones y Costas. </w:t>
      </w:r>
      <w:r w:rsidRPr="00520A90">
        <w:rPr>
          <w:rFonts w:ascii="Cambria" w:hAnsi="Cambria"/>
          <w:sz w:val="16"/>
          <w:szCs w:val="16"/>
          <w:lang w:val="es-ES"/>
        </w:rPr>
        <w:t xml:space="preserve">Sentencia de 26 de noviembre de 2008. Serie C No. 190, y </w:t>
      </w:r>
      <w:r w:rsidRPr="00520A90">
        <w:rPr>
          <w:rFonts w:ascii="Cambria" w:hAnsi="Cambria"/>
          <w:i/>
          <w:sz w:val="16"/>
          <w:szCs w:val="16"/>
          <w:lang w:val="es-ES"/>
        </w:rPr>
        <w:t xml:space="preserve">Caso </w:t>
      </w:r>
      <w:proofErr w:type="spellStart"/>
      <w:r w:rsidRPr="00520A90">
        <w:rPr>
          <w:rFonts w:ascii="Cambria" w:hAnsi="Cambria"/>
          <w:i/>
          <w:sz w:val="16"/>
          <w:szCs w:val="16"/>
          <w:lang w:val="es-ES"/>
        </w:rPr>
        <w:t>Ticona</w:t>
      </w:r>
      <w:proofErr w:type="spellEnd"/>
      <w:r w:rsidRPr="00520A90">
        <w:rPr>
          <w:rFonts w:ascii="Cambria" w:hAnsi="Cambria"/>
          <w:i/>
          <w:sz w:val="16"/>
          <w:szCs w:val="16"/>
          <w:lang w:val="es-ES"/>
        </w:rPr>
        <w:t xml:space="preserve"> Estrada Vs. Bolivia. Fondo, Reparaciones y Costas. </w:t>
      </w:r>
      <w:r w:rsidRPr="00520A90">
        <w:rPr>
          <w:rFonts w:ascii="Cambria" w:hAnsi="Cambria"/>
          <w:sz w:val="16"/>
          <w:szCs w:val="16"/>
          <w:lang w:val="es-ES"/>
        </w:rPr>
        <w:t>Sentencia de 27 de noviembre de 2008. Serie C No. 191.</w:t>
      </w:r>
      <w:r w:rsidRPr="00520A90">
        <w:rPr>
          <w:rFonts w:ascii="Cambria" w:hAnsi="Cambria"/>
          <w:sz w:val="16"/>
          <w:szCs w:val="16"/>
          <w:lang w:val="es-MX"/>
        </w:rPr>
        <w:t xml:space="preserve"> </w:t>
      </w:r>
    </w:p>
  </w:footnote>
  <w:footnote w:id="72">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w:t>
      </w:r>
      <w:r w:rsidRPr="00520A90">
        <w:rPr>
          <w:rFonts w:ascii="Cambria" w:hAnsi="Cambria"/>
          <w:sz w:val="16"/>
          <w:szCs w:val="16"/>
          <w:lang w:val="es-ES"/>
        </w:rPr>
        <w:t xml:space="preserve">Corte I.D.H., </w:t>
      </w:r>
      <w:r w:rsidRPr="00520A90">
        <w:rPr>
          <w:rFonts w:ascii="Cambria" w:hAnsi="Cambria"/>
          <w:bCs/>
          <w:i/>
          <w:sz w:val="16"/>
          <w:szCs w:val="16"/>
          <w:lang w:val="es-ES"/>
        </w:rPr>
        <w:t>Caso Radilla Pacheco Vs. México.</w:t>
      </w:r>
      <w:r w:rsidRPr="00520A90">
        <w:rPr>
          <w:rFonts w:ascii="Cambria" w:hAnsi="Cambria"/>
          <w:bCs/>
          <w:sz w:val="16"/>
          <w:szCs w:val="16"/>
          <w:lang w:val="es-ES"/>
        </w:rPr>
        <w:t xml:space="preserve"> </w:t>
      </w:r>
      <w:r w:rsidRPr="00520A90">
        <w:rPr>
          <w:rFonts w:ascii="Cambria" w:hAnsi="Cambria"/>
          <w:sz w:val="16"/>
          <w:szCs w:val="16"/>
          <w:lang w:val="es-ES"/>
        </w:rPr>
        <w:t>Excepciones Preliminares, Fondo, Reparaciones y Costas. Sentencia de 23 de Noviembre de 2009. Serie C No. 209, párr. 138.</w:t>
      </w:r>
    </w:p>
  </w:footnote>
  <w:footnote w:id="73">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Corte I.D.H., </w:t>
      </w:r>
      <w:r w:rsidRPr="00520A90">
        <w:rPr>
          <w:rFonts w:ascii="Cambria" w:hAnsi="Cambria"/>
          <w:bCs/>
          <w:i/>
          <w:sz w:val="16"/>
          <w:szCs w:val="16"/>
          <w:lang w:val="es-MX"/>
        </w:rPr>
        <w:t xml:space="preserve">Caso </w:t>
      </w:r>
      <w:proofErr w:type="spellStart"/>
      <w:r w:rsidRPr="00520A90">
        <w:rPr>
          <w:rFonts w:ascii="Cambria" w:hAnsi="Cambria"/>
          <w:bCs/>
          <w:i/>
          <w:sz w:val="16"/>
          <w:szCs w:val="16"/>
          <w:lang w:val="es-MX"/>
        </w:rPr>
        <w:t>Anzualdo</w:t>
      </w:r>
      <w:proofErr w:type="spellEnd"/>
      <w:r w:rsidRPr="00520A90">
        <w:rPr>
          <w:rFonts w:ascii="Cambria" w:hAnsi="Cambria"/>
          <w:bCs/>
          <w:i/>
          <w:sz w:val="16"/>
          <w:szCs w:val="16"/>
          <w:lang w:val="es-MX"/>
        </w:rPr>
        <w:t xml:space="preserve"> Castro Vs. </w:t>
      </w:r>
      <w:r w:rsidRPr="00520A90">
        <w:rPr>
          <w:rFonts w:ascii="Cambria" w:hAnsi="Cambria"/>
          <w:bCs/>
          <w:i/>
          <w:sz w:val="16"/>
          <w:szCs w:val="16"/>
          <w:lang w:val="es-ES"/>
        </w:rPr>
        <w:t>Perú.</w:t>
      </w:r>
      <w:r w:rsidRPr="00520A90">
        <w:rPr>
          <w:rFonts w:ascii="Cambria" w:hAnsi="Cambria"/>
          <w:bCs/>
          <w:sz w:val="16"/>
          <w:szCs w:val="16"/>
          <w:lang w:val="es-ES"/>
        </w:rPr>
        <w:t xml:space="preserve"> </w:t>
      </w:r>
      <w:r w:rsidRPr="00520A90">
        <w:rPr>
          <w:rFonts w:ascii="Cambria" w:hAnsi="Cambria"/>
          <w:sz w:val="16"/>
          <w:szCs w:val="16"/>
          <w:lang w:val="es-ES"/>
        </w:rPr>
        <w:t xml:space="preserve">Excepción Preliminar, Fondo, Reparaciones y Costas. Sentencia de 22 de Septiembre de 2009. Serie C No. 202, </w:t>
      </w:r>
      <w:proofErr w:type="spellStart"/>
      <w:r w:rsidRPr="00520A90">
        <w:rPr>
          <w:rFonts w:ascii="Cambria" w:hAnsi="Cambria"/>
          <w:sz w:val="16"/>
          <w:szCs w:val="16"/>
          <w:lang w:val="es-ES"/>
        </w:rPr>
        <w:t>párrs</w:t>
      </w:r>
      <w:proofErr w:type="spellEnd"/>
      <w:r w:rsidRPr="00520A90">
        <w:rPr>
          <w:rFonts w:ascii="Cambria" w:hAnsi="Cambria"/>
          <w:sz w:val="16"/>
          <w:szCs w:val="16"/>
          <w:lang w:val="es-ES"/>
        </w:rPr>
        <w:t xml:space="preserve">. 51-103; </w:t>
      </w:r>
      <w:r w:rsidRPr="00520A90">
        <w:rPr>
          <w:rFonts w:ascii="Cambria" w:hAnsi="Cambria"/>
          <w:bCs/>
          <w:i/>
          <w:sz w:val="16"/>
          <w:szCs w:val="16"/>
          <w:lang w:val="es-ES"/>
        </w:rPr>
        <w:t>Caso Radilla Pacheco Vs. México.</w:t>
      </w:r>
      <w:r w:rsidRPr="00520A90">
        <w:rPr>
          <w:rFonts w:ascii="Cambria" w:hAnsi="Cambria"/>
          <w:bCs/>
          <w:sz w:val="16"/>
          <w:szCs w:val="16"/>
          <w:lang w:val="es-ES"/>
        </w:rPr>
        <w:t xml:space="preserve"> </w:t>
      </w:r>
      <w:r w:rsidRPr="00520A90">
        <w:rPr>
          <w:rFonts w:ascii="Cambria" w:hAnsi="Cambria"/>
          <w:sz w:val="16"/>
          <w:szCs w:val="16"/>
          <w:lang w:val="es-ES"/>
        </w:rPr>
        <w:t xml:space="preserve">Excepciones Preliminares, Fondo, Reparaciones y Costas. Sentencia de 23 de Noviembre de 2009. Serie C No. 209, </w:t>
      </w:r>
      <w:proofErr w:type="spellStart"/>
      <w:r w:rsidRPr="00520A90">
        <w:rPr>
          <w:rFonts w:ascii="Cambria" w:hAnsi="Cambria"/>
          <w:sz w:val="16"/>
          <w:szCs w:val="16"/>
          <w:lang w:val="es-ES"/>
        </w:rPr>
        <w:t>párrs</w:t>
      </w:r>
      <w:proofErr w:type="spellEnd"/>
      <w:r w:rsidRPr="00520A90">
        <w:rPr>
          <w:rFonts w:ascii="Cambria" w:hAnsi="Cambria"/>
          <w:sz w:val="16"/>
          <w:szCs w:val="16"/>
          <w:lang w:val="es-ES"/>
        </w:rPr>
        <w:t>. 138-59.</w:t>
      </w:r>
    </w:p>
  </w:footnote>
  <w:footnote w:id="74">
    <w:p w:rsidR="00667DB2" w:rsidRPr="00520A90" w:rsidRDefault="00667DB2" w:rsidP="00FD5827">
      <w:pPr>
        <w:pStyle w:val="FootnoteText"/>
        <w:spacing w:after="120"/>
        <w:ind w:firstLine="720"/>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CIDH. Informe 93/08. Caso 12.529. </w:t>
      </w:r>
      <w:proofErr w:type="spellStart"/>
      <w:r w:rsidRPr="00520A90">
        <w:rPr>
          <w:rFonts w:ascii="Cambria" w:hAnsi="Cambria"/>
          <w:sz w:val="16"/>
          <w:szCs w:val="16"/>
          <w:lang w:val="es-MX"/>
        </w:rPr>
        <w:t>Rainer</w:t>
      </w:r>
      <w:proofErr w:type="spellEnd"/>
      <w:r w:rsidRPr="00520A90">
        <w:rPr>
          <w:rFonts w:ascii="Cambria" w:hAnsi="Cambria"/>
          <w:sz w:val="16"/>
          <w:szCs w:val="16"/>
          <w:lang w:val="es-MX"/>
        </w:rPr>
        <w:t xml:space="preserve"> </w:t>
      </w:r>
      <w:proofErr w:type="spellStart"/>
      <w:r w:rsidRPr="00520A90">
        <w:rPr>
          <w:rFonts w:ascii="Cambria" w:hAnsi="Cambria"/>
          <w:sz w:val="16"/>
          <w:szCs w:val="16"/>
          <w:lang w:val="es-MX"/>
        </w:rPr>
        <w:t>Ibsen</w:t>
      </w:r>
      <w:proofErr w:type="spellEnd"/>
      <w:r w:rsidRPr="00520A90">
        <w:rPr>
          <w:rFonts w:ascii="Cambria" w:hAnsi="Cambria"/>
          <w:sz w:val="16"/>
          <w:szCs w:val="16"/>
          <w:lang w:val="es-MX"/>
        </w:rPr>
        <w:t xml:space="preserve"> Cárdenas y José Luis </w:t>
      </w:r>
      <w:proofErr w:type="spellStart"/>
      <w:r w:rsidRPr="00520A90">
        <w:rPr>
          <w:rFonts w:ascii="Cambria" w:hAnsi="Cambria"/>
          <w:sz w:val="16"/>
          <w:szCs w:val="16"/>
          <w:lang w:val="es-MX"/>
        </w:rPr>
        <w:t>Ibsen</w:t>
      </w:r>
      <w:proofErr w:type="spellEnd"/>
      <w:r w:rsidRPr="00520A90">
        <w:rPr>
          <w:rFonts w:ascii="Cambria" w:hAnsi="Cambria"/>
          <w:sz w:val="16"/>
          <w:szCs w:val="16"/>
          <w:lang w:val="es-MX"/>
        </w:rPr>
        <w:t xml:space="preserve"> Peña. Perú. 31 de octubre de 2008, párr. 278. </w:t>
      </w:r>
    </w:p>
  </w:footnote>
  <w:footnote w:id="75">
    <w:p w:rsidR="00667DB2" w:rsidRPr="00520A90" w:rsidRDefault="00667DB2" w:rsidP="00FD5827">
      <w:pPr>
        <w:pStyle w:val="FootnoteText"/>
        <w:spacing w:after="120"/>
        <w:ind w:firstLine="720"/>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CIDH. Informe 93/08. Caso 12.529. </w:t>
      </w:r>
      <w:proofErr w:type="spellStart"/>
      <w:r w:rsidRPr="00520A90">
        <w:rPr>
          <w:rFonts w:ascii="Cambria" w:hAnsi="Cambria"/>
          <w:sz w:val="16"/>
          <w:szCs w:val="16"/>
          <w:lang w:val="es-MX"/>
        </w:rPr>
        <w:t>Rainer</w:t>
      </w:r>
      <w:proofErr w:type="spellEnd"/>
      <w:r w:rsidRPr="00520A90">
        <w:rPr>
          <w:rFonts w:ascii="Cambria" w:hAnsi="Cambria"/>
          <w:sz w:val="16"/>
          <w:szCs w:val="16"/>
          <w:lang w:val="es-MX"/>
        </w:rPr>
        <w:t xml:space="preserve"> </w:t>
      </w:r>
      <w:proofErr w:type="spellStart"/>
      <w:r w:rsidRPr="00520A90">
        <w:rPr>
          <w:rFonts w:ascii="Cambria" w:hAnsi="Cambria"/>
          <w:sz w:val="16"/>
          <w:szCs w:val="16"/>
          <w:lang w:val="es-MX"/>
        </w:rPr>
        <w:t>Ibsen</w:t>
      </w:r>
      <w:proofErr w:type="spellEnd"/>
      <w:r w:rsidRPr="00520A90">
        <w:rPr>
          <w:rFonts w:ascii="Cambria" w:hAnsi="Cambria"/>
          <w:sz w:val="16"/>
          <w:szCs w:val="16"/>
          <w:lang w:val="es-MX"/>
        </w:rPr>
        <w:t xml:space="preserve"> Cárdenas y José Luis </w:t>
      </w:r>
      <w:proofErr w:type="spellStart"/>
      <w:r w:rsidRPr="00520A90">
        <w:rPr>
          <w:rFonts w:ascii="Cambria" w:hAnsi="Cambria"/>
          <w:sz w:val="16"/>
          <w:szCs w:val="16"/>
          <w:lang w:val="es-MX"/>
        </w:rPr>
        <w:t>Ibsen</w:t>
      </w:r>
      <w:proofErr w:type="spellEnd"/>
      <w:r w:rsidRPr="00520A90">
        <w:rPr>
          <w:rFonts w:ascii="Cambria" w:hAnsi="Cambria"/>
          <w:sz w:val="16"/>
          <w:szCs w:val="16"/>
          <w:lang w:val="es-MX"/>
        </w:rPr>
        <w:t xml:space="preserve"> Peña. Perú. 31 de octubre de 2008, párr. 277.</w:t>
      </w:r>
    </w:p>
  </w:footnote>
  <w:footnote w:id="76">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CIDH. Informe 93/08. Caso 12.529. </w:t>
      </w:r>
      <w:proofErr w:type="spellStart"/>
      <w:r w:rsidRPr="00520A90">
        <w:rPr>
          <w:rFonts w:ascii="Cambria" w:hAnsi="Cambria"/>
          <w:sz w:val="16"/>
          <w:szCs w:val="16"/>
          <w:lang w:val="es-MX"/>
        </w:rPr>
        <w:t>Rainer</w:t>
      </w:r>
      <w:proofErr w:type="spellEnd"/>
      <w:r w:rsidRPr="00520A90">
        <w:rPr>
          <w:rFonts w:ascii="Cambria" w:hAnsi="Cambria"/>
          <w:sz w:val="16"/>
          <w:szCs w:val="16"/>
          <w:lang w:val="es-MX"/>
        </w:rPr>
        <w:t xml:space="preserve"> </w:t>
      </w:r>
      <w:proofErr w:type="spellStart"/>
      <w:r w:rsidRPr="00520A90">
        <w:rPr>
          <w:rFonts w:ascii="Cambria" w:hAnsi="Cambria"/>
          <w:sz w:val="16"/>
          <w:szCs w:val="16"/>
          <w:lang w:val="es-MX"/>
        </w:rPr>
        <w:t>Ibsen</w:t>
      </w:r>
      <w:proofErr w:type="spellEnd"/>
      <w:r w:rsidRPr="00520A90">
        <w:rPr>
          <w:rFonts w:ascii="Cambria" w:hAnsi="Cambria"/>
          <w:sz w:val="16"/>
          <w:szCs w:val="16"/>
          <w:lang w:val="es-MX"/>
        </w:rPr>
        <w:t xml:space="preserve"> Cárdenas y José Luis </w:t>
      </w:r>
      <w:proofErr w:type="spellStart"/>
      <w:r w:rsidRPr="00520A90">
        <w:rPr>
          <w:rFonts w:ascii="Cambria" w:hAnsi="Cambria"/>
          <w:sz w:val="16"/>
          <w:szCs w:val="16"/>
          <w:lang w:val="es-MX"/>
        </w:rPr>
        <w:t>Ibsen</w:t>
      </w:r>
      <w:proofErr w:type="spellEnd"/>
      <w:r w:rsidRPr="00520A90">
        <w:rPr>
          <w:rFonts w:ascii="Cambria" w:hAnsi="Cambria"/>
          <w:sz w:val="16"/>
          <w:szCs w:val="16"/>
          <w:lang w:val="es-MX"/>
        </w:rPr>
        <w:t xml:space="preserve"> Peña. </w:t>
      </w:r>
      <w:r w:rsidRPr="00667DB2">
        <w:rPr>
          <w:rFonts w:ascii="Cambria" w:hAnsi="Cambria"/>
          <w:sz w:val="16"/>
          <w:szCs w:val="16"/>
          <w:lang w:val="es-MX"/>
        </w:rPr>
        <w:t>Perú. 31 de octubre de 2008, párr. 277.</w:t>
      </w:r>
    </w:p>
  </w:footnote>
  <w:footnote w:id="77">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667DB2">
        <w:rPr>
          <w:rFonts w:ascii="Cambria" w:hAnsi="Cambria"/>
          <w:sz w:val="16"/>
          <w:szCs w:val="16"/>
          <w:lang w:val="es-MX"/>
        </w:rPr>
        <w:t xml:space="preserve"> Corte I.D.H., </w:t>
      </w:r>
      <w:r w:rsidRPr="00667DB2">
        <w:rPr>
          <w:rFonts w:ascii="Cambria" w:hAnsi="Cambria"/>
          <w:bCs/>
          <w:i/>
          <w:sz w:val="16"/>
          <w:szCs w:val="16"/>
          <w:lang w:val="es-MX"/>
        </w:rPr>
        <w:t xml:space="preserve">Caso </w:t>
      </w:r>
      <w:proofErr w:type="spellStart"/>
      <w:r w:rsidRPr="00667DB2">
        <w:rPr>
          <w:rFonts w:ascii="Cambria" w:hAnsi="Cambria"/>
          <w:bCs/>
          <w:i/>
          <w:sz w:val="16"/>
          <w:szCs w:val="16"/>
          <w:lang w:val="es-MX"/>
        </w:rPr>
        <w:t>Anzualdo</w:t>
      </w:r>
      <w:proofErr w:type="spellEnd"/>
      <w:r w:rsidRPr="00667DB2">
        <w:rPr>
          <w:rFonts w:ascii="Cambria" w:hAnsi="Cambria"/>
          <w:bCs/>
          <w:i/>
          <w:sz w:val="16"/>
          <w:szCs w:val="16"/>
          <w:lang w:val="es-MX"/>
        </w:rPr>
        <w:t xml:space="preserve"> Castro Vs. </w:t>
      </w:r>
      <w:r w:rsidRPr="00520A90">
        <w:rPr>
          <w:rFonts w:ascii="Cambria" w:hAnsi="Cambria"/>
          <w:bCs/>
          <w:i/>
          <w:sz w:val="16"/>
          <w:szCs w:val="16"/>
          <w:lang w:val="es-ES"/>
        </w:rPr>
        <w:t>Perú.</w:t>
      </w:r>
      <w:r w:rsidRPr="00520A90">
        <w:rPr>
          <w:rFonts w:ascii="Cambria" w:hAnsi="Cambria"/>
          <w:bCs/>
          <w:sz w:val="16"/>
          <w:szCs w:val="16"/>
          <w:lang w:val="es-ES"/>
        </w:rPr>
        <w:t xml:space="preserve"> </w:t>
      </w:r>
      <w:r w:rsidRPr="00520A90">
        <w:rPr>
          <w:rFonts w:ascii="Cambria" w:hAnsi="Cambria"/>
          <w:sz w:val="16"/>
          <w:szCs w:val="16"/>
          <w:lang w:val="es-ES"/>
        </w:rPr>
        <w:t xml:space="preserve">Excepción Preliminar, Fondo, Reparaciones y Costas. Sentencia de 22 de Septiembre de 2009. Serie C No. 202, </w:t>
      </w:r>
      <w:r w:rsidRPr="00520A90">
        <w:rPr>
          <w:rFonts w:ascii="Cambria" w:hAnsi="Cambria"/>
          <w:sz w:val="16"/>
          <w:szCs w:val="16"/>
          <w:lang w:val="es-MX"/>
        </w:rPr>
        <w:t>párr. 90.</w:t>
      </w:r>
      <w:r w:rsidRPr="00520A90">
        <w:rPr>
          <w:rFonts w:ascii="Cambria" w:hAnsi="Cambria"/>
          <w:sz w:val="16"/>
          <w:szCs w:val="16"/>
          <w:vertAlign w:val="superscript"/>
        </w:rPr>
        <w:footnoteRef/>
      </w:r>
    </w:p>
  </w:footnote>
  <w:footnote w:id="78">
    <w:p w:rsidR="00667DB2" w:rsidRPr="00520A90" w:rsidRDefault="00667DB2" w:rsidP="00FD5827">
      <w:pPr>
        <w:pStyle w:val="Normal1"/>
        <w:tabs>
          <w:tab w:val="left" w:pos="720"/>
        </w:tabs>
        <w:spacing w:after="120"/>
        <w:ind w:firstLine="720"/>
        <w:jc w:val="both"/>
        <w:rPr>
          <w:rFonts w:ascii="Cambria" w:hAnsi="Cambria"/>
          <w:color w:val="auto"/>
          <w:sz w:val="16"/>
          <w:szCs w:val="16"/>
        </w:rPr>
      </w:pPr>
      <w:r w:rsidRPr="00520A90">
        <w:rPr>
          <w:rFonts w:ascii="Cambria" w:hAnsi="Cambria"/>
          <w:color w:val="auto"/>
          <w:sz w:val="16"/>
          <w:szCs w:val="16"/>
          <w:vertAlign w:val="superscript"/>
        </w:rPr>
        <w:footnoteRef/>
      </w:r>
      <w:r w:rsidRPr="00520A90">
        <w:rPr>
          <w:rFonts w:ascii="Cambria" w:hAnsi="Cambria"/>
          <w:color w:val="auto"/>
          <w:sz w:val="16"/>
          <w:szCs w:val="16"/>
        </w:rPr>
        <w:t xml:space="preserve"> </w:t>
      </w:r>
      <w:r w:rsidRPr="00520A90">
        <w:rPr>
          <w:rFonts w:ascii="Cambria" w:hAnsi="Cambria"/>
          <w:i/>
          <w:color w:val="auto"/>
          <w:sz w:val="16"/>
          <w:szCs w:val="16"/>
        </w:rPr>
        <w:t>Cfr.</w:t>
      </w:r>
      <w:r w:rsidRPr="00520A90">
        <w:rPr>
          <w:rFonts w:ascii="Cambria" w:hAnsi="Cambria"/>
          <w:color w:val="auto"/>
          <w:sz w:val="16"/>
          <w:szCs w:val="16"/>
        </w:rPr>
        <w:t xml:space="preserve"> Corte IDH.</w:t>
      </w:r>
      <w:r w:rsidRPr="00520A90">
        <w:rPr>
          <w:rFonts w:ascii="Cambria" w:hAnsi="Cambria"/>
          <w:i/>
          <w:color w:val="auto"/>
          <w:sz w:val="16"/>
          <w:szCs w:val="16"/>
        </w:rPr>
        <w:t xml:space="preserve"> Caso Velásquez Rodríguez Vs. Honduras</w:t>
      </w:r>
      <w:r w:rsidRPr="00520A90">
        <w:rPr>
          <w:rFonts w:ascii="Cambria" w:hAnsi="Cambria"/>
          <w:color w:val="auto"/>
          <w:sz w:val="16"/>
          <w:szCs w:val="16"/>
        </w:rPr>
        <w:t xml:space="preserve">, </w:t>
      </w:r>
      <w:r w:rsidRPr="00520A90">
        <w:rPr>
          <w:rFonts w:ascii="Cambria" w:hAnsi="Cambria"/>
          <w:i/>
          <w:color w:val="auto"/>
          <w:sz w:val="16"/>
          <w:szCs w:val="16"/>
        </w:rPr>
        <w:t xml:space="preserve">supra </w:t>
      </w:r>
      <w:r w:rsidRPr="00520A90">
        <w:rPr>
          <w:rFonts w:ascii="Cambria" w:hAnsi="Cambria"/>
          <w:color w:val="auto"/>
          <w:sz w:val="16"/>
          <w:szCs w:val="16"/>
        </w:rPr>
        <w:t xml:space="preserve">nota 24, párr. 175; </w:t>
      </w:r>
      <w:r w:rsidRPr="00520A90">
        <w:rPr>
          <w:rFonts w:ascii="Cambria" w:hAnsi="Cambria"/>
          <w:i/>
          <w:color w:val="auto"/>
          <w:sz w:val="16"/>
          <w:szCs w:val="16"/>
        </w:rPr>
        <w:t xml:space="preserve">Caso </w:t>
      </w:r>
      <w:proofErr w:type="spellStart"/>
      <w:r w:rsidRPr="00520A90">
        <w:rPr>
          <w:rFonts w:ascii="Cambria" w:hAnsi="Cambria"/>
          <w:i/>
          <w:color w:val="auto"/>
          <w:sz w:val="16"/>
          <w:szCs w:val="16"/>
        </w:rPr>
        <w:t>Ticona</w:t>
      </w:r>
      <w:proofErr w:type="spellEnd"/>
      <w:r w:rsidRPr="00520A90">
        <w:rPr>
          <w:rFonts w:ascii="Cambria" w:hAnsi="Cambria"/>
          <w:i/>
          <w:color w:val="auto"/>
          <w:sz w:val="16"/>
          <w:szCs w:val="16"/>
        </w:rPr>
        <w:t xml:space="preserve"> Estrada vs. Bolivia, supra </w:t>
      </w:r>
      <w:r w:rsidRPr="00520A90">
        <w:rPr>
          <w:rFonts w:ascii="Cambria" w:hAnsi="Cambria"/>
          <w:color w:val="auto"/>
          <w:sz w:val="16"/>
          <w:szCs w:val="16"/>
        </w:rPr>
        <w:t xml:space="preserve">nota 23, párr. 59, y </w:t>
      </w:r>
      <w:r w:rsidRPr="00520A90">
        <w:rPr>
          <w:rFonts w:ascii="Cambria" w:hAnsi="Cambria"/>
          <w:i/>
          <w:color w:val="auto"/>
          <w:sz w:val="16"/>
          <w:szCs w:val="16"/>
        </w:rPr>
        <w:t xml:space="preserve">Caso </w:t>
      </w:r>
      <w:proofErr w:type="spellStart"/>
      <w:r w:rsidRPr="00520A90">
        <w:rPr>
          <w:rFonts w:ascii="Cambria" w:hAnsi="Cambria"/>
          <w:i/>
          <w:color w:val="auto"/>
          <w:sz w:val="16"/>
          <w:szCs w:val="16"/>
        </w:rPr>
        <w:t>Anzualdo</w:t>
      </w:r>
      <w:proofErr w:type="spellEnd"/>
      <w:r w:rsidRPr="00520A90">
        <w:rPr>
          <w:rFonts w:ascii="Cambria" w:hAnsi="Cambria"/>
          <w:i/>
          <w:color w:val="auto"/>
          <w:sz w:val="16"/>
          <w:szCs w:val="16"/>
        </w:rPr>
        <w:t xml:space="preserve"> Castro Vs. Perú, supra</w:t>
      </w:r>
      <w:r w:rsidRPr="00520A90">
        <w:rPr>
          <w:rFonts w:ascii="Cambria" w:hAnsi="Cambria"/>
          <w:color w:val="auto"/>
          <w:sz w:val="16"/>
          <w:szCs w:val="16"/>
        </w:rPr>
        <w:t xml:space="preserve"> nota 44, párr. 85.</w:t>
      </w:r>
    </w:p>
  </w:footnote>
  <w:footnote w:id="79">
    <w:p w:rsidR="00667DB2" w:rsidRPr="00520A90" w:rsidRDefault="00667DB2" w:rsidP="00FD5827">
      <w:pPr>
        <w:spacing w:after="120"/>
        <w:ind w:firstLine="720"/>
        <w:jc w:val="both"/>
        <w:rPr>
          <w:rFonts w:ascii="Cambria" w:hAnsi="Cambria"/>
          <w:noProof/>
          <w:sz w:val="16"/>
          <w:szCs w:val="16"/>
          <w:lang w:val="es-ES"/>
        </w:rPr>
      </w:pPr>
      <w:r w:rsidRPr="00520A90">
        <w:rPr>
          <w:rStyle w:val="FootnoteReference"/>
          <w:rFonts w:ascii="Cambria" w:hAnsi="Cambria"/>
          <w:sz w:val="16"/>
          <w:szCs w:val="16"/>
        </w:rPr>
        <w:footnoteRef/>
      </w:r>
      <w:r w:rsidRPr="00520A90">
        <w:rPr>
          <w:rFonts w:ascii="Cambria" w:hAnsi="Cambria"/>
          <w:sz w:val="16"/>
          <w:szCs w:val="16"/>
          <w:lang w:val="es-CO"/>
        </w:rPr>
        <w:t xml:space="preserve"> Corte IDH. </w:t>
      </w:r>
      <w:r w:rsidRPr="00520A90">
        <w:rPr>
          <w:rFonts w:ascii="Cambria" w:hAnsi="Cambria"/>
          <w:i/>
          <w:sz w:val="16"/>
          <w:szCs w:val="16"/>
          <w:lang w:val="es-CO"/>
        </w:rPr>
        <w:t>Caso Velásquez Rodríguez Vs. Honduras</w:t>
      </w:r>
      <w:r w:rsidRPr="00520A90">
        <w:rPr>
          <w:rFonts w:ascii="Cambria" w:hAnsi="Cambria"/>
          <w:sz w:val="16"/>
          <w:szCs w:val="16"/>
          <w:lang w:val="es-CO"/>
        </w:rPr>
        <w:t>. Sentencia de 29 de julio de 1988. Serie C No. 4</w:t>
      </w:r>
      <w:r w:rsidRPr="00520A90">
        <w:rPr>
          <w:rFonts w:ascii="Cambria" w:hAnsi="Cambria"/>
          <w:bCs/>
          <w:sz w:val="16"/>
          <w:szCs w:val="16"/>
          <w:lang w:val="es-CO" w:bidi="en-US"/>
        </w:rPr>
        <w:t>,</w:t>
      </w:r>
      <w:r w:rsidRPr="00520A90">
        <w:rPr>
          <w:rFonts w:ascii="Cambria" w:hAnsi="Cambria"/>
          <w:sz w:val="16"/>
          <w:szCs w:val="16"/>
          <w:lang w:val="es-CO"/>
        </w:rPr>
        <w:t xml:space="preserve"> </w:t>
      </w:r>
      <w:proofErr w:type="spellStart"/>
      <w:r w:rsidRPr="00520A90">
        <w:rPr>
          <w:rFonts w:ascii="Cambria" w:hAnsi="Cambria"/>
          <w:sz w:val="16"/>
          <w:szCs w:val="16"/>
          <w:lang w:val="es-CO"/>
        </w:rPr>
        <w:t>párrs</w:t>
      </w:r>
      <w:proofErr w:type="spellEnd"/>
      <w:r w:rsidRPr="00520A90">
        <w:rPr>
          <w:rFonts w:ascii="Cambria" w:hAnsi="Cambria"/>
          <w:sz w:val="16"/>
          <w:szCs w:val="16"/>
          <w:lang w:val="es-CO"/>
        </w:rPr>
        <w:t xml:space="preserve">. </w:t>
      </w:r>
      <w:r w:rsidRPr="00520A90">
        <w:rPr>
          <w:rFonts w:ascii="Cambria" w:hAnsi="Cambria"/>
          <w:sz w:val="16"/>
          <w:szCs w:val="16"/>
          <w:lang w:val="es-ES"/>
        </w:rPr>
        <w:t xml:space="preserve">156 y 187; </w:t>
      </w:r>
      <w:r w:rsidRPr="00520A90">
        <w:rPr>
          <w:rFonts w:ascii="Cambria" w:hAnsi="Cambria"/>
          <w:i/>
          <w:sz w:val="16"/>
          <w:szCs w:val="16"/>
          <w:lang w:val="es-ES"/>
        </w:rPr>
        <w:t xml:space="preserve">Caso del Penal Miguel Castro </w:t>
      </w:r>
      <w:proofErr w:type="spellStart"/>
      <w:r w:rsidRPr="00520A90">
        <w:rPr>
          <w:rFonts w:ascii="Cambria" w:hAnsi="Cambria"/>
          <w:i/>
          <w:sz w:val="16"/>
          <w:szCs w:val="16"/>
          <w:lang w:val="es-ES"/>
        </w:rPr>
        <w:t>Castro</w:t>
      </w:r>
      <w:proofErr w:type="spellEnd"/>
      <w:r w:rsidRPr="00520A90">
        <w:rPr>
          <w:rFonts w:ascii="Cambria" w:hAnsi="Cambria"/>
          <w:i/>
          <w:sz w:val="16"/>
          <w:szCs w:val="16"/>
          <w:lang w:val="es-ES"/>
        </w:rPr>
        <w:t>.</w:t>
      </w:r>
      <w:r w:rsidRPr="00520A90">
        <w:rPr>
          <w:rFonts w:ascii="Cambria" w:hAnsi="Cambria"/>
          <w:sz w:val="16"/>
          <w:szCs w:val="16"/>
          <w:lang w:val="es-ES"/>
        </w:rPr>
        <w:t xml:space="preserve"> Fondo, Reparaciones y Costas. Sentencia de 25 de noviembre de 2006. Serie C No. 160, párr. 323; </w:t>
      </w:r>
      <w:r w:rsidRPr="00520A90">
        <w:rPr>
          <w:rFonts w:ascii="Cambria" w:hAnsi="Cambria"/>
          <w:noProof/>
          <w:sz w:val="16"/>
          <w:szCs w:val="16"/>
          <w:lang w:val="es-ES"/>
        </w:rPr>
        <w:t xml:space="preserve">Corte IDH. </w:t>
      </w:r>
      <w:r w:rsidRPr="00520A90">
        <w:rPr>
          <w:rFonts w:ascii="Cambria" w:hAnsi="Cambria"/>
          <w:i/>
          <w:noProof/>
          <w:sz w:val="16"/>
          <w:szCs w:val="16"/>
          <w:lang w:val="es-ES"/>
        </w:rPr>
        <w:t>Caso Ticona Estrada y otros Vs. Bolivia</w:t>
      </w:r>
      <w:r w:rsidRPr="00520A90">
        <w:rPr>
          <w:rFonts w:ascii="Cambria" w:hAnsi="Cambria"/>
          <w:noProof/>
          <w:sz w:val="16"/>
          <w:szCs w:val="16"/>
          <w:lang w:val="es-ES"/>
        </w:rPr>
        <w:t xml:space="preserve">. Fondo, Reparaciones y Costas. Sentencia de 27 de noviembre de 2008. Serie C No. 191, párr. 58. </w:t>
      </w:r>
    </w:p>
  </w:footnote>
  <w:footnote w:id="80">
    <w:p w:rsidR="00667DB2" w:rsidRPr="00520A90" w:rsidRDefault="00667DB2" w:rsidP="00FD5827">
      <w:pPr>
        <w:pStyle w:val="FootnoteText"/>
        <w:spacing w:after="120"/>
        <w:ind w:firstLine="720"/>
        <w:jc w:val="both"/>
        <w:rPr>
          <w:rFonts w:ascii="Cambria" w:hAnsi="Cambria"/>
          <w:color w:val="auto"/>
          <w:sz w:val="16"/>
          <w:szCs w:val="16"/>
          <w:lang w:val="es-ES"/>
        </w:rPr>
      </w:pPr>
      <w:r w:rsidRPr="00520A90">
        <w:rPr>
          <w:rStyle w:val="FootnoteReference"/>
          <w:rFonts w:ascii="Cambria" w:hAnsi="Cambria"/>
          <w:color w:val="auto"/>
          <w:sz w:val="16"/>
          <w:szCs w:val="16"/>
          <w:lang w:val="es-ES"/>
        </w:rPr>
        <w:footnoteRef/>
      </w:r>
      <w:r w:rsidRPr="00520A90">
        <w:rPr>
          <w:rFonts w:ascii="Cambria" w:hAnsi="Cambria"/>
          <w:color w:val="auto"/>
          <w:sz w:val="16"/>
          <w:szCs w:val="16"/>
          <w:lang w:val="es-ES"/>
        </w:rPr>
        <w:t xml:space="preserve"> </w:t>
      </w:r>
      <w:r w:rsidRPr="00520A90">
        <w:rPr>
          <w:rFonts w:ascii="Cambria" w:hAnsi="Cambria"/>
          <w:noProof/>
          <w:color w:val="auto"/>
          <w:sz w:val="16"/>
          <w:szCs w:val="16"/>
          <w:lang w:val="es-ES"/>
        </w:rPr>
        <w:t xml:space="preserve">Corte IDH. </w:t>
      </w:r>
      <w:r w:rsidRPr="00520A90">
        <w:rPr>
          <w:rFonts w:ascii="Cambria" w:hAnsi="Cambria"/>
          <w:i/>
          <w:noProof/>
          <w:color w:val="auto"/>
          <w:sz w:val="16"/>
          <w:szCs w:val="16"/>
          <w:lang w:val="es-ES"/>
        </w:rPr>
        <w:t>Caso Ticona Estrada y otros Vs. Bolivia</w:t>
      </w:r>
      <w:r w:rsidRPr="00520A90">
        <w:rPr>
          <w:rFonts w:ascii="Cambria" w:hAnsi="Cambria"/>
          <w:noProof/>
          <w:color w:val="auto"/>
          <w:sz w:val="16"/>
          <w:szCs w:val="16"/>
          <w:lang w:val="es-ES"/>
        </w:rPr>
        <w:t xml:space="preserve">. Fondo, Reparaciones y Costas. Sentencia de 27 de noviembre de 2008. Serie C No. 191, párr. 58. </w:t>
      </w:r>
    </w:p>
  </w:footnote>
  <w:footnote w:id="81">
    <w:p w:rsidR="00667DB2" w:rsidRPr="00520A90" w:rsidRDefault="00667DB2" w:rsidP="00FD5827">
      <w:pPr>
        <w:spacing w:after="120"/>
        <w:ind w:firstLine="720"/>
        <w:jc w:val="both"/>
        <w:rPr>
          <w:rFonts w:ascii="Cambria" w:hAnsi="Cambria"/>
          <w:sz w:val="16"/>
          <w:szCs w:val="16"/>
          <w:lang w:val="es-ES_tradnl"/>
        </w:rPr>
      </w:pPr>
      <w:r w:rsidRPr="00520A90">
        <w:rPr>
          <w:rStyle w:val="FootnoteReference"/>
          <w:rFonts w:ascii="Cambria" w:hAnsi="Cambria"/>
          <w:sz w:val="16"/>
          <w:szCs w:val="16"/>
          <w:lang w:val="es-ES_tradnl"/>
        </w:rPr>
        <w:footnoteRef/>
      </w:r>
      <w:r w:rsidRPr="00520A90">
        <w:rPr>
          <w:rFonts w:ascii="Cambria" w:hAnsi="Cambria"/>
          <w:sz w:val="16"/>
          <w:szCs w:val="16"/>
          <w:lang w:val="es-ES_tradnl"/>
        </w:rPr>
        <w:t xml:space="preserve"> Corte I.D.H., </w:t>
      </w:r>
      <w:r w:rsidRPr="00520A90">
        <w:rPr>
          <w:rFonts w:ascii="Cambria" w:hAnsi="Cambria"/>
          <w:iCs/>
          <w:sz w:val="16"/>
          <w:szCs w:val="16"/>
          <w:lang w:val="es-ES_tradnl"/>
        </w:rPr>
        <w:t>Caso 19 Comerciantes Vs. Colombia</w:t>
      </w:r>
      <w:r w:rsidRPr="00520A90">
        <w:rPr>
          <w:rFonts w:ascii="Cambria" w:hAnsi="Cambria"/>
          <w:sz w:val="16"/>
          <w:szCs w:val="16"/>
          <w:lang w:val="es-ES_tradnl"/>
        </w:rPr>
        <w:t xml:space="preserve">. Sentencia de 5 de julio de 2004. Serie C No. 109, párr. 154; </w:t>
      </w:r>
      <w:r w:rsidRPr="00520A90">
        <w:rPr>
          <w:rFonts w:ascii="Cambria" w:hAnsi="Cambria"/>
          <w:iCs/>
          <w:sz w:val="16"/>
          <w:szCs w:val="16"/>
          <w:lang w:val="es-ES_tradnl"/>
        </w:rPr>
        <w:t xml:space="preserve">Caso </w:t>
      </w:r>
      <w:proofErr w:type="spellStart"/>
      <w:r w:rsidRPr="00520A90">
        <w:rPr>
          <w:rFonts w:ascii="Cambria" w:hAnsi="Cambria"/>
          <w:iCs/>
          <w:sz w:val="16"/>
          <w:szCs w:val="16"/>
          <w:lang w:val="es-ES_tradnl"/>
        </w:rPr>
        <w:t>Bámaca</w:t>
      </w:r>
      <w:proofErr w:type="spellEnd"/>
      <w:r w:rsidRPr="00520A90">
        <w:rPr>
          <w:rFonts w:ascii="Cambria" w:hAnsi="Cambria"/>
          <w:iCs/>
          <w:sz w:val="16"/>
          <w:szCs w:val="16"/>
          <w:lang w:val="es-ES_tradnl"/>
        </w:rPr>
        <w:t xml:space="preserve"> Velásquez Vs Guatemala.</w:t>
      </w:r>
      <w:r w:rsidRPr="00520A90">
        <w:rPr>
          <w:rFonts w:ascii="Cambria" w:hAnsi="Cambria"/>
          <w:sz w:val="16"/>
          <w:szCs w:val="16"/>
          <w:lang w:val="es-ES_tradnl"/>
        </w:rPr>
        <w:t xml:space="preserve"> Sentencia de 25 de noviembre de 2000. Serie C No. 70, párr. 130.</w:t>
      </w:r>
    </w:p>
  </w:footnote>
  <w:footnote w:id="82">
    <w:p w:rsidR="00667DB2" w:rsidRPr="00520A90" w:rsidRDefault="00667DB2" w:rsidP="00FD5827">
      <w:pPr>
        <w:tabs>
          <w:tab w:val="left" w:pos="360"/>
        </w:tabs>
        <w:spacing w:after="120"/>
        <w:ind w:firstLine="720"/>
        <w:jc w:val="both"/>
        <w:rPr>
          <w:rFonts w:ascii="Cambria" w:hAnsi="Cambria"/>
          <w:sz w:val="16"/>
          <w:szCs w:val="16"/>
          <w:lang w:val="es-ES"/>
        </w:rPr>
      </w:pPr>
      <w:r w:rsidRPr="00520A90">
        <w:rPr>
          <w:rStyle w:val="FootnoteReference"/>
          <w:rFonts w:ascii="Cambria" w:hAnsi="Cambria"/>
          <w:sz w:val="16"/>
          <w:szCs w:val="16"/>
        </w:rPr>
        <w:footnoteRef/>
      </w:r>
      <w:r w:rsidRPr="00520A90">
        <w:rPr>
          <w:rFonts w:ascii="Cambria" w:hAnsi="Cambria"/>
          <w:sz w:val="16"/>
          <w:szCs w:val="16"/>
          <w:lang w:val="es-ES"/>
        </w:rPr>
        <w:t xml:space="preserve"> Corte IDH. </w:t>
      </w:r>
      <w:r w:rsidRPr="00520A90">
        <w:rPr>
          <w:rFonts w:ascii="Cambria" w:hAnsi="Cambria"/>
          <w:i/>
          <w:iCs/>
          <w:sz w:val="16"/>
          <w:szCs w:val="16"/>
          <w:lang w:val="es-ES"/>
        </w:rPr>
        <w:t>Caso La Cantuta Vs. Perú</w:t>
      </w:r>
      <w:r w:rsidRPr="00520A90">
        <w:rPr>
          <w:rFonts w:ascii="Cambria" w:hAnsi="Cambria"/>
          <w:sz w:val="16"/>
          <w:szCs w:val="16"/>
          <w:lang w:val="es-ES"/>
        </w:rPr>
        <w:t>. Sentencia de 29 de noviembre de 2006. Serie C No. 162, párr. 109.</w:t>
      </w:r>
    </w:p>
  </w:footnote>
  <w:footnote w:id="83">
    <w:p w:rsidR="00667DB2" w:rsidRPr="00520A90" w:rsidRDefault="00667DB2" w:rsidP="00FD5827">
      <w:pPr>
        <w:pStyle w:val="FootnoteText"/>
        <w:spacing w:after="120"/>
        <w:ind w:firstLine="720"/>
        <w:jc w:val="both"/>
        <w:rPr>
          <w:rFonts w:ascii="Cambria" w:hAnsi="Cambria"/>
          <w:color w:val="auto"/>
          <w:sz w:val="16"/>
          <w:szCs w:val="16"/>
          <w:lang w:val="es-ES"/>
        </w:rPr>
      </w:pPr>
      <w:r w:rsidRPr="00520A90">
        <w:rPr>
          <w:rStyle w:val="FootnoteReference"/>
          <w:rFonts w:ascii="Cambria" w:hAnsi="Cambria"/>
          <w:color w:val="auto"/>
          <w:sz w:val="16"/>
          <w:szCs w:val="16"/>
          <w:lang w:val="es-ES"/>
        </w:rPr>
        <w:footnoteRef/>
      </w:r>
      <w:r w:rsidRPr="00520A90">
        <w:rPr>
          <w:rFonts w:ascii="Cambria" w:hAnsi="Cambria"/>
          <w:color w:val="auto"/>
          <w:sz w:val="16"/>
          <w:szCs w:val="16"/>
          <w:lang w:val="es-ES"/>
        </w:rPr>
        <w:t xml:space="preserve"> Corte IDH. </w:t>
      </w:r>
      <w:r w:rsidRPr="00520A90">
        <w:rPr>
          <w:rFonts w:ascii="Cambria" w:hAnsi="Cambria"/>
          <w:i/>
          <w:color w:val="auto"/>
          <w:sz w:val="16"/>
          <w:szCs w:val="16"/>
          <w:lang w:val="es-ES"/>
        </w:rPr>
        <w:t xml:space="preserve">Caso </w:t>
      </w:r>
      <w:proofErr w:type="spellStart"/>
      <w:r w:rsidRPr="00520A90">
        <w:rPr>
          <w:rFonts w:ascii="Cambria" w:hAnsi="Cambria"/>
          <w:i/>
          <w:color w:val="auto"/>
          <w:sz w:val="16"/>
          <w:szCs w:val="16"/>
          <w:lang w:val="es-ES"/>
        </w:rPr>
        <w:t>Ticona</w:t>
      </w:r>
      <w:proofErr w:type="spellEnd"/>
      <w:r w:rsidRPr="00520A90">
        <w:rPr>
          <w:rFonts w:ascii="Cambria" w:hAnsi="Cambria"/>
          <w:i/>
          <w:color w:val="auto"/>
          <w:sz w:val="16"/>
          <w:szCs w:val="16"/>
          <w:lang w:val="es-ES"/>
        </w:rPr>
        <w:t xml:space="preserve"> Estrada y otros Vs. Bolivia. </w:t>
      </w:r>
      <w:r w:rsidRPr="00520A90">
        <w:rPr>
          <w:rFonts w:ascii="Cambria" w:hAnsi="Cambria"/>
          <w:color w:val="auto"/>
          <w:sz w:val="16"/>
          <w:szCs w:val="16"/>
          <w:lang w:val="es-ES"/>
        </w:rPr>
        <w:t>Excepciones Preliminares, Fondo, Reparaciones y Costas. Sentencia de 27 de noviembre  de  2008. Serie C No. 191, párr. 56.</w:t>
      </w:r>
    </w:p>
  </w:footnote>
  <w:footnote w:id="84">
    <w:p w:rsidR="00667DB2" w:rsidRPr="00520A90" w:rsidRDefault="00667DB2" w:rsidP="00FD5827">
      <w:pPr>
        <w:pStyle w:val="FootnoteText"/>
        <w:spacing w:after="120"/>
        <w:ind w:firstLine="720"/>
        <w:jc w:val="both"/>
        <w:rPr>
          <w:rFonts w:ascii="Cambria" w:hAnsi="Cambria"/>
          <w:sz w:val="16"/>
          <w:szCs w:val="16"/>
          <w:lang w:val="es-ES"/>
        </w:rPr>
      </w:pPr>
      <w:r w:rsidRPr="00520A90">
        <w:rPr>
          <w:rStyle w:val="FootnoteReference"/>
          <w:rFonts w:ascii="Cambria" w:hAnsi="Cambria"/>
          <w:sz w:val="16"/>
          <w:szCs w:val="16"/>
        </w:rPr>
        <w:footnoteRef/>
      </w:r>
      <w:r w:rsidRPr="00520A90">
        <w:rPr>
          <w:rFonts w:ascii="Cambria" w:hAnsi="Cambria"/>
          <w:sz w:val="16"/>
          <w:szCs w:val="16"/>
          <w:lang w:val="es-MX"/>
        </w:rPr>
        <w:t xml:space="preserve"> </w:t>
      </w:r>
      <w:r w:rsidRPr="00520A90">
        <w:rPr>
          <w:rFonts w:ascii="Cambria" w:hAnsi="Cambria" w:cs="Verdana"/>
          <w:bCs/>
          <w:sz w:val="16"/>
          <w:szCs w:val="16"/>
          <w:bdr w:val="none" w:sz="0" w:space="0" w:color="auto"/>
          <w:lang w:val="es-MX"/>
        </w:rPr>
        <w:t xml:space="preserve">Corte IDH. Caso Osorio Rivera y familiares Vs. Perú. </w:t>
      </w:r>
      <w:r w:rsidRPr="00520A90">
        <w:rPr>
          <w:rFonts w:ascii="Cambria" w:hAnsi="Cambria" w:cs="Verdana"/>
          <w:bCs/>
          <w:sz w:val="16"/>
          <w:szCs w:val="16"/>
          <w:bdr w:val="none" w:sz="0" w:space="0" w:color="auto"/>
          <w:lang w:val="es-CO"/>
        </w:rPr>
        <w:t xml:space="preserve">Interpretación de la Sentencia de Excepciones Preliminares, Fondo, Reparaciones y Costas. Sentencia de 20 de noviembre de 2014. Serie C No. 290. Párr. 137. </w:t>
      </w:r>
    </w:p>
  </w:footnote>
  <w:footnote w:id="85">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4E45F9">
        <w:rPr>
          <w:rFonts w:ascii="Cambria" w:hAnsi="Cambria"/>
          <w:sz w:val="16"/>
          <w:szCs w:val="16"/>
          <w:lang w:val="es-MX"/>
        </w:rPr>
        <w:t xml:space="preserve"> 36</w:t>
      </w:r>
      <w:r w:rsidRPr="00520A90">
        <w:rPr>
          <w:rFonts w:ascii="Cambria" w:hAnsi="Cambria"/>
          <w:sz w:val="16"/>
          <w:szCs w:val="16"/>
          <w:lang w:val="es-MX"/>
        </w:rPr>
        <w:t xml:space="preserve">. Acta de visita de inspección del 31 de marzo de 1999. Defensoría del Pueblo. Anexo a petición inicial. </w:t>
      </w:r>
    </w:p>
  </w:footnote>
  <w:footnote w:id="86">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004E45F9">
        <w:rPr>
          <w:rFonts w:ascii="Cambria" w:hAnsi="Cambria"/>
          <w:sz w:val="16"/>
          <w:szCs w:val="16"/>
          <w:lang w:val="es-MX"/>
        </w:rPr>
        <w:t xml:space="preserve"> Anexo 21. Dictamen  acusatorio </w:t>
      </w:r>
      <w:r w:rsidRPr="00520A90">
        <w:rPr>
          <w:rFonts w:ascii="Cambria" w:hAnsi="Cambria"/>
          <w:sz w:val="16"/>
          <w:szCs w:val="16"/>
          <w:lang w:val="es-MX"/>
        </w:rPr>
        <w:t xml:space="preserve">10-2000 </w:t>
      </w:r>
      <w:r w:rsidR="004E45F9">
        <w:rPr>
          <w:rFonts w:ascii="Cambria" w:hAnsi="Cambria"/>
          <w:sz w:val="16"/>
          <w:szCs w:val="16"/>
          <w:lang w:val="es-MX"/>
        </w:rPr>
        <w:t xml:space="preserve">de la </w:t>
      </w:r>
      <w:r w:rsidRPr="00520A90">
        <w:rPr>
          <w:rFonts w:ascii="Cambria" w:hAnsi="Cambria"/>
          <w:sz w:val="16"/>
          <w:szCs w:val="16"/>
          <w:lang w:val="es-MX"/>
        </w:rPr>
        <w:t>Fiscalía Superior Mixta de Huancavelica</w:t>
      </w:r>
      <w:r w:rsidR="004E45F9">
        <w:rPr>
          <w:rFonts w:ascii="Cambria" w:hAnsi="Cambria"/>
          <w:sz w:val="16"/>
          <w:szCs w:val="16"/>
          <w:lang w:val="es-MX"/>
        </w:rPr>
        <w:t>,</w:t>
      </w:r>
      <w:r w:rsidRPr="00520A90">
        <w:rPr>
          <w:rFonts w:ascii="Cambria" w:hAnsi="Cambria"/>
          <w:sz w:val="16"/>
          <w:szCs w:val="16"/>
          <w:lang w:val="es-MX"/>
        </w:rPr>
        <w:t xml:space="preserve"> de 1 de junio de 2000. Anexo a petición inicial. </w:t>
      </w:r>
    </w:p>
  </w:footnote>
  <w:footnote w:id="87">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8701F2">
        <w:rPr>
          <w:rFonts w:ascii="Cambria" w:hAnsi="Cambria"/>
          <w:sz w:val="16"/>
          <w:szCs w:val="16"/>
          <w:lang w:val="es-MX"/>
        </w:rPr>
        <w:t xml:space="preserve"> 37</w:t>
      </w:r>
      <w:r w:rsidRPr="00520A90">
        <w:rPr>
          <w:rFonts w:ascii="Cambria" w:hAnsi="Cambria"/>
          <w:sz w:val="16"/>
          <w:szCs w:val="16"/>
          <w:lang w:val="es-MX"/>
        </w:rPr>
        <w:t xml:space="preserve">. Acta de visita de inspección de la Defensoría del Pueblo- 361/03/99. Anexo a petición original. </w:t>
      </w:r>
    </w:p>
  </w:footnote>
  <w:footnote w:id="88">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8701F2">
        <w:rPr>
          <w:rFonts w:ascii="Cambria" w:hAnsi="Cambria"/>
          <w:sz w:val="16"/>
          <w:szCs w:val="16"/>
          <w:lang w:val="es-MX"/>
        </w:rPr>
        <w:t xml:space="preserve"> 38</w:t>
      </w:r>
      <w:r w:rsidRPr="00520A90">
        <w:rPr>
          <w:rFonts w:ascii="Cambria" w:hAnsi="Cambria"/>
          <w:sz w:val="16"/>
          <w:szCs w:val="16"/>
          <w:lang w:val="es-MX"/>
        </w:rPr>
        <w:t>. Acta de continuación de la audiencia, vigésima segunda edición. Anexo a petición inicial.</w:t>
      </w:r>
    </w:p>
  </w:footnote>
  <w:footnote w:id="89">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8701F2">
        <w:rPr>
          <w:rFonts w:ascii="Cambria" w:hAnsi="Cambria"/>
          <w:sz w:val="16"/>
          <w:szCs w:val="16"/>
          <w:lang w:val="es-MX"/>
        </w:rPr>
        <w:t xml:space="preserve"> 33</w:t>
      </w:r>
      <w:r w:rsidRPr="00520A90">
        <w:rPr>
          <w:rFonts w:ascii="Cambria" w:hAnsi="Cambria"/>
          <w:sz w:val="16"/>
          <w:szCs w:val="16"/>
          <w:lang w:val="es-MX"/>
        </w:rPr>
        <w:t>. Informe N. 024-99-RDP/HVA</w:t>
      </w:r>
      <w:r w:rsidR="008701F2">
        <w:rPr>
          <w:rFonts w:ascii="Cambria" w:hAnsi="Cambria"/>
          <w:sz w:val="16"/>
          <w:szCs w:val="16"/>
          <w:lang w:val="es-MX"/>
        </w:rPr>
        <w:t xml:space="preserve"> de la Defensoría del Pueblo</w:t>
      </w:r>
      <w:r w:rsidRPr="00520A90">
        <w:rPr>
          <w:rFonts w:ascii="Cambria" w:hAnsi="Cambria"/>
          <w:sz w:val="16"/>
          <w:szCs w:val="16"/>
          <w:lang w:val="es-MX"/>
        </w:rPr>
        <w:t xml:space="preserve">, </w:t>
      </w:r>
      <w:r w:rsidR="008701F2">
        <w:rPr>
          <w:rFonts w:ascii="Cambria" w:hAnsi="Cambria"/>
          <w:sz w:val="16"/>
          <w:szCs w:val="16"/>
          <w:lang w:val="es-MX"/>
        </w:rPr>
        <w:t xml:space="preserve">de </w:t>
      </w:r>
      <w:r w:rsidRPr="00520A90">
        <w:rPr>
          <w:rFonts w:ascii="Cambria" w:hAnsi="Cambria"/>
          <w:sz w:val="16"/>
          <w:szCs w:val="16"/>
          <w:lang w:val="es-MX"/>
        </w:rPr>
        <w:t>22 de abril de 1999. Anexo</w:t>
      </w:r>
      <w:r w:rsidR="008701F2">
        <w:rPr>
          <w:rFonts w:ascii="Cambria" w:hAnsi="Cambria"/>
          <w:sz w:val="16"/>
          <w:szCs w:val="16"/>
          <w:lang w:val="es-MX"/>
        </w:rPr>
        <w:t>31 de l</w:t>
      </w:r>
      <w:r w:rsidRPr="00520A90">
        <w:rPr>
          <w:rFonts w:ascii="Cambria" w:hAnsi="Cambria"/>
          <w:sz w:val="16"/>
          <w:szCs w:val="16"/>
          <w:lang w:val="es-MX"/>
        </w:rPr>
        <w:t>a petición inicial.</w:t>
      </w:r>
    </w:p>
  </w:footnote>
  <w:footnote w:id="90">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8701F2">
        <w:rPr>
          <w:rFonts w:ascii="Cambria" w:hAnsi="Cambria"/>
          <w:sz w:val="16"/>
          <w:szCs w:val="16"/>
          <w:lang w:val="es-MX"/>
        </w:rPr>
        <w:t xml:space="preserve"> 39</w:t>
      </w:r>
      <w:r w:rsidRPr="00520A90">
        <w:rPr>
          <w:rFonts w:ascii="Cambria" w:hAnsi="Cambria"/>
          <w:sz w:val="16"/>
          <w:szCs w:val="16"/>
          <w:lang w:val="es-MX"/>
        </w:rPr>
        <w:t xml:space="preserve">. Ampliación de denuncia presentada por la Fiscalía Provincial Mixta de </w:t>
      </w:r>
      <w:proofErr w:type="spellStart"/>
      <w:r w:rsidRPr="00520A90">
        <w:rPr>
          <w:rFonts w:ascii="Cambria" w:hAnsi="Cambria"/>
          <w:sz w:val="16"/>
          <w:szCs w:val="16"/>
          <w:lang w:val="es-MX"/>
        </w:rPr>
        <w:t>Angaraes-Lircay</w:t>
      </w:r>
      <w:proofErr w:type="spellEnd"/>
      <w:r w:rsidRPr="00520A90">
        <w:rPr>
          <w:rFonts w:ascii="Cambria" w:hAnsi="Cambria"/>
          <w:sz w:val="16"/>
          <w:szCs w:val="16"/>
          <w:lang w:val="es-MX"/>
        </w:rPr>
        <w:t xml:space="preserve">, ante el Juez Mixto de </w:t>
      </w:r>
      <w:proofErr w:type="spellStart"/>
      <w:r w:rsidRPr="00520A90">
        <w:rPr>
          <w:rFonts w:ascii="Cambria" w:hAnsi="Cambria"/>
          <w:sz w:val="16"/>
          <w:szCs w:val="16"/>
          <w:lang w:val="es-MX"/>
        </w:rPr>
        <w:t>Angaraes</w:t>
      </w:r>
      <w:proofErr w:type="spellEnd"/>
      <w:r w:rsidRPr="00520A90">
        <w:rPr>
          <w:rFonts w:ascii="Cambria" w:hAnsi="Cambria"/>
          <w:sz w:val="16"/>
          <w:szCs w:val="16"/>
          <w:lang w:val="es-MX"/>
        </w:rPr>
        <w:t>, el 22 de junio de 1999. Anexo a comunicación del Estado. Nota No. 7-5-M/066 del 9 de febrero de 2006.</w:t>
      </w:r>
    </w:p>
  </w:footnote>
  <w:footnote w:id="91">
    <w:p w:rsidR="00667DB2" w:rsidRPr="00520A90" w:rsidRDefault="00667DB2" w:rsidP="00FD5827">
      <w:pPr>
        <w:pStyle w:val="ListParagraph1"/>
        <w:spacing w:after="120"/>
        <w:ind w:left="0" w:firstLine="720"/>
        <w:jc w:val="both"/>
        <w:rPr>
          <w:sz w:val="16"/>
          <w:szCs w:val="16"/>
          <w:lang w:val="es-ES"/>
        </w:rPr>
      </w:pPr>
      <w:r w:rsidRPr="00520A90">
        <w:rPr>
          <w:rStyle w:val="FootnoteReference"/>
          <w:sz w:val="16"/>
          <w:szCs w:val="16"/>
        </w:rPr>
        <w:footnoteRef/>
      </w:r>
      <w:r w:rsidRPr="00520A90">
        <w:rPr>
          <w:sz w:val="16"/>
          <w:szCs w:val="16"/>
          <w:lang w:val="es-ES"/>
        </w:rPr>
        <w:t xml:space="preserve"> En cuanto a la Convención Interamericana sobre Desaparición Forzada de Personas, la Comisión observa que el Estado de Perú depositó su instrumento de ratificación el 13  de febrero de 2002. Por lo tanto, teniendo las características antes mencionadas del delito de desaparición forzada de personas, el Estado es responsable por la violación de los derechos establecidos en dicha Convención, a partir de la fecha de ratificación de ese tratado y respecto de aquellos casos de desaparición forzada que todavía persistan en el tiempo.  </w:t>
      </w:r>
    </w:p>
  </w:footnote>
  <w:footnote w:id="92">
    <w:p w:rsidR="00667DB2" w:rsidRPr="00520A90" w:rsidRDefault="00667DB2" w:rsidP="00FD5827">
      <w:pPr>
        <w:tabs>
          <w:tab w:val="left" w:pos="900"/>
          <w:tab w:val="left" w:pos="1080"/>
        </w:tabs>
        <w:autoSpaceDE w:val="0"/>
        <w:autoSpaceDN w:val="0"/>
        <w:adjustRightInd w:val="0"/>
        <w:spacing w:after="120"/>
        <w:ind w:firstLine="720"/>
        <w:jc w:val="both"/>
        <w:rPr>
          <w:rFonts w:ascii="Cambria" w:hAnsi="Cambria"/>
          <w:sz w:val="16"/>
          <w:szCs w:val="16"/>
          <w:lang w:val="es-ES_tradnl"/>
        </w:rPr>
      </w:pPr>
      <w:r w:rsidRPr="00520A90">
        <w:rPr>
          <w:rStyle w:val="FootnoteReference"/>
          <w:rFonts w:ascii="Cambria" w:hAnsi="Cambria"/>
          <w:sz w:val="16"/>
          <w:szCs w:val="16"/>
        </w:rPr>
        <w:footnoteRef/>
      </w:r>
      <w:r w:rsidRPr="00520A90">
        <w:rPr>
          <w:rFonts w:ascii="Cambria" w:hAnsi="Cambria"/>
          <w:sz w:val="16"/>
          <w:szCs w:val="16"/>
          <w:lang w:val="pt-BR"/>
        </w:rPr>
        <w:t xml:space="preserve"> </w:t>
      </w:r>
      <w:r w:rsidRPr="00520A90">
        <w:rPr>
          <w:rFonts w:ascii="Cambria" w:hAnsi="Cambria"/>
          <w:sz w:val="16"/>
          <w:szCs w:val="16"/>
          <w:lang w:val="pt-BR"/>
        </w:rPr>
        <w:t xml:space="preserve">Corte IDH. </w:t>
      </w:r>
      <w:r w:rsidRPr="00520A90">
        <w:rPr>
          <w:rFonts w:ascii="Cambria" w:hAnsi="Cambria"/>
          <w:i/>
          <w:sz w:val="16"/>
          <w:szCs w:val="16"/>
          <w:lang w:val="pt-BR"/>
        </w:rPr>
        <w:t xml:space="preserve">Caso Anzualdo Castro Vs. </w:t>
      </w:r>
      <w:r w:rsidRPr="00520A90">
        <w:rPr>
          <w:rFonts w:ascii="Cambria" w:hAnsi="Cambria"/>
          <w:i/>
          <w:sz w:val="16"/>
          <w:szCs w:val="16"/>
          <w:lang w:val="es-ES_tradnl"/>
        </w:rPr>
        <w:t xml:space="preserve">Perú. </w:t>
      </w:r>
      <w:r w:rsidRPr="00520A90">
        <w:rPr>
          <w:rFonts w:ascii="Cambria" w:hAnsi="Cambria"/>
          <w:sz w:val="16"/>
          <w:szCs w:val="16"/>
          <w:lang w:val="es-ES_tradnl"/>
        </w:rPr>
        <w:t>Excepción Preliminar, Fondo, Reparaciones y Costas.</w:t>
      </w:r>
      <w:r w:rsidRPr="00520A90">
        <w:rPr>
          <w:rFonts w:ascii="Cambria" w:hAnsi="Cambria"/>
          <w:i/>
          <w:sz w:val="16"/>
          <w:szCs w:val="16"/>
          <w:lang w:val="es-ES_tradnl"/>
        </w:rPr>
        <w:t xml:space="preserve"> </w:t>
      </w:r>
      <w:r w:rsidRPr="00520A90">
        <w:rPr>
          <w:rFonts w:ascii="Cambria" w:hAnsi="Cambria"/>
          <w:sz w:val="16"/>
          <w:szCs w:val="16"/>
          <w:lang w:val="es-ES_tradnl"/>
        </w:rPr>
        <w:t xml:space="preserve">Sentencia de 22 de Septiembre de 2009. Serie C No. 202, párr. 134; </w:t>
      </w:r>
      <w:r w:rsidRPr="00520A90">
        <w:rPr>
          <w:rFonts w:ascii="Cambria" w:hAnsi="Cambria"/>
          <w:bCs/>
          <w:i/>
          <w:sz w:val="16"/>
          <w:szCs w:val="16"/>
          <w:lang w:val="es-ES_tradnl"/>
        </w:rPr>
        <w:t>Caso Radilla Pacheco Vs. México.</w:t>
      </w:r>
      <w:r w:rsidRPr="00520A90">
        <w:rPr>
          <w:rFonts w:ascii="Cambria" w:hAnsi="Cambria"/>
          <w:bCs/>
          <w:sz w:val="16"/>
          <w:szCs w:val="16"/>
          <w:lang w:val="es-ES_tradnl"/>
        </w:rPr>
        <w:t xml:space="preserve"> </w:t>
      </w:r>
      <w:r w:rsidRPr="00520A90">
        <w:rPr>
          <w:rFonts w:ascii="Cambria" w:hAnsi="Cambria"/>
          <w:sz w:val="16"/>
          <w:szCs w:val="16"/>
          <w:lang w:val="es-ES_tradnl"/>
        </w:rPr>
        <w:t xml:space="preserve">Excepciones Preliminares, Fondo, Reparaciones y Costas. Sentencia de 23 de Noviembre de 2009. Serie C No. 209, párr. 221, </w:t>
      </w:r>
      <w:r w:rsidRPr="00520A90">
        <w:rPr>
          <w:rFonts w:ascii="Cambria" w:hAnsi="Cambria"/>
          <w:bCs/>
          <w:i/>
          <w:sz w:val="16"/>
          <w:szCs w:val="16"/>
          <w:lang w:val="es-ES_tradnl"/>
        </w:rPr>
        <w:t xml:space="preserve"> Caso </w:t>
      </w:r>
      <w:proofErr w:type="spellStart"/>
      <w:r w:rsidRPr="00520A90">
        <w:rPr>
          <w:rFonts w:ascii="Cambria" w:hAnsi="Cambria"/>
          <w:bCs/>
          <w:i/>
          <w:sz w:val="16"/>
          <w:szCs w:val="16"/>
          <w:lang w:val="es-ES_tradnl"/>
        </w:rPr>
        <w:t>Ibsen</w:t>
      </w:r>
      <w:proofErr w:type="spellEnd"/>
      <w:r w:rsidRPr="00520A90">
        <w:rPr>
          <w:rFonts w:ascii="Cambria" w:hAnsi="Cambria"/>
          <w:bCs/>
          <w:i/>
          <w:sz w:val="16"/>
          <w:szCs w:val="16"/>
          <w:lang w:val="es-ES_tradnl"/>
        </w:rPr>
        <w:t xml:space="preserve"> Cárdenas e </w:t>
      </w:r>
      <w:proofErr w:type="spellStart"/>
      <w:r w:rsidRPr="00520A90">
        <w:rPr>
          <w:rFonts w:ascii="Cambria" w:hAnsi="Cambria"/>
          <w:bCs/>
          <w:i/>
          <w:sz w:val="16"/>
          <w:szCs w:val="16"/>
          <w:lang w:val="es-ES_tradnl"/>
        </w:rPr>
        <w:t>Ibsen</w:t>
      </w:r>
      <w:proofErr w:type="spellEnd"/>
      <w:r w:rsidRPr="00520A90">
        <w:rPr>
          <w:rFonts w:ascii="Cambria" w:hAnsi="Cambria"/>
          <w:bCs/>
          <w:i/>
          <w:sz w:val="16"/>
          <w:szCs w:val="16"/>
          <w:lang w:val="es-ES_tradnl"/>
        </w:rPr>
        <w:t xml:space="preserve"> Peña Vs. Bolivia.</w:t>
      </w:r>
      <w:r w:rsidRPr="00520A90">
        <w:rPr>
          <w:rFonts w:ascii="Cambria" w:hAnsi="Cambria"/>
          <w:bCs/>
          <w:sz w:val="16"/>
          <w:szCs w:val="16"/>
          <w:lang w:val="es-ES_tradnl"/>
        </w:rPr>
        <w:t xml:space="preserve"> </w:t>
      </w:r>
      <w:r w:rsidRPr="00520A90">
        <w:rPr>
          <w:rFonts w:ascii="Cambria" w:hAnsi="Cambria"/>
          <w:sz w:val="16"/>
          <w:szCs w:val="16"/>
          <w:lang w:val="es-ES_tradnl"/>
        </w:rPr>
        <w:t xml:space="preserve">Fondo, Reparaciones y Costas. Sentencia de 1 de septiembre de 2010. Serie C No. 217, párr. 167. Ver también </w:t>
      </w:r>
      <w:r w:rsidRPr="00520A90">
        <w:rPr>
          <w:rFonts w:ascii="Cambria" w:hAnsi="Cambria"/>
          <w:i/>
          <w:sz w:val="16"/>
          <w:szCs w:val="16"/>
          <w:lang w:val="es-ES_tradnl"/>
        </w:rPr>
        <w:t xml:space="preserve">Asunto Natera Balboa. </w:t>
      </w:r>
      <w:r w:rsidRPr="00520A90">
        <w:rPr>
          <w:rFonts w:ascii="Cambria" w:hAnsi="Cambria"/>
          <w:sz w:val="16"/>
          <w:szCs w:val="16"/>
          <w:lang w:val="es-ES_tradnl"/>
        </w:rPr>
        <w:t>Medida Provisionales respecto de Venezuela. Resolución de la Corte de 1 de febrero de 2010,</w:t>
      </w:r>
      <w:r w:rsidRPr="00520A90">
        <w:rPr>
          <w:rFonts w:ascii="Cambria" w:hAnsi="Cambria"/>
          <w:i/>
          <w:sz w:val="16"/>
          <w:szCs w:val="16"/>
          <w:lang w:val="es-ES_tradnl"/>
        </w:rPr>
        <w:t xml:space="preserve"> </w:t>
      </w:r>
      <w:r w:rsidRPr="00520A90">
        <w:rPr>
          <w:rFonts w:ascii="Cambria" w:hAnsi="Cambria"/>
          <w:sz w:val="16"/>
          <w:szCs w:val="16"/>
          <w:lang w:val="es-ES_tradnl"/>
        </w:rPr>
        <w:t xml:space="preserve">Considerando decimotercero, y </w:t>
      </w:r>
      <w:r w:rsidRPr="00520A90">
        <w:rPr>
          <w:rFonts w:ascii="Cambria" w:hAnsi="Cambria"/>
          <w:i/>
          <w:sz w:val="16"/>
          <w:szCs w:val="16"/>
          <w:lang w:val="es-ES_tradnl"/>
        </w:rPr>
        <w:t xml:space="preserve">Asunto Guerrero </w:t>
      </w:r>
      <w:proofErr w:type="spellStart"/>
      <w:r w:rsidRPr="00520A90">
        <w:rPr>
          <w:rFonts w:ascii="Cambria" w:hAnsi="Cambria"/>
          <w:i/>
          <w:sz w:val="16"/>
          <w:szCs w:val="16"/>
          <w:lang w:val="es-ES_tradnl"/>
        </w:rPr>
        <w:t>Larez</w:t>
      </w:r>
      <w:proofErr w:type="spellEnd"/>
      <w:r w:rsidRPr="00520A90">
        <w:rPr>
          <w:rFonts w:ascii="Cambria" w:hAnsi="Cambria"/>
          <w:sz w:val="16"/>
          <w:szCs w:val="16"/>
          <w:lang w:val="es-ES_tradnl"/>
        </w:rPr>
        <w:t xml:space="preserve">. Medidas Provisionales respecto de Venezuela. Resolución de la Corte de 29 de agosto de 2013. Considerando sexto. </w:t>
      </w:r>
    </w:p>
  </w:footnote>
  <w:footnote w:id="93">
    <w:p w:rsidR="00667DB2" w:rsidRPr="00520A90" w:rsidRDefault="00667DB2" w:rsidP="00FD5827">
      <w:pPr>
        <w:tabs>
          <w:tab w:val="left" w:pos="360"/>
          <w:tab w:val="left" w:pos="900"/>
          <w:tab w:val="left" w:pos="1080"/>
        </w:tabs>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ES"/>
        </w:rPr>
        <w:t xml:space="preserve"> </w:t>
      </w:r>
      <w:r w:rsidRPr="00520A90">
        <w:rPr>
          <w:rFonts w:ascii="Cambria" w:hAnsi="Cambria"/>
          <w:sz w:val="16"/>
          <w:szCs w:val="16"/>
          <w:lang w:val="es-MX"/>
        </w:rPr>
        <w:t xml:space="preserve">Corte I.D.H., </w:t>
      </w:r>
      <w:r w:rsidRPr="00520A90">
        <w:rPr>
          <w:rFonts w:ascii="Cambria" w:hAnsi="Cambria"/>
          <w:bCs/>
          <w:i/>
          <w:sz w:val="16"/>
          <w:szCs w:val="16"/>
          <w:lang w:val="es-MX"/>
        </w:rPr>
        <w:t xml:space="preserve">Caso Cantoral </w:t>
      </w:r>
      <w:proofErr w:type="spellStart"/>
      <w:r w:rsidRPr="00520A90">
        <w:rPr>
          <w:rFonts w:ascii="Cambria" w:hAnsi="Cambria"/>
          <w:bCs/>
          <w:i/>
          <w:sz w:val="16"/>
          <w:szCs w:val="16"/>
          <w:lang w:val="es-MX"/>
        </w:rPr>
        <w:t>Huamaní</w:t>
      </w:r>
      <w:proofErr w:type="spellEnd"/>
      <w:r w:rsidRPr="00520A90">
        <w:rPr>
          <w:rFonts w:ascii="Cambria" w:hAnsi="Cambria"/>
          <w:bCs/>
          <w:i/>
          <w:sz w:val="16"/>
          <w:szCs w:val="16"/>
          <w:lang w:val="es-MX"/>
        </w:rPr>
        <w:t xml:space="preserve"> y García Santa Cruz.</w:t>
      </w:r>
      <w:r w:rsidRPr="00520A90">
        <w:rPr>
          <w:rFonts w:ascii="Cambria" w:hAnsi="Cambria"/>
          <w:bCs/>
          <w:sz w:val="16"/>
          <w:szCs w:val="16"/>
          <w:lang w:val="es-MX"/>
        </w:rPr>
        <w:t xml:space="preserve"> </w:t>
      </w:r>
      <w:r w:rsidRPr="00520A90">
        <w:rPr>
          <w:rFonts w:ascii="Cambria" w:hAnsi="Cambria"/>
          <w:sz w:val="16"/>
          <w:szCs w:val="16"/>
          <w:lang w:val="es-MX"/>
        </w:rPr>
        <w:t xml:space="preserve">Excepción Preliminar, Fondo, Reparaciones y Costas. Sentencia de 10 de julio de 2007. Serie C No. 167. </w:t>
      </w:r>
      <w:r w:rsidRPr="00520A90">
        <w:rPr>
          <w:rFonts w:ascii="Cambria" w:hAnsi="Cambria"/>
          <w:sz w:val="16"/>
          <w:szCs w:val="16"/>
          <w:lang w:val="es-ES"/>
        </w:rPr>
        <w:t xml:space="preserve">Párr. 124; </w:t>
      </w:r>
      <w:r w:rsidRPr="00520A90">
        <w:rPr>
          <w:rFonts w:ascii="Cambria" w:hAnsi="Cambria"/>
          <w:sz w:val="16"/>
          <w:szCs w:val="16"/>
          <w:lang w:val="es-MX"/>
        </w:rPr>
        <w:t xml:space="preserve">Corte I.D.H., </w:t>
      </w:r>
      <w:r w:rsidRPr="00520A90">
        <w:rPr>
          <w:rFonts w:ascii="Cambria" w:hAnsi="Cambria"/>
          <w:i/>
          <w:sz w:val="16"/>
          <w:szCs w:val="16"/>
          <w:lang w:val="es-MX"/>
        </w:rPr>
        <w:t>Caso de la Masacre de la Rochela</w:t>
      </w:r>
      <w:r w:rsidRPr="00520A90">
        <w:rPr>
          <w:rFonts w:ascii="Cambria" w:hAnsi="Cambria"/>
          <w:sz w:val="16"/>
          <w:szCs w:val="16"/>
          <w:lang w:val="es-MX"/>
        </w:rPr>
        <w:t>.  Sentencia de 11 de mayo de 2007.  Serie C. No. 163. Párr.</w:t>
      </w:r>
      <w:r w:rsidRPr="00520A90">
        <w:rPr>
          <w:rFonts w:ascii="Cambria" w:hAnsi="Cambria" w:cs="Arial"/>
          <w:sz w:val="16"/>
          <w:szCs w:val="16"/>
          <w:lang w:val="es-MX"/>
        </w:rPr>
        <w:t xml:space="preserve"> 145</w:t>
      </w:r>
      <w:r w:rsidRPr="00520A90">
        <w:rPr>
          <w:rFonts w:ascii="Cambria" w:hAnsi="Cambria"/>
          <w:sz w:val="16"/>
          <w:szCs w:val="16"/>
          <w:lang w:val="es-ES"/>
        </w:rPr>
        <w:t xml:space="preserve">; Corte I.D.H., </w:t>
      </w:r>
      <w:r w:rsidRPr="00520A90">
        <w:rPr>
          <w:rFonts w:ascii="Cambria" w:hAnsi="Cambria"/>
          <w:bCs/>
          <w:i/>
          <w:sz w:val="16"/>
          <w:szCs w:val="16"/>
          <w:lang w:val="es-MX"/>
        </w:rPr>
        <w:t xml:space="preserve">Caso del Penal Miguel Castro </w:t>
      </w:r>
      <w:proofErr w:type="spellStart"/>
      <w:r w:rsidRPr="00520A90">
        <w:rPr>
          <w:rFonts w:ascii="Cambria" w:hAnsi="Cambria"/>
          <w:bCs/>
          <w:i/>
          <w:sz w:val="16"/>
          <w:szCs w:val="16"/>
          <w:lang w:val="es-MX"/>
        </w:rPr>
        <w:t>Castro</w:t>
      </w:r>
      <w:proofErr w:type="spellEnd"/>
      <w:r w:rsidRPr="00520A90">
        <w:rPr>
          <w:rFonts w:ascii="Cambria" w:hAnsi="Cambria"/>
          <w:bCs/>
          <w:sz w:val="16"/>
          <w:szCs w:val="16"/>
          <w:lang w:val="es-MX"/>
        </w:rPr>
        <w:t xml:space="preserve">. </w:t>
      </w:r>
      <w:r w:rsidRPr="00520A90">
        <w:rPr>
          <w:rFonts w:ascii="Cambria" w:hAnsi="Cambria"/>
          <w:sz w:val="16"/>
          <w:szCs w:val="16"/>
          <w:lang w:val="es-MX"/>
        </w:rPr>
        <w:t>Sentencia de 25 de noviembre de 2006. Serie C No. 160. P</w:t>
      </w:r>
      <w:proofErr w:type="spellStart"/>
      <w:r w:rsidRPr="00520A90">
        <w:rPr>
          <w:rFonts w:ascii="Cambria" w:hAnsi="Cambria"/>
          <w:sz w:val="16"/>
          <w:szCs w:val="16"/>
          <w:lang w:val="es-ES"/>
        </w:rPr>
        <w:t>árr</w:t>
      </w:r>
      <w:proofErr w:type="spellEnd"/>
      <w:r w:rsidRPr="00520A90">
        <w:rPr>
          <w:rFonts w:ascii="Cambria" w:hAnsi="Cambria"/>
          <w:sz w:val="16"/>
          <w:szCs w:val="16"/>
          <w:lang w:val="es-ES"/>
        </w:rPr>
        <w:t xml:space="preserve">. 381; y Corte I.D.H., </w:t>
      </w:r>
      <w:r w:rsidRPr="00520A90">
        <w:rPr>
          <w:rFonts w:ascii="Cambria" w:hAnsi="Cambria"/>
          <w:i/>
          <w:sz w:val="16"/>
          <w:szCs w:val="16"/>
          <w:lang w:val="es-ES"/>
        </w:rPr>
        <w:t>Caso Trabajadores Cesados del Congreso (Aguado Alfaro y otros)</w:t>
      </w:r>
      <w:r w:rsidRPr="00520A90">
        <w:rPr>
          <w:rFonts w:ascii="Cambria" w:hAnsi="Cambria"/>
          <w:sz w:val="16"/>
          <w:szCs w:val="16"/>
          <w:lang w:val="es-ES"/>
        </w:rPr>
        <w:t>. Sentencia de 24 de noviembre de 2006. Serie C No. 158, Párr. 106.</w:t>
      </w:r>
    </w:p>
  </w:footnote>
  <w:footnote w:id="94">
    <w:p w:rsidR="00667DB2" w:rsidRPr="00520A90" w:rsidRDefault="00667DB2" w:rsidP="00FD5827">
      <w:pPr>
        <w:pStyle w:val="BlockText"/>
        <w:tabs>
          <w:tab w:val="left" w:pos="360"/>
          <w:tab w:val="left" w:pos="720"/>
          <w:tab w:val="left" w:pos="900"/>
          <w:tab w:val="left" w:pos="1080"/>
        </w:tabs>
        <w:spacing w:after="120" w:line="240" w:lineRule="auto"/>
        <w:ind w:left="0" w:right="0" w:firstLine="720"/>
        <w:rPr>
          <w:rFonts w:ascii="Cambria" w:hAnsi="Cambria"/>
          <w:szCs w:val="16"/>
          <w:lang w:val="es-CL"/>
        </w:rPr>
      </w:pPr>
      <w:r w:rsidRPr="00520A90">
        <w:rPr>
          <w:rStyle w:val="FootnoteReference"/>
          <w:rFonts w:ascii="Cambria" w:hAnsi="Cambria"/>
          <w:szCs w:val="16"/>
        </w:rPr>
        <w:footnoteRef/>
      </w:r>
      <w:r w:rsidRPr="00520A90">
        <w:rPr>
          <w:rFonts w:ascii="Cambria" w:hAnsi="Cambria"/>
          <w:szCs w:val="16"/>
        </w:rPr>
        <w:tab/>
        <w:t xml:space="preserve">Corte I.D.H., </w:t>
      </w:r>
      <w:r w:rsidRPr="00520A90">
        <w:rPr>
          <w:rFonts w:ascii="Cambria" w:hAnsi="Cambria"/>
          <w:bCs/>
          <w:i/>
          <w:szCs w:val="16"/>
        </w:rPr>
        <w:t>Caso García Prieto y otros.</w:t>
      </w:r>
      <w:r w:rsidRPr="00520A90">
        <w:rPr>
          <w:rFonts w:ascii="Cambria" w:hAnsi="Cambria"/>
          <w:bCs/>
          <w:szCs w:val="16"/>
        </w:rPr>
        <w:t xml:space="preserve"> </w:t>
      </w:r>
      <w:r w:rsidRPr="00520A90">
        <w:rPr>
          <w:rFonts w:ascii="Cambria" w:hAnsi="Cambria"/>
          <w:szCs w:val="16"/>
        </w:rPr>
        <w:t xml:space="preserve">Excepción Preliminar, Fondo, Reparaciones y Costas. Sentencia de 20 de noviembre de 2007. Serie C No. 168. Párr. 102; Corte I.D.H., </w:t>
      </w:r>
      <w:r w:rsidRPr="00520A90">
        <w:rPr>
          <w:rFonts w:ascii="Cambria" w:hAnsi="Cambria"/>
          <w:i/>
          <w:szCs w:val="16"/>
        </w:rPr>
        <w:t>Caso de los “Niños de la Calle” (Villagrán Morales y otros).</w:t>
      </w:r>
      <w:r w:rsidRPr="00520A90">
        <w:rPr>
          <w:rFonts w:ascii="Cambria" w:hAnsi="Cambria"/>
          <w:szCs w:val="16"/>
        </w:rPr>
        <w:t xml:space="preserve"> Sentencia de 19 de noviembre de 1999. Serie C No. 63. </w:t>
      </w:r>
      <w:r w:rsidRPr="00520A90">
        <w:rPr>
          <w:rFonts w:ascii="Cambria" w:hAnsi="Cambria" w:cs="Arial"/>
          <w:szCs w:val="16"/>
        </w:rPr>
        <w:t>Párr. </w:t>
      </w:r>
      <w:r w:rsidRPr="00520A90">
        <w:rPr>
          <w:rFonts w:ascii="Cambria" w:hAnsi="Cambria"/>
          <w:szCs w:val="16"/>
        </w:rPr>
        <w:t xml:space="preserve">227; y Corte I.D.H., </w:t>
      </w:r>
      <w:r w:rsidRPr="00520A90">
        <w:rPr>
          <w:rFonts w:ascii="Cambria" w:hAnsi="Cambria"/>
          <w:bCs/>
          <w:i/>
          <w:szCs w:val="16"/>
          <w:lang w:val="es-CL"/>
        </w:rPr>
        <w:t xml:space="preserve">Caso de las Hermanas Serrano Cruz. </w:t>
      </w:r>
      <w:r w:rsidRPr="00520A90">
        <w:rPr>
          <w:rFonts w:ascii="Cambria" w:hAnsi="Cambria"/>
          <w:i/>
          <w:szCs w:val="16"/>
          <w:lang w:val="es-CL"/>
        </w:rPr>
        <w:t>Fondo</w:t>
      </w:r>
      <w:r w:rsidRPr="00520A90">
        <w:rPr>
          <w:rFonts w:ascii="Cambria" w:hAnsi="Cambria"/>
          <w:szCs w:val="16"/>
          <w:lang w:val="es-CL"/>
        </w:rPr>
        <w:t xml:space="preserve">, </w:t>
      </w:r>
      <w:r w:rsidRPr="00520A90">
        <w:rPr>
          <w:rFonts w:ascii="Cambria" w:hAnsi="Cambria"/>
          <w:i/>
          <w:szCs w:val="16"/>
          <w:lang w:val="es-CL"/>
        </w:rPr>
        <w:t>Reparaciones y Costas</w:t>
      </w:r>
      <w:r w:rsidRPr="00520A90">
        <w:rPr>
          <w:rFonts w:ascii="Cambria" w:hAnsi="Cambria"/>
          <w:szCs w:val="16"/>
          <w:lang w:val="es-CL"/>
        </w:rPr>
        <w:t>. Sentencia de 01 de marzo de 2005. Serie C No. 120, Párr. 63.</w:t>
      </w:r>
    </w:p>
  </w:footnote>
  <w:footnote w:id="95">
    <w:p w:rsidR="00667DB2" w:rsidRPr="00520A90" w:rsidRDefault="00667DB2" w:rsidP="00FD5827">
      <w:pPr>
        <w:pStyle w:val="FootnoteText"/>
        <w:spacing w:after="120"/>
        <w:ind w:firstLine="720"/>
        <w:jc w:val="both"/>
        <w:rPr>
          <w:rFonts w:ascii="Cambria" w:hAnsi="Cambria"/>
          <w:color w:val="auto"/>
          <w:sz w:val="16"/>
          <w:szCs w:val="16"/>
          <w:lang w:val="es-ES_tradnl"/>
        </w:rPr>
      </w:pPr>
      <w:r w:rsidRPr="00520A90">
        <w:rPr>
          <w:rStyle w:val="FootnoteReference"/>
          <w:rFonts w:ascii="Cambria" w:hAnsi="Cambria"/>
          <w:color w:val="auto"/>
          <w:sz w:val="16"/>
          <w:szCs w:val="16"/>
          <w:lang w:val="es-ES_tradnl"/>
        </w:rPr>
        <w:footnoteRef/>
      </w:r>
      <w:r w:rsidRPr="00520A90">
        <w:rPr>
          <w:rStyle w:val="FootnoteReference"/>
          <w:rFonts w:ascii="Cambria" w:hAnsi="Cambria"/>
          <w:color w:val="auto"/>
          <w:sz w:val="16"/>
          <w:szCs w:val="16"/>
          <w:lang w:val="es-ES"/>
        </w:rPr>
        <w:t xml:space="preserve"> </w:t>
      </w:r>
      <w:r w:rsidRPr="00520A90">
        <w:rPr>
          <w:rFonts w:ascii="Cambria" w:hAnsi="Cambria"/>
          <w:color w:val="auto"/>
          <w:sz w:val="16"/>
          <w:szCs w:val="16"/>
          <w:lang w:val="es-ES"/>
        </w:rPr>
        <w:t xml:space="preserve">CIDH, Informe No. 85/13, Caso 12.251, Admisibilidad y Fondo, Vereda la Esperanza, Colombia, 4 de noviembre de 2013, párr. </w:t>
      </w:r>
      <w:r w:rsidRPr="00520A90">
        <w:rPr>
          <w:rFonts w:ascii="Cambria" w:hAnsi="Cambria"/>
          <w:color w:val="auto"/>
          <w:sz w:val="16"/>
          <w:szCs w:val="16"/>
          <w:lang w:val="es-MX"/>
        </w:rPr>
        <w:t xml:space="preserve">242. Corte I.D.H., </w:t>
      </w:r>
      <w:r w:rsidRPr="00520A90">
        <w:rPr>
          <w:rFonts w:ascii="Cambria" w:hAnsi="Cambria"/>
          <w:i/>
          <w:color w:val="auto"/>
          <w:sz w:val="16"/>
          <w:szCs w:val="16"/>
          <w:lang w:val="es-MX"/>
        </w:rPr>
        <w:t xml:space="preserve">Caso </w:t>
      </w:r>
      <w:proofErr w:type="spellStart"/>
      <w:r w:rsidRPr="00520A90">
        <w:rPr>
          <w:rFonts w:ascii="Cambria" w:hAnsi="Cambria"/>
          <w:i/>
          <w:color w:val="auto"/>
          <w:sz w:val="16"/>
          <w:szCs w:val="16"/>
          <w:lang w:val="es-MX"/>
        </w:rPr>
        <w:t>Kawas</w:t>
      </w:r>
      <w:proofErr w:type="spellEnd"/>
      <w:r w:rsidRPr="00520A90">
        <w:rPr>
          <w:rFonts w:ascii="Cambria" w:hAnsi="Cambria"/>
          <w:i/>
          <w:color w:val="auto"/>
          <w:sz w:val="16"/>
          <w:szCs w:val="16"/>
          <w:lang w:val="es-MX"/>
        </w:rPr>
        <w:t xml:space="preserve"> Fernández Vs. </w:t>
      </w:r>
      <w:r w:rsidRPr="00520A90">
        <w:rPr>
          <w:rFonts w:ascii="Cambria" w:hAnsi="Cambria"/>
          <w:i/>
          <w:color w:val="auto"/>
          <w:sz w:val="16"/>
          <w:szCs w:val="16"/>
          <w:lang w:val="es-ES_tradnl"/>
        </w:rPr>
        <w:t>Honduras</w:t>
      </w:r>
      <w:r w:rsidRPr="00520A90">
        <w:rPr>
          <w:rFonts w:ascii="Cambria" w:hAnsi="Cambria"/>
          <w:color w:val="auto"/>
          <w:sz w:val="16"/>
          <w:szCs w:val="16"/>
          <w:lang w:val="es-ES_tradnl"/>
        </w:rPr>
        <w:t xml:space="preserve">. Fondo, Reparaciones y Costas. Sentencia de 3 de abril de 2009 Serie C No. 196, párr. 101. </w:t>
      </w:r>
    </w:p>
  </w:footnote>
  <w:footnote w:id="96">
    <w:p w:rsidR="00667DB2" w:rsidRPr="00520A90" w:rsidRDefault="00667DB2" w:rsidP="00FD5827">
      <w:pPr>
        <w:widowControl w:val="0"/>
        <w:tabs>
          <w:tab w:val="left" w:pos="567"/>
        </w:tabs>
        <w:autoSpaceDE w:val="0"/>
        <w:autoSpaceDN w:val="0"/>
        <w:adjustRightInd w:val="0"/>
        <w:spacing w:after="120"/>
        <w:ind w:firstLine="720"/>
        <w:jc w:val="both"/>
        <w:rPr>
          <w:rFonts w:ascii="Cambria" w:hAnsi="Cambria" w:cs="Calibri"/>
          <w:color w:val="000000"/>
          <w:sz w:val="16"/>
          <w:szCs w:val="16"/>
          <w:u w:color="000000"/>
          <w:lang w:val="es-MX" w:eastAsia="es-ES"/>
        </w:rPr>
      </w:pPr>
      <w:r w:rsidRPr="00520A90">
        <w:rPr>
          <w:rStyle w:val="FootnoteReference"/>
          <w:rFonts w:ascii="Cambria" w:hAnsi="Cambria"/>
          <w:spacing w:val="-6"/>
          <w:sz w:val="16"/>
          <w:szCs w:val="16"/>
        </w:rPr>
        <w:footnoteRef/>
      </w:r>
      <w:r w:rsidRPr="00520A90">
        <w:rPr>
          <w:rFonts w:ascii="Cambria" w:hAnsi="Cambria"/>
          <w:i/>
          <w:spacing w:val="-6"/>
          <w:sz w:val="16"/>
          <w:szCs w:val="16"/>
          <w:lang w:val="es-CR"/>
        </w:rPr>
        <w:t xml:space="preserve"> </w:t>
      </w:r>
      <w:r w:rsidRPr="00520A90">
        <w:rPr>
          <w:rFonts w:ascii="Cambria" w:hAnsi="Cambria" w:cs="Calibri"/>
          <w:color w:val="000000"/>
          <w:sz w:val="16"/>
          <w:szCs w:val="16"/>
          <w:u w:color="000000"/>
          <w:lang w:val="es-MX" w:eastAsia="es-ES"/>
        </w:rPr>
        <w:t xml:space="preserve">Corte IDH. </w:t>
      </w:r>
      <w:r w:rsidRPr="00520A90">
        <w:rPr>
          <w:rFonts w:ascii="Cambria" w:hAnsi="Cambria" w:cs="Calibri"/>
          <w:i/>
          <w:color w:val="000000"/>
          <w:sz w:val="16"/>
          <w:szCs w:val="16"/>
          <w:u w:color="000000"/>
          <w:lang w:val="es-MX" w:eastAsia="es-ES"/>
        </w:rPr>
        <w:t>Caso  Velásquez Rodríguez. Vs. Honduras</w:t>
      </w:r>
      <w:r w:rsidRPr="00520A90">
        <w:rPr>
          <w:rFonts w:ascii="Cambria" w:hAnsi="Cambria" w:cs="Calibri"/>
          <w:color w:val="000000"/>
          <w:sz w:val="16"/>
          <w:szCs w:val="16"/>
          <w:u w:color="000000"/>
          <w:lang w:val="es-MX" w:eastAsia="es-ES"/>
        </w:rPr>
        <w:t xml:space="preserve">. Fondo. Sentencia de 29 de julio de 1988. Serie C No. 1, párr. 177;  y </w:t>
      </w:r>
      <w:r w:rsidRPr="00520A90">
        <w:rPr>
          <w:rFonts w:ascii="Cambria" w:hAnsi="Cambria" w:cs="Calibri"/>
          <w:i/>
          <w:color w:val="000000"/>
          <w:sz w:val="16"/>
          <w:szCs w:val="16"/>
          <w:u w:color="000000"/>
          <w:lang w:val="es-MX" w:eastAsia="es-ES"/>
        </w:rPr>
        <w:t>Caso Veliz Franco y otros Vs. Guatemala</w:t>
      </w:r>
      <w:r w:rsidRPr="00520A90">
        <w:rPr>
          <w:rFonts w:ascii="Cambria" w:hAnsi="Cambria" w:cs="Calibri"/>
          <w:color w:val="000000"/>
          <w:sz w:val="16"/>
          <w:szCs w:val="16"/>
          <w:u w:color="000000"/>
          <w:lang w:val="es-MX" w:eastAsia="es-ES"/>
        </w:rPr>
        <w:t>. Excepciones Preliminares, Fondo, Reparaciones y Costas. Sentencia de 19 de mayo de 2014. Serie C No. 277, párr. 183.</w:t>
      </w:r>
    </w:p>
  </w:footnote>
  <w:footnote w:id="97">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eastAsia="Times New Roman" w:hAnsi="Cambria"/>
          <w:sz w:val="16"/>
          <w:szCs w:val="16"/>
        </w:rPr>
        <w:footnoteRef/>
      </w:r>
      <w:r w:rsidRPr="00520A90">
        <w:rPr>
          <w:rFonts w:ascii="Cambria" w:hAnsi="Cambria"/>
          <w:sz w:val="16"/>
          <w:szCs w:val="16"/>
          <w:lang w:val="es-MX"/>
        </w:rPr>
        <w:t xml:space="preserve"> Corte IDH. </w:t>
      </w:r>
      <w:r w:rsidRPr="00520A90">
        <w:rPr>
          <w:rFonts w:ascii="Cambria" w:hAnsi="Cambria"/>
          <w:i/>
          <w:sz w:val="16"/>
          <w:szCs w:val="16"/>
          <w:lang w:val="es-MX"/>
        </w:rPr>
        <w:t xml:space="preserve">Caso Myrna </w:t>
      </w:r>
      <w:proofErr w:type="spellStart"/>
      <w:r w:rsidRPr="00520A90">
        <w:rPr>
          <w:rFonts w:ascii="Cambria" w:hAnsi="Cambria"/>
          <w:i/>
          <w:sz w:val="16"/>
          <w:szCs w:val="16"/>
          <w:lang w:val="es-MX"/>
        </w:rPr>
        <w:t>Mack</w:t>
      </w:r>
      <w:proofErr w:type="spellEnd"/>
      <w:r w:rsidRPr="00520A90">
        <w:rPr>
          <w:rFonts w:ascii="Cambria" w:hAnsi="Cambria"/>
          <w:i/>
          <w:sz w:val="16"/>
          <w:szCs w:val="16"/>
          <w:lang w:val="es-MX"/>
        </w:rPr>
        <w:t xml:space="preserve"> Chan Vs. Guatemala</w:t>
      </w:r>
      <w:r w:rsidRPr="00520A90">
        <w:rPr>
          <w:rFonts w:ascii="Cambria" w:hAnsi="Cambria"/>
          <w:sz w:val="16"/>
          <w:szCs w:val="16"/>
          <w:lang w:val="es-MX"/>
        </w:rPr>
        <w:t xml:space="preserve">. Fondo, Reparaciones y Costas. Sentencia de 25 de noviembre de 2003. Serie C No. 101, párr. 156; y </w:t>
      </w:r>
      <w:r w:rsidRPr="00520A90">
        <w:rPr>
          <w:rFonts w:ascii="Cambria" w:hAnsi="Cambria"/>
          <w:i/>
          <w:sz w:val="16"/>
          <w:szCs w:val="16"/>
          <w:lang w:val="es-MX"/>
        </w:rPr>
        <w:t>Caso de las Comunidades Afrodescendientes Desplazadas de la Cuenca del Río Cacarica (Operación Génesis) Vs. Colombia.</w:t>
      </w:r>
      <w:r w:rsidRPr="00520A90">
        <w:rPr>
          <w:rFonts w:ascii="Cambria" w:hAnsi="Cambria"/>
          <w:sz w:val="16"/>
          <w:szCs w:val="16"/>
          <w:lang w:val="es-MX"/>
        </w:rPr>
        <w:t xml:space="preserve"> Excepciones Preliminares, Fondo, Reparaciones y Costas. Sentencia de 20 de noviembre de 2013. Serie C No. 270, párr. 371.</w:t>
      </w:r>
    </w:p>
  </w:footnote>
  <w:footnote w:id="98">
    <w:p w:rsidR="00667DB2" w:rsidRPr="00520A90" w:rsidRDefault="00667DB2" w:rsidP="00FD5827">
      <w:pPr>
        <w:tabs>
          <w:tab w:val="left" w:pos="567"/>
        </w:tabs>
        <w:spacing w:after="120"/>
        <w:ind w:firstLine="720"/>
        <w:jc w:val="both"/>
        <w:rPr>
          <w:rFonts w:ascii="Cambria" w:hAnsi="Cambria" w:cs="Calibri"/>
          <w:color w:val="000000"/>
          <w:sz w:val="16"/>
          <w:szCs w:val="16"/>
          <w:u w:color="000000"/>
          <w:lang w:val="es-MX" w:eastAsia="es-ES"/>
        </w:rPr>
      </w:pPr>
      <w:r w:rsidRPr="00520A90">
        <w:rPr>
          <w:rStyle w:val="FootnoteReference"/>
          <w:rFonts w:ascii="Cambria" w:hAnsi="Cambria"/>
          <w:spacing w:val="-6"/>
          <w:sz w:val="16"/>
          <w:szCs w:val="16"/>
        </w:rPr>
        <w:footnoteRef/>
      </w:r>
      <w:r w:rsidRPr="00520A90">
        <w:rPr>
          <w:rFonts w:ascii="Cambria" w:hAnsi="Cambria" w:cs="Calibri"/>
          <w:color w:val="000000"/>
          <w:sz w:val="16"/>
          <w:szCs w:val="16"/>
          <w:u w:color="000000"/>
          <w:lang w:val="es-MX" w:eastAsia="es-ES"/>
        </w:rPr>
        <w:t xml:space="preserve">Corte IDH. </w:t>
      </w:r>
      <w:r w:rsidRPr="00520A90">
        <w:rPr>
          <w:rFonts w:ascii="Cambria" w:hAnsi="Cambria" w:cs="Calibri"/>
          <w:i/>
          <w:color w:val="000000"/>
          <w:sz w:val="16"/>
          <w:szCs w:val="16"/>
          <w:u w:color="000000"/>
          <w:lang w:val="es-MX" w:eastAsia="es-ES"/>
        </w:rPr>
        <w:t>Caso Velásquez Rodríguez Vs. Honduras</w:t>
      </w:r>
      <w:r w:rsidRPr="00520A90">
        <w:rPr>
          <w:rFonts w:ascii="Cambria" w:hAnsi="Cambria" w:cs="Calibri"/>
          <w:color w:val="000000"/>
          <w:sz w:val="16"/>
          <w:szCs w:val="16"/>
          <w:u w:color="000000"/>
          <w:lang w:val="es-MX" w:eastAsia="es-ES"/>
        </w:rPr>
        <w:t xml:space="preserve">. Fondo. Sentencia de 29 de julio de 1988. Serie C No. 1, párr. 177;  y </w:t>
      </w:r>
      <w:r w:rsidRPr="00520A90">
        <w:rPr>
          <w:rFonts w:ascii="Cambria" w:hAnsi="Cambria" w:cs="Calibri"/>
          <w:i/>
          <w:color w:val="000000"/>
          <w:sz w:val="16"/>
          <w:szCs w:val="16"/>
          <w:u w:color="000000"/>
          <w:lang w:val="es-MX" w:eastAsia="es-ES"/>
        </w:rPr>
        <w:t>Caso Veliz Franco y otros Vs. Guatemala.</w:t>
      </w:r>
      <w:r w:rsidRPr="00520A90">
        <w:rPr>
          <w:rFonts w:ascii="Cambria" w:hAnsi="Cambria" w:cs="Calibri"/>
          <w:color w:val="000000"/>
          <w:sz w:val="16"/>
          <w:szCs w:val="16"/>
          <w:u w:color="000000"/>
          <w:lang w:val="es-MX" w:eastAsia="es-ES"/>
        </w:rPr>
        <w:t xml:space="preserve"> Excepciones Preliminares. Fondo, Reparaciones y Costas. Sentencia de 19 de mayo de 2014. Serie C No. 277, párr.183.</w:t>
      </w:r>
    </w:p>
  </w:footnote>
  <w:footnote w:id="99">
    <w:p w:rsidR="00667DB2" w:rsidRPr="00520A90" w:rsidRDefault="00667DB2" w:rsidP="00FD5827">
      <w:pPr>
        <w:widowControl w:val="0"/>
        <w:tabs>
          <w:tab w:val="left" w:pos="567"/>
        </w:tabs>
        <w:autoSpaceDE w:val="0"/>
        <w:autoSpaceDN w:val="0"/>
        <w:adjustRightInd w:val="0"/>
        <w:spacing w:after="120"/>
        <w:ind w:firstLine="720"/>
        <w:jc w:val="both"/>
        <w:rPr>
          <w:rFonts w:ascii="Cambria" w:hAnsi="Cambria"/>
          <w:spacing w:val="-6"/>
          <w:sz w:val="16"/>
          <w:szCs w:val="16"/>
          <w:lang w:val="es-CR"/>
        </w:rPr>
      </w:pPr>
      <w:r w:rsidRPr="00520A90">
        <w:rPr>
          <w:rStyle w:val="FootnoteReference"/>
          <w:rFonts w:ascii="Cambria" w:hAnsi="Cambria"/>
          <w:spacing w:val="-6"/>
          <w:sz w:val="16"/>
          <w:szCs w:val="16"/>
        </w:rPr>
        <w:footnoteRef/>
      </w:r>
      <w:r w:rsidRPr="00520A90">
        <w:rPr>
          <w:rFonts w:ascii="Cambria" w:hAnsi="Cambria"/>
          <w:spacing w:val="-6"/>
          <w:sz w:val="16"/>
          <w:szCs w:val="16"/>
          <w:lang w:val="es-CR"/>
        </w:rPr>
        <w:t xml:space="preserve"> Corte IDH</w:t>
      </w:r>
      <w:r w:rsidRPr="00520A90">
        <w:rPr>
          <w:rFonts w:ascii="Cambria" w:hAnsi="Cambria"/>
          <w:i/>
          <w:spacing w:val="-6"/>
          <w:sz w:val="16"/>
          <w:szCs w:val="16"/>
          <w:lang w:val="es-CR"/>
        </w:rPr>
        <w:t>.</w:t>
      </w:r>
      <w:r w:rsidRPr="00520A90">
        <w:rPr>
          <w:rFonts w:ascii="Cambria" w:hAnsi="Cambria"/>
          <w:spacing w:val="-6"/>
          <w:sz w:val="16"/>
          <w:szCs w:val="16"/>
          <w:lang w:val="es-CR"/>
        </w:rPr>
        <w:t xml:space="preserve"> </w:t>
      </w:r>
      <w:r w:rsidRPr="00520A90">
        <w:rPr>
          <w:rFonts w:ascii="Cambria" w:hAnsi="Cambria"/>
          <w:i/>
          <w:spacing w:val="-6"/>
          <w:sz w:val="16"/>
          <w:szCs w:val="16"/>
          <w:lang w:val="es-CR"/>
        </w:rPr>
        <w:t xml:space="preserve">Caso de las Masacres de </w:t>
      </w:r>
      <w:proofErr w:type="spellStart"/>
      <w:r w:rsidRPr="00520A90">
        <w:rPr>
          <w:rFonts w:ascii="Cambria" w:hAnsi="Cambria"/>
          <w:i/>
          <w:spacing w:val="-6"/>
          <w:sz w:val="16"/>
          <w:szCs w:val="16"/>
          <w:lang w:val="es-CR"/>
        </w:rPr>
        <w:t>Ituango</w:t>
      </w:r>
      <w:proofErr w:type="spellEnd"/>
      <w:r w:rsidRPr="00520A90">
        <w:rPr>
          <w:rFonts w:ascii="Cambria" w:hAnsi="Cambria"/>
          <w:i/>
          <w:spacing w:val="-6"/>
          <w:sz w:val="16"/>
          <w:szCs w:val="16"/>
          <w:lang w:val="es-CR"/>
        </w:rPr>
        <w:t xml:space="preserve">  Vs. Colombia.</w:t>
      </w:r>
      <w:r w:rsidRPr="00520A90">
        <w:rPr>
          <w:rFonts w:ascii="Cambria" w:hAnsi="Cambria"/>
          <w:spacing w:val="-6"/>
          <w:sz w:val="16"/>
          <w:szCs w:val="16"/>
          <w:lang w:val="es-CR"/>
        </w:rPr>
        <w:t xml:space="preserve"> Sentencia de 1 de julio de 2006, Serie C. No. 148, párr. 319;  </w:t>
      </w:r>
      <w:r w:rsidRPr="00520A90">
        <w:rPr>
          <w:rFonts w:ascii="Cambria" w:hAnsi="Cambria"/>
          <w:i/>
          <w:spacing w:val="-6"/>
          <w:sz w:val="16"/>
          <w:szCs w:val="16"/>
          <w:lang w:val="es-CR"/>
        </w:rPr>
        <w:t xml:space="preserve">Caso Veliz Franco </w:t>
      </w:r>
      <w:r w:rsidRPr="00520A90">
        <w:rPr>
          <w:rFonts w:ascii="Cambria" w:hAnsi="Cambria" w:cs="Verdana"/>
          <w:i/>
          <w:spacing w:val="-6"/>
          <w:sz w:val="16"/>
          <w:szCs w:val="16"/>
          <w:lang w:val="es-ES"/>
        </w:rPr>
        <w:t xml:space="preserve">y otros Vs. Guatemala. </w:t>
      </w:r>
      <w:r w:rsidRPr="00520A90">
        <w:rPr>
          <w:rFonts w:ascii="Cambria" w:hAnsi="Cambria" w:cs="Verdana"/>
          <w:spacing w:val="-6"/>
          <w:sz w:val="16"/>
          <w:szCs w:val="16"/>
          <w:lang w:val="es-ES"/>
        </w:rPr>
        <w:t xml:space="preserve">Excepciones Preliminares, Fondo, Reparaciones y Costas. Sentencia de 19 de mayo de 2014. Serie C No. 277, párr. 183; y </w:t>
      </w:r>
      <w:r w:rsidRPr="00520A90">
        <w:rPr>
          <w:rFonts w:ascii="Cambria" w:hAnsi="Cambria"/>
          <w:i/>
          <w:sz w:val="16"/>
          <w:szCs w:val="16"/>
          <w:lang w:val="es-MX"/>
        </w:rPr>
        <w:t xml:space="preserve">Caso Hermanos Landaeta Mejías y otros Vs. Venezuela. </w:t>
      </w:r>
      <w:r w:rsidRPr="00520A90">
        <w:rPr>
          <w:rFonts w:ascii="Cambria" w:hAnsi="Cambria"/>
          <w:sz w:val="16"/>
          <w:szCs w:val="16"/>
          <w:lang w:val="es-MX"/>
        </w:rPr>
        <w:t>Excepciones  Preliminares, Fondo, Reparaciones y Costas</w:t>
      </w:r>
      <w:r w:rsidRPr="00520A90">
        <w:rPr>
          <w:rFonts w:ascii="Cambria" w:hAnsi="Cambria"/>
          <w:i/>
          <w:sz w:val="16"/>
          <w:szCs w:val="16"/>
          <w:lang w:val="es-MX"/>
        </w:rPr>
        <w:t xml:space="preserve">. </w:t>
      </w:r>
      <w:r w:rsidRPr="00520A90">
        <w:rPr>
          <w:rFonts w:ascii="Cambria" w:hAnsi="Cambria"/>
          <w:sz w:val="16"/>
          <w:szCs w:val="16"/>
          <w:lang w:val="es-MX"/>
        </w:rPr>
        <w:t xml:space="preserve">Sentencia de 27 de agosto de 2014. Serie C No. 281, párr., 216. </w:t>
      </w:r>
    </w:p>
  </w:footnote>
  <w:footnote w:id="100">
    <w:p w:rsidR="00667DB2" w:rsidRPr="00520A90" w:rsidRDefault="00667DB2" w:rsidP="00FD5827">
      <w:pPr>
        <w:spacing w:after="120"/>
        <w:ind w:firstLine="720"/>
        <w:jc w:val="both"/>
        <w:rPr>
          <w:rFonts w:ascii="Cambria" w:hAnsi="Cambria"/>
          <w:sz w:val="16"/>
          <w:szCs w:val="16"/>
          <w:lang w:val="es-ES"/>
        </w:rPr>
      </w:pPr>
      <w:r w:rsidRPr="00520A90">
        <w:rPr>
          <w:rStyle w:val="FootnoteReference"/>
          <w:rFonts w:ascii="Cambria" w:hAnsi="Cambria"/>
          <w:sz w:val="16"/>
          <w:szCs w:val="16"/>
        </w:rPr>
        <w:footnoteRef/>
      </w:r>
      <w:r w:rsidRPr="00520A90">
        <w:rPr>
          <w:rFonts w:ascii="Cambria" w:hAnsi="Cambria"/>
          <w:sz w:val="16"/>
          <w:szCs w:val="16"/>
          <w:lang w:val="es-ES"/>
        </w:rPr>
        <w:t xml:space="preserve"> </w:t>
      </w:r>
      <w:r w:rsidRPr="00520A90">
        <w:rPr>
          <w:rFonts w:ascii="Cambria" w:hAnsi="Cambria"/>
          <w:sz w:val="16"/>
          <w:szCs w:val="16"/>
          <w:lang w:val="es-ES_tradnl"/>
        </w:rPr>
        <w:t>Corte IDH.</w:t>
      </w:r>
      <w:r w:rsidRPr="00520A90">
        <w:rPr>
          <w:rFonts w:ascii="Cambria" w:hAnsi="Cambria"/>
          <w:i/>
          <w:sz w:val="16"/>
          <w:szCs w:val="16"/>
          <w:lang w:val="es-ES_tradnl"/>
        </w:rPr>
        <w:t xml:space="preserve"> </w:t>
      </w:r>
      <w:r w:rsidRPr="00520A90">
        <w:rPr>
          <w:rFonts w:ascii="Cambria" w:hAnsi="Cambria"/>
          <w:i/>
          <w:sz w:val="16"/>
          <w:szCs w:val="16"/>
          <w:lang w:val="es-ES"/>
        </w:rPr>
        <w:t xml:space="preserve">Caso de la Comunidad Indígena </w:t>
      </w:r>
      <w:proofErr w:type="spellStart"/>
      <w:r w:rsidRPr="00520A90">
        <w:rPr>
          <w:rFonts w:ascii="Cambria" w:hAnsi="Cambria"/>
          <w:i/>
          <w:sz w:val="16"/>
          <w:szCs w:val="16"/>
          <w:lang w:val="es-ES"/>
        </w:rPr>
        <w:t>Yakye</w:t>
      </w:r>
      <w:proofErr w:type="spellEnd"/>
      <w:r w:rsidRPr="00520A90">
        <w:rPr>
          <w:rFonts w:ascii="Cambria" w:hAnsi="Cambria"/>
          <w:i/>
          <w:sz w:val="16"/>
          <w:szCs w:val="16"/>
          <w:lang w:val="es-ES"/>
        </w:rPr>
        <w:t xml:space="preserve"> Axa</w:t>
      </w:r>
      <w:r w:rsidRPr="00520A90">
        <w:rPr>
          <w:rFonts w:ascii="Cambria" w:hAnsi="Cambria"/>
          <w:sz w:val="16"/>
          <w:szCs w:val="16"/>
          <w:lang w:val="es-ES"/>
        </w:rPr>
        <w:t xml:space="preserve">. Sentencia de 17 de junio de 2005. Serie C No. 125, párr. 61; </w:t>
      </w:r>
      <w:r w:rsidRPr="00520A90">
        <w:rPr>
          <w:rFonts w:ascii="Cambria" w:hAnsi="Cambria"/>
          <w:i/>
          <w:sz w:val="16"/>
          <w:szCs w:val="16"/>
          <w:lang w:val="es-ES"/>
        </w:rPr>
        <w:t>Caso “Cinco Pensionistas”.</w:t>
      </w:r>
      <w:r w:rsidRPr="00520A90">
        <w:rPr>
          <w:rFonts w:ascii="Cambria" w:hAnsi="Cambria"/>
          <w:sz w:val="16"/>
          <w:szCs w:val="16"/>
          <w:lang w:val="es-ES"/>
        </w:rPr>
        <w:t xml:space="preserve"> Sentencia de 28 de febrero de 2003. Serie C No. 98, párr. 136, y </w:t>
      </w:r>
      <w:r w:rsidRPr="00520A90">
        <w:rPr>
          <w:rFonts w:ascii="Cambria" w:hAnsi="Cambria"/>
          <w:i/>
          <w:sz w:val="16"/>
          <w:szCs w:val="16"/>
          <w:lang w:val="es-ES"/>
        </w:rPr>
        <w:t xml:space="preserve">Caso de la Comunidad </w:t>
      </w:r>
      <w:proofErr w:type="spellStart"/>
      <w:r w:rsidRPr="00520A90">
        <w:rPr>
          <w:rFonts w:ascii="Cambria" w:hAnsi="Cambria"/>
          <w:i/>
          <w:sz w:val="16"/>
          <w:szCs w:val="16"/>
          <w:lang w:val="es-ES"/>
        </w:rPr>
        <w:t>Mayagna</w:t>
      </w:r>
      <w:proofErr w:type="spellEnd"/>
      <w:r w:rsidRPr="00520A90">
        <w:rPr>
          <w:rFonts w:ascii="Cambria" w:hAnsi="Cambria"/>
          <w:i/>
          <w:sz w:val="16"/>
          <w:szCs w:val="16"/>
          <w:lang w:val="es-ES"/>
        </w:rPr>
        <w:t xml:space="preserve"> (Sumo) </w:t>
      </w:r>
      <w:proofErr w:type="spellStart"/>
      <w:r w:rsidRPr="00520A90">
        <w:rPr>
          <w:rFonts w:ascii="Cambria" w:hAnsi="Cambria"/>
          <w:i/>
          <w:sz w:val="16"/>
          <w:szCs w:val="16"/>
          <w:lang w:val="es-ES"/>
        </w:rPr>
        <w:t>Awas</w:t>
      </w:r>
      <w:proofErr w:type="spellEnd"/>
      <w:r w:rsidRPr="00520A90">
        <w:rPr>
          <w:rFonts w:ascii="Cambria" w:hAnsi="Cambria"/>
          <w:i/>
          <w:sz w:val="16"/>
          <w:szCs w:val="16"/>
          <w:lang w:val="es-ES"/>
        </w:rPr>
        <w:t xml:space="preserve"> </w:t>
      </w:r>
      <w:proofErr w:type="spellStart"/>
      <w:r w:rsidRPr="00520A90">
        <w:rPr>
          <w:rFonts w:ascii="Cambria" w:hAnsi="Cambria"/>
          <w:i/>
          <w:sz w:val="16"/>
          <w:szCs w:val="16"/>
          <w:lang w:val="es-ES"/>
        </w:rPr>
        <w:t>Tingni</w:t>
      </w:r>
      <w:proofErr w:type="spellEnd"/>
      <w:r w:rsidRPr="00520A90">
        <w:rPr>
          <w:rFonts w:ascii="Cambria" w:hAnsi="Cambria"/>
          <w:i/>
          <w:sz w:val="16"/>
          <w:szCs w:val="16"/>
          <w:lang w:val="es-ES"/>
        </w:rPr>
        <w:t>.</w:t>
      </w:r>
      <w:r w:rsidRPr="00520A90">
        <w:rPr>
          <w:rFonts w:ascii="Cambria" w:hAnsi="Cambria"/>
          <w:sz w:val="16"/>
          <w:szCs w:val="16"/>
          <w:lang w:val="es-ES"/>
        </w:rPr>
        <w:t xml:space="preserve"> Sentencia de 31 de agosto de 2001. Serie C No. 79, párr. 113.</w:t>
      </w:r>
    </w:p>
  </w:footnote>
  <w:footnote w:id="101">
    <w:p w:rsidR="00667DB2" w:rsidRPr="00520A90" w:rsidRDefault="00667DB2" w:rsidP="00FD5827">
      <w:pPr>
        <w:pStyle w:val="FootnoteText"/>
        <w:tabs>
          <w:tab w:val="left" w:pos="720"/>
        </w:tabs>
        <w:spacing w:after="120"/>
        <w:ind w:firstLine="720"/>
        <w:jc w:val="both"/>
        <w:rPr>
          <w:rFonts w:ascii="Cambria" w:hAnsi="Cambria"/>
          <w:sz w:val="16"/>
          <w:szCs w:val="16"/>
          <w:lang w:val="es-ES"/>
        </w:rPr>
      </w:pPr>
      <w:r w:rsidRPr="00520A90">
        <w:rPr>
          <w:rStyle w:val="FootnoteReference"/>
          <w:rFonts w:ascii="Cambria" w:hAnsi="Cambria"/>
          <w:sz w:val="16"/>
          <w:szCs w:val="16"/>
          <w:lang w:val="es-ES"/>
        </w:rPr>
        <w:footnoteRef/>
      </w:r>
      <w:r w:rsidRPr="00667DB2">
        <w:rPr>
          <w:rFonts w:ascii="Cambria" w:hAnsi="Cambria"/>
          <w:sz w:val="16"/>
          <w:szCs w:val="16"/>
          <w:lang w:val="es-MX"/>
        </w:rPr>
        <w:t xml:space="preserve"> Corte I.D.H., </w:t>
      </w:r>
      <w:r w:rsidRPr="00667DB2">
        <w:rPr>
          <w:rFonts w:ascii="Cambria" w:hAnsi="Cambria"/>
          <w:bCs/>
          <w:i/>
          <w:sz w:val="16"/>
          <w:szCs w:val="16"/>
          <w:lang w:val="es-MX"/>
        </w:rPr>
        <w:t xml:space="preserve">Caso </w:t>
      </w:r>
      <w:proofErr w:type="spellStart"/>
      <w:r w:rsidRPr="00667DB2">
        <w:rPr>
          <w:rFonts w:ascii="Cambria" w:hAnsi="Cambria"/>
          <w:bCs/>
          <w:i/>
          <w:sz w:val="16"/>
          <w:szCs w:val="16"/>
          <w:lang w:val="es-MX"/>
        </w:rPr>
        <w:t>Anzualdo</w:t>
      </w:r>
      <w:proofErr w:type="spellEnd"/>
      <w:r w:rsidRPr="00667DB2">
        <w:rPr>
          <w:rFonts w:ascii="Cambria" w:hAnsi="Cambria"/>
          <w:bCs/>
          <w:i/>
          <w:sz w:val="16"/>
          <w:szCs w:val="16"/>
          <w:lang w:val="es-MX"/>
        </w:rPr>
        <w:t xml:space="preserve"> Castro Vs. </w:t>
      </w:r>
      <w:r w:rsidRPr="00520A90">
        <w:rPr>
          <w:rFonts w:ascii="Cambria" w:hAnsi="Cambria"/>
          <w:bCs/>
          <w:i/>
          <w:sz w:val="16"/>
          <w:szCs w:val="16"/>
          <w:lang w:val="es-ES"/>
        </w:rPr>
        <w:t>Perú.</w:t>
      </w:r>
      <w:r w:rsidRPr="00520A90">
        <w:rPr>
          <w:rFonts w:ascii="Cambria" w:hAnsi="Cambria"/>
          <w:bCs/>
          <w:sz w:val="16"/>
          <w:szCs w:val="16"/>
          <w:lang w:val="es-ES"/>
        </w:rPr>
        <w:t xml:space="preserve"> </w:t>
      </w:r>
      <w:r w:rsidRPr="00520A90">
        <w:rPr>
          <w:rFonts w:ascii="Cambria" w:hAnsi="Cambria"/>
          <w:sz w:val="16"/>
          <w:szCs w:val="16"/>
          <w:lang w:val="es-ES"/>
        </w:rPr>
        <w:t>Excepción Preliminar, Fondo, Reparaciones y Costas. Sentencia de 22 de Septiembre de 2009. Serie C No. 202, párr. 64.</w:t>
      </w:r>
    </w:p>
  </w:footnote>
  <w:footnote w:id="102">
    <w:p w:rsidR="00667DB2" w:rsidRPr="00520A90" w:rsidRDefault="00667DB2" w:rsidP="00FD5827">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720"/>
        <w:jc w:val="both"/>
        <w:rPr>
          <w:rFonts w:ascii="Cambria" w:hAnsi="Cambria"/>
          <w:sz w:val="16"/>
          <w:szCs w:val="16"/>
          <w:lang w:val="es-ES" w:bidi="x-none"/>
        </w:rPr>
      </w:pPr>
      <w:r w:rsidRPr="00520A90">
        <w:rPr>
          <w:rStyle w:val="FootnoteReference"/>
          <w:rFonts w:ascii="Cambria" w:hAnsi="Cambria"/>
          <w:sz w:val="16"/>
          <w:szCs w:val="16"/>
          <w:lang w:val="es-ES"/>
        </w:rPr>
        <w:footnoteRef/>
      </w:r>
      <w:r w:rsidRPr="00667DB2">
        <w:rPr>
          <w:rFonts w:ascii="Cambria" w:hAnsi="Cambria"/>
          <w:sz w:val="16"/>
          <w:szCs w:val="16"/>
          <w:lang w:val="es-MX"/>
        </w:rPr>
        <w:t xml:space="preserve"> Corte IDH., </w:t>
      </w:r>
      <w:r w:rsidRPr="00667DB2">
        <w:rPr>
          <w:rFonts w:ascii="Cambria" w:hAnsi="Cambria"/>
          <w:bCs/>
          <w:i/>
          <w:sz w:val="16"/>
          <w:szCs w:val="16"/>
          <w:lang w:val="es-MX"/>
        </w:rPr>
        <w:t xml:space="preserve">Caso </w:t>
      </w:r>
      <w:proofErr w:type="spellStart"/>
      <w:r w:rsidRPr="00667DB2">
        <w:rPr>
          <w:rFonts w:ascii="Cambria" w:hAnsi="Cambria"/>
          <w:bCs/>
          <w:i/>
          <w:sz w:val="16"/>
          <w:szCs w:val="16"/>
          <w:lang w:val="es-MX"/>
        </w:rPr>
        <w:t>Bámaca</w:t>
      </w:r>
      <w:proofErr w:type="spellEnd"/>
      <w:r w:rsidRPr="00667DB2">
        <w:rPr>
          <w:rFonts w:ascii="Cambria" w:hAnsi="Cambria"/>
          <w:bCs/>
          <w:i/>
          <w:sz w:val="16"/>
          <w:szCs w:val="16"/>
          <w:lang w:val="es-MX"/>
        </w:rPr>
        <w:t xml:space="preserve"> Velásquez Vs. </w:t>
      </w:r>
      <w:r w:rsidRPr="00520A90">
        <w:rPr>
          <w:rFonts w:ascii="Cambria" w:hAnsi="Cambria"/>
          <w:bCs/>
          <w:i/>
          <w:sz w:val="16"/>
          <w:szCs w:val="16"/>
          <w:lang w:val="es-ES"/>
        </w:rPr>
        <w:t>Guatemala</w:t>
      </w:r>
      <w:r w:rsidRPr="00520A90">
        <w:rPr>
          <w:rFonts w:ascii="Cambria" w:hAnsi="Cambria"/>
          <w:bCs/>
          <w:sz w:val="16"/>
          <w:szCs w:val="16"/>
          <w:lang w:val="es-ES"/>
        </w:rPr>
        <w:t xml:space="preserve">. </w:t>
      </w:r>
      <w:r w:rsidRPr="00520A90">
        <w:rPr>
          <w:rFonts w:ascii="Cambria" w:hAnsi="Cambria"/>
          <w:sz w:val="16"/>
          <w:szCs w:val="16"/>
          <w:lang w:val="es-ES"/>
        </w:rPr>
        <w:t>Fondo</w:t>
      </w:r>
      <w:r w:rsidRPr="00520A90">
        <w:rPr>
          <w:rFonts w:ascii="Cambria" w:hAnsi="Cambria"/>
          <w:i/>
          <w:sz w:val="16"/>
          <w:szCs w:val="16"/>
          <w:lang w:val="es-ES"/>
        </w:rPr>
        <w:t>.</w:t>
      </w:r>
      <w:r w:rsidRPr="00520A90">
        <w:rPr>
          <w:rFonts w:ascii="Cambria" w:hAnsi="Cambria"/>
          <w:sz w:val="16"/>
          <w:szCs w:val="16"/>
          <w:lang w:val="es-ES"/>
        </w:rPr>
        <w:t xml:space="preserve"> Sentencia de 25 de noviembre de 2000. Serie C No. 70, </w:t>
      </w:r>
      <w:r w:rsidRPr="00520A90">
        <w:rPr>
          <w:rFonts w:ascii="Cambria" w:hAnsi="Cambria"/>
          <w:sz w:val="16"/>
          <w:szCs w:val="16"/>
          <w:lang w:val="es-ES" w:bidi="x-none"/>
        </w:rPr>
        <w:t xml:space="preserve">párr. 197. </w:t>
      </w:r>
    </w:p>
  </w:footnote>
  <w:footnote w:id="103">
    <w:p w:rsidR="00667DB2" w:rsidRPr="00520A90" w:rsidRDefault="00667DB2" w:rsidP="00FD5827">
      <w:pPr>
        <w:pStyle w:val="FootnoteText"/>
        <w:spacing w:after="120"/>
        <w:ind w:firstLine="720"/>
        <w:jc w:val="both"/>
        <w:rPr>
          <w:rFonts w:ascii="Cambria" w:hAnsi="Cambria"/>
          <w:sz w:val="16"/>
          <w:szCs w:val="16"/>
          <w:lang w:val="es-ES"/>
        </w:rPr>
      </w:pPr>
      <w:r w:rsidRPr="00520A90">
        <w:rPr>
          <w:rStyle w:val="FootnoteReference"/>
          <w:rFonts w:ascii="Cambria" w:hAnsi="Cambria"/>
          <w:sz w:val="16"/>
          <w:szCs w:val="16"/>
        </w:rPr>
        <w:footnoteRef/>
      </w:r>
      <w:r w:rsidRPr="00520A90">
        <w:rPr>
          <w:rFonts w:ascii="Cambria" w:hAnsi="Cambria"/>
          <w:sz w:val="16"/>
          <w:szCs w:val="16"/>
          <w:lang w:val="es-ES"/>
        </w:rPr>
        <w:t xml:space="preserve"> Corte IDH., </w:t>
      </w:r>
      <w:r w:rsidRPr="00520A90">
        <w:rPr>
          <w:rFonts w:ascii="Cambria" w:hAnsi="Cambria"/>
          <w:i/>
          <w:sz w:val="16"/>
          <w:szCs w:val="16"/>
          <w:lang w:val="es-ES"/>
        </w:rPr>
        <w:t>Caso de la Masacre de la Rochela Vs. Colombia</w:t>
      </w:r>
      <w:r w:rsidRPr="00520A90">
        <w:rPr>
          <w:rFonts w:ascii="Cambria" w:hAnsi="Cambria"/>
          <w:sz w:val="16"/>
          <w:szCs w:val="16"/>
          <w:lang w:val="es-ES"/>
        </w:rPr>
        <w:t>. Fondo, Reparaciones y Costas. Sentencia de 11 de mayo de 2007. Serie C No. 163, párr. 147.</w:t>
      </w:r>
    </w:p>
  </w:footnote>
  <w:footnote w:id="104">
    <w:p w:rsidR="00667DB2" w:rsidRPr="00520A90" w:rsidRDefault="00667DB2" w:rsidP="00FD5827">
      <w:pPr>
        <w:autoSpaceDE w:val="0"/>
        <w:autoSpaceDN w:val="0"/>
        <w:adjustRightInd w:val="0"/>
        <w:spacing w:after="120"/>
        <w:ind w:firstLine="720"/>
        <w:jc w:val="both"/>
        <w:rPr>
          <w:rFonts w:ascii="Cambria" w:hAnsi="Cambria"/>
          <w:sz w:val="16"/>
          <w:szCs w:val="16"/>
          <w:lang w:val="es-ES"/>
        </w:rPr>
      </w:pPr>
      <w:r w:rsidRPr="00520A90">
        <w:rPr>
          <w:rStyle w:val="FootnoteReference"/>
          <w:rFonts w:ascii="Cambria" w:hAnsi="Cambria"/>
          <w:sz w:val="16"/>
          <w:szCs w:val="16"/>
        </w:rPr>
        <w:footnoteRef/>
      </w:r>
      <w:r w:rsidRPr="00520A90">
        <w:rPr>
          <w:rFonts w:ascii="Cambria" w:hAnsi="Cambria"/>
          <w:sz w:val="16"/>
          <w:szCs w:val="16"/>
          <w:lang w:val="es-ES"/>
        </w:rPr>
        <w:t xml:space="preserve"> Conjunto de Principios para la Protección y la Promoción de los Derechos Humanos Mediante la lucha contra la Impunidad (E/CN.4/2005/102/Add.1). Informe sobre la actualización del conjunto de principios para la protección y la promoción de los derechos humanos mediante la lucha contra la impunidad, a cargo de la profesora Diane </w:t>
      </w:r>
      <w:proofErr w:type="spellStart"/>
      <w:r w:rsidRPr="00520A90">
        <w:rPr>
          <w:rFonts w:ascii="Cambria" w:hAnsi="Cambria"/>
          <w:sz w:val="16"/>
          <w:szCs w:val="16"/>
          <w:lang w:val="es-ES"/>
        </w:rPr>
        <w:t>Orentlicher</w:t>
      </w:r>
      <w:proofErr w:type="spellEnd"/>
      <w:r w:rsidRPr="00520A90">
        <w:rPr>
          <w:rFonts w:ascii="Cambria" w:hAnsi="Cambria"/>
          <w:sz w:val="16"/>
          <w:szCs w:val="16"/>
          <w:lang w:val="es-ES"/>
        </w:rPr>
        <w:t xml:space="preserve"> (E/CN.4/2005/102, de 18 de febrero de 2005). Estudio sobre el Derecho a la Verdad, Informe de la Oficina del Alto Comisionado de las Naciones Unidas para los Derechos Humanos (E/CN.4/2006/91 de 9 de enero de 2006). Asamblea General de la OEA. Resoluciones sobre el Derecho a la Verdad, AG/RES. 2175 (XXXVI-O/06), AG/RES. 2267 (XXXVIIO/ 07) y AG/RES. 2406 (XXXVIII-O/08).</w:t>
      </w:r>
    </w:p>
  </w:footnote>
  <w:footnote w:id="105">
    <w:p w:rsidR="00667DB2" w:rsidRPr="00520A90" w:rsidRDefault="00667DB2" w:rsidP="00FD5827">
      <w:pPr>
        <w:pStyle w:val="FootnoteText"/>
        <w:spacing w:after="120"/>
        <w:ind w:firstLine="720"/>
        <w:jc w:val="both"/>
        <w:rPr>
          <w:rFonts w:ascii="Cambria" w:hAnsi="Cambria"/>
          <w:sz w:val="16"/>
          <w:szCs w:val="16"/>
          <w:lang w:val="es-ES"/>
        </w:rPr>
      </w:pPr>
      <w:r w:rsidRPr="00520A90">
        <w:rPr>
          <w:rStyle w:val="FootnoteReference"/>
          <w:rFonts w:ascii="Cambria" w:hAnsi="Cambria"/>
          <w:sz w:val="16"/>
          <w:szCs w:val="16"/>
          <w:lang w:val="es-ES"/>
        </w:rPr>
        <w:footnoteRef/>
      </w:r>
      <w:r w:rsidRPr="00520A90">
        <w:rPr>
          <w:rFonts w:ascii="Cambria" w:hAnsi="Cambria"/>
          <w:sz w:val="16"/>
          <w:szCs w:val="16"/>
          <w:lang w:val="es-ES"/>
        </w:rPr>
        <w:t xml:space="preserve"> Corte IDH, </w:t>
      </w:r>
      <w:r w:rsidRPr="00520A90">
        <w:rPr>
          <w:rFonts w:ascii="Cambria" w:hAnsi="Cambria" w:cs="Verdana"/>
          <w:i/>
          <w:iCs/>
          <w:sz w:val="16"/>
          <w:szCs w:val="16"/>
          <w:lang w:val="es-ES"/>
        </w:rPr>
        <w:t>Caso Velásquez Rodríguez Vs. Honduras</w:t>
      </w:r>
      <w:r w:rsidRPr="00520A90">
        <w:rPr>
          <w:rFonts w:ascii="Cambria" w:hAnsi="Cambria" w:cs="Verdana"/>
          <w:sz w:val="16"/>
          <w:szCs w:val="16"/>
          <w:lang w:val="es-ES"/>
        </w:rPr>
        <w:t>. Fondo. Sentencia de 29 de julio de 1988. Serie C. No. 4, párr. 181.</w:t>
      </w:r>
    </w:p>
  </w:footnote>
  <w:footnote w:id="106">
    <w:p w:rsidR="00667DB2" w:rsidRPr="00520A90" w:rsidRDefault="00667DB2" w:rsidP="00FD5827">
      <w:pPr>
        <w:pStyle w:val="FootnoteText"/>
        <w:spacing w:after="120"/>
        <w:ind w:firstLine="720"/>
        <w:jc w:val="both"/>
        <w:rPr>
          <w:rFonts w:ascii="Cambria" w:hAnsi="Cambria"/>
          <w:sz w:val="16"/>
          <w:szCs w:val="16"/>
          <w:lang w:val="es-ES"/>
        </w:rPr>
      </w:pPr>
      <w:r w:rsidRPr="00520A90">
        <w:rPr>
          <w:rStyle w:val="FootnoteReference"/>
          <w:rFonts w:ascii="Cambria" w:hAnsi="Cambria"/>
          <w:sz w:val="16"/>
          <w:szCs w:val="16"/>
          <w:lang w:val="es-ES"/>
        </w:rPr>
        <w:footnoteRef/>
      </w:r>
      <w:r w:rsidRPr="00520A90">
        <w:rPr>
          <w:rFonts w:ascii="Cambria" w:hAnsi="Cambria"/>
          <w:sz w:val="16"/>
          <w:szCs w:val="16"/>
          <w:lang w:val="es-ES"/>
        </w:rPr>
        <w:t xml:space="preserve"> Corte IDH, </w:t>
      </w:r>
      <w:r w:rsidRPr="00520A90">
        <w:rPr>
          <w:rFonts w:ascii="Cambria" w:hAnsi="Cambria"/>
          <w:i/>
          <w:iCs/>
          <w:sz w:val="16"/>
          <w:szCs w:val="16"/>
          <w:lang w:val="es-ES"/>
        </w:rPr>
        <w:t>Caso Blake Vs. Guatemala</w:t>
      </w:r>
      <w:r w:rsidRPr="00520A90">
        <w:rPr>
          <w:rFonts w:ascii="Cambria" w:hAnsi="Cambria"/>
          <w:sz w:val="16"/>
          <w:szCs w:val="16"/>
          <w:lang w:val="es-ES"/>
        </w:rPr>
        <w:t>. Fondo. Sentencia de 24 de enero de 1998. Serie C No. 36, párr. 97.</w:t>
      </w:r>
    </w:p>
  </w:footnote>
  <w:footnote w:id="107">
    <w:p w:rsidR="00667DB2" w:rsidRPr="00520A90" w:rsidRDefault="00667DB2" w:rsidP="00FD5827">
      <w:pPr>
        <w:pStyle w:val="FootnoteText"/>
        <w:spacing w:after="120"/>
        <w:ind w:firstLine="720"/>
        <w:jc w:val="both"/>
        <w:rPr>
          <w:rFonts w:ascii="Cambria" w:hAnsi="Cambria"/>
          <w:sz w:val="16"/>
          <w:szCs w:val="16"/>
          <w:lang w:val="es-ES"/>
        </w:rPr>
      </w:pPr>
      <w:r w:rsidRPr="00520A90">
        <w:rPr>
          <w:rStyle w:val="FootnoteReference"/>
          <w:rFonts w:ascii="Cambria" w:hAnsi="Cambria"/>
          <w:sz w:val="16"/>
          <w:szCs w:val="16"/>
          <w:lang w:val="es-ES"/>
        </w:rPr>
        <w:footnoteRef/>
      </w:r>
      <w:r w:rsidRPr="00520A90">
        <w:rPr>
          <w:rFonts w:ascii="Cambria" w:hAnsi="Cambria"/>
          <w:sz w:val="16"/>
          <w:szCs w:val="16"/>
          <w:lang w:val="es-ES"/>
        </w:rPr>
        <w:t xml:space="preserve"> Corte IDH, </w:t>
      </w:r>
      <w:r w:rsidRPr="00520A90">
        <w:rPr>
          <w:rFonts w:ascii="Cambria" w:hAnsi="Cambria"/>
          <w:i/>
          <w:iCs/>
          <w:sz w:val="16"/>
          <w:szCs w:val="16"/>
          <w:lang w:val="es-ES"/>
        </w:rPr>
        <w:t xml:space="preserve">Caso </w:t>
      </w:r>
      <w:proofErr w:type="spellStart"/>
      <w:r w:rsidRPr="00520A90">
        <w:rPr>
          <w:rFonts w:ascii="Cambria" w:hAnsi="Cambria"/>
          <w:i/>
          <w:iCs/>
          <w:sz w:val="16"/>
          <w:szCs w:val="16"/>
          <w:lang w:val="es-ES"/>
        </w:rPr>
        <w:t>Anzualdo</w:t>
      </w:r>
      <w:proofErr w:type="spellEnd"/>
      <w:r w:rsidRPr="00520A90">
        <w:rPr>
          <w:rFonts w:ascii="Cambria" w:hAnsi="Cambria"/>
          <w:i/>
          <w:iCs/>
          <w:sz w:val="16"/>
          <w:szCs w:val="16"/>
          <w:lang w:val="es-ES"/>
        </w:rPr>
        <w:t xml:space="preserve"> Castro Vs. Perú.</w:t>
      </w:r>
      <w:r w:rsidRPr="00520A90">
        <w:rPr>
          <w:rFonts w:ascii="Cambria" w:hAnsi="Cambria"/>
          <w:sz w:val="16"/>
          <w:szCs w:val="16"/>
          <w:lang w:val="es-ES"/>
        </w:rPr>
        <w:t xml:space="preserve"> Excepción Preliminar, Fondo, Reparaciones y Costas. Sentencia de 22 de septiembre de 2009, Serie C No. 202, párr. 118.</w:t>
      </w:r>
    </w:p>
  </w:footnote>
  <w:footnote w:id="108">
    <w:p w:rsidR="00667DB2" w:rsidRPr="00520A90" w:rsidRDefault="00667DB2" w:rsidP="00FD5827">
      <w:pPr>
        <w:pStyle w:val="FootnoteText"/>
        <w:spacing w:after="120"/>
        <w:ind w:firstLine="720"/>
        <w:jc w:val="both"/>
        <w:rPr>
          <w:rFonts w:ascii="Cambria" w:hAnsi="Cambria"/>
          <w:sz w:val="16"/>
          <w:szCs w:val="16"/>
          <w:lang w:val="es-ES"/>
        </w:rPr>
      </w:pPr>
      <w:r w:rsidRPr="00520A90">
        <w:rPr>
          <w:rStyle w:val="FootnoteReference"/>
          <w:rFonts w:ascii="Cambria" w:hAnsi="Cambria"/>
          <w:sz w:val="16"/>
          <w:szCs w:val="16"/>
          <w:lang w:val="es-ES"/>
        </w:rPr>
        <w:footnoteRef/>
      </w:r>
      <w:r w:rsidRPr="00520A90">
        <w:rPr>
          <w:rFonts w:ascii="Cambria" w:hAnsi="Cambria"/>
          <w:sz w:val="16"/>
          <w:szCs w:val="16"/>
          <w:lang w:val="es-MX"/>
        </w:rPr>
        <w:t xml:space="preserve"> Corte IDH, </w:t>
      </w:r>
      <w:r w:rsidRPr="00520A90">
        <w:rPr>
          <w:rFonts w:ascii="Cambria" w:hAnsi="Cambria"/>
          <w:i/>
          <w:iCs/>
          <w:sz w:val="16"/>
          <w:szCs w:val="16"/>
          <w:lang w:val="es-MX"/>
        </w:rPr>
        <w:t xml:space="preserve">Caso </w:t>
      </w:r>
      <w:proofErr w:type="spellStart"/>
      <w:r w:rsidRPr="00520A90">
        <w:rPr>
          <w:rFonts w:ascii="Cambria" w:hAnsi="Cambria"/>
          <w:i/>
          <w:iCs/>
          <w:sz w:val="16"/>
          <w:szCs w:val="16"/>
          <w:lang w:val="es-MX"/>
        </w:rPr>
        <w:t>Anzualdo</w:t>
      </w:r>
      <w:proofErr w:type="spellEnd"/>
      <w:r w:rsidRPr="00520A90">
        <w:rPr>
          <w:rFonts w:ascii="Cambria" w:hAnsi="Cambria"/>
          <w:i/>
          <w:iCs/>
          <w:sz w:val="16"/>
          <w:szCs w:val="16"/>
          <w:lang w:val="es-MX"/>
        </w:rPr>
        <w:t xml:space="preserve"> Castro Vs. </w:t>
      </w:r>
      <w:r w:rsidRPr="00520A90">
        <w:rPr>
          <w:rFonts w:ascii="Cambria" w:hAnsi="Cambria"/>
          <w:i/>
          <w:iCs/>
          <w:sz w:val="16"/>
          <w:szCs w:val="16"/>
          <w:lang w:val="es-ES"/>
        </w:rPr>
        <w:t>Perú</w:t>
      </w:r>
      <w:r w:rsidRPr="00520A90">
        <w:rPr>
          <w:rFonts w:ascii="Cambria" w:hAnsi="Cambria"/>
          <w:sz w:val="16"/>
          <w:szCs w:val="16"/>
          <w:lang w:val="es-ES"/>
        </w:rPr>
        <w:t>. Excepción Preliminar, Fondo, Reparaciones y Costas. Sentencia de 22 de septiembre de 2009, Serie C No. 202, párr. 119.</w:t>
      </w:r>
    </w:p>
  </w:footnote>
  <w:footnote w:id="109">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8701F2">
        <w:rPr>
          <w:rFonts w:ascii="Cambria" w:hAnsi="Cambria"/>
          <w:sz w:val="16"/>
          <w:szCs w:val="16"/>
          <w:lang w:val="es-MX"/>
        </w:rPr>
        <w:t xml:space="preserve"> 40. Declaración </w:t>
      </w:r>
      <w:r w:rsidRPr="00520A90">
        <w:rPr>
          <w:rFonts w:ascii="Cambria" w:hAnsi="Cambria"/>
          <w:sz w:val="16"/>
          <w:szCs w:val="16"/>
          <w:lang w:val="es-MX"/>
        </w:rPr>
        <w:t>instructiva</w:t>
      </w:r>
      <w:r w:rsidR="008701F2">
        <w:rPr>
          <w:rFonts w:ascii="Cambria" w:hAnsi="Cambria"/>
          <w:sz w:val="16"/>
          <w:szCs w:val="16"/>
          <w:lang w:val="es-MX"/>
        </w:rPr>
        <w:t xml:space="preserve"> de</w:t>
      </w:r>
      <w:r w:rsidRPr="00520A90">
        <w:rPr>
          <w:rFonts w:ascii="Cambria" w:hAnsi="Cambria"/>
          <w:sz w:val="16"/>
          <w:szCs w:val="16"/>
          <w:lang w:val="es-MX"/>
        </w:rPr>
        <w:t xml:space="preserve"> Adolfo Edgar Ángeles Ramos, en la que señaló que “se entera de la desaparición de Walter Munárriz Escobar el mismo día en la mañana cuando se aproximó su mamá y hermanas del agraviado manifestado que su hijo había sido detenido (sic)”.  Anexo a comunicación del Estado Nota N° 7-5-M/066 del 9 de febrero de 2006.</w:t>
      </w:r>
    </w:p>
  </w:footnote>
  <w:footnote w:id="110">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8701F2">
        <w:rPr>
          <w:rFonts w:ascii="Cambria" w:hAnsi="Cambria"/>
          <w:sz w:val="16"/>
          <w:szCs w:val="16"/>
          <w:lang w:val="es-MX"/>
        </w:rPr>
        <w:t xml:space="preserve"> 5</w:t>
      </w:r>
      <w:r w:rsidRPr="00520A90">
        <w:rPr>
          <w:rFonts w:ascii="Cambria" w:hAnsi="Cambria"/>
          <w:sz w:val="16"/>
          <w:szCs w:val="16"/>
          <w:lang w:val="es-MX"/>
        </w:rPr>
        <w:t xml:space="preserve">. Informe preliminar del Defensor del Pueblo. Anexo a petición inicial. </w:t>
      </w:r>
    </w:p>
  </w:footnote>
  <w:footnote w:id="111">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667DB2">
        <w:rPr>
          <w:rFonts w:ascii="Cambria" w:hAnsi="Cambria"/>
          <w:sz w:val="16"/>
          <w:szCs w:val="16"/>
          <w:lang w:val="es-MX"/>
        </w:rPr>
        <w:t xml:space="preserve"> Corte IDH, </w:t>
      </w:r>
      <w:r w:rsidRPr="00667DB2">
        <w:rPr>
          <w:rFonts w:ascii="Cambria" w:hAnsi="Cambria"/>
          <w:i/>
          <w:sz w:val="16"/>
          <w:szCs w:val="16"/>
          <w:lang w:val="es-MX"/>
        </w:rPr>
        <w:t xml:space="preserve">Caso Gómez Palomino Vs. </w:t>
      </w:r>
      <w:r w:rsidRPr="00520A90">
        <w:rPr>
          <w:rFonts w:ascii="Cambria" w:hAnsi="Cambria"/>
          <w:i/>
          <w:sz w:val="16"/>
          <w:szCs w:val="16"/>
          <w:lang w:val="es-ES"/>
        </w:rPr>
        <w:t>Perú</w:t>
      </w:r>
      <w:r w:rsidRPr="00520A90">
        <w:rPr>
          <w:rFonts w:ascii="Cambria" w:hAnsi="Cambria"/>
          <w:sz w:val="16"/>
          <w:szCs w:val="16"/>
          <w:lang w:val="es-ES"/>
        </w:rPr>
        <w:t xml:space="preserve">, Sentencia de 22 de noviembre de 2005. Serie C No. 136, párr. 149 y punto resolutivo 12. </w:t>
      </w:r>
      <w:r w:rsidRPr="00520A90">
        <w:rPr>
          <w:rFonts w:ascii="Cambria" w:hAnsi="Cambria"/>
          <w:sz w:val="16"/>
          <w:szCs w:val="16"/>
          <w:lang w:val="es-MX"/>
        </w:rPr>
        <w:t xml:space="preserve"> </w:t>
      </w:r>
    </w:p>
  </w:footnote>
  <w:footnote w:id="112">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w:t>
      </w:r>
      <w:r w:rsidRPr="00520A90">
        <w:rPr>
          <w:rFonts w:ascii="Cambria" w:eastAsia="Times New Roman" w:hAnsi="Cambria" w:cs="Times New Roman"/>
          <w:color w:val="auto"/>
          <w:sz w:val="16"/>
          <w:szCs w:val="16"/>
          <w:bdr w:val="none" w:sz="0" w:space="0" w:color="auto"/>
          <w:lang w:val="es-ES"/>
        </w:rPr>
        <w:t xml:space="preserve">Véase Ley No. 26926 del 30 de enero de 1998, artículo 1º, disponible en el portal de Internet del Congreso de la República del Perú: </w:t>
      </w:r>
      <w:hyperlink r:id="rId6" w:history="1">
        <w:r w:rsidRPr="00520A90">
          <w:rPr>
            <w:rFonts w:ascii="Cambria" w:eastAsia="Times New Roman" w:hAnsi="Cambria" w:cs="Times New Roman"/>
            <w:color w:val="4659C4"/>
            <w:sz w:val="16"/>
            <w:szCs w:val="16"/>
            <w:u w:val="single"/>
            <w:bdr w:val="none" w:sz="0" w:space="0" w:color="auto"/>
            <w:lang w:val="es-ES"/>
          </w:rPr>
          <w:t>www.congreso.gob.pe/ntley/Imagenes/Leyes/26926.pdf</w:t>
        </w:r>
      </w:hyperlink>
      <w:r w:rsidRPr="00520A90">
        <w:rPr>
          <w:rFonts w:ascii="Cambria" w:eastAsia="Times New Roman" w:hAnsi="Cambria" w:cs="Times New Roman"/>
          <w:color w:val="auto"/>
          <w:sz w:val="16"/>
          <w:szCs w:val="16"/>
          <w:bdr w:val="none" w:sz="0" w:space="0" w:color="auto"/>
          <w:lang w:val="es-ES"/>
        </w:rPr>
        <w:t xml:space="preserve">.  </w:t>
      </w:r>
    </w:p>
  </w:footnote>
  <w:footnote w:id="113">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pt-BR"/>
        </w:rPr>
        <w:t xml:space="preserve">Corte IDH, </w:t>
      </w:r>
      <w:r w:rsidRPr="00520A90">
        <w:rPr>
          <w:rFonts w:ascii="Cambria" w:hAnsi="Cambria"/>
          <w:i/>
          <w:sz w:val="16"/>
          <w:szCs w:val="16"/>
          <w:lang w:val="pt-BR"/>
        </w:rPr>
        <w:t xml:space="preserve">Caso Gómez Palomino Vs. </w:t>
      </w:r>
      <w:r w:rsidRPr="00520A90">
        <w:rPr>
          <w:rFonts w:ascii="Cambria" w:hAnsi="Cambria"/>
          <w:i/>
          <w:sz w:val="16"/>
          <w:szCs w:val="16"/>
          <w:lang w:val="es-ES"/>
        </w:rPr>
        <w:t>Perú</w:t>
      </w:r>
      <w:r w:rsidRPr="00520A90">
        <w:rPr>
          <w:rFonts w:ascii="Cambria" w:hAnsi="Cambria"/>
          <w:sz w:val="16"/>
          <w:szCs w:val="16"/>
          <w:lang w:val="es-ES"/>
        </w:rPr>
        <w:t xml:space="preserve">, Sentencia de 22 de noviembre de 2005. Serie C No. 136, </w:t>
      </w:r>
      <w:proofErr w:type="spellStart"/>
      <w:r w:rsidRPr="00520A90">
        <w:rPr>
          <w:rFonts w:ascii="Cambria" w:hAnsi="Cambria"/>
          <w:sz w:val="16"/>
          <w:szCs w:val="16"/>
          <w:lang w:val="es-ES"/>
        </w:rPr>
        <w:t>párrs</w:t>
      </w:r>
      <w:proofErr w:type="spellEnd"/>
      <w:r w:rsidRPr="00520A90">
        <w:rPr>
          <w:rFonts w:ascii="Cambria" w:hAnsi="Cambria"/>
          <w:sz w:val="16"/>
          <w:szCs w:val="16"/>
          <w:lang w:val="es-ES"/>
        </w:rPr>
        <w:t>. 100 a 108.</w:t>
      </w:r>
      <w:r w:rsidRPr="00520A90">
        <w:rPr>
          <w:rFonts w:ascii="Cambria" w:hAnsi="Cambria"/>
          <w:sz w:val="16"/>
          <w:szCs w:val="16"/>
          <w:lang w:val="es-MX"/>
        </w:rPr>
        <w:t xml:space="preserve">  </w:t>
      </w:r>
    </w:p>
  </w:footnote>
  <w:footnote w:id="114">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080E65">
        <w:rPr>
          <w:rFonts w:ascii="Cambria" w:hAnsi="Cambria"/>
          <w:sz w:val="16"/>
          <w:szCs w:val="16"/>
          <w:lang w:val="es-MX"/>
        </w:rPr>
        <w:t xml:space="preserve"> 1</w:t>
      </w:r>
      <w:r w:rsidRPr="00520A90">
        <w:rPr>
          <w:rFonts w:ascii="Cambria" w:hAnsi="Cambria"/>
          <w:sz w:val="16"/>
          <w:szCs w:val="16"/>
          <w:lang w:val="es-MX"/>
        </w:rPr>
        <w:t xml:space="preserve">. </w:t>
      </w:r>
      <w:r w:rsidRPr="00520A90">
        <w:rPr>
          <w:rFonts w:ascii="Cambria" w:hAnsi="Cambria"/>
          <w:sz w:val="16"/>
          <w:szCs w:val="16"/>
          <w:lang w:val="es-ES"/>
        </w:rPr>
        <w:t>Informe N° 004-2011-FSPNC-MP-FN del 4 de abril de 2011, remitido como a</w:t>
      </w:r>
      <w:r w:rsidRPr="00520A90">
        <w:rPr>
          <w:rFonts w:ascii="Cambria" w:hAnsi="Cambria"/>
          <w:sz w:val="16"/>
          <w:szCs w:val="16"/>
          <w:lang w:val="es-MX"/>
        </w:rPr>
        <w:t xml:space="preserve">nexo a comunicación del Estado Nota No. 7-5-M/785 del 5 de diciembre de 2011. </w:t>
      </w:r>
    </w:p>
  </w:footnote>
  <w:footnote w:id="115">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Anexo</w:t>
      </w:r>
      <w:r w:rsidR="00080E65">
        <w:rPr>
          <w:rFonts w:ascii="Cambria" w:hAnsi="Cambria"/>
          <w:sz w:val="16"/>
          <w:szCs w:val="16"/>
          <w:lang w:val="es-MX"/>
        </w:rPr>
        <w:t xml:space="preserve"> 1</w:t>
      </w:r>
      <w:r w:rsidRPr="00520A90">
        <w:rPr>
          <w:rFonts w:ascii="Cambria" w:hAnsi="Cambria"/>
          <w:sz w:val="16"/>
          <w:szCs w:val="16"/>
          <w:lang w:val="es-MX"/>
        </w:rPr>
        <w:t xml:space="preserve">. </w:t>
      </w:r>
      <w:r w:rsidRPr="00520A90">
        <w:rPr>
          <w:rFonts w:ascii="Cambria" w:hAnsi="Cambria"/>
          <w:sz w:val="16"/>
          <w:szCs w:val="16"/>
          <w:lang w:val="es-ES"/>
        </w:rPr>
        <w:t>Informe N° 004-2011-FSPNC-MP-FN del 4 de abril de 2011, remitido como a</w:t>
      </w:r>
      <w:r w:rsidRPr="00520A90">
        <w:rPr>
          <w:rFonts w:ascii="Cambria" w:hAnsi="Cambria"/>
          <w:sz w:val="16"/>
          <w:szCs w:val="16"/>
          <w:lang w:val="es-MX"/>
        </w:rPr>
        <w:t>nexo a comunicación del Estado Nota No. 7-5-M/785 del 5 de diciembre de 2011.</w:t>
      </w:r>
    </w:p>
  </w:footnote>
  <w:footnote w:id="116">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pt-BR"/>
        </w:rPr>
        <w:t xml:space="preserve"> </w:t>
      </w:r>
      <w:r w:rsidRPr="00520A90">
        <w:rPr>
          <w:rFonts w:ascii="Cambria" w:hAnsi="Cambria"/>
          <w:sz w:val="16"/>
          <w:szCs w:val="16"/>
          <w:lang w:val="pt-BR"/>
        </w:rPr>
        <w:t xml:space="preserve">Corte IDH, </w:t>
      </w:r>
      <w:r w:rsidRPr="00520A90">
        <w:rPr>
          <w:rFonts w:ascii="Cambria" w:hAnsi="Cambria"/>
          <w:i/>
          <w:iCs/>
          <w:sz w:val="16"/>
          <w:szCs w:val="16"/>
          <w:lang w:val="pt-BR"/>
        </w:rPr>
        <w:t xml:space="preserve">Caso Anzualdo Castro Vs. </w:t>
      </w:r>
      <w:r w:rsidRPr="00520A90">
        <w:rPr>
          <w:rFonts w:ascii="Cambria" w:hAnsi="Cambria"/>
          <w:i/>
          <w:iCs/>
          <w:sz w:val="16"/>
          <w:szCs w:val="16"/>
          <w:lang w:val="es-ES"/>
        </w:rPr>
        <w:t>Perú</w:t>
      </w:r>
      <w:r w:rsidRPr="00520A90">
        <w:rPr>
          <w:rFonts w:ascii="Cambria" w:hAnsi="Cambria"/>
          <w:sz w:val="16"/>
          <w:szCs w:val="16"/>
          <w:lang w:val="es-ES"/>
        </w:rPr>
        <w:t xml:space="preserve">, Sentencia de 22 de septiembre de 2009, Serie C No. 202, párr. 167, y Corte IDH, Caso Osorio Rivera y familiares Vs. Perú, Sentencia de 26 de noviembre de 2013, Serie C No.274, párr. 212. </w:t>
      </w:r>
    </w:p>
  </w:footnote>
  <w:footnote w:id="117">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w:t>
      </w:r>
      <w:r w:rsidRPr="00520A90">
        <w:rPr>
          <w:rFonts w:ascii="Cambria" w:eastAsia="Times New Roman" w:hAnsi="Cambria" w:cs="Times New Roman"/>
          <w:color w:val="auto"/>
          <w:sz w:val="16"/>
          <w:szCs w:val="16"/>
          <w:bdr w:val="none" w:sz="0" w:space="0" w:color="auto"/>
          <w:lang w:val="es-CO" w:eastAsia="en-US"/>
        </w:rPr>
        <w:t xml:space="preserve">Corte IDH, Resolución de supervisión de cumplimiento de sentencia en el </w:t>
      </w:r>
      <w:r w:rsidRPr="00520A90">
        <w:rPr>
          <w:rFonts w:ascii="Cambria" w:eastAsia="Times New Roman" w:hAnsi="Cambria" w:cs="Times New Roman"/>
          <w:i/>
          <w:color w:val="auto"/>
          <w:sz w:val="16"/>
          <w:szCs w:val="16"/>
          <w:bdr w:val="none" w:sz="0" w:space="0" w:color="auto"/>
          <w:lang w:val="es-CO" w:eastAsia="en-US"/>
        </w:rPr>
        <w:t>Caso Gómez Palomino</w:t>
      </w:r>
      <w:r w:rsidRPr="00520A90">
        <w:rPr>
          <w:rFonts w:ascii="Cambria" w:eastAsia="Times New Roman" w:hAnsi="Cambria" w:cs="Times New Roman"/>
          <w:color w:val="auto"/>
          <w:sz w:val="16"/>
          <w:szCs w:val="16"/>
          <w:bdr w:val="none" w:sz="0" w:space="0" w:color="auto"/>
          <w:lang w:val="es-CO" w:eastAsia="en-US"/>
        </w:rPr>
        <w:t>, 5 de julio de 2011, párr. 37.</w:t>
      </w:r>
    </w:p>
  </w:footnote>
  <w:footnote w:id="118">
    <w:p w:rsidR="00667DB2" w:rsidRPr="00520A90" w:rsidRDefault="00667DB2" w:rsidP="00FD5827">
      <w:pPr>
        <w:pStyle w:val="FootnoteText"/>
        <w:tabs>
          <w:tab w:val="left" w:pos="720"/>
        </w:tabs>
        <w:spacing w:after="120"/>
        <w:ind w:firstLine="720"/>
        <w:jc w:val="both"/>
        <w:rPr>
          <w:rFonts w:ascii="Cambria" w:hAnsi="Cambria"/>
          <w:i/>
          <w:sz w:val="16"/>
          <w:szCs w:val="16"/>
          <w:lang w:val="es-ES"/>
        </w:rPr>
      </w:pPr>
      <w:r w:rsidRPr="00520A90">
        <w:rPr>
          <w:rStyle w:val="FootnoteReference"/>
          <w:rFonts w:ascii="Cambria" w:hAnsi="Cambria"/>
          <w:sz w:val="16"/>
          <w:szCs w:val="16"/>
          <w:lang w:val="es-ES"/>
        </w:rPr>
        <w:footnoteRef/>
      </w:r>
      <w:r w:rsidRPr="00667DB2">
        <w:rPr>
          <w:rFonts w:ascii="Cambria" w:hAnsi="Cambria"/>
          <w:sz w:val="16"/>
          <w:szCs w:val="16"/>
          <w:lang w:val="es-CO"/>
        </w:rPr>
        <w:t xml:space="preserve"> Corte IDH, </w:t>
      </w:r>
      <w:r w:rsidRPr="00667DB2">
        <w:rPr>
          <w:rFonts w:ascii="Cambria" w:hAnsi="Cambria"/>
          <w:bCs/>
          <w:i/>
          <w:sz w:val="16"/>
          <w:szCs w:val="16"/>
          <w:lang w:val="es-CO"/>
        </w:rPr>
        <w:t xml:space="preserve">Caso </w:t>
      </w:r>
      <w:proofErr w:type="spellStart"/>
      <w:r w:rsidRPr="00667DB2">
        <w:rPr>
          <w:rFonts w:ascii="Cambria" w:hAnsi="Cambria"/>
          <w:bCs/>
          <w:i/>
          <w:sz w:val="16"/>
          <w:szCs w:val="16"/>
          <w:lang w:val="es-CO"/>
        </w:rPr>
        <w:t>Bámaca</w:t>
      </w:r>
      <w:proofErr w:type="spellEnd"/>
      <w:r w:rsidRPr="00667DB2">
        <w:rPr>
          <w:rFonts w:ascii="Cambria" w:hAnsi="Cambria"/>
          <w:bCs/>
          <w:i/>
          <w:sz w:val="16"/>
          <w:szCs w:val="16"/>
          <w:lang w:val="es-CO"/>
        </w:rPr>
        <w:t xml:space="preserve"> Velásquez Vs. </w:t>
      </w:r>
      <w:r w:rsidRPr="00520A90">
        <w:rPr>
          <w:rFonts w:ascii="Cambria" w:hAnsi="Cambria"/>
          <w:bCs/>
          <w:i/>
          <w:sz w:val="16"/>
          <w:szCs w:val="16"/>
          <w:lang w:val="es-MX"/>
        </w:rPr>
        <w:t>Guatemala.</w:t>
      </w:r>
      <w:r w:rsidRPr="00520A90">
        <w:rPr>
          <w:rFonts w:ascii="Cambria" w:hAnsi="Cambria"/>
          <w:bCs/>
          <w:sz w:val="16"/>
          <w:szCs w:val="16"/>
          <w:lang w:val="es-MX"/>
        </w:rPr>
        <w:t xml:space="preserve"> </w:t>
      </w:r>
      <w:r w:rsidRPr="00520A90">
        <w:rPr>
          <w:rFonts w:ascii="Cambria" w:hAnsi="Cambria"/>
          <w:sz w:val="16"/>
          <w:szCs w:val="16"/>
          <w:lang w:val="es-MX"/>
        </w:rPr>
        <w:t>Fondo. Sentencia de 25 de noviembre de 2000. Serie C N</w:t>
      </w:r>
      <w:r w:rsidRPr="00520A90">
        <w:rPr>
          <w:rFonts w:ascii="Cambria" w:hAnsi="Cambria"/>
          <w:sz w:val="16"/>
          <w:szCs w:val="16"/>
          <w:lang w:val="es-ES"/>
        </w:rPr>
        <w:t>o. 70</w:t>
      </w:r>
      <w:r w:rsidRPr="00520A90">
        <w:rPr>
          <w:rFonts w:ascii="Cambria" w:hAnsi="Cambria"/>
          <w:i/>
          <w:iCs/>
          <w:sz w:val="16"/>
          <w:szCs w:val="16"/>
          <w:lang w:val="es-ES"/>
        </w:rPr>
        <w:t>,</w:t>
      </w:r>
      <w:r w:rsidRPr="00520A90">
        <w:rPr>
          <w:rFonts w:ascii="Cambria" w:hAnsi="Cambria"/>
          <w:sz w:val="16"/>
          <w:szCs w:val="16"/>
          <w:lang w:val="es-ES"/>
        </w:rPr>
        <w:t xml:space="preserve"> párr. 160.</w:t>
      </w:r>
    </w:p>
  </w:footnote>
  <w:footnote w:id="119">
    <w:p w:rsidR="00667DB2" w:rsidRPr="00520A90" w:rsidRDefault="00667DB2" w:rsidP="00FD5827">
      <w:pPr>
        <w:pStyle w:val="FootnoteText"/>
        <w:tabs>
          <w:tab w:val="left" w:pos="720"/>
        </w:tabs>
        <w:spacing w:after="120"/>
        <w:ind w:firstLine="720"/>
        <w:jc w:val="both"/>
        <w:rPr>
          <w:rFonts w:ascii="Cambria" w:hAnsi="Cambria"/>
          <w:sz w:val="16"/>
          <w:szCs w:val="16"/>
          <w:lang w:val="es-ES"/>
        </w:rPr>
      </w:pPr>
      <w:r w:rsidRPr="00520A90">
        <w:rPr>
          <w:rStyle w:val="FootnoteReference"/>
          <w:rFonts w:ascii="Cambria" w:hAnsi="Cambria"/>
          <w:sz w:val="16"/>
          <w:szCs w:val="16"/>
          <w:lang w:val="es-ES"/>
        </w:rPr>
        <w:footnoteRef/>
      </w:r>
      <w:r w:rsidRPr="00667DB2">
        <w:rPr>
          <w:rFonts w:ascii="Cambria" w:hAnsi="Cambria"/>
          <w:sz w:val="16"/>
          <w:szCs w:val="16"/>
          <w:lang w:val="es-CO"/>
        </w:rPr>
        <w:t xml:space="preserve"> Corte IDH, </w:t>
      </w:r>
      <w:r w:rsidRPr="00667DB2">
        <w:rPr>
          <w:rFonts w:ascii="Cambria" w:hAnsi="Cambria"/>
          <w:bCs/>
          <w:i/>
          <w:sz w:val="16"/>
          <w:szCs w:val="16"/>
          <w:lang w:val="es-CO"/>
        </w:rPr>
        <w:t xml:space="preserve">Caso </w:t>
      </w:r>
      <w:proofErr w:type="spellStart"/>
      <w:r w:rsidRPr="00667DB2">
        <w:rPr>
          <w:rFonts w:ascii="Cambria" w:hAnsi="Cambria"/>
          <w:bCs/>
          <w:i/>
          <w:sz w:val="16"/>
          <w:szCs w:val="16"/>
          <w:lang w:val="es-CO"/>
        </w:rPr>
        <w:t>Anzualdo</w:t>
      </w:r>
      <w:proofErr w:type="spellEnd"/>
      <w:r w:rsidRPr="00667DB2">
        <w:rPr>
          <w:rFonts w:ascii="Cambria" w:hAnsi="Cambria"/>
          <w:bCs/>
          <w:i/>
          <w:sz w:val="16"/>
          <w:szCs w:val="16"/>
          <w:lang w:val="es-CO"/>
        </w:rPr>
        <w:t xml:space="preserve"> Castro Vs. </w:t>
      </w:r>
      <w:r w:rsidRPr="00520A90">
        <w:rPr>
          <w:rFonts w:ascii="Cambria" w:hAnsi="Cambria"/>
          <w:bCs/>
          <w:i/>
          <w:sz w:val="16"/>
          <w:szCs w:val="16"/>
          <w:lang w:val="es-ES"/>
        </w:rPr>
        <w:t>Perú.</w:t>
      </w:r>
      <w:r w:rsidRPr="00520A90">
        <w:rPr>
          <w:rFonts w:ascii="Cambria" w:hAnsi="Cambria"/>
          <w:bCs/>
          <w:sz w:val="16"/>
          <w:szCs w:val="16"/>
          <w:lang w:val="es-ES"/>
        </w:rPr>
        <w:t xml:space="preserve"> </w:t>
      </w:r>
      <w:r w:rsidRPr="00520A90">
        <w:rPr>
          <w:rFonts w:ascii="Cambria" w:hAnsi="Cambria"/>
          <w:sz w:val="16"/>
          <w:szCs w:val="16"/>
          <w:lang w:val="es-ES"/>
        </w:rPr>
        <w:t xml:space="preserve">Excepción Preliminar, Fondo, Reparaciones y Costas. Sentencia de 22 de Septiembre de 2009. Serie C No. 202, párr. 105. </w:t>
      </w:r>
    </w:p>
  </w:footnote>
  <w:footnote w:id="120">
    <w:p w:rsidR="00667DB2" w:rsidRPr="00520A90" w:rsidRDefault="00667DB2" w:rsidP="00FD5827">
      <w:pPr>
        <w:pStyle w:val="FootnoteText"/>
        <w:spacing w:after="120"/>
        <w:ind w:firstLine="720"/>
        <w:jc w:val="both"/>
        <w:rPr>
          <w:rFonts w:ascii="Cambria" w:hAnsi="Cambria"/>
          <w:sz w:val="16"/>
          <w:szCs w:val="16"/>
          <w:lang w:val="es-MX"/>
        </w:rPr>
      </w:pPr>
      <w:r w:rsidRPr="00520A90">
        <w:rPr>
          <w:rStyle w:val="FootnoteReference"/>
          <w:rFonts w:ascii="Cambria" w:hAnsi="Cambria"/>
          <w:sz w:val="16"/>
          <w:szCs w:val="16"/>
        </w:rPr>
        <w:footnoteRef/>
      </w:r>
      <w:r w:rsidRPr="00520A90">
        <w:rPr>
          <w:rFonts w:ascii="Cambria" w:hAnsi="Cambria"/>
          <w:sz w:val="16"/>
          <w:szCs w:val="16"/>
          <w:lang w:val="es-MX"/>
        </w:rPr>
        <w:t xml:space="preserve"> </w:t>
      </w:r>
      <w:r w:rsidRPr="00520A90">
        <w:rPr>
          <w:rFonts w:ascii="Cambria" w:hAnsi="Cambria"/>
          <w:sz w:val="16"/>
          <w:szCs w:val="16"/>
          <w:lang w:val="es-ES"/>
        </w:rPr>
        <w:t xml:space="preserve">Corte IDH, </w:t>
      </w:r>
      <w:r w:rsidRPr="00520A90">
        <w:rPr>
          <w:rFonts w:ascii="Cambria" w:hAnsi="Cambria"/>
          <w:bCs/>
          <w:i/>
          <w:sz w:val="16"/>
          <w:szCs w:val="16"/>
          <w:lang w:val="es-ES"/>
        </w:rPr>
        <w:t>Caso Radilla Pacheco Vs. México.</w:t>
      </w:r>
      <w:r w:rsidRPr="00520A90">
        <w:rPr>
          <w:rFonts w:ascii="Cambria" w:hAnsi="Cambria"/>
          <w:bCs/>
          <w:sz w:val="16"/>
          <w:szCs w:val="16"/>
          <w:lang w:val="es-ES"/>
        </w:rPr>
        <w:t xml:space="preserve"> </w:t>
      </w:r>
      <w:r w:rsidRPr="00520A90">
        <w:rPr>
          <w:rFonts w:ascii="Cambria" w:hAnsi="Cambria"/>
          <w:sz w:val="16"/>
          <w:szCs w:val="16"/>
          <w:lang w:val="es-ES"/>
        </w:rPr>
        <w:t>Excepciones Preliminares, Fondo, Reparaciones y Costas. Sentencia de 23 de Noviembre de 2009. Serie C No. 209, párr. 166.</w:t>
      </w:r>
    </w:p>
  </w:footnote>
  <w:footnote w:id="121">
    <w:p w:rsidR="00667DB2" w:rsidRPr="00520A90" w:rsidRDefault="00667DB2" w:rsidP="00FD5827">
      <w:pPr>
        <w:pStyle w:val="FootnoteText"/>
        <w:tabs>
          <w:tab w:val="left" w:pos="720"/>
        </w:tabs>
        <w:spacing w:after="120"/>
        <w:ind w:firstLine="720"/>
        <w:jc w:val="both"/>
        <w:rPr>
          <w:rFonts w:ascii="Cambria" w:hAnsi="Cambria"/>
          <w:sz w:val="16"/>
          <w:szCs w:val="16"/>
          <w:lang w:val="es-ES"/>
        </w:rPr>
      </w:pPr>
      <w:r w:rsidRPr="00520A90">
        <w:rPr>
          <w:rStyle w:val="FootnoteReference"/>
          <w:rFonts w:ascii="Cambria" w:hAnsi="Cambria"/>
          <w:sz w:val="16"/>
          <w:szCs w:val="16"/>
          <w:lang w:val="es-ES"/>
        </w:rPr>
        <w:footnoteRef/>
      </w:r>
      <w:r w:rsidRPr="00667DB2">
        <w:rPr>
          <w:rFonts w:ascii="Cambria" w:hAnsi="Cambria"/>
          <w:sz w:val="16"/>
          <w:szCs w:val="16"/>
          <w:lang w:val="es-MX"/>
        </w:rPr>
        <w:t xml:space="preserve"> Corte IDH., </w:t>
      </w:r>
      <w:r w:rsidRPr="00667DB2">
        <w:rPr>
          <w:rFonts w:ascii="Cambria" w:hAnsi="Cambria"/>
          <w:bCs/>
          <w:i/>
          <w:sz w:val="16"/>
          <w:szCs w:val="16"/>
          <w:lang w:val="es-MX"/>
        </w:rPr>
        <w:t xml:space="preserve">Caso </w:t>
      </w:r>
      <w:proofErr w:type="spellStart"/>
      <w:r w:rsidRPr="00667DB2">
        <w:rPr>
          <w:rFonts w:ascii="Cambria" w:hAnsi="Cambria"/>
          <w:bCs/>
          <w:i/>
          <w:sz w:val="16"/>
          <w:szCs w:val="16"/>
          <w:lang w:val="es-MX"/>
        </w:rPr>
        <w:t>Anzualdo</w:t>
      </w:r>
      <w:proofErr w:type="spellEnd"/>
      <w:r w:rsidRPr="00667DB2">
        <w:rPr>
          <w:rFonts w:ascii="Cambria" w:hAnsi="Cambria"/>
          <w:bCs/>
          <w:i/>
          <w:sz w:val="16"/>
          <w:szCs w:val="16"/>
          <w:lang w:val="es-MX"/>
        </w:rPr>
        <w:t xml:space="preserve"> Castro Vs. </w:t>
      </w:r>
      <w:r w:rsidRPr="00520A90">
        <w:rPr>
          <w:rFonts w:ascii="Cambria" w:hAnsi="Cambria"/>
          <w:bCs/>
          <w:i/>
          <w:sz w:val="16"/>
          <w:szCs w:val="16"/>
          <w:lang w:val="es-ES"/>
        </w:rPr>
        <w:t>Perú.</w:t>
      </w:r>
      <w:r w:rsidRPr="00520A90">
        <w:rPr>
          <w:rFonts w:ascii="Cambria" w:hAnsi="Cambria"/>
          <w:bCs/>
          <w:sz w:val="16"/>
          <w:szCs w:val="16"/>
          <w:lang w:val="es-ES"/>
        </w:rPr>
        <w:t xml:space="preserve"> </w:t>
      </w:r>
      <w:r w:rsidRPr="00520A90">
        <w:rPr>
          <w:rFonts w:ascii="Cambria" w:hAnsi="Cambria"/>
          <w:sz w:val="16"/>
          <w:szCs w:val="16"/>
          <w:lang w:val="es-ES"/>
        </w:rPr>
        <w:t>Excepción Preliminar, Fondo, Reparaciones y Costas. Sentencia de 22 de Septiembre de 2009. Serie C No. 202, párr.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B2" w:rsidRDefault="00667DB2" w:rsidP="002104D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667DB2" w:rsidRDefault="00667D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DB2" w:rsidRDefault="00667DB2" w:rsidP="00A50FCF">
    <w:pPr>
      <w:pStyle w:val="Header"/>
      <w:tabs>
        <w:tab w:val="clear" w:pos="4320"/>
        <w:tab w:val="clear" w:pos="8640"/>
      </w:tabs>
      <w:jc w:val="center"/>
      <w:rPr>
        <w:sz w:val="22"/>
        <w:szCs w:val="22"/>
      </w:rPr>
    </w:pPr>
    <w:r>
      <w:rPr>
        <w:noProof/>
        <w:sz w:val="22"/>
        <w:szCs w:val="22"/>
      </w:rPr>
      <w:drawing>
        <wp:inline distT="0" distB="0" distL="0" distR="0">
          <wp:extent cx="1975485" cy="103505"/>
          <wp:effectExtent l="0" t="0" r="5715" b="0"/>
          <wp:docPr id="5" name="Picture 6"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03505"/>
                  </a:xfrm>
                  <a:prstGeom prst="rect">
                    <a:avLst/>
                  </a:prstGeom>
                  <a:noFill/>
                  <a:ln>
                    <a:noFill/>
                  </a:ln>
                </pic:spPr>
              </pic:pic>
            </a:graphicData>
          </a:graphic>
        </wp:inline>
      </w:drawing>
    </w:r>
  </w:p>
  <w:p w:rsidR="00667DB2" w:rsidRPr="00EC7D62" w:rsidRDefault="00667DB2"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4834"/>
    <w:multiLevelType w:val="hybridMultilevel"/>
    <w:tmpl w:val="8DF0B26A"/>
    <w:lvl w:ilvl="0" w:tplc="91A00AB4">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76140F3"/>
    <w:multiLevelType w:val="hybridMultilevel"/>
    <w:tmpl w:val="5F6E8BD6"/>
    <w:lvl w:ilvl="0" w:tplc="370AE3D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B8E44BF"/>
    <w:multiLevelType w:val="hybridMultilevel"/>
    <w:tmpl w:val="4D3ED956"/>
    <w:lvl w:ilvl="0" w:tplc="DD941928">
      <w:start w:val="1"/>
      <w:numFmt w:val="decimal"/>
      <w:lvlText w:val="%1."/>
      <w:lvlJc w:val="left"/>
      <w:pPr>
        <w:ind w:left="900" w:hanging="360"/>
      </w:pPr>
      <w:rPr>
        <w:sz w:val="20"/>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62145B"/>
    <w:multiLevelType w:val="hybridMultilevel"/>
    <w:tmpl w:val="C4BCF5F0"/>
    <w:lvl w:ilvl="0" w:tplc="83921772">
      <w:start w:val="1"/>
      <w:numFmt w:val="upperLetter"/>
      <w:pStyle w:val="Heading2"/>
      <w:lvlText w:val="%1."/>
      <w:lvlJc w:val="left"/>
      <w:pPr>
        <w:ind w:left="117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90" w:hanging="360"/>
      </w:pPr>
    </w:lvl>
    <w:lvl w:ilvl="2" w:tplc="F12E0CEC">
      <w:start w:val="1"/>
      <w:numFmt w:val="bullet"/>
      <w:lvlText w:val="-"/>
      <w:lvlJc w:val="left"/>
      <w:pPr>
        <w:ind w:left="2790" w:hanging="360"/>
      </w:pPr>
      <w:rPr>
        <w:rFonts w:ascii="Cambria" w:eastAsia="Arial Unicode MS" w:hAnsi="Cambria"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7FF60FE"/>
    <w:multiLevelType w:val="hybridMultilevel"/>
    <w:tmpl w:val="6564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F249BA"/>
    <w:multiLevelType w:val="hybridMultilevel"/>
    <w:tmpl w:val="B7301E00"/>
    <w:lvl w:ilvl="0" w:tplc="C08A24D0">
      <w:start w:val="32"/>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805482"/>
    <w:multiLevelType w:val="hybridMultilevel"/>
    <w:tmpl w:val="1B865358"/>
    <w:lvl w:ilvl="0" w:tplc="BDA4DD0E">
      <w:start w:val="1"/>
      <w:numFmt w:val="decimal"/>
      <w:pStyle w:val="Heading3"/>
      <w:lvlText w:val="%1."/>
      <w:lvlJc w:val="left"/>
      <w:pPr>
        <w:ind w:left="261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D313FBF"/>
    <w:multiLevelType w:val="hybridMultilevel"/>
    <w:tmpl w:val="58869A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BAD64AAA"/>
    <w:lvl w:ilvl="0" w:tplc="D100809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2A1F60"/>
    <w:multiLevelType w:val="hybridMultilevel"/>
    <w:tmpl w:val="E01406E0"/>
    <w:lvl w:ilvl="0" w:tplc="12767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56E3BBC"/>
    <w:multiLevelType w:val="hybridMultilevel"/>
    <w:tmpl w:val="5B904120"/>
    <w:lvl w:ilvl="0" w:tplc="25F8EE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C57006"/>
    <w:multiLevelType w:val="hybridMultilevel"/>
    <w:tmpl w:val="95882420"/>
    <w:lvl w:ilvl="0" w:tplc="229AC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CC36F6"/>
    <w:multiLevelType w:val="hybridMultilevel"/>
    <w:tmpl w:val="3FB08DBE"/>
    <w:lvl w:ilvl="0" w:tplc="7D0A5278">
      <w:start w:val="1"/>
      <w:numFmt w:val="decimal"/>
      <w:pStyle w:val="Style2"/>
      <w:lvlText w:val="%1."/>
      <w:lvlJc w:val="left"/>
      <w:pPr>
        <w:tabs>
          <w:tab w:val="num" w:pos="720"/>
        </w:tabs>
        <w:ind w:left="0" w:firstLine="720"/>
      </w:pPr>
      <w:rPr>
        <w:rFonts w:ascii="Cambria" w:hAnsi="Cambria" w:hint="default"/>
        <w:b w:val="0"/>
        <w:i w:val="0"/>
        <w:color w:val="auto"/>
        <w:sz w:val="20"/>
        <w:szCs w:val="20"/>
      </w:rPr>
    </w:lvl>
    <w:lvl w:ilvl="1" w:tplc="8818AAE4">
      <w:start w:val="4"/>
      <w:numFmt w:val="upperRoman"/>
      <w:lvlText w:val="%2."/>
      <w:lvlJc w:val="left"/>
      <w:pPr>
        <w:tabs>
          <w:tab w:val="num" w:pos="2160"/>
        </w:tabs>
        <w:ind w:left="2160" w:hanging="720"/>
      </w:pPr>
      <w:rPr>
        <w:rFonts w:hint="default"/>
        <w:b/>
      </w:rPr>
    </w:lvl>
    <w:lvl w:ilvl="2" w:tplc="ECA8A366">
      <w:start w:val="1"/>
      <w:numFmt w:val="upperLetter"/>
      <w:lvlText w:val="%3."/>
      <w:lvlJc w:val="left"/>
      <w:pPr>
        <w:tabs>
          <w:tab w:val="num" w:pos="3060"/>
        </w:tabs>
        <w:ind w:left="3060" w:hanging="720"/>
      </w:pPr>
      <w:rPr>
        <w:rFonts w:hint="default"/>
        <w:b/>
      </w:rPr>
    </w:lvl>
    <w:lvl w:ilvl="3" w:tplc="CFE897F8">
      <w:start w:val="1"/>
      <w:numFmt w:val="lowerLetter"/>
      <w:lvlText w:val="%4."/>
      <w:lvlJc w:val="left"/>
      <w:pPr>
        <w:tabs>
          <w:tab w:val="num" w:pos="3240"/>
        </w:tabs>
        <w:ind w:left="3240" w:hanging="360"/>
      </w:pPr>
      <w:rPr>
        <w:rFonts w:hint="default"/>
      </w:rPr>
    </w:lvl>
    <w:lvl w:ilvl="4" w:tplc="1D229B08">
      <w:start w:val="9"/>
      <w:numFmt w:val="bullet"/>
      <w:lvlText w:val="-"/>
      <w:lvlJc w:val="left"/>
      <w:pPr>
        <w:tabs>
          <w:tab w:val="num" w:pos="3960"/>
        </w:tabs>
        <w:ind w:left="3960" w:hanging="360"/>
      </w:pPr>
      <w:rPr>
        <w:rFonts w:ascii="Univers" w:eastAsia="Times New Roman" w:hAnsi="Univer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6"/>
  </w:num>
  <w:num w:numId="3">
    <w:abstractNumId w:val="58"/>
  </w:num>
  <w:num w:numId="4">
    <w:abstractNumId w:val="23"/>
  </w:num>
  <w:num w:numId="5">
    <w:abstractNumId w:val="49"/>
  </w:num>
  <w:num w:numId="6">
    <w:abstractNumId w:val="29"/>
  </w:num>
  <w:num w:numId="7">
    <w:abstractNumId w:val="9"/>
  </w:num>
  <w:num w:numId="8">
    <w:abstractNumId w:val="19"/>
  </w:num>
  <w:num w:numId="9">
    <w:abstractNumId w:val="43"/>
  </w:num>
  <w:num w:numId="10">
    <w:abstractNumId w:val="1"/>
  </w:num>
  <w:num w:numId="11">
    <w:abstractNumId w:val="38"/>
  </w:num>
  <w:num w:numId="12">
    <w:abstractNumId w:val="39"/>
  </w:num>
  <w:num w:numId="13">
    <w:abstractNumId w:val="46"/>
  </w:num>
  <w:num w:numId="14">
    <w:abstractNumId w:val="2"/>
  </w:num>
  <w:num w:numId="15">
    <w:abstractNumId w:val="4"/>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8"/>
  </w:num>
  <w:num w:numId="42">
    <w:abstractNumId w:val="50"/>
  </w:num>
  <w:num w:numId="43">
    <w:abstractNumId w:val="52"/>
  </w:num>
  <w:num w:numId="44">
    <w:abstractNumId w:val="55"/>
  </w:num>
  <w:num w:numId="45">
    <w:abstractNumId w:val="57"/>
  </w:num>
  <w:num w:numId="46">
    <w:abstractNumId w:val="59"/>
  </w:num>
  <w:num w:numId="47">
    <w:abstractNumId w:val="60"/>
  </w:num>
  <w:num w:numId="48">
    <w:abstractNumId w:val="61"/>
  </w:num>
  <w:num w:numId="49">
    <w:abstractNumId w:val="63"/>
  </w:num>
  <w:num w:numId="50">
    <w:abstractNumId w:val="65"/>
  </w:num>
  <w:num w:numId="51">
    <w:abstractNumId w:val="22"/>
  </w:num>
  <w:num w:numId="52">
    <w:abstractNumId w:val="42"/>
  </w:num>
  <w:num w:numId="53">
    <w:abstractNumId w:val="53"/>
  </w:num>
  <w:num w:numId="54">
    <w:abstractNumId w:val="47"/>
  </w:num>
  <w:num w:numId="55">
    <w:abstractNumId w:val="7"/>
  </w:num>
  <w:num w:numId="56">
    <w:abstractNumId w:val="8"/>
  </w:num>
  <w:num w:numId="57">
    <w:abstractNumId w:val="45"/>
  </w:num>
  <w:num w:numId="58">
    <w:abstractNumId w:val="8"/>
    <w:lvlOverride w:ilvl="0">
      <w:startOverride w:val="1"/>
    </w:lvlOverride>
  </w:num>
  <w:num w:numId="59">
    <w:abstractNumId w:val="27"/>
  </w:num>
  <w:num w:numId="60">
    <w:abstractNumId w:val="64"/>
  </w:num>
  <w:num w:numId="61">
    <w:abstractNumId w:val="3"/>
  </w:num>
  <w:num w:numId="62">
    <w:abstractNumId w:val="45"/>
    <w:lvlOverride w:ilvl="0">
      <w:startOverride w:val="1"/>
    </w:lvlOverride>
  </w:num>
  <w:num w:numId="63">
    <w:abstractNumId w:val="56"/>
  </w:num>
  <w:num w:numId="64">
    <w:abstractNumId w:val="62"/>
  </w:num>
  <w:num w:numId="65">
    <w:abstractNumId w:val="44"/>
  </w:num>
  <w:num w:numId="66">
    <w:abstractNumId w:val="51"/>
  </w:num>
  <w:num w:numId="67">
    <w:abstractNumId w:val="0"/>
  </w:num>
  <w:num w:numId="68">
    <w:abstractNumId w:val="54"/>
  </w:num>
  <w:num w:numId="69">
    <w:abstractNumId w:val="45"/>
    <w:lvlOverride w:ilvl="0">
      <w:startOverride w:val="1"/>
    </w:lvlOverride>
  </w:num>
  <w:num w:numId="70">
    <w:abstractNumId w:val="8"/>
    <w:lvlOverride w:ilvl="0">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36E"/>
    <w:rsid w:val="0000526D"/>
    <w:rsid w:val="00006E1F"/>
    <w:rsid w:val="000070D7"/>
    <w:rsid w:val="00011DCC"/>
    <w:rsid w:val="0001232B"/>
    <w:rsid w:val="00014EE3"/>
    <w:rsid w:val="0001647A"/>
    <w:rsid w:val="000167B5"/>
    <w:rsid w:val="0001788C"/>
    <w:rsid w:val="00017E98"/>
    <w:rsid w:val="0002090C"/>
    <w:rsid w:val="000230CD"/>
    <w:rsid w:val="00023A4F"/>
    <w:rsid w:val="00025E36"/>
    <w:rsid w:val="0003059F"/>
    <w:rsid w:val="0003424D"/>
    <w:rsid w:val="0003449A"/>
    <w:rsid w:val="00035185"/>
    <w:rsid w:val="000367C7"/>
    <w:rsid w:val="0003780E"/>
    <w:rsid w:val="00040C3A"/>
    <w:rsid w:val="000414CF"/>
    <w:rsid w:val="00041605"/>
    <w:rsid w:val="000426D9"/>
    <w:rsid w:val="00042823"/>
    <w:rsid w:val="000439BC"/>
    <w:rsid w:val="00043DC1"/>
    <w:rsid w:val="0004685E"/>
    <w:rsid w:val="00046DA5"/>
    <w:rsid w:val="00047ED9"/>
    <w:rsid w:val="0005027C"/>
    <w:rsid w:val="000506EE"/>
    <w:rsid w:val="0005137D"/>
    <w:rsid w:val="0005193B"/>
    <w:rsid w:val="00051968"/>
    <w:rsid w:val="00052449"/>
    <w:rsid w:val="00052968"/>
    <w:rsid w:val="00053344"/>
    <w:rsid w:val="00055613"/>
    <w:rsid w:val="000571E9"/>
    <w:rsid w:val="000602C3"/>
    <w:rsid w:val="00062AE8"/>
    <w:rsid w:val="000632AB"/>
    <w:rsid w:val="000634C9"/>
    <w:rsid w:val="00064C85"/>
    <w:rsid w:val="00064CDA"/>
    <w:rsid w:val="000714D8"/>
    <w:rsid w:val="000716C5"/>
    <w:rsid w:val="000719AB"/>
    <w:rsid w:val="00071BE7"/>
    <w:rsid w:val="00074FED"/>
    <w:rsid w:val="0007552A"/>
    <w:rsid w:val="00075B71"/>
    <w:rsid w:val="00075E23"/>
    <w:rsid w:val="00080675"/>
    <w:rsid w:val="000808C7"/>
    <w:rsid w:val="00080E65"/>
    <w:rsid w:val="00082318"/>
    <w:rsid w:val="0008246E"/>
    <w:rsid w:val="00083073"/>
    <w:rsid w:val="00084E0E"/>
    <w:rsid w:val="000905D6"/>
    <w:rsid w:val="0009068A"/>
    <w:rsid w:val="00090EA1"/>
    <w:rsid w:val="0009344A"/>
    <w:rsid w:val="0009641D"/>
    <w:rsid w:val="0009644A"/>
    <w:rsid w:val="00096831"/>
    <w:rsid w:val="00096D0F"/>
    <w:rsid w:val="000971FF"/>
    <w:rsid w:val="0009795B"/>
    <w:rsid w:val="000A14A6"/>
    <w:rsid w:val="000A2BA4"/>
    <w:rsid w:val="000A392E"/>
    <w:rsid w:val="000A3A9A"/>
    <w:rsid w:val="000A49B7"/>
    <w:rsid w:val="000A4B51"/>
    <w:rsid w:val="000A4B8C"/>
    <w:rsid w:val="000A575F"/>
    <w:rsid w:val="000A6DAC"/>
    <w:rsid w:val="000A7AE0"/>
    <w:rsid w:val="000B04DA"/>
    <w:rsid w:val="000B1AE1"/>
    <w:rsid w:val="000B1B8C"/>
    <w:rsid w:val="000B1E4F"/>
    <w:rsid w:val="000B421B"/>
    <w:rsid w:val="000B5409"/>
    <w:rsid w:val="000B563B"/>
    <w:rsid w:val="000B5C1F"/>
    <w:rsid w:val="000B66DA"/>
    <w:rsid w:val="000B6B11"/>
    <w:rsid w:val="000B781C"/>
    <w:rsid w:val="000B7C09"/>
    <w:rsid w:val="000C16EF"/>
    <w:rsid w:val="000C3CC1"/>
    <w:rsid w:val="000C3F62"/>
    <w:rsid w:val="000C6938"/>
    <w:rsid w:val="000C75EA"/>
    <w:rsid w:val="000D0047"/>
    <w:rsid w:val="000D0424"/>
    <w:rsid w:val="000D05C9"/>
    <w:rsid w:val="000D10DB"/>
    <w:rsid w:val="000D32F2"/>
    <w:rsid w:val="000D6E9C"/>
    <w:rsid w:val="000D7047"/>
    <w:rsid w:val="000E09D8"/>
    <w:rsid w:val="000E27C1"/>
    <w:rsid w:val="000E3EB0"/>
    <w:rsid w:val="000E5EB5"/>
    <w:rsid w:val="000E6FE7"/>
    <w:rsid w:val="000F0D51"/>
    <w:rsid w:val="000F35ED"/>
    <w:rsid w:val="000F3F7D"/>
    <w:rsid w:val="000F5AFE"/>
    <w:rsid w:val="000F665A"/>
    <w:rsid w:val="000F6DEA"/>
    <w:rsid w:val="000F7BC7"/>
    <w:rsid w:val="00102ADC"/>
    <w:rsid w:val="00102BF5"/>
    <w:rsid w:val="0010331D"/>
    <w:rsid w:val="001039C9"/>
    <w:rsid w:val="00105686"/>
    <w:rsid w:val="00107131"/>
    <w:rsid w:val="0010736F"/>
    <w:rsid w:val="00107523"/>
    <w:rsid w:val="001119FF"/>
    <w:rsid w:val="00113F73"/>
    <w:rsid w:val="00114274"/>
    <w:rsid w:val="0011521D"/>
    <w:rsid w:val="00115271"/>
    <w:rsid w:val="00117F90"/>
    <w:rsid w:val="001206FD"/>
    <w:rsid w:val="00120BEC"/>
    <w:rsid w:val="00121AEF"/>
    <w:rsid w:val="00121CC2"/>
    <w:rsid w:val="00122177"/>
    <w:rsid w:val="001225F7"/>
    <w:rsid w:val="001230C0"/>
    <w:rsid w:val="00123740"/>
    <w:rsid w:val="001247BE"/>
    <w:rsid w:val="00124E43"/>
    <w:rsid w:val="001301F4"/>
    <w:rsid w:val="00130A6D"/>
    <w:rsid w:val="00133D5B"/>
    <w:rsid w:val="00133EE5"/>
    <w:rsid w:val="00134352"/>
    <w:rsid w:val="00136C0D"/>
    <w:rsid w:val="0014163E"/>
    <w:rsid w:val="00145292"/>
    <w:rsid w:val="00146017"/>
    <w:rsid w:val="0014617F"/>
    <w:rsid w:val="00146B61"/>
    <w:rsid w:val="0014785E"/>
    <w:rsid w:val="00151347"/>
    <w:rsid w:val="00151EF0"/>
    <w:rsid w:val="00152789"/>
    <w:rsid w:val="00152C9A"/>
    <w:rsid w:val="00153F54"/>
    <w:rsid w:val="00155AFC"/>
    <w:rsid w:val="0015605E"/>
    <w:rsid w:val="001564F7"/>
    <w:rsid w:val="0016084A"/>
    <w:rsid w:val="00161EC8"/>
    <w:rsid w:val="00162D09"/>
    <w:rsid w:val="00162DE1"/>
    <w:rsid w:val="00164059"/>
    <w:rsid w:val="0016447B"/>
    <w:rsid w:val="00166D51"/>
    <w:rsid w:val="00167A34"/>
    <w:rsid w:val="00171BA2"/>
    <w:rsid w:val="00175DBE"/>
    <w:rsid w:val="00180381"/>
    <w:rsid w:val="001827D0"/>
    <w:rsid w:val="00183A7B"/>
    <w:rsid w:val="001849DA"/>
    <w:rsid w:val="00186D50"/>
    <w:rsid w:val="001870D6"/>
    <w:rsid w:val="00187445"/>
    <w:rsid w:val="00187BCA"/>
    <w:rsid w:val="00191243"/>
    <w:rsid w:val="00191DFA"/>
    <w:rsid w:val="00196490"/>
    <w:rsid w:val="001971BC"/>
    <w:rsid w:val="001A3D6B"/>
    <w:rsid w:val="001A4AA6"/>
    <w:rsid w:val="001A4C59"/>
    <w:rsid w:val="001A5D47"/>
    <w:rsid w:val="001A689C"/>
    <w:rsid w:val="001A7870"/>
    <w:rsid w:val="001A7FF2"/>
    <w:rsid w:val="001B00FE"/>
    <w:rsid w:val="001B03FC"/>
    <w:rsid w:val="001B06F1"/>
    <w:rsid w:val="001B0D7F"/>
    <w:rsid w:val="001B5778"/>
    <w:rsid w:val="001B7D31"/>
    <w:rsid w:val="001C0658"/>
    <w:rsid w:val="001C1126"/>
    <w:rsid w:val="001C1B41"/>
    <w:rsid w:val="001C2EFA"/>
    <w:rsid w:val="001C3C6D"/>
    <w:rsid w:val="001C428D"/>
    <w:rsid w:val="001C57DD"/>
    <w:rsid w:val="001C6CA4"/>
    <w:rsid w:val="001C7594"/>
    <w:rsid w:val="001C7B67"/>
    <w:rsid w:val="001D000F"/>
    <w:rsid w:val="001D0014"/>
    <w:rsid w:val="001D0520"/>
    <w:rsid w:val="001D0825"/>
    <w:rsid w:val="001D0EF0"/>
    <w:rsid w:val="001D1C55"/>
    <w:rsid w:val="001D22A3"/>
    <w:rsid w:val="001D24BA"/>
    <w:rsid w:val="001D283E"/>
    <w:rsid w:val="001D2963"/>
    <w:rsid w:val="001D2C02"/>
    <w:rsid w:val="001D34FB"/>
    <w:rsid w:val="001D4B8A"/>
    <w:rsid w:val="001D4F56"/>
    <w:rsid w:val="001D65EF"/>
    <w:rsid w:val="001E0301"/>
    <w:rsid w:val="001E0363"/>
    <w:rsid w:val="001E105D"/>
    <w:rsid w:val="001E4FB9"/>
    <w:rsid w:val="001E5A19"/>
    <w:rsid w:val="001E63D3"/>
    <w:rsid w:val="001E72A2"/>
    <w:rsid w:val="001F1E00"/>
    <w:rsid w:val="001F3181"/>
    <w:rsid w:val="001F5679"/>
    <w:rsid w:val="001F5A1A"/>
    <w:rsid w:val="001F6B51"/>
    <w:rsid w:val="001F7947"/>
    <w:rsid w:val="002000A6"/>
    <w:rsid w:val="00204DAA"/>
    <w:rsid w:val="0020713E"/>
    <w:rsid w:val="002104D8"/>
    <w:rsid w:val="00212119"/>
    <w:rsid w:val="00214124"/>
    <w:rsid w:val="002149BD"/>
    <w:rsid w:val="0021509A"/>
    <w:rsid w:val="00215D28"/>
    <w:rsid w:val="00217CA5"/>
    <w:rsid w:val="00223B04"/>
    <w:rsid w:val="0022401A"/>
    <w:rsid w:val="002243CF"/>
    <w:rsid w:val="002250A3"/>
    <w:rsid w:val="00225AA5"/>
    <w:rsid w:val="0023119E"/>
    <w:rsid w:val="00232114"/>
    <w:rsid w:val="00232454"/>
    <w:rsid w:val="00235217"/>
    <w:rsid w:val="002363AF"/>
    <w:rsid w:val="00236FD4"/>
    <w:rsid w:val="00237D33"/>
    <w:rsid w:val="002409FF"/>
    <w:rsid w:val="002413D5"/>
    <w:rsid w:val="0024225A"/>
    <w:rsid w:val="002446D8"/>
    <w:rsid w:val="002446E8"/>
    <w:rsid w:val="00246D1F"/>
    <w:rsid w:val="00247403"/>
    <w:rsid w:val="00247542"/>
    <w:rsid w:val="00247F71"/>
    <w:rsid w:val="002506C5"/>
    <w:rsid w:val="00251965"/>
    <w:rsid w:val="002520BB"/>
    <w:rsid w:val="0025237A"/>
    <w:rsid w:val="00257652"/>
    <w:rsid w:val="00261495"/>
    <w:rsid w:val="0026175F"/>
    <w:rsid w:val="002623DF"/>
    <w:rsid w:val="0026361D"/>
    <w:rsid w:val="00264018"/>
    <w:rsid w:val="00265DE3"/>
    <w:rsid w:val="002667CB"/>
    <w:rsid w:val="00266B61"/>
    <w:rsid w:val="0026712A"/>
    <w:rsid w:val="00267A01"/>
    <w:rsid w:val="00270129"/>
    <w:rsid w:val="002704DB"/>
    <w:rsid w:val="002713A5"/>
    <w:rsid w:val="00271F6E"/>
    <w:rsid w:val="0027420B"/>
    <w:rsid w:val="0027532A"/>
    <w:rsid w:val="00275D26"/>
    <w:rsid w:val="002766C1"/>
    <w:rsid w:val="00277633"/>
    <w:rsid w:val="002814D4"/>
    <w:rsid w:val="00283D87"/>
    <w:rsid w:val="00284F0A"/>
    <w:rsid w:val="0028652B"/>
    <w:rsid w:val="00293B18"/>
    <w:rsid w:val="0029530B"/>
    <w:rsid w:val="0029712C"/>
    <w:rsid w:val="002A0AAE"/>
    <w:rsid w:val="002A4968"/>
    <w:rsid w:val="002A5820"/>
    <w:rsid w:val="002A5C2F"/>
    <w:rsid w:val="002A7BD9"/>
    <w:rsid w:val="002B0778"/>
    <w:rsid w:val="002B19CC"/>
    <w:rsid w:val="002B1C30"/>
    <w:rsid w:val="002B1CB7"/>
    <w:rsid w:val="002B1EB4"/>
    <w:rsid w:val="002B2C73"/>
    <w:rsid w:val="002B45FA"/>
    <w:rsid w:val="002B4717"/>
    <w:rsid w:val="002B5645"/>
    <w:rsid w:val="002B588B"/>
    <w:rsid w:val="002B7290"/>
    <w:rsid w:val="002B7F7D"/>
    <w:rsid w:val="002C0D1E"/>
    <w:rsid w:val="002C12EA"/>
    <w:rsid w:val="002C2AA1"/>
    <w:rsid w:val="002C332C"/>
    <w:rsid w:val="002C34E4"/>
    <w:rsid w:val="002D0A35"/>
    <w:rsid w:val="002D0AC7"/>
    <w:rsid w:val="002D0EF9"/>
    <w:rsid w:val="002D2B26"/>
    <w:rsid w:val="002D2DAE"/>
    <w:rsid w:val="002D4390"/>
    <w:rsid w:val="002D7EA2"/>
    <w:rsid w:val="002E01CF"/>
    <w:rsid w:val="002E0C89"/>
    <w:rsid w:val="002E0D29"/>
    <w:rsid w:val="002E187C"/>
    <w:rsid w:val="002E3557"/>
    <w:rsid w:val="002E410B"/>
    <w:rsid w:val="002E5AC5"/>
    <w:rsid w:val="002E71AB"/>
    <w:rsid w:val="002F11EE"/>
    <w:rsid w:val="002F1B0C"/>
    <w:rsid w:val="002F207B"/>
    <w:rsid w:val="002F25FB"/>
    <w:rsid w:val="002F26AC"/>
    <w:rsid w:val="00300350"/>
    <w:rsid w:val="00300421"/>
    <w:rsid w:val="003009E4"/>
    <w:rsid w:val="00302733"/>
    <w:rsid w:val="00302758"/>
    <w:rsid w:val="00303A58"/>
    <w:rsid w:val="003044BA"/>
    <w:rsid w:val="00305931"/>
    <w:rsid w:val="00307043"/>
    <w:rsid w:val="003107D0"/>
    <w:rsid w:val="00310B7C"/>
    <w:rsid w:val="00311567"/>
    <w:rsid w:val="00311972"/>
    <w:rsid w:val="00313C05"/>
    <w:rsid w:val="00314078"/>
    <w:rsid w:val="003148D7"/>
    <w:rsid w:val="0031535D"/>
    <w:rsid w:val="00317393"/>
    <w:rsid w:val="003176C1"/>
    <w:rsid w:val="00317A5B"/>
    <w:rsid w:val="00320230"/>
    <w:rsid w:val="00320D12"/>
    <w:rsid w:val="003219C2"/>
    <w:rsid w:val="00321EE3"/>
    <w:rsid w:val="00324E91"/>
    <w:rsid w:val="003254F1"/>
    <w:rsid w:val="00325FE9"/>
    <w:rsid w:val="00327A2C"/>
    <w:rsid w:val="0033029B"/>
    <w:rsid w:val="0033169F"/>
    <w:rsid w:val="003320BA"/>
    <w:rsid w:val="0033250B"/>
    <w:rsid w:val="00332B38"/>
    <w:rsid w:val="0033448C"/>
    <w:rsid w:val="00335412"/>
    <w:rsid w:val="003371F5"/>
    <w:rsid w:val="003375DD"/>
    <w:rsid w:val="00342003"/>
    <w:rsid w:val="00342165"/>
    <w:rsid w:val="00343891"/>
    <w:rsid w:val="00343EA2"/>
    <w:rsid w:val="0034495A"/>
    <w:rsid w:val="00345B86"/>
    <w:rsid w:val="00345C5A"/>
    <w:rsid w:val="00346043"/>
    <w:rsid w:val="00346C95"/>
    <w:rsid w:val="0034779B"/>
    <w:rsid w:val="003506F0"/>
    <w:rsid w:val="00353DBF"/>
    <w:rsid w:val="00356185"/>
    <w:rsid w:val="00357C9F"/>
    <w:rsid w:val="00360380"/>
    <w:rsid w:val="00363752"/>
    <w:rsid w:val="00363C86"/>
    <w:rsid w:val="0036597E"/>
    <w:rsid w:val="00367061"/>
    <w:rsid w:val="00371203"/>
    <w:rsid w:val="003716B6"/>
    <w:rsid w:val="00372147"/>
    <w:rsid w:val="00373196"/>
    <w:rsid w:val="0037403E"/>
    <w:rsid w:val="00374B25"/>
    <w:rsid w:val="00374CBC"/>
    <w:rsid w:val="0037519E"/>
    <w:rsid w:val="003755CC"/>
    <w:rsid w:val="00375743"/>
    <w:rsid w:val="00375D6D"/>
    <w:rsid w:val="00377A84"/>
    <w:rsid w:val="00377C89"/>
    <w:rsid w:val="00380406"/>
    <w:rsid w:val="00381171"/>
    <w:rsid w:val="00381D47"/>
    <w:rsid w:val="00382948"/>
    <w:rsid w:val="00383CC7"/>
    <w:rsid w:val="00384A55"/>
    <w:rsid w:val="00384F4B"/>
    <w:rsid w:val="00386CF0"/>
    <w:rsid w:val="00390698"/>
    <w:rsid w:val="00390913"/>
    <w:rsid w:val="00391030"/>
    <w:rsid w:val="003919C1"/>
    <w:rsid w:val="00392493"/>
    <w:rsid w:val="00393BA0"/>
    <w:rsid w:val="003948AB"/>
    <w:rsid w:val="00396D0B"/>
    <w:rsid w:val="00396FC0"/>
    <w:rsid w:val="0039755A"/>
    <w:rsid w:val="003A2FFB"/>
    <w:rsid w:val="003A4754"/>
    <w:rsid w:val="003A57A0"/>
    <w:rsid w:val="003A5A83"/>
    <w:rsid w:val="003B1C10"/>
    <w:rsid w:val="003B2F02"/>
    <w:rsid w:val="003B3402"/>
    <w:rsid w:val="003B3DB7"/>
    <w:rsid w:val="003B3EB4"/>
    <w:rsid w:val="003B45C9"/>
    <w:rsid w:val="003B4B46"/>
    <w:rsid w:val="003B6647"/>
    <w:rsid w:val="003C428D"/>
    <w:rsid w:val="003C464A"/>
    <w:rsid w:val="003C4D53"/>
    <w:rsid w:val="003C50C1"/>
    <w:rsid w:val="003C676B"/>
    <w:rsid w:val="003C74EB"/>
    <w:rsid w:val="003D15D7"/>
    <w:rsid w:val="003D3072"/>
    <w:rsid w:val="003D3BC2"/>
    <w:rsid w:val="003D5881"/>
    <w:rsid w:val="003D72D3"/>
    <w:rsid w:val="003E2292"/>
    <w:rsid w:val="003E6CA1"/>
    <w:rsid w:val="003E6D58"/>
    <w:rsid w:val="003E738A"/>
    <w:rsid w:val="003F100F"/>
    <w:rsid w:val="003F182E"/>
    <w:rsid w:val="003F51F1"/>
    <w:rsid w:val="003F5822"/>
    <w:rsid w:val="003F5C32"/>
    <w:rsid w:val="003F6232"/>
    <w:rsid w:val="003F64B7"/>
    <w:rsid w:val="00400835"/>
    <w:rsid w:val="00401367"/>
    <w:rsid w:val="004064D2"/>
    <w:rsid w:val="004070B0"/>
    <w:rsid w:val="0040763B"/>
    <w:rsid w:val="00410121"/>
    <w:rsid w:val="004104E5"/>
    <w:rsid w:val="0041622A"/>
    <w:rsid w:val="004165C2"/>
    <w:rsid w:val="004221D6"/>
    <w:rsid w:val="00423F2D"/>
    <w:rsid w:val="00424049"/>
    <w:rsid w:val="00424833"/>
    <w:rsid w:val="00425F03"/>
    <w:rsid w:val="00426A37"/>
    <w:rsid w:val="004330FF"/>
    <w:rsid w:val="004337FA"/>
    <w:rsid w:val="00434677"/>
    <w:rsid w:val="00434776"/>
    <w:rsid w:val="004354C3"/>
    <w:rsid w:val="00436077"/>
    <w:rsid w:val="00437E33"/>
    <w:rsid w:val="00441B36"/>
    <w:rsid w:val="00441ECB"/>
    <w:rsid w:val="004433D3"/>
    <w:rsid w:val="004435C7"/>
    <w:rsid w:val="004468E7"/>
    <w:rsid w:val="004471C7"/>
    <w:rsid w:val="004500DF"/>
    <w:rsid w:val="004502D1"/>
    <w:rsid w:val="00451D50"/>
    <w:rsid w:val="0045216B"/>
    <w:rsid w:val="00453C9C"/>
    <w:rsid w:val="00456FC2"/>
    <w:rsid w:val="004601D2"/>
    <w:rsid w:val="00460F47"/>
    <w:rsid w:val="00463492"/>
    <w:rsid w:val="00464544"/>
    <w:rsid w:val="0046506B"/>
    <w:rsid w:val="00465BD4"/>
    <w:rsid w:val="00467B7E"/>
    <w:rsid w:val="004715BA"/>
    <w:rsid w:val="004722BC"/>
    <w:rsid w:val="0047328E"/>
    <w:rsid w:val="004745BA"/>
    <w:rsid w:val="00477592"/>
    <w:rsid w:val="00481BD9"/>
    <w:rsid w:val="004822D6"/>
    <w:rsid w:val="00482D38"/>
    <w:rsid w:val="00482EB3"/>
    <w:rsid w:val="004852D3"/>
    <w:rsid w:val="00485940"/>
    <w:rsid w:val="0048690F"/>
    <w:rsid w:val="004869B1"/>
    <w:rsid w:val="00486F1C"/>
    <w:rsid w:val="00490AD9"/>
    <w:rsid w:val="004932EA"/>
    <w:rsid w:val="0049419D"/>
    <w:rsid w:val="00494F88"/>
    <w:rsid w:val="0049543D"/>
    <w:rsid w:val="004962DD"/>
    <w:rsid w:val="004A065B"/>
    <w:rsid w:val="004A088B"/>
    <w:rsid w:val="004A0CF6"/>
    <w:rsid w:val="004A0E3A"/>
    <w:rsid w:val="004A2335"/>
    <w:rsid w:val="004A52B5"/>
    <w:rsid w:val="004A5917"/>
    <w:rsid w:val="004A5968"/>
    <w:rsid w:val="004A789F"/>
    <w:rsid w:val="004A79E3"/>
    <w:rsid w:val="004A7E83"/>
    <w:rsid w:val="004B387E"/>
    <w:rsid w:val="004B3C9D"/>
    <w:rsid w:val="004B65CE"/>
    <w:rsid w:val="004C0189"/>
    <w:rsid w:val="004C102F"/>
    <w:rsid w:val="004C16DA"/>
    <w:rsid w:val="004C1CDA"/>
    <w:rsid w:val="004C20D2"/>
    <w:rsid w:val="004C2F43"/>
    <w:rsid w:val="004C45BC"/>
    <w:rsid w:val="004C4B62"/>
    <w:rsid w:val="004C54C9"/>
    <w:rsid w:val="004C5792"/>
    <w:rsid w:val="004D18D7"/>
    <w:rsid w:val="004D46DD"/>
    <w:rsid w:val="004D4CB3"/>
    <w:rsid w:val="004D5107"/>
    <w:rsid w:val="004D5216"/>
    <w:rsid w:val="004D5290"/>
    <w:rsid w:val="004D6025"/>
    <w:rsid w:val="004D6643"/>
    <w:rsid w:val="004E1379"/>
    <w:rsid w:val="004E2649"/>
    <w:rsid w:val="004E29F7"/>
    <w:rsid w:val="004E45F9"/>
    <w:rsid w:val="004E587B"/>
    <w:rsid w:val="004E5FC3"/>
    <w:rsid w:val="004E6A11"/>
    <w:rsid w:val="004E7CC3"/>
    <w:rsid w:val="004F1828"/>
    <w:rsid w:val="004F2622"/>
    <w:rsid w:val="004F37D4"/>
    <w:rsid w:val="004F4E4E"/>
    <w:rsid w:val="004F545C"/>
    <w:rsid w:val="004F6CEC"/>
    <w:rsid w:val="00501366"/>
    <w:rsid w:val="00501399"/>
    <w:rsid w:val="005037E3"/>
    <w:rsid w:val="005047CD"/>
    <w:rsid w:val="00505E29"/>
    <w:rsid w:val="0050633D"/>
    <w:rsid w:val="00507187"/>
    <w:rsid w:val="005071D9"/>
    <w:rsid w:val="005077C3"/>
    <w:rsid w:val="00507BC4"/>
    <w:rsid w:val="00511042"/>
    <w:rsid w:val="005128E4"/>
    <w:rsid w:val="00512935"/>
    <w:rsid w:val="005133DB"/>
    <w:rsid w:val="005147D8"/>
    <w:rsid w:val="0051690B"/>
    <w:rsid w:val="00520526"/>
    <w:rsid w:val="00520A26"/>
    <w:rsid w:val="00520A90"/>
    <w:rsid w:val="00520B19"/>
    <w:rsid w:val="005211F3"/>
    <w:rsid w:val="005246AC"/>
    <w:rsid w:val="00525282"/>
    <w:rsid w:val="00525560"/>
    <w:rsid w:val="00532258"/>
    <w:rsid w:val="00532B62"/>
    <w:rsid w:val="00532FB7"/>
    <w:rsid w:val="00533745"/>
    <w:rsid w:val="00536214"/>
    <w:rsid w:val="00542262"/>
    <w:rsid w:val="00542343"/>
    <w:rsid w:val="00542F4F"/>
    <w:rsid w:val="00542FC9"/>
    <w:rsid w:val="00543375"/>
    <w:rsid w:val="00544C49"/>
    <w:rsid w:val="00544E9C"/>
    <w:rsid w:val="00545130"/>
    <w:rsid w:val="00547393"/>
    <w:rsid w:val="0055040D"/>
    <w:rsid w:val="005516A1"/>
    <w:rsid w:val="00551B7B"/>
    <w:rsid w:val="00554E83"/>
    <w:rsid w:val="0055584C"/>
    <w:rsid w:val="0055642F"/>
    <w:rsid w:val="00560246"/>
    <w:rsid w:val="005612B3"/>
    <w:rsid w:val="00561E51"/>
    <w:rsid w:val="00564AC5"/>
    <w:rsid w:val="00565B1E"/>
    <w:rsid w:val="00566D14"/>
    <w:rsid w:val="005671AB"/>
    <w:rsid w:val="00570294"/>
    <w:rsid w:val="0057046B"/>
    <w:rsid w:val="00570E5A"/>
    <w:rsid w:val="00570E75"/>
    <w:rsid w:val="005711FB"/>
    <w:rsid w:val="00572795"/>
    <w:rsid w:val="005731DB"/>
    <w:rsid w:val="00573AA5"/>
    <w:rsid w:val="0057402A"/>
    <w:rsid w:val="00575E2B"/>
    <w:rsid w:val="00576104"/>
    <w:rsid w:val="005771D0"/>
    <w:rsid w:val="00582A75"/>
    <w:rsid w:val="005849B8"/>
    <w:rsid w:val="00586241"/>
    <w:rsid w:val="00586951"/>
    <w:rsid w:val="00587154"/>
    <w:rsid w:val="00587E5E"/>
    <w:rsid w:val="00590BE5"/>
    <w:rsid w:val="0059129E"/>
    <w:rsid w:val="0059191A"/>
    <w:rsid w:val="005921FF"/>
    <w:rsid w:val="0059389C"/>
    <w:rsid w:val="005949D8"/>
    <w:rsid w:val="00594DAC"/>
    <w:rsid w:val="00596701"/>
    <w:rsid w:val="00596ACF"/>
    <w:rsid w:val="00597C0F"/>
    <w:rsid w:val="005A01EC"/>
    <w:rsid w:val="005A1062"/>
    <w:rsid w:val="005A157E"/>
    <w:rsid w:val="005A1EB7"/>
    <w:rsid w:val="005A31CC"/>
    <w:rsid w:val="005A4823"/>
    <w:rsid w:val="005A535D"/>
    <w:rsid w:val="005A5BD1"/>
    <w:rsid w:val="005A660E"/>
    <w:rsid w:val="005A678F"/>
    <w:rsid w:val="005A6D0E"/>
    <w:rsid w:val="005B0351"/>
    <w:rsid w:val="005B0B24"/>
    <w:rsid w:val="005B0E1E"/>
    <w:rsid w:val="005B2849"/>
    <w:rsid w:val="005B2EBA"/>
    <w:rsid w:val="005B3130"/>
    <w:rsid w:val="005B4641"/>
    <w:rsid w:val="005B52B0"/>
    <w:rsid w:val="005B568F"/>
    <w:rsid w:val="005B6806"/>
    <w:rsid w:val="005B76F1"/>
    <w:rsid w:val="005C0CBB"/>
    <w:rsid w:val="005C2528"/>
    <w:rsid w:val="005C31E7"/>
    <w:rsid w:val="005C41D8"/>
    <w:rsid w:val="005C4225"/>
    <w:rsid w:val="005C51A4"/>
    <w:rsid w:val="005C5D95"/>
    <w:rsid w:val="005D193D"/>
    <w:rsid w:val="005D1DCA"/>
    <w:rsid w:val="005D1F06"/>
    <w:rsid w:val="005D3DE8"/>
    <w:rsid w:val="005D524E"/>
    <w:rsid w:val="005D5730"/>
    <w:rsid w:val="005D68B5"/>
    <w:rsid w:val="005E2DFB"/>
    <w:rsid w:val="005E4FBA"/>
    <w:rsid w:val="005E5DFB"/>
    <w:rsid w:val="005E6450"/>
    <w:rsid w:val="005E73CA"/>
    <w:rsid w:val="005E7B09"/>
    <w:rsid w:val="005F0DAD"/>
    <w:rsid w:val="005F0F33"/>
    <w:rsid w:val="005F1CBA"/>
    <w:rsid w:val="005F3286"/>
    <w:rsid w:val="005F44BE"/>
    <w:rsid w:val="005F4640"/>
    <w:rsid w:val="005F57E6"/>
    <w:rsid w:val="00600460"/>
    <w:rsid w:val="00600DEB"/>
    <w:rsid w:val="006018DB"/>
    <w:rsid w:val="00601F03"/>
    <w:rsid w:val="00603495"/>
    <w:rsid w:val="00604A4A"/>
    <w:rsid w:val="00611014"/>
    <w:rsid w:val="00611BFE"/>
    <w:rsid w:val="006128E6"/>
    <w:rsid w:val="00613EE9"/>
    <w:rsid w:val="00614A22"/>
    <w:rsid w:val="00617EAE"/>
    <w:rsid w:val="0062043C"/>
    <w:rsid w:val="00622EF5"/>
    <w:rsid w:val="00624252"/>
    <w:rsid w:val="006257AB"/>
    <w:rsid w:val="00625919"/>
    <w:rsid w:val="0062643E"/>
    <w:rsid w:val="00626462"/>
    <w:rsid w:val="0062676B"/>
    <w:rsid w:val="006270FB"/>
    <w:rsid w:val="00627C9F"/>
    <w:rsid w:val="006311E9"/>
    <w:rsid w:val="00631804"/>
    <w:rsid w:val="00632354"/>
    <w:rsid w:val="0063240C"/>
    <w:rsid w:val="00632B03"/>
    <w:rsid w:val="00635772"/>
    <w:rsid w:val="00636AB1"/>
    <w:rsid w:val="00636DB5"/>
    <w:rsid w:val="006375BD"/>
    <w:rsid w:val="00637BA1"/>
    <w:rsid w:val="00637EFB"/>
    <w:rsid w:val="006408C4"/>
    <w:rsid w:val="00642810"/>
    <w:rsid w:val="006442E0"/>
    <w:rsid w:val="00644732"/>
    <w:rsid w:val="006452B0"/>
    <w:rsid w:val="00647923"/>
    <w:rsid w:val="0065030D"/>
    <w:rsid w:val="0065051E"/>
    <w:rsid w:val="0065087A"/>
    <w:rsid w:val="006517E6"/>
    <w:rsid w:val="006518AA"/>
    <w:rsid w:val="00652333"/>
    <w:rsid w:val="006529FD"/>
    <w:rsid w:val="00652A12"/>
    <w:rsid w:val="006557EA"/>
    <w:rsid w:val="00655A25"/>
    <w:rsid w:val="006568B5"/>
    <w:rsid w:val="00656B80"/>
    <w:rsid w:val="006572FE"/>
    <w:rsid w:val="00657464"/>
    <w:rsid w:val="006579C1"/>
    <w:rsid w:val="0066073C"/>
    <w:rsid w:val="00661274"/>
    <w:rsid w:val="006625DD"/>
    <w:rsid w:val="006625F7"/>
    <w:rsid w:val="00664675"/>
    <w:rsid w:val="00667DB2"/>
    <w:rsid w:val="00670278"/>
    <w:rsid w:val="00672689"/>
    <w:rsid w:val="006736FA"/>
    <w:rsid w:val="00673AB0"/>
    <w:rsid w:val="0067714B"/>
    <w:rsid w:val="00677C71"/>
    <w:rsid w:val="0068009E"/>
    <w:rsid w:val="00680522"/>
    <w:rsid w:val="006806CD"/>
    <w:rsid w:val="006807FE"/>
    <w:rsid w:val="00680F95"/>
    <w:rsid w:val="00681B1C"/>
    <w:rsid w:val="00681EB0"/>
    <w:rsid w:val="00683739"/>
    <w:rsid w:val="0068417F"/>
    <w:rsid w:val="00687759"/>
    <w:rsid w:val="0069083B"/>
    <w:rsid w:val="00692219"/>
    <w:rsid w:val="0069252A"/>
    <w:rsid w:val="006949E2"/>
    <w:rsid w:val="006952A8"/>
    <w:rsid w:val="0069632C"/>
    <w:rsid w:val="0069716D"/>
    <w:rsid w:val="006A17D2"/>
    <w:rsid w:val="006A2E47"/>
    <w:rsid w:val="006A383A"/>
    <w:rsid w:val="006A5E8C"/>
    <w:rsid w:val="006A73E6"/>
    <w:rsid w:val="006A7CFC"/>
    <w:rsid w:val="006B0ABA"/>
    <w:rsid w:val="006B1083"/>
    <w:rsid w:val="006B1A6C"/>
    <w:rsid w:val="006B1F42"/>
    <w:rsid w:val="006B2321"/>
    <w:rsid w:val="006B298F"/>
    <w:rsid w:val="006B2C70"/>
    <w:rsid w:val="006B2D5C"/>
    <w:rsid w:val="006B2F85"/>
    <w:rsid w:val="006B3944"/>
    <w:rsid w:val="006B3D47"/>
    <w:rsid w:val="006B3EC5"/>
    <w:rsid w:val="006B5248"/>
    <w:rsid w:val="006B5902"/>
    <w:rsid w:val="006B770E"/>
    <w:rsid w:val="006C046A"/>
    <w:rsid w:val="006C0A10"/>
    <w:rsid w:val="006C21D9"/>
    <w:rsid w:val="006C3E93"/>
    <w:rsid w:val="006C46FF"/>
    <w:rsid w:val="006C4EB1"/>
    <w:rsid w:val="006D1480"/>
    <w:rsid w:val="006D249A"/>
    <w:rsid w:val="006D395A"/>
    <w:rsid w:val="006D3E11"/>
    <w:rsid w:val="006D3F17"/>
    <w:rsid w:val="006D73AE"/>
    <w:rsid w:val="006D7980"/>
    <w:rsid w:val="006E0166"/>
    <w:rsid w:val="006E03C9"/>
    <w:rsid w:val="006E0C77"/>
    <w:rsid w:val="006E27B9"/>
    <w:rsid w:val="006E27D5"/>
    <w:rsid w:val="006E300C"/>
    <w:rsid w:val="006E5400"/>
    <w:rsid w:val="006E572F"/>
    <w:rsid w:val="006E576A"/>
    <w:rsid w:val="006E6A67"/>
    <w:rsid w:val="006E6DA4"/>
    <w:rsid w:val="006E714E"/>
    <w:rsid w:val="006E7B34"/>
    <w:rsid w:val="006F03D7"/>
    <w:rsid w:val="006F1F1C"/>
    <w:rsid w:val="006F21B7"/>
    <w:rsid w:val="006F5FD1"/>
    <w:rsid w:val="006F63E3"/>
    <w:rsid w:val="006F7339"/>
    <w:rsid w:val="007013D9"/>
    <w:rsid w:val="00704A73"/>
    <w:rsid w:val="00704D71"/>
    <w:rsid w:val="007061E2"/>
    <w:rsid w:val="00706438"/>
    <w:rsid w:val="0070697F"/>
    <w:rsid w:val="00706D44"/>
    <w:rsid w:val="007074E2"/>
    <w:rsid w:val="00710331"/>
    <w:rsid w:val="00710696"/>
    <w:rsid w:val="00711892"/>
    <w:rsid w:val="007137ED"/>
    <w:rsid w:val="00713AEE"/>
    <w:rsid w:val="00714C15"/>
    <w:rsid w:val="0071668C"/>
    <w:rsid w:val="00717383"/>
    <w:rsid w:val="00717C6E"/>
    <w:rsid w:val="0072199C"/>
    <w:rsid w:val="00722C9F"/>
    <w:rsid w:val="007253B8"/>
    <w:rsid w:val="007254C4"/>
    <w:rsid w:val="00725B1F"/>
    <w:rsid w:val="00725D10"/>
    <w:rsid w:val="00726600"/>
    <w:rsid w:val="00731499"/>
    <w:rsid w:val="00731A34"/>
    <w:rsid w:val="00731F6A"/>
    <w:rsid w:val="00735437"/>
    <w:rsid w:val="00735CB7"/>
    <w:rsid w:val="007370C8"/>
    <w:rsid w:val="0073741F"/>
    <w:rsid w:val="00737AE1"/>
    <w:rsid w:val="007410B5"/>
    <w:rsid w:val="00743A1D"/>
    <w:rsid w:val="007465BE"/>
    <w:rsid w:val="0075330E"/>
    <w:rsid w:val="0075471C"/>
    <w:rsid w:val="00755315"/>
    <w:rsid w:val="00756AC2"/>
    <w:rsid w:val="0075724B"/>
    <w:rsid w:val="00760305"/>
    <w:rsid w:val="0076066A"/>
    <w:rsid w:val="00760A90"/>
    <w:rsid w:val="007637DD"/>
    <w:rsid w:val="00765F4F"/>
    <w:rsid w:val="0076643F"/>
    <w:rsid w:val="007677B6"/>
    <w:rsid w:val="00767E6A"/>
    <w:rsid w:val="00767E9C"/>
    <w:rsid w:val="0077349B"/>
    <w:rsid w:val="007734B2"/>
    <w:rsid w:val="00774110"/>
    <w:rsid w:val="00775F8E"/>
    <w:rsid w:val="0077707C"/>
    <w:rsid w:val="00777F63"/>
    <w:rsid w:val="00783209"/>
    <w:rsid w:val="00783BBE"/>
    <w:rsid w:val="0078471D"/>
    <w:rsid w:val="00786D53"/>
    <w:rsid w:val="00787C33"/>
    <w:rsid w:val="00790E90"/>
    <w:rsid w:val="007914D1"/>
    <w:rsid w:val="00795576"/>
    <w:rsid w:val="00797FBD"/>
    <w:rsid w:val="007A0389"/>
    <w:rsid w:val="007A06AD"/>
    <w:rsid w:val="007A17AB"/>
    <w:rsid w:val="007A1821"/>
    <w:rsid w:val="007A1852"/>
    <w:rsid w:val="007A1D37"/>
    <w:rsid w:val="007A3A91"/>
    <w:rsid w:val="007A475D"/>
    <w:rsid w:val="007A4A08"/>
    <w:rsid w:val="007A4BD3"/>
    <w:rsid w:val="007A5817"/>
    <w:rsid w:val="007A5B2E"/>
    <w:rsid w:val="007A632C"/>
    <w:rsid w:val="007A773C"/>
    <w:rsid w:val="007A77F0"/>
    <w:rsid w:val="007B00FA"/>
    <w:rsid w:val="007B015C"/>
    <w:rsid w:val="007B025A"/>
    <w:rsid w:val="007B0BCC"/>
    <w:rsid w:val="007B284E"/>
    <w:rsid w:val="007B2C1C"/>
    <w:rsid w:val="007B3AAC"/>
    <w:rsid w:val="007B60E9"/>
    <w:rsid w:val="007B6999"/>
    <w:rsid w:val="007B6CC3"/>
    <w:rsid w:val="007B7025"/>
    <w:rsid w:val="007B771F"/>
    <w:rsid w:val="007B7799"/>
    <w:rsid w:val="007C1718"/>
    <w:rsid w:val="007C1F46"/>
    <w:rsid w:val="007C3334"/>
    <w:rsid w:val="007C345F"/>
    <w:rsid w:val="007C4EF0"/>
    <w:rsid w:val="007C505F"/>
    <w:rsid w:val="007C5F0E"/>
    <w:rsid w:val="007C6A9C"/>
    <w:rsid w:val="007C7DD1"/>
    <w:rsid w:val="007D07BF"/>
    <w:rsid w:val="007D292E"/>
    <w:rsid w:val="007D2B98"/>
    <w:rsid w:val="007D38B1"/>
    <w:rsid w:val="007D5E00"/>
    <w:rsid w:val="007D61D6"/>
    <w:rsid w:val="007D649B"/>
    <w:rsid w:val="007D6684"/>
    <w:rsid w:val="007D6972"/>
    <w:rsid w:val="007D758D"/>
    <w:rsid w:val="007D788A"/>
    <w:rsid w:val="007E21BC"/>
    <w:rsid w:val="007E4BB6"/>
    <w:rsid w:val="007E4D8C"/>
    <w:rsid w:val="007E5A93"/>
    <w:rsid w:val="007E761D"/>
    <w:rsid w:val="007E78F3"/>
    <w:rsid w:val="007E7E0F"/>
    <w:rsid w:val="007F0F19"/>
    <w:rsid w:val="007F1E21"/>
    <w:rsid w:val="007F36CF"/>
    <w:rsid w:val="007F5082"/>
    <w:rsid w:val="007F594E"/>
    <w:rsid w:val="007F5BCA"/>
    <w:rsid w:val="008009CD"/>
    <w:rsid w:val="00800C59"/>
    <w:rsid w:val="00802279"/>
    <w:rsid w:val="00803F1C"/>
    <w:rsid w:val="0080419F"/>
    <w:rsid w:val="00804883"/>
    <w:rsid w:val="00804ABD"/>
    <w:rsid w:val="0080600E"/>
    <w:rsid w:val="00807719"/>
    <w:rsid w:val="00811FBE"/>
    <w:rsid w:val="00812273"/>
    <w:rsid w:val="00812A9E"/>
    <w:rsid w:val="00812DC6"/>
    <w:rsid w:val="008136D9"/>
    <w:rsid w:val="00816C95"/>
    <w:rsid w:val="00817612"/>
    <w:rsid w:val="008204B6"/>
    <w:rsid w:val="0082075E"/>
    <w:rsid w:val="00820DF1"/>
    <w:rsid w:val="00823651"/>
    <w:rsid w:val="008247D1"/>
    <w:rsid w:val="00826B66"/>
    <w:rsid w:val="00827828"/>
    <w:rsid w:val="008314ED"/>
    <w:rsid w:val="008338A4"/>
    <w:rsid w:val="00833F62"/>
    <w:rsid w:val="00834C85"/>
    <w:rsid w:val="0083557D"/>
    <w:rsid w:val="00836631"/>
    <w:rsid w:val="00836F1B"/>
    <w:rsid w:val="0083711E"/>
    <w:rsid w:val="00837C45"/>
    <w:rsid w:val="00840BF2"/>
    <w:rsid w:val="00840F90"/>
    <w:rsid w:val="008412F6"/>
    <w:rsid w:val="008419F5"/>
    <w:rsid w:val="00841F11"/>
    <w:rsid w:val="00842876"/>
    <w:rsid w:val="00844730"/>
    <w:rsid w:val="008457C2"/>
    <w:rsid w:val="0084586D"/>
    <w:rsid w:val="00846591"/>
    <w:rsid w:val="00846F01"/>
    <w:rsid w:val="00847011"/>
    <w:rsid w:val="00847677"/>
    <w:rsid w:val="00850800"/>
    <w:rsid w:val="008527CC"/>
    <w:rsid w:val="00854185"/>
    <w:rsid w:val="0085572B"/>
    <w:rsid w:val="00855A4E"/>
    <w:rsid w:val="00857408"/>
    <w:rsid w:val="00857A82"/>
    <w:rsid w:val="00857D40"/>
    <w:rsid w:val="00860573"/>
    <w:rsid w:val="00860630"/>
    <w:rsid w:val="008609EB"/>
    <w:rsid w:val="0086282D"/>
    <w:rsid w:val="008633EF"/>
    <w:rsid w:val="008643BD"/>
    <w:rsid w:val="008648DD"/>
    <w:rsid w:val="0086671D"/>
    <w:rsid w:val="00866F5B"/>
    <w:rsid w:val="008673F7"/>
    <w:rsid w:val="00867F22"/>
    <w:rsid w:val="008701F2"/>
    <w:rsid w:val="0087065A"/>
    <w:rsid w:val="00873836"/>
    <w:rsid w:val="008759FE"/>
    <w:rsid w:val="00875DBD"/>
    <w:rsid w:val="008808BA"/>
    <w:rsid w:val="008847D6"/>
    <w:rsid w:val="00885737"/>
    <w:rsid w:val="00887879"/>
    <w:rsid w:val="008902AD"/>
    <w:rsid w:val="00890650"/>
    <w:rsid w:val="00891451"/>
    <w:rsid w:val="0089190A"/>
    <w:rsid w:val="00892209"/>
    <w:rsid w:val="00896D91"/>
    <w:rsid w:val="0089764D"/>
    <w:rsid w:val="00897E12"/>
    <w:rsid w:val="008A02D6"/>
    <w:rsid w:val="008A13A6"/>
    <w:rsid w:val="008A19C9"/>
    <w:rsid w:val="008A3317"/>
    <w:rsid w:val="008A3776"/>
    <w:rsid w:val="008A5B8C"/>
    <w:rsid w:val="008A5DDA"/>
    <w:rsid w:val="008A7191"/>
    <w:rsid w:val="008A7AD8"/>
    <w:rsid w:val="008A7E0F"/>
    <w:rsid w:val="008B12F5"/>
    <w:rsid w:val="008B1679"/>
    <w:rsid w:val="008B1E86"/>
    <w:rsid w:val="008B3817"/>
    <w:rsid w:val="008B39D8"/>
    <w:rsid w:val="008B3FB1"/>
    <w:rsid w:val="008B4487"/>
    <w:rsid w:val="008B7CA0"/>
    <w:rsid w:val="008C2B26"/>
    <w:rsid w:val="008C3A4A"/>
    <w:rsid w:val="008C6AAB"/>
    <w:rsid w:val="008C7475"/>
    <w:rsid w:val="008C7E8C"/>
    <w:rsid w:val="008D2B7E"/>
    <w:rsid w:val="008D3F6E"/>
    <w:rsid w:val="008D5496"/>
    <w:rsid w:val="008D6335"/>
    <w:rsid w:val="008D7057"/>
    <w:rsid w:val="008D7418"/>
    <w:rsid w:val="008D768D"/>
    <w:rsid w:val="008D7B1C"/>
    <w:rsid w:val="008E0962"/>
    <w:rsid w:val="008E227F"/>
    <w:rsid w:val="008E2A8A"/>
    <w:rsid w:val="008E3759"/>
    <w:rsid w:val="008E4819"/>
    <w:rsid w:val="008E6087"/>
    <w:rsid w:val="008F0165"/>
    <w:rsid w:val="008F0724"/>
    <w:rsid w:val="008F1912"/>
    <w:rsid w:val="008F1D1C"/>
    <w:rsid w:val="008F42B9"/>
    <w:rsid w:val="008F563C"/>
    <w:rsid w:val="008F58CF"/>
    <w:rsid w:val="008F660C"/>
    <w:rsid w:val="008F6EB7"/>
    <w:rsid w:val="00900401"/>
    <w:rsid w:val="00901492"/>
    <w:rsid w:val="0090270B"/>
    <w:rsid w:val="009041DC"/>
    <w:rsid w:val="0090574C"/>
    <w:rsid w:val="00907697"/>
    <w:rsid w:val="0091016E"/>
    <w:rsid w:val="00912474"/>
    <w:rsid w:val="00912B90"/>
    <w:rsid w:val="00914A0E"/>
    <w:rsid w:val="00914BBF"/>
    <w:rsid w:val="009176ED"/>
    <w:rsid w:val="00917B5A"/>
    <w:rsid w:val="00920025"/>
    <w:rsid w:val="00920A58"/>
    <w:rsid w:val="00920A8C"/>
    <w:rsid w:val="00925848"/>
    <w:rsid w:val="00925D55"/>
    <w:rsid w:val="009277C0"/>
    <w:rsid w:val="00927DD4"/>
    <w:rsid w:val="009339A6"/>
    <w:rsid w:val="00934A2C"/>
    <w:rsid w:val="0093632F"/>
    <w:rsid w:val="0093643A"/>
    <w:rsid w:val="0093784B"/>
    <w:rsid w:val="009422BB"/>
    <w:rsid w:val="00946A62"/>
    <w:rsid w:val="00946AF8"/>
    <w:rsid w:val="00947DED"/>
    <w:rsid w:val="0095049C"/>
    <w:rsid w:val="00952750"/>
    <w:rsid w:val="00952878"/>
    <w:rsid w:val="00952B41"/>
    <w:rsid w:val="0095530C"/>
    <w:rsid w:val="009556CC"/>
    <w:rsid w:val="009600CD"/>
    <w:rsid w:val="00961929"/>
    <w:rsid w:val="00961B2E"/>
    <w:rsid w:val="0096497D"/>
    <w:rsid w:val="009656F7"/>
    <w:rsid w:val="0096576A"/>
    <w:rsid w:val="00966400"/>
    <w:rsid w:val="00966B02"/>
    <w:rsid w:val="00966F69"/>
    <w:rsid w:val="0096706E"/>
    <w:rsid w:val="0097547B"/>
    <w:rsid w:val="00975C4E"/>
    <w:rsid w:val="00976115"/>
    <w:rsid w:val="009777AD"/>
    <w:rsid w:val="00981FBA"/>
    <w:rsid w:val="00984835"/>
    <w:rsid w:val="00985E59"/>
    <w:rsid w:val="00987CF5"/>
    <w:rsid w:val="00987F4C"/>
    <w:rsid w:val="00990A57"/>
    <w:rsid w:val="0099185A"/>
    <w:rsid w:val="00992DC6"/>
    <w:rsid w:val="009937B4"/>
    <w:rsid w:val="00993E91"/>
    <w:rsid w:val="0099492C"/>
    <w:rsid w:val="009960F4"/>
    <w:rsid w:val="009975D1"/>
    <w:rsid w:val="00997BC5"/>
    <w:rsid w:val="009A431E"/>
    <w:rsid w:val="009A4F41"/>
    <w:rsid w:val="009A7B7A"/>
    <w:rsid w:val="009B1A4E"/>
    <w:rsid w:val="009B1B40"/>
    <w:rsid w:val="009B2013"/>
    <w:rsid w:val="009B381B"/>
    <w:rsid w:val="009B3A1F"/>
    <w:rsid w:val="009B4D7B"/>
    <w:rsid w:val="009B58E3"/>
    <w:rsid w:val="009B707C"/>
    <w:rsid w:val="009B70B4"/>
    <w:rsid w:val="009C075A"/>
    <w:rsid w:val="009C1E00"/>
    <w:rsid w:val="009C2ECD"/>
    <w:rsid w:val="009C32E1"/>
    <w:rsid w:val="009C470C"/>
    <w:rsid w:val="009C49A5"/>
    <w:rsid w:val="009D0D6F"/>
    <w:rsid w:val="009D1753"/>
    <w:rsid w:val="009D22F3"/>
    <w:rsid w:val="009D250D"/>
    <w:rsid w:val="009D4F58"/>
    <w:rsid w:val="009D7611"/>
    <w:rsid w:val="009E0B61"/>
    <w:rsid w:val="009E2604"/>
    <w:rsid w:val="009E3DE0"/>
    <w:rsid w:val="009E47DD"/>
    <w:rsid w:val="009E4B43"/>
    <w:rsid w:val="009E53DE"/>
    <w:rsid w:val="009E6854"/>
    <w:rsid w:val="009E7BFE"/>
    <w:rsid w:val="009F137E"/>
    <w:rsid w:val="009F3254"/>
    <w:rsid w:val="009F3A08"/>
    <w:rsid w:val="009F3E70"/>
    <w:rsid w:val="009F4AF6"/>
    <w:rsid w:val="009F5118"/>
    <w:rsid w:val="009F6FC9"/>
    <w:rsid w:val="009F7340"/>
    <w:rsid w:val="00A0003F"/>
    <w:rsid w:val="00A004E6"/>
    <w:rsid w:val="00A01F2B"/>
    <w:rsid w:val="00A022CF"/>
    <w:rsid w:val="00A02D2A"/>
    <w:rsid w:val="00A04AD5"/>
    <w:rsid w:val="00A06141"/>
    <w:rsid w:val="00A1013C"/>
    <w:rsid w:val="00A11284"/>
    <w:rsid w:val="00A12A33"/>
    <w:rsid w:val="00A13789"/>
    <w:rsid w:val="00A144B7"/>
    <w:rsid w:val="00A1511A"/>
    <w:rsid w:val="00A15DC6"/>
    <w:rsid w:val="00A16315"/>
    <w:rsid w:val="00A16A80"/>
    <w:rsid w:val="00A16F37"/>
    <w:rsid w:val="00A202E5"/>
    <w:rsid w:val="00A222AD"/>
    <w:rsid w:val="00A22774"/>
    <w:rsid w:val="00A22D6B"/>
    <w:rsid w:val="00A23ABE"/>
    <w:rsid w:val="00A25492"/>
    <w:rsid w:val="00A26E16"/>
    <w:rsid w:val="00A272E2"/>
    <w:rsid w:val="00A3093D"/>
    <w:rsid w:val="00A31696"/>
    <w:rsid w:val="00A328B3"/>
    <w:rsid w:val="00A3293D"/>
    <w:rsid w:val="00A349B8"/>
    <w:rsid w:val="00A356F0"/>
    <w:rsid w:val="00A40C86"/>
    <w:rsid w:val="00A41277"/>
    <w:rsid w:val="00A43A02"/>
    <w:rsid w:val="00A4442E"/>
    <w:rsid w:val="00A46C51"/>
    <w:rsid w:val="00A47711"/>
    <w:rsid w:val="00A47A6E"/>
    <w:rsid w:val="00A50681"/>
    <w:rsid w:val="00A50C86"/>
    <w:rsid w:val="00A50FCF"/>
    <w:rsid w:val="00A528D1"/>
    <w:rsid w:val="00A529ED"/>
    <w:rsid w:val="00A548E0"/>
    <w:rsid w:val="00A56023"/>
    <w:rsid w:val="00A560CE"/>
    <w:rsid w:val="00A5619E"/>
    <w:rsid w:val="00A57D41"/>
    <w:rsid w:val="00A6055D"/>
    <w:rsid w:val="00A610CD"/>
    <w:rsid w:val="00A61EF3"/>
    <w:rsid w:val="00A6234C"/>
    <w:rsid w:val="00A66857"/>
    <w:rsid w:val="00A66C28"/>
    <w:rsid w:val="00A7037D"/>
    <w:rsid w:val="00A73AEC"/>
    <w:rsid w:val="00A73C57"/>
    <w:rsid w:val="00A7435C"/>
    <w:rsid w:val="00A749A8"/>
    <w:rsid w:val="00A74DFD"/>
    <w:rsid w:val="00A75859"/>
    <w:rsid w:val="00A770A8"/>
    <w:rsid w:val="00A80794"/>
    <w:rsid w:val="00A815D3"/>
    <w:rsid w:val="00A824D3"/>
    <w:rsid w:val="00A8341F"/>
    <w:rsid w:val="00A85115"/>
    <w:rsid w:val="00A85E6C"/>
    <w:rsid w:val="00A86330"/>
    <w:rsid w:val="00A863B1"/>
    <w:rsid w:val="00A86AB2"/>
    <w:rsid w:val="00A873F6"/>
    <w:rsid w:val="00A92796"/>
    <w:rsid w:val="00A92E66"/>
    <w:rsid w:val="00A94874"/>
    <w:rsid w:val="00A96F99"/>
    <w:rsid w:val="00A97144"/>
    <w:rsid w:val="00A97978"/>
    <w:rsid w:val="00AA09A2"/>
    <w:rsid w:val="00AA4AF2"/>
    <w:rsid w:val="00AA6F35"/>
    <w:rsid w:val="00AA7996"/>
    <w:rsid w:val="00AA7A16"/>
    <w:rsid w:val="00AB08CE"/>
    <w:rsid w:val="00AB1063"/>
    <w:rsid w:val="00AB2BA5"/>
    <w:rsid w:val="00AB3E0E"/>
    <w:rsid w:val="00AB6D77"/>
    <w:rsid w:val="00AC1506"/>
    <w:rsid w:val="00AC19CB"/>
    <w:rsid w:val="00AC1BA1"/>
    <w:rsid w:val="00AC1D43"/>
    <w:rsid w:val="00AC209B"/>
    <w:rsid w:val="00AC2FD8"/>
    <w:rsid w:val="00AC4247"/>
    <w:rsid w:val="00AC5705"/>
    <w:rsid w:val="00AC5CA9"/>
    <w:rsid w:val="00AC5F39"/>
    <w:rsid w:val="00AC6A43"/>
    <w:rsid w:val="00AC7717"/>
    <w:rsid w:val="00AC7DE9"/>
    <w:rsid w:val="00AC7F82"/>
    <w:rsid w:val="00AD0E6E"/>
    <w:rsid w:val="00AD0F2B"/>
    <w:rsid w:val="00AD10D8"/>
    <w:rsid w:val="00AD1446"/>
    <w:rsid w:val="00AD2F75"/>
    <w:rsid w:val="00AD333F"/>
    <w:rsid w:val="00AD4B80"/>
    <w:rsid w:val="00AD6900"/>
    <w:rsid w:val="00AD7C87"/>
    <w:rsid w:val="00AE028D"/>
    <w:rsid w:val="00AE153B"/>
    <w:rsid w:val="00AE3339"/>
    <w:rsid w:val="00AE5488"/>
    <w:rsid w:val="00AE549C"/>
    <w:rsid w:val="00AE6008"/>
    <w:rsid w:val="00AE6F91"/>
    <w:rsid w:val="00AF06C6"/>
    <w:rsid w:val="00AF1A5B"/>
    <w:rsid w:val="00AF3A8C"/>
    <w:rsid w:val="00AF40A0"/>
    <w:rsid w:val="00AF42E6"/>
    <w:rsid w:val="00AF4FB7"/>
    <w:rsid w:val="00AF546D"/>
    <w:rsid w:val="00AF5571"/>
    <w:rsid w:val="00AF5590"/>
    <w:rsid w:val="00AF5D0F"/>
    <w:rsid w:val="00AF6488"/>
    <w:rsid w:val="00B00723"/>
    <w:rsid w:val="00B02D33"/>
    <w:rsid w:val="00B04843"/>
    <w:rsid w:val="00B07341"/>
    <w:rsid w:val="00B13001"/>
    <w:rsid w:val="00B130BE"/>
    <w:rsid w:val="00B146B6"/>
    <w:rsid w:val="00B15394"/>
    <w:rsid w:val="00B16113"/>
    <w:rsid w:val="00B174FD"/>
    <w:rsid w:val="00B17DB8"/>
    <w:rsid w:val="00B216D3"/>
    <w:rsid w:val="00B22525"/>
    <w:rsid w:val="00B225FA"/>
    <w:rsid w:val="00B24554"/>
    <w:rsid w:val="00B250DB"/>
    <w:rsid w:val="00B26322"/>
    <w:rsid w:val="00B26D42"/>
    <w:rsid w:val="00B2741F"/>
    <w:rsid w:val="00B27605"/>
    <w:rsid w:val="00B30539"/>
    <w:rsid w:val="00B314DB"/>
    <w:rsid w:val="00B35E20"/>
    <w:rsid w:val="00B361F2"/>
    <w:rsid w:val="00B3718B"/>
    <w:rsid w:val="00B41073"/>
    <w:rsid w:val="00B44826"/>
    <w:rsid w:val="00B4632A"/>
    <w:rsid w:val="00B47085"/>
    <w:rsid w:val="00B50E9C"/>
    <w:rsid w:val="00B52384"/>
    <w:rsid w:val="00B5249A"/>
    <w:rsid w:val="00B530F1"/>
    <w:rsid w:val="00B5324F"/>
    <w:rsid w:val="00B53CAF"/>
    <w:rsid w:val="00B54FA5"/>
    <w:rsid w:val="00B602C9"/>
    <w:rsid w:val="00B62BF1"/>
    <w:rsid w:val="00B6482B"/>
    <w:rsid w:val="00B65A51"/>
    <w:rsid w:val="00B66E0E"/>
    <w:rsid w:val="00B675F3"/>
    <w:rsid w:val="00B72462"/>
    <w:rsid w:val="00B741C4"/>
    <w:rsid w:val="00B80900"/>
    <w:rsid w:val="00B8168E"/>
    <w:rsid w:val="00B81A74"/>
    <w:rsid w:val="00B830C1"/>
    <w:rsid w:val="00B84D30"/>
    <w:rsid w:val="00B85103"/>
    <w:rsid w:val="00B86555"/>
    <w:rsid w:val="00B87683"/>
    <w:rsid w:val="00B876EF"/>
    <w:rsid w:val="00B94249"/>
    <w:rsid w:val="00B9431F"/>
    <w:rsid w:val="00B9517C"/>
    <w:rsid w:val="00B96C12"/>
    <w:rsid w:val="00BA0699"/>
    <w:rsid w:val="00BA0E59"/>
    <w:rsid w:val="00BA276C"/>
    <w:rsid w:val="00BA480A"/>
    <w:rsid w:val="00BA4A50"/>
    <w:rsid w:val="00BA5D29"/>
    <w:rsid w:val="00BA609E"/>
    <w:rsid w:val="00BA6CBC"/>
    <w:rsid w:val="00BA7099"/>
    <w:rsid w:val="00BB306F"/>
    <w:rsid w:val="00BB3B99"/>
    <w:rsid w:val="00BB5731"/>
    <w:rsid w:val="00BB5AC4"/>
    <w:rsid w:val="00BB7719"/>
    <w:rsid w:val="00BB7D90"/>
    <w:rsid w:val="00BC70F8"/>
    <w:rsid w:val="00BD16C3"/>
    <w:rsid w:val="00BD1FE6"/>
    <w:rsid w:val="00BD255F"/>
    <w:rsid w:val="00BD4B89"/>
    <w:rsid w:val="00BD632F"/>
    <w:rsid w:val="00BD6A09"/>
    <w:rsid w:val="00BE2713"/>
    <w:rsid w:val="00BE38CD"/>
    <w:rsid w:val="00BE4EFC"/>
    <w:rsid w:val="00BE5E48"/>
    <w:rsid w:val="00BE6FF8"/>
    <w:rsid w:val="00BF09AC"/>
    <w:rsid w:val="00BF577C"/>
    <w:rsid w:val="00BF6D61"/>
    <w:rsid w:val="00BF6FD8"/>
    <w:rsid w:val="00BF714C"/>
    <w:rsid w:val="00C00EAF"/>
    <w:rsid w:val="00C01D47"/>
    <w:rsid w:val="00C03680"/>
    <w:rsid w:val="00C03F96"/>
    <w:rsid w:val="00C054DF"/>
    <w:rsid w:val="00C120BC"/>
    <w:rsid w:val="00C12E3C"/>
    <w:rsid w:val="00C13091"/>
    <w:rsid w:val="00C15D0A"/>
    <w:rsid w:val="00C172F2"/>
    <w:rsid w:val="00C20D36"/>
    <w:rsid w:val="00C21762"/>
    <w:rsid w:val="00C23714"/>
    <w:rsid w:val="00C24543"/>
    <w:rsid w:val="00C256A2"/>
    <w:rsid w:val="00C2573F"/>
    <w:rsid w:val="00C25DE1"/>
    <w:rsid w:val="00C25E1F"/>
    <w:rsid w:val="00C27713"/>
    <w:rsid w:val="00C31030"/>
    <w:rsid w:val="00C316A3"/>
    <w:rsid w:val="00C32418"/>
    <w:rsid w:val="00C32D4F"/>
    <w:rsid w:val="00C343CE"/>
    <w:rsid w:val="00C35207"/>
    <w:rsid w:val="00C37481"/>
    <w:rsid w:val="00C4012F"/>
    <w:rsid w:val="00C43187"/>
    <w:rsid w:val="00C43C49"/>
    <w:rsid w:val="00C46480"/>
    <w:rsid w:val="00C46B28"/>
    <w:rsid w:val="00C479FE"/>
    <w:rsid w:val="00C503A5"/>
    <w:rsid w:val="00C509D2"/>
    <w:rsid w:val="00C51515"/>
    <w:rsid w:val="00C52B26"/>
    <w:rsid w:val="00C53007"/>
    <w:rsid w:val="00C5660B"/>
    <w:rsid w:val="00C61658"/>
    <w:rsid w:val="00C61ED6"/>
    <w:rsid w:val="00C64A5C"/>
    <w:rsid w:val="00C6570E"/>
    <w:rsid w:val="00C6699F"/>
    <w:rsid w:val="00C66B72"/>
    <w:rsid w:val="00C70180"/>
    <w:rsid w:val="00C714E4"/>
    <w:rsid w:val="00C737D0"/>
    <w:rsid w:val="00C73B7F"/>
    <w:rsid w:val="00C74D5D"/>
    <w:rsid w:val="00C75DE2"/>
    <w:rsid w:val="00C77CE5"/>
    <w:rsid w:val="00C8025B"/>
    <w:rsid w:val="00C80F42"/>
    <w:rsid w:val="00C8110A"/>
    <w:rsid w:val="00C82466"/>
    <w:rsid w:val="00C8363B"/>
    <w:rsid w:val="00C83C8E"/>
    <w:rsid w:val="00C8482B"/>
    <w:rsid w:val="00C907FA"/>
    <w:rsid w:val="00C90DCE"/>
    <w:rsid w:val="00C92A52"/>
    <w:rsid w:val="00C93438"/>
    <w:rsid w:val="00C94879"/>
    <w:rsid w:val="00C950C4"/>
    <w:rsid w:val="00C95448"/>
    <w:rsid w:val="00C9567A"/>
    <w:rsid w:val="00C95765"/>
    <w:rsid w:val="00C95783"/>
    <w:rsid w:val="00C97CA3"/>
    <w:rsid w:val="00C97F76"/>
    <w:rsid w:val="00CA05B3"/>
    <w:rsid w:val="00CA2FF8"/>
    <w:rsid w:val="00CA4B9D"/>
    <w:rsid w:val="00CA5046"/>
    <w:rsid w:val="00CA672D"/>
    <w:rsid w:val="00CA6788"/>
    <w:rsid w:val="00CA68E5"/>
    <w:rsid w:val="00CA7938"/>
    <w:rsid w:val="00CB08BF"/>
    <w:rsid w:val="00CB1128"/>
    <w:rsid w:val="00CB212D"/>
    <w:rsid w:val="00CB2660"/>
    <w:rsid w:val="00CB28B1"/>
    <w:rsid w:val="00CB2ADA"/>
    <w:rsid w:val="00CB311C"/>
    <w:rsid w:val="00CB520D"/>
    <w:rsid w:val="00CB66E3"/>
    <w:rsid w:val="00CC06B6"/>
    <w:rsid w:val="00CC121F"/>
    <w:rsid w:val="00CC1E13"/>
    <w:rsid w:val="00CC1E17"/>
    <w:rsid w:val="00CC42F4"/>
    <w:rsid w:val="00CC4DD7"/>
    <w:rsid w:val="00CC5E90"/>
    <w:rsid w:val="00CC6351"/>
    <w:rsid w:val="00CC781E"/>
    <w:rsid w:val="00CD046C"/>
    <w:rsid w:val="00CD175A"/>
    <w:rsid w:val="00CD44D7"/>
    <w:rsid w:val="00CD600A"/>
    <w:rsid w:val="00CD681D"/>
    <w:rsid w:val="00CE0049"/>
    <w:rsid w:val="00CE0420"/>
    <w:rsid w:val="00CE076C"/>
    <w:rsid w:val="00CE0E84"/>
    <w:rsid w:val="00CE2941"/>
    <w:rsid w:val="00CE3DA2"/>
    <w:rsid w:val="00CE4079"/>
    <w:rsid w:val="00CE5199"/>
    <w:rsid w:val="00CE62A2"/>
    <w:rsid w:val="00CE66D5"/>
    <w:rsid w:val="00CF11E0"/>
    <w:rsid w:val="00CF2E46"/>
    <w:rsid w:val="00CF3BA2"/>
    <w:rsid w:val="00CF4137"/>
    <w:rsid w:val="00CF4635"/>
    <w:rsid w:val="00CF637A"/>
    <w:rsid w:val="00CF7604"/>
    <w:rsid w:val="00D006CE"/>
    <w:rsid w:val="00D01CBE"/>
    <w:rsid w:val="00D01EF0"/>
    <w:rsid w:val="00D02386"/>
    <w:rsid w:val="00D02447"/>
    <w:rsid w:val="00D041AF"/>
    <w:rsid w:val="00D044DE"/>
    <w:rsid w:val="00D059DE"/>
    <w:rsid w:val="00D063A3"/>
    <w:rsid w:val="00D06DEF"/>
    <w:rsid w:val="00D07474"/>
    <w:rsid w:val="00D101AB"/>
    <w:rsid w:val="00D133BB"/>
    <w:rsid w:val="00D13B0F"/>
    <w:rsid w:val="00D13F3D"/>
    <w:rsid w:val="00D13FCE"/>
    <w:rsid w:val="00D157A0"/>
    <w:rsid w:val="00D16CFD"/>
    <w:rsid w:val="00D16EB8"/>
    <w:rsid w:val="00D206A2"/>
    <w:rsid w:val="00D2133B"/>
    <w:rsid w:val="00D21C08"/>
    <w:rsid w:val="00D239B3"/>
    <w:rsid w:val="00D23AB1"/>
    <w:rsid w:val="00D26F2B"/>
    <w:rsid w:val="00D301E1"/>
    <w:rsid w:val="00D305A0"/>
    <w:rsid w:val="00D306D1"/>
    <w:rsid w:val="00D30968"/>
    <w:rsid w:val="00D31225"/>
    <w:rsid w:val="00D32662"/>
    <w:rsid w:val="00D34656"/>
    <w:rsid w:val="00D34786"/>
    <w:rsid w:val="00D37BFC"/>
    <w:rsid w:val="00D37C75"/>
    <w:rsid w:val="00D44682"/>
    <w:rsid w:val="00D4569E"/>
    <w:rsid w:val="00D458B2"/>
    <w:rsid w:val="00D47501"/>
    <w:rsid w:val="00D47A8E"/>
    <w:rsid w:val="00D50FE0"/>
    <w:rsid w:val="00D52C32"/>
    <w:rsid w:val="00D52D14"/>
    <w:rsid w:val="00D54A3B"/>
    <w:rsid w:val="00D5552F"/>
    <w:rsid w:val="00D55F19"/>
    <w:rsid w:val="00D57763"/>
    <w:rsid w:val="00D57DE9"/>
    <w:rsid w:val="00D64440"/>
    <w:rsid w:val="00D6660F"/>
    <w:rsid w:val="00D66C04"/>
    <w:rsid w:val="00D66EFB"/>
    <w:rsid w:val="00D6768C"/>
    <w:rsid w:val="00D70E2F"/>
    <w:rsid w:val="00D712D3"/>
    <w:rsid w:val="00D71422"/>
    <w:rsid w:val="00D71B72"/>
    <w:rsid w:val="00D72DC6"/>
    <w:rsid w:val="00D73FB3"/>
    <w:rsid w:val="00D753CA"/>
    <w:rsid w:val="00D7558D"/>
    <w:rsid w:val="00D75AD2"/>
    <w:rsid w:val="00D76CD2"/>
    <w:rsid w:val="00D80486"/>
    <w:rsid w:val="00D8094B"/>
    <w:rsid w:val="00D8152C"/>
    <w:rsid w:val="00D81D92"/>
    <w:rsid w:val="00D8264F"/>
    <w:rsid w:val="00D839D3"/>
    <w:rsid w:val="00D84113"/>
    <w:rsid w:val="00D86C0E"/>
    <w:rsid w:val="00D87067"/>
    <w:rsid w:val="00D902E3"/>
    <w:rsid w:val="00D90D41"/>
    <w:rsid w:val="00D925D1"/>
    <w:rsid w:val="00D946D3"/>
    <w:rsid w:val="00D94784"/>
    <w:rsid w:val="00D94AD0"/>
    <w:rsid w:val="00D96B4E"/>
    <w:rsid w:val="00D97882"/>
    <w:rsid w:val="00DA0F40"/>
    <w:rsid w:val="00DA1A46"/>
    <w:rsid w:val="00DA1F6B"/>
    <w:rsid w:val="00DA219B"/>
    <w:rsid w:val="00DA4C91"/>
    <w:rsid w:val="00DA4FEA"/>
    <w:rsid w:val="00DA7B5F"/>
    <w:rsid w:val="00DB1853"/>
    <w:rsid w:val="00DB35D9"/>
    <w:rsid w:val="00DB3B03"/>
    <w:rsid w:val="00DB3C6E"/>
    <w:rsid w:val="00DB4078"/>
    <w:rsid w:val="00DB4BD9"/>
    <w:rsid w:val="00DC11E7"/>
    <w:rsid w:val="00DC315E"/>
    <w:rsid w:val="00DC3E4E"/>
    <w:rsid w:val="00DC456D"/>
    <w:rsid w:val="00DC580B"/>
    <w:rsid w:val="00DC5D14"/>
    <w:rsid w:val="00DC7023"/>
    <w:rsid w:val="00DC769A"/>
    <w:rsid w:val="00DD0745"/>
    <w:rsid w:val="00DD0E45"/>
    <w:rsid w:val="00DD3D86"/>
    <w:rsid w:val="00DD47A8"/>
    <w:rsid w:val="00DD4996"/>
    <w:rsid w:val="00DD6C57"/>
    <w:rsid w:val="00DE1BFA"/>
    <w:rsid w:val="00DE42B3"/>
    <w:rsid w:val="00DE6E36"/>
    <w:rsid w:val="00DE7F13"/>
    <w:rsid w:val="00DF16D2"/>
    <w:rsid w:val="00DF176E"/>
    <w:rsid w:val="00DF1EC4"/>
    <w:rsid w:val="00DF2B51"/>
    <w:rsid w:val="00DF3C2D"/>
    <w:rsid w:val="00DF4159"/>
    <w:rsid w:val="00DF4DDC"/>
    <w:rsid w:val="00DF54F8"/>
    <w:rsid w:val="00DF56F2"/>
    <w:rsid w:val="00DF5C95"/>
    <w:rsid w:val="00DF6075"/>
    <w:rsid w:val="00DF6BBA"/>
    <w:rsid w:val="00E00175"/>
    <w:rsid w:val="00E0036A"/>
    <w:rsid w:val="00E028E4"/>
    <w:rsid w:val="00E03093"/>
    <w:rsid w:val="00E0340B"/>
    <w:rsid w:val="00E04A90"/>
    <w:rsid w:val="00E07B90"/>
    <w:rsid w:val="00E13B59"/>
    <w:rsid w:val="00E16493"/>
    <w:rsid w:val="00E16CCD"/>
    <w:rsid w:val="00E179C3"/>
    <w:rsid w:val="00E17ABE"/>
    <w:rsid w:val="00E17E1E"/>
    <w:rsid w:val="00E21797"/>
    <w:rsid w:val="00E219C7"/>
    <w:rsid w:val="00E2462D"/>
    <w:rsid w:val="00E25161"/>
    <w:rsid w:val="00E25D85"/>
    <w:rsid w:val="00E268EB"/>
    <w:rsid w:val="00E26D17"/>
    <w:rsid w:val="00E26E52"/>
    <w:rsid w:val="00E31041"/>
    <w:rsid w:val="00E31C81"/>
    <w:rsid w:val="00E31E6F"/>
    <w:rsid w:val="00E33F28"/>
    <w:rsid w:val="00E35089"/>
    <w:rsid w:val="00E35CFB"/>
    <w:rsid w:val="00E36B95"/>
    <w:rsid w:val="00E41423"/>
    <w:rsid w:val="00E43157"/>
    <w:rsid w:val="00E455CA"/>
    <w:rsid w:val="00E461CE"/>
    <w:rsid w:val="00E46E77"/>
    <w:rsid w:val="00E50965"/>
    <w:rsid w:val="00E50E86"/>
    <w:rsid w:val="00E5103C"/>
    <w:rsid w:val="00E519E6"/>
    <w:rsid w:val="00E53990"/>
    <w:rsid w:val="00E55D51"/>
    <w:rsid w:val="00E6079B"/>
    <w:rsid w:val="00E63833"/>
    <w:rsid w:val="00E63A97"/>
    <w:rsid w:val="00E64320"/>
    <w:rsid w:val="00E64D52"/>
    <w:rsid w:val="00E677B4"/>
    <w:rsid w:val="00E67EE0"/>
    <w:rsid w:val="00E70A11"/>
    <w:rsid w:val="00E715D0"/>
    <w:rsid w:val="00E71613"/>
    <w:rsid w:val="00E720CA"/>
    <w:rsid w:val="00E753AF"/>
    <w:rsid w:val="00E76431"/>
    <w:rsid w:val="00E77EA4"/>
    <w:rsid w:val="00E80968"/>
    <w:rsid w:val="00E810B2"/>
    <w:rsid w:val="00E818DF"/>
    <w:rsid w:val="00E818E4"/>
    <w:rsid w:val="00E81CB0"/>
    <w:rsid w:val="00E828DE"/>
    <w:rsid w:val="00E83F54"/>
    <w:rsid w:val="00E84EB5"/>
    <w:rsid w:val="00E85662"/>
    <w:rsid w:val="00E85B97"/>
    <w:rsid w:val="00E8789F"/>
    <w:rsid w:val="00E8797D"/>
    <w:rsid w:val="00E90A32"/>
    <w:rsid w:val="00E92187"/>
    <w:rsid w:val="00E92249"/>
    <w:rsid w:val="00E9356C"/>
    <w:rsid w:val="00E94819"/>
    <w:rsid w:val="00E97B71"/>
    <w:rsid w:val="00EA2204"/>
    <w:rsid w:val="00EA3604"/>
    <w:rsid w:val="00EA3682"/>
    <w:rsid w:val="00EA3A81"/>
    <w:rsid w:val="00EA3D34"/>
    <w:rsid w:val="00EA3E17"/>
    <w:rsid w:val="00EA51BA"/>
    <w:rsid w:val="00EA5BFF"/>
    <w:rsid w:val="00EA61B0"/>
    <w:rsid w:val="00EA64D1"/>
    <w:rsid w:val="00EB0D33"/>
    <w:rsid w:val="00EB12ED"/>
    <w:rsid w:val="00EB2C68"/>
    <w:rsid w:val="00EB3426"/>
    <w:rsid w:val="00EB454D"/>
    <w:rsid w:val="00EB487E"/>
    <w:rsid w:val="00EB49D3"/>
    <w:rsid w:val="00EB4C40"/>
    <w:rsid w:val="00EB51E9"/>
    <w:rsid w:val="00EB58C0"/>
    <w:rsid w:val="00EB5A84"/>
    <w:rsid w:val="00EB5C8A"/>
    <w:rsid w:val="00EB6D55"/>
    <w:rsid w:val="00EB79E3"/>
    <w:rsid w:val="00EB7AB2"/>
    <w:rsid w:val="00EC1001"/>
    <w:rsid w:val="00EC212D"/>
    <w:rsid w:val="00EC26A3"/>
    <w:rsid w:val="00EC4294"/>
    <w:rsid w:val="00ED0055"/>
    <w:rsid w:val="00ED00B2"/>
    <w:rsid w:val="00ED0591"/>
    <w:rsid w:val="00ED2B57"/>
    <w:rsid w:val="00ED30EE"/>
    <w:rsid w:val="00ED329F"/>
    <w:rsid w:val="00ED4902"/>
    <w:rsid w:val="00ED76BE"/>
    <w:rsid w:val="00EE0C24"/>
    <w:rsid w:val="00EE1509"/>
    <w:rsid w:val="00EE1A41"/>
    <w:rsid w:val="00EE24AB"/>
    <w:rsid w:val="00EE3E3C"/>
    <w:rsid w:val="00EE3EFB"/>
    <w:rsid w:val="00EE4A16"/>
    <w:rsid w:val="00EE4BF4"/>
    <w:rsid w:val="00EE527E"/>
    <w:rsid w:val="00EE5DB5"/>
    <w:rsid w:val="00EE60DA"/>
    <w:rsid w:val="00EF0D18"/>
    <w:rsid w:val="00EF261D"/>
    <w:rsid w:val="00EF51EE"/>
    <w:rsid w:val="00EF5DB4"/>
    <w:rsid w:val="00EF619B"/>
    <w:rsid w:val="00F00762"/>
    <w:rsid w:val="00F00ADA"/>
    <w:rsid w:val="00F00B55"/>
    <w:rsid w:val="00F01A4D"/>
    <w:rsid w:val="00F01BD1"/>
    <w:rsid w:val="00F02AD1"/>
    <w:rsid w:val="00F03D6E"/>
    <w:rsid w:val="00F04C21"/>
    <w:rsid w:val="00F04C70"/>
    <w:rsid w:val="00F050EB"/>
    <w:rsid w:val="00F0539B"/>
    <w:rsid w:val="00F0564F"/>
    <w:rsid w:val="00F16D59"/>
    <w:rsid w:val="00F2084D"/>
    <w:rsid w:val="00F2187B"/>
    <w:rsid w:val="00F21CF0"/>
    <w:rsid w:val="00F21CF5"/>
    <w:rsid w:val="00F230FC"/>
    <w:rsid w:val="00F234A5"/>
    <w:rsid w:val="00F23BDF"/>
    <w:rsid w:val="00F24543"/>
    <w:rsid w:val="00F253CC"/>
    <w:rsid w:val="00F25566"/>
    <w:rsid w:val="00F25C90"/>
    <w:rsid w:val="00F25FCB"/>
    <w:rsid w:val="00F2649C"/>
    <w:rsid w:val="00F26657"/>
    <w:rsid w:val="00F30071"/>
    <w:rsid w:val="00F32A36"/>
    <w:rsid w:val="00F34220"/>
    <w:rsid w:val="00F34F5C"/>
    <w:rsid w:val="00F352CC"/>
    <w:rsid w:val="00F37106"/>
    <w:rsid w:val="00F377C0"/>
    <w:rsid w:val="00F37F80"/>
    <w:rsid w:val="00F4480C"/>
    <w:rsid w:val="00F44C02"/>
    <w:rsid w:val="00F46F31"/>
    <w:rsid w:val="00F47AE3"/>
    <w:rsid w:val="00F50F6E"/>
    <w:rsid w:val="00F519CF"/>
    <w:rsid w:val="00F52995"/>
    <w:rsid w:val="00F532F4"/>
    <w:rsid w:val="00F53334"/>
    <w:rsid w:val="00F53DE6"/>
    <w:rsid w:val="00F541CB"/>
    <w:rsid w:val="00F54FFA"/>
    <w:rsid w:val="00F56A5E"/>
    <w:rsid w:val="00F56BA5"/>
    <w:rsid w:val="00F60E22"/>
    <w:rsid w:val="00F63067"/>
    <w:rsid w:val="00F64E48"/>
    <w:rsid w:val="00F66D6C"/>
    <w:rsid w:val="00F67708"/>
    <w:rsid w:val="00F67A70"/>
    <w:rsid w:val="00F71B97"/>
    <w:rsid w:val="00F7376B"/>
    <w:rsid w:val="00F73869"/>
    <w:rsid w:val="00F75967"/>
    <w:rsid w:val="00F76976"/>
    <w:rsid w:val="00F7713B"/>
    <w:rsid w:val="00F77F8B"/>
    <w:rsid w:val="00F8047D"/>
    <w:rsid w:val="00F80581"/>
    <w:rsid w:val="00F80796"/>
    <w:rsid w:val="00F81395"/>
    <w:rsid w:val="00F82116"/>
    <w:rsid w:val="00F82F2B"/>
    <w:rsid w:val="00F83E9F"/>
    <w:rsid w:val="00F8441B"/>
    <w:rsid w:val="00F85821"/>
    <w:rsid w:val="00F85A31"/>
    <w:rsid w:val="00F862AE"/>
    <w:rsid w:val="00F86CAD"/>
    <w:rsid w:val="00F86D76"/>
    <w:rsid w:val="00F87124"/>
    <w:rsid w:val="00F917D1"/>
    <w:rsid w:val="00F91978"/>
    <w:rsid w:val="00F91CDA"/>
    <w:rsid w:val="00F93254"/>
    <w:rsid w:val="00F95AC3"/>
    <w:rsid w:val="00F95F2B"/>
    <w:rsid w:val="00F9653B"/>
    <w:rsid w:val="00F9776D"/>
    <w:rsid w:val="00FA14A7"/>
    <w:rsid w:val="00FA2027"/>
    <w:rsid w:val="00FA22FA"/>
    <w:rsid w:val="00FA43E5"/>
    <w:rsid w:val="00FA49F1"/>
    <w:rsid w:val="00FA6CFD"/>
    <w:rsid w:val="00FA7E41"/>
    <w:rsid w:val="00FB2E13"/>
    <w:rsid w:val="00FB4B73"/>
    <w:rsid w:val="00FB5EDB"/>
    <w:rsid w:val="00FB62CF"/>
    <w:rsid w:val="00FB65BB"/>
    <w:rsid w:val="00FB6844"/>
    <w:rsid w:val="00FC00B3"/>
    <w:rsid w:val="00FC660B"/>
    <w:rsid w:val="00FC7202"/>
    <w:rsid w:val="00FD000E"/>
    <w:rsid w:val="00FD03A3"/>
    <w:rsid w:val="00FD0A58"/>
    <w:rsid w:val="00FD247C"/>
    <w:rsid w:val="00FD2E88"/>
    <w:rsid w:val="00FD3C3B"/>
    <w:rsid w:val="00FD4261"/>
    <w:rsid w:val="00FD519D"/>
    <w:rsid w:val="00FD5827"/>
    <w:rsid w:val="00FD6A1E"/>
    <w:rsid w:val="00FD72F8"/>
    <w:rsid w:val="00FE0AFD"/>
    <w:rsid w:val="00FE13D4"/>
    <w:rsid w:val="00FE13E6"/>
    <w:rsid w:val="00FE39BF"/>
    <w:rsid w:val="00FE4BAB"/>
    <w:rsid w:val="00FE6187"/>
    <w:rsid w:val="00FE6B45"/>
    <w:rsid w:val="00FE6E4F"/>
    <w:rsid w:val="00FE6F94"/>
    <w:rsid w:val="00FE77AA"/>
    <w:rsid w:val="00FF0DEC"/>
    <w:rsid w:val="00FF168D"/>
    <w:rsid w:val="00FF1B8C"/>
    <w:rsid w:val="00FF1FD3"/>
    <w:rsid w:val="00FF4344"/>
    <w:rsid w:val="00FF48A0"/>
    <w:rsid w:val="00FF544D"/>
    <w:rsid w:val="00FF55F3"/>
    <w:rsid w:val="00FF5851"/>
    <w:rsid w:val="00FF6D2C"/>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EB4"/>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436077"/>
    <w:pPr>
      <w:numPr>
        <w:numId w:val="53"/>
      </w:numPr>
      <w:ind w:left="1440" w:hanging="720"/>
      <w:jc w:val="both"/>
      <w:outlineLvl w:val="0"/>
    </w:pPr>
    <w:rPr>
      <w:rFonts w:ascii="Cambria" w:eastAsia="Times New Roman" w:hAnsi="Cambria"/>
      <w:b/>
      <w:bCs/>
      <w:color w:val="365F91"/>
      <w:sz w:val="20"/>
      <w:szCs w:val="20"/>
    </w:rPr>
  </w:style>
  <w:style w:type="paragraph" w:styleId="Heading2">
    <w:name w:val="heading 2"/>
    <w:basedOn w:val="Normal"/>
    <w:next w:val="Normal"/>
    <w:link w:val="Heading2Char"/>
    <w:uiPriority w:val="9"/>
    <w:qFormat/>
    <w:rsid w:val="00FD5827"/>
    <w:pPr>
      <w:numPr>
        <w:numId w:val="56"/>
      </w:numPr>
      <w:tabs>
        <w:tab w:val="left" w:pos="1440"/>
      </w:tabs>
      <w:ind w:left="1440" w:hanging="720"/>
      <w:jc w:val="both"/>
      <w:outlineLvl w:val="1"/>
    </w:pPr>
    <w:rPr>
      <w:rFonts w:ascii="Cambria" w:eastAsia="Times New Roman" w:hAnsi="Cambria" w:cs="Arial"/>
      <w:b/>
      <w:bCs/>
      <w:iCs/>
      <w:sz w:val="20"/>
      <w:szCs w:val="20"/>
      <w:bdr w:val="none" w:sz="0" w:space="0" w:color="auto"/>
      <w:lang w:val="es-ES"/>
    </w:rPr>
  </w:style>
  <w:style w:type="paragraph" w:styleId="Heading3">
    <w:name w:val="heading 3"/>
    <w:basedOn w:val="Normal"/>
    <w:next w:val="Normal"/>
    <w:link w:val="Heading3Char"/>
    <w:uiPriority w:val="9"/>
    <w:qFormat/>
    <w:rsid w:val="00FD5827"/>
    <w:pPr>
      <w:numPr>
        <w:numId w:val="57"/>
      </w:numPr>
      <w:ind w:left="1350" w:hanging="630"/>
      <w:jc w:val="both"/>
      <w:outlineLvl w:val="2"/>
    </w:pPr>
    <w:rPr>
      <w:rFonts w:ascii="Cambria" w:eastAsia="Times New Roman" w:hAnsi="Cambria" w:cs="Arial"/>
      <w:b/>
      <w:bCs/>
      <w:sz w:val="20"/>
      <w:szCs w:val="20"/>
      <w:bdr w:val="none" w:sz="0" w:space="0" w:color="auto"/>
      <w:lang w:val="es-MX"/>
    </w:rPr>
  </w:style>
  <w:style w:type="paragraph" w:styleId="Heading4">
    <w:name w:val="heading 4"/>
    <w:basedOn w:val="Normal"/>
    <w:next w:val="Normal"/>
    <w:link w:val="Heading4Char"/>
    <w:uiPriority w:val="9"/>
    <w:qFormat/>
    <w:rsid w:val="009F3E70"/>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Grid1-Accent21">
    <w:name w:val="Medium Grid 1 - Accent 2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436077"/>
    <w:rPr>
      <w:rFonts w:ascii="Cambria" w:eastAsia="Times New Roman" w:hAnsi="Cambria"/>
      <w:b/>
      <w:bCs/>
      <w:color w:val="365F91"/>
      <w:bdr w:val="nil"/>
    </w:rPr>
  </w:style>
  <w:style w:type="table" w:styleId="MediumShading1-Accent2">
    <w:name w:val="Medium Shading 1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uiPriority w:val="9"/>
    <w:rsid w:val="00FD5827"/>
    <w:rPr>
      <w:rFonts w:ascii="Cambria" w:eastAsia="Times New Roman" w:hAnsi="Cambria" w:cs="Arial"/>
      <w:b/>
      <w:bCs/>
      <w:iCs/>
      <w:lang w:val="es-ES"/>
    </w:rPr>
  </w:style>
  <w:style w:type="character" w:customStyle="1" w:styleId="Heading3Char">
    <w:name w:val="Heading 3 Char"/>
    <w:link w:val="Heading3"/>
    <w:uiPriority w:val="9"/>
    <w:rsid w:val="00FD5827"/>
    <w:rPr>
      <w:rFonts w:ascii="Cambria" w:eastAsia="Times New Roman" w:hAnsi="Cambria" w:cs="Arial"/>
      <w:b/>
      <w:bCs/>
      <w:lang w:val="es-MX"/>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rsid w:val="00436077"/>
  </w:style>
  <w:style w:type="character" w:styleId="Strong">
    <w:name w:val="Strong"/>
    <w:uiPriority w:val="22"/>
    <w:qFormat/>
    <w:rsid w:val="00436077"/>
    <w:rPr>
      <w:b/>
      <w:bCs/>
    </w:rPr>
  </w:style>
  <w:style w:type="character" w:customStyle="1" w:styleId="BodyTextIndentChar">
    <w:name w:val="Body Text Indent Char"/>
    <w:link w:val="BodyTextIndent"/>
    <w:locked/>
    <w:rsid w:val="00436077"/>
    <w:rPr>
      <w:rFonts w:eastAsia="Times New Roman"/>
      <w:color w:val="000000"/>
      <w:sz w:val="24"/>
      <w:szCs w:val="24"/>
      <w:u w:color="000000"/>
      <w:lang w:val="es-ES_tradnl"/>
    </w:rPr>
  </w:style>
  <w:style w:type="character" w:customStyle="1" w:styleId="BodyTextIndentChar1">
    <w:name w:val="Body Text Indent Char1"/>
    <w:locked/>
    <w:rsid w:val="004471C7"/>
    <w:rPr>
      <w:rFonts w:ascii="Times New Roman" w:eastAsia="Times New Roman" w:hAnsi="Times New Roman"/>
      <w:color w:val="000000"/>
      <w:sz w:val="24"/>
      <w:szCs w:val="24"/>
      <w:u w:color="000000"/>
      <w:bdr w:val="nil"/>
      <w:lang w:val="es-ES_tradnl" w:eastAsia="es-ES"/>
    </w:rPr>
  </w:style>
  <w:style w:type="character" w:styleId="FollowedHyperlink">
    <w:name w:val="FollowedHyperlink"/>
    <w:uiPriority w:val="99"/>
    <w:semiHidden/>
    <w:unhideWhenUsed/>
    <w:rsid w:val="007D758D"/>
    <w:rPr>
      <w:color w:val="800080"/>
      <w:u w:val="single"/>
    </w:rPr>
  </w:style>
  <w:style w:type="character" w:styleId="CommentReference">
    <w:name w:val="annotation reference"/>
    <w:uiPriority w:val="99"/>
    <w:semiHidden/>
    <w:unhideWhenUsed/>
    <w:rsid w:val="00A824D3"/>
    <w:rPr>
      <w:sz w:val="16"/>
      <w:szCs w:val="16"/>
    </w:rPr>
  </w:style>
  <w:style w:type="paragraph" w:styleId="CommentText">
    <w:name w:val="annotation text"/>
    <w:basedOn w:val="Normal"/>
    <w:link w:val="CommentTextChar"/>
    <w:uiPriority w:val="99"/>
    <w:semiHidden/>
    <w:unhideWhenUsed/>
    <w:rsid w:val="00A824D3"/>
    <w:rPr>
      <w:sz w:val="20"/>
      <w:szCs w:val="20"/>
    </w:rPr>
  </w:style>
  <w:style w:type="character" w:customStyle="1" w:styleId="CommentTextChar">
    <w:name w:val="Comment Text Char"/>
    <w:link w:val="CommentText"/>
    <w:uiPriority w:val="99"/>
    <w:semiHidden/>
    <w:rsid w:val="00A824D3"/>
    <w:rPr>
      <w:lang w:val="en-US" w:eastAsia="en-US"/>
    </w:rPr>
  </w:style>
  <w:style w:type="paragraph" w:styleId="CommentSubject">
    <w:name w:val="annotation subject"/>
    <w:basedOn w:val="CommentText"/>
    <w:next w:val="CommentText"/>
    <w:link w:val="CommentSubjectChar"/>
    <w:uiPriority w:val="99"/>
    <w:semiHidden/>
    <w:unhideWhenUsed/>
    <w:rsid w:val="00A824D3"/>
    <w:rPr>
      <w:b/>
      <w:bCs/>
    </w:rPr>
  </w:style>
  <w:style w:type="character" w:customStyle="1" w:styleId="CommentSubjectChar">
    <w:name w:val="Comment Subject Char"/>
    <w:link w:val="CommentSubject"/>
    <w:uiPriority w:val="99"/>
    <w:semiHidden/>
    <w:rsid w:val="00A824D3"/>
    <w:rPr>
      <w:b/>
      <w:bCs/>
      <w:lang w:val="en-US" w:eastAsia="en-US"/>
    </w:rPr>
  </w:style>
  <w:style w:type="paragraph" w:customStyle="1" w:styleId="Style1">
    <w:name w:val="Style1"/>
    <w:basedOn w:val="Heading2"/>
    <w:link w:val="Style1Char"/>
    <w:qFormat/>
    <w:rsid w:val="00687759"/>
    <w:pPr>
      <w:keepNext/>
      <w:keepLines/>
    </w:pPr>
    <w:rPr>
      <w:rFonts w:eastAsia="MS Gothic" w:cs="Times New Roman"/>
      <w:i/>
      <w:iCs w:val="0"/>
      <w:bdr w:val="nil"/>
      <w:lang w:val="es-ES_tradnl"/>
    </w:rPr>
  </w:style>
  <w:style w:type="character" w:customStyle="1" w:styleId="Style1Char">
    <w:name w:val="Style1 Char"/>
    <w:link w:val="Style1"/>
    <w:rsid w:val="00687759"/>
    <w:rPr>
      <w:rFonts w:ascii="Cambria" w:eastAsia="MS Gothic" w:hAnsi="Cambria"/>
      <w:b/>
      <w:bCs/>
      <w:i/>
      <w:bdr w:val="nil"/>
      <w:lang w:val="es-ES_tradnl"/>
    </w:rPr>
  </w:style>
  <w:style w:type="paragraph" w:customStyle="1" w:styleId="Style2">
    <w:name w:val="Style2"/>
    <w:basedOn w:val="Normal"/>
    <w:link w:val="Style2Char"/>
    <w:qFormat/>
    <w:rsid w:val="00687759"/>
    <w:pPr>
      <w:numPr>
        <w:numId w:val="6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styleId="BlockText">
    <w:name w:val="Block Text"/>
    <w:basedOn w:val="Normal"/>
    <w:rsid w:val="00D26F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List2">
    <w:name w:val="List 2"/>
    <w:basedOn w:val="Normal"/>
    <w:uiPriority w:val="99"/>
    <w:semiHidden/>
    <w:unhideWhenUsed/>
    <w:rsid w:val="001D0825"/>
    <w:pPr>
      <w:ind w:left="720" w:hanging="360"/>
      <w:contextualSpacing/>
    </w:pPr>
  </w:style>
  <w:style w:type="character" w:customStyle="1" w:styleId="Style2Char">
    <w:name w:val="Style2 Char"/>
    <w:link w:val="Style2"/>
    <w:rsid w:val="00547393"/>
    <w:rPr>
      <w:rFonts w:ascii="Cambria" w:hAnsi="Cambria"/>
      <w:bdr w:val="nil"/>
      <w:lang w:val="es-ES"/>
    </w:rPr>
  </w:style>
  <w:style w:type="paragraph" w:customStyle="1" w:styleId="ListParagraph1">
    <w:name w:val="List Paragraph1"/>
    <w:aliases w:val="Párrafo de lista1,List Paragraph11,Colorful List - Accent 11"/>
    <w:link w:val="ListParagraphChar"/>
    <w:qFormat/>
    <w:rsid w:val="004822D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ListParagraphChar">
    <w:name w:val="List Paragraph Char"/>
    <w:aliases w:val="Párrafo de lista1 Char,List Paragraph1 Char,Colorful List - Accent 11 Char"/>
    <w:link w:val="ListParagraph1"/>
    <w:locked/>
    <w:rsid w:val="004822D6"/>
    <w:rPr>
      <w:rFonts w:ascii="Cambria" w:eastAsia="Cambria" w:hAnsi="Cambria" w:cs="Cambria"/>
      <w:color w:val="000000"/>
      <w:sz w:val="24"/>
      <w:szCs w:val="24"/>
      <w:u w:color="000000"/>
      <w:lang w:val="en-US"/>
    </w:rPr>
  </w:style>
  <w:style w:type="character" w:customStyle="1" w:styleId="Heading4Char">
    <w:name w:val="Heading 4 Char"/>
    <w:link w:val="Heading4"/>
    <w:uiPriority w:val="9"/>
    <w:rsid w:val="009F3E70"/>
    <w:rPr>
      <w:rFonts w:ascii="Calibri" w:eastAsia="Times New Roman" w:hAnsi="Calibri" w:cs="Times New Roman"/>
      <w:b/>
      <w:bCs/>
      <w:sz w:val="28"/>
      <w:szCs w:val="28"/>
      <w:bdr w:val="nil"/>
    </w:rPr>
  </w:style>
  <w:style w:type="paragraph" w:customStyle="1" w:styleId="ColorfulList-Accent12">
    <w:name w:val="Colorful List - Accent 12"/>
    <w:basedOn w:val="Normal"/>
    <w:qFormat/>
    <w:rsid w:val="00802279"/>
    <w:pPr>
      <w:ind w:left="720"/>
    </w:pPr>
  </w:style>
  <w:style w:type="paragraph" w:customStyle="1" w:styleId="Normal1">
    <w:name w:val="Normal1"/>
    <w:rsid w:val="009B1B40"/>
    <w:pPr>
      <w:widowControl w:val="0"/>
    </w:pPr>
    <w:rPr>
      <w:rFonts w:ascii="Verdana" w:eastAsia="Times New Roman" w:hAnsi="Verdana" w:cs="Verdana"/>
      <w:color w:val="000000"/>
      <w:szCs w:val="22"/>
      <w:lang w:val="es-CO" w:eastAsia="es-CO"/>
    </w:rPr>
  </w:style>
  <w:style w:type="paragraph" w:styleId="ListParagraph">
    <w:name w:val="List Paragraph"/>
    <w:basedOn w:val="Normal"/>
    <w:uiPriority w:val="34"/>
    <w:qFormat/>
    <w:rsid w:val="0069252A"/>
    <w:pPr>
      <w:ind w:left="720"/>
    </w:pPr>
  </w:style>
  <w:style w:type="paragraph" w:styleId="Revision">
    <w:name w:val="Revision"/>
    <w:hidden/>
    <w:uiPriority w:val="99"/>
    <w:semiHidden/>
    <w:rsid w:val="0016447B"/>
    <w:rPr>
      <w:sz w:val="24"/>
      <w:szCs w:val="24"/>
      <w:bdr w:val="nil"/>
    </w:rPr>
  </w:style>
  <w:style w:type="paragraph" w:styleId="TOCHeading">
    <w:name w:val="TOC Heading"/>
    <w:basedOn w:val="Heading1"/>
    <w:next w:val="Normal"/>
    <w:uiPriority w:val="39"/>
    <w:semiHidden/>
    <w:unhideWhenUsed/>
    <w:qFormat/>
    <w:rsid w:val="00FD72F8"/>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left"/>
      <w:outlineLvl w:val="9"/>
    </w:pPr>
    <w:rPr>
      <w:rFonts w:eastAsia="MS Gothic"/>
      <w:sz w:val="28"/>
      <w:szCs w:val="28"/>
      <w:bdr w:val="none" w:sz="0" w:space="0" w:color="auto"/>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0"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EB4"/>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436077"/>
    <w:pPr>
      <w:numPr>
        <w:numId w:val="53"/>
      </w:numPr>
      <w:ind w:left="1440" w:hanging="720"/>
      <w:jc w:val="both"/>
      <w:outlineLvl w:val="0"/>
    </w:pPr>
    <w:rPr>
      <w:rFonts w:ascii="Cambria" w:eastAsia="Times New Roman" w:hAnsi="Cambria"/>
      <w:b/>
      <w:bCs/>
      <w:color w:val="365F91"/>
      <w:sz w:val="20"/>
      <w:szCs w:val="20"/>
    </w:rPr>
  </w:style>
  <w:style w:type="paragraph" w:styleId="Heading2">
    <w:name w:val="heading 2"/>
    <w:basedOn w:val="Normal"/>
    <w:next w:val="Normal"/>
    <w:link w:val="Heading2Char"/>
    <w:uiPriority w:val="9"/>
    <w:qFormat/>
    <w:rsid w:val="00FD5827"/>
    <w:pPr>
      <w:numPr>
        <w:numId w:val="56"/>
      </w:numPr>
      <w:tabs>
        <w:tab w:val="left" w:pos="1440"/>
      </w:tabs>
      <w:ind w:left="1440" w:hanging="720"/>
      <w:jc w:val="both"/>
      <w:outlineLvl w:val="1"/>
    </w:pPr>
    <w:rPr>
      <w:rFonts w:ascii="Cambria" w:eastAsia="Times New Roman" w:hAnsi="Cambria" w:cs="Arial"/>
      <w:b/>
      <w:bCs/>
      <w:iCs/>
      <w:sz w:val="20"/>
      <w:szCs w:val="20"/>
      <w:bdr w:val="none" w:sz="0" w:space="0" w:color="auto"/>
      <w:lang w:val="es-ES"/>
    </w:rPr>
  </w:style>
  <w:style w:type="paragraph" w:styleId="Heading3">
    <w:name w:val="heading 3"/>
    <w:basedOn w:val="Normal"/>
    <w:next w:val="Normal"/>
    <w:link w:val="Heading3Char"/>
    <w:uiPriority w:val="9"/>
    <w:qFormat/>
    <w:rsid w:val="00FD5827"/>
    <w:pPr>
      <w:numPr>
        <w:numId w:val="57"/>
      </w:numPr>
      <w:ind w:left="1350" w:hanging="630"/>
      <w:jc w:val="both"/>
      <w:outlineLvl w:val="2"/>
    </w:pPr>
    <w:rPr>
      <w:rFonts w:ascii="Cambria" w:eastAsia="Times New Roman" w:hAnsi="Cambria" w:cs="Arial"/>
      <w:b/>
      <w:bCs/>
      <w:sz w:val="20"/>
      <w:szCs w:val="20"/>
      <w:bdr w:val="none" w:sz="0" w:space="0" w:color="auto"/>
      <w:lang w:val="es-MX"/>
    </w:rPr>
  </w:style>
  <w:style w:type="paragraph" w:styleId="Heading4">
    <w:name w:val="heading 4"/>
    <w:basedOn w:val="Normal"/>
    <w:next w:val="Normal"/>
    <w:link w:val="Heading4Char"/>
    <w:uiPriority w:val="9"/>
    <w:qFormat/>
    <w:rsid w:val="009F3E70"/>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customStyle="1" w:styleId="MediumGrid1-Accent21">
    <w:name w:val="Medium Grid 1 - Accent 21"/>
    <w:uiPriority w:val="34"/>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436077"/>
    <w:rPr>
      <w:rFonts w:ascii="Cambria" w:eastAsia="Times New Roman" w:hAnsi="Cambria"/>
      <w:b/>
      <w:bCs/>
      <w:color w:val="365F91"/>
      <w:bdr w:val="nil"/>
    </w:rPr>
  </w:style>
  <w:style w:type="table" w:styleId="MediumShading1-Accent2">
    <w:name w:val="Medium Shading 1 Accent 2"/>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4_G,16 Point,Superscript 6 Point,Footnote symbol,Footnote,Texto nota al pie,Footnote Reference Char3"/>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link w:val="Heading2"/>
    <w:uiPriority w:val="9"/>
    <w:rsid w:val="00FD5827"/>
    <w:rPr>
      <w:rFonts w:ascii="Cambria" w:eastAsia="Times New Roman" w:hAnsi="Cambria" w:cs="Arial"/>
      <w:b/>
      <w:bCs/>
      <w:iCs/>
      <w:lang w:val="es-ES"/>
    </w:rPr>
  </w:style>
  <w:style w:type="character" w:customStyle="1" w:styleId="Heading3Char">
    <w:name w:val="Heading 3 Char"/>
    <w:link w:val="Heading3"/>
    <w:uiPriority w:val="9"/>
    <w:rsid w:val="00FD5827"/>
    <w:rPr>
      <w:rFonts w:ascii="Cambria" w:eastAsia="Times New Roman" w:hAnsi="Cambria" w:cs="Arial"/>
      <w:b/>
      <w:bCs/>
      <w:lang w:val="es-MX"/>
    </w:rPr>
  </w:style>
  <w:style w:type="paragraph" w:customStyle="1" w:styleId="Default">
    <w:name w:val="Default"/>
    <w:link w:val="DefaultChar"/>
    <w:rsid w:val="00DF1EC4"/>
    <w:pPr>
      <w:autoSpaceDE w:val="0"/>
      <w:autoSpaceDN w:val="0"/>
      <w:adjustRightInd w:val="0"/>
    </w:pPr>
    <w:rPr>
      <w:rFonts w:eastAsia="Times New Roman"/>
      <w:color w:val="000000"/>
      <w:sz w:val="24"/>
      <w:szCs w:val="24"/>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rsid w:val="00436077"/>
  </w:style>
  <w:style w:type="character" w:styleId="Strong">
    <w:name w:val="Strong"/>
    <w:uiPriority w:val="22"/>
    <w:qFormat/>
    <w:rsid w:val="00436077"/>
    <w:rPr>
      <w:b/>
      <w:bCs/>
    </w:rPr>
  </w:style>
  <w:style w:type="character" w:customStyle="1" w:styleId="BodyTextIndentChar">
    <w:name w:val="Body Text Indent Char"/>
    <w:link w:val="BodyTextIndent"/>
    <w:locked/>
    <w:rsid w:val="00436077"/>
    <w:rPr>
      <w:rFonts w:eastAsia="Times New Roman"/>
      <w:color w:val="000000"/>
      <w:sz w:val="24"/>
      <w:szCs w:val="24"/>
      <w:u w:color="000000"/>
      <w:lang w:val="es-ES_tradnl"/>
    </w:rPr>
  </w:style>
  <w:style w:type="character" w:customStyle="1" w:styleId="BodyTextIndentChar1">
    <w:name w:val="Body Text Indent Char1"/>
    <w:locked/>
    <w:rsid w:val="004471C7"/>
    <w:rPr>
      <w:rFonts w:ascii="Times New Roman" w:eastAsia="Times New Roman" w:hAnsi="Times New Roman"/>
      <w:color w:val="000000"/>
      <w:sz w:val="24"/>
      <w:szCs w:val="24"/>
      <w:u w:color="000000"/>
      <w:bdr w:val="nil"/>
      <w:lang w:val="es-ES_tradnl" w:eastAsia="es-ES"/>
    </w:rPr>
  </w:style>
  <w:style w:type="character" w:styleId="FollowedHyperlink">
    <w:name w:val="FollowedHyperlink"/>
    <w:uiPriority w:val="99"/>
    <w:semiHidden/>
    <w:unhideWhenUsed/>
    <w:rsid w:val="007D758D"/>
    <w:rPr>
      <w:color w:val="800080"/>
      <w:u w:val="single"/>
    </w:rPr>
  </w:style>
  <w:style w:type="character" w:styleId="CommentReference">
    <w:name w:val="annotation reference"/>
    <w:uiPriority w:val="99"/>
    <w:semiHidden/>
    <w:unhideWhenUsed/>
    <w:rsid w:val="00A824D3"/>
    <w:rPr>
      <w:sz w:val="16"/>
      <w:szCs w:val="16"/>
    </w:rPr>
  </w:style>
  <w:style w:type="paragraph" w:styleId="CommentText">
    <w:name w:val="annotation text"/>
    <w:basedOn w:val="Normal"/>
    <w:link w:val="CommentTextChar"/>
    <w:uiPriority w:val="99"/>
    <w:semiHidden/>
    <w:unhideWhenUsed/>
    <w:rsid w:val="00A824D3"/>
    <w:rPr>
      <w:sz w:val="20"/>
      <w:szCs w:val="20"/>
    </w:rPr>
  </w:style>
  <w:style w:type="character" w:customStyle="1" w:styleId="CommentTextChar">
    <w:name w:val="Comment Text Char"/>
    <w:link w:val="CommentText"/>
    <w:uiPriority w:val="99"/>
    <w:semiHidden/>
    <w:rsid w:val="00A824D3"/>
    <w:rPr>
      <w:lang w:val="en-US" w:eastAsia="en-US"/>
    </w:rPr>
  </w:style>
  <w:style w:type="paragraph" w:styleId="CommentSubject">
    <w:name w:val="annotation subject"/>
    <w:basedOn w:val="CommentText"/>
    <w:next w:val="CommentText"/>
    <w:link w:val="CommentSubjectChar"/>
    <w:uiPriority w:val="99"/>
    <w:semiHidden/>
    <w:unhideWhenUsed/>
    <w:rsid w:val="00A824D3"/>
    <w:rPr>
      <w:b/>
      <w:bCs/>
    </w:rPr>
  </w:style>
  <w:style w:type="character" w:customStyle="1" w:styleId="CommentSubjectChar">
    <w:name w:val="Comment Subject Char"/>
    <w:link w:val="CommentSubject"/>
    <w:uiPriority w:val="99"/>
    <w:semiHidden/>
    <w:rsid w:val="00A824D3"/>
    <w:rPr>
      <w:b/>
      <w:bCs/>
      <w:lang w:val="en-US" w:eastAsia="en-US"/>
    </w:rPr>
  </w:style>
  <w:style w:type="paragraph" w:customStyle="1" w:styleId="Style1">
    <w:name w:val="Style1"/>
    <w:basedOn w:val="Heading2"/>
    <w:link w:val="Style1Char"/>
    <w:qFormat/>
    <w:rsid w:val="00687759"/>
    <w:pPr>
      <w:keepNext/>
      <w:keepLines/>
    </w:pPr>
    <w:rPr>
      <w:rFonts w:eastAsia="MS Gothic" w:cs="Times New Roman"/>
      <w:i/>
      <w:iCs w:val="0"/>
      <w:bdr w:val="nil"/>
      <w:lang w:val="es-ES_tradnl"/>
    </w:rPr>
  </w:style>
  <w:style w:type="character" w:customStyle="1" w:styleId="Style1Char">
    <w:name w:val="Style1 Char"/>
    <w:link w:val="Style1"/>
    <w:rsid w:val="00687759"/>
    <w:rPr>
      <w:rFonts w:ascii="Cambria" w:eastAsia="MS Gothic" w:hAnsi="Cambria"/>
      <w:b/>
      <w:bCs/>
      <w:i/>
      <w:bdr w:val="nil"/>
      <w:lang w:val="es-ES_tradnl"/>
    </w:rPr>
  </w:style>
  <w:style w:type="paragraph" w:customStyle="1" w:styleId="Style2">
    <w:name w:val="Style2"/>
    <w:basedOn w:val="Normal"/>
    <w:link w:val="Style2Char"/>
    <w:qFormat/>
    <w:rsid w:val="00687759"/>
    <w:pPr>
      <w:numPr>
        <w:numId w:val="60"/>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mbria" w:hAnsi="Cambria"/>
      <w:sz w:val="20"/>
      <w:szCs w:val="20"/>
      <w:lang w:val="es-ES"/>
    </w:rPr>
  </w:style>
  <w:style w:type="paragraph" w:styleId="BlockText">
    <w:name w:val="Block Text"/>
    <w:basedOn w:val="Normal"/>
    <w:rsid w:val="00D26F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right="720"/>
      <w:jc w:val="both"/>
    </w:pPr>
    <w:rPr>
      <w:rFonts w:ascii="Verdana" w:eastAsia="MS ??" w:hAnsi="Verdana"/>
      <w:sz w:val="16"/>
      <w:szCs w:val="20"/>
      <w:bdr w:val="none" w:sz="0" w:space="0" w:color="auto"/>
      <w:lang w:val="es-ES_tradnl"/>
    </w:rPr>
  </w:style>
  <w:style w:type="paragraph" w:styleId="List2">
    <w:name w:val="List 2"/>
    <w:basedOn w:val="Normal"/>
    <w:uiPriority w:val="99"/>
    <w:semiHidden/>
    <w:unhideWhenUsed/>
    <w:rsid w:val="001D0825"/>
    <w:pPr>
      <w:ind w:left="720" w:hanging="360"/>
      <w:contextualSpacing/>
    </w:pPr>
  </w:style>
  <w:style w:type="character" w:customStyle="1" w:styleId="Style2Char">
    <w:name w:val="Style2 Char"/>
    <w:link w:val="Style2"/>
    <w:rsid w:val="00547393"/>
    <w:rPr>
      <w:rFonts w:ascii="Cambria" w:hAnsi="Cambria"/>
      <w:bdr w:val="nil"/>
      <w:lang w:val="es-ES"/>
    </w:rPr>
  </w:style>
  <w:style w:type="paragraph" w:customStyle="1" w:styleId="ListParagraph1">
    <w:name w:val="List Paragraph1"/>
    <w:aliases w:val="Párrafo de lista1,List Paragraph11,Colorful List - Accent 11"/>
    <w:link w:val="ListParagraphChar"/>
    <w:qFormat/>
    <w:rsid w:val="004822D6"/>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character" w:customStyle="1" w:styleId="ListParagraphChar">
    <w:name w:val="List Paragraph Char"/>
    <w:aliases w:val="Párrafo de lista1 Char,List Paragraph1 Char,Colorful List - Accent 11 Char"/>
    <w:link w:val="ListParagraph1"/>
    <w:locked/>
    <w:rsid w:val="004822D6"/>
    <w:rPr>
      <w:rFonts w:ascii="Cambria" w:eastAsia="Cambria" w:hAnsi="Cambria" w:cs="Cambria"/>
      <w:color w:val="000000"/>
      <w:sz w:val="24"/>
      <w:szCs w:val="24"/>
      <w:u w:color="000000"/>
      <w:lang w:val="en-US"/>
    </w:rPr>
  </w:style>
  <w:style w:type="character" w:customStyle="1" w:styleId="Heading4Char">
    <w:name w:val="Heading 4 Char"/>
    <w:link w:val="Heading4"/>
    <w:uiPriority w:val="9"/>
    <w:rsid w:val="009F3E70"/>
    <w:rPr>
      <w:rFonts w:ascii="Calibri" w:eastAsia="Times New Roman" w:hAnsi="Calibri" w:cs="Times New Roman"/>
      <w:b/>
      <w:bCs/>
      <w:sz w:val="28"/>
      <w:szCs w:val="28"/>
      <w:bdr w:val="nil"/>
    </w:rPr>
  </w:style>
  <w:style w:type="paragraph" w:customStyle="1" w:styleId="ColorfulList-Accent12">
    <w:name w:val="Colorful List - Accent 12"/>
    <w:basedOn w:val="Normal"/>
    <w:qFormat/>
    <w:rsid w:val="00802279"/>
    <w:pPr>
      <w:ind w:left="720"/>
    </w:pPr>
  </w:style>
  <w:style w:type="paragraph" w:customStyle="1" w:styleId="Normal1">
    <w:name w:val="Normal1"/>
    <w:rsid w:val="009B1B40"/>
    <w:pPr>
      <w:widowControl w:val="0"/>
    </w:pPr>
    <w:rPr>
      <w:rFonts w:ascii="Verdana" w:eastAsia="Times New Roman" w:hAnsi="Verdana" w:cs="Verdana"/>
      <w:color w:val="000000"/>
      <w:szCs w:val="22"/>
      <w:lang w:val="es-CO" w:eastAsia="es-CO"/>
    </w:rPr>
  </w:style>
  <w:style w:type="paragraph" w:styleId="ListParagraph">
    <w:name w:val="List Paragraph"/>
    <w:basedOn w:val="Normal"/>
    <w:uiPriority w:val="34"/>
    <w:qFormat/>
    <w:rsid w:val="0069252A"/>
    <w:pPr>
      <w:ind w:left="720"/>
    </w:pPr>
  </w:style>
  <w:style w:type="paragraph" w:styleId="Revision">
    <w:name w:val="Revision"/>
    <w:hidden/>
    <w:uiPriority w:val="99"/>
    <w:semiHidden/>
    <w:rsid w:val="0016447B"/>
    <w:rPr>
      <w:sz w:val="24"/>
      <w:szCs w:val="24"/>
      <w:bdr w:val="nil"/>
    </w:rPr>
  </w:style>
  <w:style w:type="paragraph" w:styleId="TOCHeading">
    <w:name w:val="TOC Heading"/>
    <w:basedOn w:val="Heading1"/>
    <w:next w:val="Normal"/>
    <w:uiPriority w:val="39"/>
    <w:semiHidden/>
    <w:unhideWhenUsed/>
    <w:qFormat/>
    <w:rsid w:val="00FD72F8"/>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left"/>
      <w:outlineLvl w:val="9"/>
    </w:pPr>
    <w:rPr>
      <w:rFonts w:eastAsia="MS Gothic"/>
      <w:sz w:val="28"/>
      <w:szCs w:val="28"/>
      <w:bdr w:val="none" w:sz="0" w:space="0" w:color="aut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2"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 Id="rId1" Type="http://schemas.openxmlformats.org/officeDocument/2006/relationships/hyperlink" Target="http://www.cidh.oas.org/annualrep/2007sp/Peru735.05sp.htm" TargetMode="External"/><Relationship Id="rId6" Type="http://schemas.openxmlformats.org/officeDocument/2006/relationships/hyperlink" Target="http://www.congreso.gob.pe/ntley/Imagenes/Leyes/26926.pdf" TargetMode="External"/><Relationship Id="rId5" Type="http://schemas.openxmlformats.org/officeDocument/2006/relationships/hyperlink" Target="http://www.cidh.oas.org/annualrep/2001sp/Peru10247.htm" TargetMode="External"/><Relationship Id="rId4" Type="http://schemas.openxmlformats.org/officeDocument/2006/relationships/hyperlink" Target="http://joomla.corteidh.or.cr:8080/joomla/es/jurisprudencia-oc-avanzado/38-jurisprudencia/1572-corte-idh-caso-gonzalez-medina-y-familiares-vs-republica-dominicana-excepciones-preliminares-fondo-reparaciones-y-costas-sentencia-de-27-de-febrero-de-2012-serie-c-no-2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C061F-3B6C-4893-A72C-A2DEF958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37</Pages>
  <Words>16919</Words>
  <Characters>96441</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113134</CharactersWithSpaces>
  <SharedDoc>false</SharedDoc>
  <HLinks>
    <vt:vector size="168" baseType="variant">
      <vt:variant>
        <vt:i4>1441847</vt:i4>
      </vt:variant>
      <vt:variant>
        <vt:i4>128</vt:i4>
      </vt:variant>
      <vt:variant>
        <vt:i4>0</vt:i4>
      </vt:variant>
      <vt:variant>
        <vt:i4>5</vt:i4>
      </vt:variant>
      <vt:variant>
        <vt:lpwstr/>
      </vt:variant>
      <vt:variant>
        <vt:lpwstr>_Toc467948067</vt:lpwstr>
      </vt:variant>
      <vt:variant>
        <vt:i4>1441847</vt:i4>
      </vt:variant>
      <vt:variant>
        <vt:i4>122</vt:i4>
      </vt:variant>
      <vt:variant>
        <vt:i4>0</vt:i4>
      </vt:variant>
      <vt:variant>
        <vt:i4>5</vt:i4>
      </vt:variant>
      <vt:variant>
        <vt:lpwstr/>
      </vt:variant>
      <vt:variant>
        <vt:lpwstr>_Toc467948066</vt:lpwstr>
      </vt:variant>
      <vt:variant>
        <vt:i4>1441847</vt:i4>
      </vt:variant>
      <vt:variant>
        <vt:i4>116</vt:i4>
      </vt:variant>
      <vt:variant>
        <vt:i4>0</vt:i4>
      </vt:variant>
      <vt:variant>
        <vt:i4>5</vt:i4>
      </vt:variant>
      <vt:variant>
        <vt:lpwstr/>
      </vt:variant>
      <vt:variant>
        <vt:lpwstr>_Toc467948065</vt:lpwstr>
      </vt:variant>
      <vt:variant>
        <vt:i4>1441847</vt:i4>
      </vt:variant>
      <vt:variant>
        <vt:i4>110</vt:i4>
      </vt:variant>
      <vt:variant>
        <vt:i4>0</vt:i4>
      </vt:variant>
      <vt:variant>
        <vt:i4>5</vt:i4>
      </vt:variant>
      <vt:variant>
        <vt:lpwstr/>
      </vt:variant>
      <vt:variant>
        <vt:lpwstr>_Toc467948064</vt:lpwstr>
      </vt:variant>
      <vt:variant>
        <vt:i4>1441847</vt:i4>
      </vt:variant>
      <vt:variant>
        <vt:i4>104</vt:i4>
      </vt:variant>
      <vt:variant>
        <vt:i4>0</vt:i4>
      </vt:variant>
      <vt:variant>
        <vt:i4>5</vt:i4>
      </vt:variant>
      <vt:variant>
        <vt:lpwstr/>
      </vt:variant>
      <vt:variant>
        <vt:lpwstr>_Toc467948063</vt:lpwstr>
      </vt:variant>
      <vt:variant>
        <vt:i4>1441847</vt:i4>
      </vt:variant>
      <vt:variant>
        <vt:i4>98</vt:i4>
      </vt:variant>
      <vt:variant>
        <vt:i4>0</vt:i4>
      </vt:variant>
      <vt:variant>
        <vt:i4>5</vt:i4>
      </vt:variant>
      <vt:variant>
        <vt:lpwstr/>
      </vt:variant>
      <vt:variant>
        <vt:lpwstr>_Toc467948062</vt:lpwstr>
      </vt:variant>
      <vt:variant>
        <vt:i4>1441847</vt:i4>
      </vt:variant>
      <vt:variant>
        <vt:i4>92</vt:i4>
      </vt:variant>
      <vt:variant>
        <vt:i4>0</vt:i4>
      </vt:variant>
      <vt:variant>
        <vt:i4>5</vt:i4>
      </vt:variant>
      <vt:variant>
        <vt:lpwstr/>
      </vt:variant>
      <vt:variant>
        <vt:lpwstr>_Toc467948061</vt:lpwstr>
      </vt:variant>
      <vt:variant>
        <vt:i4>1441847</vt:i4>
      </vt:variant>
      <vt:variant>
        <vt:i4>86</vt:i4>
      </vt:variant>
      <vt:variant>
        <vt:i4>0</vt:i4>
      </vt:variant>
      <vt:variant>
        <vt:i4>5</vt:i4>
      </vt:variant>
      <vt:variant>
        <vt:lpwstr/>
      </vt:variant>
      <vt:variant>
        <vt:lpwstr>_Toc467948060</vt:lpwstr>
      </vt:variant>
      <vt:variant>
        <vt:i4>1376311</vt:i4>
      </vt:variant>
      <vt:variant>
        <vt:i4>80</vt:i4>
      </vt:variant>
      <vt:variant>
        <vt:i4>0</vt:i4>
      </vt:variant>
      <vt:variant>
        <vt:i4>5</vt:i4>
      </vt:variant>
      <vt:variant>
        <vt:lpwstr/>
      </vt:variant>
      <vt:variant>
        <vt:lpwstr>_Toc467948059</vt:lpwstr>
      </vt:variant>
      <vt:variant>
        <vt:i4>1376311</vt:i4>
      </vt:variant>
      <vt:variant>
        <vt:i4>74</vt:i4>
      </vt:variant>
      <vt:variant>
        <vt:i4>0</vt:i4>
      </vt:variant>
      <vt:variant>
        <vt:i4>5</vt:i4>
      </vt:variant>
      <vt:variant>
        <vt:lpwstr/>
      </vt:variant>
      <vt:variant>
        <vt:lpwstr>_Toc467948058</vt:lpwstr>
      </vt:variant>
      <vt:variant>
        <vt:i4>1376311</vt:i4>
      </vt:variant>
      <vt:variant>
        <vt:i4>68</vt:i4>
      </vt:variant>
      <vt:variant>
        <vt:i4>0</vt:i4>
      </vt:variant>
      <vt:variant>
        <vt:i4>5</vt:i4>
      </vt:variant>
      <vt:variant>
        <vt:lpwstr/>
      </vt:variant>
      <vt:variant>
        <vt:lpwstr>_Toc467948057</vt:lpwstr>
      </vt:variant>
      <vt:variant>
        <vt:i4>1376311</vt:i4>
      </vt:variant>
      <vt:variant>
        <vt:i4>62</vt:i4>
      </vt:variant>
      <vt:variant>
        <vt:i4>0</vt:i4>
      </vt:variant>
      <vt:variant>
        <vt:i4>5</vt:i4>
      </vt:variant>
      <vt:variant>
        <vt:lpwstr/>
      </vt:variant>
      <vt:variant>
        <vt:lpwstr>_Toc467948056</vt:lpwstr>
      </vt:variant>
      <vt:variant>
        <vt:i4>1376311</vt:i4>
      </vt:variant>
      <vt:variant>
        <vt:i4>56</vt:i4>
      </vt:variant>
      <vt:variant>
        <vt:i4>0</vt:i4>
      </vt:variant>
      <vt:variant>
        <vt:i4>5</vt:i4>
      </vt:variant>
      <vt:variant>
        <vt:lpwstr/>
      </vt:variant>
      <vt:variant>
        <vt:lpwstr>_Toc467948055</vt:lpwstr>
      </vt:variant>
      <vt:variant>
        <vt:i4>1376311</vt:i4>
      </vt:variant>
      <vt:variant>
        <vt:i4>50</vt:i4>
      </vt:variant>
      <vt:variant>
        <vt:i4>0</vt:i4>
      </vt:variant>
      <vt:variant>
        <vt:i4>5</vt:i4>
      </vt:variant>
      <vt:variant>
        <vt:lpwstr/>
      </vt:variant>
      <vt:variant>
        <vt:lpwstr>_Toc467948054</vt:lpwstr>
      </vt:variant>
      <vt:variant>
        <vt:i4>1376311</vt:i4>
      </vt:variant>
      <vt:variant>
        <vt:i4>44</vt:i4>
      </vt:variant>
      <vt:variant>
        <vt:i4>0</vt:i4>
      </vt:variant>
      <vt:variant>
        <vt:i4>5</vt:i4>
      </vt:variant>
      <vt:variant>
        <vt:lpwstr/>
      </vt:variant>
      <vt:variant>
        <vt:lpwstr>_Toc467948053</vt:lpwstr>
      </vt:variant>
      <vt:variant>
        <vt:i4>1376311</vt:i4>
      </vt:variant>
      <vt:variant>
        <vt:i4>38</vt:i4>
      </vt:variant>
      <vt:variant>
        <vt:i4>0</vt:i4>
      </vt:variant>
      <vt:variant>
        <vt:i4>5</vt:i4>
      </vt:variant>
      <vt:variant>
        <vt:lpwstr/>
      </vt:variant>
      <vt:variant>
        <vt:lpwstr>_Toc467948052</vt:lpwstr>
      </vt:variant>
      <vt:variant>
        <vt:i4>1376311</vt:i4>
      </vt:variant>
      <vt:variant>
        <vt:i4>32</vt:i4>
      </vt:variant>
      <vt:variant>
        <vt:i4>0</vt:i4>
      </vt:variant>
      <vt:variant>
        <vt:i4>5</vt:i4>
      </vt:variant>
      <vt:variant>
        <vt:lpwstr/>
      </vt:variant>
      <vt:variant>
        <vt:lpwstr>_Toc467948051</vt:lpwstr>
      </vt:variant>
      <vt:variant>
        <vt:i4>1376311</vt:i4>
      </vt:variant>
      <vt:variant>
        <vt:i4>26</vt:i4>
      </vt:variant>
      <vt:variant>
        <vt:i4>0</vt:i4>
      </vt:variant>
      <vt:variant>
        <vt:i4>5</vt:i4>
      </vt:variant>
      <vt:variant>
        <vt:lpwstr/>
      </vt:variant>
      <vt:variant>
        <vt:lpwstr>_Toc467948050</vt:lpwstr>
      </vt:variant>
      <vt:variant>
        <vt:i4>1310775</vt:i4>
      </vt:variant>
      <vt:variant>
        <vt:i4>20</vt:i4>
      </vt:variant>
      <vt:variant>
        <vt:i4>0</vt:i4>
      </vt:variant>
      <vt:variant>
        <vt:i4>5</vt:i4>
      </vt:variant>
      <vt:variant>
        <vt:lpwstr/>
      </vt:variant>
      <vt:variant>
        <vt:lpwstr>_Toc467948049</vt:lpwstr>
      </vt:variant>
      <vt:variant>
        <vt:i4>1310775</vt:i4>
      </vt:variant>
      <vt:variant>
        <vt:i4>14</vt:i4>
      </vt:variant>
      <vt:variant>
        <vt:i4>0</vt:i4>
      </vt:variant>
      <vt:variant>
        <vt:i4>5</vt:i4>
      </vt:variant>
      <vt:variant>
        <vt:lpwstr/>
      </vt:variant>
      <vt:variant>
        <vt:lpwstr>_Toc467948048</vt:lpwstr>
      </vt:variant>
      <vt:variant>
        <vt:i4>1310775</vt:i4>
      </vt:variant>
      <vt:variant>
        <vt:i4>8</vt:i4>
      </vt:variant>
      <vt:variant>
        <vt:i4>0</vt:i4>
      </vt:variant>
      <vt:variant>
        <vt:i4>5</vt:i4>
      </vt:variant>
      <vt:variant>
        <vt:lpwstr/>
      </vt:variant>
      <vt:variant>
        <vt:lpwstr>_Toc467948047</vt:lpwstr>
      </vt:variant>
      <vt:variant>
        <vt:i4>1310775</vt:i4>
      </vt:variant>
      <vt:variant>
        <vt:i4>2</vt:i4>
      </vt:variant>
      <vt:variant>
        <vt:i4>0</vt:i4>
      </vt:variant>
      <vt:variant>
        <vt:i4>5</vt:i4>
      </vt:variant>
      <vt:variant>
        <vt:lpwstr/>
      </vt:variant>
      <vt:variant>
        <vt:lpwstr>_Toc467948046</vt:lpwstr>
      </vt:variant>
      <vt:variant>
        <vt:i4>1048586</vt:i4>
      </vt:variant>
      <vt:variant>
        <vt:i4>15</vt:i4>
      </vt:variant>
      <vt:variant>
        <vt:i4>0</vt:i4>
      </vt:variant>
      <vt:variant>
        <vt:i4>5</vt:i4>
      </vt:variant>
      <vt:variant>
        <vt:lpwstr>http://www.congreso.gob.pe/ntley/Imagenes/Leyes/26926.pdf</vt:lpwstr>
      </vt:variant>
      <vt:variant>
        <vt:lpwstr/>
      </vt:variant>
      <vt:variant>
        <vt:i4>7274553</vt:i4>
      </vt:variant>
      <vt:variant>
        <vt:i4>12</vt:i4>
      </vt:variant>
      <vt:variant>
        <vt:i4>0</vt:i4>
      </vt:variant>
      <vt:variant>
        <vt:i4>5</vt:i4>
      </vt:variant>
      <vt:variant>
        <vt:lpwstr>http://www.cidh.oas.org/annualrep/2001sp/Peru10247.htm</vt:lpwstr>
      </vt:variant>
      <vt:variant>
        <vt:lpwstr/>
      </vt:variant>
      <vt:variant>
        <vt:i4>6553635</vt:i4>
      </vt:variant>
      <vt:variant>
        <vt:i4>9</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6553635</vt:i4>
      </vt:variant>
      <vt:variant>
        <vt:i4>6</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6553635</vt:i4>
      </vt:variant>
      <vt:variant>
        <vt:i4>3</vt:i4>
      </vt:variant>
      <vt:variant>
        <vt:i4>0</vt:i4>
      </vt:variant>
      <vt:variant>
        <vt:i4>5</vt:i4>
      </vt:variant>
      <vt:variant>
        <vt:lpwstr>http://joomla.corteidh.or.cr:8080/joomla/es/jurisprudencia-oc-avanzado/38-jurisprudencia/1572-corte-idh-caso-gonzalez-medina-y-familiares-vs-republica-dominicana-excepciones-preliminares-fondo-reparaciones-y-costas-sentencia-de-27-de-febrero-de-2012-serie-c-no-240</vt:lpwstr>
      </vt:variant>
      <vt:variant>
        <vt:lpwstr/>
      </vt:variant>
      <vt:variant>
        <vt:i4>4390999</vt:i4>
      </vt:variant>
      <vt:variant>
        <vt:i4>0</vt:i4>
      </vt:variant>
      <vt:variant>
        <vt:i4>0</vt:i4>
      </vt:variant>
      <vt:variant>
        <vt:i4>5</vt:i4>
      </vt:variant>
      <vt:variant>
        <vt:lpwstr>http://www.cidh.oas.org/annualrep/2007sp/Peru735.05sp.htm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dc:creator>
  <cp:lastModifiedBy>PC</cp:lastModifiedBy>
  <cp:revision>12</cp:revision>
  <cp:lastPrinted>2016-08-04T21:27:00Z</cp:lastPrinted>
  <dcterms:created xsi:type="dcterms:W3CDTF">2016-11-28T12:03:00Z</dcterms:created>
  <dcterms:modified xsi:type="dcterms:W3CDTF">2016-12-30T17:47:00Z</dcterms:modified>
</cp:coreProperties>
</file>