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EEA28" w14:textId="77777777" w:rsidR="004D3279" w:rsidRDefault="004D3279" w:rsidP="00775715">
      <w:pPr>
        <w:tabs>
          <w:tab w:val="left" w:pos="810"/>
        </w:tabs>
        <w:suppressAutoHyphens/>
        <w:spacing w:after="0" w:line="240" w:lineRule="auto"/>
        <w:rPr>
          <w:rFonts w:asciiTheme="minorHAnsi" w:hAnsiTheme="minorHAnsi" w:cs="Arial"/>
          <w:lang w:val="es-CO"/>
        </w:rPr>
      </w:pPr>
    </w:p>
    <w:p w14:paraId="4E9FC239" w14:textId="77777777" w:rsidR="00775715" w:rsidRPr="00775715" w:rsidRDefault="00775715" w:rsidP="00775715">
      <w:pPr>
        <w:tabs>
          <w:tab w:val="left" w:pos="810"/>
        </w:tabs>
        <w:suppressAutoHyphens/>
        <w:spacing w:after="0" w:line="240" w:lineRule="auto"/>
        <w:rPr>
          <w:rFonts w:asciiTheme="minorHAnsi" w:hAnsiTheme="minorHAnsi" w:cs="Arial"/>
          <w:lang w:val="es-CO"/>
        </w:rPr>
      </w:pPr>
    </w:p>
    <w:p w14:paraId="57767B56" w14:textId="6D908282" w:rsidR="00D44E93" w:rsidRPr="00775715" w:rsidRDefault="0072733D" w:rsidP="00775715">
      <w:pPr>
        <w:tabs>
          <w:tab w:val="left" w:pos="810"/>
        </w:tabs>
        <w:suppressAutoHyphens/>
        <w:spacing w:after="0" w:line="240" w:lineRule="auto"/>
        <w:jc w:val="right"/>
        <w:rPr>
          <w:rFonts w:asciiTheme="minorHAnsi" w:hAnsiTheme="minorHAnsi" w:cs="Arial"/>
          <w:b/>
          <w:lang w:val="es-PE"/>
        </w:rPr>
      </w:pPr>
      <w:r w:rsidRPr="00775715">
        <w:rPr>
          <w:rFonts w:asciiTheme="minorHAnsi" w:hAnsiTheme="minorHAnsi" w:cs="Arial"/>
          <w:lang w:val="es-PE"/>
        </w:rPr>
        <w:t>17</w:t>
      </w:r>
      <w:r w:rsidR="00D44E93" w:rsidRPr="00775715">
        <w:rPr>
          <w:rFonts w:asciiTheme="minorHAnsi" w:hAnsiTheme="minorHAnsi" w:cs="Arial"/>
          <w:lang w:val="es-PE"/>
        </w:rPr>
        <w:t xml:space="preserve"> de </w:t>
      </w:r>
      <w:r w:rsidRPr="00775715">
        <w:rPr>
          <w:rFonts w:asciiTheme="minorHAnsi" w:hAnsiTheme="minorHAnsi" w:cs="Arial"/>
          <w:lang w:val="es-PE"/>
        </w:rPr>
        <w:t>mayo</w:t>
      </w:r>
      <w:r w:rsidR="00D44E93" w:rsidRPr="00775715">
        <w:rPr>
          <w:rFonts w:asciiTheme="minorHAnsi" w:hAnsiTheme="minorHAnsi" w:cs="Arial"/>
          <w:lang w:val="es-PE"/>
        </w:rPr>
        <w:t xml:space="preserve"> de 201</w:t>
      </w:r>
      <w:r w:rsidRPr="00775715">
        <w:rPr>
          <w:rFonts w:asciiTheme="minorHAnsi" w:hAnsiTheme="minorHAnsi" w:cs="Arial"/>
          <w:lang w:val="es-PE"/>
        </w:rPr>
        <w:t>7</w:t>
      </w:r>
    </w:p>
    <w:p w14:paraId="776683FB" w14:textId="42360FA9" w:rsidR="00D44E93" w:rsidRPr="00775715" w:rsidRDefault="004D3279" w:rsidP="00775715">
      <w:pPr>
        <w:widowControl w:val="0"/>
        <w:tabs>
          <w:tab w:val="left" w:pos="720"/>
        </w:tabs>
        <w:autoSpaceDE w:val="0"/>
        <w:autoSpaceDN w:val="0"/>
        <w:adjustRightInd w:val="0"/>
        <w:spacing w:after="0" w:line="240" w:lineRule="auto"/>
        <w:jc w:val="both"/>
        <w:rPr>
          <w:rFonts w:asciiTheme="minorHAnsi" w:hAnsiTheme="minorHAnsi" w:cs="Arial"/>
          <w:b/>
          <w:lang w:val="es-PE"/>
        </w:rPr>
      </w:pPr>
      <w:r w:rsidRPr="00775715">
        <w:rPr>
          <w:rFonts w:asciiTheme="minorHAnsi" w:hAnsiTheme="minorHAnsi" w:cs="Arial"/>
          <w:b/>
          <w:lang w:val="es-PE"/>
        </w:rPr>
        <w:t>REF</w:t>
      </w:r>
      <w:r w:rsidR="00D44E93" w:rsidRPr="00775715">
        <w:rPr>
          <w:rFonts w:asciiTheme="minorHAnsi" w:hAnsiTheme="minorHAnsi" w:cs="Arial"/>
          <w:b/>
          <w:lang w:val="es-PE"/>
        </w:rPr>
        <w:t>.:</w:t>
      </w:r>
      <w:bookmarkStart w:id="0" w:name="Peticion_n"/>
      <w:bookmarkEnd w:id="0"/>
      <w:r w:rsidR="0081015C" w:rsidRPr="00775715">
        <w:rPr>
          <w:rFonts w:asciiTheme="minorHAnsi" w:hAnsiTheme="minorHAnsi" w:cs="Arial"/>
          <w:b/>
          <w:lang w:val="es-PE"/>
        </w:rPr>
        <w:tab/>
        <w:t xml:space="preserve">Caso Nº </w:t>
      </w:r>
      <w:r w:rsidR="001D0775" w:rsidRPr="00775715">
        <w:rPr>
          <w:rFonts w:asciiTheme="minorHAnsi" w:hAnsiTheme="minorHAnsi"/>
          <w:b/>
          <w:lang w:val="es-PE"/>
        </w:rPr>
        <w:t>12.521</w:t>
      </w:r>
    </w:p>
    <w:p w14:paraId="32E22A0C" w14:textId="4A07EA15" w:rsidR="00D44E93" w:rsidRPr="00775715" w:rsidRDefault="001D0775" w:rsidP="00775715">
      <w:pPr>
        <w:widowControl w:val="0"/>
        <w:tabs>
          <w:tab w:val="left" w:pos="810"/>
        </w:tabs>
        <w:autoSpaceDE w:val="0"/>
        <w:autoSpaceDN w:val="0"/>
        <w:adjustRightInd w:val="0"/>
        <w:spacing w:after="0" w:line="240" w:lineRule="auto"/>
        <w:ind w:firstLine="720"/>
        <w:jc w:val="both"/>
        <w:rPr>
          <w:rFonts w:asciiTheme="minorHAnsi" w:hAnsiTheme="minorHAnsi" w:cs="Arial"/>
          <w:b/>
          <w:lang w:val="es-ES"/>
        </w:rPr>
      </w:pPr>
      <w:r w:rsidRPr="00775715">
        <w:rPr>
          <w:rFonts w:asciiTheme="minorHAnsi" w:hAnsiTheme="minorHAnsi"/>
          <w:b/>
          <w:lang w:val="es-CO"/>
        </w:rPr>
        <w:t xml:space="preserve">María Laura </w:t>
      </w:r>
      <w:r w:rsidR="00A17792" w:rsidRPr="00775715">
        <w:rPr>
          <w:rFonts w:asciiTheme="minorHAnsi" w:hAnsiTheme="minorHAnsi"/>
          <w:b/>
          <w:lang w:val="es-CO"/>
        </w:rPr>
        <w:t>Órdenes Guerra</w:t>
      </w:r>
      <w:r w:rsidR="00F84935" w:rsidRPr="00775715">
        <w:rPr>
          <w:rFonts w:asciiTheme="minorHAnsi" w:hAnsiTheme="minorHAnsi"/>
          <w:b/>
          <w:lang w:val="es-CO"/>
        </w:rPr>
        <w:t xml:space="preserve"> y otros</w:t>
      </w:r>
    </w:p>
    <w:p w14:paraId="2973DD8F" w14:textId="10FF7870" w:rsidR="00D44E93" w:rsidRPr="00775715" w:rsidRDefault="005039AE" w:rsidP="00775715">
      <w:pPr>
        <w:tabs>
          <w:tab w:val="left" w:pos="720"/>
          <w:tab w:val="left" w:pos="810"/>
          <w:tab w:val="center" w:pos="6480"/>
        </w:tabs>
        <w:spacing w:after="0" w:line="240" w:lineRule="auto"/>
        <w:ind w:left="720"/>
        <w:jc w:val="both"/>
        <w:rPr>
          <w:rFonts w:asciiTheme="minorHAnsi" w:hAnsiTheme="minorHAnsi" w:cs="Arial"/>
          <w:b/>
          <w:lang w:val="es-ES_tradnl"/>
        </w:rPr>
      </w:pPr>
      <w:r w:rsidRPr="00775715">
        <w:rPr>
          <w:rFonts w:asciiTheme="minorHAnsi" w:hAnsiTheme="minorHAnsi" w:cs="Arial"/>
          <w:b/>
          <w:lang w:val="es-CR"/>
        </w:rPr>
        <w:t>Chile</w:t>
      </w:r>
      <w:r w:rsidR="00D44E93" w:rsidRPr="00775715">
        <w:rPr>
          <w:rFonts w:asciiTheme="minorHAnsi" w:hAnsiTheme="minorHAnsi" w:cs="Arial"/>
          <w:b/>
          <w:lang w:val="es-ES_tradnl"/>
        </w:rPr>
        <w:t xml:space="preserve"> </w:t>
      </w:r>
    </w:p>
    <w:p w14:paraId="1439DC65" w14:textId="77777777" w:rsidR="004D3279" w:rsidRPr="00775715" w:rsidRDefault="004D3279" w:rsidP="00775715">
      <w:pPr>
        <w:tabs>
          <w:tab w:val="left" w:pos="720"/>
          <w:tab w:val="left" w:pos="810"/>
          <w:tab w:val="center" w:pos="6480"/>
        </w:tabs>
        <w:spacing w:after="0" w:line="240" w:lineRule="auto"/>
        <w:jc w:val="both"/>
        <w:rPr>
          <w:rFonts w:asciiTheme="minorHAnsi" w:hAnsiTheme="minorHAnsi" w:cs="Arial"/>
          <w:lang w:val="es-PE"/>
        </w:rPr>
      </w:pPr>
    </w:p>
    <w:p w14:paraId="0641C772" w14:textId="77777777" w:rsidR="00D44E93" w:rsidRPr="00775715" w:rsidRDefault="00D44E93" w:rsidP="00775715">
      <w:pPr>
        <w:tabs>
          <w:tab w:val="left" w:pos="720"/>
          <w:tab w:val="left" w:pos="810"/>
          <w:tab w:val="center" w:pos="6480"/>
        </w:tabs>
        <w:spacing w:after="0" w:line="240" w:lineRule="auto"/>
        <w:jc w:val="both"/>
        <w:rPr>
          <w:rFonts w:asciiTheme="minorHAnsi" w:hAnsiTheme="minorHAnsi" w:cs="Arial"/>
          <w:lang w:val="es-PE"/>
        </w:rPr>
      </w:pPr>
      <w:r w:rsidRPr="00775715">
        <w:rPr>
          <w:rFonts w:asciiTheme="minorHAnsi" w:hAnsiTheme="minorHAnsi" w:cs="Arial"/>
          <w:lang w:val="es-PE"/>
        </w:rPr>
        <w:t>Señor Secretario:</w:t>
      </w:r>
    </w:p>
    <w:p w14:paraId="248D1FCE" w14:textId="77777777" w:rsidR="00D44E93" w:rsidRPr="00775715" w:rsidRDefault="00D44E93" w:rsidP="00775715">
      <w:pPr>
        <w:widowControl w:val="0"/>
        <w:tabs>
          <w:tab w:val="left" w:pos="810"/>
        </w:tabs>
        <w:autoSpaceDE w:val="0"/>
        <w:autoSpaceDN w:val="0"/>
        <w:adjustRightInd w:val="0"/>
        <w:spacing w:after="0" w:line="240" w:lineRule="auto"/>
        <w:jc w:val="both"/>
        <w:rPr>
          <w:rFonts w:asciiTheme="minorHAnsi" w:hAnsiTheme="minorHAnsi"/>
          <w:lang w:val="es-CO"/>
        </w:rPr>
      </w:pPr>
    </w:p>
    <w:p w14:paraId="69CAEDB6" w14:textId="4B3FED7A" w:rsidR="001639C7" w:rsidRDefault="00D44E93" w:rsidP="00775715">
      <w:pPr>
        <w:widowControl w:val="0"/>
        <w:tabs>
          <w:tab w:val="left" w:pos="810"/>
        </w:tabs>
        <w:autoSpaceDE w:val="0"/>
        <w:autoSpaceDN w:val="0"/>
        <w:adjustRightInd w:val="0"/>
        <w:spacing w:after="0" w:line="240" w:lineRule="auto"/>
        <w:ind w:firstLine="720"/>
        <w:jc w:val="both"/>
        <w:rPr>
          <w:rFonts w:asciiTheme="minorHAnsi" w:eastAsia="Times New Roman" w:hAnsiTheme="minorHAnsi"/>
          <w:lang w:val="es-ES_tradnl"/>
        </w:rPr>
      </w:pPr>
      <w:r w:rsidRPr="00775715">
        <w:rPr>
          <w:rFonts w:asciiTheme="minorHAnsi" w:hAnsiTheme="minorHAnsi"/>
          <w:lang w:val="es-CO"/>
        </w:rPr>
        <w:t>Tengo el agrado de dirigirme a usted, en nombre de la Comisión Interamericana de Derechos Humanos, con el objeto</w:t>
      </w:r>
      <w:r w:rsidR="00470C2D" w:rsidRPr="00775715">
        <w:rPr>
          <w:rFonts w:asciiTheme="minorHAnsi" w:hAnsiTheme="minorHAnsi" w:cs="Arial"/>
          <w:lang w:val="es-CO"/>
        </w:rPr>
        <w:t xml:space="preserve"> de presenta</w:t>
      </w:r>
      <w:r w:rsidRPr="00775715">
        <w:rPr>
          <w:rFonts w:asciiTheme="minorHAnsi" w:hAnsiTheme="minorHAnsi" w:cs="Arial"/>
          <w:lang w:val="es-CO"/>
        </w:rPr>
        <w:t>r a</w:t>
      </w:r>
      <w:r w:rsidR="001D0775" w:rsidRPr="00775715">
        <w:rPr>
          <w:rFonts w:asciiTheme="minorHAnsi" w:hAnsiTheme="minorHAnsi" w:cs="Arial"/>
          <w:lang w:val="es-CO"/>
        </w:rPr>
        <w:t xml:space="preserve">nte </w:t>
      </w:r>
      <w:r w:rsidRPr="00775715">
        <w:rPr>
          <w:rFonts w:asciiTheme="minorHAnsi" w:hAnsiTheme="minorHAnsi" w:cs="Arial"/>
          <w:lang w:val="es-CO"/>
        </w:rPr>
        <w:t>la Honorable Corte Interame</w:t>
      </w:r>
      <w:r w:rsidR="00775715">
        <w:rPr>
          <w:rFonts w:asciiTheme="minorHAnsi" w:hAnsiTheme="minorHAnsi" w:cs="Arial"/>
          <w:lang w:val="es-CO"/>
        </w:rPr>
        <w:t>ricana de Derechos Humanos, el C</w:t>
      </w:r>
      <w:r w:rsidRPr="00775715">
        <w:rPr>
          <w:rFonts w:asciiTheme="minorHAnsi" w:hAnsiTheme="minorHAnsi" w:cs="Arial"/>
          <w:lang w:val="es-CO"/>
        </w:rPr>
        <w:t>aso</w:t>
      </w:r>
      <w:r w:rsidR="00775715">
        <w:rPr>
          <w:rFonts w:asciiTheme="minorHAnsi" w:hAnsiTheme="minorHAnsi" w:cs="Arial"/>
          <w:lang w:val="es-CO"/>
        </w:rPr>
        <w:t xml:space="preserve"> Nº</w:t>
      </w:r>
      <w:r w:rsidRPr="00775715">
        <w:rPr>
          <w:rFonts w:asciiTheme="minorHAnsi" w:hAnsiTheme="minorHAnsi" w:cs="Arial"/>
          <w:lang w:val="es-CO"/>
        </w:rPr>
        <w:t xml:space="preserve"> 12.</w:t>
      </w:r>
      <w:r w:rsidR="00A17792" w:rsidRPr="00775715">
        <w:rPr>
          <w:rFonts w:asciiTheme="minorHAnsi" w:hAnsiTheme="minorHAnsi" w:cs="Arial"/>
          <w:lang w:val="es-CO"/>
        </w:rPr>
        <w:t>521</w:t>
      </w:r>
      <w:r w:rsidRPr="00775715">
        <w:rPr>
          <w:rFonts w:asciiTheme="minorHAnsi" w:hAnsiTheme="minorHAnsi" w:cs="Arial"/>
          <w:lang w:val="es-CO"/>
        </w:rPr>
        <w:t xml:space="preserve"> – </w:t>
      </w:r>
      <w:r w:rsidR="00A17792" w:rsidRPr="00775715">
        <w:rPr>
          <w:rFonts w:asciiTheme="minorHAnsi" w:hAnsiTheme="minorHAnsi" w:cs="Arial"/>
          <w:lang w:val="es-CO"/>
        </w:rPr>
        <w:t xml:space="preserve">María Laura </w:t>
      </w:r>
      <w:r w:rsidR="00F84935" w:rsidRPr="00775715">
        <w:rPr>
          <w:rFonts w:asciiTheme="minorHAnsi" w:hAnsiTheme="minorHAnsi" w:cs="Arial"/>
          <w:lang w:val="es-CO"/>
        </w:rPr>
        <w:t xml:space="preserve">Órdenes Guerra y otros </w:t>
      </w:r>
      <w:r w:rsidRPr="00775715">
        <w:rPr>
          <w:rFonts w:asciiTheme="minorHAnsi" w:hAnsiTheme="minorHAnsi" w:cs="Arial"/>
          <w:lang w:val="es-CO"/>
        </w:rPr>
        <w:t xml:space="preserve">respecto de la República de </w:t>
      </w:r>
      <w:r w:rsidR="00406BDE" w:rsidRPr="00775715">
        <w:rPr>
          <w:rFonts w:asciiTheme="minorHAnsi" w:hAnsiTheme="minorHAnsi" w:cs="Arial"/>
          <w:lang w:val="es-CO"/>
        </w:rPr>
        <w:t xml:space="preserve">Chile </w:t>
      </w:r>
      <w:r w:rsidRPr="00775715">
        <w:rPr>
          <w:rFonts w:asciiTheme="minorHAnsi" w:hAnsiTheme="minorHAnsi" w:cs="Arial"/>
          <w:lang w:val="es-CO"/>
        </w:rPr>
        <w:t xml:space="preserve">(en adelante “el Estado”, “el Estado </w:t>
      </w:r>
      <w:r w:rsidR="00406BDE" w:rsidRPr="00775715">
        <w:rPr>
          <w:rFonts w:asciiTheme="minorHAnsi" w:hAnsiTheme="minorHAnsi" w:cs="Arial"/>
          <w:lang w:val="es-CO"/>
        </w:rPr>
        <w:t>chileno</w:t>
      </w:r>
      <w:r w:rsidRPr="00775715">
        <w:rPr>
          <w:rFonts w:asciiTheme="minorHAnsi" w:hAnsiTheme="minorHAnsi" w:cs="Arial"/>
          <w:lang w:val="es-CO"/>
        </w:rPr>
        <w:t>” o “</w:t>
      </w:r>
      <w:r w:rsidR="00406BDE" w:rsidRPr="00775715">
        <w:rPr>
          <w:rFonts w:asciiTheme="minorHAnsi" w:hAnsiTheme="minorHAnsi" w:cs="Arial"/>
          <w:lang w:val="es-CO"/>
        </w:rPr>
        <w:t>Chile</w:t>
      </w:r>
      <w:r w:rsidRPr="00775715">
        <w:rPr>
          <w:rFonts w:asciiTheme="minorHAnsi" w:hAnsiTheme="minorHAnsi" w:cs="Arial"/>
          <w:lang w:val="es-CO"/>
        </w:rPr>
        <w:t xml:space="preserve">”), relacionado con </w:t>
      </w:r>
      <w:r w:rsidR="001639C7" w:rsidRPr="00775715">
        <w:rPr>
          <w:rFonts w:asciiTheme="minorHAnsi" w:hAnsiTheme="minorHAnsi"/>
          <w:lang w:val="es-ES"/>
        </w:rPr>
        <w:t xml:space="preserve">la responsabilidad internacional del Estado por la violación de los derechos a las garantías judiciales y protección judicial como consecuencia de la aplicación de la figura de prescripción a acciones civiles de reparación relacionadas con crímenes de lesa humanidad. </w:t>
      </w:r>
      <w:r w:rsidR="00775715">
        <w:rPr>
          <w:rFonts w:asciiTheme="minorHAnsi" w:hAnsiTheme="minorHAnsi"/>
          <w:lang w:val="es-ES"/>
        </w:rPr>
        <w:t xml:space="preserve"> </w:t>
      </w:r>
      <w:r w:rsidR="001639C7" w:rsidRPr="00775715">
        <w:rPr>
          <w:rFonts w:asciiTheme="minorHAnsi" w:hAnsiTheme="minorHAnsi"/>
          <w:lang w:val="es-ES"/>
        </w:rPr>
        <w:t>Las víctimas del presente caso son siete grupos de personas</w:t>
      </w:r>
      <w:r w:rsidR="001639C7" w:rsidRPr="00775715">
        <w:rPr>
          <w:rStyle w:val="FootnoteReference"/>
          <w:rFonts w:asciiTheme="minorHAnsi" w:hAnsiTheme="minorHAnsi"/>
          <w:lang w:val="es-ES"/>
        </w:rPr>
        <w:footnoteReference w:id="1"/>
      </w:r>
      <w:r w:rsidR="001639C7" w:rsidRPr="00775715">
        <w:rPr>
          <w:rFonts w:asciiTheme="minorHAnsi" w:hAnsiTheme="minorHAnsi"/>
          <w:lang w:val="es-ES"/>
        </w:rPr>
        <w:t xml:space="preserve"> que interpusieron acciones civiles de reparación </w:t>
      </w:r>
      <w:r w:rsidR="001639C7" w:rsidRPr="00775715">
        <w:rPr>
          <w:rFonts w:asciiTheme="minorHAnsi" w:eastAsia="Times New Roman" w:hAnsiTheme="minorHAnsi"/>
          <w:lang w:val="es-ES_tradnl"/>
        </w:rPr>
        <w:t xml:space="preserve">en razón de la desaparición y/o asesinato de sus familiares por parte de agentes estatales, en 1973 y 1974, durante la dictadura militar. </w:t>
      </w:r>
      <w:r w:rsidR="00775715">
        <w:rPr>
          <w:rFonts w:asciiTheme="minorHAnsi" w:eastAsia="Times New Roman" w:hAnsiTheme="minorHAnsi"/>
          <w:lang w:val="es-ES_tradnl"/>
        </w:rPr>
        <w:t xml:space="preserve"> </w:t>
      </w:r>
      <w:r w:rsidR="001639C7" w:rsidRPr="00775715">
        <w:rPr>
          <w:rFonts w:asciiTheme="minorHAnsi" w:eastAsia="Times New Roman" w:hAnsiTheme="minorHAnsi"/>
          <w:lang w:val="es-ES_tradnl"/>
        </w:rPr>
        <w:t xml:space="preserve">En los casos, las referidas acciones civiles fueron rechazadas en última instancia por la aplicación del plazo de prescripción establecido en el Código Civil. La Comisión determinó que la existencia de un programa administrativo de reparación no excluye la posibilidad de que las víctimas de graves violaciones de derechos humanos opten por reclamar la reparación por la vía judicial. </w:t>
      </w:r>
      <w:r w:rsidR="00775715">
        <w:rPr>
          <w:rFonts w:asciiTheme="minorHAnsi" w:eastAsia="Times New Roman" w:hAnsiTheme="minorHAnsi"/>
          <w:lang w:val="es-ES_tradnl"/>
        </w:rPr>
        <w:t xml:space="preserve"> </w:t>
      </w:r>
      <w:r w:rsidR="009A0F49">
        <w:rPr>
          <w:rFonts w:asciiTheme="minorHAnsi" w:eastAsia="Times New Roman" w:hAnsiTheme="minorHAnsi"/>
          <w:lang w:val="es-ES_tradnl"/>
        </w:rPr>
        <w:t>T</w:t>
      </w:r>
      <w:r w:rsidR="001639C7" w:rsidRPr="00775715">
        <w:rPr>
          <w:rFonts w:asciiTheme="minorHAnsi" w:eastAsia="Times New Roman" w:hAnsiTheme="minorHAnsi"/>
          <w:lang w:val="es-ES_tradnl"/>
        </w:rPr>
        <w:t>ras ponderar los principios en juego, la Comisión estableció que tratándose de crímenes de lesa huma</w:t>
      </w:r>
      <w:r w:rsidR="0063268D" w:rsidRPr="00775715">
        <w:rPr>
          <w:rFonts w:asciiTheme="minorHAnsi" w:eastAsia="Times New Roman" w:hAnsiTheme="minorHAnsi"/>
          <w:lang w:val="es-ES_tradnl"/>
        </w:rPr>
        <w:t xml:space="preserve">nidad, resulta desproporcionado </w:t>
      </w:r>
      <w:r w:rsidR="009A0F49">
        <w:rPr>
          <w:rFonts w:asciiTheme="minorHAnsi" w:eastAsia="Times New Roman" w:hAnsiTheme="minorHAnsi"/>
          <w:lang w:val="es-ES_tradnl"/>
        </w:rPr>
        <w:t>negar</w:t>
      </w:r>
      <w:r w:rsidR="001639C7" w:rsidRPr="00775715">
        <w:rPr>
          <w:rFonts w:asciiTheme="minorHAnsi" w:eastAsia="Times New Roman" w:hAnsiTheme="minorHAnsi"/>
          <w:lang w:val="es-ES_tradnl"/>
        </w:rPr>
        <w:t xml:space="preserve"> los derechos de las víctimas a obtener una reparación bajo el argumento de la seguridad jurídica que sustenta la figura de la prescripción. </w:t>
      </w:r>
    </w:p>
    <w:p w14:paraId="0237B733" w14:textId="77777777" w:rsidR="00775715" w:rsidRDefault="00775715" w:rsidP="00775715">
      <w:pPr>
        <w:widowControl w:val="0"/>
        <w:tabs>
          <w:tab w:val="left" w:pos="810"/>
        </w:tabs>
        <w:autoSpaceDE w:val="0"/>
        <w:autoSpaceDN w:val="0"/>
        <w:adjustRightInd w:val="0"/>
        <w:spacing w:after="0" w:line="240" w:lineRule="auto"/>
        <w:ind w:firstLine="720"/>
        <w:jc w:val="both"/>
        <w:rPr>
          <w:rFonts w:asciiTheme="minorHAnsi" w:eastAsia="Times New Roman" w:hAnsiTheme="minorHAnsi"/>
          <w:lang w:val="es-ES_tradnl"/>
        </w:rPr>
      </w:pPr>
    </w:p>
    <w:p w14:paraId="2B0AEA34" w14:textId="61DE8211" w:rsidR="008215C1" w:rsidRDefault="008215C1" w:rsidP="00775715">
      <w:pPr>
        <w:pStyle w:val="NormalWeb"/>
        <w:spacing w:before="0" w:beforeAutospacing="0" w:after="0" w:afterAutospacing="0"/>
        <w:ind w:firstLine="720"/>
        <w:jc w:val="both"/>
        <w:rPr>
          <w:rFonts w:asciiTheme="minorHAnsi" w:hAnsiTheme="minorHAnsi"/>
          <w:sz w:val="22"/>
          <w:szCs w:val="22"/>
          <w:lang w:val="es-PE"/>
        </w:rPr>
      </w:pPr>
      <w:r w:rsidRPr="00775715">
        <w:rPr>
          <w:rFonts w:asciiTheme="minorHAnsi" w:hAnsiTheme="minorHAnsi"/>
          <w:sz w:val="22"/>
          <w:szCs w:val="22"/>
          <w:lang w:val="es-PE"/>
        </w:rPr>
        <w:t xml:space="preserve">El Estado </w:t>
      </w:r>
      <w:r w:rsidR="00115C95" w:rsidRPr="00775715">
        <w:rPr>
          <w:rFonts w:asciiTheme="minorHAnsi" w:hAnsiTheme="minorHAnsi"/>
          <w:sz w:val="22"/>
          <w:szCs w:val="22"/>
          <w:lang w:val="es-PE"/>
        </w:rPr>
        <w:t xml:space="preserve"> chileno </w:t>
      </w:r>
      <w:r w:rsidRPr="00775715">
        <w:rPr>
          <w:rFonts w:asciiTheme="minorHAnsi" w:hAnsiTheme="minorHAnsi"/>
          <w:sz w:val="22"/>
          <w:szCs w:val="22"/>
          <w:lang w:val="es-PE"/>
        </w:rPr>
        <w:t xml:space="preserve">ratificó la </w:t>
      </w:r>
      <w:proofErr w:type="spellStart"/>
      <w:r w:rsidRPr="00775715">
        <w:rPr>
          <w:rFonts w:asciiTheme="minorHAnsi" w:hAnsiTheme="minorHAnsi"/>
          <w:sz w:val="22"/>
          <w:szCs w:val="22"/>
          <w:lang w:val="es-PE"/>
        </w:rPr>
        <w:t>Convención</w:t>
      </w:r>
      <w:proofErr w:type="spellEnd"/>
      <w:r w:rsidRPr="00775715">
        <w:rPr>
          <w:rFonts w:asciiTheme="minorHAnsi" w:hAnsiTheme="minorHAnsi"/>
          <w:sz w:val="22"/>
          <w:szCs w:val="22"/>
          <w:lang w:val="es-PE"/>
        </w:rPr>
        <w:t xml:space="preserve"> Americana sobre Derechos Humanos el 21 de agosto de 1990 y aceptó la competencia contenciosa de la Corte In</w:t>
      </w:r>
      <w:r w:rsidR="00775715">
        <w:rPr>
          <w:rFonts w:asciiTheme="minorHAnsi" w:hAnsiTheme="minorHAnsi"/>
          <w:sz w:val="22"/>
          <w:szCs w:val="22"/>
          <w:lang w:val="es-PE"/>
        </w:rPr>
        <w:t>teramericana en la misma fecha.</w:t>
      </w:r>
    </w:p>
    <w:p w14:paraId="3030B42C" w14:textId="77777777" w:rsidR="00775715" w:rsidRPr="00775715" w:rsidRDefault="00775715" w:rsidP="00775715">
      <w:pPr>
        <w:pStyle w:val="NormalWeb"/>
        <w:spacing w:before="0" w:beforeAutospacing="0" w:after="0" w:afterAutospacing="0"/>
        <w:ind w:firstLine="720"/>
        <w:jc w:val="both"/>
        <w:rPr>
          <w:rFonts w:asciiTheme="minorHAnsi" w:hAnsiTheme="minorHAnsi"/>
          <w:sz w:val="22"/>
          <w:szCs w:val="22"/>
          <w:lang w:val="es-PE"/>
        </w:rPr>
      </w:pPr>
    </w:p>
    <w:p w14:paraId="54D05657" w14:textId="3613FC16" w:rsidR="008215C1" w:rsidRPr="00775715" w:rsidRDefault="00D414B7" w:rsidP="00775715">
      <w:pPr>
        <w:tabs>
          <w:tab w:val="left" w:pos="810"/>
        </w:tabs>
        <w:spacing w:after="0" w:line="240" w:lineRule="auto"/>
        <w:ind w:firstLine="720"/>
        <w:jc w:val="both"/>
        <w:rPr>
          <w:rFonts w:asciiTheme="minorHAnsi" w:hAnsiTheme="minorHAnsi" w:cs="Arial"/>
          <w:lang w:val="es-CO"/>
        </w:rPr>
      </w:pPr>
      <w:r w:rsidRPr="00775715">
        <w:rPr>
          <w:rFonts w:asciiTheme="minorHAnsi" w:hAnsiTheme="minorHAnsi"/>
          <w:lang w:val="es-CO"/>
        </w:rPr>
        <w:t>La Comisión ha designado al Comisionado</w:t>
      </w:r>
      <w:r w:rsidR="008215C1" w:rsidRPr="00775715">
        <w:rPr>
          <w:rFonts w:asciiTheme="minorHAnsi" w:hAnsiTheme="minorHAnsi"/>
          <w:lang w:val="es-CO"/>
        </w:rPr>
        <w:t xml:space="preserve"> </w:t>
      </w:r>
      <w:r w:rsidR="004B535B" w:rsidRPr="00775715">
        <w:rPr>
          <w:rFonts w:asciiTheme="minorHAnsi" w:hAnsiTheme="minorHAnsi"/>
          <w:lang w:val="es-CO"/>
        </w:rPr>
        <w:t xml:space="preserve">Paulo </w:t>
      </w:r>
      <w:proofErr w:type="spellStart"/>
      <w:r w:rsidR="004B535B" w:rsidRPr="00775715">
        <w:rPr>
          <w:rFonts w:asciiTheme="minorHAnsi" w:hAnsiTheme="minorHAnsi"/>
          <w:lang w:val="es-CO"/>
        </w:rPr>
        <w:t>Vannuchi</w:t>
      </w:r>
      <w:proofErr w:type="spellEnd"/>
      <w:r w:rsidR="004B535B" w:rsidRPr="00775715">
        <w:rPr>
          <w:rFonts w:asciiTheme="minorHAnsi" w:hAnsiTheme="minorHAnsi"/>
          <w:lang w:val="es-CO"/>
        </w:rPr>
        <w:t xml:space="preserve"> </w:t>
      </w:r>
      <w:r w:rsidR="008215C1" w:rsidRPr="00775715">
        <w:rPr>
          <w:rFonts w:asciiTheme="minorHAnsi" w:hAnsiTheme="minorHAnsi"/>
          <w:lang w:val="es-CO"/>
        </w:rPr>
        <w:t>y al Secretario Ejecutivo Paulo Abr</w:t>
      </w:r>
      <w:proofErr w:type="spellStart"/>
      <w:r w:rsidR="008215C1" w:rsidRPr="00775715">
        <w:rPr>
          <w:rFonts w:asciiTheme="minorHAnsi" w:hAnsiTheme="minorHAnsi"/>
          <w:lang w:val="es-PE"/>
        </w:rPr>
        <w:t>ão</w:t>
      </w:r>
      <w:proofErr w:type="spellEnd"/>
      <w:r w:rsidR="008215C1" w:rsidRPr="00775715">
        <w:rPr>
          <w:rFonts w:asciiTheme="minorHAnsi" w:hAnsiTheme="minorHAnsi"/>
          <w:lang w:val="es-PE"/>
        </w:rPr>
        <w:t xml:space="preserve">, </w:t>
      </w:r>
      <w:r w:rsidR="008215C1" w:rsidRPr="00775715">
        <w:rPr>
          <w:rFonts w:asciiTheme="minorHAnsi" w:hAnsiTheme="minorHAnsi"/>
          <w:lang w:val="es-CO"/>
        </w:rPr>
        <w:t>como su</w:t>
      </w:r>
      <w:r w:rsidR="00CF5541" w:rsidRPr="00775715">
        <w:rPr>
          <w:rFonts w:asciiTheme="minorHAnsi" w:hAnsiTheme="minorHAnsi"/>
          <w:lang w:val="es-CO"/>
        </w:rPr>
        <w:t>s delegados</w:t>
      </w:r>
      <w:r w:rsidR="00B57E80" w:rsidRPr="00775715">
        <w:rPr>
          <w:rFonts w:asciiTheme="minorHAnsi" w:hAnsiTheme="minorHAnsi"/>
          <w:lang w:val="es-CO"/>
        </w:rPr>
        <w:t xml:space="preserve">. </w:t>
      </w:r>
      <w:r w:rsidR="008215C1" w:rsidRPr="00775715">
        <w:rPr>
          <w:rFonts w:asciiTheme="minorHAnsi" w:hAnsiTheme="minorHAnsi"/>
          <w:lang w:val="es-CO"/>
        </w:rPr>
        <w:t>Asimismo, Elizabeth Abi-Mershed, Secretaria Ejecutiva Adj</w:t>
      </w:r>
      <w:r w:rsidR="00B57E80" w:rsidRPr="00775715">
        <w:rPr>
          <w:rFonts w:asciiTheme="minorHAnsi" w:hAnsiTheme="minorHAnsi"/>
          <w:lang w:val="es-CO"/>
        </w:rPr>
        <w:t xml:space="preserve">unta, y Silvia Serrano Guzmán </w:t>
      </w:r>
      <w:r w:rsidR="008215C1" w:rsidRPr="00775715">
        <w:rPr>
          <w:rFonts w:asciiTheme="minorHAnsi" w:hAnsiTheme="minorHAnsi"/>
          <w:lang w:val="es-ES"/>
        </w:rPr>
        <w:t xml:space="preserve">abogada de la Secretaría Ejecutiva, </w:t>
      </w:r>
      <w:r w:rsidR="008215C1" w:rsidRPr="00775715">
        <w:rPr>
          <w:rFonts w:asciiTheme="minorHAnsi" w:hAnsiTheme="minorHAnsi"/>
          <w:lang w:val="es-CO"/>
        </w:rPr>
        <w:t>actuarán como asesora</w:t>
      </w:r>
      <w:r w:rsidR="001403D3" w:rsidRPr="00775715">
        <w:rPr>
          <w:rFonts w:asciiTheme="minorHAnsi" w:hAnsiTheme="minorHAnsi"/>
          <w:lang w:val="es-CO"/>
        </w:rPr>
        <w:t>s</w:t>
      </w:r>
      <w:r w:rsidR="008215C1" w:rsidRPr="00775715">
        <w:rPr>
          <w:rFonts w:asciiTheme="minorHAnsi" w:hAnsiTheme="minorHAnsi"/>
          <w:lang w:val="es-CO"/>
        </w:rPr>
        <w:t xml:space="preserve"> legal</w:t>
      </w:r>
      <w:r w:rsidR="001403D3" w:rsidRPr="00775715">
        <w:rPr>
          <w:rFonts w:asciiTheme="minorHAnsi" w:hAnsiTheme="minorHAnsi"/>
          <w:lang w:val="es-CO"/>
        </w:rPr>
        <w:t>es</w:t>
      </w:r>
      <w:r w:rsidR="008215C1" w:rsidRPr="00775715">
        <w:rPr>
          <w:rFonts w:asciiTheme="minorHAnsi" w:hAnsiTheme="minorHAnsi"/>
          <w:lang w:val="es-CO"/>
        </w:rPr>
        <w:t>.</w:t>
      </w:r>
    </w:p>
    <w:p w14:paraId="2E02D257" w14:textId="77777777" w:rsidR="00FA535D" w:rsidRPr="00775715" w:rsidRDefault="00FA535D" w:rsidP="00775715">
      <w:pPr>
        <w:widowControl w:val="0"/>
        <w:tabs>
          <w:tab w:val="left" w:pos="810"/>
        </w:tabs>
        <w:autoSpaceDE w:val="0"/>
        <w:autoSpaceDN w:val="0"/>
        <w:adjustRightInd w:val="0"/>
        <w:spacing w:after="0" w:line="240" w:lineRule="auto"/>
        <w:jc w:val="both"/>
        <w:rPr>
          <w:rFonts w:asciiTheme="minorHAnsi" w:hAnsiTheme="minorHAnsi" w:cs="Arial"/>
          <w:lang w:val="es-ES"/>
        </w:rPr>
      </w:pPr>
    </w:p>
    <w:p w14:paraId="45516A86" w14:textId="77777777" w:rsidR="002D1737" w:rsidRPr="00775715" w:rsidRDefault="002D1737" w:rsidP="00775715">
      <w:pPr>
        <w:widowControl w:val="0"/>
        <w:tabs>
          <w:tab w:val="left" w:pos="810"/>
        </w:tabs>
        <w:autoSpaceDE w:val="0"/>
        <w:autoSpaceDN w:val="0"/>
        <w:adjustRightInd w:val="0"/>
        <w:spacing w:after="0" w:line="240" w:lineRule="auto"/>
        <w:jc w:val="both"/>
        <w:rPr>
          <w:rFonts w:asciiTheme="minorHAnsi" w:hAnsiTheme="minorHAnsi" w:cs="Arial"/>
          <w:lang w:val="es-ES"/>
        </w:rPr>
      </w:pPr>
    </w:p>
    <w:p w14:paraId="4360FBF6" w14:textId="77777777" w:rsidR="00D44E93" w:rsidRPr="00775715" w:rsidRDefault="00D44E93" w:rsidP="00775715">
      <w:pPr>
        <w:widowControl w:val="0"/>
        <w:tabs>
          <w:tab w:val="left" w:pos="810"/>
        </w:tabs>
        <w:autoSpaceDE w:val="0"/>
        <w:autoSpaceDN w:val="0"/>
        <w:adjustRightInd w:val="0"/>
        <w:spacing w:after="0" w:line="240" w:lineRule="auto"/>
        <w:jc w:val="both"/>
        <w:rPr>
          <w:rFonts w:asciiTheme="minorHAnsi" w:hAnsiTheme="minorHAnsi" w:cs="Arial"/>
          <w:snapToGrid w:val="0"/>
          <w:lang w:val="es-CO"/>
        </w:rPr>
      </w:pPr>
      <w:r w:rsidRPr="00775715">
        <w:rPr>
          <w:rFonts w:asciiTheme="minorHAnsi" w:hAnsiTheme="minorHAnsi" w:cs="Arial"/>
          <w:snapToGrid w:val="0"/>
          <w:lang w:val="es-ES_tradnl"/>
        </w:rPr>
        <w:t>Señor</w:t>
      </w:r>
    </w:p>
    <w:p w14:paraId="7AAEE215" w14:textId="77777777" w:rsidR="00D44E93" w:rsidRPr="00775715" w:rsidRDefault="00D44E93" w:rsidP="00775715">
      <w:pPr>
        <w:widowControl w:val="0"/>
        <w:tabs>
          <w:tab w:val="left" w:pos="810"/>
        </w:tabs>
        <w:autoSpaceDE w:val="0"/>
        <w:autoSpaceDN w:val="0"/>
        <w:adjustRightInd w:val="0"/>
        <w:spacing w:after="0" w:line="240" w:lineRule="auto"/>
        <w:jc w:val="both"/>
        <w:rPr>
          <w:rFonts w:asciiTheme="minorHAnsi" w:hAnsiTheme="minorHAnsi" w:cs="Arial"/>
          <w:snapToGrid w:val="0"/>
          <w:lang w:val="es-CO"/>
        </w:rPr>
      </w:pPr>
      <w:r w:rsidRPr="00775715">
        <w:rPr>
          <w:rFonts w:asciiTheme="minorHAnsi" w:hAnsiTheme="minorHAnsi" w:cs="Arial"/>
          <w:snapToGrid w:val="0"/>
          <w:lang w:val="es-CO"/>
        </w:rPr>
        <w:t xml:space="preserve">Pablo </w:t>
      </w:r>
      <w:r w:rsidRPr="00775715">
        <w:rPr>
          <w:rFonts w:asciiTheme="minorHAnsi" w:hAnsiTheme="minorHAnsi"/>
          <w:lang w:val="es-ES"/>
        </w:rPr>
        <w:t>Saavedra</w:t>
      </w:r>
      <w:r w:rsidRPr="00775715">
        <w:rPr>
          <w:rFonts w:asciiTheme="minorHAnsi" w:hAnsiTheme="minorHAnsi" w:cs="Arial"/>
          <w:snapToGrid w:val="0"/>
          <w:lang w:val="es-CO"/>
        </w:rPr>
        <w:t xml:space="preserve"> Alessandri, Secretario</w:t>
      </w:r>
    </w:p>
    <w:p w14:paraId="2224380A" w14:textId="77777777" w:rsidR="00D44E93" w:rsidRPr="00775715" w:rsidRDefault="00D44E93" w:rsidP="00775715">
      <w:pPr>
        <w:widowControl w:val="0"/>
        <w:tabs>
          <w:tab w:val="left" w:pos="810"/>
        </w:tabs>
        <w:autoSpaceDE w:val="0"/>
        <w:autoSpaceDN w:val="0"/>
        <w:adjustRightInd w:val="0"/>
        <w:spacing w:after="0" w:line="240" w:lineRule="auto"/>
        <w:jc w:val="both"/>
        <w:rPr>
          <w:rFonts w:asciiTheme="minorHAnsi" w:hAnsiTheme="minorHAnsi" w:cs="Arial"/>
          <w:snapToGrid w:val="0"/>
          <w:lang w:val="es-ES_tradnl"/>
        </w:rPr>
      </w:pPr>
      <w:r w:rsidRPr="00775715">
        <w:rPr>
          <w:rFonts w:asciiTheme="minorHAnsi" w:hAnsiTheme="minorHAnsi" w:cs="Arial"/>
          <w:snapToGrid w:val="0"/>
          <w:lang w:val="es-ES_tradnl"/>
        </w:rPr>
        <w:t>Corte Interamericana de Derechos Humanos</w:t>
      </w:r>
    </w:p>
    <w:p w14:paraId="485E06A7" w14:textId="691E689A" w:rsidR="00374A26" w:rsidRPr="00775715" w:rsidRDefault="00D44E93" w:rsidP="00775715">
      <w:pPr>
        <w:widowControl w:val="0"/>
        <w:tabs>
          <w:tab w:val="left" w:pos="810"/>
        </w:tabs>
        <w:autoSpaceDE w:val="0"/>
        <w:autoSpaceDN w:val="0"/>
        <w:adjustRightInd w:val="0"/>
        <w:spacing w:after="0" w:line="240" w:lineRule="auto"/>
        <w:jc w:val="both"/>
        <w:rPr>
          <w:rFonts w:asciiTheme="minorHAnsi" w:hAnsiTheme="minorHAnsi" w:cs="Arial"/>
          <w:snapToGrid w:val="0"/>
          <w:lang w:val="es-ES_tradnl"/>
        </w:rPr>
      </w:pPr>
      <w:r w:rsidRPr="00775715">
        <w:rPr>
          <w:rFonts w:asciiTheme="minorHAnsi" w:hAnsiTheme="minorHAnsi" w:cs="Arial"/>
          <w:snapToGrid w:val="0"/>
          <w:lang w:val="es-ES_tradnl"/>
        </w:rPr>
        <w:t>Apartado 6906-1000</w:t>
      </w:r>
      <w:r w:rsidR="00A36BEF" w:rsidRPr="00775715">
        <w:rPr>
          <w:rFonts w:asciiTheme="minorHAnsi" w:hAnsiTheme="minorHAnsi" w:cs="Arial"/>
          <w:snapToGrid w:val="0"/>
          <w:lang w:val="es-ES_tradnl"/>
        </w:rPr>
        <w:t>,</w:t>
      </w:r>
      <w:r w:rsidR="00775715">
        <w:rPr>
          <w:rFonts w:asciiTheme="minorHAnsi" w:hAnsiTheme="minorHAnsi" w:cs="Arial"/>
          <w:snapToGrid w:val="0"/>
          <w:lang w:val="es-ES_tradnl"/>
        </w:rPr>
        <w:t xml:space="preserve"> </w:t>
      </w:r>
      <w:r w:rsidR="00374A26" w:rsidRPr="00775715">
        <w:rPr>
          <w:rFonts w:asciiTheme="minorHAnsi" w:hAnsiTheme="minorHAnsi" w:cs="Arial"/>
          <w:snapToGrid w:val="0"/>
          <w:lang w:val="es-ES_tradnl"/>
        </w:rPr>
        <w:t>San José, Costa Rica</w:t>
      </w:r>
    </w:p>
    <w:p w14:paraId="4E9981FB" w14:textId="77777777" w:rsidR="002D1737" w:rsidRDefault="002D1737" w:rsidP="00775715">
      <w:pPr>
        <w:widowControl w:val="0"/>
        <w:tabs>
          <w:tab w:val="left" w:pos="810"/>
        </w:tabs>
        <w:autoSpaceDE w:val="0"/>
        <w:autoSpaceDN w:val="0"/>
        <w:adjustRightInd w:val="0"/>
        <w:spacing w:after="0" w:line="240" w:lineRule="auto"/>
        <w:jc w:val="both"/>
        <w:rPr>
          <w:rFonts w:asciiTheme="minorHAnsi" w:hAnsiTheme="minorHAnsi" w:cs="Arial"/>
          <w:sz w:val="16"/>
          <w:szCs w:val="16"/>
          <w:lang w:val="es-ES"/>
        </w:rPr>
      </w:pPr>
    </w:p>
    <w:p w14:paraId="0AFC85D2" w14:textId="77777777" w:rsidR="003E7BD4" w:rsidRPr="003E7BD4" w:rsidRDefault="003E7BD4" w:rsidP="00775715">
      <w:pPr>
        <w:widowControl w:val="0"/>
        <w:tabs>
          <w:tab w:val="left" w:pos="810"/>
        </w:tabs>
        <w:autoSpaceDE w:val="0"/>
        <w:autoSpaceDN w:val="0"/>
        <w:adjustRightInd w:val="0"/>
        <w:spacing w:after="0" w:line="240" w:lineRule="auto"/>
        <w:jc w:val="both"/>
        <w:rPr>
          <w:rFonts w:asciiTheme="minorHAnsi" w:hAnsiTheme="minorHAnsi" w:cs="Arial"/>
          <w:sz w:val="16"/>
          <w:szCs w:val="16"/>
          <w:lang w:val="es-ES"/>
        </w:rPr>
      </w:pPr>
    </w:p>
    <w:p w14:paraId="5F7060EF" w14:textId="79768768" w:rsidR="002D1737" w:rsidRDefault="0097247A" w:rsidP="00775715">
      <w:pPr>
        <w:tabs>
          <w:tab w:val="left" w:pos="810"/>
        </w:tabs>
        <w:spacing w:after="0" w:line="240" w:lineRule="auto"/>
        <w:ind w:firstLine="720"/>
        <w:jc w:val="both"/>
        <w:rPr>
          <w:rFonts w:asciiTheme="minorHAnsi" w:hAnsiTheme="minorHAnsi"/>
          <w:lang w:val="es-CO"/>
        </w:rPr>
      </w:pPr>
      <w:r w:rsidRPr="00775715">
        <w:rPr>
          <w:rFonts w:asciiTheme="minorHAnsi" w:hAnsiTheme="minorHAnsi" w:cs="Arial"/>
          <w:lang w:val="es-CO"/>
        </w:rPr>
        <w:t xml:space="preserve">De conformidad con el artículo 35 del Reglamento de la Corte Interamericana, la Comisión adjunta </w:t>
      </w:r>
      <w:r w:rsidRPr="00775715">
        <w:rPr>
          <w:rFonts w:asciiTheme="minorHAnsi" w:hAnsiTheme="minorHAnsi"/>
          <w:lang w:val="es-CO"/>
        </w:rPr>
        <w:t xml:space="preserve">copia del </w:t>
      </w:r>
      <w:r w:rsidR="006F62DA">
        <w:rPr>
          <w:rFonts w:asciiTheme="minorHAnsi" w:hAnsiTheme="minorHAnsi"/>
          <w:lang w:val="es-CO"/>
        </w:rPr>
        <w:t>Informe de F</w:t>
      </w:r>
      <w:r w:rsidRPr="00775715">
        <w:rPr>
          <w:rFonts w:asciiTheme="minorHAnsi" w:hAnsiTheme="minorHAnsi"/>
          <w:lang w:val="es-CO"/>
        </w:rPr>
        <w:t xml:space="preserve">ondo </w:t>
      </w:r>
      <w:r w:rsidR="006F62DA">
        <w:rPr>
          <w:rFonts w:asciiTheme="minorHAnsi" w:hAnsiTheme="minorHAnsi"/>
          <w:lang w:val="es-CO"/>
        </w:rPr>
        <w:t xml:space="preserve">Nº </w:t>
      </w:r>
      <w:r w:rsidR="00E80905" w:rsidRPr="00775715">
        <w:rPr>
          <w:rFonts w:asciiTheme="minorHAnsi" w:hAnsiTheme="minorHAnsi"/>
          <w:lang w:val="es-CO"/>
        </w:rPr>
        <w:t>52</w:t>
      </w:r>
      <w:r w:rsidRPr="00775715">
        <w:rPr>
          <w:rFonts w:asciiTheme="minorHAnsi" w:hAnsiTheme="minorHAnsi"/>
          <w:lang w:val="es-CO"/>
        </w:rPr>
        <w:t>/16 elaborado en observancia del artículo 50 de la Convención, así como copia de la totalidad del expediente ante la Comisión Interamericana (Apéndice I) y los anexos ut</w:t>
      </w:r>
      <w:r w:rsidR="006F62DA">
        <w:rPr>
          <w:rFonts w:asciiTheme="minorHAnsi" w:hAnsiTheme="minorHAnsi"/>
          <w:lang w:val="es-CO"/>
        </w:rPr>
        <w:t>ilizados en la elaboración del I</w:t>
      </w:r>
      <w:r w:rsidRPr="00775715">
        <w:rPr>
          <w:rFonts w:asciiTheme="minorHAnsi" w:hAnsiTheme="minorHAnsi"/>
          <w:lang w:val="es-CO"/>
        </w:rPr>
        <w:t xml:space="preserve">nforme </w:t>
      </w:r>
      <w:r w:rsidR="006F62DA">
        <w:rPr>
          <w:rFonts w:asciiTheme="minorHAnsi" w:hAnsiTheme="minorHAnsi"/>
          <w:lang w:val="es-CO"/>
        </w:rPr>
        <w:t xml:space="preserve">Nº </w:t>
      </w:r>
      <w:r w:rsidR="00E80905" w:rsidRPr="00775715">
        <w:rPr>
          <w:rFonts w:asciiTheme="minorHAnsi" w:hAnsiTheme="minorHAnsi"/>
          <w:lang w:val="es-CO"/>
        </w:rPr>
        <w:t>52</w:t>
      </w:r>
      <w:r w:rsidRPr="00775715">
        <w:rPr>
          <w:rFonts w:asciiTheme="minorHAnsi" w:hAnsiTheme="minorHAnsi"/>
          <w:lang w:val="es-CO"/>
        </w:rPr>
        <w:t xml:space="preserve">/16 (Anexos). </w:t>
      </w:r>
    </w:p>
    <w:p w14:paraId="42A2AC93" w14:textId="77777777" w:rsidR="00775715" w:rsidRPr="00775715" w:rsidRDefault="00775715" w:rsidP="00775715">
      <w:pPr>
        <w:tabs>
          <w:tab w:val="left" w:pos="810"/>
        </w:tabs>
        <w:spacing w:after="0" w:line="240" w:lineRule="auto"/>
        <w:ind w:firstLine="720"/>
        <w:jc w:val="both"/>
        <w:rPr>
          <w:rFonts w:asciiTheme="minorHAnsi" w:hAnsiTheme="minorHAnsi" w:cs="Arial"/>
          <w:lang w:val="es-ES"/>
        </w:rPr>
      </w:pPr>
    </w:p>
    <w:p w14:paraId="6634FA48" w14:textId="669E3C0F" w:rsidR="00D44E93" w:rsidRPr="00775715" w:rsidRDefault="00A434EF" w:rsidP="00775715">
      <w:pPr>
        <w:tabs>
          <w:tab w:val="left" w:pos="810"/>
        </w:tabs>
        <w:spacing w:after="0" w:line="240" w:lineRule="auto"/>
        <w:jc w:val="both"/>
        <w:rPr>
          <w:rFonts w:asciiTheme="minorHAnsi" w:hAnsiTheme="minorHAnsi"/>
          <w:lang w:val="es-AR"/>
        </w:rPr>
      </w:pPr>
      <w:r w:rsidRPr="00775715">
        <w:rPr>
          <w:rFonts w:asciiTheme="minorHAnsi" w:hAnsiTheme="minorHAnsi"/>
          <w:lang w:val="es-CO"/>
        </w:rPr>
        <w:tab/>
      </w:r>
      <w:r w:rsidR="00FA535D" w:rsidRPr="00775715">
        <w:rPr>
          <w:rFonts w:asciiTheme="minorHAnsi" w:hAnsiTheme="minorHAnsi"/>
          <w:lang w:val="es-CO"/>
        </w:rPr>
        <w:t xml:space="preserve">Dicho informe de fondo </w:t>
      </w:r>
      <w:r w:rsidR="00FA535D" w:rsidRPr="00775715">
        <w:rPr>
          <w:rFonts w:asciiTheme="minorHAnsi" w:hAnsiTheme="minorHAnsi"/>
          <w:lang w:val="es-AR"/>
        </w:rPr>
        <w:t xml:space="preserve">fue </w:t>
      </w:r>
      <w:r w:rsidR="00D760F8" w:rsidRPr="00775715">
        <w:rPr>
          <w:rFonts w:asciiTheme="minorHAnsi" w:hAnsiTheme="minorHAnsi"/>
          <w:lang w:val="es-AR"/>
        </w:rPr>
        <w:t>notificado al Estado el 17</w:t>
      </w:r>
      <w:r w:rsidR="00FA535D" w:rsidRPr="00775715">
        <w:rPr>
          <w:rFonts w:asciiTheme="minorHAnsi" w:hAnsiTheme="minorHAnsi"/>
          <w:lang w:val="es-AR"/>
        </w:rPr>
        <w:t xml:space="preserve"> de </w:t>
      </w:r>
      <w:r w:rsidR="00D760F8" w:rsidRPr="00775715">
        <w:rPr>
          <w:rFonts w:asciiTheme="minorHAnsi" w:hAnsiTheme="minorHAnsi"/>
          <w:lang w:val="es-AR"/>
        </w:rPr>
        <w:t>febrero de 2017</w:t>
      </w:r>
      <w:r w:rsidR="00FA535D" w:rsidRPr="00775715">
        <w:rPr>
          <w:rFonts w:asciiTheme="minorHAnsi" w:hAnsiTheme="minorHAnsi"/>
          <w:lang w:val="es-AR"/>
        </w:rPr>
        <w:t>, otorgándole dos meses para informar sobre el cumplimiento de las rec</w:t>
      </w:r>
      <w:r w:rsidR="00D46C4D" w:rsidRPr="00775715">
        <w:rPr>
          <w:rFonts w:asciiTheme="minorHAnsi" w:hAnsiTheme="minorHAnsi"/>
          <w:lang w:val="es-AR"/>
        </w:rPr>
        <w:t>omendaciones.</w:t>
      </w:r>
      <w:r w:rsidR="00775715">
        <w:rPr>
          <w:rFonts w:asciiTheme="minorHAnsi" w:hAnsiTheme="minorHAnsi"/>
          <w:lang w:val="es-AR"/>
        </w:rPr>
        <w:t xml:space="preserve"> </w:t>
      </w:r>
      <w:r w:rsidR="006B5AFC" w:rsidRPr="00775715">
        <w:rPr>
          <w:rFonts w:asciiTheme="minorHAnsi" w:hAnsiTheme="minorHAnsi"/>
          <w:lang w:val="es-AR"/>
        </w:rPr>
        <w:t xml:space="preserve"> </w:t>
      </w:r>
      <w:r w:rsidR="0057586A" w:rsidRPr="00775715">
        <w:rPr>
          <w:rFonts w:asciiTheme="minorHAnsi" w:hAnsiTheme="minorHAnsi"/>
          <w:lang w:val="es-AR"/>
        </w:rPr>
        <w:t xml:space="preserve">El Estado de Chile presentó un escrito en el cual </w:t>
      </w:r>
      <w:r w:rsidR="00D46C4D" w:rsidRPr="00775715">
        <w:rPr>
          <w:rFonts w:asciiTheme="minorHAnsi" w:hAnsiTheme="minorHAnsi"/>
          <w:lang w:val="es-AR"/>
        </w:rPr>
        <w:t xml:space="preserve">indicó que el tiempo otorgado resulta insuficiente para dar cumplimiento a las recomendaciones, que a la fecha ya existe un criterio jurisprudencial uniforme sobre la inaplicabilidad de la figura de prescripción en el marco de las acciones civiles de reparación por crímenes de lesa humanidad y que, por lo tanto, existe internamente un recurso efectivo. </w:t>
      </w:r>
      <w:r w:rsidR="00775715">
        <w:rPr>
          <w:rFonts w:asciiTheme="minorHAnsi" w:hAnsiTheme="minorHAnsi"/>
          <w:lang w:val="es-AR"/>
        </w:rPr>
        <w:t xml:space="preserve"> </w:t>
      </w:r>
      <w:r w:rsidR="000C3803" w:rsidRPr="00775715">
        <w:rPr>
          <w:rFonts w:asciiTheme="minorHAnsi" w:hAnsiTheme="minorHAnsi"/>
          <w:lang w:val="es-AR"/>
        </w:rPr>
        <w:t xml:space="preserve">Sin embargo, el Estado no indicó de qué manera las víctimas del presente caso, cuyas acciones ya fueron rechazadas, podrán ser reparadas por las violaciones declaradas en el presente informe. </w:t>
      </w:r>
      <w:r w:rsidR="00775715">
        <w:rPr>
          <w:rFonts w:asciiTheme="minorHAnsi" w:hAnsiTheme="minorHAnsi"/>
          <w:lang w:val="es-AR"/>
        </w:rPr>
        <w:t xml:space="preserve"> </w:t>
      </w:r>
      <w:r w:rsidR="000C3803" w:rsidRPr="00775715">
        <w:rPr>
          <w:rFonts w:asciiTheme="minorHAnsi" w:hAnsiTheme="minorHAnsi"/>
          <w:lang w:val="es-AR"/>
        </w:rPr>
        <w:t xml:space="preserve">Además, aunque el Estado invocó la insuficiencia del tiempo otorgado para responder, </w:t>
      </w:r>
      <w:r w:rsidR="009A0F49">
        <w:rPr>
          <w:rFonts w:asciiTheme="minorHAnsi" w:hAnsiTheme="minorHAnsi"/>
          <w:lang w:val="es-AR"/>
        </w:rPr>
        <w:t>no solicitó</w:t>
      </w:r>
      <w:r w:rsidR="000C3803" w:rsidRPr="00775715">
        <w:rPr>
          <w:rFonts w:asciiTheme="minorHAnsi" w:hAnsiTheme="minorHAnsi"/>
          <w:lang w:val="es-AR"/>
        </w:rPr>
        <w:t xml:space="preserve"> una prórroga para la suspensión del plazo previsto en el artículo 51 de la Convención Americana, de conformidad con los artículos 45 y 46 del Reglamento de la Comisión. </w:t>
      </w:r>
    </w:p>
    <w:p w14:paraId="17451477" w14:textId="77777777" w:rsidR="00FA535D" w:rsidRPr="00775715" w:rsidRDefault="00FA535D" w:rsidP="00775715">
      <w:pPr>
        <w:tabs>
          <w:tab w:val="left" w:pos="810"/>
        </w:tabs>
        <w:spacing w:after="0" w:line="240" w:lineRule="auto"/>
        <w:ind w:firstLine="720"/>
        <w:jc w:val="both"/>
        <w:rPr>
          <w:rFonts w:asciiTheme="minorHAnsi" w:hAnsiTheme="minorHAnsi"/>
          <w:lang w:val="es-AR"/>
        </w:rPr>
      </w:pPr>
    </w:p>
    <w:p w14:paraId="19729252" w14:textId="710F87D6" w:rsidR="00D44E93" w:rsidRPr="00775715" w:rsidRDefault="00D44E93" w:rsidP="00775715">
      <w:pPr>
        <w:tabs>
          <w:tab w:val="left" w:pos="810"/>
        </w:tabs>
        <w:spacing w:after="0" w:line="240" w:lineRule="auto"/>
        <w:ind w:firstLine="720"/>
        <w:jc w:val="both"/>
        <w:rPr>
          <w:rFonts w:asciiTheme="minorHAnsi" w:hAnsiTheme="minorHAnsi"/>
          <w:lang w:val="es-AR"/>
        </w:rPr>
      </w:pPr>
      <w:r w:rsidRPr="00775715">
        <w:rPr>
          <w:rFonts w:asciiTheme="minorHAnsi" w:hAnsiTheme="minorHAnsi"/>
          <w:lang w:val="es-AR"/>
        </w:rPr>
        <w:t>En virtud de lo anterior, l</w:t>
      </w:r>
      <w:r w:rsidRPr="00775715">
        <w:rPr>
          <w:rFonts w:asciiTheme="minorHAnsi" w:hAnsiTheme="minorHAnsi"/>
          <w:lang w:val="es-CO"/>
        </w:rPr>
        <w:t xml:space="preserve">a Comisión Interamericana decidió someter a la jurisdicción de la Corte Interamericana la totalidad de los hechos y violaciones de derechos humanos descritos en el </w:t>
      </w:r>
      <w:r w:rsidR="00775715">
        <w:rPr>
          <w:rFonts w:asciiTheme="minorHAnsi" w:hAnsiTheme="minorHAnsi"/>
          <w:lang w:val="es-CO"/>
        </w:rPr>
        <w:t>Informe de F</w:t>
      </w:r>
      <w:r w:rsidRPr="00775715">
        <w:rPr>
          <w:rFonts w:asciiTheme="minorHAnsi" w:hAnsiTheme="minorHAnsi"/>
          <w:lang w:val="es-CO"/>
        </w:rPr>
        <w:t xml:space="preserve">ondo </w:t>
      </w:r>
      <w:r w:rsidR="00775715">
        <w:rPr>
          <w:rFonts w:asciiTheme="minorHAnsi" w:hAnsiTheme="minorHAnsi"/>
          <w:lang w:val="es-CO"/>
        </w:rPr>
        <w:t xml:space="preserve">Nº </w:t>
      </w:r>
      <w:r w:rsidR="002E6FE9" w:rsidRPr="00775715">
        <w:rPr>
          <w:rFonts w:asciiTheme="minorHAnsi" w:hAnsiTheme="minorHAnsi"/>
          <w:lang w:val="es-CO"/>
        </w:rPr>
        <w:t>52</w:t>
      </w:r>
      <w:r w:rsidRPr="00775715">
        <w:rPr>
          <w:rFonts w:asciiTheme="minorHAnsi" w:hAnsiTheme="minorHAnsi"/>
          <w:lang w:val="es-CO"/>
        </w:rPr>
        <w:t xml:space="preserve">/16, ante la necesidad de obtención de justicia </w:t>
      </w:r>
      <w:r w:rsidR="002E6FE9" w:rsidRPr="00775715">
        <w:rPr>
          <w:rFonts w:asciiTheme="minorHAnsi" w:hAnsiTheme="minorHAnsi"/>
          <w:lang w:val="es-CO"/>
        </w:rPr>
        <w:t xml:space="preserve">para las víctimas en el </w:t>
      </w:r>
      <w:r w:rsidRPr="00775715">
        <w:rPr>
          <w:rFonts w:asciiTheme="minorHAnsi" w:hAnsiTheme="minorHAnsi"/>
          <w:lang w:val="es-CO"/>
        </w:rPr>
        <w:t xml:space="preserve">caso particular. </w:t>
      </w:r>
    </w:p>
    <w:p w14:paraId="5B64186C" w14:textId="77777777" w:rsidR="00D44E93" w:rsidRPr="00775715" w:rsidRDefault="00D44E93" w:rsidP="00775715">
      <w:pPr>
        <w:tabs>
          <w:tab w:val="left" w:pos="0"/>
          <w:tab w:val="left" w:pos="810"/>
        </w:tabs>
        <w:spacing w:after="0" w:line="240" w:lineRule="auto"/>
        <w:jc w:val="both"/>
        <w:rPr>
          <w:rFonts w:asciiTheme="minorHAnsi" w:hAnsiTheme="minorHAnsi"/>
          <w:lang w:val="es-CO"/>
        </w:rPr>
      </w:pPr>
    </w:p>
    <w:p w14:paraId="74B37D5C" w14:textId="579C7F5D" w:rsidR="00C5743A" w:rsidRPr="00775715" w:rsidRDefault="00D44E93" w:rsidP="00775715">
      <w:pPr>
        <w:tabs>
          <w:tab w:val="left" w:pos="810"/>
        </w:tabs>
        <w:spacing w:after="0" w:line="240" w:lineRule="auto"/>
        <w:ind w:firstLine="720"/>
        <w:jc w:val="both"/>
        <w:rPr>
          <w:rFonts w:asciiTheme="minorHAnsi" w:hAnsiTheme="minorHAnsi" w:cs="Arial"/>
          <w:lang w:val="es-CL"/>
        </w:rPr>
      </w:pPr>
      <w:r w:rsidRPr="00775715">
        <w:rPr>
          <w:rFonts w:asciiTheme="minorHAnsi" w:hAnsiTheme="minorHAnsi"/>
          <w:lang w:val="es-CO"/>
        </w:rPr>
        <w:t>En ese sentido, la Comisión solicita a la Corte que concluya y declare la responsabilidad internacional del</w:t>
      </w:r>
      <w:r w:rsidRPr="00775715">
        <w:rPr>
          <w:rFonts w:asciiTheme="minorHAnsi" w:hAnsiTheme="minorHAnsi" w:cs="Arial"/>
          <w:lang w:val="es-CL"/>
        </w:rPr>
        <w:t xml:space="preserve"> Estado de </w:t>
      </w:r>
      <w:r w:rsidR="004C55B9" w:rsidRPr="00775715">
        <w:rPr>
          <w:rFonts w:asciiTheme="minorHAnsi" w:hAnsiTheme="minorHAnsi" w:cs="Arial"/>
          <w:lang w:val="es-CL"/>
        </w:rPr>
        <w:t>Chile por</w:t>
      </w:r>
      <w:r w:rsidR="00C5743A" w:rsidRPr="00775715">
        <w:rPr>
          <w:rFonts w:asciiTheme="minorHAnsi" w:hAnsiTheme="minorHAnsi" w:cs="Arial"/>
          <w:lang w:val="es-CL"/>
        </w:rPr>
        <w:t xml:space="preserve"> </w:t>
      </w:r>
      <w:r w:rsidR="00C5743A" w:rsidRPr="00775715">
        <w:rPr>
          <w:rFonts w:asciiTheme="minorHAnsi" w:eastAsia="Times New Roman" w:hAnsiTheme="minorHAnsi"/>
          <w:lang w:val="es-ES_tradnl"/>
        </w:rPr>
        <w:t xml:space="preserve">la violación de los derechos a las garantías judiciales y a la protección judicial, consagrados en los artículos 8.1 y 25.1 de la Convención Americana, en conexión con la obligación general de respetar los derechos de la Convención Americana y el deber de adoptar disposiciones de derecho interno, establecidas en sus artículos 1.1 y 2 en perjuicio de las víctimas que se indican en el </w:t>
      </w:r>
      <w:r w:rsidR="00327580">
        <w:rPr>
          <w:rFonts w:asciiTheme="minorHAnsi" w:eastAsia="Times New Roman" w:hAnsiTheme="minorHAnsi"/>
          <w:lang w:val="es-ES_tradnl"/>
        </w:rPr>
        <w:t>I</w:t>
      </w:r>
      <w:r w:rsidR="00C5743A" w:rsidRPr="00775715">
        <w:rPr>
          <w:rFonts w:asciiTheme="minorHAnsi" w:eastAsia="Times New Roman" w:hAnsiTheme="minorHAnsi"/>
          <w:lang w:val="es-ES_tradnl"/>
        </w:rPr>
        <w:t xml:space="preserve">nforme de </w:t>
      </w:r>
      <w:r w:rsidR="00327580">
        <w:rPr>
          <w:rFonts w:asciiTheme="minorHAnsi" w:eastAsia="Times New Roman" w:hAnsiTheme="minorHAnsi"/>
          <w:lang w:val="es-ES_tradnl"/>
        </w:rPr>
        <w:t>F</w:t>
      </w:r>
      <w:r w:rsidR="00C5743A" w:rsidRPr="00775715">
        <w:rPr>
          <w:rFonts w:asciiTheme="minorHAnsi" w:eastAsia="Times New Roman" w:hAnsiTheme="minorHAnsi"/>
          <w:lang w:val="es-ES_tradnl"/>
        </w:rPr>
        <w:t>ondo</w:t>
      </w:r>
      <w:r w:rsidR="00327580">
        <w:rPr>
          <w:rFonts w:asciiTheme="minorHAnsi" w:eastAsia="Times New Roman" w:hAnsiTheme="minorHAnsi"/>
          <w:lang w:val="es-ES_tradnl"/>
        </w:rPr>
        <w:t xml:space="preserve"> Nº 52/16.</w:t>
      </w:r>
    </w:p>
    <w:p w14:paraId="14AE1049" w14:textId="77777777" w:rsidR="00C5743A" w:rsidRPr="00775715" w:rsidRDefault="00C5743A" w:rsidP="00775715">
      <w:pPr>
        <w:tabs>
          <w:tab w:val="left" w:pos="810"/>
        </w:tabs>
        <w:autoSpaceDE w:val="0"/>
        <w:autoSpaceDN w:val="0"/>
        <w:adjustRightInd w:val="0"/>
        <w:spacing w:after="0" w:line="240" w:lineRule="auto"/>
        <w:jc w:val="both"/>
        <w:rPr>
          <w:rFonts w:asciiTheme="minorHAnsi" w:hAnsiTheme="minorHAnsi"/>
          <w:lang w:val="es-CO"/>
        </w:rPr>
      </w:pPr>
    </w:p>
    <w:p w14:paraId="651E3E5C" w14:textId="668F0E3F" w:rsidR="00D44E93" w:rsidRPr="00775715" w:rsidRDefault="00D44E93" w:rsidP="00775715">
      <w:pPr>
        <w:tabs>
          <w:tab w:val="left" w:pos="810"/>
        </w:tabs>
        <w:autoSpaceDE w:val="0"/>
        <w:autoSpaceDN w:val="0"/>
        <w:adjustRightInd w:val="0"/>
        <w:spacing w:after="0" w:line="240" w:lineRule="auto"/>
        <w:ind w:firstLine="720"/>
        <w:jc w:val="both"/>
        <w:rPr>
          <w:rFonts w:asciiTheme="minorHAnsi" w:hAnsiTheme="minorHAnsi"/>
          <w:lang w:val="es-CO"/>
        </w:rPr>
      </w:pPr>
      <w:r w:rsidRPr="00775715">
        <w:rPr>
          <w:rFonts w:asciiTheme="minorHAnsi" w:hAnsiTheme="minorHAnsi"/>
          <w:lang w:val="es-CO"/>
        </w:rPr>
        <w:t>La Comisión solicita a la Corte</w:t>
      </w:r>
      <w:r w:rsidR="00641F17" w:rsidRPr="00775715">
        <w:rPr>
          <w:rFonts w:asciiTheme="minorHAnsi" w:hAnsiTheme="minorHAnsi"/>
          <w:lang w:val="es-CO"/>
        </w:rPr>
        <w:t xml:space="preserve"> Interamericana</w:t>
      </w:r>
      <w:r w:rsidRPr="00775715">
        <w:rPr>
          <w:rFonts w:asciiTheme="minorHAnsi" w:hAnsiTheme="minorHAnsi"/>
          <w:lang w:val="es-CO"/>
        </w:rPr>
        <w:t xml:space="preserve"> que establezca las siguientes medidas de reparación:</w:t>
      </w:r>
    </w:p>
    <w:p w14:paraId="544B40B6" w14:textId="77777777" w:rsidR="00D44E93" w:rsidRPr="00775715" w:rsidRDefault="00D44E93" w:rsidP="00775715">
      <w:pPr>
        <w:tabs>
          <w:tab w:val="left" w:pos="720"/>
          <w:tab w:val="left" w:pos="810"/>
        </w:tabs>
        <w:autoSpaceDE w:val="0"/>
        <w:autoSpaceDN w:val="0"/>
        <w:adjustRightInd w:val="0"/>
        <w:spacing w:after="0" w:line="240" w:lineRule="auto"/>
        <w:ind w:right="720"/>
        <w:jc w:val="both"/>
        <w:rPr>
          <w:rFonts w:asciiTheme="minorHAnsi" w:hAnsiTheme="minorHAnsi"/>
          <w:lang w:val="es-CO"/>
        </w:rPr>
      </w:pPr>
    </w:p>
    <w:p w14:paraId="06668158" w14:textId="0197F077" w:rsidR="00A976CB" w:rsidRPr="00775715" w:rsidRDefault="00A976CB" w:rsidP="00775715">
      <w:pPr>
        <w:numPr>
          <w:ilvl w:val="0"/>
          <w:numId w:val="5"/>
        </w:numPr>
        <w:tabs>
          <w:tab w:val="clear" w:pos="2160"/>
          <w:tab w:val="left" w:pos="1080"/>
          <w:tab w:val="num" w:pos="1440"/>
        </w:tabs>
        <w:spacing w:after="0" w:line="240" w:lineRule="auto"/>
        <w:ind w:left="0" w:firstLine="720"/>
        <w:jc w:val="both"/>
        <w:rPr>
          <w:rFonts w:asciiTheme="minorHAnsi" w:eastAsia="Times New Roman" w:hAnsiTheme="minorHAnsi"/>
          <w:lang w:val="es-ES_tradnl"/>
        </w:rPr>
      </w:pPr>
      <w:r w:rsidRPr="00775715">
        <w:rPr>
          <w:rFonts w:asciiTheme="minorHAnsi" w:eastAsia="Times New Roman" w:hAnsiTheme="minorHAnsi"/>
          <w:lang w:val="es-ES_tradnl"/>
        </w:rPr>
        <w:t xml:space="preserve">Reparar a las víctimas por las violaciones declaradas en el presente informe. </w:t>
      </w:r>
      <w:r w:rsidR="00327580">
        <w:rPr>
          <w:rFonts w:asciiTheme="minorHAnsi" w:eastAsia="Times New Roman" w:hAnsiTheme="minorHAnsi"/>
          <w:lang w:val="es-ES_tradnl"/>
        </w:rPr>
        <w:t xml:space="preserve"> </w:t>
      </w:r>
      <w:r w:rsidRPr="00775715">
        <w:rPr>
          <w:rFonts w:asciiTheme="minorHAnsi" w:eastAsia="Times New Roman" w:hAnsiTheme="minorHAnsi"/>
          <w:lang w:val="es-ES_tradnl"/>
        </w:rPr>
        <w:t xml:space="preserve">Como parte de esta reparación, el Estado debe adoptar las medidas necesarias para ofrecer un recurso judicial efectivo para que las víctimas puedan presentar sus reclamos y obtener una decisión en materia de reparaciones. </w:t>
      </w:r>
      <w:r w:rsidR="00327580">
        <w:rPr>
          <w:rFonts w:asciiTheme="minorHAnsi" w:eastAsia="Times New Roman" w:hAnsiTheme="minorHAnsi"/>
          <w:lang w:val="es-ES_tradnl"/>
        </w:rPr>
        <w:t xml:space="preserve"> </w:t>
      </w:r>
      <w:r w:rsidRPr="00775715">
        <w:rPr>
          <w:rFonts w:asciiTheme="minorHAnsi" w:eastAsia="Times New Roman" w:hAnsiTheme="minorHAnsi"/>
          <w:lang w:val="es-ES_tradnl"/>
        </w:rPr>
        <w:t xml:space="preserve">El cumplimiento de esta recomendación es independiente del programa de reparaciones administrativas. </w:t>
      </w:r>
    </w:p>
    <w:p w14:paraId="790CB5B9" w14:textId="77777777" w:rsidR="00A976CB" w:rsidRPr="00775715" w:rsidRDefault="00A976CB" w:rsidP="00775715">
      <w:pPr>
        <w:tabs>
          <w:tab w:val="left" w:pos="1080"/>
        </w:tabs>
        <w:spacing w:after="0" w:line="240" w:lineRule="auto"/>
        <w:ind w:firstLine="720"/>
        <w:jc w:val="both"/>
        <w:rPr>
          <w:rFonts w:asciiTheme="minorHAnsi" w:eastAsia="Times New Roman" w:hAnsiTheme="minorHAnsi"/>
          <w:lang w:val="es-ES_tradnl"/>
        </w:rPr>
      </w:pPr>
    </w:p>
    <w:p w14:paraId="257CB38F" w14:textId="3CF0BFD3" w:rsidR="00A976CB" w:rsidRPr="00775715" w:rsidRDefault="00A976CB" w:rsidP="00775715">
      <w:pPr>
        <w:numPr>
          <w:ilvl w:val="0"/>
          <w:numId w:val="5"/>
        </w:numPr>
        <w:tabs>
          <w:tab w:val="clear" w:pos="2160"/>
          <w:tab w:val="left" w:pos="1080"/>
          <w:tab w:val="num" w:pos="1440"/>
        </w:tabs>
        <w:spacing w:after="0" w:line="240" w:lineRule="auto"/>
        <w:ind w:left="0" w:firstLine="720"/>
        <w:jc w:val="both"/>
        <w:rPr>
          <w:rFonts w:asciiTheme="minorHAnsi" w:eastAsia="Times New Roman" w:hAnsiTheme="minorHAnsi"/>
          <w:lang w:val="es-ES_tradnl"/>
        </w:rPr>
      </w:pPr>
      <w:r w:rsidRPr="00775715">
        <w:rPr>
          <w:rFonts w:asciiTheme="minorHAnsi" w:eastAsia="Times New Roman" w:hAnsiTheme="minorHAnsi"/>
          <w:lang w:val="es-ES_tradnl"/>
        </w:rPr>
        <w:t xml:space="preserve">Adoptar medidas de no repetición. </w:t>
      </w:r>
      <w:r w:rsidR="00327580">
        <w:rPr>
          <w:rFonts w:asciiTheme="minorHAnsi" w:eastAsia="Times New Roman" w:hAnsiTheme="minorHAnsi"/>
          <w:lang w:val="es-ES_tradnl"/>
        </w:rPr>
        <w:t xml:space="preserve"> </w:t>
      </w:r>
      <w:r w:rsidRPr="00775715">
        <w:rPr>
          <w:rFonts w:asciiTheme="minorHAnsi" w:eastAsia="Times New Roman" w:hAnsiTheme="minorHAnsi"/>
          <w:lang w:val="es-ES_tradnl"/>
        </w:rPr>
        <w:t xml:space="preserve">En particular, medidas legislativas, administrativas y de cualquier otra índole, con el objeto de adecuar la legislación y las prácticas judiciales chilenas a los estándares descritos en el presente informe respecto de la prohibición de aplicar la prescripción a las acciones civiles de reparaciones en casos como el presente. </w:t>
      </w:r>
    </w:p>
    <w:p w14:paraId="7B4458BA" w14:textId="77777777" w:rsidR="00A976CB" w:rsidRPr="00775715" w:rsidRDefault="00A976CB" w:rsidP="00775715">
      <w:pPr>
        <w:tabs>
          <w:tab w:val="left" w:pos="720"/>
          <w:tab w:val="left" w:pos="810"/>
        </w:tabs>
        <w:autoSpaceDE w:val="0"/>
        <w:autoSpaceDN w:val="0"/>
        <w:adjustRightInd w:val="0"/>
        <w:spacing w:after="0" w:line="240" w:lineRule="auto"/>
        <w:ind w:right="720"/>
        <w:jc w:val="both"/>
        <w:rPr>
          <w:rFonts w:asciiTheme="minorHAnsi" w:hAnsiTheme="minorHAnsi"/>
          <w:lang w:val="es-CO"/>
        </w:rPr>
      </w:pPr>
    </w:p>
    <w:p w14:paraId="3CDDDA9C" w14:textId="376A7F04" w:rsidR="00B54F51" w:rsidRPr="00775715" w:rsidRDefault="00D44E93" w:rsidP="00775715">
      <w:pPr>
        <w:spacing w:after="0" w:line="240" w:lineRule="auto"/>
        <w:ind w:firstLine="720"/>
        <w:jc w:val="both"/>
        <w:rPr>
          <w:rFonts w:asciiTheme="minorHAnsi" w:eastAsia="Times New Roman" w:hAnsiTheme="minorHAnsi" w:cs="Cambria"/>
          <w:color w:val="000000"/>
          <w:lang w:val="es-CO"/>
        </w:rPr>
      </w:pPr>
      <w:r w:rsidRPr="00775715">
        <w:rPr>
          <w:rFonts w:asciiTheme="minorHAnsi" w:hAnsiTheme="minorHAnsi" w:cs="Arial"/>
          <w:color w:val="000000"/>
          <w:lang w:val="es-CL"/>
        </w:rPr>
        <w:t xml:space="preserve">Además de la necesidad de obtención de justicia, la Comisión destaca que el presente caso involucra cuestiones de orden público interamericano. </w:t>
      </w:r>
      <w:r w:rsidR="00B905FA" w:rsidRPr="00775715">
        <w:rPr>
          <w:rFonts w:asciiTheme="minorHAnsi" w:hAnsiTheme="minorHAnsi" w:cs="Arial"/>
          <w:color w:val="000000"/>
          <w:lang w:val="es-CL"/>
        </w:rPr>
        <w:t xml:space="preserve"> </w:t>
      </w:r>
      <w:r w:rsidRPr="00775715">
        <w:rPr>
          <w:rFonts w:asciiTheme="minorHAnsi" w:hAnsiTheme="minorHAnsi" w:cs="Arial"/>
          <w:color w:val="000000"/>
          <w:lang w:val="es-CL"/>
        </w:rPr>
        <w:t>La</w:t>
      </w:r>
      <w:r w:rsidRPr="00775715">
        <w:rPr>
          <w:rFonts w:asciiTheme="minorHAnsi" w:eastAsia="Times New Roman" w:hAnsiTheme="minorHAnsi" w:cs="Cambria"/>
          <w:color w:val="000000"/>
          <w:lang w:val="es-CO"/>
        </w:rPr>
        <w:t xml:space="preserve"> Comisión considera que </w:t>
      </w:r>
      <w:r w:rsidRPr="00775715">
        <w:rPr>
          <w:rFonts w:asciiTheme="minorHAnsi" w:hAnsiTheme="minorHAnsi"/>
          <w:color w:val="000000"/>
          <w:lang w:val="es-CO"/>
        </w:rPr>
        <w:t xml:space="preserve">el caso permitirá </w:t>
      </w:r>
      <w:r w:rsidR="00242D8A" w:rsidRPr="00775715">
        <w:rPr>
          <w:rFonts w:asciiTheme="minorHAnsi" w:eastAsia="Times New Roman" w:hAnsiTheme="minorHAnsi" w:cs="Cambria"/>
          <w:lang w:val="es-CO"/>
        </w:rPr>
        <w:t>a la</w:t>
      </w:r>
      <w:r w:rsidR="00622B3C" w:rsidRPr="00775715">
        <w:rPr>
          <w:rFonts w:asciiTheme="minorHAnsi" w:eastAsia="Times New Roman" w:hAnsiTheme="minorHAnsi" w:cs="Cambria"/>
          <w:lang w:val="es-CO"/>
        </w:rPr>
        <w:t xml:space="preserve"> Honorable</w:t>
      </w:r>
      <w:r w:rsidR="00242D8A" w:rsidRPr="00775715">
        <w:rPr>
          <w:rFonts w:asciiTheme="minorHAnsi" w:eastAsia="Times New Roman" w:hAnsiTheme="minorHAnsi" w:cs="Cambria"/>
          <w:lang w:val="es-CO"/>
        </w:rPr>
        <w:t xml:space="preserve"> Corte profundizar su jurisprudencia en materia de verdad, justicia y reparación de graves violaciones de derechos humanos, incluyendo crímenes de lesa humanidad. </w:t>
      </w:r>
      <w:r w:rsidR="00327580">
        <w:rPr>
          <w:rFonts w:asciiTheme="minorHAnsi" w:eastAsia="Times New Roman" w:hAnsiTheme="minorHAnsi" w:cs="Cambria"/>
          <w:lang w:val="es-CO"/>
        </w:rPr>
        <w:t xml:space="preserve"> </w:t>
      </w:r>
      <w:r w:rsidR="00242D8A" w:rsidRPr="00775715">
        <w:rPr>
          <w:rFonts w:asciiTheme="minorHAnsi" w:eastAsia="Times New Roman" w:hAnsiTheme="minorHAnsi" w:cs="Cambria"/>
          <w:lang w:val="es-CO"/>
        </w:rPr>
        <w:t xml:space="preserve">Específicamente, el caso plantea por primera vez la cuestión de la aplicación de la figura de prescripción en el marco de las </w:t>
      </w:r>
      <w:r w:rsidR="00242D8A" w:rsidRPr="00775715">
        <w:rPr>
          <w:rFonts w:asciiTheme="minorHAnsi" w:eastAsia="Times New Roman" w:hAnsiTheme="minorHAnsi" w:cs="Cambria"/>
          <w:lang w:val="es-CO"/>
        </w:rPr>
        <w:lastRenderedPageBreak/>
        <w:t>acciones judic</w:t>
      </w:r>
      <w:r w:rsidR="00D1462A" w:rsidRPr="00775715">
        <w:rPr>
          <w:rFonts w:asciiTheme="minorHAnsi" w:eastAsia="Times New Roman" w:hAnsiTheme="minorHAnsi" w:cs="Cambria"/>
          <w:lang w:val="es-CO"/>
        </w:rPr>
        <w:t>iales de reparación por crímene</w:t>
      </w:r>
      <w:r w:rsidR="00242D8A" w:rsidRPr="00775715">
        <w:rPr>
          <w:rFonts w:asciiTheme="minorHAnsi" w:eastAsia="Times New Roman" w:hAnsiTheme="minorHAnsi" w:cs="Cambria"/>
          <w:lang w:val="es-CO"/>
        </w:rPr>
        <w:t>s de lesa humanidad.</w:t>
      </w:r>
      <w:r w:rsidR="001E22A2">
        <w:rPr>
          <w:rFonts w:asciiTheme="minorHAnsi" w:eastAsia="Times New Roman" w:hAnsiTheme="minorHAnsi" w:cs="Cambria"/>
          <w:lang w:val="es-CO"/>
        </w:rPr>
        <w:t xml:space="preserve">  En ese sentido</w:t>
      </w:r>
      <w:r w:rsidR="001E22A2" w:rsidRPr="00775715">
        <w:rPr>
          <w:rFonts w:asciiTheme="minorHAnsi" w:eastAsia="Times New Roman" w:hAnsiTheme="minorHAnsi" w:cs="Cambria"/>
          <w:lang w:val="es-CO"/>
        </w:rPr>
        <w:t>, la Corte podrá pronunciarse sobre las obligaciones del Estado frente a víctimas como las del presente caso a quienes se les rechazó la acción civil de reparación en el pasado por prescripción mediante sentencia firme, antes del camb</w:t>
      </w:r>
      <w:r w:rsidR="001E22A2">
        <w:rPr>
          <w:rFonts w:asciiTheme="minorHAnsi" w:eastAsia="Times New Roman" w:hAnsiTheme="minorHAnsi" w:cs="Cambria"/>
          <w:lang w:val="es-CO"/>
        </w:rPr>
        <w:t>io de criterio jurisprudencial.</w:t>
      </w:r>
      <w:r w:rsidR="00327580">
        <w:rPr>
          <w:rFonts w:asciiTheme="minorHAnsi" w:eastAsia="Times New Roman" w:hAnsiTheme="minorHAnsi" w:cs="Cambria"/>
          <w:lang w:val="es-CO"/>
        </w:rPr>
        <w:t xml:space="preserve"> </w:t>
      </w:r>
      <w:r w:rsidR="001E22A2">
        <w:rPr>
          <w:rFonts w:asciiTheme="minorHAnsi" w:eastAsia="Times New Roman" w:hAnsiTheme="minorHAnsi" w:cs="Cambria"/>
          <w:lang w:val="es-CO"/>
        </w:rPr>
        <w:t xml:space="preserve"> </w:t>
      </w:r>
      <w:r w:rsidR="00090615">
        <w:rPr>
          <w:rFonts w:asciiTheme="minorHAnsi" w:eastAsia="Times New Roman" w:hAnsiTheme="minorHAnsi" w:cs="Cambria"/>
          <w:lang w:val="es-CO"/>
        </w:rPr>
        <w:t>Además, s</w:t>
      </w:r>
      <w:r w:rsidR="00242D8A" w:rsidRPr="00775715">
        <w:rPr>
          <w:rFonts w:asciiTheme="minorHAnsi" w:eastAsia="Times New Roman" w:hAnsiTheme="minorHAnsi" w:cs="Cambria"/>
          <w:lang w:val="es-CO"/>
        </w:rPr>
        <w:t>i bien la información disponible apunta a que, vía interpretación judicial, la cuestión fue resuelta en Chile hacia el futuro, la Corte podrá pronunciarse sobre si dicha interpretación judicial brinda suficiente seguridad jurídica sobre la materia o si resultan necesarias medidas de no repetición adicionales.</w:t>
      </w:r>
      <w:r w:rsidR="001E22A2">
        <w:rPr>
          <w:rFonts w:asciiTheme="minorHAnsi" w:eastAsia="Times New Roman" w:hAnsiTheme="minorHAnsi" w:cs="Cambria"/>
          <w:lang w:val="es-CO"/>
        </w:rPr>
        <w:t xml:space="preserve">  </w:t>
      </w:r>
      <w:r w:rsidR="00242D8A" w:rsidRPr="00775715">
        <w:rPr>
          <w:rFonts w:asciiTheme="minorHAnsi" w:eastAsia="Times New Roman" w:hAnsiTheme="minorHAnsi" w:cs="Cambria"/>
          <w:lang w:val="es-CO"/>
        </w:rPr>
        <w:t xml:space="preserve">Finalmente, la Corte Interamericana podrá fijar parámetros claros sobre la materia del caso, a fin de que las autoridades judiciales de los Estados de la región que resuelven reclamos de reparación por graves violaciones de derechos humanos, los incorporen en el marco del control de convencionalidad. </w:t>
      </w:r>
    </w:p>
    <w:p w14:paraId="26185908" w14:textId="77777777" w:rsidR="00B54F51" w:rsidRPr="00775715" w:rsidRDefault="00B54F51" w:rsidP="00775715">
      <w:pPr>
        <w:tabs>
          <w:tab w:val="left" w:pos="810"/>
        </w:tabs>
        <w:autoSpaceDE w:val="0"/>
        <w:autoSpaceDN w:val="0"/>
        <w:adjustRightInd w:val="0"/>
        <w:spacing w:after="0" w:line="240" w:lineRule="auto"/>
        <w:jc w:val="both"/>
        <w:rPr>
          <w:rFonts w:asciiTheme="minorHAnsi" w:hAnsiTheme="minorHAnsi" w:cs="Arial"/>
          <w:lang w:val="es-CL"/>
        </w:rPr>
      </w:pPr>
    </w:p>
    <w:p w14:paraId="4EF29AA4" w14:textId="77777777" w:rsidR="00D44E93" w:rsidRPr="00775715" w:rsidRDefault="00D44E93" w:rsidP="00775715">
      <w:pPr>
        <w:tabs>
          <w:tab w:val="left" w:pos="810"/>
        </w:tabs>
        <w:autoSpaceDE w:val="0"/>
        <w:autoSpaceDN w:val="0"/>
        <w:adjustRightInd w:val="0"/>
        <w:spacing w:after="0" w:line="240" w:lineRule="auto"/>
        <w:ind w:firstLine="720"/>
        <w:jc w:val="both"/>
        <w:rPr>
          <w:rFonts w:asciiTheme="minorHAnsi" w:hAnsiTheme="minorHAnsi" w:cs="Arial"/>
          <w:lang w:val="es-CL"/>
        </w:rPr>
      </w:pPr>
      <w:r w:rsidRPr="00775715">
        <w:rPr>
          <w:rFonts w:asciiTheme="minorHAnsi" w:hAnsiTheme="minorHAnsi" w:cs="Arial"/>
          <w:lang w:val="es-CL"/>
        </w:rPr>
        <w:t>En virtud de que estas cuestiones afectan de manera relevante el orden público interamericano, de conformidad con el artículo 35.1 f) del Reglamento de la Corte Interamericana, la Comisión se permite ofrecer la siguiente declaración pericial:</w:t>
      </w:r>
    </w:p>
    <w:p w14:paraId="4C2363D7" w14:textId="77777777" w:rsidR="00D44E93" w:rsidRPr="00775715" w:rsidRDefault="00D44E93" w:rsidP="00775715">
      <w:pPr>
        <w:tabs>
          <w:tab w:val="left" w:pos="810"/>
        </w:tabs>
        <w:autoSpaceDE w:val="0"/>
        <w:autoSpaceDN w:val="0"/>
        <w:adjustRightInd w:val="0"/>
        <w:spacing w:after="0" w:line="240" w:lineRule="auto"/>
        <w:ind w:right="480"/>
        <w:jc w:val="both"/>
        <w:rPr>
          <w:rFonts w:asciiTheme="minorHAnsi" w:hAnsiTheme="minorHAnsi" w:cs="Arial"/>
          <w:lang w:val="es-CL"/>
        </w:rPr>
      </w:pPr>
    </w:p>
    <w:p w14:paraId="04BA0161" w14:textId="7EDC7FCE" w:rsidR="00D44E93" w:rsidRPr="00775715" w:rsidRDefault="00D44E93" w:rsidP="00775715">
      <w:pPr>
        <w:tabs>
          <w:tab w:val="left" w:pos="810"/>
          <w:tab w:val="left" w:pos="9356"/>
        </w:tabs>
        <w:spacing w:after="0" w:line="240" w:lineRule="auto"/>
        <w:ind w:right="4" w:firstLine="720"/>
        <w:jc w:val="both"/>
        <w:rPr>
          <w:rFonts w:asciiTheme="minorHAnsi" w:hAnsiTheme="minorHAnsi"/>
          <w:lang w:val="es-CO"/>
        </w:rPr>
      </w:pPr>
      <w:r w:rsidRPr="00775715">
        <w:rPr>
          <w:rFonts w:asciiTheme="minorHAnsi" w:hAnsiTheme="minorHAnsi" w:cs="Courier New"/>
          <w:b/>
          <w:lang w:val="es-ES_tradnl"/>
        </w:rPr>
        <w:t>Perito/a cuyo nombre será informado a la brevedad</w:t>
      </w:r>
      <w:r w:rsidRPr="00775715">
        <w:rPr>
          <w:rFonts w:asciiTheme="minorHAnsi" w:hAnsiTheme="minorHAnsi"/>
          <w:iCs/>
          <w:lang w:val="es-ES_tradnl"/>
        </w:rPr>
        <w:t>, quien declarará sobre</w:t>
      </w:r>
      <w:r w:rsidR="00CA0781" w:rsidRPr="00775715">
        <w:rPr>
          <w:rFonts w:asciiTheme="minorHAnsi" w:hAnsiTheme="minorHAnsi"/>
          <w:iCs/>
          <w:lang w:val="es-ES_tradnl"/>
        </w:rPr>
        <w:t xml:space="preserve"> la aplicación de la figura de prescripción en el marco de acciones judiciales de reparación por graves violaciones de derechos humanos, incluyendo crímenes de lesa humanidad. El/la perito/a se referirá a la compatibilidad de dicha aplicación a la luz de las obligaciones internacionales de los Estados en materia de verdad, justicia y reparación frente a tales violaciones. </w:t>
      </w:r>
      <w:r w:rsidR="00B22879" w:rsidRPr="00775715">
        <w:rPr>
          <w:rFonts w:asciiTheme="minorHAnsi" w:hAnsiTheme="minorHAnsi"/>
          <w:iCs/>
          <w:lang w:val="es-ES_tradnl"/>
        </w:rPr>
        <w:t>En la medida de lo pertinente, el/la perito/a se referirá a otros sistemas internacionales de protección de derechos humanos y al derecho comparado.</w:t>
      </w:r>
    </w:p>
    <w:p w14:paraId="6ED3AAA5" w14:textId="77777777" w:rsidR="00D44E93" w:rsidRPr="00775715" w:rsidRDefault="00D44E93" w:rsidP="00775715">
      <w:pPr>
        <w:tabs>
          <w:tab w:val="left" w:pos="810"/>
        </w:tabs>
        <w:spacing w:after="0" w:line="240" w:lineRule="auto"/>
        <w:jc w:val="both"/>
        <w:rPr>
          <w:rFonts w:asciiTheme="minorHAnsi" w:hAnsiTheme="minorHAnsi"/>
          <w:iCs/>
          <w:lang w:val="es-ES_tradnl"/>
        </w:rPr>
      </w:pPr>
    </w:p>
    <w:p w14:paraId="494675ED" w14:textId="62726776" w:rsidR="00D44E93" w:rsidRPr="00775715" w:rsidRDefault="00D44E93" w:rsidP="00775715">
      <w:pPr>
        <w:tabs>
          <w:tab w:val="left" w:pos="0"/>
          <w:tab w:val="left" w:pos="810"/>
        </w:tabs>
        <w:spacing w:after="0" w:line="240" w:lineRule="auto"/>
        <w:ind w:firstLine="720"/>
        <w:jc w:val="both"/>
        <w:rPr>
          <w:rFonts w:asciiTheme="minorHAnsi" w:hAnsiTheme="minorHAnsi"/>
          <w:lang w:val="es-CO"/>
        </w:rPr>
      </w:pPr>
      <w:r w:rsidRPr="00775715">
        <w:rPr>
          <w:rFonts w:asciiTheme="minorHAnsi" w:hAnsiTheme="minorHAnsi"/>
          <w:lang w:val="es-AR"/>
        </w:rPr>
        <w:t>El CV del/la perito/</w:t>
      </w:r>
      <w:proofErr w:type="spellStart"/>
      <w:r w:rsidRPr="00775715">
        <w:rPr>
          <w:rFonts w:asciiTheme="minorHAnsi" w:hAnsiTheme="minorHAnsi"/>
          <w:lang w:val="es-AR"/>
        </w:rPr>
        <w:t>a</w:t>
      </w:r>
      <w:proofErr w:type="spellEnd"/>
      <w:r w:rsidRPr="00775715">
        <w:rPr>
          <w:rFonts w:asciiTheme="minorHAnsi" w:hAnsiTheme="minorHAnsi"/>
          <w:lang w:val="es-AR"/>
        </w:rPr>
        <w:t xml:space="preserve"> ofrecido/a </w:t>
      </w:r>
      <w:r w:rsidR="006149E3" w:rsidRPr="00775715">
        <w:rPr>
          <w:rFonts w:asciiTheme="minorHAnsi" w:hAnsiTheme="minorHAnsi"/>
          <w:lang w:val="es-CO"/>
        </w:rPr>
        <w:t>será incluido</w:t>
      </w:r>
      <w:r w:rsidR="00327580">
        <w:rPr>
          <w:rFonts w:asciiTheme="minorHAnsi" w:hAnsiTheme="minorHAnsi"/>
          <w:lang w:val="es-CO"/>
        </w:rPr>
        <w:t xml:space="preserve"> en los anexos al Informe de F</w:t>
      </w:r>
      <w:r w:rsidRPr="00775715">
        <w:rPr>
          <w:rFonts w:asciiTheme="minorHAnsi" w:hAnsiTheme="minorHAnsi"/>
          <w:lang w:val="es-CO"/>
        </w:rPr>
        <w:t xml:space="preserve">ondo </w:t>
      </w:r>
      <w:r w:rsidR="00327580">
        <w:rPr>
          <w:rFonts w:asciiTheme="minorHAnsi" w:hAnsiTheme="minorHAnsi"/>
          <w:lang w:val="es-CO"/>
        </w:rPr>
        <w:t xml:space="preserve">Nº </w:t>
      </w:r>
      <w:r w:rsidR="006149E3" w:rsidRPr="00775715">
        <w:rPr>
          <w:rFonts w:asciiTheme="minorHAnsi" w:hAnsiTheme="minorHAnsi"/>
          <w:lang w:val="es-CO"/>
        </w:rPr>
        <w:t>52</w:t>
      </w:r>
      <w:r w:rsidR="00327580">
        <w:rPr>
          <w:rFonts w:asciiTheme="minorHAnsi" w:hAnsiTheme="minorHAnsi"/>
          <w:lang w:val="es-CO"/>
        </w:rPr>
        <w:t>/16.</w:t>
      </w:r>
    </w:p>
    <w:p w14:paraId="2F26D3D9" w14:textId="77777777" w:rsidR="00D44E93" w:rsidRPr="00775715" w:rsidRDefault="00D44E93" w:rsidP="00775715">
      <w:pPr>
        <w:tabs>
          <w:tab w:val="left" w:pos="0"/>
          <w:tab w:val="left" w:pos="810"/>
        </w:tabs>
        <w:spacing w:after="0" w:line="240" w:lineRule="auto"/>
        <w:jc w:val="both"/>
        <w:rPr>
          <w:rFonts w:asciiTheme="minorHAnsi" w:hAnsiTheme="minorHAnsi"/>
          <w:lang w:val="es-CO"/>
        </w:rPr>
      </w:pPr>
    </w:p>
    <w:p w14:paraId="7F9A01FF" w14:textId="77777777" w:rsidR="00D44E93" w:rsidRPr="00775715" w:rsidRDefault="00D44E93" w:rsidP="00775715">
      <w:pPr>
        <w:tabs>
          <w:tab w:val="left" w:pos="0"/>
          <w:tab w:val="left" w:pos="810"/>
        </w:tabs>
        <w:spacing w:after="0" w:line="240" w:lineRule="auto"/>
        <w:ind w:firstLine="720"/>
        <w:jc w:val="both"/>
        <w:rPr>
          <w:rFonts w:asciiTheme="minorHAnsi" w:hAnsiTheme="minorHAnsi"/>
          <w:lang w:val="es-CO"/>
        </w:rPr>
      </w:pPr>
      <w:r w:rsidRPr="00775715">
        <w:rPr>
          <w:rFonts w:asciiTheme="minorHAnsi" w:hAnsiTheme="minorHAnsi"/>
          <w:lang w:val="es-ES_tradnl"/>
        </w:rPr>
        <w:t xml:space="preserve">La Comisión pone en conocimiento de la Corte la siguiente información sobre quienes actuaron como peticionarios a lo largo del trámite del caso: </w:t>
      </w:r>
    </w:p>
    <w:p w14:paraId="43C93DE5" w14:textId="604DEC0E" w:rsidR="00D44E93" w:rsidRPr="00775715" w:rsidRDefault="00160772" w:rsidP="00775715">
      <w:pPr>
        <w:tabs>
          <w:tab w:val="left" w:pos="810"/>
        </w:tabs>
        <w:autoSpaceDE w:val="0"/>
        <w:autoSpaceDN w:val="0"/>
        <w:adjustRightInd w:val="0"/>
        <w:spacing w:after="0" w:line="240" w:lineRule="auto"/>
        <w:jc w:val="center"/>
        <w:rPr>
          <w:rFonts w:asciiTheme="minorHAnsi" w:hAnsiTheme="minorHAnsi"/>
          <w:lang w:val="es-ES"/>
        </w:rPr>
      </w:pPr>
      <w:r>
        <w:rPr>
          <w:rFonts w:asciiTheme="minorHAnsi" w:hAnsiTheme="minorHAnsi"/>
          <w:lang w:val="es-ES"/>
        </w:rPr>
        <w:t>Señor</w:t>
      </w:r>
    </w:p>
    <w:p w14:paraId="1F4E034F" w14:textId="2865C388" w:rsidR="00EB72C7" w:rsidRPr="00160772" w:rsidRDefault="00160772" w:rsidP="00775715">
      <w:pPr>
        <w:tabs>
          <w:tab w:val="left" w:pos="810"/>
        </w:tabs>
        <w:autoSpaceDE w:val="0"/>
        <w:autoSpaceDN w:val="0"/>
        <w:adjustRightInd w:val="0"/>
        <w:spacing w:after="0" w:line="240" w:lineRule="auto"/>
        <w:jc w:val="center"/>
        <w:rPr>
          <w:rFonts w:asciiTheme="minorHAnsi" w:hAnsiTheme="minorHAnsi"/>
          <w:lang w:val="es-ES"/>
        </w:rPr>
      </w:pPr>
      <w:r>
        <w:rPr>
          <w:rFonts w:asciiTheme="minorHAnsi" w:hAnsiTheme="minorHAnsi"/>
          <w:lang w:val="es-ES"/>
        </w:rPr>
        <w:t xml:space="preserve">Nelson </w:t>
      </w:r>
      <w:proofErr w:type="spellStart"/>
      <w:r>
        <w:rPr>
          <w:rFonts w:asciiTheme="minorHAnsi" w:hAnsiTheme="minorHAnsi"/>
          <w:lang w:val="es-ES"/>
        </w:rPr>
        <w:t>Caucoto</w:t>
      </w:r>
      <w:proofErr w:type="spellEnd"/>
      <w:r>
        <w:rPr>
          <w:rFonts w:asciiTheme="minorHAnsi" w:hAnsiTheme="minorHAnsi"/>
          <w:lang w:val="es-ES"/>
        </w:rPr>
        <w:t xml:space="preserve"> Pereira</w:t>
      </w:r>
    </w:p>
    <w:p w14:paraId="0EE1AE11" w14:textId="4724D6E9" w:rsidR="00EB72C7" w:rsidRDefault="009766EC" w:rsidP="00775715">
      <w:pPr>
        <w:tabs>
          <w:tab w:val="left" w:pos="810"/>
        </w:tabs>
        <w:autoSpaceDE w:val="0"/>
        <w:autoSpaceDN w:val="0"/>
        <w:adjustRightInd w:val="0"/>
        <w:spacing w:after="0" w:line="240" w:lineRule="auto"/>
        <w:jc w:val="center"/>
        <w:rPr>
          <w:rFonts w:asciiTheme="minorHAnsi" w:hAnsiTheme="minorHAnsi"/>
          <w:lang w:val="es-PE"/>
        </w:rPr>
      </w:pPr>
      <w:proofErr w:type="spellStart"/>
      <w:proofErr w:type="gramStart"/>
      <w:r w:rsidRPr="009766EC">
        <w:rPr>
          <w:rFonts w:asciiTheme="minorHAnsi" w:hAnsiTheme="minorHAnsi"/>
          <w:highlight w:val="black"/>
          <w:lang w:val="es-PE"/>
        </w:rPr>
        <w:t>xxxxxxxxxxxxxxxxxxxxxxxxxxxxxxxxx</w:t>
      </w:r>
      <w:proofErr w:type="spellEnd"/>
      <w:proofErr w:type="gramEnd"/>
    </w:p>
    <w:p w14:paraId="39469DE4" w14:textId="77777777" w:rsidR="00160772" w:rsidRPr="00775715" w:rsidRDefault="00160772" w:rsidP="00775715">
      <w:pPr>
        <w:tabs>
          <w:tab w:val="left" w:pos="810"/>
        </w:tabs>
        <w:autoSpaceDE w:val="0"/>
        <w:autoSpaceDN w:val="0"/>
        <w:adjustRightInd w:val="0"/>
        <w:spacing w:after="0" w:line="240" w:lineRule="auto"/>
        <w:jc w:val="center"/>
        <w:rPr>
          <w:rFonts w:asciiTheme="minorHAnsi" w:hAnsiTheme="minorHAnsi"/>
          <w:lang w:val="es-PE"/>
        </w:rPr>
      </w:pPr>
    </w:p>
    <w:p w14:paraId="1A5854EF" w14:textId="77777777" w:rsidR="00D44E93" w:rsidRPr="00775715" w:rsidRDefault="00D44E93" w:rsidP="00775715">
      <w:pPr>
        <w:tabs>
          <w:tab w:val="left" w:pos="0"/>
          <w:tab w:val="left" w:pos="810"/>
        </w:tabs>
        <w:spacing w:after="0" w:line="240" w:lineRule="auto"/>
        <w:ind w:firstLine="720"/>
        <w:jc w:val="both"/>
        <w:rPr>
          <w:rFonts w:asciiTheme="minorHAnsi" w:hAnsiTheme="minorHAnsi" w:cs="Arial"/>
          <w:lang w:val="es-CO"/>
        </w:rPr>
      </w:pPr>
      <w:r w:rsidRPr="00775715">
        <w:rPr>
          <w:rFonts w:asciiTheme="minorHAnsi" w:hAnsiTheme="minorHAnsi" w:cs="Arial"/>
          <w:lang w:val="es-CO"/>
        </w:rPr>
        <w:t>Aprovecho la oportunidad para saludar a usted muy atentamente,</w:t>
      </w:r>
    </w:p>
    <w:p w14:paraId="49BF0707" w14:textId="77777777" w:rsidR="00D44E93" w:rsidRPr="00775715" w:rsidRDefault="00D44E93" w:rsidP="00775715">
      <w:pPr>
        <w:tabs>
          <w:tab w:val="left" w:pos="810"/>
        </w:tabs>
        <w:suppressAutoHyphens/>
        <w:spacing w:after="0" w:line="240" w:lineRule="auto"/>
        <w:rPr>
          <w:rFonts w:asciiTheme="minorHAnsi" w:hAnsiTheme="minorHAnsi" w:cs="Arial"/>
          <w:snapToGrid w:val="0"/>
          <w:lang w:val="es-CO"/>
        </w:rPr>
      </w:pPr>
    </w:p>
    <w:p w14:paraId="407D65D8" w14:textId="77777777" w:rsidR="00D44E93" w:rsidRPr="00775715" w:rsidRDefault="00D44E93" w:rsidP="00775715">
      <w:pPr>
        <w:tabs>
          <w:tab w:val="left" w:pos="810"/>
        </w:tabs>
        <w:suppressAutoHyphens/>
        <w:spacing w:after="0" w:line="240" w:lineRule="auto"/>
        <w:rPr>
          <w:rFonts w:asciiTheme="minorHAnsi" w:hAnsiTheme="minorHAnsi" w:cs="Arial"/>
          <w:snapToGrid w:val="0"/>
          <w:lang w:val="es-CO"/>
        </w:rPr>
      </w:pPr>
    </w:p>
    <w:p w14:paraId="75438AE3" w14:textId="77777777" w:rsidR="002D1737" w:rsidRPr="00775715" w:rsidRDefault="002D1737" w:rsidP="00775715">
      <w:pPr>
        <w:tabs>
          <w:tab w:val="left" w:pos="810"/>
        </w:tabs>
        <w:suppressAutoHyphens/>
        <w:spacing w:after="0" w:line="240" w:lineRule="auto"/>
        <w:rPr>
          <w:rFonts w:asciiTheme="minorHAnsi" w:hAnsiTheme="minorHAnsi" w:cs="Arial"/>
          <w:snapToGrid w:val="0"/>
          <w:lang w:val="es-CO"/>
        </w:rPr>
      </w:pPr>
    </w:p>
    <w:p w14:paraId="3B340D0B" w14:textId="7FC36AD5" w:rsidR="002D1737" w:rsidRPr="009766EC" w:rsidRDefault="009766EC" w:rsidP="00775715">
      <w:pPr>
        <w:tabs>
          <w:tab w:val="left" w:pos="810"/>
        </w:tabs>
        <w:suppressAutoHyphens/>
        <w:spacing w:after="0" w:line="240" w:lineRule="auto"/>
        <w:rPr>
          <w:rFonts w:asciiTheme="minorHAnsi" w:hAnsiTheme="minorHAnsi" w:cs="Arial"/>
          <w:snapToGrid w:val="0"/>
          <w:color w:val="A6A6A6" w:themeColor="background1" w:themeShade="A6"/>
          <w:sz w:val="18"/>
          <w:lang w:val="es-CO"/>
        </w:rPr>
      </w:pPr>
      <w:r>
        <w:rPr>
          <w:rFonts w:asciiTheme="minorHAnsi" w:hAnsiTheme="minorHAnsi" w:cs="Arial"/>
          <w:snapToGrid w:val="0"/>
          <w:color w:val="A6A6A6" w:themeColor="background1" w:themeShade="A6"/>
          <w:lang w:val="es-CO"/>
        </w:rPr>
        <w:tab/>
      </w:r>
      <w:r>
        <w:rPr>
          <w:rFonts w:asciiTheme="minorHAnsi" w:hAnsiTheme="minorHAnsi" w:cs="Arial"/>
          <w:snapToGrid w:val="0"/>
          <w:color w:val="A6A6A6" w:themeColor="background1" w:themeShade="A6"/>
          <w:lang w:val="es-CO"/>
        </w:rPr>
        <w:tab/>
      </w:r>
      <w:r>
        <w:rPr>
          <w:rFonts w:asciiTheme="minorHAnsi" w:hAnsiTheme="minorHAnsi" w:cs="Arial"/>
          <w:snapToGrid w:val="0"/>
          <w:color w:val="A6A6A6" w:themeColor="background1" w:themeShade="A6"/>
          <w:lang w:val="es-CO"/>
        </w:rPr>
        <w:tab/>
      </w:r>
      <w:r>
        <w:rPr>
          <w:rFonts w:asciiTheme="minorHAnsi" w:hAnsiTheme="minorHAnsi" w:cs="Arial"/>
          <w:snapToGrid w:val="0"/>
          <w:color w:val="A6A6A6" w:themeColor="background1" w:themeShade="A6"/>
          <w:lang w:val="es-CO"/>
        </w:rPr>
        <w:tab/>
      </w:r>
      <w:r>
        <w:rPr>
          <w:rFonts w:asciiTheme="minorHAnsi" w:hAnsiTheme="minorHAnsi" w:cs="Arial"/>
          <w:snapToGrid w:val="0"/>
          <w:color w:val="A6A6A6" w:themeColor="background1" w:themeShade="A6"/>
          <w:lang w:val="es-CO"/>
        </w:rPr>
        <w:tab/>
      </w:r>
      <w:r>
        <w:rPr>
          <w:rFonts w:asciiTheme="minorHAnsi" w:hAnsiTheme="minorHAnsi" w:cs="Arial"/>
          <w:snapToGrid w:val="0"/>
          <w:color w:val="A6A6A6" w:themeColor="background1" w:themeShade="A6"/>
          <w:lang w:val="es-CO"/>
        </w:rPr>
        <w:tab/>
      </w:r>
      <w:r w:rsidRPr="009766EC">
        <w:rPr>
          <w:rFonts w:asciiTheme="minorHAnsi" w:hAnsiTheme="minorHAnsi" w:cs="Arial"/>
          <w:snapToGrid w:val="0"/>
          <w:color w:val="A6A6A6" w:themeColor="background1" w:themeShade="A6"/>
          <w:sz w:val="18"/>
          <w:lang w:val="es-CO"/>
        </w:rPr>
        <w:t xml:space="preserve"> </w:t>
      </w:r>
      <w:r>
        <w:rPr>
          <w:rFonts w:asciiTheme="minorHAnsi" w:hAnsiTheme="minorHAnsi" w:cs="Arial"/>
          <w:snapToGrid w:val="0"/>
          <w:color w:val="A6A6A6" w:themeColor="background1" w:themeShade="A6"/>
          <w:sz w:val="18"/>
          <w:lang w:val="es-CO"/>
        </w:rPr>
        <w:t xml:space="preserve">     </w:t>
      </w:r>
      <w:r w:rsidRPr="009766EC">
        <w:rPr>
          <w:rFonts w:asciiTheme="minorHAnsi" w:hAnsiTheme="minorHAnsi" w:cs="Arial"/>
          <w:snapToGrid w:val="0"/>
          <w:color w:val="A6A6A6" w:themeColor="background1" w:themeShade="A6"/>
          <w:sz w:val="18"/>
          <w:lang w:val="es-CO"/>
        </w:rPr>
        <w:t>Firmado en el original</w:t>
      </w:r>
    </w:p>
    <w:p w14:paraId="25B8E231" w14:textId="77777777" w:rsidR="00D44E93" w:rsidRPr="00775715" w:rsidRDefault="00D44E93" w:rsidP="00775715">
      <w:pPr>
        <w:tabs>
          <w:tab w:val="left" w:pos="810"/>
        </w:tabs>
        <w:suppressAutoHyphens/>
        <w:spacing w:after="0" w:line="240" w:lineRule="auto"/>
        <w:rPr>
          <w:rFonts w:asciiTheme="minorHAnsi" w:hAnsiTheme="minorHAnsi" w:cs="Arial"/>
          <w:snapToGrid w:val="0"/>
          <w:lang w:val="es-CO"/>
        </w:rPr>
      </w:pPr>
      <w:bookmarkStart w:id="1" w:name="_GoBack"/>
      <w:bookmarkEnd w:id="1"/>
    </w:p>
    <w:p w14:paraId="40CA39A8" w14:textId="4E07FB84" w:rsidR="00D44E93" w:rsidRPr="00775715" w:rsidRDefault="00CC5C60" w:rsidP="00775715">
      <w:pPr>
        <w:tabs>
          <w:tab w:val="left" w:pos="810"/>
        </w:tabs>
        <w:suppressAutoHyphens/>
        <w:spacing w:after="0" w:line="240" w:lineRule="auto"/>
        <w:ind w:left="3600" w:firstLine="720"/>
        <w:rPr>
          <w:rFonts w:asciiTheme="minorHAnsi" w:hAnsiTheme="minorHAnsi" w:cs="Arial"/>
          <w:i/>
          <w:snapToGrid w:val="0"/>
          <w:color w:val="808080"/>
          <w:lang w:val="es-CO"/>
        </w:rPr>
      </w:pPr>
      <w:r>
        <w:rPr>
          <w:rFonts w:asciiTheme="minorHAnsi" w:hAnsiTheme="minorHAnsi" w:cs="Arial"/>
          <w:snapToGrid w:val="0"/>
          <w:lang w:val="es-CO"/>
        </w:rPr>
        <w:t>Elizabeth Abi-Mershed</w:t>
      </w:r>
    </w:p>
    <w:p w14:paraId="2912C34A" w14:textId="54D8663A" w:rsidR="00D44E93" w:rsidRPr="00775715" w:rsidRDefault="00D44E93" w:rsidP="00775715">
      <w:pPr>
        <w:tabs>
          <w:tab w:val="left" w:pos="810"/>
        </w:tabs>
        <w:suppressAutoHyphens/>
        <w:spacing w:after="0" w:line="240" w:lineRule="auto"/>
        <w:rPr>
          <w:rFonts w:asciiTheme="minorHAnsi" w:hAnsiTheme="minorHAnsi"/>
          <w:lang w:val="es-CO"/>
        </w:rPr>
      </w:pPr>
      <w:r w:rsidRPr="00775715">
        <w:rPr>
          <w:rFonts w:asciiTheme="minorHAnsi" w:hAnsiTheme="minorHAnsi" w:cs="Arial"/>
          <w:snapToGrid w:val="0"/>
          <w:lang w:val="es-CO"/>
        </w:rPr>
        <w:t xml:space="preserve"> </w:t>
      </w:r>
      <w:r w:rsidRPr="00775715">
        <w:rPr>
          <w:rFonts w:asciiTheme="minorHAnsi" w:hAnsiTheme="minorHAnsi" w:cs="Arial"/>
          <w:snapToGrid w:val="0"/>
          <w:lang w:val="es-CO"/>
        </w:rPr>
        <w:tab/>
      </w:r>
      <w:r w:rsidRPr="00775715">
        <w:rPr>
          <w:rFonts w:asciiTheme="minorHAnsi" w:hAnsiTheme="minorHAnsi" w:cs="Arial"/>
          <w:snapToGrid w:val="0"/>
          <w:lang w:val="es-CO"/>
        </w:rPr>
        <w:tab/>
      </w:r>
      <w:r w:rsidRPr="00775715">
        <w:rPr>
          <w:rFonts w:asciiTheme="minorHAnsi" w:hAnsiTheme="minorHAnsi" w:cs="Arial"/>
          <w:snapToGrid w:val="0"/>
          <w:lang w:val="es-CO"/>
        </w:rPr>
        <w:tab/>
      </w:r>
      <w:r w:rsidRPr="00775715">
        <w:rPr>
          <w:rFonts w:asciiTheme="minorHAnsi" w:hAnsiTheme="minorHAnsi" w:cs="Arial"/>
          <w:snapToGrid w:val="0"/>
          <w:lang w:val="es-CO"/>
        </w:rPr>
        <w:tab/>
        <w:t xml:space="preserve">        </w:t>
      </w:r>
      <w:r w:rsidRPr="00775715">
        <w:rPr>
          <w:rFonts w:asciiTheme="minorHAnsi" w:hAnsiTheme="minorHAnsi" w:cs="Arial"/>
          <w:snapToGrid w:val="0"/>
          <w:lang w:val="es-CO"/>
        </w:rPr>
        <w:tab/>
        <w:t xml:space="preserve">    </w:t>
      </w:r>
      <w:r w:rsidR="00CC5C60">
        <w:rPr>
          <w:rFonts w:asciiTheme="minorHAnsi" w:hAnsiTheme="minorHAnsi" w:cs="Arial"/>
          <w:snapToGrid w:val="0"/>
          <w:lang w:val="es-CO"/>
        </w:rPr>
        <w:t xml:space="preserve"> </w:t>
      </w:r>
      <w:r w:rsidRPr="00775715">
        <w:rPr>
          <w:rFonts w:asciiTheme="minorHAnsi" w:hAnsiTheme="minorHAnsi" w:cs="Arial"/>
          <w:snapToGrid w:val="0"/>
          <w:lang w:val="es-CO"/>
        </w:rPr>
        <w:t xml:space="preserve">    </w:t>
      </w:r>
      <w:r w:rsidR="00CC5C60">
        <w:rPr>
          <w:rFonts w:asciiTheme="minorHAnsi" w:hAnsiTheme="minorHAnsi" w:cs="Arial"/>
          <w:snapToGrid w:val="0"/>
          <w:lang w:val="es-CO"/>
        </w:rPr>
        <w:t>Secretaria Ejecutiva Adjunta</w:t>
      </w:r>
    </w:p>
    <w:p w14:paraId="4FDABEE1" w14:textId="77777777" w:rsidR="00D44E93" w:rsidRPr="00775715" w:rsidRDefault="00D44E93" w:rsidP="00775715">
      <w:pPr>
        <w:tabs>
          <w:tab w:val="left" w:pos="810"/>
        </w:tabs>
        <w:suppressAutoHyphens/>
        <w:spacing w:after="0" w:line="240" w:lineRule="auto"/>
        <w:jc w:val="both"/>
        <w:rPr>
          <w:rFonts w:asciiTheme="minorHAnsi" w:hAnsiTheme="minorHAnsi"/>
          <w:lang w:val="es-CO"/>
        </w:rPr>
      </w:pPr>
    </w:p>
    <w:p w14:paraId="56E52C19" w14:textId="77777777" w:rsidR="002D1737" w:rsidRDefault="002D1737" w:rsidP="00775715">
      <w:pPr>
        <w:tabs>
          <w:tab w:val="left" w:pos="810"/>
        </w:tabs>
        <w:suppressAutoHyphens/>
        <w:spacing w:after="0" w:line="240" w:lineRule="auto"/>
        <w:jc w:val="both"/>
        <w:rPr>
          <w:rFonts w:asciiTheme="minorHAnsi" w:hAnsiTheme="minorHAnsi"/>
          <w:lang w:val="es-CO"/>
        </w:rPr>
      </w:pPr>
    </w:p>
    <w:p w14:paraId="7A276847" w14:textId="77777777" w:rsidR="00CC5C60" w:rsidRPr="00775715" w:rsidRDefault="00CC5C60" w:rsidP="00775715">
      <w:pPr>
        <w:tabs>
          <w:tab w:val="left" w:pos="810"/>
        </w:tabs>
        <w:suppressAutoHyphens/>
        <w:spacing w:after="0" w:line="240" w:lineRule="auto"/>
        <w:jc w:val="both"/>
        <w:rPr>
          <w:rFonts w:asciiTheme="minorHAnsi" w:hAnsiTheme="minorHAnsi"/>
          <w:lang w:val="es-CO"/>
        </w:rPr>
      </w:pPr>
    </w:p>
    <w:p w14:paraId="2E39B097" w14:textId="76384AEC" w:rsidR="004D3279" w:rsidRPr="00775715" w:rsidRDefault="004D3279" w:rsidP="00775715">
      <w:pPr>
        <w:spacing w:after="0" w:line="240" w:lineRule="auto"/>
        <w:rPr>
          <w:rFonts w:asciiTheme="minorHAnsi" w:hAnsiTheme="minorHAnsi"/>
        </w:rPr>
      </w:pPr>
      <w:proofErr w:type="spellStart"/>
      <w:r w:rsidRPr="00775715">
        <w:rPr>
          <w:rFonts w:asciiTheme="minorHAnsi" w:hAnsiTheme="minorHAnsi"/>
        </w:rPr>
        <w:t>Anexo</w:t>
      </w:r>
      <w:proofErr w:type="spellEnd"/>
    </w:p>
    <w:sectPr w:rsidR="004D3279" w:rsidRPr="00775715" w:rsidSect="00C0279B">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C0790" w14:textId="77777777" w:rsidR="001300A6" w:rsidRDefault="001300A6" w:rsidP="00D44E93">
      <w:pPr>
        <w:spacing w:after="0" w:line="240" w:lineRule="auto"/>
      </w:pPr>
      <w:r>
        <w:separator/>
      </w:r>
    </w:p>
  </w:endnote>
  <w:endnote w:type="continuationSeparator" w:id="0">
    <w:p w14:paraId="0B827F4A" w14:textId="77777777" w:rsidR="001300A6" w:rsidRDefault="001300A6" w:rsidP="00D4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CA8D" w14:textId="77777777" w:rsidR="00C0279B" w:rsidRPr="00A72869" w:rsidRDefault="005B509B">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9766EC">
      <w:rPr>
        <w:noProof/>
        <w:color w:val="7F7F7F"/>
        <w:sz w:val="16"/>
      </w:rPr>
      <w:t>3</w:t>
    </w:r>
    <w:r w:rsidRPr="00A72869">
      <w:rPr>
        <w:noProof/>
        <w:color w:val="7F7F7F"/>
        <w:sz w:val="16"/>
      </w:rPr>
      <w:fldChar w:fldCharType="end"/>
    </w:r>
  </w:p>
  <w:p w14:paraId="5085307B" w14:textId="77777777" w:rsidR="00C0279B" w:rsidRDefault="00130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ECCC" w14:textId="77777777" w:rsidR="00C0279B" w:rsidRDefault="001300A6" w:rsidP="00C0279B">
    <w:pPr>
      <w:pStyle w:val="Footer"/>
      <w:spacing w:line="360" w:lineRule="auto"/>
    </w:pPr>
    <w:r>
      <w:pict w14:anchorId="36557914">
        <v:rect id="_x0000_i1027" style="width:0;height:1.5pt" o:hralign="center" o:hrstd="t" o:hr="t" fillcolor="#a0a0a0" stroked="f"/>
      </w:pict>
    </w:r>
  </w:p>
  <w:p w14:paraId="427626AD" w14:textId="77777777" w:rsidR="00C0279B" w:rsidRDefault="00D44E93" w:rsidP="00C0279B">
    <w:pPr>
      <w:pStyle w:val="Footer"/>
      <w:jc w:val="center"/>
    </w:pPr>
    <w:r w:rsidRPr="008A5CB5">
      <w:rPr>
        <w:noProof/>
        <w:lang w:val="es-UY" w:eastAsia="es-UY"/>
      </w:rPr>
      <w:drawing>
        <wp:inline distT="0" distB="0" distL="0" distR="0" wp14:anchorId="0812BB9A" wp14:editId="51B3B36C">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4E0F2" w14:textId="77777777" w:rsidR="001300A6" w:rsidRDefault="001300A6" w:rsidP="00D44E93">
      <w:pPr>
        <w:spacing w:after="0" w:line="240" w:lineRule="auto"/>
      </w:pPr>
      <w:r>
        <w:separator/>
      </w:r>
    </w:p>
  </w:footnote>
  <w:footnote w:type="continuationSeparator" w:id="0">
    <w:p w14:paraId="00EB6614" w14:textId="77777777" w:rsidR="001300A6" w:rsidRDefault="001300A6" w:rsidP="00D44E93">
      <w:pPr>
        <w:spacing w:after="0" w:line="240" w:lineRule="auto"/>
      </w:pPr>
      <w:r>
        <w:continuationSeparator/>
      </w:r>
    </w:p>
  </w:footnote>
  <w:footnote w:id="1">
    <w:p w14:paraId="290E3D14" w14:textId="77777777" w:rsidR="001639C7" w:rsidRPr="000233A6" w:rsidRDefault="001639C7" w:rsidP="001639C7">
      <w:pPr>
        <w:tabs>
          <w:tab w:val="left" w:pos="360"/>
          <w:tab w:val="left" w:pos="2880"/>
        </w:tabs>
        <w:spacing w:after="0" w:line="240" w:lineRule="auto"/>
        <w:ind w:firstLine="720"/>
        <w:jc w:val="both"/>
        <w:rPr>
          <w:rFonts w:ascii="Cambria" w:hAnsi="Cambria"/>
          <w:sz w:val="18"/>
          <w:szCs w:val="18"/>
          <w:lang w:val="es-MX"/>
        </w:rPr>
      </w:pPr>
      <w:r w:rsidRPr="000233A6">
        <w:rPr>
          <w:rStyle w:val="FootnoteReference"/>
          <w:rFonts w:ascii="Cambria" w:hAnsi="Cambria"/>
          <w:sz w:val="18"/>
          <w:szCs w:val="18"/>
        </w:rPr>
        <w:footnoteRef/>
      </w:r>
      <w:r w:rsidRPr="00775715">
        <w:rPr>
          <w:rFonts w:ascii="Cambria" w:hAnsi="Cambria"/>
          <w:sz w:val="18"/>
          <w:szCs w:val="18"/>
          <w:lang w:val="es-PE"/>
        </w:rPr>
        <w:t xml:space="preserve"> </w:t>
      </w:r>
      <w:r w:rsidRPr="000233A6">
        <w:rPr>
          <w:rFonts w:ascii="Cambria" w:eastAsia="Times New Roman" w:hAnsi="Cambria"/>
          <w:sz w:val="18"/>
          <w:szCs w:val="18"/>
          <w:lang w:val="es-ES_tradnl"/>
        </w:rPr>
        <w:t xml:space="preserve">Maria Laura Órdenes Guerra, Ariel Luis Antonio, Marta Elizabeth, Augusto Oscar, Gloria Laura </w:t>
      </w:r>
      <w:proofErr w:type="spellStart"/>
      <w:r w:rsidRPr="000233A6">
        <w:rPr>
          <w:rFonts w:ascii="Cambria" w:eastAsia="Times New Roman" w:hAnsi="Cambria"/>
          <w:sz w:val="18"/>
          <w:szCs w:val="18"/>
          <w:lang w:val="es-ES_tradnl"/>
        </w:rPr>
        <w:t>Astris</w:t>
      </w:r>
      <w:proofErr w:type="spellEnd"/>
      <w:r w:rsidRPr="000233A6">
        <w:rPr>
          <w:rFonts w:ascii="Cambria" w:eastAsia="Times New Roman" w:hAnsi="Cambria"/>
          <w:sz w:val="18"/>
          <w:szCs w:val="18"/>
          <w:lang w:val="es-ES_tradnl"/>
        </w:rPr>
        <w:t xml:space="preserve"> y Maria Laura Elena </w:t>
      </w:r>
      <w:proofErr w:type="spellStart"/>
      <w:r w:rsidRPr="000233A6">
        <w:rPr>
          <w:rFonts w:ascii="Cambria" w:eastAsia="Times New Roman" w:hAnsi="Cambria"/>
          <w:sz w:val="18"/>
          <w:szCs w:val="18"/>
          <w:lang w:val="es-ES_tradnl"/>
        </w:rPr>
        <w:t>Alcayaga</w:t>
      </w:r>
      <w:proofErr w:type="spellEnd"/>
      <w:r w:rsidRPr="000233A6">
        <w:rPr>
          <w:rFonts w:ascii="Cambria" w:eastAsia="Times New Roman" w:hAnsi="Cambria"/>
          <w:sz w:val="18"/>
          <w:szCs w:val="18"/>
          <w:lang w:val="es-ES_tradnl"/>
        </w:rPr>
        <w:t xml:space="preserve"> Órdenes; Lucía Morales </w:t>
      </w:r>
      <w:proofErr w:type="spellStart"/>
      <w:r w:rsidRPr="000233A6">
        <w:rPr>
          <w:rFonts w:ascii="Cambria" w:eastAsia="Times New Roman" w:hAnsi="Cambria"/>
          <w:sz w:val="18"/>
          <w:szCs w:val="18"/>
          <w:lang w:val="es-ES_tradnl"/>
        </w:rPr>
        <w:t>Compagnon</w:t>
      </w:r>
      <w:proofErr w:type="spellEnd"/>
      <w:r w:rsidRPr="000233A6">
        <w:rPr>
          <w:rFonts w:ascii="Cambria" w:eastAsia="Times New Roman" w:hAnsi="Cambria"/>
          <w:sz w:val="18"/>
          <w:szCs w:val="18"/>
          <w:lang w:val="es-ES_tradnl"/>
        </w:rPr>
        <w:t xml:space="preserve">, Jorge Roberto, Carolina Andrea, Lucía </w:t>
      </w:r>
      <w:proofErr w:type="spellStart"/>
      <w:r w:rsidRPr="000233A6">
        <w:rPr>
          <w:rFonts w:ascii="Cambria" w:eastAsia="Times New Roman" w:hAnsi="Cambria"/>
          <w:sz w:val="18"/>
          <w:szCs w:val="18"/>
          <w:lang w:val="es-ES_tradnl"/>
        </w:rPr>
        <w:t>Odette</w:t>
      </w:r>
      <w:proofErr w:type="spellEnd"/>
      <w:r w:rsidRPr="000233A6">
        <w:rPr>
          <w:rFonts w:ascii="Cambria" w:eastAsia="Times New Roman" w:hAnsi="Cambria"/>
          <w:sz w:val="18"/>
          <w:szCs w:val="18"/>
          <w:lang w:val="es-ES_tradnl"/>
        </w:rPr>
        <w:t xml:space="preserve"> y María Teresa Morales Osorio; Alina María Barraza </w:t>
      </w:r>
      <w:proofErr w:type="spellStart"/>
      <w:r w:rsidRPr="000233A6">
        <w:rPr>
          <w:rFonts w:ascii="Cambria" w:eastAsia="Times New Roman" w:hAnsi="Cambria"/>
          <w:sz w:val="18"/>
          <w:szCs w:val="18"/>
          <w:lang w:val="es-ES_tradnl"/>
        </w:rPr>
        <w:t>Codoceo</w:t>
      </w:r>
      <w:proofErr w:type="spellEnd"/>
      <w:r w:rsidRPr="000233A6">
        <w:rPr>
          <w:rFonts w:ascii="Cambria" w:eastAsia="Times New Roman" w:hAnsi="Cambria"/>
          <w:sz w:val="18"/>
          <w:szCs w:val="18"/>
          <w:lang w:val="es-ES_tradnl"/>
        </w:rPr>
        <w:t xml:space="preserve">, Eduardo Patricio, Marcia Alejandra, Patricia </w:t>
      </w:r>
      <w:proofErr w:type="spellStart"/>
      <w:r w:rsidRPr="000233A6">
        <w:rPr>
          <w:rFonts w:ascii="Cambria" w:eastAsia="Times New Roman" w:hAnsi="Cambria"/>
          <w:sz w:val="18"/>
          <w:szCs w:val="18"/>
          <w:lang w:val="es-ES_tradnl"/>
        </w:rPr>
        <w:t>Auristela</w:t>
      </w:r>
      <w:proofErr w:type="spellEnd"/>
      <w:r w:rsidRPr="000233A6">
        <w:rPr>
          <w:rFonts w:ascii="Cambria" w:eastAsia="Times New Roman" w:hAnsi="Cambria"/>
          <w:sz w:val="18"/>
          <w:szCs w:val="18"/>
          <w:lang w:val="es-ES_tradnl"/>
        </w:rPr>
        <w:t xml:space="preserve">, Nora Isabel, Hernán Alejandro Cortés Barraza; Mario Melo Acuña, Ilia María </w:t>
      </w:r>
      <w:proofErr w:type="spellStart"/>
      <w:r w:rsidRPr="000233A6">
        <w:rPr>
          <w:rFonts w:ascii="Cambria" w:eastAsia="Times New Roman" w:hAnsi="Cambria"/>
          <w:sz w:val="18"/>
          <w:szCs w:val="18"/>
          <w:lang w:val="es-ES_tradnl"/>
        </w:rPr>
        <w:t>Pradenas</w:t>
      </w:r>
      <w:proofErr w:type="spellEnd"/>
      <w:r w:rsidRPr="000233A6">
        <w:rPr>
          <w:rFonts w:ascii="Cambria" w:eastAsia="Times New Roman" w:hAnsi="Cambria"/>
          <w:sz w:val="18"/>
          <w:szCs w:val="18"/>
          <w:lang w:val="es-ES_tradnl"/>
        </w:rPr>
        <w:t xml:space="preserve"> Pérez y Carlos Gustavo Melo; Pamela Adriana Vivanco; Elena Alejandrina Vargas; y Magdalena Mercedes Navarrete y Alberto, Patricio Hernán y Víctor Eduardo Reyes Navarrete.</w:t>
      </w:r>
    </w:p>
    <w:p w14:paraId="2249F991" w14:textId="77777777" w:rsidR="001639C7" w:rsidRPr="000233A6" w:rsidRDefault="001639C7" w:rsidP="001639C7">
      <w:pPr>
        <w:pStyle w:val="FootnoteText"/>
        <w:ind w:firstLine="720"/>
        <w:rPr>
          <w:rFonts w:ascii="Cambria" w:hAnsi="Cambria"/>
          <w:sz w:val="18"/>
          <w:szCs w:val="18"/>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63CA6" w14:textId="77777777" w:rsidR="00C0279B" w:rsidRPr="0058688A" w:rsidRDefault="00D44E93" w:rsidP="00C0279B">
    <w:pPr>
      <w:pStyle w:val="Header"/>
      <w:jc w:val="center"/>
      <w:rPr>
        <w:lang w:val="es-ES_tradnl"/>
      </w:rPr>
    </w:pPr>
    <w:r>
      <w:rPr>
        <w:noProof/>
        <w:lang w:val="es-UY" w:eastAsia="es-UY"/>
      </w:rPr>
      <w:drawing>
        <wp:inline distT="0" distB="0" distL="0" distR="0" wp14:anchorId="0AE987E7" wp14:editId="3C0F63E3">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14:paraId="06417F8E" w14:textId="77777777" w:rsidR="00C0279B" w:rsidRDefault="001300A6">
    <w:pPr>
      <w:pStyle w:val="Header"/>
    </w:pPr>
    <w:r>
      <w:pict w14:anchorId="3577D36E">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517D" w14:textId="77777777" w:rsidR="00C0279B" w:rsidRDefault="00D44E93" w:rsidP="00C0279B">
    <w:pPr>
      <w:pStyle w:val="Header"/>
    </w:pPr>
    <w:r w:rsidRPr="008A5CB5">
      <w:rPr>
        <w:noProof/>
        <w:lang w:val="es-UY" w:eastAsia="es-UY"/>
      </w:rPr>
      <w:drawing>
        <wp:inline distT="0" distB="0" distL="0" distR="0" wp14:anchorId="50F7063D" wp14:editId="2FB745DA">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rsidR="005B509B">
      <w:tab/>
    </w:r>
    <w:r w:rsidR="005B509B">
      <w:tab/>
    </w:r>
    <w:r w:rsidRPr="008A5CB5">
      <w:rPr>
        <w:noProof/>
        <w:lang w:val="es-UY" w:eastAsia="es-UY"/>
      </w:rPr>
      <w:drawing>
        <wp:inline distT="0" distB="0" distL="0" distR="0" wp14:anchorId="24FF810E" wp14:editId="7906CD26">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14:paraId="634E2444" w14:textId="77777777" w:rsidR="00C0279B" w:rsidRDefault="001300A6" w:rsidP="00C0279B">
    <w:pPr>
      <w:pStyle w:val="Header"/>
    </w:pPr>
  </w:p>
  <w:p w14:paraId="47D22848" w14:textId="77777777" w:rsidR="00C0279B" w:rsidRDefault="001300A6" w:rsidP="00C0279B">
    <w:pPr>
      <w:pStyle w:val="Header"/>
    </w:pPr>
    <w:r>
      <w:pict w14:anchorId="14F92D8F">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AC3"/>
    <w:multiLevelType w:val="hybridMultilevel"/>
    <w:tmpl w:val="0B30AC14"/>
    <w:lvl w:ilvl="0" w:tplc="0409000F">
      <w:start w:val="1"/>
      <w:numFmt w:val="decimal"/>
      <w:lvlText w:val="%1."/>
      <w:lvlJc w:val="left"/>
      <w:pPr>
        <w:tabs>
          <w:tab w:val="num" w:pos="2160"/>
        </w:tabs>
        <w:ind w:left="2160" w:hanging="360"/>
      </w:pPr>
    </w:lvl>
    <w:lvl w:ilvl="1" w:tplc="36E8ACC4">
      <w:start w:val="4"/>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37795779"/>
    <w:multiLevelType w:val="singleLevel"/>
    <w:tmpl w:val="1F2E7A96"/>
    <w:lvl w:ilvl="0">
      <w:start w:val="1"/>
      <w:numFmt w:val="decimal"/>
      <w:lvlText w:val="%1."/>
      <w:lvlJc w:val="left"/>
      <w:pPr>
        <w:tabs>
          <w:tab w:val="num" w:pos="720"/>
        </w:tabs>
        <w:ind w:left="0" w:firstLine="720"/>
      </w:pPr>
      <w:rPr>
        <w:rFonts w:ascii="Cambria" w:hAnsi="Cambria" w:hint="default"/>
        <w:color w:val="auto"/>
        <w:sz w:val="20"/>
        <w:szCs w:val="20"/>
      </w:rPr>
    </w:lvl>
  </w:abstractNum>
  <w:abstractNum w:abstractNumId="2">
    <w:nsid w:val="3BBA7DE2"/>
    <w:multiLevelType w:val="hybridMultilevel"/>
    <w:tmpl w:val="5C886AE8"/>
    <w:lvl w:ilvl="0" w:tplc="B2804606">
      <w:start w:val="1"/>
      <w:numFmt w:val="decimal"/>
      <w:lvlText w:val="%1."/>
      <w:lvlJc w:val="left"/>
      <w:pPr>
        <w:tabs>
          <w:tab w:val="num" w:pos="1260"/>
        </w:tabs>
        <w:ind w:left="1260" w:hanging="360"/>
      </w:pPr>
      <w:rPr>
        <w:rFonts w:ascii="Cambria" w:hAnsi="Cambria"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2E42F38"/>
    <w:multiLevelType w:val="hybridMultilevel"/>
    <w:tmpl w:val="9F7C06C8"/>
    <w:lvl w:ilvl="0" w:tplc="775EC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F720B6"/>
    <w:multiLevelType w:val="hybridMultilevel"/>
    <w:tmpl w:val="182A5870"/>
    <w:lvl w:ilvl="0" w:tplc="79C62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93"/>
    <w:rsid w:val="0005069F"/>
    <w:rsid w:val="00052E2D"/>
    <w:rsid w:val="00090615"/>
    <w:rsid w:val="000A0412"/>
    <w:rsid w:val="000C3803"/>
    <w:rsid w:val="0011513C"/>
    <w:rsid w:val="00115C95"/>
    <w:rsid w:val="001300A6"/>
    <w:rsid w:val="0013662E"/>
    <w:rsid w:val="001403D3"/>
    <w:rsid w:val="00160772"/>
    <w:rsid w:val="001639C7"/>
    <w:rsid w:val="00173267"/>
    <w:rsid w:val="001A14DB"/>
    <w:rsid w:val="001B515D"/>
    <w:rsid w:val="001D0775"/>
    <w:rsid w:val="001E0A8D"/>
    <w:rsid w:val="001E22A2"/>
    <w:rsid w:val="001F0A24"/>
    <w:rsid w:val="00205ADC"/>
    <w:rsid w:val="00242D8A"/>
    <w:rsid w:val="002736A5"/>
    <w:rsid w:val="002C78D6"/>
    <w:rsid w:val="002D1737"/>
    <w:rsid w:val="002D24BD"/>
    <w:rsid w:val="002D59A8"/>
    <w:rsid w:val="002E4D56"/>
    <w:rsid w:val="002E6FE9"/>
    <w:rsid w:val="002F2C05"/>
    <w:rsid w:val="00327580"/>
    <w:rsid w:val="00364122"/>
    <w:rsid w:val="00374A26"/>
    <w:rsid w:val="003E7BD4"/>
    <w:rsid w:val="004013CE"/>
    <w:rsid w:val="004038EF"/>
    <w:rsid w:val="00406BDE"/>
    <w:rsid w:val="00442F10"/>
    <w:rsid w:val="00455AB9"/>
    <w:rsid w:val="00470C2D"/>
    <w:rsid w:val="004A13F2"/>
    <w:rsid w:val="004B4C77"/>
    <w:rsid w:val="004B535B"/>
    <w:rsid w:val="004C55B9"/>
    <w:rsid w:val="004C5DC1"/>
    <w:rsid w:val="004D3279"/>
    <w:rsid w:val="004F7DEE"/>
    <w:rsid w:val="005039AE"/>
    <w:rsid w:val="0050622E"/>
    <w:rsid w:val="0057586A"/>
    <w:rsid w:val="005B2CEA"/>
    <w:rsid w:val="005B509B"/>
    <w:rsid w:val="006149E3"/>
    <w:rsid w:val="00622B3C"/>
    <w:rsid w:val="0063268D"/>
    <w:rsid w:val="00633DEA"/>
    <w:rsid w:val="00641F17"/>
    <w:rsid w:val="00675F9A"/>
    <w:rsid w:val="006B5AFC"/>
    <w:rsid w:val="006F62DA"/>
    <w:rsid w:val="0070500C"/>
    <w:rsid w:val="0072733D"/>
    <w:rsid w:val="007677F2"/>
    <w:rsid w:val="007739E0"/>
    <w:rsid w:val="00775715"/>
    <w:rsid w:val="007C5631"/>
    <w:rsid w:val="007E1917"/>
    <w:rsid w:val="0081015C"/>
    <w:rsid w:val="008215C1"/>
    <w:rsid w:val="00874704"/>
    <w:rsid w:val="00884920"/>
    <w:rsid w:val="008B7FE8"/>
    <w:rsid w:val="008F5E27"/>
    <w:rsid w:val="009067BA"/>
    <w:rsid w:val="00911AC8"/>
    <w:rsid w:val="009261BD"/>
    <w:rsid w:val="00936B5E"/>
    <w:rsid w:val="0096152D"/>
    <w:rsid w:val="0097247A"/>
    <w:rsid w:val="009766EC"/>
    <w:rsid w:val="009A0F49"/>
    <w:rsid w:val="009B7888"/>
    <w:rsid w:val="009C1C74"/>
    <w:rsid w:val="009E212E"/>
    <w:rsid w:val="00A00714"/>
    <w:rsid w:val="00A16301"/>
    <w:rsid w:val="00A17792"/>
    <w:rsid w:val="00A2020E"/>
    <w:rsid w:val="00A27C5C"/>
    <w:rsid w:val="00A36BEF"/>
    <w:rsid w:val="00A434EF"/>
    <w:rsid w:val="00A66466"/>
    <w:rsid w:val="00A728C8"/>
    <w:rsid w:val="00A85B38"/>
    <w:rsid w:val="00A976CB"/>
    <w:rsid w:val="00AB5F3E"/>
    <w:rsid w:val="00B01DE4"/>
    <w:rsid w:val="00B22879"/>
    <w:rsid w:val="00B277C9"/>
    <w:rsid w:val="00B467A0"/>
    <w:rsid w:val="00B54ACF"/>
    <w:rsid w:val="00B54F51"/>
    <w:rsid w:val="00B57E80"/>
    <w:rsid w:val="00B905FA"/>
    <w:rsid w:val="00BE4A0F"/>
    <w:rsid w:val="00C039F5"/>
    <w:rsid w:val="00C04C67"/>
    <w:rsid w:val="00C552AA"/>
    <w:rsid w:val="00C5743A"/>
    <w:rsid w:val="00C919CB"/>
    <w:rsid w:val="00CA0781"/>
    <w:rsid w:val="00CC5C60"/>
    <w:rsid w:val="00CD365C"/>
    <w:rsid w:val="00CF5541"/>
    <w:rsid w:val="00D1462A"/>
    <w:rsid w:val="00D414B7"/>
    <w:rsid w:val="00D44E93"/>
    <w:rsid w:val="00D45F97"/>
    <w:rsid w:val="00D46C4D"/>
    <w:rsid w:val="00D760F8"/>
    <w:rsid w:val="00DC3F06"/>
    <w:rsid w:val="00DE50EA"/>
    <w:rsid w:val="00E14C08"/>
    <w:rsid w:val="00E210BB"/>
    <w:rsid w:val="00E373E6"/>
    <w:rsid w:val="00E476AF"/>
    <w:rsid w:val="00E80905"/>
    <w:rsid w:val="00EB4183"/>
    <w:rsid w:val="00EB72C7"/>
    <w:rsid w:val="00EC31BB"/>
    <w:rsid w:val="00EE0DFA"/>
    <w:rsid w:val="00EF16ED"/>
    <w:rsid w:val="00EF538C"/>
    <w:rsid w:val="00F0486D"/>
    <w:rsid w:val="00F30639"/>
    <w:rsid w:val="00F84935"/>
    <w:rsid w:val="00FA535D"/>
    <w:rsid w:val="00FD38AC"/>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288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9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D44E9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BodyText3">
    <w:name w:val="Body Text 3"/>
    <w:basedOn w:val="Normal"/>
    <w:link w:val="BodyText3Char"/>
    <w:rsid w:val="00D44E93"/>
    <w:pPr>
      <w:spacing w:after="120" w:line="240" w:lineRule="auto"/>
    </w:pPr>
    <w:rPr>
      <w:rFonts w:ascii="Times New Roman" w:eastAsia="Batang" w:hAnsi="Times New Roman"/>
      <w:sz w:val="16"/>
      <w:szCs w:val="16"/>
    </w:rPr>
  </w:style>
  <w:style w:type="character" w:customStyle="1" w:styleId="BodyText3Char">
    <w:name w:val="Body Text 3 Char"/>
    <w:basedOn w:val="DefaultParagraphFont"/>
    <w:link w:val="BodyText3"/>
    <w:rsid w:val="00D44E93"/>
    <w:rPr>
      <w:rFonts w:ascii="Times New Roman" w:eastAsia="Batang" w:hAnsi="Times New Roman" w:cs="Times New Roman"/>
      <w:sz w:val="16"/>
      <w:szCs w:val="16"/>
    </w:rPr>
  </w:style>
  <w:style w:type="character" w:customStyle="1" w:styleId="ListParagraphChar">
    <w:name w:val="List Paragraph Char"/>
    <w:aliases w:val="Colorful List - Accent 11 Char"/>
    <w:link w:val="ListParagraph"/>
    <w:uiPriority w:val="34"/>
    <w:locked/>
    <w:rsid w:val="00D44E93"/>
    <w:rPr>
      <w:rFonts w:ascii="Cambria" w:eastAsia="Cambria" w:hAnsi="Cambria" w:cs="Cambria"/>
      <w:color w:val="000000"/>
      <w:u w:color="000000"/>
      <w:bdr w:val="nil"/>
      <w:lang w:eastAsia="es-ES"/>
    </w:rPr>
  </w:style>
  <w:style w:type="paragraph" w:styleId="Header">
    <w:name w:val="header"/>
    <w:basedOn w:val="Normal"/>
    <w:link w:val="HeaderChar"/>
    <w:unhideWhenUsed/>
    <w:rsid w:val="00D44E93"/>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D44E93"/>
    <w:rPr>
      <w:rFonts w:ascii="Calibri" w:eastAsia="MS Mincho" w:hAnsi="Calibri" w:cs="Times New Roman"/>
      <w:sz w:val="22"/>
      <w:szCs w:val="22"/>
    </w:rPr>
  </w:style>
  <w:style w:type="paragraph" w:styleId="Footer">
    <w:name w:val="footer"/>
    <w:basedOn w:val="Normal"/>
    <w:link w:val="FooterChar"/>
    <w:unhideWhenUsed/>
    <w:rsid w:val="00D44E93"/>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D44E93"/>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iPriority w:val="99"/>
    <w:unhideWhenUsed/>
    <w:rsid w:val="00D44E93"/>
    <w:rPr>
      <w:vertAlign w:val="superscript"/>
    </w:rPr>
  </w:style>
  <w:style w:type="paragraph" w:styleId="FootnoteText">
    <w:name w:val="footnote text"/>
    <w:basedOn w:val="Normal"/>
    <w:link w:val="FootnoteTextChar"/>
    <w:uiPriority w:val="99"/>
    <w:unhideWhenUsed/>
    <w:rsid w:val="00D44E93"/>
    <w:rPr>
      <w:sz w:val="24"/>
      <w:szCs w:val="24"/>
    </w:rPr>
  </w:style>
  <w:style w:type="character" w:customStyle="1" w:styleId="FootnoteTextChar">
    <w:name w:val="Footnote Text Char"/>
    <w:basedOn w:val="DefaultParagraphFont"/>
    <w:link w:val="FootnoteText"/>
    <w:uiPriority w:val="99"/>
    <w:rsid w:val="00D44E93"/>
    <w:rPr>
      <w:rFonts w:ascii="Calibri" w:eastAsia="Calibri" w:hAnsi="Calibri" w:cs="Times New Roman"/>
    </w:rPr>
  </w:style>
  <w:style w:type="paragraph" w:styleId="BodyTextIndent">
    <w:name w:val="Body Text Indent"/>
    <w:basedOn w:val="Normal"/>
    <w:link w:val="BodyTextIndentChar"/>
    <w:uiPriority w:val="99"/>
    <w:semiHidden/>
    <w:unhideWhenUsed/>
    <w:rsid w:val="001F0A24"/>
    <w:pPr>
      <w:spacing w:after="120"/>
      <w:ind w:left="360"/>
    </w:pPr>
  </w:style>
  <w:style w:type="character" w:customStyle="1" w:styleId="BodyTextIndentChar">
    <w:name w:val="Body Text Indent Char"/>
    <w:basedOn w:val="DefaultParagraphFont"/>
    <w:link w:val="BodyTextIndent"/>
    <w:uiPriority w:val="99"/>
    <w:semiHidden/>
    <w:rsid w:val="001F0A24"/>
    <w:rPr>
      <w:rFonts w:ascii="Calibri" w:eastAsia="Calibri" w:hAnsi="Calibri" w:cs="Times New Roman"/>
      <w:sz w:val="22"/>
      <w:szCs w:val="22"/>
    </w:rPr>
  </w:style>
  <w:style w:type="paragraph" w:styleId="NormalWeb">
    <w:name w:val="Normal (Web)"/>
    <w:basedOn w:val="Normal"/>
    <w:uiPriority w:val="99"/>
    <w:semiHidden/>
    <w:unhideWhenUsed/>
    <w:rsid w:val="008215C1"/>
    <w:pPr>
      <w:spacing w:before="100" w:beforeAutospacing="1" w:after="100" w:afterAutospacing="1" w:line="240" w:lineRule="auto"/>
    </w:pPr>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4D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79"/>
    <w:rPr>
      <w:rFonts w:ascii="Tahoma" w:eastAsia="Calibri" w:hAnsi="Tahoma" w:cs="Tahoma"/>
      <w:sz w:val="16"/>
      <w:szCs w:val="16"/>
    </w:rPr>
  </w:style>
  <w:style w:type="character" w:styleId="Hyperlink">
    <w:name w:val="Hyperlink"/>
    <w:basedOn w:val="DefaultParagraphFont"/>
    <w:uiPriority w:val="99"/>
    <w:unhideWhenUsed/>
    <w:rsid w:val="008101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9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D44E9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BodyText3">
    <w:name w:val="Body Text 3"/>
    <w:basedOn w:val="Normal"/>
    <w:link w:val="BodyText3Char"/>
    <w:rsid w:val="00D44E93"/>
    <w:pPr>
      <w:spacing w:after="120" w:line="240" w:lineRule="auto"/>
    </w:pPr>
    <w:rPr>
      <w:rFonts w:ascii="Times New Roman" w:eastAsia="Batang" w:hAnsi="Times New Roman"/>
      <w:sz w:val="16"/>
      <w:szCs w:val="16"/>
    </w:rPr>
  </w:style>
  <w:style w:type="character" w:customStyle="1" w:styleId="BodyText3Char">
    <w:name w:val="Body Text 3 Char"/>
    <w:basedOn w:val="DefaultParagraphFont"/>
    <w:link w:val="BodyText3"/>
    <w:rsid w:val="00D44E93"/>
    <w:rPr>
      <w:rFonts w:ascii="Times New Roman" w:eastAsia="Batang" w:hAnsi="Times New Roman" w:cs="Times New Roman"/>
      <w:sz w:val="16"/>
      <w:szCs w:val="16"/>
    </w:rPr>
  </w:style>
  <w:style w:type="character" w:customStyle="1" w:styleId="ListParagraphChar">
    <w:name w:val="List Paragraph Char"/>
    <w:aliases w:val="Colorful List - Accent 11 Char"/>
    <w:link w:val="ListParagraph"/>
    <w:uiPriority w:val="34"/>
    <w:locked/>
    <w:rsid w:val="00D44E93"/>
    <w:rPr>
      <w:rFonts w:ascii="Cambria" w:eastAsia="Cambria" w:hAnsi="Cambria" w:cs="Cambria"/>
      <w:color w:val="000000"/>
      <w:u w:color="000000"/>
      <w:bdr w:val="nil"/>
      <w:lang w:eastAsia="es-ES"/>
    </w:rPr>
  </w:style>
  <w:style w:type="paragraph" w:styleId="Header">
    <w:name w:val="header"/>
    <w:basedOn w:val="Normal"/>
    <w:link w:val="HeaderChar"/>
    <w:unhideWhenUsed/>
    <w:rsid w:val="00D44E93"/>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D44E93"/>
    <w:rPr>
      <w:rFonts w:ascii="Calibri" w:eastAsia="MS Mincho" w:hAnsi="Calibri" w:cs="Times New Roman"/>
      <w:sz w:val="22"/>
      <w:szCs w:val="22"/>
    </w:rPr>
  </w:style>
  <w:style w:type="paragraph" w:styleId="Footer">
    <w:name w:val="footer"/>
    <w:basedOn w:val="Normal"/>
    <w:link w:val="FooterChar"/>
    <w:unhideWhenUsed/>
    <w:rsid w:val="00D44E93"/>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D44E93"/>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iPriority w:val="99"/>
    <w:unhideWhenUsed/>
    <w:rsid w:val="00D44E93"/>
    <w:rPr>
      <w:vertAlign w:val="superscript"/>
    </w:rPr>
  </w:style>
  <w:style w:type="paragraph" w:styleId="FootnoteText">
    <w:name w:val="footnote text"/>
    <w:basedOn w:val="Normal"/>
    <w:link w:val="FootnoteTextChar"/>
    <w:uiPriority w:val="99"/>
    <w:unhideWhenUsed/>
    <w:rsid w:val="00D44E93"/>
    <w:rPr>
      <w:sz w:val="24"/>
      <w:szCs w:val="24"/>
    </w:rPr>
  </w:style>
  <w:style w:type="character" w:customStyle="1" w:styleId="FootnoteTextChar">
    <w:name w:val="Footnote Text Char"/>
    <w:basedOn w:val="DefaultParagraphFont"/>
    <w:link w:val="FootnoteText"/>
    <w:uiPriority w:val="99"/>
    <w:rsid w:val="00D44E93"/>
    <w:rPr>
      <w:rFonts w:ascii="Calibri" w:eastAsia="Calibri" w:hAnsi="Calibri" w:cs="Times New Roman"/>
    </w:rPr>
  </w:style>
  <w:style w:type="paragraph" w:styleId="BodyTextIndent">
    <w:name w:val="Body Text Indent"/>
    <w:basedOn w:val="Normal"/>
    <w:link w:val="BodyTextIndentChar"/>
    <w:uiPriority w:val="99"/>
    <w:semiHidden/>
    <w:unhideWhenUsed/>
    <w:rsid w:val="001F0A24"/>
    <w:pPr>
      <w:spacing w:after="120"/>
      <w:ind w:left="360"/>
    </w:pPr>
  </w:style>
  <w:style w:type="character" w:customStyle="1" w:styleId="BodyTextIndentChar">
    <w:name w:val="Body Text Indent Char"/>
    <w:basedOn w:val="DefaultParagraphFont"/>
    <w:link w:val="BodyTextIndent"/>
    <w:uiPriority w:val="99"/>
    <w:semiHidden/>
    <w:rsid w:val="001F0A24"/>
    <w:rPr>
      <w:rFonts w:ascii="Calibri" w:eastAsia="Calibri" w:hAnsi="Calibri" w:cs="Times New Roman"/>
      <w:sz w:val="22"/>
      <w:szCs w:val="22"/>
    </w:rPr>
  </w:style>
  <w:style w:type="paragraph" w:styleId="NormalWeb">
    <w:name w:val="Normal (Web)"/>
    <w:basedOn w:val="Normal"/>
    <w:uiPriority w:val="99"/>
    <w:semiHidden/>
    <w:unhideWhenUsed/>
    <w:rsid w:val="008215C1"/>
    <w:pPr>
      <w:spacing w:before="100" w:beforeAutospacing="1" w:after="100" w:afterAutospacing="1" w:line="240" w:lineRule="auto"/>
    </w:pPr>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4D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79"/>
    <w:rPr>
      <w:rFonts w:ascii="Tahoma" w:eastAsia="Calibri" w:hAnsi="Tahoma" w:cs="Tahoma"/>
      <w:sz w:val="16"/>
      <w:szCs w:val="16"/>
    </w:rPr>
  </w:style>
  <w:style w:type="character" w:styleId="Hyperlink">
    <w:name w:val="Hyperlink"/>
    <w:basedOn w:val="DefaultParagraphFont"/>
    <w:uiPriority w:val="99"/>
    <w:unhideWhenUsed/>
    <w:rsid w:val="00810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1216">
      <w:bodyDiv w:val="1"/>
      <w:marLeft w:val="0"/>
      <w:marRight w:val="0"/>
      <w:marTop w:val="0"/>
      <w:marBottom w:val="0"/>
      <w:divBdr>
        <w:top w:val="none" w:sz="0" w:space="0" w:color="auto"/>
        <w:left w:val="none" w:sz="0" w:space="0" w:color="auto"/>
        <w:bottom w:val="none" w:sz="0" w:space="0" w:color="auto"/>
        <w:right w:val="none" w:sz="0" w:space="0" w:color="auto"/>
      </w:divBdr>
      <w:divsChild>
        <w:div w:id="895245182">
          <w:marLeft w:val="0"/>
          <w:marRight w:val="0"/>
          <w:marTop w:val="0"/>
          <w:marBottom w:val="0"/>
          <w:divBdr>
            <w:top w:val="none" w:sz="0" w:space="0" w:color="auto"/>
            <w:left w:val="none" w:sz="0" w:space="0" w:color="auto"/>
            <w:bottom w:val="none" w:sz="0" w:space="0" w:color="auto"/>
            <w:right w:val="none" w:sz="0" w:space="0" w:color="auto"/>
          </w:divBdr>
          <w:divsChild>
            <w:div w:id="1503164182">
              <w:marLeft w:val="0"/>
              <w:marRight w:val="0"/>
              <w:marTop w:val="0"/>
              <w:marBottom w:val="0"/>
              <w:divBdr>
                <w:top w:val="none" w:sz="0" w:space="0" w:color="auto"/>
                <w:left w:val="none" w:sz="0" w:space="0" w:color="auto"/>
                <w:bottom w:val="none" w:sz="0" w:space="0" w:color="auto"/>
                <w:right w:val="none" w:sz="0" w:space="0" w:color="auto"/>
              </w:divBdr>
              <w:divsChild>
                <w:div w:id="17740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8F44-251C-4CE9-9D6D-2D16CEBA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Fontana, Maria Eva</cp:lastModifiedBy>
  <cp:revision>4</cp:revision>
  <cp:lastPrinted>2017-05-16T20:00:00Z</cp:lastPrinted>
  <dcterms:created xsi:type="dcterms:W3CDTF">2017-05-16T20:20:00Z</dcterms:created>
  <dcterms:modified xsi:type="dcterms:W3CDTF">2017-09-05T15:35:00Z</dcterms:modified>
</cp:coreProperties>
</file>