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DCF83" w14:textId="77777777" w:rsidR="006E188D" w:rsidRDefault="006E188D" w:rsidP="00554C78">
      <w:pPr>
        <w:tabs>
          <w:tab w:val="left" w:pos="810"/>
        </w:tabs>
        <w:suppressAutoHyphens/>
        <w:spacing w:after="0" w:line="240" w:lineRule="auto"/>
        <w:rPr>
          <w:rFonts w:asciiTheme="minorHAnsi" w:hAnsiTheme="minorHAnsi" w:cs="Arial"/>
          <w:lang w:val="es-CO"/>
        </w:rPr>
      </w:pPr>
    </w:p>
    <w:p w14:paraId="7591043A" w14:textId="77777777" w:rsidR="00554C78" w:rsidRPr="00554C78" w:rsidRDefault="00554C78" w:rsidP="00554C78">
      <w:pPr>
        <w:tabs>
          <w:tab w:val="left" w:pos="810"/>
        </w:tabs>
        <w:suppressAutoHyphens/>
        <w:spacing w:after="0" w:line="240" w:lineRule="auto"/>
        <w:rPr>
          <w:rFonts w:asciiTheme="minorHAnsi" w:hAnsiTheme="minorHAnsi" w:cs="Arial"/>
          <w:lang w:val="es-CO"/>
        </w:rPr>
      </w:pPr>
    </w:p>
    <w:p w14:paraId="7E5EC3EE" w14:textId="77CBF383" w:rsidR="006E188D" w:rsidRPr="00554C78" w:rsidRDefault="00B3406F" w:rsidP="00554C78">
      <w:pPr>
        <w:tabs>
          <w:tab w:val="left" w:pos="810"/>
        </w:tabs>
        <w:suppressAutoHyphens/>
        <w:spacing w:after="0" w:line="240" w:lineRule="auto"/>
        <w:jc w:val="right"/>
        <w:rPr>
          <w:rFonts w:asciiTheme="minorHAnsi" w:hAnsiTheme="minorHAnsi" w:cs="Arial"/>
          <w:b/>
          <w:lang w:val="es-PE"/>
        </w:rPr>
      </w:pPr>
      <w:r w:rsidRPr="00554C78">
        <w:rPr>
          <w:rFonts w:asciiTheme="minorHAnsi" w:hAnsiTheme="minorHAnsi" w:cs="Arial"/>
          <w:lang w:val="es-PE"/>
        </w:rPr>
        <w:t>19</w:t>
      </w:r>
      <w:r w:rsidR="006E188D" w:rsidRPr="00554C78">
        <w:rPr>
          <w:rFonts w:asciiTheme="minorHAnsi" w:hAnsiTheme="minorHAnsi" w:cs="Arial"/>
          <w:lang w:val="es-PE"/>
        </w:rPr>
        <w:t xml:space="preserve"> de</w:t>
      </w:r>
      <w:r w:rsidRPr="00554C78">
        <w:rPr>
          <w:rFonts w:asciiTheme="minorHAnsi" w:hAnsiTheme="minorHAnsi" w:cs="Arial"/>
          <w:lang w:val="es-PE"/>
        </w:rPr>
        <w:t xml:space="preserve"> octubre</w:t>
      </w:r>
      <w:r w:rsidR="006E188D" w:rsidRPr="00554C78">
        <w:rPr>
          <w:rFonts w:asciiTheme="minorHAnsi" w:hAnsiTheme="minorHAnsi" w:cs="Arial"/>
          <w:lang w:val="es-PE"/>
        </w:rPr>
        <w:t xml:space="preserve"> de 2017</w:t>
      </w:r>
    </w:p>
    <w:p w14:paraId="148F7EAB" w14:textId="5C66F11A" w:rsidR="006E188D" w:rsidRPr="00554C78" w:rsidRDefault="006E188D" w:rsidP="00554C78">
      <w:pPr>
        <w:widowControl w:val="0"/>
        <w:tabs>
          <w:tab w:val="left" w:pos="720"/>
        </w:tabs>
        <w:autoSpaceDE w:val="0"/>
        <w:autoSpaceDN w:val="0"/>
        <w:adjustRightInd w:val="0"/>
        <w:spacing w:after="0" w:line="240" w:lineRule="auto"/>
        <w:jc w:val="both"/>
        <w:rPr>
          <w:rFonts w:asciiTheme="minorHAnsi" w:hAnsiTheme="minorHAnsi" w:cs="Arial"/>
          <w:b/>
          <w:lang w:val="es-PE"/>
        </w:rPr>
      </w:pPr>
      <w:r w:rsidRPr="00554C78">
        <w:rPr>
          <w:rFonts w:asciiTheme="minorHAnsi" w:hAnsiTheme="minorHAnsi" w:cs="Arial"/>
          <w:b/>
          <w:lang w:val="es-PE"/>
        </w:rPr>
        <w:t>REF.:</w:t>
      </w:r>
      <w:bookmarkStart w:id="0" w:name="Peticion_n"/>
      <w:bookmarkEnd w:id="0"/>
      <w:r w:rsidRPr="00554C78">
        <w:rPr>
          <w:rFonts w:asciiTheme="minorHAnsi" w:hAnsiTheme="minorHAnsi" w:cs="Arial"/>
          <w:b/>
          <w:lang w:val="es-PE"/>
        </w:rPr>
        <w:tab/>
        <w:t xml:space="preserve">Caso Nº </w:t>
      </w:r>
      <w:r w:rsidRPr="00554C78">
        <w:rPr>
          <w:rFonts w:asciiTheme="minorHAnsi" w:hAnsiTheme="minorHAnsi"/>
          <w:b/>
          <w:lang w:val="es-PE"/>
        </w:rPr>
        <w:t>1</w:t>
      </w:r>
      <w:r w:rsidR="00E93D6B" w:rsidRPr="00554C78">
        <w:rPr>
          <w:rFonts w:asciiTheme="minorHAnsi" w:hAnsiTheme="minorHAnsi"/>
          <w:b/>
          <w:lang w:val="es-PE"/>
        </w:rPr>
        <w:t>1.738</w:t>
      </w:r>
    </w:p>
    <w:p w14:paraId="5FFB2DAD" w14:textId="49D40C58" w:rsidR="006E188D" w:rsidRPr="00554C78" w:rsidRDefault="00E93D6B" w:rsidP="00554C78">
      <w:pPr>
        <w:widowControl w:val="0"/>
        <w:tabs>
          <w:tab w:val="left" w:pos="810"/>
        </w:tabs>
        <w:autoSpaceDE w:val="0"/>
        <w:autoSpaceDN w:val="0"/>
        <w:adjustRightInd w:val="0"/>
        <w:spacing w:after="0" w:line="240" w:lineRule="auto"/>
        <w:ind w:firstLine="720"/>
        <w:jc w:val="both"/>
        <w:rPr>
          <w:rFonts w:asciiTheme="minorHAnsi" w:hAnsiTheme="minorHAnsi" w:cs="Arial"/>
          <w:b/>
          <w:lang w:val="es-PE"/>
        </w:rPr>
      </w:pPr>
      <w:r w:rsidRPr="00554C78">
        <w:rPr>
          <w:rFonts w:asciiTheme="minorHAnsi" w:hAnsiTheme="minorHAnsi"/>
          <w:b/>
          <w:lang w:val="es-ES"/>
        </w:rPr>
        <w:t>Elba Clotilde Perrone y Juan José Preckel</w:t>
      </w:r>
      <w:r w:rsidRPr="00554C78">
        <w:rPr>
          <w:rFonts w:asciiTheme="minorHAnsi" w:hAnsiTheme="minorHAnsi"/>
          <w:b/>
          <w:lang w:val="es-CO"/>
        </w:rPr>
        <w:t xml:space="preserve"> </w:t>
      </w:r>
    </w:p>
    <w:p w14:paraId="42143198" w14:textId="5D7C72F1" w:rsidR="006E188D" w:rsidRPr="00554C78" w:rsidRDefault="00D45CFD" w:rsidP="00554C78">
      <w:pPr>
        <w:tabs>
          <w:tab w:val="left" w:pos="720"/>
          <w:tab w:val="left" w:pos="810"/>
          <w:tab w:val="center" w:pos="6480"/>
        </w:tabs>
        <w:spacing w:after="0" w:line="240" w:lineRule="auto"/>
        <w:ind w:left="720"/>
        <w:jc w:val="both"/>
        <w:rPr>
          <w:rFonts w:asciiTheme="minorHAnsi" w:hAnsiTheme="minorHAnsi" w:cs="Arial"/>
          <w:b/>
          <w:lang w:val="es-ES_tradnl"/>
        </w:rPr>
      </w:pPr>
      <w:r w:rsidRPr="00554C78">
        <w:rPr>
          <w:rFonts w:asciiTheme="minorHAnsi" w:hAnsiTheme="minorHAnsi" w:cs="Arial"/>
          <w:b/>
          <w:lang w:val="es-CR"/>
        </w:rPr>
        <w:t>Argentina</w:t>
      </w:r>
      <w:r w:rsidR="006E188D" w:rsidRPr="00554C78">
        <w:rPr>
          <w:rFonts w:asciiTheme="minorHAnsi" w:hAnsiTheme="minorHAnsi" w:cs="Arial"/>
          <w:b/>
          <w:lang w:val="es-ES_tradnl"/>
        </w:rPr>
        <w:t xml:space="preserve"> </w:t>
      </w:r>
    </w:p>
    <w:p w14:paraId="78D440D0" w14:textId="77777777" w:rsidR="00437B59" w:rsidRPr="00554C78" w:rsidRDefault="00437B59" w:rsidP="00554C78">
      <w:pPr>
        <w:tabs>
          <w:tab w:val="left" w:pos="720"/>
          <w:tab w:val="left" w:pos="810"/>
          <w:tab w:val="center" w:pos="6480"/>
        </w:tabs>
        <w:spacing w:after="0" w:line="240" w:lineRule="auto"/>
        <w:jc w:val="both"/>
        <w:rPr>
          <w:rFonts w:asciiTheme="minorHAnsi" w:hAnsiTheme="minorHAnsi" w:cs="Arial"/>
          <w:lang w:val="es-PE"/>
        </w:rPr>
      </w:pPr>
    </w:p>
    <w:p w14:paraId="64665CB9" w14:textId="77777777" w:rsidR="00437B59" w:rsidRPr="00554C78" w:rsidRDefault="00437B59" w:rsidP="00554C78">
      <w:pPr>
        <w:tabs>
          <w:tab w:val="left" w:pos="720"/>
          <w:tab w:val="left" w:pos="810"/>
          <w:tab w:val="center" w:pos="6480"/>
        </w:tabs>
        <w:spacing w:after="0" w:line="240" w:lineRule="auto"/>
        <w:jc w:val="both"/>
        <w:rPr>
          <w:rFonts w:asciiTheme="minorHAnsi" w:hAnsiTheme="minorHAnsi" w:cs="Arial"/>
          <w:lang w:val="es-PE"/>
        </w:rPr>
      </w:pPr>
    </w:p>
    <w:p w14:paraId="1B1339EF" w14:textId="77777777" w:rsidR="006E188D" w:rsidRPr="00554C78" w:rsidRDefault="006E188D" w:rsidP="00554C78">
      <w:pPr>
        <w:tabs>
          <w:tab w:val="left" w:pos="720"/>
          <w:tab w:val="left" w:pos="810"/>
          <w:tab w:val="center" w:pos="6480"/>
        </w:tabs>
        <w:spacing w:after="0" w:line="240" w:lineRule="auto"/>
        <w:jc w:val="both"/>
        <w:rPr>
          <w:rFonts w:asciiTheme="minorHAnsi" w:hAnsiTheme="minorHAnsi" w:cs="Arial"/>
          <w:lang w:val="es-PE"/>
        </w:rPr>
      </w:pPr>
      <w:r w:rsidRPr="00554C78">
        <w:rPr>
          <w:rFonts w:asciiTheme="minorHAnsi" w:hAnsiTheme="minorHAnsi" w:cs="Arial"/>
          <w:lang w:val="es-PE"/>
        </w:rPr>
        <w:t>Señor Secretario:</w:t>
      </w:r>
    </w:p>
    <w:p w14:paraId="4BA23A80" w14:textId="77777777" w:rsidR="006E188D" w:rsidRPr="00554C78" w:rsidRDefault="006E188D" w:rsidP="00554C78">
      <w:pPr>
        <w:widowControl w:val="0"/>
        <w:tabs>
          <w:tab w:val="left" w:pos="810"/>
        </w:tabs>
        <w:autoSpaceDE w:val="0"/>
        <w:autoSpaceDN w:val="0"/>
        <w:adjustRightInd w:val="0"/>
        <w:spacing w:after="0" w:line="240" w:lineRule="auto"/>
        <w:jc w:val="both"/>
        <w:rPr>
          <w:rFonts w:asciiTheme="minorHAnsi" w:hAnsiTheme="minorHAnsi"/>
          <w:lang w:val="es-CO"/>
        </w:rPr>
      </w:pPr>
    </w:p>
    <w:p w14:paraId="29F561ED" w14:textId="311A0414" w:rsidR="00AF09EE" w:rsidRDefault="006E188D" w:rsidP="00554C78">
      <w:pPr>
        <w:widowControl w:val="0"/>
        <w:tabs>
          <w:tab w:val="left" w:pos="810"/>
          <w:tab w:val="left" w:pos="4230"/>
        </w:tabs>
        <w:autoSpaceDE w:val="0"/>
        <w:autoSpaceDN w:val="0"/>
        <w:adjustRightInd w:val="0"/>
        <w:spacing w:after="0" w:line="240" w:lineRule="auto"/>
        <w:ind w:firstLine="720"/>
        <w:jc w:val="both"/>
        <w:rPr>
          <w:rFonts w:asciiTheme="minorHAnsi" w:hAnsiTheme="minorHAnsi"/>
          <w:lang w:val="es-ES"/>
        </w:rPr>
      </w:pPr>
      <w:r w:rsidRPr="00554C78">
        <w:rPr>
          <w:rFonts w:asciiTheme="minorHAnsi" w:hAnsiTheme="minorHAnsi"/>
          <w:lang w:val="es-CO"/>
        </w:rPr>
        <w:t>Tengo el agrado de dirigirme a usted, en nombre de la Comisión Interamericana de Derechos Humanos, con el objeto</w:t>
      </w:r>
      <w:r w:rsidRPr="00554C78">
        <w:rPr>
          <w:rFonts w:asciiTheme="minorHAnsi" w:hAnsiTheme="minorHAnsi" w:cs="Arial"/>
          <w:lang w:val="es-CO"/>
        </w:rPr>
        <w:t xml:space="preserve"> de presentar ante la Honorable Corte Interame</w:t>
      </w:r>
      <w:r w:rsidR="00877502">
        <w:rPr>
          <w:rFonts w:asciiTheme="minorHAnsi" w:hAnsiTheme="minorHAnsi" w:cs="Arial"/>
          <w:lang w:val="es-CO"/>
        </w:rPr>
        <w:t>ricana de Derechos Humanos, el C</w:t>
      </w:r>
      <w:r w:rsidRPr="00554C78">
        <w:rPr>
          <w:rFonts w:asciiTheme="minorHAnsi" w:hAnsiTheme="minorHAnsi" w:cs="Arial"/>
          <w:lang w:val="es-CO"/>
        </w:rPr>
        <w:t xml:space="preserve">aso </w:t>
      </w:r>
      <w:r w:rsidR="00877502">
        <w:rPr>
          <w:rFonts w:asciiTheme="minorHAnsi" w:hAnsiTheme="minorHAnsi" w:cs="Arial"/>
          <w:lang w:val="es-CO"/>
        </w:rPr>
        <w:t xml:space="preserve">Nº </w:t>
      </w:r>
      <w:r w:rsidRPr="00554C78">
        <w:rPr>
          <w:rFonts w:asciiTheme="minorHAnsi" w:hAnsiTheme="minorHAnsi" w:cs="Arial"/>
          <w:lang w:val="es-CO"/>
        </w:rPr>
        <w:t>1</w:t>
      </w:r>
      <w:r w:rsidR="00437B59" w:rsidRPr="00554C78">
        <w:rPr>
          <w:rFonts w:asciiTheme="minorHAnsi" w:hAnsiTheme="minorHAnsi" w:cs="Arial"/>
          <w:lang w:val="es-CO"/>
        </w:rPr>
        <w:t>1.738</w:t>
      </w:r>
      <w:r w:rsidRPr="00554C78">
        <w:rPr>
          <w:rFonts w:asciiTheme="minorHAnsi" w:hAnsiTheme="minorHAnsi" w:cs="Arial"/>
          <w:lang w:val="es-CO"/>
        </w:rPr>
        <w:t xml:space="preserve"> – </w:t>
      </w:r>
      <w:r w:rsidR="00437B59" w:rsidRPr="00554C78">
        <w:rPr>
          <w:rFonts w:asciiTheme="minorHAnsi" w:hAnsiTheme="minorHAnsi"/>
          <w:lang w:val="es-ES"/>
        </w:rPr>
        <w:t>Elba Clotilde Perrone y Juan José Preckel</w:t>
      </w:r>
      <w:r w:rsidR="00437B59" w:rsidRPr="00554C78">
        <w:rPr>
          <w:rFonts w:asciiTheme="minorHAnsi" w:hAnsiTheme="minorHAnsi" w:cs="Arial"/>
          <w:lang w:val="es-CO"/>
        </w:rPr>
        <w:t xml:space="preserve"> </w:t>
      </w:r>
      <w:r w:rsidRPr="00554C78">
        <w:rPr>
          <w:rFonts w:asciiTheme="minorHAnsi" w:hAnsiTheme="minorHAnsi" w:cs="Arial"/>
          <w:lang w:val="es-CO"/>
        </w:rPr>
        <w:t xml:space="preserve">respecto de la República de </w:t>
      </w:r>
      <w:r w:rsidR="00B959E2" w:rsidRPr="00554C78">
        <w:rPr>
          <w:rFonts w:asciiTheme="minorHAnsi" w:hAnsiTheme="minorHAnsi" w:cs="Arial"/>
          <w:lang w:val="es-CO"/>
        </w:rPr>
        <w:t>Argentina</w:t>
      </w:r>
      <w:r w:rsidRPr="00554C78">
        <w:rPr>
          <w:rFonts w:asciiTheme="minorHAnsi" w:hAnsiTheme="minorHAnsi" w:cs="Arial"/>
          <w:lang w:val="es-CO"/>
        </w:rPr>
        <w:t xml:space="preserve"> (en adelante “el Estado”, “el Estado </w:t>
      </w:r>
      <w:r w:rsidR="00574517" w:rsidRPr="00554C78">
        <w:rPr>
          <w:rFonts w:asciiTheme="minorHAnsi" w:hAnsiTheme="minorHAnsi" w:cs="Arial"/>
          <w:lang w:val="es-CO"/>
        </w:rPr>
        <w:t>argentino</w:t>
      </w:r>
      <w:r w:rsidRPr="00554C78">
        <w:rPr>
          <w:rFonts w:asciiTheme="minorHAnsi" w:hAnsiTheme="minorHAnsi" w:cs="Arial"/>
          <w:lang w:val="es-CO"/>
        </w:rPr>
        <w:t>” o “</w:t>
      </w:r>
      <w:r w:rsidR="00574517" w:rsidRPr="00554C78">
        <w:rPr>
          <w:rFonts w:asciiTheme="minorHAnsi" w:hAnsiTheme="minorHAnsi" w:cs="Arial"/>
          <w:lang w:val="es-CO"/>
        </w:rPr>
        <w:t>Argentina</w:t>
      </w:r>
      <w:r w:rsidRPr="00554C78">
        <w:rPr>
          <w:rFonts w:asciiTheme="minorHAnsi" w:hAnsiTheme="minorHAnsi" w:cs="Arial"/>
          <w:lang w:val="es-CO"/>
        </w:rPr>
        <w:t xml:space="preserve">”), relacionado con </w:t>
      </w:r>
      <w:r w:rsidR="00AF09EE" w:rsidRPr="00554C78">
        <w:rPr>
          <w:rFonts w:asciiTheme="minorHAnsi" w:hAnsiTheme="minorHAnsi"/>
          <w:lang w:val="es-MX"/>
        </w:rPr>
        <w:t xml:space="preserve">la violación de los derechos a las garantías judiciales y protección judicial en los </w:t>
      </w:r>
      <w:r w:rsidR="00AF09EE" w:rsidRPr="00554C78">
        <w:rPr>
          <w:rFonts w:asciiTheme="minorHAnsi" w:hAnsiTheme="minorHAnsi"/>
          <w:lang w:val="es-ES"/>
        </w:rPr>
        <w:t>procesos administrativos y judiciales iniciados por Elba Clotilde Perrone y Juan José Preckel a efectos de solicitar el pago de los salarios y beneficios sociales dejados de percibir en la entidad estatal en la que laboraban, como consecuencia de su privación arbitraria de libertad durante la dictadura militar en 1976 por parte de agentes estatales.</w:t>
      </w:r>
      <w:r w:rsidR="00877502">
        <w:rPr>
          <w:rFonts w:asciiTheme="minorHAnsi" w:hAnsiTheme="minorHAnsi"/>
          <w:lang w:val="es-ES"/>
        </w:rPr>
        <w:t xml:space="preserve"> </w:t>
      </w:r>
      <w:r w:rsidR="00AF09EE" w:rsidRPr="00554C78">
        <w:rPr>
          <w:rFonts w:asciiTheme="minorHAnsi" w:hAnsiTheme="minorHAnsi"/>
          <w:lang w:val="es-ES"/>
        </w:rPr>
        <w:t xml:space="preserve"> La Comisión consideró que el lapso de más de doce años de duración de los procesos administrativos y judiciales sobrepasó un plazo que pueda considerarse razonable. </w:t>
      </w:r>
      <w:r w:rsidR="00877502">
        <w:rPr>
          <w:rFonts w:asciiTheme="minorHAnsi" w:hAnsiTheme="minorHAnsi"/>
          <w:lang w:val="es-ES"/>
        </w:rPr>
        <w:t xml:space="preserve"> </w:t>
      </w:r>
      <w:r w:rsidR="00AF09EE" w:rsidRPr="00554C78">
        <w:rPr>
          <w:rFonts w:asciiTheme="minorHAnsi" w:hAnsiTheme="minorHAnsi"/>
          <w:lang w:val="es-ES"/>
        </w:rPr>
        <w:t>Asimismo, la CIDH concluyó que las autoridades judiciales y administrativas violaron el derecho a contar con una motivación suficiente y adecuada. Adicionalmente, la Comisión consideró que al haberse violado dichas garantías del debido proceso, los procesos administrativos y judiciales también implicaron una vulneración del derecho a la prote</w:t>
      </w:r>
      <w:r w:rsidR="00554C78">
        <w:rPr>
          <w:rFonts w:asciiTheme="minorHAnsi" w:hAnsiTheme="minorHAnsi"/>
          <w:lang w:val="es-ES"/>
        </w:rPr>
        <w:t>cción judicial.</w:t>
      </w:r>
    </w:p>
    <w:p w14:paraId="787AEE8D" w14:textId="77777777" w:rsidR="00554C78" w:rsidRPr="00554C78" w:rsidRDefault="00554C78" w:rsidP="00554C78">
      <w:pPr>
        <w:widowControl w:val="0"/>
        <w:tabs>
          <w:tab w:val="left" w:pos="810"/>
          <w:tab w:val="left" w:pos="4230"/>
        </w:tabs>
        <w:autoSpaceDE w:val="0"/>
        <w:autoSpaceDN w:val="0"/>
        <w:adjustRightInd w:val="0"/>
        <w:spacing w:after="0" w:line="240" w:lineRule="auto"/>
        <w:ind w:firstLine="720"/>
        <w:jc w:val="both"/>
        <w:rPr>
          <w:rFonts w:asciiTheme="minorHAnsi" w:hAnsiTheme="minorHAnsi"/>
          <w:lang w:val="es-ES"/>
        </w:rPr>
      </w:pPr>
    </w:p>
    <w:p w14:paraId="17008778" w14:textId="75415E53" w:rsidR="006E188D" w:rsidRDefault="006E188D" w:rsidP="00554C78">
      <w:pPr>
        <w:pStyle w:val="NormalWeb"/>
        <w:spacing w:before="0" w:beforeAutospacing="0" w:after="0" w:afterAutospacing="0"/>
        <w:ind w:firstLine="720"/>
        <w:jc w:val="both"/>
        <w:rPr>
          <w:rFonts w:asciiTheme="minorHAnsi" w:hAnsiTheme="minorHAnsi"/>
          <w:sz w:val="22"/>
          <w:szCs w:val="22"/>
          <w:lang w:val="es-PE"/>
        </w:rPr>
      </w:pPr>
      <w:r w:rsidRPr="00554C78">
        <w:rPr>
          <w:rFonts w:asciiTheme="minorHAnsi" w:hAnsiTheme="minorHAnsi"/>
          <w:sz w:val="22"/>
          <w:szCs w:val="22"/>
          <w:lang w:val="es-PE"/>
        </w:rPr>
        <w:t xml:space="preserve">El Estado </w:t>
      </w:r>
      <w:r w:rsidR="00761BE8" w:rsidRPr="00554C78">
        <w:rPr>
          <w:rFonts w:asciiTheme="minorHAnsi" w:hAnsiTheme="minorHAnsi"/>
          <w:sz w:val="22"/>
          <w:szCs w:val="22"/>
          <w:lang w:val="es-PE"/>
        </w:rPr>
        <w:t>argentino</w:t>
      </w:r>
      <w:r w:rsidRPr="00554C78">
        <w:rPr>
          <w:rFonts w:asciiTheme="minorHAnsi" w:hAnsiTheme="minorHAnsi"/>
          <w:sz w:val="22"/>
          <w:szCs w:val="22"/>
          <w:lang w:val="es-PE"/>
        </w:rPr>
        <w:t xml:space="preserve"> ratificó la Convención Americana sobre Derechos Humanos y aceptó la competencia contenciosa de la Corte Interamericana el </w:t>
      </w:r>
      <w:r w:rsidR="00C91B21" w:rsidRPr="00554C78">
        <w:rPr>
          <w:rFonts w:asciiTheme="minorHAnsi" w:hAnsiTheme="minorHAnsi"/>
          <w:sz w:val="22"/>
          <w:szCs w:val="22"/>
          <w:lang w:val="es-PE"/>
        </w:rPr>
        <w:t>5</w:t>
      </w:r>
      <w:r w:rsidRPr="00554C78">
        <w:rPr>
          <w:rFonts w:asciiTheme="minorHAnsi" w:hAnsiTheme="minorHAnsi"/>
          <w:sz w:val="22"/>
          <w:szCs w:val="22"/>
          <w:lang w:val="es-PE"/>
        </w:rPr>
        <w:t xml:space="preserve"> de </w:t>
      </w:r>
      <w:r w:rsidR="00C91B21" w:rsidRPr="00554C78">
        <w:rPr>
          <w:rFonts w:asciiTheme="minorHAnsi" w:hAnsiTheme="minorHAnsi"/>
          <w:sz w:val="22"/>
          <w:szCs w:val="22"/>
          <w:lang w:val="es-PE"/>
        </w:rPr>
        <w:t>septiembre</w:t>
      </w:r>
      <w:r w:rsidRPr="00554C78">
        <w:rPr>
          <w:rFonts w:asciiTheme="minorHAnsi" w:hAnsiTheme="minorHAnsi"/>
          <w:sz w:val="22"/>
          <w:szCs w:val="22"/>
          <w:lang w:val="es-PE"/>
        </w:rPr>
        <w:t xml:space="preserve"> de </w:t>
      </w:r>
      <w:r w:rsidR="00C91B21" w:rsidRPr="00554C78">
        <w:rPr>
          <w:rFonts w:asciiTheme="minorHAnsi" w:hAnsiTheme="minorHAnsi"/>
          <w:sz w:val="22"/>
          <w:szCs w:val="22"/>
          <w:lang w:val="es-PE"/>
        </w:rPr>
        <w:t>1984</w:t>
      </w:r>
      <w:r w:rsidRPr="00554C78">
        <w:rPr>
          <w:rFonts w:asciiTheme="minorHAnsi" w:hAnsiTheme="minorHAnsi"/>
          <w:sz w:val="22"/>
          <w:szCs w:val="22"/>
          <w:lang w:val="es-PE"/>
        </w:rPr>
        <w:t xml:space="preserve">. </w:t>
      </w:r>
    </w:p>
    <w:p w14:paraId="4E1B4490" w14:textId="77777777" w:rsidR="00877502" w:rsidRPr="00554C78" w:rsidRDefault="00877502" w:rsidP="00554C78">
      <w:pPr>
        <w:pStyle w:val="NormalWeb"/>
        <w:spacing w:before="0" w:beforeAutospacing="0" w:after="0" w:afterAutospacing="0"/>
        <w:ind w:firstLine="720"/>
        <w:jc w:val="both"/>
        <w:rPr>
          <w:rFonts w:asciiTheme="minorHAnsi" w:hAnsiTheme="minorHAnsi"/>
          <w:sz w:val="22"/>
          <w:szCs w:val="22"/>
          <w:lang w:val="es-PE"/>
        </w:rPr>
      </w:pPr>
    </w:p>
    <w:p w14:paraId="0A59BBCC" w14:textId="0B83B71C" w:rsidR="006E188D" w:rsidRPr="00554C78" w:rsidRDefault="006E188D" w:rsidP="00554C78">
      <w:pPr>
        <w:tabs>
          <w:tab w:val="left" w:pos="810"/>
        </w:tabs>
        <w:spacing w:after="0" w:line="240" w:lineRule="auto"/>
        <w:ind w:firstLine="720"/>
        <w:jc w:val="both"/>
        <w:rPr>
          <w:rFonts w:asciiTheme="minorHAnsi" w:hAnsiTheme="minorHAnsi" w:cs="Arial"/>
          <w:lang w:val="es-CO"/>
        </w:rPr>
      </w:pPr>
      <w:r w:rsidRPr="00554C78">
        <w:rPr>
          <w:rFonts w:asciiTheme="minorHAnsi" w:hAnsiTheme="minorHAnsi"/>
          <w:lang w:val="es-CO"/>
        </w:rPr>
        <w:t xml:space="preserve">La Comisión ha designado al Comisionado </w:t>
      </w:r>
      <w:r w:rsidR="005418A7" w:rsidRPr="00554C78">
        <w:rPr>
          <w:rFonts w:asciiTheme="minorHAnsi" w:hAnsiTheme="minorHAnsi"/>
          <w:lang w:val="es-CO"/>
        </w:rPr>
        <w:t xml:space="preserve">Francisco Eguiguren </w:t>
      </w:r>
      <w:r w:rsidRPr="00554C78">
        <w:rPr>
          <w:rFonts w:asciiTheme="minorHAnsi" w:hAnsiTheme="minorHAnsi"/>
          <w:lang w:val="es-CO"/>
        </w:rPr>
        <w:t>y al Secretario Ejecutivo Paulo Abr</w:t>
      </w:r>
      <w:r w:rsidRPr="00554C78">
        <w:rPr>
          <w:rFonts w:asciiTheme="minorHAnsi" w:hAnsiTheme="minorHAnsi"/>
          <w:lang w:val="es-PE"/>
        </w:rPr>
        <w:t xml:space="preserve">ão, </w:t>
      </w:r>
      <w:r w:rsidR="00EB06D1">
        <w:rPr>
          <w:rFonts w:asciiTheme="minorHAnsi" w:hAnsiTheme="minorHAnsi"/>
          <w:lang w:val="es-CO"/>
        </w:rPr>
        <w:t>como sus D</w:t>
      </w:r>
      <w:r w:rsidRPr="00554C78">
        <w:rPr>
          <w:rFonts w:asciiTheme="minorHAnsi" w:hAnsiTheme="minorHAnsi"/>
          <w:lang w:val="es-CO"/>
        </w:rPr>
        <w:t xml:space="preserve">elegados. </w:t>
      </w:r>
      <w:r w:rsidR="00EB06D1">
        <w:rPr>
          <w:rFonts w:asciiTheme="minorHAnsi" w:hAnsiTheme="minorHAnsi"/>
          <w:lang w:val="es-CO"/>
        </w:rPr>
        <w:t xml:space="preserve"> </w:t>
      </w:r>
      <w:r w:rsidRPr="00554C78">
        <w:rPr>
          <w:rFonts w:asciiTheme="minorHAnsi" w:hAnsiTheme="minorHAnsi"/>
          <w:lang w:val="es-CO"/>
        </w:rPr>
        <w:t xml:space="preserve">Asimismo, Elizabeth Abi-Mershed, Secretaria Ejecutiva Adjunta, y Silvia Serrano Guzmán y </w:t>
      </w:r>
      <w:r w:rsidR="00AF09EE" w:rsidRPr="00554C78">
        <w:rPr>
          <w:rFonts w:asciiTheme="minorHAnsi" w:hAnsiTheme="minorHAnsi"/>
          <w:lang w:val="es-CO"/>
        </w:rPr>
        <w:t>Erick Acuña Pereda</w:t>
      </w:r>
      <w:r w:rsidRPr="00554C78">
        <w:rPr>
          <w:rFonts w:asciiTheme="minorHAnsi" w:hAnsiTheme="minorHAnsi"/>
          <w:lang w:val="es-CO"/>
        </w:rPr>
        <w:t xml:space="preserve">, </w:t>
      </w:r>
      <w:r w:rsidRPr="00554C78">
        <w:rPr>
          <w:rFonts w:asciiTheme="minorHAnsi" w:hAnsiTheme="minorHAnsi"/>
          <w:lang w:val="es-ES"/>
        </w:rPr>
        <w:t xml:space="preserve">abogada y abogado de la Secretaría Ejecutiva, </w:t>
      </w:r>
      <w:r w:rsidRPr="00554C78">
        <w:rPr>
          <w:rFonts w:asciiTheme="minorHAnsi" w:hAnsiTheme="minorHAnsi"/>
          <w:lang w:val="es-CO"/>
        </w:rPr>
        <w:t>actuarán como asesoras y asesor legales.</w:t>
      </w:r>
    </w:p>
    <w:p w14:paraId="2F86333D" w14:textId="77777777" w:rsidR="006E188D" w:rsidRPr="00554C78" w:rsidRDefault="006E188D" w:rsidP="00554C78">
      <w:pPr>
        <w:widowControl w:val="0"/>
        <w:tabs>
          <w:tab w:val="left" w:pos="810"/>
        </w:tabs>
        <w:autoSpaceDE w:val="0"/>
        <w:autoSpaceDN w:val="0"/>
        <w:adjustRightInd w:val="0"/>
        <w:spacing w:after="0" w:line="240" w:lineRule="auto"/>
        <w:jc w:val="both"/>
        <w:rPr>
          <w:rFonts w:asciiTheme="minorHAnsi" w:hAnsiTheme="minorHAnsi" w:cs="Arial"/>
          <w:lang w:val="es-ES"/>
        </w:rPr>
      </w:pPr>
    </w:p>
    <w:p w14:paraId="1F1E5CDE" w14:textId="0DA01D97" w:rsidR="00AF09EE" w:rsidRPr="00554C78" w:rsidRDefault="00AF09EE" w:rsidP="00554C78">
      <w:pPr>
        <w:tabs>
          <w:tab w:val="left" w:pos="810"/>
        </w:tabs>
        <w:spacing w:after="0" w:line="240" w:lineRule="auto"/>
        <w:ind w:firstLine="720"/>
        <w:jc w:val="both"/>
        <w:rPr>
          <w:rFonts w:asciiTheme="minorHAnsi" w:hAnsiTheme="minorHAnsi"/>
          <w:lang w:val="es-AR"/>
        </w:rPr>
      </w:pPr>
      <w:r w:rsidRPr="00554C78">
        <w:rPr>
          <w:rFonts w:asciiTheme="minorHAnsi" w:hAnsiTheme="minorHAnsi" w:cs="Arial"/>
          <w:lang w:val="es-CO"/>
        </w:rPr>
        <w:t xml:space="preserve">De conformidad con el artículo 35 del Reglamento de la Corte Interamericana, la Comisión adjunta </w:t>
      </w:r>
      <w:r w:rsidRPr="00554C78">
        <w:rPr>
          <w:rFonts w:asciiTheme="minorHAnsi" w:hAnsiTheme="minorHAnsi"/>
          <w:lang w:val="es-CO"/>
        </w:rPr>
        <w:t xml:space="preserve">copia del </w:t>
      </w:r>
      <w:r w:rsidR="00EB06D1">
        <w:rPr>
          <w:rFonts w:asciiTheme="minorHAnsi" w:hAnsiTheme="minorHAnsi"/>
          <w:lang w:val="es-CO"/>
        </w:rPr>
        <w:t>I</w:t>
      </w:r>
      <w:r w:rsidRPr="00554C78">
        <w:rPr>
          <w:rFonts w:asciiTheme="minorHAnsi" w:hAnsiTheme="minorHAnsi"/>
          <w:lang w:val="es-CO"/>
        </w:rPr>
        <w:t xml:space="preserve">nforme de </w:t>
      </w:r>
      <w:r w:rsidR="00EB06D1">
        <w:rPr>
          <w:rFonts w:asciiTheme="minorHAnsi" w:hAnsiTheme="minorHAnsi"/>
          <w:lang w:val="es-CO"/>
        </w:rPr>
        <w:t>F</w:t>
      </w:r>
      <w:r w:rsidRPr="00554C78">
        <w:rPr>
          <w:rFonts w:asciiTheme="minorHAnsi" w:hAnsiTheme="minorHAnsi"/>
          <w:lang w:val="es-CO"/>
        </w:rPr>
        <w:t xml:space="preserve">ondo </w:t>
      </w:r>
      <w:r w:rsidR="00EB06D1">
        <w:rPr>
          <w:rFonts w:asciiTheme="minorHAnsi" w:hAnsiTheme="minorHAnsi"/>
          <w:lang w:val="es-CO"/>
        </w:rPr>
        <w:t xml:space="preserve">Nº </w:t>
      </w:r>
      <w:r w:rsidR="00D00B88" w:rsidRPr="00554C78">
        <w:rPr>
          <w:rFonts w:asciiTheme="minorHAnsi" w:hAnsiTheme="minorHAnsi"/>
          <w:lang w:val="es-CO"/>
        </w:rPr>
        <w:t>21</w:t>
      </w:r>
      <w:r w:rsidRPr="00554C78">
        <w:rPr>
          <w:rFonts w:asciiTheme="minorHAnsi" w:hAnsiTheme="minorHAnsi"/>
          <w:lang w:val="es-CO"/>
        </w:rPr>
        <w:t>/</w:t>
      </w:r>
      <w:r w:rsidR="00D00B88" w:rsidRPr="00554C78">
        <w:rPr>
          <w:rFonts w:asciiTheme="minorHAnsi" w:hAnsiTheme="minorHAnsi"/>
          <w:lang w:val="es-CO"/>
        </w:rPr>
        <w:t>17</w:t>
      </w:r>
      <w:r w:rsidRPr="00554C78">
        <w:rPr>
          <w:rFonts w:asciiTheme="minorHAnsi" w:hAnsiTheme="minorHAnsi"/>
          <w:lang w:val="es-CO"/>
        </w:rPr>
        <w:t xml:space="preserve"> elaborado en observancia del artículo 50 de la Convención, así como copia de la totalidad del expediente ante la Comisión Interamericana (Apéndice I) y los anexos u</w:t>
      </w:r>
      <w:r w:rsidR="00EB06D1">
        <w:rPr>
          <w:rFonts w:asciiTheme="minorHAnsi" w:hAnsiTheme="minorHAnsi"/>
          <w:lang w:val="es-CO"/>
        </w:rPr>
        <w:t>tilizados en la elaboración del I</w:t>
      </w:r>
      <w:r w:rsidRPr="00554C78">
        <w:rPr>
          <w:rFonts w:asciiTheme="minorHAnsi" w:hAnsiTheme="minorHAnsi"/>
          <w:lang w:val="es-CO"/>
        </w:rPr>
        <w:t>nforme</w:t>
      </w:r>
      <w:r w:rsidR="00EB06D1">
        <w:rPr>
          <w:rFonts w:asciiTheme="minorHAnsi" w:hAnsiTheme="minorHAnsi"/>
          <w:lang w:val="es-CO"/>
        </w:rPr>
        <w:t xml:space="preserve"> Nº</w:t>
      </w:r>
      <w:r w:rsidRPr="00554C78">
        <w:rPr>
          <w:rFonts w:asciiTheme="minorHAnsi" w:hAnsiTheme="minorHAnsi"/>
          <w:lang w:val="es-CO"/>
        </w:rPr>
        <w:t xml:space="preserve"> </w:t>
      </w:r>
      <w:r w:rsidR="00E23B54" w:rsidRPr="00554C78">
        <w:rPr>
          <w:rFonts w:asciiTheme="minorHAnsi" w:hAnsiTheme="minorHAnsi"/>
          <w:lang w:val="es-CO"/>
        </w:rPr>
        <w:t>27</w:t>
      </w:r>
      <w:r w:rsidRPr="00554C78">
        <w:rPr>
          <w:rFonts w:asciiTheme="minorHAnsi" w:hAnsiTheme="minorHAnsi"/>
          <w:lang w:val="es-CO"/>
        </w:rPr>
        <w:t>/</w:t>
      </w:r>
      <w:r w:rsidR="00E23B54" w:rsidRPr="00554C78">
        <w:rPr>
          <w:rFonts w:asciiTheme="minorHAnsi" w:hAnsiTheme="minorHAnsi"/>
          <w:lang w:val="es-CO"/>
        </w:rPr>
        <w:t>17</w:t>
      </w:r>
      <w:r w:rsidRPr="00554C78">
        <w:rPr>
          <w:rFonts w:asciiTheme="minorHAnsi" w:hAnsiTheme="minorHAnsi"/>
          <w:lang w:val="es-CO"/>
        </w:rPr>
        <w:t xml:space="preserve"> (Anexos). </w:t>
      </w:r>
    </w:p>
    <w:p w14:paraId="5A50D49D" w14:textId="77777777" w:rsidR="00AF09EE" w:rsidRPr="00554C78" w:rsidRDefault="00AF09EE" w:rsidP="00554C78">
      <w:pPr>
        <w:widowControl w:val="0"/>
        <w:tabs>
          <w:tab w:val="left" w:pos="810"/>
        </w:tabs>
        <w:autoSpaceDE w:val="0"/>
        <w:autoSpaceDN w:val="0"/>
        <w:adjustRightInd w:val="0"/>
        <w:spacing w:after="0" w:line="240" w:lineRule="auto"/>
        <w:jc w:val="both"/>
        <w:rPr>
          <w:rFonts w:asciiTheme="minorHAnsi" w:hAnsiTheme="minorHAnsi" w:cs="Arial"/>
          <w:lang w:val="es-ES"/>
        </w:rPr>
      </w:pPr>
    </w:p>
    <w:p w14:paraId="69F96180" w14:textId="77777777" w:rsidR="00AF09EE" w:rsidRPr="00554C78" w:rsidRDefault="00AF09EE" w:rsidP="00554C78">
      <w:pPr>
        <w:widowControl w:val="0"/>
        <w:tabs>
          <w:tab w:val="left" w:pos="810"/>
        </w:tabs>
        <w:autoSpaceDE w:val="0"/>
        <w:autoSpaceDN w:val="0"/>
        <w:adjustRightInd w:val="0"/>
        <w:spacing w:after="0" w:line="240" w:lineRule="auto"/>
        <w:jc w:val="both"/>
        <w:rPr>
          <w:rFonts w:asciiTheme="minorHAnsi" w:hAnsiTheme="minorHAnsi" w:cs="Arial"/>
          <w:lang w:val="es-ES"/>
        </w:rPr>
      </w:pPr>
    </w:p>
    <w:p w14:paraId="4A68727E" w14:textId="77777777" w:rsidR="006E188D" w:rsidRPr="00554C78" w:rsidRDefault="006E188D" w:rsidP="00554C78">
      <w:pPr>
        <w:widowControl w:val="0"/>
        <w:tabs>
          <w:tab w:val="left" w:pos="810"/>
        </w:tabs>
        <w:autoSpaceDE w:val="0"/>
        <w:autoSpaceDN w:val="0"/>
        <w:adjustRightInd w:val="0"/>
        <w:spacing w:after="0" w:line="240" w:lineRule="auto"/>
        <w:jc w:val="both"/>
        <w:rPr>
          <w:rFonts w:asciiTheme="minorHAnsi" w:hAnsiTheme="minorHAnsi" w:cs="Arial"/>
          <w:snapToGrid w:val="0"/>
          <w:lang w:val="es-CO"/>
        </w:rPr>
      </w:pPr>
      <w:r w:rsidRPr="00554C78">
        <w:rPr>
          <w:rFonts w:asciiTheme="minorHAnsi" w:hAnsiTheme="minorHAnsi" w:cs="Arial"/>
          <w:snapToGrid w:val="0"/>
          <w:lang w:val="es-ES_tradnl"/>
        </w:rPr>
        <w:t>Señor</w:t>
      </w:r>
    </w:p>
    <w:p w14:paraId="23FD229E" w14:textId="77777777" w:rsidR="006E188D" w:rsidRPr="00554C78" w:rsidRDefault="006E188D" w:rsidP="00554C78">
      <w:pPr>
        <w:widowControl w:val="0"/>
        <w:tabs>
          <w:tab w:val="left" w:pos="810"/>
        </w:tabs>
        <w:autoSpaceDE w:val="0"/>
        <w:autoSpaceDN w:val="0"/>
        <w:adjustRightInd w:val="0"/>
        <w:spacing w:after="0" w:line="240" w:lineRule="auto"/>
        <w:jc w:val="both"/>
        <w:rPr>
          <w:rFonts w:asciiTheme="minorHAnsi" w:hAnsiTheme="minorHAnsi" w:cs="Arial"/>
          <w:snapToGrid w:val="0"/>
          <w:lang w:val="es-CO"/>
        </w:rPr>
      </w:pPr>
      <w:r w:rsidRPr="00554C78">
        <w:rPr>
          <w:rFonts w:asciiTheme="minorHAnsi" w:hAnsiTheme="minorHAnsi" w:cs="Arial"/>
          <w:snapToGrid w:val="0"/>
          <w:lang w:val="es-CO"/>
        </w:rPr>
        <w:t xml:space="preserve">Pablo </w:t>
      </w:r>
      <w:r w:rsidRPr="00554C78">
        <w:rPr>
          <w:rFonts w:asciiTheme="minorHAnsi" w:hAnsiTheme="minorHAnsi"/>
          <w:lang w:val="es-ES"/>
        </w:rPr>
        <w:t>Saavedra</w:t>
      </w:r>
      <w:r w:rsidRPr="00554C78">
        <w:rPr>
          <w:rFonts w:asciiTheme="minorHAnsi" w:hAnsiTheme="minorHAnsi" w:cs="Arial"/>
          <w:snapToGrid w:val="0"/>
          <w:lang w:val="es-CO"/>
        </w:rPr>
        <w:t xml:space="preserve"> Alessandri, Secretario</w:t>
      </w:r>
    </w:p>
    <w:p w14:paraId="4125CEE1" w14:textId="77777777" w:rsidR="006E188D" w:rsidRPr="00554C78" w:rsidRDefault="006E188D" w:rsidP="00554C78">
      <w:pPr>
        <w:widowControl w:val="0"/>
        <w:tabs>
          <w:tab w:val="left" w:pos="810"/>
        </w:tabs>
        <w:autoSpaceDE w:val="0"/>
        <w:autoSpaceDN w:val="0"/>
        <w:adjustRightInd w:val="0"/>
        <w:spacing w:after="0" w:line="240" w:lineRule="auto"/>
        <w:jc w:val="both"/>
        <w:rPr>
          <w:rFonts w:asciiTheme="minorHAnsi" w:hAnsiTheme="minorHAnsi" w:cs="Arial"/>
          <w:snapToGrid w:val="0"/>
          <w:lang w:val="es-ES_tradnl"/>
        </w:rPr>
      </w:pPr>
      <w:r w:rsidRPr="00554C78">
        <w:rPr>
          <w:rFonts w:asciiTheme="minorHAnsi" w:hAnsiTheme="minorHAnsi" w:cs="Arial"/>
          <w:snapToGrid w:val="0"/>
          <w:lang w:val="es-ES_tradnl"/>
        </w:rPr>
        <w:t>Corte Interamericana de Derechos Humanos</w:t>
      </w:r>
    </w:p>
    <w:p w14:paraId="627E7284" w14:textId="77777777" w:rsidR="006E188D" w:rsidRPr="00554C78" w:rsidRDefault="006E188D" w:rsidP="00554C78">
      <w:pPr>
        <w:widowControl w:val="0"/>
        <w:tabs>
          <w:tab w:val="left" w:pos="810"/>
        </w:tabs>
        <w:autoSpaceDE w:val="0"/>
        <w:autoSpaceDN w:val="0"/>
        <w:adjustRightInd w:val="0"/>
        <w:spacing w:after="0" w:line="240" w:lineRule="auto"/>
        <w:jc w:val="both"/>
        <w:rPr>
          <w:rFonts w:asciiTheme="minorHAnsi" w:hAnsiTheme="minorHAnsi" w:cs="Arial"/>
          <w:snapToGrid w:val="0"/>
          <w:lang w:val="es-ES_tradnl"/>
        </w:rPr>
      </w:pPr>
      <w:r w:rsidRPr="00554C78">
        <w:rPr>
          <w:rFonts w:asciiTheme="minorHAnsi" w:hAnsiTheme="minorHAnsi" w:cs="Arial"/>
          <w:snapToGrid w:val="0"/>
          <w:lang w:val="es-ES_tradnl"/>
        </w:rPr>
        <w:t>Apartado 6906-1000,</w:t>
      </w:r>
    </w:p>
    <w:p w14:paraId="27FC178F" w14:textId="77777777" w:rsidR="006E188D" w:rsidRPr="00554C78" w:rsidRDefault="006E188D" w:rsidP="00554C78">
      <w:pPr>
        <w:widowControl w:val="0"/>
        <w:tabs>
          <w:tab w:val="left" w:pos="810"/>
        </w:tabs>
        <w:autoSpaceDE w:val="0"/>
        <w:autoSpaceDN w:val="0"/>
        <w:adjustRightInd w:val="0"/>
        <w:spacing w:after="0" w:line="240" w:lineRule="auto"/>
        <w:jc w:val="both"/>
        <w:rPr>
          <w:rFonts w:asciiTheme="minorHAnsi" w:hAnsiTheme="minorHAnsi" w:cs="Arial"/>
          <w:snapToGrid w:val="0"/>
          <w:lang w:val="es-ES_tradnl"/>
        </w:rPr>
      </w:pPr>
      <w:r w:rsidRPr="00554C78">
        <w:rPr>
          <w:rFonts w:asciiTheme="minorHAnsi" w:hAnsiTheme="minorHAnsi" w:cs="Arial"/>
          <w:snapToGrid w:val="0"/>
          <w:lang w:val="es-ES_tradnl"/>
        </w:rPr>
        <w:t>San José, Costa Rica</w:t>
      </w:r>
    </w:p>
    <w:p w14:paraId="0D20881E" w14:textId="77777777" w:rsidR="006E188D" w:rsidRPr="00554C78" w:rsidRDefault="006E188D" w:rsidP="00554C78">
      <w:pPr>
        <w:widowControl w:val="0"/>
        <w:tabs>
          <w:tab w:val="left" w:pos="810"/>
        </w:tabs>
        <w:autoSpaceDE w:val="0"/>
        <w:autoSpaceDN w:val="0"/>
        <w:adjustRightInd w:val="0"/>
        <w:spacing w:after="0" w:line="240" w:lineRule="auto"/>
        <w:jc w:val="both"/>
        <w:rPr>
          <w:rFonts w:asciiTheme="minorHAnsi" w:hAnsiTheme="minorHAnsi" w:cs="Arial"/>
          <w:lang w:val="es-ES"/>
        </w:rPr>
      </w:pPr>
    </w:p>
    <w:p w14:paraId="085343EB" w14:textId="77777777" w:rsidR="009512EB" w:rsidRPr="00554C78" w:rsidRDefault="009512EB" w:rsidP="00554C78">
      <w:pPr>
        <w:widowControl w:val="0"/>
        <w:tabs>
          <w:tab w:val="left" w:pos="810"/>
        </w:tabs>
        <w:autoSpaceDE w:val="0"/>
        <w:autoSpaceDN w:val="0"/>
        <w:adjustRightInd w:val="0"/>
        <w:spacing w:after="0" w:line="240" w:lineRule="auto"/>
        <w:jc w:val="both"/>
        <w:rPr>
          <w:rFonts w:asciiTheme="minorHAnsi" w:hAnsiTheme="minorHAnsi" w:cs="Arial"/>
          <w:lang w:val="es-ES"/>
        </w:rPr>
      </w:pPr>
    </w:p>
    <w:p w14:paraId="496E3E66" w14:textId="77777777" w:rsidR="006E188D" w:rsidRPr="00554C78" w:rsidRDefault="006E188D" w:rsidP="00554C78">
      <w:pPr>
        <w:widowControl w:val="0"/>
        <w:tabs>
          <w:tab w:val="left" w:pos="810"/>
        </w:tabs>
        <w:autoSpaceDE w:val="0"/>
        <w:autoSpaceDN w:val="0"/>
        <w:adjustRightInd w:val="0"/>
        <w:spacing w:after="0" w:line="240" w:lineRule="auto"/>
        <w:jc w:val="both"/>
        <w:rPr>
          <w:rFonts w:asciiTheme="minorHAnsi" w:hAnsiTheme="minorHAnsi" w:cs="Arial"/>
          <w:lang w:val="es-ES"/>
        </w:rPr>
      </w:pPr>
    </w:p>
    <w:p w14:paraId="255CB15D" w14:textId="529BD3AA" w:rsidR="006E188D" w:rsidRPr="00554C78" w:rsidRDefault="006E188D" w:rsidP="00554C78">
      <w:pPr>
        <w:tabs>
          <w:tab w:val="left" w:pos="810"/>
        </w:tabs>
        <w:spacing w:after="0" w:line="240" w:lineRule="auto"/>
        <w:jc w:val="both"/>
        <w:rPr>
          <w:rFonts w:asciiTheme="minorHAnsi" w:hAnsiTheme="minorHAnsi"/>
          <w:lang w:val="es-AR"/>
        </w:rPr>
      </w:pPr>
      <w:r w:rsidRPr="00554C78">
        <w:rPr>
          <w:rFonts w:asciiTheme="minorHAnsi" w:hAnsiTheme="minorHAnsi"/>
          <w:lang w:val="es-CO"/>
        </w:rPr>
        <w:tab/>
        <w:t xml:space="preserve">Dicho informe de fondo </w:t>
      </w:r>
      <w:r w:rsidRPr="00554C78">
        <w:rPr>
          <w:rFonts w:asciiTheme="minorHAnsi" w:hAnsiTheme="minorHAnsi"/>
          <w:lang w:val="es-AR"/>
        </w:rPr>
        <w:t xml:space="preserve">fue notificado al Estado el </w:t>
      </w:r>
      <w:r w:rsidR="003324D2" w:rsidRPr="00554C78">
        <w:rPr>
          <w:rFonts w:asciiTheme="minorHAnsi" w:hAnsiTheme="minorHAnsi"/>
          <w:lang w:val="es-AR"/>
        </w:rPr>
        <w:t>19 de abril de 2017</w:t>
      </w:r>
      <w:r w:rsidRPr="00554C78">
        <w:rPr>
          <w:rFonts w:asciiTheme="minorHAnsi" w:hAnsiTheme="minorHAnsi"/>
          <w:lang w:val="es-AR"/>
        </w:rPr>
        <w:t>, otorgándole dos meses para informar sobre el cumplimiento de l</w:t>
      </w:r>
      <w:r w:rsidR="008A376E" w:rsidRPr="00554C78">
        <w:rPr>
          <w:rFonts w:asciiTheme="minorHAnsi" w:hAnsiTheme="minorHAnsi"/>
          <w:lang w:val="es-AR"/>
        </w:rPr>
        <w:t xml:space="preserve">as recomendaciones. </w:t>
      </w:r>
      <w:r w:rsidR="00EB06D1">
        <w:rPr>
          <w:rFonts w:asciiTheme="minorHAnsi" w:hAnsiTheme="minorHAnsi"/>
          <w:lang w:val="es-AR"/>
        </w:rPr>
        <w:t xml:space="preserve"> </w:t>
      </w:r>
      <w:r w:rsidR="008A376E" w:rsidRPr="00554C78">
        <w:rPr>
          <w:rFonts w:asciiTheme="minorHAnsi" w:hAnsiTheme="minorHAnsi"/>
          <w:lang w:val="es-AR"/>
        </w:rPr>
        <w:t xml:space="preserve">El Estado argentino solicitó </w:t>
      </w:r>
      <w:r w:rsidR="003324D2" w:rsidRPr="00554C78">
        <w:rPr>
          <w:rFonts w:asciiTheme="minorHAnsi" w:hAnsiTheme="minorHAnsi"/>
          <w:lang w:val="es-AR"/>
        </w:rPr>
        <w:t xml:space="preserve">una primera prórroga, la cual fue </w:t>
      </w:r>
      <w:r w:rsidR="008A376E" w:rsidRPr="00554C78">
        <w:rPr>
          <w:rFonts w:asciiTheme="minorHAnsi" w:hAnsiTheme="minorHAnsi"/>
          <w:lang w:val="es-AR"/>
        </w:rPr>
        <w:t>concedida</w:t>
      </w:r>
      <w:r w:rsidR="00F44D14" w:rsidRPr="00554C78">
        <w:rPr>
          <w:rFonts w:asciiTheme="minorHAnsi" w:hAnsiTheme="minorHAnsi"/>
          <w:lang w:val="es-AR"/>
        </w:rPr>
        <w:t xml:space="preserve"> por la Comis</w:t>
      </w:r>
      <w:r w:rsidR="005F0BCA" w:rsidRPr="00554C78">
        <w:rPr>
          <w:rFonts w:asciiTheme="minorHAnsi" w:hAnsiTheme="minorHAnsi"/>
          <w:lang w:val="es-AR"/>
        </w:rPr>
        <w:t>ión por un periodo de tres mese</w:t>
      </w:r>
      <w:r w:rsidR="00F44D14" w:rsidRPr="00554C78">
        <w:rPr>
          <w:rFonts w:asciiTheme="minorHAnsi" w:hAnsiTheme="minorHAnsi"/>
          <w:lang w:val="es-AR"/>
        </w:rPr>
        <w:t>s. E</w:t>
      </w:r>
      <w:r w:rsidR="00FC08D1" w:rsidRPr="00554C78">
        <w:rPr>
          <w:rFonts w:asciiTheme="minorHAnsi" w:hAnsiTheme="minorHAnsi"/>
          <w:lang w:val="es-AR"/>
        </w:rPr>
        <w:t>l Estado</w:t>
      </w:r>
      <w:r w:rsidR="00F44D14" w:rsidRPr="00554C78">
        <w:rPr>
          <w:rFonts w:asciiTheme="minorHAnsi" w:hAnsiTheme="minorHAnsi"/>
          <w:lang w:val="es-AR"/>
        </w:rPr>
        <w:t xml:space="preserve"> solicitó una segunda próroga que la Comisión decidió no otorgar, tomando en cuenta la ausencia de información específica sobre avances en el cumplimiento de las recomendaciones. </w:t>
      </w:r>
    </w:p>
    <w:p w14:paraId="700CFC3F" w14:textId="77777777" w:rsidR="006E188D" w:rsidRPr="00554C78" w:rsidRDefault="006E188D" w:rsidP="00554C78">
      <w:pPr>
        <w:tabs>
          <w:tab w:val="left" w:pos="810"/>
        </w:tabs>
        <w:spacing w:after="0" w:line="240" w:lineRule="auto"/>
        <w:ind w:firstLine="720"/>
        <w:jc w:val="both"/>
        <w:rPr>
          <w:rFonts w:asciiTheme="minorHAnsi" w:hAnsiTheme="minorHAnsi"/>
          <w:lang w:val="es-AR"/>
        </w:rPr>
      </w:pPr>
    </w:p>
    <w:p w14:paraId="3D35F752" w14:textId="39034EF7" w:rsidR="006E188D" w:rsidRPr="00554C78" w:rsidRDefault="006E188D" w:rsidP="00554C78">
      <w:pPr>
        <w:tabs>
          <w:tab w:val="left" w:pos="810"/>
        </w:tabs>
        <w:spacing w:after="0" w:line="240" w:lineRule="auto"/>
        <w:ind w:firstLine="720"/>
        <w:jc w:val="both"/>
        <w:rPr>
          <w:rFonts w:asciiTheme="minorHAnsi" w:hAnsiTheme="minorHAnsi"/>
          <w:lang w:val="es-AR"/>
        </w:rPr>
      </w:pPr>
      <w:r w:rsidRPr="00554C78">
        <w:rPr>
          <w:rFonts w:asciiTheme="minorHAnsi" w:hAnsiTheme="minorHAnsi"/>
          <w:lang w:val="es-AR"/>
        </w:rPr>
        <w:t>En virtud de lo anterior, l</w:t>
      </w:r>
      <w:r w:rsidRPr="00554C78">
        <w:rPr>
          <w:rFonts w:asciiTheme="minorHAnsi" w:hAnsiTheme="minorHAnsi"/>
          <w:lang w:val="es-CO"/>
        </w:rPr>
        <w:t xml:space="preserve">a Comisión Interamericana decidió someter a la jurisdicción de la Corte Interamericana la totalidad de los hechos y violaciones de derechos humanos descritos en el </w:t>
      </w:r>
      <w:r w:rsidR="00EB06D1">
        <w:rPr>
          <w:rFonts w:asciiTheme="minorHAnsi" w:hAnsiTheme="minorHAnsi"/>
          <w:lang w:val="es-CO"/>
        </w:rPr>
        <w:t>Informe de F</w:t>
      </w:r>
      <w:r w:rsidRPr="00554C78">
        <w:rPr>
          <w:rFonts w:asciiTheme="minorHAnsi" w:hAnsiTheme="minorHAnsi"/>
          <w:lang w:val="es-CO"/>
        </w:rPr>
        <w:t xml:space="preserve">ondo </w:t>
      </w:r>
      <w:r w:rsidR="00EB06D1">
        <w:rPr>
          <w:rFonts w:asciiTheme="minorHAnsi" w:hAnsiTheme="minorHAnsi"/>
          <w:lang w:val="es-CO"/>
        </w:rPr>
        <w:t xml:space="preserve">Nº </w:t>
      </w:r>
      <w:r w:rsidR="00DB7934" w:rsidRPr="00554C78">
        <w:rPr>
          <w:rFonts w:asciiTheme="minorHAnsi" w:hAnsiTheme="minorHAnsi"/>
          <w:lang w:val="es-CO"/>
        </w:rPr>
        <w:t>21</w:t>
      </w:r>
      <w:r w:rsidRPr="00554C78">
        <w:rPr>
          <w:rFonts w:asciiTheme="minorHAnsi" w:hAnsiTheme="minorHAnsi"/>
          <w:lang w:val="es-CO"/>
        </w:rPr>
        <w:t>/</w:t>
      </w:r>
      <w:r w:rsidR="00DB7934" w:rsidRPr="00554C78">
        <w:rPr>
          <w:rFonts w:asciiTheme="minorHAnsi" w:hAnsiTheme="minorHAnsi"/>
          <w:lang w:val="es-CO"/>
        </w:rPr>
        <w:t>17</w:t>
      </w:r>
      <w:r w:rsidRPr="00554C78">
        <w:rPr>
          <w:rFonts w:asciiTheme="minorHAnsi" w:hAnsiTheme="minorHAnsi"/>
          <w:lang w:val="es-CO"/>
        </w:rPr>
        <w:t>, ante la necesidad d</w:t>
      </w:r>
      <w:r w:rsidR="008A376E" w:rsidRPr="00554C78">
        <w:rPr>
          <w:rFonts w:asciiTheme="minorHAnsi" w:hAnsiTheme="minorHAnsi"/>
          <w:lang w:val="es-CO"/>
        </w:rPr>
        <w:t>e obtención de justicia para la víctima</w:t>
      </w:r>
      <w:r w:rsidRPr="00554C78">
        <w:rPr>
          <w:rFonts w:asciiTheme="minorHAnsi" w:hAnsiTheme="minorHAnsi"/>
          <w:lang w:val="es-CO"/>
        </w:rPr>
        <w:t xml:space="preserve"> en el caso particular. </w:t>
      </w:r>
    </w:p>
    <w:p w14:paraId="5A5DD722" w14:textId="77777777" w:rsidR="006E188D" w:rsidRPr="00554C78" w:rsidRDefault="006E188D" w:rsidP="00554C78">
      <w:pPr>
        <w:tabs>
          <w:tab w:val="left" w:pos="0"/>
          <w:tab w:val="left" w:pos="810"/>
        </w:tabs>
        <w:spacing w:after="0" w:line="240" w:lineRule="auto"/>
        <w:jc w:val="both"/>
        <w:rPr>
          <w:rFonts w:asciiTheme="minorHAnsi" w:hAnsiTheme="minorHAnsi"/>
          <w:lang w:val="es-CO"/>
        </w:rPr>
      </w:pPr>
    </w:p>
    <w:p w14:paraId="0922C1E6" w14:textId="50D1BBA3" w:rsidR="00D5072D" w:rsidRPr="00554C78" w:rsidRDefault="006E188D" w:rsidP="00554C78">
      <w:pPr>
        <w:tabs>
          <w:tab w:val="left" w:pos="810"/>
        </w:tabs>
        <w:spacing w:after="0" w:line="240" w:lineRule="auto"/>
        <w:ind w:firstLine="720"/>
        <w:jc w:val="both"/>
        <w:rPr>
          <w:rFonts w:asciiTheme="minorHAnsi" w:hAnsiTheme="minorHAnsi" w:cs="Verdana"/>
          <w:lang w:val="es-VE"/>
        </w:rPr>
      </w:pPr>
      <w:r w:rsidRPr="00554C78">
        <w:rPr>
          <w:rFonts w:asciiTheme="minorHAnsi" w:hAnsiTheme="minorHAnsi"/>
          <w:lang w:val="es-CO"/>
        </w:rPr>
        <w:t xml:space="preserve">En ese sentido, la Comisión solicita a la Corte que concluya y declare </w:t>
      </w:r>
      <w:r w:rsidR="00D30643" w:rsidRPr="00554C78">
        <w:rPr>
          <w:rFonts w:asciiTheme="minorHAnsi" w:hAnsiTheme="minorHAnsi"/>
          <w:lang w:val="es-CO"/>
        </w:rPr>
        <w:t xml:space="preserve">que </w:t>
      </w:r>
      <w:r w:rsidRPr="00554C78">
        <w:rPr>
          <w:rFonts w:asciiTheme="minorHAnsi" w:hAnsiTheme="minorHAnsi"/>
          <w:lang w:val="es-CO"/>
        </w:rPr>
        <w:t>el</w:t>
      </w:r>
      <w:r w:rsidRPr="00554C78">
        <w:rPr>
          <w:rFonts w:asciiTheme="minorHAnsi" w:hAnsiTheme="minorHAnsi" w:cs="Arial"/>
          <w:lang w:val="es-CL"/>
        </w:rPr>
        <w:t xml:space="preserve"> Estado de </w:t>
      </w:r>
      <w:r w:rsidR="00D30643" w:rsidRPr="00554C78">
        <w:rPr>
          <w:rFonts w:asciiTheme="minorHAnsi" w:hAnsiTheme="minorHAnsi" w:cs="Arial"/>
          <w:lang w:val="es-CL"/>
        </w:rPr>
        <w:t>Argentina</w:t>
      </w:r>
      <w:r w:rsidR="00D30643" w:rsidRPr="00554C78">
        <w:rPr>
          <w:rFonts w:asciiTheme="minorHAnsi" w:eastAsia="Times New Roman" w:hAnsiTheme="minorHAnsi"/>
          <w:lang w:val="es-ES_tradnl"/>
        </w:rPr>
        <w:t xml:space="preserve"> es </w:t>
      </w:r>
      <w:r w:rsidR="00D30643" w:rsidRPr="00554C78">
        <w:rPr>
          <w:rFonts w:asciiTheme="minorHAnsi" w:hAnsiTheme="minorHAnsi" w:cs="Verdana"/>
          <w:lang w:val="es-VE"/>
        </w:rPr>
        <w:t xml:space="preserve">responsable por </w:t>
      </w:r>
      <w:r w:rsidR="00D5072D" w:rsidRPr="00554C78">
        <w:rPr>
          <w:rFonts w:asciiTheme="minorHAnsi" w:hAnsiTheme="minorHAnsi"/>
          <w:lang w:val="es-PE"/>
        </w:rPr>
        <w:t xml:space="preserve">la violación de los derechos a las garantías judiciales y protección judicial, establecidos en los artículos 8.1 y 25.1 de la Convención Americana en relación con las obligaciones establecidas en el artículo 1.1 del mismo instrumento en perjuicio de Elba Clotilde Perrone y Juan José Preckel.  </w:t>
      </w:r>
    </w:p>
    <w:p w14:paraId="39EB0B71" w14:textId="77777777" w:rsidR="00D5072D" w:rsidRPr="00554C78" w:rsidRDefault="00D5072D" w:rsidP="00554C78">
      <w:pPr>
        <w:tabs>
          <w:tab w:val="left" w:pos="810"/>
        </w:tabs>
        <w:spacing w:after="0" w:line="240" w:lineRule="auto"/>
        <w:jc w:val="both"/>
        <w:rPr>
          <w:rFonts w:asciiTheme="minorHAnsi" w:hAnsiTheme="minorHAnsi"/>
          <w:lang w:val="es-CO"/>
        </w:rPr>
      </w:pPr>
    </w:p>
    <w:p w14:paraId="02B7934E" w14:textId="77777777" w:rsidR="006E188D" w:rsidRPr="00554C78" w:rsidRDefault="006E188D" w:rsidP="00554C78">
      <w:pPr>
        <w:tabs>
          <w:tab w:val="left" w:pos="810"/>
        </w:tabs>
        <w:autoSpaceDE w:val="0"/>
        <w:autoSpaceDN w:val="0"/>
        <w:adjustRightInd w:val="0"/>
        <w:spacing w:after="0" w:line="240" w:lineRule="auto"/>
        <w:ind w:firstLine="720"/>
        <w:jc w:val="both"/>
        <w:rPr>
          <w:rFonts w:asciiTheme="minorHAnsi" w:hAnsiTheme="minorHAnsi"/>
          <w:lang w:val="es-CO"/>
        </w:rPr>
      </w:pPr>
      <w:r w:rsidRPr="00554C78">
        <w:rPr>
          <w:rFonts w:asciiTheme="minorHAnsi" w:hAnsiTheme="minorHAnsi"/>
          <w:lang w:val="es-CO"/>
        </w:rPr>
        <w:t>La Comisión solicita a la Corte Interamericana que establezca las siguientes medidas de reparación:</w:t>
      </w:r>
    </w:p>
    <w:p w14:paraId="579ADBE5" w14:textId="77777777" w:rsidR="006E188D" w:rsidRPr="00554C78" w:rsidRDefault="006E188D" w:rsidP="00554C78">
      <w:pPr>
        <w:tabs>
          <w:tab w:val="left" w:pos="720"/>
          <w:tab w:val="left" w:pos="810"/>
        </w:tabs>
        <w:autoSpaceDE w:val="0"/>
        <w:autoSpaceDN w:val="0"/>
        <w:adjustRightInd w:val="0"/>
        <w:spacing w:after="0" w:line="240" w:lineRule="auto"/>
        <w:ind w:right="720"/>
        <w:jc w:val="both"/>
        <w:rPr>
          <w:rFonts w:asciiTheme="minorHAnsi" w:hAnsiTheme="minorHAnsi"/>
          <w:lang w:val="es-CO"/>
        </w:rPr>
      </w:pPr>
    </w:p>
    <w:p w14:paraId="0E453312" w14:textId="3F9A23E8" w:rsidR="00D5072D" w:rsidRPr="00554C78" w:rsidRDefault="00D5072D" w:rsidP="00554C78">
      <w:pPr>
        <w:numPr>
          <w:ilvl w:val="0"/>
          <w:numId w:val="5"/>
        </w:numPr>
        <w:tabs>
          <w:tab w:val="left" w:pos="-720"/>
        </w:tabs>
        <w:spacing w:after="0" w:line="240" w:lineRule="auto"/>
        <w:ind w:left="0" w:firstLine="720"/>
        <w:jc w:val="both"/>
        <w:rPr>
          <w:rFonts w:asciiTheme="minorHAnsi" w:hAnsiTheme="minorHAnsi" w:cs="Arial"/>
          <w:lang w:val="es-ES"/>
        </w:rPr>
      </w:pPr>
      <w:r w:rsidRPr="00554C78">
        <w:rPr>
          <w:rFonts w:asciiTheme="minorHAnsi" w:hAnsiTheme="minorHAnsi" w:cs="Arial"/>
          <w:lang w:val="es-ES"/>
        </w:rPr>
        <w:t xml:space="preserve">Disponer las medidas necesarias para que Elba Clotilde Perrone y Juan José Preckel cuenten con un recurso judicial efectivo mediante el cual se establezca, en cumplimiento de las garantías de motivación y de plazo razonable, la procedencia o no de sus reclamos relativos al pago de los salarios y beneficios sociales dejados de percibir. </w:t>
      </w:r>
    </w:p>
    <w:p w14:paraId="17604C95" w14:textId="77777777" w:rsidR="00D5072D" w:rsidRPr="00554C78" w:rsidRDefault="00D5072D" w:rsidP="00554C78">
      <w:pPr>
        <w:tabs>
          <w:tab w:val="left" w:pos="-720"/>
        </w:tabs>
        <w:spacing w:after="0" w:line="240" w:lineRule="auto"/>
        <w:ind w:left="720"/>
        <w:jc w:val="both"/>
        <w:rPr>
          <w:rFonts w:asciiTheme="minorHAnsi" w:hAnsiTheme="minorHAnsi" w:cs="Arial"/>
          <w:lang w:val="es-ES"/>
        </w:rPr>
      </w:pPr>
    </w:p>
    <w:p w14:paraId="0FC4E84C" w14:textId="51EBD10C" w:rsidR="00D5072D" w:rsidRPr="00554C78" w:rsidRDefault="00D5072D" w:rsidP="00554C78">
      <w:pPr>
        <w:numPr>
          <w:ilvl w:val="0"/>
          <w:numId w:val="5"/>
        </w:numPr>
        <w:tabs>
          <w:tab w:val="left" w:pos="-720"/>
        </w:tabs>
        <w:spacing w:after="0" w:line="240" w:lineRule="auto"/>
        <w:ind w:left="0" w:firstLine="720"/>
        <w:jc w:val="both"/>
        <w:rPr>
          <w:rFonts w:asciiTheme="minorHAnsi" w:hAnsiTheme="minorHAnsi" w:cs="Arial"/>
          <w:lang w:val="es-ES"/>
        </w:rPr>
      </w:pPr>
      <w:r w:rsidRPr="00554C78">
        <w:rPr>
          <w:rFonts w:asciiTheme="minorHAnsi" w:hAnsiTheme="minorHAnsi" w:cs="Arial"/>
          <w:lang w:val="es-ES"/>
        </w:rPr>
        <w:t xml:space="preserve">En caso de que las víctimas no deseen acceder a dicho recurso judicial debido al paso del tiempo, disponer medidas para reparar integralmente la denegación de justicia en su perjuicio declarada en el informe. </w:t>
      </w:r>
    </w:p>
    <w:p w14:paraId="3C8E9E3E" w14:textId="77777777" w:rsidR="006E188D" w:rsidRPr="00554C78" w:rsidRDefault="006E188D" w:rsidP="00554C78">
      <w:pPr>
        <w:tabs>
          <w:tab w:val="left" w:pos="720"/>
          <w:tab w:val="left" w:pos="810"/>
        </w:tabs>
        <w:autoSpaceDE w:val="0"/>
        <w:autoSpaceDN w:val="0"/>
        <w:adjustRightInd w:val="0"/>
        <w:spacing w:after="0" w:line="240" w:lineRule="auto"/>
        <w:ind w:right="720"/>
        <w:jc w:val="both"/>
        <w:rPr>
          <w:rFonts w:asciiTheme="minorHAnsi" w:hAnsiTheme="minorHAnsi"/>
          <w:lang w:val="es-CO"/>
        </w:rPr>
      </w:pPr>
    </w:p>
    <w:p w14:paraId="6A63BB29" w14:textId="4650DB56" w:rsidR="003D509D" w:rsidRPr="00554C78" w:rsidRDefault="006E188D" w:rsidP="00554C78">
      <w:pPr>
        <w:spacing w:after="0" w:line="240" w:lineRule="auto"/>
        <w:ind w:firstLine="720"/>
        <w:jc w:val="both"/>
        <w:rPr>
          <w:rFonts w:asciiTheme="minorHAnsi" w:hAnsiTheme="minorHAnsi"/>
          <w:lang w:val="es-CO"/>
        </w:rPr>
      </w:pPr>
      <w:r w:rsidRPr="00554C78">
        <w:rPr>
          <w:rFonts w:asciiTheme="minorHAnsi" w:hAnsiTheme="minorHAnsi" w:cs="Arial"/>
          <w:color w:val="000000"/>
          <w:lang w:val="es-CL"/>
        </w:rPr>
        <w:t xml:space="preserve">Además de la necesidad de obtención de justicia, la Comisión destaca que el presente caso involucra cuestiones de orden público interamericano. </w:t>
      </w:r>
      <w:r w:rsidR="00EB06D1">
        <w:rPr>
          <w:rFonts w:asciiTheme="minorHAnsi" w:hAnsiTheme="minorHAnsi" w:cs="Arial"/>
          <w:color w:val="000000"/>
          <w:lang w:val="es-CL"/>
        </w:rPr>
        <w:t xml:space="preserve"> </w:t>
      </w:r>
      <w:r w:rsidR="003D509D" w:rsidRPr="00554C78">
        <w:rPr>
          <w:rFonts w:asciiTheme="minorHAnsi" w:hAnsiTheme="minorHAnsi" w:cs="Arial"/>
          <w:color w:val="000000"/>
          <w:lang w:val="es-CL"/>
        </w:rPr>
        <w:t>Específicamente, el presente caso permitirá un desarrollo de la jurisprudencia interamericana</w:t>
      </w:r>
      <w:r w:rsidR="003D509D" w:rsidRPr="00554C78">
        <w:rPr>
          <w:rFonts w:asciiTheme="minorHAnsi" w:hAnsiTheme="minorHAnsi"/>
          <w:lang w:val="es-CO"/>
        </w:rPr>
        <w:t xml:space="preserve"> en materia de acceso a la justicia, plazo razonable y deber de motivación, en el marco de procesos de determinación de derechos, en general, así como en el marco de procesos asociados a reclamos por los efectos de graves y sistemáticas violaciones de derechos humanos cometidas durante una dictadura.</w:t>
      </w:r>
      <w:r w:rsidR="00EB06D1">
        <w:rPr>
          <w:rFonts w:asciiTheme="minorHAnsi" w:hAnsiTheme="minorHAnsi"/>
          <w:lang w:val="es-CO"/>
        </w:rPr>
        <w:t xml:space="preserve"> </w:t>
      </w:r>
      <w:r w:rsidR="003D509D" w:rsidRPr="00554C78">
        <w:rPr>
          <w:rFonts w:asciiTheme="minorHAnsi" w:hAnsiTheme="minorHAnsi"/>
          <w:lang w:val="es-CO"/>
        </w:rPr>
        <w:t xml:space="preserve"> En ese sentido, la Corte podrá analizar la manera en que era exigible a las autoridades nacionales la valoración del contexto en el cual tuvieron lugar los hechos generadores de los reclamos salariales de las víctimas, de forma que éstas contaran con un verdadero acceso a la justicia con las debidas garantías. </w:t>
      </w:r>
    </w:p>
    <w:p w14:paraId="51C6F7AC" w14:textId="77777777" w:rsidR="00850271" w:rsidRPr="00554C78" w:rsidRDefault="00850271" w:rsidP="00554C78">
      <w:pPr>
        <w:spacing w:after="0" w:line="240" w:lineRule="auto"/>
        <w:jc w:val="both"/>
        <w:rPr>
          <w:rFonts w:asciiTheme="minorHAnsi" w:hAnsiTheme="minorHAnsi" w:cs="Arial"/>
          <w:lang w:val="es-CL"/>
        </w:rPr>
      </w:pPr>
    </w:p>
    <w:p w14:paraId="0C58E10A" w14:textId="77777777" w:rsidR="006E188D" w:rsidRPr="00554C78" w:rsidRDefault="006E188D" w:rsidP="00554C78">
      <w:pPr>
        <w:tabs>
          <w:tab w:val="left" w:pos="810"/>
        </w:tabs>
        <w:autoSpaceDE w:val="0"/>
        <w:autoSpaceDN w:val="0"/>
        <w:adjustRightInd w:val="0"/>
        <w:spacing w:after="0" w:line="240" w:lineRule="auto"/>
        <w:ind w:firstLine="720"/>
        <w:jc w:val="both"/>
        <w:rPr>
          <w:rFonts w:asciiTheme="minorHAnsi" w:hAnsiTheme="minorHAnsi" w:cs="Arial"/>
          <w:lang w:val="es-CL"/>
        </w:rPr>
      </w:pPr>
      <w:r w:rsidRPr="00554C78">
        <w:rPr>
          <w:rFonts w:asciiTheme="minorHAnsi" w:hAnsiTheme="minorHAnsi" w:cs="Arial"/>
          <w:lang w:val="es-CL"/>
        </w:rPr>
        <w:t>En virtud de que estas cuestiones afectan de manera relevante el orden público interamericano, de conformidad con el artículo 35.1 f) del Reglamento de la Corte Interamericana, la Comisión se permite ofrecer la siguiente declaración pericial:</w:t>
      </w:r>
    </w:p>
    <w:p w14:paraId="48BDEB03" w14:textId="77777777" w:rsidR="006E188D" w:rsidRPr="00554C78" w:rsidRDefault="006E188D" w:rsidP="00554C78">
      <w:pPr>
        <w:tabs>
          <w:tab w:val="left" w:pos="810"/>
        </w:tabs>
        <w:autoSpaceDE w:val="0"/>
        <w:autoSpaceDN w:val="0"/>
        <w:adjustRightInd w:val="0"/>
        <w:spacing w:after="0" w:line="240" w:lineRule="auto"/>
        <w:ind w:right="480"/>
        <w:jc w:val="both"/>
        <w:rPr>
          <w:rFonts w:asciiTheme="minorHAnsi" w:hAnsiTheme="minorHAnsi" w:cs="Arial"/>
          <w:lang w:val="es-CL"/>
        </w:rPr>
      </w:pPr>
    </w:p>
    <w:p w14:paraId="38EDBCA3" w14:textId="7FC96B41" w:rsidR="006E188D" w:rsidRPr="00554C78" w:rsidRDefault="006E188D" w:rsidP="00554C78">
      <w:pPr>
        <w:tabs>
          <w:tab w:val="left" w:pos="810"/>
          <w:tab w:val="left" w:pos="9356"/>
        </w:tabs>
        <w:spacing w:after="0" w:line="240" w:lineRule="auto"/>
        <w:ind w:right="4" w:firstLine="720"/>
        <w:jc w:val="both"/>
        <w:rPr>
          <w:rFonts w:asciiTheme="minorHAnsi" w:hAnsiTheme="minorHAnsi"/>
          <w:iCs/>
          <w:lang w:val="es-ES_tradnl"/>
        </w:rPr>
      </w:pPr>
      <w:r w:rsidRPr="00554C78">
        <w:rPr>
          <w:rFonts w:asciiTheme="minorHAnsi" w:hAnsiTheme="minorHAnsi" w:cs="Courier New"/>
          <w:b/>
          <w:lang w:val="es-ES_tradnl"/>
        </w:rPr>
        <w:t>Perito/a cuyo nombre será informado a la brevedad</w:t>
      </w:r>
      <w:r w:rsidRPr="00554C78">
        <w:rPr>
          <w:rFonts w:asciiTheme="minorHAnsi" w:hAnsiTheme="minorHAnsi"/>
          <w:iCs/>
          <w:lang w:val="es-ES_tradnl"/>
        </w:rPr>
        <w:t>, quien declarará sobre</w:t>
      </w:r>
      <w:r w:rsidR="003B760E" w:rsidRPr="00554C78">
        <w:rPr>
          <w:rFonts w:asciiTheme="minorHAnsi" w:hAnsiTheme="minorHAnsi"/>
          <w:iCs/>
          <w:lang w:val="es-ES_tradnl"/>
        </w:rPr>
        <w:t xml:space="preserve"> el marco</w:t>
      </w:r>
      <w:r w:rsidR="004B43CE" w:rsidRPr="00554C78">
        <w:rPr>
          <w:rFonts w:asciiTheme="minorHAnsi" w:hAnsiTheme="minorHAnsi"/>
          <w:iCs/>
          <w:lang w:val="es-ES_tradnl"/>
        </w:rPr>
        <w:t xml:space="preserve"> normativo y/o institucional en Argentina en la época de los hechos, para efectuar reclamos administrativos y judiciales vinculados con los efectos de las graves y sistemáticas violaciones de derechos humanos que tuvieron lugar en la dictadura. </w:t>
      </w:r>
    </w:p>
    <w:p w14:paraId="136A9E4C" w14:textId="77777777" w:rsidR="006E188D" w:rsidRDefault="006E188D" w:rsidP="00554C78">
      <w:pPr>
        <w:tabs>
          <w:tab w:val="left" w:pos="810"/>
        </w:tabs>
        <w:spacing w:after="0" w:line="240" w:lineRule="auto"/>
        <w:jc w:val="both"/>
        <w:rPr>
          <w:rFonts w:asciiTheme="minorHAnsi" w:hAnsiTheme="minorHAnsi"/>
          <w:iCs/>
          <w:lang w:val="es-ES_tradnl"/>
        </w:rPr>
      </w:pPr>
    </w:p>
    <w:p w14:paraId="1F1E830C" w14:textId="77777777" w:rsidR="00554C78" w:rsidRPr="00554C78" w:rsidRDefault="00554C78" w:rsidP="00554C78">
      <w:pPr>
        <w:tabs>
          <w:tab w:val="left" w:pos="810"/>
        </w:tabs>
        <w:spacing w:after="0" w:line="240" w:lineRule="auto"/>
        <w:jc w:val="both"/>
        <w:rPr>
          <w:rFonts w:asciiTheme="minorHAnsi" w:hAnsiTheme="minorHAnsi"/>
          <w:iCs/>
          <w:lang w:val="es-ES_tradnl"/>
        </w:rPr>
      </w:pPr>
    </w:p>
    <w:p w14:paraId="7C477E5B" w14:textId="2FF5875C" w:rsidR="006E188D" w:rsidRPr="00554C78" w:rsidRDefault="006E188D" w:rsidP="00554C78">
      <w:pPr>
        <w:tabs>
          <w:tab w:val="left" w:pos="0"/>
          <w:tab w:val="left" w:pos="810"/>
        </w:tabs>
        <w:spacing w:after="0" w:line="240" w:lineRule="auto"/>
        <w:ind w:firstLine="720"/>
        <w:jc w:val="both"/>
        <w:rPr>
          <w:rFonts w:asciiTheme="minorHAnsi" w:hAnsiTheme="minorHAnsi"/>
          <w:lang w:val="es-CO"/>
        </w:rPr>
      </w:pPr>
      <w:r w:rsidRPr="00554C78">
        <w:rPr>
          <w:rFonts w:asciiTheme="minorHAnsi" w:hAnsiTheme="minorHAnsi"/>
          <w:lang w:val="es-AR"/>
        </w:rPr>
        <w:t xml:space="preserve">El CV del/la perito/a ofrecido/a </w:t>
      </w:r>
      <w:r w:rsidR="00EB06D1">
        <w:rPr>
          <w:rFonts w:asciiTheme="minorHAnsi" w:hAnsiTheme="minorHAnsi"/>
          <w:lang w:val="es-CO"/>
        </w:rPr>
        <w:t>será incluido en los anexos al Informe de F</w:t>
      </w:r>
      <w:r w:rsidRPr="00554C78">
        <w:rPr>
          <w:rFonts w:asciiTheme="minorHAnsi" w:hAnsiTheme="minorHAnsi"/>
          <w:lang w:val="es-CO"/>
        </w:rPr>
        <w:t xml:space="preserve">ondo </w:t>
      </w:r>
      <w:r w:rsidR="00EB06D1">
        <w:rPr>
          <w:rFonts w:asciiTheme="minorHAnsi" w:hAnsiTheme="minorHAnsi"/>
          <w:lang w:val="es-CO"/>
        </w:rPr>
        <w:t xml:space="preserve">Nº </w:t>
      </w:r>
      <w:r w:rsidR="004B43CE" w:rsidRPr="00554C78">
        <w:rPr>
          <w:rFonts w:asciiTheme="minorHAnsi" w:hAnsiTheme="minorHAnsi"/>
          <w:lang w:val="es-CO"/>
        </w:rPr>
        <w:t>21</w:t>
      </w:r>
      <w:r w:rsidRPr="00554C78">
        <w:rPr>
          <w:rFonts w:asciiTheme="minorHAnsi" w:hAnsiTheme="minorHAnsi"/>
          <w:lang w:val="es-CO"/>
        </w:rPr>
        <w:t>/</w:t>
      </w:r>
      <w:r w:rsidR="004B43CE" w:rsidRPr="00554C78">
        <w:rPr>
          <w:rFonts w:asciiTheme="minorHAnsi" w:hAnsiTheme="minorHAnsi"/>
          <w:lang w:val="es-CO"/>
        </w:rPr>
        <w:t>17</w:t>
      </w:r>
      <w:r w:rsidRPr="00554C78">
        <w:rPr>
          <w:rFonts w:asciiTheme="minorHAnsi" w:hAnsiTheme="minorHAnsi"/>
          <w:lang w:val="es-CO"/>
        </w:rPr>
        <w:t xml:space="preserve">. </w:t>
      </w:r>
    </w:p>
    <w:p w14:paraId="5DC76477" w14:textId="77777777" w:rsidR="006E188D" w:rsidRPr="00554C78" w:rsidRDefault="006E188D" w:rsidP="00554C78">
      <w:pPr>
        <w:tabs>
          <w:tab w:val="left" w:pos="0"/>
          <w:tab w:val="left" w:pos="810"/>
        </w:tabs>
        <w:spacing w:after="0" w:line="240" w:lineRule="auto"/>
        <w:jc w:val="both"/>
        <w:rPr>
          <w:rFonts w:asciiTheme="minorHAnsi" w:hAnsiTheme="minorHAnsi"/>
          <w:lang w:val="es-CO"/>
        </w:rPr>
      </w:pPr>
    </w:p>
    <w:p w14:paraId="4566095D" w14:textId="77777777" w:rsidR="006E188D" w:rsidRPr="00554C78" w:rsidRDefault="006E188D" w:rsidP="00554C78">
      <w:pPr>
        <w:tabs>
          <w:tab w:val="left" w:pos="0"/>
          <w:tab w:val="left" w:pos="810"/>
        </w:tabs>
        <w:spacing w:after="0" w:line="240" w:lineRule="auto"/>
        <w:ind w:firstLine="720"/>
        <w:jc w:val="both"/>
        <w:rPr>
          <w:rFonts w:asciiTheme="minorHAnsi" w:hAnsiTheme="minorHAnsi"/>
          <w:lang w:val="es-CO"/>
        </w:rPr>
      </w:pPr>
      <w:r w:rsidRPr="00554C78">
        <w:rPr>
          <w:rFonts w:asciiTheme="minorHAnsi" w:hAnsiTheme="minorHAnsi"/>
          <w:lang w:val="es-ES_tradnl"/>
        </w:rPr>
        <w:t xml:space="preserve">La Comisión pone en conocimiento de la Corte la siguiente información sobre quienes actuaron como peticionarios a lo largo del trámite del caso: </w:t>
      </w:r>
    </w:p>
    <w:p w14:paraId="76821058" w14:textId="77777777" w:rsidR="006E188D" w:rsidRPr="00554C78" w:rsidRDefault="006E188D" w:rsidP="00554C78">
      <w:pPr>
        <w:tabs>
          <w:tab w:val="left" w:pos="810"/>
        </w:tabs>
        <w:autoSpaceDE w:val="0"/>
        <w:autoSpaceDN w:val="0"/>
        <w:adjustRightInd w:val="0"/>
        <w:spacing w:after="0" w:line="240" w:lineRule="auto"/>
        <w:jc w:val="center"/>
        <w:rPr>
          <w:rFonts w:asciiTheme="minorHAnsi" w:hAnsiTheme="minorHAnsi"/>
          <w:lang w:val="es-ES"/>
        </w:rPr>
      </w:pPr>
    </w:p>
    <w:p w14:paraId="02385777" w14:textId="3BE9B3CF" w:rsidR="00E173DE" w:rsidRDefault="00E173DE" w:rsidP="00E173DE">
      <w:pPr>
        <w:spacing w:after="0" w:line="240" w:lineRule="auto"/>
        <w:jc w:val="center"/>
        <w:rPr>
          <w:bCs/>
          <w:iCs/>
          <w:lang w:val="es-ES"/>
        </w:rPr>
      </w:pPr>
      <w:r>
        <w:rPr>
          <w:bCs/>
          <w:iCs/>
          <w:lang w:val="es-ES"/>
        </w:rPr>
        <w:t>Señores</w:t>
      </w:r>
    </w:p>
    <w:p w14:paraId="65A8DEBC" w14:textId="1A75B521" w:rsidR="00B5334F" w:rsidRDefault="00B5334F" w:rsidP="00E173DE">
      <w:pPr>
        <w:spacing w:after="0" w:line="240" w:lineRule="auto"/>
        <w:jc w:val="center"/>
        <w:rPr>
          <w:bCs/>
          <w:iCs/>
          <w:lang w:val="es-ES"/>
        </w:rPr>
      </w:pPr>
      <w:r w:rsidRPr="008D6D2B">
        <w:rPr>
          <w:bCs/>
          <w:iCs/>
          <w:lang w:val="es-ES"/>
        </w:rPr>
        <w:t>Carlos Aurelio Bozzi</w:t>
      </w:r>
    </w:p>
    <w:p w14:paraId="5D658134" w14:textId="77777777" w:rsidR="00E173DE" w:rsidRDefault="00E173DE" w:rsidP="00E173DE">
      <w:pPr>
        <w:spacing w:after="0" w:line="240" w:lineRule="auto"/>
        <w:jc w:val="center"/>
        <w:rPr>
          <w:bCs/>
          <w:iCs/>
          <w:lang w:val="es-ES"/>
        </w:rPr>
      </w:pPr>
      <w:r w:rsidRPr="008D6D2B">
        <w:rPr>
          <w:bCs/>
          <w:iCs/>
          <w:lang w:val="es-ES"/>
        </w:rPr>
        <w:t>Sergio Darío Di Gioia</w:t>
      </w:r>
    </w:p>
    <w:p w14:paraId="0BECE08E" w14:textId="1385D8F9" w:rsidR="00B5334F" w:rsidRDefault="001A479E" w:rsidP="00B5334F">
      <w:pPr>
        <w:tabs>
          <w:tab w:val="left" w:pos="810"/>
        </w:tabs>
        <w:autoSpaceDE w:val="0"/>
        <w:autoSpaceDN w:val="0"/>
        <w:adjustRightInd w:val="0"/>
        <w:spacing w:after="0" w:line="240" w:lineRule="auto"/>
        <w:jc w:val="center"/>
        <w:rPr>
          <w:bCs/>
          <w:iCs/>
          <w:lang w:val="es-ES"/>
        </w:rPr>
      </w:pPr>
      <w:r w:rsidRPr="001A479E">
        <w:rPr>
          <w:bCs/>
          <w:iCs/>
          <w:highlight w:val="black"/>
          <w:lang w:val="es-ES"/>
        </w:rPr>
        <w:t>xxxxxxxxxxxxxxxxxxxxxx</w:t>
      </w:r>
    </w:p>
    <w:p w14:paraId="1A1A979D" w14:textId="77777777" w:rsidR="00E173DE" w:rsidRPr="008D6D2B" w:rsidRDefault="00E173DE" w:rsidP="00E173DE">
      <w:pPr>
        <w:spacing w:after="0" w:line="240" w:lineRule="auto"/>
        <w:jc w:val="center"/>
        <w:rPr>
          <w:bCs/>
          <w:iCs/>
          <w:lang w:val="es-ES"/>
        </w:rPr>
      </w:pPr>
      <w:r w:rsidRPr="008D6D2B">
        <w:rPr>
          <w:bCs/>
          <w:iCs/>
          <w:lang w:val="es-ES"/>
        </w:rPr>
        <w:t>Juan Ernesto Méndez</w:t>
      </w:r>
    </w:p>
    <w:p w14:paraId="09370ED9" w14:textId="4F6DCE8D" w:rsidR="00E173DE" w:rsidRPr="001A479E" w:rsidRDefault="001A479E" w:rsidP="00E173DE">
      <w:pPr>
        <w:spacing w:after="0" w:line="240" w:lineRule="auto"/>
        <w:jc w:val="center"/>
        <w:rPr>
          <w:rFonts w:ascii="Verdana" w:hAnsi="Verdana"/>
          <w:color w:val="000000"/>
          <w:sz w:val="20"/>
          <w:szCs w:val="20"/>
          <w:lang w:val="es-UY"/>
        </w:rPr>
      </w:pPr>
      <w:r w:rsidRPr="001A479E">
        <w:rPr>
          <w:rFonts w:ascii="Verdana" w:hAnsi="Verdana"/>
          <w:sz w:val="20"/>
          <w:szCs w:val="20"/>
          <w:highlight w:val="black"/>
          <w:lang w:val="es-UY"/>
        </w:rPr>
        <w:t>xxxxxxxxxxxxxxxxxxxxxxx</w:t>
      </w:r>
    </w:p>
    <w:p w14:paraId="4F42A4F3" w14:textId="77777777" w:rsidR="00B5334F" w:rsidRPr="008D6D2B" w:rsidRDefault="00B5334F" w:rsidP="00E173DE">
      <w:pPr>
        <w:spacing w:after="0" w:line="240" w:lineRule="auto"/>
        <w:jc w:val="center"/>
        <w:rPr>
          <w:bCs/>
          <w:iCs/>
          <w:lang w:val="es-ES"/>
        </w:rPr>
      </w:pPr>
    </w:p>
    <w:p w14:paraId="1BE29956" w14:textId="77777777" w:rsidR="006E188D" w:rsidRPr="00554C78" w:rsidRDefault="006E188D" w:rsidP="00554C78">
      <w:pPr>
        <w:tabs>
          <w:tab w:val="left" w:pos="0"/>
          <w:tab w:val="left" w:pos="810"/>
        </w:tabs>
        <w:spacing w:after="0" w:line="240" w:lineRule="auto"/>
        <w:ind w:firstLine="720"/>
        <w:jc w:val="both"/>
        <w:rPr>
          <w:rFonts w:asciiTheme="minorHAnsi" w:hAnsiTheme="minorHAnsi" w:cs="Arial"/>
          <w:lang w:val="es-CO"/>
        </w:rPr>
      </w:pPr>
      <w:r w:rsidRPr="00554C78">
        <w:rPr>
          <w:rFonts w:asciiTheme="minorHAnsi" w:hAnsiTheme="minorHAnsi" w:cs="Arial"/>
          <w:lang w:val="es-CO"/>
        </w:rPr>
        <w:t>Aprovecho la oportunidad para saludar a usted muy atentamente,</w:t>
      </w:r>
    </w:p>
    <w:p w14:paraId="5F214292" w14:textId="77777777" w:rsidR="006E188D" w:rsidRPr="00554C78" w:rsidRDefault="006E188D" w:rsidP="00554C78">
      <w:pPr>
        <w:tabs>
          <w:tab w:val="left" w:pos="810"/>
        </w:tabs>
        <w:suppressAutoHyphens/>
        <w:spacing w:after="0" w:line="240" w:lineRule="auto"/>
        <w:rPr>
          <w:rFonts w:asciiTheme="minorHAnsi" w:hAnsiTheme="minorHAnsi" w:cs="Arial"/>
          <w:snapToGrid w:val="0"/>
          <w:lang w:val="es-CO"/>
        </w:rPr>
      </w:pPr>
    </w:p>
    <w:p w14:paraId="1A03BC13" w14:textId="77777777" w:rsidR="006E188D" w:rsidRPr="00554C78" w:rsidRDefault="006E188D" w:rsidP="00554C78">
      <w:pPr>
        <w:tabs>
          <w:tab w:val="left" w:pos="810"/>
        </w:tabs>
        <w:suppressAutoHyphens/>
        <w:spacing w:after="0" w:line="240" w:lineRule="auto"/>
        <w:rPr>
          <w:rFonts w:asciiTheme="minorHAnsi" w:hAnsiTheme="minorHAnsi" w:cs="Arial"/>
          <w:snapToGrid w:val="0"/>
          <w:lang w:val="es-CO"/>
        </w:rPr>
      </w:pPr>
    </w:p>
    <w:p w14:paraId="1C52E0FF" w14:textId="77777777" w:rsidR="006E188D" w:rsidRPr="00554C78" w:rsidRDefault="006E188D" w:rsidP="00554C78">
      <w:pPr>
        <w:tabs>
          <w:tab w:val="left" w:pos="810"/>
        </w:tabs>
        <w:suppressAutoHyphens/>
        <w:spacing w:after="0" w:line="240" w:lineRule="auto"/>
        <w:rPr>
          <w:rFonts w:asciiTheme="minorHAnsi" w:hAnsiTheme="minorHAnsi" w:cs="Arial"/>
          <w:snapToGrid w:val="0"/>
          <w:lang w:val="es-CO"/>
        </w:rPr>
      </w:pPr>
    </w:p>
    <w:p w14:paraId="328E640A" w14:textId="77777777" w:rsidR="006E188D" w:rsidRPr="00554C78" w:rsidRDefault="006E188D" w:rsidP="00554C78">
      <w:pPr>
        <w:tabs>
          <w:tab w:val="left" w:pos="810"/>
        </w:tabs>
        <w:suppressAutoHyphens/>
        <w:spacing w:after="0" w:line="240" w:lineRule="auto"/>
        <w:rPr>
          <w:rFonts w:asciiTheme="minorHAnsi" w:hAnsiTheme="minorHAnsi" w:cs="Arial"/>
          <w:snapToGrid w:val="0"/>
          <w:lang w:val="es-CO"/>
        </w:rPr>
      </w:pPr>
    </w:p>
    <w:p w14:paraId="1BA09F76" w14:textId="5F80144F" w:rsidR="006E188D" w:rsidRPr="001A479E" w:rsidRDefault="001A479E" w:rsidP="00554C78">
      <w:pPr>
        <w:tabs>
          <w:tab w:val="left" w:pos="810"/>
        </w:tabs>
        <w:suppressAutoHyphens/>
        <w:spacing w:after="0" w:line="240" w:lineRule="auto"/>
        <w:rPr>
          <w:rFonts w:asciiTheme="minorHAnsi" w:hAnsiTheme="minorHAnsi" w:cs="Arial"/>
          <w:snapToGrid w:val="0"/>
          <w:color w:val="808080" w:themeColor="background1" w:themeShade="80"/>
          <w:sz w:val="20"/>
          <w:lang w:val="es-CO"/>
        </w:rPr>
      </w:pPr>
      <w:r>
        <w:rPr>
          <w:rFonts w:asciiTheme="minorHAnsi" w:hAnsiTheme="minorHAnsi" w:cs="Arial"/>
          <w:snapToGrid w:val="0"/>
          <w:color w:val="808080" w:themeColor="background1" w:themeShade="80"/>
          <w:sz w:val="20"/>
          <w:lang w:val="es-CO"/>
        </w:rPr>
        <w:tab/>
      </w:r>
      <w:r>
        <w:rPr>
          <w:rFonts w:asciiTheme="minorHAnsi" w:hAnsiTheme="minorHAnsi" w:cs="Arial"/>
          <w:snapToGrid w:val="0"/>
          <w:color w:val="808080" w:themeColor="background1" w:themeShade="80"/>
          <w:sz w:val="20"/>
          <w:lang w:val="es-CO"/>
        </w:rPr>
        <w:tab/>
      </w:r>
      <w:r>
        <w:rPr>
          <w:rFonts w:asciiTheme="minorHAnsi" w:hAnsiTheme="minorHAnsi" w:cs="Arial"/>
          <w:snapToGrid w:val="0"/>
          <w:color w:val="808080" w:themeColor="background1" w:themeShade="80"/>
          <w:sz w:val="20"/>
          <w:lang w:val="es-CO"/>
        </w:rPr>
        <w:tab/>
      </w:r>
      <w:r>
        <w:rPr>
          <w:rFonts w:asciiTheme="minorHAnsi" w:hAnsiTheme="minorHAnsi" w:cs="Arial"/>
          <w:snapToGrid w:val="0"/>
          <w:color w:val="808080" w:themeColor="background1" w:themeShade="80"/>
          <w:sz w:val="20"/>
          <w:lang w:val="es-CO"/>
        </w:rPr>
        <w:tab/>
      </w:r>
      <w:r>
        <w:rPr>
          <w:rFonts w:asciiTheme="minorHAnsi" w:hAnsiTheme="minorHAnsi" w:cs="Arial"/>
          <w:snapToGrid w:val="0"/>
          <w:color w:val="808080" w:themeColor="background1" w:themeShade="80"/>
          <w:sz w:val="20"/>
          <w:lang w:val="es-CO"/>
        </w:rPr>
        <w:tab/>
      </w:r>
      <w:r>
        <w:rPr>
          <w:rFonts w:asciiTheme="minorHAnsi" w:hAnsiTheme="minorHAnsi" w:cs="Arial"/>
          <w:snapToGrid w:val="0"/>
          <w:color w:val="808080" w:themeColor="background1" w:themeShade="80"/>
          <w:sz w:val="20"/>
          <w:lang w:val="es-CO"/>
        </w:rPr>
        <w:tab/>
      </w:r>
      <w:r>
        <w:rPr>
          <w:rFonts w:asciiTheme="minorHAnsi" w:hAnsiTheme="minorHAnsi" w:cs="Arial"/>
          <w:snapToGrid w:val="0"/>
          <w:color w:val="808080" w:themeColor="background1" w:themeShade="80"/>
          <w:sz w:val="20"/>
          <w:lang w:val="es-CO"/>
        </w:rPr>
        <w:tab/>
        <w:t xml:space="preserve">   </w:t>
      </w:r>
      <w:r w:rsidRPr="001A479E">
        <w:rPr>
          <w:rFonts w:asciiTheme="minorHAnsi" w:hAnsiTheme="minorHAnsi" w:cs="Arial"/>
          <w:snapToGrid w:val="0"/>
          <w:color w:val="808080" w:themeColor="background1" w:themeShade="80"/>
          <w:sz w:val="20"/>
          <w:lang w:val="es-CO"/>
        </w:rPr>
        <w:t>Firmado en el original</w:t>
      </w:r>
    </w:p>
    <w:p w14:paraId="7C1244CF" w14:textId="2C9F73F3" w:rsidR="006E188D" w:rsidRPr="00554C78" w:rsidRDefault="006E188D" w:rsidP="00554C78">
      <w:pPr>
        <w:tabs>
          <w:tab w:val="left" w:pos="810"/>
        </w:tabs>
        <w:suppressAutoHyphens/>
        <w:spacing w:after="0" w:line="240" w:lineRule="auto"/>
        <w:ind w:left="3600" w:firstLine="720"/>
        <w:rPr>
          <w:rFonts w:asciiTheme="minorHAnsi" w:hAnsiTheme="minorHAnsi" w:cs="Arial"/>
          <w:i/>
          <w:snapToGrid w:val="0"/>
          <w:color w:val="808080"/>
          <w:lang w:val="es-CO"/>
        </w:rPr>
      </w:pPr>
      <w:r w:rsidRPr="00554C78">
        <w:rPr>
          <w:rFonts w:asciiTheme="minorHAnsi" w:hAnsiTheme="minorHAnsi" w:cs="Arial"/>
          <w:snapToGrid w:val="0"/>
          <w:lang w:val="es-CO"/>
        </w:rPr>
        <w:tab/>
      </w:r>
      <w:r w:rsidR="00047315" w:rsidRPr="00554C78">
        <w:rPr>
          <w:rFonts w:asciiTheme="minorHAnsi" w:hAnsiTheme="minorHAnsi" w:cs="Arial"/>
          <w:snapToGrid w:val="0"/>
          <w:lang w:val="es-CO"/>
        </w:rPr>
        <w:t>Elizabeth Abi-Mershed</w:t>
      </w:r>
      <w:r w:rsidRPr="00554C78">
        <w:rPr>
          <w:rFonts w:asciiTheme="minorHAnsi" w:hAnsiTheme="minorHAnsi" w:cs="Arial"/>
          <w:snapToGrid w:val="0"/>
          <w:lang w:val="pt-PT"/>
        </w:rPr>
        <w:t xml:space="preserve"> </w:t>
      </w:r>
    </w:p>
    <w:p w14:paraId="63E6BC52" w14:textId="345D31DA" w:rsidR="006E188D" w:rsidRPr="00554C78" w:rsidRDefault="006E188D" w:rsidP="00554C78">
      <w:pPr>
        <w:tabs>
          <w:tab w:val="left" w:pos="810"/>
        </w:tabs>
        <w:suppressAutoHyphens/>
        <w:spacing w:after="0" w:line="240" w:lineRule="auto"/>
        <w:rPr>
          <w:rFonts w:asciiTheme="minorHAnsi" w:hAnsiTheme="minorHAnsi"/>
          <w:lang w:val="es-CO"/>
        </w:rPr>
      </w:pPr>
      <w:r w:rsidRPr="00554C78">
        <w:rPr>
          <w:rFonts w:asciiTheme="minorHAnsi" w:hAnsiTheme="minorHAnsi" w:cs="Arial"/>
          <w:snapToGrid w:val="0"/>
          <w:lang w:val="es-CO"/>
        </w:rPr>
        <w:t xml:space="preserve"> </w:t>
      </w:r>
      <w:r w:rsidRPr="00554C78">
        <w:rPr>
          <w:rFonts w:asciiTheme="minorHAnsi" w:hAnsiTheme="minorHAnsi" w:cs="Arial"/>
          <w:snapToGrid w:val="0"/>
          <w:lang w:val="es-CO"/>
        </w:rPr>
        <w:tab/>
      </w:r>
      <w:r w:rsidRPr="00554C78">
        <w:rPr>
          <w:rFonts w:asciiTheme="minorHAnsi" w:hAnsiTheme="minorHAnsi" w:cs="Arial"/>
          <w:snapToGrid w:val="0"/>
          <w:lang w:val="es-CO"/>
        </w:rPr>
        <w:tab/>
      </w:r>
      <w:r w:rsidRPr="00554C78">
        <w:rPr>
          <w:rFonts w:asciiTheme="minorHAnsi" w:hAnsiTheme="minorHAnsi" w:cs="Arial"/>
          <w:snapToGrid w:val="0"/>
          <w:lang w:val="es-CO"/>
        </w:rPr>
        <w:tab/>
      </w:r>
      <w:r w:rsidRPr="00554C78">
        <w:rPr>
          <w:rFonts w:asciiTheme="minorHAnsi" w:hAnsiTheme="minorHAnsi" w:cs="Arial"/>
          <w:snapToGrid w:val="0"/>
          <w:lang w:val="es-CO"/>
        </w:rPr>
        <w:tab/>
      </w:r>
      <w:r w:rsidRPr="00554C78">
        <w:rPr>
          <w:rFonts w:asciiTheme="minorHAnsi" w:hAnsiTheme="minorHAnsi" w:cs="Arial"/>
          <w:snapToGrid w:val="0"/>
          <w:lang w:val="es-CO"/>
        </w:rPr>
        <w:tab/>
        <w:t xml:space="preserve">        </w:t>
      </w:r>
      <w:r w:rsidRPr="00554C78">
        <w:rPr>
          <w:rFonts w:asciiTheme="minorHAnsi" w:hAnsiTheme="minorHAnsi" w:cs="Arial"/>
          <w:snapToGrid w:val="0"/>
          <w:lang w:val="es-CO"/>
        </w:rPr>
        <w:tab/>
        <w:t xml:space="preserve">        </w:t>
      </w:r>
      <w:r w:rsidR="00047315" w:rsidRPr="00554C78">
        <w:rPr>
          <w:rFonts w:asciiTheme="minorHAnsi" w:hAnsiTheme="minorHAnsi" w:cs="Arial"/>
          <w:snapToGrid w:val="0"/>
          <w:lang w:val="es-CO"/>
        </w:rPr>
        <w:t xml:space="preserve"> </w:t>
      </w:r>
      <w:r w:rsidRPr="00554C78">
        <w:rPr>
          <w:rFonts w:asciiTheme="minorHAnsi" w:hAnsiTheme="minorHAnsi" w:cs="Arial"/>
          <w:snapToGrid w:val="0"/>
          <w:lang w:val="es-CO"/>
        </w:rPr>
        <w:t>Secretari</w:t>
      </w:r>
      <w:r w:rsidR="00047315" w:rsidRPr="00554C78">
        <w:rPr>
          <w:rFonts w:asciiTheme="minorHAnsi" w:hAnsiTheme="minorHAnsi" w:cs="Arial"/>
          <w:snapToGrid w:val="0"/>
          <w:lang w:val="es-CO"/>
        </w:rPr>
        <w:t>a</w:t>
      </w:r>
      <w:r w:rsidRPr="00554C78">
        <w:rPr>
          <w:rFonts w:asciiTheme="minorHAnsi" w:hAnsiTheme="minorHAnsi" w:cs="Arial"/>
          <w:snapToGrid w:val="0"/>
          <w:lang w:val="es-CO"/>
        </w:rPr>
        <w:t xml:space="preserve"> Ejecutiv</w:t>
      </w:r>
      <w:r w:rsidR="00047315" w:rsidRPr="00554C78">
        <w:rPr>
          <w:rFonts w:asciiTheme="minorHAnsi" w:hAnsiTheme="minorHAnsi" w:cs="Arial"/>
          <w:snapToGrid w:val="0"/>
          <w:lang w:val="es-CO"/>
        </w:rPr>
        <w:t>a Adjunta</w:t>
      </w:r>
      <w:r w:rsidRPr="00554C78">
        <w:rPr>
          <w:rFonts w:asciiTheme="minorHAnsi" w:hAnsiTheme="minorHAnsi" w:cs="Arial"/>
          <w:snapToGrid w:val="0"/>
          <w:lang w:val="es-CO"/>
        </w:rPr>
        <w:t xml:space="preserve"> </w:t>
      </w:r>
    </w:p>
    <w:p w14:paraId="25D39133" w14:textId="77777777" w:rsidR="006E188D" w:rsidRPr="00554C78" w:rsidRDefault="006E188D" w:rsidP="00554C78">
      <w:pPr>
        <w:tabs>
          <w:tab w:val="left" w:pos="810"/>
        </w:tabs>
        <w:suppressAutoHyphens/>
        <w:spacing w:after="0" w:line="240" w:lineRule="auto"/>
        <w:jc w:val="both"/>
        <w:rPr>
          <w:rFonts w:asciiTheme="minorHAnsi" w:hAnsiTheme="minorHAnsi"/>
          <w:lang w:val="es-CO"/>
        </w:rPr>
      </w:pPr>
      <w:bookmarkStart w:id="1" w:name="_GoBack"/>
      <w:bookmarkEnd w:id="1"/>
    </w:p>
    <w:p w14:paraId="40760B39" w14:textId="77777777" w:rsidR="006E188D" w:rsidRPr="00554C78" w:rsidRDefault="006E188D" w:rsidP="00554C78">
      <w:pPr>
        <w:tabs>
          <w:tab w:val="left" w:pos="810"/>
        </w:tabs>
        <w:suppressAutoHyphens/>
        <w:spacing w:after="0" w:line="240" w:lineRule="auto"/>
        <w:jc w:val="both"/>
        <w:rPr>
          <w:rFonts w:asciiTheme="minorHAnsi" w:hAnsiTheme="minorHAnsi"/>
          <w:lang w:val="es-CO"/>
        </w:rPr>
      </w:pPr>
    </w:p>
    <w:p w14:paraId="15C38C96" w14:textId="77777777" w:rsidR="006E188D" w:rsidRPr="001A479E" w:rsidRDefault="006E188D" w:rsidP="00554C78">
      <w:pPr>
        <w:spacing w:after="0" w:line="240" w:lineRule="auto"/>
        <w:rPr>
          <w:rFonts w:asciiTheme="minorHAnsi" w:hAnsiTheme="minorHAnsi"/>
          <w:lang w:val="es-UY"/>
        </w:rPr>
      </w:pPr>
    </w:p>
    <w:p w14:paraId="09F51D74" w14:textId="0F4A7131" w:rsidR="00916F31" w:rsidRPr="00554C78" w:rsidRDefault="00E173DE" w:rsidP="00554C78">
      <w:pPr>
        <w:spacing w:after="0" w:line="240" w:lineRule="auto"/>
        <w:rPr>
          <w:rFonts w:asciiTheme="minorHAnsi" w:hAnsiTheme="minorHAnsi"/>
        </w:rPr>
      </w:pPr>
      <w:r>
        <w:rPr>
          <w:rFonts w:asciiTheme="minorHAnsi" w:hAnsiTheme="minorHAnsi"/>
        </w:rPr>
        <w:t>Anexo</w:t>
      </w:r>
    </w:p>
    <w:sectPr w:rsidR="00916F31" w:rsidRPr="00554C78" w:rsidSect="00C0279B">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B4394" w14:textId="77777777" w:rsidR="00824D53" w:rsidRDefault="00824D53">
      <w:pPr>
        <w:spacing w:after="0" w:line="240" w:lineRule="auto"/>
      </w:pPr>
      <w:r>
        <w:separator/>
      </w:r>
    </w:p>
  </w:endnote>
  <w:endnote w:type="continuationSeparator" w:id="0">
    <w:p w14:paraId="47AD268B" w14:textId="77777777" w:rsidR="00824D53" w:rsidRDefault="00824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404FA" w14:textId="77777777" w:rsidR="00C0279B" w:rsidRPr="00A72869" w:rsidRDefault="006E188D">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DD264E">
      <w:rPr>
        <w:noProof/>
        <w:color w:val="7F7F7F"/>
        <w:sz w:val="16"/>
      </w:rPr>
      <w:t>3</w:t>
    </w:r>
    <w:r w:rsidRPr="00A72869">
      <w:rPr>
        <w:noProof/>
        <w:color w:val="7F7F7F"/>
        <w:sz w:val="16"/>
      </w:rPr>
      <w:fldChar w:fldCharType="end"/>
    </w:r>
  </w:p>
  <w:p w14:paraId="59EF9AB3" w14:textId="77777777" w:rsidR="00C0279B" w:rsidRDefault="00824D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F3641" w14:textId="77777777" w:rsidR="00C0279B" w:rsidRDefault="00824D53" w:rsidP="00C0279B">
    <w:pPr>
      <w:pStyle w:val="Footer"/>
      <w:spacing w:line="360" w:lineRule="auto"/>
    </w:pPr>
    <w:r>
      <w:pict w14:anchorId="2804C9A2">
        <v:rect id="_x0000_i1027" style="width:0;height:1.5pt" o:hralign="center" o:hrstd="t" o:hr="t" fillcolor="#a0a0a0" stroked="f"/>
      </w:pict>
    </w:r>
  </w:p>
  <w:p w14:paraId="6B813154" w14:textId="77777777" w:rsidR="00C0279B" w:rsidRDefault="006E188D" w:rsidP="00C0279B">
    <w:pPr>
      <w:pStyle w:val="Footer"/>
      <w:jc w:val="center"/>
    </w:pPr>
    <w:r w:rsidRPr="008A5CB5">
      <w:rPr>
        <w:noProof/>
        <w:lang w:val="es-UY" w:eastAsia="es-UY"/>
      </w:rPr>
      <w:drawing>
        <wp:inline distT="0" distB="0" distL="0" distR="0" wp14:anchorId="5AB816DA" wp14:editId="6351A294">
          <wp:extent cx="5118100" cy="317500"/>
          <wp:effectExtent l="0" t="0" r="12700" b="12700"/>
          <wp:docPr id="1" name="Picture 1"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0" cy="317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03B31" w14:textId="77777777" w:rsidR="00824D53" w:rsidRDefault="00824D53">
      <w:pPr>
        <w:spacing w:after="0" w:line="240" w:lineRule="auto"/>
      </w:pPr>
      <w:r>
        <w:separator/>
      </w:r>
    </w:p>
  </w:footnote>
  <w:footnote w:type="continuationSeparator" w:id="0">
    <w:p w14:paraId="4244153B" w14:textId="77777777" w:rsidR="00824D53" w:rsidRDefault="00824D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4F8E3" w14:textId="77777777" w:rsidR="00C0279B" w:rsidRPr="0058688A" w:rsidRDefault="006E188D" w:rsidP="00C0279B">
    <w:pPr>
      <w:pStyle w:val="Header"/>
      <w:jc w:val="center"/>
      <w:rPr>
        <w:lang w:val="es-ES_tradnl"/>
      </w:rPr>
    </w:pPr>
    <w:r>
      <w:rPr>
        <w:noProof/>
        <w:lang w:val="es-UY" w:eastAsia="es-UY"/>
      </w:rPr>
      <w:drawing>
        <wp:inline distT="0" distB="0" distL="0" distR="0" wp14:anchorId="2AAF8B96" wp14:editId="2B8AC300">
          <wp:extent cx="2286000" cy="120650"/>
          <wp:effectExtent l="0" t="0" r="0" b="6350"/>
          <wp:docPr id="4" name="Picture 4"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0650"/>
                  </a:xfrm>
                  <a:prstGeom prst="rect">
                    <a:avLst/>
                  </a:prstGeom>
                  <a:noFill/>
                  <a:ln>
                    <a:noFill/>
                  </a:ln>
                </pic:spPr>
              </pic:pic>
            </a:graphicData>
          </a:graphic>
        </wp:inline>
      </w:drawing>
    </w:r>
  </w:p>
  <w:p w14:paraId="273CF03D" w14:textId="77777777" w:rsidR="00C0279B" w:rsidRDefault="00824D53">
    <w:pPr>
      <w:pStyle w:val="Header"/>
    </w:pPr>
    <w:r>
      <w:pict w14:anchorId="056791BF">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617CB" w14:textId="77777777" w:rsidR="00C0279B" w:rsidRDefault="006E188D" w:rsidP="00C0279B">
    <w:pPr>
      <w:pStyle w:val="Header"/>
    </w:pPr>
    <w:r w:rsidRPr="008A5CB5">
      <w:rPr>
        <w:noProof/>
        <w:lang w:val="es-UY" w:eastAsia="es-UY"/>
      </w:rPr>
      <w:drawing>
        <wp:inline distT="0" distB="0" distL="0" distR="0" wp14:anchorId="714F0F72" wp14:editId="01107810">
          <wp:extent cx="2349500" cy="457200"/>
          <wp:effectExtent l="0" t="0" r="12700" b="0"/>
          <wp:docPr id="3" name="Picture 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457200"/>
                  </a:xfrm>
                  <a:prstGeom prst="rect">
                    <a:avLst/>
                  </a:prstGeom>
                  <a:noFill/>
                  <a:ln>
                    <a:noFill/>
                  </a:ln>
                </pic:spPr>
              </pic:pic>
            </a:graphicData>
          </a:graphic>
        </wp:inline>
      </w:drawing>
    </w:r>
    <w:r>
      <w:tab/>
    </w:r>
    <w:r>
      <w:tab/>
    </w:r>
    <w:r w:rsidRPr="008A5CB5">
      <w:rPr>
        <w:noProof/>
        <w:lang w:val="es-UY" w:eastAsia="es-UY"/>
      </w:rPr>
      <w:drawing>
        <wp:inline distT="0" distB="0" distL="0" distR="0" wp14:anchorId="6FDAA3CC" wp14:editId="31CACCD6">
          <wp:extent cx="1644650" cy="476250"/>
          <wp:effectExtent l="0" t="0" r="6350" b="6350"/>
          <wp:docPr id="2" name="Picture 2"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4650" cy="476250"/>
                  </a:xfrm>
                  <a:prstGeom prst="rect">
                    <a:avLst/>
                  </a:prstGeom>
                  <a:noFill/>
                  <a:ln>
                    <a:noFill/>
                  </a:ln>
                </pic:spPr>
              </pic:pic>
            </a:graphicData>
          </a:graphic>
        </wp:inline>
      </w:drawing>
    </w:r>
  </w:p>
  <w:p w14:paraId="35DBA95A" w14:textId="77777777" w:rsidR="00C0279B" w:rsidRDefault="00824D53" w:rsidP="00C0279B">
    <w:pPr>
      <w:pStyle w:val="Header"/>
    </w:pPr>
  </w:p>
  <w:p w14:paraId="46FCBD08" w14:textId="77777777" w:rsidR="00C0279B" w:rsidRDefault="00824D53" w:rsidP="00C0279B">
    <w:pPr>
      <w:pStyle w:val="Header"/>
    </w:pPr>
    <w:r>
      <w:pict w14:anchorId="4C20F932">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50020"/>
    <w:multiLevelType w:val="hybridMultilevel"/>
    <w:tmpl w:val="78664326"/>
    <w:lvl w:ilvl="0" w:tplc="1070076C">
      <w:start w:val="1"/>
      <w:numFmt w:val="decimal"/>
      <w:lvlText w:val="%1."/>
      <w:lvlJc w:val="left"/>
      <w:pPr>
        <w:tabs>
          <w:tab w:val="num" w:pos="1429"/>
        </w:tabs>
        <w:ind w:firstLine="720"/>
      </w:pPr>
      <w:rPr>
        <w:rFonts w:ascii="Cambria" w:hAnsi="Cambria" w:cs="Times New Roman" w:hint="default"/>
        <w:b w:val="0"/>
        <w:i w:val="0"/>
        <w:sz w:val="20"/>
        <w:szCs w:val="20"/>
        <w:lang w:val="es-PE"/>
      </w:rPr>
    </w:lvl>
    <w:lvl w:ilvl="1" w:tplc="04090019">
      <w:start w:val="1"/>
      <w:numFmt w:val="lowerLetter"/>
      <w:lvlText w:val="%2."/>
      <w:lvlJc w:val="left"/>
      <w:pPr>
        <w:tabs>
          <w:tab w:val="num" w:pos="1440"/>
        </w:tabs>
        <w:ind w:left="1440" w:hanging="360"/>
      </w:pPr>
      <w:rPr>
        <w:rFonts w:cs="Times New Roman"/>
      </w:rPr>
    </w:lvl>
    <w:lvl w:ilvl="2" w:tplc="C66EDE0C">
      <w:start w:val="3"/>
      <w:numFmt w:val="upperRoman"/>
      <w:lvlText w:val="%3."/>
      <w:lvlJc w:val="left"/>
      <w:pPr>
        <w:tabs>
          <w:tab w:val="num" w:pos="2700"/>
        </w:tabs>
        <w:ind w:left="2700" w:hanging="720"/>
      </w:pPr>
      <w:rPr>
        <w:rFonts w:cs="Times New Roman" w:hint="default"/>
      </w:rPr>
    </w:lvl>
    <w:lvl w:ilvl="3" w:tplc="268AFC70">
      <w:start w:val="1"/>
      <w:numFmt w:val="decimal"/>
      <w:lvlText w:val="%4."/>
      <w:lvlJc w:val="left"/>
      <w:pPr>
        <w:tabs>
          <w:tab w:val="num" w:pos="2880"/>
        </w:tabs>
        <w:ind w:left="2880" w:hanging="360"/>
      </w:pPr>
      <w:rPr>
        <w:rFonts w:hint="default"/>
        <w:b/>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3F13EE8"/>
    <w:multiLevelType w:val="hybridMultilevel"/>
    <w:tmpl w:val="78BC45F8"/>
    <w:lvl w:ilvl="0" w:tplc="81B8EB9C">
      <w:start w:val="1"/>
      <w:numFmt w:val="upperLetter"/>
      <w:lvlText w:val="%1."/>
      <w:lvlJc w:val="left"/>
      <w:pPr>
        <w:tabs>
          <w:tab w:val="num" w:pos="1440"/>
        </w:tabs>
        <w:ind w:left="1440" w:hanging="720"/>
      </w:pPr>
      <w:rPr>
        <w:rFonts w:hint="default"/>
      </w:rPr>
    </w:lvl>
    <w:lvl w:ilvl="1" w:tplc="D92C12E8">
      <w:start w:val="1"/>
      <w:numFmt w:val="decimal"/>
      <w:lvlText w:val="%2."/>
      <w:lvlJc w:val="left"/>
      <w:pPr>
        <w:tabs>
          <w:tab w:val="num" w:pos="1860"/>
        </w:tabs>
        <w:ind w:left="1860" w:hanging="420"/>
      </w:pPr>
      <w:rPr>
        <w:rFonts w:hint="default"/>
      </w:rPr>
    </w:lvl>
    <w:lvl w:ilvl="2" w:tplc="99CCD1F2">
      <w:start w:val="2"/>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4570ECC"/>
    <w:multiLevelType w:val="hybridMultilevel"/>
    <w:tmpl w:val="EEC6EB42"/>
    <w:lvl w:ilvl="0" w:tplc="4C023D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6A101BB"/>
    <w:multiLevelType w:val="hybridMultilevel"/>
    <w:tmpl w:val="455C2F06"/>
    <w:lvl w:ilvl="0" w:tplc="CB3E82CC">
      <w:start w:val="1"/>
      <w:numFmt w:val="upperRoman"/>
      <w:lvlText w:val="%1."/>
      <w:lvlJc w:val="left"/>
      <w:pPr>
        <w:tabs>
          <w:tab w:val="num" w:pos="1440"/>
        </w:tabs>
        <w:ind w:left="1440" w:hanging="720"/>
      </w:pPr>
      <w:rPr>
        <w:rFonts w:cs="Times New Roman" w:hint="default"/>
        <w:b/>
      </w:rPr>
    </w:lvl>
    <w:lvl w:ilvl="1" w:tplc="47D87E38">
      <w:start w:val="1"/>
      <w:numFmt w:val="decimal"/>
      <w:lvlText w:val="%2."/>
      <w:lvlJc w:val="left"/>
      <w:pPr>
        <w:tabs>
          <w:tab w:val="num" w:pos="1800"/>
        </w:tabs>
        <w:ind w:left="1800" w:hanging="360"/>
      </w:pPr>
      <w:rPr>
        <w:rFonts w:cs="Times New Roman" w:hint="default"/>
        <w:b/>
        <w:color w:val="auto"/>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rPr>
        <w:rFonts w:hint="default"/>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66BE5E6A"/>
    <w:multiLevelType w:val="hybridMultilevel"/>
    <w:tmpl w:val="99A4964C"/>
    <w:lvl w:ilvl="0" w:tplc="B95E0210">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88D"/>
    <w:rsid w:val="00046BBF"/>
    <w:rsid w:val="00047315"/>
    <w:rsid w:val="0005001D"/>
    <w:rsid w:val="0007388A"/>
    <w:rsid w:val="000F0764"/>
    <w:rsid w:val="001A479E"/>
    <w:rsid w:val="001B524F"/>
    <w:rsid w:val="001C37D4"/>
    <w:rsid w:val="00243DB7"/>
    <w:rsid w:val="002A4B5C"/>
    <w:rsid w:val="003223B2"/>
    <w:rsid w:val="003252BD"/>
    <w:rsid w:val="003324D2"/>
    <w:rsid w:val="003B760E"/>
    <w:rsid w:val="003D509D"/>
    <w:rsid w:val="00437B59"/>
    <w:rsid w:val="004431DF"/>
    <w:rsid w:val="00454D2B"/>
    <w:rsid w:val="0047135E"/>
    <w:rsid w:val="004B43CE"/>
    <w:rsid w:val="004C3F95"/>
    <w:rsid w:val="004D2B77"/>
    <w:rsid w:val="00533332"/>
    <w:rsid w:val="005418A7"/>
    <w:rsid w:val="00554C78"/>
    <w:rsid w:val="00574517"/>
    <w:rsid w:val="0059113B"/>
    <w:rsid w:val="005F0BCA"/>
    <w:rsid w:val="00681672"/>
    <w:rsid w:val="006E188D"/>
    <w:rsid w:val="006E2EC7"/>
    <w:rsid w:val="006F6BF7"/>
    <w:rsid w:val="00761BE8"/>
    <w:rsid w:val="00824D53"/>
    <w:rsid w:val="00850271"/>
    <w:rsid w:val="00874ADD"/>
    <w:rsid w:val="00877502"/>
    <w:rsid w:val="008A376E"/>
    <w:rsid w:val="008D1453"/>
    <w:rsid w:val="009512EB"/>
    <w:rsid w:val="00A071F0"/>
    <w:rsid w:val="00A27C5C"/>
    <w:rsid w:val="00A50D49"/>
    <w:rsid w:val="00AB58B3"/>
    <w:rsid w:val="00AF09EE"/>
    <w:rsid w:val="00AF7929"/>
    <w:rsid w:val="00B3406F"/>
    <w:rsid w:val="00B467A0"/>
    <w:rsid w:val="00B5334F"/>
    <w:rsid w:val="00B71C92"/>
    <w:rsid w:val="00B92B86"/>
    <w:rsid w:val="00B959E2"/>
    <w:rsid w:val="00B96763"/>
    <w:rsid w:val="00BB2744"/>
    <w:rsid w:val="00BB4DB1"/>
    <w:rsid w:val="00C91B21"/>
    <w:rsid w:val="00D00B88"/>
    <w:rsid w:val="00D06747"/>
    <w:rsid w:val="00D30643"/>
    <w:rsid w:val="00D367BC"/>
    <w:rsid w:val="00D45CFD"/>
    <w:rsid w:val="00D5072D"/>
    <w:rsid w:val="00DB7934"/>
    <w:rsid w:val="00DD264E"/>
    <w:rsid w:val="00E03E1B"/>
    <w:rsid w:val="00E173DE"/>
    <w:rsid w:val="00E23B54"/>
    <w:rsid w:val="00E440E5"/>
    <w:rsid w:val="00E93D6B"/>
    <w:rsid w:val="00EB06D1"/>
    <w:rsid w:val="00F44D14"/>
    <w:rsid w:val="00FB736D"/>
    <w:rsid w:val="00FC08D1"/>
    <w:rsid w:val="00FE7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537E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88D"/>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188D"/>
    <w:pPr>
      <w:tabs>
        <w:tab w:val="center" w:pos="4680"/>
        <w:tab w:val="right" w:pos="9360"/>
      </w:tabs>
      <w:spacing w:after="0" w:line="240" w:lineRule="auto"/>
    </w:pPr>
    <w:rPr>
      <w:rFonts w:eastAsia="MS Mincho"/>
    </w:rPr>
  </w:style>
  <w:style w:type="character" w:customStyle="1" w:styleId="HeaderChar">
    <w:name w:val="Header Char"/>
    <w:basedOn w:val="DefaultParagraphFont"/>
    <w:link w:val="Header"/>
    <w:rsid w:val="006E188D"/>
    <w:rPr>
      <w:rFonts w:ascii="Calibri" w:eastAsia="MS Mincho" w:hAnsi="Calibri" w:cs="Times New Roman"/>
      <w:sz w:val="22"/>
      <w:szCs w:val="22"/>
    </w:rPr>
  </w:style>
  <w:style w:type="paragraph" w:styleId="Footer">
    <w:name w:val="footer"/>
    <w:basedOn w:val="Normal"/>
    <w:link w:val="FooterChar"/>
    <w:unhideWhenUsed/>
    <w:rsid w:val="006E188D"/>
    <w:pPr>
      <w:tabs>
        <w:tab w:val="center" w:pos="4680"/>
        <w:tab w:val="right" w:pos="9360"/>
      </w:tabs>
      <w:spacing w:after="0" w:line="240" w:lineRule="auto"/>
    </w:pPr>
    <w:rPr>
      <w:rFonts w:eastAsia="MS Mincho"/>
    </w:rPr>
  </w:style>
  <w:style w:type="character" w:customStyle="1" w:styleId="FooterChar">
    <w:name w:val="Footer Char"/>
    <w:basedOn w:val="DefaultParagraphFont"/>
    <w:link w:val="Footer"/>
    <w:rsid w:val="006E188D"/>
    <w:rPr>
      <w:rFonts w:ascii="Calibri" w:eastAsia="MS Mincho" w:hAnsi="Calibri" w:cs="Times New Roman"/>
      <w:sz w:val="22"/>
      <w:szCs w:val="22"/>
    </w:rPr>
  </w:style>
  <w:style w:type="paragraph" w:styleId="NormalWeb">
    <w:name w:val="Normal (Web)"/>
    <w:basedOn w:val="Normal"/>
    <w:uiPriority w:val="99"/>
    <w:semiHidden/>
    <w:unhideWhenUsed/>
    <w:rsid w:val="006E188D"/>
    <w:pPr>
      <w:spacing w:before="100" w:beforeAutospacing="1" w:after="100" w:afterAutospacing="1" w:line="240" w:lineRule="auto"/>
    </w:pPr>
    <w:rPr>
      <w:rFonts w:ascii="Times New Roman" w:eastAsiaTheme="minorHAnsi" w:hAnsi="Times New Roman"/>
      <w:sz w:val="24"/>
      <w:szCs w:val="24"/>
    </w:rPr>
  </w:style>
  <w:style w:type="paragraph" w:styleId="BodyText3">
    <w:name w:val="Body Text 3"/>
    <w:basedOn w:val="Normal"/>
    <w:link w:val="BodyText3Char"/>
    <w:rsid w:val="006E188D"/>
    <w:pPr>
      <w:spacing w:after="120" w:line="240" w:lineRule="auto"/>
    </w:pPr>
    <w:rPr>
      <w:rFonts w:ascii="Times New Roman" w:eastAsia="MS Mincho" w:hAnsi="Times New Roman"/>
      <w:sz w:val="16"/>
      <w:szCs w:val="16"/>
    </w:rPr>
  </w:style>
  <w:style w:type="character" w:customStyle="1" w:styleId="BodyText3Char">
    <w:name w:val="Body Text 3 Char"/>
    <w:basedOn w:val="DefaultParagraphFont"/>
    <w:link w:val="BodyText3"/>
    <w:rsid w:val="006E188D"/>
    <w:rPr>
      <w:rFonts w:ascii="Times New Roman" w:eastAsia="MS Mincho" w:hAnsi="Times New Roman" w:cs="Times New Roman"/>
      <w:sz w:val="16"/>
      <w:szCs w:val="16"/>
    </w:rPr>
  </w:style>
  <w:style w:type="paragraph" w:styleId="ListParagraph">
    <w:name w:val="List Paragraph"/>
    <w:aliases w:val="Párrafo de lista1,List Paragraph1,Colorful List - Accent 11,List Paragraph11"/>
    <w:link w:val="ListParagraphChar"/>
    <w:uiPriority w:val="99"/>
    <w:qFormat/>
    <w:rsid w:val="00D30643"/>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character" w:customStyle="1" w:styleId="ListParagraphChar">
    <w:name w:val="List Paragraph Char"/>
    <w:aliases w:val="Párrafo de lista1 Char,List Paragraph1 Char,Colorful List - Accent 11 Char,List Paragraph11 Char"/>
    <w:link w:val="ListParagraph"/>
    <w:uiPriority w:val="99"/>
    <w:locked/>
    <w:rsid w:val="00D30643"/>
    <w:rPr>
      <w:rFonts w:ascii="Cambria" w:eastAsia="Cambria" w:hAnsi="Cambria" w:cs="Cambria"/>
      <w:color w:val="000000"/>
      <w:u w:color="000000"/>
      <w:bdr w:val="nil"/>
      <w:lang w:eastAsia="es-ES"/>
    </w:rPr>
  </w:style>
  <w:style w:type="paragraph" w:styleId="BalloonText">
    <w:name w:val="Balloon Text"/>
    <w:basedOn w:val="Normal"/>
    <w:link w:val="BalloonTextChar"/>
    <w:uiPriority w:val="99"/>
    <w:semiHidden/>
    <w:unhideWhenUsed/>
    <w:rsid w:val="000F0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764"/>
    <w:rPr>
      <w:rFonts w:ascii="Tahoma" w:eastAsia="Calibri" w:hAnsi="Tahoma" w:cs="Tahoma"/>
      <w:sz w:val="16"/>
      <w:szCs w:val="16"/>
    </w:rPr>
  </w:style>
  <w:style w:type="paragraph" w:styleId="BodyTextIndent">
    <w:name w:val="Body Text Indent"/>
    <w:basedOn w:val="Normal"/>
    <w:link w:val="BodyTextIndentChar"/>
    <w:uiPriority w:val="99"/>
    <w:semiHidden/>
    <w:unhideWhenUsed/>
    <w:rsid w:val="00D5072D"/>
    <w:pPr>
      <w:spacing w:after="120"/>
      <w:ind w:left="360"/>
    </w:pPr>
  </w:style>
  <w:style w:type="character" w:customStyle="1" w:styleId="BodyTextIndentChar">
    <w:name w:val="Body Text Indent Char"/>
    <w:basedOn w:val="DefaultParagraphFont"/>
    <w:link w:val="BodyTextIndent"/>
    <w:uiPriority w:val="99"/>
    <w:semiHidden/>
    <w:rsid w:val="00D5072D"/>
    <w:rPr>
      <w:rFonts w:ascii="Calibri" w:eastAsia="Calibri" w:hAnsi="Calibri" w:cs="Times New Roman"/>
      <w:sz w:val="22"/>
      <w:szCs w:val="22"/>
    </w:rPr>
  </w:style>
  <w:style w:type="character" w:styleId="Hyperlink">
    <w:name w:val="Hyperlink"/>
    <w:basedOn w:val="DefaultParagraphFont"/>
    <w:uiPriority w:val="99"/>
    <w:unhideWhenUsed/>
    <w:rsid w:val="00E173D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88D"/>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188D"/>
    <w:pPr>
      <w:tabs>
        <w:tab w:val="center" w:pos="4680"/>
        <w:tab w:val="right" w:pos="9360"/>
      </w:tabs>
      <w:spacing w:after="0" w:line="240" w:lineRule="auto"/>
    </w:pPr>
    <w:rPr>
      <w:rFonts w:eastAsia="MS Mincho"/>
    </w:rPr>
  </w:style>
  <w:style w:type="character" w:customStyle="1" w:styleId="HeaderChar">
    <w:name w:val="Header Char"/>
    <w:basedOn w:val="DefaultParagraphFont"/>
    <w:link w:val="Header"/>
    <w:rsid w:val="006E188D"/>
    <w:rPr>
      <w:rFonts w:ascii="Calibri" w:eastAsia="MS Mincho" w:hAnsi="Calibri" w:cs="Times New Roman"/>
      <w:sz w:val="22"/>
      <w:szCs w:val="22"/>
    </w:rPr>
  </w:style>
  <w:style w:type="paragraph" w:styleId="Footer">
    <w:name w:val="footer"/>
    <w:basedOn w:val="Normal"/>
    <w:link w:val="FooterChar"/>
    <w:unhideWhenUsed/>
    <w:rsid w:val="006E188D"/>
    <w:pPr>
      <w:tabs>
        <w:tab w:val="center" w:pos="4680"/>
        <w:tab w:val="right" w:pos="9360"/>
      </w:tabs>
      <w:spacing w:after="0" w:line="240" w:lineRule="auto"/>
    </w:pPr>
    <w:rPr>
      <w:rFonts w:eastAsia="MS Mincho"/>
    </w:rPr>
  </w:style>
  <w:style w:type="character" w:customStyle="1" w:styleId="FooterChar">
    <w:name w:val="Footer Char"/>
    <w:basedOn w:val="DefaultParagraphFont"/>
    <w:link w:val="Footer"/>
    <w:rsid w:val="006E188D"/>
    <w:rPr>
      <w:rFonts w:ascii="Calibri" w:eastAsia="MS Mincho" w:hAnsi="Calibri" w:cs="Times New Roman"/>
      <w:sz w:val="22"/>
      <w:szCs w:val="22"/>
    </w:rPr>
  </w:style>
  <w:style w:type="paragraph" w:styleId="NormalWeb">
    <w:name w:val="Normal (Web)"/>
    <w:basedOn w:val="Normal"/>
    <w:uiPriority w:val="99"/>
    <w:semiHidden/>
    <w:unhideWhenUsed/>
    <w:rsid w:val="006E188D"/>
    <w:pPr>
      <w:spacing w:before="100" w:beforeAutospacing="1" w:after="100" w:afterAutospacing="1" w:line="240" w:lineRule="auto"/>
    </w:pPr>
    <w:rPr>
      <w:rFonts w:ascii="Times New Roman" w:eastAsiaTheme="minorHAnsi" w:hAnsi="Times New Roman"/>
      <w:sz w:val="24"/>
      <w:szCs w:val="24"/>
    </w:rPr>
  </w:style>
  <w:style w:type="paragraph" w:styleId="BodyText3">
    <w:name w:val="Body Text 3"/>
    <w:basedOn w:val="Normal"/>
    <w:link w:val="BodyText3Char"/>
    <w:rsid w:val="006E188D"/>
    <w:pPr>
      <w:spacing w:after="120" w:line="240" w:lineRule="auto"/>
    </w:pPr>
    <w:rPr>
      <w:rFonts w:ascii="Times New Roman" w:eastAsia="MS Mincho" w:hAnsi="Times New Roman"/>
      <w:sz w:val="16"/>
      <w:szCs w:val="16"/>
    </w:rPr>
  </w:style>
  <w:style w:type="character" w:customStyle="1" w:styleId="BodyText3Char">
    <w:name w:val="Body Text 3 Char"/>
    <w:basedOn w:val="DefaultParagraphFont"/>
    <w:link w:val="BodyText3"/>
    <w:rsid w:val="006E188D"/>
    <w:rPr>
      <w:rFonts w:ascii="Times New Roman" w:eastAsia="MS Mincho" w:hAnsi="Times New Roman" w:cs="Times New Roman"/>
      <w:sz w:val="16"/>
      <w:szCs w:val="16"/>
    </w:rPr>
  </w:style>
  <w:style w:type="paragraph" w:styleId="ListParagraph">
    <w:name w:val="List Paragraph"/>
    <w:aliases w:val="Párrafo de lista1,List Paragraph1,Colorful List - Accent 11,List Paragraph11"/>
    <w:link w:val="ListParagraphChar"/>
    <w:uiPriority w:val="99"/>
    <w:qFormat/>
    <w:rsid w:val="00D30643"/>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character" w:customStyle="1" w:styleId="ListParagraphChar">
    <w:name w:val="List Paragraph Char"/>
    <w:aliases w:val="Párrafo de lista1 Char,List Paragraph1 Char,Colorful List - Accent 11 Char,List Paragraph11 Char"/>
    <w:link w:val="ListParagraph"/>
    <w:uiPriority w:val="99"/>
    <w:locked/>
    <w:rsid w:val="00D30643"/>
    <w:rPr>
      <w:rFonts w:ascii="Cambria" w:eastAsia="Cambria" w:hAnsi="Cambria" w:cs="Cambria"/>
      <w:color w:val="000000"/>
      <w:u w:color="000000"/>
      <w:bdr w:val="nil"/>
      <w:lang w:eastAsia="es-ES"/>
    </w:rPr>
  </w:style>
  <w:style w:type="paragraph" w:styleId="BalloonText">
    <w:name w:val="Balloon Text"/>
    <w:basedOn w:val="Normal"/>
    <w:link w:val="BalloonTextChar"/>
    <w:uiPriority w:val="99"/>
    <w:semiHidden/>
    <w:unhideWhenUsed/>
    <w:rsid w:val="000F0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764"/>
    <w:rPr>
      <w:rFonts w:ascii="Tahoma" w:eastAsia="Calibri" w:hAnsi="Tahoma" w:cs="Tahoma"/>
      <w:sz w:val="16"/>
      <w:szCs w:val="16"/>
    </w:rPr>
  </w:style>
  <w:style w:type="paragraph" w:styleId="BodyTextIndent">
    <w:name w:val="Body Text Indent"/>
    <w:basedOn w:val="Normal"/>
    <w:link w:val="BodyTextIndentChar"/>
    <w:uiPriority w:val="99"/>
    <w:semiHidden/>
    <w:unhideWhenUsed/>
    <w:rsid w:val="00D5072D"/>
    <w:pPr>
      <w:spacing w:after="120"/>
      <w:ind w:left="360"/>
    </w:pPr>
  </w:style>
  <w:style w:type="character" w:customStyle="1" w:styleId="BodyTextIndentChar">
    <w:name w:val="Body Text Indent Char"/>
    <w:basedOn w:val="DefaultParagraphFont"/>
    <w:link w:val="BodyTextIndent"/>
    <w:uiPriority w:val="99"/>
    <w:semiHidden/>
    <w:rsid w:val="00D5072D"/>
    <w:rPr>
      <w:rFonts w:ascii="Calibri" w:eastAsia="Calibri" w:hAnsi="Calibri" w:cs="Times New Roman"/>
      <w:sz w:val="22"/>
      <w:szCs w:val="22"/>
    </w:rPr>
  </w:style>
  <w:style w:type="character" w:styleId="Hyperlink">
    <w:name w:val="Hyperlink"/>
    <w:basedOn w:val="DefaultParagraphFont"/>
    <w:uiPriority w:val="99"/>
    <w:unhideWhenUsed/>
    <w:rsid w:val="00E173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1015</Words>
  <Characters>5219</Characters>
  <Application>Microsoft Office Word</Application>
  <DocSecurity>0</DocSecurity>
  <Lines>88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Fontana, Maria Eva</cp:lastModifiedBy>
  <cp:revision>5</cp:revision>
  <cp:lastPrinted>2017-10-19T14:47:00Z</cp:lastPrinted>
  <dcterms:created xsi:type="dcterms:W3CDTF">2017-10-19T14:48:00Z</dcterms:created>
  <dcterms:modified xsi:type="dcterms:W3CDTF">2018-03-09T17:23:00Z</dcterms:modified>
</cp:coreProperties>
</file>