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C32FC" w14:textId="77777777" w:rsidR="00EE5A47" w:rsidRPr="00443D0E" w:rsidRDefault="00EE5A47" w:rsidP="008E2D07">
      <w:pPr>
        <w:tabs>
          <w:tab w:val="left" w:pos="810"/>
        </w:tabs>
        <w:suppressAutoHyphens/>
        <w:spacing w:after="0" w:line="240" w:lineRule="auto"/>
        <w:rPr>
          <w:rFonts w:ascii="Cambria" w:hAnsi="Cambria" w:cs="Arial"/>
          <w:lang w:val="es-CO"/>
        </w:rPr>
      </w:pPr>
    </w:p>
    <w:p w14:paraId="504230D3" w14:textId="28D653B2" w:rsidR="003F7922" w:rsidRPr="00443D0E" w:rsidRDefault="00443D0E" w:rsidP="0026239F">
      <w:pPr>
        <w:tabs>
          <w:tab w:val="left" w:pos="810"/>
        </w:tabs>
        <w:suppressAutoHyphens/>
        <w:spacing w:after="0" w:line="240" w:lineRule="auto"/>
        <w:jc w:val="right"/>
        <w:rPr>
          <w:rFonts w:ascii="Cambria" w:hAnsi="Cambria" w:cs="Arial"/>
          <w:b/>
          <w:lang w:val="es-CO"/>
        </w:rPr>
      </w:pPr>
      <w:r>
        <w:rPr>
          <w:rFonts w:ascii="Cambria" w:hAnsi="Cambria" w:cs="Arial"/>
          <w:lang w:val="es-CO"/>
        </w:rPr>
        <w:t xml:space="preserve">17 de noviembre </w:t>
      </w:r>
      <w:r w:rsidR="00985D82" w:rsidRPr="00443D0E">
        <w:rPr>
          <w:rFonts w:ascii="Cambria" w:hAnsi="Cambria" w:cs="Arial"/>
          <w:lang w:val="es-CO"/>
        </w:rPr>
        <w:t>de 201</w:t>
      </w:r>
      <w:r>
        <w:rPr>
          <w:rFonts w:ascii="Cambria" w:hAnsi="Cambria" w:cs="Arial"/>
          <w:lang w:val="es-CO"/>
        </w:rPr>
        <w:t>7</w:t>
      </w:r>
    </w:p>
    <w:p w14:paraId="1657FB14" w14:textId="0D8E8D31" w:rsidR="00985D82" w:rsidRPr="00443D0E" w:rsidRDefault="00C11485" w:rsidP="008E2D07">
      <w:pPr>
        <w:widowControl w:val="0"/>
        <w:tabs>
          <w:tab w:val="left" w:pos="720"/>
        </w:tabs>
        <w:autoSpaceDE w:val="0"/>
        <w:autoSpaceDN w:val="0"/>
        <w:adjustRightInd w:val="0"/>
        <w:spacing w:after="0" w:line="240" w:lineRule="auto"/>
        <w:jc w:val="both"/>
        <w:rPr>
          <w:rFonts w:ascii="Cambria" w:hAnsi="Cambria" w:cs="Arial"/>
          <w:b/>
          <w:lang w:val="es-CO"/>
        </w:rPr>
      </w:pPr>
      <w:r w:rsidRPr="00443D0E">
        <w:rPr>
          <w:rFonts w:ascii="Cambria" w:hAnsi="Cambria" w:cs="Arial"/>
          <w:b/>
          <w:lang w:val="es-CO"/>
        </w:rPr>
        <w:t>REF</w:t>
      </w:r>
      <w:r w:rsidR="00985D82" w:rsidRPr="00443D0E">
        <w:rPr>
          <w:rFonts w:ascii="Cambria" w:hAnsi="Cambria" w:cs="Arial"/>
          <w:b/>
          <w:lang w:val="es-CO"/>
        </w:rPr>
        <w:t>.:</w:t>
      </w:r>
      <w:bookmarkStart w:id="0" w:name="Peticion_n"/>
      <w:bookmarkEnd w:id="0"/>
      <w:r w:rsidRPr="00443D0E">
        <w:rPr>
          <w:rFonts w:ascii="Cambria" w:hAnsi="Cambria" w:cs="Arial"/>
          <w:b/>
          <w:lang w:val="es-CO"/>
        </w:rPr>
        <w:tab/>
        <w:t>Caso Nº</w:t>
      </w:r>
      <w:r w:rsidR="00985D82" w:rsidRPr="00443D0E">
        <w:rPr>
          <w:rFonts w:ascii="Cambria" w:hAnsi="Cambria" w:cs="Arial"/>
          <w:b/>
          <w:lang w:val="es-CO"/>
        </w:rPr>
        <w:t xml:space="preserve"> </w:t>
      </w:r>
      <w:r w:rsidR="00985D82" w:rsidRPr="00443D0E">
        <w:rPr>
          <w:rFonts w:ascii="Cambria" w:hAnsi="Cambria"/>
          <w:b/>
          <w:lang w:val="es-CO"/>
        </w:rPr>
        <w:t>1</w:t>
      </w:r>
      <w:r w:rsidR="007C37F1" w:rsidRPr="00443D0E">
        <w:rPr>
          <w:rFonts w:ascii="Cambria" w:hAnsi="Cambria"/>
          <w:b/>
          <w:lang w:val="es-CO"/>
        </w:rPr>
        <w:t>1.</w:t>
      </w:r>
      <w:r w:rsidR="000B3A99">
        <w:rPr>
          <w:rFonts w:ascii="Cambria" w:hAnsi="Cambria"/>
          <w:b/>
          <w:lang w:val="es-CO"/>
        </w:rPr>
        <w:t>639</w:t>
      </w:r>
    </w:p>
    <w:p w14:paraId="4847DB5F" w14:textId="459BF8A3" w:rsidR="00985D82" w:rsidRPr="00443D0E" w:rsidRDefault="000B3A99" w:rsidP="008E2D07">
      <w:pPr>
        <w:widowControl w:val="0"/>
        <w:tabs>
          <w:tab w:val="left" w:pos="810"/>
        </w:tabs>
        <w:autoSpaceDE w:val="0"/>
        <w:autoSpaceDN w:val="0"/>
        <w:adjustRightInd w:val="0"/>
        <w:spacing w:after="0" w:line="240" w:lineRule="auto"/>
        <w:ind w:firstLine="720"/>
        <w:jc w:val="both"/>
        <w:rPr>
          <w:rFonts w:ascii="Cambria" w:hAnsi="Cambria" w:cs="Arial"/>
          <w:b/>
          <w:lang w:val="es-ES"/>
        </w:rPr>
      </w:pPr>
      <w:r>
        <w:rPr>
          <w:rFonts w:ascii="Cambria" w:hAnsi="Cambria"/>
          <w:b/>
          <w:lang w:val="es-CO"/>
        </w:rPr>
        <w:t xml:space="preserve">Alejandro </w:t>
      </w:r>
      <w:proofErr w:type="spellStart"/>
      <w:r>
        <w:rPr>
          <w:rFonts w:ascii="Cambria" w:hAnsi="Cambria"/>
          <w:b/>
          <w:lang w:val="es-CO"/>
        </w:rPr>
        <w:t>Yovany</w:t>
      </w:r>
      <w:proofErr w:type="spellEnd"/>
      <w:r>
        <w:rPr>
          <w:rFonts w:ascii="Cambria" w:hAnsi="Cambria"/>
          <w:b/>
          <w:lang w:val="es-CO"/>
        </w:rPr>
        <w:t xml:space="preserve"> Gómez </w:t>
      </w:r>
      <w:proofErr w:type="spellStart"/>
      <w:r>
        <w:rPr>
          <w:rFonts w:ascii="Cambria" w:hAnsi="Cambria"/>
          <w:b/>
          <w:lang w:val="es-CO"/>
        </w:rPr>
        <w:t>Virula</w:t>
      </w:r>
      <w:proofErr w:type="spellEnd"/>
      <w:r>
        <w:rPr>
          <w:rFonts w:ascii="Cambria" w:hAnsi="Cambria"/>
          <w:b/>
          <w:lang w:val="es-CO"/>
        </w:rPr>
        <w:t xml:space="preserve"> y familia</w:t>
      </w:r>
    </w:p>
    <w:p w14:paraId="07B7B2B1" w14:textId="77777777" w:rsidR="00985D82" w:rsidRPr="00443D0E" w:rsidRDefault="009557A4" w:rsidP="008E2D07">
      <w:pPr>
        <w:tabs>
          <w:tab w:val="left" w:pos="720"/>
          <w:tab w:val="left" w:pos="810"/>
          <w:tab w:val="center" w:pos="6480"/>
        </w:tabs>
        <w:spacing w:after="0" w:line="240" w:lineRule="auto"/>
        <w:ind w:left="720"/>
        <w:jc w:val="both"/>
        <w:rPr>
          <w:rFonts w:ascii="Cambria" w:hAnsi="Cambria" w:cs="Arial"/>
          <w:b/>
          <w:lang w:val="es-ES_tradnl"/>
        </w:rPr>
      </w:pPr>
      <w:r w:rsidRPr="00443D0E">
        <w:rPr>
          <w:rFonts w:ascii="Cambria" w:hAnsi="Cambria" w:cs="Arial"/>
          <w:b/>
          <w:lang w:val="es-CR"/>
        </w:rPr>
        <w:t>Guatemala</w:t>
      </w:r>
      <w:r w:rsidR="00985D82" w:rsidRPr="00443D0E">
        <w:rPr>
          <w:rFonts w:ascii="Cambria" w:hAnsi="Cambria" w:cs="Arial"/>
          <w:b/>
          <w:lang w:val="es-ES_tradnl"/>
        </w:rPr>
        <w:t xml:space="preserve"> </w:t>
      </w:r>
    </w:p>
    <w:p w14:paraId="47347313" w14:textId="77777777" w:rsidR="00C11485" w:rsidRPr="00443D0E" w:rsidRDefault="00C11485" w:rsidP="008E2D07">
      <w:pPr>
        <w:tabs>
          <w:tab w:val="left" w:pos="720"/>
          <w:tab w:val="left" w:pos="810"/>
          <w:tab w:val="center" w:pos="6480"/>
        </w:tabs>
        <w:spacing w:after="0" w:line="240" w:lineRule="auto"/>
        <w:jc w:val="both"/>
        <w:rPr>
          <w:rFonts w:ascii="Cambria" w:hAnsi="Cambria" w:cs="Arial"/>
          <w:lang w:val="es-ES_tradnl"/>
        </w:rPr>
      </w:pPr>
    </w:p>
    <w:p w14:paraId="422F8A73" w14:textId="77777777" w:rsidR="00985D82" w:rsidRPr="00443D0E" w:rsidRDefault="00985D82" w:rsidP="008E2D07">
      <w:pPr>
        <w:tabs>
          <w:tab w:val="left" w:pos="720"/>
          <w:tab w:val="left" w:pos="810"/>
          <w:tab w:val="center" w:pos="6480"/>
        </w:tabs>
        <w:spacing w:after="0" w:line="240" w:lineRule="auto"/>
        <w:jc w:val="both"/>
        <w:rPr>
          <w:rFonts w:ascii="Cambria" w:hAnsi="Cambria" w:cs="Arial"/>
          <w:lang w:val="es-PE"/>
        </w:rPr>
      </w:pPr>
      <w:r w:rsidRPr="00443D0E">
        <w:rPr>
          <w:rFonts w:ascii="Cambria" w:hAnsi="Cambria" w:cs="Arial"/>
          <w:lang w:val="es-PE"/>
        </w:rPr>
        <w:t>Señor Secretario:</w:t>
      </w:r>
    </w:p>
    <w:p w14:paraId="34DF42DB" w14:textId="77777777" w:rsidR="00985D82" w:rsidRPr="00443D0E" w:rsidRDefault="00985D82" w:rsidP="008E2D07">
      <w:pPr>
        <w:widowControl w:val="0"/>
        <w:tabs>
          <w:tab w:val="left" w:pos="810"/>
        </w:tabs>
        <w:autoSpaceDE w:val="0"/>
        <w:autoSpaceDN w:val="0"/>
        <w:adjustRightInd w:val="0"/>
        <w:spacing w:after="0" w:line="240" w:lineRule="auto"/>
        <w:ind w:firstLine="720"/>
        <w:jc w:val="both"/>
        <w:rPr>
          <w:rFonts w:ascii="Cambria" w:hAnsi="Cambria"/>
          <w:lang w:val="es-CO"/>
        </w:rPr>
      </w:pPr>
    </w:p>
    <w:p w14:paraId="0C913A94" w14:textId="10D4144C" w:rsidR="002632E4" w:rsidRDefault="00985D82" w:rsidP="00FD2407">
      <w:pPr>
        <w:spacing w:after="0" w:line="240" w:lineRule="auto"/>
        <w:ind w:firstLine="720"/>
        <w:jc w:val="both"/>
        <w:rPr>
          <w:rFonts w:ascii="Cambria" w:hAnsi="Cambria"/>
          <w:lang w:val="es-ES"/>
        </w:rPr>
      </w:pPr>
      <w:r w:rsidRPr="00443D0E">
        <w:rPr>
          <w:rFonts w:ascii="Cambria" w:hAnsi="Cambria"/>
          <w:lang w:val="es-CO"/>
        </w:rPr>
        <w:t>Tengo el agrado de dirigirme a usted, en nombre de la Comisión Interamericana de Derechos Humanos, con</w:t>
      </w:r>
      <w:r w:rsidR="00C11485" w:rsidRPr="00443D0E">
        <w:rPr>
          <w:rFonts w:ascii="Cambria" w:hAnsi="Cambria"/>
          <w:lang w:val="es-CO"/>
        </w:rPr>
        <w:t xml:space="preserve"> </w:t>
      </w:r>
      <w:r w:rsidRPr="00443D0E">
        <w:rPr>
          <w:rFonts w:ascii="Cambria" w:hAnsi="Cambria"/>
          <w:lang w:val="es-CO"/>
        </w:rPr>
        <w:t>el objeto</w:t>
      </w:r>
      <w:r w:rsidRPr="00443D0E">
        <w:rPr>
          <w:rFonts w:ascii="Cambria" w:hAnsi="Cambria" w:cs="Arial"/>
          <w:lang w:val="es-CO"/>
        </w:rPr>
        <w:t xml:space="preserve"> de someter</w:t>
      </w:r>
      <w:r w:rsidR="00C11485" w:rsidRPr="00443D0E">
        <w:rPr>
          <w:rFonts w:ascii="Cambria" w:hAnsi="Cambria" w:cs="Arial"/>
          <w:lang w:val="es-CO"/>
        </w:rPr>
        <w:t xml:space="preserve"> </w:t>
      </w:r>
      <w:r w:rsidRPr="00443D0E">
        <w:rPr>
          <w:rFonts w:ascii="Cambria" w:hAnsi="Cambria" w:cs="Arial"/>
          <w:lang w:val="es-CO"/>
        </w:rPr>
        <w:t xml:space="preserve"> a</w:t>
      </w:r>
      <w:r w:rsidR="00C11485" w:rsidRPr="00443D0E">
        <w:rPr>
          <w:rFonts w:ascii="Cambria" w:hAnsi="Cambria" w:cs="Arial"/>
          <w:lang w:val="es-CO"/>
        </w:rPr>
        <w:t xml:space="preserve"> </w:t>
      </w:r>
      <w:r w:rsidRPr="00443D0E">
        <w:rPr>
          <w:rFonts w:ascii="Cambria" w:hAnsi="Cambria" w:cs="Arial"/>
          <w:lang w:val="es-CO"/>
        </w:rPr>
        <w:t xml:space="preserve"> la</w:t>
      </w:r>
      <w:r w:rsidR="00C11485" w:rsidRPr="00443D0E">
        <w:rPr>
          <w:rFonts w:ascii="Cambria" w:hAnsi="Cambria" w:cs="Arial"/>
          <w:lang w:val="es-CO"/>
        </w:rPr>
        <w:t xml:space="preserve"> </w:t>
      </w:r>
      <w:r w:rsidRPr="00443D0E">
        <w:rPr>
          <w:rFonts w:ascii="Cambria" w:hAnsi="Cambria" w:cs="Arial"/>
          <w:lang w:val="es-CO"/>
        </w:rPr>
        <w:t xml:space="preserve"> jurisdicción</w:t>
      </w:r>
      <w:r w:rsidR="00C11485" w:rsidRPr="00443D0E">
        <w:rPr>
          <w:rFonts w:ascii="Cambria" w:hAnsi="Cambria" w:cs="Arial"/>
          <w:lang w:val="es-CO"/>
        </w:rPr>
        <w:t xml:space="preserve"> </w:t>
      </w:r>
      <w:r w:rsidRPr="00443D0E">
        <w:rPr>
          <w:rFonts w:ascii="Cambria" w:hAnsi="Cambria" w:cs="Arial"/>
          <w:lang w:val="es-CO"/>
        </w:rPr>
        <w:t xml:space="preserve"> de la Honorable Corte Interame</w:t>
      </w:r>
      <w:r w:rsidR="00C11485" w:rsidRPr="00443D0E">
        <w:rPr>
          <w:rFonts w:ascii="Cambria" w:hAnsi="Cambria" w:cs="Arial"/>
          <w:lang w:val="es-CO"/>
        </w:rPr>
        <w:t>ricana de Derechos Humanos, el C</w:t>
      </w:r>
      <w:r w:rsidRPr="00443D0E">
        <w:rPr>
          <w:rFonts w:ascii="Cambria" w:hAnsi="Cambria" w:cs="Arial"/>
          <w:lang w:val="es-CO"/>
        </w:rPr>
        <w:t xml:space="preserve">aso </w:t>
      </w:r>
      <w:r w:rsidR="00C11485" w:rsidRPr="00443D0E">
        <w:rPr>
          <w:rFonts w:ascii="Cambria" w:hAnsi="Cambria" w:cs="Arial"/>
          <w:lang w:val="es-CO"/>
        </w:rPr>
        <w:t xml:space="preserve">Nº </w:t>
      </w:r>
      <w:r w:rsidRPr="00443D0E">
        <w:rPr>
          <w:rFonts w:ascii="Cambria" w:hAnsi="Cambria" w:cs="Arial"/>
          <w:lang w:val="es-CO"/>
        </w:rPr>
        <w:t>1</w:t>
      </w:r>
      <w:r w:rsidR="005D7108" w:rsidRPr="00443D0E">
        <w:rPr>
          <w:rFonts w:ascii="Cambria" w:hAnsi="Cambria" w:cs="Arial"/>
          <w:lang w:val="es-CO"/>
        </w:rPr>
        <w:t>1</w:t>
      </w:r>
      <w:r w:rsidR="00EB74E6">
        <w:rPr>
          <w:rFonts w:ascii="Cambria" w:hAnsi="Cambria" w:cs="Arial"/>
          <w:lang w:val="es-CO"/>
        </w:rPr>
        <w:t>.639</w:t>
      </w:r>
      <w:r w:rsidR="005D7108" w:rsidRPr="00443D0E">
        <w:rPr>
          <w:rFonts w:ascii="Cambria" w:hAnsi="Cambria" w:cs="Arial"/>
          <w:lang w:val="es-CO"/>
        </w:rPr>
        <w:t xml:space="preserve"> </w:t>
      </w:r>
      <w:r w:rsidRPr="00443D0E">
        <w:rPr>
          <w:rFonts w:ascii="Cambria" w:hAnsi="Cambria" w:cs="Arial"/>
          <w:lang w:val="es-CO"/>
        </w:rPr>
        <w:t xml:space="preserve">– </w:t>
      </w:r>
      <w:r w:rsidR="00EB74E6">
        <w:rPr>
          <w:rFonts w:ascii="Cambria" w:hAnsi="Cambria" w:cs="Arial"/>
          <w:lang w:val="es-CO"/>
        </w:rPr>
        <w:t xml:space="preserve">Alejandro </w:t>
      </w:r>
      <w:proofErr w:type="spellStart"/>
      <w:r w:rsidR="00EB74E6">
        <w:rPr>
          <w:rFonts w:ascii="Cambria" w:hAnsi="Cambria" w:cs="Arial"/>
          <w:lang w:val="es-CO"/>
        </w:rPr>
        <w:t>Yovany</w:t>
      </w:r>
      <w:proofErr w:type="spellEnd"/>
      <w:r w:rsidR="00EB74E6">
        <w:rPr>
          <w:rFonts w:ascii="Cambria" w:hAnsi="Cambria" w:cs="Arial"/>
          <w:lang w:val="es-CO"/>
        </w:rPr>
        <w:t xml:space="preserve"> Gómez </w:t>
      </w:r>
      <w:proofErr w:type="spellStart"/>
      <w:r w:rsidR="00EB74E6">
        <w:rPr>
          <w:rFonts w:ascii="Cambria" w:hAnsi="Cambria" w:cs="Arial"/>
          <w:lang w:val="es-CO"/>
        </w:rPr>
        <w:t>Virula</w:t>
      </w:r>
      <w:proofErr w:type="spellEnd"/>
      <w:r w:rsidR="00EB74E6">
        <w:rPr>
          <w:rFonts w:ascii="Cambria" w:hAnsi="Cambria" w:cs="Arial"/>
          <w:lang w:val="es-CO"/>
        </w:rPr>
        <w:t xml:space="preserve"> </w:t>
      </w:r>
      <w:r w:rsidR="00887692" w:rsidRPr="00443D0E">
        <w:rPr>
          <w:rFonts w:ascii="Cambria" w:hAnsi="Cambria" w:cs="Arial"/>
          <w:lang w:val="es-CO"/>
        </w:rPr>
        <w:t xml:space="preserve">y </w:t>
      </w:r>
      <w:r w:rsidR="00EB74E6">
        <w:rPr>
          <w:rFonts w:ascii="Cambria" w:hAnsi="Cambria" w:cs="Arial"/>
          <w:lang w:val="es-CO"/>
        </w:rPr>
        <w:t xml:space="preserve">familia </w:t>
      </w:r>
      <w:r w:rsidRPr="00443D0E">
        <w:rPr>
          <w:rFonts w:ascii="Cambria" w:hAnsi="Cambria" w:cs="Arial"/>
          <w:lang w:val="es-CO"/>
        </w:rPr>
        <w:t xml:space="preserve">respecto de la República de </w:t>
      </w:r>
      <w:r w:rsidR="0079663A" w:rsidRPr="00443D0E">
        <w:rPr>
          <w:rFonts w:ascii="Cambria" w:hAnsi="Cambria" w:cs="Arial"/>
          <w:lang w:val="es-CO"/>
        </w:rPr>
        <w:t>Guatemala</w:t>
      </w:r>
      <w:r w:rsidRPr="00443D0E">
        <w:rPr>
          <w:rFonts w:ascii="Cambria" w:hAnsi="Cambria" w:cs="Arial"/>
          <w:lang w:val="es-CO"/>
        </w:rPr>
        <w:t xml:space="preserve"> (en adelante “el Estado”, “el Estado</w:t>
      </w:r>
      <w:r w:rsidR="0079663A" w:rsidRPr="00443D0E">
        <w:rPr>
          <w:rFonts w:ascii="Cambria" w:hAnsi="Cambria" w:cs="Arial"/>
          <w:lang w:val="es-CO"/>
        </w:rPr>
        <w:t xml:space="preserve"> de Guatemala</w:t>
      </w:r>
      <w:r w:rsidRPr="00443D0E">
        <w:rPr>
          <w:rFonts w:ascii="Cambria" w:hAnsi="Cambria" w:cs="Arial"/>
          <w:lang w:val="es-CO"/>
        </w:rPr>
        <w:t>”</w:t>
      </w:r>
      <w:r w:rsidR="0079663A" w:rsidRPr="00443D0E">
        <w:rPr>
          <w:rFonts w:ascii="Cambria" w:hAnsi="Cambria" w:cs="Arial"/>
          <w:lang w:val="es-CO"/>
        </w:rPr>
        <w:t>, “el Estado guatemalteco”</w:t>
      </w:r>
      <w:r w:rsidRPr="00443D0E">
        <w:rPr>
          <w:rFonts w:ascii="Cambria" w:hAnsi="Cambria" w:cs="Arial"/>
          <w:lang w:val="es-CO"/>
        </w:rPr>
        <w:t xml:space="preserve"> o “</w:t>
      </w:r>
      <w:r w:rsidR="0079663A" w:rsidRPr="00443D0E">
        <w:rPr>
          <w:rFonts w:ascii="Cambria" w:hAnsi="Cambria" w:cs="Arial"/>
          <w:lang w:val="es-CO"/>
        </w:rPr>
        <w:t>Guatemala</w:t>
      </w:r>
      <w:r w:rsidRPr="00443D0E">
        <w:rPr>
          <w:rFonts w:ascii="Cambria" w:hAnsi="Cambria" w:cs="Arial"/>
          <w:lang w:val="es-CO"/>
        </w:rPr>
        <w:t xml:space="preserve">”), relacionado con </w:t>
      </w:r>
      <w:r w:rsidR="00FD2407" w:rsidRPr="00FD2407">
        <w:rPr>
          <w:rFonts w:ascii="Cambria" w:hAnsi="Cambria"/>
          <w:lang w:val="es-ES"/>
        </w:rPr>
        <w:t xml:space="preserve">la desaparición y posterior asesinato de Alejandro </w:t>
      </w:r>
      <w:proofErr w:type="spellStart"/>
      <w:r w:rsidR="00FD2407" w:rsidRPr="00FD2407">
        <w:rPr>
          <w:rFonts w:ascii="Cambria" w:hAnsi="Cambria"/>
          <w:lang w:val="es-ES"/>
        </w:rPr>
        <w:t>Yovany</w:t>
      </w:r>
      <w:proofErr w:type="spellEnd"/>
      <w:r w:rsidR="00FD2407" w:rsidRPr="00FD2407">
        <w:rPr>
          <w:rFonts w:ascii="Cambria" w:hAnsi="Cambria"/>
          <w:lang w:val="es-ES"/>
        </w:rPr>
        <w:t xml:space="preserve"> Gómez </w:t>
      </w:r>
      <w:proofErr w:type="spellStart"/>
      <w:r w:rsidR="00FD2407" w:rsidRPr="00FD2407">
        <w:rPr>
          <w:rFonts w:ascii="Cambria" w:hAnsi="Cambria"/>
          <w:lang w:val="es-ES"/>
        </w:rPr>
        <w:t>Virula</w:t>
      </w:r>
      <w:proofErr w:type="spellEnd"/>
      <w:r w:rsidR="00FD2407" w:rsidRPr="00FD2407">
        <w:rPr>
          <w:rFonts w:ascii="Cambria" w:hAnsi="Cambria"/>
          <w:lang w:val="es-ES"/>
        </w:rPr>
        <w:t xml:space="preserve"> en marzo de 1995. La Comisión concluy</w:t>
      </w:r>
      <w:r w:rsidR="00FD2407">
        <w:rPr>
          <w:rFonts w:ascii="Cambria" w:hAnsi="Cambria"/>
          <w:lang w:val="es-ES"/>
        </w:rPr>
        <w:t>ó que el Estado guatemalteco es</w:t>
      </w:r>
      <w:r w:rsidR="00FD2407" w:rsidRPr="00FD2407">
        <w:rPr>
          <w:rFonts w:ascii="Cambria" w:hAnsi="Cambria"/>
          <w:lang w:val="es-ES"/>
        </w:rPr>
        <w:t xml:space="preserve"> responsable por la violación de los derechos a la vida, integridad personal y libertad personal del señor Gómez debido a que no adoptó ninguna medida de búsqueda al tomar conocimiento de la desaparición de la víctima. La CIDH consideró que, hasta el momento del hallazgo del cadáver del señor Gómez, era exigible para el Estado la adopción de medidas inmediatas y diligentes de búsqueda y protección de la víctima, lo cual no ocurrió. Asimismo, la Comisión consideró que el Estado violó el derecho a la libertad </w:t>
      </w:r>
      <w:r w:rsidR="00DC6E7A">
        <w:rPr>
          <w:rFonts w:ascii="Cambria" w:hAnsi="Cambria"/>
          <w:lang w:val="es-ES"/>
        </w:rPr>
        <w:t xml:space="preserve">de asociación </w:t>
      </w:r>
      <w:r w:rsidR="00FD2407" w:rsidRPr="00FD2407">
        <w:rPr>
          <w:rFonts w:ascii="Cambria" w:hAnsi="Cambria"/>
          <w:lang w:val="es-ES"/>
        </w:rPr>
        <w:t xml:space="preserve">del señor Gómez en tanto, a pesar de existir indicios significativos de que la desaparición y asesinato del señor Gómez </w:t>
      </w:r>
      <w:proofErr w:type="spellStart"/>
      <w:r w:rsidR="00FD2407" w:rsidRPr="00FD2407">
        <w:rPr>
          <w:rFonts w:ascii="Cambria" w:hAnsi="Cambria"/>
          <w:lang w:val="es-ES"/>
        </w:rPr>
        <w:t>Virula</w:t>
      </w:r>
      <w:proofErr w:type="spellEnd"/>
      <w:r w:rsidR="00FD2407" w:rsidRPr="00FD2407">
        <w:rPr>
          <w:rFonts w:ascii="Cambria" w:hAnsi="Cambria"/>
          <w:lang w:val="es-ES"/>
        </w:rPr>
        <w:t xml:space="preserve"> pudo haber estado vinculado a sus actividades como dirigente sindical, Guatemala no realizó ningún tipo de investigación al respecto. </w:t>
      </w:r>
    </w:p>
    <w:p w14:paraId="023C6977" w14:textId="77777777" w:rsidR="002632E4" w:rsidRDefault="002632E4" w:rsidP="00FD2407">
      <w:pPr>
        <w:spacing w:after="0" w:line="240" w:lineRule="auto"/>
        <w:ind w:firstLine="720"/>
        <w:jc w:val="both"/>
        <w:rPr>
          <w:rFonts w:ascii="Cambria" w:hAnsi="Cambria"/>
          <w:lang w:val="es-ES"/>
        </w:rPr>
      </w:pPr>
    </w:p>
    <w:p w14:paraId="53AF4928" w14:textId="47D0380B" w:rsidR="00FD2407" w:rsidRPr="00FD2407" w:rsidRDefault="00FD2407" w:rsidP="00FD2407">
      <w:pPr>
        <w:spacing w:after="0" w:line="240" w:lineRule="auto"/>
        <w:ind w:firstLine="720"/>
        <w:jc w:val="both"/>
        <w:rPr>
          <w:rFonts w:ascii="Cambria" w:hAnsi="Cambria"/>
          <w:lang w:val="es-ES"/>
        </w:rPr>
      </w:pPr>
      <w:r w:rsidRPr="00FD2407">
        <w:rPr>
          <w:rFonts w:ascii="Cambria" w:hAnsi="Cambria"/>
          <w:lang w:val="es-ES"/>
        </w:rPr>
        <w:t xml:space="preserve">Adicionalmente, la </w:t>
      </w:r>
      <w:r w:rsidRPr="00FD2407">
        <w:rPr>
          <w:rFonts w:ascii="Cambria" w:eastAsia="Batang" w:hAnsi="Cambria"/>
          <w:lang w:val="es-ES_tradnl" w:eastAsia="es-MX"/>
        </w:rPr>
        <w:t xml:space="preserve">CIDH consideró que desde las etapas preliminares de la investigación iniciada por la muerte del señor Gómez, el Estado incumplió su obligación de investigar con la debida diligencia. La Comisión evidenció que la </w:t>
      </w:r>
      <w:r w:rsidRPr="00FD2407">
        <w:rPr>
          <w:rFonts w:ascii="Cambria" w:hAnsi="Cambria"/>
          <w:lang w:val="es-MX"/>
        </w:rPr>
        <w:t xml:space="preserve">falta de impulso y diligencia por parte de las autoridades resultó especialmente grave debido a la prácticamente nula actividad investigativa. La Comisión también concluyó que, </w:t>
      </w:r>
      <w:r w:rsidRPr="00FD2407">
        <w:rPr>
          <w:rFonts w:ascii="Cambria" w:hAnsi="Cambria"/>
          <w:lang w:val="es-ES_tradnl"/>
        </w:rPr>
        <w:t xml:space="preserve">tomando en cuenta la información ambigua sobre si la investigación fue formalmente archivada, los más de 21 años que han transcurrido desde la interposición de la denuncia por la desaparición y posterior muerte del señor Gómez hasta la fecha constituye un plazo excesivo que no ha sido justificado por el Estado. Finalmente, la CIDH concluyó que el Estado violó el derecho a la integridad psíquica y moral de </w:t>
      </w:r>
      <w:r w:rsidRPr="00FD2407">
        <w:rPr>
          <w:rFonts w:ascii="Cambria" w:hAnsi="Cambria"/>
          <w:lang w:val="es-ES"/>
        </w:rPr>
        <w:t>los familiares del señor Gómez.</w:t>
      </w:r>
    </w:p>
    <w:p w14:paraId="574AE987" w14:textId="77777777" w:rsidR="008E2D07" w:rsidRPr="00443D0E" w:rsidRDefault="008E2D07" w:rsidP="00D44CB0">
      <w:pPr>
        <w:pStyle w:val="NormalWeb"/>
        <w:spacing w:before="0" w:beforeAutospacing="0" w:after="0" w:afterAutospacing="0"/>
        <w:jc w:val="both"/>
        <w:rPr>
          <w:rFonts w:ascii="Cambria" w:hAnsi="Cambria"/>
          <w:sz w:val="22"/>
          <w:szCs w:val="22"/>
          <w:lang w:val="es-PE"/>
        </w:rPr>
      </w:pPr>
    </w:p>
    <w:p w14:paraId="6FEDC02C" w14:textId="07811C26" w:rsidR="008E2D07" w:rsidRPr="00443D0E" w:rsidRDefault="00985D82" w:rsidP="008E2D07">
      <w:pPr>
        <w:pStyle w:val="NormalWeb"/>
        <w:spacing w:before="0" w:beforeAutospacing="0" w:after="0" w:afterAutospacing="0"/>
        <w:ind w:firstLine="720"/>
        <w:jc w:val="both"/>
        <w:rPr>
          <w:rFonts w:ascii="Cambria" w:hAnsi="Cambria"/>
          <w:sz w:val="22"/>
          <w:szCs w:val="22"/>
          <w:lang w:val="es-PE"/>
        </w:rPr>
      </w:pPr>
      <w:r w:rsidRPr="00443D0E">
        <w:rPr>
          <w:rFonts w:ascii="Cambria" w:hAnsi="Cambria"/>
          <w:sz w:val="22"/>
          <w:szCs w:val="22"/>
          <w:lang w:val="es-PE"/>
        </w:rPr>
        <w:t xml:space="preserve">El Estado  </w:t>
      </w:r>
      <w:r w:rsidR="0007703C" w:rsidRPr="00443D0E">
        <w:rPr>
          <w:rFonts w:ascii="Cambria" w:hAnsi="Cambria"/>
          <w:sz w:val="22"/>
          <w:szCs w:val="22"/>
          <w:lang w:val="es-PE"/>
        </w:rPr>
        <w:t xml:space="preserve">guatemalteco </w:t>
      </w:r>
      <w:r w:rsidRPr="00443D0E">
        <w:rPr>
          <w:rFonts w:ascii="Cambria" w:hAnsi="Cambria"/>
          <w:sz w:val="22"/>
          <w:szCs w:val="22"/>
          <w:lang w:val="es-PE"/>
        </w:rPr>
        <w:t xml:space="preserve">ratificó la </w:t>
      </w:r>
      <w:r w:rsidR="00BD41A9" w:rsidRPr="00443D0E">
        <w:rPr>
          <w:rFonts w:ascii="Cambria" w:hAnsi="Cambria"/>
          <w:sz w:val="22"/>
          <w:szCs w:val="22"/>
          <w:lang w:val="es-PE"/>
        </w:rPr>
        <w:t>Convención</w:t>
      </w:r>
      <w:r w:rsidRPr="00443D0E">
        <w:rPr>
          <w:rFonts w:ascii="Cambria" w:hAnsi="Cambria"/>
          <w:sz w:val="22"/>
          <w:szCs w:val="22"/>
          <w:lang w:val="es-PE"/>
        </w:rPr>
        <w:t xml:space="preserve"> Americ</w:t>
      </w:r>
      <w:r w:rsidR="00E55000" w:rsidRPr="00443D0E">
        <w:rPr>
          <w:rFonts w:ascii="Cambria" w:hAnsi="Cambria"/>
          <w:sz w:val="22"/>
          <w:szCs w:val="22"/>
          <w:lang w:val="es-PE"/>
        </w:rPr>
        <w:t>ana sobre Derechos Humanos el 25</w:t>
      </w:r>
      <w:r w:rsidRPr="00443D0E">
        <w:rPr>
          <w:rFonts w:ascii="Cambria" w:hAnsi="Cambria"/>
          <w:sz w:val="22"/>
          <w:szCs w:val="22"/>
          <w:lang w:val="es-PE"/>
        </w:rPr>
        <w:t xml:space="preserve"> de </w:t>
      </w:r>
      <w:r w:rsidR="00E55000" w:rsidRPr="00443D0E">
        <w:rPr>
          <w:rFonts w:ascii="Cambria" w:hAnsi="Cambria"/>
          <w:sz w:val="22"/>
          <w:szCs w:val="22"/>
          <w:lang w:val="es-PE"/>
        </w:rPr>
        <w:t>mayo de 1978</w:t>
      </w:r>
      <w:r w:rsidRPr="00443D0E">
        <w:rPr>
          <w:rFonts w:ascii="Cambria" w:hAnsi="Cambria"/>
          <w:sz w:val="22"/>
          <w:szCs w:val="22"/>
          <w:lang w:val="es-PE"/>
        </w:rPr>
        <w:t xml:space="preserve"> y aceptó la competencia contenciosa d</w:t>
      </w:r>
      <w:r w:rsidR="00E55000" w:rsidRPr="00443D0E">
        <w:rPr>
          <w:rFonts w:ascii="Cambria" w:hAnsi="Cambria"/>
          <w:sz w:val="22"/>
          <w:szCs w:val="22"/>
          <w:lang w:val="es-PE"/>
        </w:rPr>
        <w:t>e la Corte Interamericana el 9 de marzo de 1987.</w:t>
      </w:r>
    </w:p>
    <w:p w14:paraId="0EF259EA" w14:textId="77777777" w:rsidR="008E2D07" w:rsidRDefault="008E2D07" w:rsidP="0026239F">
      <w:pPr>
        <w:tabs>
          <w:tab w:val="left" w:pos="810"/>
        </w:tabs>
        <w:spacing w:after="0" w:line="240" w:lineRule="auto"/>
        <w:jc w:val="both"/>
        <w:rPr>
          <w:rFonts w:ascii="Cambria" w:hAnsi="Cambria"/>
          <w:lang w:val="es-CO"/>
        </w:rPr>
      </w:pPr>
    </w:p>
    <w:p w14:paraId="0631524A" w14:textId="63D04594" w:rsidR="0026239F" w:rsidRPr="00D01EAE" w:rsidRDefault="0026239F" w:rsidP="00D01EAE">
      <w:pPr>
        <w:tabs>
          <w:tab w:val="left" w:pos="810"/>
        </w:tabs>
        <w:spacing w:after="0" w:line="240" w:lineRule="auto"/>
        <w:ind w:firstLine="720"/>
        <w:jc w:val="both"/>
        <w:rPr>
          <w:rFonts w:ascii="Cambria" w:hAnsi="Cambria" w:cs="Arial"/>
          <w:lang w:val="es-CO"/>
        </w:rPr>
      </w:pPr>
      <w:r w:rsidRPr="00443D0E">
        <w:rPr>
          <w:rFonts w:ascii="Cambria" w:hAnsi="Cambria"/>
          <w:lang w:val="es-CO"/>
        </w:rPr>
        <w:t xml:space="preserve">La Comisión ha designado al Comisionado </w:t>
      </w:r>
      <w:r>
        <w:rPr>
          <w:rFonts w:ascii="Cambria" w:hAnsi="Cambria"/>
          <w:lang w:val="es-CO"/>
        </w:rPr>
        <w:t>Luis Ernesto Vargas Silva</w:t>
      </w:r>
      <w:r w:rsidRPr="00443D0E">
        <w:rPr>
          <w:rFonts w:ascii="Cambria" w:hAnsi="Cambria"/>
          <w:lang w:val="es-CO"/>
        </w:rPr>
        <w:t xml:space="preserve"> y al Secretario Ejecutivo Paulo Abr</w:t>
      </w:r>
      <w:proofErr w:type="spellStart"/>
      <w:r w:rsidRPr="00443D0E">
        <w:rPr>
          <w:rFonts w:ascii="Cambria" w:hAnsi="Cambria"/>
          <w:lang w:val="es-PE"/>
        </w:rPr>
        <w:t>ão</w:t>
      </w:r>
      <w:proofErr w:type="spellEnd"/>
      <w:r w:rsidRPr="00443D0E">
        <w:rPr>
          <w:rFonts w:ascii="Cambria" w:hAnsi="Cambria"/>
          <w:lang w:val="es-PE"/>
        </w:rPr>
        <w:t xml:space="preserve">, </w:t>
      </w:r>
      <w:r w:rsidRPr="00443D0E">
        <w:rPr>
          <w:rFonts w:ascii="Cambria" w:hAnsi="Cambria"/>
          <w:lang w:val="es-CO"/>
        </w:rPr>
        <w:t>como sus delegados. Asimismo, Elizabeth Abi-Mershed, Secretaria Ejecutiva Adjunta, Silvia Serrano Guzmán</w:t>
      </w:r>
      <w:r w:rsidR="00BD41A9">
        <w:rPr>
          <w:rFonts w:ascii="Cambria" w:hAnsi="Cambria"/>
          <w:lang w:val="es-CO"/>
        </w:rPr>
        <w:t>, Selene Soto Rodríguez y</w:t>
      </w:r>
      <w:r w:rsidRPr="00443D0E">
        <w:rPr>
          <w:rFonts w:ascii="Cambria" w:hAnsi="Cambria"/>
          <w:lang w:val="es-CO"/>
        </w:rPr>
        <w:t xml:space="preserve"> Erick Acuña Pereda, abogada</w:t>
      </w:r>
      <w:r w:rsidR="00BD41A9">
        <w:rPr>
          <w:rFonts w:ascii="Cambria" w:hAnsi="Cambria"/>
          <w:lang w:val="es-CO"/>
        </w:rPr>
        <w:t>s</w:t>
      </w:r>
      <w:r w:rsidRPr="00443D0E">
        <w:rPr>
          <w:rFonts w:ascii="Cambria" w:hAnsi="Cambria"/>
          <w:lang w:val="es-CO"/>
        </w:rPr>
        <w:t xml:space="preserve"> y abogado</w:t>
      </w:r>
      <w:r w:rsidRPr="00443D0E">
        <w:rPr>
          <w:rFonts w:ascii="Cambria" w:hAnsi="Cambria"/>
          <w:lang w:val="es-ES"/>
        </w:rPr>
        <w:t xml:space="preserve"> de la Secretaría Ejecutiva, </w:t>
      </w:r>
      <w:r w:rsidRPr="00443D0E">
        <w:rPr>
          <w:rFonts w:ascii="Cambria" w:hAnsi="Cambria"/>
          <w:lang w:val="es-CO"/>
        </w:rPr>
        <w:t>actuarán como asesoras y asesor legales.</w:t>
      </w:r>
    </w:p>
    <w:p w14:paraId="2D2E94A9" w14:textId="77777777" w:rsidR="0026239F" w:rsidRPr="00443D0E" w:rsidRDefault="0026239F" w:rsidP="0026239F">
      <w:pPr>
        <w:pStyle w:val="NormalWeb"/>
        <w:spacing w:before="0" w:beforeAutospacing="0" w:after="0" w:afterAutospacing="0"/>
        <w:ind w:firstLine="720"/>
        <w:jc w:val="both"/>
        <w:rPr>
          <w:rFonts w:ascii="Cambria" w:hAnsi="Cambria"/>
          <w:sz w:val="22"/>
          <w:szCs w:val="22"/>
          <w:lang w:val="es-PE"/>
        </w:rPr>
      </w:pPr>
    </w:p>
    <w:p w14:paraId="6F09DE93" w14:textId="77777777" w:rsidR="0026239F" w:rsidRPr="00443D0E" w:rsidRDefault="0026239F" w:rsidP="0026239F">
      <w:pPr>
        <w:widowControl w:val="0"/>
        <w:tabs>
          <w:tab w:val="left" w:pos="810"/>
        </w:tabs>
        <w:autoSpaceDE w:val="0"/>
        <w:autoSpaceDN w:val="0"/>
        <w:adjustRightInd w:val="0"/>
        <w:spacing w:after="0" w:line="240" w:lineRule="auto"/>
        <w:jc w:val="both"/>
        <w:rPr>
          <w:rFonts w:ascii="Cambria" w:hAnsi="Cambria" w:cs="Arial"/>
          <w:snapToGrid w:val="0"/>
          <w:lang w:val="es-CO"/>
        </w:rPr>
      </w:pPr>
      <w:r w:rsidRPr="00443D0E">
        <w:rPr>
          <w:rFonts w:ascii="Cambria" w:hAnsi="Cambria" w:cs="Arial"/>
          <w:snapToGrid w:val="0"/>
          <w:lang w:val="es-ES_tradnl"/>
        </w:rPr>
        <w:t>Señor</w:t>
      </w:r>
    </w:p>
    <w:p w14:paraId="68AC9CAB" w14:textId="77777777" w:rsidR="0026239F" w:rsidRPr="00443D0E" w:rsidRDefault="0026239F" w:rsidP="0026239F">
      <w:pPr>
        <w:widowControl w:val="0"/>
        <w:tabs>
          <w:tab w:val="left" w:pos="810"/>
        </w:tabs>
        <w:autoSpaceDE w:val="0"/>
        <w:autoSpaceDN w:val="0"/>
        <w:adjustRightInd w:val="0"/>
        <w:spacing w:after="0" w:line="240" w:lineRule="auto"/>
        <w:jc w:val="both"/>
        <w:rPr>
          <w:rFonts w:ascii="Cambria" w:hAnsi="Cambria" w:cs="Arial"/>
          <w:snapToGrid w:val="0"/>
          <w:lang w:val="es-CO"/>
        </w:rPr>
      </w:pPr>
      <w:r w:rsidRPr="00443D0E">
        <w:rPr>
          <w:rFonts w:ascii="Cambria" w:hAnsi="Cambria" w:cs="Arial"/>
          <w:snapToGrid w:val="0"/>
          <w:lang w:val="es-CO"/>
        </w:rPr>
        <w:t xml:space="preserve">Pablo </w:t>
      </w:r>
      <w:r w:rsidRPr="00443D0E">
        <w:rPr>
          <w:rFonts w:ascii="Cambria" w:hAnsi="Cambria"/>
          <w:lang w:val="es-ES"/>
        </w:rPr>
        <w:t>Saavedra</w:t>
      </w:r>
      <w:r w:rsidRPr="00443D0E">
        <w:rPr>
          <w:rFonts w:ascii="Cambria" w:hAnsi="Cambria" w:cs="Arial"/>
          <w:snapToGrid w:val="0"/>
          <w:lang w:val="es-CO"/>
        </w:rPr>
        <w:t xml:space="preserve"> Alessandri, Secretario</w:t>
      </w:r>
    </w:p>
    <w:p w14:paraId="41034249" w14:textId="77777777" w:rsidR="0026239F" w:rsidRPr="00443D0E" w:rsidRDefault="0026239F" w:rsidP="0026239F">
      <w:pPr>
        <w:widowControl w:val="0"/>
        <w:tabs>
          <w:tab w:val="left" w:pos="810"/>
        </w:tabs>
        <w:autoSpaceDE w:val="0"/>
        <w:autoSpaceDN w:val="0"/>
        <w:adjustRightInd w:val="0"/>
        <w:spacing w:after="0" w:line="240" w:lineRule="auto"/>
        <w:jc w:val="both"/>
        <w:rPr>
          <w:rFonts w:ascii="Cambria" w:hAnsi="Cambria" w:cs="Arial"/>
          <w:snapToGrid w:val="0"/>
          <w:lang w:val="es-ES_tradnl"/>
        </w:rPr>
      </w:pPr>
      <w:r w:rsidRPr="00443D0E">
        <w:rPr>
          <w:rFonts w:ascii="Cambria" w:hAnsi="Cambria" w:cs="Arial"/>
          <w:snapToGrid w:val="0"/>
          <w:lang w:val="es-ES_tradnl"/>
        </w:rPr>
        <w:t>Corte Interamericana de Derechos Humanos</w:t>
      </w:r>
    </w:p>
    <w:p w14:paraId="21607DCA" w14:textId="5AC8890F" w:rsidR="00985D82" w:rsidRPr="00D01EAE" w:rsidRDefault="0026239F" w:rsidP="00D01EAE">
      <w:pPr>
        <w:widowControl w:val="0"/>
        <w:tabs>
          <w:tab w:val="left" w:pos="810"/>
        </w:tabs>
        <w:autoSpaceDE w:val="0"/>
        <w:autoSpaceDN w:val="0"/>
        <w:adjustRightInd w:val="0"/>
        <w:spacing w:after="0" w:line="240" w:lineRule="auto"/>
        <w:jc w:val="both"/>
        <w:rPr>
          <w:rFonts w:ascii="Cambria" w:hAnsi="Cambria" w:cs="Arial"/>
          <w:snapToGrid w:val="0"/>
          <w:lang w:val="es-ES_tradnl"/>
        </w:rPr>
      </w:pPr>
      <w:r w:rsidRPr="00443D0E">
        <w:rPr>
          <w:rFonts w:ascii="Cambria" w:hAnsi="Cambria" w:cs="Arial"/>
          <w:snapToGrid w:val="0"/>
          <w:lang w:val="es-ES_tradnl"/>
        </w:rPr>
        <w:t>Apartado 6906-1000, San José, Costa Rica</w:t>
      </w:r>
    </w:p>
    <w:p w14:paraId="0DC67CFD" w14:textId="595DDC84" w:rsidR="00E955A3" w:rsidRPr="00443D0E" w:rsidRDefault="00E955A3" w:rsidP="00E955A3">
      <w:pPr>
        <w:tabs>
          <w:tab w:val="left" w:pos="810"/>
        </w:tabs>
        <w:spacing w:after="0" w:line="240" w:lineRule="auto"/>
        <w:ind w:firstLine="720"/>
        <w:jc w:val="both"/>
        <w:rPr>
          <w:rFonts w:ascii="Cambria" w:hAnsi="Cambria"/>
          <w:lang w:val="es-AR"/>
        </w:rPr>
      </w:pPr>
      <w:r w:rsidRPr="00443D0E">
        <w:rPr>
          <w:rFonts w:ascii="Cambria" w:hAnsi="Cambria" w:cs="Arial"/>
          <w:lang w:val="es-CO"/>
        </w:rPr>
        <w:lastRenderedPageBreak/>
        <w:t xml:space="preserve">De conformidad con el artículo 35 del Reglamento de la Corte Interamericana, la Comisión adjunta </w:t>
      </w:r>
      <w:r w:rsidRPr="00443D0E">
        <w:rPr>
          <w:rFonts w:ascii="Cambria" w:hAnsi="Cambria"/>
          <w:lang w:val="es-CO"/>
        </w:rPr>
        <w:t>copia del inf</w:t>
      </w:r>
      <w:r w:rsidR="008636B2">
        <w:rPr>
          <w:rFonts w:ascii="Cambria" w:hAnsi="Cambria"/>
          <w:lang w:val="es-CO"/>
        </w:rPr>
        <w:t>orme de admisibilidad y fondo 33/17</w:t>
      </w:r>
      <w:r w:rsidRPr="00443D0E">
        <w:rPr>
          <w:rFonts w:ascii="Cambria" w:hAnsi="Cambria"/>
          <w:lang w:val="es-CO"/>
        </w:rPr>
        <w:t xml:space="preserve"> elaborado en observancia del artículo 50 de la Convención, así como copia de la totalidad del expediente ante la Comisión Interamericana (Apéndice I) y los anexos utilizados </w:t>
      </w:r>
      <w:r w:rsidR="0026239F">
        <w:rPr>
          <w:rFonts w:ascii="Cambria" w:hAnsi="Cambria"/>
          <w:lang w:val="es-CO"/>
        </w:rPr>
        <w:t>en la elaboración del informe 33/17</w:t>
      </w:r>
      <w:r w:rsidRPr="00443D0E">
        <w:rPr>
          <w:rFonts w:ascii="Cambria" w:hAnsi="Cambria"/>
          <w:lang w:val="es-CO"/>
        </w:rPr>
        <w:t xml:space="preserve"> (Anexos). </w:t>
      </w:r>
    </w:p>
    <w:p w14:paraId="35794158" w14:textId="77777777" w:rsidR="00985D82" w:rsidRPr="00443D0E" w:rsidRDefault="00985D82" w:rsidP="008E2D07">
      <w:pPr>
        <w:widowControl w:val="0"/>
        <w:tabs>
          <w:tab w:val="left" w:pos="810"/>
        </w:tabs>
        <w:autoSpaceDE w:val="0"/>
        <w:autoSpaceDN w:val="0"/>
        <w:adjustRightInd w:val="0"/>
        <w:spacing w:after="0" w:line="240" w:lineRule="auto"/>
        <w:jc w:val="both"/>
        <w:rPr>
          <w:rFonts w:ascii="Cambria" w:hAnsi="Cambria" w:cs="Arial"/>
          <w:lang w:val="es-ES"/>
        </w:rPr>
      </w:pPr>
    </w:p>
    <w:p w14:paraId="07CC9D85" w14:textId="764CFC60" w:rsidR="00985D82" w:rsidRPr="00443D0E" w:rsidRDefault="00985D82" w:rsidP="009A659F">
      <w:pPr>
        <w:tabs>
          <w:tab w:val="left" w:pos="810"/>
        </w:tabs>
        <w:spacing w:after="0" w:line="240" w:lineRule="auto"/>
        <w:ind w:firstLine="720"/>
        <w:jc w:val="both"/>
        <w:rPr>
          <w:rFonts w:ascii="Cambria" w:hAnsi="Cambria"/>
          <w:lang w:val="es-AR"/>
        </w:rPr>
      </w:pPr>
      <w:r w:rsidRPr="00443D0E">
        <w:rPr>
          <w:rFonts w:ascii="Cambria" w:hAnsi="Cambria"/>
          <w:lang w:val="es-CO"/>
        </w:rPr>
        <w:tab/>
        <w:t xml:space="preserve">Dicho informe de fondo </w:t>
      </w:r>
      <w:r w:rsidR="00D01EAE">
        <w:rPr>
          <w:rFonts w:ascii="Cambria" w:hAnsi="Cambria"/>
          <w:lang w:val="es-AR"/>
        </w:rPr>
        <w:t>fue notificado al Estado el 17</w:t>
      </w:r>
      <w:r w:rsidR="006065E7" w:rsidRPr="00443D0E">
        <w:rPr>
          <w:rFonts w:ascii="Cambria" w:hAnsi="Cambria"/>
          <w:lang w:val="es-AR"/>
        </w:rPr>
        <w:t xml:space="preserve"> de </w:t>
      </w:r>
      <w:r w:rsidR="00D01EAE">
        <w:rPr>
          <w:rFonts w:ascii="Cambria" w:hAnsi="Cambria"/>
          <w:lang w:val="es-AR"/>
        </w:rPr>
        <w:t>mayo de 2017</w:t>
      </w:r>
      <w:r w:rsidRPr="00443D0E">
        <w:rPr>
          <w:rFonts w:ascii="Cambria" w:hAnsi="Cambria"/>
          <w:lang w:val="es-AR"/>
        </w:rPr>
        <w:t>, otorgándole dos meses para informar sobre el cumplimiento de las recomendaciones. El Estado de</w:t>
      </w:r>
      <w:r w:rsidR="006065E7" w:rsidRPr="00443D0E">
        <w:rPr>
          <w:rFonts w:ascii="Cambria" w:hAnsi="Cambria"/>
          <w:lang w:val="es-AR"/>
        </w:rPr>
        <w:t xml:space="preserve"> Guatemala </w:t>
      </w:r>
      <w:r w:rsidRPr="00443D0E">
        <w:rPr>
          <w:rFonts w:ascii="Cambria" w:hAnsi="Cambria"/>
          <w:lang w:val="es-AR"/>
        </w:rPr>
        <w:t>pr</w:t>
      </w:r>
      <w:r w:rsidR="000024BD" w:rsidRPr="00443D0E">
        <w:rPr>
          <w:rFonts w:ascii="Cambria" w:hAnsi="Cambria"/>
          <w:lang w:val="es-AR"/>
        </w:rPr>
        <w:t xml:space="preserve">esentó un escrito en el cual informó sobre acercamientos con </w:t>
      </w:r>
      <w:r w:rsidR="00000E36" w:rsidRPr="00443D0E">
        <w:rPr>
          <w:rFonts w:ascii="Cambria" w:hAnsi="Cambria"/>
          <w:lang w:val="es-AR"/>
        </w:rPr>
        <w:t>los peticionarios</w:t>
      </w:r>
      <w:r w:rsidR="009A659F" w:rsidRPr="00443D0E">
        <w:rPr>
          <w:rFonts w:ascii="Cambria" w:hAnsi="Cambria"/>
          <w:lang w:val="es-AR"/>
        </w:rPr>
        <w:t xml:space="preserve"> y</w:t>
      </w:r>
      <w:r w:rsidR="00D01EAE">
        <w:rPr>
          <w:rFonts w:ascii="Cambria" w:hAnsi="Cambria"/>
          <w:lang w:val="es-AR"/>
        </w:rPr>
        <w:t xml:space="preserve"> solicitó una primera prórroga, la cual fue otorgada por la Comisión. Sin embargo, vencido el plazo otorgado, el Estado no presentó el informe de cumplimiento de las recomendaciones. Conforme a la información disponible, las mismas permanecen </w:t>
      </w:r>
      <w:r w:rsidR="00A52F27">
        <w:rPr>
          <w:rFonts w:ascii="Cambria" w:hAnsi="Cambria"/>
          <w:lang w:val="es-AR"/>
        </w:rPr>
        <w:t>incumplidas</w:t>
      </w:r>
      <w:r w:rsidR="00D01EAE">
        <w:rPr>
          <w:rFonts w:ascii="Cambria" w:hAnsi="Cambria"/>
          <w:lang w:val="es-AR"/>
        </w:rPr>
        <w:t xml:space="preserve">. </w:t>
      </w:r>
    </w:p>
    <w:p w14:paraId="4FC3B4E8" w14:textId="77777777" w:rsidR="00985D82" w:rsidRPr="00443D0E" w:rsidRDefault="00985D82" w:rsidP="008E2D07">
      <w:pPr>
        <w:tabs>
          <w:tab w:val="left" w:pos="810"/>
        </w:tabs>
        <w:spacing w:after="0" w:line="240" w:lineRule="auto"/>
        <w:ind w:firstLine="720"/>
        <w:jc w:val="both"/>
        <w:rPr>
          <w:rFonts w:ascii="Cambria" w:hAnsi="Cambria"/>
          <w:lang w:val="es-AR"/>
        </w:rPr>
      </w:pPr>
    </w:p>
    <w:p w14:paraId="22000DF6" w14:textId="67F821B8" w:rsidR="00985D82" w:rsidRPr="00443D0E" w:rsidRDefault="00F543E1" w:rsidP="008E2D07">
      <w:pPr>
        <w:tabs>
          <w:tab w:val="left" w:pos="810"/>
        </w:tabs>
        <w:spacing w:after="0" w:line="240" w:lineRule="auto"/>
        <w:ind w:firstLine="720"/>
        <w:jc w:val="both"/>
        <w:rPr>
          <w:rFonts w:ascii="Cambria" w:hAnsi="Cambria"/>
          <w:lang w:val="es-AR"/>
        </w:rPr>
      </w:pPr>
      <w:r w:rsidRPr="00443D0E">
        <w:rPr>
          <w:rFonts w:ascii="Cambria" w:hAnsi="Cambria"/>
          <w:lang w:val="es-AR"/>
        </w:rPr>
        <w:t>En virtud de lo anterior,</w:t>
      </w:r>
      <w:r w:rsidR="00985D82" w:rsidRPr="00443D0E">
        <w:rPr>
          <w:rFonts w:ascii="Cambria" w:hAnsi="Cambria"/>
          <w:lang w:val="es-AR"/>
        </w:rPr>
        <w:t xml:space="preserve"> l</w:t>
      </w:r>
      <w:r w:rsidR="00985D82" w:rsidRPr="00443D0E">
        <w:rPr>
          <w:rFonts w:ascii="Cambria" w:hAnsi="Cambria"/>
          <w:lang w:val="es-CO"/>
        </w:rPr>
        <w:t xml:space="preserve">a Comisión Interamericana decidió someter a la jurisdicción de la Corte Interamericana la totalidad de los hechos y violaciones de derechos humanos descritos en el informe de </w:t>
      </w:r>
      <w:r w:rsidRPr="00443D0E">
        <w:rPr>
          <w:rFonts w:ascii="Cambria" w:hAnsi="Cambria"/>
          <w:lang w:val="es-CO"/>
        </w:rPr>
        <w:t xml:space="preserve">admisibilidad y </w:t>
      </w:r>
      <w:r w:rsidR="00985D82" w:rsidRPr="00443D0E">
        <w:rPr>
          <w:rFonts w:ascii="Cambria" w:hAnsi="Cambria"/>
          <w:lang w:val="es-CO"/>
        </w:rPr>
        <w:t xml:space="preserve">fondo </w:t>
      </w:r>
      <w:r w:rsidR="001428AE">
        <w:rPr>
          <w:rFonts w:ascii="Cambria" w:hAnsi="Cambria"/>
          <w:lang w:val="es-CO"/>
        </w:rPr>
        <w:t>33/17</w:t>
      </w:r>
      <w:r w:rsidR="00985D82" w:rsidRPr="00443D0E">
        <w:rPr>
          <w:rFonts w:ascii="Cambria" w:hAnsi="Cambria"/>
          <w:lang w:val="es-CO"/>
        </w:rPr>
        <w:t xml:space="preserve">, </w:t>
      </w:r>
      <w:r w:rsidR="001428AE">
        <w:rPr>
          <w:rFonts w:ascii="Cambria" w:hAnsi="Cambria"/>
          <w:lang w:val="es-CO"/>
        </w:rPr>
        <w:t xml:space="preserve">por la necesidad de obtención de justicia y reparación en el caso particular. </w:t>
      </w:r>
    </w:p>
    <w:p w14:paraId="77245C7F" w14:textId="77777777" w:rsidR="00985D82" w:rsidRPr="002C0215" w:rsidRDefault="00985D82" w:rsidP="008E2D07">
      <w:pPr>
        <w:tabs>
          <w:tab w:val="left" w:pos="0"/>
          <w:tab w:val="left" w:pos="810"/>
        </w:tabs>
        <w:spacing w:after="0" w:line="240" w:lineRule="auto"/>
        <w:jc w:val="both"/>
        <w:rPr>
          <w:rFonts w:ascii="Cambria" w:hAnsi="Cambria"/>
          <w:lang w:val="es-CO"/>
        </w:rPr>
      </w:pPr>
    </w:p>
    <w:p w14:paraId="7ABB446B" w14:textId="32C1EB1F" w:rsidR="00FA36CF" w:rsidRPr="002C0215" w:rsidRDefault="00985D82" w:rsidP="00FA36CF">
      <w:pPr>
        <w:spacing w:after="0" w:line="240" w:lineRule="auto"/>
        <w:ind w:firstLine="720"/>
        <w:jc w:val="both"/>
        <w:rPr>
          <w:rFonts w:ascii="Cambria" w:hAnsi="Cambria" w:cs="Arial"/>
          <w:lang w:val="es-CL"/>
        </w:rPr>
      </w:pPr>
      <w:r w:rsidRPr="002C0215">
        <w:rPr>
          <w:rFonts w:ascii="Cambria" w:hAnsi="Cambria"/>
          <w:lang w:val="es-CO"/>
        </w:rPr>
        <w:t>En ese sentido, la Comisión solicita a la Corte que concluya y declare la responsabilidad internacional del</w:t>
      </w:r>
      <w:r w:rsidRPr="002C0215">
        <w:rPr>
          <w:rFonts w:ascii="Cambria" w:hAnsi="Cambria" w:cs="Arial"/>
          <w:lang w:val="es-CL"/>
        </w:rPr>
        <w:t xml:space="preserve"> Estado de</w:t>
      </w:r>
      <w:r w:rsidR="00FF0C77" w:rsidRPr="002C0215">
        <w:rPr>
          <w:rFonts w:ascii="Cambria" w:hAnsi="Cambria" w:cs="Arial"/>
          <w:lang w:val="es-CL"/>
        </w:rPr>
        <w:t xml:space="preserve"> Guatemala</w:t>
      </w:r>
      <w:r w:rsidR="00FA36CF" w:rsidRPr="002C0215">
        <w:rPr>
          <w:rFonts w:ascii="Cambria" w:hAnsi="Cambria" w:cs="Arial"/>
          <w:lang w:val="es-CL"/>
        </w:rPr>
        <w:t xml:space="preserve"> por:</w:t>
      </w:r>
    </w:p>
    <w:p w14:paraId="1FC0C18C" w14:textId="77777777" w:rsidR="00FA36CF" w:rsidRPr="002C0215" w:rsidRDefault="00FA36CF" w:rsidP="00FA36CF">
      <w:pPr>
        <w:spacing w:after="0" w:line="240" w:lineRule="auto"/>
        <w:jc w:val="both"/>
        <w:rPr>
          <w:rFonts w:ascii="Cambria" w:hAnsi="Cambria" w:cs="Arial"/>
          <w:lang w:val="es-CL"/>
        </w:rPr>
      </w:pPr>
    </w:p>
    <w:p w14:paraId="3DA01F00" w14:textId="63CEB45F" w:rsidR="00FA36CF" w:rsidRPr="002C0215" w:rsidRDefault="00FA36CF" w:rsidP="00FA36CF">
      <w:pPr>
        <w:spacing w:after="0" w:line="240" w:lineRule="auto"/>
        <w:ind w:firstLine="720"/>
        <w:jc w:val="both"/>
        <w:rPr>
          <w:rFonts w:ascii="Cambria" w:hAnsi="Cambria"/>
          <w:lang w:val="es-ES"/>
        </w:rPr>
      </w:pPr>
      <w:r w:rsidRPr="002C0215">
        <w:rPr>
          <w:rFonts w:ascii="Cambria" w:hAnsi="Cambria"/>
          <w:lang w:val="es-ES"/>
        </w:rPr>
        <w:t>i) La violación de los derechos a</w:t>
      </w:r>
      <w:r w:rsidR="00B53DD2">
        <w:rPr>
          <w:rFonts w:ascii="Cambria" w:hAnsi="Cambria"/>
          <w:lang w:val="es-ES"/>
        </w:rPr>
        <w:t xml:space="preserve"> la vida, integridad personal, libertad personal, libertad de asociación, garantías judiciales y protección judicial</w:t>
      </w:r>
      <w:r w:rsidR="006F2A21">
        <w:rPr>
          <w:rFonts w:ascii="Cambria" w:hAnsi="Cambria"/>
          <w:lang w:val="es-ES"/>
        </w:rPr>
        <w:t>,</w:t>
      </w:r>
      <w:r w:rsidRPr="002C0215">
        <w:rPr>
          <w:rFonts w:ascii="Cambria" w:hAnsi="Cambria"/>
          <w:lang w:val="es-ES"/>
        </w:rPr>
        <w:t xml:space="preserve"> establecidos en los artículos 4.1, 5.1, 7.1, 16, 8.1 y 25.1 de la Convención Americana, en relación con el artículo 1.1 del mismo instrumento, en perjuicio de Alejandro </w:t>
      </w:r>
      <w:proofErr w:type="spellStart"/>
      <w:r w:rsidRPr="002C0215">
        <w:rPr>
          <w:rFonts w:ascii="Cambria" w:hAnsi="Cambria"/>
          <w:lang w:val="es-ES"/>
        </w:rPr>
        <w:t>Yovany</w:t>
      </w:r>
      <w:proofErr w:type="spellEnd"/>
      <w:r w:rsidRPr="002C0215">
        <w:rPr>
          <w:rFonts w:ascii="Cambria" w:hAnsi="Cambria"/>
          <w:lang w:val="es-ES"/>
        </w:rPr>
        <w:t xml:space="preserve"> Gómez </w:t>
      </w:r>
      <w:proofErr w:type="spellStart"/>
      <w:r w:rsidRPr="002C0215">
        <w:rPr>
          <w:rFonts w:ascii="Cambria" w:hAnsi="Cambria"/>
          <w:lang w:val="es-ES"/>
        </w:rPr>
        <w:t>Virula</w:t>
      </w:r>
      <w:proofErr w:type="spellEnd"/>
      <w:r w:rsidRPr="002C0215">
        <w:rPr>
          <w:rFonts w:ascii="Cambria" w:hAnsi="Cambria"/>
          <w:lang w:val="es-ES"/>
        </w:rPr>
        <w:t xml:space="preserve">; y </w:t>
      </w:r>
    </w:p>
    <w:p w14:paraId="63D488D9" w14:textId="77777777" w:rsidR="00FA36CF" w:rsidRPr="002C0215" w:rsidRDefault="00FA36CF" w:rsidP="00FA36CF">
      <w:pPr>
        <w:spacing w:after="0" w:line="240" w:lineRule="auto"/>
        <w:ind w:firstLine="720"/>
        <w:jc w:val="both"/>
        <w:rPr>
          <w:rFonts w:ascii="Cambria" w:hAnsi="Cambria"/>
          <w:lang w:val="es-ES"/>
        </w:rPr>
      </w:pPr>
    </w:p>
    <w:p w14:paraId="3531D46C" w14:textId="7E4EA76E" w:rsidR="00FA36CF" w:rsidRPr="002C0215" w:rsidRDefault="00FA36CF" w:rsidP="00FA36CF">
      <w:pPr>
        <w:spacing w:after="0" w:line="240" w:lineRule="auto"/>
        <w:ind w:firstLine="720"/>
        <w:jc w:val="both"/>
        <w:rPr>
          <w:rFonts w:ascii="Cambria" w:hAnsi="Cambria"/>
          <w:lang w:val="es-ES"/>
        </w:rPr>
      </w:pPr>
      <w:r w:rsidRPr="002C0215">
        <w:rPr>
          <w:rFonts w:ascii="Cambria" w:hAnsi="Cambria"/>
          <w:lang w:val="es-ES"/>
        </w:rPr>
        <w:t xml:space="preserve">ii) La violación de los derechos a la integridad personal, garantías judiciales y protección judicial, establecidos en los artículos 5.1, 8.1 y 25.1 de la Convención Americana, en relación con el artículo 1.1 del mismo instrumento, en perjuicio de los padres del señor Gómez, Antonio Gómez y Paula </w:t>
      </w:r>
      <w:proofErr w:type="spellStart"/>
      <w:r w:rsidRPr="002C0215">
        <w:rPr>
          <w:rFonts w:ascii="Cambria" w:hAnsi="Cambria"/>
          <w:lang w:val="es-ES"/>
        </w:rPr>
        <w:t>Virula</w:t>
      </w:r>
      <w:proofErr w:type="spellEnd"/>
      <w:r w:rsidRPr="002C0215">
        <w:rPr>
          <w:rFonts w:ascii="Cambria" w:hAnsi="Cambria"/>
          <w:lang w:val="es-ES"/>
        </w:rPr>
        <w:t>.</w:t>
      </w:r>
    </w:p>
    <w:p w14:paraId="3E7BFE51" w14:textId="77777777" w:rsidR="00985D82" w:rsidRPr="00443D0E" w:rsidRDefault="00985D82" w:rsidP="002C0215">
      <w:pPr>
        <w:tabs>
          <w:tab w:val="left" w:pos="810"/>
        </w:tabs>
        <w:spacing w:after="0" w:line="240" w:lineRule="auto"/>
        <w:jc w:val="both"/>
        <w:rPr>
          <w:rFonts w:ascii="Cambria" w:hAnsi="Cambria" w:cs="Arial"/>
          <w:lang w:val="es-CL"/>
        </w:rPr>
      </w:pPr>
      <w:r w:rsidRPr="00443D0E">
        <w:rPr>
          <w:rFonts w:ascii="Cambria" w:hAnsi="Cambria" w:cs="Arial"/>
          <w:lang w:val="es-CL"/>
        </w:rPr>
        <w:t xml:space="preserve"> </w:t>
      </w:r>
    </w:p>
    <w:p w14:paraId="35D84F2E" w14:textId="77777777" w:rsidR="00985D82" w:rsidRPr="00443D0E" w:rsidRDefault="00985D82" w:rsidP="008E2D07">
      <w:pPr>
        <w:tabs>
          <w:tab w:val="left" w:pos="810"/>
        </w:tabs>
        <w:autoSpaceDE w:val="0"/>
        <w:autoSpaceDN w:val="0"/>
        <w:adjustRightInd w:val="0"/>
        <w:spacing w:after="0" w:line="240" w:lineRule="auto"/>
        <w:ind w:firstLine="720"/>
        <w:jc w:val="both"/>
        <w:rPr>
          <w:rFonts w:ascii="Cambria" w:hAnsi="Cambria"/>
          <w:lang w:val="es-CO"/>
        </w:rPr>
      </w:pPr>
      <w:r w:rsidRPr="00443D0E">
        <w:rPr>
          <w:rFonts w:ascii="Cambria" w:hAnsi="Cambria"/>
          <w:lang w:val="es-CO"/>
        </w:rPr>
        <w:t>La Comisión solicita a la Corte Interamericana que establezca las siguientes medidas de reparación:</w:t>
      </w:r>
    </w:p>
    <w:p w14:paraId="466264D0" w14:textId="77777777" w:rsidR="00985D82" w:rsidRDefault="00985D82" w:rsidP="00A413B9">
      <w:pPr>
        <w:tabs>
          <w:tab w:val="left" w:pos="720"/>
          <w:tab w:val="left" w:pos="810"/>
          <w:tab w:val="left" w:pos="1080"/>
        </w:tabs>
        <w:autoSpaceDE w:val="0"/>
        <w:autoSpaceDN w:val="0"/>
        <w:adjustRightInd w:val="0"/>
        <w:spacing w:after="0" w:line="240" w:lineRule="auto"/>
        <w:ind w:right="720"/>
        <w:jc w:val="both"/>
        <w:rPr>
          <w:rFonts w:ascii="Cambria" w:hAnsi="Cambria"/>
          <w:lang w:val="es-CO"/>
        </w:rPr>
      </w:pPr>
    </w:p>
    <w:p w14:paraId="3DD62BBB" w14:textId="77777777" w:rsidR="00A413B9" w:rsidRPr="00C3270B" w:rsidRDefault="00A413B9" w:rsidP="00A413B9">
      <w:pPr>
        <w:pStyle w:val="BodyText3"/>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080"/>
          <w:tab w:val="left" w:pos="1440"/>
        </w:tabs>
        <w:spacing w:after="0"/>
        <w:ind w:left="0" w:firstLine="720"/>
        <w:jc w:val="both"/>
        <w:rPr>
          <w:rFonts w:ascii="Cambria" w:hAnsi="Cambria"/>
          <w:sz w:val="22"/>
          <w:szCs w:val="22"/>
          <w:lang w:val="es-ES"/>
        </w:rPr>
      </w:pPr>
      <w:r w:rsidRPr="00C3270B">
        <w:rPr>
          <w:rFonts w:ascii="Cambria" w:hAnsi="Cambria"/>
          <w:sz w:val="22"/>
          <w:szCs w:val="22"/>
          <w:lang w:val="es-ES"/>
        </w:rPr>
        <w:t>Reparar integralmente las violaciones de derechos humanos declaradas en el presente informe tanto en el aspecto material como moral. El Estado deberá adoptar las medidas de compensación económica y satisfacción del daño moral; así como de rehabilitación para los familiares que así lo deseen.</w:t>
      </w:r>
    </w:p>
    <w:p w14:paraId="5C587D7F" w14:textId="77777777" w:rsidR="00A413B9" w:rsidRPr="00C3270B" w:rsidRDefault="00A413B9" w:rsidP="00A413B9">
      <w:pPr>
        <w:pStyle w:val="BodyText3"/>
        <w:tabs>
          <w:tab w:val="left" w:pos="1080"/>
          <w:tab w:val="left" w:pos="1440"/>
        </w:tabs>
        <w:spacing w:after="0"/>
        <w:ind w:firstLine="720"/>
        <w:jc w:val="both"/>
        <w:rPr>
          <w:rFonts w:ascii="Cambria" w:hAnsi="Cambria"/>
          <w:sz w:val="22"/>
          <w:szCs w:val="22"/>
          <w:lang w:val="es-ES"/>
        </w:rPr>
      </w:pPr>
    </w:p>
    <w:p w14:paraId="49D365CD" w14:textId="77777777" w:rsidR="00A413B9" w:rsidRPr="00C3270B" w:rsidRDefault="00A413B9" w:rsidP="00A413B9">
      <w:pPr>
        <w:pStyle w:val="BodyText3"/>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080"/>
          <w:tab w:val="left" w:pos="1440"/>
        </w:tabs>
        <w:spacing w:after="0"/>
        <w:ind w:left="0" w:firstLine="720"/>
        <w:jc w:val="both"/>
        <w:rPr>
          <w:rFonts w:ascii="Cambria" w:hAnsi="Cambria"/>
          <w:sz w:val="22"/>
          <w:szCs w:val="22"/>
          <w:lang w:val="es-ES"/>
        </w:rPr>
      </w:pPr>
      <w:r w:rsidRPr="00C3270B">
        <w:rPr>
          <w:rFonts w:ascii="Cambria" w:hAnsi="Cambria"/>
          <w:sz w:val="22"/>
          <w:szCs w:val="22"/>
          <w:lang w:val="es-ES"/>
        </w:rPr>
        <w:t xml:space="preserve"> Desarrollar y completar una investigación judicial imparcial, completa y efectiva, de manera expedita, con el objeto de establecer las circunstancias de la desaparición y muerte de Alejandro </w:t>
      </w:r>
      <w:proofErr w:type="spellStart"/>
      <w:r w:rsidRPr="00C3270B">
        <w:rPr>
          <w:rFonts w:ascii="Cambria" w:hAnsi="Cambria"/>
          <w:sz w:val="22"/>
          <w:szCs w:val="22"/>
          <w:lang w:val="es-ES"/>
        </w:rPr>
        <w:t>Yovany</w:t>
      </w:r>
      <w:proofErr w:type="spellEnd"/>
      <w:r w:rsidRPr="00C3270B">
        <w:rPr>
          <w:rFonts w:ascii="Cambria" w:hAnsi="Cambria"/>
          <w:sz w:val="22"/>
          <w:szCs w:val="22"/>
          <w:lang w:val="es-ES"/>
        </w:rPr>
        <w:t xml:space="preserve"> Gómez; explorar y agotar de manera exhaustiva las líneas lógicas de investigación en relación con el caso;  e identificar y sancionar a todas las personas que participaron en los hechos. </w:t>
      </w:r>
    </w:p>
    <w:p w14:paraId="4DF53C31" w14:textId="77777777" w:rsidR="00A413B9" w:rsidRPr="00C3270B" w:rsidRDefault="00A413B9" w:rsidP="00A413B9">
      <w:pPr>
        <w:pStyle w:val="BodyText3"/>
        <w:tabs>
          <w:tab w:val="left" w:pos="1080"/>
          <w:tab w:val="left" w:pos="1440"/>
        </w:tabs>
        <w:spacing w:after="0"/>
        <w:ind w:firstLine="720"/>
        <w:jc w:val="both"/>
        <w:rPr>
          <w:rFonts w:ascii="Cambria" w:hAnsi="Cambria"/>
          <w:sz w:val="22"/>
          <w:szCs w:val="22"/>
          <w:lang w:val="es-ES"/>
        </w:rPr>
      </w:pPr>
    </w:p>
    <w:p w14:paraId="7DD2B180" w14:textId="77777777" w:rsidR="00A413B9" w:rsidRPr="00C3270B" w:rsidRDefault="00A413B9" w:rsidP="00A413B9">
      <w:pPr>
        <w:pStyle w:val="BodyText3"/>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080"/>
          <w:tab w:val="left" w:pos="1440"/>
        </w:tabs>
        <w:spacing w:after="0"/>
        <w:ind w:left="0" w:firstLine="720"/>
        <w:jc w:val="both"/>
        <w:rPr>
          <w:rFonts w:ascii="Cambria" w:hAnsi="Cambria"/>
          <w:sz w:val="22"/>
          <w:szCs w:val="22"/>
          <w:lang w:val="es-ES"/>
        </w:rPr>
      </w:pPr>
      <w:r w:rsidRPr="00C3270B">
        <w:rPr>
          <w:rFonts w:ascii="Cambria" w:hAnsi="Cambria"/>
          <w:sz w:val="22"/>
          <w:szCs w:val="22"/>
          <w:lang w:val="es-ES"/>
        </w:rPr>
        <w:t xml:space="preserve"> Disponer las medidas administrativas, disciplinarias o penales correspondientes frente a las acciones u omisiones de los funcionarios estatales que contribuyeron a la denegación de justicia e impunidad en la que se encuentran los hechos del caso.</w:t>
      </w:r>
    </w:p>
    <w:p w14:paraId="2053D655" w14:textId="77777777" w:rsidR="00A413B9" w:rsidRPr="00C3270B" w:rsidRDefault="00A413B9" w:rsidP="00A413B9">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jc w:val="both"/>
        <w:rPr>
          <w:rFonts w:ascii="Cambria" w:hAnsi="Cambria"/>
          <w:sz w:val="22"/>
          <w:szCs w:val="22"/>
          <w:lang w:val="es-ES"/>
        </w:rPr>
      </w:pPr>
    </w:p>
    <w:p w14:paraId="2C1E3B40" w14:textId="16F06B5F" w:rsidR="00A413B9" w:rsidRPr="00037122" w:rsidRDefault="00A413B9" w:rsidP="00A413B9">
      <w:pPr>
        <w:pStyle w:val="BodyText3"/>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080"/>
          <w:tab w:val="left" w:pos="1440"/>
        </w:tabs>
        <w:spacing w:after="0"/>
        <w:ind w:left="0" w:firstLine="720"/>
        <w:jc w:val="both"/>
        <w:rPr>
          <w:rFonts w:ascii="Cambria" w:hAnsi="Cambria"/>
          <w:sz w:val="22"/>
          <w:szCs w:val="22"/>
          <w:lang w:val="es-ES"/>
        </w:rPr>
      </w:pPr>
      <w:r w:rsidRPr="00C3270B">
        <w:rPr>
          <w:rFonts w:ascii="Cambria" w:hAnsi="Cambria"/>
          <w:sz w:val="22"/>
          <w:szCs w:val="22"/>
          <w:lang w:val="es-ES"/>
        </w:rPr>
        <w:t xml:space="preserve">Implementar medidas de no repetición que incluyan: i) las medidas necesarias para asegurar que las investigaciones de denuncias de desaparición cumplan con los estándares </w:t>
      </w:r>
      <w:r w:rsidRPr="00C3270B">
        <w:rPr>
          <w:rFonts w:ascii="Cambria" w:hAnsi="Cambria"/>
          <w:sz w:val="22"/>
          <w:szCs w:val="22"/>
          <w:lang w:val="es-ES"/>
        </w:rPr>
        <w:lastRenderedPageBreak/>
        <w:t>establecidos en el presente informe en lo relativo al deber de respuesta inmediata para encontrar el paradero de la persona que se denuncia como desaparecida; ii) las medidas necesarias para asegurar que las investigaciones de muertes violentas cumplan con el deber de investigar con la debida diligencia en los términos descritos en el presente informe; y iii) las medidas necesarias para fortalecer la capacidad investigativa de muertes de defensores de derechos humanos en Guatem</w:t>
      </w:r>
      <w:r w:rsidRPr="00037122">
        <w:rPr>
          <w:rFonts w:ascii="Cambria" w:hAnsi="Cambria"/>
          <w:sz w:val="22"/>
          <w:szCs w:val="22"/>
          <w:lang w:val="es-ES"/>
        </w:rPr>
        <w:t>ala, particularmente sindicalistas, posiblemente relacionadas con su actividad.</w:t>
      </w:r>
    </w:p>
    <w:p w14:paraId="7BB3B914" w14:textId="77777777" w:rsidR="00DB5ADF" w:rsidRPr="00037122" w:rsidRDefault="00DB5ADF" w:rsidP="008E2D07">
      <w:pPr>
        <w:spacing w:after="0" w:line="240" w:lineRule="auto"/>
        <w:ind w:firstLine="720"/>
        <w:jc w:val="both"/>
        <w:rPr>
          <w:rFonts w:ascii="Cambria" w:hAnsi="Cambria" w:cs="Arial"/>
          <w:color w:val="000000"/>
          <w:lang w:val="es-CL"/>
        </w:rPr>
      </w:pPr>
    </w:p>
    <w:p w14:paraId="19822960" w14:textId="3D4D30D0" w:rsidR="00431DEE" w:rsidRPr="00037122" w:rsidRDefault="00985D82" w:rsidP="00037122">
      <w:pPr>
        <w:spacing w:after="0" w:line="240" w:lineRule="auto"/>
        <w:ind w:firstLine="720"/>
        <w:jc w:val="both"/>
        <w:rPr>
          <w:rFonts w:ascii="Cambria" w:hAnsi="Cambria" w:cs="Arial"/>
          <w:color w:val="000000"/>
          <w:lang w:val="es-CL"/>
        </w:rPr>
      </w:pPr>
      <w:r w:rsidRPr="00037122">
        <w:rPr>
          <w:rFonts w:ascii="Cambria" w:hAnsi="Cambria" w:cs="Arial"/>
          <w:color w:val="000000"/>
          <w:lang w:val="es-CL"/>
        </w:rPr>
        <w:t>Además de la necesidad de obtención de justicia, la Comisión destaca que el presente caso involucra cuestiones de orden público interamericano.</w:t>
      </w:r>
      <w:r w:rsidR="00EE5A47" w:rsidRPr="00037122">
        <w:rPr>
          <w:rFonts w:ascii="Cambria" w:hAnsi="Cambria" w:cs="Arial"/>
          <w:color w:val="000000"/>
          <w:lang w:val="es-CL"/>
        </w:rPr>
        <w:t xml:space="preserve"> </w:t>
      </w:r>
      <w:r w:rsidRPr="00037122">
        <w:rPr>
          <w:rFonts w:ascii="Cambria" w:hAnsi="Cambria" w:cs="Arial"/>
          <w:color w:val="000000"/>
          <w:lang w:val="es-CL"/>
        </w:rPr>
        <w:t xml:space="preserve"> </w:t>
      </w:r>
      <w:r w:rsidR="00DB5ADF" w:rsidRPr="00037122">
        <w:rPr>
          <w:rFonts w:ascii="Cambria" w:hAnsi="Cambria" w:cs="Arial"/>
          <w:color w:val="000000"/>
          <w:lang w:val="es-CL"/>
        </w:rPr>
        <w:t xml:space="preserve">En particular, </w:t>
      </w:r>
      <w:r w:rsidR="00037122" w:rsidRPr="00037122">
        <w:rPr>
          <w:rFonts w:ascii="Cambria" w:hAnsi="Cambria" w:cs="Arial"/>
          <w:color w:val="000000"/>
          <w:lang w:val="es-CL"/>
        </w:rPr>
        <w:t xml:space="preserve">el presente caso </w:t>
      </w:r>
      <w:r w:rsidR="00037122" w:rsidRPr="00037122">
        <w:rPr>
          <w:rFonts w:ascii="Cambria" w:hAnsi="Cambria"/>
          <w:lang w:val="es-CO"/>
        </w:rPr>
        <w:t>permitirá</w:t>
      </w:r>
      <w:r w:rsidR="00431DEE" w:rsidRPr="00037122">
        <w:rPr>
          <w:rFonts w:ascii="Cambria" w:hAnsi="Cambria"/>
          <w:lang w:val="es-CO"/>
        </w:rPr>
        <w:t xml:space="preserve"> el desarrollo de la jurisprudencia en cuanto a las obligaciones estatales en materia de protección de los derechos a la vida e integridad personal, una vez toma conocimiento de la desaparición de una persona, </w:t>
      </w:r>
      <w:r w:rsidR="00A52F27" w:rsidRPr="00037122">
        <w:rPr>
          <w:rFonts w:ascii="Cambria" w:hAnsi="Cambria"/>
          <w:lang w:val="es-CO"/>
        </w:rPr>
        <w:t>aun</w:t>
      </w:r>
      <w:r w:rsidR="00431DEE" w:rsidRPr="00037122">
        <w:rPr>
          <w:rFonts w:ascii="Cambria" w:hAnsi="Cambria"/>
          <w:lang w:val="es-CO"/>
        </w:rPr>
        <w:t xml:space="preserve"> cuando la misma haya tenido lugar de manos de actores no estatales. Igualmente, el caso ofrece la oportunidad de analizar las obligaciones estatales de garantía del derecho a la libertad de asociación, cuando el mismo se ve amenazado por parte de actores no estatales, específicamente cuando existen indicios de que la desaparición de la víctima tuvo lugar como consecuencia y represalia de sus actividades como líder sindical.</w:t>
      </w:r>
    </w:p>
    <w:p w14:paraId="262C14C2" w14:textId="77777777" w:rsidR="00DB5ADF" w:rsidRPr="00443D0E" w:rsidRDefault="00DB5ADF" w:rsidP="00265410">
      <w:pPr>
        <w:tabs>
          <w:tab w:val="left" w:pos="810"/>
        </w:tabs>
        <w:autoSpaceDE w:val="0"/>
        <w:autoSpaceDN w:val="0"/>
        <w:adjustRightInd w:val="0"/>
        <w:spacing w:after="0" w:line="240" w:lineRule="auto"/>
        <w:jc w:val="both"/>
        <w:rPr>
          <w:rFonts w:ascii="Cambria" w:hAnsi="Cambria" w:cs="Arial"/>
          <w:lang w:val="es-CL"/>
        </w:rPr>
      </w:pPr>
    </w:p>
    <w:p w14:paraId="04252C0C" w14:textId="77777777" w:rsidR="00985D82" w:rsidRPr="00443D0E" w:rsidRDefault="00985D82" w:rsidP="008E2D07">
      <w:pPr>
        <w:tabs>
          <w:tab w:val="left" w:pos="810"/>
        </w:tabs>
        <w:autoSpaceDE w:val="0"/>
        <w:autoSpaceDN w:val="0"/>
        <w:adjustRightInd w:val="0"/>
        <w:spacing w:after="0" w:line="240" w:lineRule="auto"/>
        <w:ind w:firstLine="720"/>
        <w:jc w:val="both"/>
        <w:rPr>
          <w:rFonts w:ascii="Cambria" w:hAnsi="Cambria" w:cs="Arial"/>
          <w:lang w:val="es-CL"/>
        </w:rPr>
      </w:pPr>
      <w:r w:rsidRPr="00443D0E">
        <w:rPr>
          <w:rFonts w:ascii="Cambria" w:hAnsi="Cambria" w:cs="Arial"/>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21178C79" w14:textId="77777777" w:rsidR="00985D82" w:rsidRPr="00443D0E" w:rsidRDefault="00985D82" w:rsidP="008E2D07">
      <w:pPr>
        <w:tabs>
          <w:tab w:val="left" w:pos="810"/>
        </w:tabs>
        <w:autoSpaceDE w:val="0"/>
        <w:autoSpaceDN w:val="0"/>
        <w:adjustRightInd w:val="0"/>
        <w:spacing w:after="0" w:line="240" w:lineRule="auto"/>
        <w:ind w:right="480"/>
        <w:jc w:val="both"/>
        <w:rPr>
          <w:rFonts w:ascii="Cambria" w:hAnsi="Cambria" w:cs="Arial"/>
          <w:lang w:val="es-CL"/>
        </w:rPr>
      </w:pPr>
    </w:p>
    <w:p w14:paraId="1F74B5B5" w14:textId="125FF0D3" w:rsidR="00985D82" w:rsidRPr="00443D0E" w:rsidRDefault="00985D82" w:rsidP="008E2D07">
      <w:pPr>
        <w:tabs>
          <w:tab w:val="left" w:pos="810"/>
          <w:tab w:val="left" w:pos="9356"/>
        </w:tabs>
        <w:spacing w:after="0" w:line="240" w:lineRule="auto"/>
        <w:ind w:right="4" w:firstLine="720"/>
        <w:jc w:val="both"/>
        <w:rPr>
          <w:rFonts w:ascii="Cambria" w:hAnsi="Cambria"/>
          <w:lang w:val="es-CO"/>
        </w:rPr>
      </w:pPr>
      <w:r w:rsidRPr="00443D0E">
        <w:rPr>
          <w:rFonts w:ascii="Cambria" w:hAnsi="Cambria" w:cs="Courier New"/>
          <w:b/>
          <w:lang w:val="es-ES_tradnl"/>
        </w:rPr>
        <w:t>Perito/a cuyo nombre será informado a la brevedad</w:t>
      </w:r>
      <w:r w:rsidRPr="00443D0E">
        <w:rPr>
          <w:rFonts w:ascii="Cambria" w:hAnsi="Cambria"/>
          <w:iCs/>
          <w:lang w:val="es-ES_tradnl"/>
        </w:rPr>
        <w:t>, quien declarará sobre</w:t>
      </w:r>
      <w:r w:rsidR="00DB5ADF" w:rsidRPr="00443D0E">
        <w:rPr>
          <w:rFonts w:ascii="Cambria" w:hAnsi="Cambria"/>
          <w:iCs/>
          <w:lang w:val="es-ES_tradnl"/>
        </w:rPr>
        <w:t xml:space="preserve"> </w:t>
      </w:r>
      <w:r w:rsidR="00265410">
        <w:rPr>
          <w:rFonts w:ascii="Cambria" w:hAnsi="Cambria"/>
          <w:iCs/>
          <w:lang w:val="es-ES_tradnl"/>
        </w:rPr>
        <w:t xml:space="preserve">el deber de garantía de la vida y la integridad personal, en sus componentes de prevención e investigación, cuando se denuncia la desaparición de una persona y tiempo después aparece su cuerpo sin vida, incluso cuando los hechos fueron cometidos por actores no estatales. Asimismo, el/la perito/a se referirá a </w:t>
      </w:r>
      <w:r w:rsidR="00C15AB0">
        <w:rPr>
          <w:rFonts w:ascii="Cambria" w:hAnsi="Cambria"/>
          <w:iCs/>
          <w:lang w:val="es-ES_tradnl"/>
        </w:rPr>
        <w:t xml:space="preserve">las especificidades o deberes reforzados que deben tomarse en cuenta cuando existen indicios de que la desaparición seguida de muerte de una persona tuvo lugar como consecuencia o represalia por sus actividades como líder sindical. </w:t>
      </w:r>
    </w:p>
    <w:p w14:paraId="4C8E4653" w14:textId="77777777" w:rsidR="00C11485" w:rsidRPr="00443D0E" w:rsidRDefault="00C11485" w:rsidP="008E2D07">
      <w:pPr>
        <w:tabs>
          <w:tab w:val="left" w:pos="810"/>
        </w:tabs>
        <w:spacing w:after="0" w:line="240" w:lineRule="auto"/>
        <w:jc w:val="both"/>
        <w:rPr>
          <w:rFonts w:ascii="Cambria" w:hAnsi="Cambria"/>
          <w:iCs/>
          <w:lang w:val="es-ES_tradnl"/>
        </w:rPr>
      </w:pPr>
    </w:p>
    <w:p w14:paraId="092CC75B" w14:textId="1AF1144B" w:rsidR="00985D82" w:rsidRPr="00443D0E" w:rsidRDefault="00985D82" w:rsidP="008E2D07">
      <w:pPr>
        <w:tabs>
          <w:tab w:val="left" w:pos="0"/>
          <w:tab w:val="left" w:pos="810"/>
        </w:tabs>
        <w:spacing w:after="0" w:line="240" w:lineRule="auto"/>
        <w:ind w:firstLine="720"/>
        <w:jc w:val="both"/>
        <w:rPr>
          <w:rFonts w:ascii="Cambria" w:hAnsi="Cambria"/>
          <w:lang w:val="es-CO"/>
        </w:rPr>
      </w:pPr>
      <w:r w:rsidRPr="00443D0E">
        <w:rPr>
          <w:rFonts w:ascii="Cambria" w:hAnsi="Cambria"/>
          <w:lang w:val="es-AR"/>
        </w:rPr>
        <w:t>El CV del/la perito/</w:t>
      </w:r>
      <w:proofErr w:type="spellStart"/>
      <w:r w:rsidRPr="00443D0E">
        <w:rPr>
          <w:rFonts w:ascii="Cambria" w:hAnsi="Cambria"/>
          <w:lang w:val="es-AR"/>
        </w:rPr>
        <w:t>a</w:t>
      </w:r>
      <w:proofErr w:type="spellEnd"/>
      <w:r w:rsidRPr="00443D0E">
        <w:rPr>
          <w:rFonts w:ascii="Cambria" w:hAnsi="Cambria"/>
          <w:lang w:val="es-AR"/>
        </w:rPr>
        <w:t xml:space="preserve"> ofrecido/a </w:t>
      </w:r>
      <w:r w:rsidRPr="00443D0E">
        <w:rPr>
          <w:rFonts w:ascii="Cambria" w:hAnsi="Cambria"/>
          <w:lang w:val="es-CO"/>
        </w:rPr>
        <w:t xml:space="preserve">serán incluidos en los anexos al informe de fondo </w:t>
      </w:r>
      <w:r w:rsidR="008A07D9">
        <w:rPr>
          <w:rFonts w:ascii="Cambria" w:hAnsi="Cambria"/>
          <w:lang w:val="es-CO"/>
        </w:rPr>
        <w:t>33/17</w:t>
      </w:r>
      <w:r w:rsidRPr="00443D0E">
        <w:rPr>
          <w:rFonts w:ascii="Cambria" w:hAnsi="Cambria"/>
          <w:lang w:val="es-CO"/>
        </w:rPr>
        <w:t xml:space="preserve">. </w:t>
      </w:r>
    </w:p>
    <w:p w14:paraId="26417D21" w14:textId="77777777" w:rsidR="00985D82" w:rsidRPr="00443D0E" w:rsidRDefault="00985D82" w:rsidP="008E2D07">
      <w:pPr>
        <w:tabs>
          <w:tab w:val="left" w:pos="0"/>
          <w:tab w:val="left" w:pos="810"/>
        </w:tabs>
        <w:spacing w:after="0" w:line="240" w:lineRule="auto"/>
        <w:jc w:val="both"/>
        <w:rPr>
          <w:rFonts w:ascii="Cambria" w:hAnsi="Cambria"/>
          <w:lang w:val="es-CO"/>
        </w:rPr>
      </w:pPr>
    </w:p>
    <w:p w14:paraId="396A2DB6" w14:textId="77777777" w:rsidR="00985D82" w:rsidRPr="00443D0E" w:rsidRDefault="00985D82" w:rsidP="008E2D07">
      <w:pPr>
        <w:tabs>
          <w:tab w:val="left" w:pos="0"/>
          <w:tab w:val="left" w:pos="810"/>
        </w:tabs>
        <w:spacing w:after="0" w:line="240" w:lineRule="auto"/>
        <w:ind w:firstLine="720"/>
        <w:jc w:val="both"/>
        <w:rPr>
          <w:rFonts w:ascii="Cambria" w:hAnsi="Cambria"/>
          <w:lang w:val="es-CO"/>
        </w:rPr>
      </w:pPr>
      <w:r w:rsidRPr="00443D0E">
        <w:rPr>
          <w:rFonts w:ascii="Cambria" w:hAnsi="Cambria"/>
          <w:lang w:val="es-ES_tradnl"/>
        </w:rPr>
        <w:t xml:space="preserve">La Comisión pone en conocimiento de la Corte la siguiente información sobre quienes actuaron como peticionarios a lo largo del trámite del caso: </w:t>
      </w:r>
    </w:p>
    <w:p w14:paraId="396866F9" w14:textId="77777777" w:rsidR="00985D82" w:rsidRPr="00443D0E" w:rsidRDefault="00985D82" w:rsidP="008E2D07">
      <w:pPr>
        <w:widowControl w:val="0"/>
        <w:tabs>
          <w:tab w:val="left" w:pos="810"/>
        </w:tabs>
        <w:autoSpaceDE w:val="0"/>
        <w:autoSpaceDN w:val="0"/>
        <w:adjustRightInd w:val="0"/>
        <w:spacing w:after="0" w:line="240" w:lineRule="auto"/>
        <w:jc w:val="center"/>
        <w:rPr>
          <w:rFonts w:ascii="Cambria" w:eastAsia="Times New Roman" w:hAnsi="Cambria" w:cs="Tahoma"/>
          <w:lang w:val="es-ES" w:bidi="en-US"/>
        </w:rPr>
      </w:pPr>
    </w:p>
    <w:p w14:paraId="584961EF" w14:textId="31ED5178" w:rsidR="0062017A" w:rsidRDefault="00997F2C" w:rsidP="0062017A">
      <w:pPr>
        <w:tabs>
          <w:tab w:val="left" w:pos="810"/>
        </w:tabs>
        <w:autoSpaceDE w:val="0"/>
        <w:autoSpaceDN w:val="0"/>
        <w:adjustRightInd w:val="0"/>
        <w:spacing w:after="0" w:line="240" w:lineRule="auto"/>
        <w:jc w:val="center"/>
        <w:rPr>
          <w:rFonts w:ascii="Cambria" w:hAnsi="Cambria"/>
          <w:lang w:val="es-ES"/>
        </w:rPr>
      </w:pPr>
      <w:r>
        <w:rPr>
          <w:rFonts w:ascii="Cambria" w:hAnsi="Cambria"/>
          <w:lang w:val="es-ES"/>
        </w:rPr>
        <w:t xml:space="preserve">Centro de Acción </w:t>
      </w:r>
      <w:r w:rsidR="00B61325">
        <w:rPr>
          <w:rFonts w:ascii="Cambria" w:hAnsi="Cambria"/>
          <w:lang w:val="es-ES"/>
        </w:rPr>
        <w:t>Legal de Derechos Humanos</w:t>
      </w:r>
    </w:p>
    <w:p w14:paraId="7251E310" w14:textId="4A500F5C" w:rsidR="00492876" w:rsidRDefault="00492876" w:rsidP="0062017A">
      <w:pPr>
        <w:tabs>
          <w:tab w:val="left" w:pos="810"/>
        </w:tabs>
        <w:autoSpaceDE w:val="0"/>
        <w:autoSpaceDN w:val="0"/>
        <w:adjustRightInd w:val="0"/>
        <w:spacing w:after="0" w:line="240" w:lineRule="auto"/>
        <w:jc w:val="center"/>
        <w:rPr>
          <w:rFonts w:ascii="Cambria" w:hAnsi="Cambria"/>
          <w:lang w:val="es-ES"/>
        </w:rPr>
      </w:pPr>
      <w:r>
        <w:rPr>
          <w:rFonts w:ascii="Cambria" w:hAnsi="Cambria"/>
          <w:lang w:val="es-ES"/>
        </w:rPr>
        <w:t>CALDH</w:t>
      </w:r>
    </w:p>
    <w:p w14:paraId="4A80CD48" w14:textId="12224665" w:rsidR="00492876" w:rsidRPr="00443D0E" w:rsidRDefault="000F1483" w:rsidP="0062017A">
      <w:pPr>
        <w:tabs>
          <w:tab w:val="left" w:pos="810"/>
        </w:tabs>
        <w:autoSpaceDE w:val="0"/>
        <w:autoSpaceDN w:val="0"/>
        <w:adjustRightInd w:val="0"/>
        <w:spacing w:after="0" w:line="240" w:lineRule="auto"/>
        <w:jc w:val="center"/>
        <w:rPr>
          <w:rFonts w:ascii="Cambria" w:hAnsi="Cambria"/>
          <w:lang w:val="es-ES"/>
        </w:rPr>
      </w:pPr>
      <w:proofErr w:type="spellStart"/>
      <w:proofErr w:type="gramStart"/>
      <w:r w:rsidRPr="000F1483">
        <w:rPr>
          <w:rFonts w:ascii="Cambria" w:hAnsi="Cambria"/>
          <w:highlight w:val="black"/>
          <w:lang w:val="es-ES"/>
        </w:rPr>
        <w:t>xxxxxxxxxxxxxxxxxxxxxxxxxx</w:t>
      </w:r>
      <w:proofErr w:type="spellEnd"/>
      <w:proofErr w:type="gramEnd"/>
    </w:p>
    <w:p w14:paraId="123EEA5D" w14:textId="77777777" w:rsidR="0062017A" w:rsidRPr="00443D0E" w:rsidRDefault="0062017A" w:rsidP="008E2D07">
      <w:pPr>
        <w:tabs>
          <w:tab w:val="left" w:pos="810"/>
        </w:tabs>
        <w:autoSpaceDE w:val="0"/>
        <w:autoSpaceDN w:val="0"/>
        <w:adjustRightInd w:val="0"/>
        <w:spacing w:after="0" w:line="240" w:lineRule="auto"/>
        <w:jc w:val="center"/>
        <w:rPr>
          <w:rFonts w:ascii="Cambria" w:hAnsi="Cambria"/>
          <w:lang w:val="es-ES"/>
        </w:rPr>
      </w:pPr>
    </w:p>
    <w:p w14:paraId="12B1B1C7" w14:textId="77777777" w:rsidR="00985D82" w:rsidRPr="00443D0E" w:rsidRDefault="00985D82" w:rsidP="008E2D07">
      <w:pPr>
        <w:tabs>
          <w:tab w:val="left" w:pos="0"/>
          <w:tab w:val="left" w:pos="810"/>
        </w:tabs>
        <w:spacing w:after="0" w:line="240" w:lineRule="auto"/>
        <w:ind w:firstLine="720"/>
        <w:jc w:val="both"/>
        <w:rPr>
          <w:rFonts w:ascii="Cambria" w:hAnsi="Cambria" w:cs="Arial"/>
          <w:lang w:val="es-CO"/>
        </w:rPr>
      </w:pPr>
      <w:r w:rsidRPr="00443D0E">
        <w:rPr>
          <w:rFonts w:ascii="Cambria" w:hAnsi="Cambria" w:cs="Arial"/>
          <w:lang w:val="es-CO"/>
        </w:rPr>
        <w:t>Aprovecho la oportunidad para saludar a usted muy atentamente,</w:t>
      </w:r>
    </w:p>
    <w:p w14:paraId="45FDD76A" w14:textId="29C1FC53" w:rsidR="00985D82" w:rsidRPr="00443D0E" w:rsidRDefault="00985D82" w:rsidP="008E2D07">
      <w:pPr>
        <w:tabs>
          <w:tab w:val="left" w:pos="810"/>
        </w:tabs>
        <w:suppressAutoHyphens/>
        <w:spacing w:after="0" w:line="240" w:lineRule="auto"/>
        <w:rPr>
          <w:rFonts w:ascii="Cambria" w:hAnsi="Cambria" w:cs="Arial"/>
          <w:snapToGrid w:val="0"/>
          <w:lang w:val="es-CO"/>
        </w:rPr>
      </w:pPr>
    </w:p>
    <w:p w14:paraId="363DD939" w14:textId="2C2A278F" w:rsidR="00985D82" w:rsidRPr="00443D0E" w:rsidRDefault="00985D82" w:rsidP="008E2D07">
      <w:pPr>
        <w:tabs>
          <w:tab w:val="left" w:pos="810"/>
        </w:tabs>
        <w:suppressAutoHyphens/>
        <w:spacing w:after="0" w:line="240" w:lineRule="auto"/>
        <w:rPr>
          <w:rFonts w:ascii="Cambria" w:hAnsi="Cambria" w:cs="Arial"/>
          <w:snapToGrid w:val="0"/>
          <w:lang w:val="es-CO"/>
        </w:rPr>
      </w:pPr>
    </w:p>
    <w:p w14:paraId="7DC31FC4" w14:textId="68B6E9FF" w:rsidR="00EE5A47" w:rsidRPr="00443D0E" w:rsidRDefault="00492876" w:rsidP="008E2D07">
      <w:pPr>
        <w:tabs>
          <w:tab w:val="left" w:pos="810"/>
        </w:tabs>
        <w:suppressAutoHyphens/>
        <w:spacing w:after="0" w:line="240" w:lineRule="auto"/>
        <w:rPr>
          <w:rFonts w:ascii="Cambria" w:hAnsi="Cambria" w:cs="Arial"/>
          <w:snapToGrid w:val="0"/>
          <w:lang w:val="es-CO"/>
        </w:rPr>
      </w:pPr>
      <w:r>
        <w:rPr>
          <w:rFonts w:ascii="Cambria" w:hAnsi="Cambria" w:cs="Arial"/>
          <w:snapToGrid w:val="0"/>
          <w:lang w:val="es-CO"/>
        </w:rPr>
        <w:t xml:space="preserve"> </w:t>
      </w:r>
    </w:p>
    <w:p w14:paraId="41A6AE05" w14:textId="77777777" w:rsidR="00EE5A47" w:rsidRPr="00443D0E" w:rsidRDefault="00EE5A47" w:rsidP="008E2D07">
      <w:pPr>
        <w:tabs>
          <w:tab w:val="left" w:pos="810"/>
        </w:tabs>
        <w:suppressAutoHyphens/>
        <w:spacing w:after="0" w:line="240" w:lineRule="auto"/>
        <w:rPr>
          <w:rFonts w:ascii="Cambria" w:hAnsi="Cambria" w:cs="Arial"/>
          <w:snapToGrid w:val="0"/>
          <w:lang w:val="es-CO"/>
        </w:rPr>
      </w:pPr>
    </w:p>
    <w:p w14:paraId="326ECD8F" w14:textId="25E1BB8F" w:rsidR="00985D82" w:rsidRPr="000F1483" w:rsidRDefault="000F1483" w:rsidP="008E2D07">
      <w:pPr>
        <w:tabs>
          <w:tab w:val="left" w:pos="810"/>
        </w:tabs>
        <w:suppressAutoHyphens/>
        <w:spacing w:after="0" w:line="240" w:lineRule="auto"/>
        <w:rPr>
          <w:rFonts w:ascii="Cambria" w:hAnsi="Cambria" w:cs="Arial"/>
          <w:snapToGrid w:val="0"/>
          <w:color w:val="808080" w:themeColor="background1" w:themeShade="80"/>
          <w:sz w:val="20"/>
          <w:lang w:val="es-CO"/>
        </w:rPr>
      </w:pP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r>
      <w:r>
        <w:rPr>
          <w:rFonts w:ascii="Cambria" w:hAnsi="Cambria" w:cs="Arial"/>
          <w:snapToGrid w:val="0"/>
          <w:color w:val="808080" w:themeColor="background1" w:themeShade="80"/>
          <w:sz w:val="20"/>
          <w:lang w:val="es-CO"/>
        </w:rPr>
        <w:tab/>
        <w:t xml:space="preserve">   </w:t>
      </w:r>
      <w:r w:rsidRPr="000F1483">
        <w:rPr>
          <w:rFonts w:ascii="Cambria" w:hAnsi="Cambria" w:cs="Arial"/>
          <w:snapToGrid w:val="0"/>
          <w:color w:val="808080" w:themeColor="background1" w:themeShade="80"/>
          <w:sz w:val="20"/>
          <w:lang w:val="es-CO"/>
        </w:rPr>
        <w:t>Firmado en el original</w:t>
      </w:r>
    </w:p>
    <w:p w14:paraId="5FD0B553" w14:textId="0D9BC75E" w:rsidR="00985D82" w:rsidRPr="00443D0E" w:rsidRDefault="00985D82" w:rsidP="008E2D07">
      <w:pPr>
        <w:tabs>
          <w:tab w:val="left" w:pos="810"/>
        </w:tabs>
        <w:suppressAutoHyphens/>
        <w:spacing w:after="0" w:line="240" w:lineRule="auto"/>
        <w:ind w:left="3600" w:firstLine="720"/>
        <w:rPr>
          <w:rFonts w:ascii="Cambria" w:hAnsi="Cambria" w:cs="Arial"/>
          <w:snapToGrid w:val="0"/>
          <w:color w:val="808080"/>
          <w:lang w:val="es-CO"/>
        </w:rPr>
      </w:pPr>
      <w:r w:rsidRPr="00443D0E">
        <w:rPr>
          <w:rFonts w:ascii="Cambria" w:hAnsi="Cambria" w:cs="Arial"/>
          <w:snapToGrid w:val="0"/>
          <w:lang w:val="es-CO"/>
        </w:rPr>
        <w:tab/>
      </w:r>
      <w:r w:rsidR="005607D4">
        <w:rPr>
          <w:rFonts w:ascii="Cambria" w:hAnsi="Cambria" w:cs="Arial"/>
          <w:snapToGrid w:val="0"/>
          <w:lang w:val="es-CO"/>
        </w:rPr>
        <w:t>Elizabeth Abi-Mershed</w:t>
      </w:r>
    </w:p>
    <w:p w14:paraId="64C90AD7" w14:textId="01BD5D68" w:rsidR="00985D82" w:rsidRPr="00443D0E" w:rsidRDefault="00985D82" w:rsidP="008E2D07">
      <w:pPr>
        <w:tabs>
          <w:tab w:val="left" w:pos="810"/>
        </w:tabs>
        <w:suppressAutoHyphens/>
        <w:spacing w:after="0" w:line="240" w:lineRule="auto"/>
        <w:rPr>
          <w:rFonts w:ascii="Cambria" w:hAnsi="Cambria"/>
          <w:lang w:val="es-CO"/>
        </w:rPr>
      </w:pPr>
      <w:r w:rsidRPr="00443D0E">
        <w:rPr>
          <w:rFonts w:ascii="Cambria" w:hAnsi="Cambria" w:cs="Arial"/>
          <w:snapToGrid w:val="0"/>
          <w:lang w:val="es-CO"/>
        </w:rPr>
        <w:tab/>
      </w:r>
      <w:r w:rsidRPr="00443D0E">
        <w:rPr>
          <w:rFonts w:ascii="Cambria" w:hAnsi="Cambria" w:cs="Arial"/>
          <w:snapToGrid w:val="0"/>
          <w:lang w:val="es-CO"/>
        </w:rPr>
        <w:tab/>
      </w:r>
      <w:r w:rsidRPr="00443D0E">
        <w:rPr>
          <w:rFonts w:ascii="Cambria" w:hAnsi="Cambria" w:cs="Arial"/>
          <w:snapToGrid w:val="0"/>
          <w:lang w:val="es-CO"/>
        </w:rPr>
        <w:tab/>
      </w:r>
      <w:r w:rsidRPr="00443D0E">
        <w:rPr>
          <w:rFonts w:ascii="Cambria" w:hAnsi="Cambria" w:cs="Arial"/>
          <w:snapToGrid w:val="0"/>
          <w:lang w:val="es-CO"/>
        </w:rPr>
        <w:tab/>
      </w:r>
      <w:r w:rsidRPr="00443D0E">
        <w:rPr>
          <w:rFonts w:ascii="Cambria" w:hAnsi="Cambria" w:cs="Arial"/>
          <w:snapToGrid w:val="0"/>
          <w:lang w:val="es-CO"/>
        </w:rPr>
        <w:tab/>
        <w:t xml:space="preserve">        </w:t>
      </w:r>
      <w:r w:rsidRPr="00443D0E">
        <w:rPr>
          <w:rFonts w:ascii="Cambria" w:hAnsi="Cambria" w:cs="Arial"/>
          <w:snapToGrid w:val="0"/>
          <w:lang w:val="es-CO"/>
        </w:rPr>
        <w:tab/>
        <w:t xml:space="preserve">        </w:t>
      </w:r>
      <w:r w:rsidR="00B533D4">
        <w:rPr>
          <w:rFonts w:ascii="Cambria" w:hAnsi="Cambria" w:cs="Arial"/>
          <w:snapToGrid w:val="0"/>
          <w:lang w:val="es-CO"/>
        </w:rPr>
        <w:t xml:space="preserve">  </w:t>
      </w:r>
      <w:r w:rsidR="005607D4">
        <w:rPr>
          <w:rFonts w:ascii="Cambria" w:hAnsi="Cambria" w:cs="Arial"/>
          <w:snapToGrid w:val="0"/>
          <w:lang w:val="es-CO"/>
        </w:rPr>
        <w:t>Secretaria Ejecutiva Adjunta</w:t>
      </w:r>
    </w:p>
    <w:p w14:paraId="0FB1C435" w14:textId="77777777" w:rsidR="00985D82" w:rsidRPr="00443D0E" w:rsidRDefault="00985D82" w:rsidP="008E2D07">
      <w:pPr>
        <w:tabs>
          <w:tab w:val="left" w:pos="810"/>
        </w:tabs>
        <w:suppressAutoHyphens/>
        <w:spacing w:after="0" w:line="240" w:lineRule="auto"/>
        <w:jc w:val="both"/>
        <w:rPr>
          <w:rFonts w:ascii="Cambria" w:hAnsi="Cambria"/>
          <w:lang w:val="es-CO"/>
        </w:rPr>
      </w:pPr>
    </w:p>
    <w:p w14:paraId="31C0E086" w14:textId="77777777" w:rsidR="00985D82" w:rsidRPr="00443D0E" w:rsidRDefault="00985D82" w:rsidP="008E2D07">
      <w:pPr>
        <w:tabs>
          <w:tab w:val="left" w:pos="810"/>
        </w:tabs>
        <w:spacing w:after="0" w:line="240" w:lineRule="auto"/>
        <w:rPr>
          <w:rFonts w:ascii="Cambria" w:hAnsi="Cambria"/>
          <w:lang w:val="es-CO"/>
        </w:rPr>
      </w:pPr>
      <w:bookmarkStart w:id="1" w:name="_GoBack"/>
      <w:bookmarkEnd w:id="1"/>
    </w:p>
    <w:p w14:paraId="6D60CB53" w14:textId="7BDAD854" w:rsidR="00985D82" w:rsidRPr="00653282" w:rsidRDefault="00EE5A47" w:rsidP="00653282">
      <w:pPr>
        <w:tabs>
          <w:tab w:val="left" w:pos="810"/>
        </w:tabs>
        <w:suppressAutoHyphens/>
        <w:spacing w:after="0" w:line="240" w:lineRule="auto"/>
        <w:jc w:val="both"/>
        <w:rPr>
          <w:rFonts w:ascii="Cambria" w:hAnsi="Cambria" w:cs="TmsRmn"/>
          <w:color w:val="000000"/>
          <w:lang w:val="es-EC"/>
        </w:rPr>
      </w:pPr>
      <w:r w:rsidRPr="00443D0E">
        <w:rPr>
          <w:rFonts w:ascii="Cambria" w:hAnsi="Cambria"/>
          <w:lang w:val="es-CO"/>
        </w:rPr>
        <w:t>Anexo</w:t>
      </w:r>
      <w:r w:rsidR="00653282">
        <w:rPr>
          <w:rFonts w:ascii="Cambria" w:hAnsi="Cambria"/>
          <w:lang w:val="es-CO"/>
        </w:rPr>
        <w:t>s</w:t>
      </w:r>
    </w:p>
    <w:p w14:paraId="4081E9C0" w14:textId="77777777" w:rsidR="005D7108" w:rsidRPr="00443D0E" w:rsidRDefault="005D7108" w:rsidP="008E2D07">
      <w:pPr>
        <w:spacing w:after="0"/>
        <w:rPr>
          <w:rFonts w:ascii="Cambria" w:hAnsi="Cambria"/>
        </w:rPr>
      </w:pPr>
    </w:p>
    <w:sectPr w:rsidR="005D7108" w:rsidRPr="00443D0E" w:rsidSect="005D710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DC275" w14:textId="77777777" w:rsidR="00E1402E" w:rsidRDefault="00E1402E" w:rsidP="005475CB">
      <w:pPr>
        <w:spacing w:after="0" w:line="240" w:lineRule="auto"/>
      </w:pPr>
      <w:r>
        <w:separator/>
      </w:r>
    </w:p>
  </w:endnote>
  <w:endnote w:type="continuationSeparator" w:id="0">
    <w:p w14:paraId="23FA5EB3" w14:textId="77777777" w:rsidR="00E1402E" w:rsidRDefault="00E1402E" w:rsidP="005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C04F" w14:textId="77777777" w:rsidR="005D7108" w:rsidRPr="00A72869" w:rsidRDefault="005D7108">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0F1483">
      <w:rPr>
        <w:noProof/>
        <w:color w:val="7F7F7F"/>
        <w:sz w:val="16"/>
      </w:rPr>
      <w:t>3</w:t>
    </w:r>
    <w:r w:rsidRPr="00A72869">
      <w:rPr>
        <w:noProof/>
        <w:color w:val="7F7F7F"/>
        <w:sz w:val="16"/>
      </w:rPr>
      <w:fldChar w:fldCharType="end"/>
    </w:r>
  </w:p>
  <w:p w14:paraId="40B058DC" w14:textId="77777777" w:rsidR="005D7108" w:rsidRDefault="005D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2F4EA" w14:textId="77777777" w:rsidR="005D7108" w:rsidRDefault="00E1402E" w:rsidP="005D7108">
    <w:pPr>
      <w:pStyle w:val="Footer"/>
      <w:spacing w:line="360" w:lineRule="auto"/>
    </w:pPr>
    <w:r>
      <w:pict w14:anchorId="7A6AB248">
        <v:rect id="_x0000_i1027" style="width:0;height:1.5pt" o:hralign="center" o:hrstd="t" o:hr="t" fillcolor="#a0a0a0" stroked="f"/>
      </w:pict>
    </w:r>
  </w:p>
  <w:p w14:paraId="52CA8B19" w14:textId="77777777" w:rsidR="005D7108" w:rsidRDefault="005D7108" w:rsidP="005D7108">
    <w:pPr>
      <w:pStyle w:val="Footer"/>
      <w:jc w:val="center"/>
    </w:pPr>
    <w:r w:rsidRPr="008A5CB5">
      <w:rPr>
        <w:noProof/>
        <w:lang w:val="es-UY" w:eastAsia="es-UY"/>
      </w:rPr>
      <w:drawing>
        <wp:inline distT="0" distB="0" distL="0" distR="0" wp14:anchorId="6A465C28" wp14:editId="284A48DE">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B1707" w14:textId="77777777" w:rsidR="00E1402E" w:rsidRDefault="00E1402E" w:rsidP="005475CB">
      <w:pPr>
        <w:spacing w:after="0" w:line="240" w:lineRule="auto"/>
      </w:pPr>
      <w:r>
        <w:separator/>
      </w:r>
    </w:p>
  </w:footnote>
  <w:footnote w:type="continuationSeparator" w:id="0">
    <w:p w14:paraId="1031ECAC" w14:textId="77777777" w:rsidR="00E1402E" w:rsidRDefault="00E1402E" w:rsidP="0054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67BD" w14:textId="77777777" w:rsidR="005D7108" w:rsidRPr="0058688A" w:rsidRDefault="005D7108" w:rsidP="005D7108">
    <w:pPr>
      <w:pStyle w:val="Header"/>
      <w:jc w:val="center"/>
      <w:rPr>
        <w:lang w:val="es-ES_tradnl"/>
      </w:rPr>
    </w:pPr>
    <w:r>
      <w:rPr>
        <w:noProof/>
        <w:lang w:val="es-UY" w:eastAsia="es-UY"/>
      </w:rPr>
      <w:drawing>
        <wp:inline distT="0" distB="0" distL="0" distR="0" wp14:anchorId="77AEE3B2" wp14:editId="0B622C69">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3222AC1B" w14:textId="77777777" w:rsidR="005D7108" w:rsidRDefault="00E1402E">
    <w:pPr>
      <w:pStyle w:val="Header"/>
    </w:pPr>
    <w:r>
      <w:pict w14:anchorId="504E7EA7">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E15C6" w14:textId="77777777" w:rsidR="005D7108" w:rsidRDefault="005D7108" w:rsidP="005D7108">
    <w:pPr>
      <w:pStyle w:val="Header"/>
    </w:pPr>
    <w:r w:rsidRPr="008A5CB5">
      <w:rPr>
        <w:noProof/>
        <w:lang w:val="es-UY" w:eastAsia="es-UY"/>
      </w:rPr>
      <w:drawing>
        <wp:inline distT="0" distB="0" distL="0" distR="0" wp14:anchorId="6E5DA395" wp14:editId="19597FF2">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198E2149" wp14:editId="7C9FB419">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19163E39" w14:textId="77777777" w:rsidR="005D7108" w:rsidRDefault="005D7108" w:rsidP="005D7108">
    <w:pPr>
      <w:pStyle w:val="Header"/>
    </w:pPr>
  </w:p>
  <w:p w14:paraId="055DDCC3" w14:textId="77777777" w:rsidR="005D7108" w:rsidRDefault="00E1402E" w:rsidP="005D7108">
    <w:pPr>
      <w:pStyle w:val="Header"/>
    </w:pPr>
    <w:r>
      <w:pict w14:anchorId="15CD2755">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0E2"/>
    <w:multiLevelType w:val="hybridMultilevel"/>
    <w:tmpl w:val="23F4BFF8"/>
    <w:lvl w:ilvl="0" w:tplc="E0607968">
      <w:start w:val="1"/>
      <w:numFmt w:val="decimal"/>
      <w:lvlText w:val="%1."/>
      <w:lvlJc w:val="left"/>
      <w:pPr>
        <w:tabs>
          <w:tab w:val="num" w:pos="900"/>
        </w:tabs>
        <w:ind w:left="900" w:hanging="360"/>
      </w:pPr>
      <w:rPr>
        <w:rFonts w:ascii="Cambria" w:hAnsi="Cambria" w:hint="default"/>
        <w:b w:val="0"/>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823A65B8">
      <w:start w:val="1"/>
      <w:numFmt w:val="decimal"/>
      <w:lvlText w:val="%4."/>
      <w:lvlJc w:val="left"/>
      <w:pPr>
        <w:tabs>
          <w:tab w:val="num" w:pos="3600"/>
        </w:tabs>
        <w:ind w:left="3600" w:hanging="360"/>
      </w:pPr>
      <w:rPr>
        <w:rFonts w:ascii="Cambria" w:hAnsi="Cambria" w:hint="default"/>
        <w:b/>
        <w:i w:val="0"/>
        <w:sz w:val="20"/>
        <w:szCs w:val="20"/>
      </w:rPr>
    </w:lvl>
    <w:lvl w:ilvl="4" w:tplc="508EF038">
      <w:start w:val="1"/>
      <w:numFmt w:val="lowerLetter"/>
      <w:lvlText w:val="%5)"/>
      <w:lvlJc w:val="left"/>
      <w:pPr>
        <w:tabs>
          <w:tab w:val="num" w:pos="4680"/>
        </w:tabs>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9050020"/>
    <w:multiLevelType w:val="hybridMultilevel"/>
    <w:tmpl w:val="1B3290F6"/>
    <w:lvl w:ilvl="0" w:tplc="9E98C24A">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976A6A1E">
      <w:start w:val="1"/>
      <w:numFmt w:val="decimal"/>
      <w:lvlText w:val="%4."/>
      <w:lvlJc w:val="left"/>
      <w:pPr>
        <w:tabs>
          <w:tab w:val="num" w:pos="2880"/>
        </w:tabs>
        <w:ind w:left="2880" w:hanging="360"/>
      </w:pPr>
      <w:rPr>
        <w:rFonts w:ascii="Cambria" w:hAnsi="Cambria"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BA7DE2"/>
    <w:multiLevelType w:val="hybridMultilevel"/>
    <w:tmpl w:val="5C886AE8"/>
    <w:lvl w:ilvl="0" w:tplc="B2804606">
      <w:start w:val="1"/>
      <w:numFmt w:val="decimal"/>
      <w:lvlText w:val="%1."/>
      <w:lvlJc w:val="left"/>
      <w:pPr>
        <w:tabs>
          <w:tab w:val="num" w:pos="1260"/>
        </w:tabs>
        <w:ind w:left="1260" w:hanging="360"/>
      </w:pPr>
      <w:rPr>
        <w:rFonts w:ascii="Cambria" w:hAnsi="Cambria"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370217"/>
    <w:multiLevelType w:val="hybridMultilevel"/>
    <w:tmpl w:val="D2C08B0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43F13EE8"/>
    <w:multiLevelType w:val="hybridMultilevel"/>
    <w:tmpl w:val="78BC45F8"/>
    <w:lvl w:ilvl="0" w:tplc="73E4764C">
      <w:start w:val="1"/>
      <w:numFmt w:val="upperLetter"/>
      <w:lvlText w:val="%1."/>
      <w:lvlJc w:val="left"/>
      <w:pPr>
        <w:tabs>
          <w:tab w:val="num" w:pos="1440"/>
        </w:tabs>
        <w:ind w:left="1440" w:hanging="720"/>
      </w:pPr>
      <w:rPr>
        <w:rFonts w:hint="default"/>
      </w:rPr>
    </w:lvl>
    <w:lvl w:ilvl="1" w:tplc="04090003">
      <w:start w:val="1"/>
      <w:numFmt w:val="decimal"/>
      <w:lvlText w:val="%2."/>
      <w:lvlJc w:val="left"/>
      <w:pPr>
        <w:tabs>
          <w:tab w:val="num" w:pos="1860"/>
        </w:tabs>
        <w:ind w:left="1860" w:hanging="420"/>
      </w:pPr>
      <w:rPr>
        <w:rFonts w:hint="default"/>
      </w:rPr>
    </w:lvl>
    <w:lvl w:ilvl="2" w:tplc="04090005">
      <w:start w:val="2"/>
      <w:numFmt w:val="lowerLetter"/>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82"/>
    <w:rsid w:val="00000E36"/>
    <w:rsid w:val="000024BD"/>
    <w:rsid w:val="0001571B"/>
    <w:rsid w:val="00037122"/>
    <w:rsid w:val="00063390"/>
    <w:rsid w:val="0007703C"/>
    <w:rsid w:val="000A3151"/>
    <w:rsid w:val="000B3311"/>
    <w:rsid w:val="000B3A99"/>
    <w:rsid w:val="000B6202"/>
    <w:rsid w:val="000E0A18"/>
    <w:rsid w:val="000F1483"/>
    <w:rsid w:val="001428AE"/>
    <w:rsid w:val="0015351C"/>
    <w:rsid w:val="001E0631"/>
    <w:rsid w:val="00231DF7"/>
    <w:rsid w:val="002568D6"/>
    <w:rsid w:val="0026239F"/>
    <w:rsid w:val="002632E4"/>
    <w:rsid w:val="00265410"/>
    <w:rsid w:val="00267984"/>
    <w:rsid w:val="002972D0"/>
    <w:rsid w:val="002C0215"/>
    <w:rsid w:val="003029FE"/>
    <w:rsid w:val="00311B9E"/>
    <w:rsid w:val="00312233"/>
    <w:rsid w:val="00323301"/>
    <w:rsid w:val="00382EF8"/>
    <w:rsid w:val="003F7922"/>
    <w:rsid w:val="00417D68"/>
    <w:rsid w:val="00431DEE"/>
    <w:rsid w:val="00443BCD"/>
    <w:rsid w:val="00443D0E"/>
    <w:rsid w:val="00455C9F"/>
    <w:rsid w:val="00492876"/>
    <w:rsid w:val="00525D7A"/>
    <w:rsid w:val="005475CB"/>
    <w:rsid w:val="005537B0"/>
    <w:rsid w:val="0055399C"/>
    <w:rsid w:val="005607D4"/>
    <w:rsid w:val="005C2B51"/>
    <w:rsid w:val="005D7108"/>
    <w:rsid w:val="006065E7"/>
    <w:rsid w:val="0062017A"/>
    <w:rsid w:val="00640E07"/>
    <w:rsid w:val="00653282"/>
    <w:rsid w:val="00682C23"/>
    <w:rsid w:val="006B316B"/>
    <w:rsid w:val="006E20DE"/>
    <w:rsid w:val="006F2A21"/>
    <w:rsid w:val="00745D91"/>
    <w:rsid w:val="00753572"/>
    <w:rsid w:val="007859DD"/>
    <w:rsid w:val="0079663A"/>
    <w:rsid w:val="007C37F1"/>
    <w:rsid w:val="007E6679"/>
    <w:rsid w:val="008334EB"/>
    <w:rsid w:val="008636B2"/>
    <w:rsid w:val="0087429A"/>
    <w:rsid w:val="00887692"/>
    <w:rsid w:val="008A07D9"/>
    <w:rsid w:val="008E2D07"/>
    <w:rsid w:val="0090387B"/>
    <w:rsid w:val="00935653"/>
    <w:rsid w:val="009557A4"/>
    <w:rsid w:val="00971574"/>
    <w:rsid w:val="00977437"/>
    <w:rsid w:val="00985D82"/>
    <w:rsid w:val="00997F2C"/>
    <w:rsid w:val="009A659F"/>
    <w:rsid w:val="009F0CF6"/>
    <w:rsid w:val="00A27C5C"/>
    <w:rsid w:val="00A413B9"/>
    <w:rsid w:val="00A52F27"/>
    <w:rsid w:val="00A64D1B"/>
    <w:rsid w:val="00A708AC"/>
    <w:rsid w:val="00A91AEC"/>
    <w:rsid w:val="00A91B2E"/>
    <w:rsid w:val="00A9314C"/>
    <w:rsid w:val="00B17B1E"/>
    <w:rsid w:val="00B44B5B"/>
    <w:rsid w:val="00B467A0"/>
    <w:rsid w:val="00B51435"/>
    <w:rsid w:val="00B533D4"/>
    <w:rsid w:val="00B53DD2"/>
    <w:rsid w:val="00B61325"/>
    <w:rsid w:val="00B75776"/>
    <w:rsid w:val="00B77227"/>
    <w:rsid w:val="00BD41A9"/>
    <w:rsid w:val="00BE3B02"/>
    <w:rsid w:val="00BF01C3"/>
    <w:rsid w:val="00BF2C2A"/>
    <w:rsid w:val="00C00F7B"/>
    <w:rsid w:val="00C11485"/>
    <w:rsid w:val="00C15AB0"/>
    <w:rsid w:val="00C3270B"/>
    <w:rsid w:val="00C719DA"/>
    <w:rsid w:val="00CA0C12"/>
    <w:rsid w:val="00CA23D7"/>
    <w:rsid w:val="00CD037E"/>
    <w:rsid w:val="00D01EAE"/>
    <w:rsid w:val="00D20CD3"/>
    <w:rsid w:val="00D44CB0"/>
    <w:rsid w:val="00D76F14"/>
    <w:rsid w:val="00D97D98"/>
    <w:rsid w:val="00DB5ADF"/>
    <w:rsid w:val="00DB6569"/>
    <w:rsid w:val="00DC6E7A"/>
    <w:rsid w:val="00DE7301"/>
    <w:rsid w:val="00E02CAA"/>
    <w:rsid w:val="00E1402E"/>
    <w:rsid w:val="00E233F9"/>
    <w:rsid w:val="00E55000"/>
    <w:rsid w:val="00E6783F"/>
    <w:rsid w:val="00E955A3"/>
    <w:rsid w:val="00E9706C"/>
    <w:rsid w:val="00EB74E6"/>
    <w:rsid w:val="00EE5A47"/>
    <w:rsid w:val="00F42CD6"/>
    <w:rsid w:val="00F543E1"/>
    <w:rsid w:val="00FA36CF"/>
    <w:rsid w:val="00FB4822"/>
    <w:rsid w:val="00FB598A"/>
    <w:rsid w:val="00FD2407"/>
    <w:rsid w:val="00FF0C77"/>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2FE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Colorful List - Accent 1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Colorful List - Accent 1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C1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85"/>
    <w:rPr>
      <w:rFonts w:ascii="Tahoma" w:eastAsia="Calibri" w:hAnsi="Tahoma" w:cs="Tahoma"/>
      <w:sz w:val="16"/>
      <w:szCs w:val="16"/>
    </w:rPr>
  </w:style>
  <w:style w:type="character" w:styleId="Hyperlink">
    <w:name w:val="Hyperlink"/>
    <w:basedOn w:val="DefaultParagraphFont"/>
    <w:uiPriority w:val="99"/>
    <w:unhideWhenUsed/>
    <w:rsid w:val="0062017A"/>
    <w:rPr>
      <w:color w:val="0563C1" w:themeColor="hyperlink"/>
      <w:u w:val="single"/>
    </w:rPr>
  </w:style>
  <w:style w:type="paragraph" w:styleId="BodyText3">
    <w:name w:val="Body Text 3"/>
    <w:basedOn w:val="Normal"/>
    <w:link w:val="BodyText3Char"/>
    <w:uiPriority w:val="99"/>
    <w:unhideWhenUsed/>
    <w:rsid w:val="00A413B9"/>
    <w:pPr>
      <w:pBdr>
        <w:top w:val="nil"/>
        <w:left w:val="nil"/>
        <w:bottom w:val="nil"/>
        <w:right w:val="nil"/>
        <w:between w:val="nil"/>
        <w:bar w:val="nil"/>
      </w:pBdr>
      <w:spacing w:after="120" w:line="240" w:lineRule="auto"/>
    </w:pPr>
    <w:rPr>
      <w:rFonts w:ascii="Times New Roman" w:eastAsia="Arial Unicode MS" w:hAnsi="Times New Roman"/>
      <w:sz w:val="16"/>
      <w:szCs w:val="16"/>
      <w:bdr w:val="nil"/>
    </w:rPr>
  </w:style>
  <w:style w:type="character" w:customStyle="1" w:styleId="BodyText3Char">
    <w:name w:val="Body Text 3 Char"/>
    <w:basedOn w:val="DefaultParagraphFont"/>
    <w:link w:val="BodyText3"/>
    <w:uiPriority w:val="99"/>
    <w:rsid w:val="00A413B9"/>
    <w:rPr>
      <w:rFonts w:ascii="Times New Roman" w:eastAsia="Arial Unicode MS" w:hAnsi="Times New Roman" w:cs="Times New Roman"/>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Colorful List - Accent 1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Colorful List - Accent 1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C1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85"/>
    <w:rPr>
      <w:rFonts w:ascii="Tahoma" w:eastAsia="Calibri" w:hAnsi="Tahoma" w:cs="Tahoma"/>
      <w:sz w:val="16"/>
      <w:szCs w:val="16"/>
    </w:rPr>
  </w:style>
  <w:style w:type="character" w:styleId="Hyperlink">
    <w:name w:val="Hyperlink"/>
    <w:basedOn w:val="DefaultParagraphFont"/>
    <w:uiPriority w:val="99"/>
    <w:unhideWhenUsed/>
    <w:rsid w:val="0062017A"/>
    <w:rPr>
      <w:color w:val="0563C1" w:themeColor="hyperlink"/>
      <w:u w:val="single"/>
    </w:rPr>
  </w:style>
  <w:style w:type="paragraph" w:styleId="BodyText3">
    <w:name w:val="Body Text 3"/>
    <w:basedOn w:val="Normal"/>
    <w:link w:val="BodyText3Char"/>
    <w:uiPriority w:val="99"/>
    <w:unhideWhenUsed/>
    <w:rsid w:val="00A413B9"/>
    <w:pPr>
      <w:pBdr>
        <w:top w:val="nil"/>
        <w:left w:val="nil"/>
        <w:bottom w:val="nil"/>
        <w:right w:val="nil"/>
        <w:between w:val="nil"/>
        <w:bar w:val="nil"/>
      </w:pBdr>
      <w:spacing w:after="120" w:line="240" w:lineRule="auto"/>
    </w:pPr>
    <w:rPr>
      <w:rFonts w:ascii="Times New Roman" w:eastAsia="Arial Unicode MS" w:hAnsi="Times New Roman"/>
      <w:sz w:val="16"/>
      <w:szCs w:val="16"/>
      <w:bdr w:val="nil"/>
    </w:rPr>
  </w:style>
  <w:style w:type="character" w:customStyle="1" w:styleId="BodyText3Char">
    <w:name w:val="Body Text 3 Char"/>
    <w:basedOn w:val="DefaultParagraphFont"/>
    <w:link w:val="BodyText3"/>
    <w:uiPriority w:val="99"/>
    <w:rsid w:val="00A413B9"/>
    <w:rPr>
      <w:rFonts w:ascii="Times New Roman" w:eastAsia="Arial Unicode MS" w:hAnsi="Times New Roman" w:cs="Times New Roman"/>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1370</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65</cp:revision>
  <cp:lastPrinted>2017-11-17T22:05:00Z</cp:lastPrinted>
  <dcterms:created xsi:type="dcterms:W3CDTF">2016-09-21T21:36:00Z</dcterms:created>
  <dcterms:modified xsi:type="dcterms:W3CDTF">2018-03-09T17:34:00Z</dcterms:modified>
</cp:coreProperties>
</file>