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063B94" w:rsidRDefault="00414E14" w:rsidP="0052162E">
      <w:pPr>
        <w:pStyle w:val="FootnoteText"/>
        <w:rPr>
          <w:rFonts w:ascii="Cambria" w:hAnsi="Cambria" w:cs="Univers"/>
          <w:b/>
          <w:bCs/>
          <w:sz w:val="22"/>
          <w:szCs w:val="22"/>
          <w:lang w:val="es-ES_tradnl"/>
        </w:rPr>
      </w:pPr>
      <w:r>
        <w:rPr>
          <w:noProof/>
          <w:lang w:val="es-ES_tradnl"/>
        </w:rPr>
        <w:pict>
          <v:rect id="Rectangle 1" o:spid="_x0000_s1033" style="position:absolute;margin-left:-32.7pt;margin-top:-34.55pt;width:121.5pt;height:716.25pt;z-index:25165363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" fillcolor="#4a7194" stroked="f" strokeweight="2pt"/>
        </w:pict>
      </w:r>
      <w:r>
        <w:rPr>
          <w:noProof/>
          <w:lang w:val="es-ES_tradnl"/>
        </w:rPr>
        <w:pict>
          <v:shapetype id="_x0000_t202" coordsize="21600,21600" o:spt="202" path="m,l,21600r21600,l21600,xe">
            <v:stroke joinstyle="miter"/>
            <v:path gradientshapeok="t" o:connecttype="rect"/>
          </v:shapetype>
          <v:shape id="Text Box 11" o:spid="_x0000_s1032" type="#_x0000_t202" style="position:absolute;margin-left:100.95pt;margin-top:-33.35pt;width:413.25pt;height:71.05pt;z-index:2516577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" filled="f" stroked="f" strokeweight=".5pt">
            <v:textbox>
              <w:txbxContent>
                <w:p w:rsidR="00054F34" w:rsidRDefault="00414E14" w:rsidP="00AE548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6" type="#_x0000_t75" alt="Description: C:\Users\mfontana\Documents\Eva Fontana\GRAFICA CIDH\cartas\logos\cidh-es.jpg" style="width:208.5pt;height:40.3pt;visibility:visible">
                        <v:imagedata r:id="rId9" o:title="cidh-es"/>
                      </v:shape>
                    </w:pict>
                  </w:r>
                  <w:r w:rsidR="00054F34">
                    <w:tab/>
                    <w:t xml:space="preserve">                              </w:t>
                  </w:r>
                </w:p>
              </w:txbxContent>
            </v:textbox>
          </v:shape>
        </w:pict>
      </w:r>
    </w:p>
    <w:p w:rsidR="00040C3A" w:rsidRPr="00063B94" w:rsidRDefault="00040C3A" w:rsidP="00040C3A">
      <w:pPr>
        <w:tabs>
          <w:tab w:val="center" w:pos="5400"/>
        </w:tabs>
        <w:suppressAutoHyphens/>
        <w:jc w:val="both"/>
        <w:rPr>
          <w:rFonts w:ascii="Cambria" w:hAnsi="Cambria"/>
          <w:sz w:val="22"/>
          <w:szCs w:val="22"/>
          <w:lang w:val="es-ES_tradnl"/>
        </w:rPr>
      </w:pPr>
    </w:p>
    <w:p w:rsidR="00040C3A" w:rsidRPr="00063B94" w:rsidRDefault="00040C3A" w:rsidP="00040C3A">
      <w:pPr>
        <w:tabs>
          <w:tab w:val="center" w:pos="5400"/>
        </w:tabs>
        <w:suppressAutoHyphens/>
        <w:jc w:val="both"/>
        <w:rPr>
          <w:rFonts w:ascii="Cambria" w:hAnsi="Cambria"/>
          <w:sz w:val="22"/>
          <w:szCs w:val="22"/>
          <w:lang w:val="es-ES_tradnl"/>
        </w:rPr>
      </w:pPr>
    </w:p>
    <w:p w:rsidR="005128E4" w:rsidRPr="00063B94" w:rsidRDefault="005128E4" w:rsidP="00040C3A">
      <w:pPr>
        <w:tabs>
          <w:tab w:val="center" w:pos="5400"/>
        </w:tabs>
        <w:suppressAutoHyphens/>
        <w:rPr>
          <w:rFonts w:ascii="Cambria" w:hAnsi="Cambria"/>
          <w:sz w:val="22"/>
          <w:szCs w:val="22"/>
          <w:lang w:val="es-ES_tradnl"/>
        </w:rPr>
      </w:pPr>
    </w:p>
    <w:p w:rsidR="005128E4" w:rsidRPr="00063B94" w:rsidRDefault="005128E4" w:rsidP="00040C3A">
      <w:pPr>
        <w:tabs>
          <w:tab w:val="center" w:pos="5400"/>
        </w:tabs>
        <w:suppressAutoHyphens/>
        <w:rPr>
          <w:rFonts w:ascii="Cambria" w:hAnsi="Cambria"/>
          <w:sz w:val="22"/>
          <w:szCs w:val="22"/>
          <w:lang w:val="es-ES_tradnl"/>
        </w:rPr>
      </w:pPr>
    </w:p>
    <w:p w:rsidR="005128E4" w:rsidRPr="00063B94" w:rsidRDefault="005128E4" w:rsidP="00040C3A">
      <w:pPr>
        <w:tabs>
          <w:tab w:val="center" w:pos="5400"/>
        </w:tabs>
        <w:suppressAutoHyphens/>
        <w:rPr>
          <w:rFonts w:ascii="Cambria" w:hAnsi="Cambria"/>
          <w:sz w:val="22"/>
          <w:szCs w:val="22"/>
          <w:lang w:val="es-ES_tradnl"/>
        </w:rPr>
      </w:pPr>
    </w:p>
    <w:p w:rsidR="00040C3A" w:rsidRPr="00063B94" w:rsidRDefault="00040C3A" w:rsidP="005128E4">
      <w:pPr>
        <w:tabs>
          <w:tab w:val="center" w:pos="5400"/>
        </w:tabs>
        <w:suppressAutoHyphens/>
        <w:jc w:val="center"/>
        <w:rPr>
          <w:rFonts w:ascii="Cambria" w:hAnsi="Cambria"/>
          <w:sz w:val="22"/>
          <w:szCs w:val="22"/>
          <w:lang w:val="es-ES_tradnl"/>
        </w:rPr>
      </w:pPr>
    </w:p>
    <w:p w:rsidR="00040C3A" w:rsidRPr="00063B94" w:rsidRDefault="00040C3A" w:rsidP="005128E4">
      <w:pPr>
        <w:tabs>
          <w:tab w:val="center" w:pos="5400"/>
        </w:tabs>
        <w:suppressAutoHyphens/>
        <w:jc w:val="center"/>
        <w:rPr>
          <w:rFonts w:ascii="Cambria" w:hAnsi="Cambria"/>
          <w:sz w:val="22"/>
          <w:szCs w:val="22"/>
          <w:lang w:val="es-ES_tradnl"/>
        </w:rPr>
      </w:pPr>
    </w:p>
    <w:p w:rsidR="005B52B0" w:rsidRPr="00063B94" w:rsidRDefault="005B52B0" w:rsidP="005128E4">
      <w:pPr>
        <w:tabs>
          <w:tab w:val="center" w:pos="5400"/>
        </w:tabs>
        <w:suppressAutoHyphens/>
        <w:jc w:val="center"/>
        <w:rPr>
          <w:rFonts w:ascii="Cambria" w:hAnsi="Cambria"/>
          <w:sz w:val="22"/>
          <w:szCs w:val="22"/>
          <w:lang w:val="es-ES_tradnl"/>
        </w:rPr>
      </w:pPr>
    </w:p>
    <w:p w:rsidR="005B52B0" w:rsidRPr="00063B94" w:rsidRDefault="005B52B0" w:rsidP="005128E4">
      <w:pPr>
        <w:tabs>
          <w:tab w:val="center" w:pos="5400"/>
        </w:tabs>
        <w:suppressAutoHyphens/>
        <w:jc w:val="center"/>
        <w:rPr>
          <w:rFonts w:ascii="Cambria" w:hAnsi="Cambria"/>
          <w:sz w:val="22"/>
          <w:szCs w:val="22"/>
          <w:lang w:val="es-ES_tradnl"/>
        </w:rPr>
      </w:pPr>
    </w:p>
    <w:p w:rsidR="005B52B0" w:rsidRPr="00063B94" w:rsidRDefault="005B52B0" w:rsidP="005128E4">
      <w:pPr>
        <w:tabs>
          <w:tab w:val="center" w:pos="5400"/>
        </w:tabs>
        <w:suppressAutoHyphens/>
        <w:jc w:val="center"/>
        <w:rPr>
          <w:rFonts w:ascii="Cambria" w:hAnsi="Cambria"/>
          <w:sz w:val="22"/>
          <w:szCs w:val="22"/>
          <w:lang w:val="es-ES_tradnl"/>
        </w:rPr>
      </w:pPr>
    </w:p>
    <w:p w:rsidR="00040C3A" w:rsidRPr="00063B94" w:rsidRDefault="00040C3A" w:rsidP="00040C3A">
      <w:pPr>
        <w:tabs>
          <w:tab w:val="center" w:pos="5400"/>
        </w:tabs>
        <w:suppressAutoHyphens/>
        <w:jc w:val="center"/>
        <w:rPr>
          <w:rFonts w:ascii="Cambria" w:hAnsi="Cambria"/>
          <w:sz w:val="22"/>
          <w:szCs w:val="22"/>
          <w:lang w:val="es-ES_tradnl"/>
        </w:rPr>
      </w:pPr>
    </w:p>
    <w:p w:rsidR="00040C3A" w:rsidRPr="00063B94" w:rsidRDefault="00040C3A" w:rsidP="00040C3A">
      <w:pPr>
        <w:tabs>
          <w:tab w:val="center" w:pos="5400"/>
        </w:tabs>
        <w:suppressAutoHyphens/>
        <w:jc w:val="center"/>
        <w:rPr>
          <w:rFonts w:ascii="Cambria" w:hAnsi="Cambria"/>
          <w:sz w:val="22"/>
          <w:szCs w:val="22"/>
          <w:lang w:val="es-ES_tradnl"/>
        </w:rPr>
      </w:pPr>
    </w:p>
    <w:p w:rsidR="00040C3A" w:rsidRPr="00063B94" w:rsidRDefault="00414E14" w:rsidP="00040C3A">
      <w:pPr>
        <w:tabs>
          <w:tab w:val="center" w:pos="5400"/>
        </w:tabs>
        <w:suppressAutoHyphens/>
        <w:jc w:val="center"/>
        <w:rPr>
          <w:rFonts w:ascii="Cambria" w:hAnsi="Cambria"/>
          <w:sz w:val="22"/>
          <w:szCs w:val="22"/>
          <w:lang w:val="es-ES_tradnl"/>
        </w:rPr>
      </w:pPr>
      <w:r>
        <w:rPr>
          <w:noProof/>
          <w:lang w:val="es-ES_tradnl"/>
        </w:rPr>
        <w:pict>
          <v:shape id="Text Box 5" o:spid="_x0000_s1031" type="#_x0000_t202" style="position:absolute;left:0;text-align:left;margin-left:106.5pt;margin-top:8.45pt;width:349.7pt;height:171.75pt;z-index:2516546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" filled="f" stroked="f" strokeweight=".5pt">
            <v:textbox>
              <w:txbxContent>
                <w:p w:rsidR="00054F34" w:rsidRPr="00673E50" w:rsidRDefault="00054F34" w:rsidP="00997BC5">
                  <w:pPr>
                    <w:spacing w:line="276" w:lineRule="auto"/>
                    <w:rPr>
                      <w:rFonts w:ascii="Cambria" w:hAnsi="Cambria" w:cs="Arial"/>
                      <w:b/>
                      <w:bCs/>
                      <w:color w:val="0D0D0D"/>
                      <w:sz w:val="36"/>
                      <w:szCs w:val="22"/>
                      <w:lang w:val="es-ES"/>
                    </w:rPr>
                  </w:pPr>
                  <w:r w:rsidRPr="00673E50">
                    <w:rPr>
                      <w:rFonts w:ascii="Cambria" w:hAnsi="Cambria" w:cs="Arial"/>
                      <w:b/>
                      <w:bCs/>
                      <w:color w:val="0D0D0D"/>
                      <w:sz w:val="36"/>
                      <w:szCs w:val="22"/>
                      <w:lang w:val="es-ES"/>
                    </w:rPr>
                    <w:t xml:space="preserve">INFORME </w:t>
                  </w:r>
                  <w:r w:rsidRPr="00673E50">
                    <w:rPr>
                      <w:rFonts w:ascii="Cambria" w:hAnsi="Cambria" w:cs="Arial"/>
                      <w:b/>
                      <w:bCs/>
                      <w:color w:val="0D0D0D"/>
                      <w:sz w:val="36"/>
                      <w:szCs w:val="40"/>
                      <w:lang w:val="es-ES"/>
                    </w:rPr>
                    <w:t>No.</w:t>
                  </w:r>
                  <w:r w:rsidRPr="00673E50">
                    <w:rPr>
                      <w:rFonts w:ascii="Cambria" w:hAnsi="Cambria" w:cs="Arial"/>
                      <w:b/>
                      <w:bCs/>
                      <w:color w:val="0D0D0D"/>
                      <w:sz w:val="36"/>
                      <w:szCs w:val="22"/>
                      <w:lang w:val="es-ES"/>
                    </w:rPr>
                    <w:t xml:space="preserve"> </w:t>
                  </w:r>
                  <w:r>
                    <w:rPr>
                      <w:rFonts w:ascii="Cambria" w:hAnsi="Cambria" w:cs="Arial"/>
                      <w:b/>
                      <w:bCs/>
                      <w:color w:val="0D0D0D"/>
                      <w:sz w:val="36"/>
                      <w:szCs w:val="22"/>
                      <w:lang w:val="es-ES"/>
                    </w:rPr>
                    <w:t>33</w:t>
                  </w:r>
                  <w:r w:rsidRPr="00673E50">
                    <w:rPr>
                      <w:rFonts w:ascii="Cambria" w:hAnsi="Cambria" w:cs="Arial"/>
                      <w:b/>
                      <w:bCs/>
                      <w:color w:val="0D0D0D"/>
                      <w:sz w:val="36"/>
                      <w:szCs w:val="22"/>
                      <w:lang w:val="es-ES"/>
                    </w:rPr>
                    <w:t>/</w:t>
                  </w:r>
                  <w:r>
                    <w:rPr>
                      <w:rFonts w:ascii="Cambria" w:hAnsi="Cambria" w:cs="Arial"/>
                      <w:b/>
                      <w:bCs/>
                      <w:color w:val="0D0D0D"/>
                      <w:sz w:val="36"/>
                      <w:szCs w:val="22"/>
                      <w:lang w:val="es-ES"/>
                    </w:rPr>
                    <w:t>17</w:t>
                  </w:r>
                </w:p>
                <w:p w:rsidR="00054F34" w:rsidRPr="00673E50" w:rsidRDefault="00054F34" w:rsidP="00997BC5">
                  <w:pPr>
                    <w:spacing w:line="276" w:lineRule="auto"/>
                    <w:rPr>
                      <w:rFonts w:ascii="Cambria" w:hAnsi="Cambria" w:cs="Arial"/>
                      <w:b/>
                      <w:color w:val="0D0D0D"/>
                      <w:sz w:val="36"/>
                      <w:szCs w:val="22"/>
                      <w:lang w:val="es-ES"/>
                    </w:rPr>
                  </w:pPr>
                  <w:r w:rsidRPr="00673E50">
                    <w:rPr>
                      <w:rFonts w:ascii="Cambria" w:hAnsi="Cambria" w:cs="Arial"/>
                      <w:b/>
                      <w:color w:val="0D0D0D"/>
                      <w:sz w:val="36"/>
                      <w:szCs w:val="22"/>
                      <w:lang w:val="es-ES"/>
                    </w:rPr>
                    <w:t xml:space="preserve">CASO </w:t>
                  </w:r>
                  <w:r>
                    <w:rPr>
                      <w:rFonts w:ascii="Cambria" w:hAnsi="Cambria" w:cs="Arial"/>
                      <w:b/>
                      <w:color w:val="0D0D0D"/>
                      <w:sz w:val="36"/>
                      <w:szCs w:val="22"/>
                      <w:lang w:val="es-ES"/>
                    </w:rPr>
                    <w:t>11.639</w:t>
                  </w:r>
                </w:p>
                <w:p w:rsidR="00054F34" w:rsidRPr="007372D2" w:rsidRDefault="00054F34" w:rsidP="00161414">
                  <w:pPr>
                    <w:spacing w:line="276" w:lineRule="auto"/>
                    <w:rPr>
                      <w:rFonts w:ascii="Cambria" w:hAnsi="Cambria" w:cs="Arial"/>
                      <w:color w:val="0D0D0D"/>
                      <w:szCs w:val="22"/>
                      <w:lang w:val="es-ES_tradnl"/>
                    </w:rPr>
                  </w:pPr>
                  <w:r w:rsidRPr="007372D2">
                    <w:rPr>
                      <w:rFonts w:ascii="Cambria" w:hAnsi="Cambria" w:cs="Arial"/>
                      <w:color w:val="0D0D0D"/>
                      <w:szCs w:val="22"/>
                      <w:lang w:val="es-ES_tradnl"/>
                    </w:rPr>
                    <w:t>INFORME DE ADMISIBILIDAD Y FONDO</w:t>
                  </w:r>
                </w:p>
                <w:p w:rsidR="00054F34" w:rsidRPr="007372D2" w:rsidRDefault="00054F34" w:rsidP="00997BC5">
                  <w:pPr>
                    <w:spacing w:line="276" w:lineRule="auto"/>
                    <w:rPr>
                      <w:rFonts w:ascii="Cambria" w:hAnsi="Cambria" w:cs="Arial"/>
                      <w:color w:val="0D0D0D"/>
                      <w:szCs w:val="22"/>
                      <w:lang w:val="es-ES_tradnl"/>
                    </w:rPr>
                  </w:pPr>
                  <w:bookmarkStart w:id="0" w:name="_ftnref1"/>
                </w:p>
                <w:p w:rsidR="00054F34" w:rsidRPr="007372D2" w:rsidRDefault="00054F34" w:rsidP="00997BC5">
                  <w:pPr>
                    <w:spacing w:line="276" w:lineRule="auto"/>
                    <w:rPr>
                      <w:rFonts w:ascii="Cambria" w:hAnsi="Cambria" w:cs="Arial"/>
                      <w:color w:val="0D0D0D"/>
                      <w:szCs w:val="22"/>
                      <w:lang w:val="es-ES"/>
                    </w:rPr>
                  </w:pPr>
                  <w:r>
                    <w:rPr>
                      <w:rFonts w:ascii="Cambria" w:hAnsi="Cambria" w:cs="Arial"/>
                      <w:color w:val="0D0D0D"/>
                      <w:szCs w:val="22"/>
                      <w:lang w:val="es-ES_tradnl"/>
                    </w:rPr>
                    <w:t>ALEJANDRO YOVANY GÓMEZ VIRULA Y FAMILIA</w:t>
                  </w:r>
                </w:p>
                <w:bookmarkEnd w:id="0"/>
                <w:p w:rsidR="00054F34" w:rsidRPr="007372D2" w:rsidRDefault="00054F34" w:rsidP="00997BC5">
                  <w:pPr>
                    <w:spacing w:line="276" w:lineRule="auto"/>
                    <w:rPr>
                      <w:rFonts w:ascii="Cambria" w:hAnsi="Cambria" w:cs="Arial"/>
                      <w:color w:val="0D0D0D"/>
                      <w:szCs w:val="22"/>
                      <w:lang w:val="es-ES"/>
                    </w:rPr>
                  </w:pPr>
                  <w:r w:rsidRPr="007372D2">
                    <w:rPr>
                      <w:rFonts w:ascii="Cambria" w:hAnsi="Cambria" w:cs="Arial"/>
                      <w:color w:val="0D0D0D"/>
                      <w:szCs w:val="22"/>
                      <w:lang w:val="es-ES_tradnl"/>
                    </w:rPr>
                    <w:t>GUATEMALA</w:t>
                  </w:r>
                </w:p>
                <w:p w:rsidR="00054F34" w:rsidRPr="007372D2" w:rsidRDefault="00054F34" w:rsidP="007A5817">
                  <w:pPr>
                    <w:rPr>
                      <w:color w:val="0D0D0D"/>
                      <w:lang w:val="es-ES_tradnl"/>
                    </w:rPr>
                  </w:pPr>
                </w:p>
              </w:txbxContent>
            </v:textbox>
          </v:shape>
        </w:pict>
      </w:r>
      <w:r>
        <w:rPr>
          <w:noProof/>
          <w:lang w:val="es-ES_tradnl"/>
        </w:rPr>
        <w:pict>
          <v:shape id="Text Box 8" o:spid="_x0000_s1030" type="#_x0000_t202" style="position:absolute;left:0;text-align:left;margin-left:-26.95pt;margin-top:12.95pt;width:109.5pt;height:108.45pt;z-index:2516567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" filled="f" stroked="f" strokeweight=".5pt">
            <v:textbox>
              <w:txbxContent>
                <w:p w:rsidR="00054F34" w:rsidRPr="00D818FC" w:rsidRDefault="00054F34" w:rsidP="007A5817">
                  <w:pPr>
                    <w:spacing w:line="276" w:lineRule="auto"/>
                    <w:jc w:val="right"/>
                    <w:rPr>
                      <w:rFonts w:ascii="Calibri" w:hAnsi="Calibri"/>
                      <w:color w:val="FFFFFF"/>
                      <w:sz w:val="22"/>
                      <w:lang w:val="pt-BR"/>
                    </w:rPr>
                  </w:pPr>
                  <w:r w:rsidRPr="00D818FC">
                    <w:rPr>
                      <w:rFonts w:ascii="Calibri" w:hAnsi="Calibri"/>
                      <w:color w:val="FFFFFF"/>
                      <w:sz w:val="22"/>
                      <w:lang w:val="pt-BR"/>
                    </w:rPr>
                    <w:t>OEA/Ser.L/V/II.161</w:t>
                  </w:r>
                </w:p>
                <w:p w:rsidR="00054F34" w:rsidRPr="00D818FC" w:rsidRDefault="00054F34" w:rsidP="007A5817">
                  <w:pPr>
                    <w:spacing w:line="276" w:lineRule="auto"/>
                    <w:jc w:val="right"/>
                    <w:rPr>
                      <w:rFonts w:ascii="Calibri" w:hAnsi="Calibri"/>
                      <w:color w:val="FFFFFF"/>
                      <w:sz w:val="22"/>
                      <w:lang w:val="pt-BR"/>
                    </w:rPr>
                  </w:pPr>
                  <w:r w:rsidRPr="00D818FC">
                    <w:rPr>
                      <w:rFonts w:ascii="Calibri" w:hAnsi="Calibri"/>
                      <w:color w:val="FFFFFF"/>
                      <w:sz w:val="22"/>
                      <w:lang w:val="pt-BR"/>
                    </w:rPr>
                    <w:t>Doc. 40</w:t>
                  </w:r>
                </w:p>
                <w:p w:rsidR="00054F34" w:rsidRPr="0052162E" w:rsidRDefault="00054F34" w:rsidP="007A5817">
                  <w:pPr>
                    <w:spacing w:line="276" w:lineRule="auto"/>
                    <w:jc w:val="right"/>
                    <w:rPr>
                      <w:rFonts w:ascii="Calibri" w:hAnsi="Calibri"/>
                      <w:color w:val="FFFFFF"/>
                      <w:sz w:val="22"/>
                      <w:lang w:val="es-ES"/>
                    </w:rPr>
                  </w:pPr>
                  <w:r>
                    <w:rPr>
                      <w:rFonts w:ascii="Calibri" w:hAnsi="Calibri"/>
                      <w:color w:val="FFFFFF"/>
                      <w:sz w:val="22"/>
                      <w:lang w:val="es-ES"/>
                    </w:rPr>
                    <w:t>21</w:t>
                  </w:r>
                  <w:r w:rsidRPr="0052162E">
                    <w:rPr>
                      <w:rFonts w:ascii="Calibri" w:hAnsi="Calibri"/>
                      <w:color w:val="FFFFFF"/>
                      <w:sz w:val="22"/>
                      <w:lang w:val="es-ES"/>
                    </w:rPr>
                    <w:t xml:space="preserve"> de </w:t>
                  </w:r>
                  <w:r>
                    <w:rPr>
                      <w:rFonts w:ascii="Calibri" w:hAnsi="Calibri"/>
                      <w:color w:val="FFFFFF"/>
                      <w:sz w:val="22"/>
                      <w:lang w:val="es-ES"/>
                    </w:rPr>
                    <w:t>marzo</w:t>
                  </w:r>
                  <w:r w:rsidRPr="0052162E">
                    <w:rPr>
                      <w:rFonts w:ascii="Calibri" w:hAnsi="Calibri"/>
                      <w:color w:val="FFFFFF"/>
                      <w:sz w:val="22"/>
                      <w:lang w:val="es-ES"/>
                    </w:rPr>
                    <w:t xml:space="preserve"> de 201</w:t>
                  </w:r>
                  <w:r>
                    <w:rPr>
                      <w:rFonts w:ascii="Calibri" w:hAnsi="Calibri"/>
                      <w:color w:val="FFFFFF"/>
                      <w:sz w:val="22"/>
                      <w:lang w:val="es-ES"/>
                    </w:rPr>
                    <w:t>7</w:t>
                  </w:r>
                </w:p>
                <w:p w:rsidR="00054F34" w:rsidRPr="0052162E" w:rsidRDefault="00054F34" w:rsidP="007A5817">
                  <w:pPr>
                    <w:spacing w:line="276" w:lineRule="auto"/>
                    <w:jc w:val="right"/>
                    <w:rPr>
                      <w:rFonts w:ascii="Calibri" w:hAnsi="Calibri"/>
                      <w:color w:val="FFFFFF"/>
                      <w:sz w:val="22"/>
                      <w:lang w:val="es-ES"/>
                    </w:rPr>
                  </w:pPr>
                  <w:r w:rsidRPr="0052162E">
                    <w:rPr>
                      <w:rFonts w:ascii="Calibri" w:hAnsi="Calibri"/>
                      <w:color w:val="FFFFFF"/>
                      <w:sz w:val="22"/>
                      <w:lang w:val="es-ES"/>
                    </w:rPr>
                    <w:t>Original: español</w:t>
                  </w:r>
                </w:p>
              </w:txbxContent>
            </v:textbox>
          </v:shape>
        </w:pict>
      </w:r>
    </w:p>
    <w:p w:rsidR="00040C3A" w:rsidRPr="00063B94" w:rsidRDefault="00040C3A" w:rsidP="00040C3A">
      <w:pPr>
        <w:tabs>
          <w:tab w:val="center" w:pos="5400"/>
        </w:tabs>
        <w:suppressAutoHyphens/>
        <w:jc w:val="center"/>
        <w:rPr>
          <w:rFonts w:ascii="Cambria" w:hAnsi="Cambria"/>
          <w:sz w:val="22"/>
          <w:szCs w:val="22"/>
          <w:lang w:val="es-ES_tradnl"/>
        </w:rPr>
      </w:pPr>
    </w:p>
    <w:p w:rsidR="00040C3A" w:rsidRPr="00063B94" w:rsidRDefault="00040C3A" w:rsidP="00040C3A">
      <w:pPr>
        <w:tabs>
          <w:tab w:val="center" w:pos="5400"/>
        </w:tabs>
        <w:suppressAutoHyphens/>
        <w:jc w:val="center"/>
        <w:rPr>
          <w:rFonts w:ascii="Cambria" w:hAnsi="Cambria"/>
          <w:sz w:val="22"/>
          <w:szCs w:val="22"/>
          <w:lang w:val="es-ES_tradnl"/>
        </w:rPr>
      </w:pPr>
    </w:p>
    <w:p w:rsidR="00040C3A" w:rsidRPr="00063B94" w:rsidRDefault="00040C3A" w:rsidP="00040C3A">
      <w:pPr>
        <w:tabs>
          <w:tab w:val="center" w:pos="5400"/>
        </w:tabs>
        <w:suppressAutoHyphens/>
        <w:jc w:val="center"/>
        <w:rPr>
          <w:rFonts w:ascii="Cambria" w:hAnsi="Cambria" w:cs="Arial"/>
          <w:sz w:val="22"/>
          <w:szCs w:val="22"/>
          <w:lang w:val="es-ES_tradnl"/>
        </w:rPr>
      </w:pPr>
    </w:p>
    <w:p w:rsidR="00040C3A" w:rsidRPr="00063B94" w:rsidRDefault="00040C3A" w:rsidP="00040C3A">
      <w:pPr>
        <w:tabs>
          <w:tab w:val="center" w:pos="5400"/>
        </w:tabs>
        <w:suppressAutoHyphens/>
        <w:jc w:val="center"/>
        <w:rPr>
          <w:rFonts w:ascii="Cambria" w:hAnsi="Cambria"/>
          <w:sz w:val="22"/>
          <w:szCs w:val="22"/>
          <w:lang w:val="es-ES_tradnl"/>
        </w:rPr>
      </w:pPr>
    </w:p>
    <w:p w:rsidR="00040C3A" w:rsidRPr="00063B94" w:rsidRDefault="00040C3A" w:rsidP="00040C3A">
      <w:pPr>
        <w:tabs>
          <w:tab w:val="center" w:pos="5400"/>
        </w:tabs>
        <w:suppressAutoHyphens/>
        <w:jc w:val="center"/>
        <w:rPr>
          <w:rFonts w:ascii="Cambria" w:hAnsi="Cambria"/>
          <w:sz w:val="22"/>
          <w:szCs w:val="22"/>
          <w:lang w:val="es-ES_tradnl"/>
        </w:rPr>
      </w:pPr>
    </w:p>
    <w:p w:rsidR="00040C3A" w:rsidRPr="00063B94" w:rsidRDefault="00040C3A" w:rsidP="00040C3A">
      <w:pPr>
        <w:tabs>
          <w:tab w:val="center" w:pos="5400"/>
        </w:tabs>
        <w:suppressAutoHyphens/>
        <w:jc w:val="center"/>
        <w:rPr>
          <w:rFonts w:ascii="Cambria" w:hAnsi="Cambria"/>
          <w:sz w:val="22"/>
          <w:szCs w:val="22"/>
          <w:lang w:val="es-ES_tradnl"/>
        </w:rPr>
      </w:pPr>
    </w:p>
    <w:p w:rsidR="00040C3A" w:rsidRPr="00063B94" w:rsidRDefault="00040C3A" w:rsidP="00040C3A">
      <w:pPr>
        <w:tabs>
          <w:tab w:val="center" w:pos="5400"/>
        </w:tabs>
        <w:suppressAutoHyphens/>
        <w:jc w:val="center"/>
        <w:rPr>
          <w:rFonts w:ascii="Cambria" w:hAnsi="Cambria"/>
          <w:sz w:val="22"/>
          <w:szCs w:val="22"/>
          <w:lang w:val="es-ES_tradnl"/>
        </w:rPr>
      </w:pPr>
    </w:p>
    <w:p w:rsidR="005128E4" w:rsidRPr="00063B94" w:rsidRDefault="005128E4" w:rsidP="00040C3A">
      <w:pPr>
        <w:tabs>
          <w:tab w:val="center" w:pos="5400"/>
        </w:tabs>
        <w:suppressAutoHyphens/>
        <w:jc w:val="center"/>
        <w:rPr>
          <w:rFonts w:ascii="Cambria" w:hAnsi="Cambria"/>
          <w:sz w:val="22"/>
          <w:szCs w:val="22"/>
          <w:lang w:val="es-ES_tradnl"/>
        </w:rPr>
      </w:pPr>
    </w:p>
    <w:p w:rsidR="00040C3A" w:rsidRPr="00063B94" w:rsidRDefault="00040C3A" w:rsidP="00040C3A">
      <w:pPr>
        <w:tabs>
          <w:tab w:val="center" w:pos="5400"/>
        </w:tabs>
        <w:suppressAutoHyphens/>
        <w:jc w:val="center"/>
        <w:rPr>
          <w:rFonts w:ascii="Cambria" w:hAnsi="Cambria"/>
          <w:sz w:val="22"/>
          <w:szCs w:val="22"/>
          <w:lang w:val="es-ES_tradnl"/>
        </w:rPr>
      </w:pPr>
    </w:p>
    <w:p w:rsidR="005128E4" w:rsidRPr="00063B94" w:rsidRDefault="005128E4" w:rsidP="00040C3A">
      <w:pPr>
        <w:tabs>
          <w:tab w:val="center" w:pos="5400"/>
        </w:tabs>
        <w:suppressAutoHyphens/>
        <w:jc w:val="center"/>
        <w:rPr>
          <w:rFonts w:ascii="Cambria" w:hAnsi="Cambria"/>
          <w:sz w:val="22"/>
          <w:szCs w:val="22"/>
          <w:lang w:val="es-ES_tradnl"/>
        </w:rPr>
      </w:pPr>
    </w:p>
    <w:p w:rsidR="005128E4" w:rsidRPr="00063B94" w:rsidRDefault="005128E4" w:rsidP="00040C3A">
      <w:pPr>
        <w:tabs>
          <w:tab w:val="center" w:pos="5400"/>
        </w:tabs>
        <w:suppressAutoHyphens/>
        <w:jc w:val="center"/>
        <w:rPr>
          <w:rFonts w:ascii="Cambria" w:hAnsi="Cambria"/>
          <w:sz w:val="22"/>
          <w:szCs w:val="22"/>
          <w:lang w:val="es-ES_tradnl"/>
        </w:rPr>
      </w:pPr>
    </w:p>
    <w:p w:rsidR="005128E4" w:rsidRPr="00063B94" w:rsidRDefault="005128E4" w:rsidP="00040C3A">
      <w:pPr>
        <w:tabs>
          <w:tab w:val="center" w:pos="5400"/>
        </w:tabs>
        <w:suppressAutoHyphens/>
        <w:jc w:val="center"/>
        <w:rPr>
          <w:rFonts w:ascii="Cambria" w:hAnsi="Cambria"/>
          <w:sz w:val="22"/>
          <w:szCs w:val="22"/>
          <w:lang w:val="es-ES_tradnl"/>
        </w:rPr>
      </w:pPr>
    </w:p>
    <w:p w:rsidR="00040C3A" w:rsidRPr="00063B94" w:rsidRDefault="00040C3A" w:rsidP="00040C3A">
      <w:pPr>
        <w:tabs>
          <w:tab w:val="center" w:pos="5400"/>
        </w:tabs>
        <w:suppressAutoHyphens/>
        <w:jc w:val="center"/>
        <w:rPr>
          <w:rFonts w:ascii="Cambria" w:hAnsi="Cambria"/>
          <w:sz w:val="22"/>
          <w:szCs w:val="22"/>
          <w:lang w:val="es-ES_tradnl"/>
        </w:rPr>
      </w:pPr>
    </w:p>
    <w:p w:rsidR="00040C3A" w:rsidRPr="00063B94" w:rsidRDefault="00040C3A" w:rsidP="00040C3A">
      <w:pPr>
        <w:tabs>
          <w:tab w:val="center" w:pos="5400"/>
        </w:tabs>
        <w:suppressAutoHyphens/>
        <w:jc w:val="center"/>
        <w:rPr>
          <w:rFonts w:ascii="Cambria" w:hAnsi="Cambria"/>
          <w:sz w:val="22"/>
          <w:szCs w:val="22"/>
          <w:lang w:val="es-ES_tradnl"/>
        </w:rPr>
      </w:pPr>
    </w:p>
    <w:p w:rsidR="00A50FCF" w:rsidRPr="00063B94" w:rsidRDefault="00A50FCF" w:rsidP="00040C3A">
      <w:pPr>
        <w:tabs>
          <w:tab w:val="center" w:pos="5400"/>
        </w:tabs>
        <w:suppressAutoHyphens/>
        <w:jc w:val="center"/>
        <w:rPr>
          <w:rFonts w:ascii="Cambria" w:hAnsi="Cambria"/>
          <w:sz w:val="18"/>
          <w:szCs w:val="22"/>
          <w:lang w:val="es-ES_tradnl"/>
        </w:rPr>
      </w:pPr>
    </w:p>
    <w:p w:rsidR="00A50FCF" w:rsidRPr="00063B94" w:rsidRDefault="00A50FCF" w:rsidP="00040C3A">
      <w:pPr>
        <w:tabs>
          <w:tab w:val="center" w:pos="5400"/>
        </w:tabs>
        <w:suppressAutoHyphens/>
        <w:jc w:val="center"/>
        <w:rPr>
          <w:rFonts w:ascii="Cambria" w:hAnsi="Cambria"/>
          <w:sz w:val="18"/>
          <w:szCs w:val="22"/>
          <w:lang w:val="es-ES_tradnl"/>
        </w:rPr>
      </w:pPr>
    </w:p>
    <w:p w:rsidR="00A50FCF" w:rsidRPr="00063B94" w:rsidRDefault="00A50FCF" w:rsidP="00040C3A">
      <w:pPr>
        <w:tabs>
          <w:tab w:val="center" w:pos="5400"/>
        </w:tabs>
        <w:suppressAutoHyphens/>
        <w:jc w:val="center"/>
        <w:rPr>
          <w:rFonts w:ascii="Cambria" w:hAnsi="Cambria"/>
          <w:sz w:val="18"/>
          <w:szCs w:val="22"/>
          <w:lang w:val="es-ES_tradnl"/>
        </w:rPr>
      </w:pPr>
    </w:p>
    <w:p w:rsidR="00A50FCF" w:rsidRPr="00063B94" w:rsidRDefault="00A50FCF" w:rsidP="00040C3A">
      <w:pPr>
        <w:tabs>
          <w:tab w:val="center" w:pos="5400"/>
        </w:tabs>
        <w:suppressAutoHyphens/>
        <w:jc w:val="center"/>
        <w:rPr>
          <w:rFonts w:ascii="Cambria" w:hAnsi="Cambria"/>
          <w:sz w:val="18"/>
          <w:szCs w:val="22"/>
          <w:lang w:val="es-ES_tradnl"/>
        </w:rPr>
      </w:pPr>
    </w:p>
    <w:p w:rsidR="00A50FCF" w:rsidRPr="00063B94" w:rsidRDefault="00A50FCF" w:rsidP="00040C3A">
      <w:pPr>
        <w:tabs>
          <w:tab w:val="center" w:pos="5400"/>
        </w:tabs>
        <w:suppressAutoHyphens/>
        <w:jc w:val="center"/>
        <w:rPr>
          <w:rFonts w:ascii="Cambria" w:hAnsi="Cambria"/>
          <w:sz w:val="18"/>
          <w:szCs w:val="22"/>
          <w:lang w:val="es-ES_tradnl"/>
        </w:rPr>
      </w:pPr>
    </w:p>
    <w:p w:rsidR="00A50FCF" w:rsidRPr="00063B94" w:rsidRDefault="00A50FCF" w:rsidP="00040C3A">
      <w:pPr>
        <w:tabs>
          <w:tab w:val="center" w:pos="5400"/>
        </w:tabs>
        <w:suppressAutoHyphens/>
        <w:jc w:val="center"/>
        <w:rPr>
          <w:rFonts w:ascii="Cambria" w:hAnsi="Cambria"/>
          <w:sz w:val="18"/>
          <w:szCs w:val="22"/>
          <w:lang w:val="es-ES_tradnl"/>
        </w:rPr>
      </w:pPr>
    </w:p>
    <w:p w:rsidR="00A50FCF" w:rsidRPr="00063B94" w:rsidRDefault="00A50FCF" w:rsidP="00040C3A">
      <w:pPr>
        <w:tabs>
          <w:tab w:val="center" w:pos="5400"/>
        </w:tabs>
        <w:suppressAutoHyphens/>
        <w:jc w:val="center"/>
        <w:rPr>
          <w:rFonts w:ascii="Cambria" w:hAnsi="Cambria"/>
          <w:sz w:val="18"/>
          <w:szCs w:val="22"/>
          <w:lang w:val="es-ES_tradnl"/>
        </w:rPr>
      </w:pPr>
    </w:p>
    <w:p w:rsidR="00A50FCF" w:rsidRPr="00063B94" w:rsidRDefault="00A50FCF" w:rsidP="00040C3A">
      <w:pPr>
        <w:tabs>
          <w:tab w:val="center" w:pos="5400"/>
        </w:tabs>
        <w:suppressAutoHyphens/>
        <w:jc w:val="center"/>
        <w:rPr>
          <w:rFonts w:ascii="Cambria" w:hAnsi="Cambria"/>
          <w:sz w:val="18"/>
          <w:szCs w:val="22"/>
          <w:lang w:val="es-ES_tradnl"/>
        </w:rPr>
      </w:pPr>
    </w:p>
    <w:p w:rsidR="00A50FCF" w:rsidRPr="00063B94" w:rsidRDefault="00A50FCF" w:rsidP="00040C3A">
      <w:pPr>
        <w:tabs>
          <w:tab w:val="center" w:pos="5400"/>
        </w:tabs>
        <w:suppressAutoHyphens/>
        <w:jc w:val="center"/>
        <w:rPr>
          <w:rFonts w:ascii="Cambria" w:hAnsi="Cambria"/>
          <w:sz w:val="18"/>
          <w:szCs w:val="22"/>
          <w:lang w:val="es-ES_tradnl"/>
        </w:rPr>
      </w:pPr>
    </w:p>
    <w:p w:rsidR="00A50FCF" w:rsidRPr="00063B94" w:rsidRDefault="00A50FCF" w:rsidP="00040C3A">
      <w:pPr>
        <w:tabs>
          <w:tab w:val="center" w:pos="5400"/>
        </w:tabs>
        <w:suppressAutoHyphens/>
        <w:jc w:val="center"/>
        <w:rPr>
          <w:rFonts w:ascii="Cambria" w:hAnsi="Cambria"/>
          <w:sz w:val="18"/>
          <w:szCs w:val="22"/>
          <w:lang w:val="es-ES_tradnl"/>
        </w:rPr>
      </w:pPr>
    </w:p>
    <w:p w:rsidR="00A50FCF" w:rsidRPr="00063B94" w:rsidRDefault="00A50FCF" w:rsidP="00040C3A">
      <w:pPr>
        <w:tabs>
          <w:tab w:val="center" w:pos="5400"/>
        </w:tabs>
        <w:suppressAutoHyphens/>
        <w:jc w:val="center"/>
        <w:rPr>
          <w:rFonts w:ascii="Cambria" w:hAnsi="Cambria"/>
          <w:sz w:val="18"/>
          <w:szCs w:val="22"/>
          <w:lang w:val="es-ES_tradnl"/>
        </w:rPr>
      </w:pPr>
    </w:p>
    <w:p w:rsidR="00A50FCF" w:rsidRPr="00063B94" w:rsidRDefault="00A50FCF" w:rsidP="00040C3A">
      <w:pPr>
        <w:tabs>
          <w:tab w:val="center" w:pos="5400"/>
        </w:tabs>
        <w:suppressAutoHyphens/>
        <w:jc w:val="center"/>
        <w:rPr>
          <w:rFonts w:ascii="Cambria" w:hAnsi="Cambria"/>
          <w:sz w:val="18"/>
          <w:szCs w:val="22"/>
          <w:lang w:val="es-ES_tradnl"/>
        </w:rPr>
      </w:pPr>
    </w:p>
    <w:p w:rsidR="00A50FCF" w:rsidRPr="00063B94" w:rsidRDefault="00A50FCF" w:rsidP="00040C3A">
      <w:pPr>
        <w:tabs>
          <w:tab w:val="center" w:pos="5400"/>
        </w:tabs>
        <w:suppressAutoHyphens/>
        <w:jc w:val="center"/>
        <w:rPr>
          <w:rFonts w:ascii="Cambria" w:hAnsi="Cambria"/>
          <w:sz w:val="18"/>
          <w:szCs w:val="22"/>
          <w:lang w:val="es-ES_tradnl"/>
        </w:rPr>
      </w:pPr>
    </w:p>
    <w:p w:rsidR="00A50FCF" w:rsidRPr="00063B94" w:rsidRDefault="00A50FCF" w:rsidP="00040C3A">
      <w:pPr>
        <w:tabs>
          <w:tab w:val="center" w:pos="5400"/>
        </w:tabs>
        <w:suppressAutoHyphens/>
        <w:jc w:val="center"/>
        <w:rPr>
          <w:rFonts w:ascii="Cambria" w:hAnsi="Cambria"/>
          <w:sz w:val="18"/>
          <w:szCs w:val="22"/>
          <w:lang w:val="es-ES_tradnl"/>
        </w:rPr>
      </w:pPr>
    </w:p>
    <w:p w:rsidR="00A50FCF" w:rsidRPr="00063B94" w:rsidRDefault="00414E14" w:rsidP="00040C3A">
      <w:pPr>
        <w:tabs>
          <w:tab w:val="center" w:pos="5400"/>
        </w:tabs>
        <w:suppressAutoHyphens/>
        <w:jc w:val="center"/>
        <w:rPr>
          <w:rFonts w:ascii="Cambria" w:hAnsi="Cambria"/>
          <w:sz w:val="18"/>
          <w:szCs w:val="22"/>
          <w:lang w:val="es-ES_tradnl"/>
        </w:rPr>
      </w:pPr>
      <w:r>
        <w:rPr>
          <w:noProof/>
          <w:lang w:val="es-ES_tradnl"/>
        </w:rPr>
        <w:pict>
          <v:shape id="Text Box 7" o:spid="_x0000_s1029" type="#_x0000_t202" style="position:absolute;left:0;text-align:left;margin-left:105.65pt;margin-top:1.8pt;width:388.5pt;height:52.35pt;z-index:2516556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" filled="f" stroked="f" strokeweight=".5pt">
            <v:textbox>
              <w:txbxContent>
                <w:p w:rsidR="00054F34" w:rsidRPr="007372D2" w:rsidRDefault="00054F34" w:rsidP="00247403">
                  <w:pPr>
                    <w:tabs>
                      <w:tab w:val="center" w:pos="5400"/>
                    </w:tabs>
                    <w:suppressAutoHyphens/>
                    <w:spacing w:before="60"/>
                    <w:rPr>
                      <w:rFonts w:ascii="Cambria" w:hAnsi="Cambria" w:cs="Univers"/>
                      <w:color w:val="0D0D0D"/>
                      <w:sz w:val="18"/>
                      <w:szCs w:val="20"/>
                      <w:lang w:val="es-ES_tradnl"/>
                    </w:rPr>
                  </w:pPr>
                  <w:r w:rsidRPr="007372D2">
                    <w:rPr>
                      <w:rFonts w:ascii="Cambria" w:hAnsi="Cambria"/>
                      <w:color w:val="0D0D0D"/>
                      <w:sz w:val="18"/>
                      <w:szCs w:val="20"/>
                      <w:lang w:val="es-ES"/>
                    </w:rPr>
                    <w:t xml:space="preserve">Aprobado por la Comisión en su sesión No. </w:t>
                  </w:r>
                  <w:r>
                    <w:rPr>
                      <w:rFonts w:ascii="Cambria" w:hAnsi="Cambria"/>
                      <w:color w:val="0D0D0D"/>
                      <w:sz w:val="18"/>
                      <w:szCs w:val="20"/>
                      <w:lang w:val="es-ES"/>
                    </w:rPr>
                    <w:t>2079</w:t>
                  </w:r>
                  <w:r w:rsidRPr="007372D2">
                    <w:rPr>
                      <w:rFonts w:ascii="Cambria" w:hAnsi="Cambria"/>
                      <w:color w:val="0D0D0D"/>
                      <w:sz w:val="18"/>
                      <w:szCs w:val="20"/>
                      <w:lang w:val="es-ES"/>
                    </w:rPr>
                    <w:t xml:space="preserve"> celebrada el </w:t>
                  </w:r>
                  <w:r>
                    <w:rPr>
                      <w:rFonts w:ascii="Cambria" w:hAnsi="Cambria"/>
                      <w:color w:val="0D0D0D"/>
                      <w:sz w:val="18"/>
                      <w:szCs w:val="20"/>
                      <w:lang w:val="es-ES"/>
                    </w:rPr>
                    <w:t>21 de marzo de 2017</w:t>
                  </w:r>
                  <w:r w:rsidRPr="007372D2">
                    <w:rPr>
                      <w:rFonts w:ascii="Cambria" w:hAnsi="Cambria"/>
                      <w:color w:val="0D0D0D"/>
                      <w:sz w:val="18"/>
                      <w:szCs w:val="20"/>
                      <w:lang w:val="es-ES"/>
                    </w:rPr>
                    <w:br/>
                  </w:r>
                  <w:r w:rsidRPr="007372D2">
                    <w:rPr>
                      <w:rFonts w:ascii="Cambria" w:hAnsi="Cambria" w:cs="Univers"/>
                      <w:color w:val="0D0D0D"/>
                      <w:sz w:val="18"/>
                      <w:szCs w:val="20"/>
                      <w:lang w:val="es-ES_tradnl"/>
                    </w:rPr>
                    <w:t>1</w:t>
                  </w:r>
                  <w:r>
                    <w:rPr>
                      <w:rFonts w:ascii="Cambria" w:hAnsi="Cambria" w:cs="Univers"/>
                      <w:color w:val="0D0D0D"/>
                      <w:sz w:val="18"/>
                      <w:szCs w:val="20"/>
                      <w:lang w:val="es-ES_tradnl"/>
                    </w:rPr>
                    <w:t>61</w:t>
                  </w:r>
                  <w:r w:rsidRPr="007372D2">
                    <w:rPr>
                      <w:rFonts w:ascii="Cambria" w:hAnsi="Cambria" w:cs="Univers"/>
                      <w:color w:val="0D0D0D"/>
                      <w:sz w:val="18"/>
                      <w:szCs w:val="20"/>
                      <w:lang w:val="es-ES_tradnl"/>
                    </w:rPr>
                    <w:t xml:space="preserve"> período ordinario de sesiones</w:t>
                  </w:r>
                </w:p>
                <w:p w:rsidR="00054F34" w:rsidRPr="007372D2" w:rsidRDefault="00054F34" w:rsidP="00247403">
                  <w:pPr>
                    <w:tabs>
                      <w:tab w:val="center" w:pos="5400"/>
                    </w:tabs>
                    <w:suppressAutoHyphens/>
                    <w:spacing w:before="60"/>
                    <w:rPr>
                      <w:rFonts w:ascii="Calibri" w:hAnsi="Calibri" w:cs="Univers"/>
                      <w:color w:val="0D0D0D"/>
                      <w:sz w:val="20"/>
                      <w:szCs w:val="20"/>
                      <w:lang w:val="es-ES"/>
                    </w:rPr>
                  </w:pPr>
                </w:p>
                <w:p w:rsidR="00054F34" w:rsidRPr="007372D2" w:rsidRDefault="00054F34" w:rsidP="0059191A">
                  <w:pPr>
                    <w:tabs>
                      <w:tab w:val="center" w:pos="5400"/>
                    </w:tabs>
                    <w:suppressAutoHyphens/>
                    <w:spacing w:before="60"/>
                    <w:rPr>
                      <w:rFonts w:ascii="Calibri" w:hAnsi="Calibri"/>
                      <w:color w:val="FFFFFF"/>
                      <w:spacing w:val="-2"/>
                      <w:sz w:val="16"/>
                      <w:lang w:val="es-ES"/>
                    </w:rPr>
                  </w:pPr>
                </w:p>
              </w:txbxContent>
            </v:textbox>
          </v:shape>
        </w:pict>
      </w:r>
    </w:p>
    <w:p w:rsidR="00A50FCF" w:rsidRPr="00063B94" w:rsidRDefault="00A50FCF" w:rsidP="00040C3A">
      <w:pPr>
        <w:tabs>
          <w:tab w:val="center" w:pos="5400"/>
        </w:tabs>
        <w:suppressAutoHyphens/>
        <w:jc w:val="center"/>
        <w:rPr>
          <w:rFonts w:ascii="Cambria" w:hAnsi="Cambria"/>
          <w:sz w:val="18"/>
          <w:szCs w:val="22"/>
          <w:lang w:val="es-ES_tradnl"/>
        </w:rPr>
      </w:pPr>
    </w:p>
    <w:p w:rsidR="00A50FCF" w:rsidRPr="00063B94" w:rsidRDefault="00A50FCF" w:rsidP="00040C3A">
      <w:pPr>
        <w:tabs>
          <w:tab w:val="center" w:pos="5400"/>
        </w:tabs>
        <w:suppressAutoHyphens/>
        <w:jc w:val="center"/>
        <w:rPr>
          <w:rFonts w:ascii="Cambria" w:hAnsi="Cambria"/>
          <w:sz w:val="18"/>
          <w:szCs w:val="22"/>
          <w:lang w:val="es-ES_tradnl"/>
        </w:rPr>
      </w:pPr>
    </w:p>
    <w:p w:rsidR="00A50FCF" w:rsidRPr="00063B94" w:rsidRDefault="00A50FCF" w:rsidP="00040C3A">
      <w:pPr>
        <w:tabs>
          <w:tab w:val="center" w:pos="5400"/>
        </w:tabs>
        <w:suppressAutoHyphens/>
        <w:jc w:val="center"/>
        <w:rPr>
          <w:rFonts w:ascii="Cambria" w:hAnsi="Cambria"/>
          <w:sz w:val="18"/>
          <w:szCs w:val="22"/>
          <w:lang w:val="es-ES_tradnl"/>
        </w:rPr>
      </w:pPr>
    </w:p>
    <w:p w:rsidR="00A50FCF" w:rsidRPr="00063B94" w:rsidRDefault="00A50FCF" w:rsidP="00040C3A">
      <w:pPr>
        <w:tabs>
          <w:tab w:val="center" w:pos="5400"/>
        </w:tabs>
        <w:suppressAutoHyphens/>
        <w:jc w:val="center"/>
        <w:rPr>
          <w:rFonts w:ascii="Cambria" w:hAnsi="Cambria"/>
          <w:sz w:val="18"/>
          <w:szCs w:val="22"/>
          <w:lang w:val="es-ES_tradnl"/>
        </w:rPr>
      </w:pPr>
    </w:p>
    <w:p w:rsidR="00A50FCF" w:rsidRPr="00063B94" w:rsidRDefault="00414E14" w:rsidP="00040C3A">
      <w:pPr>
        <w:tabs>
          <w:tab w:val="center" w:pos="5400"/>
        </w:tabs>
        <w:suppressAutoHyphens/>
        <w:jc w:val="center"/>
        <w:rPr>
          <w:rFonts w:ascii="Cambria" w:hAnsi="Cambria"/>
          <w:sz w:val="18"/>
          <w:szCs w:val="22"/>
          <w:lang w:val="es-ES_tradnl"/>
        </w:rPr>
      </w:pPr>
      <w:r>
        <w:rPr>
          <w:noProof/>
          <w:lang w:val="es-ES_tradnl"/>
        </w:rPr>
        <w:pict>
          <v:shape id="Text Box 10" o:spid="_x0000_s1028" type="#_x0000_t202" style="position:absolute;left:0;text-align:left;margin-left:105pt;margin-top:.45pt;width:368.5pt;height:51.75pt;z-index:2516587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" filled="f" stroked="f" strokeweight=".5pt">
            <v:textbox>
              <w:txbxContent>
                <w:p w:rsidR="00054F34" w:rsidRPr="00E15EE9" w:rsidRDefault="00054F34" w:rsidP="00BD1D6C">
                  <w:pPr>
                    <w:spacing w:line="276" w:lineRule="auto"/>
                    <w:jc w:val="both"/>
                    <w:rPr>
                      <w:rFonts w:ascii="Cambria" w:hAnsi="Cambria"/>
                      <w:color w:val="595959"/>
                      <w:sz w:val="18"/>
                      <w:szCs w:val="18"/>
                      <w:lang w:val="es-ES"/>
                    </w:rPr>
                  </w:pPr>
                  <w:r w:rsidRPr="00054F34">
                    <w:rPr>
                      <w:rFonts w:ascii="Cambria" w:hAnsi="Cambria"/>
                      <w:b/>
                      <w:color w:val="595959"/>
                      <w:sz w:val="18"/>
                      <w:szCs w:val="18"/>
                      <w:lang w:val="es-ES"/>
                    </w:rPr>
                    <w:t>Citar como:</w:t>
                  </w:r>
                  <w:r w:rsidRPr="00054F34">
                    <w:rPr>
                      <w:rFonts w:ascii="Cambria" w:hAnsi="Cambria"/>
                      <w:color w:val="595959"/>
                      <w:sz w:val="18"/>
                      <w:szCs w:val="18"/>
                      <w:lang w:val="es-ES"/>
                    </w:rPr>
                    <w:t xml:space="preserve"> CIDH, Informe No. </w:t>
                  </w:r>
                  <w:r>
                    <w:rPr>
                      <w:rFonts w:ascii="Cambria" w:hAnsi="Cambria"/>
                      <w:color w:val="595959"/>
                      <w:sz w:val="18"/>
                      <w:szCs w:val="18"/>
                      <w:lang w:val="es-ES_tradnl"/>
                    </w:rPr>
                    <w:t>33/17</w:t>
                  </w:r>
                  <w:r w:rsidRPr="007372D2">
                    <w:rPr>
                      <w:rFonts w:ascii="Cambria" w:hAnsi="Cambria"/>
                      <w:color w:val="595959"/>
                      <w:sz w:val="18"/>
                      <w:szCs w:val="18"/>
                      <w:lang w:val="es-ES_tradnl"/>
                    </w:rPr>
                    <w:t>, Caso</w:t>
                  </w:r>
                  <w:r>
                    <w:rPr>
                      <w:rFonts w:ascii="Cambria" w:hAnsi="Cambria"/>
                      <w:color w:val="595959"/>
                      <w:sz w:val="18"/>
                      <w:szCs w:val="18"/>
                      <w:lang w:val="es-ES_tradnl"/>
                    </w:rPr>
                    <w:t xml:space="preserve"> 11.639, Admisibilidad y Fondo, Alejandro Yovany Gómez Virula y familia, Guatemala, 21 de marzo de 2017. </w:t>
                  </w:r>
                </w:p>
              </w:txbxContent>
            </v:textbox>
          </v:shape>
        </w:pict>
      </w:r>
    </w:p>
    <w:p w:rsidR="00A50FCF" w:rsidRPr="00063B94" w:rsidRDefault="00A50FCF" w:rsidP="00040C3A">
      <w:pPr>
        <w:tabs>
          <w:tab w:val="center" w:pos="5400"/>
        </w:tabs>
        <w:suppressAutoHyphens/>
        <w:jc w:val="center"/>
        <w:rPr>
          <w:rFonts w:ascii="Cambria" w:hAnsi="Cambria"/>
          <w:sz w:val="18"/>
          <w:szCs w:val="22"/>
          <w:lang w:val="es-ES_tradnl"/>
        </w:rPr>
      </w:pPr>
    </w:p>
    <w:p w:rsidR="0090270B" w:rsidRPr="00063B94" w:rsidRDefault="00414E14" w:rsidP="005516A1">
      <w:pPr>
        <w:tabs>
          <w:tab w:val="center" w:pos="5400"/>
        </w:tabs>
        <w:suppressAutoHyphens/>
        <w:jc w:val="center"/>
        <w:rPr>
          <w:rFonts w:ascii="Cambria" w:hAnsi="Cambria"/>
          <w:b/>
          <w:sz w:val="20"/>
          <w:lang w:val="es-ES_tradnl"/>
        </w:rPr>
      </w:pPr>
      <w:r>
        <w:rPr>
          <w:noProof/>
          <w:lang w:val="es-ES_tradnl"/>
        </w:rPr>
        <w:pict>
          <v:shape id="Text Box 9" o:spid="_x0000_s1027" type="#_x0000_t202" style="position:absolute;left:0;text-align:left;margin-left:104.7pt;margin-top:50.3pt;width:322.55pt;height:44.65pt;z-index:2516597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" stroked="f" strokeweight=".5pt">
            <v:textbox>
              <w:txbxContent>
                <w:p w:rsidR="00054F34" w:rsidRPr="007372D2" w:rsidRDefault="00414E14" w:rsidP="00F02AD1">
                  <w:pPr>
                    <w:rPr>
                      <w:color w:val="FFFFFF"/>
                    </w:rPr>
                  </w:pPr>
                  <w:r>
                    <w:rPr>
                      <w:noProof/>
                      <w:color w:val="FFFFFF"/>
                    </w:rPr>
                    <w:pict>
                      <v:shape id="Picture 15" o:spid="_x0000_i1028" type="#_x0000_t75" alt="Description: C:\Users\mfontana\Documents\Eva Fontana\GRAFICA CIDH\cartas\logos\oea-es.jpg" style="width:105.4pt;height:30.55pt;visibility:visible">
                        <v:imagedata r:id="rId10" o:title="oea-es"/>
                      </v:shape>
                    </w:pict>
                  </w:r>
                </w:p>
              </w:txbxContent>
            </v:textbox>
          </v:shape>
        </w:pict>
      </w:r>
      <w:r>
        <w:rPr>
          <w:noProof/>
          <w:lang w:val="es-ES_tradnl"/>
        </w:rPr>
        <w:pict>
          <v:shape id="Text Box 4" o:spid="_x0000_s1026" type="#_x0000_t202" style="position:absolute;left:0;text-align:left;margin-left:-21.4pt;margin-top:72.05pt;width:93pt;height:26.2pt;z-index:2516608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" filled="f" stroked="f" strokeweight=".5pt">
            <v:textbox>
              <w:txbxContent>
                <w:p w:rsidR="00054F34" w:rsidRPr="007372D2" w:rsidRDefault="00054F34" w:rsidP="00D306D1">
                  <w:pPr>
                    <w:jc w:val="center"/>
                    <w:rPr>
                      <w:rFonts w:ascii="Calibri" w:hAnsi="Calibri"/>
                      <w:b/>
                      <w:color w:val="FFFFFF"/>
                    </w:rPr>
                  </w:pPr>
                  <w:r w:rsidRPr="007372D2">
                    <w:rPr>
                      <w:rFonts w:ascii="Calibri" w:hAnsi="Calibri"/>
                      <w:b/>
                      <w:color w:val="FFFFFF"/>
                      <w:lang w:val="pt-BR"/>
                    </w:rPr>
                    <w:t>www.cidh.org</w:t>
                  </w:r>
                </w:p>
              </w:txbxContent>
            </v:textbox>
          </v:shape>
        </w:pict>
      </w:r>
    </w:p>
    <w:p w:rsidR="0070697F" w:rsidRPr="00063B94" w:rsidRDefault="0070697F" w:rsidP="005516A1">
      <w:pPr>
        <w:tabs>
          <w:tab w:val="center" w:pos="5400"/>
        </w:tabs>
        <w:suppressAutoHyphens/>
        <w:jc w:val="center"/>
        <w:rPr>
          <w:rFonts w:ascii="Cambria" w:hAnsi="Cambria"/>
          <w:b/>
          <w:sz w:val="20"/>
          <w:lang w:val="es-ES_tradnl"/>
        </w:rPr>
        <w:sectPr w:rsidR="0070697F" w:rsidRPr="00063B94"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722C9F" w:rsidRPr="00BD1D6C" w:rsidRDefault="00722C9F" w:rsidP="00722C9F">
      <w:pPr>
        <w:tabs>
          <w:tab w:val="center" w:pos="5400"/>
        </w:tabs>
        <w:suppressAutoHyphens/>
        <w:spacing w:line="276" w:lineRule="auto"/>
        <w:jc w:val="center"/>
        <w:rPr>
          <w:rFonts w:ascii="Cambria" w:hAnsi="Cambria"/>
          <w:b/>
          <w:sz w:val="18"/>
          <w:szCs w:val="18"/>
          <w:lang w:val="es-ES_tradnl"/>
        </w:rPr>
      </w:pPr>
      <w:r w:rsidRPr="00BD1D6C">
        <w:rPr>
          <w:rFonts w:ascii="Cambria" w:hAnsi="Cambria"/>
          <w:b/>
          <w:sz w:val="18"/>
          <w:szCs w:val="18"/>
          <w:lang w:val="es-ES_tradnl"/>
        </w:rPr>
        <w:lastRenderedPageBreak/>
        <w:t xml:space="preserve">INFORME No. </w:t>
      </w:r>
      <w:r w:rsidR="00054F34">
        <w:rPr>
          <w:rFonts w:ascii="Cambria" w:hAnsi="Cambria"/>
          <w:b/>
          <w:sz w:val="18"/>
          <w:szCs w:val="18"/>
          <w:lang w:val="es-ES_tradnl"/>
        </w:rPr>
        <w:t>33</w:t>
      </w:r>
      <w:r w:rsidRPr="00BD1D6C">
        <w:rPr>
          <w:rFonts w:ascii="Cambria" w:hAnsi="Cambria"/>
          <w:b/>
          <w:sz w:val="18"/>
          <w:szCs w:val="18"/>
          <w:lang w:val="es-ES_tradnl"/>
        </w:rPr>
        <w:t>/1</w:t>
      </w:r>
      <w:r w:rsidR="00BD1D6C" w:rsidRPr="00BD1D6C">
        <w:rPr>
          <w:rFonts w:ascii="Cambria" w:hAnsi="Cambria"/>
          <w:b/>
          <w:sz w:val="18"/>
          <w:szCs w:val="18"/>
          <w:lang w:val="es-ES_tradnl"/>
        </w:rPr>
        <w:t>7</w:t>
      </w:r>
    </w:p>
    <w:p w:rsidR="00722C9F" w:rsidRPr="00BD1D6C" w:rsidRDefault="00722C9F" w:rsidP="00722C9F">
      <w:pPr>
        <w:tabs>
          <w:tab w:val="center" w:pos="5400"/>
        </w:tabs>
        <w:suppressAutoHyphens/>
        <w:spacing w:line="276" w:lineRule="auto"/>
        <w:jc w:val="center"/>
        <w:rPr>
          <w:rFonts w:ascii="Cambria" w:hAnsi="Cambria"/>
          <w:b/>
          <w:sz w:val="18"/>
          <w:szCs w:val="18"/>
          <w:lang w:val="es-ES_tradnl"/>
        </w:rPr>
      </w:pPr>
      <w:r w:rsidRPr="00BD1D6C">
        <w:rPr>
          <w:rFonts w:ascii="Cambria" w:hAnsi="Cambria"/>
          <w:b/>
          <w:sz w:val="18"/>
          <w:szCs w:val="18"/>
          <w:lang w:val="es-ES_tradnl"/>
        </w:rPr>
        <w:t xml:space="preserve">CASO </w:t>
      </w:r>
      <w:r w:rsidR="000F494B" w:rsidRPr="00BD1D6C">
        <w:rPr>
          <w:rFonts w:ascii="Cambria" w:hAnsi="Cambria"/>
          <w:b/>
          <w:sz w:val="18"/>
          <w:szCs w:val="18"/>
          <w:lang w:val="es-ES_tradnl"/>
        </w:rPr>
        <w:t>11.</w:t>
      </w:r>
      <w:r w:rsidR="00165250" w:rsidRPr="00BD1D6C">
        <w:rPr>
          <w:rFonts w:ascii="Cambria" w:hAnsi="Cambria"/>
          <w:b/>
          <w:sz w:val="18"/>
          <w:szCs w:val="18"/>
          <w:lang w:val="es-ES_tradnl"/>
        </w:rPr>
        <w:t>639</w:t>
      </w:r>
    </w:p>
    <w:p w:rsidR="00722C9F" w:rsidRPr="00BD1D6C" w:rsidRDefault="00722C9F" w:rsidP="00161414">
      <w:pPr>
        <w:tabs>
          <w:tab w:val="center" w:pos="5400"/>
        </w:tabs>
        <w:suppressAutoHyphens/>
        <w:spacing w:line="276" w:lineRule="auto"/>
        <w:jc w:val="center"/>
        <w:rPr>
          <w:rFonts w:ascii="Cambria" w:hAnsi="Cambria"/>
          <w:sz w:val="18"/>
          <w:szCs w:val="18"/>
          <w:lang w:val="es-ES_tradnl"/>
        </w:rPr>
      </w:pPr>
      <w:r w:rsidRPr="00BD1D6C">
        <w:rPr>
          <w:rFonts w:ascii="Cambria" w:hAnsi="Cambria"/>
          <w:sz w:val="18"/>
          <w:szCs w:val="18"/>
          <w:lang w:val="es-ES_tradnl"/>
        </w:rPr>
        <w:t xml:space="preserve">INFORME DE ADMISIBILIDAD </w:t>
      </w:r>
      <w:r w:rsidR="00161414" w:rsidRPr="00BD1D6C">
        <w:rPr>
          <w:rFonts w:ascii="Cambria" w:hAnsi="Cambria"/>
          <w:sz w:val="18"/>
          <w:szCs w:val="18"/>
          <w:lang w:val="es-ES_tradnl"/>
        </w:rPr>
        <w:t>Y FONDO</w:t>
      </w:r>
    </w:p>
    <w:p w:rsidR="00165250" w:rsidRPr="00BD1D6C" w:rsidRDefault="00E15EE9" w:rsidP="00722C9F">
      <w:pPr>
        <w:tabs>
          <w:tab w:val="center" w:pos="5400"/>
        </w:tabs>
        <w:suppressAutoHyphens/>
        <w:spacing w:line="276" w:lineRule="auto"/>
        <w:jc w:val="center"/>
        <w:rPr>
          <w:rFonts w:ascii="Cambria" w:hAnsi="Cambria"/>
          <w:sz w:val="18"/>
          <w:szCs w:val="18"/>
          <w:lang w:val="es-ES_tradnl"/>
        </w:rPr>
      </w:pPr>
      <w:r>
        <w:rPr>
          <w:rFonts w:ascii="Cambria" w:hAnsi="Cambria"/>
          <w:sz w:val="18"/>
          <w:szCs w:val="18"/>
          <w:lang w:val="es-ES_tradnl"/>
        </w:rPr>
        <w:t>ALEJANDRO</w:t>
      </w:r>
      <w:r w:rsidR="00165250" w:rsidRPr="00BD1D6C">
        <w:rPr>
          <w:rFonts w:ascii="Cambria" w:hAnsi="Cambria"/>
          <w:sz w:val="18"/>
          <w:szCs w:val="18"/>
          <w:lang w:val="es-ES_tradnl"/>
        </w:rPr>
        <w:t xml:space="preserve"> YOVANY GÓMEZ VIRULA Y FAMILIA</w:t>
      </w:r>
    </w:p>
    <w:p w:rsidR="0070697F" w:rsidRPr="00BD1D6C" w:rsidRDefault="000F494B" w:rsidP="00722C9F">
      <w:pPr>
        <w:tabs>
          <w:tab w:val="center" w:pos="5400"/>
        </w:tabs>
        <w:suppressAutoHyphens/>
        <w:spacing w:line="276" w:lineRule="auto"/>
        <w:jc w:val="center"/>
        <w:rPr>
          <w:rFonts w:ascii="Cambria" w:hAnsi="Cambria"/>
          <w:sz w:val="18"/>
          <w:szCs w:val="18"/>
          <w:lang w:val="es-ES_tradnl"/>
        </w:rPr>
      </w:pPr>
      <w:r w:rsidRPr="00BD1D6C">
        <w:rPr>
          <w:rFonts w:ascii="Cambria" w:hAnsi="Cambria"/>
          <w:sz w:val="18"/>
          <w:szCs w:val="18"/>
          <w:lang w:val="es-ES_tradnl"/>
        </w:rPr>
        <w:t>GUATEMALA</w:t>
      </w:r>
    </w:p>
    <w:p w:rsidR="00054F34" w:rsidRPr="00BD1D6C" w:rsidRDefault="00054F34" w:rsidP="00054F34">
      <w:pPr>
        <w:tabs>
          <w:tab w:val="center" w:pos="5400"/>
        </w:tabs>
        <w:suppressAutoHyphens/>
        <w:spacing w:line="276" w:lineRule="auto"/>
        <w:jc w:val="center"/>
        <w:rPr>
          <w:rFonts w:ascii="Cambria" w:hAnsi="Cambria"/>
          <w:sz w:val="18"/>
          <w:szCs w:val="18"/>
          <w:lang w:val="es-ES_tradnl"/>
        </w:rPr>
      </w:pPr>
      <w:r>
        <w:rPr>
          <w:rFonts w:ascii="Cambria" w:hAnsi="Cambria"/>
          <w:sz w:val="18"/>
          <w:szCs w:val="18"/>
          <w:lang w:val="es-ES_tradnl"/>
        </w:rPr>
        <w:t>21 DE MARZO DE 2017</w:t>
      </w:r>
    </w:p>
    <w:p w:rsidR="00722C9F" w:rsidRPr="00063B94" w:rsidRDefault="00722C9F" w:rsidP="00722C9F">
      <w:pPr>
        <w:tabs>
          <w:tab w:val="center" w:pos="5400"/>
        </w:tabs>
        <w:suppressAutoHyphens/>
        <w:spacing w:line="276" w:lineRule="auto"/>
        <w:jc w:val="center"/>
        <w:rPr>
          <w:rFonts w:ascii="Cambria" w:hAnsi="Cambria"/>
          <w:sz w:val="18"/>
          <w:szCs w:val="20"/>
          <w:lang w:val="es-ES_tradnl"/>
        </w:rPr>
      </w:pPr>
    </w:p>
    <w:p w:rsidR="00722C9F" w:rsidRPr="00BD1D6C" w:rsidRDefault="00722C9F" w:rsidP="00722C9F">
      <w:pPr>
        <w:tabs>
          <w:tab w:val="center" w:pos="5400"/>
        </w:tabs>
        <w:suppressAutoHyphens/>
        <w:spacing w:line="276" w:lineRule="auto"/>
        <w:jc w:val="center"/>
        <w:rPr>
          <w:rFonts w:ascii="Cambria" w:hAnsi="Cambria"/>
          <w:b/>
          <w:sz w:val="22"/>
          <w:szCs w:val="22"/>
          <w:lang w:val="es-ES_tradnl"/>
        </w:rPr>
      </w:pPr>
      <w:r w:rsidRPr="00BD1D6C">
        <w:rPr>
          <w:rFonts w:ascii="Cambria" w:hAnsi="Cambria"/>
          <w:b/>
          <w:sz w:val="22"/>
          <w:szCs w:val="22"/>
          <w:lang w:val="es-ES_tradnl"/>
        </w:rPr>
        <w:t>ÍNDICE</w:t>
      </w:r>
    </w:p>
    <w:p w:rsidR="0070697F" w:rsidRPr="00054F34" w:rsidRDefault="0070697F" w:rsidP="001D65EF">
      <w:pPr>
        <w:tabs>
          <w:tab w:val="center" w:pos="5400"/>
        </w:tabs>
        <w:suppressAutoHyphens/>
        <w:spacing w:line="276" w:lineRule="auto"/>
        <w:rPr>
          <w:rFonts w:asciiTheme="majorHAnsi" w:hAnsiTheme="majorHAnsi"/>
          <w:sz w:val="20"/>
          <w:szCs w:val="20"/>
          <w:lang w:val="es-ES_tradnl"/>
        </w:rPr>
      </w:pPr>
    </w:p>
    <w:p w:rsidR="003E435A" w:rsidRPr="00054F34" w:rsidRDefault="003E435A" w:rsidP="001D65EF">
      <w:pPr>
        <w:tabs>
          <w:tab w:val="center" w:pos="5400"/>
        </w:tabs>
        <w:suppressAutoHyphens/>
        <w:spacing w:line="276" w:lineRule="auto"/>
        <w:rPr>
          <w:rFonts w:asciiTheme="majorHAnsi" w:hAnsiTheme="majorHAnsi"/>
          <w:sz w:val="20"/>
          <w:szCs w:val="20"/>
          <w:lang w:val="es-ES_tradnl"/>
        </w:rPr>
      </w:pPr>
    </w:p>
    <w:p w:rsidR="00433D80" w:rsidRPr="00054F34" w:rsidRDefault="00433D80" w:rsidP="00054F34">
      <w:pPr>
        <w:pStyle w:val="TOC1"/>
        <w:rPr>
          <w:rFonts w:eastAsia="Times New Roman"/>
          <w:bdr w:val="none" w:sz="0" w:space="0" w:color="auto"/>
        </w:rPr>
      </w:pPr>
      <w:r w:rsidRPr="00054F34">
        <w:rPr>
          <w:b/>
        </w:rPr>
        <w:fldChar w:fldCharType="begin"/>
      </w:r>
      <w:r w:rsidRPr="00054F34">
        <w:instrText xml:space="preserve"> TOC \o "1-3" \h \z \u </w:instrText>
      </w:r>
      <w:r w:rsidRPr="00054F34">
        <w:rPr>
          <w:b/>
        </w:rPr>
        <w:fldChar w:fldCharType="separate"/>
      </w:r>
      <w:hyperlink w:anchor="_Toc473188683" w:history="1">
        <w:r w:rsidRPr="00054F34">
          <w:rPr>
            <w:rStyle w:val="Hyperlink"/>
          </w:rPr>
          <w:t>I.</w:t>
        </w:r>
        <w:r w:rsidRPr="00054F34">
          <w:rPr>
            <w:rFonts w:eastAsia="Times New Roman"/>
            <w:bdr w:val="none" w:sz="0" w:space="0" w:color="auto"/>
          </w:rPr>
          <w:tab/>
        </w:r>
        <w:r w:rsidRPr="00054F34">
          <w:rPr>
            <w:rStyle w:val="Hyperlink"/>
          </w:rPr>
          <w:t>RESUMEN</w:t>
        </w:r>
        <w:r w:rsidRPr="00054F34">
          <w:rPr>
            <w:webHidden/>
          </w:rPr>
          <w:tab/>
        </w:r>
        <w:r w:rsidRPr="00054F34">
          <w:rPr>
            <w:webHidden/>
          </w:rPr>
          <w:fldChar w:fldCharType="begin"/>
        </w:r>
        <w:r w:rsidRPr="00054F34">
          <w:rPr>
            <w:webHidden/>
          </w:rPr>
          <w:instrText xml:space="preserve"> PAGEREF _Toc473188683 \h </w:instrText>
        </w:r>
        <w:r w:rsidRPr="00054F34">
          <w:rPr>
            <w:webHidden/>
          </w:rPr>
        </w:r>
        <w:r w:rsidRPr="00054F34">
          <w:rPr>
            <w:webHidden/>
          </w:rPr>
          <w:fldChar w:fldCharType="separate"/>
        </w:r>
        <w:r w:rsidR="00CE5D47" w:rsidRPr="00054F34">
          <w:rPr>
            <w:webHidden/>
          </w:rPr>
          <w:t>2</w:t>
        </w:r>
        <w:r w:rsidRPr="00054F34">
          <w:rPr>
            <w:webHidden/>
          </w:rPr>
          <w:fldChar w:fldCharType="end"/>
        </w:r>
      </w:hyperlink>
    </w:p>
    <w:p w:rsidR="00433D80" w:rsidRPr="00054F34" w:rsidRDefault="00414E14" w:rsidP="00054F34">
      <w:pPr>
        <w:pStyle w:val="TOC1"/>
        <w:rPr>
          <w:rFonts w:eastAsia="Times New Roman"/>
          <w:bdr w:val="none" w:sz="0" w:space="0" w:color="auto"/>
        </w:rPr>
      </w:pPr>
      <w:hyperlink w:anchor="_Toc473188684" w:history="1">
        <w:r w:rsidR="00433D80" w:rsidRPr="00054F34">
          <w:rPr>
            <w:rStyle w:val="Hyperlink"/>
          </w:rPr>
          <w:t>II.</w:t>
        </w:r>
        <w:r w:rsidR="00433D80" w:rsidRPr="00054F34">
          <w:rPr>
            <w:rFonts w:eastAsia="Times New Roman"/>
            <w:bdr w:val="none" w:sz="0" w:space="0" w:color="auto"/>
          </w:rPr>
          <w:tab/>
        </w:r>
        <w:r w:rsidR="00433D80" w:rsidRPr="00054F34">
          <w:rPr>
            <w:rStyle w:val="Hyperlink"/>
          </w:rPr>
          <w:t>TRÁMITE ANTE LA COMISIÓN</w:t>
        </w:r>
        <w:r w:rsidR="00433D80" w:rsidRPr="00054F34">
          <w:rPr>
            <w:webHidden/>
          </w:rPr>
          <w:tab/>
        </w:r>
        <w:r w:rsidR="00433D80" w:rsidRPr="00054F34">
          <w:rPr>
            <w:webHidden/>
          </w:rPr>
          <w:fldChar w:fldCharType="begin"/>
        </w:r>
        <w:r w:rsidR="00433D80" w:rsidRPr="00054F34">
          <w:rPr>
            <w:webHidden/>
          </w:rPr>
          <w:instrText xml:space="preserve"> PAGEREF _Toc473188684 \h </w:instrText>
        </w:r>
        <w:r w:rsidR="00433D80" w:rsidRPr="00054F34">
          <w:rPr>
            <w:webHidden/>
          </w:rPr>
        </w:r>
        <w:r w:rsidR="00433D80" w:rsidRPr="00054F34">
          <w:rPr>
            <w:webHidden/>
          </w:rPr>
          <w:fldChar w:fldCharType="separate"/>
        </w:r>
        <w:r w:rsidR="00CE5D47" w:rsidRPr="00054F34">
          <w:rPr>
            <w:webHidden/>
          </w:rPr>
          <w:t>2</w:t>
        </w:r>
        <w:r w:rsidR="00433D80" w:rsidRPr="00054F34">
          <w:rPr>
            <w:webHidden/>
          </w:rPr>
          <w:fldChar w:fldCharType="end"/>
        </w:r>
      </w:hyperlink>
    </w:p>
    <w:p w:rsidR="00433D80" w:rsidRPr="00054F34" w:rsidRDefault="00414E14" w:rsidP="00054F34">
      <w:pPr>
        <w:pStyle w:val="TOC1"/>
        <w:rPr>
          <w:rFonts w:eastAsia="Times New Roman"/>
          <w:bdr w:val="none" w:sz="0" w:space="0" w:color="auto"/>
        </w:rPr>
      </w:pPr>
      <w:hyperlink w:anchor="_Toc473188685" w:history="1">
        <w:r w:rsidR="00433D80" w:rsidRPr="00054F34">
          <w:rPr>
            <w:rStyle w:val="Hyperlink"/>
          </w:rPr>
          <w:t>III.</w:t>
        </w:r>
        <w:r w:rsidR="00433D80" w:rsidRPr="00054F34">
          <w:rPr>
            <w:rFonts w:eastAsia="Times New Roman"/>
            <w:bdr w:val="none" w:sz="0" w:space="0" w:color="auto"/>
          </w:rPr>
          <w:tab/>
        </w:r>
        <w:r w:rsidR="00433D80" w:rsidRPr="00054F34">
          <w:rPr>
            <w:rStyle w:val="Hyperlink"/>
          </w:rPr>
          <w:t>POSICIÓN DE LAS PARTES</w:t>
        </w:r>
        <w:r w:rsidR="00433D80" w:rsidRPr="00054F34">
          <w:rPr>
            <w:webHidden/>
          </w:rPr>
          <w:tab/>
        </w:r>
        <w:r w:rsidR="00433D80" w:rsidRPr="00054F34">
          <w:rPr>
            <w:webHidden/>
          </w:rPr>
          <w:fldChar w:fldCharType="begin"/>
        </w:r>
        <w:r w:rsidR="00433D80" w:rsidRPr="00054F34">
          <w:rPr>
            <w:webHidden/>
          </w:rPr>
          <w:instrText xml:space="preserve"> PAGEREF _Toc473188685 \h </w:instrText>
        </w:r>
        <w:r w:rsidR="00433D80" w:rsidRPr="00054F34">
          <w:rPr>
            <w:webHidden/>
          </w:rPr>
        </w:r>
        <w:r w:rsidR="00433D80" w:rsidRPr="00054F34">
          <w:rPr>
            <w:webHidden/>
          </w:rPr>
          <w:fldChar w:fldCharType="separate"/>
        </w:r>
        <w:r w:rsidR="00CE5D47" w:rsidRPr="00054F34">
          <w:rPr>
            <w:webHidden/>
          </w:rPr>
          <w:t>3</w:t>
        </w:r>
        <w:r w:rsidR="00433D80" w:rsidRPr="00054F34">
          <w:rPr>
            <w:webHidden/>
          </w:rPr>
          <w:fldChar w:fldCharType="end"/>
        </w:r>
      </w:hyperlink>
    </w:p>
    <w:p w:rsidR="00433D80" w:rsidRPr="00054F34" w:rsidRDefault="00414E14" w:rsidP="00996FA3">
      <w:pPr>
        <w:pStyle w:val="TOC2"/>
        <w:tabs>
          <w:tab w:val="left" w:pos="720"/>
        </w:tabs>
        <w:jc w:val="both"/>
        <w:rPr>
          <w:rFonts w:asciiTheme="majorHAnsi" w:eastAsia="Times New Roman" w:hAnsiTheme="majorHAnsi"/>
          <w:noProof/>
          <w:sz w:val="20"/>
          <w:szCs w:val="20"/>
          <w:bdr w:val="none" w:sz="0" w:space="0" w:color="auto"/>
        </w:rPr>
      </w:pPr>
      <w:hyperlink w:anchor="_Toc473188686" w:history="1">
        <w:r w:rsidR="00433D80" w:rsidRPr="00054F34">
          <w:rPr>
            <w:rStyle w:val="Hyperlink"/>
            <w:rFonts w:asciiTheme="majorHAnsi" w:hAnsiTheme="majorHAnsi"/>
            <w:noProof/>
            <w:sz w:val="20"/>
            <w:szCs w:val="20"/>
            <w:lang w:val="es-ES_tradnl"/>
          </w:rPr>
          <w:t>A.</w:t>
        </w:r>
        <w:r w:rsidR="00433D80" w:rsidRPr="00054F34">
          <w:rPr>
            <w:rFonts w:asciiTheme="majorHAnsi" w:eastAsia="Times New Roman" w:hAnsiTheme="majorHAnsi"/>
            <w:noProof/>
            <w:sz w:val="20"/>
            <w:szCs w:val="20"/>
            <w:bdr w:val="none" w:sz="0" w:space="0" w:color="auto"/>
          </w:rPr>
          <w:tab/>
        </w:r>
        <w:r w:rsidR="00433D80" w:rsidRPr="00054F34">
          <w:rPr>
            <w:rStyle w:val="Hyperlink"/>
            <w:rFonts w:asciiTheme="majorHAnsi" w:hAnsiTheme="majorHAnsi"/>
            <w:noProof/>
            <w:sz w:val="20"/>
            <w:szCs w:val="20"/>
            <w:lang w:val="es-ES_tradnl"/>
          </w:rPr>
          <w:t>Posición de los peticionarios</w:t>
        </w:r>
        <w:r w:rsidR="00433D80" w:rsidRPr="00054F34">
          <w:rPr>
            <w:rFonts w:asciiTheme="majorHAnsi" w:hAnsiTheme="majorHAnsi"/>
            <w:noProof/>
            <w:webHidden/>
            <w:sz w:val="20"/>
            <w:szCs w:val="20"/>
          </w:rPr>
          <w:tab/>
        </w:r>
        <w:r w:rsidR="00433D80" w:rsidRPr="00054F34">
          <w:rPr>
            <w:rFonts w:asciiTheme="majorHAnsi" w:hAnsiTheme="majorHAnsi"/>
            <w:noProof/>
            <w:webHidden/>
            <w:sz w:val="20"/>
            <w:szCs w:val="20"/>
          </w:rPr>
          <w:fldChar w:fldCharType="begin"/>
        </w:r>
        <w:r w:rsidR="00433D80" w:rsidRPr="00054F34">
          <w:rPr>
            <w:rFonts w:asciiTheme="majorHAnsi" w:hAnsiTheme="majorHAnsi"/>
            <w:noProof/>
            <w:webHidden/>
            <w:sz w:val="20"/>
            <w:szCs w:val="20"/>
          </w:rPr>
          <w:instrText xml:space="preserve"> PAGEREF _Toc473188686 \h </w:instrText>
        </w:r>
        <w:r w:rsidR="00433D80" w:rsidRPr="00054F34">
          <w:rPr>
            <w:rFonts w:asciiTheme="majorHAnsi" w:hAnsiTheme="majorHAnsi"/>
            <w:noProof/>
            <w:webHidden/>
            <w:sz w:val="20"/>
            <w:szCs w:val="20"/>
          </w:rPr>
        </w:r>
        <w:r w:rsidR="00433D80" w:rsidRPr="00054F34">
          <w:rPr>
            <w:rFonts w:asciiTheme="majorHAnsi" w:hAnsiTheme="majorHAnsi"/>
            <w:noProof/>
            <w:webHidden/>
            <w:sz w:val="20"/>
            <w:szCs w:val="20"/>
          </w:rPr>
          <w:fldChar w:fldCharType="separate"/>
        </w:r>
        <w:r w:rsidR="00CE5D47" w:rsidRPr="00054F34">
          <w:rPr>
            <w:rFonts w:asciiTheme="majorHAnsi" w:hAnsiTheme="majorHAnsi"/>
            <w:noProof/>
            <w:webHidden/>
            <w:sz w:val="20"/>
            <w:szCs w:val="20"/>
          </w:rPr>
          <w:t>3</w:t>
        </w:r>
        <w:r w:rsidR="00433D80" w:rsidRPr="00054F34">
          <w:rPr>
            <w:rFonts w:asciiTheme="majorHAnsi" w:hAnsiTheme="majorHAnsi"/>
            <w:noProof/>
            <w:webHidden/>
            <w:sz w:val="20"/>
            <w:szCs w:val="20"/>
          </w:rPr>
          <w:fldChar w:fldCharType="end"/>
        </w:r>
      </w:hyperlink>
    </w:p>
    <w:p w:rsidR="00433D80" w:rsidRPr="00054F34" w:rsidRDefault="00414E14" w:rsidP="00996FA3">
      <w:pPr>
        <w:pStyle w:val="TOC2"/>
        <w:tabs>
          <w:tab w:val="left" w:pos="720"/>
        </w:tabs>
        <w:jc w:val="both"/>
        <w:rPr>
          <w:rFonts w:asciiTheme="majorHAnsi" w:eastAsia="Times New Roman" w:hAnsiTheme="majorHAnsi"/>
          <w:noProof/>
          <w:sz w:val="20"/>
          <w:szCs w:val="20"/>
          <w:bdr w:val="none" w:sz="0" w:space="0" w:color="auto"/>
        </w:rPr>
      </w:pPr>
      <w:hyperlink w:anchor="_Toc473188687" w:history="1">
        <w:r w:rsidR="00433D80" w:rsidRPr="00054F34">
          <w:rPr>
            <w:rStyle w:val="Hyperlink"/>
            <w:rFonts w:asciiTheme="majorHAnsi" w:hAnsiTheme="majorHAnsi"/>
            <w:noProof/>
            <w:sz w:val="20"/>
            <w:szCs w:val="20"/>
            <w:lang w:val="es-ES_tradnl"/>
          </w:rPr>
          <w:t>B.</w:t>
        </w:r>
        <w:r w:rsidR="00433D80" w:rsidRPr="00054F34">
          <w:rPr>
            <w:rFonts w:asciiTheme="majorHAnsi" w:eastAsia="Times New Roman" w:hAnsiTheme="majorHAnsi"/>
            <w:noProof/>
            <w:sz w:val="20"/>
            <w:szCs w:val="20"/>
            <w:bdr w:val="none" w:sz="0" w:space="0" w:color="auto"/>
          </w:rPr>
          <w:tab/>
        </w:r>
        <w:r w:rsidR="00433D80" w:rsidRPr="00054F34">
          <w:rPr>
            <w:rStyle w:val="Hyperlink"/>
            <w:rFonts w:asciiTheme="majorHAnsi" w:hAnsiTheme="majorHAnsi"/>
            <w:noProof/>
            <w:sz w:val="20"/>
            <w:szCs w:val="20"/>
            <w:lang w:val="es-ES_tradnl"/>
          </w:rPr>
          <w:t>Posición del Estado</w:t>
        </w:r>
        <w:r w:rsidR="00433D80" w:rsidRPr="00054F34">
          <w:rPr>
            <w:rFonts w:asciiTheme="majorHAnsi" w:hAnsiTheme="majorHAnsi"/>
            <w:noProof/>
            <w:webHidden/>
            <w:sz w:val="20"/>
            <w:szCs w:val="20"/>
          </w:rPr>
          <w:tab/>
        </w:r>
        <w:r w:rsidR="00433D80" w:rsidRPr="00054F34">
          <w:rPr>
            <w:rFonts w:asciiTheme="majorHAnsi" w:hAnsiTheme="majorHAnsi"/>
            <w:noProof/>
            <w:webHidden/>
            <w:sz w:val="20"/>
            <w:szCs w:val="20"/>
          </w:rPr>
          <w:fldChar w:fldCharType="begin"/>
        </w:r>
        <w:r w:rsidR="00433D80" w:rsidRPr="00054F34">
          <w:rPr>
            <w:rFonts w:asciiTheme="majorHAnsi" w:hAnsiTheme="majorHAnsi"/>
            <w:noProof/>
            <w:webHidden/>
            <w:sz w:val="20"/>
            <w:szCs w:val="20"/>
          </w:rPr>
          <w:instrText xml:space="preserve"> PAGEREF _Toc473188687 \h </w:instrText>
        </w:r>
        <w:r w:rsidR="00433D80" w:rsidRPr="00054F34">
          <w:rPr>
            <w:rFonts w:asciiTheme="majorHAnsi" w:hAnsiTheme="majorHAnsi"/>
            <w:noProof/>
            <w:webHidden/>
            <w:sz w:val="20"/>
            <w:szCs w:val="20"/>
          </w:rPr>
        </w:r>
        <w:r w:rsidR="00433D80" w:rsidRPr="00054F34">
          <w:rPr>
            <w:rFonts w:asciiTheme="majorHAnsi" w:hAnsiTheme="majorHAnsi"/>
            <w:noProof/>
            <w:webHidden/>
            <w:sz w:val="20"/>
            <w:szCs w:val="20"/>
          </w:rPr>
          <w:fldChar w:fldCharType="separate"/>
        </w:r>
        <w:r w:rsidR="00CE5D47" w:rsidRPr="00054F34">
          <w:rPr>
            <w:rFonts w:asciiTheme="majorHAnsi" w:hAnsiTheme="majorHAnsi"/>
            <w:noProof/>
            <w:webHidden/>
            <w:sz w:val="20"/>
            <w:szCs w:val="20"/>
          </w:rPr>
          <w:t>4</w:t>
        </w:r>
        <w:r w:rsidR="00433D80" w:rsidRPr="00054F34">
          <w:rPr>
            <w:rFonts w:asciiTheme="majorHAnsi" w:hAnsiTheme="majorHAnsi"/>
            <w:noProof/>
            <w:webHidden/>
            <w:sz w:val="20"/>
            <w:szCs w:val="20"/>
          </w:rPr>
          <w:fldChar w:fldCharType="end"/>
        </w:r>
      </w:hyperlink>
    </w:p>
    <w:p w:rsidR="00433D80" w:rsidRPr="00054F34" w:rsidRDefault="00414E14" w:rsidP="00054F34">
      <w:pPr>
        <w:pStyle w:val="TOC1"/>
        <w:rPr>
          <w:rFonts w:eastAsia="Times New Roman"/>
          <w:bdr w:val="none" w:sz="0" w:space="0" w:color="auto"/>
        </w:rPr>
      </w:pPr>
      <w:hyperlink w:anchor="_Toc473188688" w:history="1">
        <w:r w:rsidR="00433D80" w:rsidRPr="00054F34">
          <w:rPr>
            <w:rStyle w:val="Hyperlink"/>
            <w:rFonts w:cs="Calibri"/>
          </w:rPr>
          <w:t>IV.</w:t>
        </w:r>
        <w:r w:rsidR="00433D80" w:rsidRPr="00054F34">
          <w:rPr>
            <w:rFonts w:eastAsia="Times New Roman"/>
            <w:bdr w:val="none" w:sz="0" w:space="0" w:color="auto"/>
          </w:rPr>
          <w:tab/>
        </w:r>
        <w:r w:rsidR="00433D80" w:rsidRPr="00054F34">
          <w:rPr>
            <w:rStyle w:val="Hyperlink"/>
            <w:rFonts w:cs="Calibri"/>
          </w:rPr>
          <w:t>ANÁLISIS DE COMPETENCIA Y ADMISIBILIDAD</w:t>
        </w:r>
        <w:r w:rsidR="00433D80" w:rsidRPr="00054F34">
          <w:rPr>
            <w:webHidden/>
          </w:rPr>
          <w:tab/>
        </w:r>
        <w:r w:rsidR="00433D80" w:rsidRPr="00054F34">
          <w:rPr>
            <w:webHidden/>
          </w:rPr>
          <w:fldChar w:fldCharType="begin"/>
        </w:r>
        <w:r w:rsidR="00433D80" w:rsidRPr="00054F34">
          <w:rPr>
            <w:webHidden/>
          </w:rPr>
          <w:instrText xml:space="preserve"> PAGEREF _Toc473188688 \h </w:instrText>
        </w:r>
        <w:r w:rsidR="00433D80" w:rsidRPr="00054F34">
          <w:rPr>
            <w:webHidden/>
          </w:rPr>
        </w:r>
        <w:r w:rsidR="00433D80" w:rsidRPr="00054F34">
          <w:rPr>
            <w:webHidden/>
          </w:rPr>
          <w:fldChar w:fldCharType="separate"/>
        </w:r>
        <w:r w:rsidR="00CE5D47" w:rsidRPr="00054F34">
          <w:rPr>
            <w:webHidden/>
          </w:rPr>
          <w:t>5</w:t>
        </w:r>
        <w:r w:rsidR="00433D80" w:rsidRPr="00054F34">
          <w:rPr>
            <w:webHidden/>
          </w:rPr>
          <w:fldChar w:fldCharType="end"/>
        </w:r>
      </w:hyperlink>
    </w:p>
    <w:p w:rsidR="00433D80" w:rsidRPr="00054F34" w:rsidRDefault="00414E14" w:rsidP="00996FA3">
      <w:pPr>
        <w:pStyle w:val="TOC2"/>
        <w:tabs>
          <w:tab w:val="left" w:pos="720"/>
        </w:tabs>
        <w:jc w:val="both"/>
        <w:rPr>
          <w:rFonts w:asciiTheme="majorHAnsi" w:eastAsia="Times New Roman" w:hAnsiTheme="majorHAnsi"/>
          <w:noProof/>
          <w:sz w:val="20"/>
          <w:szCs w:val="20"/>
          <w:bdr w:val="none" w:sz="0" w:space="0" w:color="auto"/>
        </w:rPr>
      </w:pPr>
      <w:hyperlink w:anchor="_Toc473188689" w:history="1">
        <w:r w:rsidR="00433D80" w:rsidRPr="00054F34">
          <w:rPr>
            <w:rStyle w:val="Hyperlink"/>
            <w:rFonts w:asciiTheme="majorHAnsi" w:hAnsiTheme="majorHAnsi" w:cs="Calibri"/>
            <w:noProof/>
            <w:sz w:val="20"/>
            <w:szCs w:val="20"/>
            <w:lang w:val="es-ES_tradnl"/>
          </w:rPr>
          <w:t>A.</w:t>
        </w:r>
        <w:r w:rsidR="00433D80" w:rsidRPr="00054F34">
          <w:rPr>
            <w:rFonts w:asciiTheme="majorHAnsi" w:eastAsia="Times New Roman" w:hAnsiTheme="majorHAnsi"/>
            <w:noProof/>
            <w:sz w:val="20"/>
            <w:szCs w:val="20"/>
            <w:bdr w:val="none" w:sz="0" w:space="0" w:color="auto"/>
          </w:rPr>
          <w:tab/>
        </w:r>
        <w:r w:rsidR="00433D80" w:rsidRPr="00054F34">
          <w:rPr>
            <w:rStyle w:val="Hyperlink"/>
            <w:rFonts w:asciiTheme="majorHAnsi" w:hAnsiTheme="majorHAnsi"/>
            <w:noProof/>
            <w:sz w:val="20"/>
            <w:szCs w:val="20"/>
            <w:lang w:val="es-ES_tradnl"/>
          </w:rPr>
          <w:t>Competencia ratione personae, ratione loci, ratione temporis y ratione materiae de la Comisión</w:t>
        </w:r>
        <w:r w:rsidR="00433D80" w:rsidRPr="00054F34">
          <w:rPr>
            <w:rFonts w:asciiTheme="majorHAnsi" w:hAnsiTheme="majorHAnsi"/>
            <w:noProof/>
            <w:webHidden/>
            <w:sz w:val="20"/>
            <w:szCs w:val="20"/>
          </w:rPr>
          <w:tab/>
        </w:r>
        <w:r w:rsidR="00433D80" w:rsidRPr="00054F34">
          <w:rPr>
            <w:rFonts w:asciiTheme="majorHAnsi" w:hAnsiTheme="majorHAnsi"/>
            <w:noProof/>
            <w:webHidden/>
            <w:sz w:val="20"/>
            <w:szCs w:val="20"/>
          </w:rPr>
          <w:fldChar w:fldCharType="begin"/>
        </w:r>
        <w:r w:rsidR="00433D80" w:rsidRPr="00054F34">
          <w:rPr>
            <w:rFonts w:asciiTheme="majorHAnsi" w:hAnsiTheme="majorHAnsi"/>
            <w:noProof/>
            <w:webHidden/>
            <w:sz w:val="20"/>
            <w:szCs w:val="20"/>
          </w:rPr>
          <w:instrText xml:space="preserve"> PAGEREF _Toc473188689 \h </w:instrText>
        </w:r>
        <w:r w:rsidR="00433D80" w:rsidRPr="00054F34">
          <w:rPr>
            <w:rFonts w:asciiTheme="majorHAnsi" w:hAnsiTheme="majorHAnsi"/>
            <w:noProof/>
            <w:webHidden/>
            <w:sz w:val="20"/>
            <w:szCs w:val="20"/>
          </w:rPr>
        </w:r>
        <w:r w:rsidR="00433D80" w:rsidRPr="00054F34">
          <w:rPr>
            <w:rFonts w:asciiTheme="majorHAnsi" w:hAnsiTheme="majorHAnsi"/>
            <w:noProof/>
            <w:webHidden/>
            <w:sz w:val="20"/>
            <w:szCs w:val="20"/>
          </w:rPr>
          <w:fldChar w:fldCharType="separate"/>
        </w:r>
        <w:r w:rsidR="00CE5D47" w:rsidRPr="00054F34">
          <w:rPr>
            <w:rFonts w:asciiTheme="majorHAnsi" w:hAnsiTheme="majorHAnsi"/>
            <w:noProof/>
            <w:webHidden/>
            <w:sz w:val="20"/>
            <w:szCs w:val="20"/>
          </w:rPr>
          <w:t>5</w:t>
        </w:r>
        <w:r w:rsidR="00433D80" w:rsidRPr="00054F34">
          <w:rPr>
            <w:rFonts w:asciiTheme="majorHAnsi" w:hAnsiTheme="majorHAnsi"/>
            <w:noProof/>
            <w:webHidden/>
            <w:sz w:val="20"/>
            <w:szCs w:val="20"/>
          </w:rPr>
          <w:fldChar w:fldCharType="end"/>
        </w:r>
      </w:hyperlink>
    </w:p>
    <w:p w:rsidR="00433D80" w:rsidRPr="00054F34" w:rsidRDefault="00414E14" w:rsidP="00996FA3">
      <w:pPr>
        <w:pStyle w:val="TOC2"/>
        <w:tabs>
          <w:tab w:val="left" w:pos="720"/>
        </w:tabs>
        <w:jc w:val="both"/>
        <w:rPr>
          <w:rFonts w:asciiTheme="majorHAnsi" w:eastAsia="Times New Roman" w:hAnsiTheme="majorHAnsi"/>
          <w:noProof/>
          <w:sz w:val="20"/>
          <w:szCs w:val="20"/>
          <w:bdr w:val="none" w:sz="0" w:space="0" w:color="auto"/>
        </w:rPr>
      </w:pPr>
      <w:hyperlink w:anchor="_Toc473188690" w:history="1">
        <w:r w:rsidR="00433D80" w:rsidRPr="00054F34">
          <w:rPr>
            <w:rStyle w:val="Hyperlink"/>
            <w:rFonts w:asciiTheme="majorHAnsi" w:hAnsiTheme="majorHAnsi" w:cs="Calibri"/>
            <w:noProof/>
            <w:sz w:val="20"/>
            <w:szCs w:val="20"/>
            <w:lang w:val="es-ES_tradnl"/>
          </w:rPr>
          <w:t>B.</w:t>
        </w:r>
        <w:r w:rsidR="00433D80" w:rsidRPr="00054F34">
          <w:rPr>
            <w:rFonts w:asciiTheme="majorHAnsi" w:eastAsia="Times New Roman" w:hAnsiTheme="majorHAnsi"/>
            <w:noProof/>
            <w:sz w:val="20"/>
            <w:szCs w:val="20"/>
            <w:bdr w:val="none" w:sz="0" w:space="0" w:color="auto"/>
          </w:rPr>
          <w:tab/>
        </w:r>
        <w:r w:rsidR="00433D80" w:rsidRPr="00054F34">
          <w:rPr>
            <w:rStyle w:val="Hyperlink"/>
            <w:rFonts w:asciiTheme="majorHAnsi" w:hAnsiTheme="majorHAnsi"/>
            <w:noProof/>
            <w:sz w:val="20"/>
            <w:szCs w:val="20"/>
            <w:lang w:val="es-ES_tradnl"/>
          </w:rPr>
          <w:t>Agotamiento de los recursos internos</w:t>
        </w:r>
        <w:r w:rsidR="00433D80" w:rsidRPr="00054F34">
          <w:rPr>
            <w:rFonts w:asciiTheme="majorHAnsi" w:hAnsiTheme="majorHAnsi"/>
            <w:noProof/>
            <w:webHidden/>
            <w:sz w:val="20"/>
            <w:szCs w:val="20"/>
          </w:rPr>
          <w:tab/>
        </w:r>
        <w:r w:rsidR="00433D80" w:rsidRPr="00054F34">
          <w:rPr>
            <w:rFonts w:asciiTheme="majorHAnsi" w:hAnsiTheme="majorHAnsi"/>
            <w:noProof/>
            <w:webHidden/>
            <w:sz w:val="20"/>
            <w:szCs w:val="20"/>
          </w:rPr>
          <w:fldChar w:fldCharType="begin"/>
        </w:r>
        <w:r w:rsidR="00433D80" w:rsidRPr="00054F34">
          <w:rPr>
            <w:rFonts w:asciiTheme="majorHAnsi" w:hAnsiTheme="majorHAnsi"/>
            <w:noProof/>
            <w:webHidden/>
            <w:sz w:val="20"/>
            <w:szCs w:val="20"/>
          </w:rPr>
          <w:instrText xml:space="preserve"> PAGEREF _Toc473188690 \h </w:instrText>
        </w:r>
        <w:r w:rsidR="00433D80" w:rsidRPr="00054F34">
          <w:rPr>
            <w:rFonts w:asciiTheme="majorHAnsi" w:hAnsiTheme="majorHAnsi"/>
            <w:noProof/>
            <w:webHidden/>
            <w:sz w:val="20"/>
            <w:szCs w:val="20"/>
          </w:rPr>
        </w:r>
        <w:r w:rsidR="00433D80" w:rsidRPr="00054F34">
          <w:rPr>
            <w:rFonts w:asciiTheme="majorHAnsi" w:hAnsiTheme="majorHAnsi"/>
            <w:noProof/>
            <w:webHidden/>
            <w:sz w:val="20"/>
            <w:szCs w:val="20"/>
          </w:rPr>
          <w:fldChar w:fldCharType="separate"/>
        </w:r>
        <w:r w:rsidR="00CE5D47" w:rsidRPr="00054F34">
          <w:rPr>
            <w:rFonts w:asciiTheme="majorHAnsi" w:hAnsiTheme="majorHAnsi"/>
            <w:noProof/>
            <w:webHidden/>
            <w:sz w:val="20"/>
            <w:szCs w:val="20"/>
          </w:rPr>
          <w:t>5</w:t>
        </w:r>
        <w:r w:rsidR="00433D80" w:rsidRPr="00054F34">
          <w:rPr>
            <w:rFonts w:asciiTheme="majorHAnsi" w:hAnsiTheme="majorHAnsi"/>
            <w:noProof/>
            <w:webHidden/>
            <w:sz w:val="20"/>
            <w:szCs w:val="20"/>
          </w:rPr>
          <w:fldChar w:fldCharType="end"/>
        </w:r>
      </w:hyperlink>
    </w:p>
    <w:p w:rsidR="00433D80" w:rsidRPr="00054F34" w:rsidRDefault="00414E14" w:rsidP="00996FA3">
      <w:pPr>
        <w:pStyle w:val="TOC2"/>
        <w:tabs>
          <w:tab w:val="left" w:pos="720"/>
        </w:tabs>
        <w:jc w:val="both"/>
        <w:rPr>
          <w:rFonts w:asciiTheme="majorHAnsi" w:eastAsia="Times New Roman" w:hAnsiTheme="majorHAnsi"/>
          <w:noProof/>
          <w:sz w:val="20"/>
          <w:szCs w:val="20"/>
          <w:bdr w:val="none" w:sz="0" w:space="0" w:color="auto"/>
        </w:rPr>
      </w:pPr>
      <w:hyperlink w:anchor="_Toc473188691" w:history="1">
        <w:r w:rsidR="00433D80" w:rsidRPr="00054F34">
          <w:rPr>
            <w:rStyle w:val="Hyperlink"/>
            <w:rFonts w:asciiTheme="majorHAnsi" w:hAnsiTheme="majorHAnsi"/>
            <w:noProof/>
            <w:sz w:val="20"/>
            <w:szCs w:val="20"/>
            <w:lang w:val="es-ES_tradnl"/>
          </w:rPr>
          <w:t>C.</w:t>
        </w:r>
        <w:r w:rsidR="00433D80" w:rsidRPr="00054F34">
          <w:rPr>
            <w:rFonts w:asciiTheme="majorHAnsi" w:eastAsia="Times New Roman" w:hAnsiTheme="majorHAnsi"/>
            <w:noProof/>
            <w:sz w:val="20"/>
            <w:szCs w:val="20"/>
            <w:bdr w:val="none" w:sz="0" w:space="0" w:color="auto"/>
          </w:rPr>
          <w:tab/>
        </w:r>
        <w:r w:rsidR="00433D80" w:rsidRPr="00054F34">
          <w:rPr>
            <w:rStyle w:val="Hyperlink"/>
            <w:rFonts w:asciiTheme="majorHAnsi" w:hAnsiTheme="majorHAnsi"/>
            <w:noProof/>
            <w:sz w:val="20"/>
            <w:szCs w:val="20"/>
            <w:lang w:val="es-ES_tradnl"/>
          </w:rPr>
          <w:t>Plazo de presentación de la petición</w:t>
        </w:r>
        <w:r w:rsidR="00433D80" w:rsidRPr="00054F34">
          <w:rPr>
            <w:rFonts w:asciiTheme="majorHAnsi" w:hAnsiTheme="majorHAnsi"/>
            <w:noProof/>
            <w:webHidden/>
            <w:sz w:val="20"/>
            <w:szCs w:val="20"/>
          </w:rPr>
          <w:tab/>
        </w:r>
        <w:r w:rsidR="00433D80" w:rsidRPr="00054F34">
          <w:rPr>
            <w:rFonts w:asciiTheme="majorHAnsi" w:hAnsiTheme="majorHAnsi"/>
            <w:noProof/>
            <w:webHidden/>
            <w:sz w:val="20"/>
            <w:szCs w:val="20"/>
          </w:rPr>
          <w:fldChar w:fldCharType="begin"/>
        </w:r>
        <w:r w:rsidR="00433D80" w:rsidRPr="00054F34">
          <w:rPr>
            <w:rFonts w:asciiTheme="majorHAnsi" w:hAnsiTheme="majorHAnsi"/>
            <w:noProof/>
            <w:webHidden/>
            <w:sz w:val="20"/>
            <w:szCs w:val="20"/>
          </w:rPr>
          <w:instrText xml:space="preserve"> PAGEREF _Toc473188691 \h </w:instrText>
        </w:r>
        <w:r w:rsidR="00433D80" w:rsidRPr="00054F34">
          <w:rPr>
            <w:rFonts w:asciiTheme="majorHAnsi" w:hAnsiTheme="majorHAnsi"/>
            <w:noProof/>
            <w:webHidden/>
            <w:sz w:val="20"/>
            <w:szCs w:val="20"/>
          </w:rPr>
        </w:r>
        <w:r w:rsidR="00433D80" w:rsidRPr="00054F34">
          <w:rPr>
            <w:rFonts w:asciiTheme="majorHAnsi" w:hAnsiTheme="majorHAnsi"/>
            <w:noProof/>
            <w:webHidden/>
            <w:sz w:val="20"/>
            <w:szCs w:val="20"/>
          </w:rPr>
          <w:fldChar w:fldCharType="separate"/>
        </w:r>
        <w:r w:rsidR="00CE5D47" w:rsidRPr="00054F34">
          <w:rPr>
            <w:rFonts w:asciiTheme="majorHAnsi" w:hAnsiTheme="majorHAnsi"/>
            <w:noProof/>
            <w:webHidden/>
            <w:sz w:val="20"/>
            <w:szCs w:val="20"/>
          </w:rPr>
          <w:t>6</w:t>
        </w:r>
        <w:r w:rsidR="00433D80" w:rsidRPr="00054F34">
          <w:rPr>
            <w:rFonts w:asciiTheme="majorHAnsi" w:hAnsiTheme="majorHAnsi"/>
            <w:noProof/>
            <w:webHidden/>
            <w:sz w:val="20"/>
            <w:szCs w:val="20"/>
          </w:rPr>
          <w:fldChar w:fldCharType="end"/>
        </w:r>
      </w:hyperlink>
    </w:p>
    <w:p w:rsidR="00433D80" w:rsidRPr="00054F34" w:rsidRDefault="00414E14" w:rsidP="00996FA3">
      <w:pPr>
        <w:pStyle w:val="TOC2"/>
        <w:tabs>
          <w:tab w:val="left" w:pos="720"/>
        </w:tabs>
        <w:jc w:val="both"/>
        <w:rPr>
          <w:rFonts w:asciiTheme="majorHAnsi" w:eastAsia="Times New Roman" w:hAnsiTheme="majorHAnsi"/>
          <w:noProof/>
          <w:sz w:val="20"/>
          <w:szCs w:val="20"/>
          <w:bdr w:val="none" w:sz="0" w:space="0" w:color="auto"/>
        </w:rPr>
      </w:pPr>
      <w:hyperlink w:anchor="_Toc473188692" w:history="1">
        <w:r w:rsidR="00433D80" w:rsidRPr="00054F34">
          <w:rPr>
            <w:rStyle w:val="Hyperlink"/>
            <w:rFonts w:asciiTheme="majorHAnsi" w:hAnsiTheme="majorHAnsi"/>
            <w:noProof/>
            <w:sz w:val="20"/>
            <w:szCs w:val="20"/>
            <w:lang w:val="es-ES_tradnl"/>
          </w:rPr>
          <w:t>D.</w:t>
        </w:r>
        <w:r w:rsidR="00433D80" w:rsidRPr="00054F34">
          <w:rPr>
            <w:rFonts w:asciiTheme="majorHAnsi" w:eastAsia="Times New Roman" w:hAnsiTheme="majorHAnsi"/>
            <w:noProof/>
            <w:sz w:val="20"/>
            <w:szCs w:val="20"/>
            <w:bdr w:val="none" w:sz="0" w:space="0" w:color="auto"/>
          </w:rPr>
          <w:tab/>
        </w:r>
        <w:r w:rsidR="00433D80" w:rsidRPr="00054F34">
          <w:rPr>
            <w:rStyle w:val="Hyperlink"/>
            <w:rFonts w:asciiTheme="majorHAnsi" w:hAnsiTheme="majorHAnsi"/>
            <w:noProof/>
            <w:sz w:val="20"/>
            <w:szCs w:val="20"/>
            <w:lang w:val="es-ES_tradnl"/>
          </w:rPr>
          <w:t>Duplicación de procedimientos y cosa juzgada internacional</w:t>
        </w:r>
        <w:r w:rsidR="00433D80" w:rsidRPr="00054F34">
          <w:rPr>
            <w:rFonts w:asciiTheme="majorHAnsi" w:hAnsiTheme="majorHAnsi"/>
            <w:noProof/>
            <w:webHidden/>
            <w:sz w:val="20"/>
            <w:szCs w:val="20"/>
          </w:rPr>
          <w:tab/>
        </w:r>
        <w:r w:rsidR="00433D80" w:rsidRPr="00054F34">
          <w:rPr>
            <w:rFonts w:asciiTheme="majorHAnsi" w:hAnsiTheme="majorHAnsi"/>
            <w:noProof/>
            <w:webHidden/>
            <w:sz w:val="20"/>
            <w:szCs w:val="20"/>
          </w:rPr>
          <w:fldChar w:fldCharType="begin"/>
        </w:r>
        <w:r w:rsidR="00433D80" w:rsidRPr="00054F34">
          <w:rPr>
            <w:rFonts w:asciiTheme="majorHAnsi" w:hAnsiTheme="majorHAnsi"/>
            <w:noProof/>
            <w:webHidden/>
            <w:sz w:val="20"/>
            <w:szCs w:val="20"/>
          </w:rPr>
          <w:instrText xml:space="preserve"> PAGEREF _Toc473188692 \h </w:instrText>
        </w:r>
        <w:r w:rsidR="00433D80" w:rsidRPr="00054F34">
          <w:rPr>
            <w:rFonts w:asciiTheme="majorHAnsi" w:hAnsiTheme="majorHAnsi"/>
            <w:noProof/>
            <w:webHidden/>
            <w:sz w:val="20"/>
            <w:szCs w:val="20"/>
          </w:rPr>
        </w:r>
        <w:r w:rsidR="00433D80" w:rsidRPr="00054F34">
          <w:rPr>
            <w:rFonts w:asciiTheme="majorHAnsi" w:hAnsiTheme="majorHAnsi"/>
            <w:noProof/>
            <w:webHidden/>
            <w:sz w:val="20"/>
            <w:szCs w:val="20"/>
          </w:rPr>
          <w:fldChar w:fldCharType="separate"/>
        </w:r>
        <w:r w:rsidR="00CE5D47" w:rsidRPr="00054F34">
          <w:rPr>
            <w:rFonts w:asciiTheme="majorHAnsi" w:hAnsiTheme="majorHAnsi"/>
            <w:noProof/>
            <w:webHidden/>
            <w:sz w:val="20"/>
            <w:szCs w:val="20"/>
          </w:rPr>
          <w:t>6</w:t>
        </w:r>
        <w:r w:rsidR="00433D80" w:rsidRPr="00054F34">
          <w:rPr>
            <w:rFonts w:asciiTheme="majorHAnsi" w:hAnsiTheme="majorHAnsi"/>
            <w:noProof/>
            <w:webHidden/>
            <w:sz w:val="20"/>
            <w:szCs w:val="20"/>
          </w:rPr>
          <w:fldChar w:fldCharType="end"/>
        </w:r>
      </w:hyperlink>
    </w:p>
    <w:p w:rsidR="00433D80" w:rsidRPr="00054F34" w:rsidRDefault="00414E14" w:rsidP="00996FA3">
      <w:pPr>
        <w:pStyle w:val="TOC2"/>
        <w:tabs>
          <w:tab w:val="left" w:pos="720"/>
        </w:tabs>
        <w:jc w:val="both"/>
        <w:rPr>
          <w:rFonts w:asciiTheme="majorHAnsi" w:eastAsia="Times New Roman" w:hAnsiTheme="majorHAnsi"/>
          <w:noProof/>
          <w:sz w:val="20"/>
          <w:szCs w:val="20"/>
          <w:bdr w:val="none" w:sz="0" w:space="0" w:color="auto"/>
        </w:rPr>
      </w:pPr>
      <w:hyperlink w:anchor="_Toc473188693" w:history="1">
        <w:r w:rsidR="00433D80" w:rsidRPr="00054F34">
          <w:rPr>
            <w:rStyle w:val="Hyperlink"/>
            <w:rFonts w:asciiTheme="majorHAnsi" w:hAnsiTheme="majorHAnsi"/>
            <w:noProof/>
            <w:sz w:val="20"/>
            <w:szCs w:val="20"/>
            <w:lang w:val="es-ES_tradnl"/>
          </w:rPr>
          <w:t>E.</w:t>
        </w:r>
        <w:r w:rsidR="00433D80" w:rsidRPr="00054F34">
          <w:rPr>
            <w:rFonts w:asciiTheme="majorHAnsi" w:eastAsia="Times New Roman" w:hAnsiTheme="majorHAnsi"/>
            <w:noProof/>
            <w:sz w:val="20"/>
            <w:szCs w:val="20"/>
            <w:bdr w:val="none" w:sz="0" w:space="0" w:color="auto"/>
          </w:rPr>
          <w:tab/>
        </w:r>
        <w:r w:rsidR="00433D80" w:rsidRPr="00054F34">
          <w:rPr>
            <w:rStyle w:val="Hyperlink"/>
            <w:rFonts w:asciiTheme="majorHAnsi" w:hAnsiTheme="majorHAnsi"/>
            <w:noProof/>
            <w:sz w:val="20"/>
            <w:szCs w:val="20"/>
            <w:lang w:val="es-ES_tradnl"/>
          </w:rPr>
          <w:t>Caracterización de los hechos alegados</w:t>
        </w:r>
        <w:r w:rsidR="00433D80" w:rsidRPr="00054F34">
          <w:rPr>
            <w:rFonts w:asciiTheme="majorHAnsi" w:hAnsiTheme="majorHAnsi"/>
            <w:noProof/>
            <w:webHidden/>
            <w:sz w:val="20"/>
            <w:szCs w:val="20"/>
          </w:rPr>
          <w:tab/>
        </w:r>
        <w:r w:rsidR="00433D80" w:rsidRPr="00054F34">
          <w:rPr>
            <w:rFonts w:asciiTheme="majorHAnsi" w:hAnsiTheme="majorHAnsi"/>
            <w:noProof/>
            <w:webHidden/>
            <w:sz w:val="20"/>
            <w:szCs w:val="20"/>
          </w:rPr>
          <w:fldChar w:fldCharType="begin"/>
        </w:r>
        <w:r w:rsidR="00433D80" w:rsidRPr="00054F34">
          <w:rPr>
            <w:rFonts w:asciiTheme="majorHAnsi" w:hAnsiTheme="majorHAnsi"/>
            <w:noProof/>
            <w:webHidden/>
            <w:sz w:val="20"/>
            <w:szCs w:val="20"/>
          </w:rPr>
          <w:instrText xml:space="preserve"> PAGEREF _Toc473188693 \h </w:instrText>
        </w:r>
        <w:r w:rsidR="00433D80" w:rsidRPr="00054F34">
          <w:rPr>
            <w:rFonts w:asciiTheme="majorHAnsi" w:hAnsiTheme="majorHAnsi"/>
            <w:noProof/>
            <w:webHidden/>
            <w:sz w:val="20"/>
            <w:szCs w:val="20"/>
          </w:rPr>
        </w:r>
        <w:r w:rsidR="00433D80" w:rsidRPr="00054F34">
          <w:rPr>
            <w:rFonts w:asciiTheme="majorHAnsi" w:hAnsiTheme="majorHAnsi"/>
            <w:noProof/>
            <w:webHidden/>
            <w:sz w:val="20"/>
            <w:szCs w:val="20"/>
          </w:rPr>
          <w:fldChar w:fldCharType="separate"/>
        </w:r>
        <w:r w:rsidR="00CE5D47" w:rsidRPr="00054F34">
          <w:rPr>
            <w:rFonts w:asciiTheme="majorHAnsi" w:hAnsiTheme="majorHAnsi"/>
            <w:noProof/>
            <w:webHidden/>
            <w:sz w:val="20"/>
            <w:szCs w:val="20"/>
          </w:rPr>
          <w:t>6</w:t>
        </w:r>
        <w:r w:rsidR="00433D80" w:rsidRPr="00054F34">
          <w:rPr>
            <w:rFonts w:asciiTheme="majorHAnsi" w:hAnsiTheme="majorHAnsi"/>
            <w:noProof/>
            <w:webHidden/>
            <w:sz w:val="20"/>
            <w:szCs w:val="20"/>
          </w:rPr>
          <w:fldChar w:fldCharType="end"/>
        </w:r>
      </w:hyperlink>
    </w:p>
    <w:p w:rsidR="00433D80" w:rsidRPr="00054F34" w:rsidRDefault="00414E14" w:rsidP="00054F34">
      <w:pPr>
        <w:pStyle w:val="TOC1"/>
        <w:rPr>
          <w:rFonts w:eastAsia="Times New Roman"/>
          <w:bdr w:val="none" w:sz="0" w:space="0" w:color="auto"/>
        </w:rPr>
      </w:pPr>
      <w:hyperlink w:anchor="_Toc473188694" w:history="1">
        <w:r w:rsidR="00433D80" w:rsidRPr="00054F34">
          <w:rPr>
            <w:rStyle w:val="Hyperlink"/>
          </w:rPr>
          <w:t>V.</w:t>
        </w:r>
        <w:r w:rsidR="00433D80" w:rsidRPr="00054F34">
          <w:rPr>
            <w:rFonts w:eastAsia="Times New Roman"/>
            <w:bdr w:val="none" w:sz="0" w:space="0" w:color="auto"/>
          </w:rPr>
          <w:tab/>
        </w:r>
        <w:r w:rsidR="00433D80" w:rsidRPr="00054F34">
          <w:rPr>
            <w:rStyle w:val="Hyperlink"/>
          </w:rPr>
          <w:t>HECHOS PROBADOS</w:t>
        </w:r>
        <w:r w:rsidR="00433D80" w:rsidRPr="00054F34">
          <w:rPr>
            <w:webHidden/>
          </w:rPr>
          <w:tab/>
        </w:r>
        <w:r w:rsidR="00433D80" w:rsidRPr="00054F34">
          <w:rPr>
            <w:webHidden/>
          </w:rPr>
          <w:fldChar w:fldCharType="begin"/>
        </w:r>
        <w:r w:rsidR="00433D80" w:rsidRPr="00054F34">
          <w:rPr>
            <w:webHidden/>
          </w:rPr>
          <w:instrText xml:space="preserve"> PAGEREF _Toc473188694 \h </w:instrText>
        </w:r>
        <w:r w:rsidR="00433D80" w:rsidRPr="00054F34">
          <w:rPr>
            <w:webHidden/>
          </w:rPr>
        </w:r>
        <w:r w:rsidR="00433D80" w:rsidRPr="00054F34">
          <w:rPr>
            <w:webHidden/>
          </w:rPr>
          <w:fldChar w:fldCharType="separate"/>
        </w:r>
        <w:r w:rsidR="00CE5D47" w:rsidRPr="00054F34">
          <w:rPr>
            <w:webHidden/>
          </w:rPr>
          <w:t>6</w:t>
        </w:r>
        <w:r w:rsidR="00433D80" w:rsidRPr="00054F34">
          <w:rPr>
            <w:webHidden/>
          </w:rPr>
          <w:fldChar w:fldCharType="end"/>
        </w:r>
      </w:hyperlink>
    </w:p>
    <w:p w:rsidR="00433D80" w:rsidRPr="00054F34" w:rsidRDefault="00414E14" w:rsidP="00996FA3">
      <w:pPr>
        <w:pStyle w:val="TOC2"/>
        <w:tabs>
          <w:tab w:val="left" w:pos="720"/>
        </w:tabs>
        <w:jc w:val="both"/>
        <w:rPr>
          <w:rFonts w:asciiTheme="majorHAnsi" w:eastAsia="Times New Roman" w:hAnsiTheme="majorHAnsi"/>
          <w:noProof/>
          <w:sz w:val="20"/>
          <w:szCs w:val="20"/>
          <w:bdr w:val="none" w:sz="0" w:space="0" w:color="auto"/>
        </w:rPr>
      </w:pPr>
      <w:hyperlink w:anchor="_Toc473188695" w:history="1">
        <w:r w:rsidR="00433D80" w:rsidRPr="00054F34">
          <w:rPr>
            <w:rStyle w:val="Hyperlink"/>
            <w:rFonts w:asciiTheme="majorHAnsi" w:hAnsiTheme="majorHAnsi"/>
            <w:noProof/>
            <w:sz w:val="20"/>
            <w:szCs w:val="20"/>
            <w:lang w:val="es-ES_tradnl"/>
          </w:rPr>
          <w:t>A.</w:t>
        </w:r>
        <w:r w:rsidR="00433D80" w:rsidRPr="00054F34">
          <w:rPr>
            <w:rFonts w:asciiTheme="majorHAnsi" w:eastAsia="Times New Roman" w:hAnsiTheme="majorHAnsi"/>
            <w:noProof/>
            <w:sz w:val="20"/>
            <w:szCs w:val="20"/>
            <w:bdr w:val="none" w:sz="0" w:space="0" w:color="auto"/>
          </w:rPr>
          <w:tab/>
        </w:r>
        <w:r w:rsidR="00433D80" w:rsidRPr="00054F34">
          <w:rPr>
            <w:rStyle w:val="Hyperlink"/>
            <w:rFonts w:asciiTheme="majorHAnsi" w:hAnsiTheme="majorHAnsi"/>
            <w:noProof/>
            <w:sz w:val="20"/>
            <w:szCs w:val="20"/>
            <w:lang w:val="es-ES_tradnl"/>
          </w:rPr>
          <w:t>Sobre la situación de Alejandro Gómez y su participación en el Sindicato de los Trabajadores de la Máquila ARC</w:t>
        </w:r>
        <w:r w:rsidR="00433D80" w:rsidRPr="00054F34">
          <w:rPr>
            <w:rFonts w:asciiTheme="majorHAnsi" w:hAnsiTheme="majorHAnsi"/>
            <w:noProof/>
            <w:webHidden/>
            <w:sz w:val="20"/>
            <w:szCs w:val="20"/>
          </w:rPr>
          <w:tab/>
        </w:r>
        <w:r w:rsidR="00433D80" w:rsidRPr="00054F34">
          <w:rPr>
            <w:rFonts w:asciiTheme="majorHAnsi" w:hAnsiTheme="majorHAnsi"/>
            <w:noProof/>
            <w:webHidden/>
            <w:sz w:val="20"/>
            <w:szCs w:val="20"/>
          </w:rPr>
          <w:fldChar w:fldCharType="begin"/>
        </w:r>
        <w:r w:rsidR="00433D80" w:rsidRPr="00054F34">
          <w:rPr>
            <w:rFonts w:asciiTheme="majorHAnsi" w:hAnsiTheme="majorHAnsi"/>
            <w:noProof/>
            <w:webHidden/>
            <w:sz w:val="20"/>
            <w:szCs w:val="20"/>
          </w:rPr>
          <w:instrText xml:space="preserve"> PAGEREF _Toc473188695 \h </w:instrText>
        </w:r>
        <w:r w:rsidR="00433D80" w:rsidRPr="00054F34">
          <w:rPr>
            <w:rFonts w:asciiTheme="majorHAnsi" w:hAnsiTheme="majorHAnsi"/>
            <w:noProof/>
            <w:webHidden/>
            <w:sz w:val="20"/>
            <w:szCs w:val="20"/>
          </w:rPr>
        </w:r>
        <w:r w:rsidR="00433D80" w:rsidRPr="00054F34">
          <w:rPr>
            <w:rFonts w:asciiTheme="majorHAnsi" w:hAnsiTheme="majorHAnsi"/>
            <w:noProof/>
            <w:webHidden/>
            <w:sz w:val="20"/>
            <w:szCs w:val="20"/>
          </w:rPr>
          <w:fldChar w:fldCharType="separate"/>
        </w:r>
        <w:r w:rsidR="00CE5D47" w:rsidRPr="00054F34">
          <w:rPr>
            <w:rFonts w:asciiTheme="majorHAnsi" w:hAnsiTheme="majorHAnsi"/>
            <w:noProof/>
            <w:webHidden/>
            <w:sz w:val="20"/>
            <w:szCs w:val="20"/>
          </w:rPr>
          <w:t>7</w:t>
        </w:r>
        <w:r w:rsidR="00433D80" w:rsidRPr="00054F34">
          <w:rPr>
            <w:rFonts w:asciiTheme="majorHAnsi" w:hAnsiTheme="majorHAnsi"/>
            <w:noProof/>
            <w:webHidden/>
            <w:sz w:val="20"/>
            <w:szCs w:val="20"/>
          </w:rPr>
          <w:fldChar w:fldCharType="end"/>
        </w:r>
      </w:hyperlink>
    </w:p>
    <w:p w:rsidR="00433D80" w:rsidRPr="00054F34" w:rsidRDefault="00414E14" w:rsidP="00996FA3">
      <w:pPr>
        <w:pStyle w:val="TOC2"/>
        <w:tabs>
          <w:tab w:val="left" w:pos="720"/>
        </w:tabs>
        <w:jc w:val="both"/>
        <w:rPr>
          <w:rFonts w:asciiTheme="majorHAnsi" w:eastAsia="Times New Roman" w:hAnsiTheme="majorHAnsi"/>
          <w:noProof/>
          <w:sz w:val="20"/>
          <w:szCs w:val="20"/>
          <w:bdr w:val="none" w:sz="0" w:space="0" w:color="auto"/>
        </w:rPr>
      </w:pPr>
      <w:hyperlink w:anchor="_Toc473188696" w:history="1">
        <w:r w:rsidR="00433D80" w:rsidRPr="00054F34">
          <w:rPr>
            <w:rStyle w:val="Hyperlink"/>
            <w:rFonts w:asciiTheme="majorHAnsi" w:hAnsiTheme="majorHAnsi"/>
            <w:noProof/>
            <w:sz w:val="20"/>
            <w:szCs w:val="20"/>
            <w:lang w:val="es-ES_tradnl"/>
          </w:rPr>
          <w:t>B.</w:t>
        </w:r>
        <w:r w:rsidR="00433D80" w:rsidRPr="00054F34">
          <w:rPr>
            <w:rFonts w:asciiTheme="majorHAnsi" w:eastAsia="Times New Roman" w:hAnsiTheme="majorHAnsi"/>
            <w:noProof/>
            <w:sz w:val="20"/>
            <w:szCs w:val="20"/>
            <w:bdr w:val="none" w:sz="0" w:space="0" w:color="auto"/>
          </w:rPr>
          <w:tab/>
        </w:r>
        <w:r w:rsidR="00433D80" w:rsidRPr="00054F34">
          <w:rPr>
            <w:rStyle w:val="Hyperlink"/>
            <w:rFonts w:asciiTheme="majorHAnsi" w:hAnsiTheme="majorHAnsi"/>
            <w:noProof/>
            <w:sz w:val="20"/>
            <w:szCs w:val="20"/>
            <w:lang w:val="es-ES_tradnl"/>
          </w:rPr>
          <w:t>Sobre la desaparición del señor Gómez el 13 de marzo de 1995</w:t>
        </w:r>
        <w:r w:rsidR="00433D80" w:rsidRPr="00054F34">
          <w:rPr>
            <w:rFonts w:asciiTheme="majorHAnsi" w:hAnsiTheme="majorHAnsi"/>
            <w:noProof/>
            <w:webHidden/>
            <w:sz w:val="20"/>
            <w:szCs w:val="20"/>
          </w:rPr>
          <w:tab/>
        </w:r>
        <w:r w:rsidR="00433D80" w:rsidRPr="00054F34">
          <w:rPr>
            <w:rFonts w:asciiTheme="majorHAnsi" w:hAnsiTheme="majorHAnsi"/>
            <w:noProof/>
            <w:webHidden/>
            <w:sz w:val="20"/>
            <w:szCs w:val="20"/>
          </w:rPr>
          <w:fldChar w:fldCharType="begin"/>
        </w:r>
        <w:r w:rsidR="00433D80" w:rsidRPr="00054F34">
          <w:rPr>
            <w:rFonts w:asciiTheme="majorHAnsi" w:hAnsiTheme="majorHAnsi"/>
            <w:noProof/>
            <w:webHidden/>
            <w:sz w:val="20"/>
            <w:szCs w:val="20"/>
          </w:rPr>
          <w:instrText xml:space="preserve"> PAGEREF _Toc473188696 \h </w:instrText>
        </w:r>
        <w:r w:rsidR="00433D80" w:rsidRPr="00054F34">
          <w:rPr>
            <w:rFonts w:asciiTheme="majorHAnsi" w:hAnsiTheme="majorHAnsi"/>
            <w:noProof/>
            <w:webHidden/>
            <w:sz w:val="20"/>
            <w:szCs w:val="20"/>
          </w:rPr>
        </w:r>
        <w:r w:rsidR="00433D80" w:rsidRPr="00054F34">
          <w:rPr>
            <w:rFonts w:asciiTheme="majorHAnsi" w:hAnsiTheme="majorHAnsi"/>
            <w:noProof/>
            <w:webHidden/>
            <w:sz w:val="20"/>
            <w:szCs w:val="20"/>
          </w:rPr>
          <w:fldChar w:fldCharType="separate"/>
        </w:r>
        <w:r w:rsidR="00CE5D47" w:rsidRPr="00054F34">
          <w:rPr>
            <w:rFonts w:asciiTheme="majorHAnsi" w:hAnsiTheme="majorHAnsi"/>
            <w:noProof/>
            <w:webHidden/>
            <w:sz w:val="20"/>
            <w:szCs w:val="20"/>
          </w:rPr>
          <w:t>7</w:t>
        </w:r>
        <w:r w:rsidR="00433D80" w:rsidRPr="00054F34">
          <w:rPr>
            <w:rFonts w:asciiTheme="majorHAnsi" w:hAnsiTheme="majorHAnsi"/>
            <w:noProof/>
            <w:webHidden/>
            <w:sz w:val="20"/>
            <w:szCs w:val="20"/>
          </w:rPr>
          <w:fldChar w:fldCharType="end"/>
        </w:r>
      </w:hyperlink>
    </w:p>
    <w:p w:rsidR="00433D80" w:rsidRPr="00054F34" w:rsidRDefault="00414E14" w:rsidP="00996FA3">
      <w:pPr>
        <w:pStyle w:val="TOC2"/>
        <w:tabs>
          <w:tab w:val="left" w:pos="720"/>
        </w:tabs>
        <w:jc w:val="both"/>
        <w:rPr>
          <w:rFonts w:asciiTheme="majorHAnsi" w:eastAsia="Times New Roman" w:hAnsiTheme="majorHAnsi"/>
          <w:noProof/>
          <w:sz w:val="20"/>
          <w:szCs w:val="20"/>
          <w:bdr w:val="none" w:sz="0" w:space="0" w:color="auto"/>
        </w:rPr>
      </w:pPr>
      <w:hyperlink w:anchor="_Toc473188697" w:history="1">
        <w:r w:rsidR="00433D80" w:rsidRPr="00054F34">
          <w:rPr>
            <w:rStyle w:val="Hyperlink"/>
            <w:rFonts w:asciiTheme="majorHAnsi" w:hAnsiTheme="majorHAnsi"/>
            <w:noProof/>
            <w:sz w:val="20"/>
            <w:szCs w:val="20"/>
            <w:lang w:val="es-ES_tradnl"/>
          </w:rPr>
          <w:t>C.</w:t>
        </w:r>
        <w:r w:rsidR="00433D80" w:rsidRPr="00054F34">
          <w:rPr>
            <w:rFonts w:asciiTheme="majorHAnsi" w:eastAsia="Times New Roman" w:hAnsiTheme="majorHAnsi"/>
            <w:noProof/>
            <w:sz w:val="20"/>
            <w:szCs w:val="20"/>
            <w:bdr w:val="none" w:sz="0" w:space="0" w:color="auto"/>
          </w:rPr>
          <w:tab/>
        </w:r>
        <w:r w:rsidR="00433D80" w:rsidRPr="00054F34">
          <w:rPr>
            <w:rStyle w:val="Hyperlink"/>
            <w:rFonts w:asciiTheme="majorHAnsi" w:hAnsiTheme="majorHAnsi"/>
            <w:noProof/>
            <w:sz w:val="20"/>
            <w:szCs w:val="20"/>
            <w:lang w:val="es-ES_tradnl"/>
          </w:rPr>
          <w:t>Pronunciamientos sobre violaciones de derechos humanos contra personas sindicalistas en Guatemala en la década de 1990</w:t>
        </w:r>
        <w:r w:rsidR="00433D80" w:rsidRPr="00054F34">
          <w:rPr>
            <w:rFonts w:asciiTheme="majorHAnsi" w:hAnsiTheme="majorHAnsi"/>
            <w:noProof/>
            <w:webHidden/>
            <w:sz w:val="20"/>
            <w:szCs w:val="20"/>
          </w:rPr>
          <w:tab/>
        </w:r>
        <w:r w:rsidR="00433D80" w:rsidRPr="00054F34">
          <w:rPr>
            <w:rFonts w:asciiTheme="majorHAnsi" w:hAnsiTheme="majorHAnsi"/>
            <w:noProof/>
            <w:webHidden/>
            <w:sz w:val="20"/>
            <w:szCs w:val="20"/>
          </w:rPr>
          <w:fldChar w:fldCharType="begin"/>
        </w:r>
        <w:r w:rsidR="00433D80" w:rsidRPr="00054F34">
          <w:rPr>
            <w:rFonts w:asciiTheme="majorHAnsi" w:hAnsiTheme="majorHAnsi"/>
            <w:noProof/>
            <w:webHidden/>
            <w:sz w:val="20"/>
            <w:szCs w:val="20"/>
          </w:rPr>
          <w:instrText xml:space="preserve"> PAGEREF _Toc473188697 \h </w:instrText>
        </w:r>
        <w:r w:rsidR="00433D80" w:rsidRPr="00054F34">
          <w:rPr>
            <w:rFonts w:asciiTheme="majorHAnsi" w:hAnsiTheme="majorHAnsi"/>
            <w:noProof/>
            <w:webHidden/>
            <w:sz w:val="20"/>
            <w:szCs w:val="20"/>
          </w:rPr>
        </w:r>
        <w:r w:rsidR="00433D80" w:rsidRPr="00054F34">
          <w:rPr>
            <w:rFonts w:asciiTheme="majorHAnsi" w:hAnsiTheme="majorHAnsi"/>
            <w:noProof/>
            <w:webHidden/>
            <w:sz w:val="20"/>
            <w:szCs w:val="20"/>
          </w:rPr>
          <w:fldChar w:fldCharType="separate"/>
        </w:r>
        <w:r w:rsidR="00CE5D47" w:rsidRPr="00054F34">
          <w:rPr>
            <w:rFonts w:asciiTheme="majorHAnsi" w:hAnsiTheme="majorHAnsi"/>
            <w:noProof/>
            <w:webHidden/>
            <w:sz w:val="20"/>
            <w:szCs w:val="20"/>
          </w:rPr>
          <w:t>13</w:t>
        </w:r>
        <w:r w:rsidR="00433D80" w:rsidRPr="00054F34">
          <w:rPr>
            <w:rFonts w:asciiTheme="majorHAnsi" w:hAnsiTheme="majorHAnsi"/>
            <w:noProof/>
            <w:webHidden/>
            <w:sz w:val="20"/>
            <w:szCs w:val="20"/>
          </w:rPr>
          <w:fldChar w:fldCharType="end"/>
        </w:r>
      </w:hyperlink>
    </w:p>
    <w:p w:rsidR="00433D80" w:rsidRPr="00054F34" w:rsidRDefault="00414E14" w:rsidP="00996FA3">
      <w:pPr>
        <w:pStyle w:val="TOC2"/>
        <w:tabs>
          <w:tab w:val="left" w:pos="720"/>
        </w:tabs>
        <w:jc w:val="both"/>
        <w:rPr>
          <w:rFonts w:asciiTheme="majorHAnsi" w:eastAsia="Times New Roman" w:hAnsiTheme="majorHAnsi"/>
          <w:noProof/>
          <w:sz w:val="20"/>
          <w:szCs w:val="20"/>
          <w:bdr w:val="none" w:sz="0" w:space="0" w:color="auto"/>
        </w:rPr>
      </w:pPr>
      <w:hyperlink w:anchor="_Toc473188698" w:history="1">
        <w:r w:rsidR="00433D80" w:rsidRPr="00054F34">
          <w:rPr>
            <w:rStyle w:val="Hyperlink"/>
            <w:rFonts w:asciiTheme="majorHAnsi" w:hAnsiTheme="majorHAnsi"/>
            <w:noProof/>
            <w:sz w:val="20"/>
            <w:szCs w:val="20"/>
            <w:lang w:val="es-ES_tradnl"/>
          </w:rPr>
          <w:t>D.</w:t>
        </w:r>
        <w:r w:rsidR="00433D80" w:rsidRPr="00054F34">
          <w:rPr>
            <w:rFonts w:asciiTheme="majorHAnsi" w:eastAsia="Times New Roman" w:hAnsiTheme="majorHAnsi"/>
            <w:noProof/>
            <w:sz w:val="20"/>
            <w:szCs w:val="20"/>
            <w:bdr w:val="none" w:sz="0" w:space="0" w:color="auto"/>
          </w:rPr>
          <w:tab/>
        </w:r>
        <w:r w:rsidR="00433D80" w:rsidRPr="00054F34">
          <w:rPr>
            <w:rStyle w:val="Hyperlink"/>
            <w:rFonts w:asciiTheme="majorHAnsi" w:hAnsiTheme="majorHAnsi"/>
            <w:noProof/>
            <w:sz w:val="20"/>
            <w:szCs w:val="20"/>
            <w:lang w:val="es-ES_tradnl"/>
          </w:rPr>
          <w:t>Sobre las denuncias efectuadas hasta el 18 de marzo de 1995</w:t>
        </w:r>
        <w:r w:rsidR="00433D80" w:rsidRPr="00054F34">
          <w:rPr>
            <w:rFonts w:asciiTheme="majorHAnsi" w:hAnsiTheme="majorHAnsi"/>
            <w:noProof/>
            <w:webHidden/>
            <w:sz w:val="20"/>
            <w:szCs w:val="20"/>
          </w:rPr>
          <w:tab/>
        </w:r>
        <w:r w:rsidR="00433D80" w:rsidRPr="00054F34">
          <w:rPr>
            <w:rFonts w:asciiTheme="majorHAnsi" w:hAnsiTheme="majorHAnsi"/>
            <w:noProof/>
            <w:webHidden/>
            <w:sz w:val="20"/>
            <w:szCs w:val="20"/>
          </w:rPr>
          <w:fldChar w:fldCharType="begin"/>
        </w:r>
        <w:r w:rsidR="00433D80" w:rsidRPr="00054F34">
          <w:rPr>
            <w:rFonts w:asciiTheme="majorHAnsi" w:hAnsiTheme="majorHAnsi"/>
            <w:noProof/>
            <w:webHidden/>
            <w:sz w:val="20"/>
            <w:szCs w:val="20"/>
          </w:rPr>
          <w:instrText xml:space="preserve"> PAGEREF _Toc473188698 \h </w:instrText>
        </w:r>
        <w:r w:rsidR="00433D80" w:rsidRPr="00054F34">
          <w:rPr>
            <w:rFonts w:asciiTheme="majorHAnsi" w:hAnsiTheme="majorHAnsi"/>
            <w:noProof/>
            <w:webHidden/>
            <w:sz w:val="20"/>
            <w:szCs w:val="20"/>
          </w:rPr>
        </w:r>
        <w:r w:rsidR="00433D80" w:rsidRPr="00054F34">
          <w:rPr>
            <w:rFonts w:asciiTheme="majorHAnsi" w:hAnsiTheme="majorHAnsi"/>
            <w:noProof/>
            <w:webHidden/>
            <w:sz w:val="20"/>
            <w:szCs w:val="20"/>
          </w:rPr>
          <w:fldChar w:fldCharType="separate"/>
        </w:r>
        <w:r w:rsidR="00CE5D47" w:rsidRPr="00054F34">
          <w:rPr>
            <w:rFonts w:asciiTheme="majorHAnsi" w:hAnsiTheme="majorHAnsi"/>
            <w:noProof/>
            <w:webHidden/>
            <w:sz w:val="20"/>
            <w:szCs w:val="20"/>
          </w:rPr>
          <w:t>8</w:t>
        </w:r>
        <w:r w:rsidR="00433D80" w:rsidRPr="00054F34">
          <w:rPr>
            <w:rFonts w:asciiTheme="majorHAnsi" w:hAnsiTheme="majorHAnsi"/>
            <w:noProof/>
            <w:webHidden/>
            <w:sz w:val="20"/>
            <w:szCs w:val="20"/>
          </w:rPr>
          <w:fldChar w:fldCharType="end"/>
        </w:r>
      </w:hyperlink>
    </w:p>
    <w:p w:rsidR="00433D80" w:rsidRPr="00054F34" w:rsidRDefault="00414E14" w:rsidP="00996FA3">
      <w:pPr>
        <w:pStyle w:val="TOC2"/>
        <w:tabs>
          <w:tab w:val="left" w:pos="720"/>
        </w:tabs>
        <w:jc w:val="both"/>
        <w:rPr>
          <w:rFonts w:asciiTheme="majorHAnsi" w:eastAsia="Times New Roman" w:hAnsiTheme="majorHAnsi"/>
          <w:noProof/>
          <w:sz w:val="20"/>
          <w:szCs w:val="20"/>
          <w:bdr w:val="none" w:sz="0" w:space="0" w:color="auto"/>
        </w:rPr>
      </w:pPr>
      <w:hyperlink w:anchor="_Toc473188699" w:history="1">
        <w:r w:rsidR="00433D80" w:rsidRPr="00054F34">
          <w:rPr>
            <w:rStyle w:val="Hyperlink"/>
            <w:rFonts w:asciiTheme="majorHAnsi" w:hAnsiTheme="majorHAnsi"/>
            <w:noProof/>
            <w:sz w:val="20"/>
            <w:szCs w:val="20"/>
            <w:lang w:val="es-ES"/>
          </w:rPr>
          <w:t>E.</w:t>
        </w:r>
        <w:r w:rsidR="00433D80" w:rsidRPr="00054F34">
          <w:rPr>
            <w:rFonts w:asciiTheme="majorHAnsi" w:eastAsia="Times New Roman" w:hAnsiTheme="majorHAnsi"/>
            <w:noProof/>
            <w:sz w:val="20"/>
            <w:szCs w:val="20"/>
            <w:bdr w:val="none" w:sz="0" w:space="0" w:color="auto"/>
          </w:rPr>
          <w:tab/>
        </w:r>
        <w:r w:rsidR="00433D80" w:rsidRPr="00054F34">
          <w:rPr>
            <w:rStyle w:val="Hyperlink"/>
            <w:rFonts w:asciiTheme="majorHAnsi" w:hAnsiTheme="majorHAnsi"/>
            <w:noProof/>
            <w:sz w:val="20"/>
            <w:szCs w:val="20"/>
            <w:lang w:val="es-ES"/>
          </w:rPr>
          <w:t>Sobre la ubicación del cuerpo del señor Gómez el 19 de marzo de 1995</w:t>
        </w:r>
        <w:r w:rsidR="00433D80" w:rsidRPr="00054F34">
          <w:rPr>
            <w:rFonts w:asciiTheme="majorHAnsi" w:hAnsiTheme="majorHAnsi"/>
            <w:noProof/>
            <w:webHidden/>
            <w:sz w:val="20"/>
            <w:szCs w:val="20"/>
          </w:rPr>
          <w:tab/>
        </w:r>
        <w:r w:rsidR="00433D80" w:rsidRPr="00054F34">
          <w:rPr>
            <w:rFonts w:asciiTheme="majorHAnsi" w:hAnsiTheme="majorHAnsi"/>
            <w:noProof/>
            <w:webHidden/>
            <w:sz w:val="20"/>
            <w:szCs w:val="20"/>
          </w:rPr>
          <w:fldChar w:fldCharType="begin"/>
        </w:r>
        <w:r w:rsidR="00433D80" w:rsidRPr="00054F34">
          <w:rPr>
            <w:rFonts w:asciiTheme="majorHAnsi" w:hAnsiTheme="majorHAnsi"/>
            <w:noProof/>
            <w:webHidden/>
            <w:sz w:val="20"/>
            <w:szCs w:val="20"/>
          </w:rPr>
          <w:instrText xml:space="preserve"> PAGEREF _Toc473188699 \h </w:instrText>
        </w:r>
        <w:r w:rsidR="00433D80" w:rsidRPr="00054F34">
          <w:rPr>
            <w:rFonts w:asciiTheme="majorHAnsi" w:hAnsiTheme="majorHAnsi"/>
            <w:noProof/>
            <w:webHidden/>
            <w:sz w:val="20"/>
            <w:szCs w:val="20"/>
          </w:rPr>
        </w:r>
        <w:r w:rsidR="00433D80" w:rsidRPr="00054F34">
          <w:rPr>
            <w:rFonts w:asciiTheme="majorHAnsi" w:hAnsiTheme="majorHAnsi"/>
            <w:noProof/>
            <w:webHidden/>
            <w:sz w:val="20"/>
            <w:szCs w:val="20"/>
          </w:rPr>
          <w:fldChar w:fldCharType="separate"/>
        </w:r>
        <w:r w:rsidR="00CE5D47" w:rsidRPr="00054F34">
          <w:rPr>
            <w:rFonts w:asciiTheme="majorHAnsi" w:hAnsiTheme="majorHAnsi"/>
            <w:noProof/>
            <w:webHidden/>
            <w:sz w:val="20"/>
            <w:szCs w:val="20"/>
          </w:rPr>
          <w:t>9</w:t>
        </w:r>
        <w:r w:rsidR="00433D80" w:rsidRPr="00054F34">
          <w:rPr>
            <w:rFonts w:asciiTheme="majorHAnsi" w:hAnsiTheme="majorHAnsi"/>
            <w:noProof/>
            <w:webHidden/>
            <w:sz w:val="20"/>
            <w:szCs w:val="20"/>
          </w:rPr>
          <w:fldChar w:fldCharType="end"/>
        </w:r>
      </w:hyperlink>
    </w:p>
    <w:p w:rsidR="00433D80" w:rsidRPr="00054F34" w:rsidRDefault="00414E14" w:rsidP="00996FA3">
      <w:pPr>
        <w:pStyle w:val="TOC2"/>
        <w:tabs>
          <w:tab w:val="left" w:pos="720"/>
        </w:tabs>
        <w:jc w:val="both"/>
        <w:rPr>
          <w:rFonts w:asciiTheme="majorHAnsi" w:eastAsia="Times New Roman" w:hAnsiTheme="majorHAnsi"/>
          <w:noProof/>
          <w:sz w:val="20"/>
          <w:szCs w:val="20"/>
          <w:bdr w:val="none" w:sz="0" w:space="0" w:color="auto"/>
        </w:rPr>
      </w:pPr>
      <w:hyperlink w:anchor="_Toc473188700" w:history="1">
        <w:r w:rsidR="00433D80" w:rsidRPr="00054F34">
          <w:rPr>
            <w:rStyle w:val="Hyperlink"/>
            <w:rFonts w:asciiTheme="majorHAnsi" w:hAnsiTheme="majorHAnsi"/>
            <w:noProof/>
            <w:sz w:val="20"/>
            <w:szCs w:val="20"/>
            <w:lang w:val="es-ES_tradnl"/>
          </w:rPr>
          <w:t>F.</w:t>
        </w:r>
        <w:r w:rsidR="00433D80" w:rsidRPr="00054F34">
          <w:rPr>
            <w:rFonts w:asciiTheme="majorHAnsi" w:eastAsia="Times New Roman" w:hAnsiTheme="majorHAnsi"/>
            <w:noProof/>
            <w:sz w:val="20"/>
            <w:szCs w:val="20"/>
            <w:bdr w:val="none" w:sz="0" w:space="0" w:color="auto"/>
          </w:rPr>
          <w:tab/>
        </w:r>
        <w:r w:rsidR="00433D80" w:rsidRPr="00054F34">
          <w:rPr>
            <w:rStyle w:val="Hyperlink"/>
            <w:rFonts w:asciiTheme="majorHAnsi" w:hAnsiTheme="majorHAnsi"/>
            <w:noProof/>
            <w:sz w:val="20"/>
            <w:szCs w:val="20"/>
            <w:lang w:val="es-ES_tradnl"/>
          </w:rPr>
          <w:t>Sobre las investigaciones por la muerte del señor Gómez</w:t>
        </w:r>
        <w:r w:rsidR="00433D80" w:rsidRPr="00054F34">
          <w:rPr>
            <w:rFonts w:asciiTheme="majorHAnsi" w:hAnsiTheme="majorHAnsi"/>
            <w:noProof/>
            <w:webHidden/>
            <w:sz w:val="20"/>
            <w:szCs w:val="20"/>
          </w:rPr>
          <w:tab/>
        </w:r>
        <w:r w:rsidR="00433D80" w:rsidRPr="00054F34">
          <w:rPr>
            <w:rFonts w:asciiTheme="majorHAnsi" w:hAnsiTheme="majorHAnsi"/>
            <w:noProof/>
            <w:webHidden/>
            <w:sz w:val="20"/>
            <w:szCs w:val="20"/>
          </w:rPr>
          <w:fldChar w:fldCharType="begin"/>
        </w:r>
        <w:r w:rsidR="00433D80" w:rsidRPr="00054F34">
          <w:rPr>
            <w:rFonts w:asciiTheme="majorHAnsi" w:hAnsiTheme="majorHAnsi"/>
            <w:noProof/>
            <w:webHidden/>
            <w:sz w:val="20"/>
            <w:szCs w:val="20"/>
          </w:rPr>
          <w:instrText xml:space="preserve"> PAGEREF _Toc473188700 \h </w:instrText>
        </w:r>
        <w:r w:rsidR="00433D80" w:rsidRPr="00054F34">
          <w:rPr>
            <w:rFonts w:asciiTheme="majorHAnsi" w:hAnsiTheme="majorHAnsi"/>
            <w:noProof/>
            <w:webHidden/>
            <w:sz w:val="20"/>
            <w:szCs w:val="20"/>
          </w:rPr>
        </w:r>
        <w:r w:rsidR="00433D80" w:rsidRPr="00054F34">
          <w:rPr>
            <w:rFonts w:asciiTheme="majorHAnsi" w:hAnsiTheme="majorHAnsi"/>
            <w:noProof/>
            <w:webHidden/>
            <w:sz w:val="20"/>
            <w:szCs w:val="20"/>
          </w:rPr>
          <w:fldChar w:fldCharType="separate"/>
        </w:r>
        <w:r w:rsidR="00CE5D47" w:rsidRPr="00054F34">
          <w:rPr>
            <w:rFonts w:asciiTheme="majorHAnsi" w:hAnsiTheme="majorHAnsi"/>
            <w:noProof/>
            <w:webHidden/>
            <w:sz w:val="20"/>
            <w:szCs w:val="20"/>
          </w:rPr>
          <w:t>10</w:t>
        </w:r>
        <w:r w:rsidR="00433D80" w:rsidRPr="00054F34">
          <w:rPr>
            <w:rFonts w:asciiTheme="majorHAnsi" w:hAnsiTheme="majorHAnsi"/>
            <w:noProof/>
            <w:webHidden/>
            <w:sz w:val="20"/>
            <w:szCs w:val="20"/>
          </w:rPr>
          <w:fldChar w:fldCharType="end"/>
        </w:r>
      </w:hyperlink>
    </w:p>
    <w:p w:rsidR="00433D80" w:rsidRPr="00054F34" w:rsidRDefault="00414E14" w:rsidP="00054F34">
      <w:pPr>
        <w:pStyle w:val="TOC1"/>
        <w:rPr>
          <w:rFonts w:eastAsia="Times New Roman"/>
          <w:bdr w:val="none" w:sz="0" w:space="0" w:color="auto"/>
        </w:rPr>
      </w:pPr>
      <w:hyperlink w:anchor="_Toc473188701" w:history="1">
        <w:r w:rsidR="00433D80" w:rsidRPr="00054F34">
          <w:rPr>
            <w:rStyle w:val="Hyperlink"/>
          </w:rPr>
          <w:t>VI.</w:t>
        </w:r>
        <w:r w:rsidR="00433D80" w:rsidRPr="00054F34">
          <w:rPr>
            <w:rFonts w:eastAsia="Times New Roman"/>
            <w:bdr w:val="none" w:sz="0" w:space="0" w:color="auto"/>
          </w:rPr>
          <w:tab/>
        </w:r>
        <w:r w:rsidR="00433D80" w:rsidRPr="00054F34">
          <w:rPr>
            <w:rStyle w:val="Hyperlink"/>
          </w:rPr>
          <w:t>ANÁLISIS DE DERECHO</w:t>
        </w:r>
        <w:r w:rsidR="00433D80" w:rsidRPr="00054F34">
          <w:rPr>
            <w:webHidden/>
          </w:rPr>
          <w:tab/>
        </w:r>
        <w:r w:rsidR="00433D80" w:rsidRPr="00054F34">
          <w:rPr>
            <w:webHidden/>
          </w:rPr>
          <w:fldChar w:fldCharType="begin"/>
        </w:r>
        <w:r w:rsidR="00433D80" w:rsidRPr="00054F34">
          <w:rPr>
            <w:webHidden/>
          </w:rPr>
          <w:instrText xml:space="preserve"> PAGEREF _Toc473188701 \h </w:instrText>
        </w:r>
        <w:r w:rsidR="00433D80" w:rsidRPr="00054F34">
          <w:rPr>
            <w:webHidden/>
          </w:rPr>
        </w:r>
        <w:r w:rsidR="00433D80" w:rsidRPr="00054F34">
          <w:rPr>
            <w:webHidden/>
          </w:rPr>
          <w:fldChar w:fldCharType="separate"/>
        </w:r>
        <w:r w:rsidR="00CE5D47" w:rsidRPr="00054F34">
          <w:rPr>
            <w:webHidden/>
          </w:rPr>
          <w:t>15</w:t>
        </w:r>
        <w:r w:rsidR="00433D80" w:rsidRPr="00054F34">
          <w:rPr>
            <w:webHidden/>
          </w:rPr>
          <w:fldChar w:fldCharType="end"/>
        </w:r>
      </w:hyperlink>
    </w:p>
    <w:p w:rsidR="00433D80" w:rsidRPr="00054F34" w:rsidRDefault="00414E14" w:rsidP="00996FA3">
      <w:pPr>
        <w:pStyle w:val="TOC2"/>
        <w:tabs>
          <w:tab w:val="left" w:pos="720"/>
        </w:tabs>
        <w:jc w:val="both"/>
        <w:rPr>
          <w:rFonts w:asciiTheme="majorHAnsi" w:eastAsia="Times New Roman" w:hAnsiTheme="majorHAnsi"/>
          <w:noProof/>
          <w:sz w:val="20"/>
          <w:szCs w:val="20"/>
          <w:bdr w:val="none" w:sz="0" w:space="0" w:color="auto"/>
        </w:rPr>
      </w:pPr>
      <w:hyperlink w:anchor="_Toc473188702" w:history="1">
        <w:r w:rsidR="00433D80" w:rsidRPr="00054F34">
          <w:rPr>
            <w:rStyle w:val="Hyperlink"/>
            <w:rFonts w:asciiTheme="majorHAnsi" w:hAnsiTheme="majorHAnsi"/>
            <w:noProof/>
            <w:sz w:val="20"/>
            <w:szCs w:val="20"/>
            <w:lang w:val="es-ES"/>
          </w:rPr>
          <w:t>A.</w:t>
        </w:r>
        <w:r w:rsidR="00433D80" w:rsidRPr="00054F34">
          <w:rPr>
            <w:rFonts w:asciiTheme="majorHAnsi" w:eastAsia="Times New Roman" w:hAnsiTheme="majorHAnsi"/>
            <w:noProof/>
            <w:sz w:val="20"/>
            <w:szCs w:val="20"/>
            <w:bdr w:val="none" w:sz="0" w:space="0" w:color="auto"/>
          </w:rPr>
          <w:tab/>
        </w:r>
        <w:r w:rsidR="00433D80" w:rsidRPr="00054F34">
          <w:rPr>
            <w:rStyle w:val="Hyperlink"/>
            <w:rFonts w:asciiTheme="majorHAnsi" w:hAnsiTheme="majorHAnsi"/>
            <w:noProof/>
            <w:sz w:val="20"/>
            <w:szCs w:val="20"/>
            <w:lang w:val="es-ES"/>
          </w:rPr>
          <w:t>Derechos a la vida e integridad personal y libertad personal (artículos 4.1 y 5.1 de la Convención Americana en relación con el artículo 1.1 del mismo instrumento)</w:t>
        </w:r>
        <w:r w:rsidR="00433D80" w:rsidRPr="00054F34">
          <w:rPr>
            <w:rFonts w:asciiTheme="majorHAnsi" w:hAnsiTheme="majorHAnsi"/>
            <w:noProof/>
            <w:webHidden/>
            <w:sz w:val="20"/>
            <w:szCs w:val="20"/>
          </w:rPr>
          <w:tab/>
        </w:r>
        <w:r w:rsidR="00433D80" w:rsidRPr="00054F34">
          <w:rPr>
            <w:rFonts w:asciiTheme="majorHAnsi" w:hAnsiTheme="majorHAnsi"/>
            <w:noProof/>
            <w:webHidden/>
            <w:sz w:val="20"/>
            <w:szCs w:val="20"/>
          </w:rPr>
          <w:fldChar w:fldCharType="begin"/>
        </w:r>
        <w:r w:rsidR="00433D80" w:rsidRPr="00054F34">
          <w:rPr>
            <w:rFonts w:asciiTheme="majorHAnsi" w:hAnsiTheme="majorHAnsi"/>
            <w:noProof/>
            <w:webHidden/>
            <w:sz w:val="20"/>
            <w:szCs w:val="20"/>
          </w:rPr>
          <w:instrText xml:space="preserve"> PAGEREF _Toc473188702 \h </w:instrText>
        </w:r>
        <w:r w:rsidR="00433D80" w:rsidRPr="00054F34">
          <w:rPr>
            <w:rFonts w:asciiTheme="majorHAnsi" w:hAnsiTheme="majorHAnsi"/>
            <w:noProof/>
            <w:webHidden/>
            <w:sz w:val="20"/>
            <w:szCs w:val="20"/>
          </w:rPr>
        </w:r>
        <w:r w:rsidR="00433D80" w:rsidRPr="00054F34">
          <w:rPr>
            <w:rFonts w:asciiTheme="majorHAnsi" w:hAnsiTheme="majorHAnsi"/>
            <w:noProof/>
            <w:webHidden/>
            <w:sz w:val="20"/>
            <w:szCs w:val="20"/>
          </w:rPr>
          <w:fldChar w:fldCharType="separate"/>
        </w:r>
        <w:r w:rsidR="00CE5D47" w:rsidRPr="00054F34">
          <w:rPr>
            <w:rFonts w:asciiTheme="majorHAnsi" w:hAnsiTheme="majorHAnsi"/>
            <w:noProof/>
            <w:webHidden/>
            <w:sz w:val="20"/>
            <w:szCs w:val="20"/>
          </w:rPr>
          <w:t>15</w:t>
        </w:r>
        <w:r w:rsidR="00433D80" w:rsidRPr="00054F34">
          <w:rPr>
            <w:rFonts w:asciiTheme="majorHAnsi" w:hAnsiTheme="majorHAnsi"/>
            <w:noProof/>
            <w:webHidden/>
            <w:sz w:val="20"/>
            <w:szCs w:val="20"/>
          </w:rPr>
          <w:fldChar w:fldCharType="end"/>
        </w:r>
      </w:hyperlink>
    </w:p>
    <w:p w:rsidR="00433D80" w:rsidRPr="00054F34" w:rsidRDefault="00414E14" w:rsidP="00996FA3">
      <w:pPr>
        <w:pStyle w:val="TOC2"/>
        <w:tabs>
          <w:tab w:val="left" w:pos="720"/>
        </w:tabs>
        <w:jc w:val="both"/>
        <w:rPr>
          <w:rFonts w:asciiTheme="majorHAnsi" w:eastAsia="Times New Roman" w:hAnsiTheme="majorHAnsi"/>
          <w:noProof/>
          <w:sz w:val="20"/>
          <w:szCs w:val="20"/>
          <w:bdr w:val="none" w:sz="0" w:space="0" w:color="auto"/>
        </w:rPr>
      </w:pPr>
      <w:hyperlink w:anchor="_Toc473188703" w:history="1">
        <w:r w:rsidR="00433D80" w:rsidRPr="00054F34">
          <w:rPr>
            <w:rStyle w:val="Hyperlink"/>
            <w:rFonts w:asciiTheme="majorHAnsi" w:hAnsiTheme="majorHAnsi"/>
            <w:noProof/>
            <w:sz w:val="20"/>
            <w:szCs w:val="20"/>
            <w:lang w:val="es-ES"/>
          </w:rPr>
          <w:t>B.</w:t>
        </w:r>
        <w:r w:rsidR="00433D80" w:rsidRPr="00054F34">
          <w:rPr>
            <w:rFonts w:asciiTheme="majorHAnsi" w:eastAsia="Times New Roman" w:hAnsiTheme="majorHAnsi"/>
            <w:noProof/>
            <w:sz w:val="20"/>
            <w:szCs w:val="20"/>
            <w:bdr w:val="none" w:sz="0" w:space="0" w:color="auto"/>
          </w:rPr>
          <w:tab/>
        </w:r>
        <w:r w:rsidR="00433D80" w:rsidRPr="00054F34">
          <w:rPr>
            <w:rStyle w:val="Hyperlink"/>
            <w:rFonts w:asciiTheme="majorHAnsi" w:hAnsiTheme="majorHAnsi"/>
            <w:noProof/>
            <w:sz w:val="20"/>
            <w:szCs w:val="20"/>
            <w:lang w:val="es-ES"/>
          </w:rPr>
          <w:t>Derechos a las garantías judiciales y protección judicial (artículos 8.1 y 25.1 de la Convención Americana en relación con el artículo 1.1 del mismo instrumento), y artículos 1, 6 y 8 de la Convención Interamericana para Prevenir y Sancionar la Tortura</w:t>
        </w:r>
        <w:r w:rsidR="00433D80" w:rsidRPr="00054F34">
          <w:rPr>
            <w:rFonts w:asciiTheme="majorHAnsi" w:hAnsiTheme="majorHAnsi"/>
            <w:noProof/>
            <w:webHidden/>
            <w:sz w:val="20"/>
            <w:szCs w:val="20"/>
          </w:rPr>
          <w:tab/>
        </w:r>
        <w:r w:rsidR="00433D80" w:rsidRPr="00054F34">
          <w:rPr>
            <w:rFonts w:asciiTheme="majorHAnsi" w:hAnsiTheme="majorHAnsi"/>
            <w:noProof/>
            <w:webHidden/>
            <w:sz w:val="20"/>
            <w:szCs w:val="20"/>
          </w:rPr>
          <w:fldChar w:fldCharType="begin"/>
        </w:r>
        <w:r w:rsidR="00433D80" w:rsidRPr="00054F34">
          <w:rPr>
            <w:rFonts w:asciiTheme="majorHAnsi" w:hAnsiTheme="majorHAnsi"/>
            <w:noProof/>
            <w:webHidden/>
            <w:sz w:val="20"/>
            <w:szCs w:val="20"/>
          </w:rPr>
          <w:instrText xml:space="preserve"> PAGEREF _Toc473188703 \h </w:instrText>
        </w:r>
        <w:r w:rsidR="00433D80" w:rsidRPr="00054F34">
          <w:rPr>
            <w:rFonts w:asciiTheme="majorHAnsi" w:hAnsiTheme="majorHAnsi"/>
            <w:noProof/>
            <w:webHidden/>
            <w:sz w:val="20"/>
            <w:szCs w:val="20"/>
          </w:rPr>
        </w:r>
        <w:r w:rsidR="00433D80" w:rsidRPr="00054F34">
          <w:rPr>
            <w:rFonts w:asciiTheme="majorHAnsi" w:hAnsiTheme="majorHAnsi"/>
            <w:noProof/>
            <w:webHidden/>
            <w:sz w:val="20"/>
            <w:szCs w:val="20"/>
          </w:rPr>
          <w:fldChar w:fldCharType="separate"/>
        </w:r>
        <w:r w:rsidR="00CE5D47" w:rsidRPr="00054F34">
          <w:rPr>
            <w:rFonts w:asciiTheme="majorHAnsi" w:hAnsiTheme="majorHAnsi"/>
            <w:noProof/>
            <w:webHidden/>
            <w:sz w:val="20"/>
            <w:szCs w:val="20"/>
          </w:rPr>
          <w:t>18</w:t>
        </w:r>
        <w:r w:rsidR="00433D80" w:rsidRPr="00054F34">
          <w:rPr>
            <w:rFonts w:asciiTheme="majorHAnsi" w:hAnsiTheme="majorHAnsi"/>
            <w:noProof/>
            <w:webHidden/>
            <w:sz w:val="20"/>
            <w:szCs w:val="20"/>
          </w:rPr>
          <w:fldChar w:fldCharType="end"/>
        </w:r>
      </w:hyperlink>
    </w:p>
    <w:p w:rsidR="00433D80" w:rsidRPr="00054F34" w:rsidRDefault="00414E14" w:rsidP="00996FA3">
      <w:pPr>
        <w:pStyle w:val="TOC2"/>
        <w:tabs>
          <w:tab w:val="left" w:pos="720"/>
        </w:tabs>
        <w:jc w:val="both"/>
        <w:rPr>
          <w:rFonts w:asciiTheme="majorHAnsi" w:eastAsia="Times New Roman" w:hAnsiTheme="majorHAnsi"/>
          <w:noProof/>
          <w:sz w:val="20"/>
          <w:szCs w:val="20"/>
          <w:bdr w:val="none" w:sz="0" w:space="0" w:color="auto"/>
        </w:rPr>
      </w:pPr>
      <w:hyperlink w:anchor="_Toc473188707" w:history="1">
        <w:r w:rsidR="00433D80" w:rsidRPr="00054F34">
          <w:rPr>
            <w:rStyle w:val="Hyperlink"/>
            <w:rFonts w:asciiTheme="majorHAnsi" w:hAnsiTheme="majorHAnsi"/>
            <w:noProof/>
            <w:sz w:val="20"/>
            <w:szCs w:val="20"/>
            <w:lang w:val="es-ES"/>
          </w:rPr>
          <w:t>C.</w:t>
        </w:r>
        <w:r w:rsidR="00433D80" w:rsidRPr="00054F34">
          <w:rPr>
            <w:rFonts w:asciiTheme="majorHAnsi" w:eastAsia="Times New Roman" w:hAnsiTheme="majorHAnsi"/>
            <w:noProof/>
            <w:sz w:val="20"/>
            <w:szCs w:val="20"/>
            <w:bdr w:val="none" w:sz="0" w:space="0" w:color="auto"/>
          </w:rPr>
          <w:tab/>
        </w:r>
        <w:r w:rsidR="00433D80" w:rsidRPr="00054F34">
          <w:rPr>
            <w:rStyle w:val="Hyperlink"/>
            <w:rFonts w:asciiTheme="majorHAnsi" w:hAnsiTheme="majorHAnsi"/>
            <w:noProof/>
            <w:sz w:val="20"/>
            <w:szCs w:val="20"/>
            <w:lang w:val="es-ES"/>
          </w:rPr>
          <w:t>Derechos a integridad personal (artículo 5.1 de la Convención Americana en relación con el artículo 1.1 del mismo instrumento) en perjuicio de los familiares de Alejandro Yovany Gómez</w:t>
        </w:r>
        <w:r w:rsidR="00433D80" w:rsidRPr="00054F34">
          <w:rPr>
            <w:rFonts w:asciiTheme="majorHAnsi" w:hAnsiTheme="majorHAnsi"/>
            <w:noProof/>
            <w:webHidden/>
            <w:sz w:val="20"/>
            <w:szCs w:val="20"/>
          </w:rPr>
          <w:tab/>
        </w:r>
        <w:r w:rsidR="00433D80" w:rsidRPr="00054F34">
          <w:rPr>
            <w:rFonts w:asciiTheme="majorHAnsi" w:hAnsiTheme="majorHAnsi"/>
            <w:noProof/>
            <w:webHidden/>
            <w:sz w:val="20"/>
            <w:szCs w:val="20"/>
          </w:rPr>
          <w:fldChar w:fldCharType="begin"/>
        </w:r>
        <w:r w:rsidR="00433D80" w:rsidRPr="00054F34">
          <w:rPr>
            <w:rFonts w:asciiTheme="majorHAnsi" w:hAnsiTheme="majorHAnsi"/>
            <w:noProof/>
            <w:webHidden/>
            <w:sz w:val="20"/>
            <w:szCs w:val="20"/>
          </w:rPr>
          <w:instrText xml:space="preserve"> PAGEREF _Toc473188707 \h </w:instrText>
        </w:r>
        <w:r w:rsidR="00433D80" w:rsidRPr="00054F34">
          <w:rPr>
            <w:rFonts w:asciiTheme="majorHAnsi" w:hAnsiTheme="majorHAnsi"/>
            <w:noProof/>
            <w:webHidden/>
            <w:sz w:val="20"/>
            <w:szCs w:val="20"/>
          </w:rPr>
        </w:r>
        <w:r w:rsidR="00433D80" w:rsidRPr="00054F34">
          <w:rPr>
            <w:rFonts w:asciiTheme="majorHAnsi" w:hAnsiTheme="majorHAnsi"/>
            <w:noProof/>
            <w:webHidden/>
            <w:sz w:val="20"/>
            <w:szCs w:val="20"/>
          </w:rPr>
          <w:fldChar w:fldCharType="separate"/>
        </w:r>
        <w:r w:rsidR="00CE5D47" w:rsidRPr="00054F34">
          <w:rPr>
            <w:rFonts w:asciiTheme="majorHAnsi" w:hAnsiTheme="majorHAnsi"/>
            <w:noProof/>
            <w:webHidden/>
            <w:sz w:val="20"/>
            <w:szCs w:val="20"/>
          </w:rPr>
          <w:t>24</w:t>
        </w:r>
        <w:r w:rsidR="00433D80" w:rsidRPr="00054F34">
          <w:rPr>
            <w:rFonts w:asciiTheme="majorHAnsi" w:hAnsiTheme="majorHAnsi"/>
            <w:noProof/>
            <w:webHidden/>
            <w:sz w:val="20"/>
            <w:szCs w:val="20"/>
          </w:rPr>
          <w:fldChar w:fldCharType="end"/>
        </w:r>
      </w:hyperlink>
    </w:p>
    <w:p w:rsidR="00433D80" w:rsidRPr="00054F34" w:rsidRDefault="00414E14" w:rsidP="00054F34">
      <w:pPr>
        <w:pStyle w:val="TOC1"/>
        <w:rPr>
          <w:rFonts w:eastAsia="Times New Roman"/>
          <w:bdr w:val="none" w:sz="0" w:space="0" w:color="auto"/>
        </w:rPr>
      </w:pPr>
      <w:hyperlink w:anchor="_Toc473188708" w:history="1">
        <w:r w:rsidR="00433D80" w:rsidRPr="00054F34">
          <w:rPr>
            <w:rStyle w:val="Hyperlink"/>
          </w:rPr>
          <w:t>VII.</w:t>
        </w:r>
        <w:r w:rsidR="00433D80" w:rsidRPr="00054F34">
          <w:rPr>
            <w:rFonts w:eastAsia="Times New Roman"/>
            <w:bdr w:val="none" w:sz="0" w:space="0" w:color="auto"/>
          </w:rPr>
          <w:tab/>
        </w:r>
        <w:r w:rsidR="00433D80" w:rsidRPr="00054F34">
          <w:rPr>
            <w:rStyle w:val="Hyperlink"/>
          </w:rPr>
          <w:t>CONCLUSIONES</w:t>
        </w:r>
        <w:r w:rsidR="00433D80" w:rsidRPr="00054F34">
          <w:rPr>
            <w:webHidden/>
          </w:rPr>
          <w:tab/>
        </w:r>
        <w:r w:rsidR="00433D80" w:rsidRPr="00054F34">
          <w:rPr>
            <w:webHidden/>
          </w:rPr>
          <w:fldChar w:fldCharType="begin"/>
        </w:r>
        <w:r w:rsidR="00433D80" w:rsidRPr="00054F34">
          <w:rPr>
            <w:webHidden/>
          </w:rPr>
          <w:instrText xml:space="preserve"> PAGEREF _Toc473188708 \h </w:instrText>
        </w:r>
        <w:r w:rsidR="00433D80" w:rsidRPr="00054F34">
          <w:rPr>
            <w:webHidden/>
          </w:rPr>
        </w:r>
        <w:r w:rsidR="00433D80" w:rsidRPr="00054F34">
          <w:rPr>
            <w:webHidden/>
          </w:rPr>
          <w:fldChar w:fldCharType="separate"/>
        </w:r>
        <w:r w:rsidR="00CE5D47" w:rsidRPr="00054F34">
          <w:rPr>
            <w:webHidden/>
          </w:rPr>
          <w:t>25</w:t>
        </w:r>
        <w:r w:rsidR="00433D80" w:rsidRPr="00054F34">
          <w:rPr>
            <w:webHidden/>
          </w:rPr>
          <w:fldChar w:fldCharType="end"/>
        </w:r>
      </w:hyperlink>
    </w:p>
    <w:p w:rsidR="00433D80" w:rsidRPr="00054F34" w:rsidRDefault="00414E14" w:rsidP="00054F34">
      <w:pPr>
        <w:pStyle w:val="TOC1"/>
        <w:rPr>
          <w:rFonts w:eastAsia="Times New Roman"/>
          <w:bdr w:val="none" w:sz="0" w:space="0" w:color="auto"/>
        </w:rPr>
      </w:pPr>
      <w:hyperlink w:anchor="_Toc473188709" w:history="1">
        <w:r w:rsidR="00433D80" w:rsidRPr="00054F34">
          <w:rPr>
            <w:rStyle w:val="Hyperlink"/>
          </w:rPr>
          <w:t>VIII.</w:t>
        </w:r>
        <w:r w:rsidR="00433D80" w:rsidRPr="00054F34">
          <w:rPr>
            <w:rFonts w:eastAsia="Times New Roman"/>
            <w:bdr w:val="none" w:sz="0" w:space="0" w:color="auto"/>
          </w:rPr>
          <w:tab/>
        </w:r>
        <w:r w:rsidR="00433D80" w:rsidRPr="00054F34">
          <w:rPr>
            <w:rStyle w:val="Hyperlink"/>
          </w:rPr>
          <w:t>RECOMENDACIONES</w:t>
        </w:r>
        <w:r w:rsidR="00433D80" w:rsidRPr="00054F34">
          <w:rPr>
            <w:webHidden/>
          </w:rPr>
          <w:tab/>
        </w:r>
        <w:r w:rsidR="00433D80" w:rsidRPr="00054F34">
          <w:rPr>
            <w:webHidden/>
          </w:rPr>
          <w:fldChar w:fldCharType="begin"/>
        </w:r>
        <w:r w:rsidR="00433D80" w:rsidRPr="00054F34">
          <w:rPr>
            <w:webHidden/>
          </w:rPr>
          <w:instrText xml:space="preserve"> PAGEREF _Toc473188709 \h </w:instrText>
        </w:r>
        <w:r w:rsidR="00433D80" w:rsidRPr="00054F34">
          <w:rPr>
            <w:webHidden/>
          </w:rPr>
        </w:r>
        <w:r w:rsidR="00433D80" w:rsidRPr="00054F34">
          <w:rPr>
            <w:webHidden/>
          </w:rPr>
          <w:fldChar w:fldCharType="separate"/>
        </w:r>
        <w:r w:rsidR="00CE5D47" w:rsidRPr="00054F34">
          <w:rPr>
            <w:webHidden/>
          </w:rPr>
          <w:t>25</w:t>
        </w:r>
        <w:r w:rsidR="00433D80" w:rsidRPr="00054F34">
          <w:rPr>
            <w:webHidden/>
          </w:rPr>
          <w:fldChar w:fldCharType="end"/>
        </w:r>
      </w:hyperlink>
    </w:p>
    <w:p w:rsidR="00165250" w:rsidRPr="00BD1D6C" w:rsidRDefault="00433D80" w:rsidP="00996FA3">
      <w:pPr>
        <w:tabs>
          <w:tab w:val="left" w:pos="720"/>
        </w:tabs>
        <w:jc w:val="center"/>
        <w:rPr>
          <w:rFonts w:ascii="Cambria" w:hAnsi="Cambria"/>
          <w:sz w:val="20"/>
          <w:szCs w:val="20"/>
          <w:lang w:val="es-ES_tradnl"/>
        </w:rPr>
      </w:pPr>
      <w:r w:rsidRPr="00054F34">
        <w:rPr>
          <w:rFonts w:asciiTheme="majorHAnsi" w:hAnsiTheme="majorHAnsi"/>
          <w:sz w:val="20"/>
          <w:szCs w:val="20"/>
          <w:lang w:val="es-ES_tradnl"/>
        </w:rPr>
        <w:fldChar w:fldCharType="end"/>
      </w:r>
      <w:r w:rsidR="00161414" w:rsidRPr="00054F34">
        <w:rPr>
          <w:rFonts w:asciiTheme="majorHAnsi" w:hAnsiTheme="majorHAnsi"/>
          <w:sz w:val="20"/>
          <w:szCs w:val="20"/>
          <w:lang w:val="es-ES_tradnl"/>
        </w:rPr>
        <w:br w:type="page"/>
      </w:r>
      <w:r w:rsidR="00165250" w:rsidRPr="00BD1D6C">
        <w:rPr>
          <w:rFonts w:ascii="Cambria" w:hAnsi="Cambria"/>
          <w:b/>
          <w:sz w:val="18"/>
          <w:szCs w:val="18"/>
          <w:lang w:val="es-ES_tradnl"/>
        </w:rPr>
        <w:lastRenderedPageBreak/>
        <w:t xml:space="preserve">INFORME No. </w:t>
      </w:r>
      <w:r w:rsidR="00054F34">
        <w:rPr>
          <w:rFonts w:ascii="Cambria" w:hAnsi="Cambria"/>
          <w:b/>
          <w:sz w:val="18"/>
          <w:szCs w:val="18"/>
          <w:lang w:val="es-ES_tradnl"/>
        </w:rPr>
        <w:t>33</w:t>
      </w:r>
      <w:r w:rsidR="00165250" w:rsidRPr="00BD1D6C">
        <w:rPr>
          <w:rFonts w:ascii="Cambria" w:hAnsi="Cambria"/>
          <w:b/>
          <w:sz w:val="18"/>
          <w:szCs w:val="18"/>
          <w:lang w:val="es-ES_tradnl"/>
        </w:rPr>
        <w:t>/1</w:t>
      </w:r>
      <w:r w:rsidR="00D35EAF">
        <w:rPr>
          <w:rFonts w:ascii="Cambria" w:hAnsi="Cambria"/>
          <w:b/>
          <w:sz w:val="18"/>
          <w:szCs w:val="18"/>
          <w:lang w:val="es-ES_tradnl"/>
        </w:rPr>
        <w:t>7</w:t>
      </w:r>
    </w:p>
    <w:p w:rsidR="00165250" w:rsidRPr="00BD1D6C" w:rsidRDefault="00165250" w:rsidP="00165250">
      <w:pPr>
        <w:tabs>
          <w:tab w:val="center" w:pos="5400"/>
        </w:tabs>
        <w:suppressAutoHyphens/>
        <w:spacing w:line="276" w:lineRule="auto"/>
        <w:jc w:val="center"/>
        <w:rPr>
          <w:rFonts w:ascii="Cambria" w:hAnsi="Cambria"/>
          <w:b/>
          <w:sz w:val="18"/>
          <w:szCs w:val="18"/>
          <w:lang w:val="es-ES_tradnl"/>
        </w:rPr>
      </w:pPr>
      <w:r w:rsidRPr="00BD1D6C">
        <w:rPr>
          <w:rFonts w:ascii="Cambria" w:hAnsi="Cambria"/>
          <w:b/>
          <w:sz w:val="18"/>
          <w:szCs w:val="18"/>
          <w:lang w:val="es-ES_tradnl"/>
        </w:rPr>
        <w:t>CASO 11.639</w:t>
      </w:r>
    </w:p>
    <w:p w:rsidR="00165250" w:rsidRPr="00BD1D6C" w:rsidRDefault="00165250" w:rsidP="00165250">
      <w:pPr>
        <w:tabs>
          <w:tab w:val="center" w:pos="5400"/>
        </w:tabs>
        <w:suppressAutoHyphens/>
        <w:spacing w:line="276" w:lineRule="auto"/>
        <w:jc w:val="center"/>
        <w:rPr>
          <w:rFonts w:ascii="Cambria" w:hAnsi="Cambria"/>
          <w:sz w:val="18"/>
          <w:szCs w:val="18"/>
          <w:lang w:val="es-ES_tradnl"/>
        </w:rPr>
      </w:pPr>
      <w:r w:rsidRPr="00BD1D6C">
        <w:rPr>
          <w:rFonts w:ascii="Cambria" w:hAnsi="Cambria"/>
          <w:sz w:val="18"/>
          <w:szCs w:val="18"/>
          <w:lang w:val="es-ES_tradnl"/>
        </w:rPr>
        <w:t>INFORME DE ADMISIBILIDAD Y FONDO</w:t>
      </w:r>
    </w:p>
    <w:p w:rsidR="00165250" w:rsidRPr="00BD1D6C" w:rsidRDefault="00E15EE9" w:rsidP="00165250">
      <w:pPr>
        <w:tabs>
          <w:tab w:val="center" w:pos="5400"/>
        </w:tabs>
        <w:suppressAutoHyphens/>
        <w:spacing w:line="276" w:lineRule="auto"/>
        <w:jc w:val="center"/>
        <w:rPr>
          <w:rFonts w:ascii="Cambria" w:hAnsi="Cambria"/>
          <w:sz w:val="18"/>
          <w:szCs w:val="18"/>
          <w:lang w:val="es-ES_tradnl"/>
        </w:rPr>
      </w:pPr>
      <w:r>
        <w:rPr>
          <w:rFonts w:ascii="Cambria" w:hAnsi="Cambria"/>
          <w:sz w:val="18"/>
          <w:szCs w:val="18"/>
          <w:lang w:val="es-ES_tradnl"/>
        </w:rPr>
        <w:t>ALEJANDRO</w:t>
      </w:r>
      <w:r w:rsidR="00165250" w:rsidRPr="00BD1D6C">
        <w:rPr>
          <w:rFonts w:ascii="Cambria" w:hAnsi="Cambria"/>
          <w:sz w:val="18"/>
          <w:szCs w:val="18"/>
          <w:lang w:val="es-ES_tradnl"/>
        </w:rPr>
        <w:t xml:space="preserve"> YOVANY GÓMEZ VIRULA Y FAMILIA</w:t>
      </w:r>
    </w:p>
    <w:p w:rsidR="00165250" w:rsidRPr="00BD1D6C" w:rsidRDefault="00165250" w:rsidP="00165250">
      <w:pPr>
        <w:tabs>
          <w:tab w:val="center" w:pos="5400"/>
        </w:tabs>
        <w:suppressAutoHyphens/>
        <w:spacing w:line="276" w:lineRule="auto"/>
        <w:jc w:val="center"/>
        <w:rPr>
          <w:rFonts w:ascii="Cambria" w:hAnsi="Cambria"/>
          <w:sz w:val="18"/>
          <w:szCs w:val="18"/>
          <w:lang w:val="es-ES_tradnl"/>
        </w:rPr>
      </w:pPr>
      <w:r w:rsidRPr="00BD1D6C">
        <w:rPr>
          <w:rFonts w:ascii="Cambria" w:hAnsi="Cambria"/>
          <w:sz w:val="18"/>
          <w:szCs w:val="18"/>
          <w:lang w:val="es-ES_tradnl"/>
        </w:rPr>
        <w:t>GUATEMALA</w:t>
      </w:r>
    </w:p>
    <w:p w:rsidR="00165250" w:rsidRPr="00BD1D6C" w:rsidRDefault="00054F34" w:rsidP="00165250">
      <w:pPr>
        <w:tabs>
          <w:tab w:val="center" w:pos="5400"/>
        </w:tabs>
        <w:suppressAutoHyphens/>
        <w:spacing w:line="276" w:lineRule="auto"/>
        <w:jc w:val="center"/>
        <w:rPr>
          <w:rFonts w:ascii="Cambria" w:hAnsi="Cambria"/>
          <w:sz w:val="18"/>
          <w:szCs w:val="18"/>
          <w:lang w:val="es-ES_tradnl"/>
        </w:rPr>
      </w:pPr>
      <w:r>
        <w:rPr>
          <w:rFonts w:ascii="Cambria" w:hAnsi="Cambria"/>
          <w:sz w:val="18"/>
          <w:szCs w:val="18"/>
          <w:lang w:val="es-ES_tradnl"/>
        </w:rPr>
        <w:t>21 DE MARZO DE 2017</w:t>
      </w:r>
    </w:p>
    <w:p w:rsidR="000F494B" w:rsidRDefault="000F494B" w:rsidP="00053951">
      <w:pPr>
        <w:tabs>
          <w:tab w:val="center" w:pos="5400"/>
        </w:tabs>
        <w:suppressAutoHyphens/>
        <w:rPr>
          <w:rFonts w:ascii="Cambria" w:hAnsi="Cambria"/>
          <w:sz w:val="20"/>
          <w:szCs w:val="20"/>
          <w:lang w:val="es-ES_tradnl"/>
        </w:rPr>
      </w:pPr>
    </w:p>
    <w:p w:rsidR="00996FA3" w:rsidRPr="00BF3D11" w:rsidRDefault="00996FA3" w:rsidP="00053951">
      <w:pPr>
        <w:tabs>
          <w:tab w:val="center" w:pos="5400"/>
        </w:tabs>
        <w:suppressAutoHyphens/>
        <w:rPr>
          <w:rFonts w:ascii="Cambria" w:hAnsi="Cambria"/>
          <w:sz w:val="20"/>
          <w:szCs w:val="20"/>
          <w:lang w:val="es-ES_tradnl"/>
        </w:rPr>
      </w:pPr>
    </w:p>
    <w:p w:rsidR="000F494B" w:rsidRPr="00BF3D11" w:rsidRDefault="000F494B" w:rsidP="00996FA3">
      <w:pPr>
        <w:pStyle w:val="Heading1"/>
      </w:pPr>
      <w:bookmarkStart w:id="1" w:name="_Toc370830569"/>
      <w:bookmarkStart w:id="2" w:name="_Toc370831280"/>
      <w:bookmarkStart w:id="3" w:name="_Toc412635569"/>
      <w:bookmarkStart w:id="4" w:name="_Toc416685625"/>
      <w:bookmarkStart w:id="5" w:name="_Toc473188683"/>
      <w:r w:rsidRPr="00BF3D11">
        <w:t>RESUMEN</w:t>
      </w:r>
      <w:bookmarkEnd w:id="1"/>
      <w:bookmarkEnd w:id="2"/>
      <w:bookmarkEnd w:id="3"/>
      <w:bookmarkEnd w:id="4"/>
      <w:bookmarkEnd w:id="5"/>
    </w:p>
    <w:p w:rsidR="000F494B" w:rsidRPr="00BF3D11" w:rsidRDefault="000F494B" w:rsidP="00053951">
      <w:pPr>
        <w:ind w:firstLine="567"/>
        <w:jc w:val="both"/>
        <w:rPr>
          <w:rFonts w:ascii="Cambria" w:hAnsi="Cambria" w:cs="Arial"/>
          <w:sz w:val="20"/>
          <w:szCs w:val="20"/>
          <w:lang w:val="es-ES_tradnl"/>
        </w:rPr>
      </w:pPr>
    </w:p>
    <w:p w:rsidR="00311807" w:rsidRPr="00BF3D11" w:rsidRDefault="000F494B"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 xml:space="preserve">El </w:t>
      </w:r>
      <w:r w:rsidR="00165250" w:rsidRPr="00BF3D11">
        <w:rPr>
          <w:rFonts w:ascii="Cambria" w:hAnsi="Cambria"/>
          <w:sz w:val="20"/>
          <w:szCs w:val="20"/>
        </w:rPr>
        <w:t>17 de julio de 1995</w:t>
      </w:r>
      <w:r w:rsidRPr="00BF3D11">
        <w:rPr>
          <w:rFonts w:ascii="Cambria" w:hAnsi="Cambria"/>
          <w:sz w:val="20"/>
          <w:szCs w:val="20"/>
        </w:rPr>
        <w:t xml:space="preserve"> la Comisión Interamericana de Derechos Humanos (en adelante “la Comisión”, “la Comisión Interamericana” o “la CIDH”) recibió una petición presentada por </w:t>
      </w:r>
      <w:r w:rsidR="00F66932" w:rsidRPr="00BF3D11">
        <w:rPr>
          <w:rFonts w:ascii="Cambria" w:hAnsi="Cambria"/>
          <w:sz w:val="20"/>
          <w:szCs w:val="20"/>
        </w:rPr>
        <w:t xml:space="preserve">Antonio Gómez, Paula Virula, the </w:t>
      </w:r>
      <w:r w:rsidR="00F66932" w:rsidRPr="00BF3D11">
        <w:rPr>
          <w:rFonts w:ascii="Cambria" w:hAnsi="Cambria"/>
          <w:i/>
          <w:sz w:val="20"/>
          <w:szCs w:val="20"/>
        </w:rPr>
        <w:t>Guatemala Labor Education Project</w:t>
      </w:r>
      <w:r w:rsidR="00F66932" w:rsidRPr="00BF3D11">
        <w:rPr>
          <w:rFonts w:ascii="Cambria" w:hAnsi="Cambria"/>
          <w:sz w:val="20"/>
          <w:szCs w:val="20"/>
        </w:rPr>
        <w:t xml:space="preserve"> y la Unión Sindical de Trabajadores de Guatemala</w:t>
      </w:r>
      <w:r w:rsidR="0020556A" w:rsidRPr="00BF3D11">
        <w:rPr>
          <w:rStyle w:val="FootnoteReference"/>
          <w:rFonts w:ascii="Cambria" w:hAnsi="Cambria"/>
          <w:sz w:val="20"/>
          <w:szCs w:val="20"/>
        </w:rPr>
        <w:footnoteReference w:id="2"/>
      </w:r>
      <w:r w:rsidR="0089339B" w:rsidRPr="00BF3D11">
        <w:rPr>
          <w:rFonts w:ascii="Cambria" w:hAnsi="Cambria"/>
          <w:sz w:val="20"/>
          <w:szCs w:val="20"/>
        </w:rPr>
        <w:t xml:space="preserve"> (en adelante “los peticionarios”</w:t>
      </w:r>
      <w:r w:rsidR="00F66932" w:rsidRPr="00BF3D11">
        <w:rPr>
          <w:rFonts w:ascii="Cambria" w:hAnsi="Cambria"/>
          <w:sz w:val="20"/>
          <w:szCs w:val="20"/>
        </w:rPr>
        <w:t>)</w:t>
      </w:r>
      <w:r w:rsidRPr="00BF3D11">
        <w:rPr>
          <w:rFonts w:ascii="Cambria" w:hAnsi="Cambria"/>
          <w:sz w:val="20"/>
          <w:szCs w:val="20"/>
        </w:rPr>
        <w:t xml:space="preserve">, en la cual se alegó la responsabilidad internacional de la República de Guatemala (en adelante “el Estado”, “el Estado guatemalteco” o “Guatemala”) por </w:t>
      </w:r>
      <w:r w:rsidR="0089339B" w:rsidRPr="00BF3D11">
        <w:rPr>
          <w:rFonts w:ascii="Cambria" w:hAnsi="Cambria"/>
          <w:sz w:val="20"/>
          <w:szCs w:val="20"/>
        </w:rPr>
        <w:t>l</w:t>
      </w:r>
      <w:r w:rsidR="00F66932" w:rsidRPr="00BF3D11">
        <w:rPr>
          <w:rFonts w:ascii="Cambria" w:hAnsi="Cambria"/>
          <w:sz w:val="20"/>
          <w:szCs w:val="20"/>
        </w:rPr>
        <w:t xml:space="preserve">a desaparición </w:t>
      </w:r>
      <w:r w:rsidR="00532B1A" w:rsidRPr="00BF3D11">
        <w:rPr>
          <w:rFonts w:ascii="Cambria" w:hAnsi="Cambria"/>
          <w:sz w:val="20"/>
          <w:szCs w:val="20"/>
        </w:rPr>
        <w:t>y posterior muerte</w:t>
      </w:r>
      <w:r w:rsidR="00F66932" w:rsidRPr="00BF3D11">
        <w:rPr>
          <w:rFonts w:ascii="Cambria" w:hAnsi="Cambria"/>
          <w:sz w:val="20"/>
          <w:szCs w:val="20"/>
        </w:rPr>
        <w:t xml:space="preserve"> de </w:t>
      </w:r>
      <w:r w:rsidR="00E15EE9" w:rsidRPr="00BF3D11">
        <w:rPr>
          <w:rFonts w:ascii="Cambria" w:hAnsi="Cambria"/>
          <w:sz w:val="20"/>
          <w:szCs w:val="20"/>
        </w:rPr>
        <w:t>Alejandro</w:t>
      </w:r>
      <w:r w:rsidR="00F66932" w:rsidRPr="00BF3D11">
        <w:rPr>
          <w:rFonts w:ascii="Cambria" w:hAnsi="Cambria"/>
          <w:sz w:val="20"/>
          <w:szCs w:val="20"/>
        </w:rPr>
        <w:t xml:space="preserve"> Yovany Gómez Virula, </w:t>
      </w:r>
      <w:r w:rsidR="00311807" w:rsidRPr="00BF3D11">
        <w:rPr>
          <w:rFonts w:ascii="Cambria" w:hAnsi="Cambria"/>
          <w:sz w:val="20"/>
          <w:szCs w:val="20"/>
        </w:rPr>
        <w:t>sucedi</w:t>
      </w:r>
      <w:r w:rsidR="00F84A82" w:rsidRPr="00BF3D11">
        <w:rPr>
          <w:rFonts w:ascii="Cambria" w:hAnsi="Cambria"/>
          <w:sz w:val="20"/>
          <w:szCs w:val="20"/>
        </w:rPr>
        <w:t>das</w:t>
      </w:r>
      <w:r w:rsidR="00311807" w:rsidRPr="00BF3D11">
        <w:rPr>
          <w:rFonts w:ascii="Cambria" w:hAnsi="Cambria"/>
          <w:sz w:val="20"/>
          <w:szCs w:val="20"/>
        </w:rPr>
        <w:t xml:space="preserve"> en marzo de 1995.</w:t>
      </w:r>
      <w:r w:rsidR="00D818FC">
        <w:rPr>
          <w:rFonts w:ascii="Cambria" w:hAnsi="Cambria"/>
          <w:sz w:val="20"/>
          <w:szCs w:val="20"/>
        </w:rPr>
        <w:t xml:space="preserve"> </w:t>
      </w:r>
    </w:p>
    <w:p w:rsidR="00311807" w:rsidRPr="00BF3D11" w:rsidRDefault="00311807"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311807" w:rsidRPr="00BF3D11" w:rsidRDefault="00532B1A"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 xml:space="preserve"> </w:t>
      </w:r>
      <w:r w:rsidR="00311807" w:rsidRPr="00BF3D11">
        <w:rPr>
          <w:rFonts w:ascii="Cambria" w:hAnsi="Cambria"/>
          <w:sz w:val="20"/>
          <w:szCs w:val="20"/>
        </w:rPr>
        <w:t xml:space="preserve">Los peticionarios señalaron que </w:t>
      </w:r>
      <w:r w:rsidR="003047CA" w:rsidRPr="00BF3D11">
        <w:rPr>
          <w:rFonts w:ascii="Cambria" w:hAnsi="Cambria"/>
          <w:sz w:val="20"/>
          <w:szCs w:val="20"/>
        </w:rPr>
        <w:t xml:space="preserve">el señor Gómez, quien se desempeñaba como sindicalista, fue desaparecido el 13 de marzo de 1995. Indicaron que su cadáver, el cual tenía signos de haber sido torturado, fue encontrado seis días después. Los peticionarios alegaron que a pesar de las denuncias interpuestas, </w:t>
      </w:r>
      <w:r w:rsidR="00BC17FD" w:rsidRPr="00BF3D11">
        <w:rPr>
          <w:rFonts w:ascii="Cambria" w:hAnsi="Cambria"/>
          <w:sz w:val="20"/>
          <w:szCs w:val="20"/>
        </w:rPr>
        <w:t xml:space="preserve">tanto de la desaparición como de la localización de su cuerpo, el Estado no adoptó </w:t>
      </w:r>
      <w:r w:rsidR="00F84A82" w:rsidRPr="00BF3D11">
        <w:rPr>
          <w:rFonts w:ascii="Cambria" w:hAnsi="Cambria"/>
          <w:sz w:val="20"/>
          <w:szCs w:val="20"/>
        </w:rPr>
        <w:t>medidas específicas</w:t>
      </w:r>
      <w:r w:rsidR="00BC17FD" w:rsidRPr="00BF3D11">
        <w:rPr>
          <w:rFonts w:ascii="Cambria" w:hAnsi="Cambria"/>
          <w:sz w:val="20"/>
          <w:szCs w:val="20"/>
        </w:rPr>
        <w:t xml:space="preserve"> para investigar los hechos. </w:t>
      </w:r>
      <w:r w:rsidR="00D818FC">
        <w:rPr>
          <w:rFonts w:ascii="Cambria" w:hAnsi="Cambria"/>
          <w:sz w:val="20"/>
          <w:szCs w:val="20"/>
        </w:rPr>
        <w:t xml:space="preserve">Indicaron que durante el tiempo que el señor Gómez estuvo desaparecido, se configuró una desaparición forzada. </w:t>
      </w:r>
      <w:r w:rsidR="00BC17FD" w:rsidRPr="00BF3D11">
        <w:rPr>
          <w:rFonts w:ascii="Cambria" w:hAnsi="Cambria"/>
          <w:sz w:val="20"/>
          <w:szCs w:val="20"/>
        </w:rPr>
        <w:t xml:space="preserve">Agregaron que a pesar de existir </w:t>
      </w:r>
      <w:r w:rsidR="00D35EAF" w:rsidRPr="00BF3D11">
        <w:rPr>
          <w:rFonts w:ascii="Cambria" w:hAnsi="Cambria"/>
          <w:sz w:val="20"/>
          <w:szCs w:val="20"/>
        </w:rPr>
        <w:t xml:space="preserve">elementos </w:t>
      </w:r>
      <w:r w:rsidR="00BC17FD" w:rsidRPr="00BF3D11">
        <w:rPr>
          <w:rFonts w:ascii="Cambria" w:hAnsi="Cambria"/>
          <w:sz w:val="20"/>
          <w:szCs w:val="20"/>
        </w:rPr>
        <w:t>que vincula</w:t>
      </w:r>
      <w:r w:rsidR="00D35EAF" w:rsidRPr="00BF3D11">
        <w:rPr>
          <w:rFonts w:ascii="Cambria" w:hAnsi="Cambria"/>
          <w:sz w:val="20"/>
          <w:szCs w:val="20"/>
        </w:rPr>
        <w:t>n</w:t>
      </w:r>
      <w:r w:rsidR="00BC17FD" w:rsidRPr="00BF3D11">
        <w:rPr>
          <w:rFonts w:ascii="Cambria" w:hAnsi="Cambria"/>
          <w:sz w:val="20"/>
          <w:szCs w:val="20"/>
        </w:rPr>
        <w:t xml:space="preserve"> los hechos con la labor de sindicalista del señor Gómez, el Estado decidió archivar el expediente de la investigación por falta de pruebas. En cuanto a los requisitos de admisibilidad invocaron la excepción establecida en el artículo 46.2.b) de la Convención Americana.</w:t>
      </w:r>
    </w:p>
    <w:p w:rsidR="000F494B" w:rsidRPr="00BF3D11" w:rsidRDefault="000F494B" w:rsidP="00053951">
      <w:pPr>
        <w:pStyle w:val="BodyTextIndent"/>
        <w:ind w:left="0" w:firstLine="0"/>
        <w:rPr>
          <w:rFonts w:ascii="Cambria" w:hAnsi="Cambria"/>
          <w:sz w:val="20"/>
          <w:szCs w:val="20"/>
        </w:rPr>
      </w:pPr>
    </w:p>
    <w:p w:rsidR="00BC17FD" w:rsidRPr="00BF3D11" w:rsidRDefault="00C5048D"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Por su parte, e</w:t>
      </w:r>
      <w:r w:rsidR="000F494B" w:rsidRPr="00BF3D11">
        <w:rPr>
          <w:rFonts w:ascii="Cambria" w:hAnsi="Cambria"/>
          <w:sz w:val="20"/>
          <w:szCs w:val="20"/>
        </w:rPr>
        <w:t xml:space="preserve">l Estado </w:t>
      </w:r>
      <w:r w:rsidR="00BC17FD" w:rsidRPr="00BF3D11">
        <w:rPr>
          <w:rFonts w:ascii="Cambria" w:hAnsi="Cambria"/>
          <w:sz w:val="20"/>
          <w:szCs w:val="20"/>
        </w:rPr>
        <w:t xml:space="preserve">presentó distintos argumentos en el trámite ante la CIDH. Inicialmente, el Estado sostuvo que se inició una investigación a efectos de esclarecer lo sucedido con el señor Gómez e identificar a las personas responsables. Añadió que a pesar de las diversas diligencias realizadas, el expediente de la investigación fue archivado por falta de pruebas. Posteriormente, el Estado </w:t>
      </w:r>
      <w:r w:rsidR="00A8281A" w:rsidRPr="00BF3D11">
        <w:rPr>
          <w:rFonts w:ascii="Cambria" w:hAnsi="Cambria"/>
          <w:sz w:val="20"/>
          <w:szCs w:val="20"/>
        </w:rPr>
        <w:t>indicó que, de acuerdo a la base de datos del Ministerio Público, no existen registros en donde aparezca el señor Gómez como denunciante o agrav</w:t>
      </w:r>
      <w:r w:rsidR="009F62EF">
        <w:rPr>
          <w:rFonts w:ascii="Cambria" w:hAnsi="Cambria"/>
          <w:sz w:val="20"/>
          <w:szCs w:val="20"/>
        </w:rPr>
        <w:t>i</w:t>
      </w:r>
      <w:r w:rsidR="00A8281A" w:rsidRPr="00BF3D11">
        <w:rPr>
          <w:rFonts w:ascii="Cambria" w:hAnsi="Cambria"/>
          <w:sz w:val="20"/>
          <w:szCs w:val="20"/>
        </w:rPr>
        <w:t>ado en ningún expediente judicial.</w:t>
      </w:r>
    </w:p>
    <w:p w:rsidR="000F494B" w:rsidRPr="00BF3D11" w:rsidRDefault="000F494B" w:rsidP="00053951">
      <w:pPr>
        <w:pStyle w:val="BodyTextIndent"/>
        <w:ind w:left="0" w:firstLine="567"/>
        <w:rPr>
          <w:rFonts w:ascii="Cambria" w:hAnsi="Cambria"/>
          <w:sz w:val="20"/>
          <w:szCs w:val="20"/>
        </w:rPr>
      </w:pPr>
    </w:p>
    <w:p w:rsidR="000F494B" w:rsidRPr="00BF3D11" w:rsidRDefault="000F494B"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Tras analizar la información disponible, la Comisión verificó el cumplimiento de los requisitos de admisibilidad consagrados en los artículos 46 y 47 de la Convención Americana</w:t>
      </w:r>
      <w:r w:rsidR="00FB2C00">
        <w:rPr>
          <w:rFonts w:ascii="Cambria" w:hAnsi="Cambria"/>
          <w:sz w:val="20"/>
          <w:szCs w:val="20"/>
        </w:rPr>
        <w:t>,</w:t>
      </w:r>
      <w:r w:rsidRPr="00BF3D11">
        <w:rPr>
          <w:rFonts w:ascii="Cambria" w:hAnsi="Cambria"/>
          <w:sz w:val="20"/>
          <w:szCs w:val="20"/>
        </w:rPr>
        <w:t xml:space="preserve"> concluyó que </w:t>
      </w:r>
      <w:r w:rsidR="00524332" w:rsidRPr="00BF3D11">
        <w:rPr>
          <w:rFonts w:ascii="Cambria" w:hAnsi="Cambria"/>
          <w:sz w:val="20"/>
          <w:szCs w:val="20"/>
        </w:rPr>
        <w:t>el caso es admisible y</w:t>
      </w:r>
      <w:r w:rsidR="00FB2C00">
        <w:rPr>
          <w:rFonts w:ascii="Cambria" w:hAnsi="Cambria"/>
          <w:sz w:val="20"/>
          <w:szCs w:val="20"/>
        </w:rPr>
        <w:t xml:space="preserve"> determinó</w:t>
      </w:r>
      <w:r w:rsidR="00524332" w:rsidRPr="00BF3D11">
        <w:rPr>
          <w:rFonts w:ascii="Cambria" w:hAnsi="Cambria"/>
          <w:sz w:val="20"/>
          <w:szCs w:val="20"/>
        </w:rPr>
        <w:t xml:space="preserve"> que </w:t>
      </w:r>
      <w:r w:rsidRPr="00BF3D11">
        <w:rPr>
          <w:rFonts w:ascii="Cambria" w:hAnsi="Cambria"/>
          <w:sz w:val="20"/>
          <w:szCs w:val="20"/>
        </w:rPr>
        <w:t xml:space="preserve">el Estado es responsable por </w:t>
      </w:r>
      <w:r w:rsidR="00505FAA" w:rsidRPr="00BF3D11">
        <w:rPr>
          <w:rFonts w:ascii="Cambria" w:hAnsi="Cambria"/>
          <w:sz w:val="20"/>
          <w:szCs w:val="20"/>
        </w:rPr>
        <w:t xml:space="preserve">i) </w:t>
      </w:r>
      <w:r w:rsidRPr="00BF3D11">
        <w:rPr>
          <w:rFonts w:ascii="Cambria" w:hAnsi="Cambria"/>
          <w:sz w:val="20"/>
          <w:szCs w:val="20"/>
        </w:rPr>
        <w:t xml:space="preserve">la violación de los derechos a </w:t>
      </w:r>
      <w:r w:rsidR="006358A8" w:rsidRPr="00BF3D11">
        <w:rPr>
          <w:rFonts w:ascii="Cambria" w:hAnsi="Cambria"/>
          <w:sz w:val="20"/>
          <w:szCs w:val="20"/>
        </w:rPr>
        <w:t xml:space="preserve">la </w:t>
      </w:r>
      <w:r w:rsidR="00505FAA" w:rsidRPr="00BF3D11">
        <w:rPr>
          <w:rFonts w:ascii="Cambria" w:hAnsi="Cambria"/>
          <w:sz w:val="20"/>
          <w:szCs w:val="20"/>
        </w:rPr>
        <w:t xml:space="preserve">vida, integridad personal </w:t>
      </w:r>
      <w:r w:rsidR="000842C9" w:rsidRPr="00BF3D11">
        <w:rPr>
          <w:rFonts w:ascii="Cambria" w:hAnsi="Cambria"/>
          <w:sz w:val="20"/>
          <w:szCs w:val="20"/>
        </w:rPr>
        <w:t xml:space="preserve">y </w:t>
      </w:r>
      <w:r w:rsidR="00505FAA" w:rsidRPr="00BF3D11">
        <w:rPr>
          <w:rFonts w:ascii="Cambria" w:hAnsi="Cambria"/>
          <w:sz w:val="20"/>
          <w:szCs w:val="20"/>
        </w:rPr>
        <w:t>libertad personal</w:t>
      </w:r>
      <w:r w:rsidRPr="00BF3D11">
        <w:rPr>
          <w:rFonts w:ascii="Cambria" w:hAnsi="Cambria"/>
          <w:sz w:val="20"/>
          <w:szCs w:val="20"/>
        </w:rPr>
        <w:t xml:space="preserve">, establecidos en los artículos </w:t>
      </w:r>
      <w:r w:rsidR="00845E53">
        <w:rPr>
          <w:rFonts w:ascii="Cambria" w:hAnsi="Cambria"/>
          <w:sz w:val="20"/>
          <w:szCs w:val="20"/>
        </w:rPr>
        <w:t xml:space="preserve">4.1, 5.1, </w:t>
      </w:r>
      <w:r w:rsidR="00505FAA" w:rsidRPr="00BF3D11">
        <w:rPr>
          <w:rFonts w:ascii="Cambria" w:hAnsi="Cambria"/>
          <w:sz w:val="20"/>
          <w:szCs w:val="20"/>
        </w:rPr>
        <w:t>7.1</w:t>
      </w:r>
      <w:r w:rsidR="00845E53">
        <w:rPr>
          <w:rFonts w:ascii="Cambria" w:hAnsi="Cambria"/>
          <w:sz w:val="20"/>
          <w:szCs w:val="20"/>
        </w:rPr>
        <w:t xml:space="preserve">, </w:t>
      </w:r>
      <w:r w:rsidR="00EE7B8F">
        <w:rPr>
          <w:rFonts w:ascii="Cambria" w:hAnsi="Cambria"/>
          <w:sz w:val="20"/>
          <w:szCs w:val="20"/>
        </w:rPr>
        <w:t xml:space="preserve">16, </w:t>
      </w:r>
      <w:r w:rsidR="00845E53">
        <w:rPr>
          <w:rFonts w:ascii="Cambria" w:hAnsi="Cambria"/>
          <w:sz w:val="20"/>
          <w:szCs w:val="20"/>
        </w:rPr>
        <w:t xml:space="preserve">8.1 y 25.1 </w:t>
      </w:r>
      <w:r w:rsidRPr="00BF3D11">
        <w:rPr>
          <w:rFonts w:ascii="Cambria" w:hAnsi="Cambria"/>
          <w:sz w:val="20"/>
          <w:szCs w:val="20"/>
        </w:rPr>
        <w:t xml:space="preserve">de la Convención Americana, en relación con el artículo 1.1 del mismo </w:t>
      </w:r>
      <w:r w:rsidR="000842C9" w:rsidRPr="00BF3D11">
        <w:rPr>
          <w:rFonts w:ascii="Cambria" w:hAnsi="Cambria"/>
          <w:sz w:val="20"/>
          <w:szCs w:val="20"/>
        </w:rPr>
        <w:t>instrumento</w:t>
      </w:r>
      <w:r w:rsidR="00E41451" w:rsidRPr="00BF3D11">
        <w:rPr>
          <w:rFonts w:ascii="Cambria" w:hAnsi="Cambria"/>
          <w:sz w:val="20"/>
          <w:szCs w:val="20"/>
        </w:rPr>
        <w:t xml:space="preserve">, </w:t>
      </w:r>
      <w:r w:rsidR="000842C9" w:rsidRPr="00BF3D11">
        <w:rPr>
          <w:rFonts w:ascii="Cambria" w:hAnsi="Cambria"/>
          <w:sz w:val="20"/>
          <w:szCs w:val="20"/>
        </w:rPr>
        <w:t xml:space="preserve">en perjuicio de </w:t>
      </w:r>
      <w:r w:rsidR="00E15EE9" w:rsidRPr="00BF3D11">
        <w:rPr>
          <w:rFonts w:ascii="Cambria" w:hAnsi="Cambria"/>
          <w:sz w:val="20"/>
          <w:szCs w:val="20"/>
        </w:rPr>
        <w:t>Alejandro</w:t>
      </w:r>
      <w:r w:rsidR="00A8281A" w:rsidRPr="00BF3D11">
        <w:rPr>
          <w:rFonts w:ascii="Cambria" w:hAnsi="Cambria"/>
          <w:sz w:val="20"/>
          <w:szCs w:val="20"/>
        </w:rPr>
        <w:t xml:space="preserve"> Yovany Gómez Virula</w:t>
      </w:r>
      <w:r w:rsidR="00505FAA" w:rsidRPr="00BF3D11">
        <w:rPr>
          <w:rFonts w:ascii="Cambria" w:hAnsi="Cambria"/>
          <w:sz w:val="20"/>
          <w:szCs w:val="20"/>
        </w:rPr>
        <w:t>; y ii) la violación de los derechos a la integridad personal, garantías judiciales y protección judicial, establecidos en los artículos 5.1, 8.1 y 25.1 de la Convención Americana, en relación con el artículo 1.1 del mismo instrumento, en perjuicio de los padres del señor Gómez,</w:t>
      </w:r>
      <w:r w:rsidR="00A8281A" w:rsidRPr="00BF3D11">
        <w:rPr>
          <w:rFonts w:ascii="Cambria" w:hAnsi="Cambria"/>
          <w:sz w:val="20"/>
          <w:szCs w:val="20"/>
        </w:rPr>
        <w:t xml:space="preserve"> </w:t>
      </w:r>
      <w:r w:rsidR="00EC074F" w:rsidRPr="00BF3D11">
        <w:rPr>
          <w:rFonts w:ascii="Cambria" w:hAnsi="Cambria"/>
          <w:sz w:val="20"/>
          <w:szCs w:val="20"/>
        </w:rPr>
        <w:t>Antonio Gómez y Paula Virula</w:t>
      </w:r>
      <w:r w:rsidR="000842C9" w:rsidRPr="00BF3D11">
        <w:rPr>
          <w:rFonts w:ascii="Cambria" w:hAnsi="Cambria"/>
          <w:sz w:val="20"/>
          <w:szCs w:val="20"/>
        </w:rPr>
        <w:t>.</w:t>
      </w:r>
    </w:p>
    <w:p w:rsidR="000F494B" w:rsidRPr="00BF3D11" w:rsidRDefault="000F494B" w:rsidP="00053951">
      <w:pPr>
        <w:pStyle w:val="NormalWeb"/>
        <w:spacing w:before="0" w:beforeAutospacing="0" w:after="0" w:afterAutospacing="0"/>
        <w:ind w:firstLine="567"/>
        <w:jc w:val="both"/>
        <w:rPr>
          <w:rFonts w:ascii="Cambria" w:hAnsi="Cambria" w:cs="Arial"/>
          <w:sz w:val="20"/>
          <w:szCs w:val="20"/>
          <w:lang w:val="es-ES_tradnl"/>
        </w:rPr>
      </w:pPr>
    </w:p>
    <w:p w:rsidR="000F494B" w:rsidRPr="00996FA3" w:rsidRDefault="000F494B" w:rsidP="00996FA3">
      <w:pPr>
        <w:pStyle w:val="Heading1"/>
      </w:pPr>
      <w:bookmarkStart w:id="6" w:name="_Toc370830570"/>
      <w:bookmarkStart w:id="7" w:name="_Toc370831281"/>
      <w:bookmarkStart w:id="8" w:name="_Toc412635570"/>
      <w:bookmarkStart w:id="9" w:name="_Toc416685626"/>
      <w:bookmarkStart w:id="10" w:name="_Toc473188684"/>
      <w:r w:rsidRPr="00996FA3">
        <w:t>TRÁMITE ANTE LA COMISIÓN</w:t>
      </w:r>
      <w:bookmarkEnd w:id="6"/>
      <w:bookmarkEnd w:id="7"/>
      <w:bookmarkEnd w:id="8"/>
      <w:bookmarkEnd w:id="9"/>
      <w:bookmarkEnd w:id="10"/>
      <w:r w:rsidRPr="00996FA3">
        <w:t xml:space="preserve"> </w:t>
      </w:r>
    </w:p>
    <w:p w:rsidR="000F494B" w:rsidRPr="00BF3D11" w:rsidRDefault="000F494B" w:rsidP="00053951">
      <w:pPr>
        <w:tabs>
          <w:tab w:val="center" w:pos="5400"/>
        </w:tabs>
        <w:suppressAutoHyphens/>
        <w:rPr>
          <w:rFonts w:ascii="Cambria" w:hAnsi="Cambria"/>
          <w:sz w:val="20"/>
          <w:szCs w:val="20"/>
          <w:lang w:val="es-ES_tradnl"/>
        </w:rPr>
      </w:pPr>
    </w:p>
    <w:p w:rsidR="009F6A22" w:rsidRPr="00BF3D11" w:rsidRDefault="00D245FA"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rPr>
      </w:pPr>
      <w:r w:rsidRPr="00BF3D11">
        <w:rPr>
          <w:rFonts w:ascii="Cambria" w:hAnsi="Cambria"/>
          <w:sz w:val="20"/>
          <w:szCs w:val="20"/>
        </w:rPr>
        <w:t xml:space="preserve">El </w:t>
      </w:r>
      <w:r w:rsidR="009F6A22" w:rsidRPr="00BF3D11">
        <w:rPr>
          <w:rFonts w:ascii="Cambria" w:hAnsi="Cambria"/>
          <w:sz w:val="20"/>
          <w:szCs w:val="20"/>
        </w:rPr>
        <w:t>17 de julio de 199</w:t>
      </w:r>
      <w:r w:rsidR="00DF1CA1" w:rsidRPr="00BF3D11">
        <w:rPr>
          <w:rFonts w:ascii="Cambria" w:hAnsi="Cambria"/>
          <w:sz w:val="20"/>
          <w:szCs w:val="20"/>
        </w:rPr>
        <w:t>5 Antonio Gómez, Paula Virula, the Guatemala Labor Education Project y la Unión Sindical de Trabajadores de Guatemala presentaron</w:t>
      </w:r>
      <w:r w:rsidRPr="00BF3D11">
        <w:rPr>
          <w:rFonts w:ascii="Cambria" w:hAnsi="Cambria"/>
          <w:sz w:val="20"/>
          <w:szCs w:val="20"/>
        </w:rPr>
        <w:t xml:space="preserve"> la petición inicial</w:t>
      </w:r>
      <w:r w:rsidR="000F43A8" w:rsidRPr="00BF3D11">
        <w:rPr>
          <w:rFonts w:ascii="Cambria" w:hAnsi="Cambria"/>
          <w:sz w:val="20"/>
          <w:szCs w:val="20"/>
        </w:rPr>
        <w:t xml:space="preserve">. </w:t>
      </w:r>
      <w:r w:rsidR="009F6A22" w:rsidRPr="00BF3D11">
        <w:rPr>
          <w:rFonts w:ascii="Cambria" w:hAnsi="Cambria"/>
          <w:sz w:val="20"/>
          <w:szCs w:val="20"/>
        </w:rPr>
        <w:t>El 17 de junio de 1996</w:t>
      </w:r>
      <w:r w:rsidR="001D0061" w:rsidRPr="00BF3D11">
        <w:rPr>
          <w:rFonts w:ascii="Cambria" w:hAnsi="Cambria"/>
          <w:sz w:val="20"/>
          <w:szCs w:val="20"/>
        </w:rPr>
        <w:t xml:space="preserve"> la CIDH</w:t>
      </w:r>
      <w:r w:rsidR="000F43A8" w:rsidRPr="00BF3D11">
        <w:rPr>
          <w:rFonts w:ascii="Cambria" w:hAnsi="Cambria"/>
          <w:sz w:val="20"/>
          <w:szCs w:val="20"/>
        </w:rPr>
        <w:t xml:space="preserve"> trasladó dicha comunicaci</w:t>
      </w:r>
      <w:r w:rsidR="00B772BF" w:rsidRPr="00BF3D11">
        <w:rPr>
          <w:rFonts w:ascii="Cambria" w:hAnsi="Cambria"/>
          <w:sz w:val="20"/>
          <w:szCs w:val="20"/>
        </w:rPr>
        <w:t>ón al Estado solicitándole que proporcion</w:t>
      </w:r>
      <w:r w:rsidR="00B25EBA" w:rsidRPr="00BF3D11">
        <w:rPr>
          <w:rFonts w:ascii="Cambria" w:hAnsi="Cambria"/>
          <w:sz w:val="20"/>
          <w:szCs w:val="20"/>
        </w:rPr>
        <w:t>ara</w:t>
      </w:r>
      <w:r w:rsidR="00B772BF" w:rsidRPr="00BF3D11">
        <w:rPr>
          <w:rFonts w:ascii="Cambria" w:hAnsi="Cambria"/>
          <w:sz w:val="20"/>
          <w:szCs w:val="20"/>
        </w:rPr>
        <w:t xml:space="preserve"> información sobre los hechos alegados así como</w:t>
      </w:r>
      <w:r w:rsidR="00B25EBA" w:rsidRPr="00BF3D11">
        <w:rPr>
          <w:rFonts w:ascii="Cambria" w:hAnsi="Cambria"/>
          <w:sz w:val="20"/>
          <w:szCs w:val="20"/>
        </w:rPr>
        <w:t xml:space="preserve"> sobre</w:t>
      </w:r>
      <w:r w:rsidR="00B772BF" w:rsidRPr="00BF3D11">
        <w:rPr>
          <w:rFonts w:ascii="Cambria" w:hAnsi="Cambria"/>
          <w:sz w:val="20"/>
          <w:szCs w:val="20"/>
        </w:rPr>
        <w:t xml:space="preserve"> si se ha</w:t>
      </w:r>
      <w:r w:rsidR="00F24C74" w:rsidRPr="00BF3D11">
        <w:rPr>
          <w:rFonts w:ascii="Cambria" w:hAnsi="Cambria"/>
          <w:sz w:val="20"/>
          <w:szCs w:val="20"/>
        </w:rPr>
        <w:t>bían</w:t>
      </w:r>
      <w:r w:rsidR="00B772BF" w:rsidRPr="00BF3D11">
        <w:rPr>
          <w:rFonts w:ascii="Cambria" w:hAnsi="Cambria"/>
          <w:sz w:val="20"/>
          <w:szCs w:val="20"/>
        </w:rPr>
        <w:t xml:space="preserve"> agotado o no los recursos de la jurisdicción intern</w:t>
      </w:r>
      <w:r w:rsidR="005B7FDA" w:rsidRPr="00BF3D11">
        <w:rPr>
          <w:rFonts w:ascii="Cambria" w:hAnsi="Cambria"/>
          <w:sz w:val="20"/>
          <w:szCs w:val="20"/>
        </w:rPr>
        <w:t>a</w:t>
      </w:r>
      <w:r w:rsidR="00B772BF" w:rsidRPr="00BF3D11">
        <w:rPr>
          <w:rFonts w:ascii="Cambria" w:hAnsi="Cambria"/>
          <w:sz w:val="20"/>
          <w:szCs w:val="20"/>
        </w:rPr>
        <w:t xml:space="preserve">. </w:t>
      </w:r>
      <w:r w:rsidR="001D0061" w:rsidRPr="00BF3D11">
        <w:rPr>
          <w:rFonts w:ascii="Cambria" w:hAnsi="Cambria" w:cs="Arial"/>
          <w:sz w:val="20"/>
          <w:szCs w:val="20"/>
        </w:rPr>
        <w:t xml:space="preserve">El Estado presentó su respuesta el </w:t>
      </w:r>
      <w:r w:rsidR="009F6A22" w:rsidRPr="00BF3D11">
        <w:rPr>
          <w:rFonts w:ascii="Cambria" w:hAnsi="Cambria" w:cs="Arial"/>
          <w:sz w:val="20"/>
          <w:szCs w:val="20"/>
        </w:rPr>
        <w:t>24 de septiembre de 1996.</w:t>
      </w:r>
    </w:p>
    <w:p w:rsidR="00420452" w:rsidRPr="00BF3D11" w:rsidRDefault="00420452"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rPr>
      </w:pPr>
    </w:p>
    <w:p w:rsidR="00311807" w:rsidRPr="00BF3D11" w:rsidRDefault="009F6A22"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rPr>
      </w:pPr>
      <w:r w:rsidRPr="00BF3D11">
        <w:rPr>
          <w:rFonts w:ascii="Cambria" w:hAnsi="Cambria" w:cs="Arial"/>
          <w:sz w:val="20"/>
          <w:szCs w:val="20"/>
        </w:rPr>
        <w:lastRenderedPageBreak/>
        <w:t>El 10 de octubre de 1996 la Comisión reali</w:t>
      </w:r>
      <w:r w:rsidR="003161A0" w:rsidRPr="00BF3D11">
        <w:rPr>
          <w:rFonts w:ascii="Cambria" w:hAnsi="Cambria" w:cs="Arial"/>
          <w:sz w:val="20"/>
          <w:szCs w:val="20"/>
        </w:rPr>
        <w:t>zó una reunión de trabajo en la</w:t>
      </w:r>
      <w:r w:rsidRPr="00BF3D11">
        <w:rPr>
          <w:rFonts w:ascii="Cambria" w:hAnsi="Cambria" w:cs="Arial"/>
          <w:sz w:val="20"/>
          <w:szCs w:val="20"/>
        </w:rPr>
        <w:t xml:space="preserve"> que participaron las partes. </w:t>
      </w:r>
      <w:r w:rsidR="00311807" w:rsidRPr="00BF3D11">
        <w:rPr>
          <w:rFonts w:ascii="Cambria" w:hAnsi="Cambria" w:cs="Arial"/>
          <w:sz w:val="20"/>
          <w:szCs w:val="20"/>
        </w:rPr>
        <w:t>El Estado presentó comunicaciones el 16 de junio de 1997 y 30 de noviembre de 1999.</w:t>
      </w:r>
      <w:r w:rsidR="00E41451" w:rsidRPr="00BF3D11">
        <w:rPr>
          <w:rFonts w:ascii="Cambria" w:hAnsi="Cambria" w:cs="Arial"/>
          <w:sz w:val="20"/>
          <w:szCs w:val="20"/>
        </w:rPr>
        <w:t xml:space="preserve"> Los peticionarios presentaron comu</w:t>
      </w:r>
      <w:r w:rsidR="00A953EA" w:rsidRPr="00BF3D11">
        <w:rPr>
          <w:rFonts w:ascii="Cambria" w:hAnsi="Cambria" w:cs="Arial"/>
          <w:sz w:val="20"/>
          <w:szCs w:val="20"/>
        </w:rPr>
        <w:t>nicaciones el 23 de marzo de 200</w:t>
      </w:r>
      <w:r w:rsidR="00E41451" w:rsidRPr="00BF3D11">
        <w:rPr>
          <w:rFonts w:ascii="Cambria" w:hAnsi="Cambria" w:cs="Arial"/>
          <w:sz w:val="20"/>
          <w:szCs w:val="20"/>
        </w:rPr>
        <w:t>0 y 26 de marzo de 2003. La Comisión trasladó dichas comunicaciones a las partes.</w:t>
      </w:r>
    </w:p>
    <w:p w:rsidR="001D0061" w:rsidRPr="00BF3D11" w:rsidRDefault="001D0061" w:rsidP="00053951">
      <w:pPr>
        <w:jc w:val="both"/>
        <w:rPr>
          <w:rFonts w:ascii="Cambria" w:hAnsi="Cambria" w:cs="Arial"/>
          <w:sz w:val="20"/>
          <w:szCs w:val="20"/>
          <w:lang w:val="es-ES_tradnl"/>
        </w:rPr>
      </w:pPr>
    </w:p>
    <w:p w:rsidR="00B018C1" w:rsidRPr="00BF3D11" w:rsidRDefault="001D0061"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cs="Arial"/>
          <w:sz w:val="20"/>
          <w:szCs w:val="20"/>
        </w:rPr>
        <w:t xml:space="preserve">El </w:t>
      </w:r>
      <w:r w:rsidR="00267B71" w:rsidRPr="00BF3D11">
        <w:rPr>
          <w:rFonts w:ascii="Cambria" w:hAnsi="Cambria" w:cs="Arial"/>
          <w:sz w:val="20"/>
          <w:szCs w:val="20"/>
        </w:rPr>
        <w:t>31 de julio de 2003</w:t>
      </w:r>
      <w:r w:rsidRPr="00BF3D11">
        <w:rPr>
          <w:rFonts w:ascii="Cambria" w:hAnsi="Cambria" w:cs="Arial"/>
          <w:sz w:val="20"/>
          <w:szCs w:val="20"/>
        </w:rPr>
        <w:t xml:space="preserve"> la Comisión informó al Estado de Guatemala y a los peticionarios que</w:t>
      </w:r>
      <w:r w:rsidR="00B018C1" w:rsidRPr="00BF3D11">
        <w:rPr>
          <w:rFonts w:ascii="Cambria" w:hAnsi="Cambria" w:cs="Arial"/>
          <w:sz w:val="20"/>
          <w:szCs w:val="20"/>
        </w:rPr>
        <w:t>, “dado que durante el tiempo de tramitación de la presente petición, las partes tuvieron amplias posibilidades para proporcionar información relativa a la denuncia y argumentar tanto sobre la admisibilidad como el mérito de la misma”,</w:t>
      </w:r>
      <w:r w:rsidRPr="00BF3D11">
        <w:rPr>
          <w:rFonts w:ascii="Cambria" w:hAnsi="Cambria" w:cs="Arial"/>
          <w:sz w:val="20"/>
          <w:szCs w:val="20"/>
        </w:rPr>
        <w:t xml:space="preserve"> había decidido aplicar el artículo 37.3 del Reglamento</w:t>
      </w:r>
      <w:r w:rsidR="00247C1B" w:rsidRPr="00BF3D11">
        <w:rPr>
          <w:rFonts w:ascii="Cambria" w:hAnsi="Cambria" w:cs="Arial"/>
          <w:sz w:val="20"/>
          <w:szCs w:val="20"/>
        </w:rPr>
        <w:t xml:space="preserve"> entonces vigente</w:t>
      </w:r>
      <w:r w:rsidR="00B018C1" w:rsidRPr="00BF3D11">
        <w:rPr>
          <w:rFonts w:ascii="Cambria" w:hAnsi="Cambria" w:cs="Arial"/>
          <w:sz w:val="20"/>
          <w:szCs w:val="20"/>
        </w:rPr>
        <w:t xml:space="preserve">. </w:t>
      </w:r>
      <w:r w:rsidR="003161A0" w:rsidRPr="00BF3D11">
        <w:rPr>
          <w:rFonts w:ascii="Cambria" w:hAnsi="Cambria" w:cs="Arial"/>
          <w:sz w:val="20"/>
          <w:szCs w:val="20"/>
        </w:rPr>
        <w:t>En consecuencia, la CIDH difirió</w:t>
      </w:r>
      <w:r w:rsidRPr="00BF3D11">
        <w:rPr>
          <w:rFonts w:ascii="Cambria" w:hAnsi="Cambria" w:cs="Arial"/>
          <w:sz w:val="20"/>
          <w:szCs w:val="20"/>
        </w:rPr>
        <w:t xml:space="preserve"> el tratamiento de la admisibilidad hasta el debate y decisión sobre el fondo. </w:t>
      </w:r>
    </w:p>
    <w:p w:rsidR="00417603" w:rsidRPr="00BF3D11" w:rsidRDefault="00417603" w:rsidP="00053951">
      <w:pPr>
        <w:pStyle w:val="ColorfulList-Accent11"/>
        <w:rPr>
          <w:rFonts w:ascii="Cambria" w:hAnsi="Cambria"/>
          <w:sz w:val="20"/>
          <w:szCs w:val="20"/>
          <w:lang w:val="es-ES_tradnl"/>
        </w:rPr>
      </w:pPr>
    </w:p>
    <w:p w:rsidR="009B1199" w:rsidRPr="00BF3D11" w:rsidRDefault="00417603"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Los peticionarios presentaron sus observaciones adicionales el 24 de noviembre de 2003.</w:t>
      </w:r>
      <w:r w:rsidR="006D0D04" w:rsidRPr="00BF3D11">
        <w:rPr>
          <w:rFonts w:ascii="Cambria" w:hAnsi="Cambria"/>
          <w:sz w:val="20"/>
          <w:szCs w:val="20"/>
        </w:rPr>
        <w:t xml:space="preserve"> Dichas observaciones fueron trasladadas al Estado el 1 de diciembre de 2003.</w:t>
      </w:r>
      <w:r w:rsidRPr="00BF3D11">
        <w:rPr>
          <w:rFonts w:ascii="Cambria" w:hAnsi="Cambria"/>
          <w:sz w:val="20"/>
          <w:szCs w:val="20"/>
        </w:rPr>
        <w:t xml:space="preserve"> </w:t>
      </w:r>
      <w:r w:rsidR="006D0D04" w:rsidRPr="00BF3D11">
        <w:rPr>
          <w:rFonts w:ascii="Cambria" w:hAnsi="Cambria"/>
          <w:sz w:val="20"/>
          <w:szCs w:val="20"/>
        </w:rPr>
        <w:t>E</w:t>
      </w:r>
      <w:r w:rsidRPr="00BF3D11">
        <w:rPr>
          <w:rFonts w:ascii="Cambria" w:hAnsi="Cambria"/>
          <w:sz w:val="20"/>
          <w:szCs w:val="20"/>
        </w:rPr>
        <w:t xml:space="preserve">l Estado presentó sus observaciones adicionales el 11 de diciembre de 2006. Con posterioridad, la </w:t>
      </w:r>
      <w:r w:rsidR="00E41451" w:rsidRPr="00BF3D11">
        <w:rPr>
          <w:rFonts w:ascii="Cambria" w:hAnsi="Cambria" w:cs="Arial"/>
          <w:sz w:val="20"/>
          <w:szCs w:val="20"/>
        </w:rPr>
        <w:t>CIDH recibió comunicaciones por parte del Estado y los peticionarios, las cuales fueron trasladas a la otra parte.</w:t>
      </w:r>
    </w:p>
    <w:p w:rsidR="00866579" w:rsidRPr="00BF3D11" w:rsidRDefault="00866579"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0F494B" w:rsidRPr="00BF3D11" w:rsidRDefault="000F494B" w:rsidP="00996FA3">
      <w:pPr>
        <w:pStyle w:val="Heading1"/>
      </w:pPr>
      <w:bookmarkStart w:id="11" w:name="_Toc412635571"/>
      <w:bookmarkStart w:id="12" w:name="_Toc416685627"/>
      <w:bookmarkStart w:id="13" w:name="_Toc473188685"/>
      <w:r w:rsidRPr="00BF3D11">
        <w:t>POSICIÓN DE LAS PARTES</w:t>
      </w:r>
      <w:bookmarkEnd w:id="11"/>
      <w:bookmarkEnd w:id="12"/>
      <w:bookmarkEnd w:id="13"/>
    </w:p>
    <w:p w:rsidR="000F494B" w:rsidRPr="00BF3D11" w:rsidRDefault="000F494B" w:rsidP="00053951">
      <w:pPr>
        <w:ind w:firstLine="567"/>
        <w:rPr>
          <w:rFonts w:ascii="Cambria" w:hAnsi="Cambria"/>
          <w:sz w:val="20"/>
          <w:szCs w:val="20"/>
          <w:lang w:val="es-ES_tradnl"/>
        </w:rPr>
      </w:pPr>
    </w:p>
    <w:p w:rsidR="000F494B" w:rsidRPr="00BF3D11" w:rsidRDefault="000F494B" w:rsidP="00053951">
      <w:pPr>
        <w:pStyle w:val="Heading2"/>
        <w:numPr>
          <w:ilvl w:val="0"/>
          <w:numId w:val="56"/>
        </w:numPr>
        <w:spacing w:before="0" w:after="0"/>
        <w:rPr>
          <w:rFonts w:ascii="Cambria" w:hAnsi="Cambria"/>
          <w:i w:val="0"/>
          <w:sz w:val="20"/>
          <w:szCs w:val="20"/>
          <w:lang w:val="es-ES_tradnl"/>
        </w:rPr>
      </w:pPr>
      <w:bookmarkStart w:id="14" w:name="_Toc370831283"/>
      <w:bookmarkStart w:id="15" w:name="_Toc412635572"/>
      <w:bookmarkStart w:id="16" w:name="_Toc416685628"/>
      <w:bookmarkStart w:id="17" w:name="_Toc473188686"/>
      <w:r w:rsidRPr="00BF3D11">
        <w:rPr>
          <w:rFonts w:ascii="Cambria" w:hAnsi="Cambria"/>
          <w:i w:val="0"/>
          <w:sz w:val="20"/>
          <w:szCs w:val="20"/>
          <w:lang w:val="es-ES_tradnl"/>
        </w:rPr>
        <w:t>Posición de los peticionarios</w:t>
      </w:r>
      <w:bookmarkEnd w:id="14"/>
      <w:bookmarkEnd w:id="15"/>
      <w:bookmarkEnd w:id="16"/>
      <w:bookmarkEnd w:id="17"/>
    </w:p>
    <w:p w:rsidR="008F5AED" w:rsidRPr="00BF3D11" w:rsidRDefault="008F5AED" w:rsidP="00053951">
      <w:pPr>
        <w:pStyle w:val="ColorfulShading-Accent31"/>
        <w:ind w:left="0"/>
        <w:jc w:val="both"/>
        <w:rPr>
          <w:sz w:val="20"/>
          <w:szCs w:val="20"/>
          <w:lang w:val="es-ES_tradnl"/>
        </w:rPr>
      </w:pPr>
    </w:p>
    <w:p w:rsidR="00AA057D" w:rsidRPr="00BF3D11" w:rsidRDefault="00051CE0"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 xml:space="preserve">Los peticionarios </w:t>
      </w:r>
      <w:r w:rsidR="00EF7DDB" w:rsidRPr="00BF3D11">
        <w:rPr>
          <w:rFonts w:ascii="Cambria" w:hAnsi="Cambria"/>
          <w:sz w:val="20"/>
          <w:szCs w:val="20"/>
        </w:rPr>
        <w:t xml:space="preserve">indicaron que el Estado es responsable por </w:t>
      </w:r>
      <w:r w:rsidR="00AA057D" w:rsidRPr="00BF3D11">
        <w:rPr>
          <w:rFonts w:ascii="Cambria" w:hAnsi="Cambria"/>
          <w:sz w:val="20"/>
          <w:szCs w:val="20"/>
        </w:rPr>
        <w:t xml:space="preserve">la desaparición, tortura y posterior asesinato de </w:t>
      </w:r>
      <w:r w:rsidR="00E15EE9" w:rsidRPr="00BF3D11">
        <w:rPr>
          <w:rFonts w:ascii="Cambria" w:hAnsi="Cambria"/>
          <w:sz w:val="20"/>
          <w:szCs w:val="20"/>
        </w:rPr>
        <w:t>Alejandro</w:t>
      </w:r>
      <w:r w:rsidR="00AA057D" w:rsidRPr="00BF3D11">
        <w:rPr>
          <w:rFonts w:ascii="Cambria" w:hAnsi="Cambria"/>
          <w:sz w:val="20"/>
          <w:szCs w:val="20"/>
        </w:rPr>
        <w:t xml:space="preserve"> Yovany Gómez Virula en marzo de 1995. Señalaron que estos hechos se deben a la condición de sindicalista del señor Gómez, quien en esa época se desempeñaba como Secretario de Finanzas de la Unión Sindical de Trabajadores de Guatemala</w:t>
      </w:r>
      <w:r w:rsidR="00217B5C" w:rsidRPr="00BF3D11">
        <w:rPr>
          <w:rFonts w:ascii="Cambria" w:hAnsi="Cambria"/>
          <w:sz w:val="20"/>
          <w:szCs w:val="20"/>
        </w:rPr>
        <w:t xml:space="preserve"> (UNSITRAGUA)</w:t>
      </w:r>
      <w:r w:rsidR="00AA057D" w:rsidRPr="00BF3D11">
        <w:rPr>
          <w:rFonts w:ascii="Cambria" w:hAnsi="Cambria"/>
          <w:sz w:val="20"/>
          <w:szCs w:val="20"/>
        </w:rPr>
        <w:t>. Señalaron que tenía un rol estratégico en una disputa laboral entre una industria maquiladora y sus ex-trabajadores.</w:t>
      </w:r>
      <w:r w:rsidR="00FB2C00">
        <w:rPr>
          <w:rFonts w:ascii="Cambria" w:hAnsi="Cambria"/>
          <w:sz w:val="20"/>
          <w:szCs w:val="20"/>
        </w:rPr>
        <w:t xml:space="preserve"> Indicaron que en ese contexto el señor Gómez Virula fue</w:t>
      </w:r>
      <w:r w:rsidR="007D4186">
        <w:rPr>
          <w:rFonts w:ascii="Cambria" w:hAnsi="Cambria"/>
          <w:sz w:val="20"/>
          <w:szCs w:val="20"/>
        </w:rPr>
        <w:t xml:space="preserve"> </w:t>
      </w:r>
      <w:r w:rsidR="00FB2C00">
        <w:rPr>
          <w:rFonts w:ascii="Cambria" w:hAnsi="Cambria"/>
          <w:sz w:val="20"/>
          <w:szCs w:val="20"/>
        </w:rPr>
        <w:t>privado de libertad el 13 de marzo de 1995 por personas desconocidas y que el 19 de marzo de 1995 fue encontrado su cadáver</w:t>
      </w:r>
      <w:r w:rsidR="00342FA7">
        <w:rPr>
          <w:rFonts w:ascii="Cambria" w:hAnsi="Cambria"/>
          <w:sz w:val="20"/>
          <w:szCs w:val="20"/>
        </w:rPr>
        <w:t xml:space="preserve"> en un barranco en la zona 18 de la ciudad de Guatemala.</w:t>
      </w:r>
      <w:r w:rsidR="007D4186">
        <w:rPr>
          <w:rFonts w:ascii="Cambria" w:hAnsi="Cambria"/>
          <w:sz w:val="20"/>
          <w:szCs w:val="20"/>
        </w:rPr>
        <w:t xml:space="preserve"> Agregaron que en ese periodo familiares y el propio</w:t>
      </w:r>
      <w:r w:rsidR="00DA7C0E">
        <w:rPr>
          <w:rFonts w:ascii="Cambria" w:hAnsi="Cambria"/>
          <w:sz w:val="20"/>
          <w:szCs w:val="20"/>
        </w:rPr>
        <w:t xml:space="preserve"> </w:t>
      </w:r>
      <w:r w:rsidR="007D4186">
        <w:rPr>
          <w:rFonts w:ascii="Cambria" w:hAnsi="Cambria"/>
          <w:sz w:val="20"/>
          <w:szCs w:val="20"/>
        </w:rPr>
        <w:t>sindicato formularon denuncias sobre la desaparición</w:t>
      </w:r>
    </w:p>
    <w:p w:rsidR="00AA057D" w:rsidRPr="00BF3D11" w:rsidRDefault="00AA057D"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AA057D" w:rsidRPr="00BF3D11" w:rsidRDefault="00AA057D"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 xml:space="preserve">Los peticionarios agregaron que los hechos ocurridos en perjuicio del señor Gómez se enmarcan en un contexto de graves afectaciones a </w:t>
      </w:r>
      <w:r w:rsidR="00CD150C" w:rsidRPr="00BF3D11">
        <w:rPr>
          <w:rFonts w:ascii="Cambria" w:hAnsi="Cambria"/>
          <w:sz w:val="20"/>
          <w:szCs w:val="20"/>
        </w:rPr>
        <w:t>personas</w:t>
      </w:r>
      <w:r w:rsidRPr="00BF3D11">
        <w:rPr>
          <w:rFonts w:ascii="Cambria" w:hAnsi="Cambria"/>
          <w:sz w:val="20"/>
          <w:szCs w:val="20"/>
        </w:rPr>
        <w:t xml:space="preserve"> sindicalistas</w:t>
      </w:r>
      <w:r w:rsidR="00CD150C" w:rsidRPr="00BF3D11">
        <w:rPr>
          <w:rFonts w:ascii="Cambria" w:hAnsi="Cambria"/>
          <w:sz w:val="20"/>
          <w:szCs w:val="20"/>
        </w:rPr>
        <w:t>, producidas tanto por miembros de empresas privadas como por los propios agentes estatales. Agregaron que en esa época dichas</w:t>
      </w:r>
      <w:r w:rsidR="007451CE" w:rsidRPr="00BF3D11">
        <w:rPr>
          <w:rFonts w:ascii="Cambria" w:hAnsi="Cambria"/>
          <w:sz w:val="20"/>
          <w:szCs w:val="20"/>
        </w:rPr>
        <w:t xml:space="preserve"> violaciones</w:t>
      </w:r>
      <w:r w:rsidR="00F23A74" w:rsidRPr="00BF3D11">
        <w:rPr>
          <w:rFonts w:ascii="Cambria" w:hAnsi="Cambria"/>
          <w:sz w:val="20"/>
          <w:szCs w:val="20"/>
        </w:rPr>
        <w:t xml:space="preserve"> no eran investigada</w:t>
      </w:r>
      <w:r w:rsidR="00CD150C" w:rsidRPr="00BF3D11">
        <w:rPr>
          <w:rFonts w:ascii="Cambria" w:hAnsi="Cambria"/>
          <w:sz w:val="20"/>
          <w:szCs w:val="20"/>
        </w:rPr>
        <w:t>s por lo que existía una situación de impunidad. Los peticionarios resaltaron que el contexto señalado ha sido corroborado tanto por organismos internos como por organizaciones internacionales.</w:t>
      </w:r>
      <w:r w:rsidR="00217B5C" w:rsidRPr="00BF3D11">
        <w:rPr>
          <w:rFonts w:ascii="Cambria" w:hAnsi="Cambria"/>
          <w:sz w:val="20"/>
          <w:szCs w:val="20"/>
        </w:rPr>
        <w:t xml:space="preserve"> Específicamente, informaron que ocho sindicalistas de la UNSITRAGUA fueron asesinados durante el mes </w:t>
      </w:r>
      <w:r w:rsidR="005F2B45" w:rsidRPr="00BF3D11">
        <w:rPr>
          <w:rFonts w:ascii="Cambria" w:hAnsi="Cambria"/>
          <w:sz w:val="20"/>
          <w:szCs w:val="20"/>
        </w:rPr>
        <w:t xml:space="preserve">de marzo de </w:t>
      </w:r>
      <w:r w:rsidR="00217B5C" w:rsidRPr="00BF3D11">
        <w:rPr>
          <w:rFonts w:ascii="Cambria" w:hAnsi="Cambria"/>
          <w:sz w:val="20"/>
          <w:szCs w:val="20"/>
        </w:rPr>
        <w:t>1995 en circunstancias que sugieren un motivo industrial/político. Señalaron que el señor Gómez fue el segundo sindicalista de UNSITRAGUA en ser desaparecido y asesinado ese mes.</w:t>
      </w:r>
    </w:p>
    <w:p w:rsidR="00007D4C" w:rsidRPr="00BF3D11" w:rsidRDefault="00007D4C"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CD150C" w:rsidRPr="00BF3D11" w:rsidRDefault="00007D4C" w:rsidP="00053951">
      <w:pPr>
        <w:numPr>
          <w:ilvl w:val="0"/>
          <w:numId w:val="55"/>
        </w:numPr>
        <w:jc w:val="both"/>
        <w:rPr>
          <w:rFonts w:ascii="Cambria" w:eastAsia="Times New Roman" w:hAnsi="Cambria"/>
          <w:color w:val="000000"/>
          <w:sz w:val="20"/>
          <w:szCs w:val="20"/>
          <w:u w:color="000000"/>
          <w:lang w:val="es-ES_tradnl" w:eastAsia="es-ES"/>
        </w:rPr>
      </w:pPr>
      <w:r w:rsidRPr="00BF3D11">
        <w:rPr>
          <w:rFonts w:ascii="Cambria" w:hAnsi="Cambria"/>
          <w:sz w:val="20"/>
          <w:szCs w:val="20"/>
          <w:lang w:val="es-ES"/>
        </w:rPr>
        <w:t xml:space="preserve">Con </w:t>
      </w:r>
      <w:r w:rsidRPr="00BF3D11">
        <w:rPr>
          <w:rFonts w:ascii="Cambria" w:eastAsia="Times New Roman" w:hAnsi="Cambria"/>
          <w:color w:val="000000"/>
          <w:sz w:val="20"/>
          <w:szCs w:val="20"/>
          <w:u w:color="000000"/>
          <w:lang w:val="es-ES_tradnl" w:eastAsia="es-ES"/>
        </w:rPr>
        <w:t>respecto a la admisibilidad del caso, los peticionarios invocaron la excepción establecida en el artículo 46.</w:t>
      </w:r>
      <w:r w:rsidR="00BE0B43" w:rsidRPr="00BF3D11">
        <w:rPr>
          <w:rFonts w:ascii="Cambria" w:eastAsia="Times New Roman" w:hAnsi="Cambria"/>
          <w:color w:val="000000"/>
          <w:sz w:val="20"/>
          <w:szCs w:val="20"/>
          <w:u w:color="000000"/>
          <w:lang w:val="es-ES_tradnl" w:eastAsia="es-ES"/>
        </w:rPr>
        <w:t>2.</w:t>
      </w:r>
      <w:r w:rsidR="00CD150C" w:rsidRPr="00BF3D11">
        <w:rPr>
          <w:rFonts w:ascii="Cambria" w:eastAsia="Times New Roman" w:hAnsi="Cambria"/>
          <w:color w:val="000000"/>
          <w:sz w:val="20"/>
          <w:szCs w:val="20"/>
          <w:u w:color="000000"/>
          <w:lang w:val="es-ES_tradnl" w:eastAsia="es-ES"/>
        </w:rPr>
        <w:t>b</w:t>
      </w:r>
      <w:r w:rsidR="00BE0B43" w:rsidRPr="00BF3D11">
        <w:rPr>
          <w:rFonts w:ascii="Cambria" w:eastAsia="Times New Roman" w:hAnsi="Cambria"/>
          <w:color w:val="000000"/>
          <w:sz w:val="20"/>
          <w:szCs w:val="20"/>
          <w:u w:color="000000"/>
          <w:lang w:val="es-ES_tradnl" w:eastAsia="es-ES"/>
        </w:rPr>
        <w:t>) de la Convención Americana. Alegaron qu</w:t>
      </w:r>
      <w:r w:rsidR="00947322" w:rsidRPr="00BF3D11">
        <w:rPr>
          <w:rFonts w:ascii="Cambria" w:eastAsia="Times New Roman" w:hAnsi="Cambria"/>
          <w:color w:val="000000"/>
          <w:sz w:val="20"/>
          <w:szCs w:val="20"/>
          <w:u w:color="000000"/>
          <w:lang w:val="es-ES_tradnl" w:eastAsia="es-ES"/>
        </w:rPr>
        <w:t>e</w:t>
      </w:r>
      <w:r w:rsidRPr="00BF3D11">
        <w:rPr>
          <w:rFonts w:ascii="Cambria" w:eastAsia="Times New Roman" w:hAnsi="Cambria"/>
          <w:color w:val="000000"/>
          <w:sz w:val="20"/>
          <w:szCs w:val="20"/>
          <w:u w:color="000000"/>
          <w:lang w:val="es-ES_tradnl" w:eastAsia="es-ES"/>
        </w:rPr>
        <w:t xml:space="preserve"> </w:t>
      </w:r>
      <w:r w:rsidR="00834A6D" w:rsidRPr="00BF3D11">
        <w:rPr>
          <w:rFonts w:ascii="Cambria" w:eastAsia="Times New Roman" w:hAnsi="Cambria"/>
          <w:color w:val="000000"/>
          <w:sz w:val="20"/>
          <w:szCs w:val="20"/>
          <w:u w:color="000000"/>
          <w:lang w:val="es-ES_tradnl" w:eastAsia="es-ES"/>
        </w:rPr>
        <w:t xml:space="preserve">denunciaron la desaparición del señor Gómez y posteriormente denunciaron su muerte cuando se encontró su cuerpo. Indicaron que a pesar de ello, no </w:t>
      </w:r>
      <w:r w:rsidR="00CD150C" w:rsidRPr="00BF3D11">
        <w:rPr>
          <w:rFonts w:ascii="Cambria" w:eastAsia="Times New Roman" w:hAnsi="Cambria"/>
          <w:color w:val="000000"/>
          <w:sz w:val="20"/>
          <w:szCs w:val="20"/>
          <w:u w:color="000000"/>
          <w:lang w:val="es-ES_tradnl" w:eastAsia="es-ES"/>
        </w:rPr>
        <w:t>se realizaron mayores investigaciones. Indicaron que ello implicó el archivo del expediente judicial.</w:t>
      </w:r>
    </w:p>
    <w:p w:rsidR="00947322" w:rsidRPr="00BF3D11" w:rsidRDefault="00947322" w:rsidP="00053951">
      <w:pPr>
        <w:pStyle w:val="LightGrid-Accent31"/>
        <w:ind w:left="0"/>
        <w:rPr>
          <w:rFonts w:ascii="Cambria" w:eastAsia="Times New Roman" w:hAnsi="Cambria"/>
          <w:color w:val="000000"/>
          <w:sz w:val="20"/>
          <w:szCs w:val="20"/>
          <w:u w:color="000000"/>
          <w:lang w:val="es-ES_tradnl" w:eastAsia="es-ES"/>
        </w:rPr>
      </w:pPr>
    </w:p>
    <w:p w:rsidR="0074584A" w:rsidRPr="00BF3D11" w:rsidRDefault="00947322" w:rsidP="00053951">
      <w:pPr>
        <w:numPr>
          <w:ilvl w:val="0"/>
          <w:numId w:val="55"/>
        </w:numPr>
        <w:jc w:val="both"/>
        <w:rPr>
          <w:rFonts w:ascii="Cambria" w:eastAsia="Times New Roman" w:hAnsi="Cambria"/>
          <w:color w:val="000000"/>
          <w:sz w:val="20"/>
          <w:szCs w:val="20"/>
          <w:u w:color="000000"/>
          <w:lang w:val="es-ES_tradnl" w:eastAsia="es-ES"/>
        </w:rPr>
      </w:pPr>
      <w:r w:rsidRPr="00BF3D11">
        <w:rPr>
          <w:rFonts w:ascii="Cambria" w:eastAsia="Times New Roman" w:hAnsi="Cambria"/>
          <w:color w:val="000000"/>
          <w:sz w:val="20"/>
          <w:szCs w:val="20"/>
          <w:u w:color="000000"/>
          <w:lang w:val="es-ES_tradnl" w:eastAsia="es-ES"/>
        </w:rPr>
        <w:t xml:space="preserve">Sobre el fondo del asunto, alegaron que </w:t>
      </w:r>
      <w:r w:rsidR="00CD150C" w:rsidRPr="00BF3D11">
        <w:rPr>
          <w:rFonts w:ascii="Cambria" w:eastAsia="Times New Roman" w:hAnsi="Cambria"/>
          <w:color w:val="000000"/>
          <w:sz w:val="20"/>
          <w:szCs w:val="20"/>
          <w:u w:color="000000"/>
          <w:lang w:val="es-ES_tradnl" w:eastAsia="es-ES"/>
        </w:rPr>
        <w:t xml:space="preserve">el Estado es responsable por la violación de los </w:t>
      </w:r>
      <w:r w:rsidR="00CD150C" w:rsidRPr="00BF3D11">
        <w:rPr>
          <w:rFonts w:ascii="Cambria" w:eastAsia="Times New Roman" w:hAnsi="Cambria"/>
          <w:b/>
          <w:color w:val="000000"/>
          <w:sz w:val="20"/>
          <w:szCs w:val="20"/>
          <w:u w:color="000000"/>
          <w:lang w:val="es-ES_tradnl" w:eastAsia="es-ES"/>
        </w:rPr>
        <w:t>derechos a la vida, a la integridad personal y a la libertad personal</w:t>
      </w:r>
      <w:r w:rsidR="00CD150C" w:rsidRPr="00BF3D11">
        <w:rPr>
          <w:rFonts w:ascii="Cambria" w:eastAsia="Times New Roman" w:hAnsi="Cambria"/>
          <w:color w:val="000000"/>
          <w:sz w:val="20"/>
          <w:szCs w:val="20"/>
          <w:u w:color="000000"/>
          <w:lang w:val="es-ES_tradnl" w:eastAsia="es-ES"/>
        </w:rPr>
        <w:t xml:space="preserve"> del señor Gómez.</w:t>
      </w:r>
      <w:r w:rsidR="007C04F1" w:rsidRPr="00BF3D11">
        <w:rPr>
          <w:rFonts w:ascii="Cambria" w:eastAsia="Times New Roman" w:hAnsi="Cambria"/>
          <w:color w:val="000000"/>
          <w:sz w:val="20"/>
          <w:szCs w:val="20"/>
          <w:u w:color="000000"/>
          <w:lang w:val="es-ES_tradnl" w:eastAsia="es-ES"/>
        </w:rPr>
        <w:t xml:space="preserve"> </w:t>
      </w:r>
      <w:r w:rsidR="0074584A" w:rsidRPr="00BF3D11">
        <w:rPr>
          <w:rFonts w:ascii="Cambria" w:eastAsia="Times New Roman" w:hAnsi="Cambria"/>
          <w:color w:val="000000"/>
          <w:sz w:val="20"/>
          <w:szCs w:val="20"/>
          <w:u w:color="000000"/>
          <w:lang w:val="es-ES_tradnl" w:eastAsia="es-ES"/>
        </w:rPr>
        <w:t>Indicaron que el señor Gómez fue desaparecido, torturado y finalmente asesinado.</w:t>
      </w:r>
      <w:r w:rsidR="0015110B" w:rsidRPr="00BF3D11">
        <w:rPr>
          <w:rFonts w:ascii="Cambria" w:eastAsia="Times New Roman" w:hAnsi="Cambria"/>
          <w:color w:val="000000"/>
          <w:sz w:val="20"/>
          <w:szCs w:val="20"/>
          <w:u w:color="000000"/>
          <w:lang w:val="es-ES_tradnl" w:eastAsia="es-ES"/>
        </w:rPr>
        <w:t xml:space="preserve"> </w:t>
      </w:r>
    </w:p>
    <w:p w:rsidR="0074584A" w:rsidRPr="00BF3D11" w:rsidRDefault="0074584A" w:rsidP="00053951">
      <w:pPr>
        <w:pStyle w:val="MediumGrid1-Accent21"/>
        <w:rPr>
          <w:rFonts w:ascii="Cambria" w:eastAsia="Times New Roman" w:hAnsi="Cambria"/>
          <w:color w:val="000000"/>
          <w:sz w:val="20"/>
          <w:szCs w:val="20"/>
          <w:u w:color="000000"/>
          <w:lang w:val="es-ES_tradnl" w:eastAsia="es-ES"/>
        </w:rPr>
      </w:pPr>
    </w:p>
    <w:p w:rsidR="00CD150C" w:rsidRPr="00BF3D11" w:rsidRDefault="007C04F1" w:rsidP="00053951">
      <w:pPr>
        <w:numPr>
          <w:ilvl w:val="0"/>
          <w:numId w:val="55"/>
        </w:numPr>
        <w:jc w:val="both"/>
        <w:rPr>
          <w:rFonts w:ascii="Cambria" w:eastAsia="Times New Roman" w:hAnsi="Cambria"/>
          <w:color w:val="000000"/>
          <w:sz w:val="20"/>
          <w:szCs w:val="20"/>
          <w:u w:color="000000"/>
          <w:lang w:val="es-ES_tradnl" w:eastAsia="es-ES"/>
        </w:rPr>
      </w:pPr>
      <w:r w:rsidRPr="00BF3D11">
        <w:rPr>
          <w:rFonts w:ascii="Cambria" w:eastAsia="Times New Roman" w:hAnsi="Cambria"/>
          <w:color w:val="000000"/>
          <w:sz w:val="20"/>
          <w:szCs w:val="20"/>
          <w:u w:color="000000"/>
          <w:lang w:val="es-ES_tradnl" w:eastAsia="es-ES"/>
        </w:rPr>
        <w:t xml:space="preserve">Señalaron que debido a la falta de investigación, no se pudo determinar si el Estado participó directamente de la desaparición, actos de tortura y posterior asesinato del señor Gómez. </w:t>
      </w:r>
      <w:r w:rsidR="0015110B" w:rsidRPr="00BF3D11">
        <w:rPr>
          <w:rFonts w:ascii="Cambria" w:eastAsia="Times New Roman" w:hAnsi="Cambria"/>
          <w:color w:val="000000"/>
          <w:sz w:val="20"/>
          <w:szCs w:val="20"/>
          <w:u w:color="000000"/>
          <w:lang w:val="es-ES_tradnl" w:eastAsia="es-ES"/>
        </w:rPr>
        <w:t>Señalaron que</w:t>
      </w:r>
      <w:r w:rsidR="006D3AD0" w:rsidRPr="00BF3D11">
        <w:rPr>
          <w:rFonts w:ascii="Cambria" w:eastAsia="Times New Roman" w:hAnsi="Cambria"/>
          <w:color w:val="000000"/>
          <w:sz w:val="20"/>
          <w:szCs w:val="20"/>
          <w:u w:color="000000"/>
          <w:lang w:val="es-ES_tradnl" w:eastAsia="es-ES"/>
        </w:rPr>
        <w:t>,</w:t>
      </w:r>
      <w:r w:rsidR="0015110B" w:rsidRPr="00BF3D11">
        <w:rPr>
          <w:rFonts w:ascii="Cambria" w:eastAsia="Times New Roman" w:hAnsi="Cambria"/>
          <w:color w:val="000000"/>
          <w:sz w:val="20"/>
          <w:szCs w:val="20"/>
          <w:u w:color="000000"/>
          <w:lang w:val="es-ES_tradnl" w:eastAsia="es-ES"/>
        </w:rPr>
        <w:t xml:space="preserve"> sin perjuicio de ello, la muerte del señor Gómez mostró muchas características del estilo de ejecución extrajudicial perpetrado por agentes del Estado durante el conflicto armado en Guatemala. </w:t>
      </w:r>
      <w:r w:rsidRPr="00BF3D11">
        <w:rPr>
          <w:rFonts w:ascii="Cambria" w:eastAsia="Times New Roman" w:hAnsi="Cambria"/>
          <w:color w:val="000000"/>
          <w:sz w:val="20"/>
          <w:szCs w:val="20"/>
          <w:u w:color="000000"/>
          <w:lang w:val="es-ES_tradnl" w:eastAsia="es-ES"/>
        </w:rPr>
        <w:t xml:space="preserve">Indicaron que si no participó directamente, </w:t>
      </w:r>
      <w:r w:rsidR="00C35E31" w:rsidRPr="00BF3D11">
        <w:rPr>
          <w:rFonts w:ascii="Cambria" w:eastAsia="Times New Roman" w:hAnsi="Cambria"/>
          <w:color w:val="000000"/>
          <w:sz w:val="20"/>
          <w:szCs w:val="20"/>
          <w:u w:color="000000"/>
          <w:lang w:val="es-ES_tradnl" w:eastAsia="es-ES"/>
        </w:rPr>
        <w:t>el Estado es responsable por no garantizar dichos derechos al no adoptar las medidas necesarias para prevenir que dichos hechos ocurran.</w:t>
      </w:r>
    </w:p>
    <w:p w:rsidR="0058686F" w:rsidRPr="00BF3D11" w:rsidRDefault="0058686F" w:rsidP="00053951">
      <w:pPr>
        <w:pStyle w:val="MediumGrid1-Accent21"/>
        <w:rPr>
          <w:rFonts w:ascii="Cambria" w:eastAsia="Times New Roman" w:hAnsi="Cambria"/>
          <w:color w:val="000000"/>
          <w:sz w:val="20"/>
          <w:szCs w:val="20"/>
          <w:u w:color="000000"/>
          <w:lang w:val="es-ES_tradnl" w:eastAsia="es-ES"/>
        </w:rPr>
      </w:pPr>
    </w:p>
    <w:p w:rsidR="0058686F" w:rsidRPr="00BF3D11" w:rsidRDefault="0058686F" w:rsidP="00053951">
      <w:pPr>
        <w:numPr>
          <w:ilvl w:val="0"/>
          <w:numId w:val="55"/>
        </w:numPr>
        <w:jc w:val="both"/>
        <w:rPr>
          <w:rFonts w:ascii="Cambria" w:eastAsia="Times New Roman" w:hAnsi="Cambria"/>
          <w:color w:val="000000"/>
          <w:sz w:val="20"/>
          <w:szCs w:val="20"/>
          <w:u w:color="000000"/>
          <w:lang w:val="es-ES_tradnl" w:eastAsia="es-ES"/>
        </w:rPr>
      </w:pPr>
      <w:r w:rsidRPr="00BF3D11">
        <w:rPr>
          <w:rFonts w:ascii="Cambria" w:eastAsia="Times New Roman" w:hAnsi="Cambria"/>
          <w:color w:val="000000"/>
          <w:sz w:val="20"/>
          <w:szCs w:val="20"/>
          <w:u w:color="000000"/>
          <w:lang w:val="es-ES_tradnl" w:eastAsia="es-ES"/>
        </w:rPr>
        <w:lastRenderedPageBreak/>
        <w:t xml:space="preserve">En relación con el </w:t>
      </w:r>
      <w:r w:rsidRPr="00BF3D11">
        <w:rPr>
          <w:rFonts w:ascii="Cambria" w:eastAsia="Times New Roman" w:hAnsi="Cambria"/>
          <w:b/>
          <w:color w:val="000000"/>
          <w:sz w:val="20"/>
          <w:szCs w:val="20"/>
          <w:u w:color="000000"/>
          <w:lang w:val="es-ES_tradnl" w:eastAsia="es-ES"/>
        </w:rPr>
        <w:t>derecho a la libertad de asociación</w:t>
      </w:r>
      <w:r w:rsidRPr="00BF3D11">
        <w:rPr>
          <w:rFonts w:ascii="Cambria" w:eastAsia="Times New Roman" w:hAnsi="Cambria"/>
          <w:color w:val="000000"/>
          <w:sz w:val="20"/>
          <w:szCs w:val="20"/>
          <w:u w:color="000000"/>
          <w:lang w:val="es-ES_tradnl" w:eastAsia="es-ES"/>
        </w:rPr>
        <w:t xml:space="preserve">, </w:t>
      </w:r>
      <w:r w:rsidR="009B74FA" w:rsidRPr="00BF3D11">
        <w:rPr>
          <w:rFonts w:ascii="Cambria" w:eastAsia="Times New Roman" w:hAnsi="Cambria"/>
          <w:color w:val="000000"/>
          <w:sz w:val="20"/>
          <w:szCs w:val="20"/>
          <w:u w:color="000000"/>
          <w:lang w:val="es-ES_tradnl" w:eastAsia="es-ES"/>
        </w:rPr>
        <w:t xml:space="preserve">los peticionarios señalaron que el señor Gómez se vio impedido de ejercer dicho derecho luego de su desaparición. Indicaron que </w:t>
      </w:r>
      <w:r w:rsidR="005D2D28" w:rsidRPr="00BF3D11">
        <w:rPr>
          <w:rFonts w:ascii="Cambria" w:eastAsia="Times New Roman" w:hAnsi="Cambria"/>
          <w:color w:val="000000"/>
          <w:sz w:val="20"/>
          <w:szCs w:val="20"/>
          <w:u w:color="000000"/>
          <w:lang w:val="es-ES_tradnl" w:eastAsia="es-ES"/>
        </w:rPr>
        <w:t>la muerte del señor Gómez no es un hecho aislado sino que se enmarca dentro del contexto de afectaciones a personas sindicalistas. Señalaron que en consecuencia, el Estado vulneró el derecho a la libertad de asociación del señor Gómez.</w:t>
      </w:r>
    </w:p>
    <w:p w:rsidR="005D2D28" w:rsidRPr="00BF3D11" w:rsidRDefault="005D2D28" w:rsidP="00053951">
      <w:pPr>
        <w:pStyle w:val="MediumGrid1-Accent21"/>
        <w:rPr>
          <w:rFonts w:ascii="Cambria" w:eastAsia="Times New Roman" w:hAnsi="Cambria"/>
          <w:color w:val="000000"/>
          <w:sz w:val="20"/>
          <w:szCs w:val="20"/>
          <w:u w:color="000000"/>
          <w:lang w:val="es-ES_tradnl" w:eastAsia="es-ES"/>
        </w:rPr>
      </w:pPr>
    </w:p>
    <w:p w:rsidR="005D2D28" w:rsidRPr="00BF3D11" w:rsidRDefault="005D2D28" w:rsidP="00053951">
      <w:pPr>
        <w:numPr>
          <w:ilvl w:val="0"/>
          <w:numId w:val="55"/>
        </w:numPr>
        <w:jc w:val="both"/>
        <w:rPr>
          <w:rFonts w:ascii="Cambria" w:eastAsia="Times New Roman" w:hAnsi="Cambria"/>
          <w:color w:val="000000"/>
          <w:sz w:val="20"/>
          <w:szCs w:val="20"/>
          <w:u w:color="000000"/>
          <w:lang w:val="es-ES_tradnl" w:eastAsia="es-ES"/>
        </w:rPr>
      </w:pPr>
      <w:r w:rsidRPr="00BF3D11">
        <w:rPr>
          <w:rFonts w:ascii="Cambria" w:eastAsia="Times New Roman" w:hAnsi="Cambria"/>
          <w:color w:val="000000"/>
          <w:sz w:val="20"/>
          <w:szCs w:val="20"/>
          <w:u w:color="000000"/>
          <w:lang w:val="es-ES_tradnl" w:eastAsia="es-ES"/>
        </w:rPr>
        <w:t xml:space="preserve">Respecto del </w:t>
      </w:r>
      <w:r w:rsidRPr="00BF3D11">
        <w:rPr>
          <w:rFonts w:ascii="Cambria" w:eastAsia="Times New Roman" w:hAnsi="Cambria"/>
          <w:b/>
          <w:color w:val="000000"/>
          <w:sz w:val="20"/>
          <w:szCs w:val="20"/>
          <w:u w:color="000000"/>
          <w:lang w:val="es-ES_tradnl" w:eastAsia="es-ES"/>
        </w:rPr>
        <w:t>derecho a la</w:t>
      </w:r>
      <w:r w:rsidR="005C13BC" w:rsidRPr="00BF3D11">
        <w:rPr>
          <w:rFonts w:ascii="Cambria" w:eastAsia="Times New Roman" w:hAnsi="Cambria"/>
          <w:b/>
          <w:color w:val="000000"/>
          <w:sz w:val="20"/>
          <w:szCs w:val="20"/>
          <w:u w:color="000000"/>
          <w:lang w:val="es-ES_tradnl" w:eastAsia="es-ES"/>
        </w:rPr>
        <w:t xml:space="preserve"> protección de la</w:t>
      </w:r>
      <w:r w:rsidRPr="00BF3D11">
        <w:rPr>
          <w:rFonts w:ascii="Cambria" w:eastAsia="Times New Roman" w:hAnsi="Cambria"/>
          <w:b/>
          <w:color w:val="000000"/>
          <w:sz w:val="20"/>
          <w:szCs w:val="20"/>
          <w:u w:color="000000"/>
          <w:lang w:val="es-ES_tradnl" w:eastAsia="es-ES"/>
        </w:rPr>
        <w:t xml:space="preserve"> familia</w:t>
      </w:r>
      <w:r w:rsidRPr="00BF3D11">
        <w:rPr>
          <w:rFonts w:ascii="Cambria" w:eastAsia="Times New Roman" w:hAnsi="Cambria"/>
          <w:color w:val="000000"/>
          <w:sz w:val="20"/>
          <w:szCs w:val="20"/>
          <w:u w:color="000000"/>
          <w:lang w:val="es-ES_tradnl" w:eastAsia="es-ES"/>
        </w:rPr>
        <w:t>, los peticionarios indicaron que el núcleo familiar del señor Gómez quedó desintegrado. Indicaron que los padres del señor Gómez sufrieron enormemente por los hechos ocurridos, situación que se agravó por la situación de impunidad.</w:t>
      </w:r>
    </w:p>
    <w:p w:rsidR="005D2D28" w:rsidRPr="00BF3D11" w:rsidRDefault="005D2D28" w:rsidP="00053951">
      <w:pPr>
        <w:pStyle w:val="MediumGrid1-Accent21"/>
        <w:rPr>
          <w:rFonts w:ascii="Cambria" w:eastAsia="Times New Roman" w:hAnsi="Cambria"/>
          <w:color w:val="000000"/>
          <w:sz w:val="20"/>
          <w:szCs w:val="20"/>
          <w:u w:color="000000"/>
          <w:lang w:val="es-ES_tradnl" w:eastAsia="es-ES"/>
        </w:rPr>
      </w:pPr>
    </w:p>
    <w:p w:rsidR="00141CF3" w:rsidRPr="00BF3D11" w:rsidRDefault="005D2D28" w:rsidP="00053951">
      <w:pPr>
        <w:numPr>
          <w:ilvl w:val="0"/>
          <w:numId w:val="55"/>
        </w:numPr>
        <w:jc w:val="both"/>
        <w:rPr>
          <w:rFonts w:ascii="Cambria" w:eastAsia="Times New Roman" w:hAnsi="Cambria"/>
          <w:color w:val="000000"/>
          <w:sz w:val="20"/>
          <w:szCs w:val="20"/>
          <w:u w:color="000000"/>
          <w:lang w:val="es-ES_tradnl" w:eastAsia="es-ES"/>
        </w:rPr>
      </w:pPr>
      <w:r w:rsidRPr="00BF3D11">
        <w:rPr>
          <w:rFonts w:ascii="Cambria" w:eastAsia="Times New Roman" w:hAnsi="Cambria"/>
          <w:color w:val="000000"/>
          <w:sz w:val="20"/>
          <w:szCs w:val="20"/>
          <w:u w:color="000000"/>
          <w:lang w:val="es-ES_tradnl" w:eastAsia="es-ES"/>
        </w:rPr>
        <w:t xml:space="preserve">En relación con los </w:t>
      </w:r>
      <w:r w:rsidRPr="00BF3D11">
        <w:rPr>
          <w:rFonts w:ascii="Cambria" w:eastAsia="Times New Roman" w:hAnsi="Cambria"/>
          <w:b/>
          <w:color w:val="000000"/>
          <w:sz w:val="20"/>
          <w:szCs w:val="20"/>
          <w:u w:color="000000"/>
          <w:lang w:val="es-ES_tradnl" w:eastAsia="es-ES"/>
        </w:rPr>
        <w:t>derechos a las garantías judiciales y protección judicial</w:t>
      </w:r>
      <w:r w:rsidRPr="00BF3D11">
        <w:rPr>
          <w:rFonts w:ascii="Cambria" w:eastAsia="Times New Roman" w:hAnsi="Cambria"/>
          <w:color w:val="000000"/>
          <w:sz w:val="20"/>
          <w:szCs w:val="20"/>
          <w:u w:color="000000"/>
          <w:lang w:val="es-ES_tradnl" w:eastAsia="es-ES"/>
        </w:rPr>
        <w:t>, los peticionarios señalaron que a pesar de haber denunciado la desaparición del señor Gómez, el Estado no adoptó ninguna medida a efectos de localiz</w:t>
      </w:r>
      <w:r w:rsidR="00B402F7" w:rsidRPr="00BF3D11">
        <w:rPr>
          <w:rFonts w:ascii="Cambria" w:eastAsia="Times New Roman" w:hAnsi="Cambria"/>
          <w:color w:val="000000"/>
          <w:sz w:val="20"/>
          <w:szCs w:val="20"/>
          <w:u w:color="000000"/>
          <w:lang w:val="es-ES_tradnl" w:eastAsia="es-ES"/>
        </w:rPr>
        <w:t xml:space="preserve">ar su paradero. Señalaron que </w:t>
      </w:r>
      <w:r w:rsidR="00141CF3" w:rsidRPr="00BF3D11">
        <w:rPr>
          <w:rFonts w:ascii="Cambria" w:eastAsia="Times New Roman" w:hAnsi="Cambria"/>
          <w:color w:val="000000"/>
          <w:sz w:val="20"/>
          <w:szCs w:val="20"/>
          <w:u w:color="000000"/>
          <w:lang w:val="es-ES_tradnl" w:eastAsia="es-ES"/>
        </w:rPr>
        <w:t>seis días después de la desaparición del señor Gómez, se localizó su cuerpo. Indicaron que ello sucedió de manera aleatoria en tanto una persona que caminaba por una zona de la ciudad de Guatemala encontró un cadáver, que posteriormente se identificó como el señor Gómez.</w:t>
      </w:r>
    </w:p>
    <w:p w:rsidR="00141CF3" w:rsidRPr="00BF3D11" w:rsidRDefault="00141CF3" w:rsidP="00053951">
      <w:pPr>
        <w:pStyle w:val="MediumGrid1-Accent21"/>
        <w:rPr>
          <w:rFonts w:ascii="Cambria" w:eastAsia="Times New Roman" w:hAnsi="Cambria"/>
          <w:color w:val="000000"/>
          <w:sz w:val="20"/>
          <w:szCs w:val="20"/>
          <w:u w:color="000000"/>
          <w:lang w:val="es-ES_tradnl" w:eastAsia="es-ES"/>
        </w:rPr>
      </w:pPr>
    </w:p>
    <w:p w:rsidR="009B74FA" w:rsidRPr="00BF3D11" w:rsidRDefault="00141CF3" w:rsidP="00053951">
      <w:pPr>
        <w:numPr>
          <w:ilvl w:val="0"/>
          <w:numId w:val="55"/>
        </w:numPr>
        <w:jc w:val="both"/>
        <w:rPr>
          <w:rFonts w:ascii="Cambria" w:eastAsia="Times New Roman" w:hAnsi="Cambria"/>
          <w:color w:val="000000"/>
          <w:sz w:val="20"/>
          <w:szCs w:val="20"/>
          <w:u w:color="000000"/>
          <w:lang w:val="es-ES_tradnl" w:eastAsia="es-ES"/>
        </w:rPr>
      </w:pPr>
      <w:r w:rsidRPr="00BF3D11">
        <w:rPr>
          <w:rFonts w:ascii="Cambria" w:eastAsia="Times New Roman" w:hAnsi="Cambria"/>
          <w:color w:val="000000"/>
          <w:sz w:val="20"/>
          <w:szCs w:val="20"/>
          <w:u w:color="000000"/>
          <w:lang w:val="es-ES_tradnl" w:eastAsia="es-ES"/>
        </w:rPr>
        <w:t xml:space="preserve">Los peticionarios manifestaron que luego de ello, presentaron denuncias ante las autoridades estatales debido al asesinato del señor Gómez. Indicaron que las únicas diligencias realizadas se enfocaron en entrevistar a los familiares y miembros del Sindicato. Señalaron </w:t>
      </w:r>
      <w:r w:rsidR="00BA04BF" w:rsidRPr="00BF3D11">
        <w:rPr>
          <w:rFonts w:ascii="Cambria" w:eastAsia="Times New Roman" w:hAnsi="Cambria"/>
          <w:color w:val="000000"/>
          <w:sz w:val="20"/>
          <w:szCs w:val="20"/>
          <w:u w:color="000000"/>
          <w:lang w:val="es-ES_tradnl" w:eastAsia="es-ES"/>
        </w:rPr>
        <w:t xml:space="preserve">que este caso se enmarca en un contexto de </w:t>
      </w:r>
      <w:r w:rsidR="00BA04BF" w:rsidRPr="00BF3D11">
        <w:rPr>
          <w:rFonts w:ascii="Cambria" w:hAnsi="Cambria"/>
          <w:sz w:val="20"/>
          <w:szCs w:val="20"/>
          <w:lang w:val="es-ES_tradnl"/>
        </w:rPr>
        <w:t>d</w:t>
      </w:r>
      <w:r w:rsidR="009B74FA" w:rsidRPr="00BF3D11">
        <w:rPr>
          <w:rFonts w:ascii="Cambria" w:hAnsi="Cambria"/>
          <w:sz w:val="20"/>
          <w:szCs w:val="20"/>
          <w:lang w:val="es-ES_tradnl"/>
        </w:rPr>
        <w:t xml:space="preserve">enegación sistemática para investigar violaciones </w:t>
      </w:r>
      <w:r w:rsidR="00BA04BF" w:rsidRPr="00BF3D11">
        <w:rPr>
          <w:rFonts w:ascii="Cambria" w:hAnsi="Cambria"/>
          <w:sz w:val="20"/>
          <w:szCs w:val="20"/>
          <w:lang w:val="es-ES_tradnl"/>
        </w:rPr>
        <w:t>de derechos humanos en contra de</w:t>
      </w:r>
      <w:r w:rsidR="009B74FA" w:rsidRPr="00BF3D11">
        <w:rPr>
          <w:rFonts w:ascii="Cambria" w:hAnsi="Cambria"/>
          <w:sz w:val="20"/>
          <w:szCs w:val="20"/>
          <w:lang w:val="es-ES_tradnl"/>
        </w:rPr>
        <w:t xml:space="preserve"> sindicalistas.</w:t>
      </w:r>
      <w:r w:rsidR="00BA04BF" w:rsidRPr="00BF3D11">
        <w:rPr>
          <w:rFonts w:ascii="Cambria" w:hAnsi="Cambria"/>
          <w:sz w:val="20"/>
          <w:szCs w:val="20"/>
          <w:lang w:val="es-ES_tradnl"/>
        </w:rPr>
        <w:t xml:space="preserve"> Explicaron que poco tiempo después de iniciarse las investigaciones, se archivó el expediente judicial </w:t>
      </w:r>
      <w:r w:rsidR="008032A2" w:rsidRPr="00BF3D11">
        <w:rPr>
          <w:rFonts w:ascii="Cambria" w:hAnsi="Cambria"/>
          <w:sz w:val="20"/>
          <w:szCs w:val="20"/>
          <w:lang w:val="es-ES_tradnl"/>
        </w:rPr>
        <w:t>debido a la supuesta falta de evidencia para identificar a las personas responsables. Alegaron que en consecuencia, los hechos del caso se encuentran en total impunidad.</w:t>
      </w:r>
    </w:p>
    <w:p w:rsidR="00063B94" w:rsidRPr="00BF3D11" w:rsidRDefault="00063B94" w:rsidP="00053951">
      <w:pPr>
        <w:pStyle w:val="ColorfulShading-Accent31"/>
        <w:ind w:left="0"/>
        <w:rPr>
          <w:sz w:val="20"/>
          <w:szCs w:val="20"/>
          <w:lang w:val="es-ES_tradnl"/>
        </w:rPr>
      </w:pPr>
    </w:p>
    <w:p w:rsidR="009B1199" w:rsidRPr="00BF3D11" w:rsidRDefault="009B1199" w:rsidP="00053951">
      <w:pPr>
        <w:pStyle w:val="Heading2"/>
        <w:numPr>
          <w:ilvl w:val="0"/>
          <w:numId w:val="56"/>
        </w:numPr>
        <w:spacing w:before="0" w:after="0"/>
        <w:rPr>
          <w:rFonts w:ascii="Cambria" w:hAnsi="Cambria"/>
          <w:i w:val="0"/>
          <w:sz w:val="20"/>
          <w:szCs w:val="20"/>
          <w:lang w:val="es-ES_tradnl"/>
        </w:rPr>
      </w:pPr>
      <w:bookmarkStart w:id="18" w:name="_Toc473188687"/>
      <w:r w:rsidRPr="00BF3D11">
        <w:rPr>
          <w:rFonts w:ascii="Cambria" w:hAnsi="Cambria"/>
          <w:i w:val="0"/>
          <w:sz w:val="20"/>
          <w:szCs w:val="20"/>
          <w:lang w:val="es-ES_tradnl"/>
        </w:rPr>
        <w:t>Posición del Estado</w:t>
      </w:r>
      <w:bookmarkEnd w:id="18"/>
    </w:p>
    <w:p w:rsidR="009B1199" w:rsidRPr="00BF3D11" w:rsidRDefault="009B1199" w:rsidP="00053951">
      <w:pPr>
        <w:pStyle w:val="ColorfulShading-Accent31"/>
        <w:ind w:left="0"/>
        <w:jc w:val="both"/>
        <w:rPr>
          <w:sz w:val="20"/>
          <w:szCs w:val="20"/>
          <w:lang w:val="es-ES_tradnl"/>
        </w:rPr>
      </w:pPr>
    </w:p>
    <w:p w:rsidR="00F2143B" w:rsidRPr="00BF3D11" w:rsidRDefault="00F2143B" w:rsidP="00053951">
      <w:pPr>
        <w:numPr>
          <w:ilvl w:val="0"/>
          <w:numId w:val="55"/>
        </w:numPr>
        <w:jc w:val="both"/>
        <w:rPr>
          <w:rFonts w:ascii="Cambria" w:hAnsi="Cambria"/>
          <w:sz w:val="20"/>
          <w:szCs w:val="20"/>
          <w:lang w:val="es-ES_tradnl"/>
        </w:rPr>
      </w:pPr>
      <w:r w:rsidRPr="00BF3D11">
        <w:rPr>
          <w:rFonts w:ascii="Cambria" w:hAnsi="Cambria"/>
          <w:sz w:val="20"/>
          <w:szCs w:val="20"/>
          <w:lang w:val="es-ES_tradnl"/>
        </w:rPr>
        <w:t xml:space="preserve">Sobre la admisibilidad del caso, el Estado sostuvo que no se cumplen con los requisitos del artículo 44 de la Convención Americana. Ello debido a que en la petición inicial no se indicó que los presuntos responsables de la desaparición, actos de tortura y asesinato del señor Gómez eran agentes públicos. </w:t>
      </w:r>
    </w:p>
    <w:p w:rsidR="00F2143B" w:rsidRPr="00BF3D11" w:rsidRDefault="00F2143B" w:rsidP="00053951">
      <w:pPr>
        <w:ind w:left="720"/>
        <w:jc w:val="both"/>
        <w:rPr>
          <w:rFonts w:ascii="Cambria" w:hAnsi="Cambria"/>
          <w:sz w:val="20"/>
          <w:szCs w:val="20"/>
          <w:lang w:val="es-ES_tradnl"/>
        </w:rPr>
      </w:pPr>
    </w:p>
    <w:p w:rsidR="00995F94" w:rsidRPr="00BF3D11" w:rsidRDefault="00F2143B" w:rsidP="00053951">
      <w:pPr>
        <w:numPr>
          <w:ilvl w:val="0"/>
          <w:numId w:val="55"/>
        </w:numPr>
        <w:jc w:val="both"/>
        <w:rPr>
          <w:rFonts w:ascii="Cambria" w:hAnsi="Cambria"/>
          <w:sz w:val="20"/>
          <w:szCs w:val="20"/>
          <w:lang w:val="es-ES_tradnl"/>
        </w:rPr>
      </w:pPr>
      <w:r w:rsidRPr="00BF3D11">
        <w:rPr>
          <w:rFonts w:ascii="Cambria" w:hAnsi="Cambria"/>
          <w:sz w:val="20"/>
          <w:szCs w:val="20"/>
          <w:lang w:val="es-ES"/>
        </w:rPr>
        <w:t xml:space="preserve">En relación con el fondo del asunto, </w:t>
      </w:r>
      <w:r w:rsidR="00995F94" w:rsidRPr="00BF3D11">
        <w:rPr>
          <w:rFonts w:ascii="Cambria" w:hAnsi="Cambria"/>
          <w:sz w:val="20"/>
          <w:szCs w:val="20"/>
          <w:lang w:val="es-ES"/>
        </w:rPr>
        <w:t xml:space="preserve">el Estado desconoció el contexto alegado por los representantes. Explicó que </w:t>
      </w:r>
      <w:r w:rsidR="00C6244E" w:rsidRPr="00BF3D11">
        <w:rPr>
          <w:rFonts w:ascii="Cambria" w:hAnsi="Cambria"/>
          <w:sz w:val="20"/>
          <w:szCs w:val="20"/>
          <w:lang w:val="es-ES"/>
        </w:rPr>
        <w:t>las conductas descritas por los peticionarios no evidencian una práctica reiterada en la que encuadre</w:t>
      </w:r>
      <w:r w:rsidR="00C76C69" w:rsidRPr="00BF3D11">
        <w:rPr>
          <w:rFonts w:ascii="Cambria" w:hAnsi="Cambria"/>
          <w:sz w:val="20"/>
          <w:szCs w:val="20"/>
          <w:lang w:val="es-ES"/>
        </w:rPr>
        <w:t>n</w:t>
      </w:r>
      <w:r w:rsidR="00C6244E" w:rsidRPr="00BF3D11">
        <w:rPr>
          <w:rFonts w:ascii="Cambria" w:hAnsi="Cambria"/>
          <w:sz w:val="20"/>
          <w:szCs w:val="20"/>
          <w:lang w:val="es-ES"/>
        </w:rPr>
        <w:t xml:space="preserve"> las circunstancias en que sucedió el asesinato del señor Gómez. </w:t>
      </w:r>
    </w:p>
    <w:p w:rsidR="00995F94" w:rsidRPr="00BF3D11" w:rsidRDefault="00995F94" w:rsidP="00053951">
      <w:pPr>
        <w:pStyle w:val="MediumGrid1-Accent21"/>
        <w:rPr>
          <w:rFonts w:ascii="Cambria" w:hAnsi="Cambria"/>
          <w:sz w:val="20"/>
          <w:szCs w:val="20"/>
          <w:lang w:val="es-ES"/>
        </w:rPr>
      </w:pPr>
    </w:p>
    <w:p w:rsidR="00D330C9" w:rsidRPr="00BF3D11" w:rsidRDefault="00995F94" w:rsidP="00053951">
      <w:pPr>
        <w:numPr>
          <w:ilvl w:val="0"/>
          <w:numId w:val="55"/>
        </w:numPr>
        <w:jc w:val="both"/>
        <w:rPr>
          <w:rFonts w:ascii="Cambria" w:hAnsi="Cambria"/>
          <w:sz w:val="20"/>
          <w:szCs w:val="20"/>
          <w:lang w:val="es-ES_tradnl"/>
        </w:rPr>
      </w:pPr>
      <w:r w:rsidRPr="00BF3D11">
        <w:rPr>
          <w:rFonts w:ascii="Cambria" w:hAnsi="Cambria"/>
          <w:sz w:val="20"/>
          <w:szCs w:val="20"/>
          <w:lang w:val="es-ES"/>
        </w:rPr>
        <w:t>E</w:t>
      </w:r>
      <w:r w:rsidR="00D330C9" w:rsidRPr="00BF3D11">
        <w:rPr>
          <w:rFonts w:ascii="Cambria" w:hAnsi="Cambria"/>
          <w:sz w:val="20"/>
          <w:szCs w:val="20"/>
          <w:lang w:val="es-ES"/>
        </w:rPr>
        <w:t>l Estado presentó distintos argumentos en el trámite ante la CIDH. Inicialmente, el Estado sostuvo que se inició una investigación a efectos de esclarecer lo sucedido con el señor Gómez e identificar a las personas responsables. Sostuvo que “</w:t>
      </w:r>
      <w:r w:rsidR="00D330C9" w:rsidRPr="00BF3D11">
        <w:rPr>
          <w:rFonts w:ascii="Cambria" w:hAnsi="Cambria"/>
          <w:sz w:val="20"/>
          <w:szCs w:val="20"/>
          <w:lang w:val="es-ES_tradnl"/>
        </w:rPr>
        <w:t xml:space="preserve">se espera que se aporten nuevos elementos de convicción que determinen la individualización y sanción de los personas </w:t>
      </w:r>
      <w:r w:rsidR="00D330C9" w:rsidRPr="00BF3D11">
        <w:rPr>
          <w:rFonts w:ascii="Cambria" w:hAnsi="Cambria" w:cs="Arial"/>
          <w:sz w:val="20"/>
          <w:szCs w:val="20"/>
          <w:lang w:val="es-ES_tradnl"/>
        </w:rPr>
        <w:t>[responsables]</w:t>
      </w:r>
      <w:r w:rsidR="00D330C9" w:rsidRPr="00BF3D11">
        <w:rPr>
          <w:rFonts w:ascii="Cambria" w:hAnsi="Cambria"/>
          <w:sz w:val="20"/>
          <w:szCs w:val="20"/>
          <w:lang w:val="es-ES_tradnl"/>
        </w:rPr>
        <w:t>”.</w:t>
      </w:r>
    </w:p>
    <w:p w:rsidR="00D330C9" w:rsidRPr="00BF3D11" w:rsidRDefault="00D330C9" w:rsidP="00053951">
      <w:pPr>
        <w:ind w:left="720"/>
        <w:jc w:val="both"/>
        <w:rPr>
          <w:rFonts w:ascii="Cambria" w:hAnsi="Cambria"/>
          <w:sz w:val="20"/>
          <w:szCs w:val="20"/>
          <w:lang w:val="es-ES_tradnl"/>
        </w:rPr>
      </w:pPr>
    </w:p>
    <w:p w:rsidR="00F2143B" w:rsidRPr="00BF3D11" w:rsidRDefault="00D330C9" w:rsidP="00053951">
      <w:pPr>
        <w:numPr>
          <w:ilvl w:val="0"/>
          <w:numId w:val="55"/>
        </w:numPr>
        <w:jc w:val="both"/>
        <w:rPr>
          <w:rFonts w:ascii="Cambria" w:hAnsi="Cambria"/>
          <w:sz w:val="20"/>
          <w:szCs w:val="20"/>
          <w:lang w:val="es-ES_tradnl"/>
        </w:rPr>
      </w:pPr>
      <w:r w:rsidRPr="00BF3D11">
        <w:rPr>
          <w:rFonts w:ascii="Cambria" w:hAnsi="Cambria"/>
          <w:sz w:val="20"/>
          <w:szCs w:val="20"/>
          <w:lang w:val="es-ES_tradnl"/>
        </w:rPr>
        <w:t xml:space="preserve">En su escrito de noviembre de 1999 el Estado </w:t>
      </w:r>
      <w:r w:rsidR="00103DEF" w:rsidRPr="00BF3D11">
        <w:rPr>
          <w:rFonts w:ascii="Cambria" w:hAnsi="Cambria"/>
          <w:sz w:val="20"/>
          <w:szCs w:val="20"/>
          <w:lang w:val="es-ES_tradnl"/>
        </w:rPr>
        <w:t>reconoció</w:t>
      </w:r>
      <w:r w:rsidRPr="00BF3D11">
        <w:rPr>
          <w:rFonts w:ascii="Cambria" w:hAnsi="Cambria"/>
          <w:sz w:val="20"/>
          <w:szCs w:val="20"/>
          <w:lang w:val="es-ES_tradnl"/>
        </w:rPr>
        <w:t xml:space="preserve"> que no se recopiló información a efectos de individualizar a los responsables de la muerte del señor Gómez</w:t>
      </w:r>
      <w:r w:rsidR="00C76C69" w:rsidRPr="00BF3D11">
        <w:rPr>
          <w:rFonts w:ascii="Cambria" w:hAnsi="Cambria"/>
          <w:sz w:val="20"/>
          <w:szCs w:val="20"/>
          <w:lang w:val="es-ES_tradnl"/>
        </w:rPr>
        <w:t xml:space="preserve"> e indicó </w:t>
      </w:r>
      <w:r w:rsidRPr="00BF3D11">
        <w:rPr>
          <w:rFonts w:ascii="Cambria" w:hAnsi="Cambria"/>
          <w:sz w:val="20"/>
          <w:szCs w:val="20"/>
          <w:lang w:val="es-ES_tradnl"/>
        </w:rPr>
        <w:t>que el Ministerio Público archivó el caso.</w:t>
      </w:r>
      <w:r w:rsidR="00344608" w:rsidRPr="00BF3D11">
        <w:rPr>
          <w:rFonts w:ascii="Cambria" w:hAnsi="Cambria"/>
          <w:sz w:val="20"/>
          <w:szCs w:val="20"/>
          <w:lang w:val="es-ES_tradnl"/>
        </w:rPr>
        <w:t xml:space="preserve"> </w:t>
      </w:r>
    </w:p>
    <w:p w:rsidR="00F2143B" w:rsidRPr="00BF3D11" w:rsidRDefault="00F2143B" w:rsidP="00053951">
      <w:pPr>
        <w:pStyle w:val="MediumGrid1-Accent21"/>
        <w:rPr>
          <w:rFonts w:ascii="Cambria" w:hAnsi="Cambria"/>
          <w:sz w:val="20"/>
          <w:szCs w:val="20"/>
          <w:lang w:val="es-ES_tradnl"/>
        </w:rPr>
      </w:pPr>
    </w:p>
    <w:p w:rsidR="005C13BC" w:rsidRPr="00BF3D11" w:rsidRDefault="00F2143B" w:rsidP="00053951">
      <w:pPr>
        <w:numPr>
          <w:ilvl w:val="0"/>
          <w:numId w:val="55"/>
        </w:numPr>
        <w:jc w:val="both"/>
        <w:rPr>
          <w:rFonts w:ascii="Cambria" w:hAnsi="Cambria"/>
          <w:sz w:val="20"/>
          <w:szCs w:val="20"/>
          <w:lang w:val="es-ES_tradnl"/>
        </w:rPr>
      </w:pPr>
      <w:r w:rsidRPr="00BF3D11">
        <w:rPr>
          <w:rFonts w:ascii="Cambria" w:hAnsi="Cambria"/>
          <w:sz w:val="20"/>
          <w:szCs w:val="20"/>
          <w:lang w:val="es-ES_tradnl"/>
        </w:rPr>
        <w:t xml:space="preserve">En su escrito de 11 de diciembre de 2006, </w:t>
      </w:r>
      <w:r w:rsidR="00D13651" w:rsidRPr="00BF3D11">
        <w:rPr>
          <w:rFonts w:ascii="Cambria" w:hAnsi="Cambria"/>
          <w:sz w:val="20"/>
          <w:szCs w:val="20"/>
          <w:lang w:val="es-ES_tradnl"/>
        </w:rPr>
        <w:t>el Estado señaló que “desde el inicio los sospechosos, tanto por declaraciones rendidas por familiares de la víctima, como los testigos del hecho fueron</w:t>
      </w:r>
      <w:r w:rsidR="00CF6972">
        <w:rPr>
          <w:rFonts w:ascii="Cambria" w:hAnsi="Cambria"/>
          <w:sz w:val="20"/>
          <w:szCs w:val="20"/>
          <w:lang w:val="es-ES_tradnl"/>
        </w:rPr>
        <w:t>” dos ciudadanos coreanos</w:t>
      </w:r>
      <w:r w:rsidR="00D13651" w:rsidRPr="00BF3D11">
        <w:rPr>
          <w:rFonts w:ascii="Cambria" w:hAnsi="Cambria"/>
          <w:sz w:val="20"/>
          <w:szCs w:val="20"/>
          <w:lang w:val="es-ES_tradnl"/>
        </w:rPr>
        <w:t>.</w:t>
      </w:r>
      <w:r w:rsidR="00ED2B10" w:rsidRPr="00BF3D11">
        <w:rPr>
          <w:rFonts w:ascii="Cambria" w:hAnsi="Cambria"/>
          <w:sz w:val="20"/>
          <w:szCs w:val="20"/>
          <w:lang w:val="es-ES_tradnl"/>
        </w:rPr>
        <w:t xml:space="preserve"> Indicó que dichas personas “eran los propietarios de la maquila (…) y con quien también indican los testigos, </w:t>
      </w:r>
      <w:r w:rsidR="00ED2B10" w:rsidRPr="00BF3D11">
        <w:rPr>
          <w:rFonts w:ascii="Cambria" w:hAnsi="Cambria" w:cs="Arial"/>
          <w:sz w:val="20"/>
          <w:szCs w:val="20"/>
          <w:lang w:val="es-ES_tradnl"/>
        </w:rPr>
        <w:t>[el señor Gómez] había sostenido constantes riñas</w:t>
      </w:r>
      <w:r w:rsidR="00103DEF" w:rsidRPr="00BF3D11">
        <w:rPr>
          <w:rFonts w:ascii="Cambria" w:hAnsi="Cambria" w:cs="Arial"/>
          <w:sz w:val="20"/>
          <w:szCs w:val="20"/>
          <w:lang w:val="es-ES_tradnl"/>
        </w:rPr>
        <w:t>”</w:t>
      </w:r>
      <w:r w:rsidR="00ED2B10" w:rsidRPr="00BF3D11">
        <w:rPr>
          <w:rFonts w:ascii="Cambria" w:hAnsi="Cambria" w:cs="Arial"/>
          <w:sz w:val="20"/>
          <w:szCs w:val="20"/>
          <w:lang w:val="es-ES_tradnl"/>
        </w:rPr>
        <w:t>.</w:t>
      </w:r>
      <w:r w:rsidR="00FC21E9" w:rsidRPr="00BF3D11">
        <w:rPr>
          <w:rFonts w:ascii="Cambria" w:hAnsi="Cambria" w:cs="Arial"/>
          <w:sz w:val="20"/>
          <w:szCs w:val="20"/>
          <w:lang w:val="es-ES_tradnl"/>
        </w:rPr>
        <w:t xml:space="preserve"> </w:t>
      </w:r>
      <w:r w:rsidR="005C13BC" w:rsidRPr="00BF3D11">
        <w:rPr>
          <w:rFonts w:ascii="Cambria" w:hAnsi="Cambria" w:cs="Arial"/>
          <w:sz w:val="20"/>
          <w:szCs w:val="20"/>
          <w:lang w:val="es-ES_tradnl"/>
        </w:rPr>
        <w:t xml:space="preserve">El Estado indicó que también </w:t>
      </w:r>
      <w:r w:rsidR="00C12D9D">
        <w:rPr>
          <w:rFonts w:ascii="Cambria" w:hAnsi="Cambria" w:cs="Arial"/>
          <w:sz w:val="20"/>
          <w:szCs w:val="20"/>
          <w:lang w:val="es-ES_tradnl"/>
        </w:rPr>
        <w:t>se entrevistó a</w:t>
      </w:r>
      <w:r w:rsidR="003F3873" w:rsidRPr="00BF3D11">
        <w:rPr>
          <w:rFonts w:ascii="Cambria" w:hAnsi="Cambria" w:cs="Arial"/>
          <w:sz w:val="20"/>
          <w:szCs w:val="20"/>
          <w:lang w:val="es-ES_tradnl"/>
        </w:rPr>
        <w:t xml:space="preserve"> </w:t>
      </w:r>
      <w:r w:rsidR="00B23082">
        <w:rPr>
          <w:rFonts w:ascii="Cambria" w:hAnsi="Cambria" w:cs="Arial"/>
          <w:sz w:val="20"/>
          <w:szCs w:val="20"/>
          <w:lang w:val="es-ES_tradnl"/>
        </w:rPr>
        <w:t xml:space="preserve">otra persona </w:t>
      </w:r>
      <w:r w:rsidR="003F3873" w:rsidRPr="00BF3D11">
        <w:rPr>
          <w:rFonts w:ascii="Cambria" w:hAnsi="Cambria" w:cs="Arial"/>
          <w:sz w:val="20"/>
          <w:szCs w:val="20"/>
          <w:lang w:val="es-ES_tradnl"/>
        </w:rPr>
        <w:t xml:space="preserve">quien según indicó el señor Antonio Gómez [padre de </w:t>
      </w:r>
      <w:r w:rsidR="00E15EE9" w:rsidRPr="00BF3D11">
        <w:rPr>
          <w:rFonts w:ascii="Cambria" w:hAnsi="Cambria" w:cs="Arial"/>
          <w:sz w:val="20"/>
          <w:szCs w:val="20"/>
          <w:lang w:val="es-ES_tradnl"/>
        </w:rPr>
        <w:t>Alejandro</w:t>
      </w:r>
      <w:r w:rsidR="003F3873" w:rsidRPr="00BF3D11">
        <w:rPr>
          <w:rFonts w:ascii="Cambria" w:hAnsi="Cambria" w:cs="Arial"/>
          <w:sz w:val="20"/>
          <w:szCs w:val="20"/>
          <w:lang w:val="es-ES_tradnl"/>
        </w:rPr>
        <w:t xml:space="preserve"> Gómez] lo había amenazado por ser este amante de la esposa.</w:t>
      </w:r>
    </w:p>
    <w:p w:rsidR="005C13BC" w:rsidRPr="00BF3D11" w:rsidRDefault="005C13BC" w:rsidP="00053951">
      <w:pPr>
        <w:pStyle w:val="ColorfulList-Accent11"/>
        <w:rPr>
          <w:rFonts w:ascii="Cambria" w:hAnsi="Cambria" w:cs="Arial"/>
          <w:sz w:val="20"/>
          <w:szCs w:val="20"/>
          <w:lang w:val="es-ES_tradnl"/>
        </w:rPr>
      </w:pPr>
    </w:p>
    <w:p w:rsidR="004F145C" w:rsidRPr="00BF3D11" w:rsidRDefault="005C13BC" w:rsidP="00053951">
      <w:pPr>
        <w:numPr>
          <w:ilvl w:val="0"/>
          <w:numId w:val="55"/>
        </w:numPr>
        <w:jc w:val="both"/>
        <w:rPr>
          <w:rFonts w:ascii="Cambria" w:hAnsi="Cambria"/>
          <w:sz w:val="20"/>
          <w:szCs w:val="20"/>
          <w:lang w:val="es-ES_tradnl"/>
        </w:rPr>
      </w:pPr>
      <w:r w:rsidRPr="00BF3D11">
        <w:rPr>
          <w:rFonts w:ascii="Cambria" w:hAnsi="Cambria" w:cs="Arial"/>
          <w:sz w:val="20"/>
          <w:szCs w:val="20"/>
          <w:lang w:val="es-ES_tradnl"/>
        </w:rPr>
        <w:t>El Estado s</w:t>
      </w:r>
      <w:r w:rsidR="00FC21E9" w:rsidRPr="00BF3D11">
        <w:rPr>
          <w:rFonts w:ascii="Cambria" w:hAnsi="Cambria" w:cs="Arial"/>
          <w:sz w:val="20"/>
          <w:szCs w:val="20"/>
          <w:lang w:val="es-ES_tradnl"/>
        </w:rPr>
        <w:t>ostuvo que no hay elementos de prueba que vinculen a agentes estatales con los hechos del caso.</w:t>
      </w:r>
      <w:r w:rsidR="00C6244E" w:rsidRPr="00BF3D11">
        <w:rPr>
          <w:rFonts w:ascii="Cambria" w:hAnsi="Cambria" w:cs="Arial"/>
          <w:sz w:val="20"/>
          <w:szCs w:val="20"/>
          <w:lang w:val="es-ES_tradnl"/>
        </w:rPr>
        <w:t xml:space="preserve"> </w:t>
      </w:r>
      <w:r w:rsidR="00C6244E" w:rsidRPr="00BF3D11">
        <w:rPr>
          <w:rFonts w:ascii="Cambria" w:hAnsi="Cambria"/>
          <w:sz w:val="20"/>
          <w:szCs w:val="20"/>
          <w:lang w:val="es-ES"/>
        </w:rPr>
        <w:t>Indicó que siempre se señaló a civiles como posibles autores del hecho.</w:t>
      </w:r>
      <w:r w:rsidR="003F3873" w:rsidRPr="00BF3D11">
        <w:rPr>
          <w:rFonts w:ascii="Cambria" w:hAnsi="Cambria"/>
          <w:sz w:val="20"/>
          <w:szCs w:val="20"/>
          <w:lang w:val="es-ES_tradnl"/>
        </w:rPr>
        <w:t xml:space="preserve"> Agregó</w:t>
      </w:r>
      <w:r w:rsidR="004F145C" w:rsidRPr="00BF3D11">
        <w:rPr>
          <w:rFonts w:ascii="Cambria" w:hAnsi="Cambria"/>
          <w:sz w:val="20"/>
          <w:szCs w:val="20"/>
          <w:lang w:val="es-ES_tradnl"/>
        </w:rPr>
        <w:t xml:space="preserve"> que “la variación en la información respecto a quien se le debía considerar sospechoso del asesinato del señor (…) </w:t>
      </w:r>
      <w:r w:rsidR="004F145C" w:rsidRPr="00BF3D11">
        <w:rPr>
          <w:rFonts w:ascii="Cambria" w:hAnsi="Cambria"/>
          <w:sz w:val="20"/>
          <w:szCs w:val="20"/>
          <w:lang w:val="es-ES_tradnl"/>
        </w:rPr>
        <w:lastRenderedPageBreak/>
        <w:t>Gómez Virula demuestra la dificultad que el Ministerio Público enfrentó para sindicar a una persona específica”.</w:t>
      </w:r>
    </w:p>
    <w:p w:rsidR="00D330C9" w:rsidRPr="00BF3D11" w:rsidRDefault="00D330C9" w:rsidP="00053951">
      <w:pPr>
        <w:pStyle w:val="MediumGrid1-Accent21"/>
        <w:ind w:left="0"/>
        <w:rPr>
          <w:rFonts w:ascii="Cambria" w:hAnsi="Cambria"/>
          <w:sz w:val="20"/>
          <w:szCs w:val="20"/>
          <w:lang w:val="es-ES_tradnl"/>
        </w:rPr>
      </w:pPr>
    </w:p>
    <w:p w:rsidR="00D330C9" w:rsidRPr="00BF3D11" w:rsidRDefault="00D330C9" w:rsidP="00053951">
      <w:pPr>
        <w:numPr>
          <w:ilvl w:val="0"/>
          <w:numId w:val="55"/>
        </w:numPr>
        <w:jc w:val="both"/>
        <w:rPr>
          <w:rFonts w:ascii="Cambria" w:hAnsi="Cambria"/>
          <w:sz w:val="20"/>
          <w:szCs w:val="20"/>
          <w:lang w:val="es-ES_tradnl"/>
        </w:rPr>
      </w:pPr>
      <w:r w:rsidRPr="00BF3D11">
        <w:rPr>
          <w:rFonts w:ascii="Cambria" w:hAnsi="Cambria"/>
          <w:sz w:val="20"/>
          <w:szCs w:val="20"/>
          <w:lang w:val="es-ES_tradnl"/>
        </w:rPr>
        <w:t xml:space="preserve">En su más reciente escrito de febrero de 2015 el Estado </w:t>
      </w:r>
      <w:r w:rsidRPr="00BF3D11">
        <w:rPr>
          <w:rFonts w:ascii="Cambria" w:hAnsi="Cambria"/>
          <w:sz w:val="20"/>
          <w:szCs w:val="20"/>
          <w:lang w:val="es-ES"/>
        </w:rPr>
        <w:t>indicó que, de acuerdo a la base de datos del Ministerio Público, no existen registros en donde aparezca el señor Gómez como denunciante o agrav</w:t>
      </w:r>
      <w:r w:rsidR="00AE4F32" w:rsidRPr="00BF3D11">
        <w:rPr>
          <w:rFonts w:ascii="Cambria" w:hAnsi="Cambria"/>
          <w:sz w:val="20"/>
          <w:szCs w:val="20"/>
          <w:lang w:val="es-ES"/>
        </w:rPr>
        <w:t>i</w:t>
      </w:r>
      <w:r w:rsidRPr="00BF3D11">
        <w:rPr>
          <w:rFonts w:ascii="Cambria" w:hAnsi="Cambria"/>
          <w:sz w:val="20"/>
          <w:szCs w:val="20"/>
          <w:lang w:val="es-ES"/>
        </w:rPr>
        <w:t>ado en ningún expediente judicial.</w:t>
      </w:r>
    </w:p>
    <w:p w:rsidR="000F494B" w:rsidRPr="00BF3D11" w:rsidRDefault="000F494B" w:rsidP="00053951">
      <w:pPr>
        <w:tabs>
          <w:tab w:val="left" w:pos="720"/>
          <w:tab w:val="center" w:pos="5400"/>
        </w:tabs>
        <w:suppressAutoHyphens/>
        <w:rPr>
          <w:rFonts w:ascii="Cambria" w:hAnsi="Cambria"/>
          <w:sz w:val="20"/>
          <w:szCs w:val="20"/>
          <w:lang w:val="es-ES_tradnl"/>
        </w:rPr>
      </w:pPr>
    </w:p>
    <w:p w:rsidR="006A76E2" w:rsidRDefault="005A2F94" w:rsidP="006A76E2">
      <w:pPr>
        <w:pStyle w:val="Heading1"/>
      </w:pPr>
      <w:bookmarkStart w:id="19" w:name="_Toc473188688"/>
      <w:r w:rsidRPr="00BF3D11">
        <w:t>ANÁLISIS DE COMPETENCIA Y ADMISIBILIDAD</w:t>
      </w:r>
      <w:bookmarkEnd w:id="19"/>
    </w:p>
    <w:p w:rsidR="006A76E2" w:rsidRPr="006A76E2" w:rsidRDefault="006A76E2" w:rsidP="006A76E2">
      <w:pPr>
        <w:rPr>
          <w:lang w:val="es-ES_tradnl"/>
        </w:rPr>
      </w:pPr>
    </w:p>
    <w:p w:rsidR="007372D2" w:rsidRPr="00BF3D11" w:rsidRDefault="007372D2" w:rsidP="00053951">
      <w:pPr>
        <w:pStyle w:val="Heading2"/>
        <w:numPr>
          <w:ilvl w:val="0"/>
          <w:numId w:val="57"/>
        </w:numPr>
        <w:tabs>
          <w:tab w:val="left" w:pos="720"/>
          <w:tab w:val="left" w:pos="1440"/>
        </w:tabs>
        <w:spacing w:before="0" w:after="0"/>
        <w:ind w:left="1440" w:hanging="720"/>
        <w:jc w:val="both"/>
        <w:rPr>
          <w:rFonts w:ascii="Cambria" w:eastAsia="Arial Unicode MS" w:hAnsi="Cambria" w:cs="Calibri"/>
          <w:b w:val="0"/>
          <w:bCs w:val="0"/>
          <w:i w:val="0"/>
          <w:iCs w:val="0"/>
          <w:color w:val="808080"/>
          <w:sz w:val="20"/>
          <w:szCs w:val="20"/>
          <w:bdr w:val="nil"/>
          <w:lang w:val="es-ES_tradnl"/>
        </w:rPr>
      </w:pPr>
      <w:bookmarkStart w:id="20" w:name="_Toc473188689"/>
      <w:r w:rsidRPr="00BF3D11">
        <w:rPr>
          <w:rFonts w:ascii="Cambria" w:hAnsi="Cambria"/>
          <w:i w:val="0"/>
          <w:sz w:val="20"/>
          <w:szCs w:val="20"/>
          <w:lang w:val="es-ES_tradnl"/>
        </w:rPr>
        <w:t xml:space="preserve">Competencia </w:t>
      </w:r>
      <w:r w:rsidRPr="00BF3D11">
        <w:rPr>
          <w:rFonts w:ascii="Cambria" w:hAnsi="Cambria"/>
          <w:sz w:val="20"/>
          <w:szCs w:val="20"/>
          <w:lang w:val="es-ES_tradnl"/>
        </w:rPr>
        <w:t xml:space="preserve">ratione personae, ratione loci, ratione temporis </w:t>
      </w:r>
      <w:r w:rsidRPr="00BF3D11">
        <w:rPr>
          <w:rFonts w:ascii="Cambria" w:hAnsi="Cambria"/>
          <w:i w:val="0"/>
          <w:sz w:val="20"/>
          <w:szCs w:val="20"/>
          <w:lang w:val="es-ES_tradnl"/>
        </w:rPr>
        <w:t xml:space="preserve">y </w:t>
      </w:r>
      <w:r w:rsidRPr="00BF3D11">
        <w:rPr>
          <w:rFonts w:ascii="Cambria" w:hAnsi="Cambria"/>
          <w:sz w:val="20"/>
          <w:szCs w:val="20"/>
          <w:lang w:val="es-ES_tradnl"/>
        </w:rPr>
        <w:t xml:space="preserve">ratione materiae </w:t>
      </w:r>
      <w:r w:rsidRPr="00BF3D11">
        <w:rPr>
          <w:rFonts w:ascii="Cambria" w:hAnsi="Cambria"/>
          <w:i w:val="0"/>
          <w:sz w:val="20"/>
          <w:szCs w:val="20"/>
          <w:lang w:val="es-ES_tradnl"/>
        </w:rPr>
        <w:t>de la Comisión</w:t>
      </w:r>
      <w:bookmarkEnd w:id="20"/>
      <w:r w:rsidRPr="00BF3D11">
        <w:rPr>
          <w:rFonts w:ascii="Cambria" w:hAnsi="Cambria"/>
          <w:i w:val="0"/>
          <w:sz w:val="20"/>
          <w:szCs w:val="20"/>
          <w:lang w:val="es-ES_tradnl"/>
        </w:rPr>
        <w:t xml:space="preserve"> </w:t>
      </w:r>
    </w:p>
    <w:p w:rsidR="0089339B" w:rsidRPr="00BF3D11" w:rsidRDefault="0089339B" w:rsidP="00053951">
      <w:pPr>
        <w:tabs>
          <w:tab w:val="center" w:pos="4680"/>
          <w:tab w:val="left" w:pos="6511"/>
        </w:tabs>
        <w:rPr>
          <w:rFonts w:ascii="Cambria" w:hAnsi="Cambria" w:cs="Calibri"/>
          <w:color w:val="808080"/>
          <w:sz w:val="20"/>
          <w:szCs w:val="20"/>
          <w:lang w:val="es-ES_tradnl"/>
        </w:rPr>
      </w:pPr>
    </w:p>
    <w:p w:rsidR="005773E2" w:rsidRPr="00BF3D11" w:rsidRDefault="007372D2"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 xml:space="preserve">Los peticionarios se encuentran facultados por el artículo 44 de la Convención Americana para presentar denuncias. Asimismo, </w:t>
      </w:r>
      <w:r w:rsidR="00E15EE9" w:rsidRPr="00BF3D11">
        <w:rPr>
          <w:rFonts w:ascii="Cambria" w:hAnsi="Cambria"/>
          <w:sz w:val="20"/>
          <w:szCs w:val="20"/>
        </w:rPr>
        <w:t>Alejandro</w:t>
      </w:r>
      <w:r w:rsidR="00B402F7" w:rsidRPr="00BF3D11">
        <w:rPr>
          <w:rFonts w:ascii="Cambria" w:hAnsi="Cambria"/>
          <w:sz w:val="20"/>
          <w:szCs w:val="20"/>
        </w:rPr>
        <w:t xml:space="preserve"> Yovany Gómez Virula </w:t>
      </w:r>
      <w:r w:rsidRPr="00BF3D11">
        <w:rPr>
          <w:rFonts w:ascii="Cambria" w:hAnsi="Cambria"/>
          <w:sz w:val="20"/>
          <w:szCs w:val="20"/>
        </w:rPr>
        <w:t>y sus familiares son personas naturales que se encontraba</w:t>
      </w:r>
      <w:r w:rsidR="00EB28E9" w:rsidRPr="00BF3D11">
        <w:rPr>
          <w:rFonts w:ascii="Cambria" w:hAnsi="Cambria"/>
          <w:sz w:val="20"/>
          <w:szCs w:val="20"/>
        </w:rPr>
        <w:t>n</w:t>
      </w:r>
      <w:r w:rsidRPr="00BF3D11">
        <w:rPr>
          <w:rFonts w:ascii="Cambria" w:hAnsi="Cambria"/>
          <w:sz w:val="20"/>
          <w:szCs w:val="20"/>
        </w:rPr>
        <w:t xml:space="preserve"> bajo la jurisdicción del Estado de Guatemala a la fecha de los hechos aducidos. En consecuencia, la Comisión tiene competencia </w:t>
      </w:r>
      <w:r w:rsidRPr="00BF3D11">
        <w:rPr>
          <w:rFonts w:ascii="Cambria" w:hAnsi="Cambria"/>
          <w:i/>
          <w:sz w:val="20"/>
          <w:szCs w:val="20"/>
        </w:rPr>
        <w:t>ratione personae</w:t>
      </w:r>
      <w:r w:rsidRPr="00BF3D11">
        <w:rPr>
          <w:rFonts w:ascii="Cambria" w:hAnsi="Cambria"/>
          <w:sz w:val="20"/>
          <w:szCs w:val="20"/>
        </w:rPr>
        <w:t xml:space="preserve"> para examinar la petición. La Comisión tiene competencia </w:t>
      </w:r>
      <w:r w:rsidRPr="00BF3D11">
        <w:rPr>
          <w:rFonts w:ascii="Cambria" w:hAnsi="Cambria"/>
          <w:i/>
          <w:sz w:val="20"/>
          <w:szCs w:val="20"/>
        </w:rPr>
        <w:t>ratione loci</w:t>
      </w:r>
      <w:r w:rsidRPr="00BF3D11">
        <w:rPr>
          <w:rFonts w:ascii="Cambria" w:hAnsi="Cambria"/>
          <w:sz w:val="20"/>
          <w:szCs w:val="20"/>
        </w:rPr>
        <w:t xml:space="preserve"> para conocer la petición, por cuanto en ella se alegan violaciones de la Convención Americana que habrían tenido lugar dentro del territorio de un Estado parte de dicho tratado. </w:t>
      </w:r>
    </w:p>
    <w:p w:rsidR="005773E2" w:rsidRPr="00BF3D11" w:rsidRDefault="005773E2"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7372D2" w:rsidRPr="00BF3D11" w:rsidRDefault="007372D2"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BF3D11">
        <w:rPr>
          <w:rFonts w:ascii="Cambria" w:hAnsi="Cambria"/>
          <w:sz w:val="20"/>
          <w:szCs w:val="20"/>
        </w:rPr>
        <w:t xml:space="preserve">Igualmente, la CIDH tiene competencia </w:t>
      </w:r>
      <w:r w:rsidRPr="00BF3D11">
        <w:rPr>
          <w:rFonts w:ascii="Cambria" w:hAnsi="Cambria"/>
          <w:i/>
          <w:sz w:val="20"/>
          <w:szCs w:val="20"/>
        </w:rPr>
        <w:t xml:space="preserve">ratione materiae </w:t>
      </w:r>
      <w:r w:rsidRPr="00BF3D11">
        <w:rPr>
          <w:rFonts w:ascii="Cambria" w:hAnsi="Cambria"/>
          <w:sz w:val="20"/>
          <w:szCs w:val="20"/>
        </w:rPr>
        <w:t xml:space="preserve">debido a que la petición se refiere a presuntas violaciones de la Convención Americana. La Comisión también tiene competencia </w:t>
      </w:r>
      <w:r w:rsidRPr="00BF3D11">
        <w:rPr>
          <w:rFonts w:ascii="Cambria" w:hAnsi="Cambria"/>
          <w:i/>
          <w:sz w:val="20"/>
          <w:szCs w:val="20"/>
        </w:rPr>
        <w:t>ratione temporis</w:t>
      </w:r>
      <w:r w:rsidRPr="00BF3D11">
        <w:rPr>
          <w:rFonts w:ascii="Cambria" w:hAnsi="Cambria"/>
          <w:sz w:val="20"/>
          <w:szCs w:val="20"/>
        </w:rPr>
        <w:t xml:space="preserve"> pues Guatemala es un Estado parte en la Convención Americana desde el 25 de mayo de 1978, fecha en la que depositó su instrumento de ratificación y, por lo tanto, la obligación de respetar y garantizar los derechos establecidos en la Convención Americana ya se encontraba en vigor para el Estado en la fecha en que habrían ocurrido los hechos. </w:t>
      </w:r>
    </w:p>
    <w:p w:rsidR="0042474F" w:rsidRPr="00BF3D11" w:rsidRDefault="0042474F" w:rsidP="00053951">
      <w:pPr>
        <w:tabs>
          <w:tab w:val="center" w:pos="4680"/>
          <w:tab w:val="left" w:pos="6511"/>
        </w:tabs>
        <w:rPr>
          <w:rFonts w:ascii="Cambria" w:hAnsi="Cambria" w:cs="Calibri"/>
          <w:color w:val="808080"/>
          <w:sz w:val="20"/>
          <w:szCs w:val="20"/>
          <w:lang w:val="es-ES"/>
        </w:rPr>
      </w:pPr>
    </w:p>
    <w:p w:rsidR="005773E2" w:rsidRPr="00BF3D11" w:rsidRDefault="005773E2" w:rsidP="00053951">
      <w:pPr>
        <w:pStyle w:val="Heading2"/>
        <w:numPr>
          <w:ilvl w:val="0"/>
          <w:numId w:val="57"/>
        </w:numPr>
        <w:tabs>
          <w:tab w:val="left" w:pos="720"/>
          <w:tab w:val="left" w:pos="1440"/>
        </w:tabs>
        <w:spacing w:before="0" w:after="0"/>
        <w:ind w:left="1440" w:hanging="720"/>
        <w:jc w:val="both"/>
        <w:rPr>
          <w:rFonts w:ascii="Cambria" w:eastAsia="Arial Unicode MS" w:hAnsi="Cambria" w:cs="Calibri"/>
          <w:b w:val="0"/>
          <w:bCs w:val="0"/>
          <w:i w:val="0"/>
          <w:iCs w:val="0"/>
          <w:color w:val="808080"/>
          <w:sz w:val="20"/>
          <w:szCs w:val="20"/>
          <w:bdr w:val="nil"/>
          <w:lang w:val="es-ES_tradnl"/>
        </w:rPr>
      </w:pPr>
      <w:bookmarkStart w:id="21" w:name="_Toc473188690"/>
      <w:r w:rsidRPr="00BF3D11">
        <w:rPr>
          <w:rFonts w:ascii="Cambria" w:hAnsi="Cambria"/>
          <w:i w:val="0"/>
          <w:sz w:val="20"/>
          <w:szCs w:val="20"/>
          <w:lang w:val="es-ES_tradnl"/>
        </w:rPr>
        <w:t>Agotamiento de los recursos internos</w:t>
      </w:r>
      <w:bookmarkEnd w:id="21"/>
    </w:p>
    <w:p w:rsidR="005773E2" w:rsidRPr="00BF3D11" w:rsidRDefault="005773E2" w:rsidP="00053951">
      <w:pPr>
        <w:tabs>
          <w:tab w:val="center" w:pos="4680"/>
          <w:tab w:val="left" w:pos="6511"/>
        </w:tabs>
        <w:rPr>
          <w:rFonts w:ascii="Cambria" w:hAnsi="Cambria" w:cs="Calibri"/>
          <w:color w:val="808080"/>
          <w:sz w:val="20"/>
          <w:szCs w:val="20"/>
          <w:lang w:val="es-ES_tradnl"/>
        </w:rPr>
      </w:pPr>
    </w:p>
    <w:p w:rsidR="00D756CC" w:rsidRDefault="00D756CC"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El artículo 46.1.a) de la Convención Americana dispone que, para que sea admisible una denuncia presentada ante la Comisión Interamericana de conformidad con el artículo 44 del mismo instrumento,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tengan la oportunidad de solucionarla antes de que sea conocida por una instancia internacional.</w:t>
      </w:r>
    </w:p>
    <w:p w:rsidR="0046505E" w:rsidRDefault="0046505E" w:rsidP="0046505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46505E" w:rsidRPr="00BF3D11" w:rsidRDefault="0046505E"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De acuerdo al criterio constante de la  CIDH, el análisis sobre los requisitos previstos en el artículo 46.1.a) de la Convención debe hacerse a la luz de la situación vigente al momento en que se pronuncia sobre la admisibilidad o inadmisibilidad del reclamo</w:t>
      </w:r>
      <w:r w:rsidRPr="00BF3D11">
        <w:rPr>
          <w:rStyle w:val="FootnoteReference"/>
          <w:rFonts w:ascii="Cambria" w:hAnsi="Cambria"/>
          <w:sz w:val="20"/>
          <w:szCs w:val="20"/>
        </w:rPr>
        <w:footnoteReference w:id="3"/>
      </w:r>
      <w:r w:rsidRPr="00BF3D11">
        <w:rPr>
          <w:rFonts w:ascii="Cambria" w:hAnsi="Cambria"/>
          <w:sz w:val="20"/>
          <w:szCs w:val="20"/>
        </w:rPr>
        <w:t>.</w:t>
      </w:r>
    </w:p>
    <w:p w:rsidR="00D756CC" w:rsidRPr="00BF3D11" w:rsidRDefault="00D756CC" w:rsidP="00053951">
      <w:pPr>
        <w:ind w:firstLine="567"/>
        <w:rPr>
          <w:rFonts w:ascii="Cambria" w:hAnsi="Cambria"/>
          <w:sz w:val="20"/>
          <w:szCs w:val="20"/>
          <w:lang w:val="es-ES_tradnl"/>
        </w:rPr>
      </w:pPr>
    </w:p>
    <w:p w:rsidR="00506123" w:rsidRPr="00BF3D11" w:rsidRDefault="00D756CC"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 xml:space="preserve">La Comisión observa que </w:t>
      </w:r>
      <w:r w:rsidR="00B60A57" w:rsidRPr="00BF3D11">
        <w:rPr>
          <w:rFonts w:ascii="Cambria" w:hAnsi="Cambria"/>
          <w:sz w:val="20"/>
          <w:szCs w:val="20"/>
        </w:rPr>
        <w:t>ambas partes señalaron que la investigaci</w:t>
      </w:r>
      <w:r w:rsidR="00630BDB">
        <w:rPr>
          <w:rFonts w:ascii="Cambria" w:hAnsi="Cambria"/>
          <w:sz w:val="20"/>
          <w:szCs w:val="20"/>
        </w:rPr>
        <w:t>ón por la desaparición</w:t>
      </w:r>
      <w:r w:rsidR="008E6847" w:rsidRPr="00BF3D11">
        <w:rPr>
          <w:rFonts w:ascii="Cambria" w:hAnsi="Cambria"/>
          <w:sz w:val="20"/>
          <w:szCs w:val="20"/>
        </w:rPr>
        <w:t xml:space="preserve"> y asesinato del señor Gómez fue </w:t>
      </w:r>
      <w:r w:rsidR="00DB7FD4" w:rsidRPr="00BF3D11">
        <w:rPr>
          <w:rFonts w:ascii="Cambria" w:hAnsi="Cambria"/>
          <w:sz w:val="20"/>
          <w:szCs w:val="20"/>
        </w:rPr>
        <w:t xml:space="preserve">iniciada en su momento y posteriormente </w:t>
      </w:r>
      <w:r w:rsidR="008E6847" w:rsidRPr="00BF3D11">
        <w:rPr>
          <w:rFonts w:ascii="Cambria" w:hAnsi="Cambria"/>
          <w:sz w:val="20"/>
          <w:szCs w:val="20"/>
        </w:rPr>
        <w:t>archivada</w:t>
      </w:r>
      <w:r w:rsidR="00DB7FD4" w:rsidRPr="00BF3D11">
        <w:rPr>
          <w:rFonts w:ascii="Cambria" w:hAnsi="Cambria"/>
          <w:sz w:val="20"/>
          <w:szCs w:val="20"/>
        </w:rPr>
        <w:t xml:space="preserve"> por falta de pruebas</w:t>
      </w:r>
      <w:r w:rsidR="00DB7FD4" w:rsidRPr="00BF3D11">
        <w:rPr>
          <w:rStyle w:val="FootnoteReference"/>
          <w:rFonts w:ascii="Cambria" w:hAnsi="Cambria"/>
          <w:sz w:val="20"/>
          <w:szCs w:val="20"/>
        </w:rPr>
        <w:footnoteReference w:id="4"/>
      </w:r>
      <w:r w:rsidR="008E6847" w:rsidRPr="00BF3D11">
        <w:rPr>
          <w:rFonts w:ascii="Cambria" w:hAnsi="Cambria"/>
          <w:sz w:val="20"/>
          <w:szCs w:val="20"/>
        </w:rPr>
        <w:t>.</w:t>
      </w:r>
      <w:r w:rsidR="006317E0" w:rsidRPr="00BF3D11">
        <w:rPr>
          <w:rFonts w:ascii="Cambria" w:hAnsi="Cambria"/>
          <w:sz w:val="20"/>
          <w:szCs w:val="20"/>
        </w:rPr>
        <w:t xml:space="preserve"> Como se indicará en los hechos probados, no existe claridad en la documentación sobre si la investigación fue archivada formalmente o no. Sin embargo, lo que resulta claro es que desde 1996 no se han realizado diligencias de investigación y que para el año 2004 el Ministerio Público confirmó que no existe investigación alguna registrada con el nombre de la presunta víctima.</w:t>
      </w:r>
      <w:r w:rsidR="008E6847" w:rsidRPr="00BF3D11">
        <w:rPr>
          <w:rFonts w:ascii="Cambria" w:hAnsi="Cambria"/>
          <w:sz w:val="20"/>
          <w:szCs w:val="20"/>
        </w:rPr>
        <w:t xml:space="preserve"> </w:t>
      </w:r>
    </w:p>
    <w:p w:rsidR="00506123" w:rsidRPr="00BF3D11" w:rsidRDefault="00506123"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AE4F32" w:rsidRPr="00BF3D11" w:rsidRDefault="00506123"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lastRenderedPageBreak/>
        <w:t>En estas circunstancias y t</w:t>
      </w:r>
      <w:r w:rsidR="00676153" w:rsidRPr="00BF3D11">
        <w:rPr>
          <w:rFonts w:ascii="Cambria" w:hAnsi="Cambria"/>
          <w:sz w:val="20"/>
          <w:szCs w:val="20"/>
        </w:rPr>
        <w:t xml:space="preserve">omando en cuenta que en casos de muertes violentas, el recurso idóneo que debe ser agotado es la investigación penal que debe ser iniciada e impulsada de oficio por parte del Estado, </w:t>
      </w:r>
      <w:r w:rsidR="008E6847" w:rsidRPr="00BF3D11">
        <w:rPr>
          <w:rFonts w:ascii="Cambria" w:hAnsi="Cambria"/>
          <w:sz w:val="20"/>
          <w:szCs w:val="20"/>
        </w:rPr>
        <w:t>la Comisión considera que el</w:t>
      </w:r>
      <w:r w:rsidR="00A04BAA" w:rsidRPr="00BF3D11">
        <w:rPr>
          <w:rFonts w:ascii="Cambria" w:hAnsi="Cambria"/>
          <w:sz w:val="20"/>
          <w:szCs w:val="20"/>
        </w:rPr>
        <w:t xml:space="preserve"> requisito de agotamiento de los recursos internos se encuentra satisfecho </w:t>
      </w:r>
      <w:r w:rsidR="008E6847" w:rsidRPr="00BF3D11">
        <w:rPr>
          <w:rFonts w:ascii="Cambria" w:hAnsi="Cambria"/>
          <w:sz w:val="20"/>
          <w:szCs w:val="20"/>
        </w:rPr>
        <w:t>de conformidad con el artículo 46.1.a de la Convención Americana</w:t>
      </w:r>
      <w:r w:rsidR="00B60A57" w:rsidRPr="00BF3D11">
        <w:rPr>
          <w:rFonts w:ascii="Cambria" w:hAnsi="Cambria"/>
          <w:sz w:val="20"/>
          <w:szCs w:val="20"/>
        </w:rPr>
        <w:t xml:space="preserve"> </w:t>
      </w:r>
    </w:p>
    <w:p w:rsidR="00F84CB1" w:rsidRPr="00BF3D11" w:rsidRDefault="00F84CB1" w:rsidP="00053951">
      <w:pPr>
        <w:tabs>
          <w:tab w:val="center" w:pos="4680"/>
          <w:tab w:val="left" w:pos="6511"/>
        </w:tabs>
        <w:rPr>
          <w:rFonts w:ascii="Cambria" w:hAnsi="Cambria" w:cs="Calibri"/>
          <w:color w:val="808080"/>
          <w:sz w:val="20"/>
          <w:szCs w:val="20"/>
          <w:lang w:val="es-ES_tradnl"/>
        </w:rPr>
      </w:pPr>
    </w:p>
    <w:p w:rsidR="007D1025" w:rsidRPr="00BF3D11" w:rsidRDefault="007D1025" w:rsidP="00053951">
      <w:pPr>
        <w:pStyle w:val="Heading2"/>
        <w:numPr>
          <w:ilvl w:val="0"/>
          <w:numId w:val="57"/>
        </w:numPr>
        <w:tabs>
          <w:tab w:val="left" w:pos="720"/>
          <w:tab w:val="left" w:pos="1440"/>
        </w:tabs>
        <w:spacing w:before="0" w:after="0"/>
        <w:ind w:left="1440" w:hanging="720"/>
        <w:jc w:val="both"/>
        <w:rPr>
          <w:rFonts w:ascii="Cambria" w:hAnsi="Cambria"/>
          <w:i w:val="0"/>
          <w:sz w:val="20"/>
          <w:szCs w:val="20"/>
          <w:lang w:val="es-ES_tradnl"/>
        </w:rPr>
      </w:pPr>
      <w:bookmarkStart w:id="22" w:name="_Toc473188691"/>
      <w:r w:rsidRPr="00BF3D11">
        <w:rPr>
          <w:rFonts w:ascii="Cambria" w:hAnsi="Cambria"/>
          <w:i w:val="0"/>
          <w:sz w:val="20"/>
          <w:szCs w:val="20"/>
          <w:lang w:val="es-ES_tradnl"/>
        </w:rPr>
        <w:t>Plazo de presentación de la petición</w:t>
      </w:r>
      <w:bookmarkEnd w:id="22"/>
    </w:p>
    <w:p w:rsidR="007D1025" w:rsidRPr="00BF3D11" w:rsidRDefault="007D1025" w:rsidP="00053951">
      <w:pPr>
        <w:ind w:firstLine="567"/>
        <w:rPr>
          <w:rFonts w:ascii="Cambria" w:hAnsi="Cambria"/>
          <w:sz w:val="20"/>
          <w:szCs w:val="20"/>
          <w:lang w:val="es-ES_tradnl"/>
        </w:rPr>
      </w:pPr>
    </w:p>
    <w:p w:rsidR="008E6847" w:rsidRPr="00BF3D11" w:rsidRDefault="007D1025"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
          <w:i/>
          <w:sz w:val="20"/>
          <w:szCs w:val="20"/>
        </w:rPr>
      </w:pPr>
      <w:r w:rsidRPr="00BF3D11">
        <w:rPr>
          <w:rFonts w:ascii="Cambria" w:hAnsi="Cambria"/>
          <w:sz w:val="20"/>
          <w:szCs w:val="20"/>
        </w:rPr>
        <w:t>El artículo 46.1.b) d</w:t>
      </w:r>
      <w:r w:rsidRPr="00BF3D11">
        <w:rPr>
          <w:rFonts w:ascii="Cambria" w:hAnsi="Cambria"/>
          <w:bCs/>
          <w:iCs/>
          <w:sz w:val="20"/>
          <w:szCs w:val="20"/>
        </w:rPr>
        <w:t>e la Convención establece que para que la petición pueda ser declarada admisible, es necesario</w:t>
      </w:r>
      <w:r w:rsidRPr="00BF3D11">
        <w:rPr>
          <w:rFonts w:ascii="Cambria" w:hAnsi="Cambria"/>
          <w:sz w:val="20"/>
          <w:szCs w:val="20"/>
        </w:rPr>
        <w:t xml:space="preserve"> que se haya presentado dentro del plazo de seis meses contado a partir de la fecha en que la parte peticionaria fue notificada de la decisión final que agotó la jurisdicción interna. </w:t>
      </w:r>
    </w:p>
    <w:p w:rsidR="008E6847" w:rsidRPr="00BF3D11" w:rsidRDefault="008E6847"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b/>
          <w:i/>
          <w:sz w:val="20"/>
          <w:szCs w:val="20"/>
        </w:rPr>
      </w:pPr>
    </w:p>
    <w:p w:rsidR="00B402F7" w:rsidRPr="00BF3D11" w:rsidRDefault="008E6847"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bookmarkStart w:id="23" w:name="_Toc370830576"/>
      <w:bookmarkStart w:id="24" w:name="_Toc370831289"/>
      <w:bookmarkStart w:id="25" w:name="_Toc412635578"/>
      <w:bookmarkStart w:id="26" w:name="_Toc416685634"/>
      <w:r w:rsidRPr="00BF3D11">
        <w:rPr>
          <w:rFonts w:ascii="Cambria" w:hAnsi="Cambria"/>
          <w:sz w:val="20"/>
          <w:szCs w:val="20"/>
        </w:rPr>
        <w:t xml:space="preserve">La Comisión nota que el agotamiento de los recursos internos se dio mientras el caso se hallaba bajo estudio de admisibilidad. Ante lo anterior, </w:t>
      </w:r>
      <w:r w:rsidR="001F1BB1" w:rsidRPr="00BF3D11">
        <w:rPr>
          <w:rFonts w:ascii="Cambria" w:hAnsi="Cambria"/>
          <w:sz w:val="20"/>
          <w:szCs w:val="20"/>
        </w:rPr>
        <w:t xml:space="preserve">el cumplimiento del requisito del plazo de seis meses se encuentra intrínsecamente vinculado al de agotamiento de los recursos internos y, por lo tanto, </w:t>
      </w:r>
      <w:r w:rsidRPr="00BF3D11">
        <w:rPr>
          <w:rFonts w:ascii="Cambria" w:hAnsi="Cambria"/>
          <w:sz w:val="20"/>
          <w:szCs w:val="20"/>
        </w:rPr>
        <w:t>corresponde dar el requisito</w:t>
      </w:r>
      <w:r w:rsidR="001F1BB1" w:rsidRPr="00BF3D11">
        <w:rPr>
          <w:rFonts w:ascii="Cambria" w:hAnsi="Cambria"/>
          <w:sz w:val="20"/>
          <w:szCs w:val="20"/>
        </w:rPr>
        <w:t xml:space="preserve"> de presentación oportuna </w:t>
      </w:r>
      <w:r w:rsidRPr="00BF3D11">
        <w:rPr>
          <w:rFonts w:ascii="Cambria" w:hAnsi="Cambria"/>
          <w:sz w:val="20"/>
          <w:szCs w:val="20"/>
        </w:rPr>
        <w:t>por cumplido</w:t>
      </w:r>
      <w:r w:rsidR="001F1BB1" w:rsidRPr="00BF3D11">
        <w:rPr>
          <w:rFonts w:ascii="Cambria" w:hAnsi="Cambria"/>
          <w:sz w:val="20"/>
          <w:szCs w:val="20"/>
        </w:rPr>
        <w:t>.</w:t>
      </w:r>
    </w:p>
    <w:p w:rsidR="008E6847" w:rsidRPr="00BF3D11" w:rsidRDefault="008E6847"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7D1025" w:rsidRPr="00BF3D11" w:rsidRDefault="007D1025" w:rsidP="00053951">
      <w:pPr>
        <w:pStyle w:val="Heading2"/>
        <w:numPr>
          <w:ilvl w:val="0"/>
          <w:numId w:val="57"/>
        </w:numPr>
        <w:tabs>
          <w:tab w:val="left" w:pos="720"/>
          <w:tab w:val="left" w:pos="1440"/>
        </w:tabs>
        <w:spacing w:before="0" w:after="0"/>
        <w:ind w:left="1440" w:hanging="720"/>
        <w:jc w:val="both"/>
        <w:rPr>
          <w:rFonts w:ascii="Cambria" w:hAnsi="Cambria"/>
          <w:i w:val="0"/>
          <w:sz w:val="20"/>
          <w:szCs w:val="20"/>
          <w:lang w:val="es-ES_tradnl"/>
        </w:rPr>
      </w:pPr>
      <w:bookmarkStart w:id="27" w:name="_Toc473188692"/>
      <w:r w:rsidRPr="00BF3D11">
        <w:rPr>
          <w:rFonts w:ascii="Cambria" w:hAnsi="Cambria"/>
          <w:i w:val="0"/>
          <w:sz w:val="20"/>
          <w:szCs w:val="20"/>
          <w:lang w:val="es-ES_tradnl"/>
        </w:rPr>
        <w:t>Duplicación de procedimientos y cosa juzgada internacional</w:t>
      </w:r>
      <w:bookmarkEnd w:id="23"/>
      <w:bookmarkEnd w:id="24"/>
      <w:bookmarkEnd w:id="25"/>
      <w:bookmarkEnd w:id="26"/>
      <w:bookmarkEnd w:id="27"/>
    </w:p>
    <w:p w:rsidR="007D1025" w:rsidRPr="00BF3D11" w:rsidRDefault="007D1025" w:rsidP="00053951">
      <w:pPr>
        <w:ind w:firstLine="567"/>
        <w:rPr>
          <w:rFonts w:ascii="Cambria" w:hAnsi="Cambria"/>
          <w:sz w:val="20"/>
          <w:szCs w:val="20"/>
          <w:lang w:val="es-ES_tradnl"/>
        </w:rPr>
      </w:pPr>
    </w:p>
    <w:p w:rsidR="007D1025" w:rsidRPr="006A76E2" w:rsidRDefault="007D1025"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iCs/>
          <w:sz w:val="20"/>
          <w:szCs w:val="20"/>
        </w:rPr>
      </w:pPr>
      <w:r w:rsidRPr="00BF3D11">
        <w:rPr>
          <w:rFonts w:ascii="Cambria" w:hAnsi="Cambria"/>
          <w:sz w:val="20"/>
          <w:szCs w:val="20"/>
        </w:rPr>
        <w:t>El</w:t>
      </w:r>
      <w:r w:rsidRPr="00BF3D11">
        <w:rPr>
          <w:rFonts w:ascii="Cambria" w:hAnsi="Cambria"/>
          <w:bCs/>
          <w:sz w:val="20"/>
          <w:szCs w:val="20"/>
        </w:rPr>
        <w:t xml:space="preserve"> artículo 46.1.c) de la Convención dispone que la admisión de las peticiones está sujeta al requisito respecto a que la materia </w:t>
      </w:r>
      <w:r w:rsidRPr="00BF3D11">
        <w:rPr>
          <w:rFonts w:ascii="Cambria" w:hAnsi="Cambria" w:cs="Arial"/>
          <w:sz w:val="20"/>
          <w:szCs w:val="20"/>
        </w:rPr>
        <w:t>"</w:t>
      </w:r>
      <w:r w:rsidRPr="00BF3D11">
        <w:rPr>
          <w:rFonts w:ascii="Cambria" w:hAnsi="Cambria"/>
          <w:bCs/>
          <w:sz w:val="20"/>
          <w:szCs w:val="20"/>
        </w:rPr>
        <w:t>no esté pendiente de otro procedimiento de arreglo internacional</w:t>
      </w:r>
      <w:r w:rsidRPr="00BF3D11">
        <w:rPr>
          <w:rFonts w:ascii="Cambria" w:hAnsi="Cambria" w:cs="Arial"/>
          <w:sz w:val="20"/>
          <w:szCs w:val="20"/>
        </w:rPr>
        <w:t>"</w:t>
      </w:r>
      <w:r w:rsidRPr="00BF3D11">
        <w:rPr>
          <w:rFonts w:ascii="Cambria" w:hAnsi="Cambria"/>
          <w:bCs/>
          <w:sz w:val="20"/>
          <w:szCs w:val="20"/>
        </w:rPr>
        <w:t xml:space="preserve"> y en el artículo 47.d) de la Convención se estipula que la Comisión no </w:t>
      </w:r>
      <w:r w:rsidRPr="00BF3D11">
        <w:rPr>
          <w:rFonts w:ascii="Cambria" w:hAnsi="Cambria"/>
          <w:sz w:val="20"/>
          <w:szCs w:val="20"/>
        </w:rPr>
        <w:t>admitirá</w:t>
      </w:r>
      <w:r w:rsidRPr="00BF3D11">
        <w:rPr>
          <w:rFonts w:ascii="Cambria" w:hAnsi="Cambria"/>
          <w:bCs/>
          <w:sz w:val="20"/>
          <w:szCs w:val="20"/>
        </w:rPr>
        <w:t xml:space="preserve"> la petición que sea sustancialmente la reproducción de petición o comunicación anterior ya examinada por la Comisión o por otro organismo internacional. En el presente caso, las partes no han esgrimido la existencia de ninguna de esas dos circunstancias, ni ellas se deducen del expediente.</w:t>
      </w:r>
      <w:bookmarkStart w:id="28" w:name="_Toc370830577"/>
      <w:bookmarkStart w:id="29" w:name="_Toc370831290"/>
      <w:bookmarkStart w:id="30" w:name="_Toc412635579"/>
      <w:bookmarkStart w:id="31" w:name="_Toc416685635"/>
    </w:p>
    <w:p w:rsidR="006A76E2" w:rsidRPr="006A76E2" w:rsidRDefault="006A76E2" w:rsidP="006A76E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iCs/>
          <w:sz w:val="20"/>
          <w:szCs w:val="20"/>
        </w:rPr>
      </w:pPr>
    </w:p>
    <w:p w:rsidR="007D1025" w:rsidRPr="00BF3D11" w:rsidRDefault="007D1025" w:rsidP="00053951">
      <w:pPr>
        <w:pStyle w:val="Heading2"/>
        <w:numPr>
          <w:ilvl w:val="0"/>
          <w:numId w:val="57"/>
        </w:numPr>
        <w:tabs>
          <w:tab w:val="left" w:pos="720"/>
          <w:tab w:val="left" w:pos="1440"/>
        </w:tabs>
        <w:spacing w:before="0" w:after="0"/>
        <w:ind w:left="1440" w:hanging="720"/>
        <w:jc w:val="both"/>
        <w:rPr>
          <w:rFonts w:ascii="Cambria" w:hAnsi="Cambria"/>
          <w:i w:val="0"/>
          <w:sz w:val="20"/>
          <w:szCs w:val="20"/>
          <w:lang w:val="es-ES_tradnl"/>
        </w:rPr>
      </w:pPr>
      <w:bookmarkStart w:id="32" w:name="_Toc473188693"/>
      <w:r w:rsidRPr="00BF3D11">
        <w:rPr>
          <w:rFonts w:ascii="Cambria" w:hAnsi="Cambria"/>
          <w:i w:val="0"/>
          <w:sz w:val="20"/>
          <w:szCs w:val="20"/>
          <w:lang w:val="es-ES_tradnl"/>
        </w:rPr>
        <w:t>Caracterización de los hechos alegados</w:t>
      </w:r>
      <w:bookmarkEnd w:id="28"/>
      <w:bookmarkEnd w:id="29"/>
      <w:bookmarkEnd w:id="30"/>
      <w:bookmarkEnd w:id="31"/>
      <w:bookmarkEnd w:id="32"/>
    </w:p>
    <w:p w:rsidR="007D1025" w:rsidRPr="00BF3D11" w:rsidRDefault="007D1025" w:rsidP="00053951">
      <w:pPr>
        <w:ind w:firstLine="567"/>
        <w:rPr>
          <w:rFonts w:ascii="Cambria" w:hAnsi="Cambria"/>
          <w:sz w:val="20"/>
          <w:szCs w:val="20"/>
          <w:lang w:val="es-ES_tradnl"/>
        </w:rPr>
      </w:pPr>
    </w:p>
    <w:p w:rsidR="007D1025" w:rsidRPr="00BF3D11" w:rsidRDefault="007D1025"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iCs/>
          <w:sz w:val="20"/>
          <w:szCs w:val="20"/>
        </w:rPr>
      </w:pPr>
      <w:r w:rsidRPr="00BF3D11">
        <w:rPr>
          <w:rFonts w:ascii="Cambria" w:hAnsi="Cambria"/>
          <w:sz w:val="20"/>
          <w:szCs w:val="20"/>
        </w:rPr>
        <w:t xml:space="preserve">A los fines de admisibilidad, la Comisión debe decidir si en la petición se exponen hechos que podrían caracterizar una violación, como estipula el artículo 47.b) de la Convención Americana, si la petición es </w:t>
      </w:r>
      <w:r w:rsidRPr="00BF3D11">
        <w:rPr>
          <w:rFonts w:ascii="Cambria" w:hAnsi="Cambria" w:cs="Arial"/>
          <w:sz w:val="20"/>
          <w:szCs w:val="20"/>
        </w:rPr>
        <w:t>“</w:t>
      </w:r>
      <w:r w:rsidRPr="00BF3D11">
        <w:rPr>
          <w:rFonts w:ascii="Cambria" w:hAnsi="Cambria"/>
          <w:sz w:val="20"/>
          <w:szCs w:val="20"/>
        </w:rPr>
        <w:t>manifiestamente infundada</w:t>
      </w:r>
      <w:r w:rsidRPr="00BF3D11">
        <w:rPr>
          <w:rFonts w:ascii="Cambria" w:hAnsi="Cambria" w:cs="Arial"/>
          <w:sz w:val="20"/>
          <w:szCs w:val="20"/>
        </w:rPr>
        <w:t>”</w:t>
      </w:r>
      <w:r w:rsidRPr="00BF3D11">
        <w:rPr>
          <w:rFonts w:ascii="Cambria" w:hAnsi="Cambria"/>
          <w:sz w:val="20"/>
          <w:szCs w:val="20"/>
        </w:rPr>
        <w:t xml:space="preserve"> o si es </w:t>
      </w:r>
      <w:r w:rsidRPr="00BF3D11">
        <w:rPr>
          <w:rFonts w:ascii="Cambria" w:hAnsi="Cambria" w:cs="Arial"/>
          <w:sz w:val="20"/>
          <w:szCs w:val="20"/>
        </w:rPr>
        <w:t>"</w:t>
      </w:r>
      <w:r w:rsidRPr="00BF3D11">
        <w:rPr>
          <w:rFonts w:ascii="Cambria" w:hAnsi="Cambria"/>
          <w:sz w:val="20"/>
          <w:szCs w:val="20"/>
        </w:rPr>
        <w:t>evidente su total improcedencia</w:t>
      </w:r>
      <w:r w:rsidRPr="00BF3D11">
        <w:rPr>
          <w:rFonts w:ascii="Cambria" w:hAnsi="Cambria" w:cs="Arial"/>
          <w:sz w:val="20"/>
          <w:szCs w:val="20"/>
        </w:rPr>
        <w:t>"</w:t>
      </w:r>
      <w:r w:rsidRPr="00BF3D11">
        <w:rPr>
          <w:rFonts w:ascii="Cambria" w:hAnsi="Cambria"/>
          <w:sz w:val="20"/>
          <w:szCs w:val="20"/>
        </w:rPr>
        <w:t xml:space="preserve">, según el inciso (c) del mismo artículo. El estándar de apreciación de estos extremos es diferente del requerido para decidir sobre los méritos de una denuncia. La Comisión debe realizar una evaluación </w:t>
      </w:r>
      <w:r w:rsidRPr="00BF3D11">
        <w:rPr>
          <w:rFonts w:ascii="Cambria" w:hAnsi="Cambria"/>
          <w:i/>
          <w:sz w:val="20"/>
          <w:szCs w:val="20"/>
        </w:rPr>
        <w:t>prima facie</w:t>
      </w:r>
      <w:r w:rsidRPr="00BF3D11">
        <w:rPr>
          <w:rFonts w:ascii="Cambria" w:hAnsi="Cambria"/>
          <w:sz w:val="20"/>
          <w:szCs w:val="20"/>
        </w:rPr>
        <w:t xml:space="preserve"> para examinar si la denuncia fundamenta la aparente o potencial violación de un derecho garantizado por la Convención y no para establecer la existencia de una violación. Tal examen es un análisis sumario que no implica un prejuicio o un avance de opinión sobre el fondo.</w:t>
      </w:r>
    </w:p>
    <w:p w:rsidR="007D1025" w:rsidRPr="00BF3D11" w:rsidRDefault="007D1025" w:rsidP="00053951">
      <w:pPr>
        <w:ind w:firstLine="567"/>
        <w:rPr>
          <w:rFonts w:ascii="Cambria" w:hAnsi="Cambria" w:cs="Arial"/>
          <w:iCs/>
          <w:sz w:val="20"/>
          <w:szCs w:val="20"/>
          <w:lang w:val="es-ES_tradnl"/>
        </w:rPr>
      </w:pPr>
    </w:p>
    <w:p w:rsidR="007D1025" w:rsidRPr="00BF3D11" w:rsidRDefault="007D1025"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iCs/>
          <w:sz w:val="20"/>
          <w:szCs w:val="20"/>
        </w:rPr>
      </w:pPr>
      <w:r w:rsidRPr="00BF3D11">
        <w:rPr>
          <w:rFonts w:ascii="Cambria" w:hAnsi="Cambria"/>
          <w:iCs/>
          <w:sz w:val="20"/>
          <w:szCs w:val="20"/>
        </w:rPr>
        <w:t>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A0558A" w:rsidRPr="00BF3D11" w:rsidRDefault="00A0558A" w:rsidP="00053951">
      <w:pPr>
        <w:pStyle w:val="LightGrid-Accent31"/>
        <w:rPr>
          <w:rFonts w:ascii="Cambria" w:hAnsi="Cambria" w:cs="Arial"/>
          <w:iCs/>
          <w:sz w:val="20"/>
          <w:szCs w:val="20"/>
          <w:lang w:val="es-ES"/>
        </w:rPr>
      </w:pPr>
    </w:p>
    <w:p w:rsidR="00B44689" w:rsidRPr="00BF3D11" w:rsidRDefault="00D976C9"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iCs/>
          <w:sz w:val="20"/>
          <w:szCs w:val="20"/>
          <w:lang w:val="es-ES"/>
        </w:rPr>
      </w:pPr>
      <w:r w:rsidRPr="00BF3D11">
        <w:rPr>
          <w:rFonts w:ascii="Cambria" w:hAnsi="Cambria" w:cs="Arial"/>
          <w:iCs/>
          <w:sz w:val="20"/>
          <w:szCs w:val="20"/>
        </w:rPr>
        <w:t xml:space="preserve">La Comisión considera </w:t>
      </w:r>
      <w:r w:rsidR="00C627CC" w:rsidRPr="00BF3D11">
        <w:rPr>
          <w:rFonts w:ascii="Cambria" w:hAnsi="Cambria" w:cs="Arial"/>
          <w:iCs/>
          <w:sz w:val="20"/>
          <w:szCs w:val="20"/>
          <w:lang w:val="es-ES"/>
        </w:rPr>
        <w:t>que los alegatos de los peticionarios</w:t>
      </w:r>
      <w:r w:rsidR="00793EDB" w:rsidRPr="00BF3D11">
        <w:rPr>
          <w:rFonts w:ascii="Cambria" w:hAnsi="Cambria" w:cs="Arial"/>
          <w:iCs/>
          <w:sz w:val="20"/>
          <w:szCs w:val="20"/>
          <w:lang w:val="es-ES"/>
        </w:rPr>
        <w:t xml:space="preserve"> presentan hechos que</w:t>
      </w:r>
      <w:r w:rsidR="00C627CC" w:rsidRPr="00BF3D11">
        <w:rPr>
          <w:rFonts w:ascii="Cambria" w:hAnsi="Cambria" w:cs="Arial"/>
          <w:iCs/>
          <w:sz w:val="20"/>
          <w:szCs w:val="20"/>
          <w:lang w:val="es-ES"/>
        </w:rPr>
        <w:t xml:space="preserve"> </w:t>
      </w:r>
      <w:r w:rsidR="00793EDB" w:rsidRPr="00BF3D11">
        <w:rPr>
          <w:rFonts w:ascii="Cambria" w:hAnsi="Cambria" w:cs="Arial"/>
          <w:iCs/>
          <w:sz w:val="20"/>
          <w:szCs w:val="20"/>
          <w:lang w:val="es-ES"/>
        </w:rPr>
        <w:t>podrían caracterizar posibles violaciones a los derechos a la</w:t>
      </w:r>
      <w:r w:rsidR="00094DF0" w:rsidRPr="00BF3D11">
        <w:rPr>
          <w:rFonts w:ascii="Cambria" w:hAnsi="Cambria" w:cs="Arial"/>
          <w:iCs/>
          <w:sz w:val="20"/>
          <w:szCs w:val="20"/>
          <w:lang w:val="es-ES"/>
        </w:rPr>
        <w:t xml:space="preserve"> vida,</w:t>
      </w:r>
      <w:r w:rsidR="00793EDB" w:rsidRPr="00BF3D11">
        <w:rPr>
          <w:rFonts w:ascii="Cambria" w:hAnsi="Cambria" w:cs="Arial"/>
          <w:iCs/>
          <w:sz w:val="20"/>
          <w:szCs w:val="20"/>
          <w:lang w:val="es-ES"/>
        </w:rPr>
        <w:t xml:space="preserve"> integridad personal, </w:t>
      </w:r>
      <w:r w:rsidR="00094DF0" w:rsidRPr="00BF3D11">
        <w:rPr>
          <w:rFonts w:ascii="Cambria" w:hAnsi="Cambria" w:cs="Arial"/>
          <w:iCs/>
          <w:sz w:val="20"/>
          <w:szCs w:val="20"/>
          <w:lang w:val="es-ES"/>
        </w:rPr>
        <w:t xml:space="preserve">libertad personal, </w:t>
      </w:r>
      <w:r w:rsidR="00EA048D" w:rsidRPr="00BF3D11">
        <w:rPr>
          <w:rFonts w:ascii="Cambria" w:hAnsi="Cambria" w:cs="Arial"/>
          <w:iCs/>
          <w:sz w:val="20"/>
          <w:szCs w:val="20"/>
          <w:lang w:val="es-ES"/>
        </w:rPr>
        <w:t xml:space="preserve">libertad de asociación, </w:t>
      </w:r>
      <w:r w:rsidR="00793EDB" w:rsidRPr="00BF3D11">
        <w:rPr>
          <w:rFonts w:ascii="Cambria" w:hAnsi="Cambria" w:cs="Arial"/>
          <w:iCs/>
          <w:sz w:val="20"/>
          <w:szCs w:val="20"/>
          <w:lang w:val="es-ES"/>
        </w:rPr>
        <w:t>garantías judiciales y protecci</w:t>
      </w:r>
      <w:r w:rsidR="00895D4F" w:rsidRPr="00BF3D11">
        <w:rPr>
          <w:rFonts w:ascii="Cambria" w:hAnsi="Cambria" w:cs="Arial"/>
          <w:iCs/>
          <w:sz w:val="20"/>
          <w:szCs w:val="20"/>
          <w:lang w:val="es-ES"/>
        </w:rPr>
        <w:t xml:space="preserve">ón judicial establecidos en los artículos </w:t>
      </w:r>
      <w:r w:rsidR="00094DF0" w:rsidRPr="00BF3D11">
        <w:rPr>
          <w:rFonts w:ascii="Cambria" w:hAnsi="Cambria" w:cs="Arial"/>
          <w:iCs/>
          <w:sz w:val="20"/>
          <w:szCs w:val="20"/>
          <w:lang w:val="es-ES"/>
        </w:rPr>
        <w:t>4, 5, 7, 8</w:t>
      </w:r>
      <w:r w:rsidR="00EA048D" w:rsidRPr="00BF3D11">
        <w:rPr>
          <w:rFonts w:ascii="Cambria" w:hAnsi="Cambria" w:cs="Arial"/>
          <w:iCs/>
          <w:sz w:val="20"/>
          <w:szCs w:val="20"/>
          <w:lang w:val="es-ES"/>
        </w:rPr>
        <w:t>, 16</w:t>
      </w:r>
      <w:r w:rsidR="00094DF0" w:rsidRPr="00BF3D11">
        <w:rPr>
          <w:rFonts w:ascii="Cambria" w:hAnsi="Cambria" w:cs="Arial"/>
          <w:iCs/>
          <w:sz w:val="20"/>
          <w:szCs w:val="20"/>
          <w:lang w:val="es-ES"/>
        </w:rPr>
        <w:t xml:space="preserve"> y 25</w:t>
      </w:r>
      <w:r w:rsidR="00895D4F" w:rsidRPr="00BF3D11">
        <w:rPr>
          <w:rFonts w:ascii="Cambria" w:hAnsi="Cambria" w:cs="Arial"/>
          <w:iCs/>
          <w:sz w:val="20"/>
          <w:szCs w:val="20"/>
          <w:lang w:val="es-ES"/>
        </w:rPr>
        <w:t xml:space="preserve"> de la Convención Americana, en relación con las obligaciones establecidas en el artículo 1.1 </w:t>
      </w:r>
      <w:r w:rsidR="00C627CC" w:rsidRPr="00BF3D11">
        <w:rPr>
          <w:rFonts w:ascii="Cambria" w:hAnsi="Cambria" w:cs="Arial"/>
          <w:iCs/>
          <w:sz w:val="20"/>
          <w:szCs w:val="20"/>
          <w:lang w:val="es-ES"/>
        </w:rPr>
        <w:t>del mismo instrumento.</w:t>
      </w:r>
      <w:r w:rsidR="00094DF0" w:rsidRPr="00BF3D11">
        <w:rPr>
          <w:rFonts w:ascii="Cambria" w:hAnsi="Cambria" w:cs="Arial"/>
          <w:iCs/>
          <w:sz w:val="20"/>
          <w:szCs w:val="20"/>
          <w:lang w:val="es-ES"/>
        </w:rPr>
        <w:t xml:space="preserve"> </w:t>
      </w:r>
    </w:p>
    <w:p w:rsidR="007372D2" w:rsidRPr="00BF3D11" w:rsidRDefault="007372D2" w:rsidP="00053951">
      <w:pPr>
        <w:tabs>
          <w:tab w:val="center" w:pos="4680"/>
          <w:tab w:val="left" w:pos="6511"/>
        </w:tabs>
        <w:rPr>
          <w:rFonts w:ascii="Cambria" w:hAnsi="Cambria" w:cs="Calibri"/>
          <w:color w:val="808080"/>
          <w:sz w:val="20"/>
          <w:szCs w:val="20"/>
          <w:lang w:val="es-ES_tradnl"/>
        </w:rPr>
      </w:pPr>
    </w:p>
    <w:p w:rsidR="00F80E96" w:rsidRDefault="002840D4" w:rsidP="00053951">
      <w:pPr>
        <w:pStyle w:val="Heading1"/>
      </w:pPr>
      <w:bookmarkStart w:id="33" w:name="_Toc473188694"/>
      <w:r w:rsidRPr="00BF3D11">
        <w:t>HECHOS PROBADOS</w:t>
      </w:r>
      <w:bookmarkEnd w:id="33"/>
    </w:p>
    <w:p w:rsidR="006A76E2" w:rsidRPr="006A76E2" w:rsidRDefault="006A76E2" w:rsidP="006A76E2">
      <w:pPr>
        <w:rPr>
          <w:lang w:val="es-ES_tradnl"/>
        </w:rPr>
      </w:pPr>
    </w:p>
    <w:p w:rsidR="00F80E96" w:rsidRPr="00BF3D11" w:rsidRDefault="00192E52"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L</w:t>
      </w:r>
      <w:r w:rsidR="00173297" w:rsidRPr="00BF3D11">
        <w:rPr>
          <w:rFonts w:ascii="Cambria" w:hAnsi="Cambria"/>
          <w:sz w:val="20"/>
          <w:szCs w:val="20"/>
        </w:rPr>
        <w:t xml:space="preserve">a Comisión </w:t>
      </w:r>
      <w:r w:rsidRPr="00BF3D11">
        <w:rPr>
          <w:rFonts w:ascii="Cambria" w:hAnsi="Cambria"/>
          <w:sz w:val="20"/>
          <w:szCs w:val="20"/>
        </w:rPr>
        <w:t xml:space="preserve">nota que </w:t>
      </w:r>
      <w:r w:rsidR="00173297" w:rsidRPr="00BF3D11">
        <w:rPr>
          <w:rFonts w:ascii="Cambria" w:hAnsi="Cambria"/>
          <w:sz w:val="20"/>
          <w:szCs w:val="20"/>
        </w:rPr>
        <w:t>los hechos alegados por los peticionarios relacionados con la</w:t>
      </w:r>
      <w:r w:rsidR="00F67E0D" w:rsidRPr="00BF3D11">
        <w:rPr>
          <w:rFonts w:ascii="Cambria" w:hAnsi="Cambria"/>
          <w:sz w:val="20"/>
          <w:szCs w:val="20"/>
        </w:rPr>
        <w:t xml:space="preserve"> Alejandro Yovany Gómez, su núcleo familiar, su labor como sindicalista, su</w:t>
      </w:r>
      <w:r w:rsidR="00173297" w:rsidRPr="00BF3D11">
        <w:rPr>
          <w:rFonts w:ascii="Cambria" w:hAnsi="Cambria"/>
          <w:sz w:val="20"/>
          <w:szCs w:val="20"/>
        </w:rPr>
        <w:t xml:space="preserve"> desaparición y asesinato</w:t>
      </w:r>
      <w:r w:rsidR="00E94DD9" w:rsidRPr="00BF3D11">
        <w:rPr>
          <w:rFonts w:ascii="Cambria" w:hAnsi="Cambria"/>
          <w:sz w:val="20"/>
          <w:szCs w:val="20"/>
        </w:rPr>
        <w:t xml:space="preserve">, </w:t>
      </w:r>
      <w:r w:rsidR="00173297" w:rsidRPr="00BF3D11">
        <w:rPr>
          <w:rFonts w:ascii="Cambria" w:hAnsi="Cambria"/>
          <w:sz w:val="20"/>
          <w:szCs w:val="20"/>
        </w:rPr>
        <w:t xml:space="preserve">no fueron controvertidos por el Estado. </w:t>
      </w:r>
      <w:r w:rsidRPr="00BF3D11">
        <w:rPr>
          <w:rFonts w:ascii="Cambria" w:hAnsi="Cambria"/>
          <w:sz w:val="20"/>
          <w:szCs w:val="20"/>
        </w:rPr>
        <w:t>La controversia central planteada por el Estado no es de carácter fáctico sino que se relaciona con las investigaciones adelantadas a nivel interno</w:t>
      </w:r>
      <w:r w:rsidR="00EE7866">
        <w:rPr>
          <w:rFonts w:ascii="Cambria" w:hAnsi="Cambria"/>
          <w:sz w:val="20"/>
          <w:szCs w:val="20"/>
        </w:rPr>
        <w:t xml:space="preserve"> y la ausencia de indicios de </w:t>
      </w:r>
      <w:r w:rsidR="00EE7866">
        <w:rPr>
          <w:rFonts w:ascii="Cambria" w:hAnsi="Cambria"/>
          <w:sz w:val="20"/>
          <w:szCs w:val="20"/>
        </w:rPr>
        <w:lastRenderedPageBreak/>
        <w:t>involucramiento de agentes estatales.</w:t>
      </w:r>
      <w:r w:rsidRPr="00BF3D11">
        <w:rPr>
          <w:rFonts w:ascii="Cambria" w:hAnsi="Cambria"/>
          <w:sz w:val="20"/>
          <w:szCs w:val="20"/>
        </w:rPr>
        <w:t xml:space="preserve"> La Comisión tomará en cuenta lo anterior a efectos de la determinación de hechos probados en esta sección</w:t>
      </w:r>
      <w:r w:rsidR="004A3866" w:rsidRPr="00BF3D11">
        <w:rPr>
          <w:rFonts w:ascii="Cambria" w:hAnsi="Cambria"/>
          <w:sz w:val="20"/>
          <w:szCs w:val="20"/>
        </w:rPr>
        <w:t xml:space="preserve">. </w:t>
      </w:r>
    </w:p>
    <w:p w:rsidR="00F80E96" w:rsidRPr="00BF3D11" w:rsidRDefault="00F80E96" w:rsidP="00053951">
      <w:pPr>
        <w:rPr>
          <w:rFonts w:ascii="Cambria" w:hAnsi="Cambria"/>
          <w:sz w:val="20"/>
          <w:szCs w:val="20"/>
          <w:lang w:val="es-ES_tradnl"/>
        </w:rPr>
      </w:pPr>
    </w:p>
    <w:p w:rsidR="004422F2" w:rsidRPr="00BF3D11" w:rsidRDefault="004422F2" w:rsidP="00053951">
      <w:pPr>
        <w:pStyle w:val="Heading2"/>
        <w:numPr>
          <w:ilvl w:val="0"/>
          <w:numId w:val="58"/>
        </w:numPr>
        <w:spacing w:before="0" w:after="0"/>
        <w:ind w:hanging="720"/>
        <w:jc w:val="both"/>
        <w:rPr>
          <w:rFonts w:ascii="Cambria" w:hAnsi="Cambria"/>
          <w:i w:val="0"/>
          <w:sz w:val="20"/>
          <w:szCs w:val="20"/>
          <w:lang w:val="es-ES_tradnl"/>
        </w:rPr>
      </w:pPr>
      <w:bookmarkStart w:id="34" w:name="_Toc473188695"/>
      <w:r w:rsidRPr="00BF3D11">
        <w:rPr>
          <w:rFonts w:ascii="Cambria" w:hAnsi="Cambria"/>
          <w:i w:val="0"/>
          <w:sz w:val="20"/>
          <w:szCs w:val="20"/>
          <w:lang w:val="es-ES_tradnl"/>
        </w:rPr>
        <w:t xml:space="preserve">Sobre </w:t>
      </w:r>
      <w:r w:rsidR="00E15EE9" w:rsidRPr="00BF3D11">
        <w:rPr>
          <w:rFonts w:ascii="Cambria" w:hAnsi="Cambria"/>
          <w:i w:val="0"/>
          <w:sz w:val="20"/>
          <w:szCs w:val="20"/>
          <w:lang w:val="es-ES_tradnl"/>
        </w:rPr>
        <w:t>Alejandro</w:t>
      </w:r>
      <w:r w:rsidR="00527A84" w:rsidRPr="00BF3D11">
        <w:rPr>
          <w:rFonts w:ascii="Cambria" w:hAnsi="Cambria"/>
          <w:i w:val="0"/>
          <w:sz w:val="20"/>
          <w:szCs w:val="20"/>
          <w:lang w:val="es-ES_tradnl"/>
        </w:rPr>
        <w:t xml:space="preserve"> Gómez</w:t>
      </w:r>
      <w:r w:rsidR="005E7933" w:rsidRPr="00BF3D11">
        <w:rPr>
          <w:rFonts w:ascii="Cambria" w:hAnsi="Cambria"/>
          <w:i w:val="0"/>
          <w:sz w:val="20"/>
          <w:szCs w:val="20"/>
          <w:lang w:val="es-ES_tradnl"/>
        </w:rPr>
        <w:t xml:space="preserve"> y su participación en el Sindicato de los Trabajadores de la Máquila RC</w:t>
      </w:r>
      <w:bookmarkEnd w:id="34"/>
      <w:r w:rsidR="00427478" w:rsidRPr="00BF3D11">
        <w:rPr>
          <w:rFonts w:ascii="Cambria" w:hAnsi="Cambria"/>
          <w:i w:val="0"/>
          <w:sz w:val="20"/>
          <w:szCs w:val="20"/>
          <w:lang w:val="es-ES_tradnl"/>
        </w:rPr>
        <w:t>A</w:t>
      </w:r>
    </w:p>
    <w:p w:rsidR="00E632C1" w:rsidRPr="00BF3D11" w:rsidRDefault="00E632C1"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687B52" w:rsidRPr="00BF3D11" w:rsidRDefault="004A63AF"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 xml:space="preserve">Los peticionarios informaron </w:t>
      </w:r>
      <w:r w:rsidR="004A3866" w:rsidRPr="00BF3D11">
        <w:rPr>
          <w:rFonts w:ascii="Cambria" w:hAnsi="Cambria"/>
          <w:sz w:val="20"/>
          <w:szCs w:val="20"/>
        </w:rPr>
        <w:t xml:space="preserve">y el Estado no controvirtió </w:t>
      </w:r>
      <w:r w:rsidRPr="00BF3D11">
        <w:rPr>
          <w:rFonts w:ascii="Cambria" w:hAnsi="Cambria"/>
          <w:sz w:val="20"/>
          <w:szCs w:val="20"/>
        </w:rPr>
        <w:t>que e</w:t>
      </w:r>
      <w:r w:rsidR="00687B52" w:rsidRPr="00BF3D11">
        <w:rPr>
          <w:rFonts w:ascii="Cambria" w:hAnsi="Cambria"/>
          <w:sz w:val="20"/>
          <w:szCs w:val="20"/>
        </w:rPr>
        <w:t>n la época de los hechos e</w:t>
      </w:r>
      <w:r w:rsidR="00F66932" w:rsidRPr="00BF3D11">
        <w:rPr>
          <w:rFonts w:ascii="Cambria" w:hAnsi="Cambria"/>
          <w:sz w:val="20"/>
          <w:szCs w:val="20"/>
        </w:rPr>
        <w:t>l señor G</w:t>
      </w:r>
      <w:r w:rsidR="00BE6A5B" w:rsidRPr="00BF3D11">
        <w:rPr>
          <w:rFonts w:ascii="Cambria" w:hAnsi="Cambria"/>
          <w:sz w:val="20"/>
          <w:szCs w:val="20"/>
        </w:rPr>
        <w:t>ómez</w:t>
      </w:r>
      <w:r w:rsidR="009F48FE" w:rsidRPr="00BF3D11">
        <w:rPr>
          <w:rFonts w:ascii="Cambria" w:hAnsi="Cambria"/>
          <w:sz w:val="20"/>
          <w:szCs w:val="20"/>
        </w:rPr>
        <w:t>, de veinticuatro años de edad,</w:t>
      </w:r>
      <w:r w:rsidR="00BE6A5B" w:rsidRPr="00BF3D11">
        <w:rPr>
          <w:rFonts w:ascii="Cambria" w:hAnsi="Cambria"/>
          <w:sz w:val="20"/>
          <w:szCs w:val="20"/>
        </w:rPr>
        <w:t xml:space="preserve"> se desempeñaba </w:t>
      </w:r>
      <w:r w:rsidR="00F66932" w:rsidRPr="00BF3D11">
        <w:rPr>
          <w:rFonts w:ascii="Cambria" w:hAnsi="Cambria"/>
          <w:sz w:val="20"/>
          <w:szCs w:val="20"/>
        </w:rPr>
        <w:t xml:space="preserve">como Secretario de Finanzas </w:t>
      </w:r>
      <w:r w:rsidR="008B0C40" w:rsidRPr="00BF3D11">
        <w:rPr>
          <w:rFonts w:ascii="Cambria" w:hAnsi="Cambria"/>
          <w:sz w:val="20"/>
          <w:szCs w:val="20"/>
        </w:rPr>
        <w:t>del Sindicato de los Trabajadores de la Máquila RCA</w:t>
      </w:r>
      <w:r w:rsidR="008B0C40" w:rsidRPr="00BF3D11">
        <w:rPr>
          <w:rStyle w:val="FootnoteReference"/>
          <w:rFonts w:ascii="Cambria" w:hAnsi="Cambria"/>
          <w:sz w:val="20"/>
          <w:szCs w:val="20"/>
        </w:rPr>
        <w:footnoteReference w:id="5"/>
      </w:r>
      <w:r w:rsidR="004A3866" w:rsidRPr="00BF3D11">
        <w:rPr>
          <w:rFonts w:ascii="Cambria" w:hAnsi="Cambria"/>
          <w:sz w:val="20"/>
          <w:szCs w:val="20"/>
        </w:rPr>
        <w:t>; la cual se trataba de una</w:t>
      </w:r>
      <w:r w:rsidRPr="00BF3D11">
        <w:rPr>
          <w:rFonts w:ascii="Cambria" w:hAnsi="Cambria"/>
          <w:sz w:val="20"/>
          <w:szCs w:val="20"/>
        </w:rPr>
        <w:t xml:space="preserve"> industria maquiladora </w:t>
      </w:r>
      <w:r w:rsidR="00F07553">
        <w:rPr>
          <w:rFonts w:ascii="Cambria" w:hAnsi="Cambria"/>
          <w:sz w:val="20"/>
          <w:szCs w:val="20"/>
        </w:rPr>
        <w:t>coreana</w:t>
      </w:r>
      <w:r w:rsidRPr="00BF3D11">
        <w:rPr>
          <w:rFonts w:ascii="Cambria" w:hAnsi="Cambria"/>
          <w:sz w:val="20"/>
          <w:szCs w:val="20"/>
        </w:rPr>
        <w:t xml:space="preserve"> y se encontraba ubicada en la zona 18 de la </w:t>
      </w:r>
      <w:r w:rsidR="00A21D19" w:rsidRPr="00BF3D11">
        <w:rPr>
          <w:rFonts w:ascii="Cambria" w:hAnsi="Cambria"/>
          <w:sz w:val="20"/>
          <w:szCs w:val="20"/>
        </w:rPr>
        <w:t>C</w:t>
      </w:r>
      <w:r w:rsidRPr="00BF3D11">
        <w:rPr>
          <w:rFonts w:ascii="Cambria" w:hAnsi="Cambria"/>
          <w:sz w:val="20"/>
          <w:szCs w:val="20"/>
        </w:rPr>
        <w:t>iudad de Guatemala</w:t>
      </w:r>
      <w:r w:rsidRPr="00BF3D11">
        <w:rPr>
          <w:rStyle w:val="FootnoteReference"/>
          <w:rFonts w:ascii="Cambria" w:hAnsi="Cambria"/>
          <w:sz w:val="20"/>
          <w:szCs w:val="20"/>
        </w:rPr>
        <w:footnoteReference w:id="6"/>
      </w:r>
      <w:r w:rsidRPr="00BF3D11">
        <w:rPr>
          <w:rFonts w:ascii="Cambria" w:hAnsi="Cambria"/>
          <w:sz w:val="20"/>
          <w:szCs w:val="20"/>
        </w:rPr>
        <w:t>.</w:t>
      </w:r>
      <w:r w:rsidR="00F80E96" w:rsidRPr="00BF3D11">
        <w:rPr>
          <w:rFonts w:ascii="Cambria" w:hAnsi="Cambria"/>
          <w:sz w:val="20"/>
          <w:szCs w:val="20"/>
        </w:rPr>
        <w:t xml:space="preserve"> </w:t>
      </w:r>
      <w:r w:rsidR="00075EB2" w:rsidRPr="00BF3D11">
        <w:rPr>
          <w:rFonts w:ascii="Cambria" w:hAnsi="Cambria"/>
          <w:sz w:val="20"/>
          <w:szCs w:val="20"/>
        </w:rPr>
        <w:t xml:space="preserve">Sobre el núcleo familiar, se informa que los </w:t>
      </w:r>
      <w:r w:rsidR="00F80E96" w:rsidRPr="00BF3D11">
        <w:rPr>
          <w:rFonts w:ascii="Cambria" w:hAnsi="Cambria"/>
          <w:sz w:val="20"/>
          <w:szCs w:val="20"/>
        </w:rPr>
        <w:t xml:space="preserve">familiares del señor Gómez eran su padre, </w:t>
      </w:r>
      <w:r w:rsidR="00F80E96" w:rsidRPr="00BF3D11">
        <w:rPr>
          <w:rFonts w:ascii="Cambria" w:hAnsi="Cambria" w:cs="Arial"/>
          <w:sz w:val="20"/>
          <w:szCs w:val="20"/>
        </w:rPr>
        <w:t>Antonio Gómez</w:t>
      </w:r>
      <w:r w:rsidR="00433D80" w:rsidRPr="00BF3D11">
        <w:rPr>
          <w:rFonts w:ascii="Cambria" w:hAnsi="Cambria" w:cs="Arial"/>
          <w:sz w:val="20"/>
          <w:szCs w:val="20"/>
        </w:rPr>
        <w:t xml:space="preserve"> Areano</w:t>
      </w:r>
      <w:r w:rsidR="00A21D19" w:rsidRPr="00BF3D11">
        <w:rPr>
          <w:rFonts w:ascii="Cambria" w:hAnsi="Cambria" w:cs="Arial"/>
          <w:sz w:val="20"/>
          <w:szCs w:val="20"/>
        </w:rPr>
        <w:t xml:space="preserve">; </w:t>
      </w:r>
      <w:r w:rsidR="00F80E96" w:rsidRPr="00BF3D11">
        <w:rPr>
          <w:rFonts w:ascii="Cambria" w:hAnsi="Cambria" w:cs="Arial"/>
          <w:sz w:val="20"/>
          <w:szCs w:val="20"/>
        </w:rPr>
        <w:t>y su madre</w:t>
      </w:r>
      <w:r w:rsidR="00EC074F" w:rsidRPr="00BF3D11">
        <w:rPr>
          <w:rFonts w:ascii="Cambria" w:hAnsi="Cambria" w:cs="Arial"/>
          <w:sz w:val="20"/>
          <w:szCs w:val="20"/>
        </w:rPr>
        <w:t xml:space="preserve">, </w:t>
      </w:r>
      <w:r w:rsidR="00EC074F" w:rsidRPr="00BF3D11">
        <w:rPr>
          <w:rFonts w:ascii="Cambria" w:hAnsi="Cambria"/>
          <w:sz w:val="20"/>
          <w:szCs w:val="20"/>
          <w:lang w:val="es-ES"/>
        </w:rPr>
        <w:t>Paula Virula</w:t>
      </w:r>
      <w:r w:rsidR="00EC074F" w:rsidRPr="00BF3D11">
        <w:rPr>
          <w:rStyle w:val="FootnoteReference"/>
          <w:rFonts w:ascii="Cambria" w:hAnsi="Cambria"/>
          <w:sz w:val="20"/>
          <w:szCs w:val="20"/>
        </w:rPr>
        <w:footnoteReference w:id="7"/>
      </w:r>
      <w:r w:rsidR="00EC074F" w:rsidRPr="00BF3D11">
        <w:rPr>
          <w:rFonts w:ascii="Cambria" w:hAnsi="Cambria"/>
          <w:sz w:val="20"/>
          <w:szCs w:val="20"/>
          <w:lang w:val="es-ES"/>
        </w:rPr>
        <w:t>.</w:t>
      </w:r>
    </w:p>
    <w:p w:rsidR="009F48FE" w:rsidRPr="00BF3D11" w:rsidRDefault="009F48FE"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AC7D07" w:rsidRPr="00BF3D11" w:rsidRDefault="00075EB2"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 xml:space="preserve">En cuanto a los antecedentes sobre la actividad sindical de la presunta víctima, previo a su desaparición, los peticionarios describieron los siguientes hechos que tampoco fueron controvertidos por el Estado: </w:t>
      </w:r>
      <w:r w:rsidR="00C421BC" w:rsidRPr="00BF3D11">
        <w:rPr>
          <w:rFonts w:ascii="Cambria" w:hAnsi="Cambria"/>
          <w:sz w:val="20"/>
          <w:szCs w:val="20"/>
        </w:rPr>
        <w:t>i) E</w:t>
      </w:r>
      <w:r w:rsidR="00AC7D07" w:rsidRPr="00BF3D11">
        <w:rPr>
          <w:rFonts w:ascii="Cambria" w:hAnsi="Cambria"/>
          <w:sz w:val="20"/>
          <w:szCs w:val="20"/>
        </w:rPr>
        <w:t xml:space="preserve">n agosto de </w:t>
      </w:r>
      <w:r w:rsidR="00CB4C1A" w:rsidRPr="00BF3D11">
        <w:rPr>
          <w:rFonts w:ascii="Cambria" w:hAnsi="Cambria"/>
          <w:sz w:val="20"/>
          <w:szCs w:val="20"/>
        </w:rPr>
        <w:t>1994</w:t>
      </w:r>
      <w:r w:rsidR="00AC7D07" w:rsidRPr="00BF3D11">
        <w:rPr>
          <w:rFonts w:ascii="Cambria" w:hAnsi="Cambria"/>
          <w:sz w:val="20"/>
          <w:szCs w:val="20"/>
        </w:rPr>
        <w:t xml:space="preserve"> la maquiladora tuvo que cerrar sus operaciones, lo cual dejó sin empleo a setenta personas</w:t>
      </w:r>
      <w:r w:rsidR="00C421BC" w:rsidRPr="00BF3D11">
        <w:rPr>
          <w:rFonts w:ascii="Cambria" w:hAnsi="Cambria"/>
          <w:sz w:val="20"/>
          <w:szCs w:val="20"/>
        </w:rPr>
        <w:t xml:space="preserve">; ii) </w:t>
      </w:r>
      <w:r w:rsidR="00CB4C1A" w:rsidRPr="00BF3D11">
        <w:rPr>
          <w:rFonts w:ascii="Cambria" w:hAnsi="Cambria"/>
          <w:sz w:val="20"/>
          <w:szCs w:val="20"/>
        </w:rPr>
        <w:t>en este contexto,</w:t>
      </w:r>
      <w:r w:rsidR="00AC7D07" w:rsidRPr="00BF3D11">
        <w:rPr>
          <w:rFonts w:ascii="Cambria" w:hAnsi="Cambria"/>
          <w:sz w:val="20"/>
          <w:szCs w:val="20"/>
        </w:rPr>
        <w:t xml:space="preserve"> el Sindicato demandaba el pago de salarios dejados de percibir y otros beneficios laborales</w:t>
      </w:r>
      <w:r w:rsidR="00C421BC" w:rsidRPr="00BF3D11">
        <w:rPr>
          <w:rFonts w:ascii="Cambria" w:hAnsi="Cambria"/>
          <w:sz w:val="20"/>
          <w:szCs w:val="20"/>
        </w:rPr>
        <w:t xml:space="preserve">, lo que dio lugar a </w:t>
      </w:r>
      <w:r w:rsidR="00AC7D07" w:rsidRPr="00BF3D11">
        <w:rPr>
          <w:rFonts w:ascii="Cambria" w:hAnsi="Cambria"/>
          <w:sz w:val="20"/>
          <w:szCs w:val="20"/>
        </w:rPr>
        <w:t>una denuncia ante el Tribunal Laboral de Guatemala</w:t>
      </w:r>
      <w:r w:rsidR="00C421BC" w:rsidRPr="00BF3D11">
        <w:rPr>
          <w:rFonts w:ascii="Cambria" w:hAnsi="Cambria"/>
          <w:sz w:val="20"/>
          <w:szCs w:val="20"/>
        </w:rPr>
        <w:t>; iii) paralelamente a la denuncia presentada, el Sindicato inició negociaciones con la empresa; iv) el señor Gómez participó activamente de dichas reuniones y estaba muy vinculado en el caso</w:t>
      </w:r>
      <w:r w:rsidR="00133470" w:rsidRPr="00BF3D11">
        <w:rPr>
          <w:rFonts w:ascii="Cambria" w:hAnsi="Cambria"/>
          <w:sz w:val="20"/>
          <w:szCs w:val="20"/>
        </w:rPr>
        <w:t xml:space="preserve">; v) el 10 de julio de 1995 el Sindicato y la empresa llegaron a un acuerdo en el que el Sindicato </w:t>
      </w:r>
      <w:r w:rsidR="00A157AE">
        <w:rPr>
          <w:rFonts w:ascii="Cambria" w:hAnsi="Cambria"/>
          <w:sz w:val="20"/>
          <w:szCs w:val="20"/>
        </w:rPr>
        <w:t>“</w:t>
      </w:r>
      <w:r w:rsidR="00133470" w:rsidRPr="00BF3D11">
        <w:rPr>
          <w:rFonts w:ascii="Cambria" w:hAnsi="Cambria"/>
          <w:sz w:val="20"/>
          <w:szCs w:val="20"/>
        </w:rPr>
        <w:t>se vio forzado</w:t>
      </w:r>
      <w:r w:rsidR="00A157AE">
        <w:rPr>
          <w:rFonts w:ascii="Cambria" w:hAnsi="Cambria"/>
          <w:sz w:val="20"/>
          <w:szCs w:val="20"/>
        </w:rPr>
        <w:t>”</w:t>
      </w:r>
      <w:r w:rsidR="00133470" w:rsidRPr="00BF3D11">
        <w:rPr>
          <w:rFonts w:ascii="Cambria" w:hAnsi="Cambria"/>
          <w:sz w:val="20"/>
          <w:szCs w:val="20"/>
        </w:rPr>
        <w:t xml:space="preserve"> a abandonar su demanda de 600 mil quetzales a favor de los ex-trabajadores y únicamente recibió 111 mil quetzales.</w:t>
      </w:r>
    </w:p>
    <w:p w:rsidR="00F47B54" w:rsidRPr="00BF3D11" w:rsidRDefault="00F47B54" w:rsidP="00053951">
      <w:pPr>
        <w:tabs>
          <w:tab w:val="left" w:pos="720"/>
          <w:tab w:val="left" w:pos="840"/>
        </w:tabs>
        <w:jc w:val="both"/>
        <w:rPr>
          <w:rFonts w:ascii="Cambria" w:hAnsi="Cambria"/>
          <w:b/>
          <w:sz w:val="20"/>
          <w:szCs w:val="20"/>
          <w:lang w:val="es-ES_tradnl"/>
        </w:rPr>
      </w:pPr>
    </w:p>
    <w:p w:rsidR="00F47B54" w:rsidRPr="00BF3D11" w:rsidRDefault="000308B6" w:rsidP="00053951">
      <w:pPr>
        <w:pStyle w:val="Heading2"/>
        <w:numPr>
          <w:ilvl w:val="0"/>
          <w:numId w:val="58"/>
        </w:numPr>
        <w:spacing w:before="0" w:after="0"/>
        <w:ind w:hanging="720"/>
        <w:jc w:val="both"/>
        <w:rPr>
          <w:rFonts w:ascii="Cambria" w:hAnsi="Cambria"/>
          <w:i w:val="0"/>
          <w:sz w:val="20"/>
          <w:szCs w:val="20"/>
          <w:lang w:val="es-ES_tradnl"/>
        </w:rPr>
      </w:pPr>
      <w:bookmarkStart w:id="35" w:name="_Toc473188696"/>
      <w:r w:rsidRPr="00BF3D11">
        <w:rPr>
          <w:rFonts w:ascii="Cambria" w:hAnsi="Cambria"/>
          <w:i w:val="0"/>
          <w:sz w:val="20"/>
          <w:szCs w:val="20"/>
          <w:lang w:val="es-ES_tradnl"/>
        </w:rPr>
        <w:t>Sobre</w:t>
      </w:r>
      <w:r w:rsidR="00F47B54" w:rsidRPr="00BF3D11">
        <w:rPr>
          <w:rFonts w:ascii="Cambria" w:hAnsi="Cambria"/>
          <w:i w:val="0"/>
          <w:sz w:val="20"/>
          <w:szCs w:val="20"/>
          <w:lang w:val="es-ES_tradnl"/>
        </w:rPr>
        <w:t xml:space="preserve"> </w:t>
      </w:r>
      <w:r w:rsidR="006B3E83" w:rsidRPr="00BF3D11">
        <w:rPr>
          <w:rFonts w:ascii="Cambria" w:hAnsi="Cambria"/>
          <w:i w:val="0"/>
          <w:sz w:val="20"/>
          <w:szCs w:val="20"/>
          <w:lang w:val="es-ES_tradnl"/>
        </w:rPr>
        <w:t>la desaparición del señor Gómez el</w:t>
      </w:r>
      <w:r w:rsidR="00527A84" w:rsidRPr="00BF3D11">
        <w:rPr>
          <w:rFonts w:ascii="Cambria" w:hAnsi="Cambria"/>
          <w:i w:val="0"/>
          <w:sz w:val="20"/>
          <w:szCs w:val="20"/>
          <w:lang w:val="es-ES_tradnl"/>
        </w:rPr>
        <w:t xml:space="preserve"> 13 de marzo de 1995</w:t>
      </w:r>
      <w:bookmarkEnd w:id="35"/>
      <w:r w:rsidR="00BA2C92" w:rsidRPr="00BF3D11">
        <w:rPr>
          <w:rFonts w:ascii="Cambria" w:hAnsi="Cambria"/>
          <w:i w:val="0"/>
          <w:sz w:val="20"/>
          <w:szCs w:val="20"/>
          <w:lang w:val="es-ES_tradnl"/>
        </w:rPr>
        <w:t xml:space="preserve"> </w:t>
      </w:r>
    </w:p>
    <w:p w:rsidR="002840D4" w:rsidRPr="00BF3D11" w:rsidRDefault="002840D4" w:rsidP="00053951">
      <w:pPr>
        <w:tabs>
          <w:tab w:val="left" w:pos="720"/>
          <w:tab w:val="left" w:pos="840"/>
        </w:tabs>
        <w:jc w:val="both"/>
        <w:rPr>
          <w:rFonts w:ascii="Cambria" w:hAnsi="Cambria"/>
          <w:sz w:val="20"/>
          <w:szCs w:val="20"/>
          <w:lang w:val="es-ES_tradnl"/>
        </w:rPr>
      </w:pPr>
    </w:p>
    <w:p w:rsidR="009F52CB" w:rsidRPr="00BF3D11" w:rsidRDefault="009F52CB"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 xml:space="preserve">La información disponible sobre lo sucedido el 13 de marzo de 1995 se basa principalmente en la narración efectuada por los peticionarios que no fue controvertida por el Estado ante la Comisión a lo largo del trámite interamericano. Tampoco resultan de las investigaciones realizadas a nivel interno hipótesis diferentes sobre estos hechos ni ello surge de las pocas actuaciones internas con las que cuenta la CIDH. </w:t>
      </w:r>
      <w:r w:rsidR="00354201" w:rsidRPr="00BF3D11">
        <w:rPr>
          <w:rFonts w:ascii="Cambria" w:hAnsi="Cambria"/>
          <w:sz w:val="20"/>
          <w:szCs w:val="20"/>
        </w:rPr>
        <w:t>La Comisión toma  nota también que por su propia naturaleza, el esclarecimiento de hechos como los que se alegan en el presente caso</w:t>
      </w:r>
      <w:r w:rsidR="007259F2">
        <w:rPr>
          <w:rFonts w:ascii="Cambria" w:hAnsi="Cambria"/>
          <w:sz w:val="20"/>
          <w:szCs w:val="20"/>
        </w:rPr>
        <w:t xml:space="preserve"> corresponde a la investigación penal,</w:t>
      </w:r>
      <w:r w:rsidR="00354201" w:rsidRPr="00BF3D11">
        <w:rPr>
          <w:rFonts w:ascii="Cambria" w:hAnsi="Cambria"/>
          <w:sz w:val="20"/>
          <w:szCs w:val="20"/>
        </w:rPr>
        <w:t xml:space="preserve"> sin que exista, a la fecha, una versión oficial de lo sucedido, tal como se describirá más adelante.  </w:t>
      </w:r>
    </w:p>
    <w:p w:rsidR="009F52CB" w:rsidRPr="00BF3D11" w:rsidRDefault="009F52CB"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720FD7" w:rsidRPr="00BF3D11" w:rsidRDefault="009F52CB"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En ese</w:t>
      </w:r>
      <w:r w:rsidR="00B32F9B" w:rsidRPr="00BF3D11">
        <w:rPr>
          <w:rFonts w:ascii="Cambria" w:hAnsi="Cambria"/>
          <w:sz w:val="20"/>
          <w:szCs w:val="20"/>
        </w:rPr>
        <w:t xml:space="preserve"> sentido, la CIDH entiende que no existe controversia sobre </w:t>
      </w:r>
      <w:r w:rsidR="00720FD7" w:rsidRPr="00BF3D11">
        <w:rPr>
          <w:rFonts w:ascii="Cambria" w:hAnsi="Cambria"/>
          <w:sz w:val="20"/>
          <w:szCs w:val="20"/>
        </w:rPr>
        <w:t xml:space="preserve">los siguientes hechos descritos por los peticionarios: </w:t>
      </w:r>
    </w:p>
    <w:p w:rsidR="00720FD7" w:rsidRPr="00BF3D11" w:rsidRDefault="00720FD7"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720FD7" w:rsidRPr="00BF3D11" w:rsidRDefault="00720FD7" w:rsidP="00053951">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BF3D11">
        <w:rPr>
          <w:rFonts w:ascii="Cambria" w:hAnsi="Cambria"/>
          <w:sz w:val="20"/>
          <w:szCs w:val="20"/>
        </w:rPr>
        <w:t>En la mañana del 13 de marzo de 1995 el señor Gómez participó en reuniones en la oficina del Sindicato</w:t>
      </w:r>
      <w:r w:rsidRPr="00BF3D11">
        <w:rPr>
          <w:rStyle w:val="FootnoteReference"/>
          <w:rFonts w:ascii="Cambria" w:hAnsi="Cambria"/>
          <w:sz w:val="20"/>
          <w:szCs w:val="20"/>
        </w:rPr>
        <w:footnoteReference w:id="8"/>
      </w:r>
      <w:r w:rsidRPr="00BF3D11">
        <w:rPr>
          <w:rFonts w:ascii="Cambria" w:hAnsi="Cambria"/>
          <w:sz w:val="20"/>
          <w:szCs w:val="20"/>
        </w:rPr>
        <w:t>, cuyo tema central fueron los conflictos existentes entre la maquiladora RCA y sus ex-trabajadores</w:t>
      </w:r>
      <w:r w:rsidRPr="00BF3D11">
        <w:rPr>
          <w:rStyle w:val="FootnoteReference"/>
          <w:rFonts w:ascii="Cambria" w:hAnsi="Cambria"/>
          <w:sz w:val="20"/>
          <w:szCs w:val="20"/>
        </w:rPr>
        <w:footnoteReference w:id="9"/>
      </w:r>
      <w:r w:rsidRPr="00BF3D11">
        <w:rPr>
          <w:rFonts w:ascii="Cambria" w:hAnsi="Cambria"/>
          <w:sz w:val="20"/>
          <w:szCs w:val="20"/>
        </w:rPr>
        <w:t>.</w:t>
      </w:r>
    </w:p>
    <w:p w:rsidR="00BB2AA7" w:rsidRPr="00BF3D11" w:rsidRDefault="00BB2AA7"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080" w:firstLine="0"/>
        <w:jc w:val="both"/>
        <w:rPr>
          <w:rFonts w:ascii="Cambria" w:hAnsi="Cambria"/>
          <w:sz w:val="20"/>
          <w:szCs w:val="20"/>
        </w:rPr>
      </w:pPr>
    </w:p>
    <w:p w:rsidR="00BB2AA7" w:rsidRPr="00BF3D11" w:rsidRDefault="000A4DD2" w:rsidP="00053951">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BF3D11">
        <w:rPr>
          <w:rFonts w:ascii="Cambria" w:hAnsi="Cambria"/>
          <w:sz w:val="20"/>
          <w:szCs w:val="20"/>
        </w:rPr>
        <w:t>E</w:t>
      </w:r>
      <w:r w:rsidR="00BB2AA7" w:rsidRPr="00BF3D11">
        <w:rPr>
          <w:rFonts w:ascii="Cambria" w:hAnsi="Cambria"/>
          <w:sz w:val="20"/>
          <w:szCs w:val="20"/>
        </w:rPr>
        <w:t>l señor Gómez tenía en su posesión una lista de todos los miembros del Sindicato que iban a participar en una manifestación como protesta por la situación a la que se enfrentaban, en las afueras de la embajada de Corea</w:t>
      </w:r>
      <w:r w:rsidR="00BB2AA7" w:rsidRPr="00BF3D11">
        <w:rPr>
          <w:rStyle w:val="FootnoteReference"/>
          <w:rFonts w:ascii="Cambria" w:hAnsi="Cambria"/>
          <w:sz w:val="20"/>
          <w:szCs w:val="20"/>
        </w:rPr>
        <w:footnoteReference w:id="10"/>
      </w:r>
      <w:r w:rsidR="00BB2AA7" w:rsidRPr="00BF3D11">
        <w:rPr>
          <w:rFonts w:ascii="Cambria" w:hAnsi="Cambria"/>
          <w:sz w:val="20"/>
          <w:szCs w:val="20"/>
        </w:rPr>
        <w:t>.</w:t>
      </w:r>
    </w:p>
    <w:p w:rsidR="00B01A71" w:rsidRPr="00BF3D11" w:rsidRDefault="00B01A71"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B01A71" w:rsidRPr="00BF3D11" w:rsidRDefault="00B01A71" w:rsidP="00053951">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BF3D11">
        <w:rPr>
          <w:rFonts w:ascii="Cambria" w:hAnsi="Cambria"/>
          <w:sz w:val="20"/>
          <w:szCs w:val="20"/>
        </w:rPr>
        <w:t>En la tarde regresó a su casa y alrededor de las 5:00 p.m. le comunicó a su madre que tenía una reunión con Sylvia Escobar, Secretaria General del Sindicato</w:t>
      </w:r>
      <w:r w:rsidRPr="00BF3D11">
        <w:rPr>
          <w:rStyle w:val="FootnoteReference"/>
          <w:rFonts w:ascii="Cambria" w:hAnsi="Cambria"/>
          <w:sz w:val="20"/>
          <w:szCs w:val="20"/>
        </w:rPr>
        <w:footnoteReference w:id="11"/>
      </w:r>
      <w:r w:rsidRPr="00BF3D11">
        <w:rPr>
          <w:rFonts w:ascii="Cambria" w:hAnsi="Cambria"/>
          <w:sz w:val="20"/>
          <w:szCs w:val="20"/>
        </w:rPr>
        <w:t xml:space="preserve">. </w:t>
      </w:r>
    </w:p>
    <w:p w:rsidR="00B01A71" w:rsidRPr="00BF3D11" w:rsidRDefault="00B01A71"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B01A71" w:rsidRPr="00BF3D11" w:rsidRDefault="00B01A71" w:rsidP="00053951">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BF3D11">
        <w:rPr>
          <w:rFonts w:ascii="Cambria" w:hAnsi="Cambria"/>
          <w:sz w:val="20"/>
          <w:szCs w:val="20"/>
        </w:rPr>
        <w:t>Posteriormente se reunió con su amigo Gustavo Cardona, quien también era miembro del Sindicato</w:t>
      </w:r>
      <w:r w:rsidRPr="00BF3D11">
        <w:rPr>
          <w:rStyle w:val="FootnoteReference"/>
          <w:rFonts w:ascii="Cambria" w:hAnsi="Cambria"/>
          <w:sz w:val="20"/>
          <w:szCs w:val="20"/>
        </w:rPr>
        <w:footnoteReference w:id="12"/>
      </w:r>
      <w:r w:rsidRPr="00BF3D11">
        <w:rPr>
          <w:rFonts w:ascii="Cambria" w:hAnsi="Cambria"/>
          <w:sz w:val="20"/>
          <w:szCs w:val="20"/>
        </w:rPr>
        <w:t>.</w:t>
      </w:r>
    </w:p>
    <w:p w:rsidR="004F0EDD" w:rsidRPr="00BF3D11" w:rsidRDefault="004F0EDD"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C23A60" w:rsidRPr="00BF3D11" w:rsidRDefault="00C23A60"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Los peticionarios manifestaron que u</w:t>
      </w:r>
      <w:r w:rsidR="004F0EDD" w:rsidRPr="00BF3D11">
        <w:rPr>
          <w:rFonts w:ascii="Cambria" w:hAnsi="Cambria"/>
          <w:sz w:val="20"/>
          <w:szCs w:val="20"/>
        </w:rPr>
        <w:t>n</w:t>
      </w:r>
      <w:r w:rsidR="00A11EEF" w:rsidRPr="00BF3D11">
        <w:rPr>
          <w:rFonts w:ascii="Cambria" w:hAnsi="Cambria"/>
          <w:sz w:val="20"/>
          <w:szCs w:val="20"/>
        </w:rPr>
        <w:t>a</w:t>
      </w:r>
      <w:r w:rsidR="004F0EDD" w:rsidRPr="00BF3D11">
        <w:rPr>
          <w:rFonts w:ascii="Cambria" w:hAnsi="Cambria"/>
          <w:sz w:val="20"/>
          <w:szCs w:val="20"/>
        </w:rPr>
        <w:t xml:space="preserve"> testigo que prefirió</w:t>
      </w:r>
      <w:r w:rsidR="00A11EEF" w:rsidRPr="00BF3D11">
        <w:rPr>
          <w:rFonts w:ascii="Cambria" w:hAnsi="Cambria"/>
          <w:sz w:val="20"/>
          <w:szCs w:val="20"/>
        </w:rPr>
        <w:t xml:space="preserve"> mantenerse en anonimato</w:t>
      </w:r>
      <w:r w:rsidRPr="00BF3D11">
        <w:rPr>
          <w:rFonts w:ascii="Cambria" w:hAnsi="Cambria"/>
          <w:sz w:val="20"/>
          <w:szCs w:val="20"/>
        </w:rPr>
        <w:t xml:space="preserve"> “por el bien de su seguridad personal”,</w:t>
      </w:r>
      <w:r w:rsidR="00A11EEF" w:rsidRPr="00BF3D11">
        <w:rPr>
          <w:rFonts w:ascii="Cambria" w:hAnsi="Cambria"/>
          <w:sz w:val="20"/>
          <w:szCs w:val="20"/>
        </w:rPr>
        <w:t xml:space="preserve"> </w:t>
      </w:r>
      <w:r w:rsidRPr="00BF3D11">
        <w:rPr>
          <w:rFonts w:ascii="Cambria" w:hAnsi="Cambria"/>
          <w:sz w:val="20"/>
          <w:szCs w:val="20"/>
        </w:rPr>
        <w:t>declaró</w:t>
      </w:r>
      <w:r w:rsidR="00127203" w:rsidRPr="00BF3D11">
        <w:rPr>
          <w:rFonts w:ascii="Cambria" w:hAnsi="Cambria"/>
          <w:sz w:val="20"/>
          <w:szCs w:val="20"/>
        </w:rPr>
        <w:t xml:space="preserve"> que vio al señor Gómez y al señor Cardona a las 6:20 p.m</w:t>
      </w:r>
      <w:r w:rsidRPr="00BF3D11">
        <w:rPr>
          <w:rStyle w:val="FootnoteReference"/>
          <w:rFonts w:ascii="Cambria" w:hAnsi="Cambria"/>
          <w:sz w:val="20"/>
          <w:szCs w:val="20"/>
        </w:rPr>
        <w:footnoteReference w:id="13"/>
      </w:r>
      <w:r w:rsidR="00037713" w:rsidRPr="00BF3D11">
        <w:rPr>
          <w:rFonts w:ascii="Cambria" w:hAnsi="Cambria"/>
          <w:sz w:val="20"/>
          <w:szCs w:val="20"/>
        </w:rPr>
        <w:t xml:space="preserve"> del día 13 de marzo de 1995. </w:t>
      </w:r>
      <w:r w:rsidRPr="00BF3D11">
        <w:rPr>
          <w:rFonts w:ascii="Cambria" w:hAnsi="Cambria"/>
          <w:sz w:val="20"/>
          <w:szCs w:val="20"/>
        </w:rPr>
        <w:t>Indicaron que dicha testigo manifestó lo siguiente:</w:t>
      </w:r>
    </w:p>
    <w:p w:rsidR="00C23A60" w:rsidRPr="00BF3D11" w:rsidRDefault="00C23A60" w:rsidP="00053951">
      <w:pPr>
        <w:pStyle w:val="ColorfulList-Accent11"/>
        <w:jc w:val="both"/>
        <w:rPr>
          <w:rFonts w:ascii="Cambria" w:hAnsi="Cambria"/>
          <w:sz w:val="20"/>
          <w:szCs w:val="20"/>
        </w:rPr>
      </w:pPr>
    </w:p>
    <w:p w:rsidR="00BA2C92" w:rsidRDefault="00C23A60"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BF3D11">
        <w:rPr>
          <w:rFonts w:ascii="Cambria" w:hAnsi="Cambria"/>
          <w:sz w:val="20"/>
          <w:szCs w:val="20"/>
          <w:lang w:val="es-ES"/>
        </w:rPr>
        <w:t xml:space="preserve">(…) </w:t>
      </w:r>
      <w:r w:rsidR="00127203" w:rsidRPr="00BF3D11">
        <w:rPr>
          <w:rFonts w:ascii="Cambria" w:hAnsi="Cambria"/>
          <w:sz w:val="20"/>
          <w:szCs w:val="20"/>
        </w:rPr>
        <w:t xml:space="preserve">dos hombres </w:t>
      </w:r>
      <w:r w:rsidRPr="00BF3D11">
        <w:rPr>
          <w:rFonts w:ascii="Cambria" w:hAnsi="Cambria"/>
          <w:sz w:val="20"/>
          <w:szCs w:val="20"/>
        </w:rPr>
        <w:t>(…) estaban en un vehículo verde parqueado dentr</w:t>
      </w:r>
      <w:r w:rsidR="00CB4C1A" w:rsidRPr="00BF3D11">
        <w:rPr>
          <w:rFonts w:ascii="Cambria" w:hAnsi="Cambria"/>
          <w:sz w:val="20"/>
          <w:szCs w:val="20"/>
        </w:rPr>
        <w:t>o de un garaje de motocicletas. (…)</w:t>
      </w:r>
      <w:r w:rsidRPr="00BF3D11">
        <w:rPr>
          <w:rFonts w:ascii="Cambria" w:hAnsi="Cambria"/>
          <w:sz w:val="20"/>
          <w:szCs w:val="20"/>
        </w:rPr>
        <w:t xml:space="preserve"> golpearon a Yovany Gómez repetidamente en la cara. Poco tiempo después de que Yovany Gómez y Gustavo Cardona dejaron la calle, el carro fue visto saliendo en la misma direcci</w:t>
      </w:r>
      <w:r w:rsidR="00C21934" w:rsidRPr="00BF3D11">
        <w:rPr>
          <w:rFonts w:ascii="Cambria" w:hAnsi="Cambria"/>
          <w:sz w:val="20"/>
          <w:szCs w:val="20"/>
        </w:rPr>
        <w:t>ón</w:t>
      </w:r>
      <w:r w:rsidR="00C21934" w:rsidRPr="00BF3D11">
        <w:rPr>
          <w:rStyle w:val="FootnoteReference"/>
          <w:rFonts w:ascii="Cambria" w:hAnsi="Cambria"/>
          <w:sz w:val="20"/>
          <w:szCs w:val="20"/>
        </w:rPr>
        <w:footnoteReference w:id="14"/>
      </w:r>
      <w:r w:rsidRPr="00BF3D11">
        <w:rPr>
          <w:rFonts w:ascii="Cambria" w:hAnsi="Cambria"/>
          <w:sz w:val="20"/>
          <w:szCs w:val="20"/>
        </w:rPr>
        <w:t>.</w:t>
      </w:r>
    </w:p>
    <w:p w:rsidR="008F1E25" w:rsidRDefault="008F1E25"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p>
    <w:p w:rsidR="008F1E25" w:rsidRPr="00BF3D11" w:rsidRDefault="008F1E25" w:rsidP="00A11E0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szCs w:val="20"/>
        </w:rPr>
        <w:t>Seg</w:t>
      </w:r>
      <w:r w:rsidR="00A11E0E">
        <w:rPr>
          <w:rFonts w:ascii="Cambria" w:hAnsi="Cambria"/>
          <w:sz w:val="20"/>
          <w:szCs w:val="20"/>
        </w:rPr>
        <w:t xml:space="preserve">ún Comunicación de la Unión Sindical de Trabajadores de Guatemala, la desaparición ocurrió en el </w:t>
      </w:r>
      <w:r w:rsidRPr="00BF3D11">
        <w:rPr>
          <w:rFonts w:ascii="Cambria" w:hAnsi="Cambria"/>
          <w:sz w:val="20"/>
          <w:szCs w:val="20"/>
        </w:rPr>
        <w:t>kilómetro 6 de la carretera al Atlántico</w:t>
      </w:r>
      <w:r w:rsidRPr="00BF3D11">
        <w:rPr>
          <w:rStyle w:val="FootnoteReference"/>
          <w:rFonts w:ascii="Cambria" w:hAnsi="Cambria"/>
          <w:sz w:val="20"/>
          <w:szCs w:val="20"/>
        </w:rPr>
        <w:footnoteReference w:id="15"/>
      </w:r>
      <w:r w:rsidRPr="00BF3D11">
        <w:rPr>
          <w:rFonts w:ascii="Cambria" w:hAnsi="Cambria"/>
          <w:sz w:val="20"/>
          <w:szCs w:val="20"/>
        </w:rPr>
        <w:t>.</w:t>
      </w:r>
    </w:p>
    <w:p w:rsidR="00BA2C92" w:rsidRPr="00BF3D11" w:rsidRDefault="00BA2C92" w:rsidP="00053951">
      <w:pPr>
        <w:pStyle w:val="MediumGrid1-Accent21"/>
        <w:jc w:val="both"/>
        <w:rPr>
          <w:rFonts w:ascii="Cambria" w:hAnsi="Cambria"/>
          <w:sz w:val="20"/>
          <w:szCs w:val="20"/>
          <w:lang w:val="es-ES"/>
        </w:rPr>
      </w:pPr>
    </w:p>
    <w:p w:rsidR="000C638C" w:rsidRPr="00BF3D11" w:rsidRDefault="000C638C" w:rsidP="00053951">
      <w:pPr>
        <w:pStyle w:val="Heading2"/>
        <w:numPr>
          <w:ilvl w:val="0"/>
          <w:numId w:val="58"/>
        </w:numPr>
        <w:spacing w:before="0" w:after="0"/>
        <w:ind w:hanging="720"/>
        <w:jc w:val="both"/>
        <w:rPr>
          <w:rFonts w:ascii="Cambria" w:hAnsi="Cambria"/>
          <w:i w:val="0"/>
          <w:sz w:val="20"/>
          <w:szCs w:val="20"/>
          <w:lang w:val="es-ES_tradnl"/>
        </w:rPr>
      </w:pPr>
      <w:bookmarkStart w:id="36" w:name="_Toc473188698"/>
      <w:r w:rsidRPr="00BF3D11">
        <w:rPr>
          <w:rFonts w:ascii="Cambria" w:hAnsi="Cambria"/>
          <w:i w:val="0"/>
          <w:sz w:val="20"/>
          <w:szCs w:val="20"/>
          <w:lang w:val="es-ES_tradnl"/>
        </w:rPr>
        <w:t xml:space="preserve">Sobre las denuncias efectuadas </w:t>
      </w:r>
      <w:r w:rsidR="00280EAE" w:rsidRPr="00BF3D11">
        <w:rPr>
          <w:rFonts w:ascii="Cambria" w:hAnsi="Cambria"/>
          <w:i w:val="0"/>
          <w:sz w:val="20"/>
          <w:szCs w:val="20"/>
          <w:lang w:val="es-ES_tradnl"/>
        </w:rPr>
        <w:t>hasta el</w:t>
      </w:r>
      <w:r w:rsidRPr="00BF3D11">
        <w:rPr>
          <w:rFonts w:ascii="Cambria" w:hAnsi="Cambria"/>
          <w:i w:val="0"/>
          <w:sz w:val="20"/>
          <w:szCs w:val="20"/>
          <w:lang w:val="es-ES_tradnl"/>
        </w:rPr>
        <w:t xml:space="preserve"> 18 de marzo de 1995</w:t>
      </w:r>
      <w:bookmarkEnd w:id="36"/>
      <w:r w:rsidRPr="00BF3D11">
        <w:rPr>
          <w:rFonts w:ascii="Cambria" w:hAnsi="Cambria"/>
          <w:i w:val="0"/>
          <w:sz w:val="20"/>
          <w:szCs w:val="20"/>
          <w:lang w:val="es-ES_tradnl"/>
        </w:rPr>
        <w:t xml:space="preserve"> </w:t>
      </w:r>
    </w:p>
    <w:p w:rsidR="00BA2C92" w:rsidRPr="00BF3D11" w:rsidRDefault="00BA2C92" w:rsidP="00053951">
      <w:pPr>
        <w:pStyle w:val="MediumGrid1-Accent21"/>
        <w:ind w:left="0"/>
        <w:jc w:val="both"/>
        <w:rPr>
          <w:rFonts w:ascii="Cambria" w:hAnsi="Cambria"/>
          <w:sz w:val="20"/>
          <w:szCs w:val="20"/>
          <w:lang w:val="es-ES"/>
        </w:rPr>
      </w:pPr>
    </w:p>
    <w:p w:rsidR="006728FA" w:rsidRPr="00BF3D11" w:rsidRDefault="006728FA"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lang w:val="es-ES"/>
        </w:rPr>
        <w:t xml:space="preserve">Los peticionarios manifestaron que </w:t>
      </w:r>
      <w:r w:rsidRPr="00BF3D11">
        <w:rPr>
          <w:rFonts w:ascii="Cambria" w:hAnsi="Cambria"/>
          <w:sz w:val="20"/>
          <w:szCs w:val="20"/>
        </w:rPr>
        <w:t>e</w:t>
      </w:r>
      <w:r w:rsidR="00BA2C92" w:rsidRPr="00BF3D11">
        <w:rPr>
          <w:rFonts w:ascii="Cambria" w:hAnsi="Cambria"/>
          <w:sz w:val="20"/>
          <w:szCs w:val="20"/>
        </w:rPr>
        <w:t>l 14 de marzo de 1995 los padres del señor Gómez acudieron a la Policía Nacional</w:t>
      </w:r>
      <w:r w:rsidR="008F1E25">
        <w:rPr>
          <w:rFonts w:ascii="Cambria" w:hAnsi="Cambria"/>
          <w:sz w:val="20"/>
          <w:szCs w:val="20"/>
        </w:rPr>
        <w:t xml:space="preserve"> para denunciar la desaparición de su hijo</w:t>
      </w:r>
      <w:r w:rsidRPr="00BF3D11">
        <w:rPr>
          <w:rStyle w:val="FootnoteReference"/>
          <w:rFonts w:ascii="Cambria" w:hAnsi="Cambria"/>
          <w:sz w:val="20"/>
          <w:szCs w:val="20"/>
        </w:rPr>
        <w:footnoteReference w:id="16"/>
      </w:r>
      <w:r w:rsidR="008F1E25">
        <w:rPr>
          <w:rFonts w:ascii="Cambria" w:hAnsi="Cambria"/>
          <w:sz w:val="20"/>
          <w:szCs w:val="20"/>
        </w:rPr>
        <w:t>. Expresaron que los</w:t>
      </w:r>
      <w:r w:rsidR="00453EB0" w:rsidRPr="00BF3D11">
        <w:rPr>
          <w:rFonts w:ascii="Cambria" w:hAnsi="Cambria"/>
          <w:sz w:val="20"/>
          <w:szCs w:val="20"/>
        </w:rPr>
        <w:t xml:space="preserve"> </w:t>
      </w:r>
      <w:r w:rsidR="00EF5AF0" w:rsidRPr="00BF3D11">
        <w:rPr>
          <w:rFonts w:ascii="Cambria" w:hAnsi="Cambria"/>
          <w:sz w:val="20"/>
          <w:szCs w:val="20"/>
        </w:rPr>
        <w:t>agentes policiales l</w:t>
      </w:r>
      <w:r w:rsidR="00BA2C92" w:rsidRPr="00BF3D11">
        <w:rPr>
          <w:rFonts w:ascii="Cambria" w:hAnsi="Cambria"/>
          <w:sz w:val="20"/>
          <w:szCs w:val="20"/>
        </w:rPr>
        <w:t xml:space="preserve">es </w:t>
      </w:r>
      <w:r w:rsidR="00CB4C1A" w:rsidRPr="00BF3D11">
        <w:rPr>
          <w:rFonts w:ascii="Cambria" w:hAnsi="Cambria"/>
          <w:sz w:val="20"/>
          <w:szCs w:val="20"/>
        </w:rPr>
        <w:t>señalaron</w:t>
      </w:r>
      <w:r w:rsidR="00BA2C92" w:rsidRPr="00BF3D11">
        <w:rPr>
          <w:rFonts w:ascii="Cambria" w:hAnsi="Cambria"/>
          <w:sz w:val="20"/>
          <w:szCs w:val="20"/>
        </w:rPr>
        <w:t xml:space="preserve"> </w:t>
      </w:r>
      <w:r w:rsidRPr="00BF3D11">
        <w:rPr>
          <w:rFonts w:ascii="Cambria" w:hAnsi="Cambria"/>
          <w:sz w:val="20"/>
          <w:szCs w:val="20"/>
        </w:rPr>
        <w:t>“que el asunto se investigaría rápidamente”</w:t>
      </w:r>
      <w:r w:rsidRPr="00BF3D11">
        <w:rPr>
          <w:rStyle w:val="FootnoteReference"/>
          <w:rFonts w:ascii="Cambria" w:hAnsi="Cambria"/>
          <w:sz w:val="20"/>
          <w:szCs w:val="20"/>
        </w:rPr>
        <w:footnoteReference w:id="17"/>
      </w:r>
      <w:r w:rsidR="00F2445C" w:rsidRPr="00BF3D11">
        <w:rPr>
          <w:rFonts w:ascii="Cambria" w:hAnsi="Cambria"/>
          <w:sz w:val="20"/>
          <w:szCs w:val="20"/>
        </w:rPr>
        <w:t xml:space="preserve">, pero sin  indicación </w:t>
      </w:r>
      <w:r w:rsidRPr="00BF3D11">
        <w:rPr>
          <w:rFonts w:ascii="Cambria" w:hAnsi="Cambria"/>
          <w:sz w:val="20"/>
          <w:szCs w:val="20"/>
        </w:rPr>
        <w:t>sobre las diligencias que se realizarían</w:t>
      </w:r>
      <w:r w:rsidRPr="00BF3D11">
        <w:rPr>
          <w:rStyle w:val="FootnoteReference"/>
          <w:rFonts w:ascii="Cambria" w:hAnsi="Cambria"/>
          <w:sz w:val="20"/>
          <w:szCs w:val="20"/>
        </w:rPr>
        <w:footnoteReference w:id="18"/>
      </w:r>
      <w:r w:rsidRPr="00BF3D11">
        <w:rPr>
          <w:rFonts w:ascii="Cambria" w:hAnsi="Cambria"/>
          <w:sz w:val="20"/>
          <w:szCs w:val="20"/>
        </w:rPr>
        <w:t xml:space="preserve">. </w:t>
      </w:r>
    </w:p>
    <w:p w:rsidR="006728FA" w:rsidRPr="00BF3D11" w:rsidRDefault="006728FA" w:rsidP="00053951">
      <w:pPr>
        <w:pStyle w:val="ColorfulList-Accent11"/>
        <w:rPr>
          <w:rFonts w:ascii="Cambria" w:hAnsi="Cambria"/>
          <w:sz w:val="20"/>
          <w:szCs w:val="20"/>
          <w:lang w:val="es-ES"/>
        </w:rPr>
      </w:pPr>
    </w:p>
    <w:p w:rsidR="00F9285A" w:rsidRPr="00BF3D11" w:rsidRDefault="00D622D5"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El 16 de marzo de 1995 el Sindicato  envió una comunicación al Ministerio de Gobernación</w:t>
      </w:r>
      <w:r w:rsidRPr="00BF3D11">
        <w:rPr>
          <w:rStyle w:val="FootnoteReference"/>
          <w:rFonts w:ascii="Cambria" w:hAnsi="Cambria"/>
          <w:sz w:val="20"/>
          <w:szCs w:val="20"/>
        </w:rPr>
        <w:footnoteReference w:id="19"/>
      </w:r>
      <w:r w:rsidR="006E3007" w:rsidRPr="00BF3D11">
        <w:rPr>
          <w:rFonts w:ascii="Cambria" w:hAnsi="Cambria"/>
          <w:sz w:val="20"/>
          <w:szCs w:val="20"/>
        </w:rPr>
        <w:t xml:space="preserve">, mediante la cual se solicitó </w:t>
      </w:r>
      <w:r w:rsidRPr="00BF3D11">
        <w:rPr>
          <w:rFonts w:ascii="Cambria" w:hAnsi="Cambria"/>
          <w:sz w:val="20"/>
          <w:szCs w:val="20"/>
        </w:rPr>
        <w:t>una audiencia para brindar información sobre la desaparición del señor Gómez. Al día siguiente</w:t>
      </w:r>
      <w:r w:rsidR="002A36C8" w:rsidRPr="00BF3D11">
        <w:rPr>
          <w:rFonts w:ascii="Cambria" w:hAnsi="Cambria"/>
          <w:sz w:val="20"/>
          <w:szCs w:val="20"/>
        </w:rPr>
        <w:t>,</w:t>
      </w:r>
      <w:r w:rsidRPr="00BF3D11">
        <w:rPr>
          <w:rFonts w:ascii="Cambria" w:hAnsi="Cambria"/>
          <w:sz w:val="20"/>
          <w:szCs w:val="20"/>
        </w:rPr>
        <w:t xml:space="preserve"> el Sindicato envió una nueva comunicación al Ministerio de Gobernación</w:t>
      </w:r>
      <w:r w:rsidRPr="00BF3D11">
        <w:rPr>
          <w:rStyle w:val="FootnoteReference"/>
          <w:rFonts w:ascii="Cambria" w:hAnsi="Cambria"/>
          <w:sz w:val="20"/>
          <w:szCs w:val="20"/>
        </w:rPr>
        <w:footnoteReference w:id="20"/>
      </w:r>
      <w:r w:rsidRPr="00BF3D11">
        <w:rPr>
          <w:rFonts w:ascii="Cambria" w:hAnsi="Cambria"/>
          <w:sz w:val="20"/>
          <w:szCs w:val="20"/>
        </w:rPr>
        <w:t xml:space="preserve">. El Sindicato indicó que </w:t>
      </w:r>
      <w:r w:rsidR="002A36C8" w:rsidRPr="00BF3D11">
        <w:rPr>
          <w:rFonts w:ascii="Cambria" w:hAnsi="Cambria"/>
          <w:sz w:val="20"/>
          <w:szCs w:val="20"/>
        </w:rPr>
        <w:t>la</w:t>
      </w:r>
      <w:r w:rsidRPr="00BF3D11">
        <w:rPr>
          <w:rFonts w:ascii="Cambria" w:hAnsi="Cambria"/>
          <w:sz w:val="20"/>
          <w:szCs w:val="20"/>
        </w:rPr>
        <w:t xml:space="preserve"> desaparición ocurrió el 13 de marzo de 1995 a 7:30 p.m. en el kilómetro 6 de la carretera al Atlántico</w:t>
      </w:r>
      <w:r w:rsidRPr="00BF3D11">
        <w:rPr>
          <w:rStyle w:val="FootnoteReference"/>
          <w:rFonts w:ascii="Cambria" w:hAnsi="Cambria"/>
          <w:sz w:val="20"/>
          <w:szCs w:val="20"/>
        </w:rPr>
        <w:footnoteReference w:id="21"/>
      </w:r>
      <w:r w:rsidRPr="00BF3D11">
        <w:rPr>
          <w:rFonts w:ascii="Cambria" w:hAnsi="Cambria"/>
          <w:sz w:val="20"/>
          <w:szCs w:val="20"/>
        </w:rPr>
        <w:t xml:space="preserve">. </w:t>
      </w:r>
    </w:p>
    <w:p w:rsidR="00F9285A" w:rsidRPr="00BF3D11" w:rsidRDefault="00F9285A" w:rsidP="00053951">
      <w:pPr>
        <w:pStyle w:val="ColorfulList-Accent11"/>
        <w:rPr>
          <w:rFonts w:ascii="Cambria" w:hAnsi="Cambria"/>
          <w:sz w:val="20"/>
          <w:szCs w:val="20"/>
          <w:lang w:val="es-ES"/>
        </w:rPr>
      </w:pPr>
    </w:p>
    <w:p w:rsidR="00BA2C92" w:rsidRPr="00BF3D11" w:rsidRDefault="00F9285A"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A</w:t>
      </w:r>
      <w:r w:rsidR="006728FA" w:rsidRPr="00BF3D11">
        <w:rPr>
          <w:rFonts w:ascii="Cambria" w:hAnsi="Cambria"/>
          <w:sz w:val="20"/>
          <w:szCs w:val="20"/>
        </w:rPr>
        <w:t>l día siguiente la UNS</w:t>
      </w:r>
      <w:r w:rsidR="008F1E25">
        <w:rPr>
          <w:rFonts w:ascii="Cambria" w:hAnsi="Cambria"/>
          <w:sz w:val="20"/>
          <w:szCs w:val="20"/>
        </w:rPr>
        <w:t>I</w:t>
      </w:r>
      <w:r w:rsidR="006728FA" w:rsidRPr="00BF3D11">
        <w:rPr>
          <w:rFonts w:ascii="Cambria" w:hAnsi="Cambria"/>
          <w:sz w:val="20"/>
          <w:szCs w:val="20"/>
        </w:rPr>
        <w:t>TRAGUA volvió a enviar una comunicación en términos similares al Ministerio de Gobernación</w:t>
      </w:r>
      <w:r w:rsidR="006728FA" w:rsidRPr="00BF3D11">
        <w:rPr>
          <w:rStyle w:val="FootnoteReference"/>
          <w:rFonts w:ascii="Cambria" w:hAnsi="Cambria"/>
          <w:sz w:val="20"/>
          <w:szCs w:val="20"/>
        </w:rPr>
        <w:footnoteReference w:id="22"/>
      </w:r>
      <w:r w:rsidR="002A36C8" w:rsidRPr="00BF3D11">
        <w:rPr>
          <w:rFonts w:ascii="Cambria" w:hAnsi="Cambria"/>
          <w:sz w:val="20"/>
          <w:szCs w:val="20"/>
        </w:rPr>
        <w:t>.</w:t>
      </w:r>
      <w:r w:rsidR="006728FA" w:rsidRPr="00BF3D11">
        <w:rPr>
          <w:rFonts w:ascii="Cambria" w:hAnsi="Cambria"/>
          <w:sz w:val="20"/>
          <w:szCs w:val="20"/>
        </w:rPr>
        <w:t xml:space="preserve"> Indicaron que no se recibió respuesta alguna</w:t>
      </w:r>
      <w:r w:rsidR="002A36C8" w:rsidRPr="00BF3D11">
        <w:rPr>
          <w:rFonts w:ascii="Cambria" w:hAnsi="Cambria"/>
          <w:sz w:val="20"/>
          <w:szCs w:val="20"/>
        </w:rPr>
        <w:t xml:space="preserve"> ni a esta ni a las comunicaciones anteriores</w:t>
      </w:r>
      <w:r w:rsidR="006728FA" w:rsidRPr="00BF3D11">
        <w:rPr>
          <w:rStyle w:val="FootnoteReference"/>
          <w:rFonts w:ascii="Cambria" w:hAnsi="Cambria"/>
          <w:sz w:val="20"/>
          <w:szCs w:val="20"/>
        </w:rPr>
        <w:footnoteReference w:id="23"/>
      </w:r>
      <w:r w:rsidR="006728FA" w:rsidRPr="00BF3D11">
        <w:rPr>
          <w:rFonts w:ascii="Cambria" w:hAnsi="Cambria"/>
          <w:sz w:val="20"/>
          <w:szCs w:val="20"/>
        </w:rPr>
        <w:t>.</w:t>
      </w:r>
      <w:r w:rsidR="009A1908" w:rsidRPr="00BF3D11">
        <w:rPr>
          <w:rFonts w:ascii="Cambria" w:hAnsi="Cambria"/>
          <w:sz w:val="20"/>
          <w:szCs w:val="20"/>
        </w:rPr>
        <w:t xml:space="preserve"> L</w:t>
      </w:r>
      <w:r w:rsidR="00280EAE" w:rsidRPr="00BF3D11">
        <w:rPr>
          <w:rFonts w:ascii="Cambria" w:hAnsi="Cambria"/>
          <w:sz w:val="20"/>
          <w:szCs w:val="20"/>
        </w:rPr>
        <w:t>a UNSITRAGUA</w:t>
      </w:r>
      <w:r w:rsidR="00CB4C1A" w:rsidRPr="00BF3D11">
        <w:rPr>
          <w:rFonts w:ascii="Cambria" w:hAnsi="Cambria"/>
          <w:sz w:val="20"/>
          <w:szCs w:val="20"/>
        </w:rPr>
        <w:t xml:space="preserve"> </w:t>
      </w:r>
      <w:r w:rsidR="009A1908" w:rsidRPr="00BF3D11">
        <w:rPr>
          <w:rFonts w:ascii="Cambria" w:hAnsi="Cambria"/>
          <w:sz w:val="20"/>
          <w:szCs w:val="20"/>
        </w:rPr>
        <w:t xml:space="preserve">también </w:t>
      </w:r>
      <w:r w:rsidR="00BA2C92" w:rsidRPr="00BF3D11">
        <w:rPr>
          <w:rFonts w:ascii="Cambria" w:hAnsi="Cambria"/>
          <w:sz w:val="20"/>
          <w:szCs w:val="20"/>
        </w:rPr>
        <w:t>emitió un comunicado</w:t>
      </w:r>
      <w:r w:rsidR="00C406E0" w:rsidRPr="00BF3D11">
        <w:rPr>
          <w:rFonts w:ascii="Cambria" w:hAnsi="Cambria"/>
          <w:sz w:val="20"/>
          <w:szCs w:val="20"/>
        </w:rPr>
        <w:t xml:space="preserve"> de</w:t>
      </w:r>
      <w:r w:rsidR="00BA2C92" w:rsidRPr="00BF3D11">
        <w:rPr>
          <w:rFonts w:ascii="Cambria" w:hAnsi="Cambria"/>
          <w:sz w:val="20"/>
          <w:szCs w:val="20"/>
        </w:rPr>
        <w:t xml:space="preserve"> prensa solicitando al Presidente de la República a adoptar las medidas necesarias para localizar el paradero del señor Gómez</w:t>
      </w:r>
      <w:r w:rsidR="00CB4C1A" w:rsidRPr="00BF3D11">
        <w:rPr>
          <w:rStyle w:val="FootnoteReference"/>
          <w:rFonts w:ascii="Cambria" w:hAnsi="Cambria"/>
          <w:sz w:val="20"/>
          <w:szCs w:val="20"/>
        </w:rPr>
        <w:footnoteReference w:id="24"/>
      </w:r>
      <w:r w:rsidR="00BA2C92" w:rsidRPr="00BF3D11">
        <w:rPr>
          <w:rFonts w:ascii="Cambria" w:hAnsi="Cambria"/>
          <w:sz w:val="20"/>
          <w:szCs w:val="20"/>
        </w:rPr>
        <w:t>.</w:t>
      </w:r>
    </w:p>
    <w:p w:rsidR="00BA2C92" w:rsidRPr="00BF3D11" w:rsidRDefault="00BA2C92" w:rsidP="00053951">
      <w:pPr>
        <w:pStyle w:val="MediumGrid1-Accent21"/>
        <w:rPr>
          <w:rFonts w:ascii="Cambria" w:hAnsi="Cambria"/>
          <w:sz w:val="20"/>
          <w:szCs w:val="20"/>
          <w:lang w:val="es-ES"/>
        </w:rPr>
      </w:pPr>
    </w:p>
    <w:p w:rsidR="00CB4C1A" w:rsidRPr="00BF3D11" w:rsidRDefault="00CB4C1A"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lastRenderedPageBreak/>
        <w:t>Los peticionarios señalaron que el 18 de marzo de 1995 el padre del señor Gómez se acercó nuevamente a la Policía Nacional a efectos de conocer los progresos de la investigación</w:t>
      </w:r>
      <w:r w:rsidRPr="00BF3D11">
        <w:rPr>
          <w:rStyle w:val="FootnoteReference"/>
          <w:rFonts w:ascii="Cambria" w:hAnsi="Cambria"/>
          <w:sz w:val="20"/>
          <w:szCs w:val="20"/>
        </w:rPr>
        <w:footnoteReference w:id="25"/>
      </w:r>
      <w:r w:rsidRPr="00BF3D11">
        <w:rPr>
          <w:rFonts w:ascii="Cambria" w:hAnsi="Cambria"/>
          <w:sz w:val="20"/>
          <w:szCs w:val="20"/>
        </w:rPr>
        <w:t xml:space="preserve">. Sostuvieron que la Policía Nacional indicó lo siguiente: </w:t>
      </w:r>
    </w:p>
    <w:p w:rsidR="00CB4C1A" w:rsidRPr="00BF3D11" w:rsidRDefault="00CB4C1A" w:rsidP="00053951">
      <w:pPr>
        <w:pStyle w:val="ColorfulList-Accent11"/>
        <w:rPr>
          <w:rFonts w:ascii="Cambria" w:hAnsi="Cambria"/>
          <w:sz w:val="20"/>
          <w:szCs w:val="20"/>
        </w:rPr>
      </w:pPr>
    </w:p>
    <w:p w:rsidR="00CB4C1A" w:rsidRPr="00BF3D11" w:rsidRDefault="00CB4C1A"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BF3D11">
        <w:rPr>
          <w:rFonts w:ascii="Cambria" w:hAnsi="Cambria"/>
          <w:sz w:val="20"/>
          <w:szCs w:val="20"/>
          <w:lang w:val="es-ES"/>
        </w:rPr>
        <w:t xml:space="preserve">(…) </w:t>
      </w:r>
      <w:r w:rsidRPr="00BF3D11">
        <w:rPr>
          <w:rFonts w:ascii="Cambria" w:hAnsi="Cambria"/>
          <w:sz w:val="20"/>
          <w:szCs w:val="20"/>
        </w:rPr>
        <w:t>no se había tomado ninguna acción y que los agentes no podrían asignar a nadie al caso hasta el lunes siguiente, cuando la familia proveyera de un vehículo para realizar la investigación pues ellos no tenían</w:t>
      </w:r>
      <w:r w:rsidRPr="00BF3D11">
        <w:rPr>
          <w:rStyle w:val="FootnoteReference"/>
          <w:rFonts w:ascii="Cambria" w:hAnsi="Cambria"/>
          <w:sz w:val="20"/>
          <w:szCs w:val="20"/>
        </w:rPr>
        <w:footnoteReference w:id="26"/>
      </w:r>
      <w:r w:rsidRPr="00BF3D11">
        <w:rPr>
          <w:rFonts w:ascii="Cambria" w:hAnsi="Cambria"/>
          <w:sz w:val="20"/>
          <w:szCs w:val="20"/>
        </w:rPr>
        <w:t>.</w:t>
      </w:r>
    </w:p>
    <w:p w:rsidR="00C406E0" w:rsidRPr="00BF3D11" w:rsidRDefault="00C406E0"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p>
    <w:p w:rsidR="00871D4C" w:rsidRPr="00BF3D11" w:rsidRDefault="00C406E0"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 xml:space="preserve">El Estado guatemalteco no controvirtió las denuncias presentadas </w:t>
      </w:r>
      <w:r w:rsidR="00871D4C" w:rsidRPr="00BF3D11">
        <w:rPr>
          <w:rFonts w:ascii="Cambria" w:hAnsi="Cambria"/>
          <w:sz w:val="20"/>
          <w:szCs w:val="20"/>
        </w:rPr>
        <w:t xml:space="preserve">por familiares </w:t>
      </w:r>
      <w:r w:rsidRPr="00BF3D11">
        <w:rPr>
          <w:rFonts w:ascii="Cambria" w:hAnsi="Cambria"/>
          <w:sz w:val="20"/>
          <w:szCs w:val="20"/>
        </w:rPr>
        <w:t xml:space="preserve">directamente a la Policía Nacional el 14 y 18 de marzo de 1995. Además, como se indicó anteriormente, </w:t>
      </w:r>
      <w:r w:rsidR="00B760A0" w:rsidRPr="00BF3D11">
        <w:rPr>
          <w:rFonts w:ascii="Cambria" w:hAnsi="Cambria"/>
          <w:sz w:val="20"/>
          <w:szCs w:val="20"/>
        </w:rPr>
        <w:t>altas autoridades estatales – Ministerio de Gobernación</w:t>
      </w:r>
      <w:r w:rsidR="0005620A" w:rsidRPr="00BF3D11">
        <w:rPr>
          <w:rFonts w:ascii="Cambria" w:hAnsi="Cambria"/>
          <w:sz w:val="20"/>
          <w:szCs w:val="20"/>
        </w:rPr>
        <w:t>, recibieron varias comunicaciones sobre lo sucedido</w:t>
      </w:r>
      <w:r w:rsidR="00871D4C" w:rsidRPr="00BF3D11">
        <w:rPr>
          <w:rFonts w:ascii="Cambria" w:hAnsi="Cambria"/>
          <w:sz w:val="20"/>
          <w:szCs w:val="20"/>
        </w:rPr>
        <w:t xml:space="preserve"> por parte del Sindicato. </w:t>
      </w:r>
    </w:p>
    <w:p w:rsidR="00871D4C" w:rsidRPr="00BF3D11" w:rsidRDefault="00871D4C"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C406E0" w:rsidRPr="00BF3D11" w:rsidRDefault="00871D4C"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 xml:space="preserve">De lo anterior, la Comisión tiene por establecido que el Estado estaba en conocimiento de la desaparición del señor Gómez Virula desde el día siguiente de la misma y antes del hallazgo de su cadáver. </w:t>
      </w:r>
      <w:r w:rsidR="00AC7929" w:rsidRPr="00BF3D11">
        <w:rPr>
          <w:rFonts w:ascii="Cambria" w:hAnsi="Cambria"/>
          <w:sz w:val="20"/>
          <w:szCs w:val="20"/>
        </w:rPr>
        <w:t xml:space="preserve">Los peticionarios </w:t>
      </w:r>
      <w:r w:rsidR="00AB23ED">
        <w:rPr>
          <w:rFonts w:ascii="Cambria" w:hAnsi="Cambria"/>
          <w:sz w:val="20"/>
          <w:szCs w:val="20"/>
        </w:rPr>
        <w:t xml:space="preserve">señalaron </w:t>
      </w:r>
      <w:r w:rsidR="00AC7929" w:rsidRPr="00BF3D11">
        <w:rPr>
          <w:rFonts w:ascii="Cambria" w:hAnsi="Cambria"/>
          <w:sz w:val="20"/>
          <w:szCs w:val="20"/>
        </w:rPr>
        <w:t>que</w:t>
      </w:r>
      <w:r w:rsidR="00AB23ED">
        <w:rPr>
          <w:rFonts w:ascii="Cambria" w:hAnsi="Cambria"/>
          <w:sz w:val="20"/>
          <w:szCs w:val="20"/>
        </w:rPr>
        <w:t xml:space="preserve">, según lo indicado por la propia policía, </w:t>
      </w:r>
      <w:r w:rsidR="00AC7929" w:rsidRPr="00BF3D11">
        <w:rPr>
          <w:rFonts w:ascii="Cambria" w:hAnsi="Cambria"/>
          <w:sz w:val="20"/>
          <w:szCs w:val="20"/>
        </w:rPr>
        <w:t>en el lapso t</w:t>
      </w:r>
      <w:r w:rsidR="00DC63CA" w:rsidRPr="00BF3D11">
        <w:rPr>
          <w:rFonts w:ascii="Cambria" w:hAnsi="Cambria"/>
          <w:sz w:val="20"/>
          <w:szCs w:val="20"/>
        </w:rPr>
        <w:t>r</w:t>
      </w:r>
      <w:r w:rsidR="00AC7929" w:rsidRPr="00BF3D11">
        <w:rPr>
          <w:rFonts w:ascii="Cambria" w:hAnsi="Cambria"/>
          <w:sz w:val="20"/>
          <w:szCs w:val="20"/>
        </w:rPr>
        <w:t xml:space="preserve">anscurrido desde la primera denuncia y el hallazgo del cuerpo, no se realizaron diligencias de búsqueda. Por su parte, </w:t>
      </w:r>
      <w:r w:rsidR="007309FB">
        <w:rPr>
          <w:rFonts w:ascii="Cambria" w:hAnsi="Cambria"/>
          <w:sz w:val="20"/>
          <w:szCs w:val="20"/>
        </w:rPr>
        <w:t>e</w:t>
      </w:r>
      <w:r w:rsidR="00AC7929" w:rsidRPr="00BF3D11">
        <w:rPr>
          <w:rFonts w:ascii="Cambria" w:hAnsi="Cambria"/>
          <w:sz w:val="20"/>
          <w:szCs w:val="20"/>
        </w:rPr>
        <w:t xml:space="preserve">l Estado no informó sobre acciones de búsqueda previas al hallazgo del cadáver ni ellas surgen de la información disponible. </w:t>
      </w:r>
      <w:r w:rsidR="00816FC9" w:rsidRPr="00BF3D11">
        <w:rPr>
          <w:rFonts w:ascii="Cambria" w:hAnsi="Cambria"/>
          <w:sz w:val="20"/>
          <w:szCs w:val="20"/>
        </w:rPr>
        <w:t>La existencia de denuncias previo al hallazgo del cadáver, así como la falta de medidas de búsqueda del paradero del señor Gómez, también fueron referidas en comunicados públicos de la Oficina de Derechos Humanos del Arzobispado de Guatemala</w:t>
      </w:r>
      <w:r w:rsidR="002E0F87" w:rsidRPr="00BF3D11">
        <w:rPr>
          <w:rStyle w:val="FootnoteReference"/>
          <w:rFonts w:ascii="Cambria" w:hAnsi="Cambria"/>
          <w:sz w:val="20"/>
          <w:szCs w:val="20"/>
        </w:rPr>
        <w:footnoteReference w:id="27"/>
      </w:r>
      <w:r w:rsidR="00816FC9" w:rsidRPr="00BF3D11">
        <w:rPr>
          <w:rFonts w:ascii="Cambria" w:hAnsi="Cambria"/>
          <w:sz w:val="20"/>
          <w:szCs w:val="20"/>
        </w:rPr>
        <w:t>.</w:t>
      </w:r>
    </w:p>
    <w:p w:rsidR="00BA2C92" w:rsidRPr="00BF3D11" w:rsidRDefault="00BA2C92" w:rsidP="00053951">
      <w:pPr>
        <w:tabs>
          <w:tab w:val="left" w:pos="720"/>
          <w:tab w:val="left" w:pos="840"/>
        </w:tabs>
        <w:jc w:val="both"/>
        <w:rPr>
          <w:rFonts w:ascii="Cambria" w:hAnsi="Cambria"/>
          <w:b/>
          <w:sz w:val="20"/>
          <w:szCs w:val="20"/>
          <w:lang w:val="es-ES"/>
        </w:rPr>
      </w:pPr>
    </w:p>
    <w:p w:rsidR="006B3E83" w:rsidRPr="00BF3D11" w:rsidRDefault="006B3E83" w:rsidP="00053951">
      <w:pPr>
        <w:pStyle w:val="Heading2"/>
        <w:numPr>
          <w:ilvl w:val="0"/>
          <w:numId w:val="58"/>
        </w:numPr>
        <w:spacing w:before="0" w:after="0"/>
        <w:ind w:hanging="720"/>
        <w:jc w:val="both"/>
        <w:rPr>
          <w:rFonts w:ascii="Cambria" w:hAnsi="Cambria"/>
          <w:i w:val="0"/>
          <w:sz w:val="20"/>
          <w:szCs w:val="20"/>
          <w:lang w:val="es-ES"/>
        </w:rPr>
      </w:pPr>
      <w:bookmarkStart w:id="37" w:name="_Toc473188699"/>
      <w:r w:rsidRPr="00BF3D11">
        <w:rPr>
          <w:rFonts w:ascii="Cambria" w:hAnsi="Cambria"/>
          <w:i w:val="0"/>
          <w:sz w:val="20"/>
          <w:szCs w:val="20"/>
          <w:lang w:val="es-ES"/>
        </w:rPr>
        <w:t>Sobre la ubicación del cuerpo del señor Gómez el 19 de marzo de 1995</w:t>
      </w:r>
      <w:bookmarkEnd w:id="37"/>
    </w:p>
    <w:p w:rsidR="006B3E83" w:rsidRPr="00BF3D11" w:rsidRDefault="006B3E83" w:rsidP="00053951">
      <w:pPr>
        <w:pStyle w:val="MediumGrid1-Accent21"/>
        <w:rPr>
          <w:rFonts w:ascii="Cambria" w:hAnsi="Cambria"/>
          <w:sz w:val="20"/>
          <w:szCs w:val="20"/>
          <w:lang w:val="es-ES"/>
        </w:rPr>
      </w:pPr>
    </w:p>
    <w:p w:rsidR="00EE4675" w:rsidRPr="00BF3D11" w:rsidRDefault="00532B1A"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El 1</w:t>
      </w:r>
      <w:r w:rsidR="00D93609" w:rsidRPr="00BF3D11">
        <w:rPr>
          <w:rFonts w:ascii="Cambria" w:hAnsi="Cambria"/>
          <w:sz w:val="20"/>
          <w:szCs w:val="20"/>
        </w:rPr>
        <w:t>9</w:t>
      </w:r>
      <w:r w:rsidRPr="00BF3D11">
        <w:rPr>
          <w:rFonts w:ascii="Cambria" w:hAnsi="Cambria"/>
          <w:sz w:val="20"/>
          <w:szCs w:val="20"/>
        </w:rPr>
        <w:t xml:space="preserve"> de marzo de 1995 se encontró el cuerpo del señor Gómez en un barranco de la zona 18 de la ciudad de Guatemala</w:t>
      </w:r>
      <w:r w:rsidR="00EF5AF0" w:rsidRPr="00BF3D11">
        <w:rPr>
          <w:rStyle w:val="FootnoteReference"/>
          <w:rFonts w:ascii="Cambria" w:hAnsi="Cambria"/>
          <w:sz w:val="20"/>
          <w:szCs w:val="20"/>
        </w:rPr>
        <w:footnoteReference w:id="28"/>
      </w:r>
      <w:r w:rsidR="00A20BC4" w:rsidRPr="00BF3D11">
        <w:rPr>
          <w:rFonts w:ascii="Cambria" w:hAnsi="Cambria"/>
          <w:sz w:val="20"/>
          <w:szCs w:val="20"/>
        </w:rPr>
        <w:t xml:space="preserve">, estando </w:t>
      </w:r>
      <w:r w:rsidR="006061D1" w:rsidRPr="00BF3D11">
        <w:rPr>
          <w:rFonts w:ascii="Cambria" w:hAnsi="Cambria"/>
          <w:sz w:val="20"/>
          <w:szCs w:val="20"/>
        </w:rPr>
        <w:t>su cabeza sumergida en un río de aguas negras</w:t>
      </w:r>
      <w:r w:rsidR="006061D1" w:rsidRPr="00BF3D11">
        <w:rPr>
          <w:rStyle w:val="FootnoteReference"/>
          <w:rFonts w:ascii="Cambria" w:hAnsi="Cambria"/>
          <w:sz w:val="20"/>
          <w:szCs w:val="20"/>
        </w:rPr>
        <w:footnoteReference w:id="29"/>
      </w:r>
      <w:r w:rsidR="006061D1" w:rsidRPr="00BF3D11">
        <w:rPr>
          <w:rFonts w:ascii="Cambria" w:hAnsi="Cambria"/>
          <w:sz w:val="20"/>
          <w:szCs w:val="20"/>
        </w:rPr>
        <w:t>.</w:t>
      </w:r>
      <w:r w:rsidR="009A54C5" w:rsidRPr="00BF3D11">
        <w:rPr>
          <w:rFonts w:ascii="Cambria" w:hAnsi="Cambria"/>
          <w:sz w:val="20"/>
          <w:szCs w:val="20"/>
        </w:rPr>
        <w:t xml:space="preserve"> Los peticionarios indicaron que</w:t>
      </w:r>
      <w:r w:rsidR="00EE4675" w:rsidRPr="00BF3D11">
        <w:rPr>
          <w:rFonts w:ascii="Cambria" w:hAnsi="Cambria"/>
          <w:sz w:val="20"/>
          <w:szCs w:val="20"/>
        </w:rPr>
        <w:t xml:space="preserve"> </w:t>
      </w:r>
      <w:r w:rsidR="009A54C5" w:rsidRPr="00BF3D11">
        <w:rPr>
          <w:rFonts w:ascii="Cambria" w:hAnsi="Cambria"/>
          <w:sz w:val="20"/>
          <w:szCs w:val="20"/>
          <w:lang w:val="es-ES"/>
        </w:rPr>
        <w:t>a</w:t>
      </w:r>
      <w:r w:rsidR="00EE4675" w:rsidRPr="00BF3D11">
        <w:rPr>
          <w:rFonts w:ascii="Cambria" w:hAnsi="Cambria"/>
          <w:sz w:val="20"/>
          <w:szCs w:val="20"/>
          <w:lang w:val="es-ES"/>
        </w:rPr>
        <w:t xml:space="preserve">l momento de encontrar el cuerpo del señor Gómez, éste tenía </w:t>
      </w:r>
      <w:r w:rsidR="009A54C5" w:rsidRPr="00BF3D11">
        <w:rPr>
          <w:rFonts w:ascii="Cambria" w:hAnsi="Cambria"/>
          <w:sz w:val="20"/>
          <w:szCs w:val="20"/>
          <w:lang w:val="es-ES"/>
        </w:rPr>
        <w:t>su cédula de identidad y todos sus objetos de valor</w:t>
      </w:r>
      <w:r w:rsidR="009A54C5" w:rsidRPr="00BF3D11">
        <w:rPr>
          <w:rStyle w:val="FootnoteReference"/>
          <w:rFonts w:ascii="Cambria" w:hAnsi="Cambria"/>
          <w:sz w:val="20"/>
          <w:szCs w:val="20"/>
        </w:rPr>
        <w:footnoteReference w:id="30"/>
      </w:r>
      <w:r w:rsidR="00A20BC4" w:rsidRPr="00BF3D11">
        <w:rPr>
          <w:rFonts w:ascii="Cambria" w:hAnsi="Cambria"/>
          <w:sz w:val="20"/>
          <w:szCs w:val="20"/>
          <w:lang w:val="es-ES"/>
        </w:rPr>
        <w:t xml:space="preserve">, pero que no fue encontrada junto con su cuerpo </w:t>
      </w:r>
      <w:r w:rsidR="00680B0E" w:rsidRPr="00BF3D11">
        <w:rPr>
          <w:rFonts w:ascii="Cambria" w:hAnsi="Cambria"/>
          <w:sz w:val="20"/>
          <w:szCs w:val="20"/>
          <w:lang w:val="es-ES"/>
        </w:rPr>
        <w:t>la lista de los miembros del Sindicato que</w:t>
      </w:r>
      <w:r w:rsidR="00A20BC4" w:rsidRPr="00BF3D11">
        <w:rPr>
          <w:rFonts w:ascii="Cambria" w:hAnsi="Cambria"/>
          <w:sz w:val="20"/>
          <w:szCs w:val="20"/>
          <w:lang w:val="es-ES"/>
        </w:rPr>
        <w:t xml:space="preserve"> indicaron que </w:t>
      </w:r>
      <w:r w:rsidR="00680B0E" w:rsidRPr="00BF3D11">
        <w:rPr>
          <w:rFonts w:ascii="Cambria" w:hAnsi="Cambria"/>
          <w:sz w:val="20"/>
          <w:szCs w:val="20"/>
          <w:lang w:val="es-ES"/>
        </w:rPr>
        <w:t>tenía el señor Gómez</w:t>
      </w:r>
      <w:r w:rsidR="00A20BC4" w:rsidRPr="00BF3D11">
        <w:rPr>
          <w:rFonts w:ascii="Cambria" w:hAnsi="Cambria"/>
          <w:sz w:val="20"/>
          <w:szCs w:val="20"/>
          <w:lang w:val="es-ES"/>
        </w:rPr>
        <w:t xml:space="preserve"> el día de su desaparición</w:t>
      </w:r>
      <w:r w:rsidR="00680B0E" w:rsidRPr="00BF3D11">
        <w:rPr>
          <w:rStyle w:val="FootnoteReference"/>
          <w:rFonts w:ascii="Cambria" w:hAnsi="Cambria"/>
          <w:sz w:val="20"/>
          <w:szCs w:val="20"/>
        </w:rPr>
        <w:footnoteReference w:id="31"/>
      </w:r>
      <w:r w:rsidR="00680B0E" w:rsidRPr="00BF3D11">
        <w:rPr>
          <w:rFonts w:ascii="Cambria" w:hAnsi="Cambria"/>
          <w:sz w:val="20"/>
          <w:szCs w:val="20"/>
          <w:lang w:val="es-ES"/>
        </w:rPr>
        <w:t>.</w:t>
      </w:r>
    </w:p>
    <w:p w:rsidR="00D93609" w:rsidRPr="00BF3D11" w:rsidRDefault="00D93609" w:rsidP="00053951">
      <w:pPr>
        <w:pStyle w:val="LightGrid-Accent31"/>
        <w:ind w:left="0"/>
        <w:rPr>
          <w:rFonts w:ascii="Cambria" w:hAnsi="Cambria"/>
          <w:sz w:val="20"/>
          <w:szCs w:val="20"/>
          <w:lang w:val="es-ES"/>
        </w:rPr>
      </w:pPr>
    </w:p>
    <w:p w:rsidR="00E6199C" w:rsidRPr="00BF3D11" w:rsidRDefault="00EE4675"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 xml:space="preserve">Los peticionarios indicaron que </w:t>
      </w:r>
      <w:r w:rsidR="008A2DF0" w:rsidRPr="00BF3D11">
        <w:rPr>
          <w:rFonts w:ascii="Cambria" w:hAnsi="Cambria"/>
          <w:sz w:val="20"/>
          <w:szCs w:val="20"/>
        </w:rPr>
        <w:t>inmediatamente después de ubicar el cuerpo del señor Gómez, sus</w:t>
      </w:r>
      <w:r w:rsidR="00BD4D02" w:rsidRPr="00BF3D11">
        <w:rPr>
          <w:rFonts w:ascii="Cambria" w:hAnsi="Cambria"/>
          <w:sz w:val="20"/>
          <w:szCs w:val="20"/>
        </w:rPr>
        <w:t xml:space="preserve"> familiares solicitaron una copia del informe forense</w:t>
      </w:r>
      <w:r w:rsidR="00BD4D02" w:rsidRPr="00BF3D11">
        <w:rPr>
          <w:rStyle w:val="FootnoteReference"/>
          <w:rFonts w:ascii="Cambria" w:hAnsi="Cambria"/>
          <w:sz w:val="20"/>
          <w:szCs w:val="20"/>
        </w:rPr>
        <w:footnoteReference w:id="32"/>
      </w:r>
      <w:r w:rsidR="0011787A" w:rsidRPr="00BF3D11">
        <w:rPr>
          <w:rFonts w:ascii="Cambria" w:hAnsi="Cambria"/>
          <w:sz w:val="20"/>
          <w:szCs w:val="20"/>
        </w:rPr>
        <w:t xml:space="preserve">, </w:t>
      </w:r>
      <w:r w:rsidR="00BD4D02" w:rsidRPr="00BF3D11">
        <w:rPr>
          <w:rFonts w:ascii="Cambria" w:hAnsi="Cambria"/>
          <w:sz w:val="20"/>
          <w:szCs w:val="20"/>
        </w:rPr>
        <w:t>solicitud</w:t>
      </w:r>
      <w:r w:rsidR="007309FB">
        <w:rPr>
          <w:rFonts w:ascii="Cambria" w:hAnsi="Cambria"/>
          <w:sz w:val="20"/>
          <w:szCs w:val="20"/>
        </w:rPr>
        <w:t xml:space="preserve"> que</w:t>
      </w:r>
      <w:r w:rsidR="00BD4D02" w:rsidRPr="00BF3D11">
        <w:rPr>
          <w:rFonts w:ascii="Cambria" w:hAnsi="Cambria"/>
          <w:sz w:val="20"/>
          <w:szCs w:val="20"/>
        </w:rPr>
        <w:t xml:space="preserve"> fue rechazada </w:t>
      </w:r>
      <w:r w:rsidR="00680B0E" w:rsidRPr="00BF3D11">
        <w:rPr>
          <w:rFonts w:ascii="Cambria" w:hAnsi="Cambria"/>
          <w:sz w:val="20"/>
          <w:szCs w:val="20"/>
        </w:rPr>
        <w:t xml:space="preserve">por el jefe de la división fiscal </w:t>
      </w:r>
      <w:r w:rsidR="00BD4D02" w:rsidRPr="00BF3D11">
        <w:rPr>
          <w:rFonts w:ascii="Cambria" w:hAnsi="Cambria"/>
          <w:sz w:val="20"/>
          <w:szCs w:val="20"/>
        </w:rPr>
        <w:t>y que únicamente le</w:t>
      </w:r>
      <w:r w:rsidR="00E6199C" w:rsidRPr="00BF3D11">
        <w:rPr>
          <w:rFonts w:ascii="Cambria" w:hAnsi="Cambria"/>
          <w:sz w:val="20"/>
          <w:szCs w:val="20"/>
        </w:rPr>
        <w:t>s</w:t>
      </w:r>
      <w:r w:rsidR="00BD4D02" w:rsidRPr="00BF3D11">
        <w:rPr>
          <w:rFonts w:ascii="Cambria" w:hAnsi="Cambria"/>
          <w:sz w:val="20"/>
          <w:szCs w:val="20"/>
        </w:rPr>
        <w:t xml:space="preserve"> dieron algunos detalles vía telefónica</w:t>
      </w:r>
      <w:r w:rsidR="00BD4D02" w:rsidRPr="00BF3D11">
        <w:rPr>
          <w:rStyle w:val="FootnoteReference"/>
          <w:rFonts w:ascii="Cambria" w:hAnsi="Cambria"/>
          <w:sz w:val="20"/>
          <w:szCs w:val="20"/>
        </w:rPr>
        <w:footnoteReference w:id="33"/>
      </w:r>
      <w:r w:rsidR="00BD4D02" w:rsidRPr="00BF3D11">
        <w:rPr>
          <w:rFonts w:ascii="Cambria" w:hAnsi="Cambria"/>
          <w:sz w:val="20"/>
          <w:szCs w:val="20"/>
        </w:rPr>
        <w:t>.</w:t>
      </w:r>
      <w:r w:rsidR="00E6199C" w:rsidRPr="00BF3D11">
        <w:rPr>
          <w:rFonts w:ascii="Cambria" w:hAnsi="Cambria"/>
          <w:sz w:val="20"/>
          <w:szCs w:val="20"/>
        </w:rPr>
        <w:t xml:space="preserve"> Los peticionarios señalaron que con posterioridad pudieron obtener una copia del informe</w:t>
      </w:r>
      <w:r w:rsidR="00793ED9" w:rsidRPr="00BF3D11">
        <w:rPr>
          <w:rStyle w:val="FootnoteReference"/>
          <w:rFonts w:ascii="Cambria" w:hAnsi="Cambria"/>
          <w:sz w:val="20"/>
          <w:szCs w:val="20"/>
        </w:rPr>
        <w:footnoteReference w:id="34"/>
      </w:r>
      <w:r w:rsidR="00E6199C" w:rsidRPr="00BF3D11">
        <w:rPr>
          <w:rFonts w:ascii="Cambria" w:hAnsi="Cambria"/>
          <w:sz w:val="20"/>
          <w:szCs w:val="20"/>
        </w:rPr>
        <w:t>. La CIDH no cuenta con una copia de</w:t>
      </w:r>
      <w:r w:rsidR="009C2C5C" w:rsidRPr="00BF3D11">
        <w:rPr>
          <w:rFonts w:ascii="Cambria" w:hAnsi="Cambria"/>
          <w:sz w:val="20"/>
          <w:szCs w:val="20"/>
        </w:rPr>
        <w:t>l mismo.</w:t>
      </w:r>
      <w:r w:rsidR="00E6199C" w:rsidRPr="00BF3D11">
        <w:rPr>
          <w:rFonts w:ascii="Cambria" w:hAnsi="Cambria"/>
          <w:sz w:val="20"/>
          <w:szCs w:val="20"/>
        </w:rPr>
        <w:t xml:space="preserve"> </w:t>
      </w:r>
    </w:p>
    <w:p w:rsidR="00E6199C" w:rsidRPr="00BF3D11" w:rsidRDefault="00E6199C" w:rsidP="00053951">
      <w:pPr>
        <w:pStyle w:val="ColorfulList-Accent11"/>
        <w:rPr>
          <w:rFonts w:ascii="Cambria" w:hAnsi="Cambria"/>
          <w:sz w:val="20"/>
          <w:szCs w:val="20"/>
        </w:rPr>
      </w:pPr>
    </w:p>
    <w:p w:rsidR="00BD4D02" w:rsidRPr="00BF3D11" w:rsidRDefault="00C12A46"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lang w:val="es-ES"/>
        </w:rPr>
        <w:t>Sin embargo, l</w:t>
      </w:r>
      <w:r w:rsidR="00E6199C" w:rsidRPr="00BF3D11">
        <w:rPr>
          <w:rFonts w:ascii="Cambria" w:hAnsi="Cambria"/>
          <w:sz w:val="20"/>
          <w:szCs w:val="20"/>
          <w:lang w:val="es-ES"/>
        </w:rPr>
        <w:t xml:space="preserve">os peticionarios relataron que el informe forense </w:t>
      </w:r>
      <w:r w:rsidR="00E6199C" w:rsidRPr="00BF3D11">
        <w:rPr>
          <w:rFonts w:ascii="Cambria" w:hAnsi="Cambria"/>
          <w:sz w:val="20"/>
          <w:szCs w:val="20"/>
        </w:rPr>
        <w:t xml:space="preserve">indica que el señor Gómez </w:t>
      </w:r>
      <w:r w:rsidR="00AA404F" w:rsidRPr="00BF3D11">
        <w:rPr>
          <w:rFonts w:ascii="Cambria" w:hAnsi="Cambria"/>
          <w:sz w:val="20"/>
          <w:szCs w:val="20"/>
        </w:rPr>
        <w:t>presentó i) traumat</w:t>
      </w:r>
      <w:r w:rsidR="00E6199C" w:rsidRPr="00BF3D11">
        <w:rPr>
          <w:rFonts w:ascii="Cambria" w:hAnsi="Cambria"/>
          <w:sz w:val="20"/>
          <w:szCs w:val="20"/>
        </w:rPr>
        <w:t xml:space="preserve">ismo craneoencefálico y torácico de cuarto grado; ii) hemorragia cerebral y cerebrosa; iii) </w:t>
      </w:r>
      <w:r w:rsidR="00E6199C" w:rsidRPr="00BF3D11">
        <w:rPr>
          <w:rFonts w:ascii="Cambria" w:hAnsi="Cambria"/>
          <w:sz w:val="20"/>
          <w:szCs w:val="20"/>
        </w:rPr>
        <w:lastRenderedPageBreak/>
        <w:t>fractura de cráneo; iv) contusión pulmonar; y v) lesiones</w:t>
      </w:r>
      <w:r w:rsidR="00E6199C" w:rsidRPr="00BF3D11">
        <w:rPr>
          <w:rStyle w:val="FootnoteReference"/>
          <w:rFonts w:ascii="Cambria" w:hAnsi="Cambria"/>
          <w:sz w:val="20"/>
          <w:szCs w:val="20"/>
        </w:rPr>
        <w:footnoteReference w:id="35"/>
      </w:r>
      <w:r w:rsidR="00E6199C" w:rsidRPr="00BF3D11">
        <w:rPr>
          <w:rFonts w:ascii="Cambria" w:hAnsi="Cambria"/>
          <w:sz w:val="20"/>
          <w:szCs w:val="20"/>
        </w:rPr>
        <w:t>. Manifestaron que el informe concluyó que murió de un traumatismo craneoencefálico y torácico de cuarto grado</w:t>
      </w:r>
      <w:r w:rsidR="00E6199C" w:rsidRPr="00BF3D11">
        <w:rPr>
          <w:rStyle w:val="FootnoteReference"/>
          <w:rFonts w:ascii="Cambria" w:hAnsi="Cambria"/>
          <w:sz w:val="20"/>
          <w:szCs w:val="20"/>
        </w:rPr>
        <w:footnoteReference w:id="36"/>
      </w:r>
      <w:r w:rsidR="00E6199C" w:rsidRPr="00BF3D11">
        <w:rPr>
          <w:rFonts w:ascii="Cambria" w:hAnsi="Cambria"/>
          <w:sz w:val="20"/>
          <w:szCs w:val="20"/>
        </w:rPr>
        <w:t>.</w:t>
      </w:r>
      <w:r w:rsidR="00793ED9" w:rsidRPr="00BF3D11">
        <w:rPr>
          <w:rFonts w:ascii="Cambria" w:hAnsi="Cambria"/>
          <w:sz w:val="20"/>
          <w:szCs w:val="20"/>
        </w:rPr>
        <w:t xml:space="preserve"> </w:t>
      </w:r>
      <w:r w:rsidR="00481871" w:rsidRPr="00BF3D11">
        <w:rPr>
          <w:rFonts w:ascii="Cambria" w:hAnsi="Cambria"/>
          <w:sz w:val="20"/>
          <w:szCs w:val="20"/>
        </w:rPr>
        <w:t xml:space="preserve">El Estado no controvirtió esta información. </w:t>
      </w:r>
    </w:p>
    <w:p w:rsidR="00BE2484" w:rsidRPr="00BF3D11" w:rsidRDefault="00BE2484"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BE2484" w:rsidRPr="00BF3D11" w:rsidRDefault="00BE2484"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La información disponible indica que el cuerpo del señor Gómez fue encontrado fortuitamente y no en el marco de acciones de búsqueda</w:t>
      </w:r>
      <w:r w:rsidR="00EE4C88" w:rsidRPr="00BF3D11">
        <w:rPr>
          <w:rFonts w:ascii="Cambria" w:hAnsi="Cambria"/>
          <w:sz w:val="20"/>
          <w:szCs w:val="20"/>
        </w:rPr>
        <w:t xml:space="preserve"> por parte del Estado. </w:t>
      </w:r>
    </w:p>
    <w:p w:rsidR="00EA47EE" w:rsidRPr="00BF3D11" w:rsidRDefault="00EA47EE" w:rsidP="00053951">
      <w:pPr>
        <w:tabs>
          <w:tab w:val="left" w:pos="720"/>
          <w:tab w:val="left" w:pos="840"/>
        </w:tabs>
        <w:jc w:val="both"/>
        <w:rPr>
          <w:rFonts w:ascii="Cambria" w:hAnsi="Cambria"/>
          <w:sz w:val="20"/>
          <w:szCs w:val="20"/>
          <w:lang w:val="es-ES_tradnl"/>
        </w:rPr>
      </w:pPr>
    </w:p>
    <w:p w:rsidR="00EA47EE" w:rsidRPr="00BF3D11" w:rsidRDefault="00E24A29" w:rsidP="00053951">
      <w:pPr>
        <w:pStyle w:val="Heading2"/>
        <w:numPr>
          <w:ilvl w:val="0"/>
          <w:numId w:val="58"/>
        </w:numPr>
        <w:spacing w:before="0" w:after="0"/>
        <w:ind w:hanging="720"/>
        <w:jc w:val="both"/>
        <w:rPr>
          <w:rFonts w:ascii="Cambria" w:hAnsi="Cambria"/>
          <w:i w:val="0"/>
          <w:sz w:val="20"/>
          <w:szCs w:val="20"/>
          <w:lang w:val="es-ES_tradnl"/>
        </w:rPr>
      </w:pPr>
      <w:bookmarkStart w:id="38" w:name="_Toc473188700"/>
      <w:r w:rsidRPr="00BF3D11">
        <w:rPr>
          <w:rFonts w:ascii="Cambria" w:hAnsi="Cambria"/>
          <w:i w:val="0"/>
          <w:sz w:val="20"/>
          <w:szCs w:val="20"/>
          <w:lang w:val="es-ES_tradnl"/>
        </w:rPr>
        <w:t>Sobre las investigaciones</w:t>
      </w:r>
      <w:r w:rsidR="00BA2C92" w:rsidRPr="00BF3D11">
        <w:rPr>
          <w:rFonts w:ascii="Cambria" w:hAnsi="Cambria"/>
          <w:i w:val="0"/>
          <w:sz w:val="20"/>
          <w:szCs w:val="20"/>
          <w:lang w:val="es-ES_tradnl"/>
        </w:rPr>
        <w:t xml:space="preserve"> por la muerte del señor Gómez</w:t>
      </w:r>
      <w:bookmarkEnd w:id="38"/>
      <w:r w:rsidRPr="00BF3D11">
        <w:rPr>
          <w:rFonts w:ascii="Cambria" w:hAnsi="Cambria"/>
          <w:i w:val="0"/>
          <w:sz w:val="20"/>
          <w:szCs w:val="20"/>
          <w:lang w:val="es-ES_tradnl"/>
        </w:rPr>
        <w:t xml:space="preserve"> </w:t>
      </w:r>
    </w:p>
    <w:p w:rsidR="00EE4675" w:rsidRPr="00BF3D11" w:rsidRDefault="00EE4675"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197828" w:rsidRPr="00BF3D11" w:rsidRDefault="00AD2FC2"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Los peticionarios informaron que e</w:t>
      </w:r>
      <w:r w:rsidR="00895B0E" w:rsidRPr="00BF3D11">
        <w:rPr>
          <w:rFonts w:ascii="Cambria" w:hAnsi="Cambria"/>
          <w:sz w:val="20"/>
          <w:szCs w:val="20"/>
        </w:rPr>
        <w:t>l Ministerio Público abrió un expedient</w:t>
      </w:r>
      <w:r w:rsidRPr="00BF3D11">
        <w:rPr>
          <w:rFonts w:ascii="Cambria" w:hAnsi="Cambria"/>
          <w:sz w:val="20"/>
          <w:szCs w:val="20"/>
        </w:rPr>
        <w:t>e por la muerte del señor Gómez, el cual estuvo a cargo del fiscal</w:t>
      </w:r>
      <w:r w:rsidR="00895B0E" w:rsidRPr="00BF3D11">
        <w:rPr>
          <w:rFonts w:ascii="Cambria" w:hAnsi="Cambria"/>
          <w:sz w:val="20"/>
          <w:szCs w:val="20"/>
        </w:rPr>
        <w:t xml:space="preserve"> Jaime Rosales</w:t>
      </w:r>
      <w:r w:rsidRPr="00BF3D11">
        <w:rPr>
          <w:rStyle w:val="FootnoteReference"/>
          <w:rFonts w:ascii="Cambria" w:hAnsi="Cambria"/>
          <w:sz w:val="20"/>
          <w:szCs w:val="20"/>
        </w:rPr>
        <w:footnoteReference w:id="37"/>
      </w:r>
      <w:r w:rsidR="00895B0E" w:rsidRPr="00BF3D11">
        <w:rPr>
          <w:rFonts w:ascii="Cambria" w:hAnsi="Cambria"/>
          <w:sz w:val="20"/>
          <w:szCs w:val="20"/>
        </w:rPr>
        <w:t xml:space="preserve">. </w:t>
      </w:r>
      <w:r w:rsidR="00684DD9" w:rsidRPr="00BF3D11">
        <w:rPr>
          <w:rFonts w:ascii="Cambria" w:hAnsi="Cambria"/>
          <w:sz w:val="20"/>
          <w:szCs w:val="20"/>
        </w:rPr>
        <w:t xml:space="preserve">El Estado indicó que luego de identificar el cuerpo, se llamó a declarar a </w:t>
      </w:r>
      <w:r w:rsidR="009F649C" w:rsidRPr="00BF3D11">
        <w:rPr>
          <w:rFonts w:ascii="Cambria" w:hAnsi="Cambria"/>
          <w:sz w:val="20"/>
          <w:szCs w:val="20"/>
        </w:rPr>
        <w:t>Gustavo</w:t>
      </w:r>
      <w:r w:rsidR="00684DD9" w:rsidRPr="00BF3D11">
        <w:rPr>
          <w:rFonts w:ascii="Cambria" w:hAnsi="Cambria"/>
          <w:sz w:val="20"/>
          <w:szCs w:val="20"/>
        </w:rPr>
        <w:t xml:space="preserve"> Cardona</w:t>
      </w:r>
      <w:r w:rsidR="00197828" w:rsidRPr="00BF3D11">
        <w:rPr>
          <w:rFonts w:ascii="Cambria" w:hAnsi="Cambria"/>
          <w:sz w:val="20"/>
          <w:szCs w:val="20"/>
        </w:rPr>
        <w:t xml:space="preserve"> García</w:t>
      </w:r>
      <w:r w:rsidR="00684DD9" w:rsidRPr="00BF3D11">
        <w:rPr>
          <w:rFonts w:ascii="Cambria" w:hAnsi="Cambria"/>
          <w:sz w:val="20"/>
          <w:szCs w:val="20"/>
        </w:rPr>
        <w:t xml:space="preserve">, quien según la familia fue la última persona que estuvo con </w:t>
      </w:r>
      <w:r w:rsidR="00E15EE9" w:rsidRPr="00BF3D11">
        <w:rPr>
          <w:rFonts w:ascii="Cambria" w:hAnsi="Cambria"/>
          <w:sz w:val="20"/>
          <w:szCs w:val="20"/>
        </w:rPr>
        <w:t>Alejandro</w:t>
      </w:r>
      <w:r w:rsidR="00684DD9" w:rsidRPr="00BF3D11">
        <w:rPr>
          <w:rFonts w:ascii="Cambria" w:hAnsi="Cambria"/>
          <w:sz w:val="20"/>
          <w:szCs w:val="20"/>
        </w:rPr>
        <w:t xml:space="preserve"> Yovany</w:t>
      </w:r>
      <w:r w:rsidR="00581D80" w:rsidRPr="00BF3D11">
        <w:rPr>
          <w:rFonts w:ascii="Cambria" w:hAnsi="Cambria"/>
          <w:sz w:val="20"/>
          <w:szCs w:val="20"/>
        </w:rPr>
        <w:t xml:space="preserve"> Gómez</w:t>
      </w:r>
      <w:r w:rsidR="00684DD9" w:rsidRPr="00BF3D11">
        <w:rPr>
          <w:rStyle w:val="FootnoteReference"/>
          <w:rFonts w:ascii="Cambria" w:hAnsi="Cambria" w:cs="Arial"/>
          <w:sz w:val="20"/>
          <w:szCs w:val="20"/>
        </w:rPr>
        <w:footnoteReference w:id="38"/>
      </w:r>
      <w:r w:rsidR="00684DD9" w:rsidRPr="00BF3D11">
        <w:rPr>
          <w:rFonts w:ascii="Cambria" w:hAnsi="Cambria"/>
          <w:sz w:val="20"/>
          <w:szCs w:val="20"/>
        </w:rPr>
        <w:t>.</w:t>
      </w:r>
      <w:r w:rsidR="009F649C" w:rsidRPr="00BF3D11">
        <w:rPr>
          <w:rFonts w:ascii="Cambria" w:hAnsi="Cambria"/>
          <w:sz w:val="20"/>
          <w:szCs w:val="20"/>
        </w:rPr>
        <w:t xml:space="preserve"> El Estado sostuvo que</w:t>
      </w:r>
      <w:r w:rsidR="001F0D63" w:rsidRPr="00BF3D11">
        <w:rPr>
          <w:rFonts w:ascii="Cambria" w:hAnsi="Cambria"/>
          <w:sz w:val="20"/>
          <w:szCs w:val="20"/>
        </w:rPr>
        <w:t xml:space="preserve"> el señor </w:t>
      </w:r>
      <w:r w:rsidR="00581D80" w:rsidRPr="00BF3D11">
        <w:rPr>
          <w:rFonts w:ascii="Cambria" w:hAnsi="Cambria"/>
          <w:sz w:val="20"/>
          <w:szCs w:val="20"/>
        </w:rPr>
        <w:t>Cardona</w:t>
      </w:r>
      <w:r w:rsidR="001F0D63" w:rsidRPr="00BF3D11">
        <w:rPr>
          <w:rFonts w:ascii="Cambria" w:hAnsi="Cambria"/>
          <w:sz w:val="20"/>
          <w:szCs w:val="20"/>
        </w:rPr>
        <w:t xml:space="preserve"> no se apersonó a declarar</w:t>
      </w:r>
      <w:r w:rsidR="001F0D63" w:rsidRPr="00BF3D11">
        <w:rPr>
          <w:rStyle w:val="FootnoteReference"/>
          <w:rFonts w:ascii="Cambria" w:hAnsi="Cambria" w:cs="Arial"/>
          <w:sz w:val="20"/>
          <w:szCs w:val="20"/>
        </w:rPr>
        <w:footnoteReference w:id="39"/>
      </w:r>
      <w:r w:rsidR="001F0D63" w:rsidRPr="00BF3D11">
        <w:rPr>
          <w:rFonts w:ascii="Cambria" w:hAnsi="Cambria"/>
          <w:sz w:val="20"/>
          <w:szCs w:val="20"/>
        </w:rPr>
        <w:t>.</w:t>
      </w:r>
      <w:r w:rsidR="009F649C" w:rsidRPr="00BF3D11">
        <w:rPr>
          <w:rFonts w:ascii="Cambria" w:hAnsi="Cambria"/>
          <w:sz w:val="20"/>
          <w:szCs w:val="20"/>
        </w:rPr>
        <w:t xml:space="preserve"> </w:t>
      </w:r>
    </w:p>
    <w:p w:rsidR="006C7003" w:rsidRPr="00BF3D11" w:rsidRDefault="006C7003" w:rsidP="00053951">
      <w:pPr>
        <w:pStyle w:val="ColorfulList-Accent11"/>
        <w:rPr>
          <w:rFonts w:ascii="Cambria" w:hAnsi="Cambria"/>
          <w:sz w:val="20"/>
          <w:szCs w:val="20"/>
          <w:lang w:val="es-ES_tradnl"/>
        </w:rPr>
      </w:pPr>
    </w:p>
    <w:p w:rsidR="006C7003" w:rsidRPr="00BF3D11" w:rsidRDefault="006C7003"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El 20 de marzo de 1995 la Oficina de Derechos Humanos del Arzobispado de Guatemala emitió un comunicado en el que denunció la “ejecución extrajudicial” del señor Gómez</w:t>
      </w:r>
      <w:r w:rsidRPr="00BF3D11">
        <w:rPr>
          <w:rStyle w:val="FootnoteReference"/>
          <w:rFonts w:ascii="Cambria" w:hAnsi="Cambria"/>
          <w:sz w:val="20"/>
          <w:szCs w:val="20"/>
        </w:rPr>
        <w:footnoteReference w:id="40"/>
      </w:r>
      <w:r w:rsidRPr="00BF3D11">
        <w:rPr>
          <w:rFonts w:ascii="Cambria" w:hAnsi="Cambria"/>
          <w:sz w:val="20"/>
          <w:szCs w:val="20"/>
        </w:rPr>
        <w:t>. Señaló que a pesar de las denuncias interpuestas por los familiares de la víctima, no se han obtenido resultados concretos sobre la identificación de las personas responsables</w:t>
      </w:r>
      <w:r w:rsidR="00F9285A" w:rsidRPr="00BF3D11">
        <w:rPr>
          <w:rStyle w:val="FootnoteReference"/>
          <w:rFonts w:ascii="Cambria" w:hAnsi="Cambria"/>
          <w:sz w:val="20"/>
          <w:szCs w:val="20"/>
        </w:rPr>
        <w:footnoteReference w:id="41"/>
      </w:r>
      <w:r w:rsidRPr="00BF3D11">
        <w:rPr>
          <w:rFonts w:ascii="Cambria" w:hAnsi="Cambria"/>
          <w:sz w:val="20"/>
          <w:szCs w:val="20"/>
        </w:rPr>
        <w:t>. La Oficina mostró su preocupación por “la ineficiencia y falta de voluntad de las autoridades competentes en no investigar el paradero del sindicalista Gómez cuando éste fue denunciado por los familiares”</w:t>
      </w:r>
      <w:r w:rsidR="00F9285A" w:rsidRPr="00BF3D11">
        <w:rPr>
          <w:rStyle w:val="FootnoteReference"/>
          <w:rFonts w:ascii="Cambria" w:hAnsi="Cambria"/>
          <w:sz w:val="20"/>
          <w:szCs w:val="20"/>
        </w:rPr>
        <w:footnoteReference w:id="42"/>
      </w:r>
      <w:r w:rsidRPr="00BF3D11">
        <w:rPr>
          <w:rFonts w:ascii="Cambria" w:hAnsi="Cambria"/>
          <w:sz w:val="20"/>
          <w:szCs w:val="20"/>
        </w:rPr>
        <w:t>. La Oficina exigió a las autoridades estatales que “muestren voluntad política y el deseo de minimizar la impunidad en Guatemala, realizando las investigaciones necesarias para dar con los responsables de la muerte del Sr. Gómez y los pongan a disposición de los Tribunales de Justicia”</w:t>
      </w:r>
      <w:r w:rsidR="00F9285A" w:rsidRPr="00BF3D11">
        <w:rPr>
          <w:rStyle w:val="FootnoteReference"/>
          <w:rFonts w:ascii="Cambria" w:hAnsi="Cambria"/>
          <w:sz w:val="20"/>
          <w:szCs w:val="20"/>
        </w:rPr>
        <w:footnoteReference w:id="43"/>
      </w:r>
      <w:r w:rsidRPr="00BF3D11">
        <w:rPr>
          <w:rFonts w:ascii="Cambria" w:hAnsi="Cambria"/>
          <w:sz w:val="20"/>
          <w:szCs w:val="20"/>
        </w:rPr>
        <w:t>.</w:t>
      </w:r>
    </w:p>
    <w:p w:rsidR="00197828" w:rsidRPr="00BF3D11" w:rsidRDefault="00197828" w:rsidP="00053951">
      <w:pPr>
        <w:pStyle w:val="ColorfulShading-Accent31"/>
        <w:ind w:left="0"/>
        <w:jc w:val="both"/>
        <w:rPr>
          <w:sz w:val="20"/>
          <w:szCs w:val="20"/>
          <w:lang w:val="es-ES_tradnl"/>
        </w:rPr>
      </w:pPr>
    </w:p>
    <w:p w:rsidR="009F649C" w:rsidRPr="00BF3D11" w:rsidRDefault="006C7003" w:rsidP="00053951">
      <w:pPr>
        <w:numPr>
          <w:ilvl w:val="0"/>
          <w:numId w:val="55"/>
        </w:numPr>
        <w:jc w:val="both"/>
        <w:rPr>
          <w:rFonts w:ascii="Cambria" w:hAnsi="Cambria"/>
          <w:sz w:val="20"/>
          <w:szCs w:val="20"/>
          <w:lang w:val="es-ES_tradnl"/>
        </w:rPr>
      </w:pPr>
      <w:r w:rsidRPr="00BF3D11">
        <w:rPr>
          <w:rFonts w:ascii="Cambria" w:eastAsia="Cambria" w:hAnsi="Cambria" w:cs="Cambria"/>
          <w:color w:val="000000"/>
          <w:sz w:val="20"/>
          <w:szCs w:val="20"/>
          <w:u w:color="000000"/>
          <w:lang w:val="es-ES_tradnl" w:eastAsia="es-ES"/>
        </w:rPr>
        <w:t>L</w:t>
      </w:r>
      <w:r w:rsidR="009F649C" w:rsidRPr="00BF3D11">
        <w:rPr>
          <w:rFonts w:ascii="Cambria" w:hAnsi="Cambria"/>
          <w:sz w:val="20"/>
          <w:szCs w:val="20"/>
          <w:lang w:val="es-ES_tradnl"/>
        </w:rPr>
        <w:t xml:space="preserve">os peticionarios manifestaron que el 30 de junio de 1995 </w:t>
      </w:r>
      <w:r w:rsidR="00200802" w:rsidRPr="00BF3D11">
        <w:rPr>
          <w:rFonts w:ascii="Cambria" w:hAnsi="Cambria"/>
          <w:sz w:val="20"/>
          <w:szCs w:val="20"/>
          <w:lang w:val="es-ES_tradnl"/>
        </w:rPr>
        <w:t>el Ministerio Público</w:t>
      </w:r>
      <w:r w:rsidR="009F649C" w:rsidRPr="00BF3D11">
        <w:rPr>
          <w:rFonts w:ascii="Cambria" w:hAnsi="Cambria"/>
          <w:sz w:val="20"/>
          <w:szCs w:val="20"/>
          <w:lang w:val="es-ES_tradnl"/>
        </w:rPr>
        <w:t xml:space="preserve"> solicitó la comparecencia de dos personas: Tea Ky Quing Seonng y Sam Young Lee</w:t>
      </w:r>
      <w:r w:rsidR="00200802" w:rsidRPr="00BF3D11">
        <w:rPr>
          <w:rStyle w:val="FootnoteReference"/>
          <w:rFonts w:ascii="Cambria" w:hAnsi="Cambria"/>
          <w:sz w:val="20"/>
          <w:szCs w:val="20"/>
          <w:lang w:val="es-ES_tradnl"/>
        </w:rPr>
        <w:footnoteReference w:id="44"/>
      </w:r>
      <w:r w:rsidR="009F649C" w:rsidRPr="00BF3D11">
        <w:rPr>
          <w:rFonts w:ascii="Cambria" w:hAnsi="Cambria"/>
          <w:sz w:val="20"/>
          <w:szCs w:val="20"/>
          <w:lang w:val="es-ES_tradnl"/>
        </w:rPr>
        <w:t xml:space="preserve">. El Estado sostuvo que dichas personas “eran los propietarios de la maquila (…) y con quien </w:t>
      </w:r>
      <w:r w:rsidR="00200802" w:rsidRPr="00BF3D11">
        <w:rPr>
          <w:rFonts w:ascii="Cambria" w:hAnsi="Cambria"/>
          <w:sz w:val="20"/>
          <w:szCs w:val="20"/>
          <w:lang w:val="es-ES_tradnl"/>
        </w:rPr>
        <w:t>(...)</w:t>
      </w:r>
      <w:r w:rsidR="009F649C" w:rsidRPr="00BF3D11">
        <w:rPr>
          <w:rFonts w:ascii="Cambria" w:hAnsi="Cambria"/>
          <w:sz w:val="20"/>
          <w:szCs w:val="20"/>
          <w:lang w:val="es-ES_tradnl"/>
        </w:rPr>
        <w:t xml:space="preserve"> indican los testigos, </w:t>
      </w:r>
      <w:r w:rsidR="009F649C" w:rsidRPr="00BF3D11">
        <w:rPr>
          <w:rFonts w:ascii="Cambria" w:hAnsi="Cambria" w:cs="Arial"/>
          <w:sz w:val="20"/>
          <w:szCs w:val="20"/>
          <w:lang w:val="es-ES_tradnl"/>
        </w:rPr>
        <w:t>[el señor Gómez] había sostenido constantes riñas</w:t>
      </w:r>
      <w:r w:rsidR="009F649C" w:rsidRPr="00BF3D11">
        <w:rPr>
          <w:rStyle w:val="FootnoteReference"/>
          <w:rFonts w:ascii="Cambria" w:hAnsi="Cambria" w:cs="Arial"/>
          <w:sz w:val="20"/>
          <w:szCs w:val="20"/>
          <w:lang w:val="es-ES_tradnl"/>
        </w:rPr>
        <w:footnoteReference w:id="45"/>
      </w:r>
      <w:r w:rsidR="009F649C" w:rsidRPr="00BF3D11">
        <w:rPr>
          <w:rFonts w:ascii="Cambria" w:hAnsi="Cambria" w:cs="Arial"/>
          <w:sz w:val="20"/>
          <w:szCs w:val="20"/>
          <w:lang w:val="es-ES_tradnl"/>
        </w:rPr>
        <w:t>. El Estado no presentó información sobre qué testigos habrían sido entrevistados.</w:t>
      </w:r>
    </w:p>
    <w:p w:rsidR="009F649C" w:rsidRPr="00BF3D11" w:rsidRDefault="009F649C" w:rsidP="00053951">
      <w:pPr>
        <w:jc w:val="both"/>
        <w:rPr>
          <w:rFonts w:ascii="Cambria" w:hAnsi="Cambria"/>
          <w:sz w:val="20"/>
          <w:szCs w:val="20"/>
          <w:lang w:val="es-ES_tradnl"/>
        </w:rPr>
      </w:pPr>
    </w:p>
    <w:p w:rsidR="00DF7788" w:rsidRPr="00BF3D11" w:rsidRDefault="009F649C" w:rsidP="00053951">
      <w:pPr>
        <w:numPr>
          <w:ilvl w:val="0"/>
          <w:numId w:val="55"/>
        </w:numPr>
        <w:jc w:val="both"/>
        <w:rPr>
          <w:rFonts w:ascii="Cambria" w:hAnsi="Cambria"/>
          <w:sz w:val="20"/>
          <w:szCs w:val="20"/>
          <w:lang w:val="es-ES_tradnl"/>
        </w:rPr>
      </w:pPr>
      <w:r w:rsidRPr="00BF3D11">
        <w:rPr>
          <w:rFonts w:ascii="Cambria" w:hAnsi="Cambria"/>
          <w:sz w:val="20"/>
          <w:szCs w:val="20"/>
          <w:lang w:val="es-ES_tradnl"/>
        </w:rPr>
        <w:t>Los peticionarios manifestaron que Tea Ky Quing Seonng y Sam Young Lee</w:t>
      </w:r>
      <w:r w:rsidR="00200802" w:rsidRPr="00BF3D11">
        <w:rPr>
          <w:rFonts w:ascii="Cambria" w:hAnsi="Cambria"/>
          <w:sz w:val="20"/>
          <w:szCs w:val="20"/>
          <w:lang w:val="es-ES_tradnl"/>
        </w:rPr>
        <w:t xml:space="preserve"> no se presentaron a comparecer</w:t>
      </w:r>
      <w:r w:rsidR="00AF672A" w:rsidRPr="00BF3D11">
        <w:rPr>
          <w:rFonts w:ascii="Cambria" w:hAnsi="Cambria"/>
          <w:sz w:val="20"/>
          <w:szCs w:val="20"/>
          <w:lang w:val="es-ES_tradnl"/>
        </w:rPr>
        <w:t xml:space="preserve"> y que el Estado no adoptó ninguna medida para localizarlos prontamente</w:t>
      </w:r>
      <w:r w:rsidR="00200802" w:rsidRPr="00BF3D11">
        <w:rPr>
          <w:rStyle w:val="FootnoteReference"/>
          <w:rFonts w:ascii="Cambria" w:hAnsi="Cambria"/>
          <w:sz w:val="20"/>
          <w:szCs w:val="20"/>
          <w:lang w:val="es-ES_tradnl"/>
        </w:rPr>
        <w:footnoteReference w:id="46"/>
      </w:r>
      <w:r w:rsidR="00200802" w:rsidRPr="00BF3D11">
        <w:rPr>
          <w:rFonts w:ascii="Cambria" w:hAnsi="Cambria"/>
          <w:sz w:val="20"/>
          <w:szCs w:val="20"/>
          <w:lang w:val="es-ES_tradnl"/>
        </w:rPr>
        <w:t xml:space="preserve">. </w:t>
      </w:r>
      <w:r w:rsidRPr="00BF3D11">
        <w:rPr>
          <w:rFonts w:ascii="Cambria" w:hAnsi="Cambria"/>
          <w:sz w:val="20"/>
          <w:szCs w:val="20"/>
          <w:lang w:val="es-ES_tradnl"/>
        </w:rPr>
        <w:t xml:space="preserve">El Estado </w:t>
      </w:r>
      <w:r w:rsidR="00AF672A" w:rsidRPr="00BF3D11">
        <w:rPr>
          <w:rFonts w:ascii="Cambria" w:hAnsi="Cambria"/>
          <w:sz w:val="20"/>
          <w:szCs w:val="20"/>
          <w:lang w:val="es-ES_tradnl"/>
        </w:rPr>
        <w:t xml:space="preserve">no controvirtió dicha información. </w:t>
      </w:r>
    </w:p>
    <w:p w:rsidR="00DF7788" w:rsidRPr="00BF3D11" w:rsidRDefault="00DF7788" w:rsidP="00053951">
      <w:pPr>
        <w:pStyle w:val="MediumGrid1-Accent21"/>
        <w:ind w:left="0"/>
        <w:rPr>
          <w:rFonts w:ascii="Cambria" w:hAnsi="Cambria"/>
          <w:sz w:val="20"/>
          <w:szCs w:val="20"/>
          <w:lang w:val="es-ES_tradnl"/>
        </w:rPr>
      </w:pPr>
    </w:p>
    <w:p w:rsidR="00684DD9" w:rsidRPr="00BF3D11" w:rsidRDefault="00684DD9" w:rsidP="00053951">
      <w:pPr>
        <w:pStyle w:val="ColorfulShading-Accent31"/>
        <w:numPr>
          <w:ilvl w:val="0"/>
          <w:numId w:val="55"/>
        </w:numPr>
        <w:ind w:left="0"/>
        <w:jc w:val="both"/>
        <w:rPr>
          <w:sz w:val="20"/>
          <w:szCs w:val="20"/>
          <w:lang w:val="es-ES_tradnl"/>
        </w:rPr>
      </w:pPr>
      <w:r w:rsidRPr="00BF3D11">
        <w:rPr>
          <w:sz w:val="20"/>
          <w:szCs w:val="20"/>
          <w:lang w:val="es-ES_tradnl"/>
        </w:rPr>
        <w:lastRenderedPageBreak/>
        <w:t xml:space="preserve">El </w:t>
      </w:r>
      <w:r w:rsidR="00AA47FD" w:rsidRPr="00BF3D11">
        <w:rPr>
          <w:sz w:val="20"/>
          <w:szCs w:val="20"/>
          <w:lang w:val="es-ES_tradnl"/>
        </w:rPr>
        <w:t xml:space="preserve">Estado sostuvo que el </w:t>
      </w:r>
      <w:r w:rsidRPr="00BF3D11">
        <w:rPr>
          <w:sz w:val="20"/>
          <w:szCs w:val="20"/>
          <w:lang w:val="es-ES_tradnl"/>
        </w:rPr>
        <w:t>7 de julio de 1995 el Departamento de Investigaciones Criminológicas de la Policía Nacional presentó un informe al Fiscal del Ministerio Público</w:t>
      </w:r>
      <w:r w:rsidRPr="00BF3D11">
        <w:rPr>
          <w:rStyle w:val="FootnoteReference"/>
          <w:rFonts w:cs="Arial"/>
          <w:sz w:val="20"/>
          <w:szCs w:val="20"/>
          <w:lang w:val="es-ES_tradnl"/>
        </w:rPr>
        <w:footnoteReference w:id="47"/>
      </w:r>
      <w:r w:rsidRPr="00BF3D11">
        <w:rPr>
          <w:rFonts w:cs="Arial"/>
          <w:sz w:val="20"/>
          <w:szCs w:val="20"/>
          <w:lang w:val="es-ES_tradnl"/>
        </w:rPr>
        <w:t xml:space="preserve">. </w:t>
      </w:r>
      <w:r w:rsidR="00AA47FD" w:rsidRPr="00BF3D11">
        <w:rPr>
          <w:rFonts w:cs="Arial"/>
          <w:sz w:val="20"/>
          <w:szCs w:val="20"/>
          <w:lang w:val="es-ES_tradnl"/>
        </w:rPr>
        <w:t>Indicó que s</w:t>
      </w:r>
      <w:r w:rsidRPr="00BF3D11">
        <w:rPr>
          <w:rFonts w:cs="Arial"/>
          <w:sz w:val="20"/>
          <w:szCs w:val="20"/>
          <w:lang w:val="es-ES_tradnl"/>
        </w:rPr>
        <w:t xml:space="preserve">e concluyó </w:t>
      </w:r>
      <w:r w:rsidR="002F7585" w:rsidRPr="00BF3D11">
        <w:rPr>
          <w:rFonts w:cs="Arial"/>
          <w:sz w:val="20"/>
          <w:szCs w:val="20"/>
          <w:lang w:val="es-ES_tradnl"/>
        </w:rPr>
        <w:t>en dicho informe q</w:t>
      </w:r>
      <w:r w:rsidR="008F5DB7" w:rsidRPr="00BF3D11">
        <w:rPr>
          <w:rFonts w:cs="Arial"/>
          <w:sz w:val="20"/>
          <w:szCs w:val="20"/>
          <w:lang w:val="es-ES_tradnl"/>
        </w:rPr>
        <w:t>u</w:t>
      </w:r>
      <w:r w:rsidRPr="00BF3D11">
        <w:rPr>
          <w:rFonts w:cs="Arial"/>
          <w:sz w:val="20"/>
          <w:szCs w:val="20"/>
          <w:lang w:val="es-ES_tradnl"/>
        </w:rPr>
        <w:t>e “existían suficientes indicios de que los señores de nacionalidad coreana eran los responsables intelectuales de la muerte del señor Alejandro Yovany Gómez Virula y de que el señor Edgar Octavio Cardona tuviera participación en el hecho, ya que se negaba a proporcionar información al respecto”</w:t>
      </w:r>
      <w:r w:rsidRPr="00BF3D11">
        <w:rPr>
          <w:rStyle w:val="FootnoteReference"/>
          <w:rFonts w:cs="Arial"/>
          <w:sz w:val="20"/>
          <w:szCs w:val="20"/>
          <w:lang w:val="es-ES_tradnl"/>
        </w:rPr>
        <w:footnoteReference w:id="48"/>
      </w:r>
      <w:r w:rsidRPr="00BF3D11">
        <w:rPr>
          <w:rFonts w:cs="Arial"/>
          <w:sz w:val="20"/>
          <w:szCs w:val="20"/>
          <w:lang w:val="es-ES_tradnl"/>
        </w:rPr>
        <w:t>.</w:t>
      </w:r>
    </w:p>
    <w:p w:rsidR="00DF7788" w:rsidRPr="00BF3D11" w:rsidRDefault="003E4861" w:rsidP="00053951">
      <w:pPr>
        <w:pStyle w:val="ColorfulShading-Accent31"/>
        <w:jc w:val="both"/>
        <w:rPr>
          <w:sz w:val="20"/>
          <w:szCs w:val="20"/>
          <w:lang w:val="es-ES_tradnl"/>
        </w:rPr>
      </w:pPr>
      <w:r w:rsidRPr="00BF3D11">
        <w:rPr>
          <w:sz w:val="20"/>
          <w:szCs w:val="20"/>
          <w:lang w:val="es-ES_tradnl"/>
        </w:rPr>
        <w:t xml:space="preserve"> </w:t>
      </w:r>
    </w:p>
    <w:p w:rsidR="00DF7788" w:rsidRPr="00BF3D11" w:rsidRDefault="00DF7788" w:rsidP="00053951">
      <w:pPr>
        <w:pStyle w:val="ColorfulShading-Accent31"/>
        <w:numPr>
          <w:ilvl w:val="0"/>
          <w:numId w:val="55"/>
        </w:numPr>
        <w:ind w:left="0"/>
        <w:jc w:val="both"/>
        <w:rPr>
          <w:sz w:val="20"/>
          <w:szCs w:val="20"/>
          <w:lang w:val="es-ES_tradnl"/>
        </w:rPr>
      </w:pPr>
      <w:r w:rsidRPr="00BF3D11">
        <w:rPr>
          <w:sz w:val="20"/>
          <w:szCs w:val="20"/>
          <w:lang w:val="es-ES_tradnl"/>
        </w:rPr>
        <w:t xml:space="preserve">El Estado </w:t>
      </w:r>
      <w:r w:rsidR="003C7096" w:rsidRPr="00BF3D11">
        <w:rPr>
          <w:sz w:val="20"/>
          <w:szCs w:val="20"/>
          <w:lang w:val="es-ES_tradnl"/>
        </w:rPr>
        <w:t xml:space="preserve">informó que el 10 de agosto de 1995 se </w:t>
      </w:r>
      <w:r w:rsidRPr="00BF3D11">
        <w:rPr>
          <w:sz w:val="20"/>
          <w:szCs w:val="20"/>
          <w:lang w:val="es-ES_tradnl"/>
        </w:rPr>
        <w:t xml:space="preserve">giró una orden de detención </w:t>
      </w:r>
      <w:r w:rsidR="003C7096" w:rsidRPr="00BF3D11">
        <w:rPr>
          <w:sz w:val="20"/>
          <w:szCs w:val="20"/>
          <w:lang w:val="es-ES_tradnl"/>
        </w:rPr>
        <w:t xml:space="preserve">en contra del señor Cardona </w:t>
      </w:r>
      <w:r w:rsidRPr="00BF3D11">
        <w:rPr>
          <w:sz w:val="20"/>
          <w:szCs w:val="20"/>
          <w:lang w:val="es-ES_tradnl"/>
        </w:rPr>
        <w:t xml:space="preserve">por </w:t>
      </w:r>
      <w:r w:rsidR="003C7096" w:rsidRPr="00BF3D11">
        <w:rPr>
          <w:sz w:val="20"/>
          <w:szCs w:val="20"/>
          <w:lang w:val="es-ES_tradnl"/>
        </w:rPr>
        <w:t>considerarlo</w:t>
      </w:r>
      <w:r w:rsidRPr="00BF3D11">
        <w:rPr>
          <w:sz w:val="20"/>
          <w:szCs w:val="20"/>
          <w:lang w:val="es-ES_tradnl"/>
        </w:rPr>
        <w:t xml:space="preserve"> como sospechoso</w:t>
      </w:r>
      <w:r w:rsidR="003C7096" w:rsidRPr="00BF3D11">
        <w:rPr>
          <w:sz w:val="20"/>
          <w:szCs w:val="20"/>
          <w:lang w:val="es-ES_tradnl"/>
        </w:rPr>
        <w:t xml:space="preserve"> de la muerte de Alejandro Gómez</w:t>
      </w:r>
      <w:r w:rsidR="002F7585" w:rsidRPr="00BF3D11">
        <w:rPr>
          <w:sz w:val="20"/>
          <w:szCs w:val="20"/>
          <w:lang w:val="es-ES_tradnl"/>
        </w:rPr>
        <w:t>,</w:t>
      </w:r>
      <w:r w:rsidRPr="00BF3D11">
        <w:rPr>
          <w:sz w:val="20"/>
          <w:szCs w:val="20"/>
          <w:lang w:val="es-ES_tradnl"/>
        </w:rPr>
        <w:t xml:space="preserve"> </w:t>
      </w:r>
      <w:r w:rsidR="003C7096" w:rsidRPr="00BF3D11">
        <w:rPr>
          <w:sz w:val="20"/>
          <w:szCs w:val="20"/>
          <w:lang w:val="es-ES_tradnl"/>
        </w:rPr>
        <w:t xml:space="preserve">debido a que el señor Cardona no concurrió a prestar </w:t>
      </w:r>
      <w:r w:rsidR="001F0D63" w:rsidRPr="00BF3D11">
        <w:rPr>
          <w:sz w:val="20"/>
          <w:szCs w:val="20"/>
          <w:lang w:val="es-ES_tradnl"/>
        </w:rPr>
        <w:t>su</w:t>
      </w:r>
      <w:r w:rsidR="003C7096" w:rsidRPr="00BF3D11">
        <w:rPr>
          <w:sz w:val="20"/>
          <w:szCs w:val="20"/>
          <w:lang w:val="es-ES_tradnl"/>
        </w:rPr>
        <w:t xml:space="preserve"> declaración cuando le fue solicitado</w:t>
      </w:r>
      <w:r w:rsidR="003C7096" w:rsidRPr="00BF3D11">
        <w:rPr>
          <w:rStyle w:val="FootnoteReference"/>
          <w:rFonts w:cs="Arial"/>
          <w:sz w:val="20"/>
          <w:szCs w:val="20"/>
          <w:lang w:val="es-ES_tradnl"/>
        </w:rPr>
        <w:footnoteReference w:id="49"/>
      </w:r>
      <w:r w:rsidR="003C7096" w:rsidRPr="00BF3D11">
        <w:rPr>
          <w:sz w:val="20"/>
          <w:szCs w:val="20"/>
          <w:lang w:val="es-ES_tradnl"/>
        </w:rPr>
        <w:t>.</w:t>
      </w:r>
      <w:r w:rsidRPr="00BF3D11">
        <w:rPr>
          <w:sz w:val="20"/>
          <w:szCs w:val="20"/>
          <w:lang w:val="es-ES_tradnl"/>
        </w:rPr>
        <w:t xml:space="preserve"> </w:t>
      </w:r>
    </w:p>
    <w:p w:rsidR="00DF7788" w:rsidRPr="00BF3D11" w:rsidRDefault="00DF7788" w:rsidP="00053951">
      <w:pPr>
        <w:pStyle w:val="MediumGrid1-Accent21"/>
        <w:rPr>
          <w:rFonts w:ascii="Cambria" w:hAnsi="Cambria"/>
          <w:sz w:val="20"/>
          <w:szCs w:val="20"/>
          <w:lang w:val="es-ES_tradnl"/>
        </w:rPr>
      </w:pPr>
    </w:p>
    <w:p w:rsidR="00DF7788" w:rsidRPr="00BF3D11" w:rsidRDefault="00A27E6E" w:rsidP="00053951">
      <w:pPr>
        <w:numPr>
          <w:ilvl w:val="0"/>
          <w:numId w:val="55"/>
        </w:numPr>
        <w:jc w:val="both"/>
        <w:rPr>
          <w:rFonts w:ascii="Cambria" w:hAnsi="Cambria" w:cs="Arial"/>
          <w:sz w:val="20"/>
          <w:szCs w:val="20"/>
          <w:lang w:val="es-ES_tradnl"/>
        </w:rPr>
      </w:pPr>
      <w:r w:rsidRPr="00BF3D11">
        <w:rPr>
          <w:rFonts w:ascii="Cambria" w:eastAsia="Cambria" w:hAnsi="Cambria" w:cs="Cambria"/>
          <w:color w:val="000000"/>
          <w:sz w:val="20"/>
          <w:szCs w:val="20"/>
          <w:u w:color="000000"/>
          <w:lang w:val="es-ES_tradnl" w:eastAsia="es-ES"/>
        </w:rPr>
        <w:t>E</w:t>
      </w:r>
      <w:r w:rsidR="00DF7788" w:rsidRPr="00BF3D11">
        <w:rPr>
          <w:rFonts w:ascii="Cambria" w:hAnsi="Cambria"/>
          <w:sz w:val="20"/>
          <w:szCs w:val="20"/>
          <w:lang w:val="es-ES_tradnl"/>
        </w:rPr>
        <w:t xml:space="preserve">l </w:t>
      </w:r>
      <w:r w:rsidR="00B30149" w:rsidRPr="00BF3D11">
        <w:rPr>
          <w:rFonts w:ascii="Cambria" w:hAnsi="Cambria"/>
          <w:sz w:val="20"/>
          <w:szCs w:val="20"/>
          <w:lang w:val="es-ES_tradnl"/>
        </w:rPr>
        <w:t xml:space="preserve">Estado informó que el </w:t>
      </w:r>
      <w:r w:rsidR="00DF7788" w:rsidRPr="00BF3D11">
        <w:rPr>
          <w:rFonts w:ascii="Cambria" w:hAnsi="Cambria"/>
          <w:sz w:val="20"/>
          <w:szCs w:val="20"/>
          <w:lang w:val="es-ES_tradnl"/>
        </w:rPr>
        <w:t xml:space="preserve">25 de agosto </w:t>
      </w:r>
      <w:r w:rsidR="00B30149" w:rsidRPr="00BF3D11">
        <w:rPr>
          <w:rFonts w:ascii="Cambria" w:hAnsi="Cambria"/>
          <w:sz w:val="20"/>
          <w:szCs w:val="20"/>
          <w:lang w:val="es-ES_tradnl"/>
        </w:rPr>
        <w:t xml:space="preserve">de 1995 </w:t>
      </w:r>
      <w:r w:rsidR="00DF7788" w:rsidRPr="00BF3D11">
        <w:rPr>
          <w:rFonts w:ascii="Cambria" w:hAnsi="Cambria" w:cs="Arial"/>
          <w:sz w:val="20"/>
          <w:szCs w:val="20"/>
          <w:lang w:val="es-ES_tradnl"/>
        </w:rPr>
        <w:t xml:space="preserve">el </w:t>
      </w:r>
      <w:r w:rsidR="00995C02" w:rsidRPr="00BF3D11">
        <w:rPr>
          <w:rFonts w:ascii="Cambria" w:hAnsi="Cambria" w:cs="Arial"/>
          <w:sz w:val="20"/>
          <w:szCs w:val="20"/>
          <w:lang w:val="es-ES_tradnl"/>
        </w:rPr>
        <w:t xml:space="preserve">señor Cardona compareció ante </w:t>
      </w:r>
      <w:r w:rsidR="00995C02" w:rsidRPr="00BF3D11">
        <w:rPr>
          <w:rFonts w:ascii="Cambria" w:hAnsi="Cambria"/>
          <w:sz w:val="20"/>
          <w:szCs w:val="20"/>
          <w:lang w:val="es-ES_tradnl"/>
        </w:rPr>
        <w:t>el Juez del Juzgado Sexto de Primera Instancia Penal</w:t>
      </w:r>
      <w:r w:rsidR="00DF7788" w:rsidRPr="00BF3D11">
        <w:rPr>
          <w:rStyle w:val="FootnoteReference"/>
          <w:rFonts w:ascii="Cambria" w:hAnsi="Cambria" w:cs="Arial"/>
          <w:sz w:val="20"/>
          <w:szCs w:val="20"/>
          <w:lang w:val="es-ES_tradnl"/>
        </w:rPr>
        <w:footnoteReference w:id="50"/>
      </w:r>
      <w:r w:rsidR="00DF7788" w:rsidRPr="00BF3D11">
        <w:rPr>
          <w:rFonts w:ascii="Cambria" w:hAnsi="Cambria" w:cs="Arial"/>
          <w:sz w:val="20"/>
          <w:szCs w:val="20"/>
          <w:lang w:val="es-ES_tradnl"/>
        </w:rPr>
        <w:t xml:space="preserve">. </w:t>
      </w:r>
      <w:r w:rsidR="00B30149" w:rsidRPr="00BF3D11">
        <w:rPr>
          <w:rFonts w:ascii="Cambria" w:hAnsi="Cambria" w:cs="Arial"/>
          <w:sz w:val="20"/>
          <w:szCs w:val="20"/>
          <w:lang w:val="es-ES_tradnl"/>
        </w:rPr>
        <w:t>Sostuvo que el señor Cardona</w:t>
      </w:r>
      <w:r w:rsidR="00AF672A" w:rsidRPr="00BF3D11">
        <w:rPr>
          <w:rFonts w:ascii="Cambria" w:hAnsi="Cambria" w:cs="Arial"/>
          <w:sz w:val="20"/>
          <w:szCs w:val="20"/>
          <w:lang w:val="es-ES_tradnl"/>
        </w:rPr>
        <w:t xml:space="preserve"> declaró inicialmente que Alejandro Gómez </w:t>
      </w:r>
      <w:r w:rsidR="00AF672A" w:rsidRPr="00BF3D11">
        <w:rPr>
          <w:rFonts w:ascii="Cambria" w:hAnsi="Cambria"/>
          <w:sz w:val="20"/>
          <w:szCs w:val="20"/>
          <w:lang w:val="es-ES_tradnl"/>
        </w:rPr>
        <w:t>tenía “algunos problemas en la colonia”</w:t>
      </w:r>
      <w:r w:rsidR="00AF672A" w:rsidRPr="00BF3D11">
        <w:rPr>
          <w:rStyle w:val="FootnoteReference"/>
          <w:rFonts w:ascii="Cambria" w:hAnsi="Cambria" w:cs="Arial"/>
          <w:sz w:val="20"/>
          <w:szCs w:val="20"/>
          <w:lang w:val="es-ES_tradnl"/>
        </w:rPr>
        <w:footnoteReference w:id="51"/>
      </w:r>
      <w:r w:rsidR="007D1A6C" w:rsidRPr="00BF3D11">
        <w:rPr>
          <w:rFonts w:ascii="Cambria" w:hAnsi="Cambria" w:cs="Arial"/>
          <w:sz w:val="20"/>
          <w:szCs w:val="20"/>
          <w:lang w:val="es-ES_tradnl"/>
        </w:rPr>
        <w:t>, pero que posteriormente indicó</w:t>
      </w:r>
      <w:r w:rsidR="006F02A1" w:rsidRPr="00BF3D11">
        <w:rPr>
          <w:rFonts w:ascii="Cambria" w:hAnsi="Cambria" w:cs="Arial"/>
          <w:sz w:val="20"/>
          <w:szCs w:val="20"/>
          <w:lang w:val="es-ES_tradnl"/>
        </w:rPr>
        <w:t xml:space="preserve">, </w:t>
      </w:r>
      <w:r w:rsidR="0085564F" w:rsidRPr="00BF3D11">
        <w:rPr>
          <w:rFonts w:ascii="Cambria" w:hAnsi="Cambria" w:cs="Arial"/>
          <w:sz w:val="20"/>
          <w:szCs w:val="20"/>
          <w:lang w:val="es-ES_tradnl"/>
        </w:rPr>
        <w:t>en relación con el día de la desaparición de Alejandro Gómez,</w:t>
      </w:r>
      <w:r w:rsidR="00B30149" w:rsidRPr="00BF3D11">
        <w:rPr>
          <w:rFonts w:ascii="Cambria" w:hAnsi="Cambria" w:cs="Arial"/>
          <w:sz w:val="20"/>
          <w:szCs w:val="20"/>
          <w:lang w:val="es-ES_tradnl"/>
        </w:rPr>
        <w:t xml:space="preserve"> </w:t>
      </w:r>
      <w:r w:rsidR="00DF7788" w:rsidRPr="00BF3D11">
        <w:rPr>
          <w:rFonts w:ascii="Cambria" w:hAnsi="Cambria" w:cs="Arial"/>
          <w:sz w:val="20"/>
          <w:szCs w:val="20"/>
          <w:lang w:val="es-ES_tradnl"/>
        </w:rPr>
        <w:t>lo siguiente:</w:t>
      </w:r>
    </w:p>
    <w:p w:rsidR="0085564F" w:rsidRPr="00BF3D11" w:rsidRDefault="0085564F" w:rsidP="00053951">
      <w:pPr>
        <w:pStyle w:val="ColorfulShading-Accent31"/>
        <w:ind w:left="0"/>
        <w:jc w:val="both"/>
        <w:rPr>
          <w:rFonts w:cs="Arial"/>
          <w:sz w:val="20"/>
          <w:szCs w:val="20"/>
          <w:lang w:val="es-ES_tradnl"/>
        </w:rPr>
      </w:pPr>
    </w:p>
    <w:p w:rsidR="00DF7788" w:rsidRPr="00BF3D11" w:rsidRDefault="00DF7788" w:rsidP="00996FA3">
      <w:pPr>
        <w:pStyle w:val="ColorfulShading-Accent31"/>
        <w:ind w:right="720"/>
        <w:jc w:val="both"/>
        <w:rPr>
          <w:sz w:val="20"/>
          <w:szCs w:val="20"/>
          <w:lang w:val="es-ES_tradnl"/>
        </w:rPr>
      </w:pPr>
      <w:r w:rsidRPr="00BF3D11">
        <w:rPr>
          <w:rFonts w:cs="Arial"/>
          <w:sz w:val="20"/>
          <w:szCs w:val="20"/>
          <w:lang w:val="es-ES_tradnl"/>
        </w:rPr>
        <w:t>Que pasaron frente a la fábrica donde antes trabajab</w:t>
      </w:r>
      <w:r w:rsidR="0085564F" w:rsidRPr="00BF3D11">
        <w:rPr>
          <w:rFonts w:cs="Arial"/>
          <w:sz w:val="20"/>
          <w:szCs w:val="20"/>
          <w:lang w:val="es-ES_tradnl"/>
        </w:rPr>
        <w:t>a</w:t>
      </w:r>
      <w:r w:rsidRPr="00BF3D11">
        <w:rPr>
          <w:rFonts w:cs="Arial"/>
          <w:sz w:val="20"/>
          <w:szCs w:val="20"/>
          <w:lang w:val="es-ES_tradnl"/>
        </w:rPr>
        <w:t>n y que en frente hab</w:t>
      </w:r>
      <w:r w:rsidR="00DC3EF2" w:rsidRPr="00BF3D11">
        <w:rPr>
          <w:rFonts w:cs="Arial"/>
          <w:sz w:val="20"/>
          <w:szCs w:val="20"/>
          <w:lang w:val="es-ES_tradnl"/>
        </w:rPr>
        <w:t>í</w:t>
      </w:r>
      <w:r w:rsidRPr="00BF3D11">
        <w:rPr>
          <w:rFonts w:cs="Arial"/>
          <w:sz w:val="20"/>
          <w:szCs w:val="20"/>
          <w:lang w:val="es-ES_tradnl"/>
        </w:rPr>
        <w:t xml:space="preserve">a </w:t>
      </w:r>
      <w:r w:rsidR="00793ED9" w:rsidRPr="00BF3D11">
        <w:rPr>
          <w:rFonts w:cs="Arial"/>
          <w:sz w:val="20"/>
          <w:szCs w:val="20"/>
          <w:lang w:val="es-ES_tradnl"/>
        </w:rPr>
        <w:t>un vehículo color azul, con vidr</w:t>
      </w:r>
      <w:r w:rsidRPr="00BF3D11">
        <w:rPr>
          <w:rFonts w:cs="Arial"/>
          <w:sz w:val="20"/>
          <w:szCs w:val="20"/>
          <w:lang w:val="es-ES_tradnl"/>
        </w:rPr>
        <w:t>ios polarizados marca Hiunday (sic) y que de la fábrica de la vecindad salió un hombre y empezó a agredir al ahora fallecido a mandas y puntapiés y que él lo golpeó con un envase de cerveza para que soltara a su amigo y que al soltarlo empezó a perseguirlo a él quien corrió hasta perderse entre la gente de una parada de buses, que regresó a ese lugar pero Yo</w:t>
      </w:r>
      <w:r w:rsidR="00793ED9" w:rsidRPr="00BF3D11">
        <w:rPr>
          <w:rFonts w:cs="Arial"/>
          <w:sz w:val="20"/>
          <w:szCs w:val="20"/>
          <w:lang w:val="es-ES_tradnl"/>
        </w:rPr>
        <w:t>v</w:t>
      </w:r>
      <w:r w:rsidRPr="00BF3D11">
        <w:rPr>
          <w:rFonts w:cs="Arial"/>
          <w:sz w:val="20"/>
          <w:szCs w:val="20"/>
          <w:lang w:val="es-ES_tradnl"/>
        </w:rPr>
        <w:t>any ya no estaba allí</w:t>
      </w:r>
      <w:r w:rsidR="00B30149" w:rsidRPr="00BF3D11">
        <w:rPr>
          <w:rStyle w:val="FootnoteReference"/>
          <w:rFonts w:cs="Arial"/>
          <w:sz w:val="20"/>
          <w:szCs w:val="20"/>
          <w:lang w:val="es-ES_tradnl"/>
        </w:rPr>
        <w:footnoteReference w:id="52"/>
      </w:r>
      <w:r w:rsidRPr="00BF3D11">
        <w:rPr>
          <w:rFonts w:cs="Arial"/>
          <w:sz w:val="20"/>
          <w:szCs w:val="20"/>
          <w:lang w:val="es-ES_tradnl"/>
        </w:rPr>
        <w:t>.</w:t>
      </w:r>
    </w:p>
    <w:p w:rsidR="00987EED" w:rsidRPr="00BF3D11" w:rsidRDefault="00987EED" w:rsidP="00053951">
      <w:pPr>
        <w:jc w:val="both"/>
        <w:rPr>
          <w:rFonts w:ascii="Cambria" w:hAnsi="Cambria"/>
          <w:sz w:val="20"/>
          <w:szCs w:val="20"/>
          <w:lang w:val="es-ES_tradnl"/>
        </w:rPr>
      </w:pPr>
    </w:p>
    <w:p w:rsidR="00A27E6E" w:rsidRPr="00BF3D11" w:rsidRDefault="00A27E6E" w:rsidP="00053951">
      <w:pPr>
        <w:pStyle w:val="ColorfulShading-Accent31"/>
        <w:numPr>
          <w:ilvl w:val="0"/>
          <w:numId w:val="55"/>
        </w:numPr>
        <w:ind w:left="0"/>
        <w:jc w:val="both"/>
        <w:rPr>
          <w:sz w:val="20"/>
          <w:szCs w:val="20"/>
          <w:lang w:val="es-ES_tradnl"/>
        </w:rPr>
      </w:pPr>
      <w:r w:rsidRPr="00BF3D11">
        <w:rPr>
          <w:sz w:val="20"/>
          <w:szCs w:val="20"/>
          <w:lang w:val="es-ES_tradnl"/>
        </w:rPr>
        <w:t>El Estado sostuvo que posteriormente se determinó que el verdadero nombre del señor Cardona era Edgar Octavio Cardona García</w:t>
      </w:r>
      <w:r w:rsidRPr="00BF3D11">
        <w:rPr>
          <w:rStyle w:val="FootnoteReference"/>
          <w:rFonts w:cs="Arial"/>
          <w:sz w:val="20"/>
          <w:szCs w:val="20"/>
          <w:lang w:val="es-ES_tradnl"/>
        </w:rPr>
        <w:footnoteReference w:id="53"/>
      </w:r>
      <w:r w:rsidRPr="00BF3D11">
        <w:rPr>
          <w:sz w:val="20"/>
          <w:szCs w:val="20"/>
          <w:lang w:val="es-ES_tradnl"/>
        </w:rPr>
        <w:t>. Por su parte, los peticionarios indicaron que desde dicha comparecencia el Estado no realizó nuevas diligencias</w:t>
      </w:r>
      <w:r w:rsidR="00AF672A" w:rsidRPr="00BF3D11">
        <w:rPr>
          <w:sz w:val="20"/>
          <w:szCs w:val="20"/>
          <w:lang w:val="es-ES_tradnl"/>
        </w:rPr>
        <w:t xml:space="preserve"> durante un largo período de tiempo</w:t>
      </w:r>
      <w:r w:rsidRPr="00BF3D11">
        <w:rPr>
          <w:rStyle w:val="FootnoteReference"/>
          <w:sz w:val="20"/>
          <w:szCs w:val="20"/>
          <w:lang w:val="es-ES_tradnl"/>
        </w:rPr>
        <w:footnoteReference w:id="54"/>
      </w:r>
      <w:r w:rsidRPr="00BF3D11">
        <w:rPr>
          <w:sz w:val="20"/>
          <w:szCs w:val="20"/>
          <w:lang w:val="es-ES_tradnl"/>
        </w:rPr>
        <w:t>.</w:t>
      </w:r>
      <w:r w:rsidR="00AA404F" w:rsidRPr="00BF3D11">
        <w:rPr>
          <w:sz w:val="20"/>
          <w:szCs w:val="20"/>
          <w:lang w:val="es-ES_tradnl"/>
        </w:rPr>
        <w:t xml:space="preserve"> Sostuvieron que únicamente el 31 de julio de 1996 el Fiscal General solicitó que se “brinde prioridad al </w:t>
      </w:r>
      <w:r w:rsidR="00AA404F" w:rsidRPr="00BF3D11">
        <w:rPr>
          <w:rFonts w:cs="Arial"/>
          <w:sz w:val="20"/>
          <w:szCs w:val="20"/>
          <w:lang w:val="es-ES_tradnl"/>
        </w:rPr>
        <w:t>[asunto]</w:t>
      </w:r>
      <w:r w:rsidR="00AA404F" w:rsidRPr="00BF3D11">
        <w:rPr>
          <w:sz w:val="20"/>
          <w:szCs w:val="20"/>
          <w:lang w:val="es-ES_tradnl"/>
        </w:rPr>
        <w:t>”</w:t>
      </w:r>
      <w:r w:rsidR="00AA404F" w:rsidRPr="00BF3D11">
        <w:rPr>
          <w:rStyle w:val="FootnoteReference"/>
          <w:sz w:val="20"/>
          <w:szCs w:val="20"/>
        </w:rPr>
        <w:footnoteReference w:id="55"/>
      </w:r>
      <w:r w:rsidR="00AA404F" w:rsidRPr="00BF3D11">
        <w:rPr>
          <w:sz w:val="20"/>
          <w:szCs w:val="20"/>
          <w:lang w:val="es-ES_tradnl"/>
        </w:rPr>
        <w:t>.</w:t>
      </w:r>
    </w:p>
    <w:p w:rsidR="00684DD9" w:rsidRPr="00BF3D11" w:rsidRDefault="00684DD9" w:rsidP="00053951">
      <w:pPr>
        <w:pStyle w:val="MediumGrid1-Accent21"/>
        <w:ind w:left="0"/>
        <w:rPr>
          <w:rFonts w:ascii="Cambria" w:hAnsi="Cambria"/>
          <w:sz w:val="20"/>
          <w:szCs w:val="20"/>
          <w:lang w:val="es-ES_tradnl"/>
        </w:rPr>
      </w:pPr>
    </w:p>
    <w:p w:rsidR="00E50B23" w:rsidRPr="00BF3D11" w:rsidRDefault="00AF672A" w:rsidP="00053951">
      <w:pPr>
        <w:numPr>
          <w:ilvl w:val="0"/>
          <w:numId w:val="55"/>
        </w:numPr>
        <w:jc w:val="both"/>
        <w:rPr>
          <w:rFonts w:ascii="Cambria" w:hAnsi="Cambria"/>
          <w:sz w:val="20"/>
          <w:szCs w:val="20"/>
          <w:lang w:val="es-ES_tradnl"/>
        </w:rPr>
      </w:pPr>
      <w:r w:rsidRPr="00BF3D11">
        <w:rPr>
          <w:rFonts w:ascii="Cambria" w:hAnsi="Cambria"/>
          <w:sz w:val="20"/>
          <w:szCs w:val="20"/>
          <w:lang w:val="es-ES_tradnl"/>
        </w:rPr>
        <w:t xml:space="preserve">El Estado informó que el 12 de agosto de </w:t>
      </w:r>
      <w:r w:rsidR="00DC3EF2" w:rsidRPr="00BF3D11">
        <w:rPr>
          <w:rFonts w:ascii="Cambria" w:hAnsi="Cambria"/>
          <w:sz w:val="20"/>
          <w:szCs w:val="20"/>
          <w:lang w:val="es-ES_tradnl"/>
        </w:rPr>
        <w:t>1996</w:t>
      </w:r>
      <w:r w:rsidRPr="00BF3D11">
        <w:rPr>
          <w:rFonts w:ascii="Cambria" w:hAnsi="Cambria"/>
          <w:sz w:val="20"/>
          <w:szCs w:val="20"/>
          <w:lang w:val="es-ES_tradnl"/>
        </w:rPr>
        <w:t xml:space="preserve"> el Ministerio Público “recibió” el expediente y tomó la declaración del padre del señor Gómez</w:t>
      </w:r>
      <w:r w:rsidR="00F64AF5" w:rsidRPr="00BF3D11">
        <w:rPr>
          <w:rStyle w:val="FootnoteReference"/>
          <w:rFonts w:ascii="Cambria" w:hAnsi="Cambria" w:cs="Arial"/>
          <w:sz w:val="20"/>
          <w:szCs w:val="20"/>
          <w:lang w:val="es-ES_tradnl"/>
        </w:rPr>
        <w:footnoteReference w:id="56"/>
      </w:r>
      <w:r w:rsidR="00CB7319" w:rsidRPr="00BF3D11">
        <w:rPr>
          <w:rFonts w:ascii="Cambria" w:hAnsi="Cambria"/>
          <w:sz w:val="20"/>
          <w:szCs w:val="20"/>
          <w:lang w:val="es-ES_tradnl"/>
        </w:rPr>
        <w:t xml:space="preserve">. Agregó que </w:t>
      </w:r>
      <w:r w:rsidR="00F64AF5" w:rsidRPr="00BF3D11">
        <w:rPr>
          <w:rFonts w:ascii="Cambria" w:hAnsi="Cambria"/>
          <w:sz w:val="20"/>
          <w:szCs w:val="20"/>
          <w:lang w:val="es-ES_tradnl"/>
        </w:rPr>
        <w:t xml:space="preserve"> </w:t>
      </w:r>
      <w:r w:rsidR="00DC3EF2" w:rsidRPr="00BF3D11">
        <w:rPr>
          <w:rFonts w:ascii="Cambria" w:hAnsi="Cambria"/>
          <w:sz w:val="20"/>
          <w:szCs w:val="20"/>
          <w:lang w:val="es-ES_tradnl"/>
        </w:rPr>
        <w:t xml:space="preserve">también </w:t>
      </w:r>
      <w:r w:rsidR="00F64AF5" w:rsidRPr="00BF3D11">
        <w:rPr>
          <w:rFonts w:ascii="Cambria" w:hAnsi="Cambria"/>
          <w:sz w:val="20"/>
          <w:szCs w:val="20"/>
          <w:lang w:val="es-ES_tradnl"/>
        </w:rPr>
        <w:t>se solicitó la declaración del abogado del sindicato donde trabajaba el señor Gómez</w:t>
      </w:r>
      <w:r w:rsidR="00F64AF5" w:rsidRPr="00BF3D11">
        <w:rPr>
          <w:rStyle w:val="FootnoteReference"/>
          <w:rFonts w:ascii="Cambria" w:hAnsi="Cambria" w:cs="Arial"/>
          <w:sz w:val="20"/>
          <w:szCs w:val="20"/>
          <w:lang w:val="es-ES_tradnl"/>
        </w:rPr>
        <w:footnoteReference w:id="57"/>
      </w:r>
      <w:r w:rsidR="00CB7319" w:rsidRPr="00BF3D11">
        <w:rPr>
          <w:rFonts w:ascii="Cambria" w:hAnsi="Cambria"/>
          <w:sz w:val="20"/>
          <w:szCs w:val="20"/>
          <w:lang w:val="es-ES_tradnl"/>
        </w:rPr>
        <w:t xml:space="preserve">, pero que </w:t>
      </w:r>
      <w:r w:rsidR="00F64AF5" w:rsidRPr="00BF3D11">
        <w:rPr>
          <w:rFonts w:ascii="Cambria" w:hAnsi="Cambria"/>
          <w:sz w:val="20"/>
          <w:szCs w:val="20"/>
          <w:lang w:val="es-ES_tradnl"/>
        </w:rPr>
        <w:t>dicha persona no se presentó a brindar su testimonio</w:t>
      </w:r>
      <w:r w:rsidR="00F64AF5" w:rsidRPr="00BF3D11">
        <w:rPr>
          <w:rStyle w:val="FootnoteReference"/>
          <w:rFonts w:ascii="Cambria" w:hAnsi="Cambria" w:cs="Arial"/>
          <w:sz w:val="20"/>
          <w:szCs w:val="20"/>
          <w:lang w:val="es-ES_tradnl"/>
        </w:rPr>
        <w:footnoteReference w:id="58"/>
      </w:r>
      <w:r w:rsidR="00F64AF5" w:rsidRPr="00BF3D11">
        <w:rPr>
          <w:rFonts w:ascii="Cambria" w:hAnsi="Cambria"/>
          <w:sz w:val="20"/>
          <w:szCs w:val="20"/>
          <w:lang w:val="es-ES_tradnl"/>
        </w:rPr>
        <w:t>. Adicionalmente, el Estado manifestó que “entre las diligencias para ubicar a los ciudadanos coreanos ya mencionados, encontró que no les aparecía ningún control en los archivos de migración”</w:t>
      </w:r>
      <w:r w:rsidR="00F64AF5" w:rsidRPr="00BF3D11">
        <w:rPr>
          <w:rStyle w:val="FootnoteReference"/>
          <w:rFonts w:ascii="Cambria" w:hAnsi="Cambria" w:cs="Arial"/>
          <w:sz w:val="20"/>
          <w:szCs w:val="20"/>
          <w:lang w:val="es-ES_tradnl"/>
        </w:rPr>
        <w:footnoteReference w:id="59"/>
      </w:r>
      <w:r w:rsidR="00F64AF5" w:rsidRPr="00BF3D11">
        <w:rPr>
          <w:rFonts w:ascii="Cambria" w:hAnsi="Cambria"/>
          <w:sz w:val="20"/>
          <w:szCs w:val="20"/>
          <w:lang w:val="es-ES_tradnl"/>
        </w:rPr>
        <w:t>.</w:t>
      </w:r>
    </w:p>
    <w:p w:rsidR="00E50B23" w:rsidRPr="00BF3D11" w:rsidRDefault="00E50B23" w:rsidP="00053951">
      <w:pPr>
        <w:jc w:val="both"/>
        <w:rPr>
          <w:rFonts w:ascii="Cambria" w:hAnsi="Cambria"/>
          <w:sz w:val="20"/>
          <w:szCs w:val="20"/>
          <w:lang w:val="es-ES_tradnl"/>
        </w:rPr>
      </w:pPr>
    </w:p>
    <w:p w:rsidR="00E50B23" w:rsidRPr="00BF3D11" w:rsidRDefault="00E50B23" w:rsidP="00053951">
      <w:pPr>
        <w:numPr>
          <w:ilvl w:val="0"/>
          <w:numId w:val="55"/>
        </w:numPr>
        <w:jc w:val="both"/>
        <w:rPr>
          <w:rFonts w:ascii="Cambria" w:hAnsi="Cambria"/>
          <w:sz w:val="20"/>
          <w:szCs w:val="20"/>
          <w:lang w:val="es-ES_tradnl"/>
        </w:rPr>
      </w:pPr>
      <w:r w:rsidRPr="00BF3D11">
        <w:rPr>
          <w:rFonts w:ascii="Cambria" w:hAnsi="Cambria"/>
          <w:sz w:val="20"/>
          <w:szCs w:val="20"/>
          <w:lang w:val="es-ES_tradnl"/>
        </w:rPr>
        <w:lastRenderedPageBreak/>
        <w:t>El Estado indicó que “toda esta serie de dificultades, enfrentadas por el Ministerio Público, así mismo la divergencia entre las versiones de los testigos respecto a las personas consideradas como sospechosos de la autoría del crimen, y la falta de comparecencia de las personas citadas” llevó a que se solicit</w:t>
      </w:r>
      <w:r w:rsidR="00963E97">
        <w:rPr>
          <w:rFonts w:ascii="Cambria" w:hAnsi="Cambria"/>
          <w:sz w:val="20"/>
          <w:szCs w:val="20"/>
          <w:lang w:val="es-ES_tradnl"/>
        </w:rPr>
        <w:t>ara</w:t>
      </w:r>
      <w:r w:rsidRPr="00BF3D11">
        <w:rPr>
          <w:rFonts w:ascii="Cambria" w:hAnsi="Cambria"/>
          <w:sz w:val="20"/>
          <w:szCs w:val="20"/>
          <w:lang w:val="es-ES_tradnl"/>
        </w:rPr>
        <w:t xml:space="preserve"> el archivo del proceso</w:t>
      </w:r>
      <w:r w:rsidRPr="00BF3D11">
        <w:rPr>
          <w:rStyle w:val="FootnoteReference"/>
          <w:rFonts w:ascii="Cambria" w:hAnsi="Cambria" w:cs="Arial"/>
          <w:sz w:val="20"/>
          <w:szCs w:val="20"/>
          <w:lang w:val="es-ES_tradnl"/>
        </w:rPr>
        <w:footnoteReference w:id="60"/>
      </w:r>
      <w:r w:rsidR="00D7693D" w:rsidRPr="00BF3D11">
        <w:rPr>
          <w:rFonts w:ascii="Cambria" w:hAnsi="Cambria"/>
          <w:sz w:val="20"/>
          <w:szCs w:val="20"/>
          <w:lang w:val="es-ES_tradnl"/>
        </w:rPr>
        <w:t>, con base en e</w:t>
      </w:r>
      <w:r w:rsidRPr="00BF3D11">
        <w:rPr>
          <w:rFonts w:ascii="Cambria" w:hAnsi="Cambria"/>
          <w:sz w:val="20"/>
          <w:szCs w:val="20"/>
          <w:lang w:val="es-ES_tradnl"/>
        </w:rPr>
        <w:t>l artículo 327 del Código Procesal Penal, el cual establece lo siguiente:</w:t>
      </w:r>
    </w:p>
    <w:p w:rsidR="00E50B23" w:rsidRPr="00BF3D11" w:rsidRDefault="00E50B23" w:rsidP="00053951">
      <w:pPr>
        <w:jc w:val="both"/>
        <w:rPr>
          <w:rFonts w:ascii="Cambria" w:hAnsi="Cambria"/>
          <w:sz w:val="20"/>
          <w:szCs w:val="20"/>
          <w:lang w:val="es-ES_tradnl"/>
        </w:rPr>
      </w:pPr>
    </w:p>
    <w:p w:rsidR="00593FF3" w:rsidRPr="00BF3D11" w:rsidRDefault="00E50B23" w:rsidP="00996FA3">
      <w:pPr>
        <w:ind w:left="720" w:right="720"/>
        <w:jc w:val="both"/>
        <w:rPr>
          <w:rFonts w:ascii="Cambria" w:hAnsi="Cambria"/>
          <w:sz w:val="20"/>
          <w:szCs w:val="20"/>
          <w:lang w:val="es-ES_tradnl"/>
        </w:rPr>
      </w:pPr>
      <w:r w:rsidRPr="00BF3D11">
        <w:rPr>
          <w:rFonts w:ascii="Cambria" w:hAnsi="Cambria"/>
          <w:sz w:val="20"/>
          <w:szCs w:val="20"/>
          <w:lang w:val="es-ES_tradnl"/>
        </w:rPr>
        <w:t>Artículo 327. (Archivo). Cuando no se haya individualizado al imputado o cuando se haya declarado su rebeldía, el Ministerio Público dispondrá, por escrito, el archivo de las actuaciones, sin perjuicio de la prosecución del procedimiento para los demás imputados</w:t>
      </w:r>
      <w:r w:rsidR="00593FF3" w:rsidRPr="00BF3D11">
        <w:rPr>
          <w:rFonts w:ascii="Cambria" w:hAnsi="Cambria"/>
          <w:sz w:val="20"/>
          <w:szCs w:val="20"/>
          <w:lang w:val="es-ES_tradnl"/>
        </w:rPr>
        <w:t>.</w:t>
      </w:r>
    </w:p>
    <w:p w:rsidR="0015180C" w:rsidRPr="00BF3D11" w:rsidRDefault="0015180C" w:rsidP="00996FA3">
      <w:pPr>
        <w:ind w:left="720" w:right="720"/>
        <w:jc w:val="both"/>
        <w:rPr>
          <w:rFonts w:ascii="Cambria" w:hAnsi="Cambria"/>
          <w:sz w:val="20"/>
          <w:szCs w:val="20"/>
          <w:lang w:val="es-ES_tradnl"/>
        </w:rPr>
      </w:pPr>
    </w:p>
    <w:p w:rsidR="00E50B23" w:rsidRPr="00BF3D11" w:rsidRDefault="00593FF3" w:rsidP="00996FA3">
      <w:pPr>
        <w:ind w:left="720" w:right="720"/>
        <w:jc w:val="both"/>
        <w:rPr>
          <w:rFonts w:ascii="Cambria" w:hAnsi="Cambria"/>
          <w:sz w:val="20"/>
          <w:szCs w:val="20"/>
          <w:lang w:val="es-ES_tradnl"/>
        </w:rPr>
      </w:pPr>
      <w:r w:rsidRPr="00BF3D11">
        <w:rPr>
          <w:rFonts w:ascii="Cambria" w:hAnsi="Cambria"/>
          <w:sz w:val="20"/>
          <w:szCs w:val="20"/>
          <w:lang w:val="es-ES_tradnl"/>
        </w:rPr>
        <w:t>En este caso, notificará la disposición a las demás partes, quienes podrán objetarla ante el juez que controla la investigación, indicando los medios de prueba practicables o individualizando al imputado. El juez podrá revocar la decisión, indicando los medios de prueba útiles para continuar la investigación o para individualizar al imputado</w:t>
      </w:r>
      <w:r w:rsidR="00E50B23" w:rsidRPr="00BF3D11">
        <w:rPr>
          <w:rStyle w:val="FootnoteReference"/>
          <w:rFonts w:ascii="Cambria" w:hAnsi="Cambria"/>
          <w:sz w:val="20"/>
          <w:szCs w:val="20"/>
          <w:lang w:val="es-ES_tradnl"/>
        </w:rPr>
        <w:footnoteReference w:id="61"/>
      </w:r>
      <w:r w:rsidR="00E50B23" w:rsidRPr="00BF3D11">
        <w:rPr>
          <w:rFonts w:ascii="Cambria" w:hAnsi="Cambria"/>
          <w:sz w:val="20"/>
          <w:szCs w:val="20"/>
          <w:lang w:val="es-ES_tradnl"/>
        </w:rPr>
        <w:t>.</w:t>
      </w:r>
    </w:p>
    <w:p w:rsidR="00530632" w:rsidRPr="00BF3D11" w:rsidRDefault="00530632" w:rsidP="00053951">
      <w:pPr>
        <w:pStyle w:val="MediumGrid1-Accent21"/>
        <w:ind w:left="0"/>
        <w:rPr>
          <w:rFonts w:ascii="Cambria" w:hAnsi="Cambria"/>
          <w:sz w:val="20"/>
          <w:szCs w:val="20"/>
          <w:lang w:val="es-ES"/>
        </w:rPr>
      </w:pPr>
    </w:p>
    <w:p w:rsidR="00DC3EF2" w:rsidRPr="00BF3D11" w:rsidRDefault="00DC3EF2"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El Estado indicó que no se presentó ante el Juez contralor objeción al archivo dictado por el Ministerio Público</w:t>
      </w:r>
      <w:r w:rsidRPr="00BF3D11">
        <w:rPr>
          <w:rStyle w:val="FootnoteReference"/>
          <w:rFonts w:ascii="Cambria" w:hAnsi="Cambria"/>
          <w:sz w:val="20"/>
          <w:szCs w:val="20"/>
        </w:rPr>
        <w:footnoteReference w:id="62"/>
      </w:r>
      <w:r w:rsidRPr="00BF3D11">
        <w:rPr>
          <w:rFonts w:ascii="Cambria" w:hAnsi="Cambria"/>
          <w:sz w:val="20"/>
          <w:szCs w:val="20"/>
        </w:rPr>
        <w:t>.</w:t>
      </w:r>
    </w:p>
    <w:p w:rsidR="00DC3EF2" w:rsidRPr="00BF3D11" w:rsidRDefault="00DC3EF2"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895B0E" w:rsidRPr="00BF3D11" w:rsidRDefault="00895B0E"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El 9 de mayo de 199</w:t>
      </w:r>
      <w:r w:rsidR="00DD5FB5" w:rsidRPr="00BF3D11">
        <w:rPr>
          <w:rFonts w:ascii="Cambria" w:hAnsi="Cambria"/>
          <w:sz w:val="20"/>
          <w:szCs w:val="20"/>
        </w:rPr>
        <w:t xml:space="preserve">7 </w:t>
      </w:r>
      <w:r w:rsidRPr="00BF3D11">
        <w:rPr>
          <w:rFonts w:ascii="Cambria" w:hAnsi="Cambria"/>
          <w:sz w:val="20"/>
          <w:szCs w:val="20"/>
        </w:rPr>
        <w:t>el Sexto Juzgado de Primera Instancia Narcoactividad y Delitos contra el Ambiente emitió un auto</w:t>
      </w:r>
      <w:r w:rsidR="004C7866" w:rsidRPr="00BF3D11">
        <w:rPr>
          <w:rFonts w:ascii="Cambria" w:hAnsi="Cambria"/>
          <w:sz w:val="20"/>
          <w:szCs w:val="20"/>
        </w:rPr>
        <w:t xml:space="preserve"> en el que indicó lo siguiente</w:t>
      </w:r>
      <w:r w:rsidRPr="00BF3D11">
        <w:rPr>
          <w:rStyle w:val="FootnoteReference"/>
          <w:rFonts w:ascii="Cambria" w:hAnsi="Cambria"/>
          <w:sz w:val="20"/>
          <w:szCs w:val="20"/>
        </w:rPr>
        <w:footnoteReference w:id="63"/>
      </w:r>
      <w:r w:rsidR="004C7866" w:rsidRPr="00BF3D11">
        <w:rPr>
          <w:rFonts w:ascii="Cambria" w:hAnsi="Cambria"/>
          <w:sz w:val="20"/>
          <w:szCs w:val="20"/>
        </w:rPr>
        <w:t>:</w:t>
      </w:r>
    </w:p>
    <w:p w:rsidR="004C7866" w:rsidRPr="00BF3D11" w:rsidRDefault="004C7866" w:rsidP="00053951">
      <w:pPr>
        <w:pStyle w:val="ColorfulShading-Accent31"/>
        <w:ind w:left="0"/>
        <w:jc w:val="both"/>
        <w:rPr>
          <w:sz w:val="20"/>
          <w:szCs w:val="20"/>
          <w:lang w:val="es-ES_tradnl"/>
        </w:rPr>
      </w:pPr>
    </w:p>
    <w:p w:rsidR="00653688" w:rsidRPr="00BF3D11" w:rsidRDefault="004C7866" w:rsidP="00996FA3">
      <w:pPr>
        <w:pStyle w:val="ColorfulShading-Accent31"/>
        <w:ind w:right="720"/>
        <w:jc w:val="both"/>
        <w:rPr>
          <w:sz w:val="20"/>
          <w:szCs w:val="20"/>
          <w:lang w:val="es-ES_tradnl"/>
        </w:rPr>
      </w:pPr>
      <w:r w:rsidRPr="00BF3D11">
        <w:rPr>
          <w:sz w:val="20"/>
          <w:szCs w:val="20"/>
          <w:lang w:val="es-ES_tradnl"/>
        </w:rPr>
        <w:t>En cuanto al archivo que pide el Ministerio Público, se le hace saber que de conformidad con la normativa que cita como fundamento de derecho</w:t>
      </w:r>
      <w:r w:rsidR="00530632" w:rsidRPr="00BF3D11">
        <w:rPr>
          <w:rStyle w:val="FootnoteReference"/>
          <w:sz w:val="20"/>
          <w:szCs w:val="20"/>
          <w:lang w:val="es-ES_tradnl"/>
        </w:rPr>
        <w:footnoteReference w:id="64"/>
      </w:r>
      <w:r w:rsidRPr="00BF3D11">
        <w:rPr>
          <w:sz w:val="20"/>
          <w:szCs w:val="20"/>
          <w:lang w:val="es-ES_tradnl"/>
        </w:rPr>
        <w:t>, cuando no se logra individualizar al imputado el archivo debe disponerlo el Ministerio Púb</w:t>
      </w:r>
      <w:r w:rsidR="00653688" w:rsidRPr="00BF3D11">
        <w:rPr>
          <w:sz w:val="20"/>
          <w:szCs w:val="20"/>
          <w:lang w:val="es-ES_tradnl"/>
        </w:rPr>
        <w:t>lico y no el Juzgado contralor</w:t>
      </w:r>
      <w:r w:rsidR="00B17110" w:rsidRPr="00BF3D11">
        <w:rPr>
          <w:rStyle w:val="FootnoteReference"/>
          <w:sz w:val="20"/>
          <w:szCs w:val="20"/>
        </w:rPr>
        <w:footnoteReference w:id="65"/>
      </w:r>
      <w:r w:rsidR="00653688" w:rsidRPr="00BF3D11">
        <w:rPr>
          <w:sz w:val="20"/>
          <w:szCs w:val="20"/>
          <w:lang w:val="es-ES_tradnl"/>
        </w:rPr>
        <w:t>.</w:t>
      </w:r>
    </w:p>
    <w:p w:rsidR="00653688" w:rsidRPr="00BF3D11" w:rsidRDefault="00653688" w:rsidP="00053951">
      <w:pPr>
        <w:pStyle w:val="ColorfulShading-Accent31"/>
        <w:ind w:right="720"/>
        <w:jc w:val="both"/>
        <w:rPr>
          <w:sz w:val="20"/>
          <w:szCs w:val="20"/>
          <w:lang w:val="es-ES_tradnl"/>
        </w:rPr>
      </w:pPr>
    </w:p>
    <w:p w:rsidR="00653688" w:rsidRPr="00BF3D11" w:rsidRDefault="00FD3F03"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El</w:t>
      </w:r>
      <w:r w:rsidR="00843E95" w:rsidRPr="00BF3D11">
        <w:rPr>
          <w:rFonts w:ascii="Cambria" w:hAnsi="Cambria"/>
          <w:sz w:val="20"/>
          <w:szCs w:val="20"/>
        </w:rPr>
        <w:t xml:space="preserve"> Estado indicó que el</w:t>
      </w:r>
      <w:r w:rsidRPr="00BF3D11">
        <w:rPr>
          <w:rFonts w:ascii="Cambria" w:hAnsi="Cambria"/>
          <w:sz w:val="20"/>
          <w:szCs w:val="20"/>
        </w:rPr>
        <w:t xml:space="preserve"> 22 de mayo de 1997 el Juez contralor de la causa resolvió sin lugar la solicitud del Ministerio Público para archivar el expediente</w:t>
      </w:r>
      <w:r w:rsidR="00843E95" w:rsidRPr="00BF3D11">
        <w:rPr>
          <w:rStyle w:val="FootnoteReference"/>
          <w:rFonts w:ascii="Cambria" w:hAnsi="Cambria"/>
          <w:sz w:val="20"/>
          <w:szCs w:val="20"/>
        </w:rPr>
        <w:footnoteReference w:id="66"/>
      </w:r>
      <w:r w:rsidRPr="00BF3D11">
        <w:rPr>
          <w:rFonts w:ascii="Cambria" w:hAnsi="Cambria"/>
          <w:sz w:val="20"/>
          <w:szCs w:val="20"/>
        </w:rPr>
        <w:t xml:space="preserve">. Ello en vista </w:t>
      </w:r>
      <w:r w:rsidR="00843E95" w:rsidRPr="00BF3D11">
        <w:rPr>
          <w:rFonts w:ascii="Cambria" w:hAnsi="Cambria"/>
          <w:sz w:val="20"/>
          <w:szCs w:val="20"/>
        </w:rPr>
        <w:t>de “</w:t>
      </w:r>
      <w:r w:rsidRPr="00BF3D11">
        <w:rPr>
          <w:rFonts w:ascii="Cambria" w:hAnsi="Cambria"/>
          <w:sz w:val="20"/>
          <w:szCs w:val="20"/>
        </w:rPr>
        <w:t>que el tiempo transcurrido desde que ocurrió el hecho denunciado no justifica que no se pueda proceder con la investigación</w:t>
      </w:r>
      <w:r w:rsidR="00843E95" w:rsidRPr="00BF3D11">
        <w:rPr>
          <w:rFonts w:ascii="Cambria" w:hAnsi="Cambria"/>
          <w:sz w:val="20"/>
          <w:szCs w:val="20"/>
        </w:rPr>
        <w:t>”</w:t>
      </w:r>
      <w:r w:rsidR="00843E95" w:rsidRPr="00BF3D11">
        <w:rPr>
          <w:rStyle w:val="FootnoteReference"/>
          <w:rFonts w:ascii="Cambria" w:hAnsi="Cambria"/>
          <w:sz w:val="20"/>
          <w:szCs w:val="20"/>
        </w:rPr>
        <w:footnoteReference w:id="67"/>
      </w:r>
      <w:r w:rsidRPr="00BF3D11">
        <w:rPr>
          <w:rFonts w:ascii="Cambria" w:hAnsi="Cambria"/>
          <w:sz w:val="20"/>
          <w:szCs w:val="20"/>
        </w:rPr>
        <w:t>.</w:t>
      </w:r>
    </w:p>
    <w:p w:rsidR="002F249C" w:rsidRPr="00BF3D11" w:rsidRDefault="002F249C"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2F249C" w:rsidRPr="00BF3D11" w:rsidRDefault="002F249C"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 xml:space="preserve">En su comunicación de </w:t>
      </w:r>
      <w:r w:rsidR="00152226" w:rsidRPr="00BF3D11">
        <w:rPr>
          <w:rFonts w:ascii="Cambria" w:hAnsi="Cambria"/>
          <w:sz w:val="20"/>
          <w:szCs w:val="20"/>
        </w:rPr>
        <w:t>13 de junio</w:t>
      </w:r>
      <w:r w:rsidRPr="00BF3D11">
        <w:rPr>
          <w:rFonts w:ascii="Cambria" w:hAnsi="Cambria"/>
          <w:sz w:val="20"/>
          <w:szCs w:val="20"/>
        </w:rPr>
        <w:t xml:space="preserve"> de 1999 el Estado indicó que se consultó al fiscal del caso</w:t>
      </w:r>
      <w:r w:rsidR="00152226" w:rsidRPr="00BF3D11">
        <w:rPr>
          <w:rFonts w:ascii="Cambria" w:hAnsi="Cambria"/>
          <w:sz w:val="20"/>
          <w:szCs w:val="20"/>
        </w:rPr>
        <w:t>, Jaime Rosales,</w:t>
      </w:r>
      <w:r w:rsidRPr="00BF3D11">
        <w:rPr>
          <w:rFonts w:ascii="Cambria" w:hAnsi="Cambria"/>
          <w:sz w:val="20"/>
          <w:szCs w:val="20"/>
        </w:rPr>
        <w:t xml:space="preserve"> sobre el estado del proceso</w:t>
      </w:r>
      <w:r w:rsidRPr="00BF3D11">
        <w:rPr>
          <w:rStyle w:val="FootnoteReference"/>
          <w:rFonts w:ascii="Cambria" w:hAnsi="Cambria"/>
          <w:sz w:val="20"/>
          <w:szCs w:val="20"/>
        </w:rPr>
        <w:footnoteReference w:id="68"/>
      </w:r>
      <w:r w:rsidRPr="00BF3D11">
        <w:rPr>
          <w:rFonts w:ascii="Cambria" w:hAnsi="Cambria"/>
          <w:sz w:val="20"/>
          <w:szCs w:val="20"/>
        </w:rPr>
        <w:t>. El Estado sostuvo que el fiscal informó que “</w:t>
      </w:r>
      <w:r w:rsidR="00152226" w:rsidRPr="00BF3D11">
        <w:rPr>
          <w:rFonts w:ascii="Cambria" w:hAnsi="Cambria"/>
          <w:sz w:val="20"/>
          <w:szCs w:val="20"/>
        </w:rPr>
        <w:t>no existen elementos probatorios que puedan señalar a los sujetos activos del hecho</w:t>
      </w:r>
      <w:r w:rsidRPr="00BF3D11">
        <w:rPr>
          <w:rFonts w:ascii="Cambria" w:hAnsi="Cambria"/>
          <w:sz w:val="20"/>
          <w:szCs w:val="20"/>
        </w:rPr>
        <w:t>”</w:t>
      </w:r>
      <w:r w:rsidRPr="00BF3D11">
        <w:rPr>
          <w:rStyle w:val="FootnoteReference"/>
          <w:rFonts w:ascii="Cambria" w:hAnsi="Cambria"/>
          <w:sz w:val="20"/>
          <w:szCs w:val="20"/>
        </w:rPr>
        <w:footnoteReference w:id="69"/>
      </w:r>
      <w:r w:rsidRPr="00BF3D11">
        <w:rPr>
          <w:rFonts w:ascii="Cambria" w:hAnsi="Cambria"/>
          <w:sz w:val="20"/>
          <w:szCs w:val="20"/>
        </w:rPr>
        <w:t xml:space="preserve">. </w:t>
      </w:r>
      <w:r w:rsidR="00F04F52" w:rsidRPr="00BF3D11">
        <w:rPr>
          <w:rFonts w:ascii="Cambria" w:hAnsi="Cambria"/>
          <w:sz w:val="20"/>
          <w:szCs w:val="20"/>
        </w:rPr>
        <w:t>Sostuvo que debido a la decisión del Juez contralor de mayo de 1997, la investigación “sigue su curso y se espera que se aporten nuevos elementos de convicción que determinen la individualización y sanci</w:t>
      </w:r>
      <w:r w:rsidR="00436B6B" w:rsidRPr="00BF3D11">
        <w:rPr>
          <w:rFonts w:ascii="Cambria" w:hAnsi="Cambria"/>
          <w:sz w:val="20"/>
          <w:szCs w:val="20"/>
        </w:rPr>
        <w:t>ón de los responsables</w:t>
      </w:r>
      <w:r w:rsidR="00F04F52" w:rsidRPr="00BF3D11">
        <w:rPr>
          <w:rFonts w:ascii="Cambria" w:hAnsi="Cambria"/>
          <w:sz w:val="20"/>
          <w:szCs w:val="20"/>
        </w:rPr>
        <w:t>”</w:t>
      </w:r>
      <w:r w:rsidR="00436B6B" w:rsidRPr="00BF3D11">
        <w:rPr>
          <w:rStyle w:val="FootnoteReference"/>
          <w:rFonts w:ascii="Cambria" w:hAnsi="Cambria"/>
          <w:sz w:val="20"/>
          <w:szCs w:val="20"/>
        </w:rPr>
        <w:footnoteReference w:id="70"/>
      </w:r>
      <w:r w:rsidR="00436B6B" w:rsidRPr="00BF3D11">
        <w:rPr>
          <w:rFonts w:ascii="Cambria" w:hAnsi="Cambria"/>
          <w:sz w:val="20"/>
          <w:szCs w:val="20"/>
        </w:rPr>
        <w:t>.</w:t>
      </w:r>
    </w:p>
    <w:p w:rsidR="00653688" w:rsidRPr="00BF3D11" w:rsidRDefault="00653688" w:rsidP="00053951">
      <w:pPr>
        <w:pStyle w:val="MediumGrid1-Accent21"/>
        <w:ind w:left="0"/>
        <w:rPr>
          <w:rFonts w:ascii="Cambria" w:hAnsi="Cambria"/>
          <w:sz w:val="20"/>
          <w:szCs w:val="20"/>
          <w:lang w:val="es-ES"/>
        </w:rPr>
      </w:pPr>
    </w:p>
    <w:p w:rsidR="00CF1088" w:rsidRDefault="00CF1088" w:rsidP="0005395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lastRenderedPageBreak/>
        <w:t xml:space="preserve">El 17 de diciembre de 2014 el Ministerio Público presentó una comunicación </w:t>
      </w:r>
      <w:r w:rsidR="00DD5C0B" w:rsidRPr="00BF3D11">
        <w:rPr>
          <w:rFonts w:ascii="Cambria" w:hAnsi="Cambria"/>
          <w:sz w:val="20"/>
          <w:szCs w:val="20"/>
        </w:rPr>
        <w:t>a</w:t>
      </w:r>
      <w:r w:rsidRPr="00BF3D11">
        <w:rPr>
          <w:rFonts w:ascii="Cambria" w:hAnsi="Cambria"/>
          <w:sz w:val="20"/>
          <w:szCs w:val="20"/>
        </w:rPr>
        <w:t xml:space="preserve"> COPREDEH indicando que “no existen registros del señor </w:t>
      </w:r>
      <w:r w:rsidRPr="00BF3D11">
        <w:rPr>
          <w:rFonts w:ascii="Cambria" w:hAnsi="Cambria" w:cs="Arial"/>
          <w:sz w:val="20"/>
          <w:szCs w:val="20"/>
        </w:rPr>
        <w:t>[Gómez] en calidad de denunciante o como agraviado y tampoco aparece en la [base de datos] registro alguno del expediente [MP-232-95]</w:t>
      </w:r>
      <w:r w:rsidRPr="00BF3D11">
        <w:rPr>
          <w:rFonts w:ascii="Cambria" w:hAnsi="Cambria"/>
          <w:sz w:val="20"/>
          <w:szCs w:val="20"/>
        </w:rPr>
        <w:t>”</w:t>
      </w:r>
      <w:r w:rsidRPr="00BF3D11">
        <w:rPr>
          <w:rStyle w:val="FootnoteReference"/>
          <w:rFonts w:ascii="Cambria" w:hAnsi="Cambria"/>
          <w:sz w:val="20"/>
          <w:szCs w:val="20"/>
        </w:rPr>
        <w:footnoteReference w:id="71"/>
      </w:r>
      <w:r w:rsidRPr="00BF3D11">
        <w:rPr>
          <w:rFonts w:ascii="Cambria" w:hAnsi="Cambria"/>
          <w:sz w:val="20"/>
          <w:szCs w:val="20"/>
        </w:rPr>
        <w:t>.</w:t>
      </w:r>
    </w:p>
    <w:p w:rsidR="003D58D8" w:rsidRPr="000D60A2" w:rsidRDefault="003D58D8" w:rsidP="003D58D8">
      <w:pPr>
        <w:pStyle w:val="ListParagraph"/>
        <w:rPr>
          <w:rFonts w:ascii="Cambria" w:hAnsi="Cambria"/>
          <w:sz w:val="20"/>
          <w:szCs w:val="20"/>
          <w:lang w:val="es-ES"/>
        </w:rPr>
      </w:pPr>
    </w:p>
    <w:p w:rsidR="003D58D8" w:rsidRPr="00BF3D11" w:rsidRDefault="003D58D8" w:rsidP="003D58D8">
      <w:pPr>
        <w:pStyle w:val="Heading2"/>
        <w:numPr>
          <w:ilvl w:val="0"/>
          <w:numId w:val="58"/>
        </w:numPr>
        <w:spacing w:before="0" w:after="0"/>
        <w:ind w:hanging="720"/>
        <w:jc w:val="both"/>
        <w:rPr>
          <w:rFonts w:ascii="Cambria" w:hAnsi="Cambria"/>
          <w:i w:val="0"/>
          <w:sz w:val="20"/>
          <w:szCs w:val="20"/>
          <w:lang w:val="es-ES_tradnl"/>
        </w:rPr>
      </w:pPr>
      <w:bookmarkStart w:id="39" w:name="_Toc473188697"/>
      <w:r w:rsidRPr="00BF3D11">
        <w:rPr>
          <w:rFonts w:ascii="Cambria" w:hAnsi="Cambria"/>
          <w:i w:val="0"/>
          <w:sz w:val="20"/>
          <w:szCs w:val="20"/>
          <w:lang w:val="es-ES_tradnl"/>
        </w:rPr>
        <w:t>Pronunciamientos sobre violaciones de derechos humanos contra sindicalistas en Guatemala en la década de 1990</w:t>
      </w:r>
      <w:bookmarkEnd w:id="39"/>
    </w:p>
    <w:p w:rsidR="003D58D8" w:rsidRDefault="003D58D8" w:rsidP="003D58D8">
      <w:pPr>
        <w:tabs>
          <w:tab w:val="left" w:pos="720"/>
          <w:tab w:val="left" w:pos="840"/>
        </w:tabs>
        <w:ind w:left="720"/>
        <w:jc w:val="both"/>
        <w:rPr>
          <w:rFonts w:ascii="Cambria" w:hAnsi="Cambria"/>
          <w:b/>
          <w:sz w:val="20"/>
          <w:szCs w:val="20"/>
          <w:lang w:val="es-ES_tradnl"/>
        </w:rPr>
      </w:pPr>
    </w:p>
    <w:p w:rsidR="00CB1E95" w:rsidRPr="00BF3D11" w:rsidRDefault="00CB1E95" w:rsidP="00CB1E9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F3D11">
        <w:rPr>
          <w:rFonts w:ascii="Cambria" w:hAnsi="Cambria"/>
          <w:sz w:val="20"/>
          <w:szCs w:val="20"/>
        </w:rPr>
        <w:t xml:space="preserve">Distintos organismos locales y organizaciones internacionales se han pronunciado sobre el contexto </w:t>
      </w:r>
      <w:r w:rsidRPr="00BF3D11">
        <w:rPr>
          <w:rFonts w:ascii="Cambria" w:hAnsi="Cambria"/>
          <w:color w:val="auto"/>
          <w:sz w:val="20"/>
          <w:szCs w:val="20"/>
        </w:rPr>
        <w:t xml:space="preserve">de represión en contra de sindicalistas durante la década de 1990 en Guatemala. </w:t>
      </w:r>
    </w:p>
    <w:p w:rsidR="00CB1E95" w:rsidRDefault="00CB1E95" w:rsidP="00CB1E9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4D37EF" w:rsidRPr="00BF3D11" w:rsidRDefault="004D37EF" w:rsidP="004D37E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szCs w:val="20"/>
        </w:rPr>
        <w:t>L</w:t>
      </w:r>
      <w:r w:rsidRPr="00BF3D11">
        <w:rPr>
          <w:rFonts w:ascii="Cambria" w:hAnsi="Cambria"/>
          <w:sz w:val="20"/>
          <w:szCs w:val="20"/>
        </w:rPr>
        <w:t>a CIDH emitió en junio de 1993 su Cuarto Informe sobre la Situación de los Derechos Humanos en Guatemala</w:t>
      </w:r>
      <w:r w:rsidRPr="00BF3D11">
        <w:rPr>
          <w:rStyle w:val="FootnoteReference"/>
          <w:rFonts w:ascii="Cambria" w:hAnsi="Cambria"/>
          <w:sz w:val="20"/>
          <w:szCs w:val="20"/>
        </w:rPr>
        <w:footnoteReference w:id="72"/>
      </w:r>
      <w:r w:rsidRPr="00BF3D11">
        <w:rPr>
          <w:rFonts w:ascii="Cambria" w:hAnsi="Cambria"/>
          <w:sz w:val="20"/>
          <w:szCs w:val="20"/>
        </w:rPr>
        <w:t xml:space="preserve">. En dicho informe la Comisión señaló lo siguiente: </w:t>
      </w:r>
    </w:p>
    <w:p w:rsidR="004D37EF" w:rsidRPr="00BF3D11" w:rsidRDefault="004D37EF" w:rsidP="004D37E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p>
    <w:p w:rsidR="004D37EF" w:rsidRPr="00BF3D11" w:rsidRDefault="004D37EF" w:rsidP="004D37E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BF3D11">
        <w:rPr>
          <w:rFonts w:ascii="Cambria" w:hAnsi="Cambria"/>
          <w:spacing w:val="-3"/>
          <w:sz w:val="20"/>
          <w:szCs w:val="20"/>
          <w:shd w:val="clear" w:color="auto" w:fill="FFFFFF"/>
        </w:rPr>
        <w:t>La activa vida sindical que se desarrolla en Guatemala muestra tanto que existe un espacio de libertades públicas que permite su acción y el ejercicio de su derecho a la libre expresión, pero también que ese espacio está continuamente acosado por tentativas de limitarlo, a través entre otros de detenciones arbitrarias, amenazas de muerte, atentados contra la vida y despidos arbitrarios de líderes sindicales</w:t>
      </w:r>
      <w:r w:rsidRPr="00BF3D11">
        <w:rPr>
          <w:rStyle w:val="FootnoteReference"/>
          <w:rFonts w:ascii="Cambria" w:hAnsi="Cambria"/>
          <w:spacing w:val="-3"/>
          <w:sz w:val="20"/>
          <w:szCs w:val="20"/>
          <w:shd w:val="clear" w:color="auto" w:fill="FFFFFF"/>
        </w:rPr>
        <w:footnoteReference w:id="73"/>
      </w:r>
      <w:r w:rsidRPr="00BF3D11">
        <w:rPr>
          <w:rFonts w:ascii="Cambria" w:hAnsi="Cambria"/>
          <w:spacing w:val="-3"/>
          <w:sz w:val="20"/>
          <w:szCs w:val="20"/>
          <w:shd w:val="clear" w:color="auto" w:fill="FFFFFF"/>
        </w:rPr>
        <w:t>. </w:t>
      </w:r>
    </w:p>
    <w:p w:rsidR="004D37EF" w:rsidRPr="00BF3D11" w:rsidRDefault="004D37EF" w:rsidP="004D37EF">
      <w:pPr>
        <w:pStyle w:val="MediumGrid1-Accent21"/>
        <w:ind w:left="0"/>
        <w:jc w:val="both"/>
        <w:rPr>
          <w:rFonts w:ascii="Cambria" w:hAnsi="Cambria"/>
          <w:sz w:val="20"/>
          <w:szCs w:val="20"/>
          <w:lang w:val="es-ES"/>
        </w:rPr>
      </w:pPr>
    </w:p>
    <w:p w:rsidR="004D37EF" w:rsidRPr="00BF3D11" w:rsidRDefault="004D37EF" w:rsidP="004D37E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BF3D11">
        <w:rPr>
          <w:rFonts w:ascii="Cambria" w:hAnsi="Cambria"/>
          <w:sz w:val="20"/>
          <w:szCs w:val="20"/>
          <w:lang w:val="es-ES"/>
        </w:rPr>
        <w:t>La CIDH describió en su informe algunos de los hechos concretos de los que tomó conocimiento en perjuicio de sindicalistas, dentro de los que se encuentran tanto amenazas de muerte como diferentes formas de hostigamiento, e incluso un hecho similar al que se alega en el presente caso, descrito por la CIDH como “el s</w:t>
      </w:r>
      <w:r w:rsidRPr="00BF3D11">
        <w:rPr>
          <w:rFonts w:ascii="Cambria" w:hAnsi="Cambria" w:cs="Verdana"/>
          <w:sz w:val="20"/>
          <w:szCs w:val="20"/>
          <w:bdr w:val="none" w:sz="0" w:space="0" w:color="auto"/>
        </w:rPr>
        <w:t>ecuestro, tortura y muerte a machetazos del dirigente sindical Senón Sánchez López" en octubre de 1992. La Comisión identificó una relación entre el incumplimiento de los derechos laborales por parte de los empleadores, la consecuente actividad sindical y la activación de mecanismos para impedir el ejercicio de dicho derecho, como se dijo, a través de diferentes mecanismos, incluyendo el asesinato</w:t>
      </w:r>
      <w:r w:rsidRPr="00BF3D11">
        <w:rPr>
          <w:rStyle w:val="FootnoteReference"/>
          <w:rFonts w:ascii="Cambria" w:hAnsi="Cambria"/>
          <w:spacing w:val="-3"/>
          <w:sz w:val="20"/>
          <w:szCs w:val="20"/>
          <w:shd w:val="clear" w:color="auto" w:fill="FFFFFF"/>
        </w:rPr>
        <w:footnoteReference w:id="74"/>
      </w:r>
      <w:r w:rsidRPr="00BF3D11">
        <w:rPr>
          <w:rFonts w:ascii="Cambria" w:hAnsi="Cambria" w:cs="Verdana"/>
          <w:sz w:val="20"/>
          <w:szCs w:val="20"/>
          <w:bdr w:val="none" w:sz="0" w:space="0" w:color="auto"/>
        </w:rPr>
        <w:t xml:space="preserve">. </w:t>
      </w:r>
    </w:p>
    <w:p w:rsidR="004D37EF" w:rsidRPr="00BF3D11" w:rsidRDefault="004D37EF" w:rsidP="004D37EF">
      <w:pPr>
        <w:pStyle w:val="MediumGrid1-Accent21"/>
        <w:ind w:left="0"/>
        <w:jc w:val="both"/>
        <w:rPr>
          <w:rFonts w:ascii="Cambria" w:hAnsi="Cambria"/>
          <w:sz w:val="20"/>
          <w:szCs w:val="20"/>
          <w:lang w:val="es-ES"/>
        </w:rPr>
      </w:pPr>
    </w:p>
    <w:p w:rsidR="004D37EF" w:rsidRPr="00BF3D11" w:rsidRDefault="004D37EF" w:rsidP="004D37E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BF3D11">
        <w:rPr>
          <w:rFonts w:ascii="Cambria" w:hAnsi="Cambria"/>
          <w:sz w:val="20"/>
          <w:szCs w:val="20"/>
          <w:lang w:val="es-ES"/>
        </w:rPr>
        <w:t xml:space="preserve">Tomando en cuenta esta relación, la Comisión tomó nota de lo siguiente respecto de la industria de maquila: </w:t>
      </w:r>
    </w:p>
    <w:p w:rsidR="004D37EF" w:rsidRPr="00BF3D11" w:rsidRDefault="004D37EF" w:rsidP="004D37EF">
      <w:pPr>
        <w:pStyle w:val="MediumGrid1-Accent21"/>
        <w:ind w:left="0"/>
        <w:jc w:val="both"/>
        <w:rPr>
          <w:rFonts w:ascii="Cambria" w:hAnsi="Cambria"/>
          <w:sz w:val="20"/>
          <w:szCs w:val="20"/>
          <w:lang w:val="es-ES"/>
        </w:rPr>
      </w:pPr>
    </w:p>
    <w:p w:rsidR="004D37EF" w:rsidRPr="00BF3D11" w:rsidRDefault="004D37EF" w:rsidP="004D37EF">
      <w:pPr>
        <w:pStyle w:val="MediumGrid1-Accent21"/>
        <w:ind w:right="720"/>
        <w:jc w:val="both"/>
        <w:rPr>
          <w:rFonts w:ascii="Cambria" w:hAnsi="Cambria"/>
          <w:sz w:val="20"/>
          <w:szCs w:val="20"/>
          <w:lang w:val="es-ES"/>
        </w:rPr>
      </w:pPr>
      <w:r w:rsidRPr="00BF3D11">
        <w:rPr>
          <w:rFonts w:ascii="Cambria" w:hAnsi="Cambria" w:cs="Verdana"/>
          <w:sz w:val="20"/>
          <w:szCs w:val="20"/>
          <w:bdr w:val="none" w:sz="0" w:space="0" w:color="auto"/>
          <w:lang w:val="es-ES"/>
        </w:rPr>
        <w:t>Estudios confiables revelan numerosos abusos en cuanto a incumplimiento en la industria maquiladora de condiciones dignas y legales de trabajo, salario mínimo, trabajo de niños, horas extras forzosas, falta de condiciones sanitarias, despidos de dirigentes, etc.  Seis de cada diez empleadores exigen trabajo extra a sus empleados, y el promedio de horas de trabajo semanales va de entre cincuenta y cinco a setenta horas semanales.  Se han documentado casos de obreros que son obligados a permanecer de lunes a sábado en la fábrica sin salir, trabajando más de ochenta horas semanales</w:t>
      </w:r>
      <w:r w:rsidRPr="00BF3D11">
        <w:rPr>
          <w:rStyle w:val="FootnoteReference"/>
          <w:rFonts w:ascii="Cambria" w:hAnsi="Cambria"/>
          <w:spacing w:val="-3"/>
          <w:sz w:val="20"/>
          <w:szCs w:val="20"/>
          <w:shd w:val="clear" w:color="auto" w:fill="FFFFFF"/>
        </w:rPr>
        <w:footnoteReference w:id="75"/>
      </w:r>
      <w:r w:rsidRPr="00BF3D11">
        <w:rPr>
          <w:rFonts w:ascii="Cambria" w:hAnsi="Cambria" w:cs="Verdana"/>
          <w:sz w:val="20"/>
          <w:szCs w:val="20"/>
          <w:bdr w:val="none" w:sz="0" w:space="0" w:color="auto"/>
          <w:lang w:val="es-ES"/>
        </w:rPr>
        <w:t>.  </w:t>
      </w:r>
    </w:p>
    <w:p w:rsidR="004D37EF" w:rsidRPr="00BF3D11" w:rsidRDefault="004D37EF" w:rsidP="004D37EF">
      <w:pPr>
        <w:pStyle w:val="MediumGrid1-Accent21"/>
        <w:ind w:left="0"/>
        <w:jc w:val="both"/>
        <w:rPr>
          <w:rFonts w:ascii="Cambria" w:hAnsi="Cambria"/>
          <w:sz w:val="20"/>
          <w:szCs w:val="20"/>
          <w:lang w:val="es-ES"/>
        </w:rPr>
      </w:pPr>
    </w:p>
    <w:p w:rsidR="004D37EF" w:rsidRPr="00BF3D11" w:rsidRDefault="004D37EF" w:rsidP="004D37E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BF3D11">
        <w:rPr>
          <w:rFonts w:ascii="Cambria" w:hAnsi="Cambria"/>
          <w:sz w:val="20"/>
          <w:szCs w:val="20"/>
          <w:lang w:val="es-ES"/>
        </w:rPr>
        <w:t xml:space="preserve">En el año 2003, en su informe Justicia e inclusión social: Los desafíos de la democracia en Guatemala, la Comisión continuó observando los ataques a defensores de derechos humanos, incluidos sindicalistas, así como la situación de impunidad en que habitualmente permanecen dichas violaciones. En palabras de la CIDH: </w:t>
      </w:r>
    </w:p>
    <w:p w:rsidR="004D37EF" w:rsidRPr="00BF3D11" w:rsidRDefault="004D37EF" w:rsidP="004D37EF">
      <w:pPr>
        <w:pStyle w:val="MediumGrid1-Accent21"/>
        <w:ind w:left="0"/>
        <w:jc w:val="both"/>
        <w:rPr>
          <w:rFonts w:ascii="Cambria" w:hAnsi="Cambria"/>
          <w:sz w:val="20"/>
          <w:szCs w:val="20"/>
          <w:lang w:val="es-ES"/>
        </w:rPr>
      </w:pPr>
    </w:p>
    <w:p w:rsidR="004D37EF" w:rsidRPr="00B406B3" w:rsidRDefault="004D37EF" w:rsidP="004D37EF">
      <w:pPr>
        <w:pStyle w:val="MediumGrid1-Accent21"/>
        <w:ind w:right="720"/>
        <w:jc w:val="both"/>
        <w:rPr>
          <w:rFonts w:ascii="Cambria" w:hAnsi="Cambria"/>
          <w:sz w:val="20"/>
          <w:szCs w:val="20"/>
          <w:lang w:val="es-ES"/>
        </w:rPr>
      </w:pPr>
      <w:r w:rsidRPr="00BF3D11">
        <w:rPr>
          <w:rFonts w:ascii="Cambria" w:hAnsi="Cambria" w:cs="Verdana"/>
          <w:sz w:val="20"/>
          <w:szCs w:val="20"/>
          <w:bdr w:val="none" w:sz="0" w:space="0" w:color="auto"/>
          <w:lang w:val="es-ES"/>
        </w:rPr>
        <w:t xml:space="preserve">(…) las amenazas y ataques a defensores de derechos humanos en Guatemala permanecen impunes. Es evidente el encubrimiento del acto de hostigamiento o agresión al defensor, que consiste, por ejemplo, en hacer desaparecer la evidencia relativa al hecho. La impunidad de </w:t>
      </w:r>
      <w:r w:rsidRPr="00BF3D11">
        <w:rPr>
          <w:rFonts w:ascii="Cambria" w:hAnsi="Cambria" w:cs="Verdana"/>
          <w:sz w:val="20"/>
          <w:szCs w:val="20"/>
          <w:bdr w:val="none" w:sz="0" w:space="0" w:color="auto"/>
          <w:lang w:val="es-ES"/>
        </w:rPr>
        <w:lastRenderedPageBreak/>
        <w:t xml:space="preserve">estos hechos favorece nuevas violaciones a los derechos humanos de los defensores, que les </w:t>
      </w:r>
      <w:r w:rsidRPr="00B406B3">
        <w:rPr>
          <w:rFonts w:ascii="Cambria" w:hAnsi="Cambria" w:cs="Verdana"/>
          <w:sz w:val="20"/>
          <w:szCs w:val="20"/>
          <w:bdr w:val="none" w:sz="0" w:space="0" w:color="auto"/>
          <w:lang w:val="es-ES"/>
        </w:rPr>
        <w:t>impide, a su vez, continuar con su labor</w:t>
      </w:r>
      <w:r w:rsidRPr="00B406B3">
        <w:rPr>
          <w:rStyle w:val="FootnoteReference"/>
          <w:rFonts w:ascii="Cambria" w:hAnsi="Cambria" w:cs="Verdana"/>
          <w:sz w:val="20"/>
          <w:szCs w:val="20"/>
          <w:bdr w:val="none" w:sz="0" w:space="0" w:color="auto"/>
          <w:lang w:val="es-ES"/>
        </w:rPr>
        <w:footnoteReference w:id="76"/>
      </w:r>
      <w:r w:rsidRPr="00B406B3">
        <w:rPr>
          <w:rFonts w:ascii="Cambria" w:hAnsi="Cambria" w:cs="Verdana"/>
          <w:sz w:val="20"/>
          <w:szCs w:val="20"/>
          <w:bdr w:val="none" w:sz="0" w:space="0" w:color="auto"/>
          <w:lang w:val="es-ES"/>
        </w:rPr>
        <w:t>.</w:t>
      </w:r>
    </w:p>
    <w:p w:rsidR="004D37EF" w:rsidRPr="00B406B3" w:rsidRDefault="004D37EF" w:rsidP="003D58D8">
      <w:pPr>
        <w:tabs>
          <w:tab w:val="left" w:pos="720"/>
          <w:tab w:val="left" w:pos="840"/>
        </w:tabs>
        <w:ind w:left="720"/>
        <w:jc w:val="both"/>
        <w:rPr>
          <w:rFonts w:ascii="Cambria" w:hAnsi="Cambria"/>
          <w:b/>
          <w:sz w:val="20"/>
          <w:szCs w:val="20"/>
          <w:lang w:val="es-ES_tradnl"/>
        </w:rPr>
      </w:pPr>
    </w:p>
    <w:p w:rsidR="003D58D8" w:rsidRPr="00B406B3" w:rsidRDefault="003D58D8" w:rsidP="003D58D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rPr>
      </w:pPr>
      <w:r w:rsidRPr="00B406B3">
        <w:rPr>
          <w:rFonts w:ascii="Cambria" w:hAnsi="Cambria" w:cs="Arial"/>
          <w:color w:val="auto"/>
          <w:sz w:val="20"/>
          <w:szCs w:val="20"/>
          <w:shd w:val="clear" w:color="auto" w:fill="FFFFFF"/>
        </w:rPr>
        <w:t>La Misión de las Naciones Unidas para la Verificación de los</w:t>
      </w:r>
      <w:r w:rsidRPr="00B406B3">
        <w:rPr>
          <w:rStyle w:val="apple-converted-space"/>
          <w:rFonts w:ascii="Cambria" w:hAnsi="Cambria" w:cs="Arial"/>
          <w:color w:val="auto"/>
          <w:sz w:val="20"/>
          <w:szCs w:val="20"/>
          <w:shd w:val="clear" w:color="auto" w:fill="FFFFFF"/>
        </w:rPr>
        <w:t> </w:t>
      </w:r>
      <w:r w:rsidRPr="00B406B3">
        <w:rPr>
          <w:rStyle w:val="Emphasis"/>
          <w:rFonts w:ascii="Cambria" w:hAnsi="Cambria" w:cs="Arial"/>
          <w:bCs/>
          <w:i w:val="0"/>
          <w:iCs w:val="0"/>
          <w:color w:val="auto"/>
          <w:sz w:val="20"/>
          <w:szCs w:val="20"/>
          <w:shd w:val="clear" w:color="auto" w:fill="FFFFFF"/>
        </w:rPr>
        <w:t>Derechos Humanos</w:t>
      </w:r>
      <w:r w:rsidRPr="00B406B3">
        <w:rPr>
          <w:rStyle w:val="apple-converted-space"/>
          <w:rFonts w:ascii="Cambria" w:hAnsi="Cambria" w:cs="Arial"/>
          <w:color w:val="auto"/>
          <w:sz w:val="20"/>
          <w:szCs w:val="20"/>
          <w:shd w:val="clear" w:color="auto" w:fill="FFFFFF"/>
        </w:rPr>
        <w:t> </w:t>
      </w:r>
      <w:r w:rsidRPr="00B406B3">
        <w:rPr>
          <w:rFonts w:ascii="Cambria" w:hAnsi="Cambria" w:cs="Arial"/>
          <w:color w:val="auto"/>
          <w:sz w:val="20"/>
          <w:szCs w:val="20"/>
          <w:shd w:val="clear" w:color="auto" w:fill="FFFFFF"/>
        </w:rPr>
        <w:t>en Guatemala (MINUGUA) indicó en su primer informe anual de 1995 que la “impunidad es el mayor obstáculo para lograr el respeto a los derechos humanos en Guatemala”</w:t>
      </w:r>
      <w:r w:rsidRPr="00B406B3">
        <w:rPr>
          <w:rStyle w:val="FootnoteReference"/>
          <w:rFonts w:ascii="Cambria" w:hAnsi="Cambria"/>
          <w:color w:val="auto"/>
          <w:sz w:val="20"/>
          <w:szCs w:val="20"/>
        </w:rPr>
        <w:footnoteReference w:id="77"/>
      </w:r>
      <w:r w:rsidRPr="00B406B3">
        <w:rPr>
          <w:rFonts w:ascii="Cambria" w:hAnsi="Cambria" w:cs="Arial"/>
          <w:color w:val="auto"/>
          <w:sz w:val="20"/>
          <w:szCs w:val="20"/>
          <w:shd w:val="clear" w:color="auto" w:fill="FFFFFF"/>
        </w:rPr>
        <w:t>. En su informe anual de 1998 sostuvo que existen “</w:t>
      </w:r>
      <w:r w:rsidRPr="00B406B3">
        <w:rPr>
          <w:rFonts w:ascii="Cambria" w:hAnsi="Cambria" w:cs="Arial"/>
          <w:color w:val="252525"/>
          <w:sz w:val="20"/>
          <w:szCs w:val="20"/>
          <w:shd w:val="clear" w:color="auto" w:fill="FFFFFF"/>
        </w:rPr>
        <w:t>problemas que existen para el real ejercicio y protección de la libertad sindical</w:t>
      </w:r>
      <w:r w:rsidRPr="00B406B3">
        <w:rPr>
          <w:rFonts w:ascii="Cambria" w:hAnsi="Cambria" w:cs="Arial"/>
          <w:color w:val="auto"/>
          <w:sz w:val="20"/>
          <w:szCs w:val="20"/>
          <w:shd w:val="clear" w:color="auto" w:fill="FFFFFF"/>
        </w:rPr>
        <w:t>”</w:t>
      </w:r>
      <w:r w:rsidRPr="00B406B3">
        <w:rPr>
          <w:rStyle w:val="FootnoteReference"/>
          <w:rFonts w:ascii="Cambria" w:hAnsi="Cambria" w:cs="Arial"/>
          <w:color w:val="auto"/>
          <w:sz w:val="20"/>
          <w:szCs w:val="20"/>
          <w:shd w:val="clear" w:color="auto" w:fill="FFFFFF"/>
        </w:rPr>
        <w:footnoteReference w:id="78"/>
      </w:r>
      <w:r w:rsidRPr="00B406B3">
        <w:rPr>
          <w:rFonts w:ascii="Cambria" w:hAnsi="Cambria" w:cs="Arial"/>
          <w:color w:val="auto"/>
          <w:sz w:val="20"/>
          <w:szCs w:val="20"/>
          <w:shd w:val="clear" w:color="auto" w:fill="FFFFFF"/>
        </w:rPr>
        <w:t xml:space="preserve">. </w:t>
      </w:r>
      <w:r w:rsidRPr="00B406B3">
        <w:rPr>
          <w:rFonts w:ascii="Cambria" w:hAnsi="Cambria"/>
          <w:color w:val="auto"/>
          <w:sz w:val="20"/>
          <w:szCs w:val="20"/>
        </w:rPr>
        <w:t>Asimismo, en su informe anual de 2002 la MINUGUA señaló que se registraron afectaciones al derecho a la vida y a la libertad personal de personas sindicalistas</w:t>
      </w:r>
      <w:r w:rsidRPr="00B406B3">
        <w:rPr>
          <w:rStyle w:val="FootnoteReference"/>
          <w:rFonts w:ascii="Cambria" w:hAnsi="Cambria"/>
          <w:color w:val="auto"/>
          <w:sz w:val="20"/>
          <w:szCs w:val="20"/>
        </w:rPr>
        <w:footnoteReference w:id="79"/>
      </w:r>
      <w:r w:rsidRPr="00B406B3">
        <w:rPr>
          <w:rFonts w:ascii="Cambria" w:hAnsi="Cambria"/>
          <w:color w:val="auto"/>
          <w:sz w:val="20"/>
          <w:szCs w:val="20"/>
        </w:rPr>
        <w:t xml:space="preserve">. Sostuvo que </w:t>
      </w:r>
      <w:r w:rsidRPr="00B406B3">
        <w:rPr>
          <w:rFonts w:ascii="Cambria" w:hAnsi="Cambria" w:cs="Arial"/>
          <w:color w:val="auto"/>
          <w:sz w:val="20"/>
          <w:szCs w:val="20"/>
          <w:shd w:val="clear" w:color="auto" w:fill="FFFFFF"/>
        </w:rPr>
        <w:t>"</w:t>
      </w:r>
      <w:r w:rsidRPr="00B406B3">
        <w:rPr>
          <w:rFonts w:ascii="Cambria" w:hAnsi="Cambria"/>
          <w:sz w:val="20"/>
          <w:szCs w:val="20"/>
        </w:rPr>
        <w:t>la acción de las instituciones del Estado en la sanción de estos delitos se ve limitada y constituye una insuficiente tutela del ejercicio de la libertad sindical</w:t>
      </w:r>
      <w:r w:rsidRPr="00B406B3">
        <w:rPr>
          <w:rFonts w:ascii="Cambria" w:hAnsi="Cambria" w:cs="Arial"/>
          <w:color w:val="auto"/>
          <w:sz w:val="20"/>
          <w:szCs w:val="20"/>
          <w:shd w:val="clear" w:color="auto" w:fill="FFFFFF"/>
        </w:rPr>
        <w:t>"</w:t>
      </w:r>
      <w:r w:rsidRPr="00B406B3">
        <w:rPr>
          <w:rStyle w:val="FootnoteReference"/>
          <w:rFonts w:ascii="Cambria" w:hAnsi="Cambria"/>
          <w:color w:val="auto"/>
          <w:sz w:val="20"/>
          <w:szCs w:val="20"/>
        </w:rPr>
        <w:footnoteReference w:id="80"/>
      </w:r>
      <w:r w:rsidRPr="00B406B3">
        <w:rPr>
          <w:rFonts w:ascii="Cambria" w:hAnsi="Cambria" w:cs="Arial"/>
          <w:color w:val="auto"/>
          <w:sz w:val="20"/>
          <w:szCs w:val="20"/>
          <w:shd w:val="clear" w:color="auto" w:fill="FFFFFF"/>
        </w:rPr>
        <w:t>.</w:t>
      </w:r>
    </w:p>
    <w:p w:rsidR="00603A0C" w:rsidRPr="00B406B3" w:rsidRDefault="00603A0C" w:rsidP="00603A0C">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color w:val="auto"/>
          <w:sz w:val="20"/>
          <w:szCs w:val="20"/>
          <w:shd w:val="clear" w:color="auto" w:fill="FFFFFF"/>
        </w:rPr>
      </w:pPr>
    </w:p>
    <w:p w:rsidR="00603A0C" w:rsidRPr="00B406B3" w:rsidRDefault="00603A0C" w:rsidP="00603A0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CO"/>
        </w:rPr>
      </w:pPr>
      <w:r w:rsidRPr="00B406B3">
        <w:rPr>
          <w:rFonts w:ascii="Cambria" w:hAnsi="Cambria"/>
          <w:sz w:val="20"/>
          <w:szCs w:val="20"/>
          <w:lang w:val="es-CO"/>
        </w:rPr>
        <w:t>En su informe final de 1999 la Comisión para el Esclarecimiento Histórico (CEH) indicó que durante el conflicto armado en Guatemala las víctimas incluyeron dirigentes sindicales</w:t>
      </w:r>
      <w:r w:rsidRPr="00B406B3">
        <w:rPr>
          <w:rStyle w:val="FootnoteReference"/>
          <w:rFonts w:ascii="Cambria" w:hAnsi="Cambria"/>
          <w:sz w:val="20"/>
          <w:szCs w:val="20"/>
        </w:rPr>
        <w:footnoteReference w:id="81"/>
      </w:r>
      <w:r w:rsidRPr="00B406B3">
        <w:rPr>
          <w:rFonts w:ascii="Cambria" w:hAnsi="Cambria"/>
          <w:sz w:val="20"/>
          <w:szCs w:val="20"/>
          <w:lang w:val="es-CO"/>
        </w:rPr>
        <w:t xml:space="preserve">. La CEH indicó que, utilizando como fundamento y justificación la denominada Doctrina de Seguridad Nacional, en nombre del anticomunismo, se cometieron </w:t>
      </w:r>
      <w:r w:rsidRPr="00B406B3">
        <w:rPr>
          <w:rFonts w:ascii="Cambria" w:hAnsi="Cambria" w:cs="Arial"/>
          <w:color w:val="auto"/>
          <w:sz w:val="20"/>
          <w:szCs w:val="20"/>
          <w:shd w:val="clear" w:color="auto" w:fill="FFFFFF"/>
        </w:rPr>
        <w:t>crímenes</w:t>
      </w:r>
      <w:r w:rsidRPr="00B406B3">
        <w:rPr>
          <w:rFonts w:ascii="Cambria" w:hAnsi="Cambria"/>
          <w:sz w:val="20"/>
          <w:szCs w:val="20"/>
          <w:lang w:val="es-CO"/>
        </w:rPr>
        <w:t xml:space="preserve"> como el secuestro y asesinato de todo tipo de sindicalistas, todos ellos catalogados como “subversivos”</w:t>
      </w:r>
      <w:r w:rsidRPr="00B406B3">
        <w:rPr>
          <w:rStyle w:val="FootnoteReference"/>
          <w:rFonts w:ascii="Cambria" w:hAnsi="Cambria"/>
          <w:sz w:val="20"/>
          <w:szCs w:val="20"/>
        </w:rPr>
        <w:footnoteReference w:id="82"/>
      </w:r>
      <w:r w:rsidRPr="00B406B3">
        <w:rPr>
          <w:rFonts w:ascii="Cambria" w:hAnsi="Cambria"/>
          <w:sz w:val="20"/>
          <w:szCs w:val="20"/>
          <w:lang w:val="es-CO"/>
        </w:rPr>
        <w:t>.</w:t>
      </w:r>
    </w:p>
    <w:p w:rsidR="00603A0C" w:rsidRPr="00B406B3" w:rsidRDefault="00603A0C" w:rsidP="00603A0C">
      <w:pPr>
        <w:jc w:val="both"/>
        <w:rPr>
          <w:rFonts w:ascii="Cambria" w:hAnsi="Cambria"/>
          <w:sz w:val="20"/>
          <w:szCs w:val="20"/>
          <w:lang w:val="es-CO"/>
        </w:rPr>
      </w:pPr>
    </w:p>
    <w:p w:rsidR="00603A0C" w:rsidRPr="00B406B3" w:rsidRDefault="00603A0C" w:rsidP="00603A0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CO"/>
        </w:rPr>
      </w:pPr>
      <w:r w:rsidRPr="00B406B3">
        <w:rPr>
          <w:rFonts w:ascii="Cambria" w:hAnsi="Cambria"/>
          <w:sz w:val="20"/>
          <w:szCs w:val="20"/>
          <w:lang w:val="es-CO"/>
        </w:rPr>
        <w:t xml:space="preserve">En relación con los </w:t>
      </w:r>
      <w:r w:rsidRPr="00B406B3">
        <w:rPr>
          <w:rFonts w:ascii="Cambria" w:hAnsi="Cambria" w:cs="Arial"/>
          <w:color w:val="auto"/>
          <w:sz w:val="20"/>
          <w:szCs w:val="20"/>
          <w:shd w:val="clear" w:color="auto" w:fill="FFFFFF"/>
        </w:rPr>
        <w:t>hechos</w:t>
      </w:r>
      <w:r w:rsidRPr="00B406B3">
        <w:rPr>
          <w:rFonts w:ascii="Cambria" w:hAnsi="Cambria"/>
          <w:sz w:val="20"/>
          <w:szCs w:val="20"/>
          <w:lang w:val="es-CO"/>
        </w:rPr>
        <w:t xml:space="preserve"> de violencia en contra de sindicalistas, la CEH indicó lo siguiente:</w:t>
      </w:r>
    </w:p>
    <w:p w:rsidR="00603A0C" w:rsidRPr="00B406B3" w:rsidRDefault="00603A0C" w:rsidP="00603A0C">
      <w:pPr>
        <w:jc w:val="both"/>
        <w:rPr>
          <w:rFonts w:ascii="Cambria" w:hAnsi="Cambria"/>
          <w:sz w:val="20"/>
          <w:szCs w:val="20"/>
          <w:lang w:val="es-CO"/>
        </w:rPr>
      </w:pPr>
    </w:p>
    <w:p w:rsidR="00603A0C" w:rsidRPr="00B406B3" w:rsidRDefault="00603A0C" w:rsidP="00603A0C">
      <w:pPr>
        <w:ind w:left="720" w:right="720"/>
        <w:jc w:val="both"/>
        <w:rPr>
          <w:rFonts w:ascii="Cambria" w:eastAsia="Times New Roman" w:hAnsi="Cambria"/>
          <w:sz w:val="20"/>
          <w:szCs w:val="20"/>
          <w:lang w:val="es-CO"/>
        </w:rPr>
      </w:pPr>
      <w:r w:rsidRPr="00B406B3">
        <w:rPr>
          <w:rFonts w:ascii="Cambria" w:eastAsia="Times New Roman" w:hAnsi="Cambria"/>
          <w:sz w:val="20"/>
          <w:szCs w:val="20"/>
          <w:lang w:val="es-CO"/>
        </w:rPr>
        <w:t>En el ámbito urbano, variadas violaciones de derechos humanos que afectaron a sindicalistas (...), que fueron ejecutadas materialmente por agentes del Estado o personas que actuaron bajo su protección, con su tolerancia o aquiescencia, derivaron de la estrecha colaboración entre poderosos empresarios y las Fuerzas de Seguridad; fueron cometidas para la protección de los intereses empresariales, en concordancia con políticas gubernamentales abiertamente antisindicales</w:t>
      </w:r>
      <w:r w:rsidRPr="00B406B3">
        <w:rPr>
          <w:rStyle w:val="FootnoteReference"/>
          <w:rFonts w:ascii="Cambria" w:hAnsi="Cambria"/>
          <w:sz w:val="20"/>
          <w:szCs w:val="20"/>
        </w:rPr>
        <w:footnoteReference w:id="83"/>
      </w:r>
      <w:r w:rsidRPr="00B406B3">
        <w:rPr>
          <w:rFonts w:ascii="Cambria" w:eastAsia="Times New Roman" w:hAnsi="Cambria"/>
          <w:sz w:val="20"/>
          <w:szCs w:val="20"/>
          <w:lang w:val="es-CO"/>
        </w:rPr>
        <w:t>.</w:t>
      </w:r>
    </w:p>
    <w:p w:rsidR="00603A0C" w:rsidRPr="00B406B3" w:rsidRDefault="00603A0C" w:rsidP="00603A0C">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s-CO"/>
        </w:rPr>
      </w:pPr>
    </w:p>
    <w:p w:rsidR="00603A0C" w:rsidRPr="00B406B3" w:rsidRDefault="00603A0C" w:rsidP="00603A0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CO"/>
        </w:rPr>
      </w:pPr>
      <w:r w:rsidRPr="00B406B3">
        <w:rPr>
          <w:rFonts w:ascii="Cambria" w:hAnsi="Cambria"/>
          <w:sz w:val="20"/>
          <w:szCs w:val="20"/>
          <w:lang w:val="es-CO"/>
        </w:rPr>
        <w:t xml:space="preserve">Adicionalmente, la Corte Interamericana dio por demostrado en el </w:t>
      </w:r>
      <w:r w:rsidRPr="00B406B3">
        <w:rPr>
          <w:rFonts w:ascii="Cambria" w:hAnsi="Cambria"/>
          <w:i/>
          <w:sz w:val="20"/>
          <w:szCs w:val="20"/>
          <w:lang w:val="es-CO"/>
        </w:rPr>
        <w:t>Caso García y familiares Vs. Guatemala</w:t>
      </w:r>
      <w:r w:rsidRPr="00B406B3">
        <w:rPr>
          <w:rFonts w:ascii="Cambria" w:hAnsi="Cambria"/>
          <w:sz w:val="20"/>
          <w:szCs w:val="20"/>
          <w:lang w:val="es-CO"/>
        </w:rPr>
        <w:t xml:space="preserve"> que las organizaciones sindicalistas “fueron consideradas ‘enemigos internos’ durante el conflicto armado interno en Guatemala”</w:t>
      </w:r>
      <w:r w:rsidRPr="00B406B3">
        <w:rPr>
          <w:rStyle w:val="FootnoteReference"/>
          <w:rFonts w:ascii="Cambria" w:hAnsi="Cambria"/>
          <w:sz w:val="20"/>
          <w:szCs w:val="20"/>
        </w:rPr>
        <w:footnoteReference w:id="84"/>
      </w:r>
      <w:r w:rsidRPr="00B406B3">
        <w:rPr>
          <w:rFonts w:ascii="Cambria" w:hAnsi="Cambria"/>
          <w:sz w:val="20"/>
          <w:szCs w:val="20"/>
          <w:lang w:val="es-CO"/>
        </w:rPr>
        <w:t>. Agregó que durante esa época “existió un patrón de acciones por parte del Estado dirigido a capturar o eliminar a líderes de sindicatos (...) por no compartir la ideología del Estado”</w:t>
      </w:r>
      <w:r w:rsidRPr="00B406B3">
        <w:rPr>
          <w:rStyle w:val="FootnoteReference"/>
          <w:rFonts w:ascii="Cambria" w:hAnsi="Cambria"/>
          <w:sz w:val="20"/>
          <w:szCs w:val="20"/>
        </w:rPr>
        <w:footnoteReference w:id="85"/>
      </w:r>
      <w:r w:rsidRPr="00B406B3">
        <w:rPr>
          <w:rFonts w:ascii="Cambria" w:hAnsi="Cambria"/>
          <w:sz w:val="20"/>
          <w:szCs w:val="20"/>
          <w:lang w:val="es-CO"/>
        </w:rPr>
        <w:t>.</w:t>
      </w:r>
    </w:p>
    <w:p w:rsidR="00603A0C" w:rsidRPr="00B406B3" w:rsidRDefault="00603A0C" w:rsidP="00603A0C">
      <w:pPr>
        <w:jc w:val="both"/>
        <w:rPr>
          <w:rFonts w:ascii="Cambria" w:eastAsia="Times New Roman" w:hAnsi="Cambria"/>
          <w:sz w:val="20"/>
          <w:szCs w:val="20"/>
          <w:lang w:val="es-CO"/>
        </w:rPr>
      </w:pPr>
    </w:p>
    <w:p w:rsidR="00603A0C" w:rsidRPr="00B406B3" w:rsidRDefault="00603A0C" w:rsidP="00603A0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CO"/>
        </w:rPr>
      </w:pPr>
      <w:r w:rsidRPr="00B406B3">
        <w:rPr>
          <w:rFonts w:ascii="Cambria" w:hAnsi="Cambria"/>
          <w:sz w:val="20"/>
          <w:szCs w:val="20"/>
          <w:lang w:val="es-CO"/>
        </w:rPr>
        <w:t>Por su parte, la CIDH se pronunció en el Caso Carlos Gómez Vs. Guatemala, relacionado con ataques en contra de un sindicalista en 1993, indicando lo siguiente:</w:t>
      </w:r>
    </w:p>
    <w:p w:rsidR="00603A0C" w:rsidRPr="00B406B3" w:rsidRDefault="00603A0C" w:rsidP="00603A0C">
      <w:pPr>
        <w:jc w:val="both"/>
        <w:rPr>
          <w:rFonts w:ascii="Cambria" w:eastAsia="Times New Roman" w:hAnsi="Cambria"/>
          <w:sz w:val="20"/>
          <w:szCs w:val="20"/>
          <w:lang w:val="es-CO"/>
        </w:rPr>
      </w:pPr>
    </w:p>
    <w:p w:rsidR="00603A0C" w:rsidRPr="00B406B3" w:rsidRDefault="00603A0C" w:rsidP="00603A0C">
      <w:pPr>
        <w:ind w:left="720" w:right="720"/>
        <w:jc w:val="both"/>
        <w:rPr>
          <w:rFonts w:ascii="Cambria" w:eastAsia="Times New Roman" w:hAnsi="Cambria"/>
          <w:sz w:val="20"/>
          <w:szCs w:val="20"/>
          <w:lang w:val="es-CO"/>
        </w:rPr>
      </w:pPr>
      <w:r w:rsidRPr="00B406B3">
        <w:rPr>
          <w:rFonts w:ascii="Cambria" w:eastAsia="Times New Roman" w:hAnsi="Cambria"/>
          <w:color w:val="000000"/>
          <w:spacing w:val="-3"/>
          <w:sz w:val="20"/>
          <w:szCs w:val="20"/>
          <w:lang w:val="es-CO"/>
        </w:rPr>
        <w:t>Guatemala ha constituido y constituye una práctica gubernamental la participación de agentes oficiales en actos de represión y ataque clandestino contra grupos de derechos humanos y sindicales</w:t>
      </w:r>
      <w:r w:rsidRPr="00B406B3">
        <w:rPr>
          <w:rStyle w:val="FootnoteReference"/>
          <w:rFonts w:ascii="Cambria" w:eastAsia="Times New Roman" w:hAnsi="Cambria"/>
          <w:color w:val="000000"/>
          <w:spacing w:val="-3"/>
          <w:sz w:val="20"/>
          <w:szCs w:val="20"/>
        </w:rPr>
        <w:footnoteReference w:id="86"/>
      </w:r>
      <w:r w:rsidRPr="00B406B3">
        <w:rPr>
          <w:rFonts w:ascii="Cambria" w:eastAsia="Times New Roman" w:hAnsi="Cambria"/>
          <w:color w:val="000000"/>
          <w:spacing w:val="-3"/>
          <w:sz w:val="20"/>
          <w:szCs w:val="20"/>
          <w:lang w:val="es-CO"/>
        </w:rPr>
        <w:t>.</w:t>
      </w:r>
    </w:p>
    <w:p w:rsidR="00603A0C" w:rsidRPr="00B406B3" w:rsidRDefault="00603A0C" w:rsidP="00603A0C">
      <w:pPr>
        <w:jc w:val="both"/>
        <w:rPr>
          <w:rFonts w:ascii="Cambria" w:hAnsi="Cambria"/>
          <w:sz w:val="20"/>
          <w:szCs w:val="20"/>
          <w:lang w:val="es-CO"/>
        </w:rPr>
      </w:pPr>
    </w:p>
    <w:p w:rsidR="00603A0C" w:rsidRPr="00B406B3" w:rsidRDefault="00603A0C" w:rsidP="00603A0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CO"/>
        </w:rPr>
      </w:pPr>
      <w:r w:rsidRPr="00B406B3">
        <w:rPr>
          <w:rFonts w:ascii="Cambria" w:hAnsi="Cambria"/>
          <w:sz w:val="20"/>
          <w:szCs w:val="20"/>
          <w:lang w:val="es-CO"/>
        </w:rPr>
        <w:t xml:space="preserve">La Comisión de </w:t>
      </w:r>
      <w:r w:rsidRPr="00B406B3">
        <w:rPr>
          <w:rFonts w:ascii="Cambria" w:hAnsi="Cambria"/>
          <w:sz w:val="20"/>
          <w:szCs w:val="20"/>
        </w:rPr>
        <w:t>Encuesta</w:t>
      </w:r>
      <w:r w:rsidRPr="00B406B3">
        <w:rPr>
          <w:rFonts w:ascii="Cambria" w:hAnsi="Cambria"/>
          <w:sz w:val="20"/>
          <w:szCs w:val="20"/>
          <w:lang w:val="es-CO"/>
        </w:rPr>
        <w:t xml:space="preserve"> de la OIT creada para analizar el cumplimiento de Guatemala con el Convenio sobre la libertad sindical y la protección del derecho de sindicación, indicó en su informe de 2014 lo siguiente: </w:t>
      </w:r>
    </w:p>
    <w:p w:rsidR="00603A0C" w:rsidRPr="00B406B3" w:rsidRDefault="00603A0C" w:rsidP="00603A0C">
      <w:pPr>
        <w:jc w:val="both"/>
        <w:rPr>
          <w:rFonts w:ascii="Cambria" w:eastAsia="Times New Roman" w:hAnsi="Cambria"/>
          <w:sz w:val="20"/>
          <w:szCs w:val="20"/>
          <w:lang w:val="es-CO"/>
        </w:rPr>
      </w:pPr>
    </w:p>
    <w:p w:rsidR="00603A0C" w:rsidRPr="00B406B3" w:rsidRDefault="00603A0C" w:rsidP="00603A0C">
      <w:pPr>
        <w:ind w:left="720" w:right="720"/>
        <w:jc w:val="both"/>
        <w:rPr>
          <w:rFonts w:ascii="Cambria" w:eastAsia="Times New Roman" w:hAnsi="Cambria"/>
          <w:sz w:val="20"/>
          <w:szCs w:val="20"/>
          <w:lang w:val="es-CO"/>
        </w:rPr>
      </w:pPr>
      <w:r w:rsidRPr="00B406B3">
        <w:rPr>
          <w:rFonts w:ascii="Cambria" w:eastAsia="Times New Roman" w:hAnsi="Cambria"/>
          <w:sz w:val="20"/>
          <w:szCs w:val="20"/>
          <w:lang w:val="es-CO"/>
        </w:rPr>
        <w:t>(...) desde hace varios años ha venido examinando, al igual que el Comité de Libertad Sindical (CLS), alegatos de graves actos de violencia contra dirigentes sindicales y sindicalistas y de la situación de impunidad al respecto. (...) el Comité observa con profunda preocupación que los alegatos son extremadamente graves y se refieren a numerosos asesinatos (58 asesinatos han sido examinados por el Comité desde el año 2004 hasta la fecha) y actos de violencia contra dirigentes sindicales y sindicalistas, en un clima de persistente impunidad</w:t>
      </w:r>
      <w:r w:rsidRPr="00B406B3">
        <w:rPr>
          <w:rStyle w:val="FootnoteReference"/>
          <w:rFonts w:ascii="Cambria" w:eastAsia="Times New Roman" w:hAnsi="Cambria"/>
          <w:color w:val="000000"/>
          <w:spacing w:val="-3"/>
          <w:sz w:val="20"/>
          <w:szCs w:val="20"/>
        </w:rPr>
        <w:footnoteReference w:id="87"/>
      </w:r>
      <w:r w:rsidRPr="00B406B3">
        <w:rPr>
          <w:rFonts w:ascii="Cambria" w:eastAsia="Times New Roman" w:hAnsi="Cambria"/>
          <w:sz w:val="20"/>
          <w:szCs w:val="20"/>
          <w:lang w:val="es-CO"/>
        </w:rPr>
        <w:t>.</w:t>
      </w:r>
    </w:p>
    <w:p w:rsidR="003D58D8" w:rsidRPr="00B406B3" w:rsidRDefault="003D58D8" w:rsidP="003D58D8">
      <w:pPr>
        <w:pStyle w:val="MediumGrid1-Accent21"/>
        <w:jc w:val="both"/>
        <w:rPr>
          <w:rFonts w:ascii="Cambria" w:hAnsi="Cambria"/>
          <w:sz w:val="20"/>
          <w:szCs w:val="20"/>
          <w:lang w:val="es-ES"/>
        </w:rPr>
      </w:pPr>
    </w:p>
    <w:p w:rsidR="003D58D8" w:rsidRPr="00B406B3" w:rsidRDefault="003D58D8" w:rsidP="003D58D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B406B3">
        <w:rPr>
          <w:rFonts w:ascii="Cambria" w:hAnsi="Cambria"/>
          <w:sz w:val="20"/>
          <w:szCs w:val="20"/>
        </w:rPr>
        <w:t>Por su parte, la Oficina de Derechos Humanos del Arzobispado de Guatemala indicó en un comunicado de marzo de 1995 que había registrado múltiples casos de violaciones a la libertad y a la vida del sector sindical ocurridas durante los últimos años</w:t>
      </w:r>
      <w:r w:rsidRPr="00B406B3">
        <w:rPr>
          <w:rStyle w:val="FootnoteReference"/>
          <w:rFonts w:ascii="Cambria" w:hAnsi="Cambria"/>
          <w:sz w:val="20"/>
          <w:szCs w:val="20"/>
        </w:rPr>
        <w:footnoteReference w:id="88"/>
      </w:r>
      <w:r w:rsidRPr="00B406B3">
        <w:rPr>
          <w:rFonts w:ascii="Cambria" w:hAnsi="Cambria"/>
          <w:sz w:val="20"/>
          <w:szCs w:val="20"/>
        </w:rPr>
        <w:t>. Sostuvo que se había denunciado la existencia de aparatos clandestinos del Estado quienes son los encargados de operativizar dichas violaciones a los derechos humanos</w:t>
      </w:r>
      <w:r w:rsidRPr="00B406B3">
        <w:rPr>
          <w:rStyle w:val="FootnoteReference"/>
          <w:rFonts w:ascii="Cambria" w:hAnsi="Cambria"/>
          <w:sz w:val="20"/>
          <w:szCs w:val="20"/>
        </w:rPr>
        <w:footnoteReference w:id="89"/>
      </w:r>
      <w:r w:rsidRPr="00B406B3">
        <w:rPr>
          <w:rFonts w:ascii="Cambria" w:hAnsi="Cambria"/>
          <w:sz w:val="20"/>
          <w:szCs w:val="20"/>
        </w:rPr>
        <w:t>.</w:t>
      </w:r>
    </w:p>
    <w:p w:rsidR="004C7866" w:rsidRPr="00B406B3" w:rsidRDefault="004C7866" w:rsidP="00053951">
      <w:pPr>
        <w:pStyle w:val="ColorfulShading-Accent31"/>
        <w:ind w:left="0"/>
        <w:jc w:val="both"/>
        <w:rPr>
          <w:sz w:val="20"/>
          <w:szCs w:val="20"/>
          <w:lang w:val="es-ES_tradnl"/>
        </w:rPr>
      </w:pPr>
    </w:p>
    <w:p w:rsidR="00427BF9" w:rsidRPr="00BF3D11" w:rsidRDefault="00427BF9" w:rsidP="00996FA3">
      <w:pPr>
        <w:pStyle w:val="Heading1"/>
      </w:pPr>
      <w:bookmarkStart w:id="40" w:name="_Toc473188701"/>
      <w:r w:rsidRPr="00BF3D11">
        <w:t>ANÁLISIS DE DERECHO</w:t>
      </w:r>
      <w:bookmarkEnd w:id="40"/>
    </w:p>
    <w:p w:rsidR="004C7866" w:rsidRPr="00BF3D11" w:rsidRDefault="004C7866" w:rsidP="00053951">
      <w:pPr>
        <w:pStyle w:val="ColorfulShading-Accent31"/>
        <w:ind w:left="0"/>
        <w:jc w:val="both"/>
        <w:rPr>
          <w:sz w:val="20"/>
          <w:szCs w:val="20"/>
          <w:lang w:val="es-ES_tradnl"/>
        </w:rPr>
      </w:pPr>
    </w:p>
    <w:p w:rsidR="00FF6BEE" w:rsidRPr="00BF3D11" w:rsidRDefault="00FF6BEE" w:rsidP="00053951">
      <w:pPr>
        <w:pStyle w:val="Heading2"/>
        <w:numPr>
          <w:ilvl w:val="0"/>
          <w:numId w:val="59"/>
        </w:numPr>
        <w:spacing w:before="0" w:after="0"/>
        <w:ind w:left="1440" w:hanging="720"/>
        <w:jc w:val="both"/>
        <w:rPr>
          <w:rFonts w:ascii="Cambria" w:hAnsi="Cambria"/>
          <w:i w:val="0"/>
          <w:sz w:val="20"/>
          <w:szCs w:val="20"/>
          <w:lang w:val="es-ES"/>
        </w:rPr>
      </w:pPr>
      <w:bookmarkStart w:id="41" w:name="_Toc473188702"/>
      <w:r w:rsidRPr="00BF3D11">
        <w:rPr>
          <w:rFonts w:ascii="Cambria" w:hAnsi="Cambria"/>
          <w:i w:val="0"/>
          <w:sz w:val="20"/>
          <w:szCs w:val="20"/>
          <w:lang w:val="es-ES"/>
        </w:rPr>
        <w:t>Derechos a la vida</w:t>
      </w:r>
      <w:r w:rsidR="00F12320" w:rsidRPr="00BF3D11">
        <w:rPr>
          <w:rFonts w:ascii="Cambria" w:hAnsi="Cambria"/>
          <w:i w:val="0"/>
          <w:sz w:val="20"/>
          <w:szCs w:val="20"/>
          <w:lang w:val="es-ES"/>
        </w:rPr>
        <w:t xml:space="preserve"> e </w:t>
      </w:r>
      <w:r w:rsidRPr="00BF3D11">
        <w:rPr>
          <w:rFonts w:ascii="Cambria" w:hAnsi="Cambria"/>
          <w:i w:val="0"/>
          <w:sz w:val="20"/>
          <w:szCs w:val="20"/>
          <w:lang w:val="es-ES"/>
        </w:rPr>
        <w:t>integridad personal y libertad personal (artículos 4</w:t>
      </w:r>
      <w:r w:rsidR="00AB1B6D" w:rsidRPr="00BF3D11">
        <w:rPr>
          <w:rFonts w:ascii="Cambria" w:hAnsi="Cambria"/>
          <w:i w:val="0"/>
          <w:sz w:val="20"/>
          <w:szCs w:val="20"/>
          <w:lang w:val="es-ES"/>
        </w:rPr>
        <w:t>.1</w:t>
      </w:r>
      <w:r w:rsidR="00AB1B6D" w:rsidRPr="00BF3D11">
        <w:rPr>
          <w:rStyle w:val="FootnoteReference"/>
          <w:rFonts w:ascii="Cambria" w:hAnsi="Cambria"/>
          <w:i w:val="0"/>
          <w:sz w:val="20"/>
          <w:szCs w:val="20"/>
          <w:lang w:val="es-ES"/>
        </w:rPr>
        <w:footnoteReference w:id="90"/>
      </w:r>
      <w:r w:rsidR="00407003" w:rsidRPr="00BF3D11">
        <w:rPr>
          <w:rFonts w:ascii="Cambria" w:hAnsi="Cambria"/>
          <w:i w:val="0"/>
          <w:sz w:val="20"/>
          <w:szCs w:val="20"/>
          <w:lang w:val="es-ES"/>
        </w:rPr>
        <w:t>,</w:t>
      </w:r>
      <w:r w:rsidR="00F12320" w:rsidRPr="00BF3D11">
        <w:rPr>
          <w:rFonts w:ascii="Cambria" w:hAnsi="Cambria"/>
          <w:i w:val="0"/>
          <w:sz w:val="20"/>
          <w:szCs w:val="20"/>
          <w:lang w:val="es-ES"/>
        </w:rPr>
        <w:t xml:space="preserve"> </w:t>
      </w:r>
      <w:r w:rsidRPr="00BF3D11">
        <w:rPr>
          <w:rFonts w:ascii="Cambria" w:hAnsi="Cambria"/>
          <w:i w:val="0"/>
          <w:sz w:val="20"/>
          <w:szCs w:val="20"/>
          <w:lang w:val="es-ES"/>
        </w:rPr>
        <w:t>5</w:t>
      </w:r>
      <w:r w:rsidR="00AB1B6D" w:rsidRPr="00BF3D11">
        <w:rPr>
          <w:rFonts w:ascii="Cambria" w:hAnsi="Cambria"/>
          <w:i w:val="0"/>
          <w:sz w:val="20"/>
          <w:szCs w:val="20"/>
          <w:lang w:val="es-ES"/>
        </w:rPr>
        <w:t>.1</w:t>
      </w:r>
      <w:r w:rsidR="00AB1B6D" w:rsidRPr="00BF3D11">
        <w:rPr>
          <w:rStyle w:val="FootnoteReference"/>
          <w:rFonts w:ascii="Cambria" w:hAnsi="Cambria"/>
          <w:i w:val="0"/>
          <w:sz w:val="20"/>
          <w:szCs w:val="20"/>
          <w:lang w:val="es-ES"/>
        </w:rPr>
        <w:footnoteReference w:id="91"/>
      </w:r>
      <w:r w:rsidR="00407003" w:rsidRPr="00BF3D11">
        <w:rPr>
          <w:rFonts w:ascii="Cambria" w:hAnsi="Cambria"/>
          <w:i w:val="0"/>
          <w:sz w:val="20"/>
          <w:szCs w:val="20"/>
          <w:lang w:val="es-ES"/>
        </w:rPr>
        <w:t xml:space="preserve"> y 7.1</w:t>
      </w:r>
      <w:r w:rsidR="00407003" w:rsidRPr="00BF3D11">
        <w:rPr>
          <w:rStyle w:val="FootnoteReference"/>
          <w:rFonts w:ascii="Cambria" w:hAnsi="Cambria"/>
          <w:i w:val="0"/>
          <w:sz w:val="20"/>
          <w:szCs w:val="20"/>
          <w:lang w:val="es-ES"/>
        </w:rPr>
        <w:footnoteReference w:id="92"/>
      </w:r>
      <w:r w:rsidR="00820C34">
        <w:rPr>
          <w:rFonts w:ascii="Cambria" w:hAnsi="Cambria"/>
          <w:i w:val="0"/>
          <w:sz w:val="20"/>
          <w:szCs w:val="20"/>
          <w:lang w:val="es-ES"/>
        </w:rPr>
        <w:t xml:space="preserve"> y 16</w:t>
      </w:r>
      <w:r w:rsidR="00030F02">
        <w:rPr>
          <w:rStyle w:val="FootnoteReference"/>
          <w:rFonts w:ascii="Cambria" w:hAnsi="Cambria"/>
          <w:i w:val="0"/>
          <w:sz w:val="20"/>
          <w:szCs w:val="20"/>
          <w:lang w:val="es-ES"/>
        </w:rPr>
        <w:footnoteReference w:id="93"/>
      </w:r>
      <w:r w:rsidRPr="00BF3D11">
        <w:rPr>
          <w:rFonts w:ascii="Cambria" w:hAnsi="Cambria"/>
          <w:i w:val="0"/>
          <w:sz w:val="20"/>
          <w:szCs w:val="20"/>
          <w:lang w:val="es-ES"/>
        </w:rPr>
        <w:t xml:space="preserve"> de la Convención Americana en relación con el artículo 1.1 del mismo instrumento)</w:t>
      </w:r>
      <w:bookmarkEnd w:id="41"/>
      <w:r w:rsidRPr="00BF3D11">
        <w:rPr>
          <w:rFonts w:ascii="Cambria" w:hAnsi="Cambria"/>
          <w:i w:val="0"/>
          <w:sz w:val="20"/>
          <w:szCs w:val="20"/>
          <w:lang w:val="es-ES"/>
        </w:rPr>
        <w:t xml:space="preserve"> </w:t>
      </w:r>
    </w:p>
    <w:p w:rsidR="00FF6BEE" w:rsidRPr="00BF3D11" w:rsidRDefault="00FF6BEE" w:rsidP="00053951">
      <w:pPr>
        <w:jc w:val="both"/>
        <w:rPr>
          <w:rFonts w:ascii="Cambria" w:hAnsi="Cambria"/>
          <w:sz w:val="20"/>
          <w:szCs w:val="20"/>
          <w:lang w:val="es-BO"/>
        </w:rPr>
      </w:pPr>
    </w:p>
    <w:p w:rsidR="00FF6BEE" w:rsidRPr="00BF3D11" w:rsidRDefault="00FF6BEE"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BO"/>
        </w:rPr>
      </w:pPr>
      <w:r w:rsidRPr="00BF3D11">
        <w:rPr>
          <w:rFonts w:ascii="Cambria" w:hAnsi="Cambria"/>
          <w:sz w:val="20"/>
          <w:szCs w:val="20"/>
          <w:lang w:val="es-BO"/>
        </w:rPr>
        <w:t xml:space="preserve">La </w:t>
      </w:r>
      <w:r w:rsidR="00AB1B6D" w:rsidRPr="00BF3D11">
        <w:rPr>
          <w:rFonts w:ascii="Cambria" w:hAnsi="Cambria"/>
          <w:sz w:val="20"/>
          <w:szCs w:val="20"/>
          <w:lang w:val="es-BO"/>
        </w:rPr>
        <w:t>Comisión ha reiterado</w:t>
      </w:r>
      <w:r w:rsidRPr="00BF3D11">
        <w:rPr>
          <w:rFonts w:ascii="Cambria" w:hAnsi="Cambria"/>
          <w:sz w:val="20"/>
          <w:szCs w:val="20"/>
          <w:lang w:val="es-BO"/>
        </w:rPr>
        <w:t xml:space="preserve"> que l</w:t>
      </w:r>
      <w:r w:rsidRPr="00BF3D11">
        <w:rPr>
          <w:rFonts w:ascii="Cambria" w:hAnsi="Cambria"/>
          <w:sz w:val="20"/>
          <w:szCs w:val="20"/>
          <w:lang w:val="es-ES"/>
        </w:rPr>
        <w:t>os derechos a la vida y a la integridad personal revisten un carácter fundamental en la Convención</w:t>
      </w:r>
      <w:r w:rsidR="00AB1B6D" w:rsidRPr="00BF3D11">
        <w:rPr>
          <w:rFonts w:ascii="Cambria" w:hAnsi="Cambria"/>
          <w:sz w:val="20"/>
          <w:szCs w:val="20"/>
          <w:lang w:val="es-ES"/>
        </w:rPr>
        <w:t xml:space="preserve"> Americana</w:t>
      </w:r>
      <w:r w:rsidRPr="00BF3D11">
        <w:rPr>
          <w:rFonts w:ascii="Cambria" w:hAnsi="Cambria"/>
          <w:sz w:val="20"/>
          <w:szCs w:val="20"/>
          <w:lang w:val="es-ES"/>
        </w:rPr>
        <w:t xml:space="preserve">. </w:t>
      </w:r>
      <w:r w:rsidR="00AB1B6D" w:rsidRPr="00BF3D11">
        <w:rPr>
          <w:rFonts w:ascii="Cambria" w:hAnsi="Cambria"/>
          <w:sz w:val="20"/>
          <w:szCs w:val="20"/>
          <w:lang w:val="es-ES"/>
        </w:rPr>
        <w:t>En ese sentido,</w:t>
      </w:r>
      <w:r w:rsidRPr="00BF3D11">
        <w:rPr>
          <w:rFonts w:ascii="Cambria" w:hAnsi="Cambria"/>
          <w:sz w:val="20"/>
          <w:szCs w:val="20"/>
          <w:lang w:val="es-ES"/>
        </w:rPr>
        <w:t xml:space="preserve"> no basta que los Estados se abstengan de violar </w:t>
      </w:r>
      <w:r w:rsidR="00AB1B6D" w:rsidRPr="00BF3D11">
        <w:rPr>
          <w:rFonts w:ascii="Cambria" w:hAnsi="Cambria"/>
          <w:sz w:val="20"/>
          <w:szCs w:val="20"/>
          <w:lang w:val="es-ES"/>
        </w:rPr>
        <w:t>tales</w:t>
      </w:r>
      <w:r w:rsidRPr="00BF3D11">
        <w:rPr>
          <w:rFonts w:ascii="Cambria" w:hAnsi="Cambria"/>
          <w:sz w:val="20"/>
          <w:szCs w:val="20"/>
          <w:lang w:val="es-ES"/>
        </w:rPr>
        <w:t xml:space="preserve"> derechos, sino que es imperativa la adopción de medidas positivas, determinables en función de las particulares necesidades de protección del sujeto de derecho, ya sea por su condición personal o por la situación específica en que se encuentre</w:t>
      </w:r>
      <w:r w:rsidRPr="00BF3D11">
        <w:rPr>
          <w:rStyle w:val="FootnoteReference"/>
          <w:rFonts w:ascii="Cambria" w:hAnsi="Cambria"/>
          <w:sz w:val="20"/>
          <w:szCs w:val="20"/>
          <w:lang w:val="es-EC"/>
        </w:rPr>
        <w:footnoteReference w:id="94"/>
      </w:r>
      <w:r w:rsidRPr="00BF3D11">
        <w:rPr>
          <w:rFonts w:ascii="Cambria" w:hAnsi="Cambria"/>
          <w:sz w:val="20"/>
          <w:szCs w:val="20"/>
          <w:lang w:val="es-ES"/>
        </w:rPr>
        <w:t>.</w:t>
      </w:r>
    </w:p>
    <w:p w:rsidR="00FF6BEE" w:rsidRPr="00BF3D11" w:rsidRDefault="00FF6BEE" w:rsidP="00053951">
      <w:pPr>
        <w:jc w:val="both"/>
        <w:rPr>
          <w:rFonts w:ascii="Cambria" w:hAnsi="Cambria"/>
          <w:sz w:val="20"/>
          <w:szCs w:val="20"/>
          <w:lang w:val="es-EC"/>
        </w:rPr>
      </w:pPr>
    </w:p>
    <w:p w:rsidR="00FF6BEE" w:rsidRPr="00BF3D11" w:rsidRDefault="00FF6BEE"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PE"/>
        </w:rPr>
      </w:pPr>
      <w:r w:rsidRPr="00BF3D11">
        <w:rPr>
          <w:rFonts w:ascii="Cambria" w:hAnsi="Cambria"/>
          <w:sz w:val="20"/>
          <w:szCs w:val="20"/>
          <w:lang w:val="es-PE"/>
        </w:rPr>
        <w:t xml:space="preserve">De la jurisprudencia interamericana resulta que cuando se trata de la denuncia de la desaparición de una persona, existe un vínculo inescindible entre la respuesta estatal y la protección de la vida e integridad de la persona que se denuncia desaparecida. </w:t>
      </w:r>
      <w:r w:rsidRPr="00BF3D11">
        <w:rPr>
          <w:rFonts w:ascii="Cambria" w:hAnsi="Cambria"/>
          <w:sz w:val="20"/>
          <w:szCs w:val="20"/>
          <w:lang w:val="es-EC"/>
        </w:rPr>
        <w:t xml:space="preserve">La naturaleza inmediata y exhaustiva de la respuesta estatal es independiente de si se trata de una posible desaparición de manos de particulares o de manos de agentes estatales. </w:t>
      </w:r>
      <w:r w:rsidRPr="00BF3D11">
        <w:rPr>
          <w:rFonts w:ascii="Cambria" w:hAnsi="Cambria"/>
          <w:bCs/>
          <w:iCs/>
          <w:sz w:val="20"/>
          <w:szCs w:val="20"/>
          <w:lang w:val="es-EC"/>
        </w:rPr>
        <w:t xml:space="preserve">La </w:t>
      </w:r>
      <w:r w:rsidRPr="00BF3D11">
        <w:rPr>
          <w:rFonts w:ascii="Cambria" w:hAnsi="Cambria"/>
          <w:sz w:val="20"/>
          <w:szCs w:val="20"/>
          <w:lang w:val="es-ES"/>
        </w:rPr>
        <w:t>Comisión</w:t>
      </w:r>
      <w:r w:rsidRPr="00BF3D11">
        <w:rPr>
          <w:rFonts w:ascii="Cambria" w:hAnsi="Cambria"/>
          <w:bCs/>
          <w:iCs/>
          <w:sz w:val="20"/>
          <w:szCs w:val="20"/>
          <w:lang w:val="es-EC"/>
        </w:rPr>
        <w:t xml:space="preserve"> reitera que “</w:t>
      </w:r>
      <w:r w:rsidRPr="00BF3D11">
        <w:rPr>
          <w:rFonts w:ascii="Cambria" w:hAnsi="Cambria"/>
          <w:sz w:val="20"/>
          <w:szCs w:val="20"/>
          <w:lang w:val="es-CO"/>
        </w:rPr>
        <w:t xml:space="preserve">cuando haya motivos razonables para sospechar que una persona ha sido sometida a desaparición, es imprescindible la actuación pronta e </w:t>
      </w:r>
      <w:r w:rsidRPr="00BF3D11">
        <w:rPr>
          <w:rFonts w:ascii="Cambria" w:hAnsi="Cambria"/>
          <w:sz w:val="20"/>
          <w:szCs w:val="20"/>
          <w:lang w:val="es-EC"/>
        </w:rPr>
        <w:t>inmediata</w:t>
      </w:r>
      <w:r w:rsidRPr="00BF3D11">
        <w:rPr>
          <w:rFonts w:ascii="Cambria" w:hAnsi="Cambria"/>
          <w:sz w:val="20"/>
          <w:szCs w:val="20"/>
          <w:lang w:val="es-CO"/>
        </w:rPr>
        <w:t xml:space="preserve"> de las </w:t>
      </w:r>
      <w:r w:rsidRPr="00BF3D11">
        <w:rPr>
          <w:rFonts w:ascii="Cambria" w:hAnsi="Cambria"/>
          <w:sz w:val="20"/>
          <w:szCs w:val="20"/>
          <w:lang w:val="es-CO"/>
        </w:rPr>
        <w:lastRenderedPageBreak/>
        <w:t>autoridades fiscales y judiciales ordenando medidas oportunas y necesarias dirigidas a la determinación del paradero de la víctima o el lugar donde pueda encontrarse privada de libertad</w:t>
      </w:r>
      <w:bookmarkStart w:id="42" w:name="_Ref280106061"/>
      <w:r w:rsidRPr="00BF3D11">
        <w:rPr>
          <w:rFonts w:ascii="Cambria" w:hAnsi="Cambria"/>
          <w:sz w:val="20"/>
          <w:szCs w:val="20"/>
          <w:lang w:val="es-CO"/>
        </w:rPr>
        <w:t>”</w:t>
      </w:r>
      <w:r w:rsidRPr="00BF3D11">
        <w:rPr>
          <w:rStyle w:val="FootnoteReference"/>
          <w:rFonts w:ascii="Cambria" w:hAnsi="Cambria"/>
          <w:sz w:val="20"/>
          <w:szCs w:val="20"/>
        </w:rPr>
        <w:footnoteReference w:id="95"/>
      </w:r>
      <w:bookmarkEnd w:id="42"/>
      <w:r w:rsidRPr="00BF3D11">
        <w:rPr>
          <w:rFonts w:ascii="Cambria" w:hAnsi="Cambria"/>
          <w:sz w:val="20"/>
          <w:szCs w:val="20"/>
          <w:lang w:val="es-CO"/>
        </w:rPr>
        <w:t xml:space="preserve">. </w:t>
      </w:r>
    </w:p>
    <w:p w:rsidR="00997CF9" w:rsidRPr="00BF3D11" w:rsidRDefault="00997CF9" w:rsidP="000539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rsidR="00997CF9" w:rsidRPr="00BF3D11" w:rsidRDefault="00997CF9"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PE"/>
        </w:rPr>
      </w:pPr>
      <w:r w:rsidRPr="00BF3D11">
        <w:rPr>
          <w:rFonts w:ascii="Cambria" w:hAnsi="Cambria"/>
          <w:sz w:val="20"/>
          <w:szCs w:val="20"/>
          <w:lang w:val="es-CO"/>
        </w:rPr>
        <w:t xml:space="preserve">En el presente caso no existe </w:t>
      </w:r>
      <w:r w:rsidR="00AD7004">
        <w:rPr>
          <w:rFonts w:ascii="Cambria" w:hAnsi="Cambria"/>
          <w:sz w:val="20"/>
          <w:szCs w:val="20"/>
          <w:lang w:val="es-CO"/>
        </w:rPr>
        <w:t xml:space="preserve">controversia respecto a </w:t>
      </w:r>
      <w:r w:rsidRPr="00BF3D11">
        <w:rPr>
          <w:rFonts w:ascii="Cambria" w:hAnsi="Cambria"/>
          <w:sz w:val="20"/>
          <w:szCs w:val="20"/>
          <w:lang w:val="es-CO"/>
        </w:rPr>
        <w:t xml:space="preserve">que Alejandro Yovany Gómez fue privado de </w:t>
      </w:r>
      <w:r w:rsidRPr="0083453F">
        <w:rPr>
          <w:rFonts w:ascii="Cambria" w:hAnsi="Cambria"/>
          <w:sz w:val="20"/>
          <w:szCs w:val="20"/>
          <w:lang w:val="es-CO"/>
        </w:rPr>
        <w:t xml:space="preserve">libertad el 13 de marzo de 1995 y asesinado en algún momento indeterminado entre dicha fecha y el 19 de marzo de 1995, día en que fue encontrado su cadáver. </w:t>
      </w:r>
      <w:r w:rsidR="00ED6A0A" w:rsidRPr="0083453F">
        <w:rPr>
          <w:rFonts w:ascii="Cambria" w:hAnsi="Cambria"/>
          <w:sz w:val="20"/>
          <w:szCs w:val="20"/>
          <w:lang w:val="es-CO"/>
        </w:rPr>
        <w:t>En ese sentido, para la Comisió</w:t>
      </w:r>
      <w:r w:rsidR="00E6029F" w:rsidRPr="0083453F">
        <w:rPr>
          <w:rFonts w:ascii="Cambria" w:hAnsi="Cambria"/>
          <w:sz w:val="20"/>
          <w:szCs w:val="20"/>
          <w:lang w:val="es-CO"/>
        </w:rPr>
        <w:t>n es claro que el señor Gómez fue privado de sus derechos a la</w:t>
      </w:r>
      <w:r w:rsidR="005B0EDD" w:rsidRPr="0083453F">
        <w:rPr>
          <w:rFonts w:ascii="Cambria" w:hAnsi="Cambria"/>
          <w:sz w:val="20"/>
          <w:szCs w:val="20"/>
          <w:lang w:val="es-CO"/>
        </w:rPr>
        <w:t xml:space="preserve"> libertad personal y a la vida. Asimismo, tomando en cuenta que el señor Gómez no fue asesinado inmediatamente, la Comisión entiende que también sufrió una afectación a la integridad persona</w:t>
      </w:r>
      <w:r w:rsidR="00C07ECE" w:rsidRPr="0083453F">
        <w:rPr>
          <w:rFonts w:ascii="Cambria" w:hAnsi="Cambria"/>
          <w:sz w:val="20"/>
          <w:szCs w:val="20"/>
          <w:lang w:val="es-CO"/>
        </w:rPr>
        <w:t>l, lo que resulta también consistente con el testimonio que indica que fue golpeado al momento de su detención.</w:t>
      </w:r>
      <w:r w:rsidR="005B0EDD" w:rsidRPr="0083453F">
        <w:rPr>
          <w:rFonts w:ascii="Cambria" w:hAnsi="Cambria"/>
          <w:sz w:val="20"/>
          <w:szCs w:val="20"/>
          <w:lang w:val="es-CO"/>
        </w:rPr>
        <w:t xml:space="preserve"> </w:t>
      </w:r>
      <w:r w:rsidR="00E6029F" w:rsidRPr="0083453F">
        <w:rPr>
          <w:rFonts w:ascii="Cambria" w:hAnsi="Cambria"/>
          <w:sz w:val="20"/>
          <w:szCs w:val="20"/>
          <w:lang w:val="es-CO"/>
        </w:rPr>
        <w:t xml:space="preserve">Ahora bien, no surge del expediente </w:t>
      </w:r>
      <w:r w:rsidR="00E6029F" w:rsidRPr="0083453F">
        <w:rPr>
          <w:rFonts w:ascii="Cambria" w:hAnsi="Cambria"/>
          <w:sz w:val="20"/>
          <w:szCs w:val="20"/>
          <w:lang w:val="es-EC"/>
        </w:rPr>
        <w:t>la posible participación de agentes estatales en estos hechos, por lo que el análisis de posible atribución de responsabilidad internacional debe efectuarse respecto del deber de garantía y, particularmente</w:t>
      </w:r>
      <w:r w:rsidR="00E6029F" w:rsidRPr="00BF3D11">
        <w:rPr>
          <w:rFonts w:ascii="Cambria" w:hAnsi="Cambria"/>
          <w:sz w:val="20"/>
          <w:szCs w:val="20"/>
          <w:lang w:val="es-EC"/>
        </w:rPr>
        <w:t xml:space="preserve">, respecto del deber de prevenir. El deber de investigar será analizado posteriormente en el presente informe. </w:t>
      </w:r>
    </w:p>
    <w:p w:rsidR="00FF6BEE" w:rsidRPr="00BF3D11" w:rsidRDefault="00FF6BEE" w:rsidP="00053951">
      <w:pPr>
        <w:ind w:firstLine="567"/>
        <w:jc w:val="both"/>
        <w:rPr>
          <w:rFonts w:ascii="Cambria" w:hAnsi="Cambria"/>
          <w:sz w:val="20"/>
          <w:szCs w:val="20"/>
          <w:lang w:val="es-ES_tradnl"/>
        </w:rPr>
      </w:pPr>
    </w:p>
    <w:p w:rsidR="00AD6CC1" w:rsidRPr="00BF3D11" w:rsidRDefault="00E6029F"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BF3D11">
        <w:rPr>
          <w:rFonts w:ascii="Cambria" w:hAnsi="Cambria"/>
          <w:sz w:val="20"/>
          <w:szCs w:val="20"/>
          <w:lang w:val="es-EC"/>
        </w:rPr>
        <w:t xml:space="preserve">En cuanto al deber de prevenir, </w:t>
      </w:r>
      <w:r w:rsidR="000D1864" w:rsidRPr="00BF3D11">
        <w:rPr>
          <w:rFonts w:ascii="Cambria" w:hAnsi="Cambria"/>
          <w:sz w:val="20"/>
          <w:szCs w:val="20"/>
          <w:lang w:val="es-EC"/>
        </w:rPr>
        <w:t xml:space="preserve">la CIDH observa que no existen elementos </w:t>
      </w:r>
      <w:r w:rsidR="00FF6BEE" w:rsidRPr="00BF3D11">
        <w:rPr>
          <w:rFonts w:ascii="Cambria" w:hAnsi="Cambria"/>
          <w:sz w:val="20"/>
          <w:szCs w:val="20"/>
          <w:lang w:val="es-EC"/>
        </w:rPr>
        <w:t>en el expediente ante la CIDH que indiquen una situación de amenazas previas</w:t>
      </w:r>
      <w:r w:rsidR="000D1864" w:rsidRPr="00BF3D11">
        <w:rPr>
          <w:rFonts w:ascii="Cambria" w:hAnsi="Cambria"/>
          <w:sz w:val="20"/>
          <w:szCs w:val="20"/>
          <w:lang w:val="es-EC"/>
        </w:rPr>
        <w:t xml:space="preserve"> al 13 de marzo de 1995</w:t>
      </w:r>
      <w:r w:rsidR="00FF6BEE" w:rsidRPr="00BF3D11">
        <w:rPr>
          <w:rFonts w:ascii="Cambria" w:hAnsi="Cambria"/>
          <w:sz w:val="20"/>
          <w:szCs w:val="20"/>
          <w:lang w:val="es-EC"/>
        </w:rPr>
        <w:t xml:space="preserve"> </w:t>
      </w:r>
      <w:r w:rsidR="00AD6CC1" w:rsidRPr="00BF3D11">
        <w:rPr>
          <w:rFonts w:ascii="Cambria" w:hAnsi="Cambria"/>
          <w:sz w:val="20"/>
          <w:szCs w:val="20"/>
          <w:lang w:val="es-EC"/>
        </w:rPr>
        <w:t>en</w:t>
      </w:r>
      <w:r w:rsidR="0053077C" w:rsidRPr="00BF3D11">
        <w:rPr>
          <w:rFonts w:ascii="Cambria" w:hAnsi="Cambria"/>
          <w:sz w:val="20"/>
          <w:szCs w:val="20"/>
          <w:lang w:val="es-EC"/>
        </w:rPr>
        <w:t xml:space="preserve"> </w:t>
      </w:r>
      <w:r w:rsidR="00AD6CC1" w:rsidRPr="00BF3D11">
        <w:rPr>
          <w:rFonts w:ascii="Cambria" w:hAnsi="Cambria"/>
          <w:sz w:val="20"/>
          <w:szCs w:val="20"/>
          <w:lang w:val="es-EC"/>
        </w:rPr>
        <w:t>perjuicio</w:t>
      </w:r>
      <w:r w:rsidR="0053077C" w:rsidRPr="00BF3D11">
        <w:rPr>
          <w:rFonts w:ascii="Cambria" w:hAnsi="Cambria"/>
          <w:sz w:val="20"/>
          <w:szCs w:val="20"/>
          <w:lang w:val="es-EC"/>
        </w:rPr>
        <w:t xml:space="preserve"> de Alejandro Yovany Gómez</w:t>
      </w:r>
      <w:r w:rsidR="00866ABC" w:rsidRPr="00BF3D11">
        <w:rPr>
          <w:rFonts w:ascii="Cambria" w:hAnsi="Cambria"/>
          <w:sz w:val="20"/>
          <w:szCs w:val="20"/>
          <w:lang w:val="es-EC"/>
        </w:rPr>
        <w:t>;</w:t>
      </w:r>
      <w:r w:rsidR="000D1864" w:rsidRPr="00BF3D11">
        <w:rPr>
          <w:rFonts w:ascii="Cambria" w:hAnsi="Cambria"/>
          <w:sz w:val="20"/>
          <w:szCs w:val="20"/>
          <w:lang w:val="es-EC"/>
        </w:rPr>
        <w:t xml:space="preserve"> ni información que apunte a que eventuales amenazas hubieran sido puestas en conocimiento de autoridades </w:t>
      </w:r>
      <w:r w:rsidR="00406770" w:rsidRPr="00BF3D11">
        <w:rPr>
          <w:rFonts w:ascii="Cambria" w:hAnsi="Cambria"/>
          <w:sz w:val="20"/>
          <w:szCs w:val="20"/>
          <w:lang w:val="es-EC"/>
        </w:rPr>
        <w:t>estatales</w:t>
      </w:r>
      <w:r w:rsidR="000D1864" w:rsidRPr="00BF3D11">
        <w:rPr>
          <w:rFonts w:ascii="Cambria" w:hAnsi="Cambria"/>
          <w:sz w:val="20"/>
          <w:szCs w:val="20"/>
          <w:lang w:val="es-EC"/>
        </w:rPr>
        <w:t xml:space="preserve">. </w:t>
      </w:r>
      <w:r w:rsidR="00FF6BEE" w:rsidRPr="00BF3D11">
        <w:rPr>
          <w:rFonts w:ascii="Cambria" w:hAnsi="Cambria"/>
          <w:sz w:val="20"/>
          <w:szCs w:val="20"/>
          <w:lang w:val="es-EC"/>
        </w:rPr>
        <w:t>En ese sentido</w:t>
      </w:r>
      <w:r w:rsidR="00866ABC" w:rsidRPr="00BF3D11">
        <w:rPr>
          <w:rFonts w:ascii="Cambria" w:hAnsi="Cambria"/>
          <w:sz w:val="20"/>
          <w:szCs w:val="20"/>
          <w:lang w:val="es-EC"/>
        </w:rPr>
        <w:t xml:space="preserve">, y tal como se ha efectuado en otros casos de similares características, </w:t>
      </w:r>
      <w:r w:rsidR="00FF6BEE" w:rsidRPr="00BF3D11">
        <w:rPr>
          <w:rFonts w:ascii="Cambria" w:hAnsi="Cambria"/>
          <w:sz w:val="20"/>
          <w:szCs w:val="20"/>
          <w:lang w:val="es-EC"/>
        </w:rPr>
        <w:t>la Comisión considera que</w:t>
      </w:r>
      <w:r w:rsidR="00866ABC" w:rsidRPr="00BF3D11">
        <w:rPr>
          <w:rFonts w:ascii="Cambria" w:hAnsi="Cambria"/>
          <w:sz w:val="20"/>
          <w:szCs w:val="20"/>
          <w:lang w:val="es-EC"/>
        </w:rPr>
        <w:t xml:space="preserve"> el análisis respecto del deber de prevención </w:t>
      </w:r>
      <w:r w:rsidR="00FF6BEE" w:rsidRPr="00BF3D11">
        <w:rPr>
          <w:rFonts w:ascii="Cambria" w:hAnsi="Cambria"/>
          <w:sz w:val="20"/>
          <w:szCs w:val="20"/>
          <w:lang w:val="es-EC"/>
        </w:rPr>
        <w:t>debe</w:t>
      </w:r>
      <w:r w:rsidR="00866ABC" w:rsidRPr="00BF3D11">
        <w:rPr>
          <w:rFonts w:ascii="Cambria" w:hAnsi="Cambria"/>
          <w:sz w:val="20"/>
          <w:szCs w:val="20"/>
          <w:lang w:val="es-EC"/>
        </w:rPr>
        <w:t xml:space="preserve"> realizarse </w:t>
      </w:r>
      <w:r w:rsidR="00FF6BEE" w:rsidRPr="00BF3D11">
        <w:rPr>
          <w:rFonts w:ascii="Cambria" w:hAnsi="Cambria"/>
          <w:sz w:val="20"/>
          <w:szCs w:val="20"/>
          <w:lang w:val="es-EC"/>
        </w:rPr>
        <w:t>desde el momento en que</w:t>
      </w:r>
      <w:r w:rsidR="00DC3579" w:rsidRPr="00BF3D11">
        <w:rPr>
          <w:rFonts w:ascii="Cambria" w:hAnsi="Cambria"/>
          <w:sz w:val="20"/>
          <w:szCs w:val="20"/>
          <w:lang w:val="es-EC"/>
        </w:rPr>
        <w:t xml:space="preserve"> el Estado guatemalteco</w:t>
      </w:r>
      <w:r w:rsidR="00FF6BEE" w:rsidRPr="00BF3D11">
        <w:rPr>
          <w:rFonts w:ascii="Cambria" w:hAnsi="Cambria"/>
          <w:sz w:val="20"/>
          <w:szCs w:val="20"/>
          <w:lang w:val="es-EC"/>
        </w:rPr>
        <w:t xml:space="preserve"> tomó conocimiento de que </w:t>
      </w:r>
      <w:r w:rsidR="00E15EE9" w:rsidRPr="00BF3D11">
        <w:rPr>
          <w:rFonts w:ascii="Cambria" w:hAnsi="Cambria"/>
          <w:sz w:val="20"/>
          <w:szCs w:val="20"/>
          <w:lang w:val="es-EC"/>
        </w:rPr>
        <w:t>Alejandro</w:t>
      </w:r>
      <w:r w:rsidR="00AD6CC1" w:rsidRPr="00BF3D11">
        <w:rPr>
          <w:rFonts w:ascii="Cambria" w:hAnsi="Cambria"/>
          <w:sz w:val="20"/>
          <w:szCs w:val="20"/>
          <w:lang w:val="es-EC"/>
        </w:rPr>
        <w:t xml:space="preserve"> Yovany Gómez</w:t>
      </w:r>
      <w:r w:rsidR="00FF6BEE" w:rsidRPr="00BF3D11">
        <w:rPr>
          <w:rFonts w:ascii="Cambria" w:hAnsi="Cambria"/>
          <w:sz w:val="20"/>
          <w:szCs w:val="20"/>
          <w:lang w:val="es-EC"/>
        </w:rPr>
        <w:t xml:space="preserve"> </w:t>
      </w:r>
      <w:r w:rsidR="00AD6CC1" w:rsidRPr="00BF3D11">
        <w:rPr>
          <w:rFonts w:ascii="Cambria" w:hAnsi="Cambria"/>
          <w:sz w:val="20"/>
          <w:szCs w:val="20"/>
          <w:lang w:val="es-EC"/>
        </w:rPr>
        <w:t>se encontraba desaparecido</w:t>
      </w:r>
      <w:r w:rsidR="00FF6BEE" w:rsidRPr="00BF3D11">
        <w:rPr>
          <w:rFonts w:ascii="Cambria" w:hAnsi="Cambria"/>
          <w:sz w:val="20"/>
          <w:szCs w:val="20"/>
          <w:lang w:val="es-EC"/>
        </w:rPr>
        <w:t xml:space="preserve">, esto es, desde la </w:t>
      </w:r>
      <w:r w:rsidR="00FF6BEE" w:rsidRPr="00BF3D11">
        <w:rPr>
          <w:rFonts w:ascii="Cambria" w:hAnsi="Cambria"/>
          <w:sz w:val="20"/>
          <w:szCs w:val="20"/>
          <w:lang w:val="es-ES"/>
        </w:rPr>
        <w:t>interposición</w:t>
      </w:r>
      <w:r w:rsidR="00FF6BEE" w:rsidRPr="00BF3D11">
        <w:rPr>
          <w:rFonts w:ascii="Cambria" w:hAnsi="Cambria"/>
          <w:sz w:val="20"/>
          <w:szCs w:val="20"/>
          <w:lang w:val="es-EC"/>
        </w:rPr>
        <w:t xml:space="preserve"> de la denuncia por parte de los familiares el </w:t>
      </w:r>
      <w:r w:rsidR="00AD6CC1" w:rsidRPr="00BF3D11">
        <w:rPr>
          <w:rFonts w:ascii="Cambria" w:hAnsi="Cambria"/>
          <w:sz w:val="20"/>
          <w:szCs w:val="20"/>
          <w:lang w:val="es-EC"/>
        </w:rPr>
        <w:t>14 de marzo de 1995</w:t>
      </w:r>
      <w:r w:rsidR="00FF6BEE" w:rsidRPr="00BF3D11">
        <w:rPr>
          <w:rFonts w:ascii="Cambria" w:hAnsi="Cambria"/>
          <w:sz w:val="20"/>
          <w:szCs w:val="20"/>
          <w:lang w:val="es-EC"/>
        </w:rPr>
        <w:t xml:space="preserve">. </w:t>
      </w:r>
      <w:r w:rsidR="00457D19" w:rsidRPr="00BF3D11">
        <w:rPr>
          <w:rFonts w:ascii="Cambria" w:hAnsi="Cambria"/>
          <w:sz w:val="20"/>
          <w:szCs w:val="20"/>
          <w:lang w:val="es-EC"/>
        </w:rPr>
        <w:t xml:space="preserve">Esto, tomando en cuenta que una vez denunciada la desaparición de una persona bajo la </w:t>
      </w:r>
      <w:r w:rsidR="00406770" w:rsidRPr="00BF3D11">
        <w:rPr>
          <w:rFonts w:ascii="Cambria" w:hAnsi="Cambria"/>
          <w:sz w:val="20"/>
          <w:szCs w:val="20"/>
          <w:lang w:val="es-EC"/>
        </w:rPr>
        <w:t>jurisdicción</w:t>
      </w:r>
      <w:r w:rsidR="00457D19" w:rsidRPr="00BF3D11">
        <w:rPr>
          <w:rFonts w:ascii="Cambria" w:hAnsi="Cambria"/>
          <w:sz w:val="20"/>
          <w:szCs w:val="20"/>
          <w:lang w:val="es-EC"/>
        </w:rPr>
        <w:t xml:space="preserve"> de un Estado, corresponde a éste desplegar todos los esfuerzos para prevenir afectaciones a la integridad personal y a la vida de la persona desaparecida. </w:t>
      </w:r>
      <w:r w:rsidR="009223E4" w:rsidRPr="00BF3D11">
        <w:rPr>
          <w:rFonts w:ascii="Cambria" w:hAnsi="Cambria"/>
          <w:sz w:val="20"/>
          <w:szCs w:val="20"/>
          <w:lang w:val="es-EC"/>
        </w:rPr>
        <w:t>Además, en ciertos casos este deber de prevenir se encuentra reforzado por la particular situación de riesgo de la persona en cuestión.</w:t>
      </w:r>
    </w:p>
    <w:p w:rsidR="00AD6CC1" w:rsidRPr="00BF3D11" w:rsidRDefault="00AD6CC1" w:rsidP="00053951">
      <w:pPr>
        <w:pStyle w:val="ColorfulList-Accent11"/>
        <w:rPr>
          <w:rFonts w:ascii="Cambria" w:hAnsi="Cambria"/>
          <w:sz w:val="20"/>
          <w:szCs w:val="20"/>
          <w:lang w:val="es-EC"/>
        </w:rPr>
      </w:pPr>
    </w:p>
    <w:p w:rsidR="008C4508" w:rsidRPr="00BF3D11" w:rsidRDefault="00457AA5"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BF3D11">
        <w:rPr>
          <w:rFonts w:ascii="Cambria" w:hAnsi="Cambria"/>
          <w:sz w:val="20"/>
          <w:szCs w:val="20"/>
          <w:lang w:val="es-EC"/>
        </w:rPr>
        <w:t>L</w:t>
      </w:r>
      <w:r w:rsidR="00FF6BEE" w:rsidRPr="00BF3D11">
        <w:rPr>
          <w:rFonts w:ascii="Cambria" w:hAnsi="Cambria"/>
          <w:sz w:val="20"/>
          <w:szCs w:val="20"/>
          <w:lang w:val="es-EC"/>
        </w:rPr>
        <w:t>a Comisión considera que</w:t>
      </w:r>
      <w:r w:rsidRPr="00BF3D11">
        <w:rPr>
          <w:rFonts w:ascii="Cambria" w:hAnsi="Cambria"/>
          <w:sz w:val="20"/>
          <w:szCs w:val="20"/>
          <w:lang w:val="es-EC"/>
        </w:rPr>
        <w:t xml:space="preserve"> desde el momento de la denuncia </w:t>
      </w:r>
      <w:r w:rsidR="00457D19" w:rsidRPr="00BF3D11">
        <w:rPr>
          <w:rFonts w:ascii="Cambria" w:hAnsi="Cambria"/>
          <w:sz w:val="20"/>
          <w:szCs w:val="20"/>
          <w:lang w:val="es-EC"/>
        </w:rPr>
        <w:t xml:space="preserve"> por</w:t>
      </w:r>
      <w:r w:rsidRPr="00BF3D11">
        <w:rPr>
          <w:rFonts w:ascii="Cambria" w:hAnsi="Cambria"/>
          <w:sz w:val="20"/>
          <w:szCs w:val="20"/>
          <w:lang w:val="es-EC"/>
        </w:rPr>
        <w:t xml:space="preserve"> parte de los familiares</w:t>
      </w:r>
      <w:r w:rsidR="007A5B0C" w:rsidRPr="00BF3D11">
        <w:rPr>
          <w:rFonts w:ascii="Cambria" w:hAnsi="Cambria"/>
          <w:sz w:val="20"/>
          <w:szCs w:val="20"/>
          <w:lang w:val="es-EC"/>
        </w:rPr>
        <w:t>,</w:t>
      </w:r>
      <w:r w:rsidRPr="00BF3D11">
        <w:rPr>
          <w:rFonts w:ascii="Cambria" w:hAnsi="Cambria"/>
          <w:sz w:val="20"/>
          <w:szCs w:val="20"/>
          <w:lang w:val="es-EC"/>
        </w:rPr>
        <w:t xml:space="preserve"> </w:t>
      </w:r>
      <w:r w:rsidR="00FF6BEE" w:rsidRPr="00BF3D11">
        <w:rPr>
          <w:rFonts w:ascii="Cambria" w:hAnsi="Cambria"/>
          <w:sz w:val="20"/>
          <w:szCs w:val="20"/>
          <w:lang w:val="es-EC"/>
        </w:rPr>
        <w:t xml:space="preserve"> debió ser explícita para las autoridades estatales la situación de riesgo extremo en que se encontraba la víctima. </w:t>
      </w:r>
      <w:r w:rsidR="008362B7" w:rsidRPr="00BF3D11">
        <w:rPr>
          <w:rFonts w:ascii="Cambria" w:hAnsi="Cambria"/>
          <w:sz w:val="20"/>
          <w:szCs w:val="20"/>
          <w:lang w:val="es-EC"/>
        </w:rPr>
        <w:t>La Comisi</w:t>
      </w:r>
      <w:r w:rsidR="008362B7" w:rsidRPr="00BF3D11">
        <w:rPr>
          <w:rFonts w:ascii="Cambria" w:hAnsi="Cambria"/>
          <w:sz w:val="20"/>
          <w:szCs w:val="20"/>
          <w:lang w:val="es-EC" w:eastAsia="ja-JP"/>
        </w:rPr>
        <w:t xml:space="preserve">ón considera que </w:t>
      </w:r>
      <w:r w:rsidR="008362B7" w:rsidRPr="00BF3D11">
        <w:rPr>
          <w:rFonts w:ascii="Cambria" w:hAnsi="Cambria"/>
          <w:sz w:val="20"/>
          <w:szCs w:val="20"/>
          <w:lang w:val="es-EC"/>
        </w:rPr>
        <w:t>d</w:t>
      </w:r>
      <w:r w:rsidR="00FF6BEE" w:rsidRPr="00BF3D11">
        <w:rPr>
          <w:rFonts w:ascii="Cambria" w:hAnsi="Cambria"/>
          <w:sz w:val="20"/>
          <w:szCs w:val="20"/>
          <w:lang w:val="es-EC"/>
        </w:rPr>
        <w:t xml:space="preserve">esde ese momento </w:t>
      </w:r>
      <w:r w:rsidR="00FF6BEE" w:rsidRPr="00BF3D11">
        <w:rPr>
          <w:rFonts w:ascii="Cambria" w:hAnsi="Cambria"/>
          <w:sz w:val="20"/>
          <w:szCs w:val="20"/>
          <w:lang w:val="es-EC" w:eastAsia="ja-JP"/>
        </w:rPr>
        <w:t xml:space="preserve">el Estado supo que </w:t>
      </w:r>
      <w:r w:rsidR="008C4508" w:rsidRPr="00BF3D11">
        <w:rPr>
          <w:rFonts w:ascii="Cambria" w:hAnsi="Cambria"/>
          <w:sz w:val="20"/>
          <w:szCs w:val="20"/>
          <w:lang w:val="es-EC" w:eastAsia="ja-JP"/>
        </w:rPr>
        <w:t>el señor Gómez</w:t>
      </w:r>
      <w:r w:rsidR="00FF6BEE" w:rsidRPr="00BF3D11">
        <w:rPr>
          <w:rFonts w:ascii="Cambria" w:hAnsi="Cambria"/>
          <w:sz w:val="20"/>
          <w:szCs w:val="20"/>
          <w:lang w:val="es-EC" w:eastAsia="ja-JP"/>
        </w:rPr>
        <w:t xml:space="preserve"> se encontraba en </w:t>
      </w:r>
      <w:r w:rsidR="002426E0">
        <w:rPr>
          <w:rFonts w:ascii="Cambria" w:hAnsi="Cambria"/>
          <w:sz w:val="20"/>
          <w:szCs w:val="20"/>
          <w:lang w:val="es-EC" w:eastAsia="ja-JP"/>
        </w:rPr>
        <w:t xml:space="preserve">una situación que implicaba un </w:t>
      </w:r>
      <w:r w:rsidR="00FF6BEE" w:rsidRPr="00BF3D11">
        <w:rPr>
          <w:rFonts w:ascii="Cambria" w:hAnsi="Cambria"/>
          <w:sz w:val="20"/>
          <w:szCs w:val="20"/>
          <w:lang w:val="es-EC" w:eastAsia="ja-JP"/>
        </w:rPr>
        <w:t xml:space="preserve">grave riesgo. </w:t>
      </w:r>
      <w:r w:rsidR="00FF6BEE" w:rsidRPr="00BF3D11">
        <w:rPr>
          <w:rFonts w:ascii="Cambria" w:hAnsi="Cambria"/>
          <w:sz w:val="20"/>
          <w:szCs w:val="20"/>
          <w:lang w:val="es-EC"/>
        </w:rPr>
        <w:t>Cabe mencionar, además,</w:t>
      </w:r>
      <w:r w:rsidR="008C4508" w:rsidRPr="00BF3D11">
        <w:rPr>
          <w:rFonts w:ascii="Cambria" w:hAnsi="Cambria"/>
          <w:sz w:val="20"/>
          <w:szCs w:val="20"/>
          <w:lang w:val="es-EC"/>
        </w:rPr>
        <w:t xml:space="preserve"> que el</w:t>
      </w:r>
      <w:r w:rsidR="001A70FA" w:rsidRPr="00BF3D11">
        <w:rPr>
          <w:rFonts w:ascii="Cambria" w:hAnsi="Cambria"/>
          <w:sz w:val="20"/>
          <w:szCs w:val="20"/>
          <w:lang w:val="es-EC"/>
        </w:rPr>
        <w:t xml:space="preserve"> deber de prevención</w:t>
      </w:r>
      <w:r w:rsidR="008C4508" w:rsidRPr="00BF3D11">
        <w:rPr>
          <w:rFonts w:ascii="Cambria" w:hAnsi="Cambria"/>
          <w:sz w:val="20"/>
          <w:szCs w:val="20"/>
          <w:lang w:val="es-EC"/>
        </w:rPr>
        <w:t xml:space="preserve"> </w:t>
      </w:r>
      <w:r w:rsidR="001A70FA" w:rsidRPr="00BF3D11">
        <w:rPr>
          <w:rFonts w:ascii="Cambria" w:hAnsi="Cambria"/>
          <w:sz w:val="20"/>
          <w:szCs w:val="20"/>
          <w:lang w:val="es-EC"/>
        </w:rPr>
        <w:t xml:space="preserve">del </w:t>
      </w:r>
      <w:r w:rsidR="008C4508" w:rsidRPr="00BF3D11">
        <w:rPr>
          <w:rFonts w:ascii="Cambria" w:hAnsi="Cambria"/>
          <w:sz w:val="20"/>
          <w:szCs w:val="20"/>
          <w:lang w:val="es-EC"/>
        </w:rPr>
        <w:t>Estado</w:t>
      </w:r>
      <w:r w:rsidR="001A70FA" w:rsidRPr="00BF3D11">
        <w:rPr>
          <w:rFonts w:ascii="Cambria" w:hAnsi="Cambria"/>
          <w:sz w:val="20"/>
          <w:szCs w:val="20"/>
          <w:lang w:val="es-EC"/>
        </w:rPr>
        <w:t xml:space="preserve"> se encontraba acentuado no sólo por ser de público conocimiento las afectaciones a los derechos de los sindicalistas en esa época, sino porque al menos en las denuncias públicas del Sindicato dirigidas al Ministerio de Gobernación entre el momento de la desaparición y el hallazgo del cadáver, se hizo referencia al señor Gómez </w:t>
      </w:r>
      <w:r w:rsidR="00267E96" w:rsidRPr="00BF3D11">
        <w:rPr>
          <w:rFonts w:ascii="Cambria" w:hAnsi="Cambria"/>
          <w:sz w:val="20"/>
          <w:szCs w:val="20"/>
          <w:lang w:val="es-EC"/>
        </w:rPr>
        <w:t xml:space="preserve">en su calidad de secretario de finanzas de un </w:t>
      </w:r>
      <w:r w:rsidR="003B0E97" w:rsidRPr="00BF3D11">
        <w:rPr>
          <w:rFonts w:ascii="Cambria" w:hAnsi="Cambria"/>
          <w:sz w:val="20"/>
          <w:szCs w:val="20"/>
          <w:lang w:val="es-EC"/>
        </w:rPr>
        <w:t>sindicato</w:t>
      </w:r>
      <w:r w:rsidR="00281FE9" w:rsidRPr="00BF3D11">
        <w:rPr>
          <w:rFonts w:ascii="Cambria" w:hAnsi="Cambria"/>
          <w:sz w:val="20"/>
          <w:szCs w:val="20"/>
          <w:lang w:val="es-EC"/>
        </w:rPr>
        <w:t>.</w:t>
      </w:r>
      <w:r w:rsidR="003B0E97" w:rsidRPr="00BF3D11">
        <w:rPr>
          <w:rFonts w:ascii="Cambria" w:hAnsi="Cambria"/>
          <w:sz w:val="20"/>
          <w:szCs w:val="20"/>
          <w:lang w:val="es-EC"/>
        </w:rPr>
        <w:t xml:space="preserve"> </w:t>
      </w:r>
      <w:r w:rsidR="003F7C2F" w:rsidRPr="00BF3D11">
        <w:rPr>
          <w:rFonts w:ascii="Cambria" w:hAnsi="Cambria"/>
          <w:sz w:val="20"/>
          <w:szCs w:val="20"/>
          <w:lang w:val="es-EC"/>
        </w:rPr>
        <w:t xml:space="preserve">Con base en estos elementos, el Estado estaba obligado a </w:t>
      </w:r>
      <w:r w:rsidR="003D5FB3" w:rsidRPr="00BF3D11">
        <w:rPr>
          <w:rFonts w:ascii="Cambria" w:hAnsi="Cambria"/>
          <w:sz w:val="20"/>
          <w:szCs w:val="20"/>
          <w:lang w:val="es-EC"/>
        </w:rPr>
        <w:t>adoptar medidas inmediatas y específicas con el fin de localizar el paradero del señor Gómez.</w:t>
      </w:r>
    </w:p>
    <w:p w:rsidR="003D5FB3" w:rsidRPr="00BF3D11" w:rsidRDefault="003D5FB3" w:rsidP="00053951">
      <w:pPr>
        <w:pStyle w:val="ColorfulList-Accent11"/>
        <w:rPr>
          <w:rFonts w:ascii="Cambria" w:hAnsi="Cambria"/>
          <w:sz w:val="20"/>
          <w:szCs w:val="20"/>
          <w:lang w:val="es-ES"/>
        </w:rPr>
      </w:pPr>
    </w:p>
    <w:p w:rsidR="003D5FB3" w:rsidRPr="00BF3D11" w:rsidRDefault="00937A87"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BF3D11">
        <w:rPr>
          <w:rFonts w:ascii="Cambria" w:hAnsi="Cambria"/>
          <w:sz w:val="20"/>
          <w:szCs w:val="20"/>
          <w:lang w:val="es-ES"/>
        </w:rPr>
        <w:t xml:space="preserve">Como se indicó, </w:t>
      </w:r>
      <w:r w:rsidR="003D5FB3" w:rsidRPr="00BF3D11">
        <w:rPr>
          <w:rFonts w:ascii="Cambria" w:hAnsi="Cambria"/>
          <w:sz w:val="20"/>
          <w:szCs w:val="20"/>
          <w:lang w:val="es-ES"/>
        </w:rPr>
        <w:t>la denuncia por la desaparición del señor Gómez se realizó el 14 de marzo de 1995</w:t>
      </w:r>
      <w:r w:rsidRPr="00BF3D11">
        <w:rPr>
          <w:rFonts w:ascii="Cambria" w:hAnsi="Cambria"/>
          <w:sz w:val="20"/>
          <w:szCs w:val="20"/>
          <w:lang w:val="es-ES"/>
        </w:rPr>
        <w:t xml:space="preserve"> ante la Policía Nacional.</w:t>
      </w:r>
      <w:r w:rsidR="003D5FB3" w:rsidRPr="00BF3D11">
        <w:rPr>
          <w:rFonts w:ascii="Cambria" w:hAnsi="Cambria"/>
          <w:sz w:val="20"/>
          <w:szCs w:val="20"/>
          <w:lang w:val="es-ES"/>
        </w:rPr>
        <w:t xml:space="preserve"> El cuerpo del señor Gómez fue encontrado c</w:t>
      </w:r>
      <w:r w:rsidR="00D62F7C" w:rsidRPr="00BF3D11">
        <w:rPr>
          <w:rFonts w:ascii="Cambria" w:hAnsi="Cambria"/>
          <w:sz w:val="20"/>
          <w:szCs w:val="20"/>
          <w:lang w:val="es-ES"/>
        </w:rPr>
        <w:t>inco</w:t>
      </w:r>
      <w:r w:rsidR="003D5FB3" w:rsidRPr="00BF3D11">
        <w:rPr>
          <w:rFonts w:ascii="Cambria" w:hAnsi="Cambria"/>
          <w:sz w:val="20"/>
          <w:szCs w:val="20"/>
          <w:lang w:val="es-ES"/>
        </w:rPr>
        <w:t xml:space="preserve"> días después, el 19 de marzo de 1995</w:t>
      </w:r>
      <w:r w:rsidR="008F360A" w:rsidRPr="00BF3D11">
        <w:rPr>
          <w:rFonts w:ascii="Cambria" w:hAnsi="Cambria"/>
          <w:sz w:val="20"/>
          <w:szCs w:val="20"/>
          <w:lang w:val="es-ES"/>
        </w:rPr>
        <w:t>.</w:t>
      </w:r>
      <w:r w:rsidR="003D5FB3" w:rsidRPr="00BF3D11">
        <w:rPr>
          <w:rFonts w:ascii="Cambria" w:hAnsi="Cambria"/>
          <w:sz w:val="20"/>
          <w:szCs w:val="20"/>
          <w:lang w:val="es-ES"/>
        </w:rPr>
        <w:t xml:space="preserve"> Durante ese lapso el sindicato al que perteneció el señor Gómez envió comunicaciones al Ministerio de Gobernación y al entonces Presidente de la República solicitando</w:t>
      </w:r>
      <w:r w:rsidRPr="00BF3D11">
        <w:rPr>
          <w:rFonts w:ascii="Cambria" w:hAnsi="Cambria"/>
          <w:sz w:val="20"/>
          <w:szCs w:val="20"/>
          <w:lang w:val="es-ES"/>
        </w:rPr>
        <w:t xml:space="preserve"> que</w:t>
      </w:r>
      <w:r w:rsidR="003D5FB3" w:rsidRPr="00BF3D11">
        <w:rPr>
          <w:rFonts w:ascii="Cambria" w:hAnsi="Cambria"/>
          <w:sz w:val="20"/>
          <w:szCs w:val="20"/>
          <w:lang w:val="es-ES"/>
        </w:rPr>
        <w:t xml:space="preserve"> se adoptaran medidas para localizar el paradero de </w:t>
      </w:r>
      <w:r w:rsidR="00E15EE9" w:rsidRPr="00BF3D11">
        <w:rPr>
          <w:rFonts w:ascii="Cambria" w:hAnsi="Cambria"/>
          <w:sz w:val="20"/>
          <w:szCs w:val="20"/>
          <w:lang w:val="es-ES"/>
        </w:rPr>
        <w:t>Alejandro</w:t>
      </w:r>
      <w:r w:rsidR="003D5FB3" w:rsidRPr="00BF3D11">
        <w:rPr>
          <w:rFonts w:ascii="Cambria" w:hAnsi="Cambria"/>
          <w:sz w:val="20"/>
          <w:szCs w:val="20"/>
          <w:lang w:val="es-ES"/>
        </w:rPr>
        <w:t xml:space="preserve"> Yovany</w:t>
      </w:r>
      <w:r w:rsidR="000F1A24" w:rsidRPr="00BF3D11">
        <w:rPr>
          <w:rFonts w:ascii="Cambria" w:hAnsi="Cambria"/>
          <w:sz w:val="20"/>
          <w:szCs w:val="20"/>
          <w:lang w:val="es-ES"/>
        </w:rPr>
        <w:t xml:space="preserve"> Gómez.</w:t>
      </w:r>
    </w:p>
    <w:p w:rsidR="00BD6AAD" w:rsidRPr="00BF3D11" w:rsidRDefault="00BD6AAD" w:rsidP="00053951">
      <w:pPr>
        <w:pStyle w:val="ColorfulList-Accent11"/>
        <w:rPr>
          <w:rFonts w:ascii="Cambria" w:hAnsi="Cambria"/>
          <w:sz w:val="20"/>
          <w:szCs w:val="20"/>
          <w:lang w:val="es-ES"/>
        </w:rPr>
      </w:pPr>
    </w:p>
    <w:p w:rsidR="00BD6AAD" w:rsidRPr="00BF3D11" w:rsidRDefault="00BD6AAD"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BF3D11">
        <w:rPr>
          <w:rFonts w:ascii="Cambria" w:hAnsi="Cambria"/>
          <w:sz w:val="20"/>
          <w:szCs w:val="20"/>
          <w:lang w:val="es-ES"/>
        </w:rPr>
        <w:t xml:space="preserve">No obstante, del expediente ante la CIDH se desprende que el Estado no adoptó medida alguna de búsqueda del señor Gómez entre el 14 y el 19 de marzo de 1995. </w:t>
      </w:r>
      <w:r w:rsidR="004E7E9B" w:rsidRPr="00BF3D11">
        <w:rPr>
          <w:rFonts w:ascii="Cambria" w:hAnsi="Cambria"/>
          <w:sz w:val="20"/>
          <w:szCs w:val="20"/>
          <w:lang w:val="es-ES"/>
        </w:rPr>
        <w:t xml:space="preserve">Tampoco consta reporte policial alguno realizado al respecto. </w:t>
      </w:r>
      <w:r w:rsidRPr="00BF3D11">
        <w:rPr>
          <w:rFonts w:ascii="Cambria" w:hAnsi="Cambria"/>
          <w:sz w:val="20"/>
          <w:szCs w:val="20"/>
          <w:lang w:val="es-ES"/>
        </w:rPr>
        <w:t>Por el contrario, los peticionarios alegaron que el 18 de marzo agentes policiales informaron al padre del señor Gómez que “no se había tomado ninguna acción y que los agentes no podrían asignar a nadie al caso hasta el lunes siguiente, cuando la familia proveyera de un vehículo para realizar la investigación pues ellos no tenían”. La Comisión nota que el Estado no controvirtió tales alegatos</w:t>
      </w:r>
      <w:r w:rsidR="009765FD" w:rsidRPr="00BF3D11">
        <w:rPr>
          <w:rFonts w:ascii="Cambria" w:hAnsi="Cambria"/>
          <w:sz w:val="20"/>
          <w:szCs w:val="20"/>
          <w:lang w:val="es-ES"/>
        </w:rPr>
        <w:t xml:space="preserve"> y tampoco </w:t>
      </w:r>
      <w:r w:rsidR="009765FD" w:rsidRPr="00BF3D11">
        <w:rPr>
          <w:rFonts w:ascii="Cambria" w:hAnsi="Cambria"/>
          <w:sz w:val="20"/>
          <w:szCs w:val="20"/>
          <w:lang w:val="es-ES"/>
        </w:rPr>
        <w:lastRenderedPageBreak/>
        <w:t>efectuó argumento alguno en el sentido de que hubiera adoptado medidas de búsqueda en los cinco días entre la den</w:t>
      </w:r>
      <w:r w:rsidR="006B1DEC" w:rsidRPr="00BF3D11">
        <w:rPr>
          <w:rFonts w:ascii="Cambria" w:hAnsi="Cambria"/>
          <w:sz w:val="20"/>
          <w:szCs w:val="20"/>
          <w:lang w:val="es-ES"/>
        </w:rPr>
        <w:t xml:space="preserve">uncia y el hallazgo del cuerpo. </w:t>
      </w:r>
    </w:p>
    <w:p w:rsidR="003D5FB3" w:rsidRPr="00BF3D11" w:rsidRDefault="003D5FB3" w:rsidP="00053951">
      <w:pPr>
        <w:pStyle w:val="ColorfulList-Accent11"/>
        <w:rPr>
          <w:rFonts w:ascii="Cambria" w:hAnsi="Cambria"/>
          <w:sz w:val="20"/>
          <w:szCs w:val="20"/>
          <w:lang w:val="es-ES"/>
        </w:rPr>
      </w:pPr>
    </w:p>
    <w:p w:rsidR="007E69E7" w:rsidRPr="00BF3D11" w:rsidRDefault="00FF6BEE"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BF3D11">
        <w:rPr>
          <w:rFonts w:ascii="Cambria" w:hAnsi="Cambria"/>
          <w:sz w:val="20"/>
          <w:szCs w:val="20"/>
          <w:lang w:val="es-ES"/>
        </w:rPr>
        <w:t xml:space="preserve">En ese sentido, la Comisión considera que </w:t>
      </w:r>
      <w:r w:rsidR="00BA7AC4" w:rsidRPr="00BF3D11">
        <w:rPr>
          <w:rFonts w:ascii="Cambria" w:hAnsi="Cambria"/>
          <w:sz w:val="20"/>
          <w:szCs w:val="20"/>
          <w:lang w:val="es-ES"/>
        </w:rPr>
        <w:t xml:space="preserve">en el presente caso, </w:t>
      </w:r>
      <w:r w:rsidRPr="00BF3D11">
        <w:rPr>
          <w:rFonts w:ascii="Cambria" w:hAnsi="Cambria"/>
          <w:sz w:val="20"/>
          <w:szCs w:val="20"/>
          <w:lang w:val="es-ES"/>
        </w:rPr>
        <w:t xml:space="preserve">la </w:t>
      </w:r>
      <w:r w:rsidR="00BA7AC4" w:rsidRPr="00BF3D11">
        <w:rPr>
          <w:rFonts w:ascii="Cambria" w:hAnsi="Cambria"/>
          <w:sz w:val="20"/>
          <w:szCs w:val="20"/>
          <w:lang w:val="es-ES"/>
        </w:rPr>
        <w:t xml:space="preserve">omisión en una </w:t>
      </w:r>
      <w:r w:rsidRPr="00BF3D11">
        <w:rPr>
          <w:rFonts w:ascii="Cambria" w:hAnsi="Cambria"/>
          <w:sz w:val="20"/>
          <w:szCs w:val="20"/>
          <w:lang w:val="es-ES"/>
        </w:rPr>
        <w:t xml:space="preserve">respuesta inmediata y diligente para buscar </w:t>
      </w:r>
      <w:r w:rsidR="00F12320" w:rsidRPr="00BF3D11">
        <w:rPr>
          <w:rFonts w:ascii="Cambria" w:hAnsi="Cambria"/>
          <w:sz w:val="20"/>
          <w:szCs w:val="20"/>
          <w:lang w:val="es-ES"/>
        </w:rPr>
        <w:t>al señor Gómez durante los c</w:t>
      </w:r>
      <w:r w:rsidR="00BA7AC4" w:rsidRPr="00BF3D11">
        <w:rPr>
          <w:rFonts w:ascii="Cambria" w:hAnsi="Cambria"/>
          <w:sz w:val="20"/>
          <w:szCs w:val="20"/>
          <w:lang w:val="es-ES"/>
        </w:rPr>
        <w:t>inco</w:t>
      </w:r>
      <w:r w:rsidR="00F12320" w:rsidRPr="00BF3D11">
        <w:rPr>
          <w:rFonts w:ascii="Cambria" w:hAnsi="Cambria"/>
          <w:sz w:val="20"/>
          <w:szCs w:val="20"/>
          <w:lang w:val="es-ES"/>
        </w:rPr>
        <w:t xml:space="preserve"> días en que estuvo desaparecido hasta que se encontró su cuerpo,</w:t>
      </w:r>
      <w:r w:rsidR="00BA7AC4" w:rsidRPr="00BF3D11">
        <w:rPr>
          <w:rFonts w:ascii="Cambria" w:hAnsi="Cambria"/>
          <w:sz w:val="20"/>
          <w:szCs w:val="20"/>
          <w:lang w:val="es-ES"/>
        </w:rPr>
        <w:t xml:space="preserve"> fue absoluta</w:t>
      </w:r>
      <w:r w:rsidRPr="00BF3D11">
        <w:rPr>
          <w:rFonts w:ascii="Cambria" w:hAnsi="Cambria"/>
          <w:sz w:val="20"/>
          <w:szCs w:val="20"/>
          <w:lang w:val="es-ES"/>
        </w:rPr>
        <w:t xml:space="preserve"> </w:t>
      </w:r>
      <w:r w:rsidR="00BA7AC4" w:rsidRPr="00BF3D11">
        <w:rPr>
          <w:rFonts w:ascii="Cambria" w:hAnsi="Cambria"/>
          <w:sz w:val="20"/>
          <w:szCs w:val="20"/>
          <w:lang w:val="es-ES"/>
        </w:rPr>
        <w:t xml:space="preserve">y, por lo tanto, </w:t>
      </w:r>
      <w:r w:rsidRPr="00BF3D11">
        <w:rPr>
          <w:rFonts w:ascii="Cambria" w:hAnsi="Cambria"/>
          <w:sz w:val="20"/>
          <w:szCs w:val="20"/>
          <w:lang w:val="es-ES"/>
        </w:rPr>
        <w:t xml:space="preserve">constituyó un incumplimiento del deber de protección de </w:t>
      </w:r>
      <w:r w:rsidR="00F12320" w:rsidRPr="00BF3D11">
        <w:rPr>
          <w:rFonts w:ascii="Cambria" w:hAnsi="Cambria"/>
          <w:sz w:val="20"/>
          <w:szCs w:val="20"/>
          <w:lang w:val="es-ES"/>
        </w:rPr>
        <w:t>sus</w:t>
      </w:r>
      <w:r w:rsidRPr="00BF3D11">
        <w:rPr>
          <w:rFonts w:ascii="Cambria" w:hAnsi="Cambria"/>
          <w:sz w:val="20"/>
          <w:szCs w:val="20"/>
          <w:lang w:val="es-ES"/>
        </w:rPr>
        <w:t xml:space="preserve"> derechos a la vida e integridad personal, cuya situación de riesgo fue conocida por el Estado. </w:t>
      </w:r>
      <w:r w:rsidR="009D705A" w:rsidRPr="00BF3D11">
        <w:rPr>
          <w:rFonts w:ascii="Cambria" w:hAnsi="Cambria"/>
          <w:sz w:val="20"/>
          <w:szCs w:val="20"/>
          <w:lang w:val="es-ES"/>
        </w:rPr>
        <w:t xml:space="preserve">Además, tomando en cuenta que </w:t>
      </w:r>
      <w:r w:rsidR="002F2A3A" w:rsidRPr="00BF3D11">
        <w:rPr>
          <w:rFonts w:ascii="Cambria" w:hAnsi="Cambria"/>
          <w:sz w:val="20"/>
          <w:szCs w:val="20"/>
          <w:lang w:val="es-ES"/>
        </w:rPr>
        <w:t>el señor Gómez fue privado de su libertad antes de su muerte, la Comisión considera que el Estado también incumplió su deber de protección del derecho a la libertad personal de la víctima</w:t>
      </w:r>
      <w:r w:rsidR="007E69E7" w:rsidRPr="00BF3D11">
        <w:rPr>
          <w:rFonts w:ascii="Cambria" w:hAnsi="Cambria"/>
          <w:sz w:val="20"/>
          <w:szCs w:val="20"/>
          <w:lang w:val="es-ES"/>
        </w:rPr>
        <w:t xml:space="preserve">. </w:t>
      </w:r>
    </w:p>
    <w:p w:rsidR="007E69E7" w:rsidRPr="00BF3D11" w:rsidRDefault="007E69E7" w:rsidP="000539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FF6BEE" w:rsidRPr="00BF3D11" w:rsidRDefault="007E69E7"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BF3D11">
        <w:rPr>
          <w:rFonts w:ascii="Cambria" w:hAnsi="Cambria"/>
          <w:sz w:val="20"/>
          <w:szCs w:val="20"/>
          <w:lang w:val="es-ES"/>
        </w:rPr>
        <w:t xml:space="preserve">La Comisión considera que estas conclusiones son independientes del hecho de que no se conoce con exactitud cuánto tiempo transcurrió entre la privación de libertad del señor Gómez y su muerte. Sobre este aspecto, en el </w:t>
      </w:r>
      <w:r w:rsidR="00D66CB8" w:rsidRPr="00BF3D11">
        <w:rPr>
          <w:rFonts w:ascii="Cambria" w:hAnsi="Cambria"/>
          <w:i/>
          <w:sz w:val="20"/>
          <w:szCs w:val="20"/>
          <w:lang w:val="es-ES"/>
        </w:rPr>
        <w:t xml:space="preserve">Caso </w:t>
      </w:r>
      <w:r w:rsidRPr="00BF3D11">
        <w:rPr>
          <w:rFonts w:ascii="Cambria" w:hAnsi="Cambria"/>
          <w:i/>
          <w:sz w:val="20"/>
          <w:szCs w:val="20"/>
          <w:lang w:val="es-ES"/>
        </w:rPr>
        <w:t>Velásquez Paiz vs. Guatemala</w:t>
      </w:r>
      <w:r w:rsidRPr="00BF3D11">
        <w:rPr>
          <w:rFonts w:ascii="Cambria" w:hAnsi="Cambria"/>
          <w:sz w:val="20"/>
          <w:szCs w:val="20"/>
          <w:lang w:val="es-ES"/>
        </w:rPr>
        <w:t>, la Corte Interamericana indicó que el análisis de prevención debe realizarse respecto de las medidas que juzgadas razonablemente podían esperarse del Estado en las circunstancias del caso concreto</w:t>
      </w:r>
      <w:r w:rsidR="00400EBF" w:rsidRPr="00BF3D11">
        <w:rPr>
          <w:rStyle w:val="FootnoteReference"/>
          <w:rFonts w:ascii="Cambria" w:hAnsi="Cambria"/>
          <w:sz w:val="20"/>
          <w:szCs w:val="20"/>
          <w:lang w:val="es-ES"/>
        </w:rPr>
        <w:footnoteReference w:id="96"/>
      </w:r>
      <w:r w:rsidRPr="00BF3D11">
        <w:rPr>
          <w:rFonts w:ascii="Cambria" w:hAnsi="Cambria"/>
          <w:sz w:val="20"/>
          <w:szCs w:val="20"/>
          <w:lang w:val="es-ES"/>
        </w:rPr>
        <w:t xml:space="preserve">. En ese sentido, hasta el momento del hallazgo del cadáver, era exigible para el Estado la adopción de medidas inmediatas y diligentes de búsqueda y protección de la víctima, lo que, como se acaba de concluir, no ocurrió en el presente caso. </w:t>
      </w:r>
    </w:p>
    <w:p w:rsidR="00FF6BEE" w:rsidRPr="00BF3D11" w:rsidRDefault="00FF6BEE" w:rsidP="00053951">
      <w:pPr>
        <w:pStyle w:val="ColorfulList-Accent11"/>
        <w:ind w:left="0" w:firstLine="567"/>
        <w:rPr>
          <w:rFonts w:ascii="Cambria" w:hAnsi="Cambria"/>
          <w:sz w:val="20"/>
          <w:szCs w:val="20"/>
          <w:lang w:val="es-ES"/>
        </w:rPr>
      </w:pPr>
    </w:p>
    <w:p w:rsidR="00FF6BEE" w:rsidRPr="00BF3D11" w:rsidRDefault="00FF6BEE"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BF3D11">
        <w:rPr>
          <w:rFonts w:ascii="Cambria" w:hAnsi="Cambria"/>
          <w:sz w:val="20"/>
          <w:szCs w:val="20"/>
          <w:lang w:val="es-ES"/>
        </w:rPr>
        <w:t xml:space="preserve">En virtud de lo </w:t>
      </w:r>
      <w:r w:rsidRPr="00BF3D11">
        <w:rPr>
          <w:rFonts w:ascii="Cambria" w:hAnsi="Cambria"/>
          <w:sz w:val="20"/>
          <w:szCs w:val="20"/>
          <w:lang w:val="es-EC"/>
        </w:rPr>
        <w:t>anterior</w:t>
      </w:r>
      <w:r w:rsidRPr="00BF3D11">
        <w:rPr>
          <w:rFonts w:ascii="Cambria" w:hAnsi="Cambria"/>
          <w:sz w:val="20"/>
          <w:szCs w:val="20"/>
          <w:lang w:val="es-ES"/>
        </w:rPr>
        <w:t xml:space="preserve">, la Comisión concluye que el Estado de Guatemala </w:t>
      </w:r>
      <w:r w:rsidR="00DF557C" w:rsidRPr="00BF3D11">
        <w:rPr>
          <w:rFonts w:ascii="Cambria" w:hAnsi="Cambria"/>
          <w:sz w:val="20"/>
          <w:szCs w:val="20"/>
          <w:lang w:val="es-ES"/>
        </w:rPr>
        <w:t xml:space="preserve">es responsable por la violación de los derechos a la vida, integridad personal y libertad personal establecidos en los artículos 4.1, 5.1 y 7.1 de la Convención Americana, en relación con la obligación de prevenir como un componente del deber de garantía establecido en el artículo 1.1 del mismo instrumento, </w:t>
      </w:r>
      <w:r w:rsidRPr="00BF3D11">
        <w:rPr>
          <w:rFonts w:ascii="Cambria" w:hAnsi="Cambria"/>
          <w:sz w:val="20"/>
          <w:szCs w:val="20"/>
          <w:lang w:val="es-ES"/>
        </w:rPr>
        <w:t xml:space="preserve">en perjuicio de </w:t>
      </w:r>
      <w:r w:rsidR="00E15EE9" w:rsidRPr="00BF3D11">
        <w:rPr>
          <w:rFonts w:ascii="Cambria" w:hAnsi="Cambria"/>
          <w:sz w:val="20"/>
          <w:szCs w:val="20"/>
          <w:lang w:val="es-ES"/>
        </w:rPr>
        <w:t>Alejandro</w:t>
      </w:r>
      <w:r w:rsidR="00F12320" w:rsidRPr="00BF3D11">
        <w:rPr>
          <w:rFonts w:ascii="Cambria" w:hAnsi="Cambria"/>
          <w:sz w:val="20"/>
          <w:szCs w:val="20"/>
          <w:lang w:val="es-ES"/>
        </w:rPr>
        <w:t xml:space="preserve"> Yovany Gómez</w:t>
      </w:r>
      <w:r w:rsidRPr="00BF3D11">
        <w:rPr>
          <w:rFonts w:ascii="Cambria" w:hAnsi="Cambria"/>
          <w:sz w:val="20"/>
          <w:szCs w:val="20"/>
          <w:lang w:val="es-ES"/>
        </w:rPr>
        <w:t xml:space="preserve">. </w:t>
      </w:r>
    </w:p>
    <w:p w:rsidR="00895B0E" w:rsidRPr="00B406B3" w:rsidRDefault="00895B0E" w:rsidP="006B2F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6B2F4B" w:rsidRPr="00B406B3" w:rsidRDefault="006B2F4B" w:rsidP="006B2F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B406B3">
        <w:rPr>
          <w:rFonts w:ascii="Cambria" w:hAnsi="Cambria"/>
          <w:sz w:val="20"/>
          <w:szCs w:val="20"/>
          <w:lang w:val="es-ES"/>
        </w:rPr>
        <w:t xml:space="preserve">Por otra parte, en cuanto al derecho a la libertad de asociación, según la jurisprudencia de la Corte Interamericana este </w:t>
      </w:r>
      <w:r w:rsidRPr="006B2F4B">
        <w:rPr>
          <w:rFonts w:ascii="Cambria" w:hAnsi="Cambria"/>
          <w:sz w:val="20"/>
          <w:szCs w:val="20"/>
          <w:lang w:val="es-ES"/>
        </w:rPr>
        <w:t>derecho</w:t>
      </w:r>
      <w:r w:rsidRPr="00B406B3">
        <w:rPr>
          <w:rFonts w:ascii="Cambria" w:hAnsi="Cambria"/>
          <w:sz w:val="20"/>
          <w:szCs w:val="20"/>
          <w:lang w:val="es-ES"/>
        </w:rPr>
        <w:t xml:space="preserve"> tiene dos dimensiones: una individual y otra social. Respecto a la dimensión individual, la Corte Interamericana ha establecido que “quienes están bajo la protección de la Convención tienen […] el derecho y la libertad de asociarse libremente con otras personas, sin intervención de las autoridades públicas que limiten o entorpezcan el ejercicio del respectivo derecho”</w:t>
      </w:r>
      <w:r w:rsidRPr="00B406B3">
        <w:rPr>
          <w:rStyle w:val="FootnoteReference"/>
          <w:rFonts w:ascii="Cambria" w:hAnsi="Cambria"/>
          <w:sz w:val="20"/>
          <w:szCs w:val="20"/>
          <w:lang w:val="es-ES"/>
        </w:rPr>
        <w:footnoteReference w:id="97"/>
      </w:r>
      <w:r w:rsidRPr="00B406B3">
        <w:rPr>
          <w:rFonts w:ascii="Cambria" w:hAnsi="Cambria"/>
          <w:sz w:val="20"/>
          <w:szCs w:val="20"/>
          <w:lang w:val="es-ES"/>
        </w:rPr>
        <w:t>.  En cuanto a su dimensión colectiva, la Corte ha sostenido que, en ejercicio del derecho consagrado en el artículo 16, las personas “gozan del derecho y la libertad de buscar la realización común de un fin lícito, sin presiones o intromisiones que puedan alterar o desnaturalizar su finalidad”</w:t>
      </w:r>
      <w:r w:rsidRPr="00B406B3">
        <w:rPr>
          <w:rStyle w:val="FootnoteReference"/>
          <w:rFonts w:ascii="Cambria" w:hAnsi="Cambria"/>
          <w:sz w:val="20"/>
          <w:szCs w:val="20"/>
          <w:lang w:val="es-ES"/>
        </w:rPr>
        <w:footnoteReference w:id="98"/>
      </w:r>
      <w:r w:rsidRPr="00B406B3">
        <w:rPr>
          <w:rFonts w:ascii="Cambria" w:hAnsi="Cambria"/>
          <w:sz w:val="20"/>
          <w:szCs w:val="20"/>
          <w:lang w:val="es-ES"/>
        </w:rPr>
        <w:t>. A su vez, la Corte Interamericana ha establecido que las obligaciones positivas para prevenir e investigar violaciones a este derecho deben adoptarse, “incluso en la esfera de relaciones entre particulares, si el caso así lo amerita”</w:t>
      </w:r>
      <w:r w:rsidRPr="00B406B3">
        <w:rPr>
          <w:rStyle w:val="FootnoteReference"/>
          <w:rFonts w:ascii="Cambria" w:hAnsi="Cambria"/>
          <w:sz w:val="20"/>
          <w:szCs w:val="20"/>
          <w:lang w:val="es-ES"/>
        </w:rPr>
        <w:footnoteReference w:id="99"/>
      </w:r>
      <w:r w:rsidRPr="00B406B3">
        <w:rPr>
          <w:rFonts w:ascii="Cambria" w:hAnsi="Cambria"/>
          <w:sz w:val="20"/>
          <w:szCs w:val="20"/>
          <w:lang w:val="es-ES"/>
        </w:rPr>
        <w:t>.</w:t>
      </w:r>
    </w:p>
    <w:p w:rsidR="006B2F4B" w:rsidRPr="00B406B3" w:rsidRDefault="006B2F4B" w:rsidP="006B2F4B">
      <w:pPr>
        <w:pStyle w:val="ListParagraph"/>
        <w:rPr>
          <w:rFonts w:ascii="Cambria" w:hAnsi="Cambria"/>
          <w:sz w:val="20"/>
          <w:szCs w:val="20"/>
          <w:lang w:val="es-ES"/>
        </w:rPr>
      </w:pPr>
    </w:p>
    <w:p w:rsidR="006B2F4B" w:rsidRPr="00B406B3" w:rsidRDefault="006B2F4B" w:rsidP="006B2F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B406B3">
        <w:rPr>
          <w:rFonts w:ascii="Cambria" w:hAnsi="Cambria"/>
          <w:sz w:val="20"/>
          <w:szCs w:val="20"/>
          <w:lang w:val="es-ES"/>
        </w:rPr>
        <w:t xml:space="preserve">En el presente caso, la Comisión ya concluyó que el Estado incumplió el deber de garantía de los derechos a la vida, integridad personal y libertad personal de Alejandro Gómez Virula, en su dimensión de de prevención y protección. En los hechos probados la Comisión determinó que el señor Gómez Virula tenía actividad sindical, particularmente en su calidad de Secretario de Finanzas del Sindicato de los Trabajadores de la Maquila RCA y, entre otros, en el marco de una demanda laboral en contra de la empresa de maquila a la que estaba vinculado. En ese sentido, la desaparición y asesinato del señor Gómez Virula </w:t>
      </w:r>
      <w:r w:rsidR="009A4A5D" w:rsidRPr="00B406B3">
        <w:rPr>
          <w:rFonts w:ascii="Cambria" w:hAnsi="Cambria"/>
          <w:sz w:val="20"/>
          <w:szCs w:val="20"/>
          <w:lang w:val="es-ES"/>
        </w:rPr>
        <w:t xml:space="preserve">en el contexto de su actividad sindical, así como en un contexto más general ya descrito en el presente informe sobre diversas formas de retaliación contra sindicalistas en Guatemala por su actividad, permiten considerar que existían </w:t>
      </w:r>
      <w:r w:rsidR="009A4A5D" w:rsidRPr="00B406B3">
        <w:rPr>
          <w:rFonts w:ascii="Cambria" w:hAnsi="Cambria"/>
          <w:sz w:val="20"/>
          <w:szCs w:val="20"/>
          <w:lang w:val="es-ES"/>
        </w:rPr>
        <w:lastRenderedPageBreak/>
        <w:t xml:space="preserve">indicios significativos de que la desaparición y asesinato del señor Gómez Virula pudo haber estado vinculado a sus actividades. </w:t>
      </w:r>
    </w:p>
    <w:p w:rsidR="009A4A5D" w:rsidRPr="00B406B3" w:rsidRDefault="009A4A5D" w:rsidP="009A4A5D">
      <w:pPr>
        <w:pStyle w:val="ListParagraph"/>
        <w:rPr>
          <w:rFonts w:ascii="Cambria" w:hAnsi="Cambria"/>
          <w:sz w:val="20"/>
          <w:szCs w:val="20"/>
          <w:lang w:val="es-ES"/>
        </w:rPr>
      </w:pPr>
    </w:p>
    <w:p w:rsidR="009A4A5D" w:rsidRPr="00B406B3" w:rsidRDefault="009A4A5D" w:rsidP="006B2F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B406B3">
        <w:rPr>
          <w:rFonts w:ascii="Cambria" w:hAnsi="Cambria"/>
          <w:sz w:val="20"/>
          <w:szCs w:val="20"/>
          <w:lang w:val="es-ES"/>
        </w:rPr>
        <w:t>A pesar de estos indicios y</w:t>
      </w:r>
      <w:r w:rsidR="00461D6A">
        <w:rPr>
          <w:rFonts w:ascii="Cambria" w:hAnsi="Cambria"/>
          <w:sz w:val="20"/>
          <w:szCs w:val="20"/>
          <w:lang w:val="es-ES"/>
        </w:rPr>
        <w:t xml:space="preserve"> </w:t>
      </w:r>
      <w:r w:rsidRPr="00B406B3">
        <w:rPr>
          <w:rFonts w:ascii="Cambria" w:hAnsi="Cambria"/>
          <w:sz w:val="20"/>
          <w:szCs w:val="20"/>
          <w:lang w:val="es-ES"/>
        </w:rPr>
        <w:t>tal como se analiza posteriormente en el presente informe, tales indicios no fueron investigados de manera exhaustiva y con la debida diligencia en cumplimiento de las obligaciones estatales en materia de verdad y justicia respecto de violaciones de derechos humanos, aun si las mismas son cometidas por particulares. En virtud de lo anterior y ante la falta de una hipótesis diferente sobre lo sucedido a la víctima en el marco de una investigación conforme a las obligaciones internacionales del Estado, la Comisión considera que es razonable inferir que la desaparición y muerte de Alexander Gó</w:t>
      </w:r>
      <w:r w:rsidR="003762F2" w:rsidRPr="00B406B3">
        <w:rPr>
          <w:rFonts w:ascii="Cambria" w:hAnsi="Cambria"/>
          <w:sz w:val="20"/>
          <w:szCs w:val="20"/>
          <w:lang w:val="es-ES"/>
        </w:rPr>
        <w:t>m</w:t>
      </w:r>
      <w:r w:rsidRPr="00B406B3">
        <w:rPr>
          <w:rFonts w:ascii="Cambria" w:hAnsi="Cambria"/>
          <w:sz w:val="20"/>
          <w:szCs w:val="20"/>
          <w:lang w:val="es-ES"/>
        </w:rPr>
        <w:t>ez Virula estuvo asociada a su actividad sindical y, por lo tanto, el incumplimiento del deber de prevención respecto de sus derechos a la vida, integridad personal y libertad personal, implica también el incumplimiento de dicho deber respecto de su derecho a la libertad de asociación, en tanto existen elementos no investigados debidamente por el Estado, que permiten concluir que su rol como sindicalista fue el móvil de lo sucedido.</w:t>
      </w:r>
    </w:p>
    <w:p w:rsidR="009A4A5D" w:rsidRPr="00B406B3" w:rsidRDefault="009A4A5D" w:rsidP="009A4A5D">
      <w:pPr>
        <w:pStyle w:val="ListParagraph"/>
        <w:rPr>
          <w:rFonts w:ascii="Cambria" w:hAnsi="Cambria"/>
          <w:sz w:val="20"/>
          <w:szCs w:val="20"/>
          <w:lang w:val="es-ES"/>
        </w:rPr>
      </w:pPr>
    </w:p>
    <w:p w:rsidR="009A4A5D" w:rsidRPr="00B406B3" w:rsidRDefault="00C510B8" w:rsidP="006B2F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B406B3">
        <w:rPr>
          <w:rFonts w:ascii="Cambria" w:hAnsi="Cambria"/>
          <w:sz w:val="20"/>
          <w:szCs w:val="20"/>
          <w:lang w:val="es-ES"/>
        </w:rPr>
        <w:t xml:space="preserve">En consecuencia, la Comisión también concluye que el Estado es responsable por la violación del derecho a la libertad de asociación establecido en el artículo 16.1 de la Convención Americana en perjuicio de </w:t>
      </w:r>
      <w:r w:rsidR="00DF1038" w:rsidRPr="00B406B3">
        <w:rPr>
          <w:rFonts w:ascii="Cambria" w:hAnsi="Cambria"/>
          <w:sz w:val="20"/>
          <w:szCs w:val="20"/>
          <w:lang w:val="es-ES"/>
        </w:rPr>
        <w:t>Alexander Gómez Virula.</w:t>
      </w:r>
    </w:p>
    <w:p w:rsidR="006B2F4B" w:rsidRDefault="006B2F4B" w:rsidP="000539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8C4508" w:rsidRPr="00BF3D11" w:rsidRDefault="008C4508" w:rsidP="00053951">
      <w:pPr>
        <w:pStyle w:val="Heading2"/>
        <w:numPr>
          <w:ilvl w:val="0"/>
          <w:numId w:val="59"/>
        </w:numPr>
        <w:spacing w:before="0" w:after="0"/>
        <w:ind w:left="1440" w:hanging="720"/>
        <w:jc w:val="both"/>
        <w:rPr>
          <w:rFonts w:ascii="Cambria" w:hAnsi="Cambria"/>
          <w:i w:val="0"/>
          <w:sz w:val="20"/>
          <w:szCs w:val="20"/>
          <w:lang w:val="es-ES"/>
        </w:rPr>
      </w:pPr>
      <w:bookmarkStart w:id="43" w:name="_Toc473188703"/>
      <w:r w:rsidRPr="00BF3D11">
        <w:rPr>
          <w:rFonts w:ascii="Cambria" w:hAnsi="Cambria"/>
          <w:i w:val="0"/>
          <w:sz w:val="20"/>
          <w:szCs w:val="20"/>
          <w:lang w:val="es-ES"/>
        </w:rPr>
        <w:t>Derechos a las garantías judiciales y protección judicial (artículos 8.1</w:t>
      </w:r>
      <w:r w:rsidRPr="00BF3D11">
        <w:rPr>
          <w:rStyle w:val="FootnoteReference"/>
          <w:rFonts w:ascii="Cambria" w:hAnsi="Cambria"/>
          <w:i w:val="0"/>
          <w:sz w:val="20"/>
          <w:szCs w:val="20"/>
          <w:lang w:val="es-ES"/>
        </w:rPr>
        <w:footnoteReference w:id="100"/>
      </w:r>
      <w:r w:rsidRPr="00BF3D11">
        <w:rPr>
          <w:rFonts w:ascii="Cambria" w:hAnsi="Cambria"/>
          <w:i w:val="0"/>
          <w:sz w:val="20"/>
          <w:szCs w:val="20"/>
          <w:lang w:val="es-ES"/>
        </w:rPr>
        <w:t xml:space="preserve"> y 25.1</w:t>
      </w:r>
      <w:r w:rsidRPr="00BF3D11">
        <w:rPr>
          <w:rStyle w:val="FootnoteReference"/>
          <w:rFonts w:ascii="Cambria" w:hAnsi="Cambria"/>
          <w:i w:val="0"/>
          <w:sz w:val="20"/>
          <w:szCs w:val="20"/>
          <w:lang w:val="es-ES"/>
        </w:rPr>
        <w:footnoteReference w:id="101"/>
      </w:r>
      <w:r w:rsidRPr="00BF3D11">
        <w:rPr>
          <w:rFonts w:ascii="Cambria" w:hAnsi="Cambria"/>
          <w:i w:val="0"/>
          <w:sz w:val="20"/>
          <w:szCs w:val="20"/>
          <w:lang w:val="es-ES"/>
        </w:rPr>
        <w:t xml:space="preserve"> de la Convención Americana en relación con el artículo 1.1 del mismo instrumento)</w:t>
      </w:r>
      <w:bookmarkEnd w:id="43"/>
      <w:r w:rsidRPr="00BF3D11">
        <w:rPr>
          <w:rFonts w:ascii="Cambria" w:hAnsi="Cambria"/>
          <w:i w:val="0"/>
          <w:sz w:val="20"/>
          <w:szCs w:val="20"/>
          <w:lang w:val="es-ES"/>
        </w:rPr>
        <w:t xml:space="preserve"> </w:t>
      </w:r>
    </w:p>
    <w:p w:rsidR="008B45D2" w:rsidRPr="00BF3D11" w:rsidRDefault="008B45D2"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400830" w:rsidRPr="00BF3D11" w:rsidRDefault="00400830"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pacing w:val="-2"/>
          <w:sz w:val="20"/>
          <w:szCs w:val="20"/>
          <w:lang w:val="es-ES_tradnl"/>
        </w:rPr>
      </w:pPr>
      <w:r w:rsidRPr="00BF3D11">
        <w:rPr>
          <w:rFonts w:ascii="Cambria" w:hAnsi="Cambria"/>
          <w:spacing w:val="-2"/>
          <w:sz w:val="20"/>
          <w:szCs w:val="20"/>
          <w:lang w:val="es-ES_tradnl"/>
        </w:rPr>
        <w:t xml:space="preserve">Conforme a la jurisprudencia reiterada de los órganos del sistema interamericano, en virtud de la protección otorgada por los artículos 8 y 25 de la Convención, los Estados están obligados a suministrar recursos judiciales efectivos a las </w:t>
      </w:r>
      <w:r w:rsidRPr="00BF3D11">
        <w:rPr>
          <w:rFonts w:ascii="Cambria" w:hAnsi="Cambria"/>
          <w:sz w:val="20"/>
          <w:szCs w:val="20"/>
          <w:lang w:val="es-ES"/>
        </w:rPr>
        <w:t>víctimas</w:t>
      </w:r>
      <w:r w:rsidRPr="00BF3D11">
        <w:rPr>
          <w:rFonts w:ascii="Cambria" w:hAnsi="Cambria"/>
          <w:spacing w:val="-2"/>
          <w:sz w:val="20"/>
          <w:szCs w:val="20"/>
          <w:lang w:val="es-ES_tradnl"/>
        </w:rPr>
        <w:t xml:space="preserve"> de violaciones de los derechos humanos, que deben ser sustanciados de conformidad con las reglas del debido proceso legal</w:t>
      </w:r>
      <w:r w:rsidRPr="00BF3D11">
        <w:rPr>
          <w:rFonts w:ascii="Cambria" w:hAnsi="Cambria"/>
          <w:spacing w:val="-2"/>
          <w:sz w:val="20"/>
          <w:szCs w:val="20"/>
          <w:vertAlign w:val="superscript"/>
          <w:lang w:val="es-ES_tradnl"/>
        </w:rPr>
        <w:footnoteReference w:id="102"/>
      </w:r>
      <w:r w:rsidRPr="00BF3D11">
        <w:rPr>
          <w:rFonts w:ascii="Cambria" w:hAnsi="Cambria"/>
          <w:spacing w:val="-2"/>
          <w:sz w:val="20"/>
          <w:szCs w:val="20"/>
          <w:lang w:val="es-ES_tradnl"/>
        </w:rPr>
        <w:t xml:space="preserve">. Asimismo, el derecho de acceso a la justicia debe asegurar, en tiempo razonable, el </w:t>
      </w:r>
      <w:r w:rsidRPr="00BF3D11">
        <w:rPr>
          <w:rFonts w:ascii="Cambria" w:hAnsi="Cambria"/>
          <w:sz w:val="20"/>
          <w:szCs w:val="20"/>
          <w:lang w:val="es-ES"/>
        </w:rPr>
        <w:t>derecho</w:t>
      </w:r>
      <w:r w:rsidRPr="00BF3D11">
        <w:rPr>
          <w:rFonts w:ascii="Cambria" w:hAnsi="Cambria"/>
          <w:spacing w:val="-2"/>
          <w:sz w:val="20"/>
          <w:szCs w:val="20"/>
          <w:lang w:val="es-ES_tradnl"/>
        </w:rPr>
        <w:t xml:space="preserve"> de las presuntas víctimas o sus familiares a que se haga todo lo necesario para conocer la verdad de lo sucedido e investigar, juzgar y, en su caso, sancionar a los eventuales responsables</w:t>
      </w:r>
      <w:r w:rsidRPr="00BF3D11">
        <w:rPr>
          <w:rFonts w:ascii="Cambria" w:hAnsi="Cambria"/>
          <w:spacing w:val="-2"/>
          <w:sz w:val="20"/>
          <w:szCs w:val="20"/>
          <w:vertAlign w:val="superscript"/>
          <w:lang w:val="es-ES_tradnl"/>
        </w:rPr>
        <w:footnoteReference w:id="103"/>
      </w:r>
      <w:r w:rsidRPr="00BF3D11">
        <w:rPr>
          <w:rFonts w:ascii="Cambria" w:hAnsi="Cambria"/>
          <w:spacing w:val="-2"/>
          <w:sz w:val="20"/>
          <w:szCs w:val="20"/>
          <w:lang w:val="es-ES_tradnl"/>
        </w:rPr>
        <w:t xml:space="preserve">. Esta obligación, que es de medios y no de resultado, </w:t>
      </w:r>
      <w:r w:rsidRPr="00BF3D11">
        <w:rPr>
          <w:rFonts w:ascii="Cambria" w:hAnsi="Cambria"/>
          <w:sz w:val="20"/>
          <w:szCs w:val="20"/>
          <w:lang w:val="es-ES"/>
        </w:rPr>
        <w:t>debe ser asumida por el Estado como una obligación jurídica propia y no como una simple formalidad condenada de antemano a ser infructuosa</w:t>
      </w:r>
      <w:r w:rsidRPr="00BF3D11">
        <w:rPr>
          <w:rStyle w:val="FootnoteReference"/>
          <w:rFonts w:ascii="Cambria" w:hAnsi="Cambria"/>
          <w:sz w:val="20"/>
          <w:szCs w:val="20"/>
          <w:lang w:val="es-ES_tradnl"/>
        </w:rPr>
        <w:footnoteReference w:id="104"/>
      </w:r>
      <w:r w:rsidRPr="00BF3D11">
        <w:rPr>
          <w:rFonts w:ascii="Cambria" w:hAnsi="Cambria"/>
          <w:sz w:val="20"/>
          <w:szCs w:val="20"/>
          <w:lang w:val="es-ES"/>
        </w:rPr>
        <w:t xml:space="preserve">. </w:t>
      </w:r>
    </w:p>
    <w:p w:rsidR="00400830" w:rsidRPr="00BF3D11" w:rsidRDefault="00400830" w:rsidP="00053951">
      <w:pPr>
        <w:ind w:firstLine="567"/>
        <w:rPr>
          <w:rFonts w:ascii="Cambria" w:hAnsi="Cambria"/>
          <w:sz w:val="20"/>
          <w:szCs w:val="20"/>
          <w:lang w:val="es-ES_tradnl"/>
        </w:rPr>
      </w:pPr>
    </w:p>
    <w:p w:rsidR="0083453F" w:rsidRPr="006152E0" w:rsidRDefault="0083453F" w:rsidP="008345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AR"/>
        </w:rPr>
      </w:pPr>
      <w:r w:rsidRPr="006152E0">
        <w:rPr>
          <w:rFonts w:ascii="Cambria" w:hAnsi="Cambria"/>
          <w:sz w:val="20"/>
          <w:szCs w:val="20"/>
          <w:lang w:val="es-ES"/>
        </w:rPr>
        <w:t>Es así como el Estado tiene la obligación de que “cada acto estatal que conforma el proceso investigativo, así como la investigación en su totalidad, debe estar orientado hacía una finalidad específica, la determinación de la verdad y la investigación, persecución, captura, enjuiciamiento, y en su caso, la sanción de los responsables de los hechos”</w:t>
      </w:r>
      <w:r w:rsidRPr="006152E0">
        <w:rPr>
          <w:rStyle w:val="FootnoteReference"/>
          <w:rFonts w:ascii="Cambria" w:hAnsi="Cambria"/>
          <w:sz w:val="20"/>
          <w:szCs w:val="20"/>
          <w:lang w:val="es-ES_tradnl"/>
        </w:rPr>
        <w:footnoteReference w:id="105"/>
      </w:r>
      <w:r w:rsidRPr="006152E0">
        <w:rPr>
          <w:rFonts w:ascii="Cambria" w:hAnsi="Cambria"/>
          <w:sz w:val="20"/>
          <w:szCs w:val="20"/>
          <w:lang w:val="es-ES"/>
        </w:rPr>
        <w:t xml:space="preserve">. </w:t>
      </w:r>
    </w:p>
    <w:p w:rsidR="0083453F" w:rsidRPr="0083453F" w:rsidRDefault="0083453F" w:rsidP="008345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b/>
          <w:sz w:val="20"/>
          <w:szCs w:val="20"/>
          <w:lang w:val="es-ES_tradnl" w:eastAsia="es-MX"/>
        </w:rPr>
      </w:pPr>
    </w:p>
    <w:p w:rsidR="00254A4A" w:rsidRPr="0044524B" w:rsidRDefault="00254A4A"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b/>
          <w:sz w:val="20"/>
          <w:szCs w:val="20"/>
          <w:lang w:val="es-ES_tradnl" w:eastAsia="es-MX"/>
        </w:rPr>
      </w:pPr>
      <w:r w:rsidRPr="00BF3D11">
        <w:rPr>
          <w:rFonts w:ascii="Cambria" w:hAnsi="Cambria"/>
          <w:sz w:val="20"/>
          <w:szCs w:val="20"/>
          <w:lang w:val="es-ES"/>
        </w:rPr>
        <w:lastRenderedPageBreak/>
        <w:t>Asimismo, la</w:t>
      </w:r>
      <w:r w:rsidRPr="00BF3D11">
        <w:rPr>
          <w:rFonts w:ascii="Cambria" w:eastAsia="Batang" w:hAnsi="Cambria" w:cs="Arial"/>
          <w:sz w:val="20"/>
          <w:szCs w:val="20"/>
          <w:lang w:val="es-ES_tradnl" w:eastAsia="es-MX"/>
        </w:rPr>
        <w:t xml:space="preserve"> investigación debe ser seria, imparcial y efectiva, y estar orientada a la determinación de la verdad y a la persecución, captura, enjuiciamiento y eventual castigo de los autores de los hechos</w:t>
      </w:r>
      <w:r w:rsidRPr="00BF3D11">
        <w:rPr>
          <w:rFonts w:ascii="Cambria" w:eastAsia="Batang" w:hAnsi="Cambria"/>
          <w:sz w:val="20"/>
          <w:szCs w:val="20"/>
          <w:vertAlign w:val="superscript"/>
          <w:lang w:val="es-ES_tradnl" w:eastAsia="es-MX"/>
        </w:rPr>
        <w:footnoteReference w:id="106"/>
      </w:r>
      <w:r w:rsidRPr="00BF3D11">
        <w:rPr>
          <w:rFonts w:ascii="Cambria" w:eastAsia="Batang" w:hAnsi="Cambria" w:cs="Arial"/>
          <w:sz w:val="20"/>
          <w:szCs w:val="20"/>
          <w:lang w:val="es-ES_tradnl" w:eastAsia="es-MX"/>
        </w:rPr>
        <w:t xml:space="preserve">. La obligación referida se mantiene “cualquiera sea el agente al cual pueda eventualmente atribuirse la violación, aún los particulares, pues, si sus actos no son investigados con seriedad, resultarían, en cierto modo, auxiliados por el poder público, lo que </w:t>
      </w:r>
      <w:r w:rsidRPr="00BF3D11">
        <w:rPr>
          <w:rFonts w:ascii="Cambria" w:eastAsia="Batang" w:hAnsi="Cambria"/>
          <w:sz w:val="20"/>
          <w:szCs w:val="20"/>
          <w:lang w:val="es-ES_tradnl" w:eastAsia="es-MX"/>
        </w:rPr>
        <w:t>comprometería</w:t>
      </w:r>
      <w:r w:rsidRPr="00BF3D11">
        <w:rPr>
          <w:rFonts w:ascii="Cambria" w:eastAsia="Batang" w:hAnsi="Cambria" w:cs="Arial"/>
          <w:sz w:val="20"/>
          <w:szCs w:val="20"/>
          <w:lang w:val="es-ES_tradnl" w:eastAsia="es-MX"/>
        </w:rPr>
        <w:t xml:space="preserve"> la responsabilidad internacional del Estado”</w:t>
      </w:r>
      <w:r w:rsidRPr="00BF3D11">
        <w:rPr>
          <w:rFonts w:ascii="Cambria" w:eastAsia="Batang" w:hAnsi="Cambria"/>
          <w:sz w:val="20"/>
          <w:szCs w:val="20"/>
          <w:vertAlign w:val="superscript"/>
          <w:lang w:val="es-ES_tradnl" w:eastAsia="es-MX"/>
        </w:rPr>
        <w:footnoteReference w:id="107"/>
      </w:r>
      <w:r w:rsidRPr="00BF3D11">
        <w:rPr>
          <w:rFonts w:ascii="Cambria" w:eastAsia="Batang" w:hAnsi="Cambria" w:cs="Arial"/>
          <w:sz w:val="20"/>
          <w:szCs w:val="20"/>
          <w:lang w:val="es-ES_tradnl" w:eastAsia="es-MX"/>
        </w:rPr>
        <w:t xml:space="preserve">. Asimismo, </w:t>
      </w:r>
      <w:r w:rsidRPr="00BF3D11">
        <w:rPr>
          <w:rFonts w:ascii="Cambria" w:eastAsia="Batang" w:hAnsi="Cambria"/>
          <w:sz w:val="20"/>
          <w:szCs w:val="20"/>
          <w:lang w:val="es-ES_tradnl" w:eastAsia="es-MX"/>
        </w:rPr>
        <w:t>la debida diligencia exige que el órgano que investiga lleve a cabo todas aquellas actuaciones y averiguaciones necesarias para procurar el resultado que se persigue. De otro modo, la investigación no es efectiva en los términos de la Convención</w:t>
      </w:r>
      <w:r w:rsidRPr="00BF3D11">
        <w:rPr>
          <w:rFonts w:ascii="Cambria" w:eastAsia="Batang" w:hAnsi="Cambria"/>
          <w:sz w:val="20"/>
          <w:szCs w:val="20"/>
          <w:vertAlign w:val="superscript"/>
          <w:lang w:val="es-ES_tradnl" w:eastAsia="es-MX"/>
        </w:rPr>
        <w:footnoteReference w:id="108"/>
      </w:r>
      <w:r w:rsidRPr="00BF3D11">
        <w:rPr>
          <w:rFonts w:ascii="Cambria" w:eastAsia="Batang" w:hAnsi="Cambria"/>
          <w:sz w:val="20"/>
          <w:szCs w:val="20"/>
          <w:lang w:val="es-ES_tradnl" w:eastAsia="es-MX"/>
        </w:rPr>
        <w:t>.</w:t>
      </w:r>
    </w:p>
    <w:p w:rsidR="0044524B" w:rsidRDefault="0044524B" w:rsidP="0044524B">
      <w:pPr>
        <w:pStyle w:val="ListParagraph"/>
        <w:rPr>
          <w:rFonts w:ascii="Cambria" w:eastAsia="Batang" w:hAnsi="Cambria"/>
          <w:b/>
          <w:sz w:val="20"/>
          <w:szCs w:val="20"/>
          <w:lang w:val="es-ES_tradnl" w:eastAsia="es-MX"/>
        </w:rPr>
      </w:pPr>
    </w:p>
    <w:p w:rsidR="0044524B" w:rsidRPr="00BF3D11" w:rsidRDefault="0044524B"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b/>
          <w:sz w:val="20"/>
          <w:szCs w:val="20"/>
          <w:lang w:val="es-ES_tradnl" w:eastAsia="es-MX"/>
        </w:rPr>
      </w:pPr>
      <w:r>
        <w:rPr>
          <w:rFonts w:ascii="Cambria" w:hAnsi="Cambria"/>
          <w:sz w:val="20"/>
          <w:szCs w:val="20"/>
          <w:lang w:val="es-ES"/>
        </w:rPr>
        <w:t>L</w:t>
      </w:r>
      <w:r w:rsidRPr="006152E0">
        <w:rPr>
          <w:rFonts w:ascii="Cambria" w:hAnsi="Cambria"/>
          <w:sz w:val="20"/>
          <w:szCs w:val="20"/>
          <w:lang w:val="es-ES"/>
        </w:rPr>
        <w:t>a CIDH</w:t>
      </w:r>
      <w:r>
        <w:rPr>
          <w:rFonts w:ascii="Cambria" w:hAnsi="Cambria"/>
          <w:sz w:val="20"/>
          <w:szCs w:val="20"/>
          <w:lang w:val="es-ES"/>
        </w:rPr>
        <w:t xml:space="preserve"> también</w:t>
      </w:r>
      <w:r w:rsidRPr="006152E0">
        <w:rPr>
          <w:rFonts w:ascii="Cambria" w:hAnsi="Cambria"/>
          <w:sz w:val="20"/>
          <w:szCs w:val="20"/>
          <w:lang w:val="es-ES"/>
        </w:rPr>
        <w:t xml:space="preserve"> recuerda que la obligación de investigar y sancionar todo hecho que implique violación de los derechos protegidos por la Convención requiere que se castigue no sólo a los autores materiales de los hechos violatorios de derechos humanos, sino también </w:t>
      </w:r>
      <w:r w:rsidRPr="006152E0">
        <w:rPr>
          <w:rFonts w:ascii="Cambria" w:hAnsi="Cambria"/>
          <w:sz w:val="20"/>
          <w:szCs w:val="20"/>
          <w:lang w:val="es-UY"/>
        </w:rPr>
        <w:t>a los autores intelectuales de tales hechos y a los encubridores</w:t>
      </w:r>
      <w:r w:rsidRPr="006152E0">
        <w:rPr>
          <w:rStyle w:val="FootnoteReference"/>
          <w:rFonts w:ascii="Cambria" w:hAnsi="Cambria"/>
          <w:sz w:val="20"/>
          <w:szCs w:val="20"/>
          <w:lang w:val="es-UY"/>
        </w:rPr>
        <w:footnoteReference w:id="109"/>
      </w:r>
      <w:r w:rsidRPr="006152E0">
        <w:rPr>
          <w:rFonts w:ascii="Cambria" w:hAnsi="Cambria"/>
          <w:sz w:val="20"/>
          <w:szCs w:val="20"/>
          <w:lang w:val="es-UY"/>
        </w:rPr>
        <w:t>.</w:t>
      </w:r>
    </w:p>
    <w:p w:rsidR="000F28C6" w:rsidRPr="00BF3D11" w:rsidRDefault="000F28C6" w:rsidP="00053951">
      <w:pPr>
        <w:pStyle w:val="ColorfulList-Accent11"/>
        <w:rPr>
          <w:rFonts w:ascii="Cambria" w:eastAsia="Batang" w:hAnsi="Cambria"/>
          <w:b/>
          <w:sz w:val="20"/>
          <w:szCs w:val="20"/>
          <w:lang w:val="es-ES_tradnl" w:eastAsia="es-MX"/>
        </w:rPr>
      </w:pPr>
    </w:p>
    <w:p w:rsidR="000F28C6" w:rsidRPr="00BF3D11" w:rsidRDefault="000F28C6"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b/>
          <w:sz w:val="20"/>
          <w:szCs w:val="20"/>
          <w:lang w:val="es-ES_tradnl" w:eastAsia="es-MX"/>
        </w:rPr>
      </w:pPr>
      <w:r w:rsidRPr="00BF3D11">
        <w:rPr>
          <w:rFonts w:ascii="Cambria" w:eastAsia="Batang" w:hAnsi="Cambria"/>
          <w:sz w:val="20"/>
          <w:szCs w:val="20"/>
          <w:lang w:val="es-ES_tradnl" w:eastAsia="es-MX"/>
        </w:rPr>
        <w:t xml:space="preserve">En consideración de lo anterior, debe analizarse si </w:t>
      </w:r>
      <w:r w:rsidRPr="00BF3D11">
        <w:rPr>
          <w:rFonts w:ascii="Cambria" w:eastAsia="Batang" w:hAnsi="Cambria"/>
          <w:sz w:val="20"/>
          <w:szCs w:val="20"/>
          <w:lang w:val="es-EC" w:eastAsia="es-MX"/>
        </w:rPr>
        <w:t>el modo en que se desarrolló la investigación por</w:t>
      </w:r>
      <w:r w:rsidRPr="00BF3D11">
        <w:rPr>
          <w:rFonts w:ascii="Cambria" w:eastAsia="Batang" w:hAnsi="Cambria"/>
          <w:sz w:val="20"/>
          <w:szCs w:val="20"/>
          <w:lang w:val="es-ES_tradnl" w:eastAsia="es-MX"/>
        </w:rPr>
        <w:t xml:space="preserve"> la muerte del señor Gómez constituy</w:t>
      </w:r>
      <w:r w:rsidR="00453F37" w:rsidRPr="00BF3D11">
        <w:rPr>
          <w:rFonts w:ascii="Cambria" w:eastAsia="Batang" w:hAnsi="Cambria"/>
          <w:sz w:val="20"/>
          <w:szCs w:val="20"/>
          <w:lang w:val="es-ES_tradnl" w:eastAsia="es-MX"/>
        </w:rPr>
        <w:t>ó</w:t>
      </w:r>
      <w:r w:rsidRPr="00BF3D11">
        <w:rPr>
          <w:rFonts w:ascii="Cambria" w:eastAsia="Batang" w:hAnsi="Cambria"/>
          <w:sz w:val="20"/>
          <w:szCs w:val="20"/>
          <w:lang w:val="es-ES_tradnl" w:eastAsia="es-MX"/>
        </w:rPr>
        <w:t xml:space="preserve"> una violación de</w:t>
      </w:r>
      <w:r w:rsidR="00AF5BF2" w:rsidRPr="00BF3D11">
        <w:rPr>
          <w:rFonts w:ascii="Cambria" w:eastAsia="Batang" w:hAnsi="Cambria"/>
          <w:sz w:val="20"/>
          <w:szCs w:val="20"/>
          <w:lang w:val="es-ES_tradnl" w:eastAsia="es-MX"/>
        </w:rPr>
        <w:t>l deber de garantía de los derechos sustantivos analizados en la sección anterior, de</w:t>
      </w:r>
      <w:r w:rsidRPr="00BF3D11">
        <w:rPr>
          <w:rFonts w:ascii="Cambria" w:eastAsia="Batang" w:hAnsi="Cambria"/>
          <w:sz w:val="20"/>
          <w:szCs w:val="20"/>
          <w:lang w:val="es-ES_tradnl" w:eastAsia="es-MX"/>
        </w:rPr>
        <w:t xml:space="preserve"> las obligaciones derivadas en los derechos consagrados en los artículos 8.1 y 25.1 de la Convención Americana. Para ello, la CIDH pasará a analizar los siguientes aspectos: i) </w:t>
      </w:r>
      <w:r w:rsidRPr="00BF3D11">
        <w:rPr>
          <w:rFonts w:ascii="Cambria" w:hAnsi="Cambria"/>
          <w:sz w:val="20"/>
          <w:szCs w:val="20"/>
          <w:lang w:val="es-ES"/>
        </w:rPr>
        <w:t xml:space="preserve">irregularidades en la investigación a partir del hallazgo del cuerpo de </w:t>
      </w:r>
      <w:r w:rsidR="00E15EE9" w:rsidRPr="00BF3D11">
        <w:rPr>
          <w:rFonts w:ascii="Cambria" w:hAnsi="Cambria"/>
          <w:sz w:val="20"/>
          <w:szCs w:val="20"/>
          <w:lang w:val="es-ES"/>
        </w:rPr>
        <w:t>Alejandro</w:t>
      </w:r>
      <w:r w:rsidRPr="00BF3D11">
        <w:rPr>
          <w:rFonts w:ascii="Cambria" w:hAnsi="Cambria"/>
          <w:sz w:val="20"/>
          <w:szCs w:val="20"/>
          <w:lang w:val="es-ES"/>
        </w:rPr>
        <w:t xml:space="preserve"> Gómez y posteriores actuaciones de los funcionarios estatales; </w:t>
      </w:r>
      <w:r w:rsidR="00EC074F" w:rsidRPr="00BF3D11">
        <w:rPr>
          <w:rFonts w:ascii="Cambria" w:hAnsi="Cambria"/>
          <w:sz w:val="20"/>
          <w:szCs w:val="20"/>
          <w:lang w:val="es-ES"/>
        </w:rPr>
        <w:t>ii) falta de debida diligencia</w:t>
      </w:r>
      <w:r w:rsidR="00A65AD7" w:rsidRPr="00BF3D11">
        <w:rPr>
          <w:rFonts w:ascii="Cambria" w:hAnsi="Cambria"/>
          <w:sz w:val="20"/>
          <w:szCs w:val="20"/>
          <w:lang w:val="es-ES"/>
        </w:rPr>
        <w:t xml:space="preserve"> en las etapas posteriores de la investigación</w:t>
      </w:r>
      <w:r w:rsidRPr="00BF3D11">
        <w:rPr>
          <w:rFonts w:ascii="Cambria" w:hAnsi="Cambria"/>
          <w:sz w:val="20"/>
          <w:szCs w:val="20"/>
          <w:lang w:val="es-ES"/>
        </w:rPr>
        <w:t>; y iii) plazo razonable.</w:t>
      </w:r>
    </w:p>
    <w:p w:rsidR="00254A4A" w:rsidRPr="00BF3D11" w:rsidRDefault="00254A4A" w:rsidP="00053951">
      <w:pPr>
        <w:pStyle w:val="ColorfulList-Accent11"/>
        <w:ind w:left="0"/>
        <w:rPr>
          <w:rFonts w:ascii="Cambria" w:hAnsi="Cambria"/>
          <w:sz w:val="20"/>
          <w:szCs w:val="20"/>
          <w:lang w:val="es-ES"/>
        </w:rPr>
      </w:pPr>
    </w:p>
    <w:p w:rsidR="000F28C6" w:rsidRPr="00BF3D11" w:rsidRDefault="000F28C6" w:rsidP="00053951">
      <w:pPr>
        <w:pStyle w:val="Heading2"/>
        <w:numPr>
          <w:ilvl w:val="3"/>
          <w:numId w:val="55"/>
        </w:numPr>
        <w:tabs>
          <w:tab w:val="clear" w:pos="2880"/>
          <w:tab w:val="num" w:pos="1440"/>
        </w:tabs>
        <w:spacing w:before="0" w:after="0"/>
        <w:ind w:left="1440" w:hanging="720"/>
        <w:jc w:val="both"/>
        <w:rPr>
          <w:rFonts w:ascii="Cambria" w:hAnsi="Cambria"/>
          <w:i w:val="0"/>
          <w:sz w:val="20"/>
          <w:szCs w:val="20"/>
          <w:lang w:val="es-ES"/>
        </w:rPr>
      </w:pPr>
      <w:bookmarkStart w:id="44" w:name="_Toc473188704"/>
      <w:r w:rsidRPr="00BF3D11">
        <w:rPr>
          <w:rFonts w:ascii="Cambria" w:hAnsi="Cambria"/>
          <w:i w:val="0"/>
          <w:sz w:val="20"/>
          <w:szCs w:val="20"/>
          <w:lang w:val="es-ES"/>
        </w:rPr>
        <w:t xml:space="preserve">Irregularidades en la investigación a partir del hallazgo del cuerpo de </w:t>
      </w:r>
      <w:r w:rsidR="00E15EE9" w:rsidRPr="00BF3D11">
        <w:rPr>
          <w:rFonts w:ascii="Cambria" w:hAnsi="Cambria"/>
          <w:i w:val="0"/>
          <w:sz w:val="20"/>
          <w:szCs w:val="20"/>
          <w:lang w:val="es-ES"/>
        </w:rPr>
        <w:t>Alejandro</w:t>
      </w:r>
      <w:r w:rsidRPr="00BF3D11">
        <w:rPr>
          <w:rFonts w:ascii="Cambria" w:hAnsi="Cambria"/>
          <w:i w:val="0"/>
          <w:sz w:val="20"/>
          <w:szCs w:val="20"/>
          <w:lang w:val="es-ES"/>
        </w:rPr>
        <w:t xml:space="preserve"> Gómez y posteriores actuaciones de los funcionarios estatales</w:t>
      </w:r>
      <w:bookmarkEnd w:id="44"/>
    </w:p>
    <w:p w:rsidR="000F28C6" w:rsidRPr="00BF3D11" w:rsidRDefault="000F28C6" w:rsidP="00053951">
      <w:pPr>
        <w:rPr>
          <w:rFonts w:ascii="Cambria" w:hAnsi="Cambria"/>
          <w:sz w:val="20"/>
          <w:szCs w:val="20"/>
          <w:lang w:val="es-ES"/>
        </w:rPr>
      </w:pPr>
    </w:p>
    <w:p w:rsidR="004358D7" w:rsidRPr="00BF3D11" w:rsidRDefault="003139FE"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lang w:val="es-ES_tradnl" w:eastAsia="es-MX"/>
        </w:rPr>
      </w:pPr>
      <w:r w:rsidRPr="00BF3D11">
        <w:rPr>
          <w:rFonts w:ascii="Cambria" w:eastAsia="Batang" w:hAnsi="Cambria"/>
          <w:sz w:val="20"/>
          <w:szCs w:val="20"/>
          <w:lang w:val="es-ES_tradnl" w:eastAsia="es-MX"/>
        </w:rPr>
        <w:t>La CIDH ha señalado</w:t>
      </w:r>
      <w:r w:rsidR="004358D7" w:rsidRPr="00BF3D11">
        <w:rPr>
          <w:rFonts w:ascii="Cambria" w:eastAsia="Batang" w:hAnsi="Cambria"/>
          <w:sz w:val="20"/>
          <w:szCs w:val="20"/>
          <w:lang w:val="es-ES_tradnl" w:eastAsia="es-MX"/>
        </w:rPr>
        <w:t xml:space="preserve"> que la eficiente determinación de la verdad en el marco de la obligación de investigar una muerte, debe mostrarse desde las primeras diligencias con toda acuciosidad</w:t>
      </w:r>
      <w:r w:rsidR="004358D7" w:rsidRPr="00BF3D11">
        <w:rPr>
          <w:rFonts w:ascii="Cambria" w:eastAsia="Batang" w:hAnsi="Cambria"/>
          <w:sz w:val="20"/>
          <w:szCs w:val="20"/>
          <w:vertAlign w:val="superscript"/>
          <w:lang w:val="es-ES_tradnl" w:eastAsia="es-MX"/>
        </w:rPr>
        <w:footnoteReference w:id="110"/>
      </w:r>
      <w:r w:rsidR="004358D7" w:rsidRPr="00BF3D11">
        <w:rPr>
          <w:rFonts w:ascii="Cambria" w:eastAsia="Batang" w:hAnsi="Cambria"/>
          <w:sz w:val="20"/>
          <w:szCs w:val="20"/>
          <w:lang w:val="es-ES_tradnl" w:eastAsia="es-MX"/>
        </w:rPr>
        <w:t>. En</w:t>
      </w:r>
      <w:r w:rsidR="004358D7" w:rsidRPr="00BF3D11">
        <w:rPr>
          <w:rFonts w:ascii="Cambria" w:eastAsia="Cambria" w:hAnsi="Cambria"/>
          <w:sz w:val="20"/>
          <w:szCs w:val="20"/>
          <w:lang w:val="es-ES_tradnl" w:eastAsia="es-MX"/>
        </w:rPr>
        <w:t xml:space="preserve"> este punto, en cuanto al manejo de la escena del crimen, el levantamiento y tratamiento del cadáver de la víctima, la necropsia, así como </w:t>
      </w:r>
      <w:r w:rsidR="004358D7" w:rsidRPr="00BF3D11">
        <w:rPr>
          <w:rFonts w:ascii="Cambria" w:eastAsia="Batang" w:hAnsi="Cambria"/>
          <w:bCs/>
          <w:sz w:val="20"/>
          <w:szCs w:val="20"/>
          <w:lang w:val="es-EC" w:eastAsia="es-MX"/>
        </w:rPr>
        <w:t xml:space="preserve">el </w:t>
      </w:r>
      <w:r w:rsidR="004358D7" w:rsidRPr="00BF3D11">
        <w:rPr>
          <w:rFonts w:ascii="Cambria" w:eastAsia="Batang" w:hAnsi="Cambria"/>
          <w:sz w:val="20"/>
          <w:szCs w:val="20"/>
          <w:lang w:val="es-ES_tradnl" w:eastAsia="es-MX"/>
        </w:rPr>
        <w:t>mantenimiento</w:t>
      </w:r>
      <w:r w:rsidR="004358D7" w:rsidRPr="00BF3D11">
        <w:rPr>
          <w:rFonts w:ascii="Cambria" w:eastAsia="Batang" w:hAnsi="Cambria"/>
          <w:bCs/>
          <w:sz w:val="20"/>
          <w:szCs w:val="20"/>
          <w:lang w:val="es-EC" w:eastAsia="es-MX"/>
        </w:rPr>
        <w:t xml:space="preserve"> de la cadena de custodia de todo elemento de prueba forense</w:t>
      </w:r>
      <w:r w:rsidR="004358D7" w:rsidRPr="00BF3D11">
        <w:rPr>
          <w:rFonts w:ascii="Cambria" w:eastAsia="Cambria" w:hAnsi="Cambria"/>
          <w:sz w:val="20"/>
          <w:szCs w:val="20"/>
          <w:lang w:val="es-ES_tradnl" w:eastAsia="es-MX"/>
        </w:rPr>
        <w:t xml:space="preserve">, </w:t>
      </w:r>
      <w:r w:rsidR="004358D7" w:rsidRPr="00BF3D11">
        <w:rPr>
          <w:rFonts w:ascii="Cambria" w:eastAsia="Batang" w:hAnsi="Cambria" w:cs="Verdana"/>
          <w:sz w:val="20"/>
          <w:szCs w:val="20"/>
          <w:lang w:val="es-EC" w:eastAsia="es-MX"/>
        </w:rPr>
        <w:t>y tomando en cuenta</w:t>
      </w:r>
      <w:r w:rsidR="004358D7" w:rsidRPr="00BF3D11">
        <w:rPr>
          <w:rFonts w:ascii="Cambria" w:eastAsia="Cambria" w:hAnsi="Cambria"/>
          <w:sz w:val="20"/>
          <w:szCs w:val="20"/>
          <w:lang w:val="es-ES_tradnl" w:eastAsia="es-MX"/>
        </w:rPr>
        <w:t xml:space="preserve"> el</w:t>
      </w:r>
      <w:r w:rsidR="004358D7" w:rsidRPr="00BF3D11">
        <w:rPr>
          <w:rFonts w:ascii="Cambria" w:eastAsia="Batang" w:hAnsi="Cambria"/>
          <w:sz w:val="20"/>
          <w:szCs w:val="20"/>
          <w:lang w:val="es-ES_tradnl" w:eastAsia="es-MX"/>
        </w:rPr>
        <w:t xml:space="preserve"> Manual sobre la Prevención e Investigación Efectiva de Ejecuciones Extrajudiciales, Arbitrarias y Sumarias de Naciones Unidas (Protocolo de Minnesota),</w:t>
      </w:r>
      <w:r w:rsidR="004358D7" w:rsidRPr="00BF3D11">
        <w:rPr>
          <w:rFonts w:ascii="Cambria" w:eastAsia="Batang" w:hAnsi="Cambria" w:cs="Verdana"/>
          <w:sz w:val="20"/>
          <w:szCs w:val="20"/>
          <w:lang w:val="es-EC" w:eastAsia="es-MX"/>
        </w:rPr>
        <w:t xml:space="preserve"> </w:t>
      </w:r>
      <w:r w:rsidRPr="00BF3D11">
        <w:rPr>
          <w:rFonts w:ascii="Cambria" w:eastAsia="Batang" w:hAnsi="Cambria"/>
          <w:sz w:val="20"/>
          <w:szCs w:val="20"/>
          <w:lang w:val="es-ES_tradnl" w:eastAsia="es-MX"/>
        </w:rPr>
        <w:t>los Estados deben realizar</w:t>
      </w:r>
      <w:r w:rsidR="004358D7" w:rsidRPr="00BF3D11">
        <w:rPr>
          <w:rFonts w:ascii="Cambria" w:eastAsia="Cambria" w:hAnsi="Cambria"/>
          <w:sz w:val="20"/>
          <w:szCs w:val="20"/>
          <w:lang w:val="es-ES_tradnl" w:eastAsia="es-MX"/>
        </w:rPr>
        <w:t xml:space="preserve"> diligencias mínimas e indispensables para la conservación de los elementos de prueba y evidencias que puedan contribuir al éxito de la investigación</w:t>
      </w:r>
      <w:r w:rsidR="004358D7" w:rsidRPr="00BF3D11">
        <w:rPr>
          <w:rFonts w:ascii="Cambria" w:eastAsia="Batang" w:hAnsi="Cambria" w:cs="Verdana"/>
          <w:sz w:val="20"/>
          <w:szCs w:val="20"/>
          <w:vertAlign w:val="superscript"/>
          <w:lang w:val="es-EC" w:eastAsia="es-MX"/>
        </w:rPr>
        <w:footnoteReference w:id="111"/>
      </w:r>
      <w:r w:rsidR="004358D7" w:rsidRPr="00BF3D11">
        <w:rPr>
          <w:rFonts w:ascii="Cambria" w:eastAsia="Cambria" w:hAnsi="Cambria"/>
          <w:sz w:val="20"/>
          <w:szCs w:val="20"/>
          <w:lang w:val="es-ES_tradnl" w:eastAsia="es-MX"/>
        </w:rPr>
        <w:t xml:space="preserve">. </w:t>
      </w:r>
    </w:p>
    <w:p w:rsidR="004358D7" w:rsidRPr="00BF3D11" w:rsidRDefault="004358D7" w:rsidP="00053951">
      <w:pPr>
        <w:autoSpaceDE w:val="0"/>
        <w:autoSpaceDN w:val="0"/>
        <w:adjustRightInd w:val="0"/>
        <w:jc w:val="both"/>
        <w:rPr>
          <w:rFonts w:ascii="Cambria" w:hAnsi="Cambria" w:cs="Arial"/>
          <w:sz w:val="20"/>
          <w:szCs w:val="20"/>
          <w:lang w:val="es-ES"/>
        </w:rPr>
      </w:pPr>
    </w:p>
    <w:p w:rsidR="004358D7" w:rsidRPr="00BF3D11" w:rsidRDefault="004358D7"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lang w:val="es-ES_tradnl" w:eastAsia="es-MX"/>
        </w:rPr>
      </w:pPr>
      <w:r w:rsidRPr="00BF3D11">
        <w:rPr>
          <w:rFonts w:ascii="Cambria" w:eastAsia="Batang" w:hAnsi="Cambria" w:cs="Verdana"/>
          <w:sz w:val="20"/>
          <w:szCs w:val="20"/>
          <w:lang w:val="es-EC" w:eastAsia="es-MX"/>
        </w:rPr>
        <w:t xml:space="preserve">La Corte </w:t>
      </w:r>
      <w:r w:rsidR="00831BCA">
        <w:rPr>
          <w:rFonts w:ascii="Cambria" w:eastAsia="Batang" w:hAnsi="Cambria" w:cs="Verdana"/>
          <w:sz w:val="20"/>
          <w:szCs w:val="20"/>
          <w:lang w:val="es-EC" w:eastAsia="es-MX"/>
        </w:rPr>
        <w:t xml:space="preserve">y la Comisión </w:t>
      </w:r>
      <w:r w:rsidRPr="00BF3D11">
        <w:rPr>
          <w:rFonts w:ascii="Cambria" w:eastAsia="Batang" w:hAnsi="Cambria" w:cs="Verdana"/>
          <w:sz w:val="20"/>
          <w:szCs w:val="20"/>
          <w:lang w:val="es-EC" w:eastAsia="es-MX"/>
        </w:rPr>
        <w:t>ha</w:t>
      </w:r>
      <w:r w:rsidR="00831BCA">
        <w:rPr>
          <w:rFonts w:ascii="Cambria" w:eastAsia="Batang" w:hAnsi="Cambria" w:cs="Verdana"/>
          <w:sz w:val="20"/>
          <w:szCs w:val="20"/>
          <w:lang w:val="es-EC" w:eastAsia="es-MX"/>
        </w:rPr>
        <w:t>n</w:t>
      </w:r>
      <w:r w:rsidRPr="00BF3D11">
        <w:rPr>
          <w:rFonts w:ascii="Cambria" w:eastAsia="Batang" w:hAnsi="Cambria" w:cs="Verdana"/>
          <w:sz w:val="20"/>
          <w:szCs w:val="20"/>
          <w:lang w:val="es-EC" w:eastAsia="es-MX"/>
        </w:rPr>
        <w:t xml:space="preserve"> especificado que las autoridades estatales que conducen una investigación de este </w:t>
      </w:r>
      <w:r w:rsidR="003139FE" w:rsidRPr="00BF3D11">
        <w:rPr>
          <w:rFonts w:ascii="Cambria" w:eastAsia="Batang" w:hAnsi="Cambria" w:cs="Verdana"/>
          <w:sz w:val="20"/>
          <w:szCs w:val="20"/>
          <w:lang w:val="es-EC" w:eastAsia="es-MX"/>
        </w:rPr>
        <w:t>tipo deben intentar como mínimo</w:t>
      </w:r>
      <w:r w:rsidRPr="00BF3D11">
        <w:rPr>
          <w:rFonts w:ascii="Cambria" w:eastAsia="Batang" w:hAnsi="Cambria" w:cs="Verdana"/>
          <w:sz w:val="20"/>
          <w:szCs w:val="20"/>
          <w:lang w:val="es-EC" w:eastAsia="es-MX"/>
        </w:rPr>
        <w:t xml:space="preserve">: i) identificar a la víctima; ii) recuperar y preservar el material probatorio relacionado con la muerte, con el fin de ayudar en </w:t>
      </w:r>
      <w:r w:rsidRPr="00BF3D11">
        <w:rPr>
          <w:rFonts w:ascii="Cambria" w:eastAsia="Batang" w:hAnsi="Cambria"/>
          <w:sz w:val="20"/>
          <w:szCs w:val="20"/>
          <w:lang w:val="es-ES_tradnl" w:eastAsia="es-MX"/>
        </w:rPr>
        <w:t>cualquier</w:t>
      </w:r>
      <w:r w:rsidRPr="00BF3D11">
        <w:rPr>
          <w:rFonts w:ascii="Cambria" w:eastAsia="Batang" w:hAnsi="Cambria" w:cs="Verdana"/>
          <w:sz w:val="20"/>
          <w:szCs w:val="20"/>
          <w:lang w:val="es-EC" w:eastAsia="es-MX"/>
        </w:rPr>
        <w:t xml:space="preserve"> potencial investigación penal de los responsables; iii) identificar posibles testigos y obtener sus declaraciones en relación con la muerte </w:t>
      </w:r>
      <w:r w:rsidRPr="00BF3D11">
        <w:rPr>
          <w:rFonts w:ascii="Cambria" w:eastAsia="Batang" w:hAnsi="Cambria" w:cs="Verdana"/>
          <w:sz w:val="20"/>
          <w:szCs w:val="20"/>
          <w:lang w:val="es-EC" w:eastAsia="es-MX"/>
        </w:rPr>
        <w:lastRenderedPageBreak/>
        <w:t xml:space="preserve">que se investiga; iv) determinar la causa, forma, lugar y momento de la muerte, así como cualquier patrón o práctica que pueda haber causado la muerte, y v) distinguir entre muerte natural, muerte accidental, suicidio y homicidio. Además, es necesario investigar </w:t>
      </w:r>
      <w:r w:rsidRPr="00BF3D11">
        <w:rPr>
          <w:rFonts w:ascii="Cambria" w:eastAsia="Batang" w:hAnsi="Cambria"/>
          <w:sz w:val="20"/>
          <w:szCs w:val="20"/>
          <w:lang w:val="es-ES_tradnl" w:eastAsia="es-MX"/>
        </w:rPr>
        <w:t>exhaustivamente</w:t>
      </w:r>
      <w:r w:rsidRPr="00BF3D11">
        <w:rPr>
          <w:rFonts w:ascii="Cambria" w:eastAsia="Batang" w:hAnsi="Cambria" w:cs="Verdana"/>
          <w:sz w:val="20"/>
          <w:szCs w:val="20"/>
          <w:lang w:val="es-EC" w:eastAsia="es-MX"/>
        </w:rPr>
        <w:t xml:space="preserve"> la escena del crimen, se deben realizar autopsias y análisis de restos humanos, en forma </w:t>
      </w:r>
      <w:r w:rsidRPr="00BF3D11">
        <w:rPr>
          <w:rFonts w:ascii="Cambria" w:eastAsia="Batang" w:hAnsi="Cambria"/>
          <w:sz w:val="20"/>
          <w:szCs w:val="20"/>
          <w:lang w:val="es-ES_tradnl" w:eastAsia="es-MX"/>
        </w:rPr>
        <w:t>rigurosa</w:t>
      </w:r>
      <w:r w:rsidRPr="00BF3D11">
        <w:rPr>
          <w:rFonts w:ascii="Cambria" w:eastAsia="Batang" w:hAnsi="Cambria" w:cs="Verdana"/>
          <w:sz w:val="20"/>
          <w:szCs w:val="20"/>
          <w:lang w:val="es-EC" w:eastAsia="es-MX"/>
        </w:rPr>
        <w:t>, por profesionales competentes y empleando los procedimientos más apropiados</w:t>
      </w:r>
      <w:r w:rsidRPr="00BF3D11">
        <w:rPr>
          <w:rFonts w:ascii="Cambria" w:eastAsia="MS Mincho" w:hAnsi="Cambria"/>
          <w:sz w:val="20"/>
          <w:szCs w:val="20"/>
          <w:vertAlign w:val="superscript"/>
          <w:lang w:val="es-EC" w:eastAsia="es-MX"/>
        </w:rPr>
        <w:footnoteReference w:id="112"/>
      </w:r>
      <w:r w:rsidRPr="00BF3D11">
        <w:rPr>
          <w:rFonts w:ascii="Cambria" w:eastAsia="Batang" w:hAnsi="Cambria" w:cs="Verdana"/>
          <w:sz w:val="20"/>
          <w:szCs w:val="20"/>
          <w:lang w:val="es-EC" w:eastAsia="es-MX"/>
        </w:rPr>
        <w:t>.</w:t>
      </w:r>
    </w:p>
    <w:p w:rsidR="004358D7" w:rsidRPr="00BF3D11" w:rsidRDefault="004358D7" w:rsidP="00053951">
      <w:pPr>
        <w:ind w:right="18"/>
        <w:jc w:val="both"/>
        <w:rPr>
          <w:rFonts w:ascii="Cambria" w:eastAsia="Calibri" w:hAnsi="Cambria"/>
          <w:sz w:val="20"/>
          <w:szCs w:val="20"/>
          <w:lang w:val="es-MX"/>
        </w:rPr>
      </w:pPr>
    </w:p>
    <w:p w:rsidR="004E7E9B" w:rsidRPr="00BF3D11" w:rsidRDefault="001E2F1D"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lang w:val="es-ES_tradnl" w:eastAsia="es-MX"/>
        </w:rPr>
      </w:pPr>
      <w:r w:rsidRPr="00BF3D11">
        <w:rPr>
          <w:rFonts w:ascii="Cambria" w:eastAsia="Batang" w:hAnsi="Cambria"/>
          <w:sz w:val="20"/>
          <w:szCs w:val="20"/>
          <w:lang w:val="es-ES_tradnl" w:eastAsia="es-MX"/>
        </w:rPr>
        <w:t>La Comisión resalta</w:t>
      </w:r>
      <w:r w:rsidR="004358D7" w:rsidRPr="00BF3D11">
        <w:rPr>
          <w:rFonts w:ascii="Cambria" w:eastAsia="Batang" w:hAnsi="Cambria"/>
          <w:sz w:val="20"/>
          <w:szCs w:val="20"/>
          <w:lang w:val="es-ES_tradnl" w:eastAsia="es-MX"/>
        </w:rPr>
        <w:t xml:space="preserve"> que </w:t>
      </w:r>
      <w:r w:rsidR="004358D7" w:rsidRPr="00BF3D11">
        <w:rPr>
          <w:rFonts w:ascii="Cambria" w:eastAsia="Cambria" w:hAnsi="Cambria" w:cs="Arial"/>
          <w:sz w:val="20"/>
          <w:szCs w:val="20"/>
          <w:lang w:val="es-ES_tradnl" w:eastAsia="es-MX"/>
        </w:rPr>
        <w:t>el</w:t>
      </w:r>
      <w:r w:rsidR="004358D7" w:rsidRPr="00BF3D11">
        <w:rPr>
          <w:rFonts w:ascii="Cambria" w:eastAsia="Batang" w:hAnsi="Cambria"/>
          <w:sz w:val="20"/>
          <w:szCs w:val="20"/>
          <w:lang w:val="es-ES_tradnl" w:eastAsia="es-MX"/>
        </w:rPr>
        <w:t xml:space="preserve"> correcto manejo de la escena del crimen es un punto de partida de la investigación y, por tanto, determinante para esclarecer la naturaleza, circunstancias y características del delito, así como los participantes en el hecho</w:t>
      </w:r>
      <w:r w:rsidRPr="00BF3D11">
        <w:rPr>
          <w:rFonts w:ascii="Cambria" w:eastAsia="Batang" w:hAnsi="Cambria"/>
          <w:sz w:val="20"/>
          <w:szCs w:val="20"/>
          <w:vertAlign w:val="superscript"/>
          <w:lang w:val="es-ES_tradnl" w:eastAsia="es-MX"/>
        </w:rPr>
        <w:footnoteReference w:id="113"/>
      </w:r>
      <w:r w:rsidR="004358D7" w:rsidRPr="00BF3D11">
        <w:rPr>
          <w:rFonts w:ascii="Cambria" w:eastAsia="Batang" w:hAnsi="Cambria"/>
          <w:sz w:val="20"/>
          <w:szCs w:val="20"/>
          <w:lang w:val="es-ES_tradnl" w:eastAsia="es-MX"/>
        </w:rPr>
        <w:t xml:space="preserve">. </w:t>
      </w:r>
      <w:r w:rsidR="004358D7" w:rsidRPr="00BF3D11">
        <w:rPr>
          <w:rFonts w:ascii="Cambria" w:eastAsia="Batang" w:hAnsi="Cambria" w:cs="Tahoma"/>
          <w:sz w:val="20"/>
          <w:szCs w:val="20"/>
          <w:lang w:val="es-ES_tradnl" w:eastAsia="es-MX"/>
        </w:rPr>
        <w:t xml:space="preserve">La jurisprudencia </w:t>
      </w:r>
      <w:r w:rsidR="004358D7" w:rsidRPr="00BF3D11">
        <w:rPr>
          <w:rFonts w:ascii="Cambria" w:eastAsia="Batang" w:hAnsi="Cambria" w:cs="Helvetica"/>
          <w:sz w:val="20"/>
          <w:szCs w:val="20"/>
          <w:lang w:val="es-ES_tradnl" w:eastAsia="es-MX" w:bidi="en-US"/>
        </w:rPr>
        <w:t>de la Corte ha señalado que un Estado puede ser responsable por dejar de “ordenar, practicar o valorar pruebas que hubieran sido de mucha importancia para el debido esclarecimiento de los homicidios”</w:t>
      </w:r>
      <w:r w:rsidR="004358D7" w:rsidRPr="00BF3D11">
        <w:rPr>
          <w:rFonts w:ascii="Cambria" w:eastAsia="Batang" w:hAnsi="Cambria"/>
          <w:bCs/>
          <w:sz w:val="20"/>
          <w:szCs w:val="20"/>
          <w:vertAlign w:val="superscript"/>
          <w:lang w:val="es-ES_tradnl" w:eastAsia="es-MX"/>
        </w:rPr>
        <w:footnoteReference w:id="114"/>
      </w:r>
      <w:r w:rsidR="004358D7" w:rsidRPr="00BF3D11">
        <w:rPr>
          <w:rFonts w:ascii="Cambria" w:eastAsia="Batang" w:hAnsi="Cambria" w:cs="Helvetica"/>
          <w:sz w:val="20"/>
          <w:szCs w:val="20"/>
          <w:lang w:val="es-ES_tradnl" w:eastAsia="es-MX" w:bidi="en-US"/>
        </w:rPr>
        <w:t xml:space="preserve">. </w:t>
      </w:r>
    </w:p>
    <w:p w:rsidR="004E7E9B" w:rsidRPr="00BF3D11" w:rsidRDefault="004E7E9B" w:rsidP="00053951">
      <w:pPr>
        <w:pStyle w:val="ColorfulList-Accent11"/>
        <w:rPr>
          <w:rFonts w:ascii="Cambria" w:eastAsia="Batang" w:hAnsi="Cambria"/>
          <w:bCs/>
          <w:sz w:val="20"/>
          <w:szCs w:val="20"/>
          <w:lang w:val="es-EC" w:eastAsia="es-MX"/>
        </w:rPr>
      </w:pPr>
    </w:p>
    <w:p w:rsidR="004358D7" w:rsidRPr="00BF3D11" w:rsidRDefault="004358D7"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lang w:val="es-ES_tradnl" w:eastAsia="es-MX"/>
        </w:rPr>
      </w:pPr>
      <w:r w:rsidRPr="00BF3D11">
        <w:rPr>
          <w:rFonts w:ascii="Cambria" w:eastAsia="Batang" w:hAnsi="Cambria"/>
          <w:bCs/>
          <w:sz w:val="20"/>
          <w:szCs w:val="20"/>
          <w:lang w:val="es-EC" w:eastAsia="es-MX"/>
        </w:rPr>
        <w:t>E</w:t>
      </w:r>
      <w:r w:rsidRPr="00BF3D11">
        <w:rPr>
          <w:rFonts w:ascii="Cambria" w:eastAsia="Batang" w:hAnsi="Cambria"/>
          <w:sz w:val="20"/>
          <w:szCs w:val="20"/>
          <w:lang w:val="es-EC" w:eastAsia="es-MX"/>
        </w:rPr>
        <w:t xml:space="preserve">n relación con la escena del crimen, </w:t>
      </w:r>
      <w:r w:rsidR="00732C1E" w:rsidRPr="00BF3D11">
        <w:rPr>
          <w:rFonts w:ascii="Cambria" w:eastAsia="Batang" w:hAnsi="Cambria"/>
          <w:sz w:val="20"/>
          <w:szCs w:val="20"/>
          <w:lang w:val="es-EC" w:eastAsia="es-MX"/>
        </w:rPr>
        <w:t xml:space="preserve">los estándares internacionales indican que </w:t>
      </w:r>
      <w:r w:rsidRPr="00BF3D11">
        <w:rPr>
          <w:rFonts w:ascii="Cambria" w:eastAsia="Batang" w:hAnsi="Cambria"/>
          <w:sz w:val="20"/>
          <w:szCs w:val="20"/>
          <w:lang w:val="es-EC" w:eastAsia="es-MX"/>
        </w:rPr>
        <w:t xml:space="preserve">los investigadores deben, como mínimo, fotografiar </w:t>
      </w:r>
      <w:r w:rsidRPr="00BF3D11">
        <w:rPr>
          <w:rFonts w:ascii="Cambria" w:eastAsia="Batang" w:hAnsi="Cambria"/>
          <w:bCs/>
          <w:sz w:val="20"/>
          <w:szCs w:val="20"/>
          <w:lang w:val="es-EC" w:eastAsia="es-MX"/>
        </w:rPr>
        <w:t xml:space="preserve">dicha </w:t>
      </w:r>
      <w:r w:rsidRPr="00BF3D11">
        <w:rPr>
          <w:rFonts w:ascii="Cambria" w:eastAsia="Batang" w:hAnsi="Cambria"/>
          <w:sz w:val="20"/>
          <w:szCs w:val="20"/>
          <w:lang w:val="es-ES_tradnl" w:eastAsia="es-MX"/>
        </w:rPr>
        <w:t>escena</w:t>
      </w:r>
      <w:r w:rsidRPr="00BF3D11">
        <w:rPr>
          <w:rFonts w:ascii="Cambria" w:eastAsia="Batang" w:hAnsi="Cambria"/>
          <w:bCs/>
          <w:sz w:val="20"/>
          <w:szCs w:val="20"/>
          <w:lang w:val="es-EC" w:eastAsia="es-MX"/>
        </w:rPr>
        <w:t xml:space="preserve">, </w:t>
      </w:r>
      <w:r w:rsidRPr="00BF3D11">
        <w:rPr>
          <w:rFonts w:ascii="Cambria" w:eastAsia="Batang" w:hAnsi="Cambria"/>
          <w:sz w:val="20"/>
          <w:szCs w:val="20"/>
          <w:lang w:val="es-ES_tradnl" w:eastAsia="es-MX"/>
        </w:rPr>
        <w:t>cualquier</w:t>
      </w:r>
      <w:r w:rsidRPr="00BF3D11">
        <w:rPr>
          <w:rFonts w:ascii="Cambria" w:eastAsia="Batang" w:hAnsi="Cambria"/>
          <w:bCs/>
          <w:sz w:val="20"/>
          <w:szCs w:val="20"/>
          <w:lang w:val="es-EC" w:eastAsia="es-MX"/>
        </w:rPr>
        <w:t xml:space="preserve"> otra evidencia </w:t>
      </w:r>
      <w:r w:rsidRPr="00BF3D11">
        <w:rPr>
          <w:rFonts w:ascii="Cambria" w:eastAsia="Batang" w:hAnsi="Cambria"/>
          <w:sz w:val="20"/>
          <w:szCs w:val="20"/>
          <w:lang w:val="es-ES_tradnl" w:eastAsia="es-MX"/>
        </w:rPr>
        <w:t>física</w:t>
      </w:r>
      <w:r w:rsidRPr="00BF3D11">
        <w:rPr>
          <w:rFonts w:ascii="Cambria" w:eastAsia="Batang" w:hAnsi="Cambria"/>
          <w:bCs/>
          <w:sz w:val="20"/>
          <w:szCs w:val="20"/>
          <w:lang w:val="es-EC" w:eastAsia="es-MX"/>
        </w:rPr>
        <w:t xml:space="preserve"> y </w:t>
      </w:r>
      <w:r w:rsidRPr="00BF3D11">
        <w:rPr>
          <w:rFonts w:ascii="Cambria" w:eastAsia="Batang" w:hAnsi="Cambria"/>
          <w:sz w:val="20"/>
          <w:szCs w:val="20"/>
          <w:lang w:val="es-EC" w:eastAsia="es-MX"/>
        </w:rPr>
        <w:t xml:space="preserve">el cuerpo como se encontró y después de moverlo; </w:t>
      </w:r>
      <w:r w:rsidRPr="00BF3D11">
        <w:rPr>
          <w:rFonts w:ascii="Cambria" w:eastAsia="Batang" w:hAnsi="Cambria"/>
          <w:bCs/>
          <w:sz w:val="20"/>
          <w:szCs w:val="20"/>
          <w:lang w:val="es-EC" w:eastAsia="es-MX"/>
        </w:rPr>
        <w:t xml:space="preserve">todas las muestras de sangre, cabello, </w:t>
      </w:r>
      <w:r w:rsidRPr="00BF3D11">
        <w:rPr>
          <w:rFonts w:ascii="Cambria" w:eastAsia="Batang" w:hAnsi="Cambria"/>
          <w:sz w:val="20"/>
          <w:szCs w:val="20"/>
          <w:lang w:val="es-ES_tradnl" w:eastAsia="es-MX"/>
        </w:rPr>
        <w:t>fibras</w:t>
      </w:r>
      <w:r w:rsidRPr="00BF3D11">
        <w:rPr>
          <w:rFonts w:ascii="Cambria" w:eastAsia="Batang" w:hAnsi="Cambria"/>
          <w:bCs/>
          <w:sz w:val="20"/>
          <w:szCs w:val="20"/>
          <w:lang w:val="es-EC" w:eastAsia="es-MX"/>
        </w:rPr>
        <w:t xml:space="preserve">, hilos u otras pistas deben ser recogidas y conservadas; examinar el área en busca de huellas de zapatos o cualquier otra que tenga naturaleza de evidencia, y hacer un informe detallando cualquier observación de la escena, las acciones de los investigadores y la disposición de toda la evidencia coleccionada. </w:t>
      </w:r>
      <w:r w:rsidRPr="00BF3D11">
        <w:rPr>
          <w:rFonts w:ascii="Cambria" w:eastAsia="Batang" w:hAnsi="Cambria"/>
          <w:sz w:val="20"/>
          <w:szCs w:val="20"/>
          <w:lang w:val="es-EC" w:eastAsia="es-MX"/>
        </w:rPr>
        <w:t>S</w:t>
      </w:r>
      <w:r w:rsidRPr="00BF3D11">
        <w:rPr>
          <w:rFonts w:ascii="Cambria" w:eastAsia="Batang" w:hAnsi="Cambria"/>
          <w:bCs/>
          <w:sz w:val="20"/>
          <w:szCs w:val="20"/>
          <w:lang w:val="es-EC" w:eastAsia="es-MX"/>
        </w:rPr>
        <w:t>e debe cerrar la zona contigua al cadáver, y prohibir, salvo para el investigador y su equipo, el ingreso a la misma</w:t>
      </w:r>
      <w:r w:rsidRPr="00BF3D11">
        <w:rPr>
          <w:rFonts w:ascii="Cambria" w:eastAsia="Batang" w:hAnsi="Cambria"/>
          <w:bCs/>
          <w:sz w:val="20"/>
          <w:szCs w:val="20"/>
          <w:vertAlign w:val="superscript"/>
          <w:lang w:val="es-EC" w:eastAsia="es-MX"/>
        </w:rPr>
        <w:footnoteReference w:id="115"/>
      </w:r>
      <w:r w:rsidRPr="00BF3D11">
        <w:rPr>
          <w:rFonts w:ascii="Cambria" w:eastAsia="Batang" w:hAnsi="Cambria"/>
          <w:bCs/>
          <w:sz w:val="20"/>
          <w:szCs w:val="20"/>
          <w:lang w:val="es-EC" w:eastAsia="es-MX"/>
        </w:rPr>
        <w:t xml:space="preserve">. </w:t>
      </w:r>
      <w:r w:rsidRPr="00BF3D11">
        <w:rPr>
          <w:rFonts w:ascii="Cambria" w:eastAsia="Batang" w:hAnsi="Cambria"/>
          <w:sz w:val="20"/>
          <w:szCs w:val="20"/>
          <w:lang w:val="es-ES_tradnl" w:eastAsia="es-MX"/>
        </w:rPr>
        <w:t>Mientras ello no suceda debe evitarse cualquier contaminación de la misma y mantenerla bajo custodia permanente. Una de las acciones en el sitio del hallazgo de mayor riesgo es la manipulación del cadáver, el cual no debe ser manipulado sin la presencia de profesionales, quienes deben examinarlo y movilizarlo adecuadamente según la condición del cuerpo</w:t>
      </w:r>
      <w:r w:rsidR="00732C1E" w:rsidRPr="00BF3D11">
        <w:rPr>
          <w:rFonts w:ascii="Cambria" w:eastAsia="Batang" w:hAnsi="Cambria"/>
          <w:sz w:val="20"/>
          <w:szCs w:val="20"/>
          <w:vertAlign w:val="superscript"/>
          <w:lang w:val="es-ES_tradnl" w:eastAsia="es-MX"/>
        </w:rPr>
        <w:footnoteReference w:id="116"/>
      </w:r>
      <w:r w:rsidRPr="00BF3D11">
        <w:rPr>
          <w:rFonts w:ascii="Cambria" w:eastAsia="Batang" w:hAnsi="Cambria"/>
          <w:sz w:val="20"/>
          <w:szCs w:val="20"/>
          <w:lang w:val="es-ES_tradnl" w:eastAsia="es-MX"/>
        </w:rPr>
        <w:t xml:space="preserve">. </w:t>
      </w:r>
    </w:p>
    <w:p w:rsidR="004358D7" w:rsidRPr="00BF3D11" w:rsidRDefault="004358D7" w:rsidP="00053951">
      <w:pPr>
        <w:autoSpaceDE w:val="0"/>
        <w:autoSpaceDN w:val="0"/>
        <w:adjustRightInd w:val="0"/>
        <w:jc w:val="both"/>
        <w:rPr>
          <w:rFonts w:ascii="Cambria" w:hAnsi="Cambria"/>
          <w:sz w:val="20"/>
          <w:szCs w:val="20"/>
          <w:lang w:val="es-ES"/>
        </w:rPr>
      </w:pPr>
    </w:p>
    <w:p w:rsidR="004358D7" w:rsidRPr="00BF3D11" w:rsidRDefault="004358D7"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contextualSpacing/>
        <w:jc w:val="both"/>
        <w:rPr>
          <w:rFonts w:ascii="Cambria" w:hAnsi="Cambria"/>
          <w:sz w:val="20"/>
          <w:szCs w:val="20"/>
          <w:lang w:val="es-MX" w:eastAsia="es-MX"/>
        </w:rPr>
      </w:pPr>
      <w:r w:rsidRPr="00BF3D11">
        <w:rPr>
          <w:rFonts w:ascii="Cambria" w:eastAsia="Batang" w:hAnsi="Cambria"/>
          <w:bCs/>
          <w:sz w:val="20"/>
          <w:szCs w:val="20"/>
          <w:lang w:val="es-EC" w:eastAsia="es-MX"/>
        </w:rPr>
        <w:t xml:space="preserve">Igualmente, la debida diligencia en una investigación médico-legal de una muerte exige el </w:t>
      </w:r>
      <w:r w:rsidRPr="00BF3D11">
        <w:rPr>
          <w:rFonts w:ascii="Cambria" w:eastAsia="Batang" w:hAnsi="Cambria"/>
          <w:sz w:val="20"/>
          <w:szCs w:val="20"/>
          <w:lang w:val="es-ES_tradnl" w:eastAsia="es-MX"/>
        </w:rPr>
        <w:t>mantenimiento</w:t>
      </w:r>
      <w:r w:rsidRPr="00BF3D11">
        <w:rPr>
          <w:rFonts w:ascii="Cambria" w:eastAsia="Batang" w:hAnsi="Cambria"/>
          <w:bCs/>
          <w:sz w:val="20"/>
          <w:szCs w:val="20"/>
          <w:lang w:val="es-EC" w:eastAsia="es-MX"/>
        </w:rPr>
        <w:t xml:space="preserve"> de la cadena de custodia de todo elemento de prueba forense</w:t>
      </w:r>
      <w:r w:rsidRPr="00BF3D11">
        <w:rPr>
          <w:rFonts w:ascii="Cambria" w:eastAsia="Batang" w:hAnsi="Cambria"/>
          <w:bCs/>
          <w:sz w:val="20"/>
          <w:szCs w:val="20"/>
          <w:vertAlign w:val="superscript"/>
          <w:lang w:val="es-EC" w:eastAsia="es-MX"/>
        </w:rPr>
        <w:footnoteReference w:id="117"/>
      </w:r>
      <w:r w:rsidRPr="00BF3D11">
        <w:rPr>
          <w:rFonts w:ascii="Cambria" w:eastAsia="Batang" w:hAnsi="Cambria"/>
          <w:bCs/>
          <w:sz w:val="20"/>
          <w:szCs w:val="20"/>
          <w:lang w:val="es-EC" w:eastAsia="es-MX"/>
        </w:rPr>
        <w:t xml:space="preserve">. La Corte ha señalado que ello consiste </w:t>
      </w:r>
      <w:r w:rsidRPr="00BF3D11">
        <w:rPr>
          <w:rFonts w:ascii="Cambria" w:eastAsia="Batang" w:hAnsi="Cambria"/>
          <w:sz w:val="20"/>
          <w:szCs w:val="20"/>
          <w:lang w:val="es-ES_tradnl" w:eastAsia="es-MX"/>
        </w:rPr>
        <w:t>en</w:t>
      </w:r>
      <w:r w:rsidRPr="00BF3D11">
        <w:rPr>
          <w:rFonts w:ascii="Cambria" w:eastAsia="Batang" w:hAnsi="Cambria"/>
          <w:bCs/>
          <w:sz w:val="20"/>
          <w:szCs w:val="20"/>
          <w:lang w:val="es-EC" w:eastAsia="es-MX"/>
        </w:rPr>
        <w:t xml:space="preserve"> llevar un registro escrito preciso, complementado, según corresponda, por fotografías y demás elementos gráficos, para documentar la historia del elemento de prueba a medida que pasa por las manos de diversos </w:t>
      </w:r>
      <w:r w:rsidRPr="00BF3D11">
        <w:rPr>
          <w:rFonts w:ascii="Cambria" w:eastAsia="Batang" w:hAnsi="Cambria"/>
          <w:sz w:val="20"/>
          <w:szCs w:val="20"/>
          <w:lang w:val="es-ES_tradnl" w:eastAsia="es-MX"/>
        </w:rPr>
        <w:t>investigadores</w:t>
      </w:r>
      <w:r w:rsidRPr="00BF3D11">
        <w:rPr>
          <w:rFonts w:ascii="Cambria" w:eastAsia="Batang" w:hAnsi="Cambria"/>
          <w:bCs/>
          <w:sz w:val="20"/>
          <w:szCs w:val="20"/>
          <w:lang w:val="es-EC" w:eastAsia="es-MX"/>
        </w:rPr>
        <w:t xml:space="preserve"> encargados del caso</w:t>
      </w:r>
      <w:r w:rsidR="004E7E9B" w:rsidRPr="00BF3D11">
        <w:rPr>
          <w:rFonts w:ascii="Cambria" w:eastAsia="Batang" w:hAnsi="Cambria"/>
          <w:bCs/>
          <w:sz w:val="20"/>
          <w:szCs w:val="20"/>
          <w:vertAlign w:val="superscript"/>
          <w:lang w:val="es-EC" w:eastAsia="es-MX"/>
        </w:rPr>
        <w:footnoteReference w:id="118"/>
      </w:r>
      <w:r w:rsidRPr="00BF3D11">
        <w:rPr>
          <w:rFonts w:ascii="Cambria" w:eastAsia="Batang" w:hAnsi="Cambria"/>
          <w:bCs/>
          <w:sz w:val="20"/>
          <w:szCs w:val="20"/>
          <w:lang w:val="es-EC" w:eastAsia="es-MX"/>
        </w:rPr>
        <w:t xml:space="preserve">. </w:t>
      </w:r>
    </w:p>
    <w:p w:rsidR="004E7E9B" w:rsidRPr="00BF3D11" w:rsidRDefault="004E7E9B" w:rsidP="0005395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sz w:val="20"/>
          <w:szCs w:val="20"/>
          <w:lang w:val="es-MX" w:eastAsia="es-MX"/>
        </w:rPr>
      </w:pPr>
    </w:p>
    <w:p w:rsidR="001E2F1D" w:rsidRPr="00BF3D11" w:rsidRDefault="004358D7"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lang w:val="es-ES_tradnl" w:eastAsia="es-MX"/>
        </w:rPr>
      </w:pPr>
      <w:r w:rsidRPr="00BF3D11">
        <w:rPr>
          <w:rFonts w:ascii="Cambria" w:eastAsia="Batang" w:hAnsi="Cambria"/>
          <w:sz w:val="20"/>
          <w:szCs w:val="20"/>
          <w:lang w:val="es-ES_tradnl" w:eastAsia="es-MX"/>
        </w:rPr>
        <w:t xml:space="preserve">En cuanto a las autopsias, </w:t>
      </w:r>
      <w:r w:rsidR="004E7E9B" w:rsidRPr="00BF3D11">
        <w:rPr>
          <w:rFonts w:ascii="Cambria" w:eastAsia="Batang" w:hAnsi="Cambria"/>
          <w:sz w:val="20"/>
          <w:szCs w:val="20"/>
          <w:lang w:val="es-ES_tradnl" w:eastAsia="es-MX"/>
        </w:rPr>
        <w:t>éstas</w:t>
      </w:r>
      <w:r w:rsidRPr="00BF3D11">
        <w:rPr>
          <w:rFonts w:ascii="Cambria" w:eastAsia="Batang" w:hAnsi="Cambria"/>
          <w:sz w:val="20"/>
          <w:szCs w:val="20"/>
          <w:lang w:val="es-ES_tradnl" w:eastAsia="es-MX"/>
        </w:rPr>
        <w:t xml:space="preserve"> tienen como objetivo recolectar, como mínimo, información para identificar a la persona muerta, la hora, la fecha, causa y forma de muerte. </w:t>
      </w:r>
      <w:r w:rsidRPr="00BF3D11">
        <w:rPr>
          <w:rFonts w:ascii="Cambria" w:eastAsia="Batang" w:hAnsi="Cambria"/>
          <w:bCs/>
          <w:sz w:val="20"/>
          <w:szCs w:val="20"/>
          <w:lang w:val="es-ES_tradnl" w:eastAsia="es-MX"/>
        </w:rPr>
        <w:t>Estas deben respetar ciertas formalidades básicas, como indicar la fecha y hora de inicio y finalización, así como el lugar donde se realiza y el nombre del funcionario que la ejecuta</w:t>
      </w:r>
      <w:r w:rsidR="004E7E9B" w:rsidRPr="00BF3D11">
        <w:rPr>
          <w:rFonts w:ascii="Cambria" w:eastAsia="Batang" w:hAnsi="Cambria"/>
          <w:sz w:val="20"/>
          <w:szCs w:val="20"/>
          <w:vertAlign w:val="superscript"/>
          <w:lang w:val="es-ES_tradnl" w:eastAsia="es-MX"/>
        </w:rPr>
        <w:footnoteReference w:id="119"/>
      </w:r>
      <w:r w:rsidRPr="00BF3D11">
        <w:rPr>
          <w:rFonts w:ascii="Cambria" w:eastAsia="Batang" w:hAnsi="Cambria"/>
          <w:bCs/>
          <w:sz w:val="20"/>
          <w:szCs w:val="20"/>
          <w:lang w:val="es-ES_tradnl" w:eastAsia="es-MX"/>
        </w:rPr>
        <w:t xml:space="preserve">. </w:t>
      </w:r>
    </w:p>
    <w:p w:rsidR="00BD3A2F" w:rsidRPr="00BF3D11" w:rsidRDefault="00BD3A2F" w:rsidP="000539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lang w:val="es-ES_tradnl" w:eastAsia="es-MX"/>
        </w:rPr>
      </w:pPr>
    </w:p>
    <w:p w:rsidR="004E7E9B" w:rsidRPr="00BF3D11" w:rsidRDefault="001E2F1D"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lang w:val="es-ES_tradnl" w:eastAsia="es-MX"/>
        </w:rPr>
      </w:pPr>
      <w:r w:rsidRPr="00BF3D11">
        <w:rPr>
          <w:rFonts w:ascii="Cambria" w:eastAsia="Batang" w:hAnsi="Cambria"/>
          <w:sz w:val="20"/>
          <w:szCs w:val="20"/>
          <w:lang w:val="es-ES_tradnl" w:eastAsia="es-MX"/>
        </w:rPr>
        <w:lastRenderedPageBreak/>
        <w:t xml:space="preserve">En el presente caso, la CIDH </w:t>
      </w:r>
      <w:r w:rsidR="00BD3A2F" w:rsidRPr="00BF3D11">
        <w:rPr>
          <w:rFonts w:ascii="Cambria" w:eastAsia="Batang" w:hAnsi="Cambria"/>
          <w:sz w:val="20"/>
          <w:szCs w:val="20"/>
          <w:lang w:val="es-ES_tradnl" w:eastAsia="es-MX"/>
        </w:rPr>
        <w:t xml:space="preserve">reitera </w:t>
      </w:r>
      <w:r w:rsidR="004E7E9B" w:rsidRPr="00BF3D11">
        <w:rPr>
          <w:rFonts w:ascii="Cambria" w:eastAsia="Batang" w:hAnsi="Cambria"/>
          <w:sz w:val="20"/>
          <w:szCs w:val="20"/>
          <w:lang w:val="es-ES_tradnl" w:eastAsia="es-MX"/>
        </w:rPr>
        <w:t xml:space="preserve">que el cuerpo del señor Gómez fue encontrado el 19 de marzo de 1995 en un barranco en la ciudad de Guatemala. </w:t>
      </w:r>
      <w:r w:rsidR="004E7E9B" w:rsidRPr="00BF3D11">
        <w:rPr>
          <w:rFonts w:ascii="Cambria" w:hAnsi="Cambria"/>
          <w:sz w:val="20"/>
          <w:szCs w:val="20"/>
          <w:lang w:val="es-ES"/>
        </w:rPr>
        <w:t>Asimismo, la Comisión recuerda que la investigación penal no inició a partir de las denuncias sobre la desaparición de la víctima, sino que el momento específico de su inicio fue a partir del</w:t>
      </w:r>
      <w:r w:rsidR="004E7E9B" w:rsidRPr="00BF3D11">
        <w:rPr>
          <w:rFonts w:ascii="Cambria" w:eastAsia="Batang" w:hAnsi="Cambria"/>
          <w:sz w:val="20"/>
          <w:szCs w:val="20"/>
          <w:lang w:val="es-ES" w:eastAsia="es-MX"/>
        </w:rPr>
        <w:t xml:space="preserve"> hallazgo del cuerpo sin vida de </w:t>
      </w:r>
      <w:r w:rsidR="00E15EE9" w:rsidRPr="00BF3D11">
        <w:rPr>
          <w:rFonts w:ascii="Cambria" w:eastAsia="Batang" w:hAnsi="Cambria"/>
          <w:sz w:val="20"/>
          <w:szCs w:val="20"/>
          <w:lang w:val="es-ES" w:eastAsia="es-MX"/>
        </w:rPr>
        <w:t>Alejandro</w:t>
      </w:r>
      <w:r w:rsidR="004E7E9B" w:rsidRPr="00BF3D11">
        <w:rPr>
          <w:rFonts w:ascii="Cambria" w:eastAsia="Batang" w:hAnsi="Cambria"/>
          <w:sz w:val="20"/>
          <w:szCs w:val="20"/>
          <w:lang w:val="es-ES" w:eastAsia="es-MX"/>
        </w:rPr>
        <w:t xml:space="preserve"> Yovany Gómez</w:t>
      </w:r>
      <w:r w:rsidR="004E7E9B" w:rsidRPr="00BF3D11">
        <w:rPr>
          <w:rFonts w:ascii="Cambria" w:hAnsi="Cambria"/>
          <w:sz w:val="20"/>
          <w:szCs w:val="20"/>
          <w:lang w:val="es-ES"/>
        </w:rPr>
        <w:t>.</w:t>
      </w:r>
      <w:r w:rsidR="00D96594" w:rsidRPr="00BF3D11">
        <w:rPr>
          <w:rFonts w:ascii="Cambria" w:hAnsi="Cambria"/>
          <w:sz w:val="20"/>
          <w:szCs w:val="20"/>
          <w:lang w:val="es-ES"/>
        </w:rPr>
        <w:t xml:space="preserve"> Esta omisión, además de constituir la fuente de la responsabilidad internacional del Estado en los términos ya analizados, constituyó también una violación del derecho a las garantías judiciales y protección judicial. </w:t>
      </w:r>
    </w:p>
    <w:p w:rsidR="004E7E9B" w:rsidRPr="00BF3D11" w:rsidRDefault="004E7E9B" w:rsidP="0005395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Batang" w:hAnsi="Cambria"/>
          <w:sz w:val="20"/>
          <w:szCs w:val="20"/>
          <w:lang w:val="es-ES_tradnl" w:eastAsia="es-MX"/>
        </w:rPr>
      </w:pPr>
    </w:p>
    <w:p w:rsidR="00FD0884" w:rsidRPr="00BF3D11" w:rsidRDefault="00FD0884"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lang w:val="es-ES_tradnl" w:eastAsia="es-MX"/>
        </w:rPr>
      </w:pPr>
      <w:r w:rsidRPr="00BF3D11">
        <w:rPr>
          <w:rFonts w:ascii="Cambria" w:eastAsia="Batang" w:hAnsi="Cambria"/>
          <w:sz w:val="20"/>
          <w:szCs w:val="20"/>
          <w:lang w:val="es-ES_tradnl" w:eastAsia="es-MX"/>
        </w:rPr>
        <w:t>Ahora bien, respecto de la investigación llevada a cabo tras el hallazgo del cadáver la Comisión efectúa las siguientes consi</w:t>
      </w:r>
      <w:r w:rsidR="00451834" w:rsidRPr="00BF3D11">
        <w:rPr>
          <w:rFonts w:ascii="Cambria" w:eastAsia="Batang" w:hAnsi="Cambria"/>
          <w:sz w:val="20"/>
          <w:szCs w:val="20"/>
          <w:lang w:val="es-ES_tradnl" w:eastAsia="es-MX"/>
        </w:rPr>
        <w:t>deraciones en cuanto al cumplimiento de los estándares descritos sobre las diligencias mínimas a realizarse en casos de muertes violentas. La Comisión destaca que es deber</w:t>
      </w:r>
      <w:r w:rsidR="0015421F" w:rsidRPr="00BF3D11">
        <w:rPr>
          <w:rFonts w:ascii="Cambria" w:eastAsia="Batang" w:hAnsi="Cambria"/>
          <w:sz w:val="20"/>
          <w:szCs w:val="20"/>
          <w:lang w:val="es-ES_tradnl" w:eastAsia="es-MX"/>
        </w:rPr>
        <w:t xml:space="preserve"> del Estado dejar constancia d</w:t>
      </w:r>
      <w:r w:rsidR="00BA679E">
        <w:rPr>
          <w:rFonts w:ascii="Cambria" w:eastAsia="Batang" w:hAnsi="Cambria"/>
          <w:sz w:val="20"/>
          <w:szCs w:val="20"/>
          <w:lang w:val="es-ES_tradnl" w:eastAsia="es-MX"/>
        </w:rPr>
        <w:t>e</w:t>
      </w:r>
      <w:r w:rsidR="0015421F" w:rsidRPr="00BF3D11">
        <w:rPr>
          <w:rFonts w:ascii="Cambria" w:eastAsia="Batang" w:hAnsi="Cambria"/>
          <w:sz w:val="20"/>
          <w:szCs w:val="20"/>
          <w:lang w:val="es-ES_tradnl" w:eastAsia="es-MX"/>
        </w:rPr>
        <w:t xml:space="preserve"> la realización de dichas diligencias mínimas, </w:t>
      </w:r>
      <w:r w:rsidR="00451834" w:rsidRPr="00BF3D11">
        <w:rPr>
          <w:rFonts w:ascii="Cambria" w:eastAsia="Batang" w:hAnsi="Cambria"/>
          <w:sz w:val="20"/>
          <w:szCs w:val="20"/>
          <w:lang w:val="es-ES_tradnl" w:eastAsia="es-MX"/>
        </w:rPr>
        <w:t xml:space="preserve">por lo que la ausencia de información al respecto en el marco de la investigación realizada, permite a la CIDH inferir que no </w:t>
      </w:r>
      <w:r w:rsidR="0015421F" w:rsidRPr="00BF3D11">
        <w:rPr>
          <w:rFonts w:ascii="Cambria" w:eastAsia="Batang" w:hAnsi="Cambria"/>
          <w:sz w:val="20"/>
          <w:szCs w:val="20"/>
          <w:lang w:val="es-ES_tradnl" w:eastAsia="es-MX"/>
        </w:rPr>
        <w:t>se realizaron.</w:t>
      </w:r>
    </w:p>
    <w:p w:rsidR="00FD0884" w:rsidRPr="00BF3D11" w:rsidRDefault="00FD0884" w:rsidP="000539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lang w:val="es-ES_tradnl" w:eastAsia="es-MX"/>
        </w:rPr>
      </w:pPr>
    </w:p>
    <w:p w:rsidR="004E7E9B" w:rsidRPr="00BF3D11" w:rsidRDefault="002737BD"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lang w:val="es-ES_tradnl" w:eastAsia="es-MX"/>
        </w:rPr>
      </w:pPr>
      <w:r w:rsidRPr="00BF3D11">
        <w:rPr>
          <w:rFonts w:ascii="Cambria" w:eastAsia="Batang" w:hAnsi="Cambria"/>
          <w:sz w:val="20"/>
          <w:szCs w:val="20"/>
          <w:lang w:val="es-ES_tradnl" w:eastAsia="es-MX"/>
        </w:rPr>
        <w:t xml:space="preserve">En primer lugar, la CIDH observa que el Estado no presentó información sobre la creación de un registro oficial por el hallazgo del cuerpo del señor Gómez. </w:t>
      </w:r>
      <w:r w:rsidR="007361AB" w:rsidRPr="00BF3D11">
        <w:rPr>
          <w:rFonts w:ascii="Cambria" w:eastAsia="Batang" w:hAnsi="Cambria"/>
          <w:sz w:val="20"/>
          <w:szCs w:val="20"/>
          <w:lang w:val="es-ES_tradnl" w:eastAsia="es-MX"/>
        </w:rPr>
        <w:t>A pesar de tratarse de información que debía estar en poder del Estado, l</w:t>
      </w:r>
      <w:r w:rsidRPr="00BF3D11">
        <w:rPr>
          <w:rFonts w:ascii="Cambria" w:eastAsia="Batang" w:hAnsi="Cambria"/>
          <w:sz w:val="20"/>
          <w:szCs w:val="20"/>
          <w:lang w:val="es-ES_tradnl" w:eastAsia="es-MX"/>
        </w:rPr>
        <w:t xml:space="preserve">a Comisión no cuenta con información sobre quién encontró el cadáver y las circunstancias en que éste fue hallado. </w:t>
      </w:r>
      <w:r w:rsidRPr="00BF3D11">
        <w:rPr>
          <w:rFonts w:ascii="Cambria" w:eastAsia="Batang" w:hAnsi="Cambria" w:cs="Arial"/>
          <w:sz w:val="20"/>
          <w:szCs w:val="20"/>
          <w:lang w:val="es-ES" w:eastAsia="es-MX"/>
        </w:rPr>
        <w:t>Tampoco consta que en el marco de la investigación penal se hubiera indagado sobre estos aspectos a fin de obtener información sobre los primeros momentos del hallazgo.</w:t>
      </w:r>
    </w:p>
    <w:p w:rsidR="002737BD" w:rsidRPr="00BF3D11" w:rsidRDefault="002737BD" w:rsidP="00053951">
      <w:pPr>
        <w:pStyle w:val="ColorfulList-Accent11"/>
        <w:rPr>
          <w:rFonts w:ascii="Cambria" w:eastAsia="Batang" w:hAnsi="Cambria"/>
          <w:sz w:val="20"/>
          <w:szCs w:val="20"/>
          <w:lang w:val="es-ES_tradnl" w:eastAsia="es-MX"/>
        </w:rPr>
      </w:pPr>
    </w:p>
    <w:p w:rsidR="002737BD" w:rsidRPr="00BF3D11" w:rsidRDefault="002737BD"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lang w:val="es-ES_tradnl" w:eastAsia="es-MX"/>
        </w:rPr>
      </w:pPr>
      <w:r w:rsidRPr="00BF3D11">
        <w:rPr>
          <w:rFonts w:ascii="Cambria" w:eastAsia="Batang" w:hAnsi="Cambria"/>
          <w:sz w:val="20"/>
          <w:szCs w:val="20"/>
          <w:lang w:val="es-ES_tradnl" w:eastAsia="es-MX"/>
        </w:rPr>
        <w:t>En segundo lugar, la Comisión nota que el Estado tampoco presentó información sobre las medidas adoptadas para el manejo de la escena del crimen, así como la evidencia obtenida durante</w:t>
      </w:r>
      <w:r w:rsidR="008C058F">
        <w:rPr>
          <w:rFonts w:ascii="Cambria" w:eastAsia="Batang" w:hAnsi="Cambria"/>
          <w:sz w:val="20"/>
          <w:szCs w:val="20"/>
          <w:lang w:val="es-ES_tradnl" w:eastAsia="es-MX"/>
        </w:rPr>
        <w:t xml:space="preserve"> la investigación </w:t>
      </w:r>
      <w:r w:rsidR="00C13727" w:rsidRPr="00BF3D11">
        <w:rPr>
          <w:rFonts w:ascii="Cambria" w:eastAsia="Batang" w:hAnsi="Cambria"/>
          <w:sz w:val="20"/>
          <w:szCs w:val="20"/>
          <w:lang w:val="es-ES_tradnl" w:eastAsia="es-MX"/>
        </w:rPr>
        <w:t xml:space="preserve">en ese contexto. </w:t>
      </w:r>
      <w:r w:rsidRPr="00BF3D11">
        <w:rPr>
          <w:rFonts w:ascii="Cambria" w:eastAsia="Batang" w:hAnsi="Cambria"/>
          <w:sz w:val="20"/>
          <w:szCs w:val="20"/>
          <w:lang w:val="es-ES_tradnl" w:eastAsia="es-MX"/>
        </w:rPr>
        <w:t xml:space="preserve">En ese sentido, a la CIDH no le consta </w:t>
      </w:r>
      <w:r w:rsidRPr="00BF3D11">
        <w:rPr>
          <w:rFonts w:ascii="Cambria" w:eastAsia="Batang" w:hAnsi="Cambria" w:cs="Arial"/>
          <w:sz w:val="20"/>
          <w:szCs w:val="20"/>
          <w:lang w:val="es-ES" w:eastAsia="es-MX"/>
        </w:rPr>
        <w:t xml:space="preserve">que se hayan realizado trabajos de recolección y documentación que ayudaran en la prosecución de la investigación. </w:t>
      </w:r>
      <w:r w:rsidRPr="00BF3D11">
        <w:rPr>
          <w:rFonts w:ascii="Cambria" w:eastAsia="Batang" w:hAnsi="Cambria"/>
          <w:sz w:val="20"/>
          <w:szCs w:val="20"/>
          <w:lang w:val="es-ES_tradnl" w:eastAsia="es-MX"/>
        </w:rPr>
        <w:t xml:space="preserve">Tampoco hay constancia </w:t>
      </w:r>
      <w:r w:rsidR="00B7307C" w:rsidRPr="00BF3D11">
        <w:rPr>
          <w:rFonts w:ascii="Cambria" w:eastAsia="Batang" w:hAnsi="Cambria"/>
          <w:sz w:val="20"/>
          <w:szCs w:val="20"/>
          <w:lang w:val="es-ES_tradnl" w:eastAsia="es-MX"/>
        </w:rPr>
        <w:t xml:space="preserve">de </w:t>
      </w:r>
      <w:r w:rsidRPr="00BF3D11">
        <w:rPr>
          <w:rFonts w:ascii="Cambria" w:eastAsia="Batang" w:hAnsi="Cambria"/>
          <w:sz w:val="20"/>
          <w:szCs w:val="20"/>
          <w:lang w:val="es-ES_tradnl" w:eastAsia="es-MX"/>
        </w:rPr>
        <w:t xml:space="preserve">que las </w:t>
      </w:r>
      <w:r w:rsidRPr="00BF3D11">
        <w:rPr>
          <w:rFonts w:ascii="Cambria" w:eastAsia="Batang" w:hAnsi="Cambria" w:cs="Arial"/>
          <w:sz w:val="20"/>
          <w:szCs w:val="20"/>
          <w:lang w:val="es-ES_tradnl" w:eastAsia="es-MX"/>
        </w:rPr>
        <w:t>inspecciones</w:t>
      </w:r>
      <w:r w:rsidRPr="00BF3D11">
        <w:rPr>
          <w:rFonts w:ascii="Cambria" w:eastAsia="Batang" w:hAnsi="Cambria"/>
          <w:sz w:val="20"/>
          <w:szCs w:val="20"/>
          <w:lang w:val="es-ES_tradnl" w:eastAsia="es-MX"/>
        </w:rPr>
        <w:t xml:space="preserve"> en el lugar se realizaran con la minuciosidad requerida para identificar detalles tales como si había manchas de sangre en las inmediaciones del lugar, cabellos, fibras, hilos, huellas u otras pistas, ni huellas de vehículo </w:t>
      </w:r>
      <w:r w:rsidRPr="00BF3D11">
        <w:rPr>
          <w:rFonts w:ascii="Cambria" w:eastAsia="Batang" w:hAnsi="Cambria" w:cs="Arial"/>
          <w:sz w:val="20"/>
          <w:szCs w:val="20"/>
          <w:lang w:val="es-ES_tradnl" w:eastAsia="es-MX"/>
        </w:rPr>
        <w:t>o cualquier otra evidencia relevante</w:t>
      </w:r>
      <w:r w:rsidRPr="00BF3D11">
        <w:rPr>
          <w:rFonts w:ascii="Cambria" w:eastAsia="Batang" w:hAnsi="Cambria"/>
          <w:sz w:val="20"/>
          <w:szCs w:val="20"/>
          <w:lang w:val="es-ES_tradnl" w:eastAsia="es-MX"/>
        </w:rPr>
        <w:t>.</w:t>
      </w:r>
    </w:p>
    <w:p w:rsidR="002737BD" w:rsidRPr="00BF3D11" w:rsidRDefault="002737BD" w:rsidP="00053951">
      <w:pPr>
        <w:pStyle w:val="ColorfulList-Accent11"/>
        <w:rPr>
          <w:rFonts w:ascii="Cambria" w:eastAsia="Batang" w:hAnsi="Cambria"/>
          <w:sz w:val="20"/>
          <w:szCs w:val="20"/>
          <w:lang w:val="es-ES_tradnl" w:eastAsia="es-MX"/>
        </w:rPr>
      </w:pPr>
    </w:p>
    <w:p w:rsidR="007816C5" w:rsidRPr="00BF3D11" w:rsidRDefault="00A03551"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lang w:val="es-ES_tradnl" w:eastAsia="es-MX"/>
        </w:rPr>
      </w:pPr>
      <w:r w:rsidRPr="00BF3D11">
        <w:rPr>
          <w:rFonts w:ascii="Cambria" w:eastAsia="Batang" w:hAnsi="Cambria"/>
          <w:sz w:val="20"/>
          <w:szCs w:val="20"/>
          <w:lang w:val="es-ES_tradnl" w:eastAsia="es-MX"/>
        </w:rPr>
        <w:t xml:space="preserve">En tercer lugar, </w:t>
      </w:r>
      <w:r w:rsidR="009920A8" w:rsidRPr="00BF3D11">
        <w:rPr>
          <w:rFonts w:ascii="Cambria" w:eastAsia="Batang" w:hAnsi="Cambria"/>
          <w:sz w:val="20"/>
          <w:szCs w:val="20"/>
          <w:lang w:val="es-ES_tradnl" w:eastAsia="es-MX"/>
        </w:rPr>
        <w:t xml:space="preserve">la CIDH observa que </w:t>
      </w:r>
      <w:r w:rsidR="003D43A2" w:rsidRPr="00BF3D11">
        <w:rPr>
          <w:rFonts w:ascii="Cambria" w:eastAsia="Batang" w:hAnsi="Cambria"/>
          <w:sz w:val="20"/>
          <w:szCs w:val="20"/>
          <w:lang w:val="es-ES_tradnl" w:eastAsia="es-MX"/>
        </w:rPr>
        <w:t xml:space="preserve">el Estado </w:t>
      </w:r>
      <w:r w:rsidR="009920A8" w:rsidRPr="00BF3D11">
        <w:rPr>
          <w:rFonts w:ascii="Cambria" w:eastAsia="Batang" w:hAnsi="Cambria"/>
          <w:sz w:val="20"/>
          <w:szCs w:val="20"/>
          <w:lang w:val="es-ES_tradnl" w:eastAsia="es-MX"/>
        </w:rPr>
        <w:t xml:space="preserve">no </w:t>
      </w:r>
      <w:r w:rsidR="003D43A2" w:rsidRPr="00BF3D11">
        <w:rPr>
          <w:rFonts w:ascii="Cambria" w:eastAsia="Batang" w:hAnsi="Cambria"/>
          <w:sz w:val="20"/>
          <w:szCs w:val="20"/>
          <w:lang w:val="es-ES_tradnl" w:eastAsia="es-MX"/>
        </w:rPr>
        <w:t>presentó información</w:t>
      </w:r>
      <w:r w:rsidR="009920A8" w:rsidRPr="00BF3D11">
        <w:rPr>
          <w:rFonts w:ascii="Cambria" w:eastAsia="Batang" w:hAnsi="Cambria"/>
          <w:sz w:val="20"/>
          <w:szCs w:val="20"/>
          <w:lang w:val="es-ES_tradnl" w:eastAsia="es-MX"/>
        </w:rPr>
        <w:t xml:space="preserve"> sobre la necropsia realizada al cuerpo del señor Gómez. </w:t>
      </w:r>
      <w:r w:rsidR="003D43A2" w:rsidRPr="00BF3D11">
        <w:rPr>
          <w:rFonts w:ascii="Cambria" w:eastAsia="Batang" w:hAnsi="Cambria"/>
          <w:sz w:val="20"/>
          <w:szCs w:val="20"/>
          <w:lang w:val="es-ES_tradnl" w:eastAsia="es-MX"/>
        </w:rPr>
        <w:t xml:space="preserve">Al respecto, los peticionarios informaron que el acceso al informe forense les fue denegado inicialmente y que con posterioridad tomaron conocimiento de las razones del fallecimiento del señor Gómez. La Comisión observa que de la información proporcionada por las partes no se registra </w:t>
      </w:r>
      <w:r w:rsidR="003D43A2" w:rsidRPr="00BF3D11">
        <w:rPr>
          <w:rFonts w:ascii="Cambria" w:eastAsia="Batang" w:hAnsi="Cambria"/>
          <w:sz w:val="20"/>
          <w:szCs w:val="20"/>
          <w:lang w:val="es-ES" w:eastAsia="es-MX"/>
        </w:rPr>
        <w:t>la hora aproximada ni el lugar de la muerte</w:t>
      </w:r>
      <w:r w:rsidR="007816C5" w:rsidRPr="00BF3D11">
        <w:rPr>
          <w:rFonts w:ascii="Cambria" w:eastAsia="Batang" w:hAnsi="Cambria"/>
          <w:sz w:val="20"/>
          <w:szCs w:val="20"/>
          <w:lang w:val="es-ES" w:eastAsia="es-MX"/>
        </w:rPr>
        <w:t xml:space="preserve">. En la misma línea, la CIDH observa que si bien se indicó que el cuerpo del señor Gómez presentaba traumatismos y contusiones, no se </w:t>
      </w:r>
      <w:r w:rsidR="007816C5" w:rsidRPr="00BF3D11">
        <w:rPr>
          <w:rFonts w:ascii="Cambria" w:eastAsia="Calibri" w:hAnsi="Cambria" w:cs="Arial"/>
          <w:sz w:val="20"/>
          <w:szCs w:val="20"/>
          <w:lang w:val="es-ES_tradnl" w:eastAsia="es-MX"/>
        </w:rPr>
        <w:t xml:space="preserve">realizó </w:t>
      </w:r>
      <w:r w:rsidR="007816C5" w:rsidRPr="00BF3D11">
        <w:rPr>
          <w:rFonts w:ascii="Cambria" w:eastAsia="Batang" w:hAnsi="Cambria"/>
          <w:sz w:val="20"/>
          <w:szCs w:val="20"/>
          <w:lang w:val="es-ES" w:eastAsia="es-MX"/>
        </w:rPr>
        <w:t>un estudio forense ni</w:t>
      </w:r>
      <w:r w:rsidR="007816C5" w:rsidRPr="00BF3D11">
        <w:rPr>
          <w:rFonts w:ascii="Cambria" w:eastAsia="Calibri" w:hAnsi="Cambria" w:cs="Arial"/>
          <w:sz w:val="20"/>
          <w:szCs w:val="20"/>
          <w:lang w:val="es-ES_tradnl" w:eastAsia="es-MX"/>
        </w:rPr>
        <w:t xml:space="preserve"> una descripción adecuada de dichas lesiones, ni se indicó las características de forma, patrones y signos que podrían determinar si las mismas fueron </w:t>
      </w:r>
      <w:r w:rsidR="007816C5" w:rsidRPr="00BF3D11">
        <w:rPr>
          <w:rFonts w:ascii="Cambria" w:eastAsia="Calibri" w:hAnsi="Cambria" w:cs="Arial"/>
          <w:i/>
          <w:sz w:val="20"/>
          <w:szCs w:val="20"/>
          <w:lang w:val="es-ES_tradnl" w:eastAsia="es-MX"/>
        </w:rPr>
        <w:t xml:space="preserve">pre </w:t>
      </w:r>
      <w:r w:rsidR="007816C5" w:rsidRPr="00BF3D11">
        <w:rPr>
          <w:rFonts w:ascii="Cambria" w:eastAsia="Calibri" w:hAnsi="Cambria" w:cs="Arial"/>
          <w:sz w:val="20"/>
          <w:szCs w:val="20"/>
          <w:lang w:val="es-ES_tradnl" w:eastAsia="es-MX"/>
        </w:rPr>
        <w:t>o</w:t>
      </w:r>
      <w:r w:rsidR="007816C5" w:rsidRPr="00BF3D11">
        <w:rPr>
          <w:rFonts w:ascii="Cambria" w:eastAsia="Calibri" w:hAnsi="Cambria" w:cs="Arial"/>
          <w:i/>
          <w:sz w:val="20"/>
          <w:szCs w:val="20"/>
          <w:lang w:val="es-ES_tradnl" w:eastAsia="es-MX"/>
        </w:rPr>
        <w:t xml:space="preserve"> post mortem</w:t>
      </w:r>
      <w:r w:rsidR="007816C5" w:rsidRPr="00BF3D11">
        <w:rPr>
          <w:rFonts w:ascii="Cambria" w:eastAsia="Calibri" w:hAnsi="Cambria" w:cs="Arial"/>
          <w:sz w:val="20"/>
          <w:szCs w:val="20"/>
          <w:lang w:val="es-ES_tradnl" w:eastAsia="es-MX"/>
        </w:rPr>
        <w:t>.</w:t>
      </w:r>
      <w:r w:rsidR="007816C5" w:rsidRPr="00BF3D11">
        <w:rPr>
          <w:rFonts w:ascii="Cambria" w:eastAsia="Batang" w:hAnsi="Cambria"/>
          <w:sz w:val="20"/>
          <w:szCs w:val="20"/>
          <w:lang w:val="es-ES_tradnl" w:eastAsia="es-MX"/>
        </w:rPr>
        <w:t xml:space="preserve"> En cuarto lugar, la Comisión toma nota que de que en el marco de la investigación penal no se logró determinar </w:t>
      </w:r>
      <w:r w:rsidR="000B4AB4" w:rsidRPr="00BF3D11">
        <w:rPr>
          <w:rFonts w:ascii="Cambria" w:eastAsia="Batang" w:hAnsi="Cambria" w:cs="Arial"/>
          <w:sz w:val="20"/>
          <w:szCs w:val="20"/>
          <w:lang w:val="es-ES" w:eastAsia="es-MX"/>
        </w:rPr>
        <w:t xml:space="preserve">el día y hora aproximada de </w:t>
      </w:r>
      <w:r w:rsidR="007816C5" w:rsidRPr="00BF3D11">
        <w:rPr>
          <w:rFonts w:ascii="Cambria" w:eastAsia="Batang" w:hAnsi="Cambria" w:cs="Arial"/>
          <w:sz w:val="20"/>
          <w:szCs w:val="20"/>
          <w:lang w:val="es-ES" w:eastAsia="es-MX"/>
        </w:rPr>
        <w:t>la muerte del señor Gómez.</w:t>
      </w:r>
    </w:p>
    <w:p w:rsidR="007816C5" w:rsidRPr="00BF3D11" w:rsidRDefault="007816C5" w:rsidP="00053951">
      <w:pPr>
        <w:pStyle w:val="ColorfulList-Accent11"/>
        <w:rPr>
          <w:rFonts w:ascii="Cambria" w:eastAsia="Batang" w:hAnsi="Cambria"/>
          <w:sz w:val="20"/>
          <w:szCs w:val="20"/>
          <w:lang w:val="es-ES_tradnl" w:eastAsia="es-MX"/>
        </w:rPr>
      </w:pPr>
    </w:p>
    <w:p w:rsidR="007816C5" w:rsidRPr="00BF3D11" w:rsidRDefault="007816C5"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lang w:val="es-ES_tradnl" w:eastAsia="es-MX"/>
        </w:rPr>
      </w:pPr>
      <w:r w:rsidRPr="00BF3D11">
        <w:rPr>
          <w:rFonts w:ascii="Cambria" w:eastAsia="Batang" w:hAnsi="Cambria"/>
          <w:sz w:val="20"/>
          <w:szCs w:val="20"/>
          <w:lang w:val="es-ES_tradnl" w:eastAsia="es-MX"/>
        </w:rPr>
        <w:t xml:space="preserve">Por lo expuesto, la CIDH considera que </w:t>
      </w:r>
      <w:r w:rsidR="00831725" w:rsidRPr="00BF3D11">
        <w:rPr>
          <w:rFonts w:ascii="Cambria" w:eastAsia="Batang" w:hAnsi="Cambria"/>
          <w:sz w:val="20"/>
          <w:szCs w:val="20"/>
          <w:lang w:val="es-ES_tradnl" w:eastAsia="es-MX"/>
        </w:rPr>
        <w:t>desde las etapas preliminares de la investigación, el Estado incumplió su obligación de investigar con la debida d</w:t>
      </w:r>
      <w:r w:rsidR="00A76446" w:rsidRPr="00BF3D11">
        <w:rPr>
          <w:rFonts w:ascii="Cambria" w:eastAsia="Batang" w:hAnsi="Cambria"/>
          <w:sz w:val="20"/>
          <w:szCs w:val="20"/>
          <w:lang w:val="es-ES_tradnl" w:eastAsia="es-MX"/>
        </w:rPr>
        <w:t>i</w:t>
      </w:r>
      <w:r w:rsidR="00831725" w:rsidRPr="00BF3D11">
        <w:rPr>
          <w:rFonts w:ascii="Cambria" w:eastAsia="Batang" w:hAnsi="Cambria"/>
          <w:sz w:val="20"/>
          <w:szCs w:val="20"/>
          <w:lang w:val="es-ES_tradnl" w:eastAsia="es-MX"/>
        </w:rPr>
        <w:t xml:space="preserve">ligencia. </w:t>
      </w:r>
    </w:p>
    <w:p w:rsidR="004E7E9B" w:rsidRPr="00BF3D11" w:rsidRDefault="004E7E9B" w:rsidP="00053951">
      <w:pPr>
        <w:rPr>
          <w:rFonts w:ascii="Cambria" w:hAnsi="Cambria"/>
          <w:sz w:val="20"/>
          <w:szCs w:val="20"/>
          <w:lang w:val="es-ES"/>
        </w:rPr>
      </w:pPr>
    </w:p>
    <w:p w:rsidR="000F28C6" w:rsidRPr="00BF3D11" w:rsidRDefault="003B34BA" w:rsidP="00053951">
      <w:pPr>
        <w:pStyle w:val="Heading2"/>
        <w:numPr>
          <w:ilvl w:val="0"/>
          <w:numId w:val="63"/>
        </w:numPr>
        <w:tabs>
          <w:tab w:val="clear" w:pos="2880"/>
          <w:tab w:val="num" w:pos="1440"/>
        </w:tabs>
        <w:spacing w:before="0" w:after="0"/>
        <w:ind w:left="1440" w:hanging="720"/>
        <w:jc w:val="both"/>
        <w:rPr>
          <w:rFonts w:ascii="Cambria" w:hAnsi="Cambria"/>
          <w:i w:val="0"/>
          <w:sz w:val="20"/>
          <w:szCs w:val="20"/>
          <w:lang w:val="es-ES"/>
        </w:rPr>
      </w:pPr>
      <w:bookmarkStart w:id="45" w:name="_Toc473188705"/>
      <w:r w:rsidRPr="00BF3D11">
        <w:rPr>
          <w:rFonts w:ascii="Cambria" w:hAnsi="Cambria"/>
          <w:i w:val="0"/>
          <w:sz w:val="20"/>
          <w:szCs w:val="20"/>
          <w:lang w:val="es-ES"/>
        </w:rPr>
        <w:t xml:space="preserve">Falta de debida diligencia </w:t>
      </w:r>
      <w:bookmarkEnd w:id="45"/>
      <w:r w:rsidR="005350C9" w:rsidRPr="00BF3D11">
        <w:rPr>
          <w:rFonts w:ascii="Cambria" w:hAnsi="Cambria"/>
          <w:i w:val="0"/>
          <w:sz w:val="20"/>
          <w:szCs w:val="20"/>
          <w:lang w:val="es-ES"/>
        </w:rPr>
        <w:t>en las etapas posteriores de la investigación</w:t>
      </w:r>
    </w:p>
    <w:p w:rsidR="003B34BA" w:rsidRPr="00BF3D11" w:rsidRDefault="003B34BA" w:rsidP="00053951">
      <w:pPr>
        <w:rPr>
          <w:rFonts w:ascii="Cambria" w:hAnsi="Cambria"/>
          <w:sz w:val="20"/>
          <w:szCs w:val="20"/>
          <w:lang w:val="es-ES"/>
        </w:rPr>
      </w:pPr>
    </w:p>
    <w:p w:rsidR="00B13656" w:rsidRPr="00BF3D11" w:rsidRDefault="00330827"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MX"/>
        </w:rPr>
      </w:pPr>
      <w:r w:rsidRPr="00BF3D11">
        <w:rPr>
          <w:rFonts w:ascii="Cambria" w:eastAsia="Batang" w:hAnsi="Cambria"/>
          <w:sz w:val="20"/>
          <w:szCs w:val="20"/>
          <w:lang w:val="es-ES_tradnl" w:eastAsia="es-MX"/>
        </w:rPr>
        <w:t>La Comisión ha establecido que, en aras de garantizar su efectividad, en la investigación de violaciones de los derechos humanos se debe evitar omisiones en la recaudación de prueba y en el seguimiento de líneas lógicas de investigación</w:t>
      </w:r>
      <w:r w:rsidRPr="00BF3D11">
        <w:rPr>
          <w:rFonts w:ascii="Cambria" w:eastAsia="Batang" w:hAnsi="Cambria"/>
          <w:sz w:val="20"/>
          <w:szCs w:val="20"/>
          <w:vertAlign w:val="superscript"/>
          <w:lang w:val="es-ES_tradnl" w:eastAsia="es-MX"/>
        </w:rPr>
        <w:footnoteReference w:id="120"/>
      </w:r>
      <w:r w:rsidRPr="00BF3D11">
        <w:rPr>
          <w:rFonts w:ascii="Cambria" w:eastAsia="Batang" w:hAnsi="Cambria"/>
          <w:sz w:val="20"/>
          <w:szCs w:val="20"/>
          <w:lang w:val="es-ES_tradnl" w:eastAsia="es-MX"/>
        </w:rPr>
        <w:t xml:space="preserve">. </w:t>
      </w:r>
      <w:r w:rsidRPr="00BF3D11">
        <w:rPr>
          <w:rFonts w:ascii="Cambria" w:eastAsia="Batang" w:hAnsi="Cambria" w:cs="Arial"/>
          <w:sz w:val="20"/>
          <w:szCs w:val="20"/>
          <w:lang w:val="es-ES_tradnl" w:eastAsia="es-MX"/>
        </w:rPr>
        <w:t xml:space="preserve">Al respecto, </w:t>
      </w:r>
      <w:r w:rsidR="00B13656" w:rsidRPr="00BF3D11">
        <w:rPr>
          <w:rFonts w:ascii="Cambria" w:hAnsi="Cambria"/>
          <w:sz w:val="20"/>
          <w:szCs w:val="20"/>
          <w:lang w:val="es-MX"/>
        </w:rPr>
        <w:t xml:space="preserve">en los casos cuyos hechos se refieren a la muerte violenta de una persona o a su desaparición la Comisión y la Corte han indicado que la investigación iniciada debe ser conducida de tal forma que pudiese </w:t>
      </w:r>
      <w:r w:rsidR="00B13656" w:rsidRPr="00BF3D11">
        <w:rPr>
          <w:rFonts w:ascii="Cambria" w:hAnsi="Cambria"/>
          <w:sz w:val="20"/>
          <w:szCs w:val="20"/>
          <w:lang w:val="es-ES"/>
        </w:rPr>
        <w:t>garantizar el debido análisis de las hipótesis de autoría surgidas a raíz de la misma</w:t>
      </w:r>
      <w:r w:rsidR="00B13656" w:rsidRPr="00BF3D11">
        <w:rPr>
          <w:rStyle w:val="FootnoteReference"/>
          <w:rFonts w:ascii="Cambria" w:eastAsia="MS Mincho" w:hAnsi="Cambria"/>
          <w:sz w:val="20"/>
          <w:szCs w:val="20"/>
          <w:lang w:val="es-ES"/>
        </w:rPr>
        <w:footnoteReference w:id="121"/>
      </w:r>
      <w:r w:rsidR="00B13656" w:rsidRPr="00BF3D11">
        <w:rPr>
          <w:rFonts w:ascii="Cambria" w:hAnsi="Cambria"/>
          <w:sz w:val="20"/>
          <w:szCs w:val="20"/>
          <w:lang w:val="es-ES"/>
        </w:rPr>
        <w:t xml:space="preserve"> y, a</w:t>
      </w:r>
      <w:r w:rsidR="00B13656" w:rsidRPr="00BF3D11">
        <w:rPr>
          <w:rFonts w:ascii="Cambria" w:hAnsi="Cambria"/>
          <w:sz w:val="20"/>
          <w:szCs w:val="20"/>
          <w:lang w:val="es-MX"/>
        </w:rPr>
        <w:t xml:space="preserve"> efectos de demostrar que una </w:t>
      </w:r>
      <w:r w:rsidR="00B13656" w:rsidRPr="00BF3D11">
        <w:rPr>
          <w:rFonts w:ascii="Cambria" w:hAnsi="Cambria"/>
          <w:sz w:val="20"/>
          <w:szCs w:val="20"/>
          <w:lang w:val="es-ES"/>
        </w:rPr>
        <w:t>investigación</w:t>
      </w:r>
      <w:r w:rsidR="00B13656" w:rsidRPr="00BF3D11">
        <w:rPr>
          <w:rFonts w:ascii="Cambria" w:hAnsi="Cambria"/>
          <w:sz w:val="20"/>
          <w:szCs w:val="20"/>
          <w:lang w:val="es-MX"/>
        </w:rPr>
        <w:t xml:space="preserve"> ha sido desarrollado de manera </w:t>
      </w:r>
      <w:r w:rsidR="00B13656" w:rsidRPr="00BF3D11">
        <w:rPr>
          <w:rFonts w:ascii="Cambria" w:hAnsi="Cambria"/>
          <w:sz w:val="20"/>
          <w:szCs w:val="20"/>
          <w:lang w:val="es-MX"/>
        </w:rPr>
        <w:lastRenderedPageBreak/>
        <w:t xml:space="preserve">diligente, el Estado tiene que </w:t>
      </w:r>
      <w:r w:rsidR="00B13656" w:rsidRPr="00BF3D11">
        <w:rPr>
          <w:rFonts w:ascii="Cambria" w:hAnsi="Cambria"/>
          <w:spacing w:val="-2"/>
          <w:sz w:val="20"/>
          <w:szCs w:val="20"/>
          <w:lang w:val="es-MX"/>
        </w:rPr>
        <w:t xml:space="preserve">demostrar que ha realizado una </w:t>
      </w:r>
      <w:r w:rsidR="00B13656" w:rsidRPr="00BF3D11">
        <w:rPr>
          <w:rFonts w:ascii="Cambria" w:hAnsi="Cambria"/>
          <w:sz w:val="20"/>
          <w:szCs w:val="20"/>
          <w:lang w:val="es-PE"/>
        </w:rPr>
        <w:t>investigación</w:t>
      </w:r>
      <w:r w:rsidR="00B13656" w:rsidRPr="00BF3D11">
        <w:rPr>
          <w:rFonts w:ascii="Cambria" w:hAnsi="Cambria"/>
          <w:spacing w:val="-2"/>
          <w:sz w:val="20"/>
          <w:szCs w:val="20"/>
          <w:lang w:val="es-MX"/>
        </w:rPr>
        <w:t xml:space="preserve"> inmediata, exhaustiva, seria e imparcial</w:t>
      </w:r>
      <w:r w:rsidR="00B13656" w:rsidRPr="00BF3D11">
        <w:rPr>
          <w:rStyle w:val="FootnoteReference"/>
          <w:rFonts w:ascii="Cambria" w:eastAsia="MS Mincho" w:hAnsi="Cambria"/>
          <w:sz w:val="20"/>
          <w:szCs w:val="20"/>
          <w:lang w:val="es-ES"/>
        </w:rPr>
        <w:footnoteReference w:id="122"/>
      </w:r>
      <w:r w:rsidR="00B13656" w:rsidRPr="00BF3D11">
        <w:rPr>
          <w:rFonts w:ascii="Cambria" w:hAnsi="Cambria"/>
          <w:spacing w:val="-2"/>
          <w:sz w:val="20"/>
          <w:szCs w:val="20"/>
          <w:lang w:val="es-MX"/>
        </w:rPr>
        <w:t xml:space="preserve"> en la cual haya </w:t>
      </w:r>
      <w:r w:rsidR="00B13656" w:rsidRPr="00BF3D11">
        <w:rPr>
          <w:rFonts w:ascii="Cambria" w:hAnsi="Cambria"/>
          <w:sz w:val="20"/>
          <w:szCs w:val="20"/>
          <w:lang w:val="es-MX"/>
        </w:rPr>
        <w:t>explorado todas las líneas investigativas posibles que permitan la identificación de los autores del delito, para su posterior juzgamiento y sanción</w:t>
      </w:r>
      <w:r w:rsidR="00B13656" w:rsidRPr="00BF3D11">
        <w:rPr>
          <w:rStyle w:val="FootnoteReference"/>
          <w:rFonts w:ascii="Cambria" w:eastAsia="MS Mincho" w:hAnsi="Cambria" w:cs="Arial"/>
          <w:sz w:val="20"/>
          <w:szCs w:val="20"/>
          <w:lang w:val="es-ES"/>
        </w:rPr>
        <w:footnoteReference w:id="123"/>
      </w:r>
      <w:r w:rsidR="00B13656" w:rsidRPr="00BF3D11">
        <w:rPr>
          <w:rFonts w:ascii="Cambria" w:hAnsi="Cambria"/>
          <w:sz w:val="20"/>
          <w:szCs w:val="20"/>
          <w:lang w:val="es-MX"/>
        </w:rPr>
        <w:t xml:space="preserve">. </w:t>
      </w:r>
    </w:p>
    <w:p w:rsidR="00810A34" w:rsidRPr="00BF3D11" w:rsidRDefault="00810A34" w:rsidP="00053951">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eastAsia="Batang" w:hAnsi="Cambria"/>
          <w:sz w:val="20"/>
          <w:szCs w:val="20"/>
          <w:lang w:val="es-ES_tradnl" w:eastAsia="es-MX"/>
        </w:rPr>
      </w:pPr>
    </w:p>
    <w:p w:rsidR="00AB2E45" w:rsidRPr="00BF3D11" w:rsidRDefault="00084156"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29"/>
          <w:tab w:val="num" w:pos="0"/>
        </w:tabs>
        <w:jc w:val="both"/>
        <w:rPr>
          <w:rFonts w:ascii="Cambria" w:eastAsia="Batang" w:hAnsi="Cambria"/>
          <w:sz w:val="20"/>
          <w:szCs w:val="20"/>
          <w:lang w:val="es-ES_tradnl" w:eastAsia="es-MX"/>
        </w:rPr>
      </w:pPr>
      <w:r w:rsidRPr="00BF3D11">
        <w:rPr>
          <w:rFonts w:ascii="Cambria" w:hAnsi="Cambria"/>
          <w:sz w:val="20"/>
          <w:szCs w:val="20"/>
          <w:lang w:val="es-ES"/>
        </w:rPr>
        <w:t xml:space="preserve">La Corte Interamericana </w:t>
      </w:r>
      <w:r w:rsidRPr="00BF3D11">
        <w:rPr>
          <w:rFonts w:ascii="Cambria" w:hAnsi="Cambria"/>
          <w:sz w:val="20"/>
          <w:szCs w:val="20"/>
          <w:lang w:val="es-MX"/>
        </w:rPr>
        <w:t xml:space="preserve">ha manifestado que </w:t>
      </w:r>
      <w:r w:rsidRPr="00BF3D11">
        <w:rPr>
          <w:rFonts w:ascii="Cambria" w:hAnsi="Cambria"/>
          <w:sz w:val="20"/>
          <w:szCs w:val="20"/>
          <w:lang w:val="es-ES"/>
        </w:rPr>
        <w:t xml:space="preserve">no corresponde a los órganos del Sistema Interamericano “analizar las </w:t>
      </w:r>
      <w:r w:rsidRPr="00BF3D11">
        <w:rPr>
          <w:rFonts w:ascii="Cambria" w:hAnsi="Cambria"/>
          <w:sz w:val="20"/>
          <w:szCs w:val="20"/>
          <w:lang w:val="es-MX"/>
        </w:rPr>
        <w:t>hipótesis</w:t>
      </w:r>
      <w:r w:rsidRPr="00BF3D11">
        <w:rPr>
          <w:rFonts w:ascii="Cambria" w:hAnsi="Cambria"/>
          <w:sz w:val="20"/>
          <w:szCs w:val="20"/>
          <w:lang w:val="es-ES"/>
        </w:rPr>
        <w:t xml:space="preserve"> de autoría manejadas durante la investigación de los hechos del </w:t>
      </w:r>
      <w:r w:rsidRPr="00BF3D11">
        <w:rPr>
          <w:rFonts w:ascii="Cambria" w:hAnsi="Cambria"/>
          <w:sz w:val="20"/>
          <w:szCs w:val="20"/>
          <w:lang w:val="es-BO"/>
        </w:rPr>
        <w:t>[…]</w:t>
      </w:r>
      <w:r w:rsidRPr="00BF3D11">
        <w:rPr>
          <w:rFonts w:ascii="Cambria" w:hAnsi="Cambria"/>
          <w:sz w:val="20"/>
          <w:szCs w:val="20"/>
          <w:lang w:val="es-ES"/>
        </w:rPr>
        <w:t xml:space="preserve"> caso y, en consecuencia, determinar responsabilidades individuales, cuya definición compete a los tribunales penales internos, sino evaluar las acciones u omisiones de agentes estatales, según la prueba presentada por las partes</w:t>
      </w:r>
      <w:r w:rsidRPr="00BF3D11">
        <w:rPr>
          <w:rStyle w:val="FootnoteReference"/>
          <w:rFonts w:ascii="Cambria" w:hAnsi="Cambria"/>
          <w:sz w:val="20"/>
          <w:szCs w:val="20"/>
          <w:lang w:val="es-UY"/>
        </w:rPr>
        <w:footnoteReference w:id="124"/>
      </w:r>
      <w:r w:rsidRPr="00BF3D11">
        <w:rPr>
          <w:rFonts w:ascii="Cambria" w:hAnsi="Cambria"/>
          <w:sz w:val="20"/>
          <w:szCs w:val="20"/>
          <w:lang w:val="es-ES"/>
        </w:rPr>
        <w:t xml:space="preserve">. </w:t>
      </w:r>
    </w:p>
    <w:p w:rsidR="00AB2E45" w:rsidRPr="00BF3D11" w:rsidRDefault="00AB2E45" w:rsidP="000539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p>
    <w:p w:rsidR="00291B43" w:rsidRPr="00291B43" w:rsidRDefault="002807F5"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29"/>
          <w:tab w:val="num" w:pos="0"/>
        </w:tabs>
        <w:jc w:val="both"/>
        <w:rPr>
          <w:rFonts w:ascii="Cambria" w:eastAsia="Batang" w:hAnsi="Cambria"/>
          <w:sz w:val="20"/>
          <w:szCs w:val="20"/>
          <w:lang w:val="es-ES_tradnl" w:eastAsia="es-MX"/>
        </w:rPr>
      </w:pPr>
      <w:r>
        <w:rPr>
          <w:rFonts w:ascii="Cambria" w:hAnsi="Cambria"/>
          <w:sz w:val="20"/>
          <w:szCs w:val="20"/>
          <w:lang w:val="es-MX"/>
        </w:rPr>
        <w:t>S</w:t>
      </w:r>
      <w:r w:rsidR="00084156" w:rsidRPr="00BF3D11">
        <w:rPr>
          <w:rFonts w:ascii="Cambria" w:hAnsi="Cambria"/>
          <w:sz w:val="20"/>
          <w:szCs w:val="20"/>
          <w:lang w:val="es-MX"/>
        </w:rPr>
        <w:t xml:space="preserve">in embargo, en los casos cuyos hechos se refieren a la muerte violenta de una persona o a su desaparición la </w:t>
      </w:r>
      <w:r w:rsidR="00084156" w:rsidRPr="00BF3D11">
        <w:rPr>
          <w:rFonts w:ascii="Cambria" w:hAnsi="Cambria" w:cs="Calibri"/>
          <w:sz w:val="20"/>
          <w:szCs w:val="20"/>
          <w:lang w:val="es-MX"/>
        </w:rPr>
        <w:t>Comisión</w:t>
      </w:r>
      <w:r w:rsidR="00084156" w:rsidRPr="00BF3D11">
        <w:rPr>
          <w:rFonts w:ascii="Cambria" w:hAnsi="Cambria"/>
          <w:sz w:val="20"/>
          <w:szCs w:val="20"/>
          <w:lang w:val="es-MX"/>
        </w:rPr>
        <w:t xml:space="preserve"> y la Corte han indicado que la investigación iniciada debe ser conducida de tal forma que pudiese </w:t>
      </w:r>
      <w:r w:rsidR="00084156" w:rsidRPr="00BF3D11">
        <w:rPr>
          <w:rFonts w:ascii="Cambria" w:hAnsi="Cambria"/>
          <w:sz w:val="20"/>
          <w:szCs w:val="20"/>
          <w:lang w:val="es-ES"/>
        </w:rPr>
        <w:t>garantizar el debido análisis de las hipótesis de autoría surgidas a raíz de la misma</w:t>
      </w:r>
      <w:r w:rsidR="00084156" w:rsidRPr="00BF3D11">
        <w:rPr>
          <w:rStyle w:val="FootnoteReference"/>
          <w:rFonts w:ascii="Cambria" w:hAnsi="Cambria"/>
          <w:sz w:val="20"/>
          <w:szCs w:val="20"/>
          <w:lang w:val="es-ES"/>
        </w:rPr>
        <w:footnoteReference w:id="125"/>
      </w:r>
      <w:r w:rsidR="00084156" w:rsidRPr="00BF3D11">
        <w:rPr>
          <w:rFonts w:ascii="Cambria" w:hAnsi="Cambria"/>
          <w:sz w:val="20"/>
          <w:szCs w:val="20"/>
          <w:lang w:val="es-ES"/>
        </w:rPr>
        <w:t xml:space="preserve"> y, a</w:t>
      </w:r>
      <w:r w:rsidR="00084156" w:rsidRPr="00BF3D11">
        <w:rPr>
          <w:rFonts w:ascii="Cambria" w:hAnsi="Cambria"/>
          <w:sz w:val="20"/>
          <w:szCs w:val="20"/>
          <w:lang w:val="es-MX"/>
        </w:rPr>
        <w:t xml:space="preserve"> efectos de demostrar que una investigación ha sido desarrollada de manera diligente, el Estado tiene que </w:t>
      </w:r>
      <w:r w:rsidR="00084156" w:rsidRPr="00BF3D11">
        <w:rPr>
          <w:rFonts w:ascii="Cambria" w:hAnsi="Cambria"/>
          <w:spacing w:val="-2"/>
          <w:sz w:val="20"/>
          <w:szCs w:val="20"/>
          <w:lang w:val="es-MX"/>
        </w:rPr>
        <w:t xml:space="preserve">demostrar que ha realizado una </w:t>
      </w:r>
      <w:r w:rsidR="00084156" w:rsidRPr="00BF3D11">
        <w:rPr>
          <w:rFonts w:ascii="Cambria" w:hAnsi="Cambria"/>
          <w:sz w:val="20"/>
          <w:szCs w:val="20"/>
          <w:lang w:val="es-PE"/>
        </w:rPr>
        <w:t>investigación</w:t>
      </w:r>
      <w:r w:rsidR="00084156" w:rsidRPr="00BF3D11">
        <w:rPr>
          <w:rFonts w:ascii="Cambria" w:hAnsi="Cambria"/>
          <w:spacing w:val="-2"/>
          <w:sz w:val="20"/>
          <w:szCs w:val="20"/>
          <w:lang w:val="es-MX"/>
        </w:rPr>
        <w:t xml:space="preserve"> inmediata, exhaustiva, seria e imparcial</w:t>
      </w:r>
      <w:r w:rsidR="00A63AA6">
        <w:rPr>
          <w:rStyle w:val="FootnoteReference"/>
          <w:rFonts w:ascii="Cambria" w:hAnsi="Cambria"/>
          <w:spacing w:val="-2"/>
          <w:sz w:val="20"/>
          <w:szCs w:val="20"/>
          <w:lang w:val="es-MX"/>
        </w:rPr>
        <w:footnoteReference w:id="126"/>
      </w:r>
      <w:r w:rsidR="00084156" w:rsidRPr="00BF3D11">
        <w:rPr>
          <w:rFonts w:ascii="Cambria" w:hAnsi="Cambria"/>
          <w:spacing w:val="-2"/>
          <w:sz w:val="20"/>
          <w:szCs w:val="20"/>
          <w:lang w:val="es-MX"/>
        </w:rPr>
        <w:t xml:space="preserve"> en la cual haya </w:t>
      </w:r>
      <w:r w:rsidR="00084156" w:rsidRPr="00BF3D11">
        <w:rPr>
          <w:rFonts w:ascii="Cambria" w:hAnsi="Cambria"/>
          <w:sz w:val="20"/>
          <w:szCs w:val="20"/>
          <w:lang w:val="es-MX"/>
        </w:rPr>
        <w:t>explorado todas las líneas investigativas posibles que permitan la identificación de los autores del delito, para su posterior juzgamiento y sanción</w:t>
      </w:r>
      <w:r w:rsidR="00084156" w:rsidRPr="00BF3D11">
        <w:rPr>
          <w:rStyle w:val="FootnoteReference"/>
          <w:rFonts w:ascii="Cambria" w:hAnsi="Cambria" w:cs="Arial"/>
          <w:sz w:val="20"/>
          <w:szCs w:val="20"/>
          <w:lang w:val="es-ES"/>
        </w:rPr>
        <w:footnoteReference w:id="127"/>
      </w:r>
      <w:r w:rsidR="00084156" w:rsidRPr="00BF3D11">
        <w:rPr>
          <w:rFonts w:ascii="Cambria" w:hAnsi="Cambria"/>
          <w:sz w:val="20"/>
          <w:szCs w:val="20"/>
          <w:lang w:val="es-MX"/>
        </w:rPr>
        <w:t xml:space="preserve">. </w:t>
      </w:r>
    </w:p>
    <w:p w:rsidR="00291B43" w:rsidRDefault="00291B43" w:rsidP="00291B43">
      <w:pPr>
        <w:pStyle w:val="ListParagraph"/>
        <w:rPr>
          <w:rFonts w:ascii="Cambria" w:hAnsi="Cambria" w:cs="Calibri"/>
          <w:sz w:val="20"/>
          <w:szCs w:val="20"/>
          <w:lang w:val="es-MX"/>
        </w:rPr>
      </w:pPr>
    </w:p>
    <w:p w:rsidR="00084156" w:rsidRPr="00BF3D11" w:rsidRDefault="00084156"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29"/>
          <w:tab w:val="num" w:pos="0"/>
        </w:tabs>
        <w:jc w:val="both"/>
        <w:rPr>
          <w:rFonts w:ascii="Cambria" w:eastAsia="Batang" w:hAnsi="Cambria"/>
          <w:sz w:val="20"/>
          <w:szCs w:val="20"/>
          <w:lang w:val="es-ES_tradnl" w:eastAsia="es-MX"/>
        </w:rPr>
      </w:pPr>
      <w:r w:rsidRPr="00BF3D11">
        <w:rPr>
          <w:rFonts w:ascii="Cambria" w:hAnsi="Cambria" w:cs="Calibri"/>
          <w:sz w:val="20"/>
          <w:szCs w:val="20"/>
          <w:lang w:val="es-MX"/>
        </w:rPr>
        <w:t xml:space="preserve">Adicionalmente, como parte de la debida diligencia requerida en investigaciones sobre violaciones a los derechos de un defensor o defensora de derechos humanos, </w:t>
      </w:r>
      <w:r w:rsidRPr="00BF3D11">
        <w:rPr>
          <w:rFonts w:ascii="Cambria" w:hAnsi="Cambria"/>
          <w:sz w:val="20"/>
          <w:szCs w:val="20"/>
          <w:lang w:val="es-ES"/>
        </w:rPr>
        <w:t>la autoridad investigadora debe tomar en cuenta la actividad del defensor agredido para identificar los intereses que podrían haber sido afectados en el ejercicio de la misma y así poder establecer líneas de investigación e hipótesis del delito</w:t>
      </w:r>
      <w:r w:rsidRPr="00BF3D11">
        <w:rPr>
          <w:rStyle w:val="FootnoteReference"/>
          <w:rFonts w:ascii="Cambria" w:hAnsi="Cambria"/>
          <w:sz w:val="20"/>
          <w:szCs w:val="20"/>
          <w:lang w:val="es-ES"/>
        </w:rPr>
        <w:footnoteReference w:id="128"/>
      </w:r>
      <w:r w:rsidRPr="00BF3D11">
        <w:rPr>
          <w:rFonts w:ascii="Cambria" w:hAnsi="Cambria"/>
          <w:sz w:val="20"/>
          <w:szCs w:val="20"/>
          <w:lang w:val="es-ES"/>
        </w:rPr>
        <w:t>.</w:t>
      </w:r>
      <w:r w:rsidR="00AB2E45" w:rsidRPr="00BF3D11">
        <w:rPr>
          <w:rFonts w:ascii="Cambria" w:hAnsi="Cambria"/>
          <w:sz w:val="20"/>
          <w:szCs w:val="20"/>
          <w:lang w:val="es-ES"/>
        </w:rPr>
        <w:t xml:space="preserve"> Además, </w:t>
      </w:r>
      <w:r w:rsidR="00AB2E45" w:rsidRPr="00BF3D11">
        <w:rPr>
          <w:rFonts w:ascii="Cambria" w:hAnsi="Cambria"/>
          <w:sz w:val="20"/>
          <w:szCs w:val="20"/>
          <w:bdr w:val="none" w:sz="0" w:space="0" w:color="auto"/>
          <w:lang w:val="es-ES"/>
        </w:rPr>
        <w:t>la Comisión ha indicado que el hecho de que las fuentes de las agresiones no sean agentes del Estado, no le exime de cumplir con sus obligaciones de protección a la vida e integridad personal de las lideresas y líderes sindicales</w:t>
      </w:r>
      <w:r w:rsidR="00AB2E45" w:rsidRPr="00BF3D11">
        <w:rPr>
          <w:rStyle w:val="FootnoteReference"/>
          <w:rFonts w:ascii="Cambria" w:hAnsi="Cambria"/>
          <w:sz w:val="20"/>
          <w:szCs w:val="20"/>
          <w:bdr w:val="none" w:sz="0" w:space="0" w:color="auto"/>
        </w:rPr>
        <w:footnoteReference w:id="129"/>
      </w:r>
      <w:r w:rsidR="00AB2E45" w:rsidRPr="00BF3D11">
        <w:rPr>
          <w:rFonts w:ascii="Cambria" w:hAnsi="Cambria"/>
          <w:sz w:val="20"/>
          <w:szCs w:val="20"/>
          <w:bdr w:val="none" w:sz="0" w:space="0" w:color="auto"/>
          <w:lang w:val="es-ES"/>
        </w:rPr>
        <w:t>.</w:t>
      </w:r>
    </w:p>
    <w:p w:rsidR="00330827" w:rsidRPr="00BF3D11" w:rsidRDefault="00330827" w:rsidP="00053951">
      <w:pPr>
        <w:rPr>
          <w:rFonts w:ascii="Cambria" w:hAnsi="Cambria"/>
          <w:sz w:val="20"/>
          <w:szCs w:val="20"/>
          <w:lang w:val="es-ES_tradnl"/>
        </w:rPr>
      </w:pPr>
    </w:p>
    <w:p w:rsidR="00CD4AC8" w:rsidRPr="00BF3D11" w:rsidRDefault="00CD4AC8"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MX"/>
        </w:rPr>
      </w:pPr>
      <w:r w:rsidRPr="00BF3D11">
        <w:rPr>
          <w:rFonts w:ascii="Cambria" w:hAnsi="Cambria"/>
          <w:sz w:val="20"/>
          <w:szCs w:val="20"/>
          <w:lang w:val="es-ES"/>
        </w:rPr>
        <w:t>En su más reciente informe sobre la situación de derechos humanos en Guatemala la CIDH continuó registrando la ocurrencia de asesinatos en contra de sindicalistas</w:t>
      </w:r>
      <w:r w:rsidRPr="00BF3D11">
        <w:rPr>
          <w:rStyle w:val="FootnoteReference"/>
          <w:rFonts w:ascii="Cambria" w:hAnsi="Cambria"/>
          <w:sz w:val="20"/>
          <w:szCs w:val="20"/>
        </w:rPr>
        <w:footnoteReference w:id="130"/>
      </w:r>
      <w:r w:rsidRPr="00BF3D11">
        <w:rPr>
          <w:rFonts w:ascii="Cambria" w:hAnsi="Cambria"/>
          <w:sz w:val="20"/>
          <w:szCs w:val="20"/>
          <w:lang w:val="es-ES"/>
        </w:rPr>
        <w:t xml:space="preserve">. </w:t>
      </w:r>
      <w:r w:rsidR="007226AF" w:rsidRPr="00BF3D11">
        <w:rPr>
          <w:rFonts w:ascii="Cambria" w:hAnsi="Cambria"/>
          <w:sz w:val="20"/>
          <w:szCs w:val="20"/>
          <w:lang w:val="es-ES"/>
        </w:rPr>
        <w:t xml:space="preserve">La Comisión indicó que </w:t>
      </w:r>
      <w:r w:rsidRPr="00BF3D11">
        <w:rPr>
          <w:rFonts w:ascii="Cambria" w:hAnsi="Cambria"/>
          <w:sz w:val="20"/>
          <w:szCs w:val="20"/>
          <w:lang w:val="es-ES"/>
        </w:rPr>
        <w:t>el Estado tiene la obligación de abrir líneas de investigación que tengan en cuenta si dichas acciones fueron cometidas a raíz de la actividad que desarrollaban</w:t>
      </w:r>
      <w:r w:rsidRPr="00BF3D11">
        <w:rPr>
          <w:rStyle w:val="FootnoteReference"/>
          <w:rFonts w:ascii="Cambria" w:hAnsi="Cambria"/>
          <w:sz w:val="20"/>
          <w:szCs w:val="20"/>
        </w:rPr>
        <w:footnoteReference w:id="131"/>
      </w:r>
      <w:r w:rsidRPr="00BF3D11">
        <w:rPr>
          <w:rFonts w:ascii="Cambria" w:hAnsi="Cambria"/>
          <w:sz w:val="20"/>
          <w:szCs w:val="20"/>
          <w:lang w:val="es-ES"/>
        </w:rPr>
        <w:t xml:space="preserve">. </w:t>
      </w:r>
    </w:p>
    <w:p w:rsidR="00CD4AC8" w:rsidRPr="00BF3D11" w:rsidRDefault="00CD4AC8" w:rsidP="0005395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MX"/>
        </w:rPr>
      </w:pPr>
    </w:p>
    <w:p w:rsidR="00C160E2" w:rsidRPr="00BF3D11" w:rsidRDefault="00C160E2"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cs="Calibri"/>
          <w:sz w:val="20"/>
          <w:szCs w:val="20"/>
          <w:lang w:val="es-MX"/>
        </w:rPr>
      </w:pPr>
      <w:r w:rsidRPr="00BF3D11">
        <w:rPr>
          <w:rFonts w:ascii="Cambria" w:hAnsi="Cambria" w:cs="Calibri"/>
          <w:sz w:val="20"/>
          <w:szCs w:val="20"/>
          <w:lang w:val="es-MX"/>
        </w:rPr>
        <w:t>La CIDH toma nota de</w:t>
      </w:r>
      <w:r w:rsidR="0084347C" w:rsidRPr="00BF3D11">
        <w:rPr>
          <w:rFonts w:ascii="Cambria" w:hAnsi="Cambria" w:cs="Calibri"/>
          <w:sz w:val="20"/>
          <w:szCs w:val="20"/>
          <w:lang w:val="es-MX"/>
        </w:rPr>
        <w:t xml:space="preserve"> las actividades del señor Gómez relacionadas con su labor como Secretario de Finanzas del Sindicato de los Trabajadores de la Máquila RCA</w:t>
      </w:r>
      <w:r w:rsidRPr="00BF3D11">
        <w:rPr>
          <w:rFonts w:ascii="Cambria" w:hAnsi="Cambria" w:cs="Calibri"/>
          <w:sz w:val="20"/>
          <w:szCs w:val="20"/>
          <w:lang w:val="es-MX"/>
        </w:rPr>
        <w:t xml:space="preserve">. En particular, la Comisión observa que durante la época de su desaparición y posterior asesinato, el Sindicato presentó una denuncia ante la empresa maquiladora RCA por el alegado despido arbitrario de setenta personas. En el marco de dicha </w:t>
      </w:r>
      <w:r w:rsidRPr="00BF3D11">
        <w:rPr>
          <w:rFonts w:ascii="Cambria" w:hAnsi="Cambria" w:cs="Calibri"/>
          <w:sz w:val="20"/>
          <w:szCs w:val="20"/>
          <w:lang w:val="es-MX"/>
        </w:rPr>
        <w:lastRenderedPageBreak/>
        <w:t>denuncia y de posteriores reuniones con dicha empresa el señor Gómez tuvo una participación muy visible en vista de su cargo.</w:t>
      </w:r>
    </w:p>
    <w:p w:rsidR="00C45B32" w:rsidRPr="00BF3D11" w:rsidRDefault="00C45B32" w:rsidP="000539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p>
    <w:p w:rsidR="00ED1894" w:rsidRPr="00BF3D11" w:rsidRDefault="00C45B32"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MX"/>
        </w:rPr>
      </w:pPr>
      <w:r w:rsidRPr="00BF3D11">
        <w:rPr>
          <w:rFonts w:ascii="Cambria" w:hAnsi="Cambria"/>
          <w:sz w:val="20"/>
          <w:szCs w:val="20"/>
          <w:lang w:val="es-MX"/>
        </w:rPr>
        <w:t xml:space="preserve">En el presente caso, la Comisión </w:t>
      </w:r>
      <w:r w:rsidR="006A33FD" w:rsidRPr="00BF3D11">
        <w:rPr>
          <w:rFonts w:ascii="Cambria" w:hAnsi="Cambria"/>
          <w:sz w:val="20"/>
          <w:szCs w:val="20"/>
          <w:lang w:val="es-MX"/>
        </w:rPr>
        <w:t>toma nota de</w:t>
      </w:r>
      <w:r w:rsidR="008548CA" w:rsidRPr="00BF3D11">
        <w:rPr>
          <w:rFonts w:ascii="Cambria" w:hAnsi="Cambria"/>
          <w:sz w:val="20"/>
          <w:szCs w:val="20"/>
          <w:lang w:val="es-MX"/>
        </w:rPr>
        <w:t xml:space="preserve"> que las únicas diligencias realizadas en los primeros meses de la investigación fueron las citaciones a i) Gustavo Cardona, quien fue la última persona que vio con vida al señor Gómez; y a ii) los dos propietarios de la maquila, quienes son de nacionalidad coreana. La CIDH observa que est</w:t>
      </w:r>
      <w:r w:rsidR="00AA6117" w:rsidRPr="00BF3D11">
        <w:rPr>
          <w:rFonts w:ascii="Cambria" w:hAnsi="Cambria"/>
          <w:sz w:val="20"/>
          <w:szCs w:val="20"/>
          <w:lang w:val="es-MX"/>
        </w:rPr>
        <w:t>a</w:t>
      </w:r>
      <w:r w:rsidR="008548CA" w:rsidRPr="00BF3D11">
        <w:rPr>
          <w:rFonts w:ascii="Cambria" w:hAnsi="Cambria"/>
          <w:sz w:val="20"/>
          <w:szCs w:val="20"/>
          <w:lang w:val="es-MX"/>
        </w:rPr>
        <w:t>s personas no se apersonaron a declarar inicialmente y que</w:t>
      </w:r>
      <w:r w:rsidR="00EE5A35" w:rsidRPr="00BF3D11">
        <w:rPr>
          <w:rFonts w:ascii="Cambria" w:hAnsi="Cambria"/>
          <w:sz w:val="20"/>
          <w:szCs w:val="20"/>
          <w:lang w:val="es-MX"/>
        </w:rPr>
        <w:t xml:space="preserve"> no consta que el</w:t>
      </w:r>
      <w:r w:rsidR="008548CA" w:rsidRPr="00BF3D11">
        <w:rPr>
          <w:rFonts w:ascii="Cambria" w:hAnsi="Cambria"/>
          <w:sz w:val="20"/>
          <w:szCs w:val="20"/>
          <w:lang w:val="es-MX"/>
        </w:rPr>
        <w:t xml:space="preserve"> Estado</w:t>
      </w:r>
      <w:r w:rsidR="00EE5A35" w:rsidRPr="00BF3D11">
        <w:rPr>
          <w:rFonts w:ascii="Cambria" w:hAnsi="Cambria"/>
          <w:sz w:val="20"/>
          <w:szCs w:val="20"/>
          <w:lang w:val="es-MX"/>
        </w:rPr>
        <w:t xml:space="preserve"> hubiese</w:t>
      </w:r>
      <w:r w:rsidR="008548CA" w:rsidRPr="00BF3D11">
        <w:rPr>
          <w:rFonts w:ascii="Cambria" w:hAnsi="Cambria"/>
          <w:sz w:val="20"/>
          <w:szCs w:val="20"/>
          <w:lang w:val="es-MX"/>
        </w:rPr>
        <w:t xml:space="preserve"> adopt</w:t>
      </w:r>
      <w:r w:rsidR="00EE5A35" w:rsidRPr="00BF3D11">
        <w:rPr>
          <w:rFonts w:ascii="Cambria" w:hAnsi="Cambria"/>
          <w:sz w:val="20"/>
          <w:szCs w:val="20"/>
          <w:lang w:val="es-MX"/>
        </w:rPr>
        <w:t>ado</w:t>
      </w:r>
      <w:r w:rsidR="008548CA" w:rsidRPr="00BF3D11">
        <w:rPr>
          <w:rFonts w:ascii="Cambria" w:hAnsi="Cambria"/>
          <w:sz w:val="20"/>
          <w:szCs w:val="20"/>
          <w:lang w:val="es-MX"/>
        </w:rPr>
        <w:t xml:space="preserve"> medida alguna para </w:t>
      </w:r>
      <w:r w:rsidR="003B6272" w:rsidRPr="00BF3D11">
        <w:rPr>
          <w:rFonts w:ascii="Cambria" w:hAnsi="Cambria"/>
          <w:sz w:val="20"/>
          <w:szCs w:val="20"/>
          <w:lang w:val="es-MX"/>
        </w:rPr>
        <w:t>hacer comparecer a dichas personas</w:t>
      </w:r>
      <w:r w:rsidR="00AA6117" w:rsidRPr="00BF3D11">
        <w:rPr>
          <w:rFonts w:ascii="Cambria" w:hAnsi="Cambria"/>
          <w:sz w:val="20"/>
          <w:szCs w:val="20"/>
          <w:lang w:val="es-MX"/>
        </w:rPr>
        <w:t xml:space="preserve">. </w:t>
      </w:r>
      <w:r w:rsidR="00ED1894" w:rsidRPr="00BF3D11">
        <w:rPr>
          <w:rFonts w:ascii="Cambria" w:hAnsi="Cambria"/>
          <w:sz w:val="20"/>
          <w:szCs w:val="20"/>
          <w:lang w:val="es-MX"/>
        </w:rPr>
        <w:t xml:space="preserve">La CIDH resalta que dichas irregularidades fueron </w:t>
      </w:r>
      <w:r w:rsidR="00567083" w:rsidRPr="00BF3D11">
        <w:rPr>
          <w:rFonts w:ascii="Cambria" w:hAnsi="Cambria"/>
          <w:sz w:val="20"/>
          <w:szCs w:val="20"/>
          <w:lang w:val="es-MX"/>
        </w:rPr>
        <w:t xml:space="preserve">resaltadas </w:t>
      </w:r>
      <w:r w:rsidR="00ED1894" w:rsidRPr="00BF3D11">
        <w:rPr>
          <w:rFonts w:ascii="Cambria" w:hAnsi="Cambria"/>
          <w:sz w:val="20"/>
          <w:szCs w:val="20"/>
          <w:lang w:val="es-MX"/>
        </w:rPr>
        <w:t xml:space="preserve">por la Oficina de Derechos Humanos del Arzobispado de Guatemala. </w:t>
      </w:r>
    </w:p>
    <w:p w:rsidR="00AB2E45" w:rsidRPr="00BF3D11" w:rsidRDefault="00AB2E45" w:rsidP="000539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p>
    <w:p w:rsidR="00AA6117" w:rsidRPr="00BF3D11" w:rsidRDefault="00ED1894"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MX"/>
        </w:rPr>
      </w:pPr>
      <w:r w:rsidRPr="00BF3D11">
        <w:rPr>
          <w:rFonts w:ascii="Cambria" w:hAnsi="Cambria"/>
          <w:sz w:val="20"/>
          <w:szCs w:val="20"/>
          <w:lang w:val="es-MX"/>
        </w:rPr>
        <w:t xml:space="preserve">Asimismo, la CIDH nota que cuatro meses después de iniciada la investigación penal </w:t>
      </w:r>
      <w:r w:rsidR="00B93CAD">
        <w:rPr>
          <w:rFonts w:ascii="Cambria" w:hAnsi="Cambria"/>
          <w:sz w:val="20"/>
          <w:szCs w:val="20"/>
          <w:lang w:val="es-MX"/>
        </w:rPr>
        <w:t>sin que</w:t>
      </w:r>
      <w:r w:rsidR="000E4CD7" w:rsidRPr="00BF3D11">
        <w:rPr>
          <w:rFonts w:ascii="Cambria" w:hAnsi="Cambria"/>
          <w:sz w:val="20"/>
          <w:szCs w:val="20"/>
          <w:lang w:val="es-MX"/>
        </w:rPr>
        <w:t xml:space="preserve"> conste diligencia adicional alguna,</w:t>
      </w:r>
      <w:r w:rsidRPr="00BF3D11">
        <w:rPr>
          <w:rFonts w:ascii="Cambria" w:hAnsi="Cambria"/>
          <w:sz w:val="20"/>
          <w:szCs w:val="20"/>
          <w:lang w:val="es-MX"/>
        </w:rPr>
        <w:t xml:space="preserve"> la Policía Nacional emitió un informe en donde se indicó como presuntos autores intelectuales a los</w:t>
      </w:r>
      <w:r w:rsidR="00A13900" w:rsidRPr="00BF3D11">
        <w:rPr>
          <w:rFonts w:ascii="Cambria" w:hAnsi="Cambria"/>
          <w:sz w:val="20"/>
          <w:szCs w:val="20"/>
          <w:lang w:val="es-MX"/>
        </w:rPr>
        <w:t xml:space="preserve"> dos propietarios de la maquila. A pesar de ello, la Comisión nota que no se adoptaron medidas de aseguramiento en su contra a efectos de garantizar su comparecencia y participación en el proceso. La CIDH nota que el Estado ha justificado su inacción señalando que se presume que ambas personas se habrían fugado del país.</w:t>
      </w:r>
    </w:p>
    <w:p w:rsidR="00B86D8D" w:rsidRPr="00BF3D11" w:rsidRDefault="00B86D8D" w:rsidP="0005395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MX"/>
        </w:rPr>
      </w:pPr>
    </w:p>
    <w:p w:rsidR="00B86D8D" w:rsidRPr="00BF3D11" w:rsidRDefault="00B86D8D"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MX"/>
        </w:rPr>
      </w:pPr>
      <w:r w:rsidRPr="00BF3D11">
        <w:rPr>
          <w:rFonts w:ascii="Cambria" w:hAnsi="Cambria"/>
          <w:sz w:val="20"/>
          <w:szCs w:val="20"/>
          <w:lang w:val="es-MX"/>
        </w:rPr>
        <w:t>En dicho informe policial también se identificó a</w:t>
      </w:r>
      <w:r w:rsidR="000E4CD7" w:rsidRPr="00BF3D11">
        <w:rPr>
          <w:rFonts w:ascii="Cambria" w:hAnsi="Cambria"/>
          <w:sz w:val="20"/>
          <w:szCs w:val="20"/>
          <w:lang w:val="es-MX"/>
        </w:rPr>
        <w:t xml:space="preserve"> </w:t>
      </w:r>
      <w:r w:rsidRPr="00BF3D11">
        <w:rPr>
          <w:rFonts w:ascii="Cambria" w:hAnsi="Cambria"/>
          <w:sz w:val="20"/>
          <w:szCs w:val="20"/>
          <w:lang w:val="es-MX"/>
        </w:rPr>
        <w:t>Gustavo Cardona</w:t>
      </w:r>
      <w:r w:rsidR="000E4CD7" w:rsidRPr="00BF3D11">
        <w:rPr>
          <w:rFonts w:ascii="Cambria" w:hAnsi="Cambria"/>
          <w:sz w:val="20"/>
          <w:szCs w:val="20"/>
          <w:lang w:val="es-MX"/>
        </w:rPr>
        <w:t xml:space="preserve"> – posteriormente identificado con otro nombre –</w:t>
      </w:r>
      <w:r w:rsidRPr="00BF3D11">
        <w:rPr>
          <w:rFonts w:ascii="Cambria" w:hAnsi="Cambria"/>
          <w:sz w:val="20"/>
          <w:szCs w:val="20"/>
          <w:lang w:val="es-MX"/>
        </w:rPr>
        <w:t xml:space="preserve"> como</w:t>
      </w:r>
      <w:r w:rsidR="000E4CD7" w:rsidRPr="00BF3D11">
        <w:rPr>
          <w:rFonts w:ascii="Cambria" w:hAnsi="Cambria"/>
          <w:sz w:val="20"/>
          <w:szCs w:val="20"/>
          <w:lang w:val="es-MX"/>
        </w:rPr>
        <w:t xml:space="preserve"> </w:t>
      </w:r>
      <w:r w:rsidRPr="00BF3D11">
        <w:rPr>
          <w:rFonts w:ascii="Cambria" w:hAnsi="Cambria"/>
          <w:sz w:val="20"/>
          <w:szCs w:val="20"/>
          <w:lang w:val="es-MX"/>
        </w:rPr>
        <w:t>presunto autor de los hechos debido a que “no concurrió a prestar su declaración cuando le fue solicitado”</w:t>
      </w:r>
      <w:r w:rsidR="00A5752C" w:rsidRPr="00BF3D11">
        <w:rPr>
          <w:rFonts w:ascii="Cambria" w:hAnsi="Cambria"/>
          <w:sz w:val="20"/>
          <w:szCs w:val="20"/>
          <w:lang w:val="es-MX"/>
        </w:rPr>
        <w:t xml:space="preserve">, sin que consten otros elementos que </w:t>
      </w:r>
      <w:r w:rsidR="00406770" w:rsidRPr="00BF3D11">
        <w:rPr>
          <w:rFonts w:ascii="Cambria" w:hAnsi="Cambria"/>
          <w:sz w:val="20"/>
          <w:szCs w:val="20"/>
          <w:lang w:val="es-MX"/>
        </w:rPr>
        <w:t>hubieran</w:t>
      </w:r>
      <w:r w:rsidR="00A5752C" w:rsidRPr="00BF3D11">
        <w:rPr>
          <w:rFonts w:ascii="Cambria" w:hAnsi="Cambria"/>
          <w:sz w:val="20"/>
          <w:szCs w:val="20"/>
          <w:lang w:val="es-MX"/>
        </w:rPr>
        <w:t xml:space="preserve"> llevado a la Policía a esta conclusión.</w:t>
      </w:r>
      <w:r w:rsidRPr="00BF3D11">
        <w:rPr>
          <w:rFonts w:ascii="Cambria" w:hAnsi="Cambria"/>
          <w:sz w:val="20"/>
          <w:szCs w:val="20"/>
          <w:lang w:val="es-MX"/>
        </w:rPr>
        <w:t xml:space="preserve"> </w:t>
      </w:r>
      <w:r w:rsidR="004B1656" w:rsidRPr="00BF3D11">
        <w:rPr>
          <w:rFonts w:ascii="Cambria" w:hAnsi="Cambria"/>
          <w:sz w:val="20"/>
          <w:szCs w:val="20"/>
          <w:lang w:val="es-MX"/>
        </w:rPr>
        <w:t>La CIDH observa que</w:t>
      </w:r>
      <w:r w:rsidR="00267ACE" w:rsidRPr="00BF3D11">
        <w:rPr>
          <w:rFonts w:ascii="Cambria" w:hAnsi="Cambria"/>
          <w:sz w:val="20"/>
          <w:szCs w:val="20"/>
          <w:lang w:val="es-MX"/>
        </w:rPr>
        <w:t xml:space="preserve"> de manera posterior se recibió </w:t>
      </w:r>
      <w:r w:rsidR="002471C5" w:rsidRPr="00BF3D11">
        <w:rPr>
          <w:rFonts w:ascii="Cambria" w:hAnsi="Cambria"/>
          <w:sz w:val="20"/>
          <w:szCs w:val="20"/>
          <w:lang w:val="es-MX"/>
        </w:rPr>
        <w:t>la declaración del señor Cardona</w:t>
      </w:r>
      <w:r w:rsidR="00313BA2" w:rsidRPr="00BF3D11">
        <w:rPr>
          <w:rFonts w:ascii="Cambria" w:hAnsi="Cambria"/>
          <w:sz w:val="20"/>
          <w:szCs w:val="20"/>
          <w:lang w:val="es-MX"/>
        </w:rPr>
        <w:t xml:space="preserve">, </w:t>
      </w:r>
      <w:r w:rsidR="00267ACE" w:rsidRPr="00BF3D11">
        <w:rPr>
          <w:rFonts w:ascii="Cambria" w:hAnsi="Cambria"/>
          <w:sz w:val="20"/>
          <w:szCs w:val="20"/>
          <w:lang w:val="es-MX"/>
        </w:rPr>
        <w:t>quien informó sobre las circunstancias en las que el señor Gómez fue golpeado y llevado por personas desconocid</w:t>
      </w:r>
      <w:r w:rsidR="00D66CB8" w:rsidRPr="00BF3D11">
        <w:rPr>
          <w:rFonts w:ascii="Cambria" w:hAnsi="Cambria"/>
          <w:sz w:val="20"/>
          <w:szCs w:val="20"/>
          <w:lang w:val="es-MX"/>
        </w:rPr>
        <w:t>a</w:t>
      </w:r>
      <w:r w:rsidR="00267ACE" w:rsidRPr="00BF3D11">
        <w:rPr>
          <w:rFonts w:ascii="Cambria" w:hAnsi="Cambria"/>
          <w:sz w:val="20"/>
          <w:szCs w:val="20"/>
          <w:lang w:val="es-MX"/>
        </w:rPr>
        <w:t xml:space="preserve">s, </w:t>
      </w:r>
      <w:r w:rsidR="00313BA2" w:rsidRPr="00BF3D11">
        <w:rPr>
          <w:rFonts w:ascii="Cambria" w:hAnsi="Cambria"/>
          <w:sz w:val="20"/>
          <w:szCs w:val="20"/>
          <w:lang w:val="es-MX"/>
        </w:rPr>
        <w:t>sin que se hicieran mayores diligencias en seguimiento a la información que proporcionó</w:t>
      </w:r>
      <w:r w:rsidR="00267ACE" w:rsidRPr="00BF3D11">
        <w:rPr>
          <w:rFonts w:ascii="Cambria" w:hAnsi="Cambria"/>
          <w:sz w:val="20"/>
          <w:szCs w:val="20"/>
          <w:lang w:val="es-MX"/>
        </w:rPr>
        <w:t xml:space="preserve"> este declarante</w:t>
      </w:r>
      <w:r w:rsidR="00313BA2" w:rsidRPr="00BF3D11">
        <w:rPr>
          <w:rFonts w:ascii="Cambria" w:hAnsi="Cambria"/>
          <w:sz w:val="20"/>
          <w:szCs w:val="20"/>
          <w:lang w:val="es-MX"/>
        </w:rPr>
        <w:t xml:space="preserve">. </w:t>
      </w:r>
    </w:p>
    <w:p w:rsidR="00313BA2" w:rsidRPr="00BF3D11" w:rsidRDefault="00313BA2" w:rsidP="00053951">
      <w:pPr>
        <w:pStyle w:val="ColorfulList-Accent11"/>
        <w:rPr>
          <w:rFonts w:ascii="Cambria" w:hAnsi="Cambria"/>
          <w:sz w:val="20"/>
          <w:szCs w:val="20"/>
          <w:lang w:val="es-MX"/>
        </w:rPr>
      </w:pPr>
    </w:p>
    <w:p w:rsidR="00313BA2" w:rsidRPr="00BF3D11" w:rsidRDefault="00313BA2"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MX"/>
        </w:rPr>
      </w:pPr>
      <w:r w:rsidRPr="00BF3D11">
        <w:rPr>
          <w:rFonts w:ascii="Cambria" w:hAnsi="Cambria"/>
          <w:sz w:val="20"/>
          <w:szCs w:val="20"/>
          <w:lang w:val="es-MX"/>
        </w:rPr>
        <w:t xml:space="preserve">Adicionalmente, la CIDH nota que luego de casi dos años de ocurridos los hechos se tomó la declaración del padre del señor Gómez. También se solicitó la declaración del abogado del sindicato al que pertenecía el señor Gómez. No obstante, dicha persona no se apersonó y </w:t>
      </w:r>
      <w:r w:rsidR="00395A0D" w:rsidRPr="00BF3D11">
        <w:rPr>
          <w:rFonts w:ascii="Cambria" w:hAnsi="Cambria"/>
          <w:sz w:val="20"/>
          <w:szCs w:val="20"/>
          <w:lang w:val="es-MX"/>
        </w:rPr>
        <w:t xml:space="preserve">no consta que el </w:t>
      </w:r>
      <w:r w:rsidRPr="00BF3D11">
        <w:rPr>
          <w:rFonts w:ascii="Cambria" w:hAnsi="Cambria"/>
          <w:sz w:val="20"/>
          <w:szCs w:val="20"/>
          <w:lang w:val="es-MX"/>
        </w:rPr>
        <w:t xml:space="preserve">Estado </w:t>
      </w:r>
      <w:r w:rsidR="00395A0D" w:rsidRPr="00BF3D11">
        <w:rPr>
          <w:rFonts w:ascii="Cambria" w:hAnsi="Cambria"/>
          <w:sz w:val="20"/>
          <w:szCs w:val="20"/>
          <w:lang w:val="es-MX"/>
        </w:rPr>
        <w:t xml:space="preserve">hubiese adoptado medida alguna para </w:t>
      </w:r>
      <w:r w:rsidRPr="00BF3D11">
        <w:rPr>
          <w:rFonts w:ascii="Cambria" w:hAnsi="Cambria"/>
          <w:sz w:val="20"/>
          <w:szCs w:val="20"/>
          <w:lang w:val="es-MX"/>
        </w:rPr>
        <w:t>asegurar su comparecencia.</w:t>
      </w:r>
    </w:p>
    <w:p w:rsidR="00313BA2" w:rsidRPr="00BF3D11" w:rsidRDefault="00313BA2" w:rsidP="00053951">
      <w:pPr>
        <w:pStyle w:val="ColorfulList-Accent11"/>
        <w:rPr>
          <w:rFonts w:ascii="Cambria" w:hAnsi="Cambria"/>
          <w:sz w:val="20"/>
          <w:szCs w:val="20"/>
          <w:lang w:val="es-MX"/>
        </w:rPr>
      </w:pPr>
    </w:p>
    <w:p w:rsidR="008576E2" w:rsidRPr="00BF3D11" w:rsidRDefault="00D27627"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MX"/>
        </w:rPr>
      </w:pPr>
      <w:r w:rsidRPr="00BF3D11">
        <w:rPr>
          <w:rFonts w:ascii="Cambria" w:hAnsi="Cambria"/>
          <w:sz w:val="20"/>
          <w:szCs w:val="20"/>
          <w:lang w:val="es-MX"/>
        </w:rPr>
        <w:t xml:space="preserve">Con posterioridad a ello el Ministerio Público solicitó el archivo de la investigación debido a “la divergencia entre las versiones de los testigos respecto a las personas consideradas como sospechosos de la autoría del crimen, y la falta de comparecencia de las personas citadas”. </w:t>
      </w:r>
      <w:r w:rsidR="008576E2" w:rsidRPr="00BF3D11">
        <w:rPr>
          <w:rFonts w:ascii="Cambria" w:hAnsi="Cambria"/>
          <w:sz w:val="20"/>
          <w:szCs w:val="20"/>
          <w:lang w:val="es-MX"/>
        </w:rPr>
        <w:t xml:space="preserve">La Comisión considera que la solicitud de archivo como consecuencia de la existencia de diversas versiones sin haber agotado </w:t>
      </w:r>
      <w:r w:rsidR="00D737A9">
        <w:rPr>
          <w:rFonts w:ascii="Cambria" w:hAnsi="Cambria"/>
          <w:sz w:val="20"/>
          <w:szCs w:val="20"/>
          <w:lang w:val="es-MX"/>
        </w:rPr>
        <w:t xml:space="preserve">las diligencias básicas, mucho menos </w:t>
      </w:r>
      <w:r w:rsidR="008576E2" w:rsidRPr="00BF3D11">
        <w:rPr>
          <w:rFonts w:ascii="Cambria" w:hAnsi="Cambria"/>
          <w:sz w:val="20"/>
          <w:szCs w:val="20"/>
          <w:lang w:val="es-MX"/>
        </w:rPr>
        <w:t xml:space="preserve">todas las posibilidades para esclarecer dichas divergencias, resulta una actuación incompatible con el deber de investigar con la debida diligencia. </w:t>
      </w:r>
    </w:p>
    <w:p w:rsidR="008576E2" w:rsidRPr="00BF3D11" w:rsidRDefault="008576E2" w:rsidP="000539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p>
    <w:p w:rsidR="00313BA2" w:rsidRPr="00BF3D11" w:rsidRDefault="008576E2"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MX"/>
        </w:rPr>
      </w:pPr>
      <w:r w:rsidRPr="00BF3D11">
        <w:rPr>
          <w:rFonts w:ascii="Cambria" w:hAnsi="Cambria"/>
          <w:sz w:val="20"/>
          <w:szCs w:val="20"/>
          <w:lang w:val="es-MX"/>
        </w:rPr>
        <w:t xml:space="preserve">Aunque </w:t>
      </w:r>
      <w:r w:rsidR="00976E5E" w:rsidRPr="00BF3D11">
        <w:rPr>
          <w:rFonts w:ascii="Cambria" w:hAnsi="Cambria"/>
          <w:sz w:val="20"/>
          <w:szCs w:val="20"/>
          <w:lang w:val="es-MX"/>
        </w:rPr>
        <w:t>el juez a cargo de la causa denegó la solicitud del Ministerio Público</w:t>
      </w:r>
      <w:r w:rsidRPr="00BF3D11">
        <w:rPr>
          <w:rFonts w:ascii="Cambria" w:hAnsi="Cambria"/>
          <w:sz w:val="20"/>
          <w:szCs w:val="20"/>
          <w:lang w:val="es-MX"/>
        </w:rPr>
        <w:t xml:space="preserve">, desde el año 1997 no consta la realización de diligencia alguna de investigación respecto de la </w:t>
      </w:r>
      <w:r w:rsidR="00976E5E" w:rsidRPr="00BF3D11">
        <w:rPr>
          <w:rFonts w:ascii="Cambria" w:hAnsi="Cambria"/>
          <w:sz w:val="20"/>
          <w:szCs w:val="20"/>
          <w:lang w:val="es-MX"/>
        </w:rPr>
        <w:t>desaparición y posterior muerte del señor Gómez,</w:t>
      </w:r>
      <w:r w:rsidR="00F85FF7" w:rsidRPr="00BF3D11">
        <w:rPr>
          <w:rFonts w:ascii="Cambria" w:hAnsi="Cambria"/>
          <w:sz w:val="20"/>
          <w:szCs w:val="20"/>
          <w:lang w:val="es-MX"/>
        </w:rPr>
        <w:t xml:space="preserve"> esclarecer las circunstancias en las que ocurrió ni </w:t>
      </w:r>
      <w:r w:rsidR="00976E5E" w:rsidRPr="00BF3D11">
        <w:rPr>
          <w:rFonts w:ascii="Cambria" w:hAnsi="Cambria"/>
          <w:sz w:val="20"/>
          <w:szCs w:val="20"/>
          <w:lang w:val="es-MX"/>
        </w:rPr>
        <w:t>identificar y sancionar a las personas responsables.</w:t>
      </w:r>
      <w:r w:rsidR="002D5443" w:rsidRPr="00BF3D11">
        <w:rPr>
          <w:rFonts w:ascii="Cambria" w:hAnsi="Cambria"/>
          <w:sz w:val="20"/>
          <w:szCs w:val="20"/>
          <w:lang w:val="es-MX"/>
        </w:rPr>
        <w:t xml:space="preserve"> Esta falta de impulso y diligencia por parte de las autoridades resulta especialmente grave debido a la prácticamente nula actividad investigativa que consta en el expediente. </w:t>
      </w:r>
    </w:p>
    <w:p w:rsidR="007479E0" w:rsidRPr="00BF3D11" w:rsidRDefault="007479E0" w:rsidP="00053951">
      <w:pPr>
        <w:rPr>
          <w:rFonts w:ascii="Cambria" w:hAnsi="Cambria"/>
          <w:sz w:val="20"/>
          <w:szCs w:val="20"/>
          <w:lang w:val="es-ES"/>
        </w:rPr>
      </w:pPr>
    </w:p>
    <w:p w:rsidR="003B34BA" w:rsidRPr="00BF3D11" w:rsidRDefault="003B34BA" w:rsidP="00053951">
      <w:pPr>
        <w:pStyle w:val="Heading2"/>
        <w:numPr>
          <w:ilvl w:val="0"/>
          <w:numId w:val="63"/>
        </w:numPr>
        <w:tabs>
          <w:tab w:val="clear" w:pos="2880"/>
          <w:tab w:val="num" w:pos="1440"/>
        </w:tabs>
        <w:spacing w:before="0" w:after="0"/>
        <w:ind w:left="1440" w:hanging="720"/>
        <w:jc w:val="both"/>
        <w:rPr>
          <w:rFonts w:ascii="Cambria" w:hAnsi="Cambria"/>
          <w:i w:val="0"/>
          <w:sz w:val="20"/>
          <w:szCs w:val="20"/>
          <w:lang w:val="es-ES"/>
        </w:rPr>
      </w:pPr>
      <w:bookmarkStart w:id="46" w:name="_Toc473188706"/>
      <w:r w:rsidRPr="00BF3D11">
        <w:rPr>
          <w:rFonts w:ascii="Cambria" w:hAnsi="Cambria"/>
          <w:i w:val="0"/>
          <w:sz w:val="20"/>
          <w:szCs w:val="20"/>
          <w:lang w:val="es-ES"/>
        </w:rPr>
        <w:t>Plazo razonable</w:t>
      </w:r>
      <w:bookmarkEnd w:id="46"/>
    </w:p>
    <w:p w:rsidR="003B34BA" w:rsidRPr="00BF3D11" w:rsidRDefault="003B34BA" w:rsidP="00053951">
      <w:pPr>
        <w:rPr>
          <w:rFonts w:ascii="Cambria" w:hAnsi="Cambria"/>
          <w:sz w:val="20"/>
          <w:szCs w:val="20"/>
          <w:lang w:val="es-ES"/>
        </w:rPr>
      </w:pPr>
    </w:p>
    <w:p w:rsidR="003B6272" w:rsidRPr="00BF3D11" w:rsidRDefault="003B6272"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BF3D11">
        <w:rPr>
          <w:rFonts w:ascii="Cambria" w:hAnsi="Cambria"/>
          <w:sz w:val="20"/>
          <w:szCs w:val="20"/>
          <w:lang w:val="es-ES"/>
        </w:rPr>
        <w:t xml:space="preserve">El artículo 8.1 de la Convención Americana establece como uno de los elementos del debido proceso que </w:t>
      </w:r>
      <w:r w:rsidRPr="00BF3D11">
        <w:rPr>
          <w:rFonts w:ascii="Cambria" w:hAnsi="Cambria"/>
          <w:sz w:val="20"/>
          <w:szCs w:val="20"/>
          <w:lang w:val="es-SV"/>
        </w:rPr>
        <w:t>los</w:t>
      </w:r>
      <w:r w:rsidRPr="00BF3D11">
        <w:rPr>
          <w:rFonts w:ascii="Cambria" w:hAnsi="Cambria"/>
          <w:sz w:val="20"/>
          <w:szCs w:val="20"/>
          <w:lang w:val="es-ES"/>
        </w:rPr>
        <w:t xml:space="preserve"> tribunales decidan los casos sometidos a su conocimiento en un plazo razonable. En este sentido, una demora prolongada puede </w:t>
      </w:r>
      <w:r w:rsidRPr="00BF3D11">
        <w:rPr>
          <w:rFonts w:ascii="Cambria" w:hAnsi="Cambria"/>
          <w:w w:val="95"/>
          <w:sz w:val="20"/>
          <w:szCs w:val="20"/>
          <w:lang w:val="es-CR"/>
        </w:rPr>
        <w:t>llegar</w:t>
      </w:r>
      <w:r w:rsidRPr="00BF3D11">
        <w:rPr>
          <w:rFonts w:ascii="Cambria" w:hAnsi="Cambria"/>
          <w:sz w:val="20"/>
          <w:szCs w:val="20"/>
          <w:lang w:val="es-ES"/>
        </w:rPr>
        <w:t xml:space="preserve"> a constituir, por sí misma, una violación de las garantías judiciales</w:t>
      </w:r>
      <w:r w:rsidRPr="00BF3D11">
        <w:rPr>
          <w:rStyle w:val="FootnoteReference"/>
          <w:rFonts w:ascii="Cambria" w:hAnsi="Cambria"/>
          <w:sz w:val="20"/>
          <w:szCs w:val="20"/>
          <w:lang w:val="es-ES_tradnl"/>
        </w:rPr>
        <w:footnoteReference w:id="132"/>
      </w:r>
      <w:r w:rsidRPr="00BF3D11">
        <w:rPr>
          <w:rFonts w:ascii="Cambria" w:hAnsi="Cambria"/>
          <w:sz w:val="20"/>
          <w:szCs w:val="20"/>
          <w:lang w:val="es-ES"/>
        </w:rPr>
        <w:t>. Corresponde al Estado exponer y probar la razón por la cual se ha requerido más tiempo del razonable para dictar sentencia definitiva en un caso particular</w:t>
      </w:r>
      <w:r w:rsidRPr="00BF3D11">
        <w:rPr>
          <w:rStyle w:val="FootnoteReference"/>
          <w:rFonts w:ascii="Cambria" w:hAnsi="Cambria"/>
          <w:sz w:val="20"/>
          <w:szCs w:val="20"/>
          <w:lang w:val="es-ES_tradnl"/>
        </w:rPr>
        <w:footnoteReference w:id="133"/>
      </w:r>
      <w:r w:rsidRPr="00BF3D11">
        <w:rPr>
          <w:rFonts w:ascii="Cambria" w:hAnsi="Cambria"/>
          <w:sz w:val="20"/>
          <w:szCs w:val="20"/>
          <w:lang w:val="es-ES"/>
        </w:rPr>
        <w:t xml:space="preserve">. En ese sentido, la razonabilidad del plazo </w:t>
      </w:r>
      <w:r w:rsidRPr="00BF3D11">
        <w:rPr>
          <w:rFonts w:ascii="Cambria" w:hAnsi="Cambria"/>
          <w:sz w:val="20"/>
          <w:szCs w:val="20"/>
          <w:lang w:val="es-ES"/>
        </w:rPr>
        <w:lastRenderedPageBreak/>
        <w:t>se debe apreciar en relación con la duración total del procedimiento penal</w:t>
      </w:r>
      <w:r w:rsidRPr="00BF3D11">
        <w:rPr>
          <w:rStyle w:val="FootnoteReference"/>
          <w:rFonts w:ascii="Cambria" w:hAnsi="Cambria"/>
          <w:sz w:val="20"/>
          <w:szCs w:val="20"/>
          <w:lang w:val="es-ES_tradnl"/>
        </w:rPr>
        <w:footnoteReference w:id="134"/>
      </w:r>
      <w:r w:rsidRPr="00BF3D11">
        <w:rPr>
          <w:rFonts w:ascii="Cambria" w:hAnsi="Cambria"/>
          <w:sz w:val="20"/>
          <w:szCs w:val="20"/>
          <w:lang w:val="es-ES"/>
        </w:rPr>
        <w:t xml:space="preserve"> y a la luz de los </w:t>
      </w:r>
      <w:r w:rsidRPr="00BF3D11">
        <w:rPr>
          <w:rFonts w:ascii="Cambria" w:hAnsi="Cambria"/>
          <w:sz w:val="20"/>
          <w:szCs w:val="20"/>
          <w:lang w:val="es-ES_tradnl"/>
        </w:rPr>
        <w:t>los cuatro elementos que ha tomado la Corte en su jurisprudencia, a saber</w:t>
      </w:r>
      <w:r w:rsidRPr="00BF3D11">
        <w:rPr>
          <w:rFonts w:ascii="Cambria" w:hAnsi="Cambria"/>
          <w:sz w:val="20"/>
          <w:szCs w:val="20"/>
          <w:lang w:val="es-ES"/>
        </w:rPr>
        <w:t>: i) la complejidad del asunto; ii) la actividad procesal del interesado; y iii) la conducta de las autoridades judiciales;</w:t>
      </w:r>
      <w:r w:rsidRPr="00BF3D11">
        <w:rPr>
          <w:rFonts w:ascii="Cambria" w:hAnsi="Cambria"/>
          <w:sz w:val="20"/>
          <w:szCs w:val="20"/>
          <w:lang w:val="es-ES_tradnl"/>
        </w:rPr>
        <w:t xml:space="preserve"> y iv) afectación generada en la situación jurídica de la persona </w:t>
      </w:r>
      <w:r w:rsidRPr="00BF3D11">
        <w:rPr>
          <w:rFonts w:ascii="Cambria" w:hAnsi="Cambria"/>
          <w:sz w:val="20"/>
          <w:szCs w:val="20"/>
          <w:lang w:val="es-ES"/>
        </w:rPr>
        <w:t>involucrada</w:t>
      </w:r>
      <w:r w:rsidRPr="00BF3D11">
        <w:rPr>
          <w:rFonts w:ascii="Cambria" w:hAnsi="Cambria"/>
          <w:sz w:val="20"/>
          <w:szCs w:val="20"/>
          <w:lang w:val="es-ES_tradnl"/>
        </w:rPr>
        <w:t xml:space="preserve"> en el proceso</w:t>
      </w:r>
      <w:r w:rsidRPr="00BF3D11">
        <w:rPr>
          <w:rStyle w:val="FootnoteReference"/>
          <w:rFonts w:ascii="Cambria" w:hAnsi="Cambria"/>
          <w:sz w:val="20"/>
          <w:szCs w:val="20"/>
          <w:lang w:val="es-ES_tradnl"/>
        </w:rPr>
        <w:t xml:space="preserve"> </w:t>
      </w:r>
      <w:r w:rsidRPr="00BF3D11">
        <w:rPr>
          <w:rStyle w:val="FootnoteReference"/>
          <w:rFonts w:ascii="Cambria" w:hAnsi="Cambria"/>
          <w:sz w:val="20"/>
          <w:szCs w:val="20"/>
          <w:lang w:val="es-ES_tradnl"/>
        </w:rPr>
        <w:footnoteReference w:id="135"/>
      </w:r>
      <w:r w:rsidRPr="00BF3D11">
        <w:rPr>
          <w:rFonts w:ascii="Cambria" w:hAnsi="Cambria"/>
          <w:sz w:val="20"/>
          <w:szCs w:val="20"/>
          <w:lang w:val="es-ES"/>
        </w:rPr>
        <w:t>.</w:t>
      </w:r>
    </w:p>
    <w:p w:rsidR="003B6272" w:rsidRPr="00BF3D11" w:rsidRDefault="003B6272" w:rsidP="00053951">
      <w:pPr>
        <w:pStyle w:val="BodyTextIndent"/>
        <w:ind w:left="0" w:firstLine="567"/>
        <w:rPr>
          <w:rFonts w:ascii="Cambria" w:hAnsi="Cambria"/>
          <w:sz w:val="20"/>
          <w:szCs w:val="20"/>
          <w:lang w:val="es-ES"/>
        </w:rPr>
      </w:pPr>
    </w:p>
    <w:p w:rsidR="003B6272" w:rsidRPr="00BF3D11" w:rsidRDefault="003B6272"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_tradnl"/>
        </w:rPr>
      </w:pPr>
      <w:r w:rsidRPr="00BF3D11">
        <w:rPr>
          <w:rFonts w:ascii="Cambria" w:hAnsi="Cambria" w:cs="Univers"/>
          <w:sz w:val="20"/>
          <w:szCs w:val="20"/>
          <w:lang w:val="es-ES" w:eastAsia="es-ES_tradnl"/>
        </w:rPr>
        <w:t>En relación con la complejidad, el Estado se limitó a indicar que las dos personas que serían sospechosas de la muerte del señor Gómez se encontraría</w:t>
      </w:r>
      <w:r w:rsidR="00520740" w:rsidRPr="00BF3D11">
        <w:rPr>
          <w:rFonts w:ascii="Cambria" w:hAnsi="Cambria" w:cs="Univers"/>
          <w:sz w:val="20"/>
          <w:szCs w:val="20"/>
          <w:lang w:val="es-ES" w:eastAsia="es-ES_tradnl"/>
        </w:rPr>
        <w:t>n</w:t>
      </w:r>
      <w:r w:rsidRPr="00BF3D11">
        <w:rPr>
          <w:rFonts w:ascii="Cambria" w:hAnsi="Cambria" w:cs="Univers"/>
          <w:sz w:val="20"/>
          <w:szCs w:val="20"/>
          <w:lang w:val="es-ES" w:eastAsia="es-ES_tradnl"/>
        </w:rPr>
        <w:t xml:space="preserve"> prófugas. </w:t>
      </w:r>
      <w:r w:rsidRPr="00BF3D11">
        <w:rPr>
          <w:rFonts w:ascii="Cambria" w:hAnsi="Cambria"/>
          <w:sz w:val="20"/>
          <w:szCs w:val="20"/>
          <w:lang w:val="es-ES_tradnl"/>
        </w:rPr>
        <w:t xml:space="preserve">Al respecto, la CIDH considera que a fin de que un argumento de </w:t>
      </w:r>
      <w:r w:rsidRPr="00BF3D11">
        <w:rPr>
          <w:rFonts w:ascii="Cambria" w:hAnsi="Cambria"/>
          <w:sz w:val="20"/>
          <w:szCs w:val="20"/>
          <w:lang w:val="es-ES"/>
        </w:rPr>
        <w:t>complejidad</w:t>
      </w:r>
      <w:r w:rsidRPr="00BF3D11">
        <w:rPr>
          <w:rFonts w:ascii="Cambria" w:hAnsi="Cambria"/>
          <w:sz w:val="20"/>
          <w:szCs w:val="20"/>
          <w:lang w:val="es-ES_tradnl"/>
        </w:rPr>
        <w:t xml:space="preserve"> sea procedente, es necesario que el Estado presente información específica que vincule directamente los elementos de complejidad invocados con las demoras en el proceso. Ello no ha sucedido en el presente caso. </w:t>
      </w:r>
    </w:p>
    <w:p w:rsidR="003B6272" w:rsidRPr="00BF3D11" w:rsidRDefault="003B6272" w:rsidP="00053951">
      <w:pPr>
        <w:pStyle w:val="BodyTextIndent"/>
        <w:ind w:left="0" w:firstLine="567"/>
        <w:rPr>
          <w:rFonts w:ascii="Cambria" w:hAnsi="Cambria"/>
          <w:sz w:val="20"/>
          <w:szCs w:val="20"/>
        </w:rPr>
      </w:pPr>
      <w:r w:rsidRPr="00BF3D11">
        <w:rPr>
          <w:rFonts w:ascii="Cambria" w:hAnsi="Cambria"/>
          <w:sz w:val="20"/>
          <w:szCs w:val="20"/>
        </w:rPr>
        <w:t xml:space="preserve"> </w:t>
      </w:r>
    </w:p>
    <w:p w:rsidR="003B6272" w:rsidRPr="00BF3D11" w:rsidRDefault="003B6272"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567"/>
        <w:jc w:val="both"/>
        <w:rPr>
          <w:rFonts w:ascii="Cambria" w:hAnsi="Cambria"/>
          <w:sz w:val="20"/>
          <w:szCs w:val="20"/>
          <w:lang w:val="es-ES_tradnl"/>
        </w:rPr>
      </w:pPr>
      <w:r w:rsidRPr="00BF3D11">
        <w:rPr>
          <w:rFonts w:ascii="Cambria" w:hAnsi="Cambria"/>
          <w:sz w:val="20"/>
          <w:szCs w:val="20"/>
          <w:lang w:val="es-ES"/>
        </w:rPr>
        <w:t xml:space="preserve">En cuanto a la participación de los interesados, la Comisión observa que no existe elemento alguno en el expediente que indique que los </w:t>
      </w:r>
      <w:r w:rsidRPr="00BF3D11">
        <w:rPr>
          <w:rFonts w:ascii="Cambria" w:hAnsi="Cambria"/>
          <w:sz w:val="20"/>
          <w:szCs w:val="20"/>
          <w:lang w:val="es-ES_tradnl"/>
        </w:rPr>
        <w:t xml:space="preserve">familiares obstaculizaron el proceso o tuvieron responsabilidad alguna en la demora. En relación con la </w:t>
      </w:r>
      <w:r w:rsidRPr="00BF3D11">
        <w:rPr>
          <w:rFonts w:ascii="Cambria" w:hAnsi="Cambria"/>
          <w:sz w:val="20"/>
          <w:szCs w:val="20"/>
          <w:lang w:val="es-ES"/>
        </w:rPr>
        <w:t xml:space="preserve">conducta de las autoridades judiciales, la Comisión ya estableció en el presente informe el incumplimiento del deber de debida diligencia en </w:t>
      </w:r>
      <w:r w:rsidR="006E744E" w:rsidRPr="00BF3D11">
        <w:rPr>
          <w:rFonts w:ascii="Cambria" w:hAnsi="Cambria"/>
          <w:sz w:val="20"/>
          <w:szCs w:val="20"/>
          <w:lang w:val="es-ES"/>
        </w:rPr>
        <w:t>la investigación penal</w:t>
      </w:r>
      <w:r w:rsidRPr="00BF3D11">
        <w:rPr>
          <w:rFonts w:ascii="Cambria" w:hAnsi="Cambria"/>
          <w:sz w:val="20"/>
          <w:szCs w:val="20"/>
          <w:lang w:val="es-ES"/>
        </w:rPr>
        <w:t xml:space="preserve">. </w:t>
      </w:r>
      <w:r w:rsidR="00035453">
        <w:rPr>
          <w:rFonts w:ascii="Cambria" w:hAnsi="Cambria"/>
          <w:sz w:val="20"/>
          <w:szCs w:val="20"/>
          <w:lang w:val="es-ES"/>
        </w:rPr>
        <w:t xml:space="preserve">Habiendo llegado a estas conclusiones </w:t>
      </w:r>
      <w:r w:rsidR="006E744E" w:rsidRPr="00BF3D11">
        <w:rPr>
          <w:rFonts w:ascii="Cambria" w:hAnsi="Cambria"/>
          <w:sz w:val="20"/>
          <w:szCs w:val="20"/>
          <w:lang w:val="es-ES"/>
        </w:rPr>
        <w:t xml:space="preserve">no considera </w:t>
      </w:r>
      <w:r w:rsidR="00035453">
        <w:rPr>
          <w:rFonts w:ascii="Cambria" w:hAnsi="Cambria"/>
          <w:sz w:val="20"/>
          <w:szCs w:val="20"/>
          <w:lang w:val="es-ES"/>
        </w:rPr>
        <w:t xml:space="preserve">necesario </w:t>
      </w:r>
      <w:r w:rsidR="00677491" w:rsidRPr="00BF3D11">
        <w:rPr>
          <w:rFonts w:ascii="Cambria" w:hAnsi="Cambria"/>
          <w:sz w:val="20"/>
          <w:szCs w:val="20"/>
          <w:lang w:val="es-ES"/>
        </w:rPr>
        <w:t xml:space="preserve">analizar </w:t>
      </w:r>
      <w:r w:rsidR="006E744E" w:rsidRPr="00BF3D11">
        <w:rPr>
          <w:rFonts w:ascii="Cambria" w:hAnsi="Cambria"/>
          <w:sz w:val="20"/>
          <w:szCs w:val="20"/>
          <w:lang w:val="es-ES"/>
        </w:rPr>
        <w:t>el cuarto elemento.</w:t>
      </w:r>
    </w:p>
    <w:p w:rsidR="003B6272" w:rsidRPr="00BF3D11" w:rsidRDefault="003B6272" w:rsidP="00053951">
      <w:pPr>
        <w:pStyle w:val="BodyTextIndent"/>
        <w:ind w:left="0" w:firstLine="567"/>
        <w:rPr>
          <w:rFonts w:ascii="Cambria" w:hAnsi="Cambria" w:cs="Garamond"/>
          <w:spacing w:val="-2"/>
          <w:sz w:val="20"/>
          <w:szCs w:val="20"/>
          <w:lang w:val="es-ES"/>
        </w:rPr>
      </w:pPr>
    </w:p>
    <w:p w:rsidR="003B6272" w:rsidRPr="00BF3D11" w:rsidRDefault="00C4262B"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450"/>
        </w:tabs>
        <w:jc w:val="both"/>
        <w:rPr>
          <w:rFonts w:ascii="Cambria" w:hAnsi="Cambria"/>
          <w:sz w:val="20"/>
          <w:szCs w:val="20"/>
          <w:lang w:val="es-ES"/>
        </w:rPr>
      </w:pPr>
      <w:r w:rsidRPr="00BF3D11">
        <w:rPr>
          <w:rFonts w:ascii="Cambria" w:hAnsi="Cambria"/>
          <w:sz w:val="20"/>
          <w:szCs w:val="20"/>
          <w:lang w:val="es-ES_tradnl"/>
        </w:rPr>
        <w:t>Tomando en cuenta la información ambigua sobre si la investigació</w:t>
      </w:r>
      <w:r w:rsidR="003B5BF0" w:rsidRPr="00BF3D11">
        <w:rPr>
          <w:rFonts w:ascii="Cambria" w:hAnsi="Cambria"/>
          <w:sz w:val="20"/>
          <w:szCs w:val="20"/>
          <w:lang w:val="es-ES_tradnl"/>
        </w:rPr>
        <w:t>n fue formalmente</w:t>
      </w:r>
      <w:r w:rsidRPr="00BF3D11">
        <w:rPr>
          <w:rFonts w:ascii="Cambria" w:hAnsi="Cambria"/>
          <w:sz w:val="20"/>
          <w:szCs w:val="20"/>
          <w:lang w:val="es-ES_tradnl"/>
        </w:rPr>
        <w:t xml:space="preserve"> archivada, l</w:t>
      </w:r>
      <w:r w:rsidR="003B6272" w:rsidRPr="00BF3D11">
        <w:rPr>
          <w:rFonts w:ascii="Cambria" w:hAnsi="Cambria"/>
          <w:sz w:val="20"/>
          <w:szCs w:val="20"/>
          <w:lang w:val="es-ES_tradnl"/>
        </w:rPr>
        <w:t xml:space="preserve">a Comisión considera que los </w:t>
      </w:r>
      <w:r w:rsidR="006E744E" w:rsidRPr="00BF3D11">
        <w:rPr>
          <w:rFonts w:ascii="Cambria" w:hAnsi="Cambria"/>
          <w:sz w:val="20"/>
          <w:szCs w:val="20"/>
          <w:lang w:val="es-ES_tradnl"/>
        </w:rPr>
        <w:t>más de 21</w:t>
      </w:r>
      <w:r w:rsidR="003B6272" w:rsidRPr="00BF3D11">
        <w:rPr>
          <w:rFonts w:ascii="Cambria" w:hAnsi="Cambria"/>
          <w:sz w:val="20"/>
          <w:szCs w:val="20"/>
          <w:lang w:val="es-ES_tradnl"/>
        </w:rPr>
        <w:t xml:space="preserve"> años que han transcurrido desde la interposición de la denuncia</w:t>
      </w:r>
      <w:r w:rsidR="006E744E" w:rsidRPr="00BF3D11">
        <w:rPr>
          <w:rFonts w:ascii="Cambria" w:hAnsi="Cambria"/>
          <w:sz w:val="20"/>
          <w:szCs w:val="20"/>
          <w:lang w:val="es-ES_tradnl"/>
        </w:rPr>
        <w:t xml:space="preserve"> por la desaparición y posterior muerte del señor Gómez</w:t>
      </w:r>
      <w:r w:rsidR="003B6272" w:rsidRPr="00BF3D11">
        <w:rPr>
          <w:rFonts w:ascii="Cambria" w:hAnsi="Cambria"/>
          <w:sz w:val="20"/>
          <w:szCs w:val="20"/>
          <w:lang w:val="es-ES_tradnl"/>
        </w:rPr>
        <w:t xml:space="preserve"> hasta la fecha constituye un plazo excesivo que no ha sido justificado por el Estado. En consecuencia, la Comisión considera que el Estado incurrió en un incumplimiento de la garantía de plazo razonable. </w:t>
      </w:r>
    </w:p>
    <w:p w:rsidR="003B6272" w:rsidRPr="00BF3D11" w:rsidRDefault="003B6272" w:rsidP="00053951">
      <w:pPr>
        <w:rPr>
          <w:rFonts w:ascii="Cambria" w:hAnsi="Cambria"/>
          <w:sz w:val="20"/>
          <w:szCs w:val="20"/>
          <w:lang w:val="es-ES"/>
        </w:rPr>
      </w:pPr>
    </w:p>
    <w:p w:rsidR="00432A3D" w:rsidRPr="00BF3D11" w:rsidRDefault="00432A3D" w:rsidP="00053951">
      <w:pPr>
        <w:ind w:left="720"/>
        <w:rPr>
          <w:rFonts w:ascii="Cambria" w:hAnsi="Cambria"/>
          <w:b/>
          <w:sz w:val="20"/>
          <w:szCs w:val="20"/>
          <w:lang w:val="es-ES"/>
        </w:rPr>
      </w:pPr>
      <w:r w:rsidRPr="00BF3D11">
        <w:rPr>
          <w:rFonts w:ascii="Cambria" w:hAnsi="Cambria"/>
          <w:b/>
          <w:sz w:val="20"/>
          <w:szCs w:val="20"/>
          <w:lang w:val="es-ES"/>
        </w:rPr>
        <w:t>4.</w:t>
      </w:r>
      <w:r w:rsidRPr="00BF3D11">
        <w:rPr>
          <w:rFonts w:ascii="Cambria" w:hAnsi="Cambria"/>
          <w:b/>
          <w:sz w:val="20"/>
          <w:szCs w:val="20"/>
          <w:lang w:val="es-ES"/>
        </w:rPr>
        <w:tab/>
        <w:t>Conclusión</w:t>
      </w:r>
    </w:p>
    <w:p w:rsidR="00432A3D" w:rsidRPr="00BF3D11" w:rsidRDefault="00432A3D" w:rsidP="00053951">
      <w:pPr>
        <w:rPr>
          <w:rFonts w:ascii="Cambria" w:hAnsi="Cambria"/>
          <w:sz w:val="20"/>
          <w:szCs w:val="20"/>
          <w:lang w:val="es-ES"/>
        </w:rPr>
      </w:pPr>
    </w:p>
    <w:p w:rsidR="008854B4" w:rsidRPr="00BF3D11" w:rsidRDefault="008854B4"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450"/>
        </w:tabs>
        <w:jc w:val="both"/>
        <w:rPr>
          <w:rFonts w:ascii="Cambria" w:hAnsi="Cambria"/>
          <w:sz w:val="20"/>
          <w:szCs w:val="20"/>
          <w:lang w:val="es-ES"/>
        </w:rPr>
      </w:pPr>
      <w:r w:rsidRPr="00BF3D11">
        <w:rPr>
          <w:rFonts w:ascii="Cambria" w:hAnsi="Cambria"/>
          <w:sz w:val="20"/>
          <w:szCs w:val="20"/>
          <w:lang w:val="es-ES"/>
        </w:rPr>
        <w:t xml:space="preserve">En virtud de las anteriores consideraciones, la Comisión concluye que el Estado de Guatemala es responsable por la violación de los derechos a las garantías judiciales y protección judicial establecidos en los artículos 8.1 y 25.1 de la Convención Americana en relación con las obligaciones establecidas en el artículo </w:t>
      </w:r>
      <w:r w:rsidR="0026264D" w:rsidRPr="00BF3D11">
        <w:rPr>
          <w:rFonts w:ascii="Cambria" w:hAnsi="Cambria"/>
          <w:sz w:val="20"/>
          <w:szCs w:val="20"/>
          <w:lang w:val="es-ES"/>
        </w:rPr>
        <w:t xml:space="preserve">1.1 del mismo instrumento, en perjuicio de </w:t>
      </w:r>
      <w:r w:rsidR="005E150C">
        <w:rPr>
          <w:rFonts w:ascii="Cambria" w:hAnsi="Cambria"/>
          <w:sz w:val="20"/>
          <w:szCs w:val="20"/>
          <w:lang w:val="es-ES"/>
        </w:rPr>
        <w:t>Alejandro Yovany Gómez</w:t>
      </w:r>
      <w:r w:rsidR="009233DB">
        <w:rPr>
          <w:rFonts w:ascii="Cambria" w:hAnsi="Cambria"/>
          <w:sz w:val="20"/>
          <w:szCs w:val="20"/>
          <w:lang w:val="es-ES"/>
        </w:rPr>
        <w:t xml:space="preserve"> en cuanto a la ausencia total de diligencias para buscarlo antes del hallazgo de su cuerpo, y en cuanto a</w:t>
      </w:r>
      <w:r w:rsidR="005E150C">
        <w:rPr>
          <w:rFonts w:ascii="Cambria" w:hAnsi="Cambria"/>
          <w:sz w:val="20"/>
          <w:szCs w:val="20"/>
          <w:lang w:val="es-ES"/>
        </w:rPr>
        <w:t xml:space="preserve"> sus </w:t>
      </w:r>
      <w:r w:rsidR="0026264D" w:rsidRPr="00BF3D11">
        <w:rPr>
          <w:rFonts w:ascii="Cambria" w:hAnsi="Cambria"/>
          <w:sz w:val="20"/>
          <w:szCs w:val="20"/>
          <w:lang w:val="es-ES"/>
        </w:rPr>
        <w:t>padres</w:t>
      </w:r>
      <w:r w:rsidR="009233DB">
        <w:rPr>
          <w:rFonts w:ascii="Cambria" w:hAnsi="Cambria"/>
          <w:sz w:val="20"/>
          <w:szCs w:val="20"/>
          <w:lang w:val="es-ES"/>
        </w:rPr>
        <w:t xml:space="preserve"> respecto de la totalidad de todas las acciones y omisiones descritas en esta sección.</w:t>
      </w:r>
    </w:p>
    <w:p w:rsidR="008854B4" w:rsidRPr="00BF3D11" w:rsidRDefault="008854B4" w:rsidP="00053951">
      <w:pPr>
        <w:rPr>
          <w:rFonts w:ascii="Cambria" w:hAnsi="Cambria"/>
          <w:sz w:val="20"/>
          <w:szCs w:val="20"/>
          <w:lang w:val="es-ES"/>
        </w:rPr>
      </w:pPr>
    </w:p>
    <w:p w:rsidR="007479E0" w:rsidRPr="00BF3D11" w:rsidRDefault="007479E0" w:rsidP="00053951">
      <w:pPr>
        <w:pStyle w:val="Heading2"/>
        <w:numPr>
          <w:ilvl w:val="0"/>
          <w:numId w:val="59"/>
        </w:numPr>
        <w:spacing w:before="0" w:after="0"/>
        <w:ind w:left="1440" w:hanging="720"/>
        <w:jc w:val="both"/>
        <w:rPr>
          <w:rFonts w:ascii="Cambria" w:hAnsi="Cambria"/>
          <w:i w:val="0"/>
          <w:sz w:val="20"/>
          <w:szCs w:val="20"/>
          <w:lang w:val="es-ES"/>
        </w:rPr>
      </w:pPr>
      <w:bookmarkStart w:id="47" w:name="_Toc473188707"/>
      <w:r w:rsidRPr="00BF3D11">
        <w:rPr>
          <w:rFonts w:ascii="Cambria" w:hAnsi="Cambria"/>
          <w:i w:val="0"/>
          <w:sz w:val="20"/>
          <w:szCs w:val="20"/>
          <w:lang w:val="es-ES"/>
        </w:rPr>
        <w:t xml:space="preserve">Derecho a integridad personal (artículo 5.1 de la Convención Americana en relación con el artículo 1.1 del mismo instrumento) en perjuicio de los familiares de </w:t>
      </w:r>
      <w:r w:rsidR="00E15EE9" w:rsidRPr="00BF3D11">
        <w:rPr>
          <w:rFonts w:ascii="Cambria" w:hAnsi="Cambria"/>
          <w:i w:val="0"/>
          <w:sz w:val="20"/>
          <w:szCs w:val="20"/>
          <w:lang w:val="es-ES"/>
        </w:rPr>
        <w:t>Alejandro</w:t>
      </w:r>
      <w:r w:rsidRPr="00BF3D11">
        <w:rPr>
          <w:rFonts w:ascii="Cambria" w:hAnsi="Cambria"/>
          <w:i w:val="0"/>
          <w:sz w:val="20"/>
          <w:szCs w:val="20"/>
          <w:lang w:val="es-ES"/>
        </w:rPr>
        <w:t xml:space="preserve"> Yovany Gómez</w:t>
      </w:r>
      <w:bookmarkEnd w:id="47"/>
    </w:p>
    <w:p w:rsidR="00F63943" w:rsidRPr="00BF3D11" w:rsidRDefault="00F63943" w:rsidP="00053951">
      <w:pPr>
        <w:tabs>
          <w:tab w:val="left" w:pos="1440"/>
        </w:tabs>
        <w:jc w:val="both"/>
        <w:rPr>
          <w:rFonts w:ascii="Cambria" w:hAnsi="Cambria"/>
          <w:sz w:val="20"/>
          <w:szCs w:val="20"/>
          <w:lang w:val="es-ES"/>
        </w:rPr>
      </w:pPr>
    </w:p>
    <w:p w:rsidR="00F63943" w:rsidRPr="00BF3D11" w:rsidRDefault="00F63943"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BF3D11">
        <w:rPr>
          <w:rFonts w:ascii="Cambria" w:hAnsi="Cambria"/>
          <w:sz w:val="20"/>
          <w:szCs w:val="20"/>
          <w:lang w:val="es-ES"/>
        </w:rPr>
        <w:t xml:space="preserve">El artículo 5.1 de la Convención Americana establece que “[t]oda persona tiene derecho a que se respete su integridad física, psíquica y moral”. Con respecto de los familiares de víctimas de ciertas violaciones de derechos humanos, la </w:t>
      </w:r>
      <w:r w:rsidR="00104A6A">
        <w:rPr>
          <w:rFonts w:ascii="Cambria" w:hAnsi="Cambria"/>
          <w:sz w:val="20"/>
          <w:szCs w:val="20"/>
          <w:lang w:val="es-ES"/>
        </w:rPr>
        <w:t xml:space="preserve">Comisión y la </w:t>
      </w:r>
      <w:r w:rsidRPr="00BF3D11">
        <w:rPr>
          <w:rFonts w:ascii="Cambria" w:hAnsi="Cambria"/>
          <w:sz w:val="20"/>
          <w:szCs w:val="20"/>
          <w:lang w:val="es-ES"/>
        </w:rPr>
        <w:t>Corte ha</w:t>
      </w:r>
      <w:r w:rsidR="00104A6A">
        <w:rPr>
          <w:rFonts w:ascii="Cambria" w:hAnsi="Cambria"/>
          <w:sz w:val="20"/>
          <w:szCs w:val="20"/>
          <w:lang w:val="es-ES"/>
        </w:rPr>
        <w:t>n</w:t>
      </w:r>
      <w:r w:rsidRPr="00BF3D11">
        <w:rPr>
          <w:rFonts w:ascii="Cambria" w:hAnsi="Cambria"/>
          <w:sz w:val="20"/>
          <w:szCs w:val="20"/>
          <w:lang w:val="es-ES"/>
        </w:rPr>
        <w:t xml:space="preserve"> indicado que éstos pueden ser considerados, a su vez, como víctimas</w:t>
      </w:r>
      <w:r w:rsidR="00104A6A" w:rsidRPr="004D216C">
        <w:rPr>
          <w:bCs/>
          <w:sz w:val="20"/>
          <w:szCs w:val="20"/>
          <w:vertAlign w:val="superscript"/>
          <w:lang w:val="es-VE"/>
        </w:rPr>
        <w:footnoteReference w:id="136"/>
      </w:r>
      <w:r w:rsidRPr="00BF3D11">
        <w:rPr>
          <w:rFonts w:ascii="Cambria" w:hAnsi="Cambria"/>
          <w:sz w:val="20"/>
          <w:szCs w:val="20"/>
          <w:lang w:val="es-ES"/>
        </w:rPr>
        <w:t>. Al respecto, la Corte ha dispuesto que pueden verse afectados en su integridad psíquica y moral como consecuencia de las situaciones particulares que padecieron las víctimas, y de las posteriores actuaciones u omisiones de las autoridades internas frente a estos hechos</w:t>
      </w:r>
      <w:r w:rsidRPr="00BF3D11">
        <w:rPr>
          <w:rStyle w:val="FootnoteReference"/>
          <w:rFonts w:ascii="Cambria" w:hAnsi="Cambria"/>
          <w:sz w:val="20"/>
          <w:szCs w:val="20"/>
        </w:rPr>
        <w:footnoteReference w:id="137"/>
      </w:r>
      <w:r w:rsidRPr="00BF3D11">
        <w:rPr>
          <w:rFonts w:ascii="Cambria" w:hAnsi="Cambria"/>
          <w:sz w:val="20"/>
          <w:szCs w:val="20"/>
          <w:lang w:val="es-ES"/>
        </w:rPr>
        <w:t>.</w:t>
      </w:r>
    </w:p>
    <w:p w:rsidR="00F63943" w:rsidRPr="00BF3D11" w:rsidRDefault="00F63943" w:rsidP="00053951">
      <w:pPr>
        <w:pStyle w:val="BodyTextIndent"/>
        <w:tabs>
          <w:tab w:val="left" w:pos="1440"/>
        </w:tabs>
        <w:ind w:firstLine="0"/>
        <w:rPr>
          <w:rFonts w:ascii="Cambria" w:hAnsi="Cambria"/>
          <w:color w:val="auto"/>
          <w:sz w:val="20"/>
          <w:szCs w:val="20"/>
          <w:lang w:val="es-ES"/>
        </w:rPr>
      </w:pPr>
    </w:p>
    <w:p w:rsidR="00F63943" w:rsidRPr="00BF3D11" w:rsidRDefault="00F63943"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BF3D11">
        <w:rPr>
          <w:rFonts w:ascii="Cambria" w:hAnsi="Cambria"/>
          <w:sz w:val="20"/>
          <w:szCs w:val="20"/>
          <w:lang w:val="es-ES"/>
        </w:rPr>
        <w:t xml:space="preserve">Específicamente, respecto a casos donde existió una falta de investigación completa y efectiva, tal como el presente asunto, la Corte ha indicado que: </w:t>
      </w:r>
    </w:p>
    <w:p w:rsidR="00F63943" w:rsidRPr="00BF3D11" w:rsidRDefault="00F63943" w:rsidP="00053951">
      <w:pPr>
        <w:pStyle w:val="BodyTextIndent"/>
        <w:tabs>
          <w:tab w:val="left" w:pos="1440"/>
        </w:tabs>
        <w:ind w:firstLine="0"/>
        <w:rPr>
          <w:rFonts w:ascii="Cambria" w:hAnsi="Cambria"/>
          <w:color w:val="auto"/>
          <w:sz w:val="20"/>
          <w:szCs w:val="20"/>
        </w:rPr>
      </w:pPr>
    </w:p>
    <w:p w:rsidR="00F63943" w:rsidRPr="00BF3D11" w:rsidRDefault="00F63943" w:rsidP="00053951">
      <w:pPr>
        <w:pStyle w:val="BodyTextIndent"/>
        <w:tabs>
          <w:tab w:val="left" w:pos="1440"/>
          <w:tab w:val="left" w:pos="8640"/>
        </w:tabs>
        <w:ind w:left="720" w:right="720" w:firstLine="0"/>
        <w:jc w:val="both"/>
        <w:rPr>
          <w:rFonts w:ascii="Cambria" w:hAnsi="Cambria"/>
          <w:color w:val="auto"/>
          <w:sz w:val="20"/>
          <w:szCs w:val="20"/>
        </w:rPr>
      </w:pPr>
      <w:r w:rsidRPr="00BF3D11">
        <w:rPr>
          <w:rFonts w:ascii="Cambria" w:hAnsi="Cambria"/>
          <w:color w:val="auto"/>
          <w:sz w:val="20"/>
          <w:szCs w:val="20"/>
        </w:rPr>
        <w:t>(...) la ausencia de una investigación completa y efectiva sobre los hechos constituye una fuente de sufrimiento y angustia adicional para las víctimas y sus familiares, quienes tienen el derecho de conocer la verdad de lo ocurrido. Dicho derecho a la verdad exige la determinación procesal de la más completa verdad histórica posible, lo cual incluye la determinación judicial de los patrones de actuación conjunta y de todas las personas que de diversas formas participaron en dichas violaciones y sus correspondientes responsabilidades</w:t>
      </w:r>
      <w:r w:rsidRPr="00BF3D11">
        <w:rPr>
          <w:rStyle w:val="FootnoteReference"/>
          <w:rFonts w:ascii="Cambria" w:hAnsi="Cambria"/>
          <w:color w:val="auto"/>
          <w:sz w:val="20"/>
          <w:szCs w:val="20"/>
        </w:rPr>
        <w:footnoteReference w:id="138"/>
      </w:r>
      <w:r w:rsidRPr="00BF3D11">
        <w:rPr>
          <w:rFonts w:ascii="Cambria" w:hAnsi="Cambria"/>
          <w:color w:val="auto"/>
          <w:sz w:val="20"/>
          <w:szCs w:val="20"/>
        </w:rPr>
        <w:t xml:space="preserve">.  </w:t>
      </w:r>
    </w:p>
    <w:p w:rsidR="00F63943" w:rsidRPr="00BF3D11" w:rsidRDefault="00F63943" w:rsidP="00053951">
      <w:pPr>
        <w:pStyle w:val="BodyTextIndent"/>
        <w:tabs>
          <w:tab w:val="left" w:pos="1440"/>
        </w:tabs>
        <w:ind w:firstLine="0"/>
        <w:rPr>
          <w:rFonts w:ascii="Cambria" w:hAnsi="Cambria"/>
          <w:color w:val="auto"/>
          <w:sz w:val="20"/>
          <w:szCs w:val="20"/>
        </w:rPr>
      </w:pPr>
    </w:p>
    <w:p w:rsidR="00F63943" w:rsidRPr="00BF3D11" w:rsidRDefault="001803DE"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BF3D11">
        <w:rPr>
          <w:rFonts w:ascii="Cambria" w:hAnsi="Cambria"/>
          <w:sz w:val="20"/>
          <w:szCs w:val="20"/>
          <w:lang w:val="es-ES"/>
        </w:rPr>
        <w:t>L</w:t>
      </w:r>
      <w:r w:rsidR="00F63943" w:rsidRPr="00BF3D11">
        <w:rPr>
          <w:rFonts w:ascii="Cambria" w:hAnsi="Cambria"/>
          <w:sz w:val="20"/>
          <w:szCs w:val="20"/>
          <w:lang w:val="es-ES"/>
        </w:rPr>
        <w:t xml:space="preserve">a Comisión considera que la pérdida de un ser querido en un contexto como el descrito en el presente caso, así como la ausencia de una investigación completa y efectiva que a su vez ocasiona sufrimiento y angustia de no conocer la verdad, constituye en sí misma una afectación a la integridad psíquica y moral de los familiares del señor </w:t>
      </w:r>
      <w:r w:rsidR="00330827" w:rsidRPr="00BF3D11">
        <w:rPr>
          <w:rFonts w:ascii="Cambria" w:hAnsi="Cambria"/>
          <w:sz w:val="20"/>
          <w:szCs w:val="20"/>
          <w:lang w:val="es-ES"/>
        </w:rPr>
        <w:t>Gómez</w:t>
      </w:r>
      <w:r w:rsidR="00F63943" w:rsidRPr="00BF3D11">
        <w:rPr>
          <w:rFonts w:ascii="Cambria" w:hAnsi="Cambria"/>
          <w:sz w:val="20"/>
          <w:szCs w:val="20"/>
          <w:lang w:val="es-ES"/>
        </w:rPr>
        <w:t>.</w:t>
      </w:r>
      <w:r w:rsidRPr="00BF3D11">
        <w:rPr>
          <w:rFonts w:ascii="Cambria" w:hAnsi="Cambria"/>
          <w:sz w:val="20"/>
          <w:szCs w:val="20"/>
          <w:lang w:val="es-ES_tradnl"/>
        </w:rPr>
        <w:t xml:space="preserve"> </w:t>
      </w:r>
      <w:r w:rsidR="00F63943" w:rsidRPr="00BF3D11">
        <w:rPr>
          <w:rFonts w:ascii="Cambria" w:hAnsi="Cambria"/>
          <w:sz w:val="20"/>
          <w:szCs w:val="20"/>
          <w:lang w:val="es-ES"/>
        </w:rPr>
        <w:t>En consecuencia</w:t>
      </w:r>
      <w:r w:rsidR="00F63943" w:rsidRPr="00BF3D11">
        <w:rPr>
          <w:rFonts w:ascii="Cambria" w:hAnsi="Cambria"/>
          <w:sz w:val="20"/>
          <w:szCs w:val="20"/>
          <w:lang w:val="es-ES_tradnl"/>
        </w:rPr>
        <w:t xml:space="preserve">, la Comisión concluye que el Estado violó el derecho a la integridad psíquica y moral consagrado en el artículo 5.1 de la Convención Americana </w:t>
      </w:r>
      <w:r w:rsidR="00F63943" w:rsidRPr="00BF3D11">
        <w:rPr>
          <w:rFonts w:ascii="Cambria" w:hAnsi="Cambria"/>
          <w:sz w:val="20"/>
          <w:szCs w:val="20"/>
          <w:lang w:val="es-ES"/>
        </w:rPr>
        <w:t>en relación con las obligaciones establecidas en el artículo 1.1 de la misma en perjuicio de los familiares de</w:t>
      </w:r>
      <w:r w:rsidR="00467056" w:rsidRPr="00BF3D11">
        <w:rPr>
          <w:rFonts w:ascii="Cambria" w:hAnsi="Cambria"/>
          <w:sz w:val="20"/>
          <w:szCs w:val="20"/>
          <w:lang w:val="es-ES"/>
        </w:rPr>
        <w:t xml:space="preserve"> Alejandro Yovany Gómez</w:t>
      </w:r>
      <w:r w:rsidR="00330827" w:rsidRPr="00BF3D11">
        <w:rPr>
          <w:rFonts w:ascii="Cambria" w:hAnsi="Cambria"/>
          <w:sz w:val="20"/>
          <w:szCs w:val="20"/>
          <w:lang w:val="es-SV"/>
        </w:rPr>
        <w:t>.</w:t>
      </w:r>
    </w:p>
    <w:p w:rsidR="008B45D2" w:rsidRPr="00BF3D11" w:rsidRDefault="008B45D2" w:rsidP="000539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F165D2" w:rsidRPr="00BF3D11" w:rsidRDefault="00F165D2" w:rsidP="00996FA3">
      <w:pPr>
        <w:pStyle w:val="Heading1"/>
      </w:pPr>
      <w:bookmarkStart w:id="48" w:name="_Toc370830584"/>
      <w:bookmarkStart w:id="49" w:name="_Toc370831309"/>
      <w:bookmarkStart w:id="50" w:name="_Toc412635589"/>
      <w:bookmarkStart w:id="51" w:name="_Toc416685646"/>
      <w:bookmarkStart w:id="52" w:name="_Toc473188708"/>
      <w:r w:rsidRPr="00BF3D11">
        <w:t>CONCLUSIONES</w:t>
      </w:r>
      <w:bookmarkEnd w:id="48"/>
      <w:bookmarkEnd w:id="49"/>
      <w:bookmarkEnd w:id="50"/>
      <w:bookmarkEnd w:id="51"/>
      <w:bookmarkEnd w:id="52"/>
    </w:p>
    <w:p w:rsidR="00F165D2" w:rsidRPr="00BF3D11" w:rsidRDefault="00F165D2" w:rsidP="00053951">
      <w:pPr>
        <w:rPr>
          <w:rFonts w:ascii="Cambria" w:hAnsi="Cambria"/>
          <w:sz w:val="20"/>
          <w:szCs w:val="20"/>
          <w:lang w:val="es-ES_tradnl"/>
        </w:rPr>
      </w:pPr>
    </w:p>
    <w:p w:rsidR="00F165D2" w:rsidRPr="00BF3D11" w:rsidRDefault="00F165D2"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BF3D11">
        <w:rPr>
          <w:rFonts w:ascii="Cambria" w:hAnsi="Cambria"/>
          <w:sz w:val="20"/>
          <w:szCs w:val="20"/>
          <w:lang w:val="es-ES"/>
        </w:rPr>
        <w:t xml:space="preserve">Con base en las consideraciones de hecho y de derecho expuestas, la Comisión Interamericana concluye que el </w:t>
      </w:r>
      <w:r w:rsidRPr="00BF3D11">
        <w:rPr>
          <w:rFonts w:ascii="Cambria" w:hAnsi="Cambria"/>
          <w:sz w:val="20"/>
          <w:szCs w:val="20"/>
          <w:lang w:val="es-ES_tradnl"/>
        </w:rPr>
        <w:t>Estado</w:t>
      </w:r>
      <w:r w:rsidRPr="00BF3D11">
        <w:rPr>
          <w:rFonts w:ascii="Cambria" w:hAnsi="Cambria"/>
          <w:sz w:val="20"/>
          <w:szCs w:val="20"/>
          <w:lang w:val="es-ES"/>
        </w:rPr>
        <w:t xml:space="preserve"> </w:t>
      </w:r>
      <w:r w:rsidR="00505FAA" w:rsidRPr="00BF3D11">
        <w:rPr>
          <w:rFonts w:ascii="Cambria" w:hAnsi="Cambria"/>
          <w:sz w:val="20"/>
          <w:szCs w:val="20"/>
          <w:lang w:val="es-ES"/>
        </w:rPr>
        <w:t>de Guatemala es responsable por</w:t>
      </w:r>
      <w:r w:rsidR="00505FAA" w:rsidRPr="00505FAA">
        <w:rPr>
          <w:rFonts w:ascii="Cambria" w:hAnsi="Cambria"/>
          <w:sz w:val="20"/>
          <w:szCs w:val="20"/>
          <w:lang w:val="es-ES"/>
        </w:rPr>
        <w:t xml:space="preserve"> i) la violación de los derechos a la vida, integridad personal y libertad personal, establec</w:t>
      </w:r>
      <w:r w:rsidR="001216A1">
        <w:rPr>
          <w:rFonts w:ascii="Cambria" w:hAnsi="Cambria"/>
          <w:sz w:val="20"/>
          <w:szCs w:val="20"/>
          <w:lang w:val="es-ES"/>
        </w:rPr>
        <w:t>idos en los artículos 4.1, 5.1,</w:t>
      </w:r>
      <w:r w:rsidR="00505FAA" w:rsidRPr="00505FAA">
        <w:rPr>
          <w:rFonts w:ascii="Cambria" w:hAnsi="Cambria"/>
          <w:sz w:val="20"/>
          <w:szCs w:val="20"/>
          <w:lang w:val="es-ES"/>
        </w:rPr>
        <w:t xml:space="preserve"> 7.1</w:t>
      </w:r>
      <w:r w:rsidR="001216A1">
        <w:rPr>
          <w:rFonts w:ascii="Cambria" w:hAnsi="Cambria"/>
          <w:sz w:val="20"/>
          <w:szCs w:val="20"/>
          <w:lang w:val="es-ES"/>
        </w:rPr>
        <w:t>,</w:t>
      </w:r>
      <w:r w:rsidR="0014720C">
        <w:rPr>
          <w:rFonts w:ascii="Cambria" w:hAnsi="Cambria"/>
          <w:sz w:val="20"/>
          <w:szCs w:val="20"/>
          <w:lang w:val="es-ES"/>
        </w:rPr>
        <w:t xml:space="preserve"> 16,</w:t>
      </w:r>
      <w:r w:rsidR="001216A1">
        <w:rPr>
          <w:rFonts w:ascii="Cambria" w:hAnsi="Cambria"/>
          <w:sz w:val="20"/>
          <w:szCs w:val="20"/>
          <w:lang w:val="es-ES"/>
        </w:rPr>
        <w:t xml:space="preserve"> 8.1 y 25.1</w:t>
      </w:r>
      <w:r w:rsidR="00505FAA" w:rsidRPr="00505FAA">
        <w:rPr>
          <w:rFonts w:ascii="Cambria" w:hAnsi="Cambria"/>
          <w:sz w:val="20"/>
          <w:szCs w:val="20"/>
          <w:lang w:val="es-ES"/>
        </w:rPr>
        <w:t xml:space="preserve"> de la Convención Americana, en relación con el artículo 1.1 del mismo instrumento, en perjuicio de Alejandro Yovany Gómez Virula; y ii) la violación de los derechos a la integridad personal, garantías judiciales y protección judicial, establecidos en los artículos 5.1, 8.1 y 25.1 de la Convención Americana, en relación con el artículo 1.1 del mismo instrumento, en perjuicio de los padres del señor Gómez, Antonio Gómez y Paula Virula.</w:t>
      </w:r>
    </w:p>
    <w:p w:rsidR="00F165D2" w:rsidRPr="00BF3D11" w:rsidRDefault="00F165D2" w:rsidP="00053951">
      <w:pPr>
        <w:rPr>
          <w:rFonts w:ascii="Cambria" w:hAnsi="Cambria"/>
          <w:sz w:val="20"/>
          <w:szCs w:val="20"/>
          <w:lang w:val="es-ES_tradnl"/>
        </w:rPr>
      </w:pPr>
    </w:p>
    <w:p w:rsidR="00F165D2" w:rsidRPr="001216A1" w:rsidRDefault="00F165D2" w:rsidP="00996FA3">
      <w:pPr>
        <w:pStyle w:val="Heading1"/>
        <w:rPr>
          <w:lang w:val="es-CO"/>
        </w:rPr>
      </w:pPr>
      <w:bookmarkStart w:id="53" w:name="_Toc473188709"/>
      <w:bookmarkStart w:id="54" w:name="_GoBack"/>
      <w:bookmarkEnd w:id="54"/>
      <w:r w:rsidRPr="00BF3D11">
        <w:t>RECOMENDACIONES</w:t>
      </w:r>
      <w:bookmarkEnd w:id="53"/>
    </w:p>
    <w:p w:rsidR="00F165D2" w:rsidRPr="001216A1" w:rsidRDefault="00F165D2" w:rsidP="00053951">
      <w:pPr>
        <w:rPr>
          <w:rFonts w:ascii="Cambria" w:hAnsi="Cambria"/>
          <w:sz w:val="20"/>
          <w:szCs w:val="20"/>
          <w:lang w:val="es-CO"/>
        </w:rPr>
      </w:pPr>
    </w:p>
    <w:p w:rsidR="00A7089E" w:rsidRPr="00BF3D11" w:rsidRDefault="00A7089E" w:rsidP="000539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cs="Arial"/>
          <w:sz w:val="20"/>
          <w:szCs w:val="20"/>
          <w:lang w:val="es-AR"/>
        </w:rPr>
      </w:pPr>
      <w:r w:rsidRPr="00BF3D11">
        <w:rPr>
          <w:rFonts w:ascii="Cambria" w:hAnsi="Cambria" w:cs="Arial"/>
          <w:sz w:val="20"/>
          <w:szCs w:val="20"/>
          <w:lang w:val="es-AR"/>
        </w:rPr>
        <w:t xml:space="preserve">En virtud de las anteriores conclusiones, </w:t>
      </w:r>
    </w:p>
    <w:p w:rsidR="00A7089E" w:rsidRPr="00BF3D11" w:rsidRDefault="00A7089E" w:rsidP="00053951">
      <w:pPr>
        <w:ind w:firstLine="567"/>
        <w:jc w:val="both"/>
        <w:rPr>
          <w:rFonts w:ascii="Cambria" w:hAnsi="Cambria" w:cs="Arial"/>
          <w:sz w:val="20"/>
          <w:szCs w:val="20"/>
          <w:lang w:val="es-AR"/>
        </w:rPr>
      </w:pPr>
    </w:p>
    <w:p w:rsidR="00A7089E" w:rsidRPr="00BF3D11" w:rsidRDefault="00A7089E" w:rsidP="00053951">
      <w:pPr>
        <w:ind w:firstLine="567"/>
        <w:jc w:val="center"/>
        <w:rPr>
          <w:rFonts w:ascii="Cambria" w:hAnsi="Cambria" w:cs="Arial"/>
          <w:b/>
          <w:sz w:val="20"/>
          <w:szCs w:val="20"/>
          <w:lang w:val="es-AR"/>
        </w:rPr>
      </w:pPr>
      <w:r w:rsidRPr="00BF3D11">
        <w:rPr>
          <w:rFonts w:ascii="Cambria" w:hAnsi="Cambria" w:cs="Arial"/>
          <w:b/>
          <w:sz w:val="20"/>
          <w:szCs w:val="20"/>
          <w:lang w:val="es-AR"/>
        </w:rPr>
        <w:t>LA COMISIÓN INTERAMERICANA DE DERECHOS HUMANOS</w:t>
      </w:r>
    </w:p>
    <w:p w:rsidR="00A7089E" w:rsidRPr="00BF3D11" w:rsidRDefault="00A7089E" w:rsidP="00053951">
      <w:pPr>
        <w:ind w:firstLine="567"/>
        <w:jc w:val="center"/>
        <w:rPr>
          <w:rFonts w:ascii="Cambria" w:hAnsi="Cambria" w:cs="Arial"/>
          <w:b/>
          <w:sz w:val="20"/>
          <w:szCs w:val="20"/>
          <w:lang w:val="es-AR"/>
        </w:rPr>
      </w:pPr>
      <w:r w:rsidRPr="00BF3D11">
        <w:rPr>
          <w:rFonts w:ascii="Cambria" w:hAnsi="Cambria" w:cs="Arial"/>
          <w:b/>
          <w:sz w:val="20"/>
          <w:szCs w:val="20"/>
          <w:lang w:val="es-AR"/>
        </w:rPr>
        <w:t>RECOMIENDA AL ESTADO DE GUATEMALA,</w:t>
      </w:r>
    </w:p>
    <w:p w:rsidR="00A7089E" w:rsidRPr="00BF3D11" w:rsidRDefault="00A7089E" w:rsidP="00053951">
      <w:pPr>
        <w:tabs>
          <w:tab w:val="left" w:pos="360"/>
        </w:tabs>
        <w:ind w:firstLine="567"/>
        <w:jc w:val="both"/>
        <w:rPr>
          <w:rFonts w:ascii="Cambria" w:hAnsi="Cambria" w:cs="Arial"/>
          <w:sz w:val="20"/>
          <w:szCs w:val="20"/>
          <w:lang w:val="es-AR"/>
        </w:rPr>
      </w:pPr>
    </w:p>
    <w:p w:rsidR="00A7089E" w:rsidRPr="00BF3D11" w:rsidRDefault="00A7089E" w:rsidP="00053951">
      <w:pPr>
        <w:pStyle w:val="BodyText3"/>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1440"/>
        </w:tabs>
        <w:spacing w:after="0"/>
        <w:ind w:left="0" w:firstLine="720"/>
        <w:jc w:val="both"/>
        <w:rPr>
          <w:rFonts w:ascii="Cambria" w:hAnsi="Cambria"/>
          <w:sz w:val="20"/>
          <w:szCs w:val="20"/>
          <w:lang w:val="es-ES"/>
        </w:rPr>
      </w:pPr>
      <w:r w:rsidRPr="00BF3D11">
        <w:rPr>
          <w:rFonts w:ascii="Cambria" w:hAnsi="Cambria"/>
          <w:sz w:val="20"/>
          <w:szCs w:val="20"/>
          <w:lang w:val="es-ES"/>
        </w:rPr>
        <w:t xml:space="preserve"> Reparar integralmente las violaciones de derechos humanos declaradas en el presente informe tanto en el aspecto material como moral.</w:t>
      </w:r>
      <w:r w:rsidR="00606FE2" w:rsidRPr="00606FE2">
        <w:rPr>
          <w:rFonts w:ascii="Cambria" w:hAnsi="Cambria"/>
          <w:sz w:val="20"/>
          <w:szCs w:val="20"/>
          <w:lang w:val="es-ES"/>
        </w:rPr>
        <w:t xml:space="preserve"> </w:t>
      </w:r>
      <w:r w:rsidR="00606FE2" w:rsidRPr="004D216C">
        <w:rPr>
          <w:rFonts w:ascii="Cambria" w:hAnsi="Cambria"/>
          <w:sz w:val="20"/>
          <w:szCs w:val="20"/>
          <w:lang w:val="es-ES"/>
        </w:rPr>
        <w:t>El Estado deberá adoptar las me</w:t>
      </w:r>
      <w:r w:rsidR="00606FE2">
        <w:rPr>
          <w:rFonts w:ascii="Cambria" w:hAnsi="Cambria"/>
          <w:sz w:val="20"/>
          <w:szCs w:val="20"/>
          <w:lang w:val="es-ES"/>
        </w:rPr>
        <w:t>didas de compensación económica y</w:t>
      </w:r>
      <w:r w:rsidR="00606FE2" w:rsidRPr="004D216C">
        <w:rPr>
          <w:rFonts w:ascii="Cambria" w:hAnsi="Cambria"/>
          <w:sz w:val="20"/>
          <w:szCs w:val="20"/>
          <w:lang w:val="es-ES"/>
        </w:rPr>
        <w:t xml:space="preserve"> satisfacción del daño moral</w:t>
      </w:r>
      <w:r w:rsidR="00606FE2">
        <w:rPr>
          <w:rFonts w:ascii="Cambria" w:hAnsi="Cambria"/>
          <w:sz w:val="20"/>
          <w:szCs w:val="20"/>
          <w:lang w:val="es-ES"/>
        </w:rPr>
        <w:t xml:space="preserve">; así como de </w:t>
      </w:r>
      <w:r w:rsidR="00606FE2" w:rsidRPr="004D216C">
        <w:rPr>
          <w:rFonts w:ascii="Cambria" w:hAnsi="Cambria"/>
          <w:sz w:val="20"/>
          <w:szCs w:val="20"/>
          <w:lang w:val="es-ES"/>
        </w:rPr>
        <w:t>rehabilitación para los familiares que así lo deseen.</w:t>
      </w:r>
    </w:p>
    <w:p w:rsidR="00A7089E" w:rsidRPr="00BF3D11" w:rsidRDefault="00A7089E" w:rsidP="00053951">
      <w:pPr>
        <w:pStyle w:val="BodyText3"/>
        <w:tabs>
          <w:tab w:val="left" w:pos="1440"/>
        </w:tabs>
        <w:spacing w:after="0"/>
        <w:ind w:firstLine="720"/>
        <w:jc w:val="both"/>
        <w:rPr>
          <w:rFonts w:ascii="Cambria" w:hAnsi="Cambria"/>
          <w:sz w:val="20"/>
          <w:szCs w:val="20"/>
          <w:lang w:val="es-ES"/>
        </w:rPr>
      </w:pPr>
    </w:p>
    <w:p w:rsidR="00A7089E" w:rsidRPr="00BF3D11" w:rsidRDefault="00A7089E" w:rsidP="00053951">
      <w:pPr>
        <w:pStyle w:val="BodyText3"/>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1440"/>
        </w:tabs>
        <w:spacing w:after="0"/>
        <w:ind w:left="0" w:firstLine="720"/>
        <w:jc w:val="both"/>
        <w:rPr>
          <w:rFonts w:ascii="Cambria" w:hAnsi="Cambria"/>
          <w:sz w:val="20"/>
          <w:szCs w:val="20"/>
          <w:lang w:val="es-ES"/>
        </w:rPr>
      </w:pPr>
      <w:r w:rsidRPr="00BF3D11">
        <w:rPr>
          <w:rFonts w:ascii="Cambria" w:hAnsi="Cambria"/>
          <w:sz w:val="20"/>
          <w:szCs w:val="20"/>
          <w:lang w:val="es-ES"/>
        </w:rPr>
        <w:t xml:space="preserve"> Desarrollar y completar una investigación judicial imparcial, completa y efectiva, de manera expedita, con el objeto de establecer las circunstancias de la desaparición y </w:t>
      </w:r>
      <w:r w:rsidR="002C7D84" w:rsidRPr="00BF3D11">
        <w:rPr>
          <w:rFonts w:ascii="Cambria" w:hAnsi="Cambria"/>
          <w:sz w:val="20"/>
          <w:szCs w:val="20"/>
          <w:lang w:val="es-ES"/>
        </w:rPr>
        <w:t xml:space="preserve">muerte </w:t>
      </w:r>
      <w:r w:rsidRPr="00BF3D11">
        <w:rPr>
          <w:rFonts w:ascii="Cambria" w:hAnsi="Cambria"/>
          <w:sz w:val="20"/>
          <w:szCs w:val="20"/>
          <w:lang w:val="es-ES"/>
        </w:rPr>
        <w:t xml:space="preserve">de </w:t>
      </w:r>
      <w:r w:rsidR="00E15EE9" w:rsidRPr="00BF3D11">
        <w:rPr>
          <w:rFonts w:ascii="Cambria" w:hAnsi="Cambria"/>
          <w:sz w:val="20"/>
          <w:szCs w:val="20"/>
          <w:lang w:val="es-ES"/>
        </w:rPr>
        <w:t>Alejandro</w:t>
      </w:r>
      <w:r w:rsidRPr="00BF3D11">
        <w:rPr>
          <w:rFonts w:ascii="Cambria" w:hAnsi="Cambria"/>
          <w:sz w:val="20"/>
          <w:szCs w:val="20"/>
          <w:lang w:val="es-ES"/>
        </w:rPr>
        <w:t xml:space="preserve"> Yovany Gómez; explorar y agotar de manera exhaustiva las líneas lógicas de investigación en relación con el caso;  e identificar y sancionar a todas las personas que participaron en los hechos. </w:t>
      </w:r>
    </w:p>
    <w:p w:rsidR="00A7089E" w:rsidRPr="00BF3D11" w:rsidRDefault="00A7089E" w:rsidP="00053951">
      <w:pPr>
        <w:pStyle w:val="BodyText3"/>
        <w:tabs>
          <w:tab w:val="left" w:pos="1440"/>
        </w:tabs>
        <w:spacing w:after="0"/>
        <w:ind w:firstLine="720"/>
        <w:jc w:val="both"/>
        <w:rPr>
          <w:rFonts w:ascii="Cambria" w:hAnsi="Cambria"/>
          <w:sz w:val="20"/>
          <w:szCs w:val="20"/>
          <w:lang w:val="es-ES"/>
        </w:rPr>
      </w:pPr>
    </w:p>
    <w:p w:rsidR="00A7089E" w:rsidRPr="00BF3D11" w:rsidRDefault="00A7089E" w:rsidP="00053951">
      <w:pPr>
        <w:pStyle w:val="BodyText3"/>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1440"/>
        </w:tabs>
        <w:spacing w:after="0"/>
        <w:ind w:left="0" w:firstLine="720"/>
        <w:jc w:val="both"/>
        <w:rPr>
          <w:rFonts w:ascii="Cambria" w:hAnsi="Cambria"/>
          <w:sz w:val="20"/>
          <w:szCs w:val="20"/>
          <w:lang w:val="es-ES"/>
        </w:rPr>
      </w:pPr>
      <w:r w:rsidRPr="00BF3D11">
        <w:rPr>
          <w:rFonts w:ascii="Cambria" w:hAnsi="Cambria"/>
          <w:sz w:val="20"/>
          <w:szCs w:val="20"/>
          <w:lang w:val="es-ES"/>
        </w:rPr>
        <w:t xml:space="preserve"> Disponer las medidas administrativas, disciplinarias o penales correspondientes frente a las acciones u omisiones de los funcionarios estatales que contribuyeron a la denegación de justicia e impunidad en la que se encuentran los hechos del caso.</w:t>
      </w:r>
    </w:p>
    <w:p w:rsidR="00A7089E" w:rsidRPr="00BF3D11" w:rsidRDefault="00A7089E" w:rsidP="00053951">
      <w:pPr>
        <w:pStyle w:val="ColorfulList-Accent11"/>
        <w:tabs>
          <w:tab w:val="left" w:pos="1440"/>
        </w:tabs>
        <w:ind w:left="0" w:firstLine="720"/>
        <w:rPr>
          <w:rFonts w:ascii="Cambria" w:hAnsi="Cambria"/>
          <w:sz w:val="20"/>
          <w:szCs w:val="20"/>
          <w:lang w:val="es-ES"/>
        </w:rPr>
      </w:pPr>
    </w:p>
    <w:p w:rsidR="00A7089E" w:rsidRPr="00BF3D11" w:rsidRDefault="00A7089E" w:rsidP="00053951">
      <w:pPr>
        <w:pStyle w:val="BodyText3"/>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1440"/>
        </w:tabs>
        <w:spacing w:after="0"/>
        <w:ind w:left="0" w:firstLine="720"/>
        <w:jc w:val="both"/>
        <w:rPr>
          <w:rFonts w:ascii="Cambria" w:hAnsi="Cambria"/>
          <w:sz w:val="20"/>
          <w:szCs w:val="20"/>
          <w:lang w:val="es-ES"/>
        </w:rPr>
      </w:pPr>
      <w:r w:rsidRPr="00BF3D11">
        <w:rPr>
          <w:rFonts w:ascii="Cambria" w:hAnsi="Cambria"/>
          <w:sz w:val="20"/>
          <w:szCs w:val="20"/>
          <w:lang w:val="es-ES"/>
        </w:rPr>
        <w:t xml:space="preserve"> Implementar medidas de no repetición </w:t>
      </w:r>
      <w:r w:rsidR="0012687C" w:rsidRPr="00BF3D11">
        <w:rPr>
          <w:rFonts w:ascii="Cambria" w:hAnsi="Cambria"/>
          <w:sz w:val="20"/>
          <w:szCs w:val="20"/>
          <w:lang w:val="es-ES"/>
        </w:rPr>
        <w:t xml:space="preserve">que incluyan: i) las medidas necesarias para </w:t>
      </w:r>
      <w:r w:rsidRPr="00BF3D11">
        <w:rPr>
          <w:rFonts w:ascii="Cambria" w:hAnsi="Cambria"/>
          <w:sz w:val="20"/>
          <w:szCs w:val="20"/>
          <w:lang w:val="es-ES"/>
        </w:rPr>
        <w:t>asegurar que las investigaciones de denuncias de desaparición cumplan con los estándares establecidos en el presente informe</w:t>
      </w:r>
      <w:r w:rsidR="0012687C" w:rsidRPr="00BF3D11">
        <w:rPr>
          <w:rFonts w:ascii="Cambria" w:hAnsi="Cambria"/>
          <w:sz w:val="20"/>
          <w:szCs w:val="20"/>
          <w:lang w:val="es-ES"/>
        </w:rPr>
        <w:t xml:space="preserve"> en lo relativo al deber de respuesta inmediata para encontrar el paradero de la persona que </w:t>
      </w:r>
      <w:r w:rsidR="0012687C" w:rsidRPr="00BF3D11">
        <w:rPr>
          <w:rFonts w:ascii="Cambria" w:hAnsi="Cambria"/>
          <w:sz w:val="20"/>
          <w:szCs w:val="20"/>
          <w:lang w:val="es-ES"/>
        </w:rPr>
        <w:lastRenderedPageBreak/>
        <w:t>se denuncia como desaparecid</w:t>
      </w:r>
      <w:r w:rsidR="00137DCD" w:rsidRPr="00BF3D11">
        <w:rPr>
          <w:rFonts w:ascii="Cambria" w:hAnsi="Cambria"/>
          <w:sz w:val="20"/>
          <w:szCs w:val="20"/>
          <w:lang w:val="es-ES"/>
        </w:rPr>
        <w:t xml:space="preserve">a; ii) las medidas necesarias para asegurar que las investigaciones de muertes violentas cumplan con el deber de investigar con la debida diligencia en los términos descritos en el presente informe; y iii) las medidas necesarias para fortalecer la capacidad investigativa de muertes de defensores de derechos humanos en Guatemala, particularmente sindicalistas, posiblemente relacionadas con su actividad. </w:t>
      </w:r>
    </w:p>
    <w:p w:rsidR="00A7089E" w:rsidRPr="00BF3D11" w:rsidRDefault="00A7089E" w:rsidP="00053951">
      <w:pPr>
        <w:tabs>
          <w:tab w:val="left" w:pos="1440"/>
        </w:tabs>
        <w:ind w:firstLine="720"/>
        <w:jc w:val="both"/>
        <w:rPr>
          <w:rFonts w:ascii="Cambria" w:hAnsi="Cambria"/>
          <w:sz w:val="20"/>
          <w:szCs w:val="20"/>
          <w:lang w:val="es-ES"/>
        </w:rPr>
      </w:pPr>
    </w:p>
    <w:p w:rsidR="00A7089E" w:rsidRPr="00BF3D11" w:rsidRDefault="00A7089E" w:rsidP="00053951">
      <w:pPr>
        <w:tabs>
          <w:tab w:val="left" w:pos="1440"/>
          <w:tab w:val="center" w:pos="5400"/>
        </w:tabs>
        <w:suppressAutoHyphens/>
        <w:ind w:firstLine="720"/>
        <w:jc w:val="center"/>
        <w:rPr>
          <w:rFonts w:ascii="Cambria" w:hAnsi="Cambria" w:cs="Calibri"/>
          <w:color w:val="808080"/>
          <w:sz w:val="20"/>
          <w:szCs w:val="20"/>
          <w:lang w:val="es-SV"/>
        </w:rPr>
      </w:pPr>
    </w:p>
    <w:p w:rsidR="00F165D2" w:rsidRPr="00BF3D11" w:rsidRDefault="00F165D2" w:rsidP="00053951">
      <w:pPr>
        <w:tabs>
          <w:tab w:val="left" w:pos="1440"/>
        </w:tabs>
        <w:ind w:firstLine="720"/>
        <w:rPr>
          <w:rFonts w:ascii="Cambria" w:hAnsi="Cambria"/>
          <w:sz w:val="20"/>
          <w:szCs w:val="20"/>
          <w:lang w:val="es-SV"/>
        </w:rPr>
      </w:pPr>
    </w:p>
    <w:p w:rsidR="003161A0" w:rsidRPr="00C471EC" w:rsidRDefault="003161A0" w:rsidP="00A1090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sectPr w:rsidR="003161A0" w:rsidRPr="00C471E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F34" w:rsidRDefault="00054F34">
      <w:r>
        <w:separator/>
      </w:r>
    </w:p>
  </w:endnote>
  <w:endnote w:type="continuationSeparator" w:id="0">
    <w:p w:rsidR="00054F34" w:rsidRDefault="0005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Verdana"/>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34" w:rsidRPr="00934A2C" w:rsidRDefault="00054F3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14E14">
      <w:rPr>
        <w:noProof/>
        <w:sz w:val="16"/>
        <w:szCs w:val="22"/>
      </w:rPr>
      <w:t>26</w:t>
    </w:r>
    <w:r w:rsidRPr="00934A2C">
      <w:rPr>
        <w:noProof/>
        <w:sz w:val="16"/>
        <w:szCs w:val="22"/>
      </w:rPr>
      <w:fldChar w:fldCharType="end"/>
    </w:r>
  </w:p>
  <w:p w:rsidR="00054F34" w:rsidRDefault="00054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34" w:rsidRPr="00934A2C" w:rsidRDefault="00054F34">
    <w:pPr>
      <w:pStyle w:val="Footer"/>
      <w:jc w:val="center"/>
      <w:rPr>
        <w:sz w:val="16"/>
        <w:szCs w:val="22"/>
      </w:rPr>
    </w:pPr>
  </w:p>
  <w:p w:rsidR="00054F34" w:rsidRDefault="00054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F34" w:rsidRPr="007372D2" w:rsidRDefault="00054F34">
      <w:pPr>
        <w:rPr>
          <w:rFonts w:ascii="Cambria" w:hAnsi="Cambria"/>
          <w:sz w:val="16"/>
          <w:szCs w:val="16"/>
        </w:rPr>
      </w:pPr>
      <w:r w:rsidRPr="007372D2">
        <w:rPr>
          <w:rFonts w:ascii="Cambria" w:hAnsi="Cambria"/>
          <w:sz w:val="16"/>
          <w:szCs w:val="16"/>
        </w:rPr>
        <w:separator/>
      </w:r>
    </w:p>
  </w:footnote>
  <w:footnote w:type="continuationSeparator" w:id="0">
    <w:p w:rsidR="00054F34" w:rsidRPr="007372D2" w:rsidRDefault="00054F34" w:rsidP="000F35ED">
      <w:pPr>
        <w:rPr>
          <w:rFonts w:ascii="Cambria" w:hAnsi="Cambria"/>
          <w:sz w:val="16"/>
          <w:szCs w:val="16"/>
        </w:rPr>
      </w:pPr>
      <w:r w:rsidRPr="007372D2">
        <w:rPr>
          <w:rFonts w:ascii="Cambria" w:hAnsi="Cambria"/>
          <w:sz w:val="16"/>
          <w:szCs w:val="16"/>
        </w:rPr>
        <w:separator/>
      </w:r>
    </w:p>
    <w:p w:rsidR="00054F34" w:rsidRPr="007372D2" w:rsidRDefault="00054F34" w:rsidP="000F35ED">
      <w:pPr>
        <w:pStyle w:val="Footer"/>
        <w:rPr>
          <w:sz w:val="16"/>
          <w:szCs w:val="16"/>
        </w:rPr>
      </w:pPr>
      <w:r w:rsidRPr="007372D2">
        <w:rPr>
          <w:sz w:val="16"/>
          <w:szCs w:val="16"/>
        </w:rPr>
        <w:t>[… continuación]</w:t>
      </w:r>
    </w:p>
  </w:footnote>
  <w:footnote w:type="continuationNotice" w:id="1">
    <w:p w:rsidR="00054F34" w:rsidRPr="007372D2" w:rsidRDefault="00054F34" w:rsidP="000F35ED">
      <w:pPr>
        <w:jc w:val="right"/>
        <w:rPr>
          <w:rFonts w:ascii="Cambria" w:hAnsi="Cambria"/>
          <w:sz w:val="16"/>
          <w:szCs w:val="16"/>
          <w:lang w:val="es-ES"/>
        </w:rPr>
      </w:pPr>
      <w:r w:rsidRPr="007372D2">
        <w:rPr>
          <w:rFonts w:ascii="Cambria" w:hAnsi="Cambria"/>
          <w:sz w:val="16"/>
          <w:szCs w:val="16"/>
          <w:lang w:val="es-ES"/>
        </w:rPr>
        <w:t>[continúa…]</w:t>
      </w:r>
    </w:p>
  </w:footnote>
  <w:footnote w:id="2">
    <w:p w:rsidR="00054F34" w:rsidRPr="00054F34" w:rsidRDefault="00054F34" w:rsidP="00996FA3">
      <w:pPr>
        <w:pStyle w:val="FootnoteText"/>
        <w:tabs>
          <w:tab w:val="left" w:pos="720"/>
        </w:tabs>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Posteriormente, el Centro para la Acción Legal en Derechos Humanos (CALDH) se constituyó como peticionario. </w:t>
      </w:r>
    </w:p>
  </w:footnote>
  <w:footnote w:id="3">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CIDH, Informe No. 15/15, Petición 374-05. Trabajadores del Sindicato de Trabajadores de la Federación Nacional de Cafeteros de Colombia. Colombia. 24 de marzo de 2015, párr. </w:t>
      </w:r>
      <w:r w:rsidRPr="00054F34">
        <w:rPr>
          <w:rFonts w:asciiTheme="majorHAnsi" w:hAnsiTheme="majorHAnsi"/>
          <w:sz w:val="16"/>
          <w:szCs w:val="16"/>
          <w:lang w:val="es-CO"/>
        </w:rPr>
        <w:t>41.</w:t>
      </w:r>
      <w:r w:rsidRPr="00054F34">
        <w:rPr>
          <w:rFonts w:asciiTheme="majorHAnsi" w:hAnsiTheme="majorHAnsi"/>
          <w:sz w:val="16"/>
          <w:szCs w:val="16"/>
          <w:lang w:val="es-ES"/>
        </w:rPr>
        <w:t xml:space="preserve"> Asimismo</w:t>
      </w:r>
      <w:r w:rsidRPr="00054F34">
        <w:rPr>
          <w:rFonts w:asciiTheme="majorHAnsi" w:hAnsiTheme="majorHAnsi"/>
          <w:sz w:val="16"/>
          <w:szCs w:val="16"/>
          <w:lang w:val="es-CO"/>
        </w:rPr>
        <w:t xml:space="preserve">, véase: </w:t>
      </w:r>
      <w:r w:rsidRPr="00054F34">
        <w:rPr>
          <w:rStyle w:val="Strong"/>
          <w:rFonts w:asciiTheme="majorHAnsi" w:hAnsiTheme="majorHAnsi"/>
          <w:b w:val="0"/>
          <w:sz w:val="16"/>
          <w:szCs w:val="16"/>
          <w:shd w:val="clear" w:color="auto" w:fill="FFFFFF"/>
          <w:lang w:val="es-CO"/>
        </w:rPr>
        <w:t>Corte IDH.</w:t>
      </w:r>
      <w:r w:rsidRPr="00054F34">
        <w:rPr>
          <w:rStyle w:val="Strong"/>
          <w:rFonts w:asciiTheme="majorHAnsi" w:hAnsiTheme="majorHAnsi"/>
          <w:b w:val="0"/>
          <w:sz w:val="16"/>
          <w:szCs w:val="16"/>
          <w:shd w:val="clear" w:color="auto" w:fill="FFFFFF"/>
          <w:lang w:val="es-ES"/>
        </w:rPr>
        <w:t xml:space="preserve"> </w:t>
      </w:r>
      <w:r w:rsidRPr="00054F34">
        <w:rPr>
          <w:rStyle w:val="Strong"/>
          <w:rFonts w:asciiTheme="majorHAnsi" w:hAnsiTheme="majorHAnsi"/>
          <w:b w:val="0"/>
          <w:i/>
          <w:sz w:val="16"/>
          <w:szCs w:val="16"/>
          <w:shd w:val="clear" w:color="auto" w:fill="FFFFFF"/>
          <w:lang w:val="es-ES"/>
        </w:rPr>
        <w:t>Caso</w:t>
      </w:r>
      <w:r w:rsidRPr="00054F34">
        <w:rPr>
          <w:rStyle w:val="Strong"/>
          <w:rFonts w:asciiTheme="majorHAnsi" w:hAnsiTheme="majorHAnsi"/>
          <w:b w:val="0"/>
          <w:i/>
          <w:sz w:val="16"/>
          <w:szCs w:val="16"/>
          <w:shd w:val="clear" w:color="auto" w:fill="FFFFFF"/>
          <w:lang w:val="es-CO"/>
        </w:rPr>
        <w:t xml:space="preserve"> Wong Ho Wing Vs. Perú.</w:t>
      </w:r>
      <w:r w:rsidRPr="00054F34">
        <w:rPr>
          <w:rStyle w:val="Strong"/>
          <w:rFonts w:asciiTheme="majorHAnsi" w:hAnsiTheme="majorHAnsi"/>
          <w:b w:val="0"/>
          <w:sz w:val="16"/>
          <w:szCs w:val="16"/>
          <w:shd w:val="clear" w:color="auto" w:fill="FFFFFF"/>
          <w:lang w:val="es-CO"/>
        </w:rPr>
        <w:t xml:space="preserve"> </w:t>
      </w:r>
      <w:r w:rsidRPr="00054F34">
        <w:rPr>
          <w:rStyle w:val="Strong"/>
          <w:rFonts w:asciiTheme="majorHAnsi" w:hAnsiTheme="majorHAnsi"/>
          <w:b w:val="0"/>
          <w:sz w:val="16"/>
          <w:szCs w:val="16"/>
          <w:shd w:val="clear" w:color="auto" w:fill="FFFFFF"/>
          <w:lang w:val="es-ES"/>
        </w:rPr>
        <w:t>Excepción Preliminar, Fondo, Reparaciones y Costas. Sentencia de 30 de junio de 2015. Serie C No. 297, párr. 25.</w:t>
      </w:r>
    </w:p>
  </w:footnote>
  <w:footnote w:id="4">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Si bien el Estado en escrito posterior indicó que no existían registros de investigación alguna, tomando en cuenta el resto de la información aportada por las partes, la CIDH entiende que sí se inició una investigación y que fue archivada bajo el argumento sobre falta de pruebas. </w:t>
      </w:r>
    </w:p>
  </w:footnote>
  <w:footnote w:id="5">
    <w:p w:rsidR="00054F34" w:rsidRPr="00054F34" w:rsidRDefault="00054F34" w:rsidP="00996FA3">
      <w:pPr>
        <w:pStyle w:val="FootnoteText"/>
        <w:spacing w:after="120"/>
        <w:ind w:firstLine="720"/>
        <w:jc w:val="both"/>
        <w:rPr>
          <w:rFonts w:asciiTheme="majorHAnsi" w:hAnsiTheme="majorHAnsi"/>
          <w:sz w:val="16"/>
          <w:szCs w:val="16"/>
          <w:lang w:val="es-ES_tradnl"/>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Pr>
          <w:rFonts w:asciiTheme="majorHAnsi" w:hAnsiTheme="majorHAnsi"/>
          <w:sz w:val="16"/>
          <w:szCs w:val="16"/>
          <w:lang w:val="es-ES"/>
        </w:rPr>
        <w:t xml:space="preserve">Anexo 1. </w:t>
      </w:r>
      <w:r w:rsidRPr="00054F34">
        <w:rPr>
          <w:rFonts w:asciiTheme="majorHAnsi" w:hAnsiTheme="majorHAnsi"/>
          <w:sz w:val="16"/>
          <w:szCs w:val="16"/>
          <w:lang w:val="es-ES_tradnl"/>
        </w:rPr>
        <w:t>Comunicación de los peticionarios de 24 de noviembre de 2003.</w:t>
      </w:r>
    </w:p>
  </w:footnote>
  <w:footnote w:id="6">
    <w:p w:rsidR="00054F34" w:rsidRPr="00054F34" w:rsidRDefault="00054F34" w:rsidP="00996FA3">
      <w:pPr>
        <w:pStyle w:val="FootnoteText"/>
        <w:spacing w:after="120"/>
        <w:ind w:firstLine="720"/>
        <w:jc w:val="both"/>
        <w:rPr>
          <w:rFonts w:asciiTheme="majorHAnsi" w:hAnsiTheme="majorHAnsi"/>
          <w:sz w:val="16"/>
          <w:szCs w:val="16"/>
          <w:lang w:val="es-ES_tradnl"/>
        </w:rPr>
      </w:pPr>
      <w:r w:rsidRPr="00054F34">
        <w:rPr>
          <w:rStyle w:val="FootnoteReference"/>
          <w:rFonts w:asciiTheme="majorHAnsi" w:hAnsiTheme="majorHAnsi"/>
          <w:sz w:val="16"/>
          <w:szCs w:val="16"/>
        </w:rPr>
        <w:footnoteRef/>
      </w:r>
      <w:r w:rsidRPr="00054F34">
        <w:rPr>
          <w:rFonts w:ascii="Cambria" w:hAnsi="Cambria"/>
          <w:sz w:val="16"/>
          <w:szCs w:val="16"/>
          <w:lang w:val="es-ES"/>
        </w:rPr>
        <w:t xml:space="preserve"> Anexo 1. </w:t>
      </w:r>
      <w:r w:rsidRPr="00054F34">
        <w:rPr>
          <w:rFonts w:asciiTheme="majorHAnsi" w:hAnsiTheme="majorHAnsi"/>
          <w:sz w:val="16"/>
          <w:szCs w:val="16"/>
          <w:lang w:val="es-ES_tradnl"/>
        </w:rPr>
        <w:t>Comunicación de los peticionarios de 24 de noviembre de 2003.</w:t>
      </w:r>
    </w:p>
  </w:footnote>
  <w:footnote w:id="7">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Pr>
          <w:rFonts w:asciiTheme="majorHAnsi" w:hAnsiTheme="majorHAnsi"/>
          <w:sz w:val="16"/>
          <w:szCs w:val="16"/>
          <w:lang w:val="es-ES"/>
        </w:rPr>
        <w:t xml:space="preserve">Anexo 2. </w:t>
      </w:r>
      <w:r w:rsidRPr="00054F34">
        <w:rPr>
          <w:rFonts w:asciiTheme="majorHAnsi" w:hAnsiTheme="majorHAnsi"/>
          <w:sz w:val="16"/>
          <w:szCs w:val="16"/>
          <w:lang w:val="es-ES"/>
        </w:rPr>
        <w:t xml:space="preserve">Petición inicial. </w:t>
      </w:r>
    </w:p>
  </w:footnote>
  <w:footnote w:id="8">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2. </w:t>
      </w:r>
      <w:r w:rsidRPr="00054F34">
        <w:rPr>
          <w:rFonts w:asciiTheme="majorHAnsi" w:hAnsiTheme="majorHAnsi"/>
          <w:sz w:val="16"/>
          <w:szCs w:val="16"/>
          <w:lang w:val="es-ES"/>
        </w:rPr>
        <w:t xml:space="preserve">Petición inicial. </w:t>
      </w:r>
    </w:p>
  </w:footnote>
  <w:footnote w:id="9">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2. </w:t>
      </w:r>
      <w:r w:rsidRPr="00054F34">
        <w:rPr>
          <w:rFonts w:asciiTheme="majorHAnsi" w:hAnsiTheme="majorHAnsi"/>
          <w:sz w:val="16"/>
          <w:szCs w:val="16"/>
          <w:lang w:val="es-ES"/>
        </w:rPr>
        <w:t xml:space="preserve">Petición inicial. </w:t>
      </w:r>
    </w:p>
  </w:footnote>
  <w:footnote w:id="10">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2. </w:t>
      </w:r>
      <w:r w:rsidRPr="00054F34">
        <w:rPr>
          <w:rFonts w:asciiTheme="majorHAnsi" w:hAnsiTheme="majorHAnsi"/>
          <w:sz w:val="16"/>
          <w:szCs w:val="16"/>
          <w:lang w:val="es-ES"/>
        </w:rPr>
        <w:t xml:space="preserve">Petición inicial. </w:t>
      </w:r>
    </w:p>
  </w:footnote>
  <w:footnote w:id="11">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2. </w:t>
      </w:r>
      <w:r w:rsidRPr="00054F34">
        <w:rPr>
          <w:rFonts w:asciiTheme="majorHAnsi" w:hAnsiTheme="majorHAnsi"/>
          <w:sz w:val="16"/>
          <w:szCs w:val="16"/>
          <w:lang w:val="es-ES"/>
        </w:rPr>
        <w:t xml:space="preserve">Petición inicial. </w:t>
      </w:r>
    </w:p>
  </w:footnote>
  <w:footnote w:id="12">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2. </w:t>
      </w:r>
      <w:r w:rsidRPr="00054F34">
        <w:rPr>
          <w:rFonts w:asciiTheme="majorHAnsi" w:hAnsiTheme="majorHAnsi"/>
          <w:sz w:val="16"/>
          <w:szCs w:val="16"/>
          <w:lang w:val="es-ES"/>
        </w:rPr>
        <w:t xml:space="preserve">Petición inicial. </w:t>
      </w:r>
    </w:p>
  </w:footnote>
  <w:footnote w:id="13">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2. </w:t>
      </w:r>
      <w:r w:rsidRPr="00054F34">
        <w:rPr>
          <w:rFonts w:asciiTheme="majorHAnsi" w:hAnsiTheme="majorHAnsi"/>
          <w:sz w:val="16"/>
          <w:szCs w:val="16"/>
          <w:lang w:val="es-ES"/>
        </w:rPr>
        <w:t xml:space="preserve">Petición inicial. </w:t>
      </w:r>
    </w:p>
  </w:footnote>
  <w:footnote w:id="14">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2. </w:t>
      </w:r>
      <w:r w:rsidRPr="00054F34">
        <w:rPr>
          <w:rFonts w:asciiTheme="majorHAnsi" w:hAnsiTheme="majorHAnsi"/>
          <w:sz w:val="16"/>
          <w:szCs w:val="16"/>
          <w:lang w:val="es-ES"/>
        </w:rPr>
        <w:t xml:space="preserve">Petición inicial. </w:t>
      </w:r>
    </w:p>
  </w:footnote>
  <w:footnote w:id="15">
    <w:p w:rsidR="00054F34" w:rsidRPr="00054F34" w:rsidRDefault="00054F34" w:rsidP="00996FA3">
      <w:pPr>
        <w:pStyle w:val="FootnoteText"/>
        <w:tabs>
          <w:tab w:val="left" w:pos="720"/>
        </w:tabs>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Pr>
          <w:rFonts w:asciiTheme="majorHAnsi" w:hAnsiTheme="majorHAnsi"/>
          <w:sz w:val="16"/>
          <w:szCs w:val="16"/>
          <w:lang w:val="es-ES"/>
        </w:rPr>
        <w:t xml:space="preserve">Anexo 3. </w:t>
      </w:r>
      <w:r w:rsidRPr="00054F34">
        <w:rPr>
          <w:rFonts w:asciiTheme="majorHAnsi" w:hAnsiTheme="majorHAnsi"/>
          <w:sz w:val="16"/>
          <w:szCs w:val="16"/>
          <w:lang w:val="es-ES"/>
        </w:rPr>
        <w:t>Comunicación de la Unión Sindical de Trabajadores de Guatemala. Anexo C a la petición inicial.</w:t>
      </w:r>
    </w:p>
  </w:footnote>
  <w:footnote w:id="16">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2. </w:t>
      </w:r>
      <w:r w:rsidRPr="00054F34">
        <w:rPr>
          <w:rFonts w:asciiTheme="majorHAnsi" w:hAnsiTheme="majorHAnsi"/>
          <w:sz w:val="16"/>
          <w:szCs w:val="16"/>
          <w:lang w:val="es-ES"/>
        </w:rPr>
        <w:t xml:space="preserve">Petición inicial. </w:t>
      </w:r>
    </w:p>
  </w:footnote>
  <w:footnote w:id="17">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2. </w:t>
      </w:r>
      <w:r w:rsidRPr="00054F34">
        <w:rPr>
          <w:rFonts w:asciiTheme="majorHAnsi" w:hAnsiTheme="majorHAnsi"/>
          <w:sz w:val="16"/>
          <w:szCs w:val="16"/>
          <w:lang w:val="es-ES"/>
        </w:rPr>
        <w:t xml:space="preserve">Petición inicial. </w:t>
      </w:r>
    </w:p>
  </w:footnote>
  <w:footnote w:id="18">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2. </w:t>
      </w:r>
      <w:r w:rsidRPr="00054F34">
        <w:rPr>
          <w:rFonts w:asciiTheme="majorHAnsi" w:hAnsiTheme="majorHAnsi"/>
          <w:sz w:val="16"/>
          <w:szCs w:val="16"/>
          <w:lang w:val="es-ES"/>
        </w:rPr>
        <w:t xml:space="preserve">Petición inicial. </w:t>
      </w:r>
    </w:p>
  </w:footnote>
  <w:footnote w:id="19">
    <w:p w:rsidR="00054F34" w:rsidRPr="00054F34" w:rsidRDefault="00054F34" w:rsidP="00996FA3">
      <w:pPr>
        <w:pStyle w:val="FootnoteText"/>
        <w:tabs>
          <w:tab w:val="left" w:pos="720"/>
        </w:tabs>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3. </w:t>
      </w:r>
      <w:r w:rsidRPr="00054F34">
        <w:rPr>
          <w:rFonts w:asciiTheme="majorHAnsi" w:hAnsiTheme="majorHAnsi"/>
          <w:sz w:val="16"/>
          <w:szCs w:val="16"/>
          <w:lang w:val="es-ES"/>
        </w:rPr>
        <w:t>Comunicación de la Unión Sindical de Trabajadores de Guatemala. Anexo C a la petición inicial.</w:t>
      </w:r>
    </w:p>
  </w:footnote>
  <w:footnote w:id="20">
    <w:p w:rsidR="00054F34" w:rsidRPr="00054F34" w:rsidRDefault="00054F34" w:rsidP="00996FA3">
      <w:pPr>
        <w:pStyle w:val="FootnoteText"/>
        <w:tabs>
          <w:tab w:val="left" w:pos="720"/>
        </w:tabs>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3. </w:t>
      </w:r>
      <w:r w:rsidRPr="00054F34">
        <w:rPr>
          <w:rFonts w:asciiTheme="majorHAnsi" w:hAnsiTheme="majorHAnsi"/>
          <w:sz w:val="16"/>
          <w:szCs w:val="16"/>
          <w:lang w:val="es-ES"/>
        </w:rPr>
        <w:t>Comunicación de la Unión Sindical de Trabajadores de Guatemala. Anexo C a la petición inicial.</w:t>
      </w:r>
    </w:p>
  </w:footnote>
  <w:footnote w:id="21">
    <w:p w:rsidR="00054F34" w:rsidRPr="00054F34" w:rsidRDefault="00054F34" w:rsidP="00996FA3">
      <w:pPr>
        <w:pStyle w:val="FootnoteText"/>
        <w:tabs>
          <w:tab w:val="left" w:pos="720"/>
        </w:tabs>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D818FC">
        <w:rPr>
          <w:rFonts w:ascii="Cambria" w:hAnsi="Cambria"/>
          <w:sz w:val="16"/>
          <w:szCs w:val="16"/>
          <w:lang w:val="es-ES"/>
        </w:rPr>
        <w:t xml:space="preserve"> </w:t>
      </w:r>
      <w:r w:rsidRPr="00054F34">
        <w:rPr>
          <w:rFonts w:ascii="Cambria" w:hAnsi="Cambria"/>
          <w:sz w:val="16"/>
          <w:szCs w:val="16"/>
          <w:lang w:val="es-ES"/>
        </w:rPr>
        <w:t xml:space="preserve">Anexo 3. </w:t>
      </w:r>
      <w:r w:rsidRPr="00054F34">
        <w:rPr>
          <w:rFonts w:asciiTheme="majorHAnsi" w:hAnsiTheme="majorHAnsi"/>
          <w:sz w:val="16"/>
          <w:szCs w:val="16"/>
          <w:lang w:val="es-ES"/>
        </w:rPr>
        <w:t xml:space="preserve"> Comunicación de la Unión Sindical de Trabajadores de Guatemala. Anexo C a la petición inicial.</w:t>
      </w:r>
    </w:p>
  </w:footnote>
  <w:footnote w:id="22">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3. </w:t>
      </w:r>
      <w:r w:rsidRPr="00054F34">
        <w:rPr>
          <w:rFonts w:asciiTheme="majorHAnsi" w:hAnsiTheme="majorHAnsi"/>
          <w:sz w:val="16"/>
          <w:szCs w:val="16"/>
          <w:lang w:val="es-ES"/>
        </w:rPr>
        <w:t xml:space="preserve">Comunicación de la Unión Sindical de Trabajadores de Guatemala, de 17 de marzo de 1995. Anexo a la petición inicial. </w:t>
      </w:r>
    </w:p>
  </w:footnote>
  <w:footnote w:id="23">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2. </w:t>
      </w:r>
      <w:r w:rsidRPr="00054F34">
        <w:rPr>
          <w:rFonts w:asciiTheme="majorHAnsi" w:hAnsiTheme="majorHAnsi"/>
          <w:sz w:val="16"/>
          <w:szCs w:val="16"/>
          <w:lang w:val="es-ES"/>
        </w:rPr>
        <w:t xml:space="preserve">Petición inicial. </w:t>
      </w:r>
    </w:p>
  </w:footnote>
  <w:footnote w:id="24">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2. </w:t>
      </w:r>
      <w:r w:rsidRPr="00054F34">
        <w:rPr>
          <w:rFonts w:asciiTheme="majorHAnsi" w:hAnsiTheme="majorHAnsi"/>
          <w:sz w:val="16"/>
          <w:szCs w:val="16"/>
          <w:lang w:val="es-ES"/>
        </w:rPr>
        <w:t>Petición inicial.</w:t>
      </w:r>
    </w:p>
  </w:footnote>
  <w:footnote w:id="25">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2. </w:t>
      </w:r>
      <w:r w:rsidRPr="00054F34">
        <w:rPr>
          <w:rFonts w:asciiTheme="majorHAnsi" w:hAnsiTheme="majorHAnsi"/>
          <w:sz w:val="16"/>
          <w:szCs w:val="16"/>
          <w:lang w:val="es-ES"/>
        </w:rPr>
        <w:t xml:space="preserve">Petición inicial. </w:t>
      </w:r>
    </w:p>
  </w:footnote>
  <w:footnote w:id="26">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2. </w:t>
      </w:r>
      <w:r w:rsidRPr="00054F34">
        <w:rPr>
          <w:rFonts w:asciiTheme="majorHAnsi" w:hAnsiTheme="majorHAnsi"/>
          <w:sz w:val="16"/>
          <w:szCs w:val="16"/>
          <w:lang w:val="es-ES"/>
        </w:rPr>
        <w:t xml:space="preserve">Petición inicial. </w:t>
      </w:r>
    </w:p>
  </w:footnote>
  <w:footnote w:id="27">
    <w:p w:rsidR="00054F34" w:rsidRPr="00054F34" w:rsidRDefault="00054F34" w:rsidP="00996FA3">
      <w:pPr>
        <w:pStyle w:val="FootnoteText"/>
        <w:tabs>
          <w:tab w:val="left" w:pos="720"/>
        </w:tabs>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3. </w:t>
      </w:r>
      <w:r w:rsidRPr="00054F34">
        <w:rPr>
          <w:rFonts w:asciiTheme="majorHAnsi" w:hAnsiTheme="majorHAnsi"/>
          <w:sz w:val="16"/>
          <w:szCs w:val="16"/>
          <w:lang w:val="es-ES"/>
        </w:rPr>
        <w:t>Comunicado de la Oficina de Derechos Humanos del Arzobispado de Guatemala, de 20 de marzo de 1995. Anexo a la petición inicial.</w:t>
      </w:r>
    </w:p>
  </w:footnote>
  <w:footnote w:id="28">
    <w:p w:rsidR="00054F34" w:rsidRPr="00054F34" w:rsidRDefault="00054F34" w:rsidP="00996FA3">
      <w:pPr>
        <w:pStyle w:val="FootnoteText"/>
        <w:tabs>
          <w:tab w:val="left" w:pos="720"/>
        </w:tabs>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3. </w:t>
      </w:r>
      <w:r w:rsidRPr="00054F34">
        <w:rPr>
          <w:rFonts w:asciiTheme="majorHAnsi" w:hAnsiTheme="majorHAnsi"/>
          <w:sz w:val="16"/>
          <w:szCs w:val="16"/>
          <w:lang w:val="es-ES"/>
        </w:rPr>
        <w:t>Comunicado de la Oficina de Derechos Humanos del Arzobispado de Guatemala. Anexo 1 a la petición inicial.</w:t>
      </w:r>
    </w:p>
  </w:footnote>
  <w:footnote w:id="29">
    <w:p w:rsidR="00054F34" w:rsidRPr="00054F34" w:rsidRDefault="00054F34" w:rsidP="00996FA3">
      <w:pPr>
        <w:pStyle w:val="FootnoteText"/>
        <w:tabs>
          <w:tab w:val="left" w:pos="720"/>
        </w:tabs>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3. </w:t>
      </w:r>
      <w:r w:rsidRPr="00054F34">
        <w:rPr>
          <w:rFonts w:asciiTheme="majorHAnsi" w:hAnsiTheme="majorHAnsi"/>
          <w:sz w:val="16"/>
          <w:szCs w:val="16"/>
          <w:lang w:val="es-ES"/>
        </w:rPr>
        <w:t>Comunicado de la Oficina de Derechos Humanos del Arzobispado de Guatemala. Anexo 1 a la petición inicial.</w:t>
      </w:r>
    </w:p>
  </w:footnote>
  <w:footnote w:id="30">
    <w:p w:rsidR="00054F34" w:rsidRPr="00054F34" w:rsidRDefault="00054F34" w:rsidP="00996FA3">
      <w:pPr>
        <w:pStyle w:val="FootnoteText"/>
        <w:spacing w:after="120"/>
        <w:ind w:firstLine="720"/>
        <w:jc w:val="both"/>
        <w:rPr>
          <w:rFonts w:asciiTheme="majorHAnsi" w:hAnsiTheme="majorHAnsi"/>
          <w:sz w:val="16"/>
          <w:szCs w:val="16"/>
          <w:lang w:val="es-ES_tradnl"/>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1. </w:t>
      </w:r>
      <w:r w:rsidRPr="00054F34">
        <w:rPr>
          <w:rFonts w:asciiTheme="majorHAnsi" w:hAnsiTheme="majorHAnsi"/>
          <w:sz w:val="16"/>
          <w:szCs w:val="16"/>
          <w:lang w:val="es-ES_tradnl"/>
        </w:rPr>
        <w:t>Comunicación de los peticionarios de 24 de noviembre de 2003.</w:t>
      </w:r>
    </w:p>
  </w:footnote>
  <w:footnote w:id="31">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2. </w:t>
      </w:r>
      <w:r w:rsidRPr="00054F34">
        <w:rPr>
          <w:rFonts w:asciiTheme="majorHAnsi" w:hAnsiTheme="majorHAnsi"/>
          <w:sz w:val="16"/>
          <w:szCs w:val="16"/>
          <w:lang w:val="es-ES"/>
        </w:rPr>
        <w:t xml:space="preserve">Petición inicial. </w:t>
      </w:r>
    </w:p>
  </w:footnote>
  <w:footnote w:id="32">
    <w:p w:rsidR="00054F34" w:rsidRPr="00054F34" w:rsidRDefault="00054F34" w:rsidP="00996FA3">
      <w:pPr>
        <w:pStyle w:val="FootnoteText"/>
        <w:spacing w:after="120"/>
        <w:ind w:firstLine="720"/>
        <w:jc w:val="both"/>
        <w:rPr>
          <w:rFonts w:asciiTheme="majorHAnsi" w:hAnsiTheme="majorHAnsi"/>
          <w:sz w:val="16"/>
          <w:szCs w:val="16"/>
          <w:lang w:val="es-ES_tradnl"/>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1. </w:t>
      </w:r>
      <w:r w:rsidRPr="00054F34">
        <w:rPr>
          <w:rFonts w:asciiTheme="majorHAnsi" w:hAnsiTheme="majorHAnsi"/>
          <w:sz w:val="16"/>
          <w:szCs w:val="16"/>
          <w:lang w:val="es-ES_tradnl"/>
        </w:rPr>
        <w:t>Comunicación de los peticionarios de 24 de noviembre de 2003.</w:t>
      </w:r>
    </w:p>
  </w:footnote>
  <w:footnote w:id="33">
    <w:p w:rsidR="00054F34" w:rsidRPr="00054F34" w:rsidRDefault="00054F34" w:rsidP="00996FA3">
      <w:pPr>
        <w:pStyle w:val="FootnoteText"/>
        <w:spacing w:after="120"/>
        <w:ind w:firstLine="720"/>
        <w:jc w:val="both"/>
        <w:rPr>
          <w:rFonts w:asciiTheme="majorHAnsi" w:hAnsiTheme="majorHAnsi"/>
          <w:sz w:val="16"/>
          <w:szCs w:val="16"/>
          <w:lang w:val="es-ES_tradnl"/>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1. </w:t>
      </w:r>
      <w:r w:rsidRPr="00054F34">
        <w:rPr>
          <w:rFonts w:asciiTheme="majorHAnsi" w:hAnsiTheme="majorHAnsi"/>
          <w:sz w:val="16"/>
          <w:szCs w:val="16"/>
          <w:lang w:val="es-ES_tradnl"/>
        </w:rPr>
        <w:t xml:space="preserve">Comunicación de los peticionarios de 24 de noviembre de 2003. </w:t>
      </w:r>
      <w:r>
        <w:rPr>
          <w:rFonts w:asciiTheme="majorHAnsi" w:hAnsiTheme="majorHAnsi"/>
          <w:sz w:val="16"/>
          <w:szCs w:val="16"/>
          <w:lang w:val="es-ES_tradnl"/>
        </w:rPr>
        <w:t xml:space="preserve">Anexo 2. </w:t>
      </w:r>
      <w:r w:rsidRPr="00054F34">
        <w:rPr>
          <w:rFonts w:asciiTheme="majorHAnsi" w:hAnsiTheme="majorHAnsi"/>
          <w:sz w:val="16"/>
          <w:szCs w:val="16"/>
          <w:lang w:val="es-ES_tradnl"/>
        </w:rPr>
        <w:t>Petición inicial.</w:t>
      </w:r>
    </w:p>
  </w:footnote>
  <w:footnote w:id="34">
    <w:p w:rsidR="00054F34" w:rsidRPr="00054F34" w:rsidRDefault="00054F34" w:rsidP="00996FA3">
      <w:pPr>
        <w:pStyle w:val="FootnoteText"/>
        <w:spacing w:after="120"/>
        <w:ind w:firstLine="720"/>
        <w:jc w:val="both"/>
        <w:rPr>
          <w:rFonts w:asciiTheme="majorHAnsi" w:hAnsiTheme="majorHAnsi"/>
          <w:sz w:val="16"/>
          <w:szCs w:val="16"/>
          <w:lang w:val="es-ES_tradnl"/>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1. </w:t>
      </w:r>
      <w:r w:rsidRPr="00054F34">
        <w:rPr>
          <w:rFonts w:asciiTheme="majorHAnsi" w:hAnsiTheme="majorHAnsi"/>
          <w:sz w:val="16"/>
          <w:szCs w:val="16"/>
          <w:lang w:val="es-ES_tradnl"/>
        </w:rPr>
        <w:t>Comunicación de los peticionarios de 24 de noviembre de 2003.</w:t>
      </w:r>
    </w:p>
  </w:footnote>
  <w:footnote w:id="35">
    <w:p w:rsidR="00054F34" w:rsidRPr="00054F34" w:rsidRDefault="00054F34" w:rsidP="00996FA3">
      <w:pPr>
        <w:pStyle w:val="FootnoteText"/>
        <w:spacing w:after="120"/>
        <w:ind w:firstLine="720"/>
        <w:jc w:val="both"/>
        <w:rPr>
          <w:rFonts w:asciiTheme="majorHAnsi" w:hAnsiTheme="majorHAnsi"/>
          <w:sz w:val="16"/>
          <w:szCs w:val="16"/>
          <w:lang w:val="es-ES_tradnl"/>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1. </w:t>
      </w:r>
      <w:r w:rsidRPr="00054F34">
        <w:rPr>
          <w:rFonts w:asciiTheme="majorHAnsi" w:hAnsiTheme="majorHAnsi"/>
          <w:sz w:val="16"/>
          <w:szCs w:val="16"/>
          <w:lang w:val="es-ES_tradnl"/>
        </w:rPr>
        <w:t>Comunicación de los peticionarios de 24 de noviembre de 2003.</w:t>
      </w:r>
    </w:p>
  </w:footnote>
  <w:footnote w:id="36">
    <w:p w:rsidR="00054F34" w:rsidRPr="00054F34" w:rsidRDefault="00054F34" w:rsidP="00996FA3">
      <w:pPr>
        <w:pStyle w:val="FootnoteText"/>
        <w:spacing w:after="120"/>
        <w:ind w:firstLine="720"/>
        <w:jc w:val="both"/>
        <w:rPr>
          <w:rFonts w:asciiTheme="majorHAnsi" w:hAnsiTheme="majorHAnsi"/>
          <w:sz w:val="16"/>
          <w:szCs w:val="16"/>
          <w:lang w:val="es-ES_tradnl"/>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1. </w:t>
      </w:r>
      <w:r w:rsidRPr="00054F34">
        <w:rPr>
          <w:rFonts w:asciiTheme="majorHAnsi" w:hAnsiTheme="majorHAnsi"/>
          <w:sz w:val="16"/>
          <w:szCs w:val="16"/>
          <w:lang w:val="es-ES_tradnl"/>
        </w:rPr>
        <w:t>Comunicación de los peticionarios de 24 de noviembre de 2003.</w:t>
      </w:r>
    </w:p>
  </w:footnote>
  <w:footnote w:id="37">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2. </w:t>
      </w:r>
      <w:r w:rsidRPr="00054F34">
        <w:rPr>
          <w:rFonts w:asciiTheme="majorHAnsi" w:hAnsiTheme="majorHAnsi"/>
          <w:sz w:val="16"/>
          <w:szCs w:val="16"/>
          <w:lang w:val="es-ES"/>
        </w:rPr>
        <w:t xml:space="preserve">Petición inicial. </w:t>
      </w:r>
    </w:p>
  </w:footnote>
  <w:footnote w:id="38">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Pr>
          <w:rFonts w:asciiTheme="majorHAnsi" w:hAnsiTheme="majorHAnsi"/>
          <w:sz w:val="16"/>
          <w:szCs w:val="16"/>
          <w:lang w:val="es-ES"/>
        </w:rPr>
        <w:t xml:space="preserve">Anexo 4. </w:t>
      </w:r>
      <w:r w:rsidRPr="00054F34">
        <w:rPr>
          <w:rFonts w:asciiTheme="majorHAnsi" w:hAnsiTheme="majorHAnsi"/>
          <w:sz w:val="16"/>
          <w:szCs w:val="16"/>
          <w:lang w:val="es-ES"/>
        </w:rPr>
        <w:t xml:space="preserve">Comunicación del Estado de </w:t>
      </w:r>
      <w:r w:rsidRPr="00054F34">
        <w:rPr>
          <w:rFonts w:asciiTheme="majorHAnsi" w:hAnsiTheme="majorHAnsi"/>
          <w:sz w:val="16"/>
          <w:szCs w:val="16"/>
          <w:lang w:val="es-ES_tradnl"/>
        </w:rPr>
        <w:t>11 de diciembre de 2006.</w:t>
      </w:r>
    </w:p>
  </w:footnote>
  <w:footnote w:id="39">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Pr>
          <w:rFonts w:asciiTheme="majorHAnsi" w:hAnsiTheme="majorHAnsi"/>
          <w:sz w:val="16"/>
          <w:szCs w:val="16"/>
          <w:lang w:val="es-ES"/>
        </w:rPr>
        <w:t xml:space="preserve"> </w:t>
      </w:r>
      <w:r w:rsidRPr="00054F34">
        <w:rPr>
          <w:rFonts w:ascii="Cambria" w:hAnsi="Cambria"/>
          <w:sz w:val="16"/>
          <w:szCs w:val="16"/>
          <w:lang w:val="es-ES"/>
        </w:rPr>
        <w:t xml:space="preserve">Anexo 4. </w:t>
      </w:r>
      <w:r>
        <w:rPr>
          <w:rFonts w:ascii="Cambria" w:hAnsi="Cambria"/>
          <w:sz w:val="16"/>
          <w:szCs w:val="16"/>
          <w:lang w:val="es-ES"/>
        </w:rPr>
        <w:t>C</w:t>
      </w:r>
      <w:r w:rsidRPr="00054F34">
        <w:rPr>
          <w:rFonts w:asciiTheme="majorHAnsi" w:hAnsiTheme="majorHAnsi"/>
          <w:sz w:val="16"/>
          <w:szCs w:val="16"/>
          <w:lang w:val="es-ES"/>
        </w:rPr>
        <w:t xml:space="preserve">omunicación del Estado de </w:t>
      </w:r>
      <w:r w:rsidRPr="00054F34">
        <w:rPr>
          <w:rFonts w:asciiTheme="majorHAnsi" w:hAnsiTheme="majorHAnsi"/>
          <w:sz w:val="16"/>
          <w:szCs w:val="16"/>
          <w:lang w:val="es-ES_tradnl"/>
        </w:rPr>
        <w:t>11 de diciembre de 2006.</w:t>
      </w:r>
    </w:p>
  </w:footnote>
  <w:footnote w:id="40">
    <w:p w:rsidR="00054F34" w:rsidRPr="00054F34" w:rsidRDefault="00054F34" w:rsidP="00996FA3">
      <w:pPr>
        <w:pStyle w:val="FootnoteText"/>
        <w:tabs>
          <w:tab w:val="left" w:pos="720"/>
        </w:tabs>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3. </w:t>
      </w:r>
      <w:r w:rsidRPr="00054F34">
        <w:rPr>
          <w:rFonts w:asciiTheme="majorHAnsi" w:hAnsiTheme="majorHAnsi"/>
          <w:sz w:val="16"/>
          <w:szCs w:val="16"/>
          <w:lang w:val="es-ES"/>
        </w:rPr>
        <w:t>Comunicado de la Oficina de Derechos Humanos del Arzobispado de Guatemala, de 20 de marzo de 1995. Anexo a la petición inicial.</w:t>
      </w:r>
    </w:p>
  </w:footnote>
  <w:footnote w:id="41">
    <w:p w:rsidR="00054F34" w:rsidRPr="00054F34" w:rsidRDefault="00054F34" w:rsidP="00996FA3">
      <w:pPr>
        <w:pStyle w:val="FootnoteText"/>
        <w:tabs>
          <w:tab w:val="left" w:pos="720"/>
        </w:tabs>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3. </w:t>
      </w:r>
      <w:r w:rsidRPr="00054F34">
        <w:rPr>
          <w:rFonts w:asciiTheme="majorHAnsi" w:hAnsiTheme="majorHAnsi"/>
          <w:sz w:val="16"/>
          <w:szCs w:val="16"/>
          <w:lang w:val="es-ES"/>
        </w:rPr>
        <w:t>Comunicado de la Oficina de Derechos Humanos del Arzobispado de Guatemala, de 20 de marzo de 1995. Anexo a la petición inicial.</w:t>
      </w:r>
    </w:p>
  </w:footnote>
  <w:footnote w:id="42">
    <w:p w:rsidR="00054F34" w:rsidRPr="00054F34" w:rsidRDefault="00054F34" w:rsidP="00996FA3">
      <w:pPr>
        <w:pStyle w:val="FootnoteText"/>
        <w:tabs>
          <w:tab w:val="left" w:pos="720"/>
        </w:tabs>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3. </w:t>
      </w:r>
      <w:r w:rsidRPr="00054F34">
        <w:rPr>
          <w:rFonts w:asciiTheme="majorHAnsi" w:hAnsiTheme="majorHAnsi"/>
          <w:sz w:val="16"/>
          <w:szCs w:val="16"/>
          <w:lang w:val="es-ES"/>
        </w:rPr>
        <w:t>Comunicado de la Oficina de Derechos Humanos del Arzobispado de Guatemala, de 20 de marzo de 1995. Anexo a la petición inicial.</w:t>
      </w:r>
    </w:p>
  </w:footnote>
  <w:footnote w:id="43">
    <w:p w:rsidR="00054F34" w:rsidRPr="00054F34" w:rsidRDefault="00054F34" w:rsidP="00996FA3">
      <w:pPr>
        <w:pStyle w:val="FootnoteText"/>
        <w:tabs>
          <w:tab w:val="left" w:pos="720"/>
        </w:tabs>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3. </w:t>
      </w:r>
      <w:r w:rsidRPr="00054F34">
        <w:rPr>
          <w:rFonts w:asciiTheme="majorHAnsi" w:hAnsiTheme="majorHAnsi"/>
          <w:sz w:val="16"/>
          <w:szCs w:val="16"/>
          <w:lang w:val="es-ES"/>
        </w:rPr>
        <w:t>Comunicado de la Oficina de Derechos Humanos del Arzobispado de Guatemala, de 20 de marzo de 1995. Anexo a la petición inicial.</w:t>
      </w:r>
    </w:p>
  </w:footnote>
  <w:footnote w:id="44">
    <w:p w:rsidR="00054F34" w:rsidRPr="00054F34" w:rsidRDefault="00054F34" w:rsidP="00996FA3">
      <w:pPr>
        <w:pStyle w:val="FootnoteText"/>
        <w:tabs>
          <w:tab w:val="left" w:pos="720"/>
        </w:tabs>
        <w:spacing w:after="120"/>
        <w:ind w:firstLine="720"/>
        <w:jc w:val="both"/>
        <w:rPr>
          <w:rFonts w:asciiTheme="majorHAnsi" w:hAnsiTheme="majorHAnsi"/>
          <w:sz w:val="16"/>
          <w:szCs w:val="16"/>
          <w:lang w:val="es-ES_tradnl"/>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Pr>
          <w:rFonts w:asciiTheme="majorHAnsi" w:hAnsiTheme="majorHAnsi"/>
          <w:sz w:val="16"/>
          <w:szCs w:val="16"/>
          <w:lang w:val="es-ES"/>
        </w:rPr>
        <w:t xml:space="preserve">Anexo 5. </w:t>
      </w:r>
      <w:r w:rsidRPr="00054F34">
        <w:rPr>
          <w:rFonts w:asciiTheme="majorHAnsi" w:hAnsiTheme="majorHAnsi"/>
          <w:sz w:val="16"/>
          <w:szCs w:val="16"/>
          <w:lang w:val="es-ES_tradnl"/>
        </w:rPr>
        <w:t>Comunicación de los peticionarios de 23 de marzo de 2000.</w:t>
      </w:r>
    </w:p>
  </w:footnote>
  <w:footnote w:id="45">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4. </w:t>
      </w:r>
      <w:r w:rsidRPr="00054F34">
        <w:rPr>
          <w:rFonts w:asciiTheme="majorHAnsi" w:hAnsiTheme="majorHAnsi"/>
          <w:sz w:val="16"/>
          <w:szCs w:val="16"/>
          <w:lang w:val="es-ES"/>
        </w:rPr>
        <w:t xml:space="preserve">Comunicación del Estado de </w:t>
      </w:r>
      <w:r w:rsidRPr="00054F34">
        <w:rPr>
          <w:rFonts w:asciiTheme="majorHAnsi" w:hAnsiTheme="majorHAnsi"/>
          <w:sz w:val="16"/>
          <w:szCs w:val="16"/>
          <w:lang w:val="es-ES_tradnl"/>
        </w:rPr>
        <w:t>11 de diciembre de 2006.</w:t>
      </w:r>
    </w:p>
  </w:footnote>
  <w:footnote w:id="46">
    <w:p w:rsidR="00054F34" w:rsidRPr="00054F34" w:rsidRDefault="00054F34" w:rsidP="00996FA3">
      <w:pPr>
        <w:pStyle w:val="FootnoteText"/>
        <w:tabs>
          <w:tab w:val="left" w:pos="720"/>
        </w:tabs>
        <w:spacing w:after="120"/>
        <w:ind w:firstLine="720"/>
        <w:jc w:val="both"/>
        <w:rPr>
          <w:rFonts w:asciiTheme="majorHAnsi" w:hAnsiTheme="majorHAnsi"/>
          <w:sz w:val="16"/>
          <w:szCs w:val="16"/>
          <w:lang w:val="es-ES_tradnl"/>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5. </w:t>
      </w:r>
      <w:r w:rsidRPr="00054F34">
        <w:rPr>
          <w:rFonts w:asciiTheme="majorHAnsi" w:hAnsiTheme="majorHAnsi"/>
          <w:sz w:val="16"/>
          <w:szCs w:val="16"/>
          <w:lang w:val="es-ES_tradnl"/>
        </w:rPr>
        <w:t>Comunicación de los peticionarios de 23 de marzo de 2000.</w:t>
      </w:r>
    </w:p>
  </w:footnote>
  <w:footnote w:id="47">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4. </w:t>
      </w:r>
      <w:r w:rsidRPr="00054F34">
        <w:rPr>
          <w:rFonts w:asciiTheme="majorHAnsi" w:hAnsiTheme="majorHAnsi"/>
          <w:sz w:val="16"/>
          <w:szCs w:val="16"/>
          <w:lang w:val="es-ES"/>
        </w:rPr>
        <w:t xml:space="preserve">Comunicación del Estado de </w:t>
      </w:r>
      <w:r w:rsidRPr="00054F34">
        <w:rPr>
          <w:rFonts w:asciiTheme="majorHAnsi" w:hAnsiTheme="majorHAnsi"/>
          <w:sz w:val="16"/>
          <w:szCs w:val="16"/>
          <w:lang w:val="es-ES_tradnl"/>
        </w:rPr>
        <w:t>11 de diciembre de 2006.</w:t>
      </w:r>
    </w:p>
  </w:footnote>
  <w:footnote w:id="48">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4. </w:t>
      </w:r>
      <w:r w:rsidRPr="00054F34">
        <w:rPr>
          <w:rFonts w:asciiTheme="majorHAnsi" w:hAnsiTheme="majorHAnsi"/>
          <w:sz w:val="16"/>
          <w:szCs w:val="16"/>
          <w:lang w:val="es-ES"/>
        </w:rPr>
        <w:t xml:space="preserve">Comunicación del Estado de </w:t>
      </w:r>
      <w:r w:rsidRPr="00054F34">
        <w:rPr>
          <w:rFonts w:asciiTheme="majorHAnsi" w:hAnsiTheme="majorHAnsi"/>
          <w:sz w:val="16"/>
          <w:szCs w:val="16"/>
          <w:lang w:val="es-ES_tradnl"/>
        </w:rPr>
        <w:t>11 de diciembre de 2006.</w:t>
      </w:r>
    </w:p>
  </w:footnote>
  <w:footnote w:id="49">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4. </w:t>
      </w:r>
      <w:r w:rsidRPr="00054F34">
        <w:rPr>
          <w:rFonts w:asciiTheme="majorHAnsi" w:hAnsiTheme="majorHAnsi"/>
          <w:sz w:val="16"/>
          <w:szCs w:val="16"/>
          <w:lang w:val="es-ES"/>
        </w:rPr>
        <w:t xml:space="preserve">Comunicación del Estado de </w:t>
      </w:r>
      <w:r w:rsidRPr="00054F34">
        <w:rPr>
          <w:rFonts w:asciiTheme="majorHAnsi" w:hAnsiTheme="majorHAnsi"/>
          <w:sz w:val="16"/>
          <w:szCs w:val="16"/>
          <w:lang w:val="es-ES_tradnl"/>
        </w:rPr>
        <w:t>11 de diciembre de 2006.</w:t>
      </w:r>
    </w:p>
  </w:footnote>
  <w:footnote w:id="50">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4. </w:t>
      </w:r>
      <w:r w:rsidRPr="00054F34">
        <w:rPr>
          <w:rFonts w:asciiTheme="majorHAnsi" w:hAnsiTheme="majorHAnsi"/>
          <w:sz w:val="16"/>
          <w:szCs w:val="16"/>
          <w:lang w:val="es-ES"/>
        </w:rPr>
        <w:t xml:space="preserve">Comunicación del Estado de </w:t>
      </w:r>
      <w:r w:rsidRPr="00054F34">
        <w:rPr>
          <w:rFonts w:asciiTheme="majorHAnsi" w:hAnsiTheme="majorHAnsi"/>
          <w:sz w:val="16"/>
          <w:szCs w:val="16"/>
          <w:lang w:val="es-ES_tradnl"/>
        </w:rPr>
        <w:t>11 de diciembre de 2006.</w:t>
      </w:r>
    </w:p>
  </w:footnote>
  <w:footnote w:id="51">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4. </w:t>
      </w:r>
      <w:r w:rsidRPr="00054F34">
        <w:rPr>
          <w:rFonts w:asciiTheme="majorHAnsi" w:hAnsiTheme="majorHAnsi"/>
          <w:sz w:val="16"/>
          <w:szCs w:val="16"/>
          <w:lang w:val="es-ES"/>
        </w:rPr>
        <w:t xml:space="preserve">Comunicación del Estado de </w:t>
      </w:r>
      <w:r w:rsidRPr="00054F34">
        <w:rPr>
          <w:rFonts w:asciiTheme="majorHAnsi" w:hAnsiTheme="majorHAnsi"/>
          <w:sz w:val="16"/>
          <w:szCs w:val="16"/>
          <w:lang w:val="es-ES_tradnl"/>
        </w:rPr>
        <w:t>11 de diciembre de 2006.</w:t>
      </w:r>
    </w:p>
  </w:footnote>
  <w:footnote w:id="52">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Pr>
          <w:rFonts w:asciiTheme="majorHAnsi" w:hAnsiTheme="majorHAnsi"/>
          <w:sz w:val="16"/>
          <w:szCs w:val="16"/>
          <w:lang w:val="es-ES"/>
        </w:rPr>
        <w:t xml:space="preserve">Anexo 4. </w:t>
      </w:r>
      <w:r w:rsidRPr="00054F34">
        <w:rPr>
          <w:rFonts w:asciiTheme="majorHAnsi" w:hAnsiTheme="majorHAnsi"/>
          <w:sz w:val="16"/>
          <w:szCs w:val="16"/>
          <w:lang w:val="es-ES"/>
        </w:rPr>
        <w:t xml:space="preserve">Comunicación del Estado de </w:t>
      </w:r>
      <w:r w:rsidRPr="00054F34">
        <w:rPr>
          <w:rFonts w:asciiTheme="majorHAnsi" w:hAnsiTheme="majorHAnsi"/>
          <w:sz w:val="16"/>
          <w:szCs w:val="16"/>
          <w:lang w:val="es-ES_tradnl"/>
        </w:rPr>
        <w:t>11 de diciembre de 2006. Citando a: Declaración de 25 de agosto de 1995, ante el Juez del Juzgado Sexto de Primera Instancia Penal.</w:t>
      </w:r>
    </w:p>
  </w:footnote>
  <w:footnote w:id="53">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4. </w:t>
      </w:r>
      <w:r w:rsidRPr="00054F34">
        <w:rPr>
          <w:rFonts w:asciiTheme="majorHAnsi" w:hAnsiTheme="majorHAnsi"/>
          <w:sz w:val="16"/>
          <w:szCs w:val="16"/>
          <w:lang w:val="es-ES"/>
        </w:rPr>
        <w:t xml:space="preserve">Comunicación del Estado de </w:t>
      </w:r>
      <w:r w:rsidRPr="00054F34">
        <w:rPr>
          <w:rFonts w:asciiTheme="majorHAnsi" w:hAnsiTheme="majorHAnsi"/>
          <w:sz w:val="16"/>
          <w:szCs w:val="16"/>
          <w:lang w:val="es-ES_tradnl"/>
        </w:rPr>
        <w:t>11 de diciembre de 2006.</w:t>
      </w:r>
    </w:p>
  </w:footnote>
  <w:footnote w:id="54">
    <w:p w:rsidR="00054F34" w:rsidRPr="00054F34" w:rsidRDefault="00054F34" w:rsidP="00996FA3">
      <w:pPr>
        <w:pStyle w:val="FootnoteText"/>
        <w:spacing w:after="120"/>
        <w:ind w:firstLine="720"/>
        <w:jc w:val="both"/>
        <w:rPr>
          <w:rFonts w:asciiTheme="majorHAnsi" w:hAnsiTheme="majorHAnsi"/>
          <w:sz w:val="16"/>
          <w:szCs w:val="16"/>
          <w:lang w:val="es-ES_tradnl"/>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1. </w:t>
      </w:r>
      <w:r w:rsidRPr="00054F34">
        <w:rPr>
          <w:rFonts w:asciiTheme="majorHAnsi" w:hAnsiTheme="majorHAnsi"/>
          <w:sz w:val="16"/>
          <w:szCs w:val="16"/>
          <w:lang w:val="es-ES_tradnl"/>
        </w:rPr>
        <w:t>Comunicación de los peticionarios de 24 de noviembre de 2003.</w:t>
      </w:r>
    </w:p>
  </w:footnote>
  <w:footnote w:id="55">
    <w:p w:rsidR="00054F34" w:rsidRPr="00054F34" w:rsidRDefault="00054F34" w:rsidP="00996FA3">
      <w:pPr>
        <w:pStyle w:val="FootnoteText"/>
        <w:spacing w:after="120"/>
        <w:ind w:firstLine="720"/>
        <w:jc w:val="both"/>
        <w:rPr>
          <w:rFonts w:asciiTheme="majorHAnsi" w:hAnsiTheme="majorHAnsi"/>
          <w:sz w:val="16"/>
          <w:szCs w:val="16"/>
          <w:lang w:val="es-ES_tradnl"/>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1. </w:t>
      </w:r>
      <w:r w:rsidRPr="00054F34">
        <w:rPr>
          <w:rFonts w:asciiTheme="majorHAnsi" w:hAnsiTheme="majorHAnsi"/>
          <w:sz w:val="16"/>
          <w:szCs w:val="16"/>
          <w:lang w:val="es-ES_tradnl"/>
        </w:rPr>
        <w:t>Comunicación de los peticionarios de 24 de noviembre de 2003.</w:t>
      </w:r>
    </w:p>
  </w:footnote>
  <w:footnote w:id="56">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4. </w:t>
      </w:r>
      <w:r w:rsidRPr="00054F34">
        <w:rPr>
          <w:rFonts w:asciiTheme="majorHAnsi" w:hAnsiTheme="majorHAnsi"/>
          <w:sz w:val="16"/>
          <w:szCs w:val="16"/>
          <w:lang w:val="es-ES"/>
        </w:rPr>
        <w:t xml:space="preserve">Comunicación del Estado de </w:t>
      </w:r>
      <w:r w:rsidRPr="00054F34">
        <w:rPr>
          <w:rFonts w:asciiTheme="majorHAnsi" w:hAnsiTheme="majorHAnsi"/>
          <w:sz w:val="16"/>
          <w:szCs w:val="16"/>
          <w:lang w:val="es-ES_tradnl"/>
        </w:rPr>
        <w:t>11 de diciembre de 2006.</w:t>
      </w:r>
    </w:p>
  </w:footnote>
  <w:footnote w:id="57">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4. </w:t>
      </w:r>
      <w:r w:rsidRPr="00054F34">
        <w:rPr>
          <w:rFonts w:asciiTheme="majorHAnsi" w:hAnsiTheme="majorHAnsi"/>
          <w:sz w:val="16"/>
          <w:szCs w:val="16"/>
          <w:lang w:val="es-ES"/>
        </w:rPr>
        <w:t xml:space="preserve">Comunicación del Estado de </w:t>
      </w:r>
      <w:r w:rsidRPr="00054F34">
        <w:rPr>
          <w:rFonts w:asciiTheme="majorHAnsi" w:hAnsiTheme="majorHAnsi"/>
          <w:sz w:val="16"/>
          <w:szCs w:val="16"/>
          <w:lang w:val="es-ES_tradnl"/>
        </w:rPr>
        <w:t>11 de diciembre de 2006.</w:t>
      </w:r>
    </w:p>
  </w:footnote>
  <w:footnote w:id="58">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4. </w:t>
      </w:r>
      <w:r w:rsidRPr="00054F34">
        <w:rPr>
          <w:rFonts w:asciiTheme="majorHAnsi" w:hAnsiTheme="majorHAnsi"/>
          <w:sz w:val="16"/>
          <w:szCs w:val="16"/>
          <w:lang w:val="es-ES"/>
        </w:rPr>
        <w:t xml:space="preserve">Comunicación del Estado de </w:t>
      </w:r>
      <w:r w:rsidRPr="00054F34">
        <w:rPr>
          <w:rFonts w:asciiTheme="majorHAnsi" w:hAnsiTheme="majorHAnsi"/>
          <w:sz w:val="16"/>
          <w:szCs w:val="16"/>
          <w:lang w:val="es-ES_tradnl"/>
        </w:rPr>
        <w:t>11 de diciembre de 2006.</w:t>
      </w:r>
    </w:p>
  </w:footnote>
  <w:footnote w:id="59">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4. </w:t>
      </w:r>
      <w:r w:rsidRPr="00054F34">
        <w:rPr>
          <w:rFonts w:asciiTheme="majorHAnsi" w:hAnsiTheme="majorHAnsi"/>
          <w:sz w:val="16"/>
          <w:szCs w:val="16"/>
          <w:lang w:val="es-ES"/>
        </w:rPr>
        <w:t xml:space="preserve">Comunicación del Estado de </w:t>
      </w:r>
      <w:r w:rsidRPr="00054F34">
        <w:rPr>
          <w:rFonts w:asciiTheme="majorHAnsi" w:hAnsiTheme="majorHAnsi"/>
          <w:sz w:val="16"/>
          <w:szCs w:val="16"/>
          <w:lang w:val="es-ES_tradnl"/>
        </w:rPr>
        <w:t>11 de diciembre de 2006.</w:t>
      </w:r>
    </w:p>
  </w:footnote>
  <w:footnote w:id="60">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4. </w:t>
      </w:r>
      <w:r w:rsidRPr="00054F34">
        <w:rPr>
          <w:rFonts w:asciiTheme="majorHAnsi" w:hAnsiTheme="majorHAnsi"/>
          <w:sz w:val="16"/>
          <w:szCs w:val="16"/>
          <w:lang w:val="es-ES"/>
        </w:rPr>
        <w:t xml:space="preserve">Comunicación del Estado de </w:t>
      </w:r>
      <w:r w:rsidRPr="00054F34">
        <w:rPr>
          <w:rFonts w:asciiTheme="majorHAnsi" w:hAnsiTheme="majorHAnsi"/>
          <w:sz w:val="16"/>
          <w:szCs w:val="16"/>
          <w:lang w:val="es-ES_tradnl"/>
        </w:rPr>
        <w:t>11 de diciembre de 2006.</w:t>
      </w:r>
    </w:p>
  </w:footnote>
  <w:footnote w:id="61">
    <w:p w:rsidR="00054F34" w:rsidRPr="00054F34" w:rsidRDefault="00054F34" w:rsidP="00996FA3">
      <w:pPr>
        <w:pStyle w:val="FootnoteText"/>
        <w:spacing w:after="120"/>
        <w:ind w:firstLine="720"/>
        <w:jc w:val="both"/>
        <w:rPr>
          <w:rFonts w:asciiTheme="majorHAnsi" w:hAnsiTheme="majorHAnsi"/>
          <w:sz w:val="16"/>
          <w:szCs w:val="16"/>
          <w:lang w:val="pt-BR"/>
        </w:rPr>
      </w:pPr>
      <w:r w:rsidRPr="00054F34">
        <w:rPr>
          <w:rStyle w:val="FootnoteReference"/>
          <w:rFonts w:asciiTheme="majorHAnsi" w:hAnsiTheme="majorHAnsi"/>
          <w:sz w:val="16"/>
          <w:szCs w:val="16"/>
        </w:rPr>
        <w:footnoteRef/>
      </w:r>
      <w:r w:rsidRPr="00054F34">
        <w:rPr>
          <w:rFonts w:asciiTheme="majorHAnsi" w:hAnsiTheme="majorHAnsi"/>
          <w:sz w:val="16"/>
          <w:szCs w:val="16"/>
          <w:lang w:val="pt-BR"/>
        </w:rPr>
        <w:t xml:space="preserve"> </w:t>
      </w:r>
      <w:hyperlink r:id="rId1" w:history="1">
        <w:r w:rsidRPr="00054F34">
          <w:rPr>
            <w:rStyle w:val="Hyperlink"/>
            <w:rFonts w:asciiTheme="majorHAnsi" w:hAnsiTheme="majorHAnsi"/>
            <w:sz w:val="16"/>
            <w:szCs w:val="16"/>
            <w:u w:val="none"/>
            <w:lang w:val="pt-BR"/>
          </w:rPr>
          <w:t>Código Procesal Penal de Guatemala</w:t>
        </w:r>
      </w:hyperlink>
      <w:r w:rsidRPr="00054F34">
        <w:rPr>
          <w:rFonts w:asciiTheme="majorHAnsi" w:hAnsiTheme="majorHAnsi"/>
          <w:sz w:val="16"/>
          <w:szCs w:val="16"/>
          <w:lang w:val="pt-BR"/>
        </w:rPr>
        <w:t xml:space="preserve">. </w:t>
      </w:r>
    </w:p>
  </w:footnote>
  <w:footnote w:id="62">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Pr>
          <w:rFonts w:asciiTheme="majorHAnsi" w:hAnsiTheme="majorHAnsi"/>
          <w:sz w:val="16"/>
          <w:szCs w:val="16"/>
          <w:lang w:val="es-ES"/>
        </w:rPr>
        <w:t xml:space="preserve"> Anexo 4. Comunicación del Estado </w:t>
      </w:r>
      <w:r w:rsidRPr="00054F34">
        <w:rPr>
          <w:rFonts w:asciiTheme="majorHAnsi" w:hAnsiTheme="majorHAnsi"/>
          <w:sz w:val="16"/>
          <w:szCs w:val="16"/>
          <w:lang w:val="es-ES"/>
        </w:rPr>
        <w:t xml:space="preserve"> </w:t>
      </w:r>
      <w:r w:rsidRPr="00054F34">
        <w:rPr>
          <w:rFonts w:asciiTheme="majorHAnsi" w:hAnsiTheme="majorHAnsi"/>
          <w:sz w:val="16"/>
          <w:szCs w:val="16"/>
          <w:lang w:val="es-ES_tradnl"/>
        </w:rPr>
        <w:t>de 11 de diciembre de 2006.</w:t>
      </w:r>
    </w:p>
  </w:footnote>
  <w:footnote w:id="63">
    <w:p w:rsidR="00054F34" w:rsidRPr="00054F34" w:rsidRDefault="00054F34" w:rsidP="00996FA3">
      <w:pPr>
        <w:pStyle w:val="FootnoteText"/>
        <w:tabs>
          <w:tab w:val="left" w:pos="720"/>
        </w:tabs>
        <w:spacing w:after="120"/>
        <w:ind w:firstLine="720"/>
        <w:jc w:val="both"/>
        <w:rPr>
          <w:rFonts w:asciiTheme="majorHAnsi" w:hAnsiTheme="majorHAnsi"/>
          <w:sz w:val="16"/>
          <w:szCs w:val="16"/>
          <w:lang w:val="es-ES_tradnl"/>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Pr>
          <w:rFonts w:asciiTheme="majorHAnsi" w:hAnsiTheme="majorHAnsi"/>
          <w:sz w:val="16"/>
          <w:szCs w:val="16"/>
          <w:lang w:val="es-ES"/>
        </w:rPr>
        <w:t xml:space="preserve">Anexo 5. </w:t>
      </w:r>
      <w:r w:rsidRPr="00054F34">
        <w:rPr>
          <w:rFonts w:asciiTheme="majorHAnsi" w:hAnsiTheme="majorHAnsi"/>
          <w:sz w:val="16"/>
          <w:szCs w:val="16"/>
          <w:lang w:val="es-ES_tradnl"/>
        </w:rPr>
        <w:t>Oficio del Sexto Juzgado de Primera Instancia Narcoactividad y Delitos contra el Ambiente emitió un auto. Anexo a la comunicación del Estado de 16 de junio de 1997.</w:t>
      </w:r>
    </w:p>
  </w:footnote>
  <w:footnote w:id="64">
    <w:p w:rsidR="00054F34" w:rsidRPr="00054F34" w:rsidRDefault="00054F34" w:rsidP="00996FA3">
      <w:pPr>
        <w:pStyle w:val="FootnoteText"/>
        <w:spacing w:after="120"/>
        <w:ind w:firstLine="720"/>
        <w:jc w:val="both"/>
        <w:rPr>
          <w:rFonts w:asciiTheme="majorHAnsi" w:hAnsiTheme="majorHAnsi"/>
          <w:sz w:val="16"/>
          <w:szCs w:val="16"/>
          <w:lang w:val="es-ES_tradnl"/>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Theme="majorHAnsi" w:hAnsiTheme="majorHAnsi"/>
          <w:sz w:val="16"/>
          <w:szCs w:val="16"/>
          <w:lang w:val="es-ES_tradnl"/>
        </w:rPr>
        <w:t>Artículos 150, 160, 178 y 327 del Código Procesal Penal.</w:t>
      </w:r>
    </w:p>
  </w:footnote>
  <w:footnote w:id="65">
    <w:p w:rsidR="00054F34" w:rsidRPr="00054F34" w:rsidRDefault="00054F34" w:rsidP="00996FA3">
      <w:pPr>
        <w:pStyle w:val="FootnoteText"/>
        <w:tabs>
          <w:tab w:val="left" w:pos="720"/>
        </w:tabs>
        <w:spacing w:after="120"/>
        <w:ind w:firstLine="720"/>
        <w:jc w:val="both"/>
        <w:rPr>
          <w:rFonts w:asciiTheme="majorHAnsi" w:hAnsiTheme="majorHAnsi"/>
          <w:sz w:val="16"/>
          <w:szCs w:val="16"/>
          <w:lang w:val="es-ES_tradnl"/>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5. </w:t>
      </w:r>
      <w:r w:rsidRPr="00054F34">
        <w:rPr>
          <w:rFonts w:asciiTheme="majorHAnsi" w:hAnsiTheme="majorHAnsi"/>
          <w:sz w:val="16"/>
          <w:szCs w:val="16"/>
          <w:lang w:val="es-ES_tradnl"/>
        </w:rPr>
        <w:t>Oficio del Sexto Juzgado de Primera Instancia Narcoactividad y Delitos contra el Ambiente emitió un auto. Anexo a la comunicación del Estado de 16 de junio de 1997.</w:t>
      </w:r>
    </w:p>
  </w:footnote>
  <w:footnote w:id="66">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Pr>
          <w:rFonts w:asciiTheme="majorHAnsi" w:hAnsiTheme="majorHAnsi"/>
          <w:sz w:val="16"/>
          <w:szCs w:val="16"/>
          <w:lang w:val="es-ES"/>
        </w:rPr>
        <w:t xml:space="preserve">Anexo 6. </w:t>
      </w:r>
      <w:r w:rsidRPr="00054F34">
        <w:rPr>
          <w:rFonts w:asciiTheme="majorHAnsi" w:hAnsiTheme="majorHAnsi"/>
          <w:sz w:val="16"/>
          <w:szCs w:val="16"/>
          <w:lang w:val="es-ES"/>
        </w:rPr>
        <w:t>Comunicación del Estado de 13 de junio de 1999.</w:t>
      </w:r>
    </w:p>
  </w:footnote>
  <w:footnote w:id="67">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6. </w:t>
      </w:r>
      <w:r w:rsidRPr="00054F34">
        <w:rPr>
          <w:rFonts w:asciiTheme="majorHAnsi" w:hAnsiTheme="majorHAnsi"/>
          <w:sz w:val="16"/>
          <w:szCs w:val="16"/>
          <w:lang w:val="es-ES"/>
        </w:rPr>
        <w:t>Comunicación del Estado de 13 de junio de 1999.</w:t>
      </w:r>
    </w:p>
  </w:footnote>
  <w:footnote w:id="68">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6. </w:t>
      </w:r>
      <w:r w:rsidRPr="00054F34">
        <w:rPr>
          <w:rFonts w:asciiTheme="majorHAnsi" w:hAnsiTheme="majorHAnsi"/>
          <w:sz w:val="16"/>
          <w:szCs w:val="16"/>
          <w:lang w:val="es-ES"/>
        </w:rPr>
        <w:t>Comunicación del Estado de 13 de junio de 1999.</w:t>
      </w:r>
    </w:p>
  </w:footnote>
  <w:footnote w:id="69">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6. </w:t>
      </w:r>
      <w:r w:rsidRPr="00054F34">
        <w:rPr>
          <w:rFonts w:asciiTheme="majorHAnsi" w:hAnsiTheme="majorHAnsi"/>
          <w:sz w:val="16"/>
          <w:szCs w:val="16"/>
          <w:lang w:val="es-ES"/>
        </w:rPr>
        <w:t>Comunicación del Estado de 13 de junio de 1999.</w:t>
      </w:r>
    </w:p>
  </w:footnote>
  <w:footnote w:id="70">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Cambria" w:hAnsi="Cambria"/>
          <w:sz w:val="16"/>
          <w:szCs w:val="16"/>
          <w:lang w:val="es-ES"/>
        </w:rPr>
        <w:t xml:space="preserve">Anexo 6. </w:t>
      </w:r>
      <w:r w:rsidRPr="00054F34">
        <w:rPr>
          <w:rFonts w:asciiTheme="majorHAnsi" w:hAnsiTheme="majorHAnsi"/>
          <w:sz w:val="16"/>
          <w:szCs w:val="16"/>
          <w:lang w:val="es-ES"/>
        </w:rPr>
        <w:t>Comunicación del Estado de 13 de junio de 1999.</w:t>
      </w:r>
    </w:p>
  </w:footnote>
  <w:footnote w:id="71">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00955939">
        <w:rPr>
          <w:rFonts w:asciiTheme="majorHAnsi" w:hAnsiTheme="majorHAnsi"/>
          <w:sz w:val="16"/>
          <w:szCs w:val="16"/>
          <w:lang w:val="es-ES"/>
        </w:rPr>
        <w:t xml:space="preserve">Anexo 7. </w:t>
      </w:r>
      <w:r w:rsidRPr="00054F34">
        <w:rPr>
          <w:rFonts w:asciiTheme="majorHAnsi" w:hAnsiTheme="majorHAnsi"/>
          <w:sz w:val="16"/>
          <w:szCs w:val="16"/>
          <w:lang w:val="es-ES"/>
        </w:rPr>
        <w:t>Oficio del Ministerio Público. Anexo a la comunicación del Estado de 24 de febrero de 2015.</w:t>
      </w:r>
    </w:p>
  </w:footnote>
  <w:footnote w:id="72">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CIDH, </w:t>
      </w:r>
      <w:hyperlink r:id="rId2" w:history="1">
        <w:r w:rsidRPr="00054F34">
          <w:rPr>
            <w:rStyle w:val="Hyperlink"/>
            <w:rFonts w:asciiTheme="majorHAnsi" w:hAnsiTheme="majorHAnsi"/>
            <w:sz w:val="16"/>
            <w:szCs w:val="16"/>
            <w:u w:val="none"/>
            <w:lang w:val="es-ES"/>
          </w:rPr>
          <w:t>Cuarto Informe sobre la Situación de los Derechos Humanos en Guatemala</w:t>
        </w:r>
      </w:hyperlink>
      <w:r w:rsidRPr="00054F34">
        <w:rPr>
          <w:rFonts w:asciiTheme="majorHAnsi" w:hAnsiTheme="majorHAnsi"/>
          <w:sz w:val="16"/>
          <w:szCs w:val="16"/>
          <w:lang w:val="es-ES"/>
        </w:rPr>
        <w:t xml:space="preserve">, 1 de junio de 1993. </w:t>
      </w:r>
    </w:p>
  </w:footnote>
  <w:footnote w:id="73">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CIDH, </w:t>
      </w:r>
      <w:hyperlink r:id="rId3" w:history="1">
        <w:r w:rsidRPr="00054F34">
          <w:rPr>
            <w:rStyle w:val="Hyperlink"/>
            <w:rFonts w:asciiTheme="majorHAnsi" w:hAnsiTheme="majorHAnsi"/>
            <w:sz w:val="16"/>
            <w:szCs w:val="16"/>
            <w:u w:val="none"/>
            <w:lang w:val="es-ES"/>
          </w:rPr>
          <w:t>Cuarto Informe sobre la Situación de los Derechos Humanos en Guatemala</w:t>
        </w:r>
      </w:hyperlink>
      <w:r w:rsidRPr="00054F34">
        <w:rPr>
          <w:rFonts w:asciiTheme="majorHAnsi" w:hAnsiTheme="majorHAnsi"/>
          <w:sz w:val="16"/>
          <w:szCs w:val="16"/>
          <w:lang w:val="es-ES"/>
        </w:rPr>
        <w:t xml:space="preserve">, 1 de junio de 1993. </w:t>
      </w:r>
    </w:p>
  </w:footnote>
  <w:footnote w:id="74">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CIDH, </w:t>
      </w:r>
      <w:hyperlink r:id="rId4" w:history="1">
        <w:r w:rsidRPr="00054F34">
          <w:rPr>
            <w:rStyle w:val="Hyperlink"/>
            <w:rFonts w:asciiTheme="majorHAnsi" w:hAnsiTheme="majorHAnsi"/>
            <w:sz w:val="16"/>
            <w:szCs w:val="16"/>
            <w:u w:val="none"/>
            <w:lang w:val="es-ES"/>
          </w:rPr>
          <w:t>Cuarto Informe sobre la Situación de los Derechos Humanos en Guatemala</w:t>
        </w:r>
      </w:hyperlink>
      <w:r w:rsidRPr="00054F34">
        <w:rPr>
          <w:rFonts w:asciiTheme="majorHAnsi" w:hAnsiTheme="majorHAnsi"/>
          <w:sz w:val="16"/>
          <w:szCs w:val="16"/>
          <w:lang w:val="es-ES"/>
        </w:rPr>
        <w:t xml:space="preserve">, 1 de junio de 1993. </w:t>
      </w:r>
    </w:p>
  </w:footnote>
  <w:footnote w:id="75">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CIDH, </w:t>
      </w:r>
      <w:hyperlink r:id="rId5" w:history="1">
        <w:r w:rsidRPr="00054F34">
          <w:rPr>
            <w:rStyle w:val="Hyperlink"/>
            <w:rFonts w:asciiTheme="majorHAnsi" w:hAnsiTheme="majorHAnsi"/>
            <w:sz w:val="16"/>
            <w:szCs w:val="16"/>
            <w:u w:val="none"/>
            <w:lang w:val="es-ES"/>
          </w:rPr>
          <w:t>Cuarto Informe sobre la Situación de los Derechos Humanos en Guatemala</w:t>
        </w:r>
      </w:hyperlink>
      <w:r w:rsidRPr="00054F34">
        <w:rPr>
          <w:rFonts w:asciiTheme="majorHAnsi" w:hAnsiTheme="majorHAnsi"/>
          <w:sz w:val="16"/>
          <w:szCs w:val="16"/>
          <w:lang w:val="es-ES"/>
        </w:rPr>
        <w:t xml:space="preserve">, 1 de junio de 1993. </w:t>
      </w:r>
    </w:p>
  </w:footnote>
  <w:footnote w:id="76">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CIDH, </w:t>
      </w:r>
      <w:hyperlink r:id="rId6" w:history="1">
        <w:r w:rsidRPr="00054F34">
          <w:rPr>
            <w:rStyle w:val="Hyperlink"/>
            <w:rFonts w:asciiTheme="majorHAnsi" w:hAnsiTheme="majorHAnsi"/>
            <w:sz w:val="16"/>
            <w:szCs w:val="16"/>
            <w:u w:val="none"/>
            <w:lang w:val="es-ES"/>
          </w:rPr>
          <w:t>Justicia e Inclusión Social: Los desafíos de la democracia en Guatemala</w:t>
        </w:r>
      </w:hyperlink>
      <w:r w:rsidRPr="00054F34">
        <w:rPr>
          <w:rFonts w:asciiTheme="majorHAnsi" w:hAnsiTheme="majorHAnsi"/>
          <w:sz w:val="16"/>
          <w:szCs w:val="16"/>
          <w:lang w:val="es-ES"/>
        </w:rPr>
        <w:t>, 29 de diciembre de 2003, párr. 76.</w:t>
      </w:r>
    </w:p>
  </w:footnote>
  <w:footnote w:id="77">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Nota de prensa “</w:t>
      </w:r>
      <w:hyperlink r:id="rId7" w:history="1">
        <w:r w:rsidRPr="00054F34">
          <w:rPr>
            <w:rStyle w:val="Hyperlink"/>
            <w:rFonts w:asciiTheme="majorHAnsi" w:hAnsiTheme="majorHAnsi"/>
            <w:sz w:val="16"/>
            <w:szCs w:val="16"/>
            <w:u w:val="none"/>
            <w:lang w:val="es-ES"/>
          </w:rPr>
          <w:t>Guatemala: ONU comprueba impunidad para violar derechos humanos</w:t>
        </w:r>
      </w:hyperlink>
      <w:r w:rsidRPr="00054F34">
        <w:rPr>
          <w:rFonts w:asciiTheme="majorHAnsi" w:hAnsiTheme="majorHAnsi"/>
          <w:sz w:val="16"/>
          <w:szCs w:val="16"/>
          <w:lang w:val="es-ES"/>
        </w:rPr>
        <w:t xml:space="preserve">”, 14 de marzo de 1995. </w:t>
      </w:r>
    </w:p>
  </w:footnote>
  <w:footnote w:id="78">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MINUGUA, </w:t>
      </w:r>
      <w:hyperlink r:id="rId8" w:history="1">
        <w:r w:rsidRPr="00054F34">
          <w:rPr>
            <w:rStyle w:val="Hyperlink"/>
            <w:rFonts w:asciiTheme="majorHAnsi" w:hAnsiTheme="majorHAnsi"/>
            <w:sz w:val="16"/>
            <w:szCs w:val="16"/>
            <w:u w:val="none"/>
            <w:lang w:val="es-ES"/>
          </w:rPr>
          <w:t>Informe sobre Derechos Humanos, 1998</w:t>
        </w:r>
      </w:hyperlink>
      <w:r w:rsidRPr="00054F34">
        <w:rPr>
          <w:rFonts w:asciiTheme="majorHAnsi" w:hAnsiTheme="majorHAnsi"/>
          <w:sz w:val="16"/>
          <w:szCs w:val="16"/>
          <w:lang w:val="es-ES"/>
        </w:rPr>
        <w:t xml:space="preserve">. </w:t>
      </w:r>
    </w:p>
  </w:footnote>
  <w:footnote w:id="79">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MINUGUA, </w:t>
      </w:r>
      <w:hyperlink r:id="rId9" w:history="1">
        <w:r w:rsidRPr="00054F34">
          <w:rPr>
            <w:rStyle w:val="Hyperlink"/>
            <w:rFonts w:asciiTheme="majorHAnsi" w:hAnsiTheme="majorHAnsi"/>
            <w:sz w:val="16"/>
            <w:szCs w:val="16"/>
            <w:u w:val="none"/>
            <w:lang w:val="es-ES"/>
          </w:rPr>
          <w:t>Informe sobre Derechos Humanos, septiembre de 2000</w:t>
        </w:r>
      </w:hyperlink>
      <w:r w:rsidRPr="00054F34">
        <w:rPr>
          <w:rFonts w:asciiTheme="majorHAnsi" w:hAnsiTheme="majorHAnsi"/>
          <w:sz w:val="16"/>
          <w:szCs w:val="16"/>
          <w:lang w:val="es-ES"/>
        </w:rPr>
        <w:t xml:space="preserve">. </w:t>
      </w:r>
    </w:p>
  </w:footnote>
  <w:footnote w:id="80">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MINUGUA, </w:t>
      </w:r>
      <w:hyperlink r:id="rId10" w:history="1">
        <w:r w:rsidRPr="00054F34">
          <w:rPr>
            <w:rStyle w:val="Hyperlink"/>
            <w:rFonts w:asciiTheme="majorHAnsi" w:hAnsiTheme="majorHAnsi"/>
            <w:sz w:val="16"/>
            <w:szCs w:val="16"/>
            <w:u w:val="none"/>
            <w:lang w:val="es-ES"/>
          </w:rPr>
          <w:t>Informe sobre Derechos Humanos, septiembre de 2000</w:t>
        </w:r>
      </w:hyperlink>
      <w:r w:rsidRPr="00054F34">
        <w:rPr>
          <w:rFonts w:asciiTheme="majorHAnsi" w:hAnsiTheme="majorHAnsi"/>
          <w:sz w:val="16"/>
          <w:szCs w:val="16"/>
          <w:lang w:val="es-ES"/>
        </w:rPr>
        <w:t xml:space="preserve">. </w:t>
      </w:r>
    </w:p>
  </w:footnote>
  <w:footnote w:id="81">
    <w:p w:rsidR="00054F34" w:rsidRPr="00054F34" w:rsidRDefault="00054F34" w:rsidP="00996FA3">
      <w:pPr>
        <w:pStyle w:val="FootnoteText"/>
        <w:spacing w:after="120"/>
        <w:ind w:firstLine="720"/>
        <w:jc w:val="both"/>
        <w:rPr>
          <w:rFonts w:asciiTheme="majorHAnsi" w:hAnsiTheme="majorHAnsi"/>
          <w:sz w:val="16"/>
          <w:szCs w:val="16"/>
          <w:lang w:val="es-CO"/>
        </w:rPr>
      </w:pPr>
      <w:r w:rsidRPr="00054F34">
        <w:rPr>
          <w:rStyle w:val="FootnoteReference"/>
          <w:rFonts w:asciiTheme="majorHAnsi" w:hAnsiTheme="majorHAnsi"/>
          <w:sz w:val="16"/>
          <w:szCs w:val="16"/>
        </w:rPr>
        <w:footnoteRef/>
      </w:r>
      <w:r w:rsidRPr="00054F34">
        <w:rPr>
          <w:rFonts w:asciiTheme="majorHAnsi" w:hAnsiTheme="majorHAnsi"/>
          <w:sz w:val="16"/>
          <w:szCs w:val="16"/>
          <w:lang w:val="es-CO"/>
        </w:rPr>
        <w:t xml:space="preserve"> Comisión para el Esclarecimiento Histórico, </w:t>
      </w:r>
      <w:hyperlink r:id="rId11" w:history="1">
        <w:r w:rsidRPr="00054F34">
          <w:rPr>
            <w:rStyle w:val="Hyperlink"/>
            <w:rFonts w:asciiTheme="majorHAnsi" w:hAnsiTheme="majorHAnsi"/>
            <w:sz w:val="16"/>
            <w:szCs w:val="16"/>
            <w:u w:val="none"/>
            <w:lang w:val="es-CO"/>
          </w:rPr>
          <w:t>Guatemala – Memoria del Silencio</w:t>
        </w:r>
      </w:hyperlink>
      <w:r w:rsidRPr="00054F34">
        <w:rPr>
          <w:rFonts w:asciiTheme="majorHAnsi" w:hAnsiTheme="majorHAnsi"/>
          <w:sz w:val="16"/>
          <w:szCs w:val="16"/>
          <w:lang w:val="es-CO"/>
        </w:rPr>
        <w:t>, Conclusiones y Recomendaciones, párr. 26.</w:t>
      </w:r>
    </w:p>
  </w:footnote>
  <w:footnote w:id="82">
    <w:p w:rsidR="00054F34" w:rsidRPr="00054F34" w:rsidRDefault="00054F34" w:rsidP="00996FA3">
      <w:pPr>
        <w:pStyle w:val="FootnoteText"/>
        <w:spacing w:after="120"/>
        <w:ind w:firstLine="720"/>
        <w:jc w:val="both"/>
        <w:rPr>
          <w:rFonts w:asciiTheme="majorHAnsi" w:hAnsiTheme="majorHAnsi"/>
          <w:sz w:val="16"/>
          <w:szCs w:val="16"/>
          <w:lang w:val="es-CO"/>
        </w:rPr>
      </w:pPr>
      <w:r w:rsidRPr="00054F34">
        <w:rPr>
          <w:rStyle w:val="FootnoteReference"/>
          <w:rFonts w:asciiTheme="majorHAnsi" w:hAnsiTheme="majorHAnsi"/>
          <w:sz w:val="16"/>
          <w:szCs w:val="16"/>
        </w:rPr>
        <w:footnoteRef/>
      </w:r>
      <w:r w:rsidRPr="00054F34">
        <w:rPr>
          <w:rFonts w:asciiTheme="majorHAnsi" w:hAnsiTheme="majorHAnsi"/>
          <w:sz w:val="16"/>
          <w:szCs w:val="16"/>
          <w:lang w:val="es-CO"/>
        </w:rPr>
        <w:t xml:space="preserve"> Comisión para el Esclarecimiento Histórico, </w:t>
      </w:r>
      <w:hyperlink r:id="rId12" w:history="1">
        <w:r w:rsidRPr="00054F34">
          <w:rPr>
            <w:rStyle w:val="Hyperlink"/>
            <w:rFonts w:asciiTheme="majorHAnsi" w:hAnsiTheme="majorHAnsi"/>
            <w:sz w:val="16"/>
            <w:szCs w:val="16"/>
            <w:u w:val="none"/>
            <w:lang w:val="es-CO"/>
          </w:rPr>
          <w:t>Guatemala – Memoria del Silencio</w:t>
        </w:r>
      </w:hyperlink>
      <w:r w:rsidRPr="00054F34">
        <w:rPr>
          <w:rFonts w:asciiTheme="majorHAnsi" w:hAnsiTheme="majorHAnsi"/>
          <w:sz w:val="16"/>
          <w:szCs w:val="16"/>
          <w:lang w:val="es-CO"/>
        </w:rPr>
        <w:t>, Conclusiones y Recomendaciones, párr. 83.</w:t>
      </w:r>
    </w:p>
  </w:footnote>
  <w:footnote w:id="83">
    <w:p w:rsidR="00054F34" w:rsidRPr="00054F34" w:rsidRDefault="00054F34" w:rsidP="00996FA3">
      <w:pPr>
        <w:pStyle w:val="FootnoteText"/>
        <w:spacing w:after="120"/>
        <w:ind w:firstLine="720"/>
        <w:jc w:val="both"/>
        <w:rPr>
          <w:rFonts w:asciiTheme="majorHAnsi" w:hAnsiTheme="majorHAnsi"/>
          <w:sz w:val="16"/>
          <w:szCs w:val="16"/>
          <w:lang w:val="es-CO"/>
        </w:rPr>
      </w:pPr>
      <w:r w:rsidRPr="00054F34">
        <w:rPr>
          <w:rStyle w:val="FootnoteReference"/>
          <w:rFonts w:asciiTheme="majorHAnsi" w:hAnsiTheme="majorHAnsi"/>
          <w:sz w:val="16"/>
          <w:szCs w:val="16"/>
        </w:rPr>
        <w:footnoteRef/>
      </w:r>
      <w:r w:rsidRPr="00054F34">
        <w:rPr>
          <w:rFonts w:asciiTheme="majorHAnsi" w:hAnsiTheme="majorHAnsi"/>
          <w:sz w:val="16"/>
          <w:szCs w:val="16"/>
          <w:lang w:val="es-CO"/>
        </w:rPr>
        <w:t xml:space="preserve"> Comisión para el Esclarecimiento Histórico, </w:t>
      </w:r>
      <w:hyperlink r:id="rId13" w:history="1">
        <w:r w:rsidRPr="00054F34">
          <w:rPr>
            <w:rStyle w:val="Hyperlink"/>
            <w:rFonts w:asciiTheme="majorHAnsi" w:hAnsiTheme="majorHAnsi"/>
            <w:sz w:val="16"/>
            <w:szCs w:val="16"/>
            <w:u w:val="none"/>
            <w:lang w:val="es-CO"/>
          </w:rPr>
          <w:t>Guatemala – Memoria del Silencio</w:t>
        </w:r>
      </w:hyperlink>
      <w:r w:rsidRPr="00054F34">
        <w:rPr>
          <w:rFonts w:asciiTheme="majorHAnsi" w:hAnsiTheme="majorHAnsi"/>
          <w:sz w:val="16"/>
          <w:szCs w:val="16"/>
          <w:lang w:val="es-CO"/>
        </w:rPr>
        <w:t>, Conclusiones y Recomendaciones, párr. 146.</w:t>
      </w:r>
    </w:p>
  </w:footnote>
  <w:footnote w:id="84">
    <w:p w:rsidR="00054F34" w:rsidRPr="00054F34" w:rsidRDefault="00054F34" w:rsidP="00996FA3">
      <w:pPr>
        <w:spacing w:after="120"/>
        <w:ind w:firstLine="720"/>
        <w:jc w:val="both"/>
        <w:rPr>
          <w:rFonts w:asciiTheme="majorHAnsi" w:eastAsia="Times New Roman" w:hAnsiTheme="majorHAnsi"/>
          <w:sz w:val="16"/>
          <w:szCs w:val="16"/>
          <w:lang w:val="es-CO"/>
        </w:rPr>
      </w:pPr>
      <w:r w:rsidRPr="00054F34">
        <w:rPr>
          <w:rStyle w:val="FootnoteReference"/>
          <w:rFonts w:asciiTheme="majorHAnsi" w:hAnsiTheme="majorHAnsi"/>
          <w:sz w:val="16"/>
          <w:szCs w:val="16"/>
        </w:rPr>
        <w:footnoteRef/>
      </w:r>
      <w:r w:rsidRPr="00054F34">
        <w:rPr>
          <w:rFonts w:asciiTheme="majorHAnsi" w:hAnsiTheme="majorHAnsi"/>
          <w:sz w:val="16"/>
          <w:szCs w:val="16"/>
          <w:lang w:val="es-CO"/>
        </w:rPr>
        <w:t xml:space="preserve"> </w:t>
      </w:r>
      <w:r w:rsidRPr="00054F34">
        <w:rPr>
          <w:rFonts w:asciiTheme="majorHAnsi" w:eastAsia="Times New Roman" w:hAnsiTheme="majorHAnsi"/>
          <w:bCs/>
          <w:color w:val="000000"/>
          <w:sz w:val="16"/>
          <w:szCs w:val="16"/>
          <w:shd w:val="clear" w:color="auto" w:fill="FFFFFF"/>
          <w:lang w:val="es-CO"/>
        </w:rPr>
        <w:t xml:space="preserve">Corte IDH. </w:t>
      </w:r>
      <w:r w:rsidRPr="00054F34">
        <w:rPr>
          <w:rFonts w:asciiTheme="majorHAnsi" w:eastAsia="Times New Roman" w:hAnsiTheme="majorHAnsi"/>
          <w:bCs/>
          <w:i/>
          <w:color w:val="000000"/>
          <w:sz w:val="16"/>
          <w:szCs w:val="16"/>
          <w:shd w:val="clear" w:color="auto" w:fill="FFFFFF"/>
          <w:lang w:val="es-CO"/>
        </w:rPr>
        <w:t>Caso García y familiares Vs. Guatemala</w:t>
      </w:r>
      <w:r w:rsidRPr="00054F34">
        <w:rPr>
          <w:rFonts w:asciiTheme="majorHAnsi" w:eastAsia="Times New Roman" w:hAnsiTheme="majorHAnsi"/>
          <w:bCs/>
          <w:color w:val="000000"/>
          <w:sz w:val="16"/>
          <w:szCs w:val="16"/>
          <w:shd w:val="clear" w:color="auto" w:fill="FFFFFF"/>
          <w:lang w:val="es-CO"/>
        </w:rPr>
        <w:t>. Fondo Reparaciones y Costas. Sentencia de 29 noviembre de 2012 Serie C No. 258, párr. 118.</w:t>
      </w:r>
      <w:r w:rsidRPr="00054F34">
        <w:rPr>
          <w:rFonts w:asciiTheme="majorHAnsi" w:eastAsia="Times New Roman" w:hAnsiTheme="majorHAnsi"/>
          <w:b/>
          <w:bCs/>
          <w:color w:val="000000"/>
          <w:sz w:val="16"/>
          <w:szCs w:val="16"/>
          <w:shd w:val="clear" w:color="auto" w:fill="FFFFFF"/>
          <w:lang w:val="es-CO"/>
        </w:rPr>
        <w:t xml:space="preserve"> </w:t>
      </w:r>
    </w:p>
  </w:footnote>
  <w:footnote w:id="85">
    <w:p w:rsidR="00054F34" w:rsidRPr="00054F34" w:rsidRDefault="00054F34" w:rsidP="00996FA3">
      <w:pPr>
        <w:pStyle w:val="FootnoteText"/>
        <w:spacing w:after="120"/>
        <w:ind w:firstLine="720"/>
        <w:jc w:val="both"/>
        <w:rPr>
          <w:rFonts w:asciiTheme="majorHAnsi" w:hAnsiTheme="majorHAnsi"/>
          <w:sz w:val="16"/>
          <w:szCs w:val="16"/>
          <w:lang w:val="es-CO"/>
        </w:rPr>
      </w:pPr>
      <w:r w:rsidRPr="00054F34">
        <w:rPr>
          <w:rStyle w:val="FootnoteReference"/>
          <w:rFonts w:asciiTheme="majorHAnsi" w:hAnsiTheme="majorHAnsi"/>
          <w:sz w:val="16"/>
          <w:szCs w:val="16"/>
        </w:rPr>
        <w:footnoteRef/>
      </w:r>
      <w:r w:rsidRPr="00054F34">
        <w:rPr>
          <w:rFonts w:asciiTheme="majorHAnsi" w:hAnsiTheme="majorHAnsi"/>
          <w:sz w:val="16"/>
          <w:szCs w:val="16"/>
          <w:lang w:val="es-CO"/>
        </w:rPr>
        <w:t xml:space="preserve"> </w:t>
      </w:r>
      <w:r w:rsidRPr="00054F34">
        <w:rPr>
          <w:rFonts w:asciiTheme="majorHAnsi" w:eastAsia="Times New Roman" w:hAnsiTheme="majorHAnsi"/>
          <w:bCs/>
          <w:sz w:val="16"/>
          <w:szCs w:val="16"/>
          <w:shd w:val="clear" w:color="auto" w:fill="FFFFFF"/>
          <w:lang w:val="es-CO"/>
        </w:rPr>
        <w:t xml:space="preserve">Corte IDH. </w:t>
      </w:r>
      <w:r w:rsidRPr="00054F34">
        <w:rPr>
          <w:rFonts w:asciiTheme="majorHAnsi" w:eastAsia="Times New Roman" w:hAnsiTheme="majorHAnsi"/>
          <w:bCs/>
          <w:i/>
          <w:sz w:val="16"/>
          <w:szCs w:val="16"/>
          <w:shd w:val="clear" w:color="auto" w:fill="FFFFFF"/>
          <w:lang w:val="es-CO"/>
        </w:rPr>
        <w:t>Caso García y familiares Vs. Guatemala</w:t>
      </w:r>
      <w:r w:rsidRPr="00054F34">
        <w:rPr>
          <w:rFonts w:asciiTheme="majorHAnsi" w:eastAsia="Times New Roman" w:hAnsiTheme="majorHAnsi"/>
          <w:bCs/>
          <w:sz w:val="16"/>
          <w:szCs w:val="16"/>
          <w:shd w:val="clear" w:color="auto" w:fill="FFFFFF"/>
          <w:lang w:val="es-CO"/>
        </w:rPr>
        <w:t>. Fondo Reparaciones y Costas. Sentencia de 29 noviembre de 2012 Serie C No. 258, párr. 120.</w:t>
      </w:r>
    </w:p>
  </w:footnote>
  <w:footnote w:id="86">
    <w:p w:rsidR="00054F34" w:rsidRPr="00054F34" w:rsidRDefault="00054F34" w:rsidP="00996FA3">
      <w:pPr>
        <w:pStyle w:val="FootnoteText"/>
        <w:spacing w:after="120"/>
        <w:ind w:firstLine="720"/>
        <w:jc w:val="both"/>
        <w:rPr>
          <w:rFonts w:asciiTheme="majorHAnsi" w:hAnsiTheme="majorHAnsi"/>
          <w:sz w:val="16"/>
          <w:szCs w:val="16"/>
          <w:lang w:val="es-CO"/>
        </w:rPr>
      </w:pPr>
      <w:r w:rsidRPr="00054F34">
        <w:rPr>
          <w:rStyle w:val="FootnoteReference"/>
          <w:rFonts w:asciiTheme="majorHAnsi" w:hAnsiTheme="majorHAnsi"/>
          <w:sz w:val="16"/>
          <w:szCs w:val="16"/>
        </w:rPr>
        <w:footnoteRef/>
      </w:r>
      <w:r w:rsidRPr="00054F34">
        <w:rPr>
          <w:rFonts w:asciiTheme="majorHAnsi" w:hAnsiTheme="majorHAnsi"/>
          <w:sz w:val="16"/>
          <w:szCs w:val="16"/>
          <w:lang w:val="es-CO"/>
        </w:rPr>
        <w:t xml:space="preserve"> CIDH, Informe No. 29/96, Caso 11.303, Fondo, Carlos Gómez, 16 de octubre de 1996, párr. 67.</w:t>
      </w:r>
    </w:p>
  </w:footnote>
  <w:footnote w:id="87">
    <w:p w:rsidR="00054F34" w:rsidRPr="00054F34" w:rsidRDefault="00054F34" w:rsidP="00996FA3">
      <w:pPr>
        <w:spacing w:after="120"/>
        <w:ind w:firstLine="720"/>
        <w:jc w:val="both"/>
        <w:rPr>
          <w:rFonts w:asciiTheme="majorHAnsi" w:eastAsia="Times New Roman" w:hAnsiTheme="majorHAnsi"/>
          <w:sz w:val="16"/>
          <w:szCs w:val="16"/>
          <w:lang w:val="es-CO"/>
        </w:rPr>
      </w:pPr>
      <w:r w:rsidRPr="00054F34">
        <w:rPr>
          <w:rStyle w:val="FootnoteReference"/>
          <w:rFonts w:asciiTheme="majorHAnsi" w:hAnsiTheme="majorHAnsi"/>
          <w:sz w:val="16"/>
          <w:szCs w:val="16"/>
        </w:rPr>
        <w:footnoteRef/>
      </w:r>
      <w:r w:rsidRPr="00054F34">
        <w:rPr>
          <w:rFonts w:asciiTheme="majorHAnsi" w:hAnsiTheme="majorHAnsi"/>
          <w:sz w:val="16"/>
          <w:szCs w:val="16"/>
          <w:lang w:val="es-CO"/>
        </w:rPr>
        <w:t xml:space="preserve"> OIT, Comisión de Encuesta, </w:t>
      </w:r>
      <w:hyperlink r:id="rId14" w:history="1">
        <w:r w:rsidRPr="00054F34">
          <w:rPr>
            <w:rStyle w:val="Hyperlink"/>
            <w:rFonts w:asciiTheme="majorHAnsi" w:eastAsia="Times New Roman" w:hAnsiTheme="majorHAnsi"/>
            <w:sz w:val="16"/>
            <w:szCs w:val="16"/>
            <w:u w:val="none"/>
            <w:lang w:val="es-CO"/>
          </w:rPr>
          <w:t>Convenio sobre la libertad sindical y la protección del derecho de sindicación, 1948</w:t>
        </w:r>
      </w:hyperlink>
      <w:r w:rsidRPr="00054F34">
        <w:rPr>
          <w:rFonts w:asciiTheme="majorHAnsi" w:eastAsia="Times New Roman" w:hAnsiTheme="majorHAnsi"/>
          <w:sz w:val="16"/>
          <w:szCs w:val="16"/>
          <w:lang w:val="es-CO"/>
        </w:rPr>
        <w:t>.</w:t>
      </w:r>
    </w:p>
  </w:footnote>
  <w:footnote w:id="88">
    <w:p w:rsidR="00054F34" w:rsidRPr="00054F34" w:rsidRDefault="00054F34" w:rsidP="00996FA3">
      <w:pPr>
        <w:pStyle w:val="FootnoteText"/>
        <w:tabs>
          <w:tab w:val="left" w:pos="720"/>
        </w:tabs>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Comunicado de la Oficina de Derechos Humanos del Arzobispado de Guatemala. Anexo 1 a la petición inicial.</w:t>
      </w:r>
    </w:p>
  </w:footnote>
  <w:footnote w:id="89">
    <w:p w:rsidR="00054F34" w:rsidRPr="00054F34" w:rsidRDefault="00054F34" w:rsidP="00996FA3">
      <w:pPr>
        <w:pStyle w:val="FootnoteText"/>
        <w:tabs>
          <w:tab w:val="left" w:pos="720"/>
        </w:tabs>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Comunicado de la Oficina de Derechos Humanos del Arzobispado de Guatemala. Anexo 1 a la petición inicial.</w:t>
      </w:r>
    </w:p>
  </w:footnote>
  <w:footnote w:id="90">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Artículo 4.1 de la Convención Americana: Toda persona tiene derecho a que se respete su vida.  Este derecho estará protegido por la ley y, en general, a partir del momento de la concepción.  Nadie puede ser privado de la vida arbitrariamente.</w:t>
      </w:r>
    </w:p>
  </w:footnote>
  <w:footnote w:id="91">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Artículo 5.1 de la Convención Americana: </w:t>
      </w:r>
      <w:r w:rsidRPr="00054F34">
        <w:rPr>
          <w:rFonts w:asciiTheme="majorHAnsi" w:hAnsiTheme="majorHAnsi" w:cs="Tahoma"/>
          <w:sz w:val="16"/>
          <w:szCs w:val="16"/>
          <w:lang w:val="es-ES"/>
        </w:rPr>
        <w:t>Toda persona tiene derecho a que se respete su integridad física, psíquica y moral.</w:t>
      </w:r>
    </w:p>
  </w:footnote>
  <w:footnote w:id="92">
    <w:p w:rsidR="00054F34" w:rsidRPr="00054F34" w:rsidRDefault="00054F34" w:rsidP="00996FA3">
      <w:pPr>
        <w:tabs>
          <w:tab w:val="left" w:pos="360"/>
        </w:tabs>
        <w:suppressAutoHyphens/>
        <w:spacing w:after="120"/>
        <w:jc w:val="both"/>
        <w:rPr>
          <w:rFonts w:asciiTheme="majorHAnsi" w:hAnsiTheme="majorHAnsi"/>
          <w:spacing w:val="-3"/>
          <w:sz w:val="16"/>
          <w:szCs w:val="16"/>
          <w:lang w:val="es-ES"/>
        </w:rPr>
      </w:pPr>
      <w:r w:rsidRPr="00054F34">
        <w:rPr>
          <w:rFonts w:asciiTheme="majorHAnsi" w:hAnsiTheme="majorHAnsi"/>
          <w:sz w:val="16"/>
          <w:szCs w:val="16"/>
          <w:lang w:val="es-ES"/>
        </w:rPr>
        <w:tab/>
      </w:r>
      <w:r w:rsidRPr="00054F34">
        <w:rPr>
          <w:rFonts w:asciiTheme="majorHAnsi" w:hAnsiTheme="majorHAnsi"/>
          <w:sz w:val="16"/>
          <w:szCs w:val="16"/>
          <w:lang w:val="es-ES"/>
        </w:rPr>
        <w:tab/>
      </w: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Artículo 7.1 de la Convención Americana: </w:t>
      </w:r>
      <w:r w:rsidRPr="00054F34">
        <w:rPr>
          <w:rFonts w:asciiTheme="majorHAnsi" w:hAnsiTheme="majorHAnsi"/>
          <w:spacing w:val="-3"/>
          <w:sz w:val="16"/>
          <w:szCs w:val="16"/>
          <w:lang w:val="es-ES"/>
        </w:rPr>
        <w:t>Toda persona tiene derecho a la libertad y a la seguridad personales.</w:t>
      </w:r>
    </w:p>
  </w:footnote>
  <w:footnote w:id="93">
    <w:p w:rsidR="00054F34" w:rsidRPr="00054F34" w:rsidRDefault="00054F34" w:rsidP="00996FA3">
      <w:pPr>
        <w:pStyle w:val="FootnoteText"/>
        <w:spacing w:after="120"/>
        <w:ind w:firstLine="720"/>
        <w:jc w:val="both"/>
        <w:rPr>
          <w:rFonts w:asciiTheme="majorHAnsi" w:hAnsiTheme="majorHAnsi"/>
          <w:sz w:val="16"/>
          <w:szCs w:val="16"/>
          <w:lang w:val="es-CO"/>
        </w:rPr>
      </w:pPr>
      <w:r w:rsidRPr="00054F34">
        <w:rPr>
          <w:rStyle w:val="FootnoteReference"/>
          <w:rFonts w:asciiTheme="majorHAnsi" w:hAnsiTheme="majorHAnsi"/>
          <w:sz w:val="16"/>
          <w:szCs w:val="16"/>
        </w:rPr>
        <w:footnoteRef/>
      </w:r>
      <w:r w:rsidRPr="00054F34">
        <w:rPr>
          <w:rFonts w:asciiTheme="majorHAnsi" w:hAnsiTheme="majorHAnsi"/>
          <w:sz w:val="16"/>
          <w:szCs w:val="16"/>
          <w:lang w:val="es-CO"/>
        </w:rPr>
        <w:t xml:space="preserve"> Artículo 16.1 de la Convención Americana: </w:t>
      </w:r>
      <w:r w:rsidRPr="00054F34">
        <w:rPr>
          <w:rFonts w:asciiTheme="majorHAnsi" w:hAnsiTheme="majorHAnsi"/>
          <w:spacing w:val="-3"/>
          <w:sz w:val="16"/>
          <w:szCs w:val="16"/>
          <w:lang w:val="es-ES"/>
        </w:rPr>
        <w:t>Todas las personas tienen derecho a asociarse libremente con fines ideológicos, religiosos, políticos, económicos, laborales, sociales, culturales, deportivos o de cualquiera otra índole.</w:t>
      </w:r>
    </w:p>
  </w:footnote>
  <w:footnote w:id="94">
    <w:p w:rsidR="00054F34" w:rsidRPr="00054F34" w:rsidRDefault="00054F34" w:rsidP="00996FA3">
      <w:pPr>
        <w:spacing w:after="120"/>
        <w:ind w:firstLine="720"/>
        <w:jc w:val="both"/>
        <w:rPr>
          <w:rFonts w:asciiTheme="majorHAnsi" w:hAnsiTheme="majorHAnsi"/>
          <w:sz w:val="16"/>
          <w:szCs w:val="16"/>
          <w:lang w:val="es-CO"/>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CIDH, Informe No. 13/15, Caso 12.349, Informe de admisibilidad y fondo, Mayra Angelina Gutiérrez Hernández y familia, Guatemala, 23 de marzo de 2015, párr. </w:t>
      </w:r>
      <w:r w:rsidRPr="00054F34">
        <w:rPr>
          <w:rFonts w:asciiTheme="majorHAnsi" w:hAnsiTheme="majorHAnsi"/>
          <w:sz w:val="16"/>
          <w:szCs w:val="16"/>
          <w:lang w:val="es-CO"/>
        </w:rPr>
        <w:t xml:space="preserve">165. Corte IDH. </w:t>
      </w:r>
      <w:r w:rsidRPr="00054F34">
        <w:rPr>
          <w:rFonts w:asciiTheme="majorHAnsi" w:hAnsiTheme="majorHAnsi"/>
          <w:bCs/>
          <w:i/>
          <w:sz w:val="16"/>
          <w:szCs w:val="16"/>
          <w:lang w:val="es-CO"/>
        </w:rPr>
        <w:t>Caso González y otras (“Campo Algodonero”) Vs. México</w:t>
      </w:r>
      <w:r w:rsidRPr="00054F34">
        <w:rPr>
          <w:rFonts w:asciiTheme="majorHAnsi" w:hAnsiTheme="majorHAnsi"/>
          <w:b/>
          <w:bCs/>
          <w:sz w:val="16"/>
          <w:szCs w:val="16"/>
          <w:lang w:val="es-CO"/>
        </w:rPr>
        <w:t xml:space="preserve">. </w:t>
      </w:r>
      <w:r w:rsidRPr="00054F34">
        <w:rPr>
          <w:rFonts w:asciiTheme="majorHAnsi" w:hAnsiTheme="majorHAnsi"/>
          <w:sz w:val="16"/>
          <w:szCs w:val="16"/>
          <w:lang w:val="es-CO"/>
        </w:rPr>
        <w:t xml:space="preserve">Excepción Preliminar, Fondo, Reparaciones y Costas. Sentencia de 16 de noviembre de 2009. Serie C No. 205, párr. 243. </w:t>
      </w:r>
    </w:p>
  </w:footnote>
  <w:footnote w:id="95">
    <w:p w:rsidR="00054F34" w:rsidRPr="00054F34" w:rsidRDefault="00054F34" w:rsidP="00996FA3">
      <w:pPr>
        <w:tabs>
          <w:tab w:val="left" w:pos="900"/>
          <w:tab w:val="left" w:pos="1080"/>
        </w:tabs>
        <w:autoSpaceDE w:val="0"/>
        <w:autoSpaceDN w:val="0"/>
        <w:adjustRightInd w:val="0"/>
        <w:spacing w:after="120"/>
        <w:ind w:firstLine="720"/>
        <w:jc w:val="both"/>
        <w:rPr>
          <w:rFonts w:asciiTheme="majorHAnsi" w:hAnsiTheme="majorHAnsi"/>
          <w:sz w:val="16"/>
          <w:szCs w:val="16"/>
          <w:lang w:val="es-CO"/>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Corte IDH. </w:t>
      </w:r>
      <w:r w:rsidRPr="00054F34">
        <w:rPr>
          <w:rFonts w:asciiTheme="majorHAnsi" w:hAnsiTheme="majorHAnsi"/>
          <w:i/>
          <w:sz w:val="16"/>
          <w:szCs w:val="16"/>
          <w:lang w:val="es-ES"/>
        </w:rPr>
        <w:t xml:space="preserve">Caso Anzualdo Castro Vs. </w:t>
      </w:r>
      <w:r w:rsidRPr="00054F34">
        <w:rPr>
          <w:rFonts w:asciiTheme="majorHAnsi" w:hAnsiTheme="majorHAnsi"/>
          <w:i/>
          <w:sz w:val="16"/>
          <w:szCs w:val="16"/>
          <w:lang w:val="es-CO"/>
        </w:rPr>
        <w:t>Perú</w:t>
      </w:r>
      <w:r w:rsidRPr="00054F34">
        <w:rPr>
          <w:rFonts w:asciiTheme="majorHAnsi" w:hAnsiTheme="majorHAnsi"/>
          <w:sz w:val="16"/>
          <w:szCs w:val="16"/>
          <w:lang w:val="es-CO"/>
        </w:rPr>
        <w:t xml:space="preserve">. Excepción Preliminar, Fondo, Reparaciones y Costas. </w:t>
      </w:r>
      <w:r w:rsidRPr="00054F34">
        <w:rPr>
          <w:rFonts w:asciiTheme="majorHAnsi" w:hAnsiTheme="majorHAnsi"/>
          <w:sz w:val="16"/>
          <w:szCs w:val="16"/>
          <w:lang w:val="es-CR"/>
        </w:rPr>
        <w:t xml:space="preserve">Sentencia de 22 </w:t>
      </w:r>
      <w:r w:rsidRPr="00054F34">
        <w:rPr>
          <w:rFonts w:asciiTheme="majorHAnsi" w:hAnsiTheme="majorHAnsi"/>
          <w:sz w:val="16"/>
          <w:szCs w:val="16"/>
          <w:lang w:val="es-CO"/>
        </w:rPr>
        <w:t xml:space="preserve">de Septiembre de 2009. Serie C No. 202, párr. 134; </w:t>
      </w:r>
      <w:r w:rsidRPr="00054F34">
        <w:rPr>
          <w:rFonts w:asciiTheme="majorHAnsi" w:hAnsiTheme="majorHAnsi"/>
          <w:bCs/>
          <w:sz w:val="16"/>
          <w:szCs w:val="16"/>
          <w:lang w:val="es-CO"/>
        </w:rPr>
        <w:t xml:space="preserve">y </w:t>
      </w:r>
      <w:r w:rsidRPr="00054F34">
        <w:rPr>
          <w:rFonts w:asciiTheme="majorHAnsi" w:hAnsiTheme="majorHAnsi"/>
          <w:bCs/>
          <w:i/>
          <w:sz w:val="16"/>
          <w:szCs w:val="16"/>
          <w:lang w:val="es-CO"/>
        </w:rPr>
        <w:t>Caso Radilla Pacheco Vs. México</w:t>
      </w:r>
      <w:r w:rsidRPr="00054F34">
        <w:rPr>
          <w:rFonts w:asciiTheme="majorHAnsi" w:hAnsiTheme="majorHAnsi"/>
          <w:bCs/>
          <w:sz w:val="16"/>
          <w:szCs w:val="16"/>
          <w:lang w:val="es-CO"/>
        </w:rPr>
        <w:t>.</w:t>
      </w:r>
      <w:r w:rsidRPr="00054F34">
        <w:rPr>
          <w:rFonts w:asciiTheme="majorHAnsi" w:hAnsiTheme="majorHAnsi"/>
          <w:b/>
          <w:bCs/>
          <w:sz w:val="16"/>
          <w:szCs w:val="16"/>
          <w:lang w:val="es-CO"/>
        </w:rPr>
        <w:t xml:space="preserve"> </w:t>
      </w:r>
      <w:r w:rsidRPr="00054F34">
        <w:rPr>
          <w:rFonts w:asciiTheme="majorHAnsi" w:hAnsiTheme="majorHAnsi"/>
          <w:sz w:val="16"/>
          <w:szCs w:val="16"/>
          <w:lang w:val="es-CO"/>
        </w:rPr>
        <w:t xml:space="preserve">Excepciones Preliminares, Fondo, Reparaciones y Costas. Sentencia de 23 de Noviembre de 2009. Serie C No. 209, párr. 221. </w:t>
      </w:r>
    </w:p>
    <w:p w:rsidR="00054F34" w:rsidRPr="00054F34" w:rsidRDefault="00054F34" w:rsidP="00996FA3">
      <w:pPr>
        <w:tabs>
          <w:tab w:val="left" w:pos="900"/>
          <w:tab w:val="left" w:pos="1080"/>
        </w:tabs>
        <w:autoSpaceDE w:val="0"/>
        <w:autoSpaceDN w:val="0"/>
        <w:adjustRightInd w:val="0"/>
        <w:spacing w:after="120"/>
        <w:ind w:firstLine="720"/>
        <w:jc w:val="both"/>
        <w:rPr>
          <w:rFonts w:asciiTheme="majorHAnsi" w:hAnsiTheme="majorHAnsi"/>
          <w:sz w:val="16"/>
          <w:szCs w:val="16"/>
          <w:lang w:val="es-CR"/>
        </w:rPr>
      </w:pPr>
    </w:p>
  </w:footnote>
  <w:footnote w:id="96">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Corte IDH. </w:t>
      </w:r>
      <w:r w:rsidRPr="00054F34">
        <w:rPr>
          <w:rFonts w:asciiTheme="majorHAnsi" w:hAnsiTheme="majorHAnsi"/>
          <w:i/>
          <w:sz w:val="16"/>
          <w:szCs w:val="16"/>
          <w:lang w:val="es-ES"/>
        </w:rPr>
        <w:t>Caso Velásquez Paiz y otros Vs. Guatemala</w:t>
      </w:r>
      <w:r w:rsidRPr="00054F34">
        <w:rPr>
          <w:rFonts w:asciiTheme="majorHAnsi" w:hAnsiTheme="majorHAnsi"/>
          <w:sz w:val="16"/>
          <w:szCs w:val="16"/>
          <w:lang w:val="es-ES"/>
        </w:rPr>
        <w:t>. Excepciones Preliminares, Fondo, Reparaciones y Costas. Sentencia de 19 de noviembre de 2015. Serie C No. 307, párr. 109.</w:t>
      </w:r>
    </w:p>
  </w:footnote>
  <w:footnote w:id="97">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lang w:val="es-ES"/>
        </w:rPr>
        <w:footnoteRef/>
      </w:r>
      <w:r w:rsidRPr="00054F34">
        <w:rPr>
          <w:rFonts w:asciiTheme="majorHAnsi" w:hAnsiTheme="majorHAnsi"/>
          <w:sz w:val="16"/>
          <w:szCs w:val="16"/>
          <w:lang w:val="es-ES"/>
        </w:rPr>
        <w:t xml:space="preserve"> </w:t>
      </w:r>
      <w:r w:rsidRPr="00054F34">
        <w:rPr>
          <w:rFonts w:asciiTheme="majorHAnsi" w:hAnsiTheme="majorHAnsi" w:cs="Verdana-Bold"/>
          <w:bCs/>
          <w:sz w:val="16"/>
          <w:szCs w:val="16"/>
          <w:lang w:val="es-ES" w:bidi="en-US"/>
        </w:rPr>
        <w:t xml:space="preserve">Corte IDH. </w:t>
      </w:r>
      <w:r w:rsidRPr="00054F34">
        <w:rPr>
          <w:rFonts w:asciiTheme="majorHAnsi" w:hAnsiTheme="majorHAnsi" w:cs="Verdana-Bold"/>
          <w:bCs/>
          <w:i/>
          <w:sz w:val="16"/>
          <w:szCs w:val="16"/>
          <w:lang w:val="es-ES" w:bidi="en-US"/>
        </w:rPr>
        <w:t>Caso Huilca Tecse Vs. Perú</w:t>
      </w:r>
      <w:r w:rsidRPr="00054F34">
        <w:rPr>
          <w:rFonts w:asciiTheme="majorHAnsi" w:hAnsiTheme="majorHAnsi" w:cs="Verdana-Bold"/>
          <w:bCs/>
          <w:sz w:val="16"/>
          <w:szCs w:val="16"/>
          <w:lang w:val="es-ES" w:bidi="en-US"/>
        </w:rPr>
        <w:t xml:space="preserve">. </w:t>
      </w:r>
      <w:r w:rsidRPr="00054F34">
        <w:rPr>
          <w:rFonts w:asciiTheme="majorHAnsi" w:hAnsiTheme="majorHAnsi" w:cs="Verdana"/>
          <w:sz w:val="16"/>
          <w:szCs w:val="16"/>
          <w:lang w:val="es-ES" w:bidi="en-US"/>
        </w:rPr>
        <w:t>Fondo, Reparaciones y Costas. Sentencia de 3 de marzo de 2005, Serie C No. 121</w:t>
      </w:r>
      <w:r w:rsidRPr="00054F34">
        <w:rPr>
          <w:rFonts w:asciiTheme="majorHAnsi" w:hAnsiTheme="majorHAnsi"/>
          <w:sz w:val="16"/>
          <w:szCs w:val="16"/>
          <w:lang w:val="es-ES"/>
        </w:rPr>
        <w:t>, párr. 69.</w:t>
      </w:r>
    </w:p>
  </w:footnote>
  <w:footnote w:id="98">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lang w:val="es-ES"/>
        </w:rPr>
        <w:footnoteRef/>
      </w:r>
      <w:r w:rsidRPr="00054F34">
        <w:rPr>
          <w:rFonts w:asciiTheme="majorHAnsi" w:hAnsiTheme="majorHAnsi"/>
          <w:sz w:val="16"/>
          <w:szCs w:val="16"/>
          <w:lang w:val="es-ES"/>
        </w:rPr>
        <w:t xml:space="preserve"> </w:t>
      </w:r>
      <w:r w:rsidRPr="00054F34">
        <w:rPr>
          <w:rFonts w:asciiTheme="majorHAnsi" w:hAnsiTheme="majorHAnsi" w:cs="Verdana-Bold"/>
          <w:bCs/>
          <w:sz w:val="16"/>
          <w:szCs w:val="16"/>
          <w:lang w:val="es-ES" w:bidi="en-US"/>
        </w:rPr>
        <w:t xml:space="preserve">Corte IDH. </w:t>
      </w:r>
      <w:r w:rsidRPr="00054F34">
        <w:rPr>
          <w:rFonts w:asciiTheme="majorHAnsi" w:hAnsiTheme="majorHAnsi" w:cs="Verdana-Bold"/>
          <w:bCs/>
          <w:i/>
          <w:sz w:val="16"/>
          <w:szCs w:val="16"/>
          <w:lang w:val="es-ES" w:bidi="en-US"/>
        </w:rPr>
        <w:t>Caso Huilca Tecse Vs. Perú</w:t>
      </w:r>
      <w:r w:rsidRPr="00054F34">
        <w:rPr>
          <w:rFonts w:asciiTheme="majorHAnsi" w:hAnsiTheme="majorHAnsi" w:cs="Verdana-Bold"/>
          <w:bCs/>
          <w:sz w:val="16"/>
          <w:szCs w:val="16"/>
          <w:lang w:val="es-ES" w:bidi="en-US"/>
        </w:rPr>
        <w:t xml:space="preserve">. </w:t>
      </w:r>
      <w:r w:rsidRPr="00054F34">
        <w:rPr>
          <w:rFonts w:asciiTheme="majorHAnsi" w:hAnsiTheme="majorHAnsi" w:cs="Verdana"/>
          <w:sz w:val="16"/>
          <w:szCs w:val="16"/>
          <w:lang w:val="es-ES" w:bidi="en-US"/>
        </w:rPr>
        <w:t>Fondo, Reparaciones y Costas. Sentencia de 3 de marzo de 2005, Serie C No. 121</w:t>
      </w:r>
      <w:r w:rsidRPr="00054F34">
        <w:rPr>
          <w:rFonts w:asciiTheme="majorHAnsi" w:hAnsiTheme="majorHAnsi"/>
          <w:sz w:val="16"/>
          <w:szCs w:val="16"/>
          <w:lang w:val="es-ES"/>
        </w:rPr>
        <w:t>, párr. 69.</w:t>
      </w:r>
    </w:p>
  </w:footnote>
  <w:footnote w:id="99">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lang w:val="es-ES"/>
        </w:rPr>
        <w:footnoteRef/>
      </w:r>
      <w:r w:rsidRPr="00054F34">
        <w:rPr>
          <w:rFonts w:asciiTheme="majorHAnsi" w:hAnsiTheme="majorHAnsi"/>
          <w:sz w:val="16"/>
          <w:szCs w:val="16"/>
          <w:lang w:val="es-ES"/>
        </w:rPr>
        <w:t xml:space="preserve"> Corte IDH. </w:t>
      </w:r>
      <w:r w:rsidRPr="00054F34">
        <w:rPr>
          <w:rFonts w:asciiTheme="majorHAnsi" w:hAnsiTheme="majorHAnsi"/>
          <w:i/>
          <w:sz w:val="16"/>
          <w:szCs w:val="16"/>
          <w:lang w:val="es-ES"/>
        </w:rPr>
        <w:t>Caso Kawas Fernández Vs. Honduras</w:t>
      </w:r>
      <w:r w:rsidRPr="00054F34">
        <w:rPr>
          <w:rFonts w:asciiTheme="majorHAnsi" w:hAnsiTheme="majorHAnsi"/>
          <w:sz w:val="16"/>
          <w:szCs w:val="16"/>
          <w:lang w:val="es-ES"/>
        </w:rPr>
        <w:t>. Fondo, Reparaciones y Costas. Sentencia de 3 de abril de 2</w:t>
      </w:r>
      <w:r w:rsidR="00955939">
        <w:rPr>
          <w:rFonts w:asciiTheme="majorHAnsi" w:hAnsiTheme="majorHAnsi"/>
          <w:sz w:val="16"/>
          <w:szCs w:val="16"/>
          <w:lang w:val="es-ES"/>
        </w:rPr>
        <w:t xml:space="preserve">009 Serie C No. 196, párr. 144; </w:t>
      </w:r>
      <w:r w:rsidRPr="00054F34">
        <w:rPr>
          <w:rFonts w:asciiTheme="majorHAnsi" w:hAnsiTheme="majorHAnsi" w:cs="Verdana-Bold"/>
          <w:bCs/>
          <w:i/>
          <w:sz w:val="16"/>
          <w:szCs w:val="16"/>
          <w:lang w:val="es-ES" w:bidi="en-US"/>
        </w:rPr>
        <w:t>Caso Huilca Tecse Vs. Perú</w:t>
      </w:r>
      <w:r w:rsidRPr="00054F34">
        <w:rPr>
          <w:rFonts w:asciiTheme="majorHAnsi" w:hAnsiTheme="majorHAnsi" w:cs="Verdana-Bold"/>
          <w:bCs/>
          <w:sz w:val="16"/>
          <w:szCs w:val="16"/>
          <w:lang w:val="es-ES" w:bidi="en-US"/>
        </w:rPr>
        <w:t xml:space="preserve">. </w:t>
      </w:r>
      <w:r w:rsidRPr="00054F34">
        <w:rPr>
          <w:rFonts w:asciiTheme="majorHAnsi" w:hAnsiTheme="majorHAnsi" w:cs="Verdana"/>
          <w:sz w:val="16"/>
          <w:szCs w:val="16"/>
          <w:lang w:val="es-ES" w:bidi="en-US"/>
        </w:rPr>
        <w:t>Fondo, Reparaciones y Costas. Sentencia de 3 de marzo de 2005, Serie C No. 121</w:t>
      </w:r>
      <w:r w:rsidRPr="00054F34">
        <w:rPr>
          <w:rFonts w:asciiTheme="majorHAnsi" w:hAnsiTheme="majorHAnsi"/>
          <w:sz w:val="16"/>
          <w:szCs w:val="16"/>
          <w:lang w:val="es-ES"/>
        </w:rPr>
        <w:t>, párr. 76</w:t>
      </w:r>
      <w:r w:rsidR="00955939">
        <w:rPr>
          <w:rFonts w:asciiTheme="majorHAnsi" w:hAnsiTheme="majorHAnsi"/>
          <w:sz w:val="16"/>
          <w:szCs w:val="16"/>
          <w:lang w:val="es-ES"/>
        </w:rPr>
        <w:t>;</w:t>
      </w:r>
      <w:r w:rsidRPr="00054F34">
        <w:rPr>
          <w:rFonts w:asciiTheme="majorHAnsi" w:hAnsiTheme="majorHAnsi"/>
          <w:sz w:val="16"/>
          <w:szCs w:val="16"/>
          <w:lang w:val="es-ES"/>
        </w:rPr>
        <w:t xml:space="preserve"> y </w:t>
      </w:r>
      <w:r w:rsidRPr="00054F34">
        <w:rPr>
          <w:rFonts w:asciiTheme="majorHAnsi" w:hAnsiTheme="majorHAnsi"/>
          <w:i/>
          <w:sz w:val="16"/>
          <w:szCs w:val="16"/>
          <w:lang w:val="es-ES"/>
        </w:rPr>
        <w:t>Caso Cantoral Huamaní y García Santa Cruz Vs. Perú</w:t>
      </w:r>
      <w:r w:rsidRPr="00054F34">
        <w:rPr>
          <w:rFonts w:asciiTheme="majorHAnsi" w:hAnsiTheme="majorHAnsi"/>
          <w:sz w:val="16"/>
          <w:szCs w:val="16"/>
          <w:lang w:val="es-ES"/>
        </w:rPr>
        <w:t>. Excepción Preliminar, Fondo, Reparaciones y Costas. Sentencia de 10 de julio de 2007, Serie C No. 167, párr. 141.</w:t>
      </w:r>
    </w:p>
  </w:footnote>
  <w:footnote w:id="100">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Artículo 8.1 de la Convención Americana: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otra índole.</w:t>
      </w:r>
    </w:p>
  </w:footnote>
  <w:footnote w:id="101">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Artículo 25.1 de la Convención Americana: </w:t>
      </w:r>
      <w:r w:rsidRPr="00054F34">
        <w:rPr>
          <w:rFonts w:asciiTheme="majorHAnsi" w:hAnsiTheme="majorHAnsi" w:cs="Tahoma"/>
          <w:sz w:val="16"/>
          <w:szCs w:val="16"/>
          <w:lang w:val="es-ES"/>
        </w:rPr>
        <w:t>Toda persona tiene derecho a un recurso sencillo y rápido o a cualquier otro recurso efectivo ante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02">
    <w:p w:rsidR="00054F34" w:rsidRPr="00054F34" w:rsidRDefault="00054F34" w:rsidP="00996FA3">
      <w:pPr>
        <w:pStyle w:val="FootnoteText"/>
        <w:tabs>
          <w:tab w:val="left" w:pos="720"/>
        </w:tabs>
        <w:spacing w:after="120"/>
        <w:ind w:firstLine="720"/>
        <w:jc w:val="both"/>
        <w:rPr>
          <w:rFonts w:asciiTheme="majorHAnsi" w:hAnsiTheme="majorHAnsi"/>
          <w:spacing w:val="-4"/>
          <w:sz w:val="16"/>
          <w:szCs w:val="16"/>
          <w:lang w:val="es-CR"/>
        </w:rPr>
      </w:pPr>
      <w:r w:rsidRPr="00054F34">
        <w:rPr>
          <w:rStyle w:val="FootnoteReference"/>
          <w:rFonts w:asciiTheme="majorHAnsi" w:hAnsiTheme="majorHAnsi"/>
          <w:spacing w:val="-4"/>
          <w:sz w:val="16"/>
          <w:szCs w:val="16"/>
        </w:rPr>
        <w:footnoteRef/>
      </w:r>
      <w:r w:rsidRPr="00054F34">
        <w:rPr>
          <w:rFonts w:asciiTheme="majorHAnsi" w:hAnsiTheme="majorHAnsi"/>
          <w:spacing w:val="-4"/>
          <w:sz w:val="16"/>
          <w:szCs w:val="16"/>
          <w:lang w:val="es-CR"/>
        </w:rPr>
        <w:t xml:space="preserve"> </w:t>
      </w:r>
      <w:r w:rsidRPr="00054F34">
        <w:rPr>
          <w:rFonts w:asciiTheme="majorHAnsi" w:hAnsiTheme="majorHAnsi"/>
          <w:bCs/>
          <w:sz w:val="16"/>
          <w:szCs w:val="16"/>
          <w:lang w:val="es-CO"/>
        </w:rPr>
        <w:t xml:space="preserve">Corte IDH. </w:t>
      </w:r>
      <w:r w:rsidRPr="00054F34">
        <w:rPr>
          <w:rFonts w:asciiTheme="majorHAnsi" w:hAnsiTheme="majorHAnsi"/>
          <w:bCs/>
          <w:i/>
          <w:sz w:val="16"/>
          <w:szCs w:val="16"/>
          <w:lang w:val="es-CO"/>
        </w:rPr>
        <w:t>Caso Rodríguez Vera y otros (Desaparecidos del Palacio de Justicia) Vs. Colombia</w:t>
      </w:r>
      <w:r w:rsidRPr="00054F34">
        <w:rPr>
          <w:rFonts w:asciiTheme="majorHAnsi" w:hAnsiTheme="majorHAnsi"/>
          <w:bCs/>
          <w:sz w:val="16"/>
          <w:szCs w:val="16"/>
          <w:lang w:val="es-CO"/>
        </w:rPr>
        <w:t>. Excepciones Preliminares, Fondo, Reparaciones y Costas. Sentencia de 14 de noviembre de 2014. Serie C No. 287</w:t>
      </w:r>
      <w:r w:rsidRPr="00054F34">
        <w:rPr>
          <w:rFonts w:asciiTheme="majorHAnsi" w:hAnsiTheme="majorHAnsi"/>
          <w:sz w:val="16"/>
          <w:szCs w:val="16"/>
          <w:lang w:val="es-CO"/>
        </w:rPr>
        <w:t xml:space="preserve">, párr. 435. </w:t>
      </w:r>
    </w:p>
  </w:footnote>
  <w:footnote w:id="103">
    <w:p w:rsidR="00054F34" w:rsidRPr="00054F34" w:rsidRDefault="00054F34" w:rsidP="00996FA3">
      <w:pPr>
        <w:pStyle w:val="FootnoteText"/>
        <w:tabs>
          <w:tab w:val="left" w:pos="720"/>
        </w:tabs>
        <w:spacing w:after="120"/>
        <w:ind w:firstLine="720"/>
        <w:jc w:val="both"/>
        <w:rPr>
          <w:rFonts w:asciiTheme="majorHAnsi" w:hAnsiTheme="majorHAnsi"/>
          <w:spacing w:val="-4"/>
          <w:sz w:val="16"/>
          <w:szCs w:val="16"/>
          <w:lang w:val="es-CR"/>
        </w:rPr>
      </w:pPr>
      <w:r w:rsidRPr="00054F34">
        <w:rPr>
          <w:rStyle w:val="FootnoteReference"/>
          <w:rFonts w:asciiTheme="majorHAnsi" w:hAnsiTheme="majorHAnsi"/>
          <w:spacing w:val="-4"/>
          <w:sz w:val="16"/>
          <w:szCs w:val="16"/>
        </w:rPr>
        <w:footnoteRef/>
      </w:r>
      <w:r w:rsidRPr="00054F34">
        <w:rPr>
          <w:rFonts w:asciiTheme="majorHAnsi" w:hAnsiTheme="majorHAnsi"/>
          <w:spacing w:val="-4"/>
          <w:sz w:val="16"/>
          <w:szCs w:val="16"/>
          <w:lang w:val="es-CR"/>
        </w:rPr>
        <w:t xml:space="preserve"> </w:t>
      </w:r>
      <w:r w:rsidRPr="00054F34">
        <w:rPr>
          <w:rFonts w:asciiTheme="majorHAnsi" w:hAnsiTheme="majorHAnsi"/>
          <w:bCs/>
          <w:sz w:val="16"/>
          <w:szCs w:val="16"/>
          <w:lang w:val="es-CO"/>
        </w:rPr>
        <w:t xml:space="preserve">Corte IDH. </w:t>
      </w:r>
      <w:r w:rsidRPr="00054F34">
        <w:rPr>
          <w:rFonts w:asciiTheme="majorHAnsi" w:hAnsiTheme="majorHAnsi"/>
          <w:i/>
          <w:spacing w:val="-4"/>
          <w:sz w:val="16"/>
          <w:szCs w:val="16"/>
          <w:lang w:val="es-MX"/>
        </w:rPr>
        <w:t>Caso Defensor de Derechos Humanos y otros Vs. Guatemala</w:t>
      </w:r>
      <w:r w:rsidRPr="00054F34">
        <w:rPr>
          <w:rFonts w:asciiTheme="majorHAnsi" w:hAnsiTheme="majorHAnsi"/>
          <w:spacing w:val="-4"/>
          <w:sz w:val="16"/>
          <w:szCs w:val="16"/>
          <w:lang w:val="es-MX"/>
        </w:rPr>
        <w:t>. Excepciones Preliminares, Fondo, Reparaciones y Costas. Sentencia de 28 de agosto de 2014. Serie C No. 283</w:t>
      </w:r>
      <w:r w:rsidRPr="00054F34">
        <w:rPr>
          <w:rFonts w:asciiTheme="majorHAnsi" w:hAnsiTheme="majorHAnsi"/>
          <w:spacing w:val="-4"/>
          <w:sz w:val="16"/>
          <w:szCs w:val="16"/>
          <w:lang w:val="es-CR"/>
        </w:rPr>
        <w:t>, párr. 199.</w:t>
      </w:r>
    </w:p>
  </w:footnote>
  <w:footnote w:id="104">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lang w:val="es-ES_tradnl"/>
        </w:rPr>
        <w:footnoteRef/>
      </w:r>
      <w:r w:rsidRPr="00054F34">
        <w:rPr>
          <w:rStyle w:val="FootnoteReference"/>
          <w:rFonts w:asciiTheme="majorHAnsi" w:hAnsiTheme="majorHAnsi"/>
          <w:sz w:val="16"/>
          <w:szCs w:val="16"/>
          <w:lang w:val="es-ES_tradnl"/>
        </w:rPr>
        <w:t xml:space="preserve"> </w:t>
      </w:r>
      <w:r w:rsidRPr="00054F34">
        <w:rPr>
          <w:rFonts w:asciiTheme="majorHAnsi" w:hAnsiTheme="majorHAnsi"/>
          <w:sz w:val="16"/>
          <w:szCs w:val="16"/>
          <w:lang w:val="es-ES_tradnl"/>
        </w:rPr>
        <w:t xml:space="preserve">Corte IDH. </w:t>
      </w:r>
      <w:r w:rsidRPr="00054F34">
        <w:rPr>
          <w:rFonts w:asciiTheme="majorHAnsi" w:hAnsiTheme="majorHAnsi"/>
          <w:bCs/>
          <w:i/>
          <w:sz w:val="16"/>
          <w:szCs w:val="16"/>
          <w:lang w:val="es-ES_tradnl"/>
        </w:rPr>
        <w:t>Caso Cantoral Huamaní y García Santa Cruz Vs. Perú</w:t>
      </w:r>
      <w:r w:rsidRPr="00054F34">
        <w:rPr>
          <w:rFonts w:asciiTheme="majorHAnsi" w:hAnsiTheme="majorHAnsi"/>
          <w:bCs/>
          <w:sz w:val="16"/>
          <w:szCs w:val="16"/>
          <w:lang w:val="es-ES_tradnl"/>
        </w:rPr>
        <w:t xml:space="preserve">. </w:t>
      </w:r>
      <w:r w:rsidRPr="00054F34">
        <w:rPr>
          <w:rFonts w:asciiTheme="majorHAnsi" w:hAnsiTheme="majorHAnsi"/>
          <w:sz w:val="16"/>
          <w:szCs w:val="16"/>
          <w:lang w:val="es-ES_tradnl"/>
        </w:rPr>
        <w:t xml:space="preserve">Excepción Preliminar, Fondo, Reparaciones y Costas. Sentencia de 10 de julio de 2007. </w:t>
      </w:r>
      <w:r w:rsidRPr="00054F34">
        <w:rPr>
          <w:rFonts w:asciiTheme="majorHAnsi" w:hAnsiTheme="majorHAnsi"/>
          <w:sz w:val="16"/>
          <w:szCs w:val="16"/>
          <w:lang w:val="es-ES"/>
        </w:rPr>
        <w:t xml:space="preserve">Serie C No. 167, párr. 131. </w:t>
      </w:r>
    </w:p>
  </w:footnote>
  <w:footnote w:id="105">
    <w:p w:rsidR="00054F34" w:rsidRPr="00054F34" w:rsidRDefault="00054F34" w:rsidP="00996FA3">
      <w:pPr>
        <w:pStyle w:val="FootnoteText"/>
        <w:spacing w:after="120"/>
        <w:ind w:firstLine="720"/>
        <w:jc w:val="both"/>
        <w:rPr>
          <w:rFonts w:asciiTheme="majorHAnsi" w:hAnsiTheme="majorHAnsi"/>
          <w:color w:val="auto"/>
          <w:sz w:val="16"/>
          <w:szCs w:val="16"/>
          <w:lang w:val="es-ES_tradnl"/>
        </w:rPr>
      </w:pPr>
      <w:r w:rsidRPr="00054F34">
        <w:rPr>
          <w:rStyle w:val="FootnoteReference"/>
          <w:rFonts w:asciiTheme="majorHAnsi" w:hAnsiTheme="majorHAnsi"/>
          <w:color w:val="auto"/>
          <w:sz w:val="16"/>
          <w:szCs w:val="16"/>
          <w:lang w:val="es-ES_tradnl"/>
        </w:rPr>
        <w:footnoteRef/>
      </w:r>
      <w:r w:rsidRPr="00054F34">
        <w:rPr>
          <w:rStyle w:val="FootnoteReference"/>
          <w:rFonts w:asciiTheme="majorHAnsi" w:hAnsiTheme="majorHAnsi"/>
          <w:color w:val="auto"/>
          <w:sz w:val="16"/>
          <w:szCs w:val="16"/>
          <w:lang w:val="es-ES"/>
        </w:rPr>
        <w:t xml:space="preserve"> </w:t>
      </w:r>
      <w:r w:rsidRPr="00054F34">
        <w:rPr>
          <w:rFonts w:asciiTheme="majorHAnsi" w:hAnsiTheme="majorHAnsi"/>
          <w:color w:val="auto"/>
          <w:sz w:val="16"/>
          <w:szCs w:val="16"/>
          <w:lang w:val="es-ES"/>
        </w:rPr>
        <w:t xml:space="preserve">CIDH, Informe No. 85/13, Caso 12.251, Admisibilidad y Fondo, Vereda la Esperanza, Colombia, 4 de noviembre de 2013, párr. </w:t>
      </w:r>
      <w:r w:rsidRPr="00054F34">
        <w:rPr>
          <w:rFonts w:asciiTheme="majorHAnsi" w:hAnsiTheme="majorHAnsi"/>
          <w:color w:val="auto"/>
          <w:sz w:val="16"/>
          <w:szCs w:val="16"/>
          <w:lang w:val="es-MX"/>
        </w:rPr>
        <w:t xml:space="preserve">242. Corte IDH. </w:t>
      </w:r>
      <w:r w:rsidRPr="00054F34">
        <w:rPr>
          <w:rFonts w:asciiTheme="majorHAnsi" w:hAnsiTheme="majorHAnsi"/>
          <w:i/>
          <w:color w:val="auto"/>
          <w:sz w:val="16"/>
          <w:szCs w:val="16"/>
          <w:lang w:val="es-MX"/>
        </w:rPr>
        <w:t xml:space="preserve">Caso Kawas Fernández Vs. </w:t>
      </w:r>
      <w:r w:rsidRPr="00054F34">
        <w:rPr>
          <w:rFonts w:asciiTheme="majorHAnsi" w:hAnsiTheme="majorHAnsi"/>
          <w:i/>
          <w:color w:val="auto"/>
          <w:sz w:val="16"/>
          <w:szCs w:val="16"/>
          <w:lang w:val="es-ES_tradnl"/>
        </w:rPr>
        <w:t>Honduras</w:t>
      </w:r>
      <w:r w:rsidRPr="00054F34">
        <w:rPr>
          <w:rFonts w:asciiTheme="majorHAnsi" w:hAnsiTheme="majorHAnsi"/>
          <w:color w:val="auto"/>
          <w:sz w:val="16"/>
          <w:szCs w:val="16"/>
          <w:lang w:val="es-ES_tradnl"/>
        </w:rPr>
        <w:t xml:space="preserve">. Fondo, Reparaciones y Costas. Sentencia de 3 de abril de 2009 Serie C No. 196, párr. 101. </w:t>
      </w:r>
    </w:p>
  </w:footnote>
  <w:footnote w:id="106">
    <w:p w:rsidR="00054F34" w:rsidRPr="00054F34" w:rsidRDefault="00054F34" w:rsidP="00996FA3">
      <w:pPr>
        <w:widowControl w:val="0"/>
        <w:tabs>
          <w:tab w:val="left" w:pos="720"/>
        </w:tabs>
        <w:autoSpaceDE w:val="0"/>
        <w:autoSpaceDN w:val="0"/>
        <w:adjustRightInd w:val="0"/>
        <w:spacing w:after="120"/>
        <w:jc w:val="both"/>
        <w:rPr>
          <w:rFonts w:asciiTheme="majorHAnsi" w:hAnsiTheme="majorHAnsi" w:cs="Verdana"/>
          <w:spacing w:val="-4"/>
          <w:sz w:val="16"/>
          <w:szCs w:val="16"/>
          <w:lang w:val="es-ES"/>
        </w:rPr>
      </w:pPr>
      <w:r w:rsidRPr="00054F34">
        <w:rPr>
          <w:rFonts w:asciiTheme="majorHAnsi" w:hAnsiTheme="majorHAnsi"/>
          <w:spacing w:val="-4"/>
          <w:sz w:val="16"/>
          <w:szCs w:val="16"/>
          <w:lang w:val="es-ES"/>
        </w:rPr>
        <w:tab/>
      </w:r>
      <w:r w:rsidRPr="00054F34">
        <w:rPr>
          <w:rStyle w:val="FootnoteReference"/>
          <w:rFonts w:asciiTheme="majorHAnsi" w:hAnsiTheme="majorHAnsi"/>
          <w:spacing w:val="-4"/>
          <w:sz w:val="16"/>
          <w:szCs w:val="16"/>
        </w:rPr>
        <w:footnoteRef/>
      </w:r>
      <w:r w:rsidRPr="00054F34">
        <w:rPr>
          <w:rFonts w:asciiTheme="majorHAnsi" w:hAnsiTheme="majorHAnsi"/>
          <w:spacing w:val="-4"/>
          <w:sz w:val="16"/>
          <w:szCs w:val="16"/>
          <w:lang w:val="es-ES"/>
        </w:rPr>
        <w:t xml:space="preserve"> </w:t>
      </w:r>
      <w:r w:rsidRPr="00054F34">
        <w:rPr>
          <w:rFonts w:asciiTheme="majorHAnsi" w:hAnsiTheme="majorHAnsi"/>
          <w:sz w:val="16"/>
          <w:szCs w:val="16"/>
          <w:lang w:val="es-ES"/>
        </w:rPr>
        <w:t xml:space="preserve">Corte IDH. </w:t>
      </w:r>
      <w:r w:rsidRPr="00054F34">
        <w:rPr>
          <w:rFonts w:asciiTheme="majorHAnsi" w:hAnsiTheme="majorHAnsi"/>
          <w:spacing w:val="-4"/>
          <w:sz w:val="16"/>
          <w:szCs w:val="16"/>
          <w:lang w:val="es-ES"/>
        </w:rPr>
        <w:t xml:space="preserve">Caso </w:t>
      </w:r>
      <w:r w:rsidRPr="00054F34">
        <w:rPr>
          <w:rFonts w:asciiTheme="majorHAnsi" w:hAnsiTheme="majorHAnsi"/>
          <w:i/>
          <w:spacing w:val="-4"/>
          <w:sz w:val="16"/>
          <w:szCs w:val="16"/>
          <w:lang w:val="es-ES"/>
        </w:rPr>
        <w:t>Juan Humberto Sánchez Vs. Honduras</w:t>
      </w:r>
      <w:r w:rsidRPr="00054F34">
        <w:rPr>
          <w:rFonts w:asciiTheme="majorHAnsi" w:hAnsiTheme="majorHAnsi"/>
          <w:spacing w:val="-4"/>
          <w:sz w:val="16"/>
          <w:szCs w:val="16"/>
          <w:lang w:val="es-ES"/>
        </w:rPr>
        <w:t>. Excepción Preliminar, Fondo, Reparaciones y Costas. Sentencia de 7 de junio de 2003. Serie C No. 99</w:t>
      </w:r>
      <w:r w:rsidRPr="00054F34">
        <w:rPr>
          <w:rFonts w:asciiTheme="majorHAnsi" w:hAnsiTheme="majorHAnsi" w:cs="Verdana"/>
          <w:spacing w:val="-4"/>
          <w:sz w:val="16"/>
          <w:szCs w:val="16"/>
          <w:lang w:val="es-ES"/>
        </w:rPr>
        <w:t>, párr. 127</w:t>
      </w:r>
      <w:r w:rsidRPr="00054F34">
        <w:rPr>
          <w:rFonts w:asciiTheme="majorHAnsi" w:hAnsiTheme="majorHAnsi"/>
          <w:bCs/>
          <w:spacing w:val="-4"/>
          <w:sz w:val="16"/>
          <w:szCs w:val="16"/>
          <w:lang w:val="es-GT"/>
        </w:rPr>
        <w:t>.</w:t>
      </w:r>
    </w:p>
  </w:footnote>
  <w:footnote w:id="107">
    <w:p w:rsidR="00054F34" w:rsidRPr="00054F34" w:rsidRDefault="00054F34" w:rsidP="00996FA3">
      <w:pPr>
        <w:widowControl w:val="0"/>
        <w:tabs>
          <w:tab w:val="left" w:pos="720"/>
        </w:tabs>
        <w:autoSpaceDE w:val="0"/>
        <w:autoSpaceDN w:val="0"/>
        <w:adjustRightInd w:val="0"/>
        <w:spacing w:after="120"/>
        <w:jc w:val="both"/>
        <w:rPr>
          <w:rFonts w:asciiTheme="majorHAnsi" w:hAnsiTheme="majorHAnsi" w:cs="Verdana"/>
          <w:spacing w:val="-4"/>
          <w:sz w:val="16"/>
          <w:szCs w:val="16"/>
          <w:lang w:val="es-ES"/>
        </w:rPr>
      </w:pPr>
      <w:r w:rsidRPr="00054F34">
        <w:rPr>
          <w:rFonts w:asciiTheme="majorHAnsi" w:hAnsiTheme="majorHAnsi"/>
          <w:spacing w:val="-4"/>
          <w:sz w:val="16"/>
          <w:szCs w:val="16"/>
          <w:lang w:val="es-ES"/>
        </w:rPr>
        <w:tab/>
      </w:r>
      <w:r w:rsidRPr="00054F34">
        <w:rPr>
          <w:rStyle w:val="FootnoteReference"/>
          <w:rFonts w:asciiTheme="majorHAnsi" w:hAnsiTheme="majorHAnsi"/>
          <w:spacing w:val="-4"/>
          <w:sz w:val="16"/>
          <w:szCs w:val="16"/>
        </w:rPr>
        <w:footnoteRef/>
      </w:r>
      <w:r w:rsidRPr="00054F34">
        <w:rPr>
          <w:rFonts w:asciiTheme="majorHAnsi" w:hAnsiTheme="majorHAnsi"/>
          <w:spacing w:val="-4"/>
          <w:sz w:val="16"/>
          <w:szCs w:val="16"/>
          <w:lang w:val="es-ES"/>
        </w:rPr>
        <w:t xml:space="preserve"> Corte IDH. </w:t>
      </w:r>
      <w:r w:rsidRPr="00054F34">
        <w:rPr>
          <w:rStyle w:val="Strong"/>
          <w:rFonts w:asciiTheme="majorHAnsi" w:hAnsiTheme="majorHAnsi"/>
          <w:b w:val="0"/>
          <w:i/>
          <w:color w:val="000000"/>
          <w:sz w:val="16"/>
          <w:szCs w:val="16"/>
          <w:shd w:val="clear" w:color="auto" w:fill="FFFFFF"/>
          <w:lang w:val="es-ES"/>
        </w:rPr>
        <w:t>Caso Espinoza Gonzáles Vs. Perú</w:t>
      </w:r>
      <w:r w:rsidRPr="00054F34">
        <w:rPr>
          <w:rStyle w:val="Strong"/>
          <w:rFonts w:asciiTheme="majorHAnsi" w:hAnsiTheme="majorHAnsi"/>
          <w:b w:val="0"/>
          <w:color w:val="000000"/>
          <w:sz w:val="16"/>
          <w:szCs w:val="16"/>
          <w:shd w:val="clear" w:color="auto" w:fill="FFFFFF"/>
          <w:lang w:val="es-ES"/>
        </w:rPr>
        <w:t>. Excepciones Preliminares, Fondo, Reparaciones y Costas. Sentencia de 20 de noviembre de 2014. Serie C No. 289, párr. 238</w:t>
      </w:r>
      <w:r w:rsidRPr="00054F34">
        <w:rPr>
          <w:rFonts w:asciiTheme="majorHAnsi" w:hAnsiTheme="majorHAnsi"/>
          <w:bCs/>
          <w:spacing w:val="-4"/>
          <w:sz w:val="16"/>
          <w:szCs w:val="16"/>
          <w:lang w:val="es-GT"/>
        </w:rPr>
        <w:t>.</w:t>
      </w:r>
    </w:p>
  </w:footnote>
  <w:footnote w:id="108">
    <w:p w:rsidR="00054F34" w:rsidRPr="00054F34" w:rsidRDefault="00054F34" w:rsidP="00996FA3">
      <w:pPr>
        <w:spacing w:after="120"/>
        <w:ind w:firstLine="720"/>
        <w:jc w:val="both"/>
        <w:rPr>
          <w:rFonts w:asciiTheme="majorHAnsi" w:hAnsiTheme="majorHAnsi"/>
          <w:spacing w:val="-4"/>
          <w:sz w:val="16"/>
          <w:szCs w:val="16"/>
          <w:lang w:val="es-GT"/>
        </w:rPr>
      </w:pPr>
      <w:r w:rsidRPr="00054F34">
        <w:rPr>
          <w:rStyle w:val="FootnoteReference"/>
          <w:rFonts w:asciiTheme="majorHAnsi" w:hAnsiTheme="majorHAnsi"/>
          <w:spacing w:val="-4"/>
          <w:sz w:val="16"/>
          <w:szCs w:val="16"/>
        </w:rPr>
        <w:footnoteRef/>
      </w:r>
      <w:r w:rsidRPr="00054F34">
        <w:rPr>
          <w:rFonts w:asciiTheme="majorHAnsi" w:hAnsiTheme="majorHAnsi"/>
          <w:spacing w:val="-4"/>
          <w:sz w:val="16"/>
          <w:szCs w:val="16"/>
          <w:lang w:val="es-GT"/>
        </w:rPr>
        <w:t xml:space="preserve"> Corte IDH. </w:t>
      </w:r>
      <w:r w:rsidRPr="00054F34">
        <w:rPr>
          <w:rFonts w:asciiTheme="majorHAnsi" w:hAnsiTheme="majorHAnsi"/>
          <w:bCs/>
          <w:i/>
          <w:spacing w:val="-4"/>
          <w:sz w:val="16"/>
          <w:szCs w:val="16"/>
          <w:lang w:val="es-GT"/>
        </w:rPr>
        <w:t>Caso de las Hermanas Serrano Cruz Vs. El Salvador</w:t>
      </w:r>
      <w:r w:rsidRPr="00054F34">
        <w:rPr>
          <w:rFonts w:asciiTheme="majorHAnsi" w:hAnsiTheme="majorHAnsi"/>
          <w:bCs/>
          <w:spacing w:val="-4"/>
          <w:sz w:val="16"/>
          <w:szCs w:val="16"/>
          <w:lang w:val="es-GT"/>
        </w:rPr>
        <w:t xml:space="preserve">. </w:t>
      </w:r>
      <w:r w:rsidRPr="00054F34">
        <w:rPr>
          <w:rFonts w:asciiTheme="majorHAnsi" w:hAnsiTheme="majorHAnsi"/>
          <w:spacing w:val="-4"/>
          <w:sz w:val="16"/>
          <w:szCs w:val="16"/>
          <w:lang w:val="es-GT"/>
        </w:rPr>
        <w:t>Fondo, Reparaciones y Costas. Sentencia de 1 de marzo de 2005. Serie C No. 120, párr. 83</w:t>
      </w:r>
      <w:r w:rsidRPr="00054F34">
        <w:rPr>
          <w:rFonts w:asciiTheme="majorHAnsi" w:hAnsiTheme="majorHAnsi"/>
          <w:bCs/>
          <w:spacing w:val="-4"/>
          <w:sz w:val="16"/>
          <w:szCs w:val="16"/>
          <w:lang w:val="es-GT"/>
        </w:rPr>
        <w:t>.</w:t>
      </w:r>
    </w:p>
  </w:footnote>
  <w:footnote w:id="109">
    <w:p w:rsidR="00054F34" w:rsidRPr="00054F34" w:rsidRDefault="00054F34" w:rsidP="00996FA3">
      <w:pPr>
        <w:pStyle w:val="FootnoteText"/>
        <w:spacing w:after="120"/>
        <w:ind w:firstLine="720"/>
        <w:jc w:val="both"/>
        <w:rPr>
          <w:rFonts w:asciiTheme="majorHAnsi" w:hAnsiTheme="majorHAnsi"/>
          <w:color w:val="auto"/>
          <w:sz w:val="16"/>
          <w:szCs w:val="16"/>
          <w:lang w:val="es-ES"/>
        </w:rPr>
      </w:pPr>
      <w:r w:rsidRPr="00054F34">
        <w:rPr>
          <w:rStyle w:val="FootnoteReference"/>
          <w:rFonts w:asciiTheme="majorHAnsi" w:hAnsiTheme="majorHAnsi"/>
          <w:color w:val="auto"/>
          <w:sz w:val="16"/>
          <w:szCs w:val="16"/>
          <w:lang w:val="es-ES"/>
        </w:rPr>
        <w:footnoteRef/>
      </w:r>
      <w:r w:rsidRPr="00054F34">
        <w:rPr>
          <w:rFonts w:asciiTheme="majorHAnsi" w:hAnsiTheme="majorHAnsi"/>
          <w:color w:val="auto"/>
          <w:sz w:val="16"/>
          <w:szCs w:val="16"/>
          <w:lang w:val="es-ES"/>
        </w:rPr>
        <w:t xml:space="preserve"> </w:t>
      </w:r>
      <w:r w:rsidRPr="00054F34">
        <w:rPr>
          <w:rFonts w:asciiTheme="majorHAnsi" w:hAnsiTheme="majorHAnsi"/>
          <w:color w:val="auto"/>
          <w:sz w:val="16"/>
          <w:szCs w:val="16"/>
          <w:lang w:val="es-CL"/>
        </w:rPr>
        <w:t xml:space="preserve">CIDH, </w:t>
      </w:r>
      <w:hyperlink r:id="rId15" w:history="1">
        <w:r w:rsidRPr="00054F34">
          <w:rPr>
            <w:rStyle w:val="Hyperlink"/>
            <w:rFonts w:asciiTheme="majorHAnsi" w:hAnsiTheme="majorHAnsi"/>
            <w:sz w:val="16"/>
            <w:szCs w:val="16"/>
            <w:u w:val="none"/>
            <w:lang w:val="es-CL"/>
          </w:rPr>
          <w:t>Informe sobre la Situación de las Defensoras y Defensores de los Derechos Humanos en las Américas</w:t>
        </w:r>
      </w:hyperlink>
      <w:r w:rsidRPr="00054F34">
        <w:rPr>
          <w:rFonts w:asciiTheme="majorHAnsi" w:hAnsiTheme="majorHAnsi"/>
          <w:color w:val="auto"/>
          <w:sz w:val="16"/>
          <w:szCs w:val="16"/>
          <w:lang w:val="es-CL"/>
        </w:rPr>
        <w:t xml:space="preserve"> OEA/Ser.L/V/II.124. Doc. 5 rev.1, 7 de marzo de 2006, párr. 109. </w:t>
      </w:r>
      <w:r w:rsidRPr="00054F34">
        <w:rPr>
          <w:rFonts w:asciiTheme="majorHAnsi" w:hAnsiTheme="majorHAnsi"/>
          <w:color w:val="auto"/>
          <w:sz w:val="16"/>
          <w:szCs w:val="16"/>
          <w:lang w:val="es-ES"/>
        </w:rPr>
        <w:t xml:space="preserve">Corte IDH. </w:t>
      </w:r>
      <w:r w:rsidRPr="00054F34">
        <w:rPr>
          <w:rFonts w:asciiTheme="majorHAnsi" w:hAnsiTheme="majorHAnsi"/>
          <w:bCs/>
          <w:i/>
          <w:color w:val="auto"/>
          <w:sz w:val="16"/>
          <w:szCs w:val="16"/>
          <w:lang w:val="es-ES"/>
        </w:rPr>
        <w:t>Caso de los Hermanos Gómez Paquiyauri Vs. Perú</w:t>
      </w:r>
      <w:r w:rsidRPr="00054F34">
        <w:rPr>
          <w:rFonts w:asciiTheme="majorHAnsi" w:hAnsiTheme="majorHAnsi"/>
          <w:bCs/>
          <w:color w:val="auto"/>
          <w:sz w:val="16"/>
          <w:szCs w:val="16"/>
          <w:lang w:val="es-ES"/>
        </w:rPr>
        <w:t>.</w:t>
      </w:r>
      <w:r w:rsidRPr="00054F34">
        <w:rPr>
          <w:rFonts w:asciiTheme="majorHAnsi" w:hAnsiTheme="majorHAnsi"/>
          <w:b/>
          <w:bCs/>
          <w:color w:val="auto"/>
          <w:sz w:val="16"/>
          <w:szCs w:val="16"/>
          <w:lang w:val="es-ES"/>
        </w:rPr>
        <w:t xml:space="preserve"> </w:t>
      </w:r>
      <w:r w:rsidRPr="00054F34">
        <w:rPr>
          <w:rFonts w:asciiTheme="majorHAnsi" w:hAnsiTheme="majorHAnsi"/>
          <w:color w:val="auto"/>
          <w:sz w:val="16"/>
          <w:szCs w:val="16"/>
          <w:lang w:val="es-ES"/>
        </w:rPr>
        <w:t xml:space="preserve">Fondo, Reparaciones y Costas. Sentencia de 8 de julio de 2004. Serie C No. 110, párr. 146; </w:t>
      </w:r>
      <w:r w:rsidRPr="00054F34">
        <w:rPr>
          <w:rFonts w:asciiTheme="majorHAnsi" w:hAnsiTheme="majorHAnsi"/>
          <w:bCs/>
          <w:i/>
          <w:color w:val="auto"/>
          <w:sz w:val="16"/>
          <w:szCs w:val="16"/>
          <w:lang w:val="es-ES"/>
        </w:rPr>
        <w:t>Caso Myrna Mack Chang Vs. Guatemala</w:t>
      </w:r>
      <w:r w:rsidRPr="00054F34">
        <w:rPr>
          <w:rFonts w:asciiTheme="majorHAnsi" w:hAnsiTheme="majorHAnsi"/>
          <w:bCs/>
          <w:color w:val="auto"/>
          <w:sz w:val="16"/>
          <w:szCs w:val="16"/>
          <w:lang w:val="es-ES"/>
        </w:rPr>
        <w:t xml:space="preserve">. </w:t>
      </w:r>
      <w:r w:rsidRPr="00054F34">
        <w:rPr>
          <w:rFonts w:asciiTheme="majorHAnsi" w:hAnsiTheme="majorHAnsi"/>
          <w:color w:val="auto"/>
          <w:sz w:val="16"/>
          <w:szCs w:val="16"/>
          <w:lang w:val="es-ES"/>
        </w:rPr>
        <w:t xml:space="preserve">Fondo, Reparaciones y Costas. Sentencia de 25 de noviembre de 2003. Serie C No. 101, párr. 275; </w:t>
      </w:r>
      <w:r w:rsidRPr="00054F34">
        <w:rPr>
          <w:rFonts w:asciiTheme="majorHAnsi" w:hAnsiTheme="majorHAnsi"/>
          <w:bCs/>
          <w:i/>
          <w:color w:val="auto"/>
          <w:sz w:val="16"/>
          <w:szCs w:val="16"/>
          <w:lang w:val="es-ES"/>
        </w:rPr>
        <w:t>Caso Juan Humberto Sánchez Vs. Honduras</w:t>
      </w:r>
      <w:r w:rsidRPr="00054F34">
        <w:rPr>
          <w:rFonts w:asciiTheme="majorHAnsi" w:hAnsiTheme="majorHAnsi"/>
          <w:bCs/>
          <w:color w:val="auto"/>
          <w:sz w:val="16"/>
          <w:szCs w:val="16"/>
          <w:lang w:val="es-ES"/>
        </w:rPr>
        <w:t>.</w:t>
      </w:r>
      <w:r w:rsidRPr="00054F34">
        <w:rPr>
          <w:rFonts w:asciiTheme="majorHAnsi" w:hAnsiTheme="majorHAnsi"/>
          <w:b/>
          <w:bCs/>
          <w:color w:val="auto"/>
          <w:sz w:val="16"/>
          <w:szCs w:val="16"/>
          <w:lang w:val="es-ES"/>
        </w:rPr>
        <w:t xml:space="preserve"> </w:t>
      </w:r>
      <w:r w:rsidRPr="00054F34">
        <w:rPr>
          <w:rFonts w:asciiTheme="majorHAnsi" w:hAnsiTheme="majorHAnsi"/>
          <w:color w:val="auto"/>
          <w:sz w:val="16"/>
          <w:szCs w:val="16"/>
          <w:lang w:val="es-ES"/>
        </w:rPr>
        <w:t xml:space="preserve">Excepción Preliminar, Fondo, Reparaciones y Costas. Sentencia de 7 de junio de 2003. Serie C No. 99, párr. 186; y </w:t>
      </w:r>
      <w:r w:rsidRPr="00054F34">
        <w:rPr>
          <w:rFonts w:asciiTheme="majorHAnsi" w:hAnsiTheme="majorHAnsi"/>
          <w:bCs/>
          <w:i/>
          <w:color w:val="auto"/>
          <w:sz w:val="16"/>
          <w:szCs w:val="16"/>
          <w:lang w:val="es-ES"/>
        </w:rPr>
        <w:t>Caso del Tribunal Constitucional Vs. Perú</w:t>
      </w:r>
      <w:r w:rsidRPr="00054F34">
        <w:rPr>
          <w:rFonts w:asciiTheme="majorHAnsi" w:hAnsiTheme="majorHAnsi"/>
          <w:bCs/>
          <w:color w:val="auto"/>
          <w:sz w:val="16"/>
          <w:szCs w:val="16"/>
          <w:lang w:val="es-ES"/>
        </w:rPr>
        <w:t xml:space="preserve">. </w:t>
      </w:r>
      <w:r w:rsidRPr="00054F34">
        <w:rPr>
          <w:rFonts w:asciiTheme="majorHAnsi" w:hAnsiTheme="majorHAnsi"/>
          <w:color w:val="auto"/>
          <w:sz w:val="16"/>
          <w:szCs w:val="16"/>
          <w:lang w:val="es-ES"/>
        </w:rPr>
        <w:t xml:space="preserve">Competencia. Sentencia de 24 de septiembre de 1999. Serie C No. 55, párr. 123.  </w:t>
      </w:r>
    </w:p>
  </w:footnote>
  <w:footnote w:id="110">
    <w:p w:rsidR="00054F34" w:rsidRPr="00054F34" w:rsidRDefault="00054F34" w:rsidP="00996FA3">
      <w:pPr>
        <w:pStyle w:val="FootnoteText"/>
        <w:tabs>
          <w:tab w:val="left" w:pos="810"/>
        </w:tabs>
        <w:spacing w:after="120"/>
        <w:ind w:firstLine="720"/>
        <w:jc w:val="both"/>
        <w:rPr>
          <w:rFonts w:asciiTheme="majorHAnsi" w:hAnsiTheme="majorHAnsi"/>
          <w:spacing w:val="-4"/>
          <w:sz w:val="16"/>
          <w:szCs w:val="16"/>
          <w:lang w:val="es-ES"/>
        </w:rPr>
      </w:pPr>
      <w:r w:rsidRPr="00054F34">
        <w:rPr>
          <w:rStyle w:val="FootnoteReference"/>
          <w:rFonts w:asciiTheme="majorHAnsi" w:hAnsiTheme="majorHAnsi"/>
          <w:spacing w:val="-4"/>
          <w:sz w:val="16"/>
          <w:szCs w:val="16"/>
        </w:rPr>
        <w:footnoteRef/>
      </w:r>
      <w:r w:rsidRPr="00054F34">
        <w:rPr>
          <w:rFonts w:asciiTheme="majorHAnsi" w:hAnsiTheme="majorHAnsi"/>
          <w:spacing w:val="-4"/>
          <w:sz w:val="16"/>
          <w:szCs w:val="16"/>
          <w:lang w:val="es-ES"/>
        </w:rPr>
        <w:t xml:space="preserve"> CIDH, Informe No. 49/15, Caso 12.585, Fondo, Ángel Pacheco León y familia, Honduras, 28 de julio de 2015, párr. 82.</w:t>
      </w:r>
    </w:p>
  </w:footnote>
  <w:footnote w:id="111">
    <w:p w:rsidR="00054F34" w:rsidRPr="00054F34" w:rsidRDefault="00054F34" w:rsidP="00996FA3">
      <w:pPr>
        <w:pStyle w:val="FootnoteText"/>
        <w:tabs>
          <w:tab w:val="left" w:pos="810"/>
        </w:tabs>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Theme="majorHAnsi" w:hAnsiTheme="majorHAnsi"/>
          <w:bCs/>
          <w:sz w:val="16"/>
          <w:szCs w:val="16"/>
          <w:lang w:val="es-CO"/>
        </w:rPr>
        <w:t xml:space="preserve">Corte IDH. </w:t>
      </w:r>
      <w:r w:rsidRPr="00054F34">
        <w:rPr>
          <w:rFonts w:asciiTheme="majorHAnsi" w:hAnsiTheme="majorHAnsi"/>
          <w:i/>
          <w:spacing w:val="-4"/>
          <w:sz w:val="16"/>
          <w:szCs w:val="16"/>
          <w:lang w:val="es-MX"/>
        </w:rPr>
        <w:t>Caso Defensor de Derechos Humanos y otros Vs. Guatemala</w:t>
      </w:r>
      <w:r w:rsidRPr="00054F34">
        <w:rPr>
          <w:rFonts w:asciiTheme="majorHAnsi" w:hAnsiTheme="majorHAnsi"/>
          <w:spacing w:val="-4"/>
          <w:sz w:val="16"/>
          <w:szCs w:val="16"/>
          <w:lang w:val="es-MX"/>
        </w:rPr>
        <w:t>. Excepciones Preliminares, Fondo, Reparaciones y Costas. Sentencia de 28 de agosto de 2014. Serie C No. 283</w:t>
      </w:r>
      <w:r w:rsidRPr="00054F34">
        <w:rPr>
          <w:rFonts w:asciiTheme="majorHAnsi" w:hAnsiTheme="majorHAnsi"/>
          <w:spacing w:val="-4"/>
          <w:sz w:val="16"/>
          <w:szCs w:val="16"/>
          <w:lang w:val="es-CR"/>
        </w:rPr>
        <w:t>, párr. 204.</w:t>
      </w:r>
    </w:p>
  </w:footnote>
  <w:footnote w:id="112">
    <w:p w:rsidR="00054F34" w:rsidRPr="00054F34" w:rsidRDefault="00054F34" w:rsidP="00996FA3">
      <w:pPr>
        <w:pStyle w:val="FootnoteText"/>
        <w:tabs>
          <w:tab w:val="left" w:pos="810"/>
        </w:tabs>
        <w:spacing w:after="120"/>
        <w:ind w:firstLine="720"/>
        <w:jc w:val="both"/>
        <w:rPr>
          <w:rFonts w:asciiTheme="majorHAnsi" w:hAnsiTheme="majorHAnsi"/>
          <w:spacing w:val="-4"/>
          <w:sz w:val="16"/>
          <w:szCs w:val="16"/>
          <w:lang w:val="es-ES"/>
        </w:rPr>
      </w:pPr>
      <w:r w:rsidRPr="00054F34">
        <w:rPr>
          <w:rStyle w:val="FootnoteReference"/>
          <w:rFonts w:asciiTheme="majorHAnsi" w:hAnsiTheme="majorHAnsi"/>
          <w:spacing w:val="-4"/>
          <w:sz w:val="16"/>
          <w:szCs w:val="16"/>
        </w:rPr>
        <w:footnoteRef/>
      </w:r>
      <w:r w:rsidRPr="00054F34">
        <w:rPr>
          <w:rFonts w:asciiTheme="majorHAnsi" w:hAnsiTheme="majorHAnsi"/>
          <w:spacing w:val="-4"/>
          <w:sz w:val="16"/>
          <w:szCs w:val="16"/>
          <w:lang w:val="es-ES"/>
        </w:rPr>
        <w:t xml:space="preserve"> </w:t>
      </w:r>
      <w:r w:rsidR="00955939">
        <w:rPr>
          <w:rFonts w:asciiTheme="majorHAnsi" w:hAnsiTheme="majorHAnsi"/>
          <w:spacing w:val="-4"/>
          <w:sz w:val="16"/>
          <w:szCs w:val="16"/>
          <w:lang w:val="es-ES"/>
        </w:rPr>
        <w:t>CIDH, Informe No. 10/95, Caso 10.580,</w:t>
      </w:r>
      <w:r w:rsidRPr="00054F34">
        <w:rPr>
          <w:rFonts w:asciiTheme="majorHAnsi" w:hAnsiTheme="majorHAnsi"/>
          <w:spacing w:val="-4"/>
          <w:sz w:val="16"/>
          <w:szCs w:val="16"/>
          <w:lang w:val="es-ES"/>
        </w:rPr>
        <w:t xml:space="preserve"> </w:t>
      </w:r>
      <w:r w:rsidR="00955939">
        <w:rPr>
          <w:rFonts w:asciiTheme="majorHAnsi" w:hAnsiTheme="majorHAnsi"/>
          <w:spacing w:val="-4"/>
          <w:sz w:val="16"/>
          <w:szCs w:val="16"/>
          <w:lang w:val="es-ES"/>
        </w:rPr>
        <w:t>Fondo, Manuel Stalin, Ecuador, 12 de septiembre de 1995, párr. 32.</w:t>
      </w:r>
      <w:r w:rsidRPr="00054F34">
        <w:rPr>
          <w:rFonts w:asciiTheme="majorHAnsi" w:hAnsiTheme="majorHAnsi"/>
          <w:spacing w:val="-4"/>
          <w:sz w:val="16"/>
          <w:szCs w:val="16"/>
          <w:lang w:val="es-ES"/>
        </w:rPr>
        <w:t xml:space="preserve"> </w:t>
      </w:r>
      <w:r w:rsidRPr="00054F34">
        <w:rPr>
          <w:rFonts w:asciiTheme="majorHAnsi" w:hAnsiTheme="majorHAnsi"/>
          <w:bCs/>
          <w:sz w:val="16"/>
          <w:szCs w:val="16"/>
          <w:lang w:val="es-CO"/>
        </w:rPr>
        <w:t>Corte IDH.</w:t>
      </w:r>
      <w:r w:rsidRPr="00054F34">
        <w:rPr>
          <w:rFonts w:asciiTheme="majorHAnsi" w:hAnsiTheme="majorHAnsi"/>
          <w:spacing w:val="-4"/>
          <w:sz w:val="16"/>
          <w:szCs w:val="16"/>
          <w:lang w:val="es-ES"/>
        </w:rPr>
        <w:t xml:space="preserve"> </w:t>
      </w:r>
      <w:r w:rsidRPr="00054F34">
        <w:rPr>
          <w:rFonts w:asciiTheme="majorHAnsi" w:hAnsiTheme="majorHAnsi"/>
          <w:i/>
          <w:iCs/>
          <w:spacing w:val="-4"/>
          <w:sz w:val="16"/>
          <w:szCs w:val="16"/>
          <w:lang w:val="es-ES"/>
        </w:rPr>
        <w:t>Ca</w:t>
      </w:r>
      <w:r w:rsidRPr="00054F34">
        <w:rPr>
          <w:rFonts w:asciiTheme="majorHAnsi" w:hAnsiTheme="majorHAnsi"/>
          <w:i/>
          <w:spacing w:val="-4"/>
          <w:sz w:val="16"/>
          <w:szCs w:val="16"/>
          <w:lang w:val="es-ES"/>
        </w:rPr>
        <w:t>so</w:t>
      </w:r>
      <w:r w:rsidRPr="00054F34">
        <w:rPr>
          <w:rFonts w:asciiTheme="majorHAnsi" w:hAnsiTheme="majorHAnsi" w:cs="Arial"/>
          <w:i/>
          <w:spacing w:val="-4"/>
          <w:sz w:val="16"/>
          <w:szCs w:val="16"/>
          <w:lang w:val="es-ES"/>
        </w:rPr>
        <w:t xml:space="preserve"> Juan Humberto Sánchez </w:t>
      </w:r>
      <w:r w:rsidRPr="00054F34">
        <w:rPr>
          <w:rFonts w:asciiTheme="majorHAnsi" w:hAnsiTheme="majorHAnsi" w:cs="Arial"/>
          <w:bCs/>
          <w:i/>
          <w:spacing w:val="-4"/>
          <w:sz w:val="16"/>
          <w:szCs w:val="16"/>
          <w:lang w:val="es-CR"/>
        </w:rPr>
        <w:t>Vs. Honduras</w:t>
      </w:r>
      <w:r w:rsidRPr="00054F34">
        <w:rPr>
          <w:rStyle w:val="Strong"/>
          <w:rFonts w:asciiTheme="majorHAnsi" w:hAnsiTheme="majorHAnsi"/>
          <w:sz w:val="16"/>
          <w:szCs w:val="16"/>
          <w:lang w:val="es-ES"/>
        </w:rPr>
        <w:t xml:space="preserve">. </w:t>
      </w:r>
      <w:r w:rsidRPr="00054F34">
        <w:rPr>
          <w:rStyle w:val="Strong"/>
          <w:rFonts w:asciiTheme="majorHAnsi" w:hAnsiTheme="majorHAnsi"/>
          <w:b w:val="0"/>
          <w:sz w:val="16"/>
          <w:szCs w:val="16"/>
          <w:lang w:val="es-ES"/>
        </w:rPr>
        <w:t xml:space="preserve">Excepción Preliminar, Fondo, Reparaciones y Costas. Sentencia de 7 de junio de 2003. Serie C No. 99, </w:t>
      </w:r>
      <w:r w:rsidRPr="00054F34">
        <w:rPr>
          <w:rFonts w:asciiTheme="majorHAnsi" w:hAnsiTheme="majorHAnsi"/>
          <w:spacing w:val="-4"/>
          <w:sz w:val="16"/>
          <w:szCs w:val="16"/>
          <w:lang w:val="es-ES"/>
        </w:rPr>
        <w:t>párr. 127</w:t>
      </w:r>
      <w:r w:rsidRPr="00054F34">
        <w:rPr>
          <w:rFonts w:asciiTheme="majorHAnsi" w:hAnsiTheme="majorHAnsi" w:cs="Verdana"/>
          <w:spacing w:val="-4"/>
          <w:sz w:val="16"/>
          <w:szCs w:val="16"/>
          <w:lang w:val="es-CR"/>
        </w:rPr>
        <w:t>.</w:t>
      </w:r>
    </w:p>
  </w:footnote>
  <w:footnote w:id="113">
    <w:p w:rsidR="00054F34" w:rsidRPr="00054F34" w:rsidRDefault="00054F34" w:rsidP="00996FA3">
      <w:pPr>
        <w:pStyle w:val="FootnoteText"/>
        <w:tabs>
          <w:tab w:val="left" w:pos="810"/>
        </w:tabs>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w:t>
      </w:r>
      <w:r w:rsidRPr="00054F34">
        <w:rPr>
          <w:rFonts w:asciiTheme="majorHAnsi" w:hAnsiTheme="majorHAnsi"/>
          <w:spacing w:val="-4"/>
          <w:sz w:val="16"/>
          <w:szCs w:val="16"/>
          <w:lang w:val="es-ES"/>
        </w:rPr>
        <w:t>CIDH, Informe No. 49/15, Caso 12.585, Fondo, Ángel Pacheco León y familia, Honduras, 28 de julio de 2015, párr. 87.</w:t>
      </w:r>
    </w:p>
  </w:footnote>
  <w:footnote w:id="114">
    <w:p w:rsidR="00054F34" w:rsidRPr="00054F34" w:rsidRDefault="00054F34" w:rsidP="00996FA3">
      <w:pPr>
        <w:pStyle w:val="FootnoteText"/>
        <w:tabs>
          <w:tab w:val="left" w:pos="810"/>
        </w:tabs>
        <w:spacing w:after="120"/>
        <w:ind w:firstLine="720"/>
        <w:jc w:val="both"/>
        <w:rPr>
          <w:rFonts w:asciiTheme="majorHAnsi" w:hAnsiTheme="majorHAnsi"/>
          <w:bCs/>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Corte IDH. </w:t>
      </w:r>
      <w:r w:rsidRPr="00054F34">
        <w:rPr>
          <w:rFonts w:asciiTheme="majorHAnsi" w:hAnsiTheme="majorHAnsi"/>
          <w:i/>
          <w:sz w:val="16"/>
          <w:szCs w:val="16"/>
          <w:lang w:val="es-ES"/>
        </w:rPr>
        <w:t>Caso Veliz Franco y otros Vs. Guatemala</w:t>
      </w:r>
      <w:r w:rsidRPr="00054F34">
        <w:rPr>
          <w:rFonts w:asciiTheme="majorHAnsi" w:hAnsiTheme="majorHAnsi"/>
          <w:sz w:val="16"/>
          <w:szCs w:val="16"/>
          <w:lang w:val="es-ES"/>
        </w:rPr>
        <w:t xml:space="preserve">. Excepciones Preliminares, Fondo, Reparaciones y Costas. Sentencia de 19 de mayo de 2014. Serie C No. 277, párr. 195. </w:t>
      </w:r>
    </w:p>
  </w:footnote>
  <w:footnote w:id="115">
    <w:p w:rsidR="00054F34" w:rsidRPr="00054F34" w:rsidRDefault="00054F34" w:rsidP="00996FA3">
      <w:pPr>
        <w:pStyle w:val="FootnoteText"/>
        <w:tabs>
          <w:tab w:val="left" w:pos="810"/>
        </w:tabs>
        <w:spacing w:after="120"/>
        <w:ind w:firstLine="720"/>
        <w:jc w:val="both"/>
        <w:rPr>
          <w:rFonts w:asciiTheme="majorHAnsi" w:hAnsiTheme="majorHAnsi" w:cs="Verdana"/>
          <w:spacing w:val="-4"/>
          <w:sz w:val="16"/>
          <w:szCs w:val="16"/>
          <w:lang w:val="es-ES"/>
        </w:rPr>
      </w:pPr>
      <w:r w:rsidRPr="00054F34">
        <w:rPr>
          <w:rStyle w:val="FootnoteReference"/>
          <w:rFonts w:asciiTheme="majorHAnsi" w:hAnsiTheme="majorHAnsi"/>
          <w:spacing w:val="-4"/>
          <w:sz w:val="16"/>
          <w:szCs w:val="16"/>
        </w:rPr>
        <w:footnoteRef/>
      </w:r>
      <w:r w:rsidRPr="00054F34">
        <w:rPr>
          <w:rFonts w:asciiTheme="majorHAnsi" w:hAnsiTheme="majorHAnsi"/>
          <w:spacing w:val="-4"/>
          <w:sz w:val="16"/>
          <w:szCs w:val="16"/>
          <w:lang w:val="es-ES"/>
        </w:rPr>
        <w:t xml:space="preserve"> Manual sobre la Prevención e Investigación Efectiva de Ejecuciones Extrajudiciales, Arbitrarias y Sumarias de Naciones Unidas </w:t>
      </w:r>
      <w:r w:rsidRPr="00054F34">
        <w:rPr>
          <w:rFonts w:asciiTheme="majorHAnsi" w:hAnsiTheme="majorHAnsi"/>
          <w:sz w:val="16"/>
          <w:szCs w:val="16"/>
          <w:lang w:val="es-CR"/>
        </w:rPr>
        <w:t>(Protocolo de Minnesota).</w:t>
      </w:r>
    </w:p>
  </w:footnote>
  <w:footnote w:id="116">
    <w:p w:rsidR="00054F34" w:rsidRPr="00054F34" w:rsidRDefault="00054F34" w:rsidP="00996FA3">
      <w:pPr>
        <w:pStyle w:val="FootnoteText"/>
        <w:tabs>
          <w:tab w:val="left" w:pos="810"/>
        </w:tabs>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Oficina del Alto Comisionado de las Naciones Unidas para los Derechos Humanos. Protocolo Modelo para la investigación forense de muertes sospechosas de haberse producido por violación de los derechos humanos, Proyecto MEX/00/AH/10.</w:t>
      </w:r>
    </w:p>
  </w:footnote>
  <w:footnote w:id="117">
    <w:p w:rsidR="00054F34" w:rsidRPr="00054F34" w:rsidRDefault="00054F34" w:rsidP="00996FA3">
      <w:pPr>
        <w:pStyle w:val="FootnoteText"/>
        <w:tabs>
          <w:tab w:val="left" w:pos="810"/>
        </w:tabs>
        <w:spacing w:after="120"/>
        <w:ind w:firstLine="720"/>
        <w:jc w:val="both"/>
        <w:rPr>
          <w:rFonts w:asciiTheme="majorHAnsi" w:hAnsiTheme="majorHAnsi"/>
          <w:spacing w:val="-4"/>
          <w:sz w:val="16"/>
          <w:szCs w:val="16"/>
          <w:lang w:val="es-ES"/>
        </w:rPr>
      </w:pPr>
      <w:r w:rsidRPr="00054F34">
        <w:rPr>
          <w:rStyle w:val="FootnoteReference"/>
          <w:rFonts w:asciiTheme="majorHAnsi" w:hAnsiTheme="majorHAnsi"/>
          <w:spacing w:val="-4"/>
          <w:sz w:val="16"/>
          <w:szCs w:val="16"/>
        </w:rPr>
        <w:footnoteRef/>
      </w:r>
      <w:r w:rsidRPr="00054F34">
        <w:rPr>
          <w:rFonts w:asciiTheme="majorHAnsi" w:hAnsiTheme="majorHAnsi"/>
          <w:spacing w:val="-4"/>
          <w:sz w:val="16"/>
          <w:szCs w:val="16"/>
          <w:lang w:val="es-ES"/>
        </w:rPr>
        <w:t xml:space="preserve"> Corte IDH. </w:t>
      </w:r>
      <w:r w:rsidRPr="00054F34">
        <w:rPr>
          <w:rFonts w:asciiTheme="majorHAnsi" w:hAnsiTheme="majorHAnsi"/>
          <w:i/>
          <w:spacing w:val="-4"/>
          <w:sz w:val="16"/>
          <w:szCs w:val="16"/>
          <w:lang w:val="es-ES"/>
        </w:rPr>
        <w:t>Caso González y otras (“Campo Algodonero”) Vs. México</w:t>
      </w:r>
      <w:r w:rsidRPr="00054F34">
        <w:rPr>
          <w:rFonts w:asciiTheme="majorHAnsi" w:hAnsiTheme="majorHAnsi"/>
          <w:spacing w:val="-4"/>
          <w:sz w:val="16"/>
          <w:szCs w:val="16"/>
          <w:lang w:val="es-ES"/>
        </w:rPr>
        <w:t xml:space="preserve">. Excepción Preliminar, Fondo, Reparaciones y Costas. Sentencia de 16 de noviembre de 2009. Serie C No. 205, </w:t>
      </w:r>
      <w:r w:rsidRPr="00054F34">
        <w:rPr>
          <w:rFonts w:asciiTheme="majorHAnsi" w:hAnsiTheme="majorHAnsi"/>
          <w:bCs/>
          <w:spacing w:val="-4"/>
          <w:sz w:val="16"/>
          <w:szCs w:val="16"/>
          <w:lang w:val="es-GT"/>
        </w:rPr>
        <w:t>párr. 207.</w:t>
      </w:r>
      <w:r w:rsidRPr="00054F34">
        <w:rPr>
          <w:rFonts w:asciiTheme="majorHAnsi" w:hAnsiTheme="majorHAnsi"/>
          <w:spacing w:val="-4"/>
          <w:sz w:val="16"/>
          <w:szCs w:val="16"/>
          <w:lang w:val="es-CR"/>
        </w:rPr>
        <w:t xml:space="preserve"> </w:t>
      </w:r>
    </w:p>
  </w:footnote>
  <w:footnote w:id="118">
    <w:p w:rsidR="00054F34" w:rsidRPr="00054F34" w:rsidRDefault="00054F34" w:rsidP="00996FA3">
      <w:pPr>
        <w:pStyle w:val="FootnoteText"/>
        <w:tabs>
          <w:tab w:val="left" w:pos="810"/>
        </w:tabs>
        <w:spacing w:after="120"/>
        <w:ind w:firstLine="720"/>
        <w:jc w:val="both"/>
        <w:rPr>
          <w:rFonts w:asciiTheme="majorHAnsi" w:hAnsiTheme="majorHAnsi"/>
          <w:spacing w:val="-4"/>
          <w:sz w:val="16"/>
          <w:szCs w:val="16"/>
          <w:lang w:val="es-ES"/>
        </w:rPr>
      </w:pPr>
      <w:r w:rsidRPr="00054F34">
        <w:rPr>
          <w:rStyle w:val="FootnoteReference"/>
          <w:rFonts w:asciiTheme="majorHAnsi" w:hAnsiTheme="majorHAnsi"/>
          <w:spacing w:val="-4"/>
          <w:sz w:val="16"/>
          <w:szCs w:val="16"/>
        </w:rPr>
        <w:footnoteRef/>
      </w:r>
      <w:r w:rsidRPr="00054F34">
        <w:rPr>
          <w:rFonts w:asciiTheme="majorHAnsi" w:hAnsiTheme="majorHAnsi"/>
          <w:spacing w:val="-4"/>
          <w:sz w:val="16"/>
          <w:szCs w:val="16"/>
          <w:lang w:val="es-ES"/>
        </w:rPr>
        <w:t xml:space="preserve"> </w:t>
      </w:r>
      <w:r w:rsidRPr="00054F34">
        <w:rPr>
          <w:rFonts w:asciiTheme="majorHAnsi" w:hAnsiTheme="majorHAnsi"/>
          <w:bCs/>
          <w:sz w:val="16"/>
          <w:szCs w:val="16"/>
          <w:lang w:val="es-CO"/>
        </w:rPr>
        <w:t xml:space="preserve">Corte IDH. </w:t>
      </w:r>
      <w:r w:rsidRPr="00054F34">
        <w:rPr>
          <w:rFonts w:asciiTheme="majorHAnsi" w:hAnsiTheme="majorHAnsi"/>
          <w:i/>
          <w:spacing w:val="-4"/>
          <w:sz w:val="16"/>
          <w:szCs w:val="16"/>
          <w:lang w:val="es-MX"/>
        </w:rPr>
        <w:t>Caso Defensor de Derechos Humanos y otros Vs. Guatemala</w:t>
      </w:r>
      <w:r w:rsidRPr="00054F34">
        <w:rPr>
          <w:rFonts w:asciiTheme="majorHAnsi" w:hAnsiTheme="majorHAnsi"/>
          <w:spacing w:val="-4"/>
          <w:sz w:val="16"/>
          <w:szCs w:val="16"/>
          <w:lang w:val="es-MX"/>
        </w:rPr>
        <w:t>. Excepciones Preliminares, Fondo, Reparaciones y Costas. Sentencia de 28 de agosto de 2014. Serie C No. 283</w:t>
      </w:r>
      <w:r w:rsidRPr="00054F34">
        <w:rPr>
          <w:rFonts w:asciiTheme="majorHAnsi" w:hAnsiTheme="majorHAnsi"/>
          <w:spacing w:val="-4"/>
          <w:sz w:val="16"/>
          <w:szCs w:val="16"/>
          <w:lang w:val="es-CR"/>
        </w:rPr>
        <w:t>, párr. 207.</w:t>
      </w:r>
    </w:p>
  </w:footnote>
  <w:footnote w:id="119">
    <w:p w:rsidR="00054F34" w:rsidRPr="00054F34" w:rsidRDefault="00054F34" w:rsidP="00996FA3">
      <w:pPr>
        <w:pStyle w:val="FootnoteText"/>
        <w:tabs>
          <w:tab w:val="left" w:pos="810"/>
        </w:tabs>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Corte IDH. </w:t>
      </w:r>
      <w:r w:rsidRPr="00054F34">
        <w:rPr>
          <w:rFonts w:asciiTheme="majorHAnsi" w:hAnsiTheme="majorHAnsi"/>
          <w:i/>
          <w:sz w:val="16"/>
          <w:szCs w:val="16"/>
          <w:lang w:val="es-ES"/>
        </w:rPr>
        <w:t>Caso Veliz Franco y otros Vs. Guatemala</w:t>
      </w:r>
      <w:r w:rsidRPr="00054F34">
        <w:rPr>
          <w:rFonts w:asciiTheme="majorHAnsi" w:hAnsiTheme="majorHAnsi"/>
          <w:sz w:val="16"/>
          <w:szCs w:val="16"/>
          <w:lang w:val="es-ES"/>
        </w:rPr>
        <w:t xml:space="preserve">. Excepciones Preliminares, Fondo, Reparaciones y Costas. Sentencia de 19 de mayo de 2014. Serie C No. 277, párr. 194.  </w:t>
      </w:r>
    </w:p>
  </w:footnote>
  <w:footnote w:id="120">
    <w:p w:rsidR="00054F34" w:rsidRPr="00054F34" w:rsidRDefault="00054F34" w:rsidP="00996FA3">
      <w:pPr>
        <w:tabs>
          <w:tab w:val="left" w:pos="720"/>
          <w:tab w:val="left" w:pos="810"/>
        </w:tabs>
        <w:autoSpaceDE w:val="0"/>
        <w:autoSpaceDN w:val="0"/>
        <w:adjustRightInd w:val="0"/>
        <w:spacing w:after="120"/>
        <w:ind w:firstLine="720"/>
        <w:jc w:val="both"/>
        <w:rPr>
          <w:rFonts w:asciiTheme="majorHAnsi" w:hAnsiTheme="majorHAnsi"/>
          <w:spacing w:val="-4"/>
          <w:sz w:val="16"/>
          <w:szCs w:val="16"/>
          <w:lang w:val="es-MX"/>
        </w:rPr>
      </w:pPr>
      <w:r w:rsidRPr="00054F34">
        <w:rPr>
          <w:rStyle w:val="FootnoteReference"/>
          <w:rFonts w:asciiTheme="majorHAnsi" w:hAnsiTheme="majorHAnsi"/>
          <w:spacing w:val="-4"/>
          <w:sz w:val="16"/>
          <w:szCs w:val="16"/>
        </w:rPr>
        <w:footnoteRef/>
      </w:r>
      <w:r w:rsidRPr="00054F34">
        <w:rPr>
          <w:rFonts w:asciiTheme="majorHAnsi" w:hAnsiTheme="majorHAnsi"/>
          <w:spacing w:val="-4"/>
          <w:sz w:val="16"/>
          <w:szCs w:val="16"/>
          <w:lang w:val="es-ES"/>
        </w:rPr>
        <w:t xml:space="preserve"> </w:t>
      </w:r>
      <w:r w:rsidRPr="00054F34">
        <w:rPr>
          <w:rFonts w:asciiTheme="majorHAnsi" w:hAnsiTheme="majorHAnsi"/>
          <w:sz w:val="16"/>
          <w:szCs w:val="16"/>
          <w:lang w:val="es-ES"/>
        </w:rPr>
        <w:t>CIDH, Informe No. 13/15, Caso 12.349, Informe de admisibilidad y fondo, Mayra Angelina Gutiérrez Hernández y familia, Guatemala, 23 de marzo de 2015, párr. 129.</w:t>
      </w:r>
    </w:p>
  </w:footnote>
  <w:footnote w:id="121">
    <w:p w:rsidR="00054F34" w:rsidRPr="00054F34" w:rsidRDefault="00054F34" w:rsidP="00996FA3">
      <w:pPr>
        <w:pStyle w:val="FootnoteText"/>
        <w:spacing w:after="120"/>
        <w:ind w:firstLine="720"/>
        <w:jc w:val="both"/>
        <w:rPr>
          <w:rFonts w:asciiTheme="majorHAnsi" w:hAnsiTheme="majorHAnsi"/>
          <w:sz w:val="16"/>
          <w:szCs w:val="16"/>
          <w:lang w:val="es-MX"/>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Corte IDH. </w:t>
      </w:r>
      <w:r w:rsidRPr="00054F34">
        <w:rPr>
          <w:rFonts w:asciiTheme="majorHAnsi" w:hAnsiTheme="majorHAnsi"/>
          <w:i/>
          <w:sz w:val="16"/>
          <w:szCs w:val="16"/>
          <w:lang w:val="es-ES"/>
        </w:rPr>
        <w:t xml:space="preserve">Caso Kawas Fernández Vs. </w:t>
      </w:r>
      <w:r w:rsidRPr="00054F34">
        <w:rPr>
          <w:rFonts w:asciiTheme="majorHAnsi" w:hAnsiTheme="majorHAnsi"/>
          <w:i/>
          <w:sz w:val="16"/>
          <w:szCs w:val="16"/>
          <w:lang w:val="es-CO"/>
        </w:rPr>
        <w:t>Honduras</w:t>
      </w:r>
      <w:r w:rsidRPr="00054F34">
        <w:rPr>
          <w:rFonts w:asciiTheme="majorHAnsi" w:hAnsiTheme="majorHAnsi"/>
          <w:sz w:val="16"/>
          <w:szCs w:val="16"/>
          <w:lang w:val="es-CO"/>
        </w:rPr>
        <w:t xml:space="preserve">. Fondo, Reparaciones y Costas. Sentencia de 3 de abril de 2009. Serie C No. 196, párr.112.  </w:t>
      </w:r>
    </w:p>
  </w:footnote>
  <w:footnote w:id="122">
    <w:p w:rsidR="00054F34" w:rsidRPr="00054F34" w:rsidRDefault="00054F34" w:rsidP="00996FA3">
      <w:pPr>
        <w:spacing w:after="120"/>
        <w:ind w:firstLine="720"/>
        <w:jc w:val="both"/>
        <w:rPr>
          <w:rFonts w:asciiTheme="majorHAnsi" w:hAnsiTheme="majorHAnsi" w:cs="Arial"/>
          <w:sz w:val="16"/>
          <w:szCs w:val="16"/>
          <w:lang w:val="pt-BR"/>
        </w:rPr>
      </w:pPr>
      <w:r w:rsidRPr="00054F34">
        <w:rPr>
          <w:rStyle w:val="FootnoteReference"/>
          <w:rFonts w:asciiTheme="majorHAnsi" w:eastAsia="MS Mincho" w:hAnsiTheme="majorHAnsi"/>
          <w:sz w:val="16"/>
          <w:szCs w:val="16"/>
          <w:lang w:val="es-ES"/>
        </w:rPr>
        <w:footnoteRef/>
      </w:r>
      <w:r w:rsidRPr="00054F34">
        <w:rPr>
          <w:rFonts w:asciiTheme="majorHAnsi" w:hAnsiTheme="majorHAnsi"/>
          <w:sz w:val="16"/>
          <w:szCs w:val="16"/>
          <w:lang w:val="es-ES"/>
        </w:rPr>
        <w:t xml:space="preserve"> </w:t>
      </w:r>
      <w:r w:rsidR="00955939">
        <w:rPr>
          <w:rFonts w:asciiTheme="majorHAnsi" w:hAnsiTheme="majorHAnsi"/>
          <w:sz w:val="16"/>
          <w:szCs w:val="16"/>
          <w:lang w:val="es-ES"/>
        </w:rPr>
        <w:t>CIDH, Informe No. 51/13, Caso 12.551, Fondo,</w:t>
      </w:r>
      <w:r w:rsidRPr="00054F34">
        <w:rPr>
          <w:rFonts w:asciiTheme="majorHAnsi" w:hAnsiTheme="majorHAnsi"/>
          <w:sz w:val="16"/>
          <w:szCs w:val="16"/>
          <w:lang w:val="es-ES"/>
        </w:rPr>
        <w:t xml:space="preserve"> Paloma A</w:t>
      </w:r>
      <w:r w:rsidR="00955939">
        <w:rPr>
          <w:rFonts w:asciiTheme="majorHAnsi" w:hAnsiTheme="majorHAnsi"/>
          <w:sz w:val="16"/>
          <w:szCs w:val="16"/>
          <w:lang w:val="es-ES"/>
        </w:rPr>
        <w:t>ngélica Escobar Ledezma y otros,</w:t>
      </w:r>
      <w:r w:rsidRPr="00054F34">
        <w:rPr>
          <w:rFonts w:asciiTheme="majorHAnsi" w:hAnsiTheme="majorHAnsi"/>
          <w:sz w:val="16"/>
          <w:szCs w:val="16"/>
          <w:lang w:val="es-ES"/>
        </w:rPr>
        <w:t xml:space="preserve"> </w:t>
      </w:r>
      <w:r w:rsidR="00955939">
        <w:rPr>
          <w:rFonts w:asciiTheme="majorHAnsi" w:hAnsiTheme="majorHAnsi"/>
          <w:sz w:val="16"/>
          <w:szCs w:val="16"/>
          <w:lang w:val="es-ES"/>
        </w:rPr>
        <w:t>México, p</w:t>
      </w:r>
      <w:r w:rsidRPr="00054F34">
        <w:rPr>
          <w:rFonts w:asciiTheme="majorHAnsi" w:hAnsiTheme="majorHAnsi"/>
          <w:sz w:val="16"/>
          <w:szCs w:val="16"/>
          <w:lang w:val="es-ES"/>
        </w:rPr>
        <w:t xml:space="preserve">árr. 82; </w:t>
      </w:r>
      <w:r w:rsidR="00955939">
        <w:rPr>
          <w:rFonts w:asciiTheme="majorHAnsi" w:hAnsiTheme="majorHAnsi"/>
          <w:sz w:val="16"/>
          <w:szCs w:val="16"/>
          <w:lang w:val="es-ES"/>
        </w:rPr>
        <w:t>CIDH, Informe No.</w:t>
      </w:r>
      <w:r w:rsidRPr="00054F34">
        <w:rPr>
          <w:rFonts w:asciiTheme="majorHAnsi" w:hAnsiTheme="majorHAnsi"/>
          <w:sz w:val="16"/>
          <w:szCs w:val="16"/>
          <w:lang w:val="es-ES"/>
        </w:rPr>
        <w:t xml:space="preserve"> 55/97, </w:t>
      </w:r>
      <w:r w:rsidR="00955939">
        <w:rPr>
          <w:rFonts w:asciiTheme="majorHAnsi" w:hAnsiTheme="majorHAnsi"/>
          <w:sz w:val="16"/>
          <w:szCs w:val="16"/>
          <w:lang w:val="es-ES"/>
        </w:rPr>
        <w:t xml:space="preserve">Fondo, </w:t>
      </w:r>
      <w:r w:rsidRPr="00054F34">
        <w:rPr>
          <w:rFonts w:asciiTheme="majorHAnsi" w:hAnsiTheme="majorHAnsi"/>
          <w:sz w:val="16"/>
          <w:szCs w:val="16"/>
          <w:lang w:val="es-ES"/>
        </w:rPr>
        <w:t>Juan Carlos Abella y Otros</w:t>
      </w:r>
      <w:r w:rsidR="00955939">
        <w:rPr>
          <w:rFonts w:asciiTheme="majorHAnsi" w:hAnsiTheme="majorHAnsi"/>
          <w:sz w:val="16"/>
          <w:szCs w:val="16"/>
          <w:lang w:val="es-ES"/>
        </w:rPr>
        <w:t>,</w:t>
      </w:r>
      <w:r w:rsidRPr="00054F34">
        <w:rPr>
          <w:rFonts w:asciiTheme="majorHAnsi" w:hAnsiTheme="majorHAnsi"/>
          <w:sz w:val="16"/>
          <w:szCs w:val="16"/>
          <w:lang w:val="es-ES"/>
        </w:rPr>
        <w:t xml:space="preserve"> </w:t>
      </w:r>
      <w:r w:rsidR="00955939">
        <w:rPr>
          <w:rFonts w:asciiTheme="majorHAnsi" w:hAnsiTheme="majorHAnsi"/>
          <w:sz w:val="16"/>
          <w:szCs w:val="16"/>
          <w:lang w:val="es-ES"/>
        </w:rPr>
        <w:t>Argentina</w:t>
      </w:r>
      <w:r w:rsidRPr="00054F34">
        <w:rPr>
          <w:rFonts w:asciiTheme="majorHAnsi" w:hAnsiTheme="majorHAnsi"/>
          <w:sz w:val="16"/>
          <w:szCs w:val="16"/>
          <w:lang w:val="es-ES"/>
        </w:rPr>
        <w:t xml:space="preserve">, 18 de noviembre de 1997, párr. </w:t>
      </w:r>
      <w:r w:rsidRPr="00054F34">
        <w:rPr>
          <w:rFonts w:asciiTheme="majorHAnsi" w:hAnsiTheme="majorHAnsi"/>
          <w:sz w:val="16"/>
          <w:szCs w:val="16"/>
          <w:lang w:val="pt-BR"/>
        </w:rPr>
        <w:t>412.</w:t>
      </w:r>
    </w:p>
  </w:footnote>
  <w:footnote w:id="123">
    <w:p w:rsidR="00054F34" w:rsidRPr="00054F34" w:rsidRDefault="00054F34" w:rsidP="00996FA3">
      <w:pPr>
        <w:pStyle w:val="FootnoteText"/>
        <w:spacing w:after="120"/>
        <w:ind w:firstLine="720"/>
        <w:jc w:val="both"/>
        <w:rPr>
          <w:rFonts w:asciiTheme="majorHAnsi" w:hAnsiTheme="majorHAnsi"/>
          <w:sz w:val="16"/>
          <w:szCs w:val="16"/>
          <w:lang w:val="es-CO"/>
        </w:rPr>
      </w:pPr>
      <w:r w:rsidRPr="00054F34">
        <w:rPr>
          <w:rStyle w:val="FootnoteReference"/>
          <w:rFonts w:asciiTheme="majorHAnsi" w:hAnsiTheme="majorHAnsi"/>
          <w:sz w:val="16"/>
          <w:szCs w:val="16"/>
        </w:rPr>
        <w:footnoteRef/>
      </w:r>
      <w:r w:rsidRPr="00054F34">
        <w:rPr>
          <w:rFonts w:asciiTheme="majorHAnsi" w:hAnsiTheme="majorHAnsi"/>
          <w:sz w:val="16"/>
          <w:szCs w:val="16"/>
          <w:lang w:val="pt-BR"/>
        </w:rPr>
        <w:t xml:space="preserve"> CIDH, Informe No. 25/09 Fondo, Sebastião Camargo Filho, Brasil, 19 de marzo de 2009, párr. </w:t>
      </w:r>
      <w:r w:rsidRPr="00054F34">
        <w:rPr>
          <w:rFonts w:asciiTheme="majorHAnsi" w:hAnsiTheme="majorHAnsi"/>
          <w:sz w:val="16"/>
          <w:szCs w:val="16"/>
          <w:lang w:val="es-CO"/>
        </w:rPr>
        <w:t xml:space="preserve">109. </w:t>
      </w:r>
    </w:p>
  </w:footnote>
  <w:footnote w:id="124">
    <w:p w:rsidR="00054F34" w:rsidRPr="00054F34" w:rsidRDefault="00054F34" w:rsidP="00996FA3">
      <w:pPr>
        <w:pStyle w:val="FootnoteText"/>
        <w:spacing w:after="120"/>
        <w:ind w:firstLine="720"/>
        <w:jc w:val="both"/>
        <w:rPr>
          <w:rFonts w:asciiTheme="majorHAnsi" w:hAnsiTheme="majorHAnsi"/>
          <w:sz w:val="16"/>
          <w:szCs w:val="16"/>
          <w:lang w:val="es-CO"/>
        </w:rPr>
      </w:pPr>
      <w:r w:rsidRPr="00054F34">
        <w:rPr>
          <w:rStyle w:val="FootnoteReference"/>
          <w:rFonts w:asciiTheme="majorHAnsi" w:hAnsiTheme="majorHAnsi"/>
          <w:sz w:val="16"/>
          <w:szCs w:val="16"/>
        </w:rPr>
        <w:footnoteRef/>
      </w:r>
      <w:r w:rsidRPr="00054F34">
        <w:rPr>
          <w:rFonts w:asciiTheme="majorHAnsi" w:hAnsiTheme="majorHAnsi"/>
          <w:sz w:val="16"/>
          <w:szCs w:val="16"/>
          <w:lang w:val="es-CO"/>
        </w:rPr>
        <w:t xml:space="preserve"> Corte IDH. </w:t>
      </w:r>
      <w:r w:rsidRPr="00054F34">
        <w:rPr>
          <w:rFonts w:asciiTheme="majorHAnsi" w:hAnsiTheme="majorHAnsi"/>
          <w:i/>
          <w:sz w:val="16"/>
          <w:szCs w:val="16"/>
          <w:lang w:val="es-CO"/>
        </w:rPr>
        <w:t>Caso Kawas Fernández Vs. Honduras</w:t>
      </w:r>
      <w:r w:rsidRPr="00054F34">
        <w:rPr>
          <w:rFonts w:asciiTheme="majorHAnsi" w:hAnsiTheme="majorHAnsi"/>
          <w:sz w:val="16"/>
          <w:szCs w:val="16"/>
          <w:lang w:val="es-CO"/>
        </w:rPr>
        <w:t>. Fondo, Reparaciones y Costas. Sentencia de 3 de abril de 2009 Serie C No. 196, párr. 79.</w:t>
      </w:r>
    </w:p>
  </w:footnote>
  <w:footnote w:id="125">
    <w:p w:rsidR="00054F34" w:rsidRPr="00054F34" w:rsidRDefault="00054F34" w:rsidP="00996FA3">
      <w:pPr>
        <w:pStyle w:val="FootnoteText"/>
        <w:spacing w:after="120"/>
        <w:ind w:firstLine="720"/>
        <w:jc w:val="both"/>
        <w:rPr>
          <w:rFonts w:asciiTheme="majorHAnsi" w:hAnsiTheme="majorHAnsi"/>
          <w:sz w:val="16"/>
          <w:szCs w:val="16"/>
          <w:lang w:val="es-MX"/>
        </w:rPr>
      </w:pPr>
      <w:r w:rsidRPr="00054F34">
        <w:rPr>
          <w:rStyle w:val="FootnoteReference"/>
          <w:rFonts w:asciiTheme="majorHAnsi" w:hAnsiTheme="majorHAnsi"/>
          <w:sz w:val="16"/>
          <w:szCs w:val="16"/>
        </w:rPr>
        <w:footnoteRef/>
      </w:r>
      <w:r w:rsidRPr="00054F34">
        <w:rPr>
          <w:rFonts w:asciiTheme="majorHAnsi" w:hAnsiTheme="majorHAnsi"/>
          <w:sz w:val="16"/>
          <w:szCs w:val="16"/>
          <w:lang w:val="es-CO"/>
        </w:rPr>
        <w:t xml:space="preserve"> Corte IDH. </w:t>
      </w:r>
      <w:r w:rsidRPr="00054F34">
        <w:rPr>
          <w:rFonts w:asciiTheme="majorHAnsi" w:hAnsiTheme="majorHAnsi"/>
          <w:i/>
          <w:sz w:val="16"/>
          <w:szCs w:val="16"/>
          <w:lang w:val="es-CO"/>
        </w:rPr>
        <w:t>Caso Kawas Fernández Vs. Honduras</w:t>
      </w:r>
      <w:r w:rsidRPr="00054F34">
        <w:rPr>
          <w:rFonts w:asciiTheme="majorHAnsi" w:hAnsiTheme="majorHAnsi"/>
          <w:sz w:val="16"/>
          <w:szCs w:val="16"/>
          <w:lang w:val="es-CO"/>
        </w:rPr>
        <w:t xml:space="preserve">. Fondo, Reparaciones y Costas. Sentencia de 3 de abril de 2009. Serie C No. 196, párr.112.  </w:t>
      </w:r>
    </w:p>
  </w:footnote>
  <w:footnote w:id="126">
    <w:p w:rsidR="00054F34" w:rsidRPr="00054F34" w:rsidRDefault="00054F34" w:rsidP="00996FA3">
      <w:pPr>
        <w:pStyle w:val="FootnoteText"/>
        <w:spacing w:after="120"/>
        <w:ind w:firstLine="720"/>
        <w:jc w:val="both"/>
        <w:rPr>
          <w:rFonts w:asciiTheme="majorHAnsi" w:hAnsiTheme="majorHAnsi"/>
          <w:sz w:val="16"/>
          <w:szCs w:val="16"/>
          <w:lang w:val="es-CO"/>
        </w:rPr>
      </w:pPr>
      <w:r w:rsidRPr="00054F34">
        <w:rPr>
          <w:rStyle w:val="FootnoteReference"/>
          <w:rFonts w:asciiTheme="majorHAnsi" w:hAnsiTheme="majorHAnsi"/>
          <w:sz w:val="16"/>
          <w:szCs w:val="16"/>
        </w:rPr>
        <w:footnoteRef/>
      </w:r>
      <w:r w:rsidRPr="00054F34">
        <w:rPr>
          <w:rFonts w:asciiTheme="majorHAnsi" w:hAnsiTheme="majorHAnsi"/>
          <w:sz w:val="16"/>
          <w:szCs w:val="16"/>
          <w:lang w:val="es-CO"/>
        </w:rPr>
        <w:t xml:space="preserve"> </w:t>
      </w:r>
      <w:r w:rsidR="00955939" w:rsidRPr="00955939">
        <w:rPr>
          <w:rFonts w:ascii="Cambria" w:hAnsi="Cambria"/>
          <w:sz w:val="16"/>
          <w:szCs w:val="16"/>
          <w:lang w:val="es-ES"/>
        </w:rPr>
        <w:t xml:space="preserve">CIDH, Informe No. 51/13, Caso 12.551, Fondo, Paloma Angélica Escobar Ledezma y otros, México, párr. </w:t>
      </w:r>
      <w:r w:rsidRPr="00054F34">
        <w:rPr>
          <w:rFonts w:asciiTheme="majorHAnsi" w:hAnsiTheme="majorHAnsi"/>
          <w:sz w:val="16"/>
          <w:szCs w:val="16"/>
          <w:lang w:val="es-ES"/>
        </w:rPr>
        <w:t>82.</w:t>
      </w:r>
    </w:p>
  </w:footnote>
  <w:footnote w:id="127">
    <w:p w:rsidR="00054F34" w:rsidRPr="00054F34" w:rsidRDefault="00054F34" w:rsidP="00996FA3">
      <w:pPr>
        <w:pStyle w:val="FootnoteText"/>
        <w:spacing w:after="120"/>
        <w:ind w:firstLine="720"/>
        <w:jc w:val="both"/>
        <w:rPr>
          <w:rFonts w:asciiTheme="majorHAnsi" w:hAnsiTheme="majorHAnsi"/>
          <w:sz w:val="16"/>
          <w:szCs w:val="16"/>
          <w:lang w:val="es-CO"/>
        </w:rPr>
      </w:pPr>
      <w:r w:rsidRPr="00054F34">
        <w:rPr>
          <w:rStyle w:val="FootnoteReference"/>
          <w:rFonts w:asciiTheme="majorHAnsi" w:hAnsiTheme="majorHAnsi"/>
          <w:sz w:val="16"/>
          <w:szCs w:val="16"/>
        </w:rPr>
        <w:footnoteRef/>
      </w:r>
      <w:r w:rsidRPr="00054F34">
        <w:rPr>
          <w:rFonts w:asciiTheme="majorHAnsi" w:hAnsiTheme="majorHAnsi"/>
          <w:sz w:val="16"/>
          <w:szCs w:val="16"/>
          <w:lang w:val="es-CO"/>
        </w:rPr>
        <w:t xml:space="preserve"> CIDH, </w:t>
      </w:r>
      <w:r w:rsidRPr="00054F34">
        <w:rPr>
          <w:rFonts w:asciiTheme="majorHAnsi" w:hAnsiTheme="majorHAnsi"/>
          <w:sz w:val="16"/>
          <w:szCs w:val="16"/>
          <w:lang w:val="es-ES"/>
        </w:rPr>
        <w:t>Informe No. 111/09, Caso 11.324, Fondo, Narciso González Medina, República Dominicana, 10 de noviembre de 2009, párr. 240.</w:t>
      </w:r>
    </w:p>
  </w:footnote>
  <w:footnote w:id="128">
    <w:p w:rsidR="00054F34" w:rsidRPr="00054F34" w:rsidRDefault="00054F34" w:rsidP="00996FA3">
      <w:pPr>
        <w:pStyle w:val="FootnoteText"/>
        <w:spacing w:after="120"/>
        <w:ind w:firstLine="720"/>
        <w:jc w:val="both"/>
        <w:rPr>
          <w:rFonts w:asciiTheme="majorHAnsi" w:hAnsiTheme="majorHAnsi"/>
          <w:sz w:val="16"/>
          <w:szCs w:val="16"/>
          <w:lang w:val="es-MX"/>
        </w:rPr>
      </w:pPr>
      <w:r w:rsidRPr="00054F34">
        <w:rPr>
          <w:rStyle w:val="FootnoteReference"/>
          <w:rFonts w:asciiTheme="majorHAnsi" w:hAnsiTheme="majorHAnsi"/>
          <w:sz w:val="16"/>
          <w:szCs w:val="16"/>
          <w:lang w:val="es-ES"/>
        </w:rPr>
        <w:footnoteRef/>
      </w:r>
      <w:r w:rsidRPr="00054F34">
        <w:rPr>
          <w:rFonts w:asciiTheme="majorHAnsi" w:hAnsiTheme="majorHAnsi"/>
          <w:sz w:val="16"/>
          <w:szCs w:val="16"/>
          <w:lang w:val="es-ES"/>
        </w:rPr>
        <w:t xml:space="preserve"> CIDH, Informe No. 56/12 Fondo, Florentín Gudiel Ramos, Makrina Gudiel Álvarez y otros Guatemala, 21 de marzo de 2012, párr. </w:t>
      </w:r>
      <w:r w:rsidRPr="00054F34">
        <w:rPr>
          <w:rFonts w:asciiTheme="majorHAnsi" w:hAnsiTheme="majorHAnsi"/>
          <w:sz w:val="16"/>
          <w:szCs w:val="16"/>
          <w:lang w:val="es-MX"/>
        </w:rPr>
        <w:t xml:space="preserve">126. </w:t>
      </w:r>
      <w:r w:rsidRPr="00054F34">
        <w:rPr>
          <w:rFonts w:asciiTheme="majorHAnsi" w:hAnsiTheme="majorHAnsi"/>
          <w:sz w:val="16"/>
          <w:szCs w:val="16"/>
          <w:lang w:val="es-ES"/>
        </w:rPr>
        <w:t xml:space="preserve">Ver también CIDH, </w:t>
      </w:r>
      <w:hyperlink r:id="rId16" w:history="1">
        <w:r w:rsidRPr="00054F34">
          <w:rPr>
            <w:rStyle w:val="Hyperlink"/>
            <w:rFonts w:asciiTheme="majorHAnsi" w:hAnsiTheme="majorHAnsi"/>
            <w:sz w:val="16"/>
            <w:szCs w:val="16"/>
            <w:u w:val="none"/>
            <w:lang w:val="es-ES"/>
          </w:rPr>
          <w:t>Segundo Informe sobre la Situación de Defensoras y Defensores en la Américas</w:t>
        </w:r>
      </w:hyperlink>
      <w:r w:rsidRPr="00054F34">
        <w:rPr>
          <w:rFonts w:asciiTheme="majorHAnsi" w:hAnsiTheme="majorHAnsi"/>
          <w:sz w:val="16"/>
          <w:szCs w:val="16"/>
          <w:lang w:val="es-ES"/>
        </w:rPr>
        <w:t xml:space="preserve">, 31 de diciembre de 2011, párr. </w:t>
      </w:r>
      <w:r w:rsidRPr="00054F34">
        <w:rPr>
          <w:rFonts w:asciiTheme="majorHAnsi" w:hAnsiTheme="majorHAnsi"/>
          <w:sz w:val="16"/>
          <w:szCs w:val="16"/>
          <w:lang w:val="es-MX"/>
        </w:rPr>
        <w:t>236.</w:t>
      </w:r>
    </w:p>
  </w:footnote>
  <w:footnote w:id="129">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CIDH, </w:t>
      </w:r>
      <w:hyperlink r:id="rId17" w:history="1">
        <w:r w:rsidRPr="00054F34">
          <w:rPr>
            <w:rStyle w:val="Hyperlink"/>
            <w:rFonts w:asciiTheme="majorHAnsi" w:hAnsiTheme="majorHAnsi"/>
            <w:sz w:val="16"/>
            <w:szCs w:val="16"/>
            <w:u w:val="none"/>
            <w:lang w:val="es-ES"/>
          </w:rPr>
          <w:t>Segundo informe sobre la situación de las defensoras y defensores de derechos humanos en las Américas</w:t>
        </w:r>
      </w:hyperlink>
      <w:r w:rsidRPr="00054F34">
        <w:rPr>
          <w:rFonts w:asciiTheme="majorHAnsi" w:hAnsiTheme="majorHAnsi"/>
          <w:sz w:val="16"/>
          <w:szCs w:val="16"/>
          <w:lang w:val="es-ES"/>
        </w:rPr>
        <w:t>, párr. 268.</w:t>
      </w:r>
    </w:p>
  </w:footnote>
  <w:footnote w:id="130">
    <w:p w:rsidR="00054F34" w:rsidRPr="00054F34" w:rsidRDefault="00054F34" w:rsidP="00996FA3">
      <w:pPr>
        <w:pStyle w:val="FootnoteText"/>
        <w:spacing w:after="120"/>
        <w:ind w:firstLine="720"/>
        <w:jc w:val="both"/>
        <w:rPr>
          <w:rFonts w:asciiTheme="majorHAnsi" w:hAnsiTheme="majorHAnsi"/>
          <w:sz w:val="16"/>
          <w:szCs w:val="16"/>
          <w:lang w:val="es-ES_tradnl"/>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CIDH, </w:t>
      </w:r>
      <w:hyperlink r:id="rId18" w:history="1">
        <w:r w:rsidRPr="00054F34">
          <w:rPr>
            <w:rStyle w:val="Hyperlink"/>
            <w:rFonts w:asciiTheme="majorHAnsi" w:hAnsiTheme="majorHAnsi"/>
            <w:sz w:val="16"/>
            <w:szCs w:val="16"/>
            <w:u w:val="none"/>
            <w:lang w:val="es-ES"/>
          </w:rPr>
          <w:t>Situación de derechos humanos en Guatemala</w:t>
        </w:r>
      </w:hyperlink>
      <w:r w:rsidRPr="00054F34">
        <w:rPr>
          <w:rFonts w:asciiTheme="majorHAnsi" w:hAnsiTheme="majorHAnsi"/>
          <w:sz w:val="16"/>
          <w:szCs w:val="16"/>
          <w:lang w:val="es-ES"/>
        </w:rPr>
        <w:t xml:space="preserve">, 31 de diciembre de 2015, </w:t>
      </w:r>
      <w:r w:rsidRPr="00054F34">
        <w:rPr>
          <w:rFonts w:asciiTheme="majorHAnsi" w:hAnsiTheme="majorHAnsi"/>
          <w:sz w:val="16"/>
          <w:szCs w:val="16"/>
          <w:lang w:val="es-ES_tradnl"/>
        </w:rPr>
        <w:t xml:space="preserve">párr. 231. </w:t>
      </w:r>
    </w:p>
  </w:footnote>
  <w:footnote w:id="131">
    <w:p w:rsidR="00054F34" w:rsidRPr="00054F34" w:rsidRDefault="00054F34" w:rsidP="00996FA3">
      <w:pPr>
        <w:pStyle w:val="FootnoteText"/>
        <w:spacing w:after="120"/>
        <w:ind w:firstLine="720"/>
        <w:jc w:val="both"/>
        <w:rPr>
          <w:rFonts w:asciiTheme="majorHAnsi" w:hAnsiTheme="majorHAnsi"/>
          <w:sz w:val="16"/>
          <w:szCs w:val="16"/>
          <w:lang w:val="es-ES_tradnl"/>
        </w:rPr>
      </w:pPr>
      <w:r w:rsidRPr="00054F34">
        <w:rPr>
          <w:rStyle w:val="FootnoteReference"/>
          <w:rFonts w:asciiTheme="majorHAnsi" w:hAnsiTheme="majorHAnsi"/>
          <w:sz w:val="16"/>
          <w:szCs w:val="16"/>
        </w:rPr>
        <w:footnoteRef/>
      </w:r>
      <w:r w:rsidRPr="00054F34">
        <w:rPr>
          <w:rFonts w:asciiTheme="majorHAnsi" w:hAnsiTheme="majorHAnsi"/>
          <w:sz w:val="16"/>
          <w:szCs w:val="16"/>
          <w:lang w:val="es-ES"/>
        </w:rPr>
        <w:t xml:space="preserve"> CIDH, </w:t>
      </w:r>
      <w:hyperlink r:id="rId19" w:history="1">
        <w:r w:rsidRPr="00054F34">
          <w:rPr>
            <w:rStyle w:val="Hyperlink"/>
            <w:rFonts w:asciiTheme="majorHAnsi" w:hAnsiTheme="majorHAnsi"/>
            <w:sz w:val="16"/>
            <w:szCs w:val="16"/>
            <w:u w:val="none"/>
            <w:lang w:val="es-ES"/>
          </w:rPr>
          <w:t>Situación de derechos humanos en Guatemala</w:t>
        </w:r>
      </w:hyperlink>
      <w:r w:rsidRPr="00054F34">
        <w:rPr>
          <w:rFonts w:asciiTheme="majorHAnsi" w:hAnsiTheme="majorHAnsi"/>
          <w:sz w:val="16"/>
          <w:szCs w:val="16"/>
          <w:lang w:val="es-ES"/>
        </w:rPr>
        <w:t xml:space="preserve">, 31 de diciembre de 2015, </w:t>
      </w:r>
      <w:r w:rsidRPr="00054F34">
        <w:rPr>
          <w:rFonts w:asciiTheme="majorHAnsi" w:hAnsiTheme="majorHAnsi"/>
          <w:sz w:val="16"/>
          <w:szCs w:val="16"/>
          <w:lang w:val="es-ES_tradnl"/>
        </w:rPr>
        <w:t xml:space="preserve">párr. 231. </w:t>
      </w:r>
    </w:p>
  </w:footnote>
  <w:footnote w:id="132">
    <w:p w:rsidR="00054F34" w:rsidRPr="00054F34" w:rsidRDefault="00054F34" w:rsidP="00996FA3">
      <w:pPr>
        <w:pStyle w:val="FootnoteText"/>
        <w:spacing w:after="120"/>
        <w:ind w:firstLine="720"/>
        <w:jc w:val="both"/>
        <w:rPr>
          <w:rFonts w:asciiTheme="majorHAnsi" w:hAnsiTheme="majorHAnsi"/>
          <w:sz w:val="16"/>
          <w:szCs w:val="16"/>
          <w:lang w:val="es-ES_tradnl"/>
        </w:rPr>
      </w:pPr>
      <w:r w:rsidRPr="00054F34">
        <w:rPr>
          <w:rStyle w:val="FootnoteReference"/>
          <w:rFonts w:asciiTheme="majorHAnsi" w:hAnsiTheme="majorHAnsi"/>
          <w:sz w:val="16"/>
          <w:szCs w:val="16"/>
        </w:rPr>
        <w:footnoteRef/>
      </w:r>
      <w:r w:rsidRPr="00054F34">
        <w:rPr>
          <w:rFonts w:asciiTheme="majorHAnsi" w:hAnsiTheme="majorHAnsi" w:cs="Arial"/>
          <w:sz w:val="16"/>
          <w:szCs w:val="16"/>
          <w:lang w:val="es-ES"/>
        </w:rPr>
        <w:t xml:space="preserve"> </w:t>
      </w:r>
      <w:r w:rsidRPr="00054F34">
        <w:rPr>
          <w:rFonts w:asciiTheme="majorHAnsi" w:hAnsiTheme="majorHAnsi"/>
          <w:sz w:val="16"/>
          <w:szCs w:val="16"/>
          <w:lang w:val="es-ES_tradnl"/>
        </w:rPr>
        <w:t xml:space="preserve">Corte IDH. </w:t>
      </w:r>
      <w:r w:rsidRPr="00054F34">
        <w:rPr>
          <w:rFonts w:asciiTheme="majorHAnsi" w:hAnsiTheme="majorHAnsi"/>
          <w:i/>
          <w:sz w:val="16"/>
          <w:szCs w:val="16"/>
          <w:lang w:val="es-ES_tradnl"/>
        </w:rPr>
        <w:t>Caso García Asto y Ramírez Rojas Vs. Perú</w:t>
      </w:r>
      <w:r w:rsidRPr="00054F34">
        <w:rPr>
          <w:rFonts w:asciiTheme="majorHAnsi" w:hAnsiTheme="majorHAnsi"/>
          <w:sz w:val="16"/>
          <w:szCs w:val="16"/>
          <w:lang w:val="es-ES_tradnl"/>
        </w:rPr>
        <w:t>. Sentencia de 25 de noviembre de 2005. Serie C No. 137</w:t>
      </w:r>
      <w:r w:rsidRPr="00054F34">
        <w:rPr>
          <w:rFonts w:asciiTheme="majorHAnsi" w:hAnsiTheme="majorHAnsi" w:cs="Arial"/>
          <w:iCs/>
          <w:sz w:val="16"/>
          <w:szCs w:val="16"/>
          <w:lang w:val="es-ES"/>
        </w:rPr>
        <w:t xml:space="preserve">, párr. </w:t>
      </w:r>
      <w:r w:rsidRPr="00054F34">
        <w:rPr>
          <w:rFonts w:asciiTheme="majorHAnsi" w:hAnsiTheme="majorHAnsi" w:cs="Arial"/>
          <w:iCs/>
          <w:sz w:val="16"/>
          <w:szCs w:val="16"/>
          <w:lang w:val="es-ES_tradnl"/>
        </w:rPr>
        <w:t>166.</w:t>
      </w:r>
    </w:p>
  </w:footnote>
  <w:footnote w:id="133">
    <w:p w:rsidR="00054F34" w:rsidRPr="00C12D9D"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054F34">
        <w:rPr>
          <w:rFonts w:asciiTheme="majorHAnsi" w:hAnsiTheme="majorHAnsi"/>
          <w:sz w:val="16"/>
          <w:szCs w:val="16"/>
          <w:lang w:val="es-ES_tradnl"/>
        </w:rPr>
        <w:t xml:space="preserve"> Corte IDH. </w:t>
      </w:r>
      <w:r w:rsidRPr="00C12D9D">
        <w:rPr>
          <w:rFonts w:asciiTheme="majorHAnsi" w:hAnsiTheme="majorHAnsi"/>
          <w:i/>
          <w:sz w:val="16"/>
          <w:szCs w:val="16"/>
          <w:lang w:val="es-ES_tradnl"/>
        </w:rPr>
        <w:t>Caso Ricardo Canese Vs. Paraguay</w:t>
      </w:r>
      <w:r w:rsidRPr="00C12D9D">
        <w:rPr>
          <w:rFonts w:asciiTheme="majorHAnsi" w:hAnsiTheme="majorHAnsi"/>
          <w:sz w:val="16"/>
          <w:szCs w:val="16"/>
          <w:lang w:val="es-ES_tradnl"/>
        </w:rPr>
        <w:t xml:space="preserve">. Sentencia de 31 de agosto de 2004. </w:t>
      </w:r>
      <w:r w:rsidRPr="00C12D9D">
        <w:rPr>
          <w:rFonts w:asciiTheme="majorHAnsi" w:hAnsiTheme="majorHAnsi"/>
          <w:sz w:val="16"/>
          <w:szCs w:val="16"/>
          <w:lang w:val="es-ES"/>
        </w:rPr>
        <w:t>Serie C No. 111</w:t>
      </w:r>
      <w:r w:rsidRPr="00C12D9D">
        <w:rPr>
          <w:rFonts w:asciiTheme="majorHAnsi" w:hAnsiTheme="majorHAnsi" w:cs="Arial"/>
          <w:sz w:val="16"/>
          <w:szCs w:val="16"/>
          <w:lang w:val="es-ES"/>
        </w:rPr>
        <w:t>, párr. 142.</w:t>
      </w:r>
    </w:p>
  </w:footnote>
  <w:footnote w:id="134">
    <w:p w:rsidR="00054F34" w:rsidRPr="006A76E2" w:rsidRDefault="00054F34" w:rsidP="00996FA3">
      <w:pPr>
        <w:pStyle w:val="FootnoteText"/>
        <w:spacing w:after="120"/>
        <w:ind w:firstLine="720"/>
        <w:jc w:val="both"/>
        <w:rPr>
          <w:rFonts w:asciiTheme="majorHAnsi" w:hAnsiTheme="majorHAnsi"/>
          <w:sz w:val="16"/>
          <w:szCs w:val="16"/>
          <w:lang w:val="pt-BR"/>
        </w:rPr>
      </w:pPr>
      <w:r w:rsidRPr="00054F34">
        <w:rPr>
          <w:rStyle w:val="FootnoteReference"/>
          <w:rFonts w:asciiTheme="majorHAnsi" w:hAnsiTheme="majorHAnsi"/>
          <w:sz w:val="16"/>
          <w:szCs w:val="16"/>
        </w:rPr>
        <w:footnoteRef/>
      </w:r>
      <w:r w:rsidRPr="00C12D9D">
        <w:rPr>
          <w:rFonts w:asciiTheme="majorHAnsi" w:hAnsiTheme="majorHAnsi" w:cs="Arial"/>
          <w:sz w:val="16"/>
          <w:szCs w:val="16"/>
          <w:lang w:val="es-ES"/>
        </w:rPr>
        <w:t xml:space="preserve"> </w:t>
      </w:r>
      <w:r w:rsidRPr="00C12D9D">
        <w:rPr>
          <w:rFonts w:asciiTheme="majorHAnsi" w:hAnsiTheme="majorHAnsi"/>
          <w:sz w:val="16"/>
          <w:szCs w:val="16"/>
          <w:lang w:val="es-ES"/>
        </w:rPr>
        <w:t xml:space="preserve">Corte IDH. </w:t>
      </w:r>
      <w:r w:rsidRPr="00C12D9D">
        <w:rPr>
          <w:rFonts w:asciiTheme="majorHAnsi" w:hAnsiTheme="majorHAnsi"/>
          <w:i/>
          <w:sz w:val="16"/>
          <w:szCs w:val="16"/>
          <w:lang w:val="es-ES"/>
        </w:rPr>
        <w:t>Caso López Álvarez Vs. Honduras</w:t>
      </w:r>
      <w:r w:rsidRPr="00C12D9D">
        <w:rPr>
          <w:rFonts w:asciiTheme="majorHAnsi" w:hAnsiTheme="majorHAnsi"/>
          <w:sz w:val="16"/>
          <w:szCs w:val="16"/>
          <w:lang w:val="es-ES"/>
        </w:rPr>
        <w:t xml:space="preserve">. Sentencia de 1 de febrero de 2006. </w:t>
      </w:r>
      <w:r w:rsidRPr="006A76E2">
        <w:rPr>
          <w:rFonts w:asciiTheme="majorHAnsi" w:hAnsiTheme="majorHAnsi"/>
          <w:sz w:val="16"/>
          <w:szCs w:val="16"/>
          <w:lang w:val="pt-BR"/>
        </w:rPr>
        <w:t>Serie C No. 141</w:t>
      </w:r>
      <w:r w:rsidRPr="006A76E2">
        <w:rPr>
          <w:rFonts w:asciiTheme="majorHAnsi" w:hAnsiTheme="majorHAnsi" w:cs="Arial"/>
          <w:sz w:val="16"/>
          <w:szCs w:val="16"/>
          <w:lang w:val="pt-BR"/>
        </w:rPr>
        <w:t>, párr. 129.</w:t>
      </w:r>
    </w:p>
  </w:footnote>
  <w:footnote w:id="135">
    <w:p w:rsidR="00054F34" w:rsidRPr="00054F34" w:rsidRDefault="00054F34" w:rsidP="00996FA3">
      <w:pPr>
        <w:pStyle w:val="FootnoteText"/>
        <w:spacing w:after="120"/>
        <w:ind w:firstLine="720"/>
        <w:jc w:val="both"/>
        <w:rPr>
          <w:rFonts w:asciiTheme="majorHAnsi" w:hAnsiTheme="majorHAnsi"/>
          <w:sz w:val="16"/>
          <w:szCs w:val="16"/>
          <w:lang w:val="es-ES"/>
        </w:rPr>
      </w:pPr>
      <w:r w:rsidRPr="00054F34">
        <w:rPr>
          <w:rStyle w:val="FootnoteReference"/>
          <w:rFonts w:asciiTheme="majorHAnsi" w:hAnsiTheme="majorHAnsi"/>
          <w:sz w:val="16"/>
          <w:szCs w:val="16"/>
        </w:rPr>
        <w:footnoteRef/>
      </w:r>
      <w:r w:rsidRPr="006A76E2">
        <w:rPr>
          <w:rFonts w:asciiTheme="majorHAnsi" w:hAnsiTheme="majorHAnsi" w:cs="Arial"/>
          <w:sz w:val="16"/>
          <w:szCs w:val="16"/>
          <w:lang w:val="pt-BR"/>
        </w:rPr>
        <w:t xml:space="preserve"> Corte IDH. </w:t>
      </w:r>
      <w:r w:rsidRPr="006A76E2">
        <w:rPr>
          <w:rFonts w:asciiTheme="majorHAnsi" w:hAnsiTheme="majorHAnsi" w:cs="Arial"/>
          <w:i/>
          <w:sz w:val="16"/>
          <w:szCs w:val="16"/>
          <w:shd w:val="clear" w:color="auto" w:fill="FFFFFF"/>
          <w:lang w:val="pt-BR"/>
        </w:rPr>
        <w:t xml:space="preserve">Caso Masacre de Santo Domingo Vs. </w:t>
      </w:r>
      <w:r w:rsidRPr="00054F34">
        <w:rPr>
          <w:rFonts w:asciiTheme="majorHAnsi" w:hAnsiTheme="majorHAnsi" w:cs="Arial"/>
          <w:i/>
          <w:sz w:val="16"/>
          <w:szCs w:val="16"/>
          <w:shd w:val="clear" w:color="auto" w:fill="FFFFFF"/>
          <w:lang w:val="es-ES"/>
        </w:rPr>
        <w:t>Colombia</w:t>
      </w:r>
      <w:r w:rsidRPr="00054F34">
        <w:rPr>
          <w:rFonts w:asciiTheme="majorHAnsi" w:hAnsiTheme="majorHAnsi" w:cs="Arial"/>
          <w:sz w:val="16"/>
          <w:szCs w:val="16"/>
          <w:shd w:val="clear" w:color="auto" w:fill="FFFFFF"/>
          <w:lang w:val="es-ES"/>
        </w:rPr>
        <w:t>. Excepciones Preliminares, Fondo y Reparaciones. Sentencia de 30 de noviembre de 2012. Serie C No. 259,</w:t>
      </w:r>
      <w:r w:rsidRPr="00054F34">
        <w:rPr>
          <w:rFonts w:asciiTheme="majorHAnsi" w:hAnsiTheme="majorHAnsi" w:cs="Arial"/>
          <w:sz w:val="16"/>
          <w:szCs w:val="16"/>
          <w:lang w:val="es-ES"/>
        </w:rPr>
        <w:t xml:space="preserve"> párr. 164.</w:t>
      </w:r>
    </w:p>
  </w:footnote>
  <w:footnote w:id="136">
    <w:p w:rsidR="00054F34" w:rsidRPr="00054F34" w:rsidRDefault="00054F34" w:rsidP="00996FA3">
      <w:pPr>
        <w:tabs>
          <w:tab w:val="left" w:pos="900"/>
          <w:tab w:val="left" w:pos="1080"/>
        </w:tabs>
        <w:spacing w:after="120"/>
        <w:ind w:firstLine="720"/>
        <w:jc w:val="both"/>
        <w:rPr>
          <w:rFonts w:asciiTheme="majorHAnsi" w:hAnsiTheme="majorHAnsi"/>
          <w:sz w:val="16"/>
          <w:szCs w:val="16"/>
          <w:lang w:val="es-ES_tradnl"/>
        </w:rPr>
      </w:pPr>
      <w:r w:rsidRPr="00054F34">
        <w:rPr>
          <w:rStyle w:val="FootnoteReference"/>
          <w:rFonts w:asciiTheme="majorHAnsi" w:hAnsiTheme="majorHAnsi" w:cs="Arial"/>
          <w:sz w:val="16"/>
          <w:szCs w:val="16"/>
          <w:lang w:val="es-SV"/>
        </w:rPr>
        <w:footnoteRef/>
      </w:r>
      <w:r w:rsidRPr="00054F34">
        <w:rPr>
          <w:rFonts w:asciiTheme="majorHAnsi" w:hAnsiTheme="majorHAnsi" w:cs="Arial"/>
          <w:sz w:val="16"/>
          <w:szCs w:val="16"/>
          <w:lang w:val="es-CL"/>
        </w:rPr>
        <w:t xml:space="preserve"> </w:t>
      </w:r>
      <w:r w:rsidRPr="00054F34">
        <w:rPr>
          <w:rFonts w:asciiTheme="majorHAnsi" w:hAnsiTheme="majorHAnsi"/>
          <w:sz w:val="16"/>
          <w:szCs w:val="16"/>
          <w:lang w:val="es-CO"/>
        </w:rPr>
        <w:t xml:space="preserve">CIDH. Informe No. 11/10. Caso 12.488. Fondo. Miembros de la Familia Barrios. Venezuela. 16 de marzo de 2010. 91. </w:t>
      </w:r>
      <w:r w:rsidRPr="00054F34">
        <w:rPr>
          <w:rFonts w:asciiTheme="majorHAnsi" w:hAnsiTheme="majorHAnsi"/>
          <w:sz w:val="16"/>
          <w:szCs w:val="16"/>
          <w:lang w:val="es-ES_tradnl"/>
        </w:rPr>
        <w:t xml:space="preserve">CIDH. Informe sobre Terrorismo y Derechos Humanos. Párr. 227; </w:t>
      </w:r>
      <w:r w:rsidRPr="00054F34">
        <w:rPr>
          <w:rFonts w:asciiTheme="majorHAnsi" w:hAnsiTheme="majorHAnsi" w:cs="Arial"/>
          <w:sz w:val="16"/>
          <w:szCs w:val="16"/>
          <w:lang w:val="es-ES_tradnl"/>
        </w:rPr>
        <w:t xml:space="preserve">Corte IDH. </w:t>
      </w:r>
      <w:r w:rsidRPr="00054F34">
        <w:rPr>
          <w:rFonts w:asciiTheme="majorHAnsi" w:hAnsiTheme="majorHAnsi" w:cs="Arial"/>
          <w:bCs/>
          <w:i/>
          <w:sz w:val="16"/>
          <w:szCs w:val="16"/>
          <w:lang w:val="es-ES_tradnl"/>
        </w:rPr>
        <w:t>Caso Cantoral Huamaní y García Santa Cruz Vs. Perú</w:t>
      </w:r>
      <w:r w:rsidRPr="00054F34">
        <w:rPr>
          <w:rFonts w:asciiTheme="majorHAnsi" w:hAnsiTheme="majorHAnsi" w:cs="Arial"/>
          <w:bCs/>
          <w:sz w:val="16"/>
          <w:szCs w:val="16"/>
          <w:lang w:val="es-ES_tradnl"/>
        </w:rPr>
        <w:t xml:space="preserve">. </w:t>
      </w:r>
      <w:r w:rsidRPr="00054F34">
        <w:rPr>
          <w:rFonts w:asciiTheme="majorHAnsi" w:hAnsiTheme="majorHAnsi" w:cs="Arial"/>
          <w:sz w:val="16"/>
          <w:szCs w:val="16"/>
          <w:lang w:val="es-ES_tradnl"/>
        </w:rPr>
        <w:t xml:space="preserve">Excepción Preliminar, Fondo, Reparaciones y Costas. Sentencia de 10 de julio de 2007. Serie C No. 167. </w:t>
      </w:r>
      <w:r w:rsidRPr="00054F34">
        <w:rPr>
          <w:rFonts w:asciiTheme="majorHAnsi" w:hAnsiTheme="majorHAnsi" w:cs="Arial"/>
          <w:sz w:val="16"/>
          <w:szCs w:val="16"/>
          <w:lang w:val="es-CL"/>
        </w:rPr>
        <w:t xml:space="preserve">párr. 112; </w:t>
      </w:r>
      <w:r w:rsidRPr="00054F34">
        <w:rPr>
          <w:rFonts w:asciiTheme="majorHAnsi" w:hAnsiTheme="majorHAnsi" w:cs="Arial"/>
          <w:sz w:val="16"/>
          <w:szCs w:val="16"/>
          <w:lang w:val="es-ES_tradnl"/>
        </w:rPr>
        <w:t xml:space="preserve">y </w:t>
      </w:r>
      <w:r w:rsidRPr="00054F34">
        <w:rPr>
          <w:rFonts w:asciiTheme="majorHAnsi" w:hAnsiTheme="majorHAnsi" w:cs="Arial"/>
          <w:i/>
          <w:sz w:val="16"/>
          <w:szCs w:val="16"/>
          <w:lang w:val="es-ES_tradnl"/>
        </w:rPr>
        <w:t>Caso Bueno Alves Vs. Argentina</w:t>
      </w:r>
      <w:r w:rsidRPr="00054F34">
        <w:rPr>
          <w:rFonts w:asciiTheme="majorHAnsi" w:hAnsiTheme="majorHAnsi" w:cs="Arial"/>
          <w:sz w:val="16"/>
          <w:szCs w:val="16"/>
          <w:lang w:val="es-ES_tradnl"/>
        </w:rPr>
        <w:t xml:space="preserve">. Fondo, Reparaciones y Costas. </w:t>
      </w:r>
      <w:r w:rsidRPr="00054F34">
        <w:rPr>
          <w:rFonts w:asciiTheme="majorHAnsi" w:hAnsiTheme="majorHAnsi" w:cs="Arial"/>
          <w:sz w:val="16"/>
          <w:szCs w:val="16"/>
          <w:lang w:val="es-ES"/>
        </w:rPr>
        <w:t xml:space="preserve">Sentencia de 11 de mayo de 2007. Serie C. No. 164. </w:t>
      </w:r>
      <w:r w:rsidRPr="00054F34">
        <w:rPr>
          <w:rFonts w:asciiTheme="majorHAnsi" w:hAnsiTheme="majorHAnsi" w:cs="Arial"/>
          <w:sz w:val="16"/>
          <w:szCs w:val="16"/>
          <w:lang w:val="es-ES_tradnl"/>
        </w:rPr>
        <w:t>párr. 102.</w:t>
      </w:r>
      <w:r w:rsidRPr="00054F34">
        <w:rPr>
          <w:rFonts w:asciiTheme="majorHAnsi" w:hAnsiTheme="majorHAnsi" w:cs="Arial"/>
          <w:sz w:val="16"/>
          <w:szCs w:val="16"/>
          <w:lang w:val="es-CL"/>
        </w:rPr>
        <w:t xml:space="preserve"> </w:t>
      </w:r>
    </w:p>
  </w:footnote>
  <w:footnote w:id="137">
    <w:p w:rsidR="00054F34" w:rsidRPr="00054F34" w:rsidRDefault="00054F34" w:rsidP="00996FA3">
      <w:pPr>
        <w:tabs>
          <w:tab w:val="left" w:pos="1080"/>
        </w:tabs>
        <w:spacing w:after="120"/>
        <w:ind w:firstLine="720"/>
        <w:jc w:val="both"/>
        <w:rPr>
          <w:rFonts w:asciiTheme="majorHAnsi" w:hAnsiTheme="majorHAnsi"/>
          <w:sz w:val="16"/>
          <w:szCs w:val="16"/>
          <w:lang w:val="es-ES_tradnl"/>
        </w:rPr>
      </w:pPr>
      <w:r w:rsidRPr="00054F34">
        <w:rPr>
          <w:rStyle w:val="FootnoteReference"/>
          <w:rFonts w:asciiTheme="majorHAnsi" w:hAnsiTheme="majorHAnsi" w:cs="Arial"/>
          <w:sz w:val="16"/>
          <w:szCs w:val="16"/>
        </w:rPr>
        <w:footnoteRef/>
      </w:r>
      <w:r w:rsidRPr="00054F34">
        <w:rPr>
          <w:rFonts w:asciiTheme="majorHAnsi" w:hAnsiTheme="majorHAnsi" w:cs="Arial"/>
          <w:sz w:val="16"/>
          <w:szCs w:val="16"/>
          <w:lang w:val="es-ES"/>
        </w:rPr>
        <w:t xml:space="preserve"> Corte IDH. </w:t>
      </w:r>
      <w:r w:rsidRPr="00054F34">
        <w:rPr>
          <w:rFonts w:asciiTheme="majorHAnsi" w:hAnsiTheme="majorHAnsi" w:cs="Arial"/>
          <w:i/>
          <w:sz w:val="16"/>
          <w:szCs w:val="16"/>
          <w:lang w:val="es-ES"/>
        </w:rPr>
        <w:t>Caso Vargas Areco Vs. Paraguay</w:t>
      </w:r>
      <w:r w:rsidRPr="00054F34">
        <w:rPr>
          <w:rFonts w:asciiTheme="majorHAnsi" w:hAnsiTheme="majorHAnsi" w:cs="Arial"/>
          <w:sz w:val="16"/>
          <w:szCs w:val="16"/>
          <w:lang w:val="es-ES"/>
        </w:rPr>
        <w:t xml:space="preserve">. </w:t>
      </w:r>
      <w:r w:rsidRPr="00054F34">
        <w:rPr>
          <w:rFonts w:asciiTheme="majorHAnsi" w:hAnsiTheme="majorHAnsi" w:cs="Arial"/>
          <w:sz w:val="16"/>
          <w:szCs w:val="16"/>
          <w:lang w:val="es-ES_tradnl"/>
        </w:rPr>
        <w:t xml:space="preserve">Sentencia de 26 de septiembre de 2006. Serie C No. 155. párr. </w:t>
      </w:r>
      <w:r w:rsidRPr="00054F34">
        <w:rPr>
          <w:rFonts w:asciiTheme="majorHAnsi" w:hAnsiTheme="majorHAnsi" w:cs="Arial"/>
          <w:sz w:val="16"/>
          <w:szCs w:val="16"/>
          <w:lang w:val="es-ES"/>
        </w:rPr>
        <w:t>96.</w:t>
      </w:r>
    </w:p>
  </w:footnote>
  <w:footnote w:id="138">
    <w:p w:rsidR="00054F34" w:rsidRPr="00054F34" w:rsidRDefault="00054F34" w:rsidP="00996FA3">
      <w:pPr>
        <w:pStyle w:val="FootnoteText"/>
        <w:spacing w:after="120"/>
        <w:ind w:firstLine="720"/>
        <w:jc w:val="both"/>
        <w:rPr>
          <w:rFonts w:asciiTheme="majorHAnsi" w:hAnsiTheme="majorHAnsi"/>
          <w:color w:val="auto"/>
          <w:sz w:val="16"/>
          <w:szCs w:val="16"/>
        </w:rPr>
      </w:pPr>
      <w:r w:rsidRPr="00054F34">
        <w:rPr>
          <w:rStyle w:val="FootnoteReference"/>
          <w:rFonts w:asciiTheme="majorHAnsi" w:hAnsiTheme="majorHAnsi"/>
          <w:color w:val="auto"/>
          <w:sz w:val="16"/>
          <w:szCs w:val="16"/>
        </w:rPr>
        <w:footnoteRef/>
      </w:r>
      <w:r w:rsidRPr="00054F34">
        <w:rPr>
          <w:rFonts w:asciiTheme="majorHAnsi" w:hAnsiTheme="majorHAnsi"/>
          <w:color w:val="auto"/>
          <w:sz w:val="16"/>
          <w:szCs w:val="16"/>
          <w:lang w:val="es-ES_tradnl"/>
        </w:rPr>
        <w:t xml:space="preserve"> </w:t>
      </w:r>
      <w:r w:rsidRPr="00054F34">
        <w:rPr>
          <w:rFonts w:asciiTheme="majorHAnsi" w:hAnsiTheme="majorHAnsi"/>
          <w:noProof/>
          <w:color w:val="auto"/>
          <w:sz w:val="16"/>
          <w:szCs w:val="16"/>
          <w:lang w:val="es-ES"/>
        </w:rPr>
        <w:t xml:space="preserve">Corte IDH. </w:t>
      </w:r>
      <w:r w:rsidRPr="00054F34">
        <w:rPr>
          <w:rFonts w:asciiTheme="majorHAnsi" w:hAnsiTheme="majorHAnsi"/>
          <w:i/>
          <w:color w:val="auto"/>
          <w:sz w:val="16"/>
          <w:szCs w:val="16"/>
          <w:lang w:val="es-ES_tradnl"/>
        </w:rPr>
        <w:t>Caso de la Masacre de la Rochela Vs. Colombia</w:t>
      </w:r>
      <w:r w:rsidRPr="00054F34">
        <w:rPr>
          <w:rFonts w:asciiTheme="majorHAnsi" w:hAnsiTheme="majorHAnsi"/>
          <w:color w:val="auto"/>
          <w:sz w:val="16"/>
          <w:szCs w:val="16"/>
          <w:lang w:val="es-ES_tradnl"/>
        </w:rPr>
        <w:t>. Fondo, Reparaciones y Costas. Sentencia de 11 de mayo de 2007, Serie C No. 163, párr. 195</w:t>
      </w:r>
      <w:r w:rsidRPr="00054F34">
        <w:rPr>
          <w:rFonts w:asciiTheme="majorHAnsi" w:hAnsiTheme="majorHAnsi"/>
          <w:color w:val="auto"/>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34" w:rsidRDefault="00054F34" w:rsidP="0089339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54F34" w:rsidRDefault="00054F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34" w:rsidRDefault="00414E14" w:rsidP="00A50FCF">
    <w:pPr>
      <w:pStyle w:val="Header"/>
      <w:tabs>
        <w:tab w:val="clear" w:pos="4320"/>
        <w:tab w:val="clear" w:pos="8640"/>
      </w:tabs>
      <w:jc w:val="cente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9" type="#_x0000_t75" alt="Description: C:\Users\mfontana\Documents\Eva Fontana\GRAFICA CIDH\cartas\logos\cidh-peq.jpg" style="width:154.95pt;height:8.05pt;visibility:visible">
          <v:imagedata r:id="rId1" o:title="cidh-peq"/>
        </v:shape>
      </w:pict>
    </w:r>
  </w:p>
  <w:p w:rsidR="00054F34" w:rsidRPr="00EC7D62" w:rsidRDefault="00414E14" w:rsidP="00A50FCF">
    <w:pPr>
      <w:pStyle w:val="Header"/>
      <w:tabs>
        <w:tab w:val="clear" w:pos="4320"/>
        <w:tab w:val="clear" w:pos="8640"/>
      </w:tabs>
      <w:jc w:val="center"/>
      <w:rPr>
        <w:sz w:val="22"/>
        <w:szCs w:val="22"/>
      </w:rPr>
    </w:pPr>
    <w:r>
      <w:rPr>
        <w:sz w:val="22"/>
        <w:szCs w:val="22"/>
      </w:rPr>
      <w:pict>
        <v:rect id="_x0000_i1030"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43EF4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E4CC1BE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0DE4925"/>
    <w:multiLevelType w:val="hybridMultilevel"/>
    <w:tmpl w:val="C0A2790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574320E"/>
    <w:multiLevelType w:val="hybridMultilevel"/>
    <w:tmpl w:val="0F2EA5B8"/>
    <w:lvl w:ilvl="0" w:tplc="6ACCA896">
      <w:start w:val="2"/>
      <w:numFmt w:val="decimal"/>
      <w:lvlText w:val="%1."/>
      <w:lvlJc w:val="left"/>
      <w:pPr>
        <w:tabs>
          <w:tab w:val="num" w:pos="2880"/>
        </w:tabs>
        <w:ind w:left="2880" w:hanging="360"/>
      </w:pPr>
      <w:rPr>
        <w:rFonts w:ascii="Cambria" w:hAnsi="Cambria"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50020"/>
    <w:multiLevelType w:val="hybridMultilevel"/>
    <w:tmpl w:val="1B3290F6"/>
    <w:lvl w:ilvl="0" w:tplc="9E98C24A">
      <w:start w:val="1"/>
      <w:numFmt w:val="decimal"/>
      <w:lvlText w:val="%1."/>
      <w:lvlJc w:val="left"/>
      <w:pPr>
        <w:tabs>
          <w:tab w:val="num" w:pos="1429"/>
        </w:tabs>
        <w:ind w:firstLine="720"/>
      </w:pPr>
      <w:rPr>
        <w:rFonts w:ascii="Cambria" w:hAnsi="Cambria" w:cs="Times New Roman" w:hint="default"/>
        <w:b w:val="0"/>
        <w:i w:val="0"/>
        <w:sz w:val="20"/>
        <w:szCs w:val="20"/>
        <w:lang w:val="es-PE"/>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976A6A1E">
      <w:start w:val="1"/>
      <w:numFmt w:val="decimal"/>
      <w:lvlText w:val="%4."/>
      <w:lvlJc w:val="left"/>
      <w:pPr>
        <w:tabs>
          <w:tab w:val="num" w:pos="2880"/>
        </w:tabs>
        <w:ind w:left="2880" w:hanging="360"/>
      </w:pPr>
      <w:rPr>
        <w:rFonts w:ascii="Cambria" w:hAnsi="Cambria"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7E108A"/>
    <w:multiLevelType w:val="hybridMultilevel"/>
    <w:tmpl w:val="DA2C6C14"/>
    <w:lvl w:ilvl="0" w:tplc="94B670EA">
      <w:start w:val="1"/>
      <w:numFmt w:val="upperLetter"/>
      <w:lvlText w:val="%1."/>
      <w:lvlJc w:val="left"/>
      <w:pPr>
        <w:ind w:left="3600" w:hanging="360"/>
      </w:pPr>
      <w:rPr>
        <w:rFonts w:ascii="Cambria" w:hAnsi="Cambria" w:hint="default"/>
        <w:b/>
        <w:color w:val="auto"/>
        <w:sz w:val="20"/>
        <w:szCs w:val="2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1F3979AB"/>
    <w:multiLevelType w:val="hybridMultilevel"/>
    <w:tmpl w:val="68F03888"/>
    <w:lvl w:ilvl="0" w:tplc="300E081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7795779"/>
    <w:multiLevelType w:val="multilevel"/>
    <w:tmpl w:val="D44C2946"/>
    <w:lvl w:ilvl="0">
      <w:start w:val="1"/>
      <w:numFmt w:val="decimal"/>
      <w:lvlText w:val="%1."/>
      <w:lvlJc w:val="left"/>
      <w:pPr>
        <w:tabs>
          <w:tab w:val="num" w:pos="720"/>
        </w:tabs>
        <w:ind w:left="0" w:firstLine="720"/>
      </w:pPr>
      <w:rPr>
        <w:rFonts w:hint="default"/>
        <w:b w:val="0"/>
        <w:i w:val="0"/>
        <w:sz w:val="20"/>
        <w:szCs w:val="20"/>
        <w:lang w:val="es-AR"/>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nsid w:val="3E063A69"/>
    <w:multiLevelType w:val="hybridMultilevel"/>
    <w:tmpl w:val="3A7C3A3E"/>
    <w:lvl w:ilvl="0" w:tplc="08ECA122">
      <w:start w:val="8"/>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3F13EE8"/>
    <w:multiLevelType w:val="hybridMultilevel"/>
    <w:tmpl w:val="78BC45F8"/>
    <w:lvl w:ilvl="0" w:tplc="73E4764C">
      <w:start w:val="1"/>
      <w:numFmt w:val="upperLetter"/>
      <w:lvlText w:val="%1."/>
      <w:lvlJc w:val="left"/>
      <w:pPr>
        <w:tabs>
          <w:tab w:val="num" w:pos="1440"/>
        </w:tabs>
        <w:ind w:left="1440" w:hanging="720"/>
      </w:pPr>
      <w:rPr>
        <w:rFonts w:hint="default"/>
      </w:rPr>
    </w:lvl>
    <w:lvl w:ilvl="1" w:tplc="04090003">
      <w:start w:val="1"/>
      <w:numFmt w:val="decimal"/>
      <w:lvlText w:val="%2."/>
      <w:lvlJc w:val="left"/>
      <w:pPr>
        <w:tabs>
          <w:tab w:val="num" w:pos="1860"/>
        </w:tabs>
        <w:ind w:left="1860" w:hanging="420"/>
      </w:pPr>
      <w:rPr>
        <w:rFonts w:hint="default"/>
      </w:rPr>
    </w:lvl>
    <w:lvl w:ilvl="2" w:tplc="04090005">
      <w:start w:val="2"/>
      <w:numFmt w:val="lowerLetter"/>
      <w:lvlText w:val="%3."/>
      <w:lvlJc w:val="left"/>
      <w:pPr>
        <w:tabs>
          <w:tab w:val="num" w:pos="3060"/>
        </w:tabs>
        <w:ind w:left="3060" w:hanging="72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9">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7727599"/>
    <w:multiLevelType w:val="hybridMultilevel"/>
    <w:tmpl w:val="4B1E4F2E"/>
    <w:lvl w:ilvl="0" w:tplc="20A2291C">
      <w:start w:val="1"/>
      <w:numFmt w:val="decimal"/>
      <w:pStyle w:val="PrrafodeSentencia"/>
      <w:lvlText w:val="%1."/>
      <w:lvlJc w:val="left"/>
      <w:pPr>
        <w:ind w:left="360" w:hanging="360"/>
      </w:pPr>
      <w:rPr>
        <w:rFonts w:ascii="Verdana" w:eastAsia="Times New Roman" w:hAnsi="Verdana" w:cs="Times New Roman" w:hint="default"/>
        <w:b w:val="0"/>
        <w:i w:val="0"/>
        <w:color w:val="auto"/>
        <w:w w:val="100"/>
        <w:sz w:val="20"/>
        <w:szCs w:val="20"/>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nsid w:val="5BD4289F"/>
    <w:multiLevelType w:val="hybridMultilevel"/>
    <w:tmpl w:val="62887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65146B17"/>
    <w:multiLevelType w:val="hybridMultilevel"/>
    <w:tmpl w:val="1792BE58"/>
    <w:lvl w:ilvl="0" w:tplc="EB58263A">
      <w:start w:val="1"/>
      <w:numFmt w:val="decimal"/>
      <w:lvlText w:val="%1."/>
      <w:lvlJc w:val="left"/>
      <w:pPr>
        <w:tabs>
          <w:tab w:val="num" w:pos="2040"/>
        </w:tabs>
        <w:ind w:left="2040" w:hanging="1440"/>
      </w:pPr>
      <w:rPr>
        <w:rFonts w:ascii="Cambria" w:hAnsi="Cambria" w:hint="default"/>
        <w:b w:val="0"/>
        <w:i w:val="0"/>
        <w:sz w:val="20"/>
        <w:szCs w:val="20"/>
      </w:rPr>
    </w:lvl>
    <w:lvl w:ilvl="1" w:tplc="04090019">
      <w:start w:val="6"/>
      <w:numFmt w:val="upperRoman"/>
      <w:lvlText w:val="%2."/>
      <w:lvlJc w:val="left"/>
      <w:pPr>
        <w:tabs>
          <w:tab w:val="num" w:pos="1860"/>
        </w:tabs>
        <w:ind w:left="1860" w:hanging="720"/>
      </w:pPr>
      <w:rPr>
        <w:rFonts w:hint="default"/>
      </w:rPr>
    </w:lvl>
    <w:lvl w:ilvl="2" w:tplc="0409001B">
      <w:start w:val="1"/>
      <w:numFmt w:val="upperLetter"/>
      <w:lvlText w:val="%3."/>
      <w:lvlJc w:val="left"/>
      <w:pPr>
        <w:tabs>
          <w:tab w:val="num" w:pos="2760"/>
        </w:tabs>
        <w:ind w:left="2760" w:hanging="720"/>
      </w:pPr>
      <w:rPr>
        <w:rFonts w:hint="default"/>
      </w:rPr>
    </w:lvl>
    <w:lvl w:ilvl="3" w:tplc="1BC6FDD6">
      <w:start w:val="1"/>
      <w:numFmt w:val="lowerRoman"/>
      <w:lvlText w:val="%4."/>
      <w:lvlJc w:val="left"/>
      <w:pPr>
        <w:tabs>
          <w:tab w:val="num" w:pos="3300"/>
        </w:tabs>
        <w:ind w:left="3300" w:hanging="720"/>
      </w:pPr>
      <w:rPr>
        <w:rFonts w:cs="Times New Roman" w:hint="default"/>
      </w:rPr>
    </w:lvl>
    <w:lvl w:ilvl="4" w:tplc="C350752E">
      <w:start w:val="1"/>
      <w:numFmt w:val="lowerRoman"/>
      <w:lvlText w:val="%5)"/>
      <w:lvlJc w:val="left"/>
      <w:pPr>
        <w:tabs>
          <w:tab w:val="num" w:pos="4020"/>
        </w:tabs>
        <w:ind w:left="4020" w:hanging="720"/>
      </w:pPr>
      <w:rPr>
        <w:rFonts w:hint="default"/>
      </w:r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37564B64"/>
    <w:lvl w:ilvl="0" w:tplc="B644D75E">
      <w:start w:val="1"/>
      <w:numFmt w:val="upperRoman"/>
      <w:pStyle w:val="Heading1"/>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61"/>
  </w:num>
  <w:num w:numId="4">
    <w:abstractNumId w:val="26"/>
  </w:num>
  <w:num w:numId="5">
    <w:abstractNumId w:val="55"/>
  </w:num>
  <w:num w:numId="6">
    <w:abstractNumId w:val="32"/>
  </w:num>
  <w:num w:numId="7">
    <w:abstractNumId w:val="10"/>
  </w:num>
  <w:num w:numId="8">
    <w:abstractNumId w:val="22"/>
  </w:num>
  <w:num w:numId="9">
    <w:abstractNumId w:val="48"/>
  </w:num>
  <w:num w:numId="10">
    <w:abstractNumId w:val="2"/>
  </w:num>
  <w:num w:numId="11">
    <w:abstractNumId w:val="43"/>
  </w:num>
  <w:num w:numId="12">
    <w:abstractNumId w:val="44"/>
  </w:num>
  <w:num w:numId="13">
    <w:abstractNumId w:val="50"/>
  </w:num>
  <w:num w:numId="14">
    <w:abstractNumId w:val="3"/>
  </w:num>
  <w:num w:numId="15">
    <w:abstractNumId w:val="4"/>
  </w:num>
  <w:num w:numId="16">
    <w:abstractNumId w:val="11"/>
  </w:num>
  <w:num w:numId="17">
    <w:abstractNumId w:val="12"/>
  </w:num>
  <w:num w:numId="18">
    <w:abstractNumId w:val="14"/>
  </w:num>
  <w:num w:numId="19">
    <w:abstractNumId w:val="15"/>
  </w:num>
  <w:num w:numId="20">
    <w:abstractNumId w:val="17"/>
  </w:num>
  <w:num w:numId="21">
    <w:abstractNumId w:val="18"/>
  </w:num>
  <w:num w:numId="22">
    <w:abstractNumId w:val="19"/>
  </w:num>
  <w:num w:numId="23">
    <w:abstractNumId w:val="20"/>
  </w:num>
  <w:num w:numId="24">
    <w:abstractNumId w:val="21"/>
  </w:num>
  <w:num w:numId="25">
    <w:abstractNumId w:val="23"/>
  </w:num>
  <w:num w:numId="26">
    <w:abstractNumId w:val="24"/>
  </w:num>
  <w:num w:numId="27">
    <w:abstractNumId w:val="27"/>
  </w:num>
  <w:num w:numId="28">
    <w:abstractNumId w:val="28"/>
  </w:num>
  <w:num w:numId="29">
    <w:abstractNumId w:val="29"/>
  </w:num>
  <w:num w:numId="30">
    <w:abstractNumId w:val="31"/>
  </w:num>
  <w:num w:numId="31">
    <w:abstractNumId w:val="33"/>
  </w:num>
  <w:num w:numId="32">
    <w:abstractNumId w:val="35"/>
  </w:num>
  <w:num w:numId="33">
    <w:abstractNumId w:val="36"/>
  </w:num>
  <w:num w:numId="34">
    <w:abstractNumId w:val="37"/>
  </w:num>
  <w:num w:numId="35">
    <w:abstractNumId w:val="39"/>
  </w:num>
  <w:num w:numId="36">
    <w:abstractNumId w:val="40"/>
  </w:num>
  <w:num w:numId="37">
    <w:abstractNumId w:val="41"/>
  </w:num>
  <w:num w:numId="38">
    <w:abstractNumId w:val="42"/>
  </w:num>
  <w:num w:numId="39">
    <w:abstractNumId w:val="45"/>
  </w:num>
  <w:num w:numId="40">
    <w:abstractNumId w:val="46"/>
  </w:num>
  <w:num w:numId="41">
    <w:abstractNumId w:val="53"/>
  </w:num>
  <w:num w:numId="42">
    <w:abstractNumId w:val="56"/>
  </w:num>
  <w:num w:numId="43">
    <w:abstractNumId w:val="57"/>
  </w:num>
  <w:num w:numId="44">
    <w:abstractNumId w:val="59"/>
  </w:num>
  <w:num w:numId="45">
    <w:abstractNumId w:val="60"/>
  </w:num>
  <w:num w:numId="46">
    <w:abstractNumId w:val="62"/>
  </w:num>
  <w:num w:numId="47">
    <w:abstractNumId w:val="63"/>
  </w:num>
  <w:num w:numId="48">
    <w:abstractNumId w:val="64"/>
  </w:num>
  <w:num w:numId="49">
    <w:abstractNumId w:val="65"/>
  </w:num>
  <w:num w:numId="50">
    <w:abstractNumId w:val="66"/>
  </w:num>
  <w:num w:numId="51">
    <w:abstractNumId w:val="25"/>
  </w:num>
  <w:num w:numId="52">
    <w:abstractNumId w:val="47"/>
  </w:num>
  <w:num w:numId="53">
    <w:abstractNumId w:val="58"/>
  </w:num>
  <w:num w:numId="54">
    <w:abstractNumId w:val="52"/>
  </w:num>
  <w:num w:numId="55">
    <w:abstractNumId w:val="9"/>
  </w:num>
  <w:num w:numId="56">
    <w:abstractNumId w:val="16"/>
  </w:num>
  <w:num w:numId="57">
    <w:abstractNumId w:val="13"/>
  </w:num>
  <w:num w:numId="58">
    <w:abstractNumId w:val="6"/>
  </w:num>
  <w:num w:numId="59">
    <w:abstractNumId w:val="51"/>
  </w:num>
  <w:num w:numId="60">
    <w:abstractNumId w:val="38"/>
  </w:num>
  <w:num w:numId="61">
    <w:abstractNumId w:val="1"/>
  </w:num>
  <w:num w:numId="62">
    <w:abstractNumId w:val="49"/>
  </w:num>
  <w:num w:numId="63">
    <w:abstractNumId w:val="8"/>
  </w:num>
  <w:num w:numId="64">
    <w:abstractNumId w:val="0"/>
  </w:num>
  <w:num w:numId="65">
    <w:abstractNumId w:val="34"/>
  </w:num>
  <w:num w:numId="66">
    <w:abstractNumId w:val="54"/>
  </w:num>
  <w:num w:numId="67">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20"/>
  <w:hyphenationZone w:val="425"/>
  <w:characterSpacingControl w:val="doNotCompress"/>
  <w:hdrShapeDefaults>
    <o:shapedefaults v:ext="edit" spidmax="10243"/>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D5C"/>
    <w:rsid w:val="0000036F"/>
    <w:rsid w:val="00000CDA"/>
    <w:rsid w:val="00006E1F"/>
    <w:rsid w:val="000070D7"/>
    <w:rsid w:val="00007828"/>
    <w:rsid w:val="00007D4C"/>
    <w:rsid w:val="000166C8"/>
    <w:rsid w:val="00016C80"/>
    <w:rsid w:val="0001788C"/>
    <w:rsid w:val="00020808"/>
    <w:rsid w:val="00021110"/>
    <w:rsid w:val="00021AAC"/>
    <w:rsid w:val="00026248"/>
    <w:rsid w:val="0002788B"/>
    <w:rsid w:val="000308B6"/>
    <w:rsid w:val="00030F02"/>
    <w:rsid w:val="00035453"/>
    <w:rsid w:val="00037208"/>
    <w:rsid w:val="00037713"/>
    <w:rsid w:val="00040AA4"/>
    <w:rsid w:val="00040C3A"/>
    <w:rsid w:val="00042219"/>
    <w:rsid w:val="00044DDD"/>
    <w:rsid w:val="000451D1"/>
    <w:rsid w:val="00045D4D"/>
    <w:rsid w:val="00050A35"/>
    <w:rsid w:val="00050D56"/>
    <w:rsid w:val="00051B53"/>
    <w:rsid w:val="00051CE0"/>
    <w:rsid w:val="00053951"/>
    <w:rsid w:val="00053E54"/>
    <w:rsid w:val="00054F34"/>
    <w:rsid w:val="0005620A"/>
    <w:rsid w:val="00057ED4"/>
    <w:rsid w:val="0006129C"/>
    <w:rsid w:val="00063B94"/>
    <w:rsid w:val="00064B44"/>
    <w:rsid w:val="000716C5"/>
    <w:rsid w:val="00074AC5"/>
    <w:rsid w:val="00075E23"/>
    <w:rsid w:val="00075EB2"/>
    <w:rsid w:val="0007728C"/>
    <w:rsid w:val="00084156"/>
    <w:rsid w:val="000842C9"/>
    <w:rsid w:val="0008461D"/>
    <w:rsid w:val="000862FE"/>
    <w:rsid w:val="0009344A"/>
    <w:rsid w:val="00094DF0"/>
    <w:rsid w:val="000966F0"/>
    <w:rsid w:val="00097E05"/>
    <w:rsid w:val="000A18CA"/>
    <w:rsid w:val="000A392E"/>
    <w:rsid w:val="000A4DD2"/>
    <w:rsid w:val="000A575F"/>
    <w:rsid w:val="000B4AB4"/>
    <w:rsid w:val="000C34E3"/>
    <w:rsid w:val="000C638C"/>
    <w:rsid w:val="000C7CE2"/>
    <w:rsid w:val="000D0B23"/>
    <w:rsid w:val="000D10DB"/>
    <w:rsid w:val="000D1864"/>
    <w:rsid w:val="000D1BCF"/>
    <w:rsid w:val="000D60A2"/>
    <w:rsid w:val="000E083C"/>
    <w:rsid w:val="000E0A72"/>
    <w:rsid w:val="000E2AD8"/>
    <w:rsid w:val="000E4CD7"/>
    <w:rsid w:val="000E5EB5"/>
    <w:rsid w:val="000E7C9B"/>
    <w:rsid w:val="000F1A24"/>
    <w:rsid w:val="000F2057"/>
    <w:rsid w:val="000F28C6"/>
    <w:rsid w:val="000F35ED"/>
    <w:rsid w:val="000F43A8"/>
    <w:rsid w:val="000F494B"/>
    <w:rsid w:val="000F74D2"/>
    <w:rsid w:val="0010110A"/>
    <w:rsid w:val="00102B7B"/>
    <w:rsid w:val="00102F02"/>
    <w:rsid w:val="00103DEF"/>
    <w:rsid w:val="00104A6A"/>
    <w:rsid w:val="00107131"/>
    <w:rsid w:val="0010736F"/>
    <w:rsid w:val="0011057D"/>
    <w:rsid w:val="00112700"/>
    <w:rsid w:val="00113F73"/>
    <w:rsid w:val="00115F81"/>
    <w:rsid w:val="0011701E"/>
    <w:rsid w:val="0011787A"/>
    <w:rsid w:val="001216A1"/>
    <w:rsid w:val="00121CC2"/>
    <w:rsid w:val="0012687C"/>
    <w:rsid w:val="00127203"/>
    <w:rsid w:val="001330FB"/>
    <w:rsid w:val="00133470"/>
    <w:rsid w:val="00133EE5"/>
    <w:rsid w:val="001366A4"/>
    <w:rsid w:val="00137DCD"/>
    <w:rsid w:val="00141CF3"/>
    <w:rsid w:val="0014720C"/>
    <w:rsid w:val="0015110B"/>
    <w:rsid w:val="0015180C"/>
    <w:rsid w:val="00152226"/>
    <w:rsid w:val="0015421F"/>
    <w:rsid w:val="001608A1"/>
    <w:rsid w:val="00161414"/>
    <w:rsid w:val="00165250"/>
    <w:rsid w:val="00167A34"/>
    <w:rsid w:val="00172538"/>
    <w:rsid w:val="00173297"/>
    <w:rsid w:val="0017533B"/>
    <w:rsid w:val="001803DE"/>
    <w:rsid w:val="0018354E"/>
    <w:rsid w:val="00190D41"/>
    <w:rsid w:val="00191BCE"/>
    <w:rsid w:val="00192E52"/>
    <w:rsid w:val="00197403"/>
    <w:rsid w:val="00197828"/>
    <w:rsid w:val="00197E50"/>
    <w:rsid w:val="001A6EF3"/>
    <w:rsid w:val="001A70FA"/>
    <w:rsid w:val="001A7870"/>
    <w:rsid w:val="001C1B41"/>
    <w:rsid w:val="001C3273"/>
    <w:rsid w:val="001C34E0"/>
    <w:rsid w:val="001D0061"/>
    <w:rsid w:val="001D65EF"/>
    <w:rsid w:val="001E2F1D"/>
    <w:rsid w:val="001E3062"/>
    <w:rsid w:val="001E45AA"/>
    <w:rsid w:val="001E5F6D"/>
    <w:rsid w:val="001F0CC1"/>
    <w:rsid w:val="001F0D63"/>
    <w:rsid w:val="001F1BB1"/>
    <w:rsid w:val="001F6244"/>
    <w:rsid w:val="001F69B8"/>
    <w:rsid w:val="00200802"/>
    <w:rsid w:val="002027C1"/>
    <w:rsid w:val="00202F72"/>
    <w:rsid w:val="0020556A"/>
    <w:rsid w:val="00217B5C"/>
    <w:rsid w:val="00220354"/>
    <w:rsid w:val="00221BC0"/>
    <w:rsid w:val="00222A5F"/>
    <w:rsid w:val="00223D09"/>
    <w:rsid w:val="002250A3"/>
    <w:rsid w:val="00235217"/>
    <w:rsid w:val="002426E0"/>
    <w:rsid w:val="00246C65"/>
    <w:rsid w:val="00246D1F"/>
    <w:rsid w:val="002471C5"/>
    <w:rsid w:val="00247403"/>
    <w:rsid w:val="00247542"/>
    <w:rsid w:val="00247C1B"/>
    <w:rsid w:val="0025470E"/>
    <w:rsid w:val="00254A4A"/>
    <w:rsid w:val="002557AA"/>
    <w:rsid w:val="0026264D"/>
    <w:rsid w:val="002660A2"/>
    <w:rsid w:val="00266B61"/>
    <w:rsid w:val="0026712A"/>
    <w:rsid w:val="00267ACE"/>
    <w:rsid w:val="00267B71"/>
    <w:rsid w:val="00267CDC"/>
    <w:rsid w:val="00267E96"/>
    <w:rsid w:val="002704DB"/>
    <w:rsid w:val="00271A05"/>
    <w:rsid w:val="002737BD"/>
    <w:rsid w:val="00273BB5"/>
    <w:rsid w:val="002807F5"/>
    <w:rsid w:val="00280EAE"/>
    <w:rsid w:val="00281FE9"/>
    <w:rsid w:val="002840D4"/>
    <w:rsid w:val="0028711C"/>
    <w:rsid w:val="00291B43"/>
    <w:rsid w:val="0029607A"/>
    <w:rsid w:val="002A0AAE"/>
    <w:rsid w:val="002A36C8"/>
    <w:rsid w:val="002A5820"/>
    <w:rsid w:val="002B5446"/>
    <w:rsid w:val="002C26AE"/>
    <w:rsid w:val="002C7D84"/>
    <w:rsid w:val="002D0B9D"/>
    <w:rsid w:val="002D11D6"/>
    <w:rsid w:val="002D2B26"/>
    <w:rsid w:val="002D5443"/>
    <w:rsid w:val="002D64BE"/>
    <w:rsid w:val="002D6DF8"/>
    <w:rsid w:val="002D7EA2"/>
    <w:rsid w:val="002E0EEA"/>
    <w:rsid w:val="002E0F87"/>
    <w:rsid w:val="002E187C"/>
    <w:rsid w:val="002F0391"/>
    <w:rsid w:val="002F249C"/>
    <w:rsid w:val="002F2A3A"/>
    <w:rsid w:val="002F2C3C"/>
    <w:rsid w:val="002F7585"/>
    <w:rsid w:val="00300B14"/>
    <w:rsid w:val="0030179B"/>
    <w:rsid w:val="00302733"/>
    <w:rsid w:val="003047CA"/>
    <w:rsid w:val="00311807"/>
    <w:rsid w:val="003122CD"/>
    <w:rsid w:val="003139FE"/>
    <w:rsid w:val="00313BA2"/>
    <w:rsid w:val="00314078"/>
    <w:rsid w:val="0031535D"/>
    <w:rsid w:val="003161A0"/>
    <w:rsid w:val="003262C9"/>
    <w:rsid w:val="00330827"/>
    <w:rsid w:val="00330C8A"/>
    <w:rsid w:val="0033169F"/>
    <w:rsid w:val="00342FA7"/>
    <w:rsid w:val="00343665"/>
    <w:rsid w:val="00344608"/>
    <w:rsid w:val="00346C95"/>
    <w:rsid w:val="00354201"/>
    <w:rsid w:val="00355F37"/>
    <w:rsid w:val="00356185"/>
    <w:rsid w:val="00360380"/>
    <w:rsid w:val="00373B91"/>
    <w:rsid w:val="00373FA8"/>
    <w:rsid w:val="0037519E"/>
    <w:rsid w:val="003762F2"/>
    <w:rsid w:val="00376A5A"/>
    <w:rsid w:val="00382A37"/>
    <w:rsid w:val="00382B2B"/>
    <w:rsid w:val="00384602"/>
    <w:rsid w:val="00385BA6"/>
    <w:rsid w:val="00386CF0"/>
    <w:rsid w:val="00394D58"/>
    <w:rsid w:val="00395A0D"/>
    <w:rsid w:val="003A4606"/>
    <w:rsid w:val="003A4D96"/>
    <w:rsid w:val="003A4E74"/>
    <w:rsid w:val="003A6CAF"/>
    <w:rsid w:val="003B0E97"/>
    <w:rsid w:val="003B1947"/>
    <w:rsid w:val="003B2839"/>
    <w:rsid w:val="003B34BA"/>
    <w:rsid w:val="003B42AB"/>
    <w:rsid w:val="003B5042"/>
    <w:rsid w:val="003B5BF0"/>
    <w:rsid w:val="003B6272"/>
    <w:rsid w:val="003B64FD"/>
    <w:rsid w:val="003C1298"/>
    <w:rsid w:val="003C5109"/>
    <w:rsid w:val="003C676B"/>
    <w:rsid w:val="003C7096"/>
    <w:rsid w:val="003D3BC2"/>
    <w:rsid w:val="003D43A2"/>
    <w:rsid w:val="003D58D8"/>
    <w:rsid w:val="003D5FB3"/>
    <w:rsid w:val="003E0671"/>
    <w:rsid w:val="003E435A"/>
    <w:rsid w:val="003E4861"/>
    <w:rsid w:val="003E6CA1"/>
    <w:rsid w:val="003F0AA6"/>
    <w:rsid w:val="003F3873"/>
    <w:rsid w:val="003F48BA"/>
    <w:rsid w:val="003F59E2"/>
    <w:rsid w:val="003F7C2F"/>
    <w:rsid w:val="003F7CF5"/>
    <w:rsid w:val="00400830"/>
    <w:rsid w:val="00400E1B"/>
    <w:rsid w:val="00400EBF"/>
    <w:rsid w:val="0040671F"/>
    <w:rsid w:val="00406770"/>
    <w:rsid w:val="00407003"/>
    <w:rsid w:val="00414E14"/>
    <w:rsid w:val="004165C2"/>
    <w:rsid w:val="00417603"/>
    <w:rsid w:val="00417A38"/>
    <w:rsid w:val="00420452"/>
    <w:rsid w:val="00421532"/>
    <w:rsid w:val="00421CD5"/>
    <w:rsid w:val="0042474F"/>
    <w:rsid w:val="00427478"/>
    <w:rsid w:val="00427BF9"/>
    <w:rsid w:val="00432A3D"/>
    <w:rsid w:val="00433D80"/>
    <w:rsid w:val="004358D7"/>
    <w:rsid w:val="00436B6B"/>
    <w:rsid w:val="00437753"/>
    <w:rsid w:val="00441B1F"/>
    <w:rsid w:val="00441ECB"/>
    <w:rsid w:val="004422F2"/>
    <w:rsid w:val="00442FA5"/>
    <w:rsid w:val="0044524B"/>
    <w:rsid w:val="0044700A"/>
    <w:rsid w:val="00451834"/>
    <w:rsid w:val="0045286F"/>
    <w:rsid w:val="00453EB0"/>
    <w:rsid w:val="00453F37"/>
    <w:rsid w:val="00455F1C"/>
    <w:rsid w:val="00457AA5"/>
    <w:rsid w:val="00457D19"/>
    <w:rsid w:val="00457DB6"/>
    <w:rsid w:val="00461D6A"/>
    <w:rsid w:val="0046215B"/>
    <w:rsid w:val="004633F0"/>
    <w:rsid w:val="0046440C"/>
    <w:rsid w:val="0046505E"/>
    <w:rsid w:val="00467056"/>
    <w:rsid w:val="00467B7E"/>
    <w:rsid w:val="00470B91"/>
    <w:rsid w:val="004720C4"/>
    <w:rsid w:val="00477592"/>
    <w:rsid w:val="00481871"/>
    <w:rsid w:val="0048223F"/>
    <w:rsid w:val="00486F1C"/>
    <w:rsid w:val="004916F2"/>
    <w:rsid w:val="0049419D"/>
    <w:rsid w:val="004945D6"/>
    <w:rsid w:val="00494A17"/>
    <w:rsid w:val="00495600"/>
    <w:rsid w:val="004A2EDB"/>
    <w:rsid w:val="004A3866"/>
    <w:rsid w:val="004A63AF"/>
    <w:rsid w:val="004B0C0F"/>
    <w:rsid w:val="004B1656"/>
    <w:rsid w:val="004B5825"/>
    <w:rsid w:val="004C1714"/>
    <w:rsid w:val="004C20D2"/>
    <w:rsid w:val="004C4B62"/>
    <w:rsid w:val="004C54C9"/>
    <w:rsid w:val="004C7866"/>
    <w:rsid w:val="004D37EF"/>
    <w:rsid w:val="004D525C"/>
    <w:rsid w:val="004D6025"/>
    <w:rsid w:val="004D6811"/>
    <w:rsid w:val="004D7FF2"/>
    <w:rsid w:val="004E2649"/>
    <w:rsid w:val="004E3113"/>
    <w:rsid w:val="004E6F42"/>
    <w:rsid w:val="004E7E9B"/>
    <w:rsid w:val="004F0EDD"/>
    <w:rsid w:val="004F145C"/>
    <w:rsid w:val="00501399"/>
    <w:rsid w:val="00505FAA"/>
    <w:rsid w:val="00506123"/>
    <w:rsid w:val="0050633D"/>
    <w:rsid w:val="00507BC4"/>
    <w:rsid w:val="0051084C"/>
    <w:rsid w:val="005128E4"/>
    <w:rsid w:val="005133DB"/>
    <w:rsid w:val="0052045E"/>
    <w:rsid w:val="00520740"/>
    <w:rsid w:val="0052162E"/>
    <w:rsid w:val="00524332"/>
    <w:rsid w:val="00525560"/>
    <w:rsid w:val="00527A84"/>
    <w:rsid w:val="00530632"/>
    <w:rsid w:val="0053077C"/>
    <w:rsid w:val="00532B1A"/>
    <w:rsid w:val="00532CF6"/>
    <w:rsid w:val="005350C9"/>
    <w:rsid w:val="005367C8"/>
    <w:rsid w:val="00544C49"/>
    <w:rsid w:val="005516A1"/>
    <w:rsid w:val="0056444B"/>
    <w:rsid w:val="00566CC6"/>
    <w:rsid w:val="00567083"/>
    <w:rsid w:val="00571391"/>
    <w:rsid w:val="0057402A"/>
    <w:rsid w:val="005771D0"/>
    <w:rsid w:val="005773E2"/>
    <w:rsid w:val="00581D80"/>
    <w:rsid w:val="005850DC"/>
    <w:rsid w:val="005863CA"/>
    <w:rsid w:val="0058686F"/>
    <w:rsid w:val="00590147"/>
    <w:rsid w:val="0059088D"/>
    <w:rsid w:val="0059191A"/>
    <w:rsid w:val="005921FF"/>
    <w:rsid w:val="00592F1F"/>
    <w:rsid w:val="00593FF3"/>
    <w:rsid w:val="00595BC2"/>
    <w:rsid w:val="005A2F94"/>
    <w:rsid w:val="005A6D0E"/>
    <w:rsid w:val="005B0EDD"/>
    <w:rsid w:val="005B382F"/>
    <w:rsid w:val="005B52B0"/>
    <w:rsid w:val="005B6806"/>
    <w:rsid w:val="005B7FDA"/>
    <w:rsid w:val="005C0F66"/>
    <w:rsid w:val="005C13BC"/>
    <w:rsid w:val="005C4225"/>
    <w:rsid w:val="005C42CD"/>
    <w:rsid w:val="005C438F"/>
    <w:rsid w:val="005C4E3B"/>
    <w:rsid w:val="005C75CF"/>
    <w:rsid w:val="005D24F8"/>
    <w:rsid w:val="005D2D28"/>
    <w:rsid w:val="005D4B90"/>
    <w:rsid w:val="005E150C"/>
    <w:rsid w:val="005E4F10"/>
    <w:rsid w:val="005E7933"/>
    <w:rsid w:val="005F0DAD"/>
    <w:rsid w:val="005F0F33"/>
    <w:rsid w:val="005F2B45"/>
    <w:rsid w:val="00600DEB"/>
    <w:rsid w:val="0060166C"/>
    <w:rsid w:val="006024B2"/>
    <w:rsid w:val="00603A0C"/>
    <w:rsid w:val="00605782"/>
    <w:rsid w:val="006061D1"/>
    <w:rsid w:val="00606FE2"/>
    <w:rsid w:val="0061182E"/>
    <w:rsid w:val="00614C63"/>
    <w:rsid w:val="0061669D"/>
    <w:rsid w:val="00624F35"/>
    <w:rsid w:val="00627403"/>
    <w:rsid w:val="0062780E"/>
    <w:rsid w:val="00627C9F"/>
    <w:rsid w:val="00630BDB"/>
    <w:rsid w:val="006311E9"/>
    <w:rsid w:val="006317E0"/>
    <w:rsid w:val="00632354"/>
    <w:rsid w:val="006358A8"/>
    <w:rsid w:val="00641B0B"/>
    <w:rsid w:val="00642810"/>
    <w:rsid w:val="006432A2"/>
    <w:rsid w:val="006432D2"/>
    <w:rsid w:val="00643C8A"/>
    <w:rsid w:val="00652333"/>
    <w:rsid w:val="00653688"/>
    <w:rsid w:val="00655D21"/>
    <w:rsid w:val="00656132"/>
    <w:rsid w:val="00661421"/>
    <w:rsid w:val="00665089"/>
    <w:rsid w:val="006664D5"/>
    <w:rsid w:val="006728FA"/>
    <w:rsid w:val="00673E50"/>
    <w:rsid w:val="00675D05"/>
    <w:rsid w:val="00676153"/>
    <w:rsid w:val="00677491"/>
    <w:rsid w:val="0068009E"/>
    <w:rsid w:val="00680B0E"/>
    <w:rsid w:val="00684DD9"/>
    <w:rsid w:val="00687B52"/>
    <w:rsid w:val="00692219"/>
    <w:rsid w:val="00692AE2"/>
    <w:rsid w:val="006A178A"/>
    <w:rsid w:val="006A17D2"/>
    <w:rsid w:val="006A33FD"/>
    <w:rsid w:val="006A473C"/>
    <w:rsid w:val="006A52D8"/>
    <w:rsid w:val="006A73E6"/>
    <w:rsid w:val="006A76E2"/>
    <w:rsid w:val="006A7737"/>
    <w:rsid w:val="006B0DDC"/>
    <w:rsid w:val="006B1DEC"/>
    <w:rsid w:val="006B2D5C"/>
    <w:rsid w:val="006B2F4B"/>
    <w:rsid w:val="006B3E83"/>
    <w:rsid w:val="006B5A05"/>
    <w:rsid w:val="006B6B82"/>
    <w:rsid w:val="006C388F"/>
    <w:rsid w:val="006C4EB1"/>
    <w:rsid w:val="006C6AF6"/>
    <w:rsid w:val="006C7003"/>
    <w:rsid w:val="006D0D04"/>
    <w:rsid w:val="006D2D18"/>
    <w:rsid w:val="006D3AD0"/>
    <w:rsid w:val="006D79D5"/>
    <w:rsid w:val="006E0166"/>
    <w:rsid w:val="006E13C3"/>
    <w:rsid w:val="006E3007"/>
    <w:rsid w:val="006E4988"/>
    <w:rsid w:val="006E624A"/>
    <w:rsid w:val="006E744E"/>
    <w:rsid w:val="006E7B34"/>
    <w:rsid w:val="006F02A1"/>
    <w:rsid w:val="006F11B5"/>
    <w:rsid w:val="007054F2"/>
    <w:rsid w:val="007066A3"/>
    <w:rsid w:val="0070697F"/>
    <w:rsid w:val="007139AB"/>
    <w:rsid w:val="00715162"/>
    <w:rsid w:val="00720FD7"/>
    <w:rsid w:val="0072199C"/>
    <w:rsid w:val="007226AF"/>
    <w:rsid w:val="00722C9F"/>
    <w:rsid w:val="00722DB2"/>
    <w:rsid w:val="00723D10"/>
    <w:rsid w:val="00724224"/>
    <w:rsid w:val="007244BB"/>
    <w:rsid w:val="007253B8"/>
    <w:rsid w:val="007259F2"/>
    <w:rsid w:val="007309FB"/>
    <w:rsid w:val="00732C1E"/>
    <w:rsid w:val="0073419E"/>
    <w:rsid w:val="007361AB"/>
    <w:rsid w:val="007372D2"/>
    <w:rsid w:val="0073741F"/>
    <w:rsid w:val="007451CE"/>
    <w:rsid w:val="0074584A"/>
    <w:rsid w:val="007479E0"/>
    <w:rsid w:val="00747BBB"/>
    <w:rsid w:val="007504E2"/>
    <w:rsid w:val="00753BC4"/>
    <w:rsid w:val="0075473E"/>
    <w:rsid w:val="007559BB"/>
    <w:rsid w:val="0075722E"/>
    <w:rsid w:val="00757902"/>
    <w:rsid w:val="0076001F"/>
    <w:rsid w:val="00761E8B"/>
    <w:rsid w:val="0076643F"/>
    <w:rsid w:val="007752CA"/>
    <w:rsid w:val="0077691E"/>
    <w:rsid w:val="00777F63"/>
    <w:rsid w:val="007816C5"/>
    <w:rsid w:val="00792B26"/>
    <w:rsid w:val="00793455"/>
    <w:rsid w:val="00793ED9"/>
    <w:rsid w:val="00793EDB"/>
    <w:rsid w:val="007A0E1D"/>
    <w:rsid w:val="007A12CB"/>
    <w:rsid w:val="007A2B8B"/>
    <w:rsid w:val="007A2C58"/>
    <w:rsid w:val="007A3C61"/>
    <w:rsid w:val="007A5817"/>
    <w:rsid w:val="007A5B0C"/>
    <w:rsid w:val="007B2D06"/>
    <w:rsid w:val="007B3B65"/>
    <w:rsid w:val="007B4626"/>
    <w:rsid w:val="007B60E9"/>
    <w:rsid w:val="007B6CC3"/>
    <w:rsid w:val="007B7D98"/>
    <w:rsid w:val="007C04F1"/>
    <w:rsid w:val="007C3334"/>
    <w:rsid w:val="007C598C"/>
    <w:rsid w:val="007C5C27"/>
    <w:rsid w:val="007D1025"/>
    <w:rsid w:val="007D1A6C"/>
    <w:rsid w:val="007D2B98"/>
    <w:rsid w:val="007D3BD1"/>
    <w:rsid w:val="007D4186"/>
    <w:rsid w:val="007D46E7"/>
    <w:rsid w:val="007E0268"/>
    <w:rsid w:val="007E21BC"/>
    <w:rsid w:val="007E64F6"/>
    <w:rsid w:val="007E69E7"/>
    <w:rsid w:val="007E7DD1"/>
    <w:rsid w:val="007F034F"/>
    <w:rsid w:val="007F0979"/>
    <w:rsid w:val="008005F9"/>
    <w:rsid w:val="008032A2"/>
    <w:rsid w:val="00803F1C"/>
    <w:rsid w:val="00804361"/>
    <w:rsid w:val="0080600E"/>
    <w:rsid w:val="00810A34"/>
    <w:rsid w:val="00812F05"/>
    <w:rsid w:val="00815498"/>
    <w:rsid w:val="00815C25"/>
    <w:rsid w:val="008167E4"/>
    <w:rsid w:val="00816FC9"/>
    <w:rsid w:val="00817612"/>
    <w:rsid w:val="00820C34"/>
    <w:rsid w:val="00821CE0"/>
    <w:rsid w:val="00831725"/>
    <w:rsid w:val="00831BCA"/>
    <w:rsid w:val="008338A4"/>
    <w:rsid w:val="0083453F"/>
    <w:rsid w:val="00834A6D"/>
    <w:rsid w:val="008362B7"/>
    <w:rsid w:val="00837C45"/>
    <w:rsid w:val="0084347C"/>
    <w:rsid w:val="00843E95"/>
    <w:rsid w:val="00844730"/>
    <w:rsid w:val="008457C2"/>
    <w:rsid w:val="00845E53"/>
    <w:rsid w:val="008503EB"/>
    <w:rsid w:val="008520A5"/>
    <w:rsid w:val="008520CB"/>
    <w:rsid w:val="00852456"/>
    <w:rsid w:val="00853731"/>
    <w:rsid w:val="008548CA"/>
    <w:rsid w:val="0085564F"/>
    <w:rsid w:val="008576E2"/>
    <w:rsid w:val="00857A82"/>
    <w:rsid w:val="00862E05"/>
    <w:rsid w:val="00864065"/>
    <w:rsid w:val="00866579"/>
    <w:rsid w:val="008668AE"/>
    <w:rsid w:val="00866ABC"/>
    <w:rsid w:val="00871D4C"/>
    <w:rsid w:val="00873836"/>
    <w:rsid w:val="00873949"/>
    <w:rsid w:val="008802BB"/>
    <w:rsid w:val="008854B4"/>
    <w:rsid w:val="00885737"/>
    <w:rsid w:val="0088758C"/>
    <w:rsid w:val="00890650"/>
    <w:rsid w:val="0089339B"/>
    <w:rsid w:val="0089508A"/>
    <w:rsid w:val="00895B0E"/>
    <w:rsid w:val="00895D4F"/>
    <w:rsid w:val="00897E12"/>
    <w:rsid w:val="008A2DF0"/>
    <w:rsid w:val="008A5F0C"/>
    <w:rsid w:val="008A7E0F"/>
    <w:rsid w:val="008B0C40"/>
    <w:rsid w:val="008B12F5"/>
    <w:rsid w:val="008B316C"/>
    <w:rsid w:val="008B45D2"/>
    <w:rsid w:val="008C058F"/>
    <w:rsid w:val="008C4508"/>
    <w:rsid w:val="008C5607"/>
    <w:rsid w:val="008D0717"/>
    <w:rsid w:val="008D3C50"/>
    <w:rsid w:val="008D768D"/>
    <w:rsid w:val="008E3759"/>
    <w:rsid w:val="008E4A0F"/>
    <w:rsid w:val="008E6847"/>
    <w:rsid w:val="008E7833"/>
    <w:rsid w:val="008F1912"/>
    <w:rsid w:val="008F1E25"/>
    <w:rsid w:val="008F298D"/>
    <w:rsid w:val="008F2DA8"/>
    <w:rsid w:val="008F360A"/>
    <w:rsid w:val="008F4B2A"/>
    <w:rsid w:val="008F5AED"/>
    <w:rsid w:val="008F5DB7"/>
    <w:rsid w:val="009002DA"/>
    <w:rsid w:val="0090270B"/>
    <w:rsid w:val="009027F2"/>
    <w:rsid w:val="009041DC"/>
    <w:rsid w:val="00904468"/>
    <w:rsid w:val="009073FC"/>
    <w:rsid w:val="00910DA6"/>
    <w:rsid w:val="00914933"/>
    <w:rsid w:val="00917B5A"/>
    <w:rsid w:val="00920A58"/>
    <w:rsid w:val="00920A8C"/>
    <w:rsid w:val="009223E4"/>
    <w:rsid w:val="009233DB"/>
    <w:rsid w:val="00925599"/>
    <w:rsid w:val="00930BD4"/>
    <w:rsid w:val="00934A2C"/>
    <w:rsid w:val="00937A87"/>
    <w:rsid w:val="00947322"/>
    <w:rsid w:val="009556D2"/>
    <w:rsid w:val="00955939"/>
    <w:rsid w:val="00963E97"/>
    <w:rsid w:val="0096490E"/>
    <w:rsid w:val="0096706E"/>
    <w:rsid w:val="009759B8"/>
    <w:rsid w:val="00975C4E"/>
    <w:rsid w:val="009765FD"/>
    <w:rsid w:val="00976E5E"/>
    <w:rsid w:val="00981FBA"/>
    <w:rsid w:val="00987EED"/>
    <w:rsid w:val="009920A8"/>
    <w:rsid w:val="00995C02"/>
    <w:rsid w:val="00995F94"/>
    <w:rsid w:val="00996FA3"/>
    <w:rsid w:val="00997BC5"/>
    <w:rsid w:val="00997CF9"/>
    <w:rsid w:val="009A1908"/>
    <w:rsid w:val="009A3FE0"/>
    <w:rsid w:val="009A4A5D"/>
    <w:rsid w:val="009A4B18"/>
    <w:rsid w:val="009A4F41"/>
    <w:rsid w:val="009A54C5"/>
    <w:rsid w:val="009B1199"/>
    <w:rsid w:val="009B25F3"/>
    <w:rsid w:val="009B30D8"/>
    <w:rsid w:val="009B381B"/>
    <w:rsid w:val="009B3BAB"/>
    <w:rsid w:val="009B74FA"/>
    <w:rsid w:val="009C2602"/>
    <w:rsid w:val="009C2C5C"/>
    <w:rsid w:val="009C5421"/>
    <w:rsid w:val="009D1020"/>
    <w:rsid w:val="009D15AE"/>
    <w:rsid w:val="009D1753"/>
    <w:rsid w:val="009D705A"/>
    <w:rsid w:val="009D7611"/>
    <w:rsid w:val="009E040E"/>
    <w:rsid w:val="009E0B61"/>
    <w:rsid w:val="009E53DE"/>
    <w:rsid w:val="009F4210"/>
    <w:rsid w:val="009F48FE"/>
    <w:rsid w:val="009F52CB"/>
    <w:rsid w:val="009F59D1"/>
    <w:rsid w:val="009F62EF"/>
    <w:rsid w:val="009F649C"/>
    <w:rsid w:val="009F6A22"/>
    <w:rsid w:val="00A01EF3"/>
    <w:rsid w:val="00A03551"/>
    <w:rsid w:val="00A04BAA"/>
    <w:rsid w:val="00A0558A"/>
    <w:rsid w:val="00A0587A"/>
    <w:rsid w:val="00A1090E"/>
    <w:rsid w:val="00A11E0E"/>
    <w:rsid w:val="00A11EEF"/>
    <w:rsid w:val="00A13900"/>
    <w:rsid w:val="00A157AE"/>
    <w:rsid w:val="00A16325"/>
    <w:rsid w:val="00A20BC4"/>
    <w:rsid w:val="00A21D19"/>
    <w:rsid w:val="00A272C2"/>
    <w:rsid w:val="00A27E6E"/>
    <w:rsid w:val="00A328B3"/>
    <w:rsid w:val="00A3680A"/>
    <w:rsid w:val="00A50FCF"/>
    <w:rsid w:val="00A528D1"/>
    <w:rsid w:val="00A5752C"/>
    <w:rsid w:val="00A610CD"/>
    <w:rsid w:val="00A63AA6"/>
    <w:rsid w:val="00A65AD7"/>
    <w:rsid w:val="00A66084"/>
    <w:rsid w:val="00A662A6"/>
    <w:rsid w:val="00A7089E"/>
    <w:rsid w:val="00A7551F"/>
    <w:rsid w:val="00A7580B"/>
    <w:rsid w:val="00A76446"/>
    <w:rsid w:val="00A8175B"/>
    <w:rsid w:val="00A8281A"/>
    <w:rsid w:val="00A86796"/>
    <w:rsid w:val="00A91D18"/>
    <w:rsid w:val="00A953CC"/>
    <w:rsid w:val="00A953EA"/>
    <w:rsid w:val="00AA057D"/>
    <w:rsid w:val="00AA09A2"/>
    <w:rsid w:val="00AA404F"/>
    <w:rsid w:val="00AA47FD"/>
    <w:rsid w:val="00AA5D9C"/>
    <w:rsid w:val="00AA6117"/>
    <w:rsid w:val="00AA7996"/>
    <w:rsid w:val="00AB1B6D"/>
    <w:rsid w:val="00AB23ED"/>
    <w:rsid w:val="00AB2E45"/>
    <w:rsid w:val="00AC19CB"/>
    <w:rsid w:val="00AC4FAC"/>
    <w:rsid w:val="00AC7929"/>
    <w:rsid w:val="00AC7D07"/>
    <w:rsid w:val="00AD2FC2"/>
    <w:rsid w:val="00AD64EF"/>
    <w:rsid w:val="00AD6CC1"/>
    <w:rsid w:val="00AD7004"/>
    <w:rsid w:val="00AD7770"/>
    <w:rsid w:val="00AE4F32"/>
    <w:rsid w:val="00AE5488"/>
    <w:rsid w:val="00AE6F91"/>
    <w:rsid w:val="00AF2A06"/>
    <w:rsid w:val="00AF2D4B"/>
    <w:rsid w:val="00AF4FB1"/>
    <w:rsid w:val="00AF5571"/>
    <w:rsid w:val="00AF5BF2"/>
    <w:rsid w:val="00AF672A"/>
    <w:rsid w:val="00B018C1"/>
    <w:rsid w:val="00B01A71"/>
    <w:rsid w:val="00B02899"/>
    <w:rsid w:val="00B04155"/>
    <w:rsid w:val="00B07341"/>
    <w:rsid w:val="00B11154"/>
    <w:rsid w:val="00B12579"/>
    <w:rsid w:val="00B13656"/>
    <w:rsid w:val="00B17110"/>
    <w:rsid w:val="00B20DEA"/>
    <w:rsid w:val="00B22C3B"/>
    <w:rsid w:val="00B23082"/>
    <w:rsid w:val="00B25EBA"/>
    <w:rsid w:val="00B274EF"/>
    <w:rsid w:val="00B27CFB"/>
    <w:rsid w:val="00B30149"/>
    <w:rsid w:val="00B30539"/>
    <w:rsid w:val="00B30DAB"/>
    <w:rsid w:val="00B314DB"/>
    <w:rsid w:val="00B32F9B"/>
    <w:rsid w:val="00B33208"/>
    <w:rsid w:val="00B361F2"/>
    <w:rsid w:val="00B3718B"/>
    <w:rsid w:val="00B402F7"/>
    <w:rsid w:val="00B406B3"/>
    <w:rsid w:val="00B44689"/>
    <w:rsid w:val="00B44E73"/>
    <w:rsid w:val="00B4632A"/>
    <w:rsid w:val="00B50EA1"/>
    <w:rsid w:val="00B530F1"/>
    <w:rsid w:val="00B604CA"/>
    <w:rsid w:val="00B60A57"/>
    <w:rsid w:val="00B619C5"/>
    <w:rsid w:val="00B63E1C"/>
    <w:rsid w:val="00B64685"/>
    <w:rsid w:val="00B65902"/>
    <w:rsid w:val="00B7067D"/>
    <w:rsid w:val="00B7307C"/>
    <w:rsid w:val="00B760A0"/>
    <w:rsid w:val="00B772BF"/>
    <w:rsid w:val="00B774E7"/>
    <w:rsid w:val="00B822CD"/>
    <w:rsid w:val="00B8494D"/>
    <w:rsid w:val="00B86D8D"/>
    <w:rsid w:val="00B92512"/>
    <w:rsid w:val="00B93CAD"/>
    <w:rsid w:val="00BA04BF"/>
    <w:rsid w:val="00BA276C"/>
    <w:rsid w:val="00BA2C92"/>
    <w:rsid w:val="00BA679E"/>
    <w:rsid w:val="00BA7AC4"/>
    <w:rsid w:val="00BA7ECF"/>
    <w:rsid w:val="00BB19FC"/>
    <w:rsid w:val="00BB2AA7"/>
    <w:rsid w:val="00BB306F"/>
    <w:rsid w:val="00BB4B21"/>
    <w:rsid w:val="00BB547D"/>
    <w:rsid w:val="00BC17FD"/>
    <w:rsid w:val="00BD14CC"/>
    <w:rsid w:val="00BD1D6C"/>
    <w:rsid w:val="00BD33B0"/>
    <w:rsid w:val="00BD3A2F"/>
    <w:rsid w:val="00BD4B89"/>
    <w:rsid w:val="00BD4D02"/>
    <w:rsid w:val="00BD61E0"/>
    <w:rsid w:val="00BD6AAD"/>
    <w:rsid w:val="00BD72FB"/>
    <w:rsid w:val="00BE0B43"/>
    <w:rsid w:val="00BE2484"/>
    <w:rsid w:val="00BE4623"/>
    <w:rsid w:val="00BE4AB4"/>
    <w:rsid w:val="00BE6A5B"/>
    <w:rsid w:val="00BF18E9"/>
    <w:rsid w:val="00BF3D11"/>
    <w:rsid w:val="00BF6FD8"/>
    <w:rsid w:val="00BF773C"/>
    <w:rsid w:val="00C031C8"/>
    <w:rsid w:val="00C03680"/>
    <w:rsid w:val="00C054DF"/>
    <w:rsid w:val="00C07ECE"/>
    <w:rsid w:val="00C12A46"/>
    <w:rsid w:val="00C12D9D"/>
    <w:rsid w:val="00C12DF4"/>
    <w:rsid w:val="00C13727"/>
    <w:rsid w:val="00C14996"/>
    <w:rsid w:val="00C160E2"/>
    <w:rsid w:val="00C21762"/>
    <w:rsid w:val="00C21934"/>
    <w:rsid w:val="00C21EFB"/>
    <w:rsid w:val="00C23A60"/>
    <w:rsid w:val="00C24249"/>
    <w:rsid w:val="00C24543"/>
    <w:rsid w:val="00C256A2"/>
    <w:rsid w:val="00C3400F"/>
    <w:rsid w:val="00C35E31"/>
    <w:rsid w:val="00C406E0"/>
    <w:rsid w:val="00C421BC"/>
    <w:rsid w:val="00C4262B"/>
    <w:rsid w:val="00C44B14"/>
    <w:rsid w:val="00C45B32"/>
    <w:rsid w:val="00C471EC"/>
    <w:rsid w:val="00C4754A"/>
    <w:rsid w:val="00C5028A"/>
    <w:rsid w:val="00C5048D"/>
    <w:rsid w:val="00C50A1D"/>
    <w:rsid w:val="00C50E19"/>
    <w:rsid w:val="00C510B8"/>
    <w:rsid w:val="00C51515"/>
    <w:rsid w:val="00C5660B"/>
    <w:rsid w:val="00C6017D"/>
    <w:rsid w:val="00C6151E"/>
    <w:rsid w:val="00C6244E"/>
    <w:rsid w:val="00C627CC"/>
    <w:rsid w:val="00C66B72"/>
    <w:rsid w:val="00C71BBD"/>
    <w:rsid w:val="00C7253F"/>
    <w:rsid w:val="00C76C69"/>
    <w:rsid w:val="00C82064"/>
    <w:rsid w:val="00C9567A"/>
    <w:rsid w:val="00CA59DE"/>
    <w:rsid w:val="00CB16EF"/>
    <w:rsid w:val="00CB1E95"/>
    <w:rsid w:val="00CB212D"/>
    <w:rsid w:val="00CB2660"/>
    <w:rsid w:val="00CB4C1A"/>
    <w:rsid w:val="00CB7319"/>
    <w:rsid w:val="00CC3A65"/>
    <w:rsid w:val="00CC5E90"/>
    <w:rsid w:val="00CC67D4"/>
    <w:rsid w:val="00CD046C"/>
    <w:rsid w:val="00CD0F3A"/>
    <w:rsid w:val="00CD150C"/>
    <w:rsid w:val="00CD3682"/>
    <w:rsid w:val="00CD4AC8"/>
    <w:rsid w:val="00CE076C"/>
    <w:rsid w:val="00CE2B41"/>
    <w:rsid w:val="00CE5199"/>
    <w:rsid w:val="00CE5D47"/>
    <w:rsid w:val="00CE66D5"/>
    <w:rsid w:val="00CF1088"/>
    <w:rsid w:val="00CF2321"/>
    <w:rsid w:val="00CF637A"/>
    <w:rsid w:val="00CF6972"/>
    <w:rsid w:val="00D02E8E"/>
    <w:rsid w:val="00D059DE"/>
    <w:rsid w:val="00D07479"/>
    <w:rsid w:val="00D10650"/>
    <w:rsid w:val="00D11B94"/>
    <w:rsid w:val="00D13651"/>
    <w:rsid w:val="00D13F30"/>
    <w:rsid w:val="00D13FCE"/>
    <w:rsid w:val="00D1462E"/>
    <w:rsid w:val="00D2066A"/>
    <w:rsid w:val="00D2177B"/>
    <w:rsid w:val="00D24554"/>
    <w:rsid w:val="00D245FA"/>
    <w:rsid w:val="00D25049"/>
    <w:rsid w:val="00D2509F"/>
    <w:rsid w:val="00D25645"/>
    <w:rsid w:val="00D25AC1"/>
    <w:rsid w:val="00D27569"/>
    <w:rsid w:val="00D27627"/>
    <w:rsid w:val="00D306D1"/>
    <w:rsid w:val="00D330C9"/>
    <w:rsid w:val="00D34786"/>
    <w:rsid w:val="00D35EAF"/>
    <w:rsid w:val="00D37BFC"/>
    <w:rsid w:val="00D409C3"/>
    <w:rsid w:val="00D42DF7"/>
    <w:rsid w:val="00D46CA7"/>
    <w:rsid w:val="00D47A8E"/>
    <w:rsid w:val="00D52D14"/>
    <w:rsid w:val="00D56908"/>
    <w:rsid w:val="00D622D5"/>
    <w:rsid w:val="00D62F7C"/>
    <w:rsid w:val="00D66CB8"/>
    <w:rsid w:val="00D712D3"/>
    <w:rsid w:val="00D71422"/>
    <w:rsid w:val="00D72DC6"/>
    <w:rsid w:val="00D73217"/>
    <w:rsid w:val="00D7356B"/>
    <w:rsid w:val="00D737A9"/>
    <w:rsid w:val="00D7558D"/>
    <w:rsid w:val="00D756CC"/>
    <w:rsid w:val="00D7693D"/>
    <w:rsid w:val="00D80A38"/>
    <w:rsid w:val="00D812B2"/>
    <w:rsid w:val="00D8142B"/>
    <w:rsid w:val="00D818FC"/>
    <w:rsid w:val="00D81D92"/>
    <w:rsid w:val="00D91D6C"/>
    <w:rsid w:val="00D93609"/>
    <w:rsid w:val="00D96594"/>
    <w:rsid w:val="00D976C9"/>
    <w:rsid w:val="00DA53ED"/>
    <w:rsid w:val="00DA67BA"/>
    <w:rsid w:val="00DA6D6F"/>
    <w:rsid w:val="00DA7B5F"/>
    <w:rsid w:val="00DA7C0E"/>
    <w:rsid w:val="00DB6809"/>
    <w:rsid w:val="00DB7FD4"/>
    <w:rsid w:val="00DC0397"/>
    <w:rsid w:val="00DC11E7"/>
    <w:rsid w:val="00DC3579"/>
    <w:rsid w:val="00DC3A84"/>
    <w:rsid w:val="00DC3D55"/>
    <w:rsid w:val="00DC3EF2"/>
    <w:rsid w:val="00DC63CA"/>
    <w:rsid w:val="00DC7023"/>
    <w:rsid w:val="00DC769A"/>
    <w:rsid w:val="00DD3D86"/>
    <w:rsid w:val="00DD465D"/>
    <w:rsid w:val="00DD4C3C"/>
    <w:rsid w:val="00DD508A"/>
    <w:rsid w:val="00DD5C0B"/>
    <w:rsid w:val="00DD5FB5"/>
    <w:rsid w:val="00DE02C7"/>
    <w:rsid w:val="00DE3446"/>
    <w:rsid w:val="00DF1038"/>
    <w:rsid w:val="00DF1CA1"/>
    <w:rsid w:val="00DF1EC4"/>
    <w:rsid w:val="00DF4982"/>
    <w:rsid w:val="00DF557C"/>
    <w:rsid w:val="00DF60B5"/>
    <w:rsid w:val="00DF6C52"/>
    <w:rsid w:val="00DF7788"/>
    <w:rsid w:val="00E0340B"/>
    <w:rsid w:val="00E04A90"/>
    <w:rsid w:val="00E07E14"/>
    <w:rsid w:val="00E1034C"/>
    <w:rsid w:val="00E15EE9"/>
    <w:rsid w:val="00E219C7"/>
    <w:rsid w:val="00E24A29"/>
    <w:rsid w:val="00E255BA"/>
    <w:rsid w:val="00E267EF"/>
    <w:rsid w:val="00E312A5"/>
    <w:rsid w:val="00E34C4D"/>
    <w:rsid w:val="00E34E9F"/>
    <w:rsid w:val="00E360D8"/>
    <w:rsid w:val="00E413FC"/>
    <w:rsid w:val="00E41451"/>
    <w:rsid w:val="00E43157"/>
    <w:rsid w:val="00E461CE"/>
    <w:rsid w:val="00E50B23"/>
    <w:rsid w:val="00E551BA"/>
    <w:rsid w:val="00E6029F"/>
    <w:rsid w:val="00E60D0E"/>
    <w:rsid w:val="00E6199C"/>
    <w:rsid w:val="00E632C1"/>
    <w:rsid w:val="00E6553D"/>
    <w:rsid w:val="00E720CA"/>
    <w:rsid w:val="00E7291D"/>
    <w:rsid w:val="00E8494F"/>
    <w:rsid w:val="00E84E92"/>
    <w:rsid w:val="00E84EB5"/>
    <w:rsid w:val="00E85662"/>
    <w:rsid w:val="00E8789F"/>
    <w:rsid w:val="00E916D8"/>
    <w:rsid w:val="00E9308E"/>
    <w:rsid w:val="00E94DD9"/>
    <w:rsid w:val="00E97B71"/>
    <w:rsid w:val="00EA048D"/>
    <w:rsid w:val="00EA3D34"/>
    <w:rsid w:val="00EA47EE"/>
    <w:rsid w:val="00EA6D60"/>
    <w:rsid w:val="00EB112A"/>
    <w:rsid w:val="00EB28E9"/>
    <w:rsid w:val="00EB454D"/>
    <w:rsid w:val="00EB6F1F"/>
    <w:rsid w:val="00EB70B7"/>
    <w:rsid w:val="00EC074F"/>
    <w:rsid w:val="00ED056B"/>
    <w:rsid w:val="00ED1894"/>
    <w:rsid w:val="00ED2B10"/>
    <w:rsid w:val="00ED6A0A"/>
    <w:rsid w:val="00ED7455"/>
    <w:rsid w:val="00ED76BE"/>
    <w:rsid w:val="00EE08FD"/>
    <w:rsid w:val="00EE0FE5"/>
    <w:rsid w:val="00EE2FA1"/>
    <w:rsid w:val="00EE4675"/>
    <w:rsid w:val="00EE4C88"/>
    <w:rsid w:val="00EE5A35"/>
    <w:rsid w:val="00EE7866"/>
    <w:rsid w:val="00EE7B8F"/>
    <w:rsid w:val="00EF2ACB"/>
    <w:rsid w:val="00EF3ED3"/>
    <w:rsid w:val="00EF5AF0"/>
    <w:rsid w:val="00EF619B"/>
    <w:rsid w:val="00EF7DDB"/>
    <w:rsid w:val="00F00B13"/>
    <w:rsid w:val="00F00B55"/>
    <w:rsid w:val="00F02AD1"/>
    <w:rsid w:val="00F03E85"/>
    <w:rsid w:val="00F04F52"/>
    <w:rsid w:val="00F07553"/>
    <w:rsid w:val="00F07DB3"/>
    <w:rsid w:val="00F12320"/>
    <w:rsid w:val="00F15299"/>
    <w:rsid w:val="00F15F02"/>
    <w:rsid w:val="00F165D2"/>
    <w:rsid w:val="00F2143B"/>
    <w:rsid w:val="00F23A74"/>
    <w:rsid w:val="00F2445C"/>
    <w:rsid w:val="00F24C74"/>
    <w:rsid w:val="00F253CC"/>
    <w:rsid w:val="00F27D1F"/>
    <w:rsid w:val="00F30368"/>
    <w:rsid w:val="00F307CD"/>
    <w:rsid w:val="00F31739"/>
    <w:rsid w:val="00F31D55"/>
    <w:rsid w:val="00F32549"/>
    <w:rsid w:val="00F36678"/>
    <w:rsid w:val="00F37106"/>
    <w:rsid w:val="00F40F41"/>
    <w:rsid w:val="00F43697"/>
    <w:rsid w:val="00F45BFC"/>
    <w:rsid w:val="00F47B54"/>
    <w:rsid w:val="00F519CF"/>
    <w:rsid w:val="00F556D4"/>
    <w:rsid w:val="00F55C5C"/>
    <w:rsid w:val="00F56BA5"/>
    <w:rsid w:val="00F60E22"/>
    <w:rsid w:val="00F62FFC"/>
    <w:rsid w:val="00F63943"/>
    <w:rsid w:val="00F64AF5"/>
    <w:rsid w:val="00F66932"/>
    <w:rsid w:val="00F66F87"/>
    <w:rsid w:val="00F67E0D"/>
    <w:rsid w:val="00F80E96"/>
    <w:rsid w:val="00F81395"/>
    <w:rsid w:val="00F84A82"/>
    <w:rsid w:val="00F84CB1"/>
    <w:rsid w:val="00F85FF7"/>
    <w:rsid w:val="00F86BA3"/>
    <w:rsid w:val="00F917D1"/>
    <w:rsid w:val="00F9285A"/>
    <w:rsid w:val="00F95CBE"/>
    <w:rsid w:val="00F9653B"/>
    <w:rsid w:val="00FA21AD"/>
    <w:rsid w:val="00FA4569"/>
    <w:rsid w:val="00FA5A0F"/>
    <w:rsid w:val="00FA5BB6"/>
    <w:rsid w:val="00FA76AB"/>
    <w:rsid w:val="00FB2C00"/>
    <w:rsid w:val="00FB62CF"/>
    <w:rsid w:val="00FB69B1"/>
    <w:rsid w:val="00FC21E9"/>
    <w:rsid w:val="00FC33E1"/>
    <w:rsid w:val="00FD0884"/>
    <w:rsid w:val="00FD3C3B"/>
    <w:rsid w:val="00FD3F03"/>
    <w:rsid w:val="00FD48A1"/>
    <w:rsid w:val="00FE1F22"/>
    <w:rsid w:val="00FE6B45"/>
    <w:rsid w:val="00FF1321"/>
    <w:rsid w:val="00FF55F3"/>
    <w:rsid w:val="00FF5851"/>
    <w:rsid w:val="00FF6BEE"/>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996FA3"/>
    <w:pPr>
      <w:keepNext/>
      <w:keepLines/>
      <w:numPr>
        <w:numId w:val="53"/>
      </w:numPr>
      <w:tabs>
        <w:tab w:val="left" w:pos="1440"/>
      </w:tabs>
      <w:ind w:left="0" w:firstLine="720"/>
      <w:jc w:val="both"/>
      <w:outlineLvl w:val="0"/>
    </w:pPr>
    <w:rPr>
      <w:rFonts w:ascii="Cambria" w:eastAsia="MS Gothic" w:hAnsi="Cambria"/>
      <w:b/>
      <w:bCs/>
      <w:sz w:val="20"/>
      <w:szCs w:val="20"/>
      <w:lang w:val="es-ES_tradnl"/>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ColorfulShading-Accent31">
    <w:name w:val="Colorful Shading - Accent 31"/>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996FA3"/>
    <w:rPr>
      <w:rFonts w:ascii="Cambria" w:eastAsia="MS Gothic" w:hAnsi="Cambria"/>
      <w:b/>
      <w:bCs/>
      <w:bdr w:val="nil"/>
      <w:lang w:val="es-ES_tradnl"/>
    </w:rPr>
  </w:style>
  <w:style w:type="table" w:styleId="MediumGrid1-Accent3">
    <w:name w:val="Medium Grid 1 Accent 3"/>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054F34"/>
    <w:pPr>
      <w:tabs>
        <w:tab w:val="left" w:pos="720"/>
        <w:tab w:val="left" w:pos="1440"/>
        <w:tab w:val="right" w:leader="dot" w:pos="9350"/>
      </w:tabs>
      <w:spacing w:after="100"/>
      <w:jc w:val="both"/>
    </w:pPr>
    <w:rPr>
      <w:rFonts w:asciiTheme="majorHAnsi" w:hAnsiTheme="majorHAnsi"/>
      <w:noProof/>
      <w:sz w:val="20"/>
      <w:szCs w:val="20"/>
      <w:lang w:val="es-ES_tradnl"/>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rsid w:val="001614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BodyTextIndentChar">
    <w:name w:val="Body Text Indent Char"/>
    <w:link w:val="BodyTextIndent"/>
    <w:locked/>
    <w:rsid w:val="00161414"/>
    <w:rPr>
      <w:rFonts w:eastAsia="Times New Roman"/>
      <w:color w:val="000000"/>
      <w:sz w:val="24"/>
      <w:szCs w:val="24"/>
      <w:u w:color="000000"/>
      <w:lang w:val="es-ES_tradnl"/>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89339B"/>
    <w:rPr>
      <w:rFonts w:ascii="Univers" w:hAnsi="Univers"/>
    </w:rPr>
  </w:style>
  <w:style w:type="character" w:customStyle="1" w:styleId="BodyTextIndentChar1">
    <w:name w:val="Body Text Indent Char1"/>
    <w:locked/>
    <w:rsid w:val="001D0061"/>
    <w:rPr>
      <w:rFonts w:eastAsia="Times New Roman"/>
      <w:color w:val="000000"/>
      <w:sz w:val="24"/>
      <w:szCs w:val="24"/>
      <w:u w:color="000000"/>
      <w:lang w:val="es-ES_tradnl"/>
    </w:rPr>
  </w:style>
  <w:style w:type="character" w:customStyle="1" w:styleId="apple-converted-space">
    <w:name w:val="apple-converted-space"/>
    <w:rsid w:val="003122CD"/>
  </w:style>
  <w:style w:type="paragraph" w:customStyle="1" w:styleId="LightGrid-Accent31">
    <w:name w:val="Light Grid - Accent 31"/>
    <w:basedOn w:val="Normal"/>
    <w:uiPriority w:val="72"/>
    <w:qFormat/>
    <w:rsid w:val="00947322"/>
    <w:pPr>
      <w:ind w:left="720"/>
    </w:pPr>
  </w:style>
  <w:style w:type="character" w:styleId="CommentReference">
    <w:name w:val="annotation reference"/>
    <w:uiPriority w:val="99"/>
    <w:semiHidden/>
    <w:unhideWhenUsed/>
    <w:rsid w:val="008520A5"/>
    <w:rPr>
      <w:sz w:val="16"/>
      <w:szCs w:val="16"/>
    </w:rPr>
  </w:style>
  <w:style w:type="paragraph" w:styleId="CommentText">
    <w:name w:val="annotation text"/>
    <w:basedOn w:val="Normal"/>
    <w:link w:val="CommentTextChar"/>
    <w:uiPriority w:val="99"/>
    <w:semiHidden/>
    <w:unhideWhenUsed/>
    <w:rsid w:val="008520A5"/>
    <w:rPr>
      <w:sz w:val="20"/>
      <w:szCs w:val="20"/>
    </w:rPr>
  </w:style>
  <w:style w:type="character" w:customStyle="1" w:styleId="CommentTextChar">
    <w:name w:val="Comment Text Char"/>
    <w:link w:val="CommentText"/>
    <w:uiPriority w:val="99"/>
    <w:semiHidden/>
    <w:rsid w:val="008520A5"/>
    <w:rPr>
      <w:bdr w:val="nil"/>
    </w:rPr>
  </w:style>
  <w:style w:type="paragraph" w:styleId="CommentSubject">
    <w:name w:val="annotation subject"/>
    <w:basedOn w:val="CommentText"/>
    <w:next w:val="CommentText"/>
    <w:link w:val="CommentSubjectChar"/>
    <w:uiPriority w:val="99"/>
    <w:semiHidden/>
    <w:unhideWhenUsed/>
    <w:rsid w:val="008520A5"/>
    <w:rPr>
      <w:b/>
      <w:bCs/>
    </w:rPr>
  </w:style>
  <w:style w:type="character" w:customStyle="1" w:styleId="CommentSubjectChar">
    <w:name w:val="Comment Subject Char"/>
    <w:link w:val="CommentSubject"/>
    <w:uiPriority w:val="99"/>
    <w:semiHidden/>
    <w:rsid w:val="008520A5"/>
    <w:rPr>
      <w:b/>
      <w:bCs/>
      <w:bdr w:val="nil"/>
    </w:rPr>
  </w:style>
  <w:style w:type="paragraph" w:customStyle="1" w:styleId="MediumGrid1-Accent21">
    <w:name w:val="Medium Grid 1 - Accent 21"/>
    <w:basedOn w:val="Normal"/>
    <w:uiPriority w:val="72"/>
    <w:qFormat/>
    <w:rsid w:val="00311807"/>
    <w:pPr>
      <w:ind w:left="720"/>
    </w:pPr>
  </w:style>
  <w:style w:type="character" w:styleId="Emphasis">
    <w:name w:val="Emphasis"/>
    <w:uiPriority w:val="20"/>
    <w:qFormat/>
    <w:rsid w:val="0040671F"/>
    <w:rPr>
      <w:i/>
      <w:iCs/>
    </w:rPr>
  </w:style>
  <w:style w:type="paragraph" w:customStyle="1" w:styleId="ColorfulList-Accent11">
    <w:name w:val="Colorful List - Accent 11"/>
    <w:aliases w:val="Colorful List - Accent 111"/>
    <w:basedOn w:val="Normal"/>
    <w:link w:val="ColorfulList-Accent1Char"/>
    <w:uiPriority w:val="34"/>
    <w:qFormat/>
    <w:rsid w:val="00E6199C"/>
    <w:pPr>
      <w:ind w:left="720"/>
    </w:pPr>
  </w:style>
  <w:style w:type="character" w:customStyle="1" w:styleId="ColorfulList-Accent1Char">
    <w:name w:val="Colorful List - Accent 1 Char"/>
    <w:aliases w:val="Colorful List - Accent 11 Char"/>
    <w:link w:val="ColorfulList-Accent11"/>
    <w:uiPriority w:val="34"/>
    <w:locked/>
    <w:rsid w:val="00FF6BEE"/>
    <w:rPr>
      <w:sz w:val="24"/>
      <w:szCs w:val="24"/>
      <w:bdr w:val="nil"/>
    </w:rPr>
  </w:style>
  <w:style w:type="paragraph" w:styleId="BodyText3">
    <w:name w:val="Body Text 3"/>
    <w:basedOn w:val="Normal"/>
    <w:link w:val="BodyText3Char"/>
    <w:uiPriority w:val="99"/>
    <w:semiHidden/>
    <w:unhideWhenUsed/>
    <w:rsid w:val="00A7089E"/>
    <w:pPr>
      <w:spacing w:after="120"/>
    </w:pPr>
    <w:rPr>
      <w:sz w:val="16"/>
      <w:szCs w:val="16"/>
    </w:rPr>
  </w:style>
  <w:style w:type="character" w:customStyle="1" w:styleId="BodyText3Char">
    <w:name w:val="Body Text 3 Char"/>
    <w:link w:val="BodyText3"/>
    <w:uiPriority w:val="99"/>
    <w:semiHidden/>
    <w:rsid w:val="00A7089E"/>
    <w:rPr>
      <w:sz w:val="16"/>
      <w:szCs w:val="16"/>
      <w:bdr w:val="nil"/>
    </w:rPr>
  </w:style>
  <w:style w:type="paragraph" w:styleId="ListBullet">
    <w:name w:val="List Bullet"/>
    <w:basedOn w:val="Normal"/>
    <w:uiPriority w:val="99"/>
    <w:unhideWhenUsed/>
    <w:rsid w:val="00254A4A"/>
    <w:pPr>
      <w:numPr>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pPr>
    <w:rPr>
      <w:rFonts w:ascii="Calibri" w:eastAsia="Times New Roman" w:hAnsi="Calibri"/>
      <w:sz w:val="22"/>
      <w:szCs w:val="22"/>
      <w:bdr w:val="none" w:sz="0" w:space="0" w:color="auto"/>
      <w:lang w:val="es-CR"/>
    </w:rPr>
  </w:style>
  <w:style w:type="character" w:styleId="Strong">
    <w:name w:val="Strong"/>
    <w:uiPriority w:val="22"/>
    <w:qFormat/>
    <w:rsid w:val="00254A4A"/>
    <w:rPr>
      <w:b/>
      <w:bCs/>
    </w:rPr>
  </w:style>
  <w:style w:type="paragraph" w:customStyle="1" w:styleId="PrrafodeSentencia">
    <w:name w:val="*. Párrafo de Sentencia"/>
    <w:basedOn w:val="MediumGrid1-Accent21"/>
    <w:autoRedefine/>
    <w:qFormat/>
    <w:rsid w:val="00254A4A"/>
    <w:pPr>
      <w:numPr>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pPr>
    <w:rPr>
      <w:rFonts w:ascii="Verdana" w:eastAsia="Batang" w:hAnsi="Verdana"/>
      <w:sz w:val="20"/>
      <w:szCs w:val="20"/>
      <w:bdr w:val="none" w:sz="0" w:space="0" w:color="auto"/>
      <w:lang w:val="es-ES_tradnl" w:eastAsia="es-MX"/>
    </w:rPr>
  </w:style>
  <w:style w:type="paragraph" w:customStyle="1" w:styleId="1">
    <w:name w:val="1"/>
    <w:basedOn w:val="Normal"/>
    <w:link w:val="FootnoteReference"/>
    <w:rsid w:val="0008415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 w:type="paragraph" w:styleId="ListParagraph">
    <w:name w:val="List Paragraph"/>
    <w:basedOn w:val="Normal"/>
    <w:uiPriority w:val="34"/>
    <w:qFormat/>
    <w:rsid w:val="003D58D8"/>
    <w:pPr>
      <w:ind w:left="720"/>
    </w:pPr>
  </w:style>
  <w:style w:type="character" w:styleId="FollowedHyperlink">
    <w:name w:val="FollowedHyperlink"/>
    <w:uiPriority w:val="99"/>
    <w:semiHidden/>
    <w:unhideWhenUsed/>
    <w:rsid w:val="00812F0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List16"/>
  </w:style>
  <w:style w:type="numbering" w:customStyle="1" w:styleId="Cabeceraypie">
    <w:name w:val="List36"/>
    <w:pPr>
      <w:numPr>
        <w:numId w:val="14"/>
      </w:numPr>
    </w:pPr>
  </w:style>
  <w:style w:type="numbering" w:customStyle="1" w:styleId="Footer">
    <w:name w:val="List25"/>
  </w:style>
  <w:style w:type="numbering" w:customStyle="1" w:styleId="Cuerpo">
    <w:name w:val="List1"/>
  </w:style>
  <w:style w:type="numbering" w:customStyle="1" w:styleId="BodyTextIndent">
    <w:name w:val="List41"/>
  </w:style>
  <w:style w:type="numbering" w:customStyle="1" w:styleId="ColorfulShading-Accent31">
    <w:name w:val="List11"/>
  </w:style>
  <w:style w:type="numbering" w:customStyle="1" w:styleId="List0">
    <w:name w:val="List15"/>
    <w:pPr>
      <w:numPr>
        <w:numId w:val="31"/>
      </w:numPr>
    </w:pPr>
  </w:style>
  <w:style w:type="numbering" w:customStyle="1" w:styleId="Estiloimportado1">
    <w:name w:val="List14"/>
  </w:style>
  <w:style w:type="numbering" w:customStyle="1" w:styleId="List1">
    <w:name w:val="List23"/>
    <w:pPr>
      <w:numPr>
        <w:numId w:val="1"/>
      </w:numPr>
    </w:pPr>
  </w:style>
  <w:style w:type="numbering" w:customStyle="1" w:styleId="Estiloimportado2">
    <w:name w:val="List19"/>
  </w:style>
  <w:style w:type="numbering" w:customStyle="1" w:styleId="List21">
    <w:name w:val="List45"/>
    <w:pPr>
      <w:numPr>
        <w:numId w:val="52"/>
      </w:numPr>
    </w:pPr>
  </w:style>
  <w:style w:type="numbering" w:customStyle="1" w:styleId="Estiloimportado3">
    <w:name w:val="List40"/>
    <w:pPr>
      <w:numPr>
        <w:numId w:val="21"/>
      </w:numPr>
    </w:pPr>
  </w:style>
  <w:style w:type="numbering" w:customStyle="1" w:styleId="List31">
    <w:name w:val="List9"/>
    <w:pPr>
      <w:numPr>
        <w:numId w:val="51"/>
      </w:numPr>
    </w:pPr>
  </w:style>
  <w:style w:type="numbering" w:customStyle="1" w:styleId="Estiloimportado4">
    <w:name w:val="List43"/>
    <w:pPr>
      <w:numPr>
        <w:numId w:val="23"/>
      </w:numPr>
    </w:pPr>
  </w:style>
  <w:style w:type="numbering" w:customStyle="1" w:styleId="List41">
    <w:name w:val="List46"/>
    <w:pPr>
      <w:numPr>
        <w:numId w:val="24"/>
      </w:numPr>
    </w:pPr>
  </w:style>
  <w:style w:type="numbering" w:customStyle="1" w:styleId="Estiloimportado5">
    <w:name w:val="List35"/>
    <w:pPr>
      <w:numPr>
        <w:numId w:val="8"/>
      </w:numPr>
    </w:pPr>
  </w:style>
  <w:style w:type="numbering" w:customStyle="1" w:styleId="List51">
    <w:name w:val="List17"/>
    <w:pPr>
      <w:numPr>
        <w:numId w:val="54"/>
      </w:numPr>
    </w:pPr>
  </w:style>
  <w:style w:type="numbering" w:customStyle="1" w:styleId="Estiloimportado6">
    <w:name w:val="List33"/>
    <w:pPr>
      <w:numPr>
        <w:numId w:val="26"/>
      </w:numPr>
    </w:pPr>
  </w:style>
  <w:style w:type="numbering" w:customStyle="1" w:styleId="List6">
    <w:name w:val="List31"/>
    <w:pPr>
      <w:numPr>
        <w:numId w:val="3"/>
      </w:numPr>
    </w:pPr>
  </w:style>
  <w:style w:type="numbering" w:customStyle="1" w:styleId="Estiloimportado7">
    <w:name w:val="List7"/>
  </w:style>
  <w:style w:type="numbering" w:customStyle="1" w:styleId="List7">
    <w:name w:val="List18"/>
    <w:pPr>
      <w:numPr>
        <w:numId w:val="4"/>
      </w:numPr>
    </w:pPr>
  </w:style>
  <w:style w:type="numbering" w:customStyle="1" w:styleId="Estiloimportado8">
    <w:name w:val="List22"/>
  </w:style>
  <w:style w:type="numbering" w:customStyle="1" w:styleId="List8">
    <w:name w:val="List47"/>
    <w:pPr>
      <w:numPr>
        <w:numId w:val="5"/>
      </w:numPr>
    </w:pPr>
  </w:style>
  <w:style w:type="numbering" w:customStyle="1" w:styleId="Estiloimportado9">
    <w:name w:val="List28"/>
    <w:pPr>
      <w:numPr>
        <w:numId w:val="30"/>
      </w:numPr>
    </w:pPr>
  </w:style>
  <w:style w:type="numbering" w:customStyle="1" w:styleId="List9">
    <w:name w:val="List10"/>
    <w:pPr>
      <w:numPr>
        <w:numId w:val="22"/>
      </w:numPr>
    </w:pPr>
  </w:style>
  <w:style w:type="numbering" w:customStyle="1" w:styleId="Estiloimportado10">
    <w:name w:val="List0"/>
  </w:style>
  <w:style w:type="numbering" w:customStyle="1" w:styleId="List10">
    <w:name w:val="List30"/>
    <w:pPr>
      <w:numPr>
        <w:numId w:val="32"/>
      </w:numPr>
    </w:pPr>
  </w:style>
  <w:style w:type="numbering" w:customStyle="1" w:styleId="Estiloimportado11">
    <w:name w:val="List511"/>
    <w:pPr>
      <w:numPr>
        <w:numId w:val="33"/>
      </w:numPr>
    </w:pPr>
  </w:style>
  <w:style w:type="numbering" w:customStyle="1" w:styleId="List11">
    <w:name w:val="List29"/>
    <w:pPr>
      <w:numPr>
        <w:numId w:val="34"/>
      </w:numPr>
    </w:pPr>
  </w:style>
  <w:style w:type="numbering" w:customStyle="1" w:styleId="Estiloimportado12">
    <w:name w:val="List38"/>
    <w:pPr>
      <w:numPr>
        <w:numId w:val="35"/>
      </w:numPr>
    </w:pPr>
  </w:style>
  <w:style w:type="numbering" w:customStyle="1" w:styleId="List12">
    <w:name w:val="List12"/>
    <w:pPr>
      <w:numPr>
        <w:numId w:val="36"/>
      </w:numPr>
    </w:pPr>
  </w:style>
  <w:style w:type="numbering" w:customStyle="1" w:styleId="Estiloimportado13">
    <w:name w:val="List50"/>
    <w:pPr>
      <w:numPr>
        <w:numId w:val="37"/>
      </w:numPr>
    </w:pPr>
  </w:style>
  <w:style w:type="numbering" w:customStyle="1" w:styleId="List13">
    <w:name w:val="List211"/>
    <w:pPr>
      <w:numPr>
        <w:numId w:val="42"/>
      </w:numPr>
    </w:pPr>
  </w:style>
  <w:style w:type="numbering" w:customStyle="1" w:styleId="Estiloimportado14">
    <w:name w:val="List34"/>
    <w:pPr>
      <w:numPr>
        <w:numId w:val="11"/>
      </w:numPr>
    </w:pPr>
  </w:style>
  <w:style w:type="numbering" w:customStyle="1" w:styleId="List14">
    <w:name w:val="List42"/>
    <w:pPr>
      <w:numPr>
        <w:numId w:val="12"/>
      </w:numPr>
    </w:pPr>
  </w:style>
  <w:style w:type="numbering" w:customStyle="1" w:styleId="Estiloimportado15">
    <w:name w:val="List49"/>
    <w:pPr>
      <w:numPr>
        <w:numId w:val="39"/>
      </w:numPr>
    </w:pPr>
  </w:style>
  <w:style w:type="numbering" w:customStyle="1" w:styleId="List15">
    <w:name w:val="List44"/>
    <w:pPr>
      <w:numPr>
        <w:numId w:val="40"/>
      </w:numPr>
    </w:pPr>
  </w:style>
  <w:style w:type="numbering" w:customStyle="1" w:styleId="Estiloimportado16">
    <w:name w:val="List21"/>
  </w:style>
  <w:style w:type="numbering" w:customStyle="1" w:styleId="List16">
    <w:name w:val="List52"/>
    <w:pPr>
      <w:numPr>
        <w:numId w:val="9"/>
      </w:numPr>
    </w:pPr>
  </w:style>
  <w:style w:type="numbering" w:customStyle="1" w:styleId="List17">
    <w:name w:val="List24"/>
    <w:pPr>
      <w:numPr>
        <w:numId w:val="25"/>
      </w:numPr>
    </w:pPr>
  </w:style>
  <w:style w:type="numbering" w:customStyle="1" w:styleId="Estiloimportado17">
    <w:name w:val="List51"/>
  </w:style>
  <w:style w:type="numbering" w:customStyle="1" w:styleId="List18">
    <w:name w:val="List27"/>
    <w:pPr>
      <w:numPr>
        <w:numId w:val="41"/>
      </w:numPr>
    </w:pPr>
  </w:style>
  <w:style w:type="numbering" w:customStyle="1" w:styleId="Estiloimportado18">
    <w:name w:val="List8"/>
  </w:style>
  <w:style w:type="numbering" w:customStyle="1" w:styleId="List19">
    <w:name w:val="List13"/>
    <w:pPr>
      <w:numPr>
        <w:numId w:val="19"/>
      </w:numPr>
    </w:pPr>
  </w:style>
  <w:style w:type="numbering" w:customStyle="1" w:styleId="List20">
    <w:name w:val="List20"/>
    <w:pPr>
      <w:numPr>
        <w:numId w:val="43"/>
      </w:numPr>
    </w:pPr>
  </w:style>
  <w:style w:type="numbering" w:customStyle="1" w:styleId="List211">
    <w:name w:val="List411"/>
    <w:pPr>
      <w:numPr>
        <w:numId w:val="44"/>
      </w:numPr>
    </w:pPr>
  </w:style>
  <w:style w:type="numbering" w:customStyle="1" w:styleId="Estiloimportado19">
    <w:name w:val="List311"/>
    <w:pPr>
      <w:numPr>
        <w:numId w:val="45"/>
      </w:numPr>
    </w:pPr>
  </w:style>
  <w:style w:type="numbering" w:customStyle="1" w:styleId="List22">
    <w:name w:val="List6"/>
    <w:pPr>
      <w:numPr>
        <w:numId w:val="28"/>
      </w:numPr>
    </w:pPr>
  </w:style>
  <w:style w:type="numbering" w:customStyle="1" w:styleId="List23">
    <w:name w:val="List39"/>
    <w:pPr>
      <w:numPr>
        <w:numId w:val="46"/>
      </w:numPr>
    </w:pPr>
  </w:style>
  <w:style w:type="numbering" w:customStyle="1" w:styleId="List24">
    <w:name w:val="List37"/>
    <w:pPr>
      <w:numPr>
        <w:numId w:val="47"/>
      </w:numPr>
    </w:pPr>
  </w:style>
  <w:style w:type="numbering" w:customStyle="1" w:styleId="Estiloimportado20">
    <w:name w:val="List32"/>
    <w:pPr>
      <w:numPr>
        <w:numId w:val="48"/>
      </w:numPr>
    </w:pPr>
  </w:style>
  <w:style w:type="numbering" w:customStyle="1" w:styleId="List25">
    <w:name w:val="List26"/>
    <w:pPr>
      <w:numPr>
        <w:numId w:val="49"/>
      </w:numPr>
    </w:pPr>
  </w:style>
  <w:style w:type="numbering" w:customStyle="1" w:styleId="Estiloimportado21">
    <w:name w:val="List48"/>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1820">
      <w:bodyDiv w:val="1"/>
      <w:marLeft w:val="0"/>
      <w:marRight w:val="0"/>
      <w:marTop w:val="0"/>
      <w:marBottom w:val="0"/>
      <w:divBdr>
        <w:top w:val="none" w:sz="0" w:space="0" w:color="auto"/>
        <w:left w:val="none" w:sz="0" w:space="0" w:color="auto"/>
        <w:bottom w:val="none" w:sz="0" w:space="0" w:color="auto"/>
        <w:right w:val="none" w:sz="0" w:space="0" w:color="auto"/>
      </w:divBdr>
    </w:div>
    <w:div w:id="174195368">
      <w:bodyDiv w:val="1"/>
      <w:marLeft w:val="0"/>
      <w:marRight w:val="0"/>
      <w:marTop w:val="0"/>
      <w:marBottom w:val="0"/>
      <w:divBdr>
        <w:top w:val="none" w:sz="0" w:space="0" w:color="auto"/>
        <w:left w:val="none" w:sz="0" w:space="0" w:color="auto"/>
        <w:bottom w:val="none" w:sz="0" w:space="0" w:color="auto"/>
        <w:right w:val="none" w:sz="0" w:space="0" w:color="auto"/>
      </w:divBdr>
    </w:div>
    <w:div w:id="227570173">
      <w:bodyDiv w:val="1"/>
      <w:marLeft w:val="0"/>
      <w:marRight w:val="0"/>
      <w:marTop w:val="0"/>
      <w:marBottom w:val="0"/>
      <w:divBdr>
        <w:top w:val="none" w:sz="0" w:space="0" w:color="auto"/>
        <w:left w:val="none" w:sz="0" w:space="0" w:color="auto"/>
        <w:bottom w:val="none" w:sz="0" w:space="0" w:color="auto"/>
        <w:right w:val="none" w:sz="0" w:space="0" w:color="auto"/>
      </w:divBdr>
    </w:div>
    <w:div w:id="342510048">
      <w:bodyDiv w:val="1"/>
      <w:marLeft w:val="0"/>
      <w:marRight w:val="0"/>
      <w:marTop w:val="0"/>
      <w:marBottom w:val="0"/>
      <w:divBdr>
        <w:top w:val="none" w:sz="0" w:space="0" w:color="auto"/>
        <w:left w:val="none" w:sz="0" w:space="0" w:color="auto"/>
        <w:bottom w:val="none" w:sz="0" w:space="0" w:color="auto"/>
        <w:right w:val="none" w:sz="0" w:space="0" w:color="auto"/>
      </w:divBdr>
    </w:div>
    <w:div w:id="390537910">
      <w:bodyDiv w:val="1"/>
      <w:marLeft w:val="0"/>
      <w:marRight w:val="0"/>
      <w:marTop w:val="0"/>
      <w:marBottom w:val="0"/>
      <w:divBdr>
        <w:top w:val="none" w:sz="0" w:space="0" w:color="auto"/>
        <w:left w:val="none" w:sz="0" w:space="0" w:color="auto"/>
        <w:bottom w:val="none" w:sz="0" w:space="0" w:color="auto"/>
        <w:right w:val="none" w:sz="0" w:space="0" w:color="auto"/>
      </w:divBdr>
    </w:div>
    <w:div w:id="734931854">
      <w:bodyDiv w:val="1"/>
      <w:marLeft w:val="0"/>
      <w:marRight w:val="0"/>
      <w:marTop w:val="0"/>
      <w:marBottom w:val="0"/>
      <w:divBdr>
        <w:top w:val="none" w:sz="0" w:space="0" w:color="auto"/>
        <w:left w:val="none" w:sz="0" w:space="0" w:color="auto"/>
        <w:bottom w:val="none" w:sz="0" w:space="0" w:color="auto"/>
        <w:right w:val="none" w:sz="0" w:space="0" w:color="auto"/>
      </w:divBdr>
    </w:div>
    <w:div w:id="883951426">
      <w:bodyDiv w:val="1"/>
      <w:marLeft w:val="0"/>
      <w:marRight w:val="0"/>
      <w:marTop w:val="0"/>
      <w:marBottom w:val="0"/>
      <w:divBdr>
        <w:top w:val="none" w:sz="0" w:space="0" w:color="auto"/>
        <w:left w:val="none" w:sz="0" w:space="0" w:color="auto"/>
        <w:bottom w:val="none" w:sz="0" w:space="0" w:color="auto"/>
        <w:right w:val="none" w:sz="0" w:space="0" w:color="auto"/>
      </w:divBdr>
    </w:div>
    <w:div w:id="999695248">
      <w:bodyDiv w:val="1"/>
      <w:marLeft w:val="0"/>
      <w:marRight w:val="0"/>
      <w:marTop w:val="0"/>
      <w:marBottom w:val="0"/>
      <w:divBdr>
        <w:top w:val="none" w:sz="0" w:space="0" w:color="auto"/>
        <w:left w:val="none" w:sz="0" w:space="0" w:color="auto"/>
        <w:bottom w:val="none" w:sz="0" w:space="0" w:color="auto"/>
        <w:right w:val="none" w:sz="0" w:space="0" w:color="auto"/>
      </w:divBdr>
    </w:div>
    <w:div w:id="1204098108">
      <w:bodyDiv w:val="1"/>
      <w:marLeft w:val="0"/>
      <w:marRight w:val="0"/>
      <w:marTop w:val="0"/>
      <w:marBottom w:val="0"/>
      <w:divBdr>
        <w:top w:val="none" w:sz="0" w:space="0" w:color="auto"/>
        <w:left w:val="none" w:sz="0" w:space="0" w:color="auto"/>
        <w:bottom w:val="none" w:sz="0" w:space="0" w:color="auto"/>
        <w:right w:val="none" w:sz="0" w:space="0" w:color="auto"/>
      </w:divBdr>
    </w:div>
    <w:div w:id="1471677166">
      <w:bodyDiv w:val="1"/>
      <w:marLeft w:val="0"/>
      <w:marRight w:val="0"/>
      <w:marTop w:val="0"/>
      <w:marBottom w:val="0"/>
      <w:divBdr>
        <w:top w:val="none" w:sz="0" w:space="0" w:color="auto"/>
        <w:left w:val="none" w:sz="0" w:space="0" w:color="auto"/>
        <w:bottom w:val="none" w:sz="0" w:space="0" w:color="auto"/>
        <w:right w:val="none" w:sz="0" w:space="0" w:color="auto"/>
      </w:divBdr>
    </w:div>
    <w:div w:id="164515684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1419154">
      <w:bodyDiv w:val="1"/>
      <w:marLeft w:val="0"/>
      <w:marRight w:val="0"/>
      <w:marTop w:val="0"/>
      <w:marBottom w:val="0"/>
      <w:divBdr>
        <w:top w:val="none" w:sz="0" w:space="0" w:color="auto"/>
        <w:left w:val="none" w:sz="0" w:space="0" w:color="auto"/>
        <w:bottom w:val="none" w:sz="0" w:space="0" w:color="auto"/>
        <w:right w:val="none" w:sz="0" w:space="0" w:color="auto"/>
      </w:divBdr>
    </w:div>
    <w:div w:id="1886411524">
      <w:bodyDiv w:val="1"/>
      <w:marLeft w:val="0"/>
      <w:marRight w:val="0"/>
      <w:marTop w:val="0"/>
      <w:marBottom w:val="0"/>
      <w:divBdr>
        <w:top w:val="none" w:sz="0" w:space="0" w:color="auto"/>
        <w:left w:val="none" w:sz="0" w:space="0" w:color="auto"/>
        <w:bottom w:val="none" w:sz="0" w:space="0" w:color="auto"/>
        <w:right w:val="none" w:sz="0" w:space="0" w:color="auto"/>
      </w:divBdr>
    </w:div>
    <w:div w:id="19822280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acnur.org/fileadmin/scripts/doc.php?file=pais/docs/405" TargetMode="External"/><Relationship Id="rId13" Type="http://schemas.openxmlformats.org/officeDocument/2006/relationships/hyperlink" Target="http://www.undp.org/content/dam/guatemala/docs/publications/UNDP_gt_PrevyRecu_MemoriadelSilencio.pdf" TargetMode="External"/><Relationship Id="rId18" Type="http://schemas.openxmlformats.org/officeDocument/2006/relationships/hyperlink" Target="http://www.oas.org/es/cidh/informes/pdfs/Guatemala2016.pdf" TargetMode="External"/><Relationship Id="rId3" Type="http://schemas.openxmlformats.org/officeDocument/2006/relationships/hyperlink" Target="http://www.cidh.org/countryrep/Guatemala93sp/cap.9.htm" TargetMode="External"/><Relationship Id="rId7" Type="http://schemas.openxmlformats.org/officeDocument/2006/relationships/hyperlink" Target="http://www.ipsnoticias.net/1995/03/guatemala-onu-comprueba-impunidad-para-violar-derechos-humanos/" TargetMode="External"/><Relationship Id="rId12" Type="http://schemas.openxmlformats.org/officeDocument/2006/relationships/hyperlink" Target="http://www.undp.org/content/dam/guatemala/docs/publications/UNDP_gt_PrevyRecu_MemoriadelSilencio.pdf" TargetMode="External"/><Relationship Id="rId17" Type="http://schemas.openxmlformats.org/officeDocument/2006/relationships/hyperlink" Target="http://www.oas.org/es/cidh/defensores/docs/pdf/defensores2011.pdf" TargetMode="External"/><Relationship Id="rId2" Type="http://schemas.openxmlformats.org/officeDocument/2006/relationships/hyperlink" Target="http://www.cidh.org/countryrep/Guatemala93sp/indice.htm" TargetMode="External"/><Relationship Id="rId16" Type="http://schemas.openxmlformats.org/officeDocument/2006/relationships/hyperlink" Target="http://www.oas.org/es/cidh/defensores/docs/pdf/defensores2011.pdf" TargetMode="External"/><Relationship Id="rId1" Type="http://schemas.openxmlformats.org/officeDocument/2006/relationships/hyperlink" Target="http://www.cicad.oas.org/fortalecimiento_institucional/legislations/PDF/GT/decreto_congresional_51-92_codigo_procesal_penal.pdf" TargetMode="External"/><Relationship Id="rId6" Type="http://schemas.openxmlformats.org/officeDocument/2006/relationships/hyperlink" Target="http://www.cidh.org/countryrep/Guatemala2003sp/indice.htm" TargetMode="External"/><Relationship Id="rId11" Type="http://schemas.openxmlformats.org/officeDocument/2006/relationships/hyperlink" Target="http://www.undp.org/content/dam/guatemala/docs/publications/UNDP_gt_PrevyRecu_MemoriadelSilencio.pdf" TargetMode="External"/><Relationship Id="rId5" Type="http://schemas.openxmlformats.org/officeDocument/2006/relationships/hyperlink" Target="http://www.cidh.org/countryrep/Guatemala93sp/cap.9.htm" TargetMode="External"/><Relationship Id="rId15" Type="http://schemas.openxmlformats.org/officeDocument/2006/relationships/hyperlink" Target="http://www.cidh.org/countryrep/Defensores/defensoresindice.htm" TargetMode="External"/><Relationship Id="rId10" Type="http://schemas.openxmlformats.org/officeDocument/2006/relationships/hyperlink" Target="http://www.acnur.org/t3/uploads/media/549.pdf?view=1" TargetMode="External"/><Relationship Id="rId19" Type="http://schemas.openxmlformats.org/officeDocument/2006/relationships/hyperlink" Target="http://www.oas.org/es/cidh/informes/pdfs/Guatemala2016.pdf" TargetMode="External"/><Relationship Id="rId4" Type="http://schemas.openxmlformats.org/officeDocument/2006/relationships/hyperlink" Target="http://www.cidh.org/countryrep/Guatemala93sp/cap.9.htm" TargetMode="External"/><Relationship Id="rId9" Type="http://schemas.openxmlformats.org/officeDocument/2006/relationships/hyperlink" Target="http://www.acnur.org/t3/uploads/media/549.pdf?view=1" TargetMode="External"/><Relationship Id="rId14" Type="http://schemas.openxmlformats.org/officeDocument/2006/relationships/hyperlink" Target="http://bdspublico.lim.ilo.org/Guatemala/c87gu.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C03FF-1C67-4869-B8A4-1F92D8CD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27</Pages>
  <Words>11962</Words>
  <Characters>68190</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79993</CharactersWithSpaces>
  <SharedDoc>false</SharedDoc>
  <HLinks>
    <vt:vector size="168" baseType="variant">
      <vt:variant>
        <vt:i4>1638456</vt:i4>
      </vt:variant>
      <vt:variant>
        <vt:i4>140</vt:i4>
      </vt:variant>
      <vt:variant>
        <vt:i4>0</vt:i4>
      </vt:variant>
      <vt:variant>
        <vt:i4>5</vt:i4>
      </vt:variant>
      <vt:variant>
        <vt:lpwstr/>
      </vt:variant>
      <vt:variant>
        <vt:lpwstr>_Toc473188709</vt:lpwstr>
      </vt:variant>
      <vt:variant>
        <vt:i4>1638456</vt:i4>
      </vt:variant>
      <vt:variant>
        <vt:i4>134</vt:i4>
      </vt:variant>
      <vt:variant>
        <vt:i4>0</vt:i4>
      </vt:variant>
      <vt:variant>
        <vt:i4>5</vt:i4>
      </vt:variant>
      <vt:variant>
        <vt:lpwstr/>
      </vt:variant>
      <vt:variant>
        <vt:lpwstr>_Toc473188708</vt:lpwstr>
      </vt:variant>
      <vt:variant>
        <vt:i4>1638456</vt:i4>
      </vt:variant>
      <vt:variant>
        <vt:i4>128</vt:i4>
      </vt:variant>
      <vt:variant>
        <vt:i4>0</vt:i4>
      </vt:variant>
      <vt:variant>
        <vt:i4>5</vt:i4>
      </vt:variant>
      <vt:variant>
        <vt:lpwstr/>
      </vt:variant>
      <vt:variant>
        <vt:lpwstr>_Toc473188707</vt:lpwstr>
      </vt:variant>
      <vt:variant>
        <vt:i4>1638456</vt:i4>
      </vt:variant>
      <vt:variant>
        <vt:i4>122</vt:i4>
      </vt:variant>
      <vt:variant>
        <vt:i4>0</vt:i4>
      </vt:variant>
      <vt:variant>
        <vt:i4>5</vt:i4>
      </vt:variant>
      <vt:variant>
        <vt:lpwstr/>
      </vt:variant>
      <vt:variant>
        <vt:lpwstr>_Toc473188703</vt:lpwstr>
      </vt:variant>
      <vt:variant>
        <vt:i4>1638456</vt:i4>
      </vt:variant>
      <vt:variant>
        <vt:i4>116</vt:i4>
      </vt:variant>
      <vt:variant>
        <vt:i4>0</vt:i4>
      </vt:variant>
      <vt:variant>
        <vt:i4>5</vt:i4>
      </vt:variant>
      <vt:variant>
        <vt:lpwstr/>
      </vt:variant>
      <vt:variant>
        <vt:lpwstr>_Toc473188702</vt:lpwstr>
      </vt:variant>
      <vt:variant>
        <vt:i4>1638456</vt:i4>
      </vt:variant>
      <vt:variant>
        <vt:i4>110</vt:i4>
      </vt:variant>
      <vt:variant>
        <vt:i4>0</vt:i4>
      </vt:variant>
      <vt:variant>
        <vt:i4>5</vt:i4>
      </vt:variant>
      <vt:variant>
        <vt:lpwstr/>
      </vt:variant>
      <vt:variant>
        <vt:lpwstr>_Toc473188701</vt:lpwstr>
      </vt:variant>
      <vt:variant>
        <vt:i4>1638456</vt:i4>
      </vt:variant>
      <vt:variant>
        <vt:i4>104</vt:i4>
      </vt:variant>
      <vt:variant>
        <vt:i4>0</vt:i4>
      </vt:variant>
      <vt:variant>
        <vt:i4>5</vt:i4>
      </vt:variant>
      <vt:variant>
        <vt:lpwstr/>
      </vt:variant>
      <vt:variant>
        <vt:lpwstr>_Toc473188700</vt:lpwstr>
      </vt:variant>
      <vt:variant>
        <vt:i4>1048633</vt:i4>
      </vt:variant>
      <vt:variant>
        <vt:i4>98</vt:i4>
      </vt:variant>
      <vt:variant>
        <vt:i4>0</vt:i4>
      </vt:variant>
      <vt:variant>
        <vt:i4>5</vt:i4>
      </vt:variant>
      <vt:variant>
        <vt:lpwstr/>
      </vt:variant>
      <vt:variant>
        <vt:lpwstr>_Toc473188699</vt:lpwstr>
      </vt:variant>
      <vt:variant>
        <vt:i4>1048633</vt:i4>
      </vt:variant>
      <vt:variant>
        <vt:i4>92</vt:i4>
      </vt:variant>
      <vt:variant>
        <vt:i4>0</vt:i4>
      </vt:variant>
      <vt:variant>
        <vt:i4>5</vt:i4>
      </vt:variant>
      <vt:variant>
        <vt:lpwstr/>
      </vt:variant>
      <vt:variant>
        <vt:lpwstr>_Toc473188698</vt:lpwstr>
      </vt:variant>
      <vt:variant>
        <vt:i4>1048633</vt:i4>
      </vt:variant>
      <vt:variant>
        <vt:i4>86</vt:i4>
      </vt:variant>
      <vt:variant>
        <vt:i4>0</vt:i4>
      </vt:variant>
      <vt:variant>
        <vt:i4>5</vt:i4>
      </vt:variant>
      <vt:variant>
        <vt:lpwstr/>
      </vt:variant>
      <vt:variant>
        <vt:lpwstr>_Toc473188697</vt:lpwstr>
      </vt:variant>
      <vt:variant>
        <vt:i4>1048633</vt:i4>
      </vt:variant>
      <vt:variant>
        <vt:i4>80</vt:i4>
      </vt:variant>
      <vt:variant>
        <vt:i4>0</vt:i4>
      </vt:variant>
      <vt:variant>
        <vt:i4>5</vt:i4>
      </vt:variant>
      <vt:variant>
        <vt:lpwstr/>
      </vt:variant>
      <vt:variant>
        <vt:lpwstr>_Toc473188696</vt:lpwstr>
      </vt:variant>
      <vt:variant>
        <vt:i4>1048633</vt:i4>
      </vt:variant>
      <vt:variant>
        <vt:i4>74</vt:i4>
      </vt:variant>
      <vt:variant>
        <vt:i4>0</vt:i4>
      </vt:variant>
      <vt:variant>
        <vt:i4>5</vt:i4>
      </vt:variant>
      <vt:variant>
        <vt:lpwstr/>
      </vt:variant>
      <vt:variant>
        <vt:lpwstr>_Toc473188695</vt:lpwstr>
      </vt:variant>
      <vt:variant>
        <vt:i4>1048633</vt:i4>
      </vt:variant>
      <vt:variant>
        <vt:i4>68</vt:i4>
      </vt:variant>
      <vt:variant>
        <vt:i4>0</vt:i4>
      </vt:variant>
      <vt:variant>
        <vt:i4>5</vt:i4>
      </vt:variant>
      <vt:variant>
        <vt:lpwstr/>
      </vt:variant>
      <vt:variant>
        <vt:lpwstr>_Toc473188694</vt:lpwstr>
      </vt:variant>
      <vt:variant>
        <vt:i4>1048633</vt:i4>
      </vt:variant>
      <vt:variant>
        <vt:i4>62</vt:i4>
      </vt:variant>
      <vt:variant>
        <vt:i4>0</vt:i4>
      </vt:variant>
      <vt:variant>
        <vt:i4>5</vt:i4>
      </vt:variant>
      <vt:variant>
        <vt:lpwstr/>
      </vt:variant>
      <vt:variant>
        <vt:lpwstr>_Toc473188693</vt:lpwstr>
      </vt:variant>
      <vt:variant>
        <vt:i4>1048633</vt:i4>
      </vt:variant>
      <vt:variant>
        <vt:i4>56</vt:i4>
      </vt:variant>
      <vt:variant>
        <vt:i4>0</vt:i4>
      </vt:variant>
      <vt:variant>
        <vt:i4>5</vt:i4>
      </vt:variant>
      <vt:variant>
        <vt:lpwstr/>
      </vt:variant>
      <vt:variant>
        <vt:lpwstr>_Toc473188692</vt:lpwstr>
      </vt:variant>
      <vt:variant>
        <vt:i4>1048633</vt:i4>
      </vt:variant>
      <vt:variant>
        <vt:i4>50</vt:i4>
      </vt:variant>
      <vt:variant>
        <vt:i4>0</vt:i4>
      </vt:variant>
      <vt:variant>
        <vt:i4>5</vt:i4>
      </vt:variant>
      <vt:variant>
        <vt:lpwstr/>
      </vt:variant>
      <vt:variant>
        <vt:lpwstr>_Toc473188691</vt:lpwstr>
      </vt:variant>
      <vt:variant>
        <vt:i4>1048633</vt:i4>
      </vt:variant>
      <vt:variant>
        <vt:i4>44</vt:i4>
      </vt:variant>
      <vt:variant>
        <vt:i4>0</vt:i4>
      </vt:variant>
      <vt:variant>
        <vt:i4>5</vt:i4>
      </vt:variant>
      <vt:variant>
        <vt:lpwstr/>
      </vt:variant>
      <vt:variant>
        <vt:lpwstr>_Toc473188690</vt:lpwstr>
      </vt:variant>
      <vt:variant>
        <vt:i4>1114169</vt:i4>
      </vt:variant>
      <vt:variant>
        <vt:i4>38</vt:i4>
      </vt:variant>
      <vt:variant>
        <vt:i4>0</vt:i4>
      </vt:variant>
      <vt:variant>
        <vt:i4>5</vt:i4>
      </vt:variant>
      <vt:variant>
        <vt:lpwstr/>
      </vt:variant>
      <vt:variant>
        <vt:lpwstr>_Toc473188689</vt:lpwstr>
      </vt:variant>
      <vt:variant>
        <vt:i4>1114169</vt:i4>
      </vt:variant>
      <vt:variant>
        <vt:i4>32</vt:i4>
      </vt:variant>
      <vt:variant>
        <vt:i4>0</vt:i4>
      </vt:variant>
      <vt:variant>
        <vt:i4>5</vt:i4>
      </vt:variant>
      <vt:variant>
        <vt:lpwstr/>
      </vt:variant>
      <vt:variant>
        <vt:lpwstr>_Toc473188688</vt:lpwstr>
      </vt:variant>
      <vt:variant>
        <vt:i4>1114169</vt:i4>
      </vt:variant>
      <vt:variant>
        <vt:i4>26</vt:i4>
      </vt:variant>
      <vt:variant>
        <vt:i4>0</vt:i4>
      </vt:variant>
      <vt:variant>
        <vt:i4>5</vt:i4>
      </vt:variant>
      <vt:variant>
        <vt:lpwstr/>
      </vt:variant>
      <vt:variant>
        <vt:lpwstr>_Toc473188687</vt:lpwstr>
      </vt:variant>
      <vt:variant>
        <vt:i4>1114169</vt:i4>
      </vt:variant>
      <vt:variant>
        <vt:i4>20</vt:i4>
      </vt:variant>
      <vt:variant>
        <vt:i4>0</vt:i4>
      </vt:variant>
      <vt:variant>
        <vt:i4>5</vt:i4>
      </vt:variant>
      <vt:variant>
        <vt:lpwstr/>
      </vt:variant>
      <vt:variant>
        <vt:lpwstr>_Toc473188686</vt:lpwstr>
      </vt:variant>
      <vt:variant>
        <vt:i4>1114169</vt:i4>
      </vt:variant>
      <vt:variant>
        <vt:i4>14</vt:i4>
      </vt:variant>
      <vt:variant>
        <vt:i4>0</vt:i4>
      </vt:variant>
      <vt:variant>
        <vt:i4>5</vt:i4>
      </vt:variant>
      <vt:variant>
        <vt:lpwstr/>
      </vt:variant>
      <vt:variant>
        <vt:lpwstr>_Toc473188685</vt:lpwstr>
      </vt:variant>
      <vt:variant>
        <vt:i4>1114169</vt:i4>
      </vt:variant>
      <vt:variant>
        <vt:i4>8</vt:i4>
      </vt:variant>
      <vt:variant>
        <vt:i4>0</vt:i4>
      </vt:variant>
      <vt:variant>
        <vt:i4>5</vt:i4>
      </vt:variant>
      <vt:variant>
        <vt:lpwstr/>
      </vt:variant>
      <vt:variant>
        <vt:lpwstr>_Toc473188684</vt:lpwstr>
      </vt:variant>
      <vt:variant>
        <vt:i4>1114169</vt:i4>
      </vt:variant>
      <vt:variant>
        <vt:i4>2</vt:i4>
      </vt:variant>
      <vt:variant>
        <vt:i4>0</vt:i4>
      </vt:variant>
      <vt:variant>
        <vt:i4>5</vt:i4>
      </vt:variant>
      <vt:variant>
        <vt:lpwstr/>
      </vt:variant>
      <vt:variant>
        <vt:lpwstr>_Toc473188683</vt:lpwstr>
      </vt:variant>
      <vt:variant>
        <vt:i4>786500</vt:i4>
      </vt:variant>
      <vt:variant>
        <vt:i4>9</vt:i4>
      </vt:variant>
      <vt:variant>
        <vt:i4>0</vt:i4>
      </vt:variant>
      <vt:variant>
        <vt:i4>5</vt:i4>
      </vt:variant>
      <vt:variant>
        <vt:lpwstr>http://bdspublico.lim.ilo.org/Guatemala/c87gu.pdf</vt:lpwstr>
      </vt:variant>
      <vt:variant>
        <vt:lpwstr/>
      </vt:variant>
      <vt:variant>
        <vt:i4>5046376</vt:i4>
      </vt:variant>
      <vt:variant>
        <vt:i4>6</vt:i4>
      </vt:variant>
      <vt:variant>
        <vt:i4>0</vt:i4>
      </vt:variant>
      <vt:variant>
        <vt:i4>5</vt:i4>
      </vt:variant>
      <vt:variant>
        <vt:lpwstr>http://www.undp.org/content/dam/guatemala/docs/publications/UNDP_gt_PrevyRecu_MemoriadelSilencio.pdf</vt:lpwstr>
      </vt:variant>
      <vt:variant>
        <vt:lpwstr/>
      </vt:variant>
      <vt:variant>
        <vt:i4>5046376</vt:i4>
      </vt:variant>
      <vt:variant>
        <vt:i4>3</vt:i4>
      </vt:variant>
      <vt:variant>
        <vt:i4>0</vt:i4>
      </vt:variant>
      <vt:variant>
        <vt:i4>5</vt:i4>
      </vt:variant>
      <vt:variant>
        <vt:lpwstr>http://www.undp.org/content/dam/guatemala/docs/publications/UNDP_gt_PrevyRecu_MemoriadelSilencio.pdf</vt:lpwstr>
      </vt:variant>
      <vt:variant>
        <vt:lpwstr/>
      </vt:variant>
      <vt:variant>
        <vt:i4>5046376</vt:i4>
      </vt:variant>
      <vt:variant>
        <vt:i4>0</vt:i4>
      </vt:variant>
      <vt:variant>
        <vt:i4>0</vt:i4>
      </vt:variant>
      <vt:variant>
        <vt:i4>5</vt:i4>
      </vt:variant>
      <vt:variant>
        <vt:lpwstr>http://www.undp.org/content/dam/guatemala/docs/publications/UNDP_gt_PrevyRecu_MemoriadelSilencio.pdf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Christian</cp:lastModifiedBy>
  <cp:revision>9</cp:revision>
  <cp:lastPrinted>2017-03-10T22:21:00Z</cp:lastPrinted>
  <dcterms:created xsi:type="dcterms:W3CDTF">2017-02-21T15:15:00Z</dcterms:created>
  <dcterms:modified xsi:type="dcterms:W3CDTF">2017-11-16T17:27:00Z</dcterms:modified>
</cp:coreProperties>
</file>