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1612" w14:textId="77777777" w:rsidR="00E36A83" w:rsidRDefault="00E36A83" w:rsidP="00E36A83">
      <w:pPr>
        <w:pStyle w:val="Header"/>
        <w:jc w:val="center"/>
        <w:rPr>
          <w:rFonts w:ascii="Calibri Light" w:hAnsi="Calibri Light"/>
          <w:lang w:val="es-PE"/>
        </w:rPr>
      </w:pP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745FC7F2" wp14:editId="19867771">
            <wp:simplePos x="0" y="0"/>
            <wp:positionH relativeFrom="margin">
              <wp:posOffset>4020820</wp:posOffset>
            </wp:positionH>
            <wp:positionV relativeFrom="margin">
              <wp:posOffset>-271145</wp:posOffset>
            </wp:positionV>
            <wp:extent cx="1849755" cy="789940"/>
            <wp:effectExtent l="0" t="0" r="4445" b="0"/>
            <wp:wrapTight wrapText="bothSides">
              <wp:wrapPolygon edited="0">
                <wp:start x="0" y="0"/>
                <wp:lineTo x="0" y="21183"/>
                <wp:lineTo x="21504" y="21183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27352" r="6449" b="25571"/>
                    <a:stretch/>
                  </pic:blipFill>
                  <pic:spPr bwMode="auto">
                    <a:xfrm>
                      <a:off x="0" y="0"/>
                      <a:ext cx="18497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0288" behindDoc="1" locked="0" layoutInCell="1" allowOverlap="1" wp14:anchorId="56A0EC83" wp14:editId="769E3BD9">
            <wp:simplePos x="0" y="0"/>
            <wp:positionH relativeFrom="column">
              <wp:posOffset>1399540</wp:posOffset>
            </wp:positionH>
            <wp:positionV relativeFrom="paragraph">
              <wp:posOffset>-107950</wp:posOffset>
            </wp:positionV>
            <wp:extent cx="2564130" cy="626110"/>
            <wp:effectExtent l="0" t="0" r="1270" b="0"/>
            <wp:wrapTight wrapText="bothSides">
              <wp:wrapPolygon edited="0">
                <wp:start x="1605" y="2629"/>
                <wp:lineTo x="1070" y="5258"/>
                <wp:lineTo x="642" y="7886"/>
                <wp:lineTo x="642" y="11830"/>
                <wp:lineTo x="1284" y="17087"/>
                <wp:lineTo x="1498" y="17963"/>
                <wp:lineTo x="21397" y="17963"/>
                <wp:lineTo x="21504" y="16649"/>
                <wp:lineTo x="21183" y="9639"/>
                <wp:lineTo x="15406" y="2629"/>
                <wp:lineTo x="1605" y="2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/>
                    <a:srcRect r="3349"/>
                    <a:stretch/>
                  </pic:blipFill>
                  <pic:spPr bwMode="auto">
                    <a:xfrm>
                      <a:off x="0" y="0"/>
                      <a:ext cx="256413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2F6AE101" wp14:editId="3246AFDE">
            <wp:simplePos x="0" y="0"/>
            <wp:positionH relativeFrom="column">
              <wp:posOffset>-407474</wp:posOffset>
            </wp:positionH>
            <wp:positionV relativeFrom="paragraph">
              <wp:posOffset>-200514</wp:posOffset>
            </wp:positionV>
            <wp:extent cx="1735455" cy="727710"/>
            <wp:effectExtent l="0" t="0" r="0" b="0"/>
            <wp:wrapTight wrapText="bothSides">
              <wp:wrapPolygon edited="0">
                <wp:start x="316" y="754"/>
                <wp:lineTo x="316" y="18094"/>
                <wp:lineTo x="632" y="19602"/>
                <wp:lineTo x="1739" y="20356"/>
                <wp:lineTo x="13436" y="20356"/>
                <wp:lineTo x="21181" y="19602"/>
                <wp:lineTo x="21339" y="14325"/>
                <wp:lineTo x="20075" y="13571"/>
                <wp:lineTo x="21181" y="10178"/>
                <wp:lineTo x="21181" y="7539"/>
                <wp:lineTo x="18652" y="3393"/>
                <wp:lineTo x="17546" y="754"/>
                <wp:lineTo x="316" y="75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/>
                    <a:srcRect l="11357" t="20875" r="13129" b="18785"/>
                    <a:stretch/>
                  </pic:blipFill>
                  <pic:spPr bwMode="auto">
                    <a:xfrm>
                      <a:off x="0" y="0"/>
                      <a:ext cx="1735455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69879" w14:textId="77777777" w:rsidR="00A05AEB" w:rsidRDefault="00A05AEB" w:rsidP="00E36A83">
      <w:pPr>
        <w:pStyle w:val="Header"/>
        <w:jc w:val="center"/>
        <w:rPr>
          <w:rFonts w:ascii="Calibri Light" w:hAnsi="Calibri Light"/>
          <w:lang w:val="es-PE"/>
        </w:rPr>
      </w:pPr>
    </w:p>
    <w:p w14:paraId="2B95E273" w14:textId="77777777" w:rsidR="00A05AEB" w:rsidRDefault="00A05AEB" w:rsidP="00E36A83">
      <w:pPr>
        <w:pStyle w:val="Header"/>
        <w:jc w:val="center"/>
        <w:rPr>
          <w:rFonts w:ascii="Calibri Light" w:hAnsi="Calibri Light"/>
          <w:lang w:val="es-PE"/>
        </w:rPr>
      </w:pPr>
    </w:p>
    <w:p w14:paraId="3896789F" w14:textId="60E42615" w:rsidR="00E36A83" w:rsidRPr="00411A74" w:rsidRDefault="00E36A83" w:rsidP="00E36A83">
      <w:pPr>
        <w:pStyle w:val="Header"/>
        <w:jc w:val="center"/>
        <w:rPr>
          <w:rFonts w:ascii="Calibri Light" w:hAnsi="Calibri Light"/>
          <w:lang w:val="es-PE"/>
        </w:rPr>
      </w:pPr>
      <w:r w:rsidRPr="00411A74">
        <w:rPr>
          <w:rFonts w:ascii="Calibri Light" w:hAnsi="Calibri Light"/>
          <w:lang w:val="es-PE"/>
        </w:rPr>
        <w:t>Difundiendo los estándares para la protección de los DDHH de la CIDH</w:t>
      </w:r>
    </w:p>
    <w:p w14:paraId="7F9E3B8F" w14:textId="77777777" w:rsidR="00E36A83" w:rsidRDefault="00E36A83" w:rsidP="00E36A83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  <w:r>
        <w:rPr>
          <w:rFonts w:ascii="Calibri Light" w:hAnsi="Calibri Light"/>
          <w:b/>
          <w:i/>
          <w:lang w:val="es-PE"/>
        </w:rPr>
        <w:t>Ficha de R</w:t>
      </w:r>
      <w:r w:rsidRPr="00411A74">
        <w:rPr>
          <w:rFonts w:ascii="Calibri Light" w:hAnsi="Calibri Light"/>
          <w:b/>
          <w:i/>
          <w:lang w:val="es-PE"/>
        </w:rPr>
        <w:t xml:space="preserve">esumen </w:t>
      </w:r>
    </w:p>
    <w:p w14:paraId="5472F4F5" w14:textId="77777777" w:rsidR="00B30B69" w:rsidRPr="00204560" w:rsidRDefault="00B30B69" w:rsidP="00204560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</w:p>
    <w:tbl>
      <w:tblPr>
        <w:tblStyle w:val="Tabladelista2-nfasis11"/>
        <w:tblW w:w="0" w:type="auto"/>
        <w:tblLook w:val="04A0" w:firstRow="1" w:lastRow="0" w:firstColumn="1" w:lastColumn="0" w:noHBand="0" w:noVBand="1"/>
      </w:tblPr>
      <w:tblGrid>
        <w:gridCol w:w="3593"/>
        <w:gridCol w:w="2460"/>
        <w:gridCol w:w="2452"/>
      </w:tblGrid>
      <w:tr w:rsidR="005173CF" w:rsidRPr="004533E5" w14:paraId="01A2F61A" w14:textId="77777777" w:rsidTr="00541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7609204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60CE2AC" w14:textId="77777777" w:rsidR="00212F62" w:rsidRDefault="007A6C56" w:rsidP="00AC6F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Datos generales</w:t>
            </w:r>
          </w:p>
          <w:p w14:paraId="6C5B323B" w14:textId="6BA3A748" w:rsidR="00AC6F31" w:rsidRP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533E5" w:rsidRPr="004533E5" w14:paraId="275AD1EA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63C7EFE0" w14:textId="77777777" w:rsidR="005173CF" w:rsidRPr="004533E5" w:rsidRDefault="007A6C56" w:rsidP="000E69D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Nombre del caso</w:t>
            </w:r>
          </w:p>
        </w:tc>
        <w:tc>
          <w:tcPr>
            <w:tcW w:w="5043" w:type="dxa"/>
            <w:gridSpan w:val="2"/>
            <w:vAlign w:val="center"/>
          </w:tcPr>
          <w:p w14:paraId="084A5991" w14:textId="326C6C86" w:rsidR="005173CF" w:rsidRPr="004533E5" w:rsidRDefault="00B30B69" w:rsidP="000E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Tito Guido Gallegos </w:t>
            </w:r>
            <w:proofErr w:type="spellStart"/>
            <w:r>
              <w:rPr>
                <w:rFonts w:ascii="Calibri Light" w:hAnsi="Calibri Light"/>
              </w:rPr>
              <w:t>Gallegos</w:t>
            </w:r>
            <w:proofErr w:type="spellEnd"/>
            <w:r>
              <w:rPr>
                <w:rFonts w:ascii="Calibri Light" w:hAnsi="Calibri Light"/>
              </w:rPr>
              <w:t xml:space="preserve">, </w:t>
            </w:r>
            <w:r w:rsidR="002245C8">
              <w:rPr>
                <w:rFonts w:ascii="Calibri Light" w:hAnsi="Calibri Light"/>
              </w:rPr>
              <w:t>Perú</w:t>
            </w:r>
          </w:p>
        </w:tc>
      </w:tr>
      <w:tr w:rsidR="00F464EC" w:rsidRPr="004533E5" w14:paraId="59A6A8A1" w14:textId="77777777" w:rsidTr="005410B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7FA9FC90" w14:textId="608B45A8" w:rsidR="00F464EC" w:rsidRPr="004533E5" w:rsidRDefault="00B30B69" w:rsidP="000E69D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Parte peticionaria</w:t>
            </w:r>
          </w:p>
        </w:tc>
        <w:tc>
          <w:tcPr>
            <w:tcW w:w="5043" w:type="dxa"/>
            <w:gridSpan w:val="2"/>
            <w:vAlign w:val="center"/>
          </w:tcPr>
          <w:p w14:paraId="374B2A68" w14:textId="282988AA" w:rsidR="00F464EC" w:rsidRDefault="0049732F" w:rsidP="000E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Tito Guido Gallegos </w:t>
            </w:r>
            <w:proofErr w:type="spellStart"/>
            <w:r>
              <w:rPr>
                <w:rFonts w:ascii="Calibri Light" w:hAnsi="Calibri Light"/>
              </w:rPr>
              <w:t>Gallegos</w:t>
            </w:r>
            <w:proofErr w:type="spellEnd"/>
          </w:p>
        </w:tc>
      </w:tr>
      <w:tr w:rsidR="005173CF" w:rsidRPr="004533E5" w14:paraId="3A483B4F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6233C75C" w14:textId="77777777" w:rsidR="005173CF" w:rsidRPr="004533E5" w:rsidRDefault="007A6C56" w:rsidP="000E69D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 xml:space="preserve">Número de Informe </w:t>
            </w:r>
          </w:p>
        </w:tc>
        <w:tc>
          <w:tcPr>
            <w:tcW w:w="5043" w:type="dxa"/>
            <w:gridSpan w:val="2"/>
            <w:vAlign w:val="center"/>
          </w:tcPr>
          <w:p w14:paraId="77740DF4" w14:textId="7F6F66DE" w:rsidR="005173CF" w:rsidRPr="004533E5" w:rsidRDefault="00730A1C" w:rsidP="000E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hyperlink r:id="rId12" w:history="1">
              <w:r w:rsidR="00ED30E3" w:rsidRPr="00267040">
                <w:rPr>
                  <w:rStyle w:val="Hyperlink"/>
                  <w:rFonts w:ascii="Calibri Light" w:hAnsi="Calibri Light"/>
                </w:rPr>
                <w:t xml:space="preserve">Informe </w:t>
              </w:r>
              <w:r w:rsidR="002245C8" w:rsidRPr="00267040">
                <w:rPr>
                  <w:rStyle w:val="Hyperlink"/>
                  <w:rFonts w:ascii="Calibri Light" w:hAnsi="Calibri Light"/>
                </w:rPr>
                <w:t>No</w:t>
              </w:r>
              <w:r w:rsidR="00212F62" w:rsidRPr="00267040">
                <w:rPr>
                  <w:rStyle w:val="Hyperlink"/>
                  <w:rFonts w:ascii="Calibri Light" w:hAnsi="Calibri Light"/>
                </w:rPr>
                <w:t>.</w:t>
              </w:r>
              <w:r w:rsidR="002245C8" w:rsidRPr="00267040">
                <w:rPr>
                  <w:rStyle w:val="Hyperlink"/>
                  <w:rFonts w:ascii="Calibri Light" w:hAnsi="Calibri Light"/>
                </w:rPr>
                <w:t xml:space="preserve"> 70/16</w:t>
              </w:r>
            </w:hyperlink>
          </w:p>
        </w:tc>
      </w:tr>
      <w:tr w:rsidR="004533E5" w:rsidRPr="00D34CF4" w14:paraId="5EC10F5F" w14:textId="77777777" w:rsidTr="005410BA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00180E4F" w14:textId="77777777" w:rsidR="005173CF" w:rsidRPr="00D34CF4" w:rsidRDefault="00954E20" w:rsidP="000E69D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lang w:val="es-ES"/>
              </w:rPr>
            </w:pPr>
            <w:r w:rsidRPr="000E69D1">
              <w:rPr>
                <w:rFonts w:ascii="Calibri Light" w:hAnsi="Calibri Light"/>
              </w:rPr>
              <w:t>Tipo de informe</w:t>
            </w:r>
            <w:r w:rsidRPr="00D34CF4">
              <w:rPr>
                <w:rFonts w:ascii="Calibri Light" w:hAnsi="Calibri Light"/>
                <w:lang w:val="es-ES"/>
              </w:rPr>
              <w:t xml:space="preserve"> </w:t>
            </w:r>
          </w:p>
        </w:tc>
        <w:tc>
          <w:tcPr>
            <w:tcW w:w="5043" w:type="dxa"/>
            <w:gridSpan w:val="2"/>
            <w:vAlign w:val="center"/>
          </w:tcPr>
          <w:p w14:paraId="35E9A08D" w14:textId="210BE390" w:rsidR="005173CF" w:rsidRPr="00D34CF4" w:rsidRDefault="006D6396" w:rsidP="000E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  <w:lang w:val="es-ES"/>
              </w:rPr>
              <w:t>Informe de Solución Amistosa</w:t>
            </w:r>
          </w:p>
        </w:tc>
      </w:tr>
      <w:tr w:rsidR="005173CF" w:rsidRPr="004533E5" w14:paraId="7ED5AB61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2F77A84C" w14:textId="77777777" w:rsidR="005173CF" w:rsidRPr="004533E5" w:rsidRDefault="00954E20" w:rsidP="000E69D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Fecha</w:t>
            </w:r>
            <w:r w:rsidR="007A6C56" w:rsidRPr="004533E5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043" w:type="dxa"/>
            <w:gridSpan w:val="2"/>
            <w:vAlign w:val="center"/>
          </w:tcPr>
          <w:p w14:paraId="1C803DF5" w14:textId="306991A4" w:rsidR="005173CF" w:rsidRPr="004533E5" w:rsidRDefault="002245C8" w:rsidP="000E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30 de noviembre de 2016</w:t>
            </w:r>
            <w:r w:rsidR="00CB4C03">
              <w:rPr>
                <w:rFonts w:ascii="Calibri Light" w:hAnsi="Calibri Light"/>
              </w:rPr>
              <w:t xml:space="preserve"> </w:t>
            </w:r>
            <w:r w:rsidR="0049732F">
              <w:rPr>
                <w:rFonts w:ascii="Calibri Light" w:hAnsi="Calibri Light"/>
              </w:rPr>
              <w:t xml:space="preserve"> </w:t>
            </w:r>
            <w:r w:rsidR="00954E20">
              <w:rPr>
                <w:rFonts w:ascii="Calibri Light" w:hAnsi="Calibri Light"/>
              </w:rPr>
              <w:t xml:space="preserve"> </w:t>
            </w:r>
          </w:p>
        </w:tc>
      </w:tr>
      <w:tr w:rsidR="004533E5" w:rsidRPr="004533E5" w14:paraId="1A0D058F" w14:textId="77777777" w:rsidTr="005410BA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661C9E19" w14:textId="1119002C" w:rsidR="005173CF" w:rsidRPr="004533E5" w:rsidRDefault="00BB61C6" w:rsidP="000E69D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Decisiones de la CIDH</w:t>
            </w:r>
            <w:r w:rsidR="007A6C56" w:rsidRPr="004533E5">
              <w:rPr>
                <w:rFonts w:ascii="Calibri Light" w:hAnsi="Calibri Light"/>
              </w:rPr>
              <w:t xml:space="preserve"> </w:t>
            </w:r>
            <w:r w:rsidR="00DD3C7C">
              <w:rPr>
                <w:rFonts w:ascii="Calibri Light" w:hAnsi="Calibri Light"/>
              </w:rPr>
              <w:t xml:space="preserve">y/o la Corte IDH, </w:t>
            </w:r>
            <w:r w:rsidR="007A6C56" w:rsidRPr="004533E5">
              <w:rPr>
                <w:rFonts w:ascii="Calibri Light" w:hAnsi="Calibri Light"/>
              </w:rPr>
              <w:t>relacionadas</w:t>
            </w:r>
          </w:p>
        </w:tc>
        <w:tc>
          <w:tcPr>
            <w:tcW w:w="5043" w:type="dxa"/>
            <w:gridSpan w:val="2"/>
            <w:vAlign w:val="center"/>
          </w:tcPr>
          <w:p w14:paraId="72EA1AA4" w14:textId="42110399" w:rsidR="00AC6F31" w:rsidRPr="004533E5" w:rsidRDefault="005355CD" w:rsidP="000E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--</w:t>
            </w:r>
          </w:p>
        </w:tc>
      </w:tr>
      <w:tr w:rsidR="00D34CF4" w:rsidRPr="004533E5" w14:paraId="570485B4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 w:val="restart"/>
            <w:vAlign w:val="center"/>
          </w:tcPr>
          <w:p w14:paraId="3FCF8D6E" w14:textId="568477D0" w:rsidR="00D34CF4" w:rsidRDefault="00D34CF4" w:rsidP="000E69D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A359E7">
              <w:rPr>
                <w:rFonts w:ascii="Calibri Light" w:hAnsi="Calibri Light"/>
              </w:rPr>
              <w:t>Artículos analizados</w:t>
            </w:r>
          </w:p>
        </w:tc>
        <w:tc>
          <w:tcPr>
            <w:tcW w:w="5043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18718B95" w14:textId="76BB7562" w:rsidR="000E69D1" w:rsidRPr="00D34CF4" w:rsidRDefault="00D34CF4" w:rsidP="006D63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 w:rsidRPr="00D34CF4">
              <w:rPr>
                <w:rFonts w:ascii="Calibri Light" w:hAnsi="Calibri Light"/>
                <w:lang w:val="es-ES"/>
              </w:rPr>
              <w:t>Convenció</w:t>
            </w:r>
            <w:r w:rsidR="000E69D1">
              <w:rPr>
                <w:rFonts w:ascii="Calibri Light" w:hAnsi="Calibri Light"/>
                <w:lang w:val="es-ES"/>
              </w:rPr>
              <w:t>n Americana sobre Derechos Humanos</w:t>
            </w:r>
          </w:p>
        </w:tc>
      </w:tr>
      <w:tr w:rsidR="00D34CF4" w:rsidRPr="004533E5" w14:paraId="1B18D8B7" w14:textId="2ED83529" w:rsidTr="005410B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  <w:vAlign w:val="center"/>
          </w:tcPr>
          <w:p w14:paraId="08080CA0" w14:textId="77777777" w:rsidR="00D34CF4" w:rsidRPr="00A359E7" w:rsidRDefault="00D34CF4" w:rsidP="000E69D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5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D9016F" w14:textId="40906875" w:rsidR="00D34CF4" w:rsidRDefault="00D34CF4" w:rsidP="006D63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u w:val="single"/>
                <w:lang w:val="es-ES"/>
              </w:rPr>
            </w:pPr>
            <w:r>
              <w:rPr>
                <w:rFonts w:ascii="Calibri Light" w:hAnsi="Calibri Light"/>
              </w:rPr>
              <w:t>Artículos sobre los que se alcanzó un acuerdo</w:t>
            </w:r>
            <w:r>
              <w:rPr>
                <w:rFonts w:ascii="Calibri Light" w:hAnsi="Calibri Light"/>
                <w:u w:val="single"/>
                <w:lang w:val="es-E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7C3731" w14:textId="06862130" w:rsidR="00D34CF4" w:rsidRDefault="00D34CF4" w:rsidP="006D63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u w:val="single"/>
                <w:lang w:val="es-ES"/>
              </w:rPr>
            </w:pPr>
            <w:r>
              <w:rPr>
                <w:rFonts w:ascii="Calibri Light" w:hAnsi="Calibri Light"/>
              </w:rPr>
              <w:t>Artículos sobre los que no se alcanzó un acuerdo</w:t>
            </w:r>
          </w:p>
        </w:tc>
      </w:tr>
      <w:tr w:rsidR="00D34CF4" w:rsidRPr="004533E5" w14:paraId="1F73BE25" w14:textId="4A6F3AB8" w:rsidTr="00B3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  <w:vAlign w:val="center"/>
          </w:tcPr>
          <w:p w14:paraId="11104060" w14:textId="77777777" w:rsidR="00D34CF4" w:rsidRPr="00A359E7" w:rsidRDefault="00D34CF4" w:rsidP="000E69D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825E98" w14:textId="419CBF5B" w:rsidR="00D34CF4" w:rsidRPr="00265911" w:rsidRDefault="00D34CF4" w:rsidP="006D63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 w:rsidRPr="00265911">
              <w:rPr>
                <w:rFonts w:ascii="Calibri Light" w:hAnsi="Calibri Light"/>
                <w:lang w:val="es-ES"/>
              </w:rPr>
              <w:t>Art. 8</w:t>
            </w:r>
            <w:r w:rsidR="006D6396">
              <w:rPr>
                <w:rFonts w:ascii="Calibri Light" w:hAnsi="Calibri Light"/>
                <w:lang w:val="es-ES"/>
              </w:rPr>
              <w:t>, a</w:t>
            </w:r>
            <w:r w:rsidRPr="00265911">
              <w:rPr>
                <w:rFonts w:ascii="Calibri Light" w:hAnsi="Calibri Light"/>
                <w:lang w:val="es-ES"/>
              </w:rPr>
              <w:t xml:space="preserve">rt. 25 </w:t>
            </w:r>
          </w:p>
        </w:tc>
        <w:tc>
          <w:tcPr>
            <w:tcW w:w="251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82C7000" w14:textId="327742AE" w:rsidR="00D34CF4" w:rsidRPr="00265911" w:rsidRDefault="00265911" w:rsidP="000E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 w:rsidRPr="00265911">
              <w:rPr>
                <w:rFonts w:ascii="Calibri Light" w:hAnsi="Calibri Light"/>
                <w:lang w:val="es-ES"/>
              </w:rPr>
              <w:t>--</w:t>
            </w:r>
          </w:p>
        </w:tc>
      </w:tr>
      <w:tr w:rsidR="005173CF" w:rsidRPr="004533E5" w14:paraId="54B7813B" w14:textId="77777777" w:rsidTr="005410B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6D4895DD" w14:textId="77777777" w:rsidR="00AC6F31" w:rsidRDefault="00AC6F31" w:rsidP="000E69D1">
            <w:pPr>
              <w:pStyle w:val="ListParagraph"/>
              <w:rPr>
                <w:rFonts w:ascii="Calibri Light" w:hAnsi="Calibri Light"/>
              </w:rPr>
            </w:pPr>
          </w:p>
          <w:p w14:paraId="1ECE5967" w14:textId="77777777" w:rsidR="005173CF" w:rsidRPr="009C417D" w:rsidRDefault="007A6C56" w:rsidP="0087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9C417D">
              <w:rPr>
                <w:rFonts w:ascii="Calibri Light" w:hAnsi="Calibri Light"/>
              </w:rPr>
              <w:t>Sumilla</w:t>
            </w:r>
          </w:p>
          <w:p w14:paraId="009AFBB8" w14:textId="77777777" w:rsidR="00AC6F31" w:rsidRPr="004533E5" w:rsidRDefault="00AC6F31" w:rsidP="000E69D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442ADC" w14:paraId="6B670455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03C967CD" w14:textId="77777777" w:rsidR="00AC6F31" w:rsidRPr="00442ADC" w:rsidRDefault="00AC6F31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6C7BAB4E" w14:textId="4DFFB7B8" w:rsidR="000E69D1" w:rsidRPr="00442ADC" w:rsidRDefault="00270F7C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442ADC">
              <w:rPr>
                <w:rFonts w:ascii="Calibri Light" w:hAnsi="Calibri Light"/>
                <w:b w:val="0"/>
                <w:lang w:val="es-ES"/>
              </w:rPr>
              <w:t xml:space="preserve">El caso </w:t>
            </w:r>
            <w:r w:rsidR="000E69D1">
              <w:rPr>
                <w:rFonts w:ascii="Calibri Light" w:hAnsi="Calibri Light"/>
                <w:b w:val="0"/>
                <w:lang w:val="es-ES"/>
              </w:rPr>
              <w:t xml:space="preserve">se refiere </w:t>
            </w:r>
            <w:r w:rsidR="00A05AEB">
              <w:rPr>
                <w:rFonts w:ascii="Calibri Light" w:hAnsi="Calibri Light"/>
                <w:b w:val="0"/>
                <w:lang w:val="es-ES"/>
              </w:rPr>
              <w:t xml:space="preserve">al </w:t>
            </w:r>
            <w:r w:rsidR="00A05AEB" w:rsidRPr="00442ADC">
              <w:rPr>
                <w:rFonts w:ascii="Calibri Light" w:hAnsi="Calibri Light"/>
                <w:b w:val="0"/>
                <w:lang w:val="es-ES"/>
              </w:rPr>
              <w:t>proceso</w:t>
            </w:r>
            <w:r w:rsidRPr="00442ADC">
              <w:rPr>
                <w:rFonts w:ascii="Calibri Light" w:hAnsi="Calibri Light"/>
                <w:b w:val="0"/>
                <w:lang w:val="es-ES"/>
              </w:rPr>
              <w:t xml:space="preserve"> ratificación y evaluación de un magistrado </w:t>
            </w:r>
            <w:r w:rsidR="000E69D1">
              <w:rPr>
                <w:rFonts w:ascii="Calibri Light" w:hAnsi="Calibri Light"/>
                <w:b w:val="0"/>
                <w:lang w:val="es-ES"/>
              </w:rPr>
              <w:t xml:space="preserve">en el </w:t>
            </w:r>
            <w:r w:rsidRPr="00442ADC">
              <w:rPr>
                <w:rFonts w:ascii="Calibri Light" w:hAnsi="Calibri Light"/>
                <w:b w:val="0"/>
                <w:lang w:val="es-ES"/>
              </w:rPr>
              <w:t xml:space="preserve">que </w:t>
            </w:r>
            <w:r w:rsidR="000E69D1">
              <w:rPr>
                <w:rFonts w:ascii="Calibri Light" w:hAnsi="Calibri Light"/>
                <w:b w:val="0"/>
                <w:lang w:val="es-ES"/>
              </w:rPr>
              <w:t xml:space="preserve">se presentaron </w:t>
            </w:r>
            <w:r w:rsidR="00442ADC" w:rsidRPr="00442ADC">
              <w:rPr>
                <w:rFonts w:ascii="Calibri Light" w:hAnsi="Calibri Light"/>
                <w:b w:val="0"/>
                <w:lang w:val="es-ES"/>
              </w:rPr>
              <w:t>falencias</w:t>
            </w:r>
            <w:r w:rsidRPr="00442ADC">
              <w:rPr>
                <w:rFonts w:ascii="Calibri Light" w:hAnsi="Calibri Light"/>
                <w:b w:val="0"/>
                <w:lang w:val="es-ES"/>
              </w:rPr>
              <w:t xml:space="preserve"> y falta de garantías judiciales. El </w:t>
            </w:r>
            <w:r w:rsidR="00442ADC" w:rsidRPr="00442ADC">
              <w:rPr>
                <w:rFonts w:ascii="Calibri Light" w:hAnsi="Calibri Light"/>
                <w:b w:val="0"/>
                <w:lang w:val="es-ES"/>
              </w:rPr>
              <w:t xml:space="preserve">proceso </w:t>
            </w:r>
            <w:r w:rsidR="000E69D1">
              <w:rPr>
                <w:rFonts w:ascii="Calibri Light" w:hAnsi="Calibri Light"/>
                <w:b w:val="0"/>
                <w:lang w:val="es-ES"/>
              </w:rPr>
              <w:t xml:space="preserve">tuvo por </w:t>
            </w:r>
            <w:r w:rsidR="00442ADC" w:rsidRPr="00442ADC">
              <w:rPr>
                <w:rFonts w:ascii="Calibri Light" w:hAnsi="Calibri Light"/>
                <w:b w:val="0"/>
                <w:lang w:val="es-ES"/>
              </w:rPr>
              <w:t>resultado la destitución del cargo de Vocal de</w:t>
            </w:r>
            <w:r w:rsidR="000E69D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442ADC" w:rsidRPr="00442ADC">
              <w:rPr>
                <w:rFonts w:ascii="Calibri Light" w:hAnsi="Calibri Light"/>
                <w:b w:val="0"/>
                <w:lang w:val="es-ES"/>
              </w:rPr>
              <w:t xml:space="preserve">la Corte del Distrito Judicial de Puno del </w:t>
            </w:r>
            <w:r w:rsidR="000E69D1">
              <w:rPr>
                <w:rFonts w:ascii="Calibri Light" w:hAnsi="Calibri Light"/>
                <w:b w:val="0"/>
                <w:lang w:val="es-ES"/>
              </w:rPr>
              <w:t>señor</w:t>
            </w:r>
            <w:r w:rsidR="00442ADC" w:rsidRPr="00442ADC">
              <w:rPr>
                <w:rFonts w:ascii="Calibri Light" w:hAnsi="Calibri Light"/>
                <w:b w:val="0"/>
                <w:lang w:val="es-ES"/>
              </w:rPr>
              <w:t xml:space="preserve"> </w:t>
            </w:r>
            <w:proofErr w:type="gramStart"/>
            <w:r w:rsidR="00442ADC" w:rsidRPr="00442ADC">
              <w:rPr>
                <w:rFonts w:ascii="Calibri Light" w:hAnsi="Calibri Light"/>
                <w:b w:val="0"/>
                <w:lang w:val="es-ES"/>
              </w:rPr>
              <w:t>Gallegos</w:t>
            </w:r>
            <w:proofErr w:type="gramEnd"/>
            <w:r w:rsidR="00442ADC" w:rsidRPr="00442ADC">
              <w:rPr>
                <w:rFonts w:ascii="Calibri Light" w:hAnsi="Calibri Light"/>
                <w:b w:val="0"/>
                <w:lang w:val="es-ES"/>
              </w:rPr>
              <w:t xml:space="preserve">, así como </w:t>
            </w:r>
            <w:r w:rsidR="000E69D1">
              <w:rPr>
                <w:rFonts w:ascii="Calibri Light" w:hAnsi="Calibri Light"/>
                <w:b w:val="0"/>
                <w:lang w:val="es-ES"/>
              </w:rPr>
              <w:t>su</w:t>
            </w:r>
            <w:r w:rsidR="00442ADC" w:rsidRPr="00442ADC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442ADC">
              <w:rPr>
                <w:rFonts w:ascii="Calibri Light" w:hAnsi="Calibri Light"/>
                <w:b w:val="0"/>
                <w:lang w:val="es-ES"/>
              </w:rPr>
              <w:t>separación</w:t>
            </w:r>
            <w:r w:rsidR="00442ADC" w:rsidRPr="00442ADC">
              <w:rPr>
                <w:rFonts w:ascii="Calibri Light" w:hAnsi="Calibri Light"/>
                <w:b w:val="0"/>
                <w:lang w:val="es-ES"/>
              </w:rPr>
              <w:t xml:space="preserve"> de </w:t>
            </w:r>
            <w:r w:rsidR="000E69D1">
              <w:rPr>
                <w:rFonts w:ascii="Calibri Light" w:hAnsi="Calibri Light"/>
                <w:b w:val="0"/>
                <w:lang w:val="es-ES"/>
              </w:rPr>
              <w:t xml:space="preserve">la </w:t>
            </w:r>
            <w:r w:rsidR="00442ADC" w:rsidRPr="00442ADC">
              <w:rPr>
                <w:rFonts w:ascii="Calibri Light" w:hAnsi="Calibri Light"/>
                <w:b w:val="0"/>
                <w:lang w:val="es-ES"/>
              </w:rPr>
              <w:t>carrera judicial.</w:t>
            </w:r>
            <w:r w:rsidR="00442ADC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Pese a que el caso fue tramitado en la vía judicial interna, el señor </w:t>
            </w:r>
            <w:proofErr w:type="gramStart"/>
            <w:r w:rsidR="00791729">
              <w:rPr>
                <w:rFonts w:ascii="Calibri Light" w:hAnsi="Calibri Light"/>
                <w:b w:val="0"/>
                <w:lang w:val="es-ES"/>
              </w:rPr>
              <w:t>Gallegos</w:t>
            </w:r>
            <w:proofErr w:type="gramEnd"/>
            <w:r w:rsidR="00791729">
              <w:rPr>
                <w:rFonts w:ascii="Calibri Light" w:hAnsi="Calibri Light"/>
                <w:b w:val="0"/>
                <w:lang w:val="es-ES"/>
              </w:rPr>
              <w:t xml:space="preserve"> no obtuvo justicia. </w:t>
            </w:r>
          </w:p>
          <w:p w14:paraId="1EE5A7E7" w14:textId="69048BF9" w:rsidR="00AC6F31" w:rsidRPr="00442ADC" w:rsidRDefault="00AC6F31" w:rsidP="000E69D1">
            <w:pPr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7A6C56" w:rsidRPr="004533E5" w14:paraId="238A2196" w14:textId="77777777" w:rsidTr="005410B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76D9AAF2" w14:textId="77777777" w:rsidR="00AC6F31" w:rsidRDefault="00AC6F31" w:rsidP="000E69D1">
            <w:pPr>
              <w:pStyle w:val="ListParagraph"/>
              <w:rPr>
                <w:rFonts w:ascii="Calibri Light" w:hAnsi="Calibri Light"/>
              </w:rPr>
            </w:pPr>
          </w:p>
          <w:p w14:paraId="6E7AC4B8" w14:textId="77777777" w:rsidR="007A6C56" w:rsidRDefault="007A6C56" w:rsidP="0087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Palabras clave</w:t>
            </w:r>
          </w:p>
          <w:p w14:paraId="6A1E32A7" w14:textId="77777777" w:rsidR="00AC6F31" w:rsidRPr="004533E5" w:rsidRDefault="00AC6F31" w:rsidP="00875EEC">
            <w:pPr>
              <w:pStyle w:val="ListParagraph"/>
              <w:jc w:val="center"/>
              <w:rPr>
                <w:rFonts w:ascii="Calibri Light" w:hAnsi="Calibri Light"/>
              </w:rPr>
            </w:pPr>
          </w:p>
        </w:tc>
      </w:tr>
      <w:tr w:rsidR="007A6C56" w:rsidRPr="004533E5" w14:paraId="34AE2D45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611A1841" w14:textId="77777777" w:rsidR="00AC6F31" w:rsidRDefault="00AC6F31" w:rsidP="000E69D1">
            <w:pPr>
              <w:rPr>
                <w:rFonts w:ascii="Calibri Light" w:hAnsi="Calibri Light"/>
                <w:b w:val="0"/>
              </w:rPr>
            </w:pPr>
          </w:p>
          <w:p w14:paraId="51C8B1F0" w14:textId="766B3C6A" w:rsidR="00AC6F31" w:rsidRDefault="00F86BF8" w:rsidP="000E69D1">
            <w:pPr>
              <w:rPr>
                <w:rFonts w:ascii="Calibri Light" w:hAnsi="Calibri Light"/>
                <w:b w:val="0"/>
              </w:rPr>
            </w:pPr>
            <w:proofErr w:type="gramStart"/>
            <w:r>
              <w:rPr>
                <w:rFonts w:ascii="Calibri Light" w:hAnsi="Calibri Light"/>
                <w:b w:val="0"/>
              </w:rPr>
              <w:t xml:space="preserve">Protección </w:t>
            </w:r>
            <w:r w:rsidR="00791729">
              <w:rPr>
                <w:rFonts w:ascii="Calibri Light" w:hAnsi="Calibri Light"/>
                <w:b w:val="0"/>
              </w:rPr>
              <w:t>j</w:t>
            </w:r>
            <w:r>
              <w:rPr>
                <w:rFonts w:ascii="Calibri Light" w:hAnsi="Calibri Light"/>
                <w:b w:val="0"/>
              </w:rPr>
              <w:t xml:space="preserve">udicial y </w:t>
            </w:r>
            <w:r w:rsidR="00791729">
              <w:rPr>
                <w:rFonts w:ascii="Calibri Light" w:hAnsi="Calibri Light"/>
                <w:b w:val="0"/>
              </w:rPr>
              <w:t>g</w:t>
            </w:r>
            <w:r>
              <w:rPr>
                <w:rFonts w:ascii="Calibri Light" w:hAnsi="Calibri Light"/>
                <w:b w:val="0"/>
              </w:rPr>
              <w:t xml:space="preserve">arantías </w:t>
            </w:r>
            <w:r w:rsidR="00791729">
              <w:rPr>
                <w:rFonts w:ascii="Calibri Light" w:hAnsi="Calibri Light"/>
                <w:b w:val="0"/>
              </w:rPr>
              <w:t>j</w:t>
            </w:r>
            <w:r>
              <w:rPr>
                <w:rFonts w:ascii="Calibri Light" w:hAnsi="Calibri Light"/>
                <w:b w:val="0"/>
              </w:rPr>
              <w:t>udiciales</w:t>
            </w:r>
            <w:proofErr w:type="gramEnd"/>
            <w:r>
              <w:rPr>
                <w:rFonts w:ascii="Calibri Light" w:hAnsi="Calibri Light"/>
                <w:b w:val="0"/>
              </w:rPr>
              <w:t xml:space="preserve">; </w:t>
            </w:r>
            <w:r w:rsidR="00791729">
              <w:rPr>
                <w:rFonts w:ascii="Calibri Light" w:hAnsi="Calibri Light"/>
                <w:b w:val="0"/>
              </w:rPr>
              <w:t xml:space="preserve">Destitución </w:t>
            </w:r>
            <w:r>
              <w:rPr>
                <w:rFonts w:ascii="Calibri Light" w:hAnsi="Calibri Light"/>
                <w:b w:val="0"/>
              </w:rPr>
              <w:t xml:space="preserve">de </w:t>
            </w:r>
            <w:r w:rsidR="00791729">
              <w:rPr>
                <w:rFonts w:ascii="Calibri Light" w:hAnsi="Calibri Light"/>
                <w:b w:val="0"/>
              </w:rPr>
              <w:t>j</w:t>
            </w:r>
            <w:r>
              <w:rPr>
                <w:rFonts w:ascii="Calibri Light" w:hAnsi="Calibri Light"/>
                <w:b w:val="0"/>
              </w:rPr>
              <w:t>ueces</w:t>
            </w:r>
          </w:p>
          <w:p w14:paraId="05374712" w14:textId="19CFBE6A" w:rsidR="00850205" w:rsidRPr="004533E5" w:rsidRDefault="00850205" w:rsidP="000E69D1">
            <w:pPr>
              <w:rPr>
                <w:rFonts w:ascii="Calibri Light" w:hAnsi="Calibri Light"/>
                <w:b w:val="0"/>
              </w:rPr>
            </w:pPr>
          </w:p>
        </w:tc>
      </w:tr>
      <w:tr w:rsidR="005173CF" w:rsidRPr="004533E5" w14:paraId="69044E7B" w14:textId="77777777" w:rsidTr="005410B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23949460" w14:textId="77777777" w:rsidR="00AC6F31" w:rsidRDefault="00AC6F31" w:rsidP="000E69D1">
            <w:pPr>
              <w:pStyle w:val="ListParagraph"/>
              <w:rPr>
                <w:rFonts w:ascii="Calibri Light" w:hAnsi="Calibri Light"/>
              </w:rPr>
            </w:pPr>
          </w:p>
          <w:p w14:paraId="177FF988" w14:textId="77777777" w:rsidR="005173CF" w:rsidRPr="00C90774" w:rsidRDefault="007A6C56" w:rsidP="000E69D1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C90774">
              <w:rPr>
                <w:rFonts w:ascii="Calibri Light" w:hAnsi="Calibri Light"/>
              </w:rPr>
              <w:t>Hechos</w:t>
            </w:r>
          </w:p>
          <w:p w14:paraId="190B7E98" w14:textId="77777777" w:rsidR="00AC6F31" w:rsidRPr="004533E5" w:rsidRDefault="00AC6F31" w:rsidP="000E69D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5173CF" w:rsidRPr="00BB4CA1" w14:paraId="6F58DE83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0D3F4CA7" w14:textId="77777777" w:rsidR="008F335A" w:rsidRPr="00BB4CA1" w:rsidRDefault="008F335A" w:rsidP="000E69D1">
            <w:pPr>
              <w:rPr>
                <w:rFonts w:ascii="Calibri Light" w:hAnsi="Calibri Light"/>
                <w:b w:val="0"/>
                <w:lang w:val="es-ES"/>
              </w:rPr>
            </w:pPr>
          </w:p>
          <w:p w14:paraId="693CC393" w14:textId="309B3208" w:rsidR="008F335A" w:rsidRPr="00BB4CA1" w:rsidRDefault="008F335A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>En febrero del 2004, tras siete años de ejercicio</w:t>
            </w:r>
            <w:r w:rsidR="00442ADC" w:rsidRPr="00BB4CA1">
              <w:rPr>
                <w:rFonts w:ascii="Calibri Light" w:hAnsi="Calibri Light"/>
                <w:b w:val="0"/>
                <w:lang w:val="es-ES"/>
              </w:rPr>
              <w:t xml:space="preserve"> como magistrado y Vocal de la Corte Superior del Distrito de Puno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, el </w:t>
            </w:r>
            <w:r w:rsidR="00791729">
              <w:rPr>
                <w:rFonts w:ascii="Calibri Light" w:hAnsi="Calibri Light"/>
                <w:b w:val="0"/>
                <w:lang w:val="es-ES"/>
              </w:rPr>
              <w:t>señor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proofErr w:type="gramStart"/>
            <w:r w:rsidRPr="00BB4CA1">
              <w:rPr>
                <w:rFonts w:ascii="Calibri Light" w:hAnsi="Calibri Light"/>
                <w:b w:val="0"/>
                <w:lang w:val="es-ES"/>
              </w:rPr>
              <w:t>Gallegos</w:t>
            </w:r>
            <w:proofErr w:type="gramEnd"/>
            <w:r w:rsidRPr="00BB4CA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fue </w:t>
            </w:r>
            <w:r w:rsidRPr="00BB4CA1">
              <w:rPr>
                <w:rFonts w:ascii="Calibri Light" w:hAnsi="Calibri Light"/>
                <w:b w:val="0"/>
                <w:lang w:val="es-ES"/>
              </w:rPr>
              <w:t>sometido a un proceso de evaluación y ratificación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 por parte del Consejo Nacional de la Magistratura (CNM)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.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Culminado el proceso, el señor </w:t>
            </w:r>
            <w:proofErr w:type="gramStart"/>
            <w:r w:rsidR="00791729">
              <w:rPr>
                <w:rFonts w:ascii="Calibri Light" w:hAnsi="Calibri Light"/>
                <w:b w:val="0"/>
                <w:lang w:val="es-ES"/>
              </w:rPr>
              <w:t>Gallegos  no</w:t>
            </w:r>
            <w:proofErr w:type="gramEnd"/>
            <w:r w:rsidR="00791729">
              <w:rPr>
                <w:rFonts w:ascii="Calibri Light" w:hAnsi="Calibri Light"/>
                <w:b w:val="0"/>
                <w:lang w:val="es-ES"/>
              </w:rPr>
              <w:t xml:space="preserve"> fue ratificado en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su cargo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de </w:t>
            </w:r>
            <w:r w:rsidRPr="00BB4CA1">
              <w:rPr>
                <w:rFonts w:ascii="Calibri Light" w:hAnsi="Calibri Light"/>
                <w:b w:val="0"/>
                <w:lang w:val="es-ES"/>
              </w:rPr>
              <w:t>Vocal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, siendo con ello 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separado de la carrera judicial. Según el peticionario, el proceso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de evaluación mencionado se vio afectado por una serie de 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falencias y no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se realizó </w:t>
            </w:r>
            <w:r w:rsidRPr="00BB4CA1">
              <w:rPr>
                <w:rFonts w:ascii="Calibri Light" w:hAnsi="Calibri Light"/>
                <w:b w:val="0"/>
                <w:lang w:val="es-ES"/>
              </w:rPr>
              <w:t>conforme a las normas procedimentales y sustantivas aplicables.</w:t>
            </w:r>
          </w:p>
          <w:p w14:paraId="480E721D" w14:textId="77777777" w:rsidR="00713CAC" w:rsidRPr="00BB4CA1" w:rsidRDefault="00713CAC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0163B01B" w14:textId="0833770B" w:rsidR="00442ADC" w:rsidRPr="00BB4CA1" w:rsidRDefault="00442ADC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lastRenderedPageBreak/>
              <w:t xml:space="preserve">A raíz de estos hechos,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el 28 de abril de 2004, </w:t>
            </w:r>
            <w:r w:rsidRPr="00BB4CA1">
              <w:rPr>
                <w:rFonts w:ascii="Calibri Light" w:hAnsi="Calibri Light"/>
                <w:b w:val="0"/>
                <w:lang w:val="es-ES"/>
              </w:rPr>
              <w:t>el</w:t>
            </w:r>
            <w:r w:rsidR="00BC16A4" w:rsidRPr="00BB4CA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señor </w:t>
            </w:r>
            <w:proofErr w:type="gramStart"/>
            <w:r w:rsidR="00BC16A4" w:rsidRPr="00BB4CA1">
              <w:rPr>
                <w:rFonts w:ascii="Calibri Light" w:hAnsi="Calibri Light"/>
                <w:b w:val="0"/>
                <w:lang w:val="es-ES"/>
              </w:rPr>
              <w:t>Gallegos</w:t>
            </w:r>
            <w:proofErr w:type="gramEnd"/>
            <w:r w:rsidR="00BC16A4" w:rsidRPr="00BB4CA1">
              <w:rPr>
                <w:rFonts w:ascii="Calibri Light" w:hAnsi="Calibri Light"/>
                <w:b w:val="0"/>
                <w:lang w:val="es-ES"/>
              </w:rPr>
              <w:t xml:space="preserve">, presentó una demanda de amparo ante el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Segundo </w:t>
            </w:r>
            <w:r w:rsidR="00BC16A4" w:rsidRPr="00BB4CA1">
              <w:rPr>
                <w:rFonts w:ascii="Calibri Light" w:hAnsi="Calibri Light"/>
                <w:b w:val="0"/>
                <w:lang w:val="es-ES"/>
              </w:rPr>
              <w:t xml:space="preserve">Juzgado Mixto de Punto contra la decisión de no ratificación. Según el peticionario, </w:t>
            </w:r>
            <w:r w:rsidR="00791729" w:rsidRPr="00BB4CA1">
              <w:rPr>
                <w:rFonts w:ascii="Calibri Light" w:hAnsi="Calibri Light"/>
                <w:b w:val="0"/>
                <w:lang w:val="es-ES"/>
              </w:rPr>
              <w:t>el 12 de enero de 2005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, </w:t>
            </w:r>
            <w:r w:rsidR="00BC16A4" w:rsidRPr="00BB4CA1">
              <w:rPr>
                <w:rFonts w:ascii="Calibri Light" w:hAnsi="Calibri Light"/>
                <w:b w:val="0"/>
                <w:lang w:val="es-ES"/>
              </w:rPr>
              <w:t xml:space="preserve">el </w:t>
            </w:r>
            <w:r w:rsidR="00791729">
              <w:rPr>
                <w:rFonts w:ascii="Calibri Light" w:hAnsi="Calibri Light"/>
                <w:b w:val="0"/>
                <w:lang w:val="es-ES"/>
              </w:rPr>
              <w:t xml:space="preserve">CNM </w:t>
            </w:r>
            <w:r w:rsidR="008C3E10">
              <w:rPr>
                <w:rFonts w:ascii="Calibri Light" w:hAnsi="Calibri Light"/>
                <w:b w:val="0"/>
                <w:lang w:val="es-ES"/>
              </w:rPr>
              <w:t>solicitó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8C3E10">
              <w:rPr>
                <w:rFonts w:ascii="Calibri Light" w:hAnsi="Calibri Light"/>
                <w:b w:val="0"/>
                <w:lang w:val="es-ES"/>
              </w:rPr>
              <w:t>a</w:t>
            </w:r>
            <w:r w:rsidR="003E19DE">
              <w:rPr>
                <w:rFonts w:ascii="Calibri Light" w:hAnsi="Calibri Light"/>
                <w:b w:val="0"/>
                <w:lang w:val="es-ES"/>
              </w:rPr>
              <w:t xml:space="preserve">l </w:t>
            </w:r>
            <w:r w:rsidR="003E19DE" w:rsidRPr="00BB4CA1">
              <w:rPr>
                <w:rFonts w:ascii="Calibri Light" w:hAnsi="Calibri Light"/>
                <w:b w:val="0"/>
                <w:lang w:val="es-ES"/>
              </w:rPr>
              <w:t xml:space="preserve">Juzgado Especializado Civil de Lima 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>la</w:t>
            </w:r>
            <w:r w:rsidR="00BC16A4" w:rsidRPr="00BB4CA1">
              <w:rPr>
                <w:rFonts w:ascii="Calibri Light" w:hAnsi="Calibri Light"/>
                <w:b w:val="0"/>
                <w:lang w:val="es-ES"/>
              </w:rPr>
              <w:t xml:space="preserve"> inhibición del </w:t>
            </w:r>
            <w:r w:rsidR="008C3E10">
              <w:rPr>
                <w:rFonts w:ascii="Calibri Light" w:hAnsi="Calibri Light"/>
                <w:b w:val="0"/>
                <w:lang w:val="es-ES"/>
              </w:rPr>
              <w:t>J</w:t>
            </w:r>
            <w:r w:rsidR="00BC16A4" w:rsidRPr="00BB4CA1">
              <w:rPr>
                <w:rFonts w:ascii="Calibri Light" w:hAnsi="Calibri Light"/>
                <w:b w:val="0"/>
                <w:lang w:val="es-ES"/>
              </w:rPr>
              <w:t xml:space="preserve">uzgado </w:t>
            </w:r>
            <w:r w:rsidR="00791729">
              <w:rPr>
                <w:rFonts w:ascii="Calibri Light" w:hAnsi="Calibri Light"/>
                <w:b w:val="0"/>
                <w:lang w:val="es-ES"/>
              </w:rPr>
              <w:t>frente al cual se inició la acción de amparo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 xml:space="preserve">. </w:t>
            </w:r>
            <w:r w:rsidR="008C3E10">
              <w:rPr>
                <w:rFonts w:ascii="Calibri Light" w:hAnsi="Calibri Light"/>
                <w:b w:val="0"/>
                <w:lang w:val="es-ES"/>
              </w:rPr>
              <w:t xml:space="preserve">Como consecuencia de esta 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>acción</w:t>
            </w:r>
            <w:r w:rsidR="008E4984">
              <w:rPr>
                <w:rFonts w:ascii="Calibri Light" w:hAnsi="Calibri Light"/>
                <w:b w:val="0"/>
                <w:lang w:val="es-ES"/>
              </w:rPr>
              <w:t xml:space="preserve">, el </w:t>
            </w:r>
            <w:r w:rsidR="008C3E10">
              <w:rPr>
                <w:rFonts w:ascii="Calibri Light" w:hAnsi="Calibri Light"/>
                <w:b w:val="0"/>
                <w:lang w:val="es-ES"/>
              </w:rPr>
              <w:t>4 de mayo de 2005,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 xml:space="preserve"> el </w:t>
            </w:r>
            <w:r w:rsidR="008C3E10">
              <w:rPr>
                <w:rFonts w:ascii="Calibri Light" w:hAnsi="Calibri Light"/>
                <w:b w:val="0"/>
                <w:lang w:val="es-ES"/>
              </w:rPr>
              <w:t xml:space="preserve">Segundo 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 xml:space="preserve">Juzgado </w:t>
            </w:r>
            <w:r w:rsidR="008C3E10">
              <w:rPr>
                <w:rFonts w:ascii="Calibri Light" w:hAnsi="Calibri Light"/>
                <w:b w:val="0"/>
                <w:lang w:val="es-ES"/>
              </w:rPr>
              <w:t xml:space="preserve">Mixto 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 xml:space="preserve">de Puno </w:t>
            </w:r>
            <w:r w:rsidR="008C3E10">
              <w:rPr>
                <w:rFonts w:ascii="Calibri Light" w:hAnsi="Calibri Light"/>
                <w:b w:val="0"/>
                <w:lang w:val="es-ES"/>
              </w:rPr>
              <w:t xml:space="preserve">remitió 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 xml:space="preserve">toda la causa al Juzgado Civil de Lima, </w:t>
            </w:r>
            <w:r w:rsidR="008C3E10">
              <w:rPr>
                <w:rFonts w:ascii="Calibri Light" w:hAnsi="Calibri Light"/>
                <w:b w:val="0"/>
                <w:lang w:val="es-ES"/>
              </w:rPr>
              <w:t>a fin de que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 xml:space="preserve"> asumiera la jurisdicción. </w:t>
            </w:r>
            <w:r w:rsidR="008E4984">
              <w:rPr>
                <w:rFonts w:ascii="Calibri Light" w:hAnsi="Calibri Light"/>
                <w:b w:val="0"/>
                <w:lang w:val="es-ES"/>
              </w:rPr>
              <w:t xml:space="preserve">El 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 xml:space="preserve">7 de noviembre de </w:t>
            </w:r>
            <w:r w:rsidR="008C5B19" w:rsidRPr="00BB4CA1">
              <w:rPr>
                <w:rFonts w:ascii="Calibri Light" w:hAnsi="Calibri Light"/>
                <w:b w:val="0"/>
                <w:lang w:val="es-ES"/>
              </w:rPr>
              <w:t>2007</w:t>
            </w:r>
            <w:r w:rsidR="008C5B19">
              <w:rPr>
                <w:rFonts w:ascii="Calibri Light" w:hAnsi="Calibri Light"/>
                <w:b w:val="0"/>
                <w:lang w:val="es-ES"/>
              </w:rPr>
              <w:t xml:space="preserve">, </w:t>
            </w:r>
            <w:r w:rsidR="008C5B19" w:rsidRPr="00BB4CA1" w:rsidDel="008A468F">
              <w:rPr>
                <w:rFonts w:ascii="Calibri Light" w:hAnsi="Calibri Light"/>
                <w:b w:val="0"/>
                <w:lang w:val="es-ES"/>
              </w:rPr>
              <w:t>el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 xml:space="preserve"> Juzgado de Lima </w:t>
            </w:r>
            <w:r w:rsidR="008A468F">
              <w:rPr>
                <w:rFonts w:ascii="Calibri Light" w:hAnsi="Calibri Light"/>
                <w:b w:val="0"/>
                <w:lang w:val="es-ES"/>
              </w:rPr>
              <w:t xml:space="preserve">emitió sentencia para el caso en concreto, </w:t>
            </w:r>
            <w:r w:rsidR="00F5068F" w:rsidRPr="00BB4CA1">
              <w:rPr>
                <w:rFonts w:ascii="Calibri Light" w:hAnsi="Calibri Light"/>
                <w:b w:val="0"/>
                <w:lang w:val="es-ES"/>
              </w:rPr>
              <w:t>declarando la demanda de amparo infundada.</w:t>
            </w:r>
          </w:p>
          <w:p w14:paraId="6CAB15F7" w14:textId="27A148AE" w:rsidR="00442ADC" w:rsidRPr="00BB4CA1" w:rsidRDefault="00442ADC" w:rsidP="00875EEC">
            <w:pPr>
              <w:spacing w:before="240"/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 xml:space="preserve">Frente a tales hechos, el 16 de octubre de 2007, la CIDH recibió una petición presentada por el </w:t>
            </w:r>
            <w:r w:rsidR="008A468F">
              <w:rPr>
                <w:rFonts w:ascii="Calibri Light" w:hAnsi="Calibri Light"/>
                <w:b w:val="0"/>
                <w:lang w:val="es-ES"/>
              </w:rPr>
              <w:t>señor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Tito Guido Gallegos </w:t>
            </w:r>
            <w:proofErr w:type="spellStart"/>
            <w:r w:rsidRPr="00BB4CA1">
              <w:rPr>
                <w:rFonts w:ascii="Calibri Light" w:hAnsi="Calibri Light"/>
                <w:b w:val="0"/>
                <w:lang w:val="es-ES"/>
              </w:rPr>
              <w:t>Gallegos</w:t>
            </w:r>
            <w:proofErr w:type="spellEnd"/>
            <w:r w:rsidRPr="00BB4CA1">
              <w:rPr>
                <w:rFonts w:ascii="Calibri Light" w:hAnsi="Calibri Light"/>
                <w:b w:val="0"/>
                <w:lang w:val="es-ES"/>
              </w:rPr>
              <w:t xml:space="preserve">, </w:t>
            </w:r>
            <w:r w:rsidR="008A468F">
              <w:rPr>
                <w:rFonts w:ascii="Calibri Light" w:hAnsi="Calibri Light"/>
                <w:b w:val="0"/>
                <w:lang w:val="es-ES"/>
              </w:rPr>
              <w:t xml:space="preserve">quien denunció </w:t>
            </w:r>
            <w:r w:rsidR="006D6396">
              <w:rPr>
                <w:rFonts w:ascii="Calibri Light" w:hAnsi="Calibri Light"/>
                <w:b w:val="0"/>
                <w:lang w:val="es-ES"/>
              </w:rPr>
              <w:t>que el Estado peruano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había vulnerado los derechos a garantías judiciales y a la protección judicial </w:t>
            </w:r>
            <w:r w:rsidR="00BB4CA1">
              <w:rPr>
                <w:rFonts w:ascii="Calibri Light" w:hAnsi="Calibri Light"/>
                <w:b w:val="0"/>
                <w:lang w:val="es-ES"/>
              </w:rPr>
              <w:t>reconocidos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en los </w:t>
            </w:r>
            <w:r w:rsidR="00BB4CA1" w:rsidRPr="00BB4CA1">
              <w:rPr>
                <w:rFonts w:ascii="Calibri Light" w:hAnsi="Calibri Light"/>
                <w:b w:val="0"/>
                <w:lang w:val="es-ES"/>
              </w:rPr>
              <w:t>artículos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8 y 25, respectivamente, de la </w:t>
            </w:r>
            <w:r w:rsidR="00BB4CA1" w:rsidRPr="00BB4CA1">
              <w:rPr>
                <w:rFonts w:ascii="Calibri Light" w:hAnsi="Calibri Light"/>
                <w:b w:val="0"/>
                <w:lang w:val="es-ES"/>
              </w:rPr>
              <w:t>Convención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Americana sobre Derechos Humanos</w:t>
            </w:r>
            <w:r w:rsidR="008E4984">
              <w:rPr>
                <w:rFonts w:ascii="Calibri Light" w:hAnsi="Calibri Light"/>
                <w:b w:val="0"/>
                <w:lang w:val="es-ES"/>
              </w:rPr>
              <w:t xml:space="preserve"> (en adelante, CADH)</w:t>
            </w:r>
            <w:r w:rsidRPr="00BB4CA1">
              <w:rPr>
                <w:rFonts w:ascii="Calibri Light" w:hAnsi="Calibri Light"/>
                <w:b w:val="0"/>
                <w:lang w:val="es-ES"/>
              </w:rPr>
              <w:t>.</w:t>
            </w:r>
          </w:p>
          <w:p w14:paraId="6543A68A" w14:textId="4DB50A1F" w:rsidR="00270F7C" w:rsidRPr="00BB4CA1" w:rsidRDefault="00270F7C" w:rsidP="000E69D1">
            <w:pPr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F55CD0" w:rsidRPr="004533E5" w14:paraId="75AF89E9" w14:textId="77777777" w:rsidTr="005410B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14AA2A23" w14:textId="77777777" w:rsidR="00AC6F31" w:rsidRDefault="00AC6F31" w:rsidP="000E69D1">
            <w:pPr>
              <w:rPr>
                <w:rFonts w:ascii="Calibri Light" w:hAnsi="Calibri Light"/>
              </w:rPr>
            </w:pPr>
          </w:p>
          <w:p w14:paraId="5F1F3517" w14:textId="3E1198CD" w:rsidR="00F55CD0" w:rsidRPr="00BD01BB" w:rsidRDefault="00A4435A" w:rsidP="0087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BD01BB">
              <w:rPr>
                <w:rFonts w:ascii="Calibri Light" w:hAnsi="Calibri Light"/>
              </w:rPr>
              <w:t xml:space="preserve">Acuerdo de </w:t>
            </w:r>
            <w:r w:rsidR="00220B75" w:rsidRPr="00BD01BB">
              <w:rPr>
                <w:rFonts w:ascii="Calibri Light" w:hAnsi="Calibri Light"/>
              </w:rPr>
              <w:t>Solución</w:t>
            </w:r>
            <w:r w:rsidR="00676323" w:rsidRPr="00BD01BB">
              <w:rPr>
                <w:rFonts w:ascii="Calibri Light" w:hAnsi="Calibri Light"/>
              </w:rPr>
              <w:t xml:space="preserve"> </w:t>
            </w:r>
            <w:r w:rsidR="00676323" w:rsidRPr="00730A1C">
              <w:rPr>
                <w:rFonts w:ascii="Calibri Light" w:hAnsi="Calibri Light"/>
              </w:rPr>
              <w:t>Amistosa</w:t>
            </w:r>
            <w:r w:rsidR="00713FF4" w:rsidRPr="00730A1C">
              <w:rPr>
                <w:rFonts w:ascii="Calibri Light" w:hAnsi="Calibri Light"/>
              </w:rPr>
              <w:t xml:space="preserve"> (ASA)</w:t>
            </w:r>
          </w:p>
          <w:p w14:paraId="3F5D3463" w14:textId="77777777" w:rsidR="00AC6F31" w:rsidRPr="004533E5" w:rsidRDefault="00AC6F31" w:rsidP="000E69D1">
            <w:pPr>
              <w:rPr>
                <w:rFonts w:ascii="Calibri Light" w:hAnsi="Calibri Light"/>
              </w:rPr>
            </w:pPr>
          </w:p>
        </w:tc>
      </w:tr>
      <w:tr w:rsidR="00F55CD0" w:rsidRPr="00BB4CA1" w14:paraId="4D321633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5866223C" w14:textId="50E9D45D" w:rsidR="00270F7C" w:rsidRPr="00BB4CA1" w:rsidRDefault="00270F7C" w:rsidP="000E69D1">
            <w:pPr>
              <w:rPr>
                <w:rFonts w:ascii="Calibri Light" w:hAnsi="Calibri Light"/>
                <w:b w:val="0"/>
                <w:lang w:val="es-ES"/>
              </w:rPr>
            </w:pPr>
          </w:p>
          <w:p w14:paraId="1C97E8F7" w14:textId="1EA420B1" w:rsidR="003C7AF5" w:rsidRPr="00BB4CA1" w:rsidRDefault="003C7AF5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 xml:space="preserve">Mediante el acuerdo de solución amistosa suscrito por las partes el 26 de </w:t>
            </w:r>
            <w:r w:rsidR="00BB4CA1" w:rsidRPr="00BB4CA1">
              <w:rPr>
                <w:rFonts w:ascii="Calibri Light" w:hAnsi="Calibri Light"/>
                <w:b w:val="0"/>
                <w:lang w:val="es-ES"/>
              </w:rPr>
              <w:t>octubre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de 2016, las partes manifestaron lo siguiente:</w:t>
            </w:r>
          </w:p>
          <w:p w14:paraId="5C4C91EF" w14:textId="77777777" w:rsidR="003C7AF5" w:rsidRPr="00BB4CA1" w:rsidRDefault="003C7AF5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26F6D1BE" w14:textId="59D1EFA6" w:rsidR="006407DD" w:rsidRPr="00BB4CA1" w:rsidRDefault="00270F7C" w:rsidP="00875E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>El Estado peruano</w:t>
            </w:r>
            <w:r w:rsidR="00680C78" w:rsidRPr="00BB4CA1">
              <w:rPr>
                <w:rFonts w:ascii="Calibri Light" w:hAnsi="Calibri Light"/>
                <w:b w:val="0"/>
                <w:lang w:val="es-ES"/>
              </w:rPr>
              <w:t xml:space="preserve"> reconoció que el proceso de ratificación de jueces y fiscales</w:t>
            </w:r>
            <w:r w:rsidR="008A468F">
              <w:rPr>
                <w:rFonts w:ascii="Calibri Light" w:hAnsi="Calibri Light"/>
                <w:b w:val="0"/>
                <w:lang w:val="es-ES"/>
              </w:rPr>
              <w:t>, al cual fue sometido el peticionario,</w:t>
            </w:r>
            <w:r w:rsidR="00680C78" w:rsidRPr="00BB4CA1">
              <w:rPr>
                <w:rFonts w:ascii="Calibri Light" w:hAnsi="Calibri Light"/>
                <w:b w:val="0"/>
                <w:lang w:val="es-ES"/>
              </w:rPr>
              <w:t xml:space="preserve"> no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incorporaba</w:t>
            </w:r>
            <w:r w:rsidR="00680C78" w:rsidRPr="00BB4CA1">
              <w:rPr>
                <w:rFonts w:ascii="Calibri Light" w:hAnsi="Calibri Light"/>
                <w:b w:val="0"/>
                <w:lang w:val="es-ES"/>
              </w:rPr>
              <w:t xml:space="preserve"> ciertas garantías de la </w:t>
            </w:r>
            <w:r w:rsidR="008A468F">
              <w:rPr>
                <w:rFonts w:ascii="Calibri Light" w:hAnsi="Calibri Light"/>
                <w:b w:val="0"/>
                <w:lang w:val="es-ES"/>
              </w:rPr>
              <w:t>t</w:t>
            </w:r>
            <w:r w:rsidR="00680C78" w:rsidRPr="00BB4CA1">
              <w:rPr>
                <w:rFonts w:ascii="Calibri Light" w:hAnsi="Calibri Light"/>
                <w:b w:val="0"/>
                <w:lang w:val="es-ES"/>
              </w:rPr>
              <w:t xml:space="preserve">utela </w:t>
            </w:r>
            <w:r w:rsidR="008A468F">
              <w:rPr>
                <w:rFonts w:ascii="Calibri Light" w:hAnsi="Calibri Light"/>
                <w:b w:val="0"/>
                <w:lang w:val="es-ES"/>
              </w:rPr>
              <w:t>p</w:t>
            </w:r>
            <w:r w:rsidR="00680C78" w:rsidRPr="00BB4CA1">
              <w:rPr>
                <w:rFonts w:ascii="Calibri Light" w:hAnsi="Calibri Light"/>
                <w:b w:val="0"/>
                <w:lang w:val="es-ES"/>
              </w:rPr>
              <w:t xml:space="preserve">rocesal </w:t>
            </w:r>
            <w:r w:rsidR="008A468F">
              <w:rPr>
                <w:rFonts w:ascii="Calibri Light" w:hAnsi="Calibri Light"/>
                <w:b w:val="0"/>
                <w:lang w:val="es-ES"/>
              </w:rPr>
              <w:t>e</w:t>
            </w:r>
            <w:r w:rsidR="00680C78" w:rsidRPr="00BB4CA1">
              <w:rPr>
                <w:rFonts w:ascii="Calibri Light" w:hAnsi="Calibri Light"/>
                <w:b w:val="0"/>
                <w:lang w:val="es-ES"/>
              </w:rPr>
              <w:t>fectiva.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</w:t>
            </w:r>
          </w:p>
          <w:p w14:paraId="4A1436FC" w14:textId="77777777" w:rsidR="00AD45E9" w:rsidRPr="00BB4CA1" w:rsidRDefault="00AD45E9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282C8A0B" w14:textId="11060BD7" w:rsidR="003C7AF5" w:rsidRPr="00BB4CA1" w:rsidRDefault="00DC4E24" w:rsidP="00875E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 xml:space="preserve">El Estado peruano, a </w:t>
            </w:r>
            <w:r w:rsidR="00BB4CA1" w:rsidRPr="00BB4CA1">
              <w:rPr>
                <w:rFonts w:ascii="Calibri Light" w:hAnsi="Calibri Light"/>
                <w:b w:val="0"/>
                <w:lang w:val="es-ES"/>
              </w:rPr>
              <w:t>través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de</w:t>
            </w:r>
            <w:r w:rsidR="003C7AF5" w:rsidRPr="00BB4CA1">
              <w:rPr>
                <w:rFonts w:ascii="Calibri Light" w:hAnsi="Calibri Light"/>
                <w:b w:val="0"/>
                <w:lang w:val="es-ES"/>
              </w:rPr>
              <w:t>l C</w:t>
            </w:r>
            <w:r w:rsidR="008A468F">
              <w:rPr>
                <w:rFonts w:ascii="Calibri Light" w:hAnsi="Calibri Light"/>
                <w:b w:val="0"/>
                <w:lang w:val="es-ES"/>
              </w:rPr>
              <w:t>NM</w:t>
            </w:r>
            <w:r w:rsidRPr="00BB4CA1">
              <w:rPr>
                <w:rFonts w:ascii="Calibri Light" w:hAnsi="Calibri Light"/>
                <w:b w:val="0"/>
                <w:lang w:val="es-ES"/>
              </w:rPr>
              <w:t>, se comprometió a dejar sin efecto la resoluci</w:t>
            </w:r>
            <w:r w:rsidR="008A468F">
              <w:rPr>
                <w:rFonts w:ascii="Calibri Light" w:hAnsi="Calibri Light"/>
                <w:b w:val="0"/>
                <w:lang w:val="es-ES"/>
              </w:rPr>
              <w:t xml:space="preserve">ón </w:t>
            </w:r>
            <w:r w:rsidRPr="00BB4CA1">
              <w:rPr>
                <w:rFonts w:ascii="Calibri Light" w:hAnsi="Calibri Light"/>
                <w:b w:val="0"/>
                <w:lang w:val="es-ES"/>
              </w:rPr>
              <w:t>que declaró la no ratificación del magistrado y que</w:t>
            </w:r>
            <w:r w:rsidR="008A468F">
              <w:rPr>
                <w:rFonts w:ascii="Calibri Light" w:hAnsi="Calibri Light"/>
                <w:b w:val="0"/>
                <w:lang w:val="es-ES"/>
              </w:rPr>
              <w:t>,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por lo tanto</w:t>
            </w:r>
            <w:r w:rsidR="008A468F">
              <w:rPr>
                <w:rFonts w:ascii="Calibri Light" w:hAnsi="Calibri Light"/>
                <w:b w:val="0"/>
                <w:lang w:val="es-ES"/>
              </w:rPr>
              <w:t>,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8A468F">
              <w:rPr>
                <w:rFonts w:ascii="Calibri Light" w:hAnsi="Calibri Light"/>
                <w:b w:val="0"/>
                <w:lang w:val="es-ES"/>
              </w:rPr>
              <w:t>este</w:t>
            </w:r>
            <w:r w:rsidR="00F5187B" w:rsidRPr="00BB4CA1">
              <w:rPr>
                <w:rFonts w:ascii="Calibri Light" w:hAnsi="Calibri Light"/>
                <w:b w:val="0"/>
                <w:lang w:val="es-ES"/>
              </w:rPr>
              <w:t xml:space="preserve"> recuperaría su condición de tal para los siguientes efectos:</w:t>
            </w:r>
          </w:p>
          <w:p w14:paraId="36128455" w14:textId="77777777" w:rsidR="00F5187B" w:rsidRPr="00BB4CA1" w:rsidRDefault="00F5187B" w:rsidP="00875EEC">
            <w:pPr>
              <w:jc w:val="both"/>
              <w:rPr>
                <w:rFonts w:ascii="Calibri Light" w:hAnsi="Calibri Light"/>
                <w:lang w:val="es-ES"/>
              </w:rPr>
            </w:pPr>
          </w:p>
          <w:p w14:paraId="187D3F6D" w14:textId="3000EEB4" w:rsidR="00F5187B" w:rsidRDefault="00F5187B" w:rsidP="00875EE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 xml:space="preserve">El </w:t>
            </w:r>
            <w:r w:rsidR="008A468F">
              <w:rPr>
                <w:rFonts w:ascii="Calibri Light" w:hAnsi="Calibri Light"/>
                <w:b w:val="0"/>
                <w:lang w:val="es-ES"/>
              </w:rPr>
              <w:t>CNM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rehabilitaría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el título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correspondiente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dentro de los quince días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hábiles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contados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a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partir de la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homologación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del acuerdo</w:t>
            </w:r>
            <w:r w:rsidR="005355CD">
              <w:rPr>
                <w:rFonts w:ascii="Calibri Light" w:hAnsi="Calibri Light"/>
                <w:b w:val="0"/>
                <w:lang w:val="es-ES"/>
              </w:rPr>
              <w:t>.</w:t>
            </w:r>
          </w:p>
          <w:p w14:paraId="73CB14CC" w14:textId="77777777" w:rsidR="005355CD" w:rsidRPr="00BB4CA1" w:rsidRDefault="005355CD" w:rsidP="005355CD">
            <w:pPr>
              <w:pStyle w:val="ListParagraph"/>
              <w:ind w:left="928"/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04ED0C79" w14:textId="77777777" w:rsidR="00F5187B" w:rsidRDefault="00F5187B" w:rsidP="00875EE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>E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l Poder Judicial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dispondría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la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reincorporación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del magistrado </w:t>
            </w:r>
            <w:proofErr w:type="gramStart"/>
            <w:r w:rsidR="00AD45E9" w:rsidRPr="00BB4CA1">
              <w:rPr>
                <w:rFonts w:ascii="Calibri Light" w:hAnsi="Calibri Light"/>
                <w:b w:val="0"/>
                <w:lang w:val="es-ES"/>
              </w:rPr>
              <w:t>Gallegos</w:t>
            </w:r>
            <w:proofErr w:type="gramEnd"/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a su plaza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original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dentro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de los quince días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siguientes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 a la rehabilitación del 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>título</w:t>
            </w:r>
            <w:r w:rsidR="00AD45E9" w:rsidRPr="00BB4CA1">
              <w:rPr>
                <w:rFonts w:ascii="Calibri Light" w:hAnsi="Calibri Light"/>
                <w:b w:val="0"/>
                <w:lang w:val="es-ES"/>
              </w:rPr>
              <w:t xml:space="preserve">. </w:t>
            </w:r>
          </w:p>
          <w:p w14:paraId="43330066" w14:textId="77777777" w:rsidR="005355CD" w:rsidRPr="005355CD" w:rsidRDefault="005355CD" w:rsidP="005355CD">
            <w:pPr>
              <w:pStyle w:val="ListParagraph"/>
              <w:rPr>
                <w:rFonts w:ascii="Calibri Light" w:hAnsi="Calibri Light"/>
                <w:lang w:val="es-ES"/>
              </w:rPr>
            </w:pPr>
          </w:p>
          <w:p w14:paraId="048E4F65" w14:textId="4EB8ECCD" w:rsidR="00AD45E9" w:rsidRPr="00BB4CA1" w:rsidRDefault="00270F7C" w:rsidP="00875EE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>E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 xml:space="preserve">l Estado peruano </w:t>
            </w:r>
            <w:r w:rsidR="008A468F">
              <w:rPr>
                <w:rFonts w:ascii="Calibri Light" w:hAnsi="Calibri Light"/>
                <w:b w:val="0"/>
                <w:lang w:val="es-ES"/>
              </w:rPr>
              <w:t>reconocería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 xml:space="preserve"> el tiempo de servicios no laborado</w:t>
            </w:r>
            <w:r w:rsidR="008A468F">
              <w:rPr>
                <w:rFonts w:ascii="Calibri Light" w:hAnsi="Calibri Light"/>
                <w:b w:val="0"/>
                <w:lang w:val="es-ES"/>
              </w:rPr>
              <w:t xml:space="preserve"> por el peticionario,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 xml:space="preserve"> contado desde la fecha de la </w:t>
            </w:r>
            <w:r w:rsidR="008A468F">
              <w:rPr>
                <w:rFonts w:ascii="Calibri Light" w:hAnsi="Calibri Light"/>
                <w:b w:val="0"/>
                <w:lang w:val="es-ES"/>
              </w:rPr>
              <w:t>r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 xml:space="preserve">esolución de no ratificación, para los efectos de su </w:t>
            </w:r>
            <w:r w:rsidR="008A468F">
              <w:rPr>
                <w:rFonts w:ascii="Calibri Light" w:hAnsi="Calibri Light"/>
                <w:b w:val="0"/>
                <w:lang w:val="es-ES"/>
              </w:rPr>
              <w:t>compensación</w:t>
            </w:r>
            <w:r w:rsidR="00BD01BB" w:rsidRPr="00BB4CA1">
              <w:rPr>
                <w:rFonts w:ascii="Calibri Light" w:hAnsi="Calibri Light"/>
                <w:b w:val="0"/>
                <w:lang w:val="es-ES"/>
              </w:rPr>
              <w:t xml:space="preserve"> y jubilación conforme a la ley peruana.</w:t>
            </w:r>
          </w:p>
          <w:p w14:paraId="6B510371" w14:textId="77777777" w:rsidR="00BD01BB" w:rsidRPr="00BB4CA1" w:rsidRDefault="00BD01BB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34400900" w14:textId="5A458D66" w:rsidR="00BD01BB" w:rsidRPr="00BB4CA1" w:rsidRDefault="00BD01BB" w:rsidP="00875EE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 xml:space="preserve">Las partes también acordaron que, en caso de duda sobre el contenido del acuerdo, la CIDH sería quien decidiría su interpretación. Igualmente, la CIDH </w:t>
            </w:r>
            <w:r w:rsidR="008A468F">
              <w:rPr>
                <w:rFonts w:ascii="Calibri Light" w:hAnsi="Calibri Light"/>
                <w:b w:val="0"/>
                <w:lang w:val="es-ES"/>
              </w:rPr>
              <w:t>estaría a cargo de la verificación d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el cumplimiento del acuerdo. </w:t>
            </w:r>
          </w:p>
          <w:p w14:paraId="6A4AA894" w14:textId="34F23777" w:rsidR="00676230" w:rsidRPr="00BB4CA1" w:rsidRDefault="00676230" w:rsidP="000E69D1">
            <w:pPr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F464EC" w:rsidRPr="004533E5" w14:paraId="0B7CC98E" w14:textId="77777777" w:rsidTr="005410BA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66CFB853" w14:textId="77777777" w:rsidR="00F464EC" w:rsidRDefault="00F464EC" w:rsidP="000E69D1">
            <w:pPr>
              <w:pStyle w:val="ListParagraph"/>
              <w:spacing w:after="200" w:line="276" w:lineRule="auto"/>
              <w:rPr>
                <w:rFonts w:ascii="Calibri Light" w:hAnsi="Calibri Light"/>
              </w:rPr>
            </w:pPr>
          </w:p>
          <w:p w14:paraId="7B045F14" w14:textId="394E6303" w:rsidR="00F464EC" w:rsidRPr="00D44703" w:rsidRDefault="00270F7C" w:rsidP="00875E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Determinación de compatibilidad y cumplimie</w:t>
            </w:r>
            <w:r w:rsidR="008A468F">
              <w:rPr>
                <w:rFonts w:ascii="Calibri Light" w:hAnsi="Calibri Light"/>
              </w:rPr>
              <w:t>n</w:t>
            </w:r>
            <w:r>
              <w:rPr>
                <w:rFonts w:ascii="Calibri Light" w:hAnsi="Calibri Light"/>
              </w:rPr>
              <w:t>to</w:t>
            </w:r>
          </w:p>
          <w:p w14:paraId="3C93C1C0" w14:textId="77777777" w:rsidR="00F464EC" w:rsidRDefault="00F464EC" w:rsidP="000E69D1">
            <w:pPr>
              <w:pStyle w:val="ListParagraph"/>
              <w:ind w:left="0"/>
              <w:rPr>
                <w:rFonts w:ascii="Calibri Light" w:hAnsi="Calibri Light"/>
                <w:b w:val="0"/>
              </w:rPr>
            </w:pPr>
          </w:p>
        </w:tc>
      </w:tr>
      <w:tr w:rsidR="00F464EC" w:rsidRPr="00BB4CA1" w14:paraId="41FA15A1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5939CD9A" w14:textId="77777777" w:rsidR="00270F7C" w:rsidRPr="00BB4CA1" w:rsidRDefault="00270F7C" w:rsidP="000E69D1">
            <w:pPr>
              <w:rPr>
                <w:rFonts w:ascii="Calibri Light" w:hAnsi="Calibri Light"/>
                <w:b w:val="0"/>
                <w:lang w:val="es-ES"/>
              </w:rPr>
            </w:pPr>
          </w:p>
          <w:p w14:paraId="19917540" w14:textId="0F394595" w:rsidR="00270F7C" w:rsidRDefault="00270F7C" w:rsidP="006D6396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>La CIDH determinó, a partir de la información suministrada por las partes:</w:t>
            </w:r>
          </w:p>
          <w:p w14:paraId="64CE2BE9" w14:textId="77777777" w:rsidR="008A468F" w:rsidRPr="00BB4CA1" w:rsidRDefault="008A468F" w:rsidP="000E69D1">
            <w:pPr>
              <w:rPr>
                <w:rFonts w:ascii="Calibri Light" w:hAnsi="Calibri Light"/>
                <w:b w:val="0"/>
                <w:lang w:val="es-ES"/>
              </w:rPr>
            </w:pPr>
          </w:p>
          <w:p w14:paraId="03339351" w14:textId="45DBA3D9" w:rsidR="00270F7C" w:rsidRDefault="00270F7C" w:rsidP="00875EE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 xml:space="preserve">Aprobar los </w:t>
            </w:r>
            <w:r w:rsidR="00BB4CA1" w:rsidRPr="00BB4CA1">
              <w:rPr>
                <w:rFonts w:ascii="Calibri Light" w:hAnsi="Calibri Light"/>
                <w:b w:val="0"/>
                <w:lang w:val="es-ES"/>
              </w:rPr>
              <w:t>términos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del acuerdo suscrito por las partes el 26 de octubre de 2016.</w:t>
            </w:r>
          </w:p>
          <w:p w14:paraId="580A3314" w14:textId="77777777" w:rsidR="005355CD" w:rsidRPr="00BB4CA1" w:rsidRDefault="005355CD" w:rsidP="005355CD">
            <w:pPr>
              <w:pStyle w:val="ListParagraph"/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655DCB58" w14:textId="102AE119" w:rsidR="00270F7C" w:rsidRDefault="00270F7C" w:rsidP="00875EE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lastRenderedPageBreak/>
              <w:t xml:space="preserve">Declarar pendiente de cumplimiento </w:t>
            </w:r>
            <w:r w:rsidR="008A468F">
              <w:rPr>
                <w:rFonts w:ascii="Calibri Light" w:hAnsi="Calibri Light"/>
                <w:b w:val="0"/>
                <w:lang w:val="es-ES"/>
              </w:rPr>
              <w:t xml:space="preserve">el compromiso respecto a </w:t>
            </w:r>
            <w:r w:rsidRPr="00BB4CA1">
              <w:rPr>
                <w:rFonts w:ascii="Calibri Light" w:hAnsi="Calibri Light"/>
                <w:b w:val="0"/>
                <w:lang w:val="es-ES"/>
              </w:rPr>
              <w:t>dejar sin efecto</w:t>
            </w:r>
            <w:r w:rsidR="003931D3">
              <w:rPr>
                <w:rFonts w:ascii="Calibri Light" w:hAnsi="Calibri Light"/>
                <w:b w:val="0"/>
                <w:lang w:val="es-ES"/>
              </w:rPr>
              <w:t xml:space="preserve"> la resolución que </w:t>
            </w:r>
            <w:r w:rsidR="005410BA">
              <w:rPr>
                <w:rFonts w:ascii="Calibri Light" w:hAnsi="Calibri Light"/>
                <w:b w:val="0"/>
                <w:lang w:val="es-ES"/>
              </w:rPr>
              <w:t>declaró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la no ratificación del magistrado. </w:t>
            </w:r>
          </w:p>
          <w:p w14:paraId="008EE804" w14:textId="77777777" w:rsidR="005355CD" w:rsidRPr="005355CD" w:rsidRDefault="005355CD" w:rsidP="005355CD">
            <w:pPr>
              <w:pStyle w:val="ListParagraph"/>
              <w:rPr>
                <w:rFonts w:ascii="Calibri Light" w:hAnsi="Calibri Light"/>
                <w:lang w:val="es-ES"/>
              </w:rPr>
            </w:pPr>
          </w:p>
          <w:p w14:paraId="4251DA8B" w14:textId="5F90B256" w:rsidR="00270F7C" w:rsidRPr="00BB4CA1" w:rsidRDefault="00270F7C" w:rsidP="00875EE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B4CA1">
              <w:rPr>
                <w:rFonts w:ascii="Calibri Light" w:hAnsi="Calibri Light"/>
                <w:b w:val="0"/>
                <w:lang w:val="es-ES"/>
              </w:rPr>
              <w:t xml:space="preserve">Continuar con la </w:t>
            </w:r>
            <w:r w:rsidR="00BB4CA1" w:rsidRPr="00BB4CA1">
              <w:rPr>
                <w:rFonts w:ascii="Calibri Light" w:hAnsi="Calibri Light"/>
                <w:b w:val="0"/>
                <w:lang w:val="es-ES"/>
              </w:rPr>
              <w:t>supervisión</w:t>
            </w:r>
            <w:r w:rsidRPr="00BB4CA1">
              <w:rPr>
                <w:rFonts w:ascii="Calibri Light" w:hAnsi="Calibri Light"/>
                <w:b w:val="0"/>
                <w:lang w:val="es-ES"/>
              </w:rPr>
              <w:t xml:space="preserve"> de todos los compromisos pendientes de cumplimiento por parte del Estado peruano, precisando que es deber de las partes informar periódicamente a la CIDH sobre el avance </w:t>
            </w:r>
            <w:r w:rsidR="008A468F">
              <w:rPr>
                <w:rFonts w:ascii="Calibri Light" w:hAnsi="Calibri Light"/>
                <w:b w:val="0"/>
                <w:lang w:val="es-ES"/>
              </w:rPr>
              <w:t xml:space="preserve">en el cumplimiento de </w:t>
            </w:r>
            <w:r w:rsidRPr="00BB4CA1">
              <w:rPr>
                <w:rFonts w:ascii="Calibri Light" w:hAnsi="Calibri Light"/>
                <w:b w:val="0"/>
                <w:lang w:val="es-ES"/>
              </w:rPr>
              <w:t>dichas medidas de reparación.</w:t>
            </w:r>
          </w:p>
          <w:p w14:paraId="1F3EA985" w14:textId="08FC76CC" w:rsidR="00F464EC" w:rsidRPr="00BB4CA1" w:rsidRDefault="00F464EC" w:rsidP="000E69D1">
            <w:pPr>
              <w:pStyle w:val="ListParagraph"/>
              <w:ind w:left="0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8C5B19" w:rsidRPr="00BB4CA1" w14:paraId="5ED49FED" w14:textId="77777777" w:rsidTr="008C5B19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491C5423" w14:textId="71EF714F" w:rsidR="008C5B19" w:rsidRPr="00730A1C" w:rsidRDefault="001A6A8C" w:rsidP="001A6A8C">
            <w:pPr>
              <w:jc w:val="center"/>
              <w:rPr>
                <w:rFonts w:ascii="Calibri Light" w:hAnsi="Calibri Light"/>
                <w:bCs w:val="0"/>
                <w:lang w:val="es-ES"/>
              </w:rPr>
            </w:pPr>
            <w:r w:rsidRPr="00730A1C">
              <w:rPr>
                <w:rFonts w:ascii="Calibri Light" w:hAnsi="Calibri Light"/>
                <w:bCs w:val="0"/>
                <w:lang w:val="es-ES"/>
              </w:rPr>
              <w:lastRenderedPageBreak/>
              <w:t>G.</w:t>
            </w:r>
            <w:r w:rsidRPr="00730A1C">
              <w:rPr>
                <w:rFonts w:ascii="Calibri Light" w:hAnsi="Calibri Light"/>
                <w:bCs w:val="0"/>
                <w:lang w:val="es-ES"/>
              </w:rPr>
              <w:tab/>
              <w:t>Impactos individuales y estructurales del ASA</w:t>
            </w:r>
          </w:p>
        </w:tc>
      </w:tr>
      <w:tr w:rsidR="008C5B19" w:rsidRPr="00BB4CA1" w14:paraId="10175380" w14:textId="77777777" w:rsidTr="0054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2EB2A6E0" w14:textId="77777777" w:rsidR="005B33D5" w:rsidRPr="00730A1C" w:rsidRDefault="005B33D5" w:rsidP="000E69D1">
            <w:pPr>
              <w:rPr>
                <w:rFonts w:ascii="Calibri Light" w:hAnsi="Calibri Light"/>
                <w:bCs w:val="0"/>
                <w:lang w:val="es-ES"/>
              </w:rPr>
            </w:pPr>
          </w:p>
          <w:p w14:paraId="442E0C9D" w14:textId="7EA0166A" w:rsidR="008C5B19" w:rsidRPr="00730A1C" w:rsidRDefault="005B33D5" w:rsidP="00C01645">
            <w:pPr>
              <w:jc w:val="both"/>
              <w:rPr>
                <w:rFonts w:ascii="Calibri Light" w:hAnsi="Calibri Light"/>
                <w:bCs w:val="0"/>
                <w:lang w:val="es-ES"/>
              </w:rPr>
            </w:pPr>
            <w:r w:rsidRPr="00730A1C">
              <w:rPr>
                <w:rFonts w:ascii="Calibri Light" w:hAnsi="Calibri Light"/>
                <w:b w:val="0"/>
                <w:lang w:val="es-ES"/>
              </w:rPr>
              <w:t>En el marco del seguimiento de la implementación del acuerdo de solución amistosa, a fecha 31 de diciembre de 2021, la Comisión ha identificado los siguientes impactos individuales derivados del cumplimiento de este:</w:t>
            </w:r>
          </w:p>
          <w:p w14:paraId="301AADA0" w14:textId="77777777" w:rsidR="0036031E" w:rsidRPr="00730A1C" w:rsidRDefault="0036031E" w:rsidP="000E69D1">
            <w:pPr>
              <w:rPr>
                <w:rFonts w:ascii="Calibri Light" w:hAnsi="Calibri Light"/>
                <w:bCs w:val="0"/>
                <w:lang w:val="es-ES"/>
              </w:rPr>
            </w:pPr>
          </w:p>
          <w:p w14:paraId="21A40C5E" w14:textId="3835B174" w:rsidR="0036031E" w:rsidRPr="00730A1C" w:rsidRDefault="0036031E" w:rsidP="0036031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/>
                <w:lang w:val="es-ES"/>
              </w:rPr>
            </w:pPr>
            <w:r w:rsidRPr="00730A1C">
              <w:rPr>
                <w:rFonts w:ascii="Calibri Light" w:hAnsi="Calibri Light"/>
                <w:lang w:val="es-ES"/>
              </w:rPr>
              <w:t>Resultados individuales del caso</w:t>
            </w:r>
          </w:p>
          <w:p w14:paraId="121E8735" w14:textId="77777777" w:rsidR="0036031E" w:rsidRPr="00730A1C" w:rsidRDefault="0036031E" w:rsidP="00C01645">
            <w:pPr>
              <w:pStyle w:val="ListParagraph"/>
              <w:ind w:left="1785"/>
              <w:rPr>
                <w:rFonts w:ascii="Calibri Light" w:hAnsi="Calibri Light"/>
                <w:lang w:val="es-ES"/>
              </w:rPr>
            </w:pPr>
          </w:p>
          <w:p w14:paraId="2D7B35F6" w14:textId="77777777" w:rsidR="0036031E" w:rsidRPr="00730A1C" w:rsidRDefault="0036031E" w:rsidP="0036031E">
            <w:pPr>
              <w:ind w:left="705" w:firstLine="720"/>
              <w:rPr>
                <w:rFonts w:ascii="Calibri Light" w:hAnsi="Calibri Light"/>
                <w:b w:val="0"/>
                <w:lang w:val="es-ES"/>
              </w:rPr>
            </w:pPr>
            <w:r w:rsidRPr="00730A1C">
              <w:rPr>
                <w:rFonts w:ascii="Calibri Light" w:hAnsi="Calibri Light"/>
                <w:b w:val="0"/>
                <w:lang w:val="es-ES"/>
              </w:rPr>
              <w:t>• El Estado rehabilitó el título del magistrado;</w:t>
            </w:r>
          </w:p>
          <w:p w14:paraId="6AD1E09A" w14:textId="77777777" w:rsidR="0036031E" w:rsidRPr="00730A1C" w:rsidRDefault="0036031E" w:rsidP="0036031E">
            <w:pPr>
              <w:ind w:left="705" w:firstLine="720"/>
              <w:rPr>
                <w:rFonts w:ascii="Calibri Light" w:hAnsi="Calibri Light"/>
                <w:b w:val="0"/>
                <w:lang w:val="es-ES"/>
              </w:rPr>
            </w:pPr>
            <w:r w:rsidRPr="00730A1C">
              <w:rPr>
                <w:rFonts w:ascii="Calibri Light" w:hAnsi="Calibri Light"/>
                <w:b w:val="0"/>
                <w:lang w:val="es-ES"/>
              </w:rPr>
              <w:t>• El Estado reincorporó al Magistrado en su cargo;</w:t>
            </w:r>
          </w:p>
          <w:p w14:paraId="10A263AB" w14:textId="77777777" w:rsidR="0036031E" w:rsidRPr="00730A1C" w:rsidRDefault="0036031E" w:rsidP="0036031E">
            <w:pPr>
              <w:ind w:left="705" w:firstLine="720"/>
              <w:rPr>
                <w:rFonts w:ascii="Calibri Light" w:hAnsi="Calibri Light"/>
                <w:b w:val="0"/>
                <w:lang w:val="es-ES"/>
              </w:rPr>
            </w:pPr>
            <w:r w:rsidRPr="00730A1C">
              <w:rPr>
                <w:rFonts w:ascii="Calibri Light" w:hAnsi="Calibri Light"/>
                <w:b w:val="0"/>
                <w:lang w:val="es-ES"/>
              </w:rPr>
              <w:t xml:space="preserve">• El Estado reconoció el tiempo de servicios no laborados; </w:t>
            </w:r>
          </w:p>
          <w:p w14:paraId="14EFD9FE" w14:textId="77777777" w:rsidR="005B33D5" w:rsidRPr="00730A1C" w:rsidRDefault="0036031E" w:rsidP="0036031E">
            <w:pPr>
              <w:ind w:left="705" w:firstLine="720"/>
              <w:rPr>
                <w:rFonts w:ascii="Calibri Light" w:hAnsi="Calibri Light"/>
                <w:bCs w:val="0"/>
                <w:lang w:val="es-ES"/>
              </w:rPr>
            </w:pPr>
            <w:r w:rsidRPr="00730A1C">
              <w:rPr>
                <w:rFonts w:ascii="Calibri Light" w:hAnsi="Calibri Light"/>
                <w:b w:val="0"/>
                <w:lang w:val="es-ES"/>
              </w:rPr>
              <w:t>• El Estado sometió al Magistrado a un nuevo procedimiento en el cual fue ratificado</w:t>
            </w:r>
          </w:p>
          <w:p w14:paraId="6F049B93" w14:textId="77777777" w:rsidR="00C01645" w:rsidRPr="00730A1C" w:rsidRDefault="00C01645" w:rsidP="0036031E">
            <w:pPr>
              <w:ind w:left="705" w:firstLine="720"/>
              <w:rPr>
                <w:rFonts w:ascii="Calibri Light" w:hAnsi="Calibri Light"/>
                <w:bCs w:val="0"/>
                <w:lang w:val="es-ES"/>
              </w:rPr>
            </w:pPr>
          </w:p>
          <w:p w14:paraId="7ECE7BDE" w14:textId="3218DB41" w:rsidR="00C01645" w:rsidRPr="00730A1C" w:rsidRDefault="00C01645" w:rsidP="00C01645">
            <w:pPr>
              <w:jc w:val="both"/>
              <w:rPr>
                <w:rFonts w:ascii="Calibri Light" w:hAnsi="Calibri Light"/>
                <w:bCs w:val="0"/>
                <w:lang w:val="es-ES"/>
              </w:rPr>
            </w:pPr>
            <w:r w:rsidRPr="00730A1C">
              <w:rPr>
                <w:rFonts w:ascii="Calibri Light" w:hAnsi="Calibri Light"/>
                <w:b w:val="0"/>
                <w:lang w:val="es-ES"/>
              </w:rPr>
              <w:t>La Comisión declaró el cumplimiento total del asunto y el cese del seguimiento del acuerdo de solución amistosa en el Informe Anual de 2018.</w:t>
            </w:r>
          </w:p>
          <w:p w14:paraId="38AAEB72" w14:textId="4F6C0A28" w:rsidR="00C01645" w:rsidRPr="00730A1C" w:rsidRDefault="00C01645" w:rsidP="00C01645">
            <w:pPr>
              <w:rPr>
                <w:rFonts w:ascii="Calibri Light" w:hAnsi="Calibri Light"/>
                <w:b w:val="0"/>
                <w:lang w:val="es-ES"/>
              </w:rPr>
            </w:pPr>
          </w:p>
        </w:tc>
      </w:tr>
    </w:tbl>
    <w:p w14:paraId="23A9A3C3" w14:textId="77777777" w:rsidR="00714E42" w:rsidRDefault="00714E42" w:rsidP="00A65231"/>
    <w:sectPr w:rsidR="00714E42" w:rsidSect="00A65231">
      <w:footerReference w:type="defaul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F339" w14:textId="77777777" w:rsidR="005A0E8C" w:rsidRDefault="005A0E8C" w:rsidP="00A65231">
      <w:pPr>
        <w:spacing w:after="0" w:line="240" w:lineRule="auto"/>
      </w:pPr>
      <w:r>
        <w:separator/>
      </w:r>
    </w:p>
  </w:endnote>
  <w:endnote w:type="continuationSeparator" w:id="0">
    <w:p w14:paraId="22779483" w14:textId="77777777" w:rsidR="005A0E8C" w:rsidRDefault="005A0E8C" w:rsidP="00A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1937"/>
      <w:docPartObj>
        <w:docPartGallery w:val="Page Numbers (Bottom of Page)"/>
        <w:docPartUnique/>
      </w:docPartObj>
    </w:sdtPr>
    <w:sdtEndPr/>
    <w:sdtContent>
      <w:p w14:paraId="23A746CC" w14:textId="77777777" w:rsidR="00A65231" w:rsidRDefault="00A652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BF" w:rsidRPr="00A75FBF">
          <w:rPr>
            <w:noProof/>
            <w:lang w:val="es-ES"/>
          </w:rPr>
          <w:t>3</w:t>
        </w:r>
        <w:r>
          <w:fldChar w:fldCharType="end"/>
        </w:r>
      </w:p>
    </w:sdtContent>
  </w:sdt>
  <w:p w14:paraId="6353BB13" w14:textId="77777777" w:rsidR="00A65231" w:rsidRDefault="00A65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BDB6" w14:textId="77777777" w:rsidR="005A0E8C" w:rsidRDefault="005A0E8C" w:rsidP="00A65231">
      <w:pPr>
        <w:spacing w:after="0" w:line="240" w:lineRule="auto"/>
      </w:pPr>
      <w:r>
        <w:separator/>
      </w:r>
    </w:p>
  </w:footnote>
  <w:footnote w:type="continuationSeparator" w:id="0">
    <w:p w14:paraId="4A026EDD" w14:textId="77777777" w:rsidR="005A0E8C" w:rsidRDefault="005A0E8C" w:rsidP="00A6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E84"/>
    <w:multiLevelType w:val="hybridMultilevel"/>
    <w:tmpl w:val="2A98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AD4"/>
    <w:multiLevelType w:val="hybridMultilevel"/>
    <w:tmpl w:val="CBAC050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D1A5EBA"/>
    <w:multiLevelType w:val="hybridMultilevel"/>
    <w:tmpl w:val="B3F67326"/>
    <w:lvl w:ilvl="0" w:tplc="E73EDA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C1858"/>
    <w:multiLevelType w:val="hybridMultilevel"/>
    <w:tmpl w:val="89FE6B66"/>
    <w:lvl w:ilvl="0" w:tplc="55ECB014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505" w:hanging="360"/>
      </w:pPr>
    </w:lvl>
    <w:lvl w:ilvl="2" w:tplc="240A001B" w:tentative="1">
      <w:start w:val="1"/>
      <w:numFmt w:val="lowerRoman"/>
      <w:lvlText w:val="%3."/>
      <w:lvlJc w:val="right"/>
      <w:pPr>
        <w:ind w:left="3225" w:hanging="180"/>
      </w:pPr>
    </w:lvl>
    <w:lvl w:ilvl="3" w:tplc="240A000F" w:tentative="1">
      <w:start w:val="1"/>
      <w:numFmt w:val="decimal"/>
      <w:lvlText w:val="%4."/>
      <w:lvlJc w:val="left"/>
      <w:pPr>
        <w:ind w:left="3945" w:hanging="360"/>
      </w:pPr>
    </w:lvl>
    <w:lvl w:ilvl="4" w:tplc="240A0019" w:tentative="1">
      <w:start w:val="1"/>
      <w:numFmt w:val="lowerLetter"/>
      <w:lvlText w:val="%5."/>
      <w:lvlJc w:val="left"/>
      <w:pPr>
        <w:ind w:left="4665" w:hanging="360"/>
      </w:pPr>
    </w:lvl>
    <w:lvl w:ilvl="5" w:tplc="240A001B" w:tentative="1">
      <w:start w:val="1"/>
      <w:numFmt w:val="lowerRoman"/>
      <w:lvlText w:val="%6."/>
      <w:lvlJc w:val="right"/>
      <w:pPr>
        <w:ind w:left="5385" w:hanging="180"/>
      </w:pPr>
    </w:lvl>
    <w:lvl w:ilvl="6" w:tplc="240A000F" w:tentative="1">
      <w:start w:val="1"/>
      <w:numFmt w:val="decimal"/>
      <w:lvlText w:val="%7."/>
      <w:lvlJc w:val="left"/>
      <w:pPr>
        <w:ind w:left="6105" w:hanging="360"/>
      </w:pPr>
    </w:lvl>
    <w:lvl w:ilvl="7" w:tplc="240A0019" w:tentative="1">
      <w:start w:val="1"/>
      <w:numFmt w:val="lowerLetter"/>
      <w:lvlText w:val="%8."/>
      <w:lvlJc w:val="left"/>
      <w:pPr>
        <w:ind w:left="6825" w:hanging="360"/>
      </w:pPr>
    </w:lvl>
    <w:lvl w:ilvl="8" w:tplc="2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B7C7A63"/>
    <w:multiLevelType w:val="hybridMultilevel"/>
    <w:tmpl w:val="B0AC6956"/>
    <w:lvl w:ilvl="0" w:tplc="E0909D0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5C90"/>
    <w:multiLevelType w:val="hybridMultilevel"/>
    <w:tmpl w:val="A3489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1334F"/>
    <w:multiLevelType w:val="hybridMultilevel"/>
    <w:tmpl w:val="66322A9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A010C"/>
    <w:multiLevelType w:val="hybridMultilevel"/>
    <w:tmpl w:val="8D1013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46FB2"/>
    <w:multiLevelType w:val="hybridMultilevel"/>
    <w:tmpl w:val="7BB2EC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4F2223"/>
    <w:multiLevelType w:val="hybridMultilevel"/>
    <w:tmpl w:val="7F2E7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A22F4"/>
    <w:multiLevelType w:val="hybridMultilevel"/>
    <w:tmpl w:val="C1A0C3EA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0003"/>
    <w:multiLevelType w:val="hybridMultilevel"/>
    <w:tmpl w:val="2ECCC95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10367">
    <w:abstractNumId w:val="10"/>
  </w:num>
  <w:num w:numId="2" w16cid:durableId="206992830">
    <w:abstractNumId w:val="6"/>
  </w:num>
  <w:num w:numId="3" w16cid:durableId="1560746237">
    <w:abstractNumId w:val="2"/>
  </w:num>
  <w:num w:numId="4" w16cid:durableId="1410493630">
    <w:abstractNumId w:val="7"/>
  </w:num>
  <w:num w:numId="5" w16cid:durableId="1895241400">
    <w:abstractNumId w:val="8"/>
  </w:num>
  <w:num w:numId="6" w16cid:durableId="2056081493">
    <w:abstractNumId w:val="11"/>
  </w:num>
  <w:num w:numId="7" w16cid:durableId="717048320">
    <w:abstractNumId w:val="4"/>
  </w:num>
  <w:num w:numId="8" w16cid:durableId="1127511681">
    <w:abstractNumId w:val="9"/>
  </w:num>
  <w:num w:numId="9" w16cid:durableId="1627614532">
    <w:abstractNumId w:val="5"/>
  </w:num>
  <w:num w:numId="10" w16cid:durableId="1029844049">
    <w:abstractNumId w:val="1"/>
  </w:num>
  <w:num w:numId="11" w16cid:durableId="544370822">
    <w:abstractNumId w:val="0"/>
  </w:num>
  <w:num w:numId="12" w16cid:durableId="204748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59"/>
    <w:rsid w:val="00012060"/>
    <w:rsid w:val="0002241B"/>
    <w:rsid w:val="000C2ED1"/>
    <w:rsid w:val="000C5A72"/>
    <w:rsid w:val="000D1742"/>
    <w:rsid w:val="000D3CF2"/>
    <w:rsid w:val="000E23F2"/>
    <w:rsid w:val="000E69D1"/>
    <w:rsid w:val="000F2C70"/>
    <w:rsid w:val="00133C46"/>
    <w:rsid w:val="00145134"/>
    <w:rsid w:val="001A14F7"/>
    <w:rsid w:val="001A6A8C"/>
    <w:rsid w:val="001C28EC"/>
    <w:rsid w:val="001D41CA"/>
    <w:rsid w:val="001E0F72"/>
    <w:rsid w:val="00204560"/>
    <w:rsid w:val="00212F62"/>
    <w:rsid w:val="00213757"/>
    <w:rsid w:val="00220B75"/>
    <w:rsid w:val="002245C8"/>
    <w:rsid w:val="00226222"/>
    <w:rsid w:val="002640E8"/>
    <w:rsid w:val="00265911"/>
    <w:rsid w:val="00267040"/>
    <w:rsid w:val="00270F7C"/>
    <w:rsid w:val="0029671B"/>
    <w:rsid w:val="002F23FA"/>
    <w:rsid w:val="00317EE5"/>
    <w:rsid w:val="0036031E"/>
    <w:rsid w:val="003931D3"/>
    <w:rsid w:val="003C7AF5"/>
    <w:rsid w:val="003E19DE"/>
    <w:rsid w:val="003E6AB8"/>
    <w:rsid w:val="00411A74"/>
    <w:rsid w:val="00421D6C"/>
    <w:rsid w:val="00442ADC"/>
    <w:rsid w:val="00451809"/>
    <w:rsid w:val="00452AA6"/>
    <w:rsid w:val="004533E5"/>
    <w:rsid w:val="00464CAC"/>
    <w:rsid w:val="004858A8"/>
    <w:rsid w:val="004861D8"/>
    <w:rsid w:val="0049732F"/>
    <w:rsid w:val="004A2035"/>
    <w:rsid w:val="004B1311"/>
    <w:rsid w:val="004E678F"/>
    <w:rsid w:val="004F061A"/>
    <w:rsid w:val="005173CF"/>
    <w:rsid w:val="005355CD"/>
    <w:rsid w:val="005410BA"/>
    <w:rsid w:val="00557C90"/>
    <w:rsid w:val="00561359"/>
    <w:rsid w:val="005A0E8C"/>
    <w:rsid w:val="005B33D5"/>
    <w:rsid w:val="005C3229"/>
    <w:rsid w:val="005D4FDF"/>
    <w:rsid w:val="005E6F3C"/>
    <w:rsid w:val="006407DD"/>
    <w:rsid w:val="00672965"/>
    <w:rsid w:val="00676230"/>
    <w:rsid w:val="00676323"/>
    <w:rsid w:val="00680C78"/>
    <w:rsid w:val="00685F04"/>
    <w:rsid w:val="006B1D7E"/>
    <w:rsid w:val="006D488A"/>
    <w:rsid w:val="006D6396"/>
    <w:rsid w:val="006E623A"/>
    <w:rsid w:val="00713CAC"/>
    <w:rsid w:val="00713FF4"/>
    <w:rsid w:val="00714E42"/>
    <w:rsid w:val="00730A1C"/>
    <w:rsid w:val="00731EC0"/>
    <w:rsid w:val="00747E22"/>
    <w:rsid w:val="00776FA1"/>
    <w:rsid w:val="00784BCE"/>
    <w:rsid w:val="00791729"/>
    <w:rsid w:val="0079477F"/>
    <w:rsid w:val="00796928"/>
    <w:rsid w:val="007A6C56"/>
    <w:rsid w:val="007B1942"/>
    <w:rsid w:val="007B7ED8"/>
    <w:rsid w:val="007E382B"/>
    <w:rsid w:val="008036E7"/>
    <w:rsid w:val="00841B0E"/>
    <w:rsid w:val="00850205"/>
    <w:rsid w:val="00866A4D"/>
    <w:rsid w:val="00875EEC"/>
    <w:rsid w:val="008A3172"/>
    <w:rsid w:val="008A468F"/>
    <w:rsid w:val="008B0769"/>
    <w:rsid w:val="008C3E10"/>
    <w:rsid w:val="008C5B19"/>
    <w:rsid w:val="008E4984"/>
    <w:rsid w:val="008F335A"/>
    <w:rsid w:val="0090367F"/>
    <w:rsid w:val="009177B2"/>
    <w:rsid w:val="00917EE4"/>
    <w:rsid w:val="00926501"/>
    <w:rsid w:val="00931244"/>
    <w:rsid w:val="00954E20"/>
    <w:rsid w:val="0095519D"/>
    <w:rsid w:val="00984673"/>
    <w:rsid w:val="009C417D"/>
    <w:rsid w:val="009E6AF3"/>
    <w:rsid w:val="00A05AEB"/>
    <w:rsid w:val="00A133CC"/>
    <w:rsid w:val="00A271BF"/>
    <w:rsid w:val="00A359E7"/>
    <w:rsid w:val="00A4435A"/>
    <w:rsid w:val="00A65231"/>
    <w:rsid w:val="00A75FBF"/>
    <w:rsid w:val="00A91B24"/>
    <w:rsid w:val="00AA2425"/>
    <w:rsid w:val="00AC6F31"/>
    <w:rsid w:val="00AD45E9"/>
    <w:rsid w:val="00B07E72"/>
    <w:rsid w:val="00B148EC"/>
    <w:rsid w:val="00B30B69"/>
    <w:rsid w:val="00B337FE"/>
    <w:rsid w:val="00B3415E"/>
    <w:rsid w:val="00B66547"/>
    <w:rsid w:val="00B71B8C"/>
    <w:rsid w:val="00B771B5"/>
    <w:rsid w:val="00B93CB9"/>
    <w:rsid w:val="00BB4CA1"/>
    <w:rsid w:val="00BB61C6"/>
    <w:rsid w:val="00BC16A4"/>
    <w:rsid w:val="00BD01BB"/>
    <w:rsid w:val="00BD48E5"/>
    <w:rsid w:val="00BE6FA1"/>
    <w:rsid w:val="00C01645"/>
    <w:rsid w:val="00C04260"/>
    <w:rsid w:val="00C31DFF"/>
    <w:rsid w:val="00C63B25"/>
    <w:rsid w:val="00C90774"/>
    <w:rsid w:val="00CB4C03"/>
    <w:rsid w:val="00D054B9"/>
    <w:rsid w:val="00D0696E"/>
    <w:rsid w:val="00D34CF4"/>
    <w:rsid w:val="00D350B4"/>
    <w:rsid w:val="00D44703"/>
    <w:rsid w:val="00D465BC"/>
    <w:rsid w:val="00DC4E24"/>
    <w:rsid w:val="00DD3C7C"/>
    <w:rsid w:val="00DF2AFB"/>
    <w:rsid w:val="00E00254"/>
    <w:rsid w:val="00E35FF7"/>
    <w:rsid w:val="00E36A83"/>
    <w:rsid w:val="00E80365"/>
    <w:rsid w:val="00ED30E3"/>
    <w:rsid w:val="00EF70B4"/>
    <w:rsid w:val="00F06184"/>
    <w:rsid w:val="00F34CEC"/>
    <w:rsid w:val="00F35633"/>
    <w:rsid w:val="00F464EC"/>
    <w:rsid w:val="00F5068F"/>
    <w:rsid w:val="00F5187B"/>
    <w:rsid w:val="00F53444"/>
    <w:rsid w:val="00F55CD0"/>
    <w:rsid w:val="00F725A5"/>
    <w:rsid w:val="00F83405"/>
    <w:rsid w:val="00F86BF8"/>
    <w:rsid w:val="00FB0F60"/>
    <w:rsid w:val="00FB1D17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59"/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59"/>
    <w:rPr>
      <w:rFonts w:ascii="Calibri" w:eastAsia="Calibri" w:hAnsi="Calibri" w:cs="Times New Roman"/>
      <w:lang w:val="es-MX"/>
    </w:rPr>
  </w:style>
  <w:style w:type="table" w:styleId="TableGrid">
    <w:name w:val="Table Grid"/>
    <w:basedOn w:val="TableNormal"/>
    <w:uiPriority w:val="59"/>
    <w:rsid w:val="0051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173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173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3">
    <w:name w:val="Medium Grid 1 Accent 3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7A6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5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31"/>
    <w:rPr>
      <w:rFonts w:ascii="Calibri" w:eastAsia="Calibri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20"/>
    <w:rPr>
      <w:rFonts w:ascii="Tahoma" w:eastAsia="Calibri" w:hAnsi="Tahoma" w:cs="Tahoma"/>
      <w:sz w:val="16"/>
      <w:szCs w:val="16"/>
      <w:lang w:val="es-MX"/>
    </w:rPr>
  </w:style>
  <w:style w:type="table" w:customStyle="1" w:styleId="Tabladelista2-nfasis11">
    <w:name w:val="Tabla de lista 2 - Énfasis 11"/>
    <w:basedOn w:val="TableNormal"/>
    <w:uiPriority w:val="47"/>
    <w:rsid w:val="007B7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61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84"/>
    <w:rPr>
      <w:rFonts w:ascii="Calibri" w:eastAsia="Calibri" w:hAnsi="Calibri" w:cs="Times New Roman"/>
      <w:sz w:val="24"/>
      <w:szCs w:val="24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84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styleId="Hyperlink">
    <w:name w:val="Hyperlink"/>
    <w:basedOn w:val="DefaultParagraphFont"/>
    <w:uiPriority w:val="99"/>
    <w:unhideWhenUsed/>
    <w:rsid w:val="0026704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468F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s.org/es/cidh/decisiones/2016/PESA1339-07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dpp.graduateinstitute.ch/files/live/sites/dpp/files/shared/images/IDEHPUCP%20%20color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C16E-E5D6-4CAE-8749-A4A14847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2022-06-01T20:21:00Z</dcterms:created>
  <dcterms:modified xsi:type="dcterms:W3CDTF">2022-06-02T21:23:00Z</dcterms:modified>
</cp:coreProperties>
</file>