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FB31" w14:textId="77777777" w:rsidR="00CF57FE" w:rsidRDefault="00CF57FE" w:rsidP="00CF57FE">
      <w:pPr>
        <w:pStyle w:val="Header"/>
        <w:jc w:val="center"/>
        <w:rPr>
          <w:rFonts w:ascii="Calibri Light" w:hAnsi="Calibri Light"/>
          <w:lang w:val="es-PE"/>
        </w:rPr>
      </w:pP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1312" behindDoc="1" locked="0" layoutInCell="1" allowOverlap="1" wp14:anchorId="75FE8C1F" wp14:editId="4152667D">
            <wp:simplePos x="0" y="0"/>
            <wp:positionH relativeFrom="margin">
              <wp:posOffset>4020820</wp:posOffset>
            </wp:positionH>
            <wp:positionV relativeFrom="margin">
              <wp:posOffset>-271145</wp:posOffset>
            </wp:positionV>
            <wp:extent cx="1849755" cy="789940"/>
            <wp:effectExtent l="0" t="0" r="4445" b="0"/>
            <wp:wrapTight wrapText="bothSides">
              <wp:wrapPolygon edited="0">
                <wp:start x="0" y="0"/>
                <wp:lineTo x="0" y="21183"/>
                <wp:lineTo x="21504" y="21183"/>
                <wp:lineTo x="2150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27352" r="6449" b="25571"/>
                    <a:stretch/>
                  </pic:blipFill>
                  <pic:spPr bwMode="auto">
                    <a:xfrm>
                      <a:off x="0" y="0"/>
                      <a:ext cx="184975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0288" behindDoc="1" locked="0" layoutInCell="1" allowOverlap="1" wp14:anchorId="1132B28A" wp14:editId="60F8058A">
            <wp:simplePos x="0" y="0"/>
            <wp:positionH relativeFrom="column">
              <wp:posOffset>1399540</wp:posOffset>
            </wp:positionH>
            <wp:positionV relativeFrom="paragraph">
              <wp:posOffset>-107950</wp:posOffset>
            </wp:positionV>
            <wp:extent cx="2564130" cy="626110"/>
            <wp:effectExtent l="0" t="0" r="1270" b="0"/>
            <wp:wrapTight wrapText="bothSides">
              <wp:wrapPolygon edited="0">
                <wp:start x="1605" y="2629"/>
                <wp:lineTo x="1070" y="5258"/>
                <wp:lineTo x="642" y="7886"/>
                <wp:lineTo x="642" y="11830"/>
                <wp:lineTo x="1284" y="17087"/>
                <wp:lineTo x="1498" y="17963"/>
                <wp:lineTo x="21397" y="17963"/>
                <wp:lineTo x="21504" y="16649"/>
                <wp:lineTo x="21183" y="9639"/>
                <wp:lineTo x="15406" y="2629"/>
                <wp:lineTo x="1605" y="2629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0"/>
                    <a:srcRect r="3349"/>
                    <a:stretch/>
                  </pic:blipFill>
                  <pic:spPr bwMode="auto">
                    <a:xfrm>
                      <a:off x="0" y="0"/>
                      <a:ext cx="2564130" cy="62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59264" behindDoc="1" locked="0" layoutInCell="1" allowOverlap="1" wp14:anchorId="25F95BD2" wp14:editId="6A445536">
            <wp:simplePos x="0" y="0"/>
            <wp:positionH relativeFrom="column">
              <wp:posOffset>-407474</wp:posOffset>
            </wp:positionH>
            <wp:positionV relativeFrom="paragraph">
              <wp:posOffset>-200514</wp:posOffset>
            </wp:positionV>
            <wp:extent cx="1735455" cy="727710"/>
            <wp:effectExtent l="0" t="0" r="0" b="0"/>
            <wp:wrapTight wrapText="bothSides">
              <wp:wrapPolygon edited="0">
                <wp:start x="316" y="754"/>
                <wp:lineTo x="316" y="18094"/>
                <wp:lineTo x="632" y="19602"/>
                <wp:lineTo x="1739" y="20356"/>
                <wp:lineTo x="13436" y="20356"/>
                <wp:lineTo x="21181" y="19602"/>
                <wp:lineTo x="21339" y="14325"/>
                <wp:lineTo x="20075" y="13571"/>
                <wp:lineTo x="21181" y="10178"/>
                <wp:lineTo x="21181" y="7539"/>
                <wp:lineTo x="18652" y="3393"/>
                <wp:lineTo x="17546" y="754"/>
                <wp:lineTo x="316" y="754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11"/>
                    <a:srcRect l="11357" t="20875" r="13129" b="18785"/>
                    <a:stretch/>
                  </pic:blipFill>
                  <pic:spPr bwMode="auto">
                    <a:xfrm>
                      <a:off x="0" y="0"/>
                      <a:ext cx="1735455" cy="72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3E95E" w14:textId="77777777" w:rsidR="00540EF7" w:rsidRDefault="00540EF7" w:rsidP="00CF57FE">
      <w:pPr>
        <w:pStyle w:val="Header"/>
        <w:jc w:val="center"/>
        <w:rPr>
          <w:rFonts w:ascii="Calibri Light" w:hAnsi="Calibri Light"/>
          <w:lang w:val="es-PE"/>
        </w:rPr>
      </w:pPr>
    </w:p>
    <w:p w14:paraId="594D9532" w14:textId="77777777" w:rsidR="00540EF7" w:rsidRDefault="00540EF7" w:rsidP="00CF57FE">
      <w:pPr>
        <w:pStyle w:val="Header"/>
        <w:jc w:val="center"/>
        <w:rPr>
          <w:rFonts w:ascii="Calibri Light" w:hAnsi="Calibri Light"/>
          <w:lang w:val="es-PE"/>
        </w:rPr>
      </w:pPr>
    </w:p>
    <w:p w14:paraId="0FF05D92" w14:textId="3F0C6363" w:rsidR="00CF57FE" w:rsidRPr="00411A74" w:rsidRDefault="00CF57FE" w:rsidP="00CF57FE">
      <w:pPr>
        <w:pStyle w:val="Header"/>
        <w:jc w:val="center"/>
        <w:rPr>
          <w:rFonts w:ascii="Calibri Light" w:hAnsi="Calibri Light"/>
          <w:lang w:val="es-PE"/>
        </w:rPr>
      </w:pPr>
      <w:r w:rsidRPr="00411A74">
        <w:rPr>
          <w:rFonts w:ascii="Calibri Light" w:hAnsi="Calibri Light"/>
          <w:lang w:val="es-PE"/>
        </w:rPr>
        <w:t>Difundiendo los estándares para la protección de los DDHH de la CIDH</w:t>
      </w:r>
    </w:p>
    <w:p w14:paraId="33AF6FA7" w14:textId="13F61DF9" w:rsidR="00F725A5" w:rsidRDefault="00CF57FE" w:rsidP="00CF57FE">
      <w:pPr>
        <w:spacing w:after="0" w:line="240" w:lineRule="auto"/>
        <w:jc w:val="center"/>
        <w:outlineLvl w:val="0"/>
        <w:rPr>
          <w:rFonts w:ascii="Calibri Light" w:hAnsi="Calibri Light"/>
          <w:b/>
          <w:i/>
          <w:lang w:val="es-PE"/>
        </w:rPr>
      </w:pPr>
      <w:r>
        <w:rPr>
          <w:rFonts w:ascii="Calibri Light" w:hAnsi="Calibri Light"/>
          <w:b/>
          <w:i/>
          <w:lang w:val="es-PE"/>
        </w:rPr>
        <w:t>Ficha de R</w:t>
      </w:r>
      <w:r w:rsidRPr="00411A74">
        <w:rPr>
          <w:rFonts w:ascii="Calibri Light" w:hAnsi="Calibri Light"/>
          <w:b/>
          <w:i/>
          <w:lang w:val="es-PE"/>
        </w:rPr>
        <w:t xml:space="preserve">esumen </w:t>
      </w:r>
    </w:p>
    <w:p w14:paraId="63E88E6E" w14:textId="77777777" w:rsidR="00CF57FE" w:rsidRPr="00CF57FE" w:rsidRDefault="00CF57FE" w:rsidP="00CF57FE">
      <w:pPr>
        <w:spacing w:after="0" w:line="240" w:lineRule="auto"/>
        <w:jc w:val="center"/>
        <w:outlineLvl w:val="0"/>
        <w:rPr>
          <w:rFonts w:ascii="Calibri Light" w:hAnsi="Calibri Light"/>
          <w:b/>
          <w:i/>
          <w:lang w:val="es-PE"/>
        </w:rPr>
      </w:pPr>
    </w:p>
    <w:tbl>
      <w:tblPr>
        <w:tblStyle w:val="Tabladelista2-nfasis11"/>
        <w:tblW w:w="0" w:type="auto"/>
        <w:tblLook w:val="04A0" w:firstRow="1" w:lastRow="0" w:firstColumn="1" w:lastColumn="0" w:noHBand="0" w:noVBand="1"/>
      </w:tblPr>
      <w:tblGrid>
        <w:gridCol w:w="3592"/>
        <w:gridCol w:w="2412"/>
        <w:gridCol w:w="2501"/>
      </w:tblGrid>
      <w:tr w:rsidR="005173CF" w:rsidRPr="004533E5" w14:paraId="01A2F61A" w14:textId="77777777" w:rsidTr="00075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</w:tcPr>
          <w:p w14:paraId="07609204" w14:textId="77777777" w:rsid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160CE2AC" w14:textId="77777777" w:rsidR="00212F62" w:rsidRDefault="007A6C56" w:rsidP="00AC6F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Datos generales</w:t>
            </w:r>
          </w:p>
          <w:p w14:paraId="6C5B323B" w14:textId="6BA3A748" w:rsidR="00AC6F31" w:rsidRP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4533E5" w:rsidRPr="004533E5" w14:paraId="275AD1EA" w14:textId="77777777" w:rsidTr="0007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</w:tcPr>
          <w:p w14:paraId="63C7EFE0" w14:textId="77777777" w:rsidR="005173CF" w:rsidRPr="004533E5" w:rsidRDefault="007A6C56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Nombre del caso</w:t>
            </w:r>
          </w:p>
        </w:tc>
        <w:tc>
          <w:tcPr>
            <w:tcW w:w="4913" w:type="dxa"/>
            <w:gridSpan w:val="2"/>
          </w:tcPr>
          <w:p w14:paraId="084A5991" w14:textId="00FFF539" w:rsidR="005173CF" w:rsidRPr="004533E5" w:rsidRDefault="00C45F6B" w:rsidP="00A13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Her</w:t>
            </w:r>
            <w:r w:rsidR="00E52C53">
              <w:rPr>
                <w:rFonts w:ascii="Calibri Light" w:hAnsi="Calibri Light"/>
              </w:rPr>
              <w:t xml:space="preserve">son Javier Caro (Javier Apache), </w:t>
            </w:r>
            <w:r>
              <w:rPr>
                <w:rFonts w:ascii="Calibri Light" w:hAnsi="Calibri Light"/>
              </w:rPr>
              <w:t>Colombia</w:t>
            </w:r>
          </w:p>
        </w:tc>
      </w:tr>
      <w:tr w:rsidR="00F464EC" w:rsidRPr="00ED3CEE" w14:paraId="59A6A8A1" w14:textId="77777777" w:rsidTr="0007541F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</w:tcPr>
          <w:p w14:paraId="7FA9FC90" w14:textId="4E07CFA3" w:rsidR="00F464EC" w:rsidRPr="00ED3CEE" w:rsidRDefault="00E52C53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lang w:val="es-ES"/>
              </w:rPr>
            </w:pPr>
            <w:r>
              <w:rPr>
                <w:rFonts w:ascii="Calibri Light" w:hAnsi="Calibri Light"/>
                <w:lang w:val="es-ES"/>
              </w:rPr>
              <w:t>Parte peticionaria</w:t>
            </w:r>
          </w:p>
        </w:tc>
        <w:tc>
          <w:tcPr>
            <w:tcW w:w="4913" w:type="dxa"/>
            <w:gridSpan w:val="2"/>
            <w:vAlign w:val="center"/>
          </w:tcPr>
          <w:p w14:paraId="374B2A68" w14:textId="5AEDCE44" w:rsidR="00F464EC" w:rsidRPr="00ED3CEE" w:rsidRDefault="00DB79B2" w:rsidP="00D34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es-ES"/>
              </w:rPr>
            </w:pPr>
            <w:r w:rsidRPr="00ED3CEE">
              <w:rPr>
                <w:rFonts w:ascii="Calibri Light" w:hAnsi="Calibri Light"/>
                <w:lang w:val="es-ES"/>
              </w:rPr>
              <w:t xml:space="preserve">Comisión </w:t>
            </w:r>
            <w:proofErr w:type="spellStart"/>
            <w:r w:rsidR="00ED3CEE">
              <w:rPr>
                <w:rFonts w:ascii="Calibri Light" w:hAnsi="Calibri Light"/>
                <w:lang w:val="es-ES"/>
              </w:rPr>
              <w:t>Intercongregacional</w:t>
            </w:r>
            <w:proofErr w:type="spellEnd"/>
            <w:r w:rsidRPr="00ED3CEE">
              <w:rPr>
                <w:rFonts w:ascii="Calibri Light" w:hAnsi="Calibri Light"/>
                <w:lang w:val="es-ES"/>
              </w:rPr>
              <w:t xml:space="preserve"> de Justicia y Paz (hoy denominada Comisión Inter</w:t>
            </w:r>
            <w:r w:rsidR="00F02F28">
              <w:rPr>
                <w:rFonts w:ascii="Calibri Light" w:hAnsi="Calibri Light"/>
                <w:lang w:val="es-ES"/>
              </w:rPr>
              <w:t>e</w:t>
            </w:r>
            <w:r w:rsidRPr="00ED3CEE">
              <w:rPr>
                <w:rFonts w:ascii="Calibri Light" w:hAnsi="Calibri Light"/>
                <w:lang w:val="es-ES"/>
              </w:rPr>
              <w:t>cl</w:t>
            </w:r>
            <w:r w:rsidR="00ED3CEE" w:rsidRPr="00ED3CEE">
              <w:rPr>
                <w:rFonts w:ascii="Calibri Light" w:hAnsi="Calibri Light"/>
                <w:lang w:val="es-ES"/>
              </w:rPr>
              <w:t>esi</w:t>
            </w:r>
            <w:r w:rsidRPr="00ED3CEE">
              <w:rPr>
                <w:rFonts w:ascii="Calibri Light" w:hAnsi="Calibri Light"/>
                <w:lang w:val="es-ES"/>
              </w:rPr>
              <w:t xml:space="preserve">al de </w:t>
            </w:r>
            <w:r w:rsidR="00ED3CEE" w:rsidRPr="00ED3CEE">
              <w:rPr>
                <w:rFonts w:ascii="Calibri Light" w:hAnsi="Calibri Light"/>
                <w:lang w:val="es-ES"/>
              </w:rPr>
              <w:t>Justicia</w:t>
            </w:r>
            <w:r w:rsidRPr="00ED3CEE">
              <w:rPr>
                <w:rFonts w:ascii="Calibri Light" w:hAnsi="Calibri Light"/>
                <w:lang w:val="es-ES"/>
              </w:rPr>
              <w:t xml:space="preserve"> y Paz)</w:t>
            </w:r>
          </w:p>
        </w:tc>
      </w:tr>
      <w:tr w:rsidR="005173CF" w:rsidRPr="004533E5" w14:paraId="3A483B4F" w14:textId="77777777" w:rsidTr="0007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</w:tcPr>
          <w:p w14:paraId="6233C75C" w14:textId="77777777" w:rsidR="005173CF" w:rsidRPr="004533E5" w:rsidRDefault="007A6C56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 xml:space="preserve">Número de Informe </w:t>
            </w:r>
          </w:p>
        </w:tc>
        <w:tc>
          <w:tcPr>
            <w:tcW w:w="4913" w:type="dxa"/>
            <w:gridSpan w:val="2"/>
            <w:vAlign w:val="center"/>
          </w:tcPr>
          <w:p w14:paraId="77740DF4" w14:textId="67FF2116" w:rsidR="005173CF" w:rsidRPr="004533E5" w:rsidRDefault="00447802" w:rsidP="00D34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hyperlink r:id="rId12" w:history="1">
              <w:r w:rsidR="00F02F28">
                <w:rPr>
                  <w:rStyle w:val="Hyperlink"/>
                  <w:rFonts w:ascii="Calibri Light" w:hAnsi="Calibri Light"/>
                </w:rPr>
                <w:t xml:space="preserve">Informe No. </w:t>
              </w:r>
              <w:r w:rsidR="00C45F6B" w:rsidRPr="00C45F6B">
                <w:rPr>
                  <w:rStyle w:val="Hyperlink"/>
                  <w:rFonts w:ascii="Calibri Light" w:hAnsi="Calibri Light"/>
                </w:rPr>
                <w:t>43/16</w:t>
              </w:r>
            </w:hyperlink>
          </w:p>
        </w:tc>
      </w:tr>
      <w:tr w:rsidR="004533E5" w:rsidRPr="004533E5" w14:paraId="5EC10F5F" w14:textId="77777777" w:rsidTr="0007541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</w:tcPr>
          <w:p w14:paraId="00180E4F" w14:textId="77777777" w:rsidR="005173CF" w:rsidRPr="00F725A5" w:rsidRDefault="00954E20" w:rsidP="00954E20">
            <w:pPr>
              <w:pStyle w:val="ListParagraph"/>
              <w:numPr>
                <w:ilvl w:val="0"/>
                <w:numId w:val="3"/>
              </w:numPr>
            </w:pPr>
            <w:r w:rsidRPr="004533E5">
              <w:rPr>
                <w:rFonts w:ascii="Calibri Light" w:hAnsi="Calibri Light"/>
              </w:rPr>
              <w:t xml:space="preserve">Tipo de informe </w:t>
            </w:r>
          </w:p>
        </w:tc>
        <w:tc>
          <w:tcPr>
            <w:tcW w:w="4913" w:type="dxa"/>
            <w:gridSpan w:val="2"/>
            <w:vAlign w:val="center"/>
          </w:tcPr>
          <w:p w14:paraId="35E9A08D" w14:textId="0A8046B1" w:rsidR="005173CF" w:rsidRPr="004533E5" w:rsidRDefault="00954E20" w:rsidP="00D34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Informe de Solución Amistosa</w:t>
            </w:r>
          </w:p>
        </w:tc>
      </w:tr>
      <w:tr w:rsidR="005173CF" w:rsidRPr="004533E5" w14:paraId="7ED5AB61" w14:textId="77777777" w:rsidTr="0007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</w:tcPr>
          <w:p w14:paraId="2F77A84C" w14:textId="77777777" w:rsidR="005173CF" w:rsidRPr="004533E5" w:rsidRDefault="00954E20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Fecha</w:t>
            </w:r>
            <w:r w:rsidR="007A6C56" w:rsidRPr="004533E5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913" w:type="dxa"/>
            <w:gridSpan w:val="2"/>
            <w:vAlign w:val="center"/>
          </w:tcPr>
          <w:p w14:paraId="1C803DF5" w14:textId="7394F6F0" w:rsidR="005173CF" w:rsidRPr="004533E5" w:rsidRDefault="00F02F28" w:rsidP="00D34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</w:t>
            </w:r>
            <w:r w:rsidR="00C33FA4">
              <w:rPr>
                <w:rFonts w:ascii="Calibri Light" w:hAnsi="Calibri Light"/>
              </w:rPr>
              <w:t>7 de octubre de 2016</w:t>
            </w:r>
            <w:r w:rsidR="00954E20">
              <w:rPr>
                <w:rFonts w:ascii="Calibri Light" w:hAnsi="Calibri Light"/>
              </w:rPr>
              <w:t xml:space="preserve"> </w:t>
            </w:r>
          </w:p>
        </w:tc>
      </w:tr>
      <w:tr w:rsidR="004533E5" w:rsidRPr="004533E5" w14:paraId="1A0D058F" w14:textId="77777777" w:rsidTr="0007541F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</w:tcPr>
          <w:p w14:paraId="661C9E19" w14:textId="1119002C" w:rsidR="005173CF" w:rsidRPr="004533E5" w:rsidRDefault="00BB61C6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Decisiones de la CIDH</w:t>
            </w:r>
            <w:r w:rsidR="007A6C56" w:rsidRPr="004533E5">
              <w:rPr>
                <w:rFonts w:ascii="Calibri Light" w:hAnsi="Calibri Light"/>
              </w:rPr>
              <w:t xml:space="preserve"> </w:t>
            </w:r>
            <w:r w:rsidR="00DD3C7C">
              <w:rPr>
                <w:rFonts w:ascii="Calibri Light" w:hAnsi="Calibri Light"/>
              </w:rPr>
              <w:t xml:space="preserve">y/o la Corte IDH, </w:t>
            </w:r>
            <w:r w:rsidR="007A6C56" w:rsidRPr="004533E5">
              <w:rPr>
                <w:rFonts w:ascii="Calibri Light" w:hAnsi="Calibri Light"/>
              </w:rPr>
              <w:t>relacionadas</w:t>
            </w:r>
          </w:p>
        </w:tc>
        <w:tc>
          <w:tcPr>
            <w:tcW w:w="4913" w:type="dxa"/>
            <w:gridSpan w:val="2"/>
            <w:vAlign w:val="center"/>
          </w:tcPr>
          <w:p w14:paraId="72EA1AA4" w14:textId="07016650" w:rsidR="00AC6F31" w:rsidRPr="004533E5" w:rsidRDefault="00447802" w:rsidP="00D34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hyperlink r:id="rId13" w:history="1">
              <w:r w:rsidR="00BF138C" w:rsidRPr="00431F73">
                <w:rPr>
                  <w:rStyle w:val="Hyperlink"/>
                  <w:rFonts w:ascii="Calibri Light" w:hAnsi="Calibri Light"/>
                </w:rPr>
                <w:t xml:space="preserve">Informe de </w:t>
              </w:r>
              <w:r w:rsidR="00540EF7" w:rsidRPr="00431F73">
                <w:rPr>
                  <w:rStyle w:val="Hyperlink"/>
                  <w:rFonts w:ascii="Calibri Light" w:hAnsi="Calibri Light"/>
                </w:rPr>
                <w:t>Admisibilidad</w:t>
              </w:r>
              <w:r w:rsidR="00BF138C" w:rsidRPr="00431F73">
                <w:rPr>
                  <w:rStyle w:val="Hyperlink"/>
                  <w:rFonts w:ascii="Calibri Light" w:hAnsi="Calibri Light"/>
                </w:rPr>
                <w:t xml:space="preserve"> No. 72/09</w:t>
              </w:r>
            </w:hyperlink>
          </w:p>
        </w:tc>
      </w:tr>
      <w:tr w:rsidR="00F02F28" w:rsidRPr="004533E5" w14:paraId="4BD14BB3" w14:textId="77777777" w:rsidTr="0007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vMerge w:val="restart"/>
          </w:tcPr>
          <w:p w14:paraId="5E14E123" w14:textId="77777777" w:rsidR="00F02F28" w:rsidRDefault="00F02F28" w:rsidP="00F02F28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Artículos analizados</w:t>
            </w:r>
          </w:p>
        </w:tc>
        <w:tc>
          <w:tcPr>
            <w:tcW w:w="4913" w:type="dxa"/>
            <w:gridSpan w:val="2"/>
          </w:tcPr>
          <w:p w14:paraId="620DF087" w14:textId="77777777" w:rsidR="00F02F28" w:rsidRPr="004533E5" w:rsidRDefault="00F02F28" w:rsidP="004C1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Convención Americana sobre Derechos Humanos                                                                                                 </w:t>
            </w:r>
          </w:p>
        </w:tc>
      </w:tr>
      <w:tr w:rsidR="00F02F28" w:rsidRPr="004533E5" w14:paraId="515107C9" w14:textId="77777777" w:rsidTr="0007541F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vMerge/>
          </w:tcPr>
          <w:p w14:paraId="3751F801" w14:textId="77777777" w:rsidR="00F02F28" w:rsidRDefault="00F02F28" w:rsidP="00F02F28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</w:p>
        </w:tc>
        <w:tc>
          <w:tcPr>
            <w:tcW w:w="2412" w:type="dxa"/>
          </w:tcPr>
          <w:p w14:paraId="5EA4205E" w14:textId="77777777" w:rsidR="00F02F28" w:rsidDel="00680B38" w:rsidRDefault="00F02F28" w:rsidP="004C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Artículos sobre los que se alcanzó un acuerdo</w:t>
            </w:r>
          </w:p>
        </w:tc>
        <w:tc>
          <w:tcPr>
            <w:tcW w:w="2501" w:type="dxa"/>
            <w:tcBorders>
              <w:bottom w:val="single" w:sz="4" w:space="0" w:color="95B3D7" w:themeColor="accent1" w:themeTint="99"/>
            </w:tcBorders>
          </w:tcPr>
          <w:p w14:paraId="597AA677" w14:textId="77777777" w:rsidR="00F02F28" w:rsidDel="00680B38" w:rsidRDefault="00F02F28" w:rsidP="004C13AF">
            <w:pPr>
              <w:tabs>
                <w:tab w:val="left" w:pos="0"/>
                <w:tab w:val="left" w:pos="84"/>
                <w:tab w:val="left" w:pos="1360"/>
              </w:tabs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Artículos sobre los que no se alcanzó un acuerdo</w:t>
            </w:r>
          </w:p>
        </w:tc>
      </w:tr>
      <w:tr w:rsidR="00F02F28" w:rsidRPr="00DA6941" w14:paraId="1C84D4CE" w14:textId="77777777" w:rsidTr="0007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vMerge/>
          </w:tcPr>
          <w:p w14:paraId="2CA47AB8" w14:textId="77777777" w:rsidR="00F02F28" w:rsidRDefault="00F02F28" w:rsidP="00F02F28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</w:p>
        </w:tc>
        <w:tc>
          <w:tcPr>
            <w:tcW w:w="2412" w:type="dxa"/>
          </w:tcPr>
          <w:p w14:paraId="33401A51" w14:textId="4B7920DC" w:rsidR="00F02F28" w:rsidRPr="003B7CEC" w:rsidRDefault="00F02F28" w:rsidP="004C1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n-US"/>
              </w:rPr>
            </w:pPr>
            <w:r w:rsidRPr="00DA6941">
              <w:rPr>
                <w:rFonts w:ascii="Calibri Light" w:hAnsi="Calibri Light"/>
                <w:lang w:val="en-US"/>
              </w:rPr>
              <w:t>Art. 4</w:t>
            </w:r>
            <w:r w:rsidR="006F6751">
              <w:rPr>
                <w:rFonts w:ascii="Calibri Light" w:hAnsi="Calibri Light"/>
                <w:lang w:val="en-US"/>
              </w:rPr>
              <w:t>, a</w:t>
            </w:r>
            <w:r w:rsidRPr="00DA6941">
              <w:rPr>
                <w:rFonts w:ascii="Calibri Light" w:hAnsi="Calibri Light"/>
                <w:lang w:val="en-US"/>
              </w:rPr>
              <w:t>rt. 5</w:t>
            </w:r>
            <w:r w:rsidR="006F6751">
              <w:rPr>
                <w:rFonts w:ascii="Calibri Light" w:hAnsi="Calibri Light"/>
                <w:lang w:val="en-US"/>
              </w:rPr>
              <w:t>, a</w:t>
            </w:r>
            <w:r>
              <w:rPr>
                <w:rFonts w:ascii="Calibri Light" w:hAnsi="Calibri Light"/>
                <w:lang w:val="en-US"/>
              </w:rPr>
              <w:t>rt. 8</w:t>
            </w:r>
            <w:r w:rsidR="006F6751">
              <w:rPr>
                <w:rFonts w:ascii="Calibri Light" w:hAnsi="Calibri Light"/>
                <w:lang w:val="en-US"/>
              </w:rPr>
              <w:t>, a</w:t>
            </w:r>
            <w:r>
              <w:rPr>
                <w:rFonts w:ascii="Calibri Light" w:hAnsi="Calibri Light"/>
                <w:lang w:val="en-US"/>
              </w:rPr>
              <w:t>rt. 14</w:t>
            </w:r>
            <w:r w:rsidR="006F6751">
              <w:rPr>
                <w:rFonts w:ascii="Calibri Light" w:hAnsi="Calibri Light"/>
                <w:lang w:val="en-US"/>
              </w:rPr>
              <w:t>, a</w:t>
            </w:r>
            <w:r w:rsidRPr="00F40D48">
              <w:rPr>
                <w:rFonts w:ascii="Calibri Light" w:hAnsi="Calibri Light"/>
                <w:lang w:val="en-US"/>
              </w:rPr>
              <w:t xml:space="preserve">rt. </w:t>
            </w:r>
            <w:r w:rsidRPr="00F02F28">
              <w:rPr>
                <w:rFonts w:ascii="Calibri Light" w:hAnsi="Calibri Light"/>
                <w:lang w:val="en-US"/>
              </w:rPr>
              <w:t>1</w:t>
            </w:r>
            <w:r>
              <w:rPr>
                <w:rFonts w:ascii="Calibri Light" w:hAnsi="Calibri Light"/>
                <w:lang w:val="en-US"/>
              </w:rPr>
              <w:t>9</w:t>
            </w:r>
            <w:r w:rsidR="006F6751" w:rsidRPr="003B7CEC">
              <w:rPr>
                <w:rFonts w:ascii="Calibri Light" w:hAnsi="Calibri Light"/>
                <w:lang w:val="en-US"/>
              </w:rPr>
              <w:t>, a</w:t>
            </w:r>
            <w:r w:rsidRPr="003B7CEC">
              <w:rPr>
                <w:rFonts w:ascii="Calibri Light" w:hAnsi="Calibri Light"/>
                <w:lang w:val="en-US"/>
              </w:rPr>
              <w:t>rt. 25</w:t>
            </w:r>
          </w:p>
        </w:tc>
        <w:tc>
          <w:tcPr>
            <w:tcW w:w="2501" w:type="dxa"/>
            <w:tcBorders>
              <w:bottom w:val="nil"/>
            </w:tcBorders>
          </w:tcPr>
          <w:p w14:paraId="79546BC9" w14:textId="11BA9555" w:rsidR="00F40D48" w:rsidRDefault="004B042E" w:rsidP="00F40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s-PE"/>
              </w:rPr>
            </w:pPr>
            <w:r>
              <w:rPr>
                <w:rFonts w:ascii="Calibri Light" w:hAnsi="Calibri Light"/>
                <w:lang w:val="es-PE"/>
              </w:rPr>
              <w:t>Art. 7</w:t>
            </w:r>
            <w:r w:rsidR="006F6751">
              <w:rPr>
                <w:rFonts w:ascii="Calibri Light" w:hAnsi="Calibri Light"/>
                <w:lang w:val="es-PE"/>
              </w:rPr>
              <w:t>, a</w:t>
            </w:r>
            <w:r>
              <w:rPr>
                <w:rFonts w:ascii="Calibri Light" w:hAnsi="Calibri Light"/>
                <w:lang w:val="es-PE"/>
              </w:rPr>
              <w:t>rt. 10</w:t>
            </w:r>
          </w:p>
          <w:p w14:paraId="4BFF7E1C" w14:textId="77777777" w:rsidR="00F02F28" w:rsidRPr="00F40D48" w:rsidRDefault="00F02F28" w:rsidP="00F40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s-PE"/>
              </w:rPr>
            </w:pPr>
          </w:p>
        </w:tc>
      </w:tr>
      <w:tr w:rsidR="005173CF" w:rsidRPr="004533E5" w14:paraId="54B7813B" w14:textId="77777777" w:rsidTr="0007541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shd w:val="clear" w:color="auto" w:fill="auto"/>
          </w:tcPr>
          <w:p w14:paraId="6D4895DD" w14:textId="53A3B7E3" w:rsid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1ECE5967" w14:textId="77777777" w:rsidR="005173CF" w:rsidRDefault="007A6C56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Sumilla</w:t>
            </w:r>
          </w:p>
          <w:p w14:paraId="009AFBB8" w14:textId="77777777" w:rsidR="00AC6F31" w:rsidRPr="004533E5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7A6C56" w:rsidRPr="00C4328B" w14:paraId="6B670455" w14:textId="77777777" w:rsidTr="0007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vAlign w:val="center"/>
          </w:tcPr>
          <w:p w14:paraId="799EAA4D" w14:textId="77777777" w:rsidR="004136D8" w:rsidRDefault="004136D8" w:rsidP="004136D8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56F84B93" w14:textId="3D84C8C0" w:rsidR="00AC6F31" w:rsidRDefault="004560E7" w:rsidP="004136D8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C4328B">
              <w:rPr>
                <w:rFonts w:ascii="Calibri Light" w:hAnsi="Calibri Light"/>
                <w:b w:val="0"/>
                <w:lang w:val="es-ES"/>
              </w:rPr>
              <w:t>E</w:t>
            </w:r>
            <w:r w:rsidR="004136D8">
              <w:rPr>
                <w:rFonts w:ascii="Calibri Light" w:hAnsi="Calibri Light"/>
                <w:b w:val="0"/>
                <w:lang w:val="es-ES"/>
              </w:rPr>
              <w:t>l</w:t>
            </w:r>
            <w:r w:rsidRPr="00C4328B">
              <w:rPr>
                <w:rFonts w:ascii="Calibri Light" w:hAnsi="Calibri Light"/>
                <w:b w:val="0"/>
                <w:lang w:val="es-ES"/>
              </w:rPr>
              <w:t xml:space="preserve"> caso</w:t>
            </w:r>
            <w:r w:rsidR="00F02F28">
              <w:rPr>
                <w:rFonts w:ascii="Calibri Light" w:hAnsi="Calibri Light"/>
                <w:b w:val="0"/>
                <w:lang w:val="es-ES"/>
              </w:rPr>
              <w:t xml:space="preserve"> se refiere a </w:t>
            </w:r>
            <w:r w:rsidRPr="00C4328B">
              <w:rPr>
                <w:rFonts w:ascii="Calibri Light" w:hAnsi="Calibri Light"/>
                <w:b w:val="0"/>
                <w:lang w:val="es-ES"/>
              </w:rPr>
              <w:t xml:space="preserve">la alegada ejecución extrajudicial del </w:t>
            </w:r>
            <w:r w:rsidR="00F02F28">
              <w:rPr>
                <w:rFonts w:ascii="Calibri Light" w:hAnsi="Calibri Light"/>
                <w:b w:val="0"/>
                <w:lang w:val="es-ES"/>
              </w:rPr>
              <w:t xml:space="preserve">menor de edad </w:t>
            </w:r>
            <w:r w:rsidRPr="00C4328B">
              <w:rPr>
                <w:rFonts w:ascii="Calibri Light" w:hAnsi="Calibri Light"/>
                <w:b w:val="0"/>
                <w:lang w:val="es-ES"/>
              </w:rPr>
              <w:t>Herson Javier Caro</w:t>
            </w:r>
            <w:r w:rsidR="00F02F28">
              <w:rPr>
                <w:rFonts w:ascii="Calibri Light" w:hAnsi="Calibri Light"/>
                <w:b w:val="0"/>
                <w:lang w:val="es-ES"/>
              </w:rPr>
              <w:t xml:space="preserve"> por parte </w:t>
            </w:r>
            <w:r w:rsidR="00F02F28" w:rsidRPr="00C4328B">
              <w:rPr>
                <w:rFonts w:ascii="Calibri Light" w:hAnsi="Calibri Light"/>
                <w:b w:val="0"/>
                <w:lang w:val="es-ES"/>
              </w:rPr>
              <w:t>de una patrulla del Ejército Nacional de Colombia, adscrita al Batallón de Infantería</w:t>
            </w:r>
            <w:r w:rsidR="00F02F28">
              <w:rPr>
                <w:rFonts w:ascii="Calibri Light" w:hAnsi="Calibri Light"/>
                <w:b w:val="0"/>
                <w:lang w:val="es-ES"/>
              </w:rPr>
              <w:t xml:space="preserve"> de Colombia. Caro, quien tenía 15 años en el momento en que fue ejecutado</w:t>
            </w:r>
            <w:r w:rsidRPr="00C4328B">
              <w:rPr>
                <w:rFonts w:ascii="Calibri Light" w:hAnsi="Calibri Light"/>
                <w:b w:val="0"/>
                <w:lang w:val="es-ES"/>
              </w:rPr>
              <w:t xml:space="preserve">, falleció a las </w:t>
            </w:r>
            <w:r w:rsidR="00C4328B" w:rsidRPr="00C4328B">
              <w:rPr>
                <w:rFonts w:ascii="Calibri Light" w:hAnsi="Calibri Light"/>
                <w:b w:val="0"/>
                <w:lang w:val="es-ES"/>
              </w:rPr>
              <w:t xml:space="preserve">pocas horas de </w:t>
            </w:r>
            <w:r w:rsidR="00F02F28">
              <w:rPr>
                <w:rFonts w:ascii="Calibri Light" w:hAnsi="Calibri Light"/>
                <w:b w:val="0"/>
                <w:lang w:val="es-ES"/>
              </w:rPr>
              <w:t>recibir los</w:t>
            </w:r>
            <w:r w:rsidR="00F02F28" w:rsidRPr="00C4328B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C4328B" w:rsidRPr="00C4328B">
              <w:rPr>
                <w:rFonts w:ascii="Calibri Light" w:hAnsi="Calibri Light"/>
                <w:b w:val="0"/>
                <w:lang w:val="es-ES"/>
              </w:rPr>
              <w:t>disparos</w:t>
            </w:r>
            <w:r w:rsidR="00F02F28">
              <w:rPr>
                <w:rFonts w:ascii="Calibri Light" w:hAnsi="Calibri Light"/>
                <w:b w:val="0"/>
                <w:lang w:val="es-ES"/>
              </w:rPr>
              <w:t xml:space="preserve"> de los miembros del Ejército</w:t>
            </w:r>
            <w:r w:rsidR="00C4328B" w:rsidRPr="00C4328B">
              <w:rPr>
                <w:rFonts w:ascii="Calibri Light" w:hAnsi="Calibri Light"/>
                <w:b w:val="0"/>
                <w:lang w:val="es-ES"/>
              </w:rPr>
              <w:t xml:space="preserve">. </w:t>
            </w:r>
            <w:r w:rsidR="007F1C3C">
              <w:rPr>
                <w:rFonts w:ascii="Calibri Light" w:hAnsi="Calibri Light"/>
                <w:b w:val="0"/>
                <w:lang w:val="es-ES"/>
              </w:rPr>
              <w:t xml:space="preserve">El caso también </w:t>
            </w:r>
            <w:r w:rsidR="004136D8">
              <w:rPr>
                <w:rFonts w:ascii="Calibri Light" w:hAnsi="Calibri Light"/>
                <w:b w:val="0"/>
                <w:lang w:val="es-ES"/>
              </w:rPr>
              <w:t>se refiere a</w:t>
            </w:r>
            <w:r w:rsidR="007F1C3C">
              <w:rPr>
                <w:rFonts w:ascii="Calibri Light" w:hAnsi="Calibri Light"/>
                <w:b w:val="0"/>
                <w:lang w:val="es-ES"/>
              </w:rPr>
              <w:t xml:space="preserve"> la falta de diligencia en la investigación de los hechos y de la ausencia de sanciones contra los </w:t>
            </w:r>
            <w:r w:rsidR="00C834DA">
              <w:rPr>
                <w:rFonts w:ascii="Calibri Light" w:hAnsi="Calibri Light"/>
                <w:b w:val="0"/>
                <w:lang w:val="es-ES"/>
              </w:rPr>
              <w:t>responsables cuando fue llevado a la justicia interna.</w:t>
            </w:r>
          </w:p>
          <w:p w14:paraId="1EE5A7E7" w14:textId="0FA64B2D" w:rsidR="004136D8" w:rsidRPr="00C4328B" w:rsidRDefault="004136D8" w:rsidP="004136D8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</w:tc>
      </w:tr>
      <w:tr w:rsidR="007A6C56" w:rsidRPr="004533E5" w14:paraId="238A2196" w14:textId="77777777" w:rsidTr="0007541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shd w:val="clear" w:color="auto" w:fill="auto"/>
          </w:tcPr>
          <w:p w14:paraId="76D9AAF2" w14:textId="77777777" w:rsid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6E7AC4B8" w14:textId="77777777" w:rsidR="007A6C56" w:rsidRPr="00EE709F" w:rsidRDefault="007A6C56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EE709F">
              <w:rPr>
                <w:rFonts w:ascii="Calibri Light" w:hAnsi="Calibri Light"/>
              </w:rPr>
              <w:t>Palabras clave</w:t>
            </w:r>
          </w:p>
          <w:p w14:paraId="6A1E32A7" w14:textId="77777777" w:rsidR="00AC6F31" w:rsidRPr="004533E5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7A6C56" w:rsidRPr="00EE709F" w14:paraId="34AE2D45" w14:textId="77777777" w:rsidTr="0007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vAlign w:val="center"/>
          </w:tcPr>
          <w:p w14:paraId="05374712" w14:textId="4C06216B" w:rsidR="00AC6F31" w:rsidRPr="00EE709F" w:rsidRDefault="00481F1E" w:rsidP="00D343D2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EE709F">
              <w:rPr>
                <w:rFonts w:ascii="Calibri Light" w:hAnsi="Calibri Light"/>
                <w:b w:val="0"/>
                <w:lang w:val="es-ES"/>
              </w:rPr>
              <w:t>Ejecució</w:t>
            </w:r>
            <w:r w:rsidR="00665927" w:rsidRPr="00EE709F">
              <w:rPr>
                <w:rFonts w:ascii="Calibri Light" w:hAnsi="Calibri Light"/>
                <w:b w:val="0"/>
                <w:lang w:val="es-ES"/>
              </w:rPr>
              <w:t>n extrajudicial</w:t>
            </w:r>
            <w:r w:rsidR="00521E5B">
              <w:rPr>
                <w:rFonts w:ascii="Calibri Light" w:hAnsi="Calibri Light"/>
                <w:b w:val="0"/>
                <w:lang w:val="es-ES"/>
              </w:rPr>
              <w:t>,</w:t>
            </w:r>
            <w:r w:rsidR="00EE709F" w:rsidRPr="00EE709F">
              <w:rPr>
                <w:rFonts w:ascii="Calibri Light" w:hAnsi="Calibri Light"/>
                <w:b w:val="0"/>
                <w:lang w:val="es-ES"/>
              </w:rPr>
              <w:t xml:space="preserve"> Justicia </w:t>
            </w:r>
            <w:r w:rsidR="00521E5B">
              <w:rPr>
                <w:rFonts w:ascii="Calibri Light" w:hAnsi="Calibri Light"/>
                <w:b w:val="0"/>
                <w:lang w:val="es-ES"/>
              </w:rPr>
              <w:t>m</w:t>
            </w:r>
            <w:r w:rsidR="00EE709F" w:rsidRPr="00EE709F">
              <w:rPr>
                <w:rFonts w:ascii="Calibri Light" w:hAnsi="Calibri Light"/>
                <w:b w:val="0"/>
                <w:lang w:val="es-ES"/>
              </w:rPr>
              <w:t>ilitar</w:t>
            </w:r>
            <w:r w:rsidR="00521E5B">
              <w:rPr>
                <w:rFonts w:ascii="Calibri Light" w:hAnsi="Calibri Light"/>
                <w:b w:val="0"/>
                <w:lang w:val="es-ES"/>
              </w:rPr>
              <w:t>,</w:t>
            </w:r>
            <w:r w:rsidR="00665927" w:rsidRPr="00EE709F">
              <w:rPr>
                <w:rFonts w:ascii="Calibri Light" w:hAnsi="Calibri Light"/>
                <w:b w:val="0"/>
                <w:lang w:val="es-ES"/>
              </w:rPr>
              <w:t xml:space="preserve"> Niños</w:t>
            </w:r>
            <w:r w:rsidR="004B4A61" w:rsidRPr="00EE709F">
              <w:rPr>
                <w:rFonts w:ascii="Calibri Light" w:hAnsi="Calibri Light"/>
                <w:b w:val="0"/>
                <w:lang w:val="es-ES"/>
              </w:rPr>
              <w:t xml:space="preserve"> niñas y adolescentes</w:t>
            </w:r>
            <w:r w:rsidR="00521E5B">
              <w:rPr>
                <w:rFonts w:ascii="Calibri Light" w:hAnsi="Calibri Light"/>
                <w:b w:val="0"/>
                <w:lang w:val="es-ES"/>
              </w:rPr>
              <w:t>,</w:t>
            </w:r>
            <w:r w:rsidR="004B4A61" w:rsidRPr="00EE709F">
              <w:rPr>
                <w:rFonts w:ascii="Calibri Light" w:hAnsi="Calibri Light"/>
                <w:b w:val="0"/>
                <w:lang w:val="es-ES"/>
              </w:rPr>
              <w:t xml:space="preserve"> </w:t>
            </w:r>
            <w:proofErr w:type="gramStart"/>
            <w:r w:rsidR="00EE709F" w:rsidRPr="00EE709F">
              <w:rPr>
                <w:rFonts w:ascii="Calibri Light" w:hAnsi="Calibri Light"/>
                <w:b w:val="0"/>
                <w:lang w:val="es-ES"/>
              </w:rPr>
              <w:t xml:space="preserve">Protección judicial y Garantías </w:t>
            </w:r>
            <w:r w:rsidR="00521E5B">
              <w:rPr>
                <w:rFonts w:ascii="Calibri Light" w:hAnsi="Calibri Light"/>
                <w:b w:val="0"/>
                <w:lang w:val="es-ES"/>
              </w:rPr>
              <w:t>j</w:t>
            </w:r>
            <w:r w:rsidR="00EE709F" w:rsidRPr="00EE709F">
              <w:rPr>
                <w:rFonts w:ascii="Calibri Light" w:hAnsi="Calibri Light"/>
                <w:b w:val="0"/>
                <w:lang w:val="es-ES"/>
              </w:rPr>
              <w:t>udiciales</w:t>
            </w:r>
            <w:proofErr w:type="gramEnd"/>
            <w:r w:rsidR="00521E5B">
              <w:rPr>
                <w:rFonts w:ascii="Calibri Light" w:hAnsi="Calibri Light"/>
                <w:b w:val="0"/>
                <w:lang w:val="es-ES"/>
              </w:rPr>
              <w:t xml:space="preserve">, </w:t>
            </w:r>
            <w:r w:rsidR="00EC660E" w:rsidRPr="00EE709F">
              <w:rPr>
                <w:rFonts w:ascii="Calibri Light" w:hAnsi="Calibri Light"/>
                <w:b w:val="0"/>
                <w:lang w:val="es-ES"/>
              </w:rPr>
              <w:t>Vida</w:t>
            </w:r>
            <w:r w:rsidR="00EE709F" w:rsidRPr="00EE709F">
              <w:rPr>
                <w:rFonts w:ascii="Calibri Light" w:hAnsi="Calibri Light"/>
                <w:b w:val="0"/>
                <w:lang w:val="es-ES"/>
              </w:rPr>
              <w:t xml:space="preserve"> </w:t>
            </w:r>
          </w:p>
        </w:tc>
      </w:tr>
      <w:tr w:rsidR="005173CF" w:rsidRPr="004533E5" w14:paraId="69044E7B" w14:textId="77777777" w:rsidTr="0007541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shd w:val="clear" w:color="auto" w:fill="auto"/>
          </w:tcPr>
          <w:p w14:paraId="23949460" w14:textId="77777777" w:rsid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177FF988" w14:textId="77777777" w:rsidR="005173CF" w:rsidRDefault="007A6C56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Hechos</w:t>
            </w:r>
          </w:p>
          <w:p w14:paraId="190B7E98" w14:textId="77777777" w:rsidR="00AC6F31" w:rsidRPr="004533E5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5173CF" w:rsidRPr="00AE5EFD" w14:paraId="6F58DE83" w14:textId="77777777" w:rsidTr="0007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</w:tcPr>
          <w:p w14:paraId="789461F1" w14:textId="77777777" w:rsidR="00521E5B" w:rsidRDefault="00521E5B" w:rsidP="008036E7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6DC9637F" w14:textId="223CE748" w:rsidR="00F73438" w:rsidRPr="00AE5EFD" w:rsidRDefault="00EB30A7" w:rsidP="008036E7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AE5EFD">
              <w:rPr>
                <w:rFonts w:ascii="Calibri Light" w:hAnsi="Calibri Light"/>
                <w:b w:val="0"/>
                <w:lang w:val="es-ES"/>
              </w:rPr>
              <w:t xml:space="preserve">El 15 de noviembre de 1992, Herson Javier Caro, de 15 </w:t>
            </w:r>
            <w:proofErr w:type="gramStart"/>
            <w:r w:rsidRPr="00AE5EFD">
              <w:rPr>
                <w:rFonts w:ascii="Calibri Light" w:hAnsi="Calibri Light"/>
                <w:b w:val="0"/>
                <w:lang w:val="es-ES"/>
              </w:rPr>
              <w:t>años de edad</w:t>
            </w:r>
            <w:proofErr w:type="gramEnd"/>
            <w:r w:rsidRPr="00AE5EFD">
              <w:rPr>
                <w:rFonts w:ascii="Calibri Light" w:hAnsi="Calibri Light"/>
                <w:b w:val="0"/>
                <w:lang w:val="es-ES"/>
              </w:rPr>
              <w:t xml:space="preserve">, </w:t>
            </w:r>
            <w:r w:rsidR="00521E5B">
              <w:rPr>
                <w:rFonts w:ascii="Calibri Light" w:hAnsi="Calibri Light"/>
                <w:b w:val="0"/>
                <w:lang w:val="es-ES"/>
              </w:rPr>
              <w:t>fue</w:t>
            </w:r>
            <w:r w:rsidR="00521E5B" w:rsidRPr="00AE5EFD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521E5B">
              <w:rPr>
                <w:rFonts w:ascii="Calibri Light" w:hAnsi="Calibri Light"/>
                <w:b w:val="0"/>
                <w:lang w:val="es-ES"/>
              </w:rPr>
              <w:t xml:space="preserve">enviado </w:t>
            </w:r>
            <w:r w:rsidRPr="00AE5EFD">
              <w:rPr>
                <w:rFonts w:ascii="Calibri Light" w:hAnsi="Calibri Light"/>
                <w:b w:val="0"/>
                <w:lang w:val="es-ES"/>
              </w:rPr>
              <w:t>al caserío de Puerto Unión para vender café. E</w:t>
            </w:r>
            <w:r w:rsidR="00521E5B">
              <w:rPr>
                <w:rFonts w:ascii="Calibri Light" w:hAnsi="Calibri Light"/>
                <w:b w:val="0"/>
                <w:lang w:val="es-ES"/>
              </w:rPr>
              <w:t>se</w:t>
            </w:r>
            <w:r w:rsidRPr="00AE5EFD">
              <w:rPr>
                <w:rFonts w:ascii="Calibri Light" w:hAnsi="Calibri Light"/>
                <w:b w:val="0"/>
                <w:lang w:val="es-ES"/>
              </w:rPr>
              <w:t xml:space="preserve"> mismo día, una patrulla del Ejército Nacional de Colombia adscrita al Batallón de Infantería</w:t>
            </w:r>
            <w:r w:rsidR="00521E5B">
              <w:rPr>
                <w:rFonts w:ascii="Calibri Light" w:hAnsi="Calibri Light"/>
                <w:b w:val="0"/>
                <w:lang w:val="es-ES"/>
              </w:rPr>
              <w:t xml:space="preserve">, que se encontraba presente en la zona, llevó a cabo </w:t>
            </w:r>
            <w:r w:rsidRPr="00AE5EFD">
              <w:rPr>
                <w:rFonts w:ascii="Calibri Light" w:hAnsi="Calibri Light"/>
                <w:b w:val="0"/>
                <w:lang w:val="es-ES"/>
              </w:rPr>
              <w:t>una serie de retenes y allanamientos alrededor de</w:t>
            </w:r>
            <w:r w:rsidR="00521E5B">
              <w:rPr>
                <w:rFonts w:ascii="Calibri Light" w:hAnsi="Calibri Light"/>
                <w:b w:val="0"/>
                <w:lang w:val="es-ES"/>
              </w:rPr>
              <w:t>l caserío</w:t>
            </w:r>
            <w:r w:rsidRPr="00AE5EFD">
              <w:rPr>
                <w:rFonts w:ascii="Calibri Light" w:hAnsi="Calibri Light"/>
                <w:b w:val="0"/>
                <w:lang w:val="es-ES"/>
              </w:rPr>
              <w:t xml:space="preserve">. </w:t>
            </w:r>
            <w:r w:rsidR="00521E5B">
              <w:rPr>
                <w:rFonts w:ascii="Calibri Light" w:hAnsi="Calibri Light"/>
                <w:b w:val="0"/>
                <w:lang w:val="es-ES"/>
              </w:rPr>
              <w:t>Al tomar conocimiento de dicha situación, Herson Javie</w:t>
            </w:r>
            <w:r w:rsidR="00D31759">
              <w:rPr>
                <w:rFonts w:ascii="Calibri Light" w:hAnsi="Calibri Light"/>
                <w:b w:val="0"/>
                <w:lang w:val="es-ES"/>
              </w:rPr>
              <w:t>r</w:t>
            </w:r>
            <w:r w:rsidR="00521E5B">
              <w:rPr>
                <w:rFonts w:ascii="Calibri Light" w:hAnsi="Calibri Light"/>
                <w:b w:val="0"/>
                <w:lang w:val="es-ES"/>
              </w:rPr>
              <w:t xml:space="preserve"> Caro intentó huir de la zona; sin </w:t>
            </w:r>
            <w:r w:rsidR="00511B7C">
              <w:rPr>
                <w:rFonts w:ascii="Calibri Light" w:hAnsi="Calibri Light"/>
                <w:b w:val="0"/>
                <w:lang w:val="es-ES"/>
              </w:rPr>
              <w:t>embargo,</w:t>
            </w:r>
            <w:r w:rsidR="00521E5B">
              <w:rPr>
                <w:rFonts w:ascii="Calibri Light" w:hAnsi="Calibri Light"/>
                <w:b w:val="0"/>
                <w:lang w:val="es-ES"/>
              </w:rPr>
              <w:t xml:space="preserve"> fue alcanzando por los miembros de </w:t>
            </w:r>
            <w:r w:rsidR="00521E5B">
              <w:rPr>
                <w:rFonts w:ascii="Calibri Light" w:hAnsi="Calibri Light"/>
                <w:b w:val="0"/>
                <w:lang w:val="es-ES"/>
              </w:rPr>
              <w:lastRenderedPageBreak/>
              <w:t>la patrulla, quienes dispararon en su contra</w:t>
            </w:r>
            <w:r w:rsidR="00F73438" w:rsidRPr="00AE5EFD">
              <w:rPr>
                <w:rFonts w:ascii="Calibri Light" w:hAnsi="Calibri Light"/>
                <w:b w:val="0"/>
                <w:lang w:val="es-ES"/>
              </w:rPr>
              <w:t xml:space="preserve">. Herson Javier Caro </w:t>
            </w:r>
            <w:r w:rsidR="00AE5EFD" w:rsidRPr="00AE5EFD">
              <w:rPr>
                <w:rFonts w:ascii="Calibri Light" w:hAnsi="Calibri Light"/>
                <w:b w:val="0"/>
                <w:lang w:val="es-ES"/>
              </w:rPr>
              <w:t>falleció</w:t>
            </w:r>
            <w:r w:rsidR="00F73438" w:rsidRPr="00AE5EFD">
              <w:rPr>
                <w:rFonts w:ascii="Calibri Light" w:hAnsi="Calibri Light"/>
                <w:b w:val="0"/>
                <w:lang w:val="es-ES"/>
              </w:rPr>
              <w:t xml:space="preserve"> unas horas más tarde en un puesto de salud al que fue conducido por un civil.</w:t>
            </w:r>
          </w:p>
          <w:p w14:paraId="381F028B" w14:textId="18B15FF2" w:rsidR="00F73438" w:rsidRPr="00AE5EFD" w:rsidRDefault="00F73438" w:rsidP="008036E7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67BA8B65" w14:textId="303046C9" w:rsidR="00F73438" w:rsidRPr="00AE5EFD" w:rsidRDefault="00F73438" w:rsidP="008036E7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AE5EFD">
              <w:rPr>
                <w:rFonts w:ascii="Calibri Light" w:hAnsi="Calibri Light"/>
                <w:b w:val="0"/>
                <w:lang w:val="es-ES"/>
              </w:rPr>
              <w:t xml:space="preserve">La </w:t>
            </w:r>
            <w:proofErr w:type="gramStart"/>
            <w:r w:rsidRPr="00AE5EFD">
              <w:rPr>
                <w:rFonts w:ascii="Calibri Light" w:hAnsi="Calibri Light"/>
                <w:b w:val="0"/>
                <w:lang w:val="es-ES"/>
              </w:rPr>
              <w:t>Fiscalía General</w:t>
            </w:r>
            <w:proofErr w:type="gramEnd"/>
            <w:r w:rsidRPr="00AE5EFD">
              <w:rPr>
                <w:rFonts w:ascii="Calibri Light" w:hAnsi="Calibri Light"/>
                <w:b w:val="0"/>
                <w:lang w:val="es-ES"/>
              </w:rPr>
              <w:t xml:space="preserve"> de Oriente </w:t>
            </w:r>
            <w:r w:rsidR="00AE5EFD" w:rsidRPr="00AE5EFD">
              <w:rPr>
                <w:rFonts w:ascii="Calibri Light" w:hAnsi="Calibri Light"/>
                <w:b w:val="0"/>
                <w:lang w:val="es-ES"/>
              </w:rPr>
              <w:t>abrió</w:t>
            </w:r>
            <w:r w:rsidRPr="00AE5EFD">
              <w:rPr>
                <w:rFonts w:ascii="Calibri Light" w:hAnsi="Calibri Light"/>
                <w:b w:val="0"/>
                <w:lang w:val="es-ES"/>
              </w:rPr>
              <w:t xml:space="preserve"> un caso </w:t>
            </w:r>
            <w:r w:rsidR="00521E5B">
              <w:rPr>
                <w:rFonts w:ascii="Calibri Light" w:hAnsi="Calibri Light"/>
                <w:b w:val="0"/>
                <w:lang w:val="es-ES"/>
              </w:rPr>
              <w:t xml:space="preserve">ante la justicia ordinaria </w:t>
            </w:r>
            <w:r w:rsidRPr="00AE5EFD">
              <w:rPr>
                <w:rFonts w:ascii="Calibri Light" w:hAnsi="Calibri Light"/>
                <w:b w:val="0"/>
                <w:lang w:val="es-ES"/>
              </w:rPr>
              <w:t xml:space="preserve">el </w:t>
            </w:r>
            <w:r w:rsidR="00521E5B">
              <w:rPr>
                <w:rFonts w:ascii="Calibri Light" w:hAnsi="Calibri Light"/>
                <w:b w:val="0"/>
                <w:lang w:val="es-ES"/>
              </w:rPr>
              <w:t>0</w:t>
            </w:r>
            <w:r w:rsidRPr="00AE5EFD">
              <w:rPr>
                <w:rFonts w:ascii="Calibri Light" w:hAnsi="Calibri Light"/>
                <w:b w:val="0"/>
                <w:lang w:val="es-ES"/>
              </w:rPr>
              <w:t>1 de abril de 1995</w:t>
            </w:r>
            <w:r w:rsidR="00521E5B">
              <w:rPr>
                <w:rFonts w:ascii="Calibri Light" w:hAnsi="Calibri Light"/>
                <w:b w:val="0"/>
                <w:lang w:val="es-ES"/>
              </w:rPr>
              <w:t>,</w:t>
            </w:r>
            <w:r w:rsidRPr="00AE5EFD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F97C21" w:rsidRPr="00AE5EFD">
              <w:rPr>
                <w:rFonts w:ascii="Calibri Light" w:hAnsi="Calibri Light"/>
                <w:b w:val="0"/>
                <w:lang w:val="es-ES"/>
              </w:rPr>
              <w:t>e</w:t>
            </w:r>
            <w:r w:rsidRPr="00AE5EFD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AE5EFD">
              <w:rPr>
                <w:rFonts w:ascii="Calibri Light" w:hAnsi="Calibri Light"/>
                <w:b w:val="0"/>
                <w:lang w:val="es-ES"/>
              </w:rPr>
              <w:t>inició</w:t>
            </w:r>
            <w:r w:rsidRPr="00AE5EFD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4136D8">
              <w:rPr>
                <w:rFonts w:ascii="Calibri Light" w:hAnsi="Calibri Light"/>
                <w:b w:val="0"/>
                <w:lang w:val="es-ES"/>
              </w:rPr>
              <w:t xml:space="preserve">una </w:t>
            </w:r>
            <w:r w:rsidRPr="00AE5EFD">
              <w:rPr>
                <w:rFonts w:ascii="Calibri Light" w:hAnsi="Calibri Light"/>
                <w:b w:val="0"/>
                <w:lang w:val="es-ES"/>
              </w:rPr>
              <w:t xml:space="preserve">investigación </w:t>
            </w:r>
            <w:r w:rsidR="003B7CEC">
              <w:rPr>
                <w:rFonts w:ascii="Calibri Light" w:hAnsi="Calibri Light"/>
                <w:b w:val="0"/>
                <w:lang w:val="es-ES"/>
              </w:rPr>
              <w:t xml:space="preserve">previa </w:t>
            </w:r>
            <w:r w:rsidRPr="00AE5EFD">
              <w:rPr>
                <w:rFonts w:ascii="Calibri Light" w:hAnsi="Calibri Light"/>
                <w:b w:val="0"/>
                <w:lang w:val="es-ES"/>
              </w:rPr>
              <w:t xml:space="preserve">el 5 de agosto de 1996. </w:t>
            </w:r>
            <w:r w:rsidR="00521E5B">
              <w:rPr>
                <w:rFonts w:ascii="Calibri Light" w:hAnsi="Calibri Light"/>
                <w:b w:val="0"/>
                <w:lang w:val="es-ES"/>
              </w:rPr>
              <w:t>Inicialmente</w:t>
            </w:r>
            <w:r w:rsidR="00C35BB1">
              <w:rPr>
                <w:rFonts w:ascii="Calibri Light" w:hAnsi="Calibri Light"/>
                <w:b w:val="0"/>
                <w:lang w:val="es-ES"/>
              </w:rPr>
              <w:t>,</w:t>
            </w:r>
            <w:r w:rsidR="00521E5B">
              <w:rPr>
                <w:rFonts w:ascii="Calibri Light" w:hAnsi="Calibri Light"/>
                <w:b w:val="0"/>
                <w:lang w:val="es-ES"/>
              </w:rPr>
              <w:t xml:space="preserve"> fueron identificados como posibles responsables de los hechos los soldados Tiberio Silva y Segundo </w:t>
            </w:r>
            <w:proofErr w:type="spellStart"/>
            <w:r w:rsidR="00521E5B">
              <w:rPr>
                <w:rFonts w:ascii="Calibri Light" w:hAnsi="Calibri Light"/>
                <w:b w:val="0"/>
                <w:lang w:val="es-ES"/>
              </w:rPr>
              <w:t>Guanirzo</w:t>
            </w:r>
            <w:proofErr w:type="spellEnd"/>
            <w:r w:rsidR="00521E5B">
              <w:rPr>
                <w:rFonts w:ascii="Calibri Light" w:hAnsi="Calibri Light"/>
                <w:b w:val="0"/>
                <w:lang w:val="es-ES"/>
              </w:rPr>
              <w:t xml:space="preserve"> Ovalle; sin embargo, el caso fue trasladado a la Justicia Militar, en donde ambos procesados recibieron una sentencia absolutoria a su favor por parte del Juzgado Penal Militar de Brigada el </w:t>
            </w:r>
            <w:r w:rsidRPr="00AE5EFD">
              <w:rPr>
                <w:rFonts w:ascii="Calibri Light" w:hAnsi="Calibri Light"/>
                <w:b w:val="0"/>
                <w:lang w:val="es-ES"/>
              </w:rPr>
              <w:t xml:space="preserve">29 de mayo de 2003. </w:t>
            </w:r>
            <w:r w:rsidR="00521E5B">
              <w:rPr>
                <w:rFonts w:ascii="Calibri Light" w:hAnsi="Calibri Light"/>
                <w:b w:val="0"/>
                <w:lang w:val="es-ES"/>
              </w:rPr>
              <w:t xml:space="preserve">Dicha decisión </w:t>
            </w:r>
            <w:r w:rsidRPr="00AE5EFD">
              <w:rPr>
                <w:rFonts w:ascii="Calibri Light" w:hAnsi="Calibri Light"/>
                <w:b w:val="0"/>
                <w:lang w:val="es-ES"/>
              </w:rPr>
              <w:t>fue confirmada por el Tribunal Militar el 3 de septiembre de 2003.</w:t>
            </w:r>
          </w:p>
          <w:p w14:paraId="4A48B554" w14:textId="77777777" w:rsidR="00D31759" w:rsidRDefault="00D31759" w:rsidP="008036E7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385A820E" w14:textId="78C3C0A4" w:rsidR="00D31759" w:rsidRPr="00AE5EFD" w:rsidRDefault="00D31759" w:rsidP="008036E7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>
              <w:rPr>
                <w:rFonts w:ascii="Calibri Light" w:hAnsi="Calibri Light"/>
                <w:b w:val="0"/>
                <w:lang w:val="es-ES"/>
              </w:rPr>
              <w:t xml:space="preserve">Además, </w:t>
            </w:r>
            <w:proofErr w:type="gramStart"/>
            <w:r w:rsidR="00436D4F">
              <w:rPr>
                <w:rFonts w:ascii="Calibri Light" w:hAnsi="Calibri Light"/>
                <w:b w:val="0"/>
                <w:lang w:val="es-ES"/>
              </w:rPr>
              <w:t>en relación a</w:t>
            </w:r>
            <w:proofErr w:type="gramEnd"/>
            <w:r w:rsidR="00436D4F">
              <w:rPr>
                <w:rFonts w:ascii="Calibri Light" w:hAnsi="Calibri Light"/>
                <w:b w:val="0"/>
                <w:lang w:val="es-ES"/>
              </w:rPr>
              <w:t xml:space="preserve"> actuaciones disciplinarias, </w:t>
            </w:r>
            <w:r>
              <w:rPr>
                <w:rFonts w:ascii="Calibri Light" w:hAnsi="Calibri Light"/>
                <w:b w:val="0"/>
                <w:lang w:val="es-ES"/>
              </w:rPr>
              <w:t xml:space="preserve">una queja contra el Sargento Segundo Guarnizo Ovalle </w:t>
            </w:r>
            <w:r w:rsidR="00C35BB1">
              <w:rPr>
                <w:rFonts w:ascii="Calibri Light" w:hAnsi="Calibri Light"/>
                <w:b w:val="0"/>
                <w:lang w:val="es-ES"/>
              </w:rPr>
              <w:t xml:space="preserve">fue </w:t>
            </w:r>
            <w:r w:rsidR="00436D4F">
              <w:rPr>
                <w:rFonts w:ascii="Calibri Light" w:hAnsi="Calibri Light"/>
                <w:b w:val="0"/>
                <w:lang w:val="es-ES"/>
              </w:rPr>
              <w:t>presentada</w:t>
            </w:r>
            <w:r w:rsidR="000E57C8">
              <w:rPr>
                <w:rFonts w:ascii="Calibri Light" w:hAnsi="Calibri Light"/>
                <w:b w:val="0"/>
                <w:lang w:val="es-ES"/>
              </w:rPr>
              <w:t xml:space="preserve"> a la Procuraduría General de la Nación</w:t>
            </w:r>
            <w:r w:rsidR="00C35BB1">
              <w:rPr>
                <w:rFonts w:ascii="Calibri Light" w:hAnsi="Calibri Light"/>
                <w:b w:val="0"/>
                <w:lang w:val="es-ES"/>
              </w:rPr>
              <w:t>, la cual decidió finalmente sancionarlo con una suspensión de 30 días. Esta decisión fue apelada el 14 de a</w:t>
            </w:r>
            <w:r w:rsidR="004136D8">
              <w:rPr>
                <w:rFonts w:ascii="Calibri Light" w:hAnsi="Calibri Light"/>
                <w:b w:val="0"/>
                <w:lang w:val="es-ES"/>
              </w:rPr>
              <w:t>gosto de 1997;</w:t>
            </w:r>
            <w:r w:rsidR="00C35BB1">
              <w:rPr>
                <w:rFonts w:ascii="Calibri Light" w:hAnsi="Calibri Light"/>
                <w:b w:val="0"/>
                <w:lang w:val="es-ES"/>
              </w:rPr>
              <w:t xml:space="preserve"> sin embargo, la sanción fue confirmada.</w:t>
            </w:r>
          </w:p>
          <w:p w14:paraId="050947DF" w14:textId="77777777" w:rsidR="00EE709F" w:rsidRDefault="00EE709F" w:rsidP="00AE5EFD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0AA7B9A9" w14:textId="08C244B9" w:rsidR="00EE709F" w:rsidRDefault="005D4D43" w:rsidP="005D4D43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>
              <w:rPr>
                <w:rFonts w:ascii="Calibri Light" w:hAnsi="Calibri Light"/>
                <w:b w:val="0"/>
                <w:lang w:val="es-ES"/>
              </w:rPr>
              <w:t>Frente a tales hechos, l</w:t>
            </w:r>
            <w:r w:rsidR="00EE709F">
              <w:rPr>
                <w:rFonts w:ascii="Calibri Light" w:hAnsi="Calibri Light"/>
                <w:b w:val="0"/>
                <w:lang w:val="es-ES"/>
              </w:rPr>
              <w:t>a CIDH recibió una petición por</w:t>
            </w:r>
            <w:r>
              <w:rPr>
                <w:rFonts w:ascii="Calibri Light" w:hAnsi="Calibri Light"/>
                <w:b w:val="0"/>
                <w:lang w:val="es-ES"/>
              </w:rPr>
              <w:t xml:space="preserve"> parte de la Comisión Intereclesial de Justicia y Paz, </w:t>
            </w:r>
            <w:r w:rsidR="00EE709F">
              <w:rPr>
                <w:rFonts w:ascii="Calibri Light" w:hAnsi="Calibri Light"/>
                <w:b w:val="0"/>
                <w:lang w:val="es-ES"/>
              </w:rPr>
              <w:t>el 5 de septiembre de 1995</w:t>
            </w:r>
            <w:r>
              <w:rPr>
                <w:rFonts w:ascii="Calibri Light" w:hAnsi="Calibri Light"/>
                <w:b w:val="0"/>
                <w:lang w:val="es-ES"/>
              </w:rPr>
              <w:t xml:space="preserve"> en contra del Estado colombiano, en la cual se denunciaba la ejecución extrajudicial de Herson Javier Caro</w:t>
            </w:r>
            <w:r w:rsidR="00EE709F">
              <w:rPr>
                <w:rFonts w:ascii="Calibri Light" w:hAnsi="Calibri Light"/>
                <w:b w:val="0"/>
                <w:lang w:val="es-ES"/>
              </w:rPr>
              <w:t xml:space="preserve">. </w:t>
            </w:r>
          </w:p>
          <w:p w14:paraId="6543A68A" w14:textId="43B24328" w:rsidR="00D343D2" w:rsidRPr="00AE5EFD" w:rsidRDefault="00D343D2" w:rsidP="005D4D43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</w:tc>
      </w:tr>
      <w:tr w:rsidR="00F55CD0" w:rsidRPr="004533E5" w14:paraId="75AF89E9" w14:textId="77777777" w:rsidTr="0007541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shd w:val="clear" w:color="auto" w:fill="auto"/>
          </w:tcPr>
          <w:p w14:paraId="14AA2A23" w14:textId="77777777" w:rsidR="00AC6F31" w:rsidRDefault="00AC6F31" w:rsidP="00F55CD0">
            <w:pPr>
              <w:jc w:val="center"/>
              <w:rPr>
                <w:rFonts w:ascii="Calibri Light" w:hAnsi="Calibri Light"/>
              </w:rPr>
            </w:pPr>
          </w:p>
          <w:p w14:paraId="5F1F3517" w14:textId="29B9240C" w:rsidR="00F55CD0" w:rsidRPr="00C33FA4" w:rsidRDefault="00A4435A" w:rsidP="00C33F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C33FA4">
              <w:rPr>
                <w:rFonts w:ascii="Calibri Light" w:hAnsi="Calibri Light"/>
              </w:rPr>
              <w:t xml:space="preserve">Acuerdo de </w:t>
            </w:r>
            <w:r w:rsidR="00220B75" w:rsidRPr="00C33FA4">
              <w:rPr>
                <w:rFonts w:ascii="Calibri Light" w:hAnsi="Calibri Light"/>
              </w:rPr>
              <w:t>Solución</w:t>
            </w:r>
            <w:r w:rsidR="00431F73">
              <w:rPr>
                <w:rFonts w:ascii="Calibri Light" w:hAnsi="Calibri Light"/>
              </w:rPr>
              <w:t xml:space="preserve"> Amistosa</w:t>
            </w:r>
            <w:r w:rsidR="00943E20">
              <w:rPr>
                <w:rFonts w:ascii="Calibri Light" w:hAnsi="Calibri Light"/>
              </w:rPr>
              <w:t xml:space="preserve"> </w:t>
            </w:r>
            <w:r w:rsidR="00943E20" w:rsidRPr="00943E20">
              <w:rPr>
                <w:rFonts w:ascii="Calibri Light" w:hAnsi="Calibri Light"/>
                <w:highlight w:val="cyan"/>
              </w:rPr>
              <w:t>(ASA)</w:t>
            </w:r>
          </w:p>
          <w:p w14:paraId="3F5D3463" w14:textId="77777777" w:rsidR="00AC6F31" w:rsidRPr="004533E5" w:rsidRDefault="00AC6F31" w:rsidP="00F55CD0">
            <w:pPr>
              <w:jc w:val="center"/>
              <w:rPr>
                <w:rFonts w:ascii="Calibri Light" w:hAnsi="Calibri Light"/>
              </w:rPr>
            </w:pPr>
          </w:p>
        </w:tc>
      </w:tr>
      <w:tr w:rsidR="00F55CD0" w:rsidRPr="00EB30A7" w14:paraId="4D321633" w14:textId="77777777" w:rsidTr="0007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</w:tcPr>
          <w:p w14:paraId="5B6663EB" w14:textId="26DE642F" w:rsidR="006B6554" w:rsidRPr="009B32B8" w:rsidRDefault="005D4D43" w:rsidP="004F061A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>
              <w:rPr>
                <w:rFonts w:ascii="Calibri Light" w:hAnsi="Calibri Light"/>
                <w:b w:val="0"/>
                <w:lang w:val="es-ES"/>
              </w:rPr>
              <w:t>Mediante acuerdo de solución amistosa suscrito por las partes el 02 de marzo de 2016.</w:t>
            </w:r>
            <w:r w:rsidR="006B6554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C35BB1">
              <w:rPr>
                <w:rFonts w:ascii="Calibri Light" w:hAnsi="Calibri Light"/>
                <w:b w:val="0"/>
                <w:lang w:val="es-ES"/>
              </w:rPr>
              <w:t>Estas</w:t>
            </w:r>
            <w:r w:rsidR="00A041F9" w:rsidRPr="009B32B8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Pr="009B32B8">
              <w:rPr>
                <w:rFonts w:ascii="Calibri Light" w:hAnsi="Calibri Light"/>
                <w:b w:val="0"/>
                <w:lang w:val="es-ES"/>
              </w:rPr>
              <w:t>manifestaron lo siguiente</w:t>
            </w:r>
            <w:r w:rsidR="006B6554" w:rsidRPr="009B32B8">
              <w:rPr>
                <w:rFonts w:ascii="Calibri Light" w:hAnsi="Calibri Light"/>
                <w:b w:val="0"/>
                <w:lang w:val="es-ES"/>
              </w:rPr>
              <w:t>:</w:t>
            </w:r>
          </w:p>
          <w:p w14:paraId="5A62B98C" w14:textId="77777777" w:rsidR="006B6554" w:rsidRPr="00511B7C" w:rsidRDefault="006B6554" w:rsidP="004F061A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7B53D3DE" w14:textId="0331D8E3" w:rsidR="006B6554" w:rsidRPr="00D343D2" w:rsidRDefault="006B6554" w:rsidP="00D343D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D343D2">
              <w:rPr>
                <w:rFonts w:ascii="Calibri Light" w:hAnsi="Calibri Light"/>
                <w:b w:val="0"/>
                <w:lang w:val="es-ES"/>
              </w:rPr>
              <w:t xml:space="preserve">El Estado colombiano </w:t>
            </w:r>
            <w:r w:rsidR="00196E19" w:rsidRPr="00D343D2">
              <w:rPr>
                <w:rFonts w:ascii="Calibri Light" w:hAnsi="Calibri Light"/>
                <w:b w:val="0"/>
                <w:lang w:val="es-ES"/>
              </w:rPr>
              <w:t>reconoció</w:t>
            </w:r>
            <w:r w:rsidRPr="00D343D2">
              <w:rPr>
                <w:rFonts w:ascii="Calibri Light" w:hAnsi="Calibri Light"/>
                <w:b w:val="0"/>
                <w:lang w:val="es-ES"/>
              </w:rPr>
              <w:t xml:space="preserve"> su responsabilidad internacional po</w:t>
            </w:r>
            <w:r w:rsidR="004136D8">
              <w:rPr>
                <w:rFonts w:ascii="Calibri Light" w:hAnsi="Calibri Light"/>
                <w:b w:val="0"/>
                <w:lang w:val="es-ES"/>
              </w:rPr>
              <w:t>r la violación de los artículos</w:t>
            </w:r>
            <w:r w:rsidRPr="00D343D2">
              <w:rPr>
                <w:rFonts w:ascii="Calibri Light" w:hAnsi="Calibri Light"/>
                <w:b w:val="0"/>
                <w:lang w:val="es-ES"/>
              </w:rPr>
              <w:t xml:space="preserve"> 4, 5, 8, 14, 19 y 25 de la CADH por los hechos del caso.</w:t>
            </w:r>
          </w:p>
          <w:p w14:paraId="570B4A2C" w14:textId="77777777" w:rsidR="006B6554" w:rsidRPr="00D343D2" w:rsidRDefault="006B6554" w:rsidP="00D343D2">
            <w:pPr>
              <w:pStyle w:val="ListParagraph"/>
              <w:ind w:left="360"/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591A28EA" w14:textId="37B4E9D3" w:rsidR="006B6554" w:rsidRPr="00D343D2" w:rsidRDefault="006B6554" w:rsidP="00D343D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D343D2">
              <w:rPr>
                <w:rFonts w:ascii="Calibri Light" w:hAnsi="Calibri Light"/>
                <w:b w:val="0"/>
                <w:lang w:val="es-ES"/>
              </w:rPr>
              <w:t xml:space="preserve">La Procuraduría General de la Nación </w:t>
            </w:r>
            <w:r w:rsidR="00196E19" w:rsidRPr="00D343D2">
              <w:rPr>
                <w:rFonts w:ascii="Calibri Light" w:hAnsi="Calibri Light"/>
                <w:b w:val="0"/>
                <w:lang w:val="es-ES"/>
              </w:rPr>
              <w:t>se comprometió a presentar</w:t>
            </w:r>
            <w:r w:rsidRPr="00D343D2">
              <w:rPr>
                <w:rFonts w:ascii="Calibri Light" w:hAnsi="Calibri Light"/>
                <w:b w:val="0"/>
                <w:lang w:val="es-ES"/>
              </w:rPr>
              <w:t xml:space="preserve"> la acción de revisión de la sentencia del 29 de mayo de 2003 del Juzgado cuarto Penal Militar de Brigada de Villavicencio Meta.</w:t>
            </w:r>
          </w:p>
          <w:p w14:paraId="56EED416" w14:textId="77777777" w:rsidR="00AD7DDC" w:rsidRPr="00D343D2" w:rsidRDefault="00AD7DDC" w:rsidP="00D343D2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6DA314BD" w14:textId="2FFB39D9" w:rsidR="009F09CB" w:rsidRPr="00D343D2" w:rsidRDefault="00AD7DDC" w:rsidP="009B32B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D343D2">
              <w:rPr>
                <w:rFonts w:ascii="Calibri Light" w:hAnsi="Calibri Light"/>
                <w:b w:val="0"/>
                <w:lang w:val="es-ES"/>
              </w:rPr>
              <w:t>El Estado colombiano se comprometió a realizar medidas de satisfacción y de rehabilitación que incluyen:</w:t>
            </w:r>
          </w:p>
          <w:p w14:paraId="3AB5DB19" w14:textId="77777777" w:rsidR="009F09CB" w:rsidRPr="00D343D2" w:rsidRDefault="009F09CB" w:rsidP="009B32B8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3F9875DF" w14:textId="28486588" w:rsidR="00AD7DDC" w:rsidRPr="00D343D2" w:rsidRDefault="00AD7DDC" w:rsidP="00D343D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D343D2">
              <w:rPr>
                <w:rFonts w:ascii="Calibri Light" w:hAnsi="Calibri Light"/>
                <w:b w:val="0"/>
                <w:lang w:val="es-ES"/>
              </w:rPr>
              <w:t>Realizar un acto de reconocimiento de responsabilidad y de disculpas públicas.</w:t>
            </w:r>
          </w:p>
          <w:p w14:paraId="63AEE5E1" w14:textId="5987B6F7" w:rsidR="00AD7DDC" w:rsidRPr="00D343D2" w:rsidRDefault="00AD7DDC" w:rsidP="00D343D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D343D2">
              <w:rPr>
                <w:rFonts w:ascii="Calibri Light" w:hAnsi="Calibri Light"/>
                <w:b w:val="0"/>
                <w:lang w:val="es-ES"/>
              </w:rPr>
              <w:t>Otorgar un auxilio de 50 millones de pesos a cada uno de los hermanos del difunto Herson Javier Caro, para su educación.</w:t>
            </w:r>
          </w:p>
          <w:p w14:paraId="721F6901" w14:textId="3CB6340B" w:rsidR="00AD7DDC" w:rsidRPr="00D343D2" w:rsidRDefault="00AD7DDC" w:rsidP="00D343D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D343D2">
              <w:rPr>
                <w:rFonts w:ascii="Calibri Light" w:hAnsi="Calibri Light"/>
                <w:b w:val="0"/>
                <w:lang w:val="es-ES"/>
              </w:rPr>
              <w:t>Exonerar al hermano de la v</w:t>
            </w:r>
            <w:r w:rsidR="00C35BB1" w:rsidRPr="00D343D2">
              <w:rPr>
                <w:rFonts w:ascii="Calibri Light" w:hAnsi="Calibri Light"/>
                <w:b w:val="0"/>
                <w:lang w:val="es-ES"/>
              </w:rPr>
              <w:t>í</w:t>
            </w:r>
            <w:r w:rsidRPr="00D343D2">
              <w:rPr>
                <w:rFonts w:ascii="Calibri Light" w:hAnsi="Calibri Light"/>
                <w:b w:val="0"/>
                <w:lang w:val="es-ES"/>
              </w:rPr>
              <w:t>ctima de prestar servicio militar obligatorio.</w:t>
            </w:r>
          </w:p>
          <w:p w14:paraId="72B975BD" w14:textId="7E88CBC1" w:rsidR="00AD7DDC" w:rsidRPr="00D343D2" w:rsidRDefault="00AD7DDC" w:rsidP="00D343D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D343D2">
              <w:rPr>
                <w:rFonts w:ascii="Calibri Light" w:hAnsi="Calibri Light"/>
                <w:b w:val="0"/>
                <w:lang w:val="es-ES"/>
              </w:rPr>
              <w:t>Implementar medida</w:t>
            </w:r>
            <w:r w:rsidR="00C35BB1" w:rsidRPr="00D343D2">
              <w:rPr>
                <w:rFonts w:ascii="Calibri Light" w:hAnsi="Calibri Light"/>
                <w:b w:val="0"/>
                <w:lang w:val="es-ES"/>
              </w:rPr>
              <w:t>s</w:t>
            </w:r>
            <w:r w:rsidRPr="00D343D2">
              <w:rPr>
                <w:rFonts w:ascii="Calibri Light" w:hAnsi="Calibri Light"/>
                <w:b w:val="0"/>
                <w:lang w:val="es-ES"/>
              </w:rPr>
              <w:t xml:space="preserve"> de rehabilitación en salud constitutivas de una atención médica, psicológica y psicosocial.</w:t>
            </w:r>
          </w:p>
          <w:p w14:paraId="7CBEE059" w14:textId="77777777" w:rsidR="00F45C64" w:rsidRPr="00D343D2" w:rsidRDefault="00F45C64" w:rsidP="00D343D2">
            <w:pPr>
              <w:pStyle w:val="ListParagraph"/>
              <w:ind w:left="927"/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3D0DBC19" w14:textId="34F76316" w:rsidR="00F45C64" w:rsidRPr="00D343D2" w:rsidRDefault="00F45C64" w:rsidP="00D343D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D343D2">
              <w:rPr>
                <w:rFonts w:ascii="Calibri Light" w:hAnsi="Calibri Light"/>
                <w:b w:val="0"/>
                <w:lang w:val="es-ES"/>
              </w:rPr>
              <w:t>El Estado se comprometió a reparar los pe</w:t>
            </w:r>
            <w:r w:rsidR="00C35BB1" w:rsidRPr="00D343D2">
              <w:rPr>
                <w:rFonts w:ascii="Calibri Light" w:hAnsi="Calibri Light"/>
                <w:b w:val="0"/>
                <w:lang w:val="es-ES"/>
              </w:rPr>
              <w:t>r</w:t>
            </w:r>
            <w:r w:rsidRPr="00D343D2">
              <w:rPr>
                <w:rFonts w:ascii="Calibri Light" w:hAnsi="Calibri Light"/>
                <w:b w:val="0"/>
                <w:lang w:val="es-ES"/>
              </w:rPr>
              <w:t>juicios inmateriales o materiales que llegaran a probarse a favor de los familiares directos de la víctima.</w:t>
            </w:r>
          </w:p>
          <w:p w14:paraId="6A4AA894" w14:textId="34F23777" w:rsidR="00676230" w:rsidRPr="00EB30A7" w:rsidRDefault="00676230" w:rsidP="00F45C64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</w:tc>
      </w:tr>
      <w:tr w:rsidR="00F464EC" w:rsidRPr="003B7CEC" w14:paraId="0B7CC98E" w14:textId="77777777" w:rsidTr="0007541F">
        <w:trPr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shd w:val="clear" w:color="auto" w:fill="auto"/>
          </w:tcPr>
          <w:p w14:paraId="66CFB853" w14:textId="4734A85B" w:rsidR="00F464EC" w:rsidRPr="003B7CEC" w:rsidRDefault="00F464EC" w:rsidP="00F464EC">
            <w:pPr>
              <w:pStyle w:val="ListParagraph"/>
              <w:spacing w:after="200" w:line="276" w:lineRule="auto"/>
              <w:rPr>
                <w:rFonts w:ascii="Calibri Light" w:hAnsi="Calibri Light"/>
                <w:lang w:val="es-ES"/>
              </w:rPr>
            </w:pPr>
          </w:p>
          <w:p w14:paraId="3C93C1C0" w14:textId="454C6855" w:rsidR="00F464EC" w:rsidRPr="003B7CEC" w:rsidRDefault="005D4D43" w:rsidP="003B7C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  <w:b w:val="0"/>
                <w:lang w:val="es-ES"/>
              </w:rPr>
            </w:pPr>
            <w:r w:rsidRPr="003B7CEC">
              <w:rPr>
                <w:rFonts w:ascii="Calibri Light" w:hAnsi="Calibri Light"/>
                <w:lang w:val="es-ES"/>
              </w:rPr>
              <w:t>Determ</w:t>
            </w:r>
            <w:r w:rsidR="003B7CEC" w:rsidRPr="003B7CEC">
              <w:rPr>
                <w:rFonts w:ascii="Calibri Light" w:hAnsi="Calibri Light"/>
                <w:lang w:val="es-ES"/>
              </w:rPr>
              <w:t>inación de compatibilidad y cumplimiento</w:t>
            </w:r>
          </w:p>
        </w:tc>
      </w:tr>
      <w:tr w:rsidR="00F464EC" w:rsidRPr="00EE709F" w14:paraId="41FA15A1" w14:textId="77777777" w:rsidTr="0007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</w:tcPr>
          <w:p w14:paraId="53E705F5" w14:textId="77777777" w:rsidR="009F09CB" w:rsidRDefault="009F09CB" w:rsidP="00DE3E44">
            <w:pPr>
              <w:jc w:val="both"/>
              <w:rPr>
                <w:rFonts w:ascii="Calibri Light" w:hAnsi="Calibri Light"/>
                <w:b w:val="0"/>
              </w:rPr>
            </w:pPr>
          </w:p>
          <w:p w14:paraId="3768A57E" w14:textId="18BE5213" w:rsidR="00DE3E44" w:rsidRPr="00D343D2" w:rsidRDefault="00DE3E44" w:rsidP="00DE3E44">
            <w:pPr>
              <w:jc w:val="both"/>
              <w:rPr>
                <w:rFonts w:ascii="Calibri Light" w:hAnsi="Calibri Light"/>
                <w:b w:val="0"/>
              </w:rPr>
            </w:pPr>
            <w:r w:rsidRPr="00D343D2">
              <w:rPr>
                <w:rFonts w:ascii="Calibri Light" w:hAnsi="Calibri Light"/>
                <w:b w:val="0"/>
              </w:rPr>
              <w:t>La CIDH determinó, a partir de la información suministrada por las partes:</w:t>
            </w:r>
          </w:p>
          <w:p w14:paraId="7C68EDC7" w14:textId="77777777" w:rsidR="00C35BB1" w:rsidRPr="00D343D2" w:rsidRDefault="00C35BB1" w:rsidP="00DE3E44">
            <w:pPr>
              <w:jc w:val="both"/>
              <w:rPr>
                <w:rFonts w:ascii="Calibri Light" w:hAnsi="Calibri Light"/>
                <w:b w:val="0"/>
              </w:rPr>
            </w:pPr>
          </w:p>
          <w:p w14:paraId="44A1A3A0" w14:textId="44DDFBB4" w:rsidR="00DE3E44" w:rsidRPr="00D343D2" w:rsidRDefault="00C4018E" w:rsidP="00D343D2">
            <w:pPr>
              <w:pStyle w:val="ListParagraph"/>
              <w:numPr>
                <w:ilvl w:val="0"/>
                <w:numId w:val="10"/>
              </w:numPr>
              <w:ind w:left="284" w:hanging="284"/>
              <w:jc w:val="both"/>
              <w:rPr>
                <w:rFonts w:ascii="Calibri Light" w:hAnsi="Calibri Light"/>
                <w:b w:val="0"/>
              </w:rPr>
            </w:pPr>
            <w:r w:rsidRPr="00D343D2">
              <w:rPr>
                <w:rFonts w:ascii="Calibri Light" w:hAnsi="Calibri Light"/>
                <w:b w:val="0"/>
              </w:rPr>
              <w:t xml:space="preserve">Aprobar los </w:t>
            </w:r>
            <w:proofErr w:type="spellStart"/>
            <w:r w:rsidRPr="00D343D2">
              <w:rPr>
                <w:rFonts w:ascii="Calibri Light" w:hAnsi="Calibri Light"/>
                <w:b w:val="0"/>
              </w:rPr>
              <w:t>términos</w:t>
            </w:r>
            <w:proofErr w:type="spellEnd"/>
            <w:r w:rsidRPr="00D343D2">
              <w:rPr>
                <w:rFonts w:ascii="Calibri Light" w:hAnsi="Calibri Light"/>
                <w:b w:val="0"/>
              </w:rPr>
              <w:t xml:space="preserve"> del acuerdo suscrito por las partes el 2 de marzo de 2016.</w:t>
            </w:r>
          </w:p>
          <w:p w14:paraId="6CE07FF7" w14:textId="77777777" w:rsidR="00C35BB1" w:rsidRPr="00D343D2" w:rsidRDefault="00C35BB1" w:rsidP="00D343D2">
            <w:pPr>
              <w:pStyle w:val="ListParagraph"/>
              <w:ind w:left="284" w:hanging="284"/>
              <w:jc w:val="both"/>
              <w:rPr>
                <w:rFonts w:ascii="Calibri Light" w:hAnsi="Calibri Light"/>
                <w:b w:val="0"/>
              </w:rPr>
            </w:pPr>
          </w:p>
          <w:p w14:paraId="5C2C5470" w14:textId="5BF1DF60" w:rsidR="00C4018E" w:rsidRPr="00D343D2" w:rsidRDefault="00C4018E" w:rsidP="00D343D2">
            <w:pPr>
              <w:pStyle w:val="ListParagraph"/>
              <w:numPr>
                <w:ilvl w:val="0"/>
                <w:numId w:val="10"/>
              </w:numPr>
              <w:ind w:left="284" w:hanging="284"/>
              <w:jc w:val="both"/>
              <w:rPr>
                <w:rFonts w:ascii="Calibri Light" w:hAnsi="Calibri Light"/>
                <w:b w:val="0"/>
              </w:rPr>
            </w:pPr>
            <w:r w:rsidRPr="00D343D2">
              <w:rPr>
                <w:rFonts w:ascii="Calibri Light" w:hAnsi="Calibri Light"/>
                <w:b w:val="0"/>
              </w:rPr>
              <w:t>Declarar pendientes de cumplimiento los compromisos asumidos por el Estado relativos a</w:t>
            </w:r>
            <w:r w:rsidR="00C35BB1" w:rsidRPr="00D343D2">
              <w:rPr>
                <w:rFonts w:ascii="Calibri Light" w:hAnsi="Calibri Light"/>
                <w:b w:val="0"/>
              </w:rPr>
              <w:t>:</w:t>
            </w:r>
            <w:r w:rsidRPr="00D343D2">
              <w:rPr>
                <w:rFonts w:ascii="Calibri Light" w:hAnsi="Calibri Light"/>
                <w:b w:val="0"/>
              </w:rPr>
              <w:t xml:space="preserve"> i) presentar la acción de revisión de sentencia, </w:t>
            </w:r>
            <w:proofErr w:type="spellStart"/>
            <w:r w:rsidRPr="00D343D2">
              <w:rPr>
                <w:rFonts w:ascii="Calibri Light" w:hAnsi="Calibri Light"/>
                <w:b w:val="0"/>
              </w:rPr>
              <w:t>ii</w:t>
            </w:r>
            <w:proofErr w:type="spellEnd"/>
            <w:r w:rsidRPr="00D343D2">
              <w:rPr>
                <w:rFonts w:ascii="Calibri Light" w:hAnsi="Calibri Light"/>
                <w:b w:val="0"/>
              </w:rPr>
              <w:t xml:space="preserve">) realizar las </w:t>
            </w:r>
            <w:proofErr w:type="spellStart"/>
            <w:r w:rsidRPr="00D343D2">
              <w:rPr>
                <w:rFonts w:ascii="Calibri Light" w:hAnsi="Calibri Light"/>
                <w:b w:val="0"/>
              </w:rPr>
              <w:t>medidad</w:t>
            </w:r>
            <w:proofErr w:type="spellEnd"/>
            <w:r w:rsidRPr="00D343D2">
              <w:rPr>
                <w:rFonts w:ascii="Calibri Light" w:hAnsi="Calibri Light"/>
                <w:b w:val="0"/>
              </w:rPr>
              <w:t xml:space="preserve"> de satisfacción y de rehabilitación, y </w:t>
            </w:r>
            <w:proofErr w:type="spellStart"/>
            <w:r w:rsidRPr="00D343D2">
              <w:rPr>
                <w:rFonts w:ascii="Calibri Light" w:hAnsi="Calibri Light"/>
                <w:b w:val="0"/>
              </w:rPr>
              <w:t>iii</w:t>
            </w:r>
            <w:proofErr w:type="spellEnd"/>
            <w:r w:rsidRPr="00D343D2">
              <w:rPr>
                <w:rFonts w:ascii="Calibri Light" w:hAnsi="Calibri Light"/>
                <w:b w:val="0"/>
              </w:rPr>
              <w:t>) reparar los pe</w:t>
            </w:r>
            <w:r w:rsidR="00C35BB1" w:rsidRPr="00D343D2">
              <w:rPr>
                <w:rFonts w:ascii="Calibri Light" w:hAnsi="Calibri Light"/>
                <w:b w:val="0"/>
              </w:rPr>
              <w:t>r</w:t>
            </w:r>
            <w:r w:rsidRPr="00D343D2">
              <w:rPr>
                <w:rFonts w:ascii="Calibri Light" w:hAnsi="Calibri Light"/>
                <w:b w:val="0"/>
              </w:rPr>
              <w:t>ju</w:t>
            </w:r>
            <w:r w:rsidR="00C35BB1" w:rsidRPr="00D343D2">
              <w:rPr>
                <w:rFonts w:ascii="Calibri Light" w:hAnsi="Calibri Light"/>
                <w:b w:val="0"/>
              </w:rPr>
              <w:t>i</w:t>
            </w:r>
            <w:r w:rsidRPr="00D343D2">
              <w:rPr>
                <w:rFonts w:ascii="Calibri Light" w:hAnsi="Calibri Light"/>
                <w:b w:val="0"/>
              </w:rPr>
              <w:t>cios inmateriales o mater</w:t>
            </w:r>
            <w:r w:rsidR="00C35BB1" w:rsidRPr="00D343D2">
              <w:rPr>
                <w:rFonts w:ascii="Calibri Light" w:hAnsi="Calibri Light"/>
                <w:b w:val="0"/>
              </w:rPr>
              <w:t>i</w:t>
            </w:r>
            <w:r w:rsidRPr="00D343D2">
              <w:rPr>
                <w:rFonts w:ascii="Calibri Light" w:hAnsi="Calibri Light"/>
                <w:b w:val="0"/>
              </w:rPr>
              <w:t>ales</w:t>
            </w:r>
            <w:r w:rsidR="00C35BB1" w:rsidRPr="00D343D2">
              <w:rPr>
                <w:rFonts w:ascii="Calibri Light" w:hAnsi="Calibri Light"/>
                <w:b w:val="0"/>
              </w:rPr>
              <w:t>.</w:t>
            </w:r>
          </w:p>
          <w:p w14:paraId="3C45A93A" w14:textId="77777777" w:rsidR="00C35BB1" w:rsidRPr="00D343D2" w:rsidRDefault="00C35BB1" w:rsidP="00D343D2">
            <w:pPr>
              <w:pStyle w:val="ListParagraph"/>
              <w:ind w:left="284" w:hanging="284"/>
              <w:rPr>
                <w:rFonts w:ascii="Calibri Light" w:hAnsi="Calibri Light"/>
                <w:b w:val="0"/>
              </w:rPr>
            </w:pPr>
          </w:p>
          <w:p w14:paraId="6183FFC2" w14:textId="325614CE" w:rsidR="00C4018E" w:rsidRPr="00D343D2" w:rsidRDefault="00C4018E" w:rsidP="00D343D2">
            <w:pPr>
              <w:pStyle w:val="ListParagraph"/>
              <w:numPr>
                <w:ilvl w:val="0"/>
                <w:numId w:val="10"/>
              </w:numPr>
              <w:ind w:left="284" w:hanging="284"/>
              <w:jc w:val="both"/>
              <w:rPr>
                <w:rFonts w:ascii="Calibri Light" w:hAnsi="Calibri Light"/>
                <w:b w:val="0"/>
              </w:rPr>
            </w:pPr>
            <w:r w:rsidRPr="00D343D2">
              <w:rPr>
                <w:rFonts w:ascii="Calibri Light" w:hAnsi="Calibri Light"/>
                <w:b w:val="0"/>
              </w:rPr>
              <w:t xml:space="preserve">Continuar con la </w:t>
            </w:r>
            <w:r w:rsidR="00D343D2" w:rsidRPr="00D343D2">
              <w:rPr>
                <w:rFonts w:ascii="Calibri Light" w:hAnsi="Calibri Light"/>
                <w:b w:val="0"/>
              </w:rPr>
              <w:t>supervisión</w:t>
            </w:r>
            <w:r w:rsidRPr="00D343D2">
              <w:rPr>
                <w:rFonts w:ascii="Calibri Light" w:hAnsi="Calibri Light"/>
                <w:b w:val="0"/>
              </w:rPr>
              <w:t xml:space="preserve"> de todos los compromisos pendientes de cumplimiento por parte del Estado colombiano, precisando que es deber de las partes informar periódicamente a la CIDH sobre el avance relativo a dichos compromisos.</w:t>
            </w:r>
          </w:p>
          <w:p w14:paraId="1F3EA985" w14:textId="65A8BFFE" w:rsidR="00F464EC" w:rsidRPr="00EE709F" w:rsidRDefault="00F464EC" w:rsidP="00EE709F">
            <w:pPr>
              <w:pStyle w:val="ListParagraph"/>
              <w:ind w:left="0"/>
              <w:jc w:val="both"/>
              <w:rPr>
                <w:rFonts w:ascii="Calibri Light" w:hAnsi="Calibri Light"/>
                <w:b w:val="0"/>
                <w:lang w:val="es-ES"/>
              </w:rPr>
            </w:pPr>
          </w:p>
        </w:tc>
      </w:tr>
      <w:tr w:rsidR="0007541F" w:rsidRPr="00EE709F" w14:paraId="48E33EB4" w14:textId="77777777" w:rsidTr="0007541F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</w:tcPr>
          <w:p w14:paraId="672830B3" w14:textId="77777777" w:rsidR="0007541F" w:rsidRPr="00612EA9" w:rsidRDefault="0007541F" w:rsidP="0007541F">
            <w:pPr>
              <w:pStyle w:val="ListParagraph"/>
              <w:jc w:val="center"/>
              <w:rPr>
                <w:rFonts w:ascii="Calibri Light" w:hAnsi="Calibri Light"/>
                <w:lang w:val="es-ES"/>
              </w:rPr>
            </w:pPr>
          </w:p>
          <w:p w14:paraId="311E3704" w14:textId="6F4E2672" w:rsidR="00CE7F9C" w:rsidRPr="00612EA9" w:rsidRDefault="00CE7F9C" w:rsidP="00CE7F9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612EA9">
              <w:rPr>
                <w:rFonts w:ascii="Calibri Light" w:hAnsi="Calibri Light"/>
              </w:rPr>
              <w:t>Impactos individuales y estructurales del ASA</w:t>
            </w:r>
          </w:p>
          <w:p w14:paraId="41F0AB2A" w14:textId="78BB93FE" w:rsidR="0007541F" w:rsidRPr="00612EA9" w:rsidRDefault="0007541F" w:rsidP="0007541F">
            <w:pPr>
              <w:pStyle w:val="ListParagraph"/>
              <w:rPr>
                <w:rFonts w:ascii="Calibri Light" w:hAnsi="Calibri Light"/>
                <w:b w:val="0"/>
              </w:rPr>
            </w:pPr>
          </w:p>
        </w:tc>
      </w:tr>
      <w:tr w:rsidR="0007541F" w:rsidRPr="00EE709F" w14:paraId="2EF5897E" w14:textId="77777777" w:rsidTr="0007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</w:tcPr>
          <w:p w14:paraId="69E7A4DA" w14:textId="03CB45AB" w:rsidR="000C2120" w:rsidRPr="00612EA9" w:rsidRDefault="000C2120" w:rsidP="000C2120">
            <w:pPr>
              <w:jc w:val="both"/>
              <w:rPr>
                <w:rFonts w:cs="Calibri"/>
                <w:lang w:val="es-CO"/>
              </w:rPr>
            </w:pPr>
            <w:r w:rsidRPr="00612EA9">
              <w:rPr>
                <w:rFonts w:cs="Calibri"/>
                <w:b w:val="0"/>
                <w:bCs w:val="0"/>
                <w:lang w:val="es-CO"/>
              </w:rPr>
              <w:t>En el marco del seguimiento de la implementación del acuerdo de solución amistosa, a fecha 31 de diciembre de 2021, la Comisión ha identificado los siguientes impactos individuales y estructurales derivados del cumplimiento de este:</w:t>
            </w:r>
          </w:p>
          <w:p w14:paraId="283C5B02" w14:textId="2E7C23CF" w:rsidR="00FB32A8" w:rsidRPr="00612EA9" w:rsidRDefault="00FB32A8" w:rsidP="000C2120">
            <w:pPr>
              <w:jc w:val="both"/>
              <w:rPr>
                <w:rFonts w:cs="Calibri"/>
                <w:b w:val="0"/>
                <w:bCs w:val="0"/>
                <w:lang w:val="es-CO"/>
              </w:rPr>
            </w:pPr>
          </w:p>
          <w:p w14:paraId="3EEF594D" w14:textId="77777777" w:rsidR="00FB32A8" w:rsidRPr="00612EA9" w:rsidRDefault="00FB32A8" w:rsidP="00057BF9">
            <w:pPr>
              <w:ind w:left="705" w:firstLine="720"/>
              <w:jc w:val="both"/>
              <w:rPr>
                <w:rFonts w:cs="Calibri"/>
                <w:lang w:val="es-CO"/>
              </w:rPr>
            </w:pPr>
            <w:r w:rsidRPr="00612EA9">
              <w:rPr>
                <w:rFonts w:cs="Calibri"/>
                <w:lang w:val="es-CO"/>
              </w:rPr>
              <w:t>A.</w:t>
            </w:r>
            <w:r w:rsidRPr="00612EA9">
              <w:rPr>
                <w:rFonts w:cs="Calibri"/>
                <w:lang w:val="es-CO"/>
              </w:rPr>
              <w:tab/>
              <w:t>Resultados individuales del caso</w:t>
            </w:r>
          </w:p>
          <w:p w14:paraId="7F41A913" w14:textId="77777777" w:rsidR="00FB32A8" w:rsidRPr="00612EA9" w:rsidRDefault="00FB32A8" w:rsidP="00057BF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</w:p>
          <w:p w14:paraId="15003065" w14:textId="77777777" w:rsidR="00FB32A8" w:rsidRPr="00612EA9" w:rsidRDefault="00FB32A8" w:rsidP="00057BF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  <w:r w:rsidRPr="00612EA9">
              <w:rPr>
                <w:rFonts w:cs="Calibri"/>
                <w:b w:val="0"/>
                <w:bCs w:val="0"/>
                <w:lang w:val="es-CO"/>
              </w:rPr>
              <w:t>•</w:t>
            </w:r>
            <w:r w:rsidRPr="00612EA9">
              <w:rPr>
                <w:rFonts w:cs="Calibri"/>
                <w:b w:val="0"/>
                <w:bCs w:val="0"/>
                <w:lang w:val="es-CO"/>
              </w:rPr>
              <w:tab/>
              <w:t>El Estado reconoció su responsabilidad internacional en el caso por las violaciones ocurridas;</w:t>
            </w:r>
          </w:p>
          <w:p w14:paraId="434D5B26" w14:textId="77777777" w:rsidR="00FB32A8" w:rsidRPr="00612EA9" w:rsidRDefault="00FB32A8" w:rsidP="00057BF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  <w:r w:rsidRPr="00612EA9">
              <w:rPr>
                <w:rFonts w:cs="Calibri"/>
                <w:b w:val="0"/>
                <w:bCs w:val="0"/>
                <w:lang w:val="es-CO"/>
              </w:rPr>
              <w:t>•</w:t>
            </w:r>
            <w:r w:rsidRPr="00612EA9">
              <w:rPr>
                <w:rFonts w:cs="Calibri"/>
                <w:b w:val="0"/>
                <w:bCs w:val="0"/>
                <w:lang w:val="es-CO"/>
              </w:rPr>
              <w:tab/>
              <w:t xml:space="preserve">Se está brindado la medida educativa a los hermanos de la víctima; </w:t>
            </w:r>
          </w:p>
          <w:p w14:paraId="09AE8D16" w14:textId="77777777" w:rsidR="00FB32A8" w:rsidRPr="00612EA9" w:rsidRDefault="00FB32A8" w:rsidP="00057BF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  <w:r w:rsidRPr="00612EA9">
              <w:rPr>
                <w:rFonts w:cs="Calibri"/>
                <w:b w:val="0"/>
                <w:bCs w:val="0"/>
                <w:lang w:val="es-CO"/>
              </w:rPr>
              <w:t>•</w:t>
            </w:r>
            <w:r w:rsidRPr="00612EA9">
              <w:rPr>
                <w:rFonts w:cs="Calibri"/>
                <w:b w:val="0"/>
                <w:bCs w:val="0"/>
                <w:lang w:val="es-CO"/>
              </w:rPr>
              <w:tab/>
              <w:t>Se exoneró a William Alfonso Apache (hermano de la víctima) de prestar el servicio militar obligatorio y se le expidió su libreta militar sin costo alguno;</w:t>
            </w:r>
          </w:p>
          <w:p w14:paraId="08673506" w14:textId="77777777" w:rsidR="00FB32A8" w:rsidRPr="00612EA9" w:rsidRDefault="00FB32A8" w:rsidP="00057BF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  <w:r w:rsidRPr="00612EA9">
              <w:rPr>
                <w:rFonts w:cs="Calibri"/>
                <w:b w:val="0"/>
                <w:bCs w:val="0"/>
                <w:lang w:val="es-CO"/>
              </w:rPr>
              <w:t>•</w:t>
            </w:r>
            <w:r w:rsidRPr="00612EA9">
              <w:rPr>
                <w:rFonts w:cs="Calibri"/>
                <w:b w:val="0"/>
                <w:bCs w:val="0"/>
                <w:lang w:val="es-CO"/>
              </w:rPr>
              <w:tab/>
              <w:t>Se registró a los beneficiarios del ASA en el registro Único de Victimas;</w:t>
            </w:r>
          </w:p>
          <w:p w14:paraId="7A69EB36" w14:textId="77777777" w:rsidR="00FB32A8" w:rsidRPr="00612EA9" w:rsidRDefault="00FB32A8" w:rsidP="00057BF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  <w:r w:rsidRPr="00612EA9">
              <w:rPr>
                <w:rFonts w:cs="Calibri"/>
                <w:b w:val="0"/>
                <w:bCs w:val="0"/>
                <w:lang w:val="es-CO"/>
              </w:rPr>
              <w:t>•</w:t>
            </w:r>
            <w:r w:rsidRPr="00612EA9">
              <w:rPr>
                <w:rFonts w:cs="Calibri"/>
                <w:b w:val="0"/>
                <w:bCs w:val="0"/>
                <w:lang w:val="es-CO"/>
              </w:rPr>
              <w:tab/>
              <w:t xml:space="preserve">Se les dio a los beneficiarios del ASA la cobertura en salud a través de la EPS; </w:t>
            </w:r>
          </w:p>
          <w:p w14:paraId="4C71741F" w14:textId="77777777" w:rsidR="00FB32A8" w:rsidRPr="00612EA9" w:rsidRDefault="00FB32A8" w:rsidP="00057BF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  <w:r w:rsidRPr="00612EA9">
              <w:rPr>
                <w:rFonts w:cs="Calibri"/>
                <w:b w:val="0"/>
                <w:bCs w:val="0"/>
                <w:lang w:val="es-CO"/>
              </w:rPr>
              <w:t>•</w:t>
            </w:r>
            <w:r w:rsidRPr="00612EA9">
              <w:rPr>
                <w:rFonts w:cs="Calibri"/>
                <w:b w:val="0"/>
                <w:bCs w:val="0"/>
                <w:lang w:val="es-CO"/>
              </w:rPr>
              <w:tab/>
              <w:t>Se les brindó a los beneficiarios el servicio de atención psicosocial a través del PAPSIVI;</w:t>
            </w:r>
          </w:p>
          <w:p w14:paraId="3780ACB1" w14:textId="77777777" w:rsidR="00FB32A8" w:rsidRPr="00612EA9" w:rsidRDefault="00FB32A8" w:rsidP="00057BF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  <w:r w:rsidRPr="00612EA9">
              <w:rPr>
                <w:rFonts w:cs="Calibri"/>
                <w:b w:val="0"/>
                <w:bCs w:val="0"/>
                <w:lang w:val="es-CO"/>
              </w:rPr>
              <w:t>•</w:t>
            </w:r>
            <w:r w:rsidRPr="00612EA9">
              <w:rPr>
                <w:rFonts w:cs="Calibri"/>
                <w:b w:val="0"/>
                <w:bCs w:val="0"/>
                <w:lang w:val="es-CO"/>
              </w:rPr>
              <w:tab/>
              <w:t>El Estado pagó la reparación pecuniaria de 234.372.600.00 pesos a favor de los beneficiarios del acuerdo.</w:t>
            </w:r>
          </w:p>
          <w:p w14:paraId="5E6DDD90" w14:textId="77777777" w:rsidR="00FB32A8" w:rsidRPr="00612EA9" w:rsidRDefault="00FB32A8" w:rsidP="00057BF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</w:p>
          <w:p w14:paraId="37D9C04B" w14:textId="77777777" w:rsidR="00FB32A8" w:rsidRPr="00612EA9" w:rsidRDefault="00FB32A8" w:rsidP="00057BF9">
            <w:pPr>
              <w:ind w:left="705" w:firstLine="720"/>
              <w:jc w:val="both"/>
              <w:rPr>
                <w:rFonts w:cs="Calibri"/>
                <w:lang w:val="es-CO"/>
              </w:rPr>
            </w:pPr>
            <w:r w:rsidRPr="00612EA9">
              <w:rPr>
                <w:rFonts w:cs="Calibri"/>
                <w:lang w:val="es-CO"/>
              </w:rPr>
              <w:t>B.</w:t>
            </w:r>
            <w:r w:rsidRPr="00612EA9">
              <w:rPr>
                <w:rFonts w:cs="Calibri"/>
                <w:lang w:val="es-CO"/>
              </w:rPr>
              <w:tab/>
              <w:t>Resultados estructurales del caso</w:t>
            </w:r>
          </w:p>
          <w:p w14:paraId="37B2D510" w14:textId="77777777" w:rsidR="00FB32A8" w:rsidRPr="00612EA9" w:rsidRDefault="00FB32A8" w:rsidP="00057BF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</w:p>
          <w:p w14:paraId="6B768BFF" w14:textId="72571137" w:rsidR="00FB32A8" w:rsidRPr="00612EA9" w:rsidRDefault="00FB32A8" w:rsidP="00057BF9">
            <w:pPr>
              <w:ind w:left="705" w:firstLine="720"/>
              <w:jc w:val="both"/>
              <w:rPr>
                <w:rFonts w:cs="Calibri"/>
                <w:lang w:val="es-CO"/>
              </w:rPr>
            </w:pPr>
            <w:r w:rsidRPr="00612EA9">
              <w:rPr>
                <w:rFonts w:cs="Calibri"/>
                <w:b w:val="0"/>
                <w:bCs w:val="0"/>
                <w:lang w:val="es-CO"/>
              </w:rPr>
              <w:t>•</w:t>
            </w:r>
            <w:r w:rsidRPr="00612EA9">
              <w:rPr>
                <w:rFonts w:cs="Calibri"/>
                <w:b w:val="0"/>
                <w:bCs w:val="0"/>
                <w:lang w:val="es-CO"/>
              </w:rPr>
              <w:tab/>
              <w:t>Se efectuó la revisión del proceso penal. El 2 de mayo de 2018, la Corte Suprema de Justicia, Sala Penal dejó sin efectos las sentencias del 29 de mayo y 3 de septiembre de 2003, a través de las cuales se absolvió a Pedro José Guarnizo del delito de homicidio agravado.</w:t>
            </w:r>
          </w:p>
          <w:p w14:paraId="113C663E" w14:textId="552B045B" w:rsidR="00057BF9" w:rsidRPr="00612EA9" w:rsidRDefault="00057BF9" w:rsidP="00057BF9">
            <w:pPr>
              <w:jc w:val="both"/>
              <w:rPr>
                <w:rFonts w:cs="Calibri"/>
                <w:lang w:val="es-CO"/>
              </w:rPr>
            </w:pPr>
          </w:p>
          <w:p w14:paraId="6E52FADC" w14:textId="40AAEBEB" w:rsidR="00057BF9" w:rsidRPr="00612EA9" w:rsidRDefault="0052371B" w:rsidP="00057BF9">
            <w:pPr>
              <w:jc w:val="both"/>
              <w:rPr>
                <w:rFonts w:cs="Calibri"/>
                <w:b w:val="0"/>
                <w:bCs w:val="0"/>
                <w:lang w:val="es-CO"/>
              </w:rPr>
            </w:pPr>
            <w:r w:rsidRPr="00612EA9">
              <w:rPr>
                <w:rFonts w:cs="Calibri"/>
                <w:b w:val="0"/>
                <w:bCs w:val="0"/>
                <w:lang w:val="es-CO"/>
              </w:rPr>
              <w:t>Por lo expuesto, la Comisión ha concluido que el acuerdo de solución amistosa se encuentra sustancialmente cumplido y</w:t>
            </w:r>
            <w:r w:rsidR="001540E7" w:rsidRPr="00612EA9">
              <w:rPr>
                <w:rFonts w:cs="Calibri"/>
                <w:b w:val="0"/>
                <w:bCs w:val="0"/>
                <w:lang w:val="es-CO"/>
              </w:rPr>
              <w:t xml:space="preserve"> contin</w:t>
            </w:r>
            <w:r w:rsidR="00682D69" w:rsidRPr="00612EA9">
              <w:rPr>
                <w:rFonts w:cs="Calibri"/>
                <w:b w:val="0"/>
                <w:bCs w:val="0"/>
                <w:lang w:val="es-CO"/>
              </w:rPr>
              <w:t>uará</w:t>
            </w:r>
            <w:r w:rsidR="001540E7" w:rsidRPr="00612EA9">
              <w:rPr>
                <w:rFonts w:cs="Calibri"/>
                <w:b w:val="0"/>
                <w:bCs w:val="0"/>
                <w:lang w:val="es-CO"/>
              </w:rPr>
              <w:t xml:space="preserve"> supervisando el cumplimiento de </w:t>
            </w:r>
            <w:r w:rsidRPr="00612EA9">
              <w:rPr>
                <w:rFonts w:cs="Calibri"/>
                <w:b w:val="0"/>
                <w:bCs w:val="0"/>
                <w:lang w:val="es-CO"/>
              </w:rPr>
              <w:t>el numeral 2 de la cláusula tercera</w:t>
            </w:r>
            <w:r w:rsidR="00682D69" w:rsidRPr="00612EA9">
              <w:rPr>
                <w:rFonts w:cs="Calibri"/>
                <w:b w:val="0"/>
                <w:bCs w:val="0"/>
                <w:lang w:val="es-CO"/>
              </w:rPr>
              <w:t xml:space="preserve"> hasta su total cumplimiento.</w:t>
            </w:r>
          </w:p>
          <w:p w14:paraId="2164B161" w14:textId="77777777" w:rsidR="0007541F" w:rsidRPr="00612EA9" w:rsidRDefault="0007541F" w:rsidP="0007541F">
            <w:pPr>
              <w:jc w:val="both"/>
              <w:rPr>
                <w:rFonts w:ascii="Calibri Light" w:hAnsi="Calibri Light"/>
                <w:b w:val="0"/>
                <w:lang w:val="es-CO"/>
              </w:rPr>
            </w:pPr>
          </w:p>
        </w:tc>
      </w:tr>
    </w:tbl>
    <w:p w14:paraId="23A9A3C3" w14:textId="77777777" w:rsidR="00714E42" w:rsidRPr="00EE709F" w:rsidRDefault="00714E42" w:rsidP="00A65231">
      <w:pPr>
        <w:rPr>
          <w:lang w:val="es-ES"/>
        </w:rPr>
      </w:pPr>
    </w:p>
    <w:sectPr w:rsidR="00714E42" w:rsidRPr="00EE709F" w:rsidSect="00A65231">
      <w:footerReference w:type="default" r:id="rId14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29B4" w14:textId="77777777" w:rsidR="00447802" w:rsidRDefault="00447802" w:rsidP="00A65231">
      <w:pPr>
        <w:spacing w:after="0" w:line="240" w:lineRule="auto"/>
      </w:pPr>
      <w:r>
        <w:separator/>
      </w:r>
    </w:p>
  </w:endnote>
  <w:endnote w:type="continuationSeparator" w:id="0">
    <w:p w14:paraId="5F255AD3" w14:textId="77777777" w:rsidR="00447802" w:rsidRDefault="00447802" w:rsidP="00A6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71937"/>
      <w:docPartObj>
        <w:docPartGallery w:val="Page Numbers (Bottom of Page)"/>
        <w:docPartUnique/>
      </w:docPartObj>
    </w:sdtPr>
    <w:sdtEndPr/>
    <w:sdtContent>
      <w:p w14:paraId="23A746CC" w14:textId="77777777" w:rsidR="00A65231" w:rsidRDefault="00A652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FAC" w:rsidRPr="005D7FAC">
          <w:rPr>
            <w:noProof/>
            <w:lang w:val="es-ES"/>
          </w:rPr>
          <w:t>3</w:t>
        </w:r>
        <w:r>
          <w:fldChar w:fldCharType="end"/>
        </w:r>
      </w:p>
    </w:sdtContent>
  </w:sdt>
  <w:p w14:paraId="6353BB13" w14:textId="77777777" w:rsidR="00A65231" w:rsidRDefault="00A65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D9F7" w14:textId="77777777" w:rsidR="00447802" w:rsidRDefault="00447802" w:rsidP="00A65231">
      <w:pPr>
        <w:spacing w:after="0" w:line="240" w:lineRule="auto"/>
      </w:pPr>
      <w:r>
        <w:separator/>
      </w:r>
    </w:p>
  </w:footnote>
  <w:footnote w:type="continuationSeparator" w:id="0">
    <w:p w14:paraId="6148C780" w14:textId="77777777" w:rsidR="00447802" w:rsidRDefault="00447802" w:rsidP="00A6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41C8"/>
    <w:multiLevelType w:val="hybridMultilevel"/>
    <w:tmpl w:val="A084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5EBA"/>
    <w:multiLevelType w:val="hybridMultilevel"/>
    <w:tmpl w:val="396AF096"/>
    <w:lvl w:ilvl="0" w:tplc="38B008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C7A63"/>
    <w:multiLevelType w:val="hybridMultilevel"/>
    <w:tmpl w:val="B0AC6956"/>
    <w:lvl w:ilvl="0" w:tplc="E0909D0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1334F"/>
    <w:multiLevelType w:val="hybridMultilevel"/>
    <w:tmpl w:val="54B2BECC"/>
    <w:lvl w:ilvl="0" w:tplc="20DE63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10C"/>
    <w:multiLevelType w:val="hybridMultilevel"/>
    <w:tmpl w:val="8D1013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91683"/>
    <w:multiLevelType w:val="hybridMultilevel"/>
    <w:tmpl w:val="C4B04EB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5046FB2"/>
    <w:multiLevelType w:val="hybridMultilevel"/>
    <w:tmpl w:val="7BB2EC6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1A22F4"/>
    <w:multiLevelType w:val="hybridMultilevel"/>
    <w:tmpl w:val="C1A0C3EA"/>
    <w:lvl w:ilvl="0" w:tplc="080A0013">
      <w:start w:val="1"/>
      <w:numFmt w:val="upperRoman"/>
      <w:lvlText w:val="%1."/>
      <w:lvlJc w:val="right"/>
      <w:pPr>
        <w:ind w:left="720" w:hanging="180"/>
      </w:pPr>
    </w:lvl>
    <w:lvl w:ilvl="1" w:tplc="080A0011">
      <w:start w:val="1"/>
      <w:numFmt w:val="decimal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C141A"/>
    <w:multiLevelType w:val="hybridMultilevel"/>
    <w:tmpl w:val="54B2BE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D40FF"/>
    <w:multiLevelType w:val="hybridMultilevel"/>
    <w:tmpl w:val="AF060748"/>
    <w:lvl w:ilvl="0" w:tplc="C908F3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BF0003"/>
    <w:multiLevelType w:val="hybridMultilevel"/>
    <w:tmpl w:val="2ECCC95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102865">
    <w:abstractNumId w:val="7"/>
  </w:num>
  <w:num w:numId="2" w16cid:durableId="612133100">
    <w:abstractNumId w:val="3"/>
  </w:num>
  <w:num w:numId="3" w16cid:durableId="123282417">
    <w:abstractNumId w:val="1"/>
  </w:num>
  <w:num w:numId="4" w16cid:durableId="702562588">
    <w:abstractNumId w:val="4"/>
  </w:num>
  <w:num w:numId="5" w16cid:durableId="1122071506">
    <w:abstractNumId w:val="6"/>
  </w:num>
  <w:num w:numId="6" w16cid:durableId="761796579">
    <w:abstractNumId w:val="10"/>
  </w:num>
  <w:num w:numId="7" w16cid:durableId="512915408">
    <w:abstractNumId w:val="2"/>
  </w:num>
  <w:num w:numId="8" w16cid:durableId="1574076371">
    <w:abstractNumId w:val="9"/>
  </w:num>
  <w:num w:numId="9" w16cid:durableId="227157853">
    <w:abstractNumId w:val="5"/>
  </w:num>
  <w:num w:numId="10" w16cid:durableId="180170800">
    <w:abstractNumId w:val="0"/>
  </w:num>
  <w:num w:numId="11" w16cid:durableId="1338381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59"/>
    <w:rsid w:val="00012054"/>
    <w:rsid w:val="00052017"/>
    <w:rsid w:val="0005205B"/>
    <w:rsid w:val="00057BF9"/>
    <w:rsid w:val="0007541F"/>
    <w:rsid w:val="0008454C"/>
    <w:rsid w:val="000C2120"/>
    <w:rsid w:val="000C2ED1"/>
    <w:rsid w:val="000C5A72"/>
    <w:rsid w:val="000D3CF2"/>
    <w:rsid w:val="000E57C8"/>
    <w:rsid w:val="000F2C70"/>
    <w:rsid w:val="00107AC4"/>
    <w:rsid w:val="001540E7"/>
    <w:rsid w:val="00196E19"/>
    <w:rsid w:val="001A14F7"/>
    <w:rsid w:val="001A59E2"/>
    <w:rsid w:val="001C28EC"/>
    <w:rsid w:val="00212F62"/>
    <w:rsid w:val="00213757"/>
    <w:rsid w:val="00220B73"/>
    <w:rsid w:val="00220B75"/>
    <w:rsid w:val="00223E91"/>
    <w:rsid w:val="00267841"/>
    <w:rsid w:val="0029428C"/>
    <w:rsid w:val="0029671B"/>
    <w:rsid w:val="002D6ABD"/>
    <w:rsid w:val="00302C0F"/>
    <w:rsid w:val="00305CB1"/>
    <w:rsid w:val="00317EE5"/>
    <w:rsid w:val="00346FF2"/>
    <w:rsid w:val="003B7CEC"/>
    <w:rsid w:val="003D7DDD"/>
    <w:rsid w:val="003E6AB8"/>
    <w:rsid w:val="00411A74"/>
    <w:rsid w:val="004136D8"/>
    <w:rsid w:val="00421D6C"/>
    <w:rsid w:val="00431F73"/>
    <w:rsid w:val="0043242B"/>
    <w:rsid w:val="0043242E"/>
    <w:rsid w:val="00436D4F"/>
    <w:rsid w:val="00447802"/>
    <w:rsid w:val="00451809"/>
    <w:rsid w:val="00452AA6"/>
    <w:rsid w:val="004533E5"/>
    <w:rsid w:val="004560E7"/>
    <w:rsid w:val="00464CAC"/>
    <w:rsid w:val="00481F1E"/>
    <w:rsid w:val="004858A8"/>
    <w:rsid w:val="004861D8"/>
    <w:rsid w:val="004B042E"/>
    <w:rsid w:val="004B1311"/>
    <w:rsid w:val="004B4A61"/>
    <w:rsid w:val="004E678F"/>
    <w:rsid w:val="004F061A"/>
    <w:rsid w:val="00511B7C"/>
    <w:rsid w:val="00515665"/>
    <w:rsid w:val="005173CF"/>
    <w:rsid w:val="00521E5B"/>
    <w:rsid w:val="0052371B"/>
    <w:rsid w:val="00540EF7"/>
    <w:rsid w:val="00557C90"/>
    <w:rsid w:val="00560A53"/>
    <w:rsid w:val="00561359"/>
    <w:rsid w:val="005C3229"/>
    <w:rsid w:val="005D4D43"/>
    <w:rsid w:val="005D4FDF"/>
    <w:rsid w:val="005D7FAC"/>
    <w:rsid w:val="00612EA9"/>
    <w:rsid w:val="006407DD"/>
    <w:rsid w:val="00665927"/>
    <w:rsid w:val="00676230"/>
    <w:rsid w:val="00682D69"/>
    <w:rsid w:val="00685F04"/>
    <w:rsid w:val="006B6554"/>
    <w:rsid w:val="006D488A"/>
    <w:rsid w:val="006F6751"/>
    <w:rsid w:val="00700C9C"/>
    <w:rsid w:val="00714E42"/>
    <w:rsid w:val="00731629"/>
    <w:rsid w:val="00747E22"/>
    <w:rsid w:val="0079477F"/>
    <w:rsid w:val="007A6C56"/>
    <w:rsid w:val="007B5FB9"/>
    <w:rsid w:val="007B7ED8"/>
    <w:rsid w:val="007E382B"/>
    <w:rsid w:val="007F1C3C"/>
    <w:rsid w:val="008036E7"/>
    <w:rsid w:val="00841B0E"/>
    <w:rsid w:val="00866A4D"/>
    <w:rsid w:val="008871B9"/>
    <w:rsid w:val="008E2BF8"/>
    <w:rsid w:val="008E71B0"/>
    <w:rsid w:val="0090367F"/>
    <w:rsid w:val="00904A01"/>
    <w:rsid w:val="00931244"/>
    <w:rsid w:val="00943E20"/>
    <w:rsid w:val="00954E20"/>
    <w:rsid w:val="009A1D17"/>
    <w:rsid w:val="009A567B"/>
    <w:rsid w:val="009B32B8"/>
    <w:rsid w:val="009F09CB"/>
    <w:rsid w:val="00A041F9"/>
    <w:rsid w:val="00A133CC"/>
    <w:rsid w:val="00A271BF"/>
    <w:rsid w:val="00A4435A"/>
    <w:rsid w:val="00A65231"/>
    <w:rsid w:val="00A90DAC"/>
    <w:rsid w:val="00A90F5F"/>
    <w:rsid w:val="00A91B24"/>
    <w:rsid w:val="00AA2C6C"/>
    <w:rsid w:val="00AC6F31"/>
    <w:rsid w:val="00AD7DDC"/>
    <w:rsid w:val="00AE5EFD"/>
    <w:rsid w:val="00B07E72"/>
    <w:rsid w:val="00B10250"/>
    <w:rsid w:val="00B71B8C"/>
    <w:rsid w:val="00B771B5"/>
    <w:rsid w:val="00B77C6D"/>
    <w:rsid w:val="00B93CB9"/>
    <w:rsid w:val="00BB2901"/>
    <w:rsid w:val="00BB61C6"/>
    <w:rsid w:val="00BD48E5"/>
    <w:rsid w:val="00BE6FA1"/>
    <w:rsid w:val="00BF0A90"/>
    <w:rsid w:val="00BF138C"/>
    <w:rsid w:val="00C10419"/>
    <w:rsid w:val="00C1795A"/>
    <w:rsid w:val="00C23E98"/>
    <w:rsid w:val="00C31DFF"/>
    <w:rsid w:val="00C33FA4"/>
    <w:rsid w:val="00C35BB1"/>
    <w:rsid w:val="00C4018E"/>
    <w:rsid w:val="00C4328B"/>
    <w:rsid w:val="00C45F6B"/>
    <w:rsid w:val="00C63B25"/>
    <w:rsid w:val="00C834DA"/>
    <w:rsid w:val="00CB295C"/>
    <w:rsid w:val="00CE7F9C"/>
    <w:rsid w:val="00CF57FE"/>
    <w:rsid w:val="00D0696E"/>
    <w:rsid w:val="00D26220"/>
    <w:rsid w:val="00D31759"/>
    <w:rsid w:val="00D343D2"/>
    <w:rsid w:val="00D8166B"/>
    <w:rsid w:val="00D84B0E"/>
    <w:rsid w:val="00DA0A48"/>
    <w:rsid w:val="00DB79B2"/>
    <w:rsid w:val="00DC29B3"/>
    <w:rsid w:val="00DD3C7C"/>
    <w:rsid w:val="00DE3E44"/>
    <w:rsid w:val="00DF2AFB"/>
    <w:rsid w:val="00E35FF7"/>
    <w:rsid w:val="00E52C53"/>
    <w:rsid w:val="00E70179"/>
    <w:rsid w:val="00E902A8"/>
    <w:rsid w:val="00E93E25"/>
    <w:rsid w:val="00EB30A7"/>
    <w:rsid w:val="00EC1556"/>
    <w:rsid w:val="00EC660E"/>
    <w:rsid w:val="00ED3CEE"/>
    <w:rsid w:val="00EE6D35"/>
    <w:rsid w:val="00EE709F"/>
    <w:rsid w:val="00F02F28"/>
    <w:rsid w:val="00F06184"/>
    <w:rsid w:val="00F35633"/>
    <w:rsid w:val="00F40D48"/>
    <w:rsid w:val="00F45C64"/>
    <w:rsid w:val="00F464EC"/>
    <w:rsid w:val="00F53444"/>
    <w:rsid w:val="00F55CD0"/>
    <w:rsid w:val="00F725A5"/>
    <w:rsid w:val="00F73438"/>
    <w:rsid w:val="00F83405"/>
    <w:rsid w:val="00F92FC8"/>
    <w:rsid w:val="00F97C21"/>
    <w:rsid w:val="00FB0F60"/>
    <w:rsid w:val="00FB1D17"/>
    <w:rsid w:val="00FB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6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359"/>
    <w:rPr>
      <w:rFonts w:ascii="Calibri" w:eastAsia="Calibri" w:hAnsi="Calibri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59"/>
    <w:rPr>
      <w:rFonts w:ascii="Calibri" w:eastAsia="Calibri" w:hAnsi="Calibri" w:cs="Times New Roman"/>
      <w:lang w:val="es-MX"/>
    </w:rPr>
  </w:style>
  <w:style w:type="table" w:styleId="TableGrid">
    <w:name w:val="Table Grid"/>
    <w:basedOn w:val="TableNormal"/>
    <w:uiPriority w:val="59"/>
    <w:rsid w:val="0051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173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5173C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1-Accent3">
    <w:name w:val="Medium Grid 1 Accent 3"/>
    <w:basedOn w:val="TableNormal"/>
    <w:uiPriority w:val="67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1">
    <w:name w:val="Medium Grid 1 Accent 1"/>
    <w:basedOn w:val="TableNormal"/>
    <w:uiPriority w:val="67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7A6C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5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31"/>
    <w:rPr>
      <w:rFonts w:ascii="Calibri" w:eastAsia="Calibri" w:hAnsi="Calibri" w:cs="Times New Roman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20"/>
    <w:rPr>
      <w:rFonts w:ascii="Tahoma" w:eastAsia="Calibri" w:hAnsi="Tahoma" w:cs="Tahoma"/>
      <w:sz w:val="16"/>
      <w:szCs w:val="16"/>
      <w:lang w:val="es-MX"/>
    </w:rPr>
  </w:style>
  <w:style w:type="table" w:customStyle="1" w:styleId="Tabladelista2-nfasis11">
    <w:name w:val="Tabla de lista 2 - Énfasis 11"/>
    <w:basedOn w:val="TableNormal"/>
    <w:uiPriority w:val="47"/>
    <w:rsid w:val="007B7ED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61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1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184"/>
    <w:rPr>
      <w:rFonts w:ascii="Calibri" w:eastAsia="Calibri" w:hAnsi="Calibri" w:cs="Times New Roman"/>
      <w:sz w:val="24"/>
      <w:szCs w:val="24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1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184"/>
    <w:rPr>
      <w:rFonts w:ascii="Calibri" w:eastAsia="Calibri" w:hAnsi="Calibri" w:cs="Times New Roman"/>
      <w:b/>
      <w:bCs/>
      <w:sz w:val="20"/>
      <w:szCs w:val="20"/>
      <w:lang w:val="es-MX"/>
    </w:rPr>
  </w:style>
  <w:style w:type="character" w:styleId="Hyperlink">
    <w:name w:val="Hyperlink"/>
    <w:basedOn w:val="DefaultParagraphFont"/>
    <w:uiPriority w:val="99"/>
    <w:unhideWhenUsed/>
    <w:rsid w:val="00C45F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F7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21E5B"/>
    <w:pPr>
      <w:spacing w:after="0" w:line="240" w:lineRule="auto"/>
    </w:pPr>
    <w:rPr>
      <w:rFonts w:ascii="Calibri" w:eastAsia="Calibri" w:hAnsi="Calibri" w:cs="Times New Roman"/>
      <w:lang w:val="es-MX"/>
    </w:rPr>
  </w:style>
  <w:style w:type="table" w:customStyle="1" w:styleId="PlainTable11">
    <w:name w:val="Plain Table 11"/>
    <w:basedOn w:val="TableNormal"/>
    <w:uiPriority w:val="41"/>
    <w:rsid w:val="00D262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idh.oas.org/annualrep/2009sp/Colombia11538.sp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as.org/es/cidh/decisiones/2016/COSA11538E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dpp.graduateinstitute.ch/files/live/sites/dpp/files/shared/images/IDEHPUCP%20%20color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8B39-9392-400C-B732-E8A12D31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2022-06-01T19:46:00Z</dcterms:created>
  <dcterms:modified xsi:type="dcterms:W3CDTF">2022-06-02T20:36:00Z</dcterms:modified>
</cp:coreProperties>
</file>