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E22CC" w14:textId="77777777" w:rsidR="00322827" w:rsidRDefault="00322827" w:rsidP="00322827">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46464D27" wp14:editId="120A9D00">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3C35B595" wp14:editId="7383F1E3">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27E38CB9" wp14:editId="5F9A6767">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C9A6C8" w14:textId="77777777" w:rsidR="00322827" w:rsidRPr="00411A74" w:rsidRDefault="00322827" w:rsidP="00322827">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091002C1" w14:textId="77777777" w:rsidR="00322827" w:rsidRDefault="00322827" w:rsidP="00322827">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20F27819" w14:textId="77777777" w:rsidR="00AE104F" w:rsidRPr="00672A2A" w:rsidRDefault="00AE104F" w:rsidP="00BB61C6">
      <w:pPr>
        <w:spacing w:after="0" w:line="240" w:lineRule="auto"/>
        <w:jc w:val="center"/>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678"/>
        <w:gridCol w:w="2430"/>
        <w:gridCol w:w="2613"/>
      </w:tblGrid>
      <w:tr w:rsidR="005173CF" w:rsidRPr="00766D2C" w14:paraId="01A2F61A" w14:textId="77777777" w:rsidTr="00F124DE">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Pr="00672A2A" w:rsidRDefault="00AC6F31" w:rsidP="00AC6F31">
            <w:pPr>
              <w:pStyle w:val="ListParagraph"/>
              <w:rPr>
                <w:rFonts w:ascii="Calibri Light" w:hAnsi="Calibri Light"/>
              </w:rPr>
            </w:pPr>
          </w:p>
          <w:p w14:paraId="160CE2AC" w14:textId="77777777" w:rsidR="00212F62" w:rsidRPr="00672A2A" w:rsidRDefault="007A6C56" w:rsidP="00AC6F31">
            <w:pPr>
              <w:pStyle w:val="ListParagraph"/>
              <w:numPr>
                <w:ilvl w:val="0"/>
                <w:numId w:val="2"/>
              </w:numPr>
              <w:jc w:val="center"/>
              <w:rPr>
                <w:rFonts w:ascii="Calibri Light" w:hAnsi="Calibri Light"/>
              </w:rPr>
            </w:pPr>
            <w:r w:rsidRPr="00672A2A">
              <w:rPr>
                <w:rFonts w:ascii="Calibri Light" w:hAnsi="Calibri Light"/>
              </w:rPr>
              <w:t>Datos generales</w:t>
            </w:r>
          </w:p>
          <w:p w14:paraId="6C5B323B" w14:textId="6BA3A748" w:rsidR="00AC6F31" w:rsidRPr="00766D2C" w:rsidRDefault="00AC6F31" w:rsidP="00AC6F31">
            <w:pPr>
              <w:pStyle w:val="ListParagraph"/>
              <w:rPr>
                <w:rFonts w:ascii="Calibri Light" w:hAnsi="Calibri Light"/>
              </w:rPr>
            </w:pPr>
          </w:p>
        </w:tc>
      </w:tr>
      <w:tr w:rsidR="004533E5" w:rsidRPr="00766D2C" w14:paraId="275AD1EA" w14:textId="77777777" w:rsidTr="00F124D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672A2A" w:rsidRDefault="007A6C56" w:rsidP="00A65231">
            <w:pPr>
              <w:pStyle w:val="ListParagraph"/>
              <w:numPr>
                <w:ilvl w:val="0"/>
                <w:numId w:val="3"/>
              </w:numPr>
              <w:rPr>
                <w:rFonts w:ascii="Calibri Light" w:hAnsi="Calibri Light"/>
              </w:rPr>
            </w:pPr>
            <w:r w:rsidRPr="00672A2A">
              <w:rPr>
                <w:rFonts w:ascii="Calibri Light" w:hAnsi="Calibri Light"/>
              </w:rPr>
              <w:t>Nombre del caso</w:t>
            </w:r>
          </w:p>
        </w:tc>
        <w:tc>
          <w:tcPr>
            <w:tcW w:w="5043" w:type="dxa"/>
            <w:gridSpan w:val="2"/>
          </w:tcPr>
          <w:p w14:paraId="084A5991" w14:textId="51CECBFF" w:rsidR="006459A6" w:rsidRPr="00766D2C" w:rsidRDefault="006459A6" w:rsidP="00AF5466">
            <w:pP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766D2C">
              <w:rPr>
                <w:rFonts w:ascii="Calibri Light" w:hAnsi="Calibri Light"/>
              </w:rPr>
              <w:t>Vladimiro Roca Antunez y otros, Cuba</w:t>
            </w:r>
          </w:p>
        </w:tc>
      </w:tr>
      <w:tr w:rsidR="00F464EC" w:rsidRPr="00766D2C" w14:paraId="59A6A8A1" w14:textId="77777777" w:rsidTr="00F124DE">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05B887C5" w:rsidR="00F464EC" w:rsidRPr="00672A2A" w:rsidRDefault="00230F24" w:rsidP="00A65231">
            <w:pPr>
              <w:pStyle w:val="ListParagraph"/>
              <w:numPr>
                <w:ilvl w:val="0"/>
                <w:numId w:val="3"/>
              </w:numPr>
              <w:rPr>
                <w:rFonts w:ascii="Calibri Light" w:hAnsi="Calibri Light"/>
              </w:rPr>
            </w:pPr>
            <w:r w:rsidRPr="00672A2A">
              <w:rPr>
                <w:rFonts w:ascii="Calibri Light" w:hAnsi="Calibri Light"/>
              </w:rPr>
              <w:t>Parte peticionaria</w:t>
            </w:r>
          </w:p>
        </w:tc>
        <w:tc>
          <w:tcPr>
            <w:tcW w:w="5043" w:type="dxa"/>
            <w:gridSpan w:val="2"/>
          </w:tcPr>
          <w:p w14:paraId="6925F22B" w14:textId="77777777" w:rsidR="00F124DE" w:rsidRPr="00766D2C" w:rsidRDefault="006459A6" w:rsidP="00F124DE">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66D2C">
              <w:rPr>
                <w:rFonts w:ascii="Calibri Light" w:hAnsi="Calibri Light"/>
              </w:rPr>
              <w:t>Com</w:t>
            </w:r>
            <w:r w:rsidR="00F124DE" w:rsidRPr="00766D2C">
              <w:rPr>
                <w:rFonts w:ascii="Calibri Light" w:hAnsi="Calibri Light"/>
              </w:rPr>
              <w:t>ité Cubano Pro Derechos Humanos</w:t>
            </w:r>
          </w:p>
          <w:p w14:paraId="374B2A68" w14:textId="6FC85168" w:rsidR="00F464EC" w:rsidRPr="00766D2C" w:rsidRDefault="006459A6" w:rsidP="00F124DE">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66D2C">
              <w:rPr>
                <w:rFonts w:ascii="Calibri Light" w:hAnsi="Calibri Light"/>
              </w:rPr>
              <w:t>Grupo de Trabajo de la Disidencia Interna</w:t>
            </w:r>
          </w:p>
        </w:tc>
      </w:tr>
      <w:tr w:rsidR="005173CF" w:rsidRPr="00766D2C" w14:paraId="3A483B4F" w14:textId="77777777" w:rsidTr="00F124D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77777" w:rsidR="005173CF" w:rsidRPr="00672A2A" w:rsidRDefault="007A6C56" w:rsidP="00A65231">
            <w:pPr>
              <w:pStyle w:val="ListParagraph"/>
              <w:numPr>
                <w:ilvl w:val="0"/>
                <w:numId w:val="3"/>
              </w:numPr>
              <w:rPr>
                <w:rFonts w:ascii="Calibri Light" w:hAnsi="Calibri Light"/>
              </w:rPr>
            </w:pPr>
            <w:r w:rsidRPr="00672A2A">
              <w:rPr>
                <w:rFonts w:ascii="Calibri Light" w:hAnsi="Calibri Light"/>
              </w:rPr>
              <w:t xml:space="preserve">Número de Informe </w:t>
            </w:r>
          </w:p>
        </w:tc>
        <w:tc>
          <w:tcPr>
            <w:tcW w:w="5043" w:type="dxa"/>
            <w:gridSpan w:val="2"/>
          </w:tcPr>
          <w:p w14:paraId="77740DF4" w14:textId="7FA447F0" w:rsidR="005173CF" w:rsidRPr="00672A2A" w:rsidRDefault="00307183" w:rsidP="00200D9F">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6459A6" w:rsidRPr="00672A2A">
                <w:rPr>
                  <w:rStyle w:val="Hyperlink"/>
                  <w:rFonts w:ascii="Calibri Light" w:hAnsi="Calibri Light"/>
                </w:rPr>
                <w:t>Informe No. 27/18</w:t>
              </w:r>
            </w:hyperlink>
          </w:p>
        </w:tc>
      </w:tr>
      <w:tr w:rsidR="004533E5" w:rsidRPr="00766D2C" w14:paraId="5EC10F5F" w14:textId="77777777" w:rsidTr="00766D2C">
        <w:trPr>
          <w:trHeight w:val="208"/>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672A2A" w:rsidRDefault="00954E20" w:rsidP="00954E20">
            <w:pPr>
              <w:pStyle w:val="ListParagraph"/>
              <w:numPr>
                <w:ilvl w:val="0"/>
                <w:numId w:val="3"/>
              </w:numPr>
              <w:rPr>
                <w:rFonts w:ascii="Calibri Light" w:hAnsi="Calibri Light"/>
              </w:rPr>
            </w:pPr>
            <w:r w:rsidRPr="00672A2A">
              <w:rPr>
                <w:rFonts w:ascii="Calibri Light" w:hAnsi="Calibri Light"/>
              </w:rPr>
              <w:t xml:space="preserve">Tipo de informe </w:t>
            </w:r>
          </w:p>
        </w:tc>
        <w:tc>
          <w:tcPr>
            <w:tcW w:w="5043" w:type="dxa"/>
            <w:gridSpan w:val="2"/>
          </w:tcPr>
          <w:p w14:paraId="35E9A08D" w14:textId="76DBE660" w:rsidR="005173CF" w:rsidRPr="00766D2C" w:rsidRDefault="00BD385B" w:rsidP="00A73F2F">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672A2A">
              <w:rPr>
                <w:rFonts w:ascii="Calibri Light" w:hAnsi="Calibri Light"/>
              </w:rPr>
              <w:t xml:space="preserve">Informe de </w:t>
            </w:r>
            <w:r w:rsidR="00AF5466" w:rsidRPr="00672A2A">
              <w:rPr>
                <w:rFonts w:ascii="Calibri Light" w:hAnsi="Calibri Light"/>
              </w:rPr>
              <w:t xml:space="preserve"> </w:t>
            </w:r>
            <w:r w:rsidR="0032141E" w:rsidRPr="00766D2C">
              <w:rPr>
                <w:rFonts w:ascii="Calibri Light" w:hAnsi="Calibri Light"/>
              </w:rPr>
              <w:t>Fondo (</w:t>
            </w:r>
            <w:r w:rsidR="00A73F2F" w:rsidRPr="00766D2C">
              <w:rPr>
                <w:rFonts w:ascii="Calibri Light" w:hAnsi="Calibri Light"/>
              </w:rPr>
              <w:t>Caso en la Corte IDH</w:t>
            </w:r>
            <w:r w:rsidR="0032141E" w:rsidRPr="00766D2C">
              <w:rPr>
                <w:rFonts w:ascii="Calibri Light" w:hAnsi="Calibri Light"/>
              </w:rPr>
              <w:t>)</w:t>
            </w:r>
          </w:p>
        </w:tc>
      </w:tr>
      <w:tr w:rsidR="005173CF" w:rsidRPr="00766D2C" w14:paraId="7ED5AB61" w14:textId="77777777" w:rsidTr="00766D2C">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672A2A" w:rsidRDefault="00954E20" w:rsidP="00A65231">
            <w:pPr>
              <w:pStyle w:val="ListParagraph"/>
              <w:numPr>
                <w:ilvl w:val="0"/>
                <w:numId w:val="3"/>
              </w:numPr>
              <w:rPr>
                <w:rFonts w:ascii="Calibri Light" w:hAnsi="Calibri Light"/>
              </w:rPr>
            </w:pPr>
            <w:r w:rsidRPr="00672A2A">
              <w:rPr>
                <w:rFonts w:ascii="Calibri Light" w:hAnsi="Calibri Light"/>
              </w:rPr>
              <w:t>Fecha</w:t>
            </w:r>
            <w:r w:rsidR="007A6C56" w:rsidRPr="00672A2A">
              <w:rPr>
                <w:rFonts w:ascii="Calibri Light" w:hAnsi="Calibri Light"/>
              </w:rPr>
              <w:t xml:space="preserve"> </w:t>
            </w:r>
          </w:p>
        </w:tc>
        <w:tc>
          <w:tcPr>
            <w:tcW w:w="5043" w:type="dxa"/>
            <w:gridSpan w:val="2"/>
          </w:tcPr>
          <w:p w14:paraId="1C803DF5" w14:textId="0B3C4BDD" w:rsidR="005173CF" w:rsidRPr="00766D2C" w:rsidRDefault="0032141E" w:rsidP="00BD385B">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672A2A">
              <w:rPr>
                <w:rFonts w:ascii="Calibri Light" w:hAnsi="Calibri Light"/>
              </w:rPr>
              <w:t>2</w:t>
            </w:r>
            <w:r w:rsidR="00BD385B" w:rsidRPr="00672A2A">
              <w:rPr>
                <w:rFonts w:ascii="Calibri Light" w:hAnsi="Calibri Light"/>
              </w:rPr>
              <w:t>4</w:t>
            </w:r>
            <w:r w:rsidRPr="00766D2C">
              <w:rPr>
                <w:rFonts w:ascii="Calibri Light" w:hAnsi="Calibri Light"/>
              </w:rPr>
              <w:t xml:space="preserve"> de </w:t>
            </w:r>
            <w:r w:rsidR="00BD385B" w:rsidRPr="00766D2C">
              <w:rPr>
                <w:rFonts w:ascii="Calibri Light" w:hAnsi="Calibri Light"/>
              </w:rPr>
              <w:t>febrero</w:t>
            </w:r>
            <w:r w:rsidRPr="00766D2C">
              <w:rPr>
                <w:rFonts w:ascii="Calibri Light" w:hAnsi="Calibri Light"/>
              </w:rPr>
              <w:t xml:space="preserve"> de 2017</w:t>
            </w:r>
            <w:r w:rsidR="00954E20" w:rsidRPr="00766D2C">
              <w:rPr>
                <w:rFonts w:ascii="Calibri Light" w:hAnsi="Calibri Light"/>
              </w:rPr>
              <w:t xml:space="preserve"> </w:t>
            </w:r>
          </w:p>
        </w:tc>
      </w:tr>
      <w:tr w:rsidR="004533E5" w:rsidRPr="00766D2C" w14:paraId="1A0D058F" w14:textId="77777777" w:rsidTr="00F124DE">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766D2C" w:rsidRDefault="00BB61C6" w:rsidP="00A65231">
            <w:pPr>
              <w:pStyle w:val="ListParagraph"/>
              <w:numPr>
                <w:ilvl w:val="0"/>
                <w:numId w:val="3"/>
              </w:numPr>
              <w:rPr>
                <w:rFonts w:ascii="Calibri Light" w:hAnsi="Calibri Light"/>
              </w:rPr>
            </w:pPr>
            <w:r w:rsidRPr="00672A2A">
              <w:rPr>
                <w:rFonts w:ascii="Calibri Light" w:hAnsi="Calibri Light"/>
              </w:rPr>
              <w:t>Decisiones de la CIDH</w:t>
            </w:r>
            <w:r w:rsidR="007A6C56" w:rsidRPr="00672A2A">
              <w:rPr>
                <w:rFonts w:ascii="Calibri Light" w:hAnsi="Calibri Light"/>
              </w:rPr>
              <w:t xml:space="preserve"> </w:t>
            </w:r>
            <w:r w:rsidR="00DD3C7C" w:rsidRPr="00672A2A">
              <w:rPr>
                <w:rFonts w:ascii="Calibri Light" w:hAnsi="Calibri Light"/>
              </w:rPr>
              <w:t xml:space="preserve">y/o la Corte IDH, </w:t>
            </w:r>
            <w:r w:rsidR="007A6C56" w:rsidRPr="00766D2C">
              <w:rPr>
                <w:rFonts w:ascii="Calibri Light" w:hAnsi="Calibri Light"/>
              </w:rPr>
              <w:t>relacionadas</w:t>
            </w:r>
          </w:p>
        </w:tc>
        <w:tc>
          <w:tcPr>
            <w:tcW w:w="5043" w:type="dxa"/>
            <w:gridSpan w:val="2"/>
          </w:tcPr>
          <w:p w14:paraId="23EFBA5A" w14:textId="00DB0B6C" w:rsidR="00A73F2F" w:rsidRPr="00672A2A" w:rsidRDefault="00BD385B">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66D2C">
              <w:rPr>
                <w:rFonts w:ascii="Calibri Light" w:hAnsi="Calibri Light"/>
              </w:rPr>
              <w:t xml:space="preserve">Informe No. 56/04 </w:t>
            </w:r>
            <w:r w:rsidR="00F124DE" w:rsidRPr="00766D2C">
              <w:rPr>
                <w:rFonts w:ascii="Calibri Light" w:hAnsi="Calibri Light"/>
              </w:rPr>
              <w:t>(</w:t>
            </w:r>
            <w:hyperlink r:id="rId13" w:history="1">
              <w:r w:rsidR="00F124DE" w:rsidRPr="00766D2C">
                <w:rPr>
                  <w:rStyle w:val="Hyperlink"/>
                  <w:rFonts w:ascii="Calibri Light" w:hAnsi="Calibri Light"/>
                </w:rPr>
                <w:t>Admisibilidad</w:t>
              </w:r>
            </w:hyperlink>
            <w:r w:rsidR="00F124DE" w:rsidRPr="00672A2A">
              <w:rPr>
                <w:rFonts w:ascii="Calibri Light" w:hAnsi="Calibri Light"/>
              </w:rPr>
              <w:t xml:space="preserve">) </w:t>
            </w:r>
          </w:p>
          <w:p w14:paraId="266D4E30" w14:textId="19146171" w:rsidR="00B71AFA" w:rsidRPr="00672A2A" w:rsidRDefault="00B71AFA">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672A2A">
              <w:rPr>
                <w:rFonts w:ascii="Calibri Light" w:hAnsi="Calibri Light"/>
              </w:rPr>
              <w:t xml:space="preserve">Informe </w:t>
            </w:r>
            <w:r w:rsidRPr="00766D2C">
              <w:rPr>
                <w:rFonts w:ascii="Calibri Light" w:hAnsi="Calibri Light"/>
              </w:rPr>
              <w:t>No. 75/17</w:t>
            </w:r>
            <w:r w:rsidR="00AE104F" w:rsidRPr="004620BC">
              <w:rPr>
                <w:rFonts w:ascii="Calibri Light" w:hAnsi="Calibri Light"/>
              </w:rPr>
              <w:t xml:space="preserve"> </w:t>
            </w:r>
            <w:r w:rsidR="00AE104F">
              <w:rPr>
                <w:rFonts w:ascii="Calibri Light" w:hAnsi="Calibri Light"/>
              </w:rPr>
              <w:t>(</w:t>
            </w:r>
            <w:r w:rsidR="00AE104F" w:rsidRPr="004620BC">
              <w:rPr>
                <w:rFonts w:ascii="Calibri Light" w:hAnsi="Calibri Light"/>
              </w:rPr>
              <w:t>Fondo</w:t>
            </w:r>
            <w:r w:rsidR="00AE104F">
              <w:rPr>
                <w:rFonts w:ascii="Calibri Light" w:hAnsi="Calibri Light"/>
              </w:rPr>
              <w:t>)</w:t>
            </w:r>
          </w:p>
          <w:p w14:paraId="72EA1AA4" w14:textId="5951B0AC" w:rsidR="00B71AFA" w:rsidRPr="00672A2A" w:rsidRDefault="00B71AFA">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672A2A">
              <w:rPr>
                <w:rFonts w:ascii="Calibri Light" w:hAnsi="Calibri Light"/>
              </w:rPr>
              <w:t>Informe No. 134/17</w:t>
            </w:r>
          </w:p>
        </w:tc>
      </w:tr>
      <w:tr w:rsidR="00F124DE" w:rsidRPr="00766D2C" w14:paraId="570485B4" w14:textId="77777777" w:rsidTr="00F124DE">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568477D0" w:rsidR="00F124DE" w:rsidRPr="00672A2A" w:rsidRDefault="00F124DE" w:rsidP="00A65231">
            <w:pPr>
              <w:pStyle w:val="ListParagraph"/>
              <w:numPr>
                <w:ilvl w:val="0"/>
                <w:numId w:val="3"/>
              </w:numPr>
              <w:rPr>
                <w:rFonts w:ascii="Calibri Light" w:hAnsi="Calibri Light"/>
              </w:rPr>
            </w:pPr>
            <w:r w:rsidRPr="00672A2A">
              <w:rPr>
                <w:rFonts w:ascii="Calibri Light" w:hAnsi="Calibri Light"/>
              </w:rPr>
              <w:t>Artículos analizados</w:t>
            </w:r>
          </w:p>
        </w:tc>
        <w:tc>
          <w:tcPr>
            <w:tcW w:w="5043" w:type="dxa"/>
            <w:gridSpan w:val="2"/>
          </w:tcPr>
          <w:p w14:paraId="18718B95" w14:textId="5352F45C" w:rsidR="00F124DE" w:rsidRPr="00766D2C" w:rsidRDefault="00F124DE" w:rsidP="00AC6F31">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766D2C">
              <w:rPr>
                <w:rFonts w:ascii="Calibri Light" w:hAnsi="Calibri Light"/>
              </w:rPr>
              <w:t>Declaración Americana de los Derechos y Deberes del Hombre</w:t>
            </w:r>
          </w:p>
        </w:tc>
      </w:tr>
      <w:tr w:rsidR="00F124DE" w:rsidRPr="00766D2C" w14:paraId="68BE08B7" w14:textId="7656DBEE" w:rsidTr="00F124DE">
        <w:trPr>
          <w:trHeight w:val="606"/>
        </w:trPr>
        <w:tc>
          <w:tcPr>
            <w:cnfStyle w:val="001000000000" w:firstRow="0" w:lastRow="0" w:firstColumn="1" w:lastColumn="0" w:oddVBand="0" w:evenVBand="0" w:oddHBand="0" w:evenHBand="0" w:firstRowFirstColumn="0" w:firstRowLastColumn="0" w:lastRowFirstColumn="0" w:lastRowLastColumn="0"/>
            <w:tcW w:w="3678" w:type="dxa"/>
            <w:vMerge/>
          </w:tcPr>
          <w:p w14:paraId="5913E8ED" w14:textId="77777777" w:rsidR="00F124DE" w:rsidRPr="00766D2C" w:rsidRDefault="00F124DE" w:rsidP="00A65231">
            <w:pPr>
              <w:pStyle w:val="ListParagraph"/>
              <w:numPr>
                <w:ilvl w:val="0"/>
                <w:numId w:val="3"/>
              </w:numPr>
              <w:rPr>
                <w:rFonts w:ascii="Calibri Light" w:hAnsi="Calibri Light"/>
              </w:rPr>
            </w:pPr>
          </w:p>
        </w:tc>
        <w:tc>
          <w:tcPr>
            <w:tcW w:w="2430" w:type="dxa"/>
          </w:tcPr>
          <w:p w14:paraId="6BDBC268" w14:textId="10DB7014" w:rsidR="00F124DE" w:rsidRPr="00766D2C" w:rsidRDefault="00F124DE" w:rsidP="00F124DE">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66D2C">
              <w:rPr>
                <w:rFonts w:ascii="Calibri Light" w:hAnsi="Calibri Light"/>
              </w:rPr>
              <w:t>Artículos analizados declarados violados</w:t>
            </w:r>
          </w:p>
        </w:tc>
        <w:tc>
          <w:tcPr>
            <w:tcW w:w="2613" w:type="dxa"/>
          </w:tcPr>
          <w:p w14:paraId="7D4027E7" w14:textId="4D677818" w:rsidR="00F124DE" w:rsidRPr="00766D2C" w:rsidRDefault="00F124DE" w:rsidP="00F124DE">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766D2C">
              <w:rPr>
                <w:rFonts w:ascii="Calibri Light" w:hAnsi="Calibri Light"/>
              </w:rPr>
              <w:t>Artículos analizados no declarados violados</w:t>
            </w:r>
          </w:p>
        </w:tc>
      </w:tr>
      <w:tr w:rsidR="00F124DE" w:rsidRPr="00766D2C" w14:paraId="5F23BE40" w14:textId="17AFBC9D" w:rsidTr="00766D2C">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678" w:type="dxa"/>
            <w:vMerge/>
          </w:tcPr>
          <w:p w14:paraId="7D87E165" w14:textId="77777777" w:rsidR="00F124DE" w:rsidRPr="00766D2C" w:rsidRDefault="00F124DE" w:rsidP="00A65231">
            <w:pPr>
              <w:pStyle w:val="ListParagraph"/>
              <w:numPr>
                <w:ilvl w:val="0"/>
                <w:numId w:val="3"/>
              </w:numPr>
              <w:rPr>
                <w:rFonts w:ascii="Calibri Light" w:hAnsi="Calibri Light"/>
              </w:rPr>
            </w:pPr>
          </w:p>
        </w:tc>
        <w:tc>
          <w:tcPr>
            <w:tcW w:w="2430" w:type="dxa"/>
          </w:tcPr>
          <w:p w14:paraId="60DED1CE" w14:textId="78576C13" w:rsidR="00F124DE" w:rsidRPr="00766D2C" w:rsidRDefault="00F124DE" w:rsidP="00F124DE">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766D2C">
              <w:rPr>
                <w:rFonts w:ascii="Calibri Light" w:hAnsi="Calibri Light"/>
                <w:lang w:val="en-US"/>
              </w:rPr>
              <w:t>Art. I, art. IV, art. XXII, art. XXV, art. XVI</w:t>
            </w:r>
          </w:p>
        </w:tc>
        <w:tc>
          <w:tcPr>
            <w:tcW w:w="2613" w:type="dxa"/>
            <w:vAlign w:val="center"/>
          </w:tcPr>
          <w:p w14:paraId="4BE38A7B" w14:textId="3DEADA22" w:rsidR="00F124DE" w:rsidRPr="00766D2C" w:rsidRDefault="00AE104F" w:rsidP="00766D2C">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Pr>
                <w:rFonts w:ascii="Calibri Light" w:hAnsi="Calibri Light"/>
                <w:lang w:val="en-US"/>
              </w:rPr>
              <w:t>-</w:t>
            </w:r>
          </w:p>
        </w:tc>
      </w:tr>
      <w:tr w:rsidR="005173CF" w:rsidRPr="00766D2C" w14:paraId="54B7813B" w14:textId="77777777" w:rsidTr="00F124DE">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77777777" w:rsidR="00AC6F31" w:rsidRPr="00766D2C" w:rsidRDefault="00AC6F31" w:rsidP="00AC6F31">
            <w:pPr>
              <w:pStyle w:val="ListParagraph"/>
              <w:rPr>
                <w:rFonts w:ascii="Calibri Light" w:hAnsi="Calibri Light"/>
                <w:lang w:val="en-US"/>
              </w:rPr>
            </w:pPr>
          </w:p>
          <w:p w14:paraId="1ECE5967" w14:textId="77777777" w:rsidR="005173CF" w:rsidRPr="00672A2A" w:rsidRDefault="007A6C56" w:rsidP="0029671B">
            <w:pPr>
              <w:pStyle w:val="ListParagraph"/>
              <w:numPr>
                <w:ilvl w:val="0"/>
                <w:numId w:val="2"/>
              </w:numPr>
              <w:jc w:val="center"/>
              <w:rPr>
                <w:rFonts w:ascii="Calibri Light" w:hAnsi="Calibri Light"/>
              </w:rPr>
            </w:pPr>
            <w:r w:rsidRPr="00672A2A">
              <w:rPr>
                <w:rFonts w:ascii="Calibri Light" w:hAnsi="Calibri Light"/>
              </w:rPr>
              <w:t>Sumilla</w:t>
            </w:r>
          </w:p>
          <w:p w14:paraId="009AFBB8" w14:textId="77777777" w:rsidR="00AC6F31" w:rsidRPr="00672A2A" w:rsidRDefault="00AC6F31" w:rsidP="00AC6F31">
            <w:pPr>
              <w:pStyle w:val="ListParagraph"/>
              <w:rPr>
                <w:rFonts w:ascii="Calibri Light" w:hAnsi="Calibri Light"/>
              </w:rPr>
            </w:pPr>
          </w:p>
        </w:tc>
      </w:tr>
      <w:tr w:rsidR="007A6C56" w:rsidRPr="00766D2C" w14:paraId="6B670455" w14:textId="77777777" w:rsidTr="00BE44E9">
        <w:trPr>
          <w:cnfStyle w:val="000000100000" w:firstRow="0" w:lastRow="0" w:firstColumn="0" w:lastColumn="0" w:oddVBand="0" w:evenVBand="0" w:oddHBand="1" w:evenHBand="0" w:firstRowFirstColumn="0" w:firstRowLastColumn="0" w:lastRowFirstColumn="0" w:lastRowLastColumn="0"/>
          <w:trHeight w:val="2390"/>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1EE5A7E7" w14:textId="69972373" w:rsidR="00BE44E9" w:rsidRPr="00672A2A" w:rsidRDefault="00FF40D3" w:rsidP="00D81F61">
            <w:pPr>
              <w:jc w:val="both"/>
              <w:rPr>
                <w:rFonts w:ascii="Calibri Light" w:hAnsi="Calibri Light"/>
                <w:b w:val="0"/>
              </w:rPr>
            </w:pPr>
            <w:r w:rsidRPr="00766D2C">
              <w:rPr>
                <w:rFonts w:ascii="Calibri Light" w:hAnsi="Calibri Light"/>
                <w:b w:val="0"/>
              </w:rPr>
              <w:t xml:space="preserve">El caso trata sobre la detención </w:t>
            </w:r>
            <w:r w:rsidR="00BE44E9">
              <w:rPr>
                <w:rFonts w:ascii="Calibri Light" w:hAnsi="Calibri Light"/>
                <w:b w:val="0"/>
              </w:rPr>
              <w:t xml:space="preserve">preventiva </w:t>
            </w:r>
            <w:r w:rsidRPr="00766D2C">
              <w:rPr>
                <w:rFonts w:ascii="Calibri Light" w:hAnsi="Calibri Light"/>
                <w:b w:val="0"/>
              </w:rPr>
              <w:t xml:space="preserve">y condena de </w:t>
            </w:r>
            <w:r w:rsidR="005B3624" w:rsidRPr="00766D2C">
              <w:rPr>
                <w:rFonts w:ascii="Calibri Light" w:hAnsi="Calibri Light"/>
                <w:b w:val="0"/>
              </w:rPr>
              <w:t>Vladimiro Roca Antúnez, René Gómez Manzano, Martha Beatriz Roque Cabello y Félix Bonne Carcassés</w:t>
            </w:r>
            <w:r w:rsidR="00BE44E9">
              <w:rPr>
                <w:rFonts w:ascii="Calibri Light" w:hAnsi="Calibri Light"/>
                <w:b w:val="0"/>
              </w:rPr>
              <w:t xml:space="preserve"> por la presunta comisión de “</w:t>
            </w:r>
            <w:r w:rsidR="00BE44E9" w:rsidRPr="00A526BD">
              <w:rPr>
                <w:rFonts w:ascii="Calibri Light" w:hAnsi="Calibri Light"/>
                <w:b w:val="0"/>
              </w:rPr>
              <w:t>otros actos contra la seguridad del Estado en relación con el delito de sedición”</w:t>
            </w:r>
            <w:r w:rsidR="00BE44E9">
              <w:rPr>
                <w:rFonts w:ascii="Calibri Light" w:hAnsi="Calibri Light"/>
                <w:b w:val="0"/>
              </w:rPr>
              <w:t xml:space="preserve">. Los señores Roca, Gómez, Martha y Bonne eran integrantes del </w:t>
            </w:r>
            <w:r w:rsidR="005B3624" w:rsidRPr="00766D2C">
              <w:rPr>
                <w:rFonts w:ascii="Calibri Light" w:hAnsi="Calibri Light"/>
                <w:b w:val="0"/>
              </w:rPr>
              <w:t>Grupo</w:t>
            </w:r>
            <w:r w:rsidR="005B3624" w:rsidRPr="00672A2A">
              <w:rPr>
                <w:rFonts w:ascii="Calibri Light" w:hAnsi="Calibri Light"/>
                <w:b w:val="0"/>
              </w:rPr>
              <w:t xml:space="preserve"> de T</w:t>
            </w:r>
            <w:r w:rsidR="00BE44E9">
              <w:rPr>
                <w:rFonts w:ascii="Calibri Light" w:hAnsi="Calibri Light"/>
                <w:b w:val="0"/>
              </w:rPr>
              <w:t>rabajo de la Disidencia Interna</w:t>
            </w:r>
            <w:r w:rsidR="005B3624" w:rsidRPr="00672A2A">
              <w:rPr>
                <w:rFonts w:ascii="Calibri Light" w:hAnsi="Calibri Light"/>
                <w:b w:val="0"/>
              </w:rPr>
              <w:t xml:space="preserve">, </w:t>
            </w:r>
            <w:r w:rsidR="00BD385B" w:rsidRPr="00672A2A">
              <w:rPr>
                <w:rFonts w:ascii="Calibri Light" w:hAnsi="Calibri Light"/>
                <w:b w:val="0"/>
              </w:rPr>
              <w:t xml:space="preserve">una organización dedicada al estudio de los problemas socioeconómicos </w:t>
            </w:r>
            <w:r w:rsidR="005B3624" w:rsidRPr="00766D2C">
              <w:rPr>
                <w:rFonts w:ascii="Calibri Light" w:hAnsi="Calibri Light"/>
                <w:b w:val="0"/>
              </w:rPr>
              <w:t xml:space="preserve">y políticos de Cuba, </w:t>
            </w:r>
            <w:r w:rsidR="00843C41" w:rsidRPr="00766D2C">
              <w:rPr>
                <w:rFonts w:ascii="Calibri Light" w:hAnsi="Calibri Light"/>
                <w:b w:val="0"/>
              </w:rPr>
              <w:t xml:space="preserve">la cual </w:t>
            </w:r>
            <w:r w:rsidR="00693C80" w:rsidRPr="00766D2C">
              <w:rPr>
                <w:rFonts w:ascii="Calibri Light" w:hAnsi="Calibri Light"/>
                <w:b w:val="0"/>
              </w:rPr>
              <w:t xml:space="preserve">sostenía </w:t>
            </w:r>
            <w:r w:rsidR="005B3624" w:rsidRPr="00766D2C">
              <w:rPr>
                <w:rFonts w:ascii="Calibri Light" w:hAnsi="Calibri Light"/>
                <w:b w:val="0"/>
              </w:rPr>
              <w:t xml:space="preserve">una postura crítica contra el gobierno. </w:t>
            </w:r>
            <w:r w:rsidR="00BE44E9">
              <w:rPr>
                <w:rFonts w:ascii="Calibri Light" w:hAnsi="Calibri Light"/>
                <w:b w:val="0"/>
              </w:rPr>
              <w:t xml:space="preserve">Durante su detención, </w:t>
            </w:r>
            <w:r w:rsidR="00BE44E9" w:rsidRPr="00D81F61">
              <w:rPr>
                <w:rFonts w:ascii="Calibri Light" w:hAnsi="Calibri Light"/>
                <w:b w:val="0"/>
              </w:rPr>
              <w:t>estuvier</w:t>
            </w:r>
            <w:r w:rsidR="00D81F61" w:rsidRPr="00D81F61">
              <w:rPr>
                <w:rFonts w:ascii="Calibri Light" w:hAnsi="Calibri Light"/>
                <w:b w:val="0"/>
              </w:rPr>
              <w:t>on sometidos a condiciones de detención</w:t>
            </w:r>
            <w:r w:rsidR="00D81F61">
              <w:rPr>
                <w:rFonts w:ascii="Calibri Light" w:hAnsi="Calibri Light"/>
                <w:b w:val="0"/>
              </w:rPr>
              <w:t xml:space="preserve"> precarias</w:t>
            </w:r>
            <w:r w:rsidR="00B06C7E" w:rsidRPr="00D81F61">
              <w:rPr>
                <w:rFonts w:ascii="Calibri Light" w:hAnsi="Calibri Light"/>
                <w:b w:val="0"/>
              </w:rPr>
              <w:t xml:space="preserve">, </w:t>
            </w:r>
            <w:r w:rsidR="00D81F61" w:rsidRPr="00D81F61">
              <w:rPr>
                <w:rFonts w:ascii="Calibri Light" w:hAnsi="Calibri Light"/>
                <w:b w:val="0"/>
              </w:rPr>
              <w:t>como la falta de acceso a la luz solar o al aire libre</w:t>
            </w:r>
            <w:r w:rsidR="00D81F61">
              <w:rPr>
                <w:rFonts w:ascii="Calibri Light" w:hAnsi="Calibri Light"/>
                <w:b w:val="0"/>
              </w:rPr>
              <w:t>, y algunos de los afectados no recibieron una adecuada atención médica</w:t>
            </w:r>
            <w:r w:rsidR="00D24E13" w:rsidRPr="00D81F61">
              <w:rPr>
                <w:rFonts w:ascii="Calibri Light" w:hAnsi="Calibri Light"/>
                <w:b w:val="0"/>
              </w:rPr>
              <w:t>.</w:t>
            </w:r>
          </w:p>
        </w:tc>
      </w:tr>
      <w:tr w:rsidR="007A6C56" w:rsidRPr="00766D2C" w14:paraId="238A2196" w14:textId="77777777" w:rsidTr="00CE29D4">
        <w:trPr>
          <w:trHeight w:val="733"/>
        </w:trPr>
        <w:tc>
          <w:tcPr>
            <w:cnfStyle w:val="001000000000" w:firstRow="0" w:lastRow="0" w:firstColumn="1" w:lastColumn="0" w:oddVBand="0" w:evenVBand="0" w:oddHBand="0" w:evenHBand="0" w:firstRowFirstColumn="0" w:firstRowLastColumn="0" w:lastRowFirstColumn="0" w:lastRowLastColumn="0"/>
            <w:tcW w:w="8721" w:type="dxa"/>
            <w:gridSpan w:val="3"/>
          </w:tcPr>
          <w:p w14:paraId="35CE2C16" w14:textId="77777777" w:rsidR="00FD5700" w:rsidRPr="00672A2A" w:rsidRDefault="00FD5700" w:rsidP="00AC6F31">
            <w:pPr>
              <w:pStyle w:val="ListParagraph"/>
              <w:rPr>
                <w:rFonts w:ascii="Calibri Light" w:hAnsi="Calibri Light"/>
              </w:rPr>
            </w:pPr>
          </w:p>
          <w:p w14:paraId="6E7AC4B8" w14:textId="77777777" w:rsidR="007A6C56" w:rsidRPr="00672A2A" w:rsidRDefault="007A6C56" w:rsidP="0029671B">
            <w:pPr>
              <w:pStyle w:val="ListParagraph"/>
              <w:numPr>
                <w:ilvl w:val="0"/>
                <w:numId w:val="2"/>
              </w:numPr>
              <w:jc w:val="center"/>
              <w:rPr>
                <w:rFonts w:ascii="Calibri Light" w:hAnsi="Calibri Light"/>
              </w:rPr>
            </w:pPr>
            <w:r w:rsidRPr="00672A2A">
              <w:rPr>
                <w:rFonts w:ascii="Calibri Light" w:hAnsi="Calibri Light"/>
              </w:rPr>
              <w:t>Palabras clave</w:t>
            </w:r>
          </w:p>
          <w:p w14:paraId="6A1E32A7" w14:textId="77777777" w:rsidR="00AC6F31" w:rsidRPr="00766D2C" w:rsidRDefault="00AC6F31" w:rsidP="00AC6F31">
            <w:pPr>
              <w:pStyle w:val="ListParagraph"/>
              <w:rPr>
                <w:rFonts w:ascii="Calibri Light" w:hAnsi="Calibri Light"/>
              </w:rPr>
            </w:pPr>
          </w:p>
        </w:tc>
      </w:tr>
      <w:tr w:rsidR="007A6C56" w:rsidRPr="00766D2C" w14:paraId="34AE2D45" w14:textId="77777777" w:rsidTr="00CE29D4">
        <w:trPr>
          <w:cnfStyle w:val="000000100000" w:firstRow="0" w:lastRow="0" w:firstColumn="0" w:lastColumn="0" w:oddVBand="0" w:evenVBand="0" w:oddHBand="1" w:evenHBand="0" w:firstRowFirstColumn="0" w:firstRowLastColumn="0" w:lastRowFirstColumn="0" w:lastRowLastColumn="0"/>
          <w:trHeight w:val="1042"/>
        </w:trPr>
        <w:tc>
          <w:tcPr>
            <w:cnfStyle w:val="001000000000" w:firstRow="0" w:lastRow="0" w:firstColumn="1" w:lastColumn="0" w:oddVBand="0" w:evenVBand="0" w:oddHBand="0" w:evenHBand="0" w:firstRowFirstColumn="0" w:firstRowLastColumn="0" w:lastRowFirstColumn="0" w:lastRowLastColumn="0"/>
            <w:tcW w:w="8721" w:type="dxa"/>
            <w:gridSpan w:val="3"/>
            <w:vAlign w:val="center"/>
          </w:tcPr>
          <w:p w14:paraId="05374712" w14:textId="279030D4" w:rsidR="001C1F24" w:rsidRPr="00766D2C" w:rsidRDefault="00CE29D4" w:rsidP="00766D2C">
            <w:pPr>
              <w:jc w:val="both"/>
              <w:rPr>
                <w:rFonts w:ascii="Calibri Light" w:hAnsi="Calibri Light"/>
                <w:b w:val="0"/>
              </w:rPr>
            </w:pPr>
            <w:r>
              <w:rPr>
                <w:rFonts w:ascii="Calibri Light" w:hAnsi="Calibri Light"/>
                <w:b w:val="0"/>
              </w:rPr>
              <w:t xml:space="preserve">Condiciones de detención, </w:t>
            </w:r>
            <w:r w:rsidR="00AE104F" w:rsidRPr="00536DBB">
              <w:rPr>
                <w:rFonts w:ascii="Calibri Light" w:hAnsi="Calibri Light"/>
                <w:b w:val="0"/>
              </w:rPr>
              <w:t>DADDH</w:t>
            </w:r>
            <w:r w:rsidR="00AE104F" w:rsidRPr="00B13F40">
              <w:rPr>
                <w:rFonts w:ascii="Calibri Light" w:hAnsi="Calibri Light"/>
                <w:b w:val="0"/>
              </w:rPr>
              <w:t>,</w:t>
            </w:r>
            <w:r w:rsidR="00AE104F">
              <w:rPr>
                <w:rFonts w:ascii="Calibri Light" w:hAnsi="Calibri Light"/>
                <w:b w:val="0"/>
              </w:rPr>
              <w:t xml:space="preserve"> </w:t>
            </w:r>
            <w:r w:rsidR="00BD385B" w:rsidRPr="00766D2C">
              <w:rPr>
                <w:rFonts w:ascii="Calibri Light" w:hAnsi="Calibri Light"/>
                <w:b w:val="0"/>
              </w:rPr>
              <w:t xml:space="preserve">Integridad personal, </w:t>
            </w:r>
            <w:r w:rsidR="00AE104F" w:rsidRPr="001601B5">
              <w:rPr>
                <w:rFonts w:ascii="Calibri Light" w:hAnsi="Calibri Light"/>
                <w:b w:val="0"/>
              </w:rPr>
              <w:t xml:space="preserve">Libertad de asociación, Libertad de expresión, </w:t>
            </w:r>
            <w:r w:rsidR="00AE104F" w:rsidRPr="00894D4E">
              <w:rPr>
                <w:rFonts w:ascii="Calibri Light" w:hAnsi="Calibri Light"/>
                <w:b w:val="0"/>
              </w:rPr>
              <w:t xml:space="preserve">Libertad personal, </w:t>
            </w:r>
            <w:r w:rsidR="00BD385B" w:rsidRPr="00672A2A">
              <w:rPr>
                <w:rFonts w:ascii="Calibri Light" w:hAnsi="Calibri Light"/>
                <w:b w:val="0"/>
              </w:rPr>
              <w:t xml:space="preserve">Personas privadas de libertad, </w:t>
            </w:r>
            <w:r w:rsidR="00BE44E9">
              <w:rPr>
                <w:rFonts w:ascii="Calibri Light" w:hAnsi="Calibri Light"/>
                <w:b w:val="0"/>
              </w:rPr>
              <w:t xml:space="preserve">Prisión preventiva, </w:t>
            </w:r>
            <w:r w:rsidR="00BD385B" w:rsidRPr="00672A2A">
              <w:rPr>
                <w:rFonts w:ascii="Calibri Light" w:hAnsi="Calibri Light"/>
                <w:b w:val="0"/>
              </w:rPr>
              <w:t>Protección judicial y garantías judiciales</w:t>
            </w:r>
          </w:p>
        </w:tc>
      </w:tr>
      <w:tr w:rsidR="005173CF" w:rsidRPr="00766D2C" w14:paraId="69044E7B" w14:textId="77777777" w:rsidTr="00E17CD7">
        <w:trPr>
          <w:trHeight w:val="496"/>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Pr="00672A2A" w:rsidRDefault="00AC6F31" w:rsidP="00AC6F31">
            <w:pPr>
              <w:pStyle w:val="ListParagraph"/>
              <w:rPr>
                <w:rFonts w:ascii="Calibri Light" w:hAnsi="Calibri Light"/>
              </w:rPr>
            </w:pPr>
          </w:p>
          <w:p w14:paraId="177FF988" w14:textId="77777777" w:rsidR="005173CF" w:rsidRPr="00672A2A" w:rsidRDefault="007A6C56" w:rsidP="0029671B">
            <w:pPr>
              <w:pStyle w:val="ListParagraph"/>
              <w:numPr>
                <w:ilvl w:val="0"/>
                <w:numId w:val="2"/>
              </w:numPr>
              <w:jc w:val="center"/>
              <w:rPr>
                <w:rFonts w:ascii="Calibri Light" w:hAnsi="Calibri Light"/>
              </w:rPr>
            </w:pPr>
            <w:r w:rsidRPr="00672A2A">
              <w:rPr>
                <w:rFonts w:ascii="Calibri Light" w:hAnsi="Calibri Light"/>
              </w:rPr>
              <w:t>Hechos</w:t>
            </w:r>
          </w:p>
          <w:p w14:paraId="190B7E98" w14:textId="77777777" w:rsidR="00AC6F31" w:rsidRPr="00766D2C" w:rsidRDefault="00AC6F31" w:rsidP="00AC6F31">
            <w:pPr>
              <w:pStyle w:val="ListParagraph"/>
              <w:rPr>
                <w:rFonts w:ascii="Calibri Light" w:hAnsi="Calibri Light"/>
              </w:rPr>
            </w:pPr>
          </w:p>
        </w:tc>
      </w:tr>
      <w:tr w:rsidR="005173CF" w:rsidRPr="00766D2C" w14:paraId="6F58DE83" w14:textId="77777777" w:rsidTr="00F124D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2998A3F3" w14:textId="5A98383E" w:rsidR="00091C7D" w:rsidRPr="00672A2A" w:rsidRDefault="00091C7D" w:rsidP="00DD0E3C">
            <w:pPr>
              <w:jc w:val="both"/>
              <w:rPr>
                <w:rFonts w:ascii="Calibri Light" w:hAnsi="Calibri Light"/>
                <w:b w:val="0"/>
              </w:rPr>
            </w:pPr>
          </w:p>
          <w:p w14:paraId="72508E59" w14:textId="391EF165" w:rsidR="00255161" w:rsidRPr="00672A2A" w:rsidRDefault="00255161">
            <w:pPr>
              <w:jc w:val="both"/>
              <w:rPr>
                <w:rFonts w:ascii="Calibri Light" w:hAnsi="Calibri Light"/>
                <w:b w:val="0"/>
              </w:rPr>
            </w:pPr>
            <w:r w:rsidRPr="00766D2C">
              <w:rPr>
                <w:rFonts w:ascii="Calibri Light" w:hAnsi="Calibri Light"/>
                <w:b w:val="0"/>
              </w:rPr>
              <w:t>En agosto</w:t>
            </w:r>
            <w:r w:rsidR="00EF4ABD" w:rsidRPr="00766D2C">
              <w:rPr>
                <w:rFonts w:ascii="Calibri Light" w:hAnsi="Calibri Light"/>
                <w:b w:val="0"/>
              </w:rPr>
              <w:t xml:space="preserve"> de 1996, </w:t>
            </w:r>
            <w:r w:rsidR="003F218E" w:rsidRPr="00766D2C">
              <w:rPr>
                <w:rFonts w:ascii="Calibri Light" w:hAnsi="Calibri Light"/>
                <w:b w:val="0"/>
              </w:rPr>
              <w:t>Vladimiro Roca Antúnez, René Gómez Manzano, Martha Roque Cabello y Félix Bonne Carcassés</w:t>
            </w:r>
            <w:r w:rsidR="00BE44E9">
              <w:rPr>
                <w:rFonts w:ascii="Calibri Light" w:hAnsi="Calibri Light"/>
                <w:b w:val="0"/>
              </w:rPr>
              <w:t xml:space="preserve"> conformaron el </w:t>
            </w:r>
            <w:r w:rsidRPr="00766D2C">
              <w:rPr>
                <w:rFonts w:ascii="Calibri Light" w:hAnsi="Calibri Light"/>
                <w:b w:val="0"/>
              </w:rPr>
              <w:t>Grupo de Trabajo de la Disidencia Interna</w:t>
            </w:r>
            <w:r w:rsidR="00AE104F">
              <w:rPr>
                <w:rFonts w:ascii="Calibri Light" w:hAnsi="Calibri Light"/>
                <w:b w:val="0"/>
              </w:rPr>
              <w:t>,</w:t>
            </w:r>
            <w:r w:rsidRPr="00672A2A">
              <w:rPr>
                <w:rFonts w:ascii="Calibri Light" w:hAnsi="Calibri Light"/>
                <w:b w:val="0"/>
              </w:rPr>
              <w:t xml:space="preserve"> dedicado al estudio sobre la situación socioeconómica de Cuba</w:t>
            </w:r>
            <w:r w:rsidR="008554D1" w:rsidRPr="00672A2A">
              <w:rPr>
                <w:rFonts w:ascii="Calibri Light" w:hAnsi="Calibri Light"/>
                <w:b w:val="0"/>
              </w:rPr>
              <w:t>,</w:t>
            </w:r>
            <w:r w:rsidRPr="00672A2A">
              <w:rPr>
                <w:rFonts w:ascii="Calibri Light" w:hAnsi="Calibri Light"/>
                <w:b w:val="0"/>
              </w:rPr>
              <w:t xml:space="preserve"> y la elaboración y difusión de documentos y </w:t>
            </w:r>
            <w:r w:rsidRPr="00672A2A">
              <w:rPr>
                <w:rFonts w:ascii="Calibri Light" w:hAnsi="Calibri Light"/>
                <w:b w:val="0"/>
              </w:rPr>
              <w:lastRenderedPageBreak/>
              <w:t>boletines que promovían la</w:t>
            </w:r>
            <w:r w:rsidR="00785A0F" w:rsidRPr="00766D2C">
              <w:rPr>
                <w:rFonts w:ascii="Calibri Light" w:hAnsi="Calibri Light"/>
                <w:b w:val="0"/>
              </w:rPr>
              <w:t xml:space="preserve"> apertura del país hacia la democracia.</w:t>
            </w:r>
            <w:r w:rsidR="00EF4ABD" w:rsidRPr="00766D2C">
              <w:rPr>
                <w:rFonts w:ascii="Calibri Light" w:hAnsi="Calibri Light"/>
                <w:b w:val="0"/>
              </w:rPr>
              <w:t xml:space="preserve"> A partir de esa fecha, dicho grupo se dedicó a emitir documentos y pronunciamientos de crítica social y política al gobierno, así como a la difusión de los mismos a través de programas radiales y entrevistas en medio</w:t>
            </w:r>
            <w:r w:rsidR="00A67581">
              <w:rPr>
                <w:rFonts w:ascii="Calibri Light" w:hAnsi="Calibri Light"/>
                <w:b w:val="0"/>
              </w:rPr>
              <w:t>s</w:t>
            </w:r>
            <w:r w:rsidR="00EF4ABD" w:rsidRPr="00672A2A">
              <w:rPr>
                <w:rFonts w:ascii="Calibri Light" w:hAnsi="Calibri Light"/>
                <w:b w:val="0"/>
              </w:rPr>
              <w:t xml:space="preserve"> de comunicación de alcance internacional. </w:t>
            </w:r>
          </w:p>
          <w:p w14:paraId="118C114C" w14:textId="77777777" w:rsidR="00785A0F" w:rsidRPr="00766D2C" w:rsidRDefault="00785A0F">
            <w:pPr>
              <w:jc w:val="both"/>
              <w:rPr>
                <w:rFonts w:ascii="Calibri Light" w:hAnsi="Calibri Light"/>
                <w:b w:val="0"/>
              </w:rPr>
            </w:pPr>
          </w:p>
          <w:p w14:paraId="58D57437" w14:textId="36AB1A1A" w:rsidR="004E1258" w:rsidRDefault="008554D1" w:rsidP="008943A8">
            <w:pPr>
              <w:jc w:val="both"/>
              <w:rPr>
                <w:rFonts w:ascii="Calibri Light" w:hAnsi="Calibri Light"/>
                <w:b w:val="0"/>
              </w:rPr>
            </w:pPr>
            <w:r w:rsidRPr="00766D2C">
              <w:rPr>
                <w:rFonts w:ascii="Calibri Light" w:hAnsi="Calibri Light"/>
                <w:b w:val="0"/>
              </w:rPr>
              <w:t xml:space="preserve">El 16 de julio de 1997, </w:t>
            </w:r>
            <w:r w:rsidR="00AE104F">
              <w:rPr>
                <w:rFonts w:ascii="Calibri Light" w:hAnsi="Calibri Light"/>
                <w:b w:val="0"/>
              </w:rPr>
              <w:t>estas cuatro personas</w:t>
            </w:r>
            <w:r w:rsidR="00EF4ABD" w:rsidRPr="00672A2A">
              <w:rPr>
                <w:rFonts w:ascii="Calibri Light" w:hAnsi="Calibri Light"/>
                <w:b w:val="0"/>
              </w:rPr>
              <w:t xml:space="preserve"> fueron detenid</w:t>
            </w:r>
            <w:r w:rsidR="00AE104F">
              <w:rPr>
                <w:rFonts w:ascii="Calibri Light" w:hAnsi="Calibri Light"/>
                <w:b w:val="0"/>
              </w:rPr>
              <w:t>a</w:t>
            </w:r>
            <w:r w:rsidR="00EF4ABD" w:rsidRPr="00672A2A">
              <w:rPr>
                <w:rFonts w:ascii="Calibri Light" w:hAnsi="Calibri Light"/>
                <w:b w:val="0"/>
              </w:rPr>
              <w:t>s</w:t>
            </w:r>
            <w:r w:rsidR="001C1F24" w:rsidRPr="00672A2A">
              <w:rPr>
                <w:rFonts w:ascii="Calibri Light" w:hAnsi="Calibri Light"/>
                <w:b w:val="0"/>
              </w:rPr>
              <w:t xml:space="preserve"> </w:t>
            </w:r>
            <w:r w:rsidRPr="00672A2A">
              <w:rPr>
                <w:rFonts w:ascii="Calibri Light" w:hAnsi="Calibri Light"/>
                <w:b w:val="0"/>
              </w:rPr>
              <w:t>debido a su activismo político</w:t>
            </w:r>
            <w:r w:rsidR="001C1F24" w:rsidRPr="00766D2C">
              <w:rPr>
                <w:rFonts w:ascii="Calibri Light" w:hAnsi="Calibri Light"/>
                <w:b w:val="0"/>
              </w:rPr>
              <w:t>, permaneciendo</w:t>
            </w:r>
            <w:r w:rsidR="00560242" w:rsidRPr="00766D2C">
              <w:rPr>
                <w:rFonts w:ascii="Calibri Light" w:hAnsi="Calibri Light"/>
                <w:b w:val="0"/>
              </w:rPr>
              <w:t xml:space="preserve"> bajo prisión preventiva durante un año y cinco meses. </w:t>
            </w:r>
            <w:r w:rsidRPr="00766D2C">
              <w:rPr>
                <w:rFonts w:ascii="Calibri Light" w:hAnsi="Calibri Light"/>
                <w:b w:val="0"/>
              </w:rPr>
              <w:t xml:space="preserve">Los primeros 14 días de su detención en el centro de Seguridad del Estado “Villa Marista”, </w:t>
            </w:r>
            <w:r w:rsidR="008F5F9B">
              <w:rPr>
                <w:rFonts w:ascii="Calibri Light" w:hAnsi="Calibri Light"/>
                <w:b w:val="0"/>
              </w:rPr>
              <w:t>permanecieron privada</w:t>
            </w:r>
            <w:r w:rsidRPr="00766D2C">
              <w:rPr>
                <w:rFonts w:ascii="Calibri Light" w:hAnsi="Calibri Light"/>
                <w:b w:val="0"/>
              </w:rPr>
              <w:t>s de la libertad sin contacto con familiares y sin acceso a luz natural. Luego</w:t>
            </w:r>
            <w:r w:rsidR="00AE104F">
              <w:rPr>
                <w:rFonts w:ascii="Calibri Light" w:hAnsi="Calibri Light"/>
                <w:b w:val="0"/>
              </w:rPr>
              <w:t>,</w:t>
            </w:r>
            <w:r w:rsidRPr="00672A2A">
              <w:rPr>
                <w:rFonts w:ascii="Calibri Light" w:hAnsi="Calibri Light"/>
                <w:b w:val="0"/>
              </w:rPr>
              <w:t xml:space="preserve"> </w:t>
            </w:r>
            <w:r w:rsidR="00E54E5D" w:rsidRPr="00672A2A">
              <w:rPr>
                <w:rFonts w:ascii="Calibri Light" w:hAnsi="Calibri Light"/>
                <w:b w:val="0"/>
              </w:rPr>
              <w:t>continuaron</w:t>
            </w:r>
            <w:r w:rsidR="004E1258">
              <w:rPr>
                <w:rFonts w:ascii="Calibri Light" w:hAnsi="Calibri Light"/>
                <w:b w:val="0"/>
              </w:rPr>
              <w:t xml:space="preserve"> detenida</w:t>
            </w:r>
            <w:r w:rsidRPr="00766D2C">
              <w:rPr>
                <w:rFonts w:ascii="Calibri Light" w:hAnsi="Calibri Light"/>
                <w:b w:val="0"/>
              </w:rPr>
              <w:t xml:space="preserve">s sin posibilidad de salir al aire libre por 36 días. </w:t>
            </w:r>
            <w:r w:rsidR="006A6C23" w:rsidRPr="00766D2C">
              <w:rPr>
                <w:rFonts w:ascii="Calibri Light" w:hAnsi="Calibri Light"/>
                <w:b w:val="0"/>
              </w:rPr>
              <w:t xml:space="preserve">En este periodo, la Fiscalía habría emitido un “Auto Fiscal”, al que no pudieron tener acceso los detenidos o sus familiares, </w:t>
            </w:r>
            <w:r w:rsidR="00AE104F">
              <w:rPr>
                <w:rFonts w:ascii="Calibri Light" w:hAnsi="Calibri Light"/>
                <w:b w:val="0"/>
              </w:rPr>
              <w:t>que ordenaba</w:t>
            </w:r>
            <w:r w:rsidR="006A6C23" w:rsidRPr="00672A2A">
              <w:rPr>
                <w:rFonts w:ascii="Calibri Light" w:hAnsi="Calibri Light"/>
                <w:b w:val="0"/>
              </w:rPr>
              <w:t xml:space="preserve"> la prisión provisional </w:t>
            </w:r>
            <w:r w:rsidR="00AE104F">
              <w:rPr>
                <w:rFonts w:ascii="Calibri Light" w:hAnsi="Calibri Light"/>
                <w:b w:val="0"/>
              </w:rPr>
              <w:t>en su contra</w:t>
            </w:r>
            <w:r w:rsidR="006A6C23" w:rsidRPr="00672A2A">
              <w:rPr>
                <w:rFonts w:ascii="Calibri Light" w:hAnsi="Calibri Light"/>
                <w:b w:val="0"/>
              </w:rPr>
              <w:t xml:space="preserve"> por la presunta comisión del delito de propaganda enemiga. </w:t>
            </w:r>
            <w:r w:rsidR="0065601B">
              <w:rPr>
                <w:rFonts w:ascii="Calibri Light" w:hAnsi="Calibri Light"/>
                <w:b w:val="0"/>
              </w:rPr>
              <w:t>En</w:t>
            </w:r>
            <w:r w:rsidRPr="00672A2A">
              <w:rPr>
                <w:rFonts w:ascii="Calibri Light" w:hAnsi="Calibri Light"/>
                <w:b w:val="0"/>
              </w:rPr>
              <w:t xml:space="preserve"> octubre de 1997, fueron trasladados a diferentes centros de detención de “alta seguridad</w:t>
            </w:r>
            <w:r w:rsidRPr="00766D2C">
              <w:rPr>
                <w:rFonts w:ascii="Calibri Light" w:hAnsi="Calibri Light"/>
                <w:b w:val="0"/>
              </w:rPr>
              <w:t xml:space="preserve">”. </w:t>
            </w:r>
            <w:r w:rsidR="004E1258" w:rsidRPr="00A526BD">
              <w:rPr>
                <w:rFonts w:ascii="Calibri Light" w:hAnsi="Calibri Light"/>
                <w:b w:val="0"/>
              </w:rPr>
              <w:t>Sus familiares cuestionaron su detención a través de dos hábeas corpus en julio y octubre de 1998, que fueron desestimados. Recién el 24 de septiembre de 1998, la Fiscalía publicó su escrito de acusación, precisando los hechos y delitos imputados.</w:t>
            </w:r>
            <w:r w:rsidR="004E1258">
              <w:rPr>
                <w:rFonts w:ascii="Calibri Light" w:hAnsi="Calibri Light"/>
                <w:b w:val="0"/>
              </w:rPr>
              <w:t xml:space="preserve"> </w:t>
            </w:r>
          </w:p>
          <w:p w14:paraId="75257CD6" w14:textId="77777777" w:rsidR="004E1258" w:rsidRDefault="004E1258" w:rsidP="008943A8">
            <w:pPr>
              <w:jc w:val="both"/>
              <w:rPr>
                <w:rFonts w:ascii="Calibri Light" w:hAnsi="Calibri Light"/>
                <w:b w:val="0"/>
              </w:rPr>
            </w:pPr>
          </w:p>
          <w:p w14:paraId="5F510403" w14:textId="74830F5E" w:rsidR="00A526BD" w:rsidRDefault="00A526BD" w:rsidP="00A526BD">
            <w:pPr>
              <w:jc w:val="both"/>
              <w:rPr>
                <w:rFonts w:ascii="Calibri Light" w:hAnsi="Calibri Light"/>
                <w:b w:val="0"/>
              </w:rPr>
            </w:pPr>
            <w:r w:rsidRPr="00A526BD">
              <w:rPr>
                <w:rFonts w:ascii="Calibri Light" w:hAnsi="Calibri Light"/>
                <w:b w:val="0"/>
              </w:rPr>
              <w:t>El 1 de marzo de 1999, se llevó a cabo el juicio oral contra los imputados “a puertas cerradas”, en el que se negó la solicitud de propia defensa de uno de los acusados. Finalmente, el 4 de marzo de ese año, fueron condenados a cinco (Vladimiro Roca), cuatro (Félix Antonio Bonne y René de Jesús Gómez) y a tres (Martha Beatriz Roque) años de prisión como autores de los delitos “otros actos contra la seguridad del Estado en relación con el delito de sedición”, previstos en los artículos 100 y 125 del Código Penal</w:t>
            </w:r>
            <w:r w:rsidRPr="00672A2A">
              <w:rPr>
                <w:rFonts w:ascii="Calibri Light" w:hAnsi="Calibri Light"/>
                <w:b w:val="0"/>
              </w:rPr>
              <w:t>.</w:t>
            </w:r>
            <w:r w:rsidR="00E17CD7">
              <w:rPr>
                <w:rFonts w:ascii="Calibri Light" w:hAnsi="Calibri Light"/>
                <w:b w:val="0"/>
              </w:rPr>
              <w:t xml:space="preserve"> </w:t>
            </w:r>
          </w:p>
          <w:p w14:paraId="4213D2D6" w14:textId="77777777" w:rsidR="00A526BD" w:rsidRPr="00672A2A" w:rsidRDefault="00A526BD" w:rsidP="00A526BD">
            <w:pPr>
              <w:jc w:val="both"/>
              <w:rPr>
                <w:rFonts w:ascii="Calibri Light" w:hAnsi="Calibri Light"/>
                <w:b w:val="0"/>
              </w:rPr>
            </w:pPr>
          </w:p>
          <w:p w14:paraId="4F6330A2" w14:textId="3290CFFB" w:rsidR="000E7146" w:rsidRPr="00A526BD" w:rsidRDefault="00A526BD" w:rsidP="008943A8">
            <w:pPr>
              <w:jc w:val="both"/>
              <w:rPr>
                <w:rFonts w:ascii="Calibri Light" w:hAnsi="Calibri Light"/>
                <w:b w:val="0"/>
              </w:rPr>
            </w:pPr>
            <w:r w:rsidRPr="00A526BD">
              <w:rPr>
                <w:rFonts w:ascii="Calibri Light" w:hAnsi="Calibri Light"/>
                <w:b w:val="0"/>
              </w:rPr>
              <w:t>Cabe señalar que d</w:t>
            </w:r>
            <w:r w:rsidR="008943A8" w:rsidRPr="00A526BD">
              <w:rPr>
                <w:rFonts w:ascii="Calibri Light" w:hAnsi="Calibri Light"/>
                <w:b w:val="0"/>
              </w:rPr>
              <w:t>urante su reclusión,</w:t>
            </w:r>
            <w:r w:rsidR="006D500A" w:rsidRPr="00A526BD">
              <w:rPr>
                <w:rFonts w:ascii="Calibri Light" w:hAnsi="Calibri Light"/>
                <w:b w:val="0"/>
              </w:rPr>
              <w:t xml:space="preserve"> </w:t>
            </w:r>
            <w:r w:rsidRPr="00A526BD">
              <w:rPr>
                <w:rFonts w:ascii="Calibri Light" w:hAnsi="Calibri Light"/>
                <w:b w:val="0"/>
              </w:rPr>
              <w:t xml:space="preserve">las presuntas víctimas </w:t>
            </w:r>
            <w:r w:rsidR="00556690" w:rsidRPr="00A526BD">
              <w:rPr>
                <w:rFonts w:ascii="Calibri Light" w:hAnsi="Calibri Light"/>
                <w:b w:val="0"/>
              </w:rPr>
              <w:t>permanecieron en celdas insalubres y</w:t>
            </w:r>
            <w:r w:rsidR="006D500A" w:rsidRPr="00A526BD">
              <w:rPr>
                <w:rFonts w:ascii="Calibri Light" w:hAnsi="Calibri Light"/>
                <w:b w:val="0"/>
              </w:rPr>
              <w:t xml:space="preserve"> sufrieron restricciones de acceso a la luz solar, al </w:t>
            </w:r>
            <w:r w:rsidR="00556690" w:rsidRPr="00A526BD">
              <w:rPr>
                <w:rFonts w:ascii="Calibri Light" w:hAnsi="Calibri Light"/>
                <w:b w:val="0"/>
              </w:rPr>
              <w:t xml:space="preserve">aire libre, al ejercicio físico, </w:t>
            </w:r>
            <w:r w:rsidR="0065601B" w:rsidRPr="00A526BD">
              <w:rPr>
                <w:rFonts w:ascii="Calibri Light" w:hAnsi="Calibri Light"/>
                <w:b w:val="0"/>
              </w:rPr>
              <w:t xml:space="preserve">a la </w:t>
            </w:r>
            <w:r w:rsidR="00556690" w:rsidRPr="00A526BD">
              <w:rPr>
                <w:rFonts w:ascii="Calibri Light" w:hAnsi="Calibri Light"/>
                <w:b w:val="0"/>
              </w:rPr>
              <w:t>comida y</w:t>
            </w:r>
            <w:r w:rsidR="008F5F9B" w:rsidRPr="00A526BD">
              <w:rPr>
                <w:rFonts w:ascii="Calibri Light" w:hAnsi="Calibri Light"/>
                <w:b w:val="0"/>
              </w:rPr>
              <w:t xml:space="preserve">, en el caso de </w:t>
            </w:r>
            <w:r w:rsidR="004E1258" w:rsidRPr="00A526BD">
              <w:rPr>
                <w:rFonts w:ascii="Calibri Light" w:hAnsi="Calibri Light"/>
                <w:b w:val="0"/>
              </w:rPr>
              <w:t>los señores Gómez, Roque y Bonne</w:t>
            </w:r>
            <w:r w:rsidR="008F5F9B" w:rsidRPr="00A526BD">
              <w:rPr>
                <w:rFonts w:ascii="Calibri Light" w:hAnsi="Calibri Light"/>
                <w:b w:val="0"/>
              </w:rPr>
              <w:t>,</w:t>
            </w:r>
            <w:r w:rsidR="00556690" w:rsidRPr="00A526BD">
              <w:rPr>
                <w:rFonts w:ascii="Calibri Light" w:hAnsi="Calibri Light"/>
                <w:b w:val="0"/>
              </w:rPr>
              <w:t xml:space="preserve"> </w:t>
            </w:r>
            <w:r w:rsidR="0065601B" w:rsidRPr="00A526BD">
              <w:rPr>
                <w:rFonts w:ascii="Calibri Light" w:hAnsi="Calibri Light"/>
                <w:b w:val="0"/>
              </w:rPr>
              <w:t xml:space="preserve">a </w:t>
            </w:r>
            <w:r w:rsidR="00556690" w:rsidRPr="00A526BD">
              <w:rPr>
                <w:rFonts w:ascii="Calibri Light" w:hAnsi="Calibri Light"/>
                <w:b w:val="0"/>
              </w:rPr>
              <w:t>una atención médica adecuada</w:t>
            </w:r>
            <w:r w:rsidR="0065601B" w:rsidRPr="00A526BD">
              <w:rPr>
                <w:rFonts w:ascii="Calibri Light" w:hAnsi="Calibri Light"/>
                <w:b w:val="0"/>
              </w:rPr>
              <w:t>,</w:t>
            </w:r>
            <w:r w:rsidR="00556690" w:rsidRPr="00A526BD">
              <w:rPr>
                <w:rFonts w:ascii="Calibri Light" w:hAnsi="Calibri Light"/>
                <w:b w:val="0"/>
              </w:rPr>
              <w:t xml:space="preserve"> lo cual repercutió negativamente en su salud. </w:t>
            </w:r>
            <w:r w:rsidR="000E7146" w:rsidRPr="00A526BD">
              <w:rPr>
                <w:rFonts w:ascii="Calibri Light" w:hAnsi="Calibri Light"/>
                <w:b w:val="0"/>
              </w:rPr>
              <w:t xml:space="preserve">Además, </w:t>
            </w:r>
            <w:r w:rsidR="0063508F" w:rsidRPr="00A526BD">
              <w:rPr>
                <w:rFonts w:ascii="Calibri Light" w:hAnsi="Calibri Light"/>
                <w:b w:val="0"/>
              </w:rPr>
              <w:t>los señores Roque, Roca y Gómez</w:t>
            </w:r>
            <w:r w:rsidR="000E7146" w:rsidRPr="00A526BD">
              <w:rPr>
                <w:rFonts w:ascii="Calibri Light" w:hAnsi="Calibri Light"/>
                <w:b w:val="0"/>
              </w:rPr>
              <w:t xml:space="preserve"> permanecieron detenidos con personas condenadas por delitos comunes</w:t>
            </w:r>
            <w:r w:rsidR="0063508F" w:rsidRPr="00A526BD">
              <w:rPr>
                <w:rFonts w:ascii="Calibri Light" w:hAnsi="Calibri Light"/>
                <w:b w:val="0"/>
              </w:rPr>
              <w:t>. E</w:t>
            </w:r>
            <w:r w:rsidR="000E7146" w:rsidRPr="00A526BD">
              <w:rPr>
                <w:rFonts w:ascii="Calibri Light" w:hAnsi="Calibri Light"/>
                <w:b w:val="0"/>
              </w:rPr>
              <w:t>n el caso del último, fue puesto en régimen de ais</w:t>
            </w:r>
            <w:r w:rsidR="0063508F" w:rsidRPr="00A526BD">
              <w:rPr>
                <w:rFonts w:ascii="Calibri Light" w:hAnsi="Calibri Light"/>
                <w:b w:val="0"/>
              </w:rPr>
              <w:t>lamiento tras ser golpeado por otros</w:t>
            </w:r>
            <w:r w:rsidR="000E7146" w:rsidRPr="00A526BD">
              <w:rPr>
                <w:rFonts w:ascii="Calibri Light" w:hAnsi="Calibri Light"/>
                <w:b w:val="0"/>
              </w:rPr>
              <w:t xml:space="preserve"> presos. </w:t>
            </w:r>
          </w:p>
          <w:p w14:paraId="57DD3D2E" w14:textId="77777777" w:rsidR="000E7146" w:rsidRDefault="000E7146" w:rsidP="008943A8">
            <w:pPr>
              <w:jc w:val="both"/>
              <w:rPr>
                <w:rFonts w:ascii="Calibri Light" w:hAnsi="Calibri Light"/>
                <w:b w:val="0"/>
                <w:highlight w:val="yellow"/>
              </w:rPr>
            </w:pPr>
          </w:p>
          <w:p w14:paraId="59D54E1C" w14:textId="5C20DC98" w:rsidR="0065601B" w:rsidRPr="00672A2A" w:rsidRDefault="005E567E">
            <w:pPr>
              <w:jc w:val="both"/>
              <w:rPr>
                <w:rFonts w:ascii="Calibri Light" w:hAnsi="Calibri Light"/>
                <w:b w:val="0"/>
              </w:rPr>
            </w:pPr>
            <w:r>
              <w:rPr>
                <w:rFonts w:ascii="Calibri Light" w:hAnsi="Calibri Light"/>
                <w:b w:val="0"/>
              </w:rPr>
              <w:t>Frente a estos hechos</w:t>
            </w:r>
            <w:r w:rsidR="00626543" w:rsidRPr="00766D2C">
              <w:rPr>
                <w:rFonts w:ascii="Calibri Light" w:hAnsi="Calibri Light"/>
                <w:b w:val="0"/>
              </w:rPr>
              <w:t xml:space="preserve">, el </w:t>
            </w:r>
            <w:r w:rsidR="00626543" w:rsidRPr="00672A2A">
              <w:rPr>
                <w:rFonts w:ascii="Calibri Light" w:hAnsi="Calibri Light"/>
                <w:b w:val="0"/>
              </w:rPr>
              <w:t>Comité Cubano Pro Derechos Humanos y el Grupo de Trabajo de la Disidencia Interna</w:t>
            </w:r>
            <w:r w:rsidR="00626543" w:rsidRPr="00672A2A" w:rsidDel="00626543">
              <w:rPr>
                <w:rFonts w:ascii="Calibri Light" w:hAnsi="Calibri Light"/>
                <w:b w:val="0"/>
              </w:rPr>
              <w:t xml:space="preserve"> </w:t>
            </w:r>
            <w:r w:rsidR="0016183C" w:rsidRPr="00672A2A">
              <w:rPr>
                <w:rFonts w:ascii="Calibri Light" w:hAnsi="Calibri Light"/>
                <w:b w:val="0"/>
              </w:rPr>
              <w:t xml:space="preserve">presentaron una petición ante la CIDH, denunciando </w:t>
            </w:r>
            <w:r w:rsidR="00A075D2" w:rsidRPr="00672A2A">
              <w:rPr>
                <w:rFonts w:ascii="Calibri Light" w:hAnsi="Calibri Light"/>
                <w:b w:val="0"/>
              </w:rPr>
              <w:t xml:space="preserve">que el Estado de Cuba </w:t>
            </w:r>
            <w:r w:rsidR="0016183C" w:rsidRPr="00766D2C">
              <w:rPr>
                <w:rFonts w:ascii="Calibri Light" w:hAnsi="Calibri Light"/>
                <w:b w:val="0"/>
              </w:rPr>
              <w:t>había violado los</w:t>
            </w:r>
            <w:r w:rsidR="00A075D2" w:rsidRPr="00766D2C">
              <w:rPr>
                <w:rFonts w:ascii="Calibri Light" w:hAnsi="Calibri Light"/>
                <w:b w:val="0"/>
              </w:rPr>
              <w:t xml:space="preserve"> derechos </w:t>
            </w:r>
            <w:r w:rsidR="0016183C" w:rsidRPr="00766D2C">
              <w:rPr>
                <w:rFonts w:ascii="Calibri Light" w:hAnsi="Calibri Light"/>
                <w:b w:val="0"/>
              </w:rPr>
              <w:t>de Vladimiro Roca Antúnez, René Gómez Manzano, Martha Beatriz Roque Cabello y Félix Bonne Carcassés</w:t>
            </w:r>
            <w:r w:rsidR="0016183C" w:rsidRPr="00766D2C" w:rsidDel="0016183C">
              <w:rPr>
                <w:rFonts w:ascii="Calibri Light" w:hAnsi="Calibri Light"/>
                <w:b w:val="0"/>
              </w:rPr>
              <w:t xml:space="preserve"> </w:t>
            </w:r>
            <w:r w:rsidR="00A075D2" w:rsidRPr="00766D2C">
              <w:rPr>
                <w:rFonts w:ascii="Calibri Light" w:hAnsi="Calibri Light"/>
                <w:b w:val="0"/>
              </w:rPr>
              <w:t>a la vida, a la libertad, a la seguridad e integridad de la persona</w:t>
            </w:r>
            <w:r w:rsidR="0016183C" w:rsidRPr="00766D2C">
              <w:rPr>
                <w:rFonts w:ascii="Calibri Light" w:hAnsi="Calibri Light"/>
                <w:b w:val="0"/>
              </w:rPr>
              <w:t xml:space="preserve"> (artículo I</w:t>
            </w:r>
            <w:r w:rsidR="00A075D2" w:rsidRPr="00766D2C">
              <w:rPr>
                <w:rFonts w:ascii="Calibri Light" w:hAnsi="Calibri Light"/>
                <w:b w:val="0"/>
              </w:rPr>
              <w:t xml:space="preserve">), </w:t>
            </w:r>
            <w:r w:rsidR="0016183C" w:rsidRPr="00766D2C">
              <w:rPr>
                <w:rFonts w:ascii="Calibri Light" w:hAnsi="Calibri Light"/>
                <w:b w:val="0"/>
              </w:rPr>
              <w:t xml:space="preserve"> </w:t>
            </w:r>
            <w:r>
              <w:rPr>
                <w:rFonts w:ascii="Calibri Light" w:hAnsi="Calibri Light"/>
                <w:b w:val="0"/>
              </w:rPr>
              <w:t>a la</w:t>
            </w:r>
            <w:r w:rsidR="00A075D2" w:rsidRPr="00672A2A">
              <w:rPr>
                <w:rFonts w:ascii="Calibri Light" w:hAnsi="Calibri Light"/>
                <w:b w:val="0"/>
              </w:rPr>
              <w:t xml:space="preserve"> libertad de investigación, opinión, expresión y difusión</w:t>
            </w:r>
            <w:r w:rsidR="0016183C" w:rsidRPr="00766D2C">
              <w:rPr>
                <w:rFonts w:ascii="Calibri Light" w:hAnsi="Calibri Light"/>
                <w:b w:val="0"/>
              </w:rPr>
              <w:t xml:space="preserve"> (artículo IV</w:t>
            </w:r>
            <w:r w:rsidR="00A075D2" w:rsidRPr="00766D2C">
              <w:rPr>
                <w:rFonts w:ascii="Calibri Light" w:hAnsi="Calibri Light"/>
                <w:b w:val="0"/>
              </w:rPr>
              <w:t xml:space="preserve">), </w:t>
            </w:r>
            <w:r w:rsidR="0016183C" w:rsidRPr="00766D2C">
              <w:rPr>
                <w:rFonts w:ascii="Calibri Light" w:hAnsi="Calibri Light"/>
                <w:b w:val="0"/>
              </w:rPr>
              <w:t>el d</w:t>
            </w:r>
            <w:r w:rsidR="00A075D2" w:rsidRPr="00766D2C">
              <w:rPr>
                <w:rFonts w:ascii="Calibri Light" w:hAnsi="Calibri Light"/>
                <w:b w:val="0"/>
              </w:rPr>
              <w:t>erecho de protección contra la detención arbitraria</w:t>
            </w:r>
            <w:r w:rsidR="0016183C" w:rsidRPr="00766D2C">
              <w:rPr>
                <w:rFonts w:ascii="Calibri Light" w:hAnsi="Calibri Light"/>
                <w:b w:val="0"/>
              </w:rPr>
              <w:t xml:space="preserve"> (XXV</w:t>
            </w:r>
            <w:r w:rsidR="00A075D2" w:rsidRPr="00766D2C">
              <w:rPr>
                <w:rFonts w:ascii="Calibri Light" w:hAnsi="Calibri Light"/>
                <w:b w:val="0"/>
              </w:rPr>
              <w:t xml:space="preserve">) y </w:t>
            </w:r>
            <w:r w:rsidR="0016183C" w:rsidRPr="00766D2C">
              <w:rPr>
                <w:rFonts w:ascii="Calibri Light" w:hAnsi="Calibri Light"/>
                <w:b w:val="0"/>
              </w:rPr>
              <w:t xml:space="preserve"> el d</w:t>
            </w:r>
            <w:r w:rsidR="00A075D2" w:rsidRPr="00766D2C">
              <w:rPr>
                <w:rFonts w:ascii="Calibri Light" w:hAnsi="Calibri Light"/>
                <w:b w:val="0"/>
              </w:rPr>
              <w:t>erecho a proceso regular</w:t>
            </w:r>
            <w:r w:rsidR="0016183C" w:rsidRPr="00766D2C">
              <w:rPr>
                <w:rFonts w:ascii="Calibri Light" w:hAnsi="Calibri Light"/>
                <w:b w:val="0"/>
              </w:rPr>
              <w:t xml:space="preserve"> (XXVI</w:t>
            </w:r>
            <w:r w:rsidR="00A075D2" w:rsidRPr="00766D2C">
              <w:rPr>
                <w:rFonts w:ascii="Calibri Light" w:hAnsi="Calibri Light"/>
                <w:b w:val="0"/>
              </w:rPr>
              <w:t>)</w:t>
            </w:r>
            <w:r w:rsidR="0016183C" w:rsidRPr="00766D2C">
              <w:rPr>
                <w:rFonts w:ascii="Calibri Light" w:hAnsi="Calibri Light"/>
                <w:b w:val="0"/>
              </w:rPr>
              <w:t>, reconocidos en</w:t>
            </w:r>
            <w:r w:rsidR="00A075D2" w:rsidRPr="00766D2C">
              <w:rPr>
                <w:rFonts w:ascii="Calibri Light" w:hAnsi="Calibri Light"/>
                <w:b w:val="0"/>
              </w:rPr>
              <w:t xml:space="preserve"> la Declaración Americana de los Derechos y Deberes del Hombre</w:t>
            </w:r>
            <w:r w:rsidR="0016183C" w:rsidRPr="00766D2C">
              <w:rPr>
                <w:rFonts w:ascii="Calibri Light" w:hAnsi="Calibri Light"/>
                <w:b w:val="0"/>
              </w:rPr>
              <w:t xml:space="preserve"> (en adelante, DADDH).</w:t>
            </w:r>
          </w:p>
          <w:p w14:paraId="6543A68A" w14:textId="31DB88A4" w:rsidR="00693C80" w:rsidRPr="00672A2A" w:rsidRDefault="00693C80">
            <w:pPr>
              <w:jc w:val="both"/>
              <w:rPr>
                <w:rFonts w:ascii="Calibri Light" w:hAnsi="Calibri Light"/>
                <w:b w:val="0"/>
              </w:rPr>
            </w:pPr>
          </w:p>
        </w:tc>
      </w:tr>
      <w:tr w:rsidR="005173CF" w:rsidRPr="00766D2C" w14:paraId="7B81A2F3" w14:textId="77777777" w:rsidTr="00F124DE">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Pr="00672A2A" w:rsidRDefault="00AC6F31" w:rsidP="00AC6F31">
            <w:pPr>
              <w:pStyle w:val="ListParagraph"/>
              <w:rPr>
                <w:rFonts w:ascii="Calibri Light" w:hAnsi="Calibri Light"/>
              </w:rPr>
            </w:pPr>
          </w:p>
          <w:p w14:paraId="1FB8AB09" w14:textId="77777777" w:rsidR="005173CF" w:rsidRPr="00766D2C" w:rsidRDefault="003E6AB8" w:rsidP="003E6AB8">
            <w:pPr>
              <w:pStyle w:val="ListParagraph"/>
              <w:numPr>
                <w:ilvl w:val="0"/>
                <w:numId w:val="2"/>
              </w:numPr>
              <w:jc w:val="center"/>
              <w:rPr>
                <w:rFonts w:ascii="Calibri Light" w:hAnsi="Calibri Light"/>
              </w:rPr>
            </w:pPr>
            <w:r w:rsidRPr="00672A2A">
              <w:rPr>
                <w:rFonts w:ascii="Calibri Light" w:hAnsi="Calibri Light"/>
              </w:rPr>
              <w:t>Análisis jurídico</w:t>
            </w:r>
          </w:p>
          <w:p w14:paraId="158A739A" w14:textId="77777777" w:rsidR="00AC6F31" w:rsidRPr="00766D2C" w:rsidRDefault="00AC6F31" w:rsidP="00AC6F31">
            <w:pPr>
              <w:pStyle w:val="ListParagraph"/>
              <w:rPr>
                <w:rFonts w:ascii="Calibri Light" w:hAnsi="Calibri Light"/>
              </w:rPr>
            </w:pPr>
          </w:p>
        </w:tc>
      </w:tr>
      <w:tr w:rsidR="005173CF" w:rsidRPr="00766D2C" w14:paraId="71AB3B44" w14:textId="77777777" w:rsidTr="00F124DE">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26AC653F" w14:textId="424E8A96" w:rsidR="00AC6F31" w:rsidRPr="00672A2A" w:rsidRDefault="00AC6F31" w:rsidP="00B16D3A">
            <w:pPr>
              <w:pStyle w:val="ListParagraph"/>
              <w:ind w:left="360"/>
              <w:jc w:val="both"/>
              <w:rPr>
                <w:rFonts w:ascii="Calibri Light" w:hAnsi="Calibri Light"/>
                <w:b w:val="0"/>
              </w:rPr>
            </w:pPr>
          </w:p>
          <w:p w14:paraId="2EFA2FA4" w14:textId="4B0DF187" w:rsidR="00F70873" w:rsidRPr="00766D2C" w:rsidRDefault="00417C7D">
            <w:pPr>
              <w:jc w:val="both"/>
              <w:rPr>
                <w:rFonts w:ascii="Calibri Light" w:hAnsi="Calibri Light"/>
              </w:rPr>
            </w:pPr>
            <w:r w:rsidRPr="00672A2A">
              <w:rPr>
                <w:rFonts w:ascii="Calibri Light" w:hAnsi="Calibri Light"/>
              </w:rPr>
              <w:t>Aplicación e interpretación de la Declaración Americana de los Derechos y Deberes del</w:t>
            </w:r>
            <w:r w:rsidRPr="00766D2C">
              <w:rPr>
                <w:rFonts w:ascii="Calibri Light" w:hAnsi="Calibri Light"/>
              </w:rPr>
              <w:t xml:space="preserve"> Hombre</w:t>
            </w:r>
          </w:p>
          <w:p w14:paraId="4F02849D" w14:textId="77777777" w:rsidR="00F70873" w:rsidRPr="00766D2C" w:rsidRDefault="00F70873">
            <w:pPr>
              <w:jc w:val="both"/>
              <w:rPr>
                <w:rFonts w:ascii="Calibri Light" w:hAnsi="Calibri Light"/>
              </w:rPr>
            </w:pPr>
          </w:p>
          <w:p w14:paraId="3A98146B" w14:textId="3208927C" w:rsidR="00EB2AC4" w:rsidRPr="00766D2C" w:rsidRDefault="0016183C">
            <w:pPr>
              <w:jc w:val="both"/>
              <w:rPr>
                <w:rFonts w:ascii="Calibri Light" w:hAnsi="Calibri Light"/>
                <w:b w:val="0"/>
              </w:rPr>
            </w:pPr>
            <w:r w:rsidRPr="00766D2C">
              <w:rPr>
                <w:rFonts w:ascii="Calibri Light" w:hAnsi="Calibri Light"/>
                <w:b w:val="0"/>
              </w:rPr>
              <w:t>La CIDH recordó que la DADDH</w:t>
            </w:r>
            <w:r w:rsidR="00EB2AC4" w:rsidRPr="00766D2C">
              <w:rPr>
                <w:rFonts w:ascii="Calibri Light" w:hAnsi="Calibri Light"/>
                <w:b w:val="0"/>
              </w:rPr>
              <w:t xml:space="preserve"> constituye una fuente de obligación jurídica internacional para todos los Estados miembros de la Organización de Estados Americanos, aun cuando</w:t>
            </w:r>
            <w:r w:rsidR="00C464C0" w:rsidRPr="00766D2C">
              <w:rPr>
                <w:rFonts w:ascii="Calibri Light" w:hAnsi="Calibri Light"/>
                <w:b w:val="0"/>
              </w:rPr>
              <w:t>, como en el caso de Cuba,</w:t>
            </w:r>
            <w:r w:rsidR="00EB2AC4" w:rsidRPr="00766D2C">
              <w:rPr>
                <w:rFonts w:ascii="Calibri Light" w:hAnsi="Calibri Light"/>
                <w:b w:val="0"/>
              </w:rPr>
              <w:t xml:space="preserve"> no sean parte de la Convención Americana</w:t>
            </w:r>
            <w:r w:rsidRPr="00766D2C">
              <w:rPr>
                <w:rFonts w:ascii="Calibri Light" w:hAnsi="Calibri Light"/>
                <w:b w:val="0"/>
              </w:rPr>
              <w:t xml:space="preserve"> sobre Derechos Humanos</w:t>
            </w:r>
            <w:r w:rsidR="00EB2AC4" w:rsidRPr="00766D2C">
              <w:rPr>
                <w:rFonts w:ascii="Calibri Light" w:hAnsi="Calibri Light"/>
                <w:b w:val="0"/>
              </w:rPr>
              <w:t xml:space="preserve">. </w:t>
            </w:r>
            <w:r w:rsidR="00C464C0" w:rsidRPr="00766D2C">
              <w:rPr>
                <w:rFonts w:ascii="Calibri Light" w:hAnsi="Calibri Light"/>
                <w:b w:val="0"/>
              </w:rPr>
              <w:t xml:space="preserve">Por ello, en este caso, la CIDH aplicó </w:t>
            </w:r>
            <w:r w:rsidR="00EB2AC4" w:rsidRPr="00766D2C">
              <w:rPr>
                <w:rFonts w:ascii="Calibri Light" w:hAnsi="Calibri Light"/>
                <w:b w:val="0"/>
              </w:rPr>
              <w:t xml:space="preserve">las disposiciones pertinentes de la </w:t>
            </w:r>
            <w:r w:rsidR="005E567E">
              <w:rPr>
                <w:rFonts w:ascii="Calibri Light" w:hAnsi="Calibri Light"/>
                <w:b w:val="0"/>
              </w:rPr>
              <w:t>DADDH</w:t>
            </w:r>
            <w:r w:rsidR="00C464C0" w:rsidRPr="00672A2A">
              <w:rPr>
                <w:rFonts w:ascii="Calibri Light" w:hAnsi="Calibri Light"/>
                <w:b w:val="0"/>
              </w:rPr>
              <w:t>, interpretándolas</w:t>
            </w:r>
            <w:r w:rsidR="00EB2AC4" w:rsidRPr="00672A2A">
              <w:rPr>
                <w:rFonts w:ascii="Calibri Light" w:hAnsi="Calibri Light"/>
                <w:b w:val="0"/>
              </w:rPr>
              <w:t xml:space="preserve"> a la luz de la evolución del </w:t>
            </w:r>
            <w:r w:rsidR="00C464C0" w:rsidRPr="00672A2A">
              <w:rPr>
                <w:rFonts w:ascii="Calibri Light" w:hAnsi="Calibri Light"/>
                <w:b w:val="0"/>
              </w:rPr>
              <w:t>D</w:t>
            </w:r>
            <w:r w:rsidR="00EB2AC4" w:rsidRPr="00766D2C">
              <w:rPr>
                <w:rFonts w:ascii="Calibri Light" w:hAnsi="Calibri Light"/>
                <w:b w:val="0"/>
              </w:rPr>
              <w:t xml:space="preserve">erecho </w:t>
            </w:r>
            <w:r w:rsidR="00C464C0" w:rsidRPr="00766D2C">
              <w:rPr>
                <w:rFonts w:ascii="Calibri Light" w:hAnsi="Calibri Light"/>
                <w:b w:val="0"/>
              </w:rPr>
              <w:t>I</w:t>
            </w:r>
            <w:r w:rsidR="00EB2AC4" w:rsidRPr="00766D2C">
              <w:rPr>
                <w:rFonts w:ascii="Calibri Light" w:hAnsi="Calibri Light"/>
                <w:b w:val="0"/>
              </w:rPr>
              <w:t xml:space="preserve">nternacional de los </w:t>
            </w:r>
            <w:r w:rsidR="00C464C0" w:rsidRPr="00766D2C">
              <w:rPr>
                <w:rFonts w:ascii="Calibri Light" w:hAnsi="Calibri Light"/>
                <w:b w:val="0"/>
              </w:rPr>
              <w:t>D</w:t>
            </w:r>
            <w:r w:rsidR="00EB2AC4" w:rsidRPr="00766D2C">
              <w:rPr>
                <w:rFonts w:ascii="Calibri Light" w:hAnsi="Calibri Light"/>
                <w:b w:val="0"/>
              </w:rPr>
              <w:t xml:space="preserve">erechos </w:t>
            </w:r>
            <w:r w:rsidR="00C464C0" w:rsidRPr="00766D2C">
              <w:rPr>
                <w:rFonts w:ascii="Calibri Light" w:hAnsi="Calibri Light"/>
                <w:b w:val="0"/>
              </w:rPr>
              <w:t>H</w:t>
            </w:r>
            <w:r w:rsidR="00EB2AC4" w:rsidRPr="00766D2C">
              <w:rPr>
                <w:rFonts w:ascii="Calibri Light" w:hAnsi="Calibri Light"/>
                <w:b w:val="0"/>
              </w:rPr>
              <w:t>umanos</w:t>
            </w:r>
            <w:r w:rsidR="00D63D0C" w:rsidRPr="00766D2C">
              <w:rPr>
                <w:rFonts w:ascii="Calibri Light" w:hAnsi="Calibri Light"/>
                <w:b w:val="0"/>
              </w:rPr>
              <w:t xml:space="preserve">. </w:t>
            </w:r>
          </w:p>
          <w:p w14:paraId="0001FCD0" w14:textId="77777777" w:rsidR="00EB2AC4" w:rsidRPr="00766D2C" w:rsidRDefault="00EB2AC4">
            <w:pPr>
              <w:jc w:val="both"/>
              <w:rPr>
                <w:rFonts w:ascii="Calibri Light" w:hAnsi="Calibri Light"/>
                <w:b w:val="0"/>
              </w:rPr>
            </w:pPr>
          </w:p>
          <w:p w14:paraId="23140ED3" w14:textId="3A799E1E" w:rsidR="00F70873" w:rsidRPr="00766D2C" w:rsidRDefault="00E15E20">
            <w:pPr>
              <w:jc w:val="both"/>
              <w:rPr>
                <w:rFonts w:ascii="Calibri Light" w:hAnsi="Calibri Light"/>
              </w:rPr>
            </w:pPr>
            <w:r w:rsidRPr="00766D2C">
              <w:rPr>
                <w:rFonts w:ascii="Calibri Light" w:hAnsi="Calibri Light"/>
              </w:rPr>
              <w:lastRenderedPageBreak/>
              <w:t>Derecho de libertad de investigación, opinión, expresión y difusión y derecho de asociación (</w:t>
            </w:r>
            <w:r w:rsidR="00C464C0" w:rsidRPr="00766D2C">
              <w:rPr>
                <w:rFonts w:ascii="Calibri Light" w:hAnsi="Calibri Light"/>
              </w:rPr>
              <w:t xml:space="preserve">artículos IV y </w:t>
            </w:r>
            <w:r w:rsidRPr="00766D2C">
              <w:rPr>
                <w:rFonts w:ascii="Calibri Light" w:hAnsi="Calibri Light"/>
              </w:rPr>
              <w:t>XXII</w:t>
            </w:r>
            <w:r w:rsidR="00C464C0" w:rsidRPr="00766D2C">
              <w:rPr>
                <w:rFonts w:ascii="Calibri Light" w:hAnsi="Calibri Light"/>
              </w:rPr>
              <w:t xml:space="preserve"> de la DADDH</w:t>
            </w:r>
            <w:r w:rsidRPr="00766D2C">
              <w:rPr>
                <w:rFonts w:ascii="Calibri Light" w:hAnsi="Calibri Light"/>
              </w:rPr>
              <w:t xml:space="preserve">) </w:t>
            </w:r>
          </w:p>
          <w:p w14:paraId="35B80E0B" w14:textId="77777777" w:rsidR="00E15E20" w:rsidRPr="00766D2C" w:rsidRDefault="00E15E20">
            <w:pPr>
              <w:jc w:val="both"/>
              <w:rPr>
                <w:rFonts w:ascii="Calibri Light" w:hAnsi="Calibri Light"/>
              </w:rPr>
            </w:pPr>
          </w:p>
          <w:p w14:paraId="1788CB67" w14:textId="6B49FF3F" w:rsidR="00E15E20" w:rsidRPr="00766D2C" w:rsidRDefault="00C464C0">
            <w:pPr>
              <w:jc w:val="both"/>
              <w:rPr>
                <w:rFonts w:ascii="Calibri Light" w:hAnsi="Calibri Light"/>
                <w:b w:val="0"/>
              </w:rPr>
            </w:pPr>
            <w:r w:rsidRPr="00766D2C">
              <w:rPr>
                <w:rFonts w:ascii="Calibri Light" w:hAnsi="Calibri Light"/>
                <w:b w:val="0"/>
              </w:rPr>
              <w:t>L</w:t>
            </w:r>
            <w:r w:rsidR="00106755" w:rsidRPr="00766D2C">
              <w:rPr>
                <w:rFonts w:ascii="Calibri Light" w:hAnsi="Calibri Light"/>
                <w:b w:val="0"/>
              </w:rPr>
              <w:t>a CIDH</w:t>
            </w:r>
            <w:r w:rsidRPr="00766D2C">
              <w:rPr>
                <w:rFonts w:ascii="Calibri Light" w:hAnsi="Calibri Light"/>
                <w:b w:val="0"/>
              </w:rPr>
              <w:t xml:space="preserve"> </w:t>
            </w:r>
            <w:r w:rsidR="00171082" w:rsidRPr="00766D2C">
              <w:rPr>
                <w:rFonts w:ascii="Calibri Light" w:hAnsi="Calibri Light"/>
                <w:b w:val="0"/>
              </w:rPr>
              <w:t xml:space="preserve">recordó </w:t>
            </w:r>
            <w:r w:rsidR="005B41CE" w:rsidRPr="00766D2C">
              <w:rPr>
                <w:rFonts w:ascii="Calibri Light" w:hAnsi="Calibri Light"/>
                <w:b w:val="0"/>
              </w:rPr>
              <w:t xml:space="preserve">que las restricciones a la libertad de expresión desde el Derecho Penal, </w:t>
            </w:r>
            <w:r w:rsidR="00452C34" w:rsidRPr="00766D2C">
              <w:rPr>
                <w:rFonts w:ascii="Calibri Light" w:hAnsi="Calibri Light"/>
                <w:b w:val="0"/>
              </w:rPr>
              <w:t>al</w:t>
            </w:r>
            <w:r w:rsidR="003B124D" w:rsidRPr="00766D2C">
              <w:rPr>
                <w:rFonts w:ascii="Calibri Light" w:hAnsi="Calibri Light"/>
                <w:b w:val="0"/>
              </w:rPr>
              <w:t xml:space="preserve"> </w:t>
            </w:r>
            <w:r w:rsidR="005B41CE" w:rsidRPr="00766D2C">
              <w:rPr>
                <w:rFonts w:ascii="Calibri Light" w:hAnsi="Calibri Light"/>
                <w:b w:val="0"/>
              </w:rPr>
              <w:t xml:space="preserve">ser las más restrictivas y severas, deben </w:t>
            </w:r>
            <w:r w:rsidR="003B124D" w:rsidRPr="00766D2C">
              <w:rPr>
                <w:rFonts w:ascii="Calibri Light" w:hAnsi="Calibri Light"/>
                <w:b w:val="0"/>
              </w:rPr>
              <w:t xml:space="preserve">obedecer a un escrutinio más estricto y </w:t>
            </w:r>
            <w:r w:rsidR="005B41CE" w:rsidRPr="00766D2C">
              <w:rPr>
                <w:rFonts w:ascii="Calibri Light" w:hAnsi="Calibri Light"/>
                <w:b w:val="0"/>
              </w:rPr>
              <w:t>constituir la última ratio</w:t>
            </w:r>
            <w:r w:rsidR="002E5E1B" w:rsidRPr="00766D2C">
              <w:rPr>
                <w:rFonts w:ascii="Calibri Light" w:hAnsi="Calibri Light"/>
                <w:b w:val="0"/>
              </w:rPr>
              <w:t xml:space="preserve">. </w:t>
            </w:r>
            <w:r w:rsidR="003B124D" w:rsidRPr="00766D2C">
              <w:rPr>
                <w:rFonts w:ascii="Calibri Light" w:hAnsi="Calibri Light"/>
                <w:b w:val="0"/>
              </w:rPr>
              <w:t>En ese sentido, p</w:t>
            </w:r>
            <w:r w:rsidR="003B124D" w:rsidRPr="00672A2A">
              <w:rPr>
                <w:rFonts w:ascii="Calibri Light" w:hAnsi="Calibri Light"/>
                <w:b w:val="0"/>
              </w:rPr>
              <w:t>ara determinar si una sanción penal es una restricción</w:t>
            </w:r>
            <w:r w:rsidR="003B124D" w:rsidRPr="00766D2C">
              <w:rPr>
                <w:rFonts w:ascii="Calibri Light" w:hAnsi="Calibri Light"/>
                <w:b w:val="0"/>
              </w:rPr>
              <w:t xml:space="preserve"> legítima a la libertad de expresión y asociación, se debe analizar si satisface </w:t>
            </w:r>
            <w:r w:rsidR="00603CA7" w:rsidRPr="00766D2C">
              <w:rPr>
                <w:rFonts w:ascii="Calibri Light" w:hAnsi="Calibri Light"/>
                <w:b w:val="0"/>
              </w:rPr>
              <w:t>los siguientes requisitos</w:t>
            </w:r>
            <w:r w:rsidR="00106755" w:rsidRPr="00766D2C">
              <w:rPr>
                <w:rFonts w:ascii="Calibri Light" w:hAnsi="Calibri Light"/>
                <w:b w:val="0"/>
              </w:rPr>
              <w:t>:</w:t>
            </w:r>
            <w:r w:rsidR="00106755" w:rsidRPr="00672A2A">
              <w:rPr>
                <w:rFonts w:ascii="Calibri Light" w:hAnsi="Calibri Light"/>
              </w:rPr>
              <w:t xml:space="preserve"> </w:t>
            </w:r>
            <w:r w:rsidR="00603CA7" w:rsidRPr="00766D2C">
              <w:rPr>
                <w:rFonts w:ascii="Calibri Light" w:hAnsi="Calibri Light"/>
                <w:b w:val="0"/>
              </w:rPr>
              <w:t>i</w:t>
            </w:r>
            <w:r w:rsidR="0033011A" w:rsidRPr="00766D2C">
              <w:rPr>
                <w:rFonts w:ascii="Calibri Light" w:hAnsi="Calibri Light"/>
                <w:b w:val="0"/>
              </w:rPr>
              <w:t>) est</w:t>
            </w:r>
            <w:r w:rsidR="00603CA7" w:rsidRPr="00766D2C">
              <w:rPr>
                <w:rFonts w:ascii="Calibri Light" w:hAnsi="Calibri Light"/>
                <w:b w:val="0"/>
              </w:rPr>
              <w:t>ar</w:t>
            </w:r>
            <w:r w:rsidR="0033011A" w:rsidRPr="00766D2C">
              <w:rPr>
                <w:rFonts w:ascii="Calibri Light" w:hAnsi="Calibri Light"/>
                <w:b w:val="0"/>
              </w:rPr>
              <w:t xml:space="preserve"> prevista en una ley, </w:t>
            </w:r>
            <w:r w:rsidR="00603CA7" w:rsidRPr="00766D2C">
              <w:rPr>
                <w:rFonts w:ascii="Calibri Light" w:hAnsi="Calibri Light"/>
                <w:b w:val="0"/>
              </w:rPr>
              <w:t>ii</w:t>
            </w:r>
            <w:r w:rsidR="0033011A" w:rsidRPr="00766D2C">
              <w:rPr>
                <w:rFonts w:ascii="Calibri Light" w:hAnsi="Calibri Light"/>
                <w:b w:val="0"/>
              </w:rPr>
              <w:t xml:space="preserve">) </w:t>
            </w:r>
            <w:r w:rsidR="00603CA7" w:rsidRPr="00766D2C">
              <w:rPr>
                <w:rFonts w:ascii="Calibri Light" w:hAnsi="Calibri Light"/>
                <w:b w:val="0"/>
              </w:rPr>
              <w:t xml:space="preserve">tener </w:t>
            </w:r>
            <w:r w:rsidR="0033011A" w:rsidRPr="00766D2C">
              <w:rPr>
                <w:rFonts w:ascii="Calibri Light" w:hAnsi="Calibri Light"/>
                <w:b w:val="0"/>
              </w:rPr>
              <w:t xml:space="preserve">fin legítimo y </w:t>
            </w:r>
            <w:r w:rsidR="00603CA7" w:rsidRPr="00766D2C">
              <w:rPr>
                <w:rFonts w:ascii="Calibri Light" w:hAnsi="Calibri Light"/>
                <w:b w:val="0"/>
              </w:rPr>
              <w:t>iii</w:t>
            </w:r>
            <w:r w:rsidR="0033011A" w:rsidRPr="00766D2C">
              <w:rPr>
                <w:rFonts w:ascii="Calibri Light" w:hAnsi="Calibri Light"/>
                <w:b w:val="0"/>
              </w:rPr>
              <w:t xml:space="preserve">) </w:t>
            </w:r>
            <w:r w:rsidR="00603CA7" w:rsidRPr="00766D2C">
              <w:rPr>
                <w:rFonts w:ascii="Calibri Light" w:hAnsi="Calibri Light"/>
                <w:b w:val="0"/>
              </w:rPr>
              <w:t xml:space="preserve">ser </w:t>
            </w:r>
            <w:r w:rsidR="0033011A" w:rsidRPr="00766D2C">
              <w:rPr>
                <w:rFonts w:ascii="Calibri Light" w:hAnsi="Calibri Light"/>
                <w:b w:val="0"/>
              </w:rPr>
              <w:t>necesaria y proporcional para el logro de ese</w:t>
            </w:r>
            <w:r w:rsidR="0033011A" w:rsidRPr="00672A2A">
              <w:rPr>
                <w:rFonts w:ascii="Calibri Light" w:hAnsi="Calibri Light"/>
                <w:b w:val="0"/>
              </w:rPr>
              <w:t xml:space="preserve"> fin</w:t>
            </w:r>
            <w:r w:rsidR="00D24E13" w:rsidRPr="00672A2A">
              <w:rPr>
                <w:rFonts w:ascii="Calibri Light" w:hAnsi="Calibri Light"/>
                <w:b w:val="0"/>
              </w:rPr>
              <w:t>.</w:t>
            </w:r>
            <w:r w:rsidR="00106755" w:rsidRPr="00766D2C">
              <w:rPr>
                <w:rFonts w:ascii="Calibri Light" w:hAnsi="Calibri Light"/>
                <w:b w:val="0"/>
              </w:rPr>
              <w:t xml:space="preserve"> </w:t>
            </w:r>
          </w:p>
          <w:p w14:paraId="745EED5B" w14:textId="77777777" w:rsidR="0033011A" w:rsidRPr="00766D2C" w:rsidRDefault="0033011A">
            <w:pPr>
              <w:jc w:val="both"/>
              <w:rPr>
                <w:rFonts w:ascii="Calibri Light" w:hAnsi="Calibri Light"/>
                <w:b w:val="0"/>
              </w:rPr>
            </w:pPr>
          </w:p>
          <w:p w14:paraId="57037462" w14:textId="25766B46" w:rsidR="0048271F" w:rsidRPr="00672A2A" w:rsidRDefault="00603CA7" w:rsidP="00766D2C">
            <w:pPr>
              <w:jc w:val="both"/>
              <w:rPr>
                <w:rFonts w:ascii="Calibri Light" w:hAnsi="Calibri Light"/>
                <w:b w:val="0"/>
              </w:rPr>
            </w:pPr>
            <w:r w:rsidRPr="00766D2C">
              <w:rPr>
                <w:rFonts w:ascii="Calibri Light" w:hAnsi="Calibri Light"/>
                <w:b w:val="0"/>
              </w:rPr>
              <w:t>En cuanto al primer requisit</w:t>
            </w:r>
            <w:r w:rsidR="002E5E1B" w:rsidRPr="00766D2C">
              <w:rPr>
                <w:rFonts w:ascii="Calibri Light" w:hAnsi="Calibri Light"/>
                <w:b w:val="0"/>
              </w:rPr>
              <w:t>o,</w:t>
            </w:r>
            <w:r w:rsidR="00973EFC">
              <w:rPr>
                <w:rFonts w:ascii="Calibri Light" w:hAnsi="Calibri Light"/>
                <w:b w:val="0"/>
              </w:rPr>
              <w:t xml:space="preserve"> la CIDH señaló que para que este sea cumplido los delitos deben tipificarse de manera expresa, precisa, taxativa y previa. En este caso,</w:t>
            </w:r>
            <w:r w:rsidR="003B124D">
              <w:rPr>
                <w:rFonts w:ascii="Calibri Light" w:hAnsi="Calibri Light"/>
                <w:b w:val="0"/>
              </w:rPr>
              <w:t xml:space="preserve"> </w:t>
            </w:r>
            <w:r w:rsidR="00403281" w:rsidRPr="00672A2A">
              <w:rPr>
                <w:rFonts w:ascii="Calibri Light" w:hAnsi="Calibri Light"/>
                <w:b w:val="0"/>
              </w:rPr>
              <w:t>los señores Roca, Gómez, Roque y Bonne</w:t>
            </w:r>
            <w:r w:rsidR="005B3624" w:rsidRPr="00766D2C">
              <w:rPr>
                <w:rFonts w:ascii="Calibri Light" w:hAnsi="Calibri Light"/>
                <w:b w:val="0"/>
              </w:rPr>
              <w:t xml:space="preserve"> fueron condenados por </w:t>
            </w:r>
            <w:r w:rsidR="003B124D">
              <w:rPr>
                <w:rFonts w:ascii="Calibri Light" w:hAnsi="Calibri Light"/>
                <w:b w:val="0"/>
              </w:rPr>
              <w:t xml:space="preserve">la </w:t>
            </w:r>
            <w:r w:rsidR="005B3624" w:rsidRPr="00672A2A">
              <w:rPr>
                <w:rFonts w:ascii="Calibri Light" w:hAnsi="Calibri Light"/>
                <w:b w:val="0"/>
              </w:rPr>
              <w:t xml:space="preserve">infracción de las </w:t>
            </w:r>
            <w:r w:rsidR="00106755" w:rsidRPr="00672A2A">
              <w:rPr>
                <w:rFonts w:ascii="Calibri Light" w:hAnsi="Calibri Light"/>
                <w:b w:val="0"/>
              </w:rPr>
              <w:t>conductas previstas en el artículo 100</w:t>
            </w:r>
            <w:r w:rsidR="005E567E" w:rsidRPr="00766D2C">
              <w:rPr>
                <w:rFonts w:ascii="Calibri Light" w:hAnsi="Calibri Light"/>
                <w:b w:val="0"/>
              </w:rPr>
              <w:t>.</w:t>
            </w:r>
            <w:r w:rsidR="00106755" w:rsidRPr="00766D2C">
              <w:rPr>
                <w:rFonts w:ascii="Calibri Light" w:hAnsi="Calibri Light"/>
                <w:b w:val="0"/>
              </w:rPr>
              <w:t>c)</w:t>
            </w:r>
            <w:r w:rsidR="00106755" w:rsidRPr="00672A2A">
              <w:rPr>
                <w:rFonts w:ascii="Calibri Light" w:hAnsi="Calibri Light"/>
                <w:b w:val="0"/>
              </w:rPr>
              <w:t xml:space="preserve"> del Código Penal</w:t>
            </w:r>
            <w:r w:rsidR="005E567E" w:rsidRPr="00672A2A">
              <w:rPr>
                <w:rStyle w:val="FootnoteReference"/>
                <w:rFonts w:ascii="Calibri Light" w:hAnsi="Calibri Light"/>
                <w:b w:val="0"/>
              </w:rPr>
              <w:footnoteReference w:id="1"/>
            </w:r>
            <w:r w:rsidR="00106755" w:rsidRPr="00672A2A">
              <w:rPr>
                <w:rFonts w:ascii="Calibri Light" w:hAnsi="Calibri Light"/>
                <w:b w:val="0"/>
              </w:rPr>
              <w:t xml:space="preserve">, en relación con </w:t>
            </w:r>
            <w:r w:rsidR="00403281" w:rsidRPr="00766D2C">
              <w:rPr>
                <w:rFonts w:ascii="Calibri Light" w:hAnsi="Calibri Light"/>
                <w:b w:val="0"/>
              </w:rPr>
              <w:t xml:space="preserve">su </w:t>
            </w:r>
            <w:r w:rsidR="00106755" w:rsidRPr="00766D2C">
              <w:rPr>
                <w:rFonts w:ascii="Calibri Light" w:hAnsi="Calibri Light"/>
                <w:b w:val="0"/>
              </w:rPr>
              <w:t>artículo 125</w:t>
            </w:r>
            <w:r w:rsidR="00FB619C">
              <w:rPr>
                <w:rFonts w:ascii="Calibri Light" w:hAnsi="Calibri Light"/>
                <w:b w:val="0"/>
              </w:rPr>
              <w:t>.</w:t>
            </w:r>
            <w:r w:rsidR="00106755" w:rsidRPr="00672A2A">
              <w:rPr>
                <w:rFonts w:ascii="Calibri Light" w:hAnsi="Calibri Light"/>
                <w:b w:val="0"/>
              </w:rPr>
              <w:t>c)</w:t>
            </w:r>
            <w:r w:rsidR="00B06C7E" w:rsidRPr="00672A2A">
              <w:rPr>
                <w:rStyle w:val="FootnoteReference"/>
                <w:rFonts w:ascii="Calibri Light" w:hAnsi="Calibri Light"/>
                <w:b w:val="0"/>
              </w:rPr>
              <w:footnoteReference w:id="2"/>
            </w:r>
            <w:r w:rsidR="00B06C7E" w:rsidRPr="00672A2A">
              <w:rPr>
                <w:rFonts w:ascii="Calibri Light" w:hAnsi="Calibri Light"/>
                <w:b w:val="0"/>
              </w:rPr>
              <w:t>. Sin embargo,</w:t>
            </w:r>
            <w:r w:rsidR="00FB619C">
              <w:rPr>
                <w:rFonts w:ascii="Calibri Light" w:hAnsi="Calibri Light"/>
                <w:b w:val="0"/>
              </w:rPr>
              <w:t xml:space="preserve"> la C</w:t>
            </w:r>
            <w:r w:rsidR="00973EFC">
              <w:rPr>
                <w:rFonts w:ascii="Calibri Light" w:hAnsi="Calibri Light"/>
                <w:b w:val="0"/>
              </w:rPr>
              <w:t>IDH observó que</w:t>
            </w:r>
            <w:r w:rsidR="005B3624" w:rsidRPr="00672A2A">
              <w:rPr>
                <w:rFonts w:ascii="Calibri Light" w:hAnsi="Calibri Light"/>
                <w:b w:val="0"/>
              </w:rPr>
              <w:t xml:space="preserve"> </w:t>
            </w:r>
            <w:r w:rsidR="00FC1C41" w:rsidRPr="00672A2A">
              <w:rPr>
                <w:rFonts w:ascii="Calibri Light" w:hAnsi="Calibri Light"/>
                <w:b w:val="0"/>
              </w:rPr>
              <w:t>el artículo 100</w:t>
            </w:r>
            <w:r w:rsidR="005B3624" w:rsidRPr="00766D2C">
              <w:rPr>
                <w:rFonts w:ascii="Calibri Light" w:hAnsi="Calibri Light"/>
                <w:b w:val="0"/>
              </w:rPr>
              <w:t xml:space="preserve"> no </w:t>
            </w:r>
            <w:r w:rsidR="00FB619C">
              <w:rPr>
                <w:rFonts w:ascii="Calibri Light" w:hAnsi="Calibri Light"/>
                <w:b w:val="0"/>
              </w:rPr>
              <w:t>e</w:t>
            </w:r>
            <w:r w:rsidR="00D96306">
              <w:rPr>
                <w:rFonts w:ascii="Calibri Light" w:hAnsi="Calibri Light"/>
                <w:b w:val="0"/>
              </w:rPr>
              <w:t>ra</w:t>
            </w:r>
            <w:r w:rsidR="005B3624" w:rsidRPr="00672A2A">
              <w:rPr>
                <w:rFonts w:ascii="Calibri Light" w:hAnsi="Calibri Light"/>
                <w:b w:val="0"/>
              </w:rPr>
              <w:t xml:space="preserve"> precis</w:t>
            </w:r>
            <w:r w:rsidR="00FC1C41" w:rsidRPr="00766D2C">
              <w:rPr>
                <w:rFonts w:ascii="Calibri Light" w:hAnsi="Calibri Light"/>
                <w:b w:val="0"/>
              </w:rPr>
              <w:t>o</w:t>
            </w:r>
            <w:r w:rsidR="005B3624" w:rsidRPr="00766D2C">
              <w:rPr>
                <w:rFonts w:ascii="Calibri Light" w:hAnsi="Calibri Light"/>
                <w:b w:val="0"/>
              </w:rPr>
              <w:t xml:space="preserve"> re</w:t>
            </w:r>
            <w:r w:rsidR="00FC1C41" w:rsidRPr="00766D2C">
              <w:rPr>
                <w:rFonts w:ascii="Calibri Light" w:hAnsi="Calibri Light"/>
                <w:b w:val="0"/>
              </w:rPr>
              <w:t>specto a la conducta</w:t>
            </w:r>
            <w:r w:rsidR="005B3624" w:rsidRPr="00766D2C">
              <w:rPr>
                <w:rFonts w:ascii="Calibri Light" w:hAnsi="Calibri Light"/>
                <w:b w:val="0"/>
              </w:rPr>
              <w:t xml:space="preserve"> punible, </w:t>
            </w:r>
            <w:r w:rsidRPr="00766D2C">
              <w:rPr>
                <w:rFonts w:ascii="Calibri Light" w:hAnsi="Calibri Light"/>
                <w:b w:val="0"/>
              </w:rPr>
              <w:t xml:space="preserve">pues </w:t>
            </w:r>
            <w:r w:rsidR="005B3624" w:rsidRPr="00766D2C">
              <w:rPr>
                <w:rFonts w:ascii="Calibri Light" w:hAnsi="Calibri Light"/>
                <w:b w:val="0"/>
              </w:rPr>
              <w:t>utiliza</w:t>
            </w:r>
            <w:r w:rsidR="00D96306">
              <w:rPr>
                <w:rFonts w:ascii="Calibri Light" w:hAnsi="Calibri Light"/>
                <w:b w:val="0"/>
              </w:rPr>
              <w:t>ba</w:t>
            </w:r>
            <w:r w:rsidR="005B3624" w:rsidRPr="00672A2A">
              <w:rPr>
                <w:rFonts w:ascii="Calibri Light" w:hAnsi="Calibri Light"/>
                <w:b w:val="0"/>
              </w:rPr>
              <w:t xml:space="preserve"> conceptos indeterminados para definir el delito de sedición</w:t>
            </w:r>
            <w:r w:rsidR="00973EFC">
              <w:rPr>
                <w:rFonts w:ascii="Calibri Light" w:hAnsi="Calibri Light"/>
                <w:b w:val="0"/>
              </w:rPr>
              <w:t>.</w:t>
            </w:r>
            <w:r w:rsidR="00FB619C">
              <w:rPr>
                <w:rFonts w:ascii="Calibri Light" w:hAnsi="Calibri Light"/>
                <w:b w:val="0"/>
              </w:rPr>
              <w:t xml:space="preserve"> T</w:t>
            </w:r>
            <w:r w:rsidR="00D96306">
              <w:rPr>
                <w:rFonts w:ascii="Calibri Light" w:hAnsi="Calibri Light"/>
                <w:b w:val="0"/>
              </w:rPr>
              <w:t>ampoco era</w:t>
            </w:r>
            <w:r w:rsidR="00FB619C">
              <w:rPr>
                <w:rFonts w:ascii="Calibri Light" w:hAnsi="Calibri Light"/>
                <w:b w:val="0"/>
              </w:rPr>
              <w:t xml:space="preserve"> taxativo, ya que la frase “en los demás casos” es una remisión abierta. </w:t>
            </w:r>
            <w:r w:rsidR="00D96306">
              <w:rPr>
                <w:rFonts w:ascii="Calibri Light" w:hAnsi="Calibri Light"/>
                <w:b w:val="0"/>
              </w:rPr>
              <w:t xml:space="preserve">Asimismo, indicó que </w:t>
            </w:r>
            <w:r w:rsidR="00FC1C41" w:rsidRPr="00766D2C">
              <w:rPr>
                <w:rFonts w:ascii="Calibri Light" w:hAnsi="Calibri Light"/>
                <w:b w:val="0"/>
              </w:rPr>
              <w:t xml:space="preserve">el artículo 125 </w:t>
            </w:r>
            <w:r w:rsidR="0048271F" w:rsidRPr="00766D2C">
              <w:rPr>
                <w:rFonts w:ascii="Calibri Light" w:hAnsi="Calibri Light"/>
                <w:b w:val="0"/>
              </w:rPr>
              <w:t>utiliza</w:t>
            </w:r>
            <w:r w:rsidR="00D96306">
              <w:rPr>
                <w:rFonts w:ascii="Calibri Light" w:hAnsi="Calibri Light"/>
                <w:b w:val="0"/>
              </w:rPr>
              <w:t>ba</w:t>
            </w:r>
            <w:r w:rsidR="0048271F" w:rsidRPr="00672A2A">
              <w:rPr>
                <w:rFonts w:ascii="Calibri Light" w:hAnsi="Calibri Light"/>
                <w:b w:val="0"/>
              </w:rPr>
              <w:t xml:space="preserve"> términos vagos para definir la “incitación” a la comisión de delitos relacionados a la seguridad nacional, no diferenciando las expresiones de apología de aquellas que incitan directa e intencionalmente a la violencia.</w:t>
            </w:r>
            <w:r w:rsidR="00814C6B" w:rsidRPr="00766D2C">
              <w:rPr>
                <w:rFonts w:ascii="Calibri Light" w:hAnsi="Calibri Light"/>
                <w:b w:val="0"/>
              </w:rPr>
              <w:t xml:space="preserve"> </w:t>
            </w:r>
            <w:r w:rsidR="00D96306" w:rsidRPr="00766D2C">
              <w:rPr>
                <w:rFonts w:ascii="Calibri Light" w:hAnsi="Calibri Light"/>
                <w:b w:val="0"/>
              </w:rPr>
              <w:t>Por</w:t>
            </w:r>
            <w:r w:rsidR="00814C6B" w:rsidRPr="00766D2C">
              <w:rPr>
                <w:rFonts w:ascii="Calibri Light" w:hAnsi="Calibri Light"/>
                <w:b w:val="0"/>
              </w:rPr>
              <w:t xml:space="preserve"> ello,</w:t>
            </w:r>
            <w:r w:rsidR="00403281" w:rsidRPr="00766D2C">
              <w:rPr>
                <w:rFonts w:ascii="Calibri Light" w:hAnsi="Calibri Light"/>
                <w:b w:val="0"/>
              </w:rPr>
              <w:t xml:space="preserve"> </w:t>
            </w:r>
            <w:r w:rsidR="00814C6B" w:rsidRPr="00766D2C">
              <w:rPr>
                <w:rFonts w:ascii="Calibri Light" w:hAnsi="Calibri Light"/>
                <w:b w:val="0"/>
              </w:rPr>
              <w:t>l</w:t>
            </w:r>
            <w:r w:rsidR="0048271F" w:rsidRPr="00766D2C">
              <w:rPr>
                <w:rFonts w:ascii="Calibri Light" w:hAnsi="Calibri Light"/>
                <w:b w:val="0"/>
              </w:rPr>
              <w:t xml:space="preserve">a CIDH consideró que </w:t>
            </w:r>
            <w:r w:rsidR="00D96306" w:rsidRPr="00766D2C">
              <w:rPr>
                <w:rFonts w:ascii="Calibri Light" w:hAnsi="Calibri Light"/>
                <w:b w:val="0"/>
              </w:rPr>
              <w:t xml:space="preserve">estas disposiciones no cumplían con </w:t>
            </w:r>
            <w:r w:rsidR="0048271F" w:rsidRPr="00766D2C">
              <w:rPr>
                <w:rFonts w:ascii="Calibri Light" w:hAnsi="Calibri Light"/>
                <w:b w:val="0"/>
              </w:rPr>
              <w:t xml:space="preserve">el requisito de estricta legalidad </w:t>
            </w:r>
            <w:r w:rsidR="00D96306" w:rsidRPr="00766D2C">
              <w:rPr>
                <w:rFonts w:ascii="Calibri Light" w:hAnsi="Calibri Light"/>
                <w:b w:val="0"/>
              </w:rPr>
              <w:t xml:space="preserve">y que, consecuentemente, </w:t>
            </w:r>
            <w:r w:rsidR="00F42D60" w:rsidRPr="00766D2C">
              <w:rPr>
                <w:rFonts w:ascii="Calibri Light" w:hAnsi="Calibri Light"/>
                <w:b w:val="0"/>
              </w:rPr>
              <w:t>eran contrarias a los derechos a la libertad de expresión y asociación, y al principio de legalidad, que forma parte del derecho a proceso regular.</w:t>
            </w:r>
            <w:r w:rsidR="007F050B">
              <w:rPr>
                <w:rFonts w:ascii="Calibri Light" w:hAnsi="Calibri Light"/>
                <w:b w:val="0"/>
              </w:rPr>
              <w:t xml:space="preserve"> </w:t>
            </w:r>
          </w:p>
          <w:p w14:paraId="2D13BECA" w14:textId="77777777" w:rsidR="0048271F" w:rsidRPr="00672A2A" w:rsidRDefault="0048271F" w:rsidP="00106755">
            <w:pPr>
              <w:jc w:val="both"/>
              <w:rPr>
                <w:rFonts w:ascii="Calibri Light" w:hAnsi="Calibri Light"/>
                <w:b w:val="0"/>
              </w:rPr>
            </w:pPr>
          </w:p>
          <w:p w14:paraId="3799E611" w14:textId="056ED36A" w:rsidR="007F050B" w:rsidRDefault="00814C6B" w:rsidP="00672A2A">
            <w:pPr>
              <w:jc w:val="both"/>
              <w:rPr>
                <w:rFonts w:ascii="Calibri Light" w:hAnsi="Calibri Light"/>
                <w:b w:val="0"/>
                <w:highlight w:val="yellow"/>
                <w:lang w:val="es-PE"/>
              </w:rPr>
            </w:pPr>
            <w:r w:rsidRPr="00766D2C">
              <w:rPr>
                <w:rFonts w:ascii="Calibri Light" w:hAnsi="Calibri Light"/>
                <w:b w:val="0"/>
              </w:rPr>
              <w:t>Respecto al segundo requisito, la CIDH</w:t>
            </w:r>
            <w:r w:rsidR="005D5DFA" w:rsidRPr="00766D2C">
              <w:rPr>
                <w:rFonts w:ascii="Calibri Light" w:hAnsi="Calibri Light"/>
                <w:b w:val="0"/>
              </w:rPr>
              <w:t xml:space="preserve"> manifestó </w:t>
            </w:r>
            <w:r w:rsidRPr="00766D2C">
              <w:rPr>
                <w:rFonts w:ascii="Calibri Light" w:hAnsi="Calibri Light"/>
                <w:b w:val="0"/>
              </w:rPr>
              <w:t xml:space="preserve">que </w:t>
            </w:r>
            <w:r w:rsidR="00F060A4" w:rsidRPr="00766D2C">
              <w:rPr>
                <w:rFonts w:ascii="Calibri Light" w:hAnsi="Calibri Light"/>
                <w:b w:val="0"/>
              </w:rPr>
              <w:t xml:space="preserve">en </w:t>
            </w:r>
            <w:r w:rsidRPr="00766D2C">
              <w:rPr>
                <w:rFonts w:ascii="Calibri Light" w:hAnsi="Calibri Light"/>
                <w:b w:val="0"/>
              </w:rPr>
              <w:t xml:space="preserve">el proceso llevado contra </w:t>
            </w:r>
            <w:r w:rsidR="00403281" w:rsidRPr="00766D2C">
              <w:rPr>
                <w:rFonts w:ascii="Calibri Light" w:hAnsi="Calibri Light"/>
                <w:b w:val="0"/>
              </w:rPr>
              <w:t>las presuntas víctimas,</w:t>
            </w:r>
            <w:r w:rsidR="00F060A4" w:rsidRPr="00766D2C">
              <w:rPr>
                <w:rFonts w:ascii="Calibri Light" w:hAnsi="Calibri Light"/>
                <w:b w:val="0"/>
              </w:rPr>
              <w:t xml:space="preserve"> los tribunales cubanos no alegaron </w:t>
            </w:r>
            <w:r w:rsidRPr="00766D2C">
              <w:rPr>
                <w:rFonts w:ascii="Calibri Light" w:hAnsi="Calibri Light"/>
                <w:b w:val="0"/>
              </w:rPr>
              <w:t xml:space="preserve">la protección del orden público o la seguridad nacional </w:t>
            </w:r>
            <w:r w:rsidR="00F060A4" w:rsidRPr="00766D2C">
              <w:rPr>
                <w:rFonts w:ascii="Calibri Light" w:hAnsi="Calibri Light"/>
                <w:b w:val="0"/>
              </w:rPr>
              <w:t>como fin legítimo para imponer la restricción a sus derechos a la libertad de expresión y de asociación en consonancia con lo establecido por la propia CIDH, es decir, invocando causas r</w:t>
            </w:r>
            <w:r w:rsidR="00F060A4" w:rsidRPr="00766D2C">
              <w:rPr>
                <w:rFonts w:ascii="Calibri Light" w:hAnsi="Calibri Light"/>
                <w:b w:val="0"/>
                <w:lang w:val="es-PE"/>
              </w:rPr>
              <w:t xml:space="preserve">eales y objetivamente verificables, que planteen una amenaza cierta y creíble de una perturbación potencialmente grave de las condiciones básicas para el funcionamiento de las instituciones democráticas. Por el contrario, </w:t>
            </w:r>
            <w:r w:rsidR="007F050B" w:rsidRPr="00766D2C">
              <w:rPr>
                <w:rFonts w:ascii="Calibri Light" w:hAnsi="Calibri Light"/>
                <w:b w:val="0"/>
                <w:lang w:val="es-PE"/>
              </w:rPr>
              <w:t xml:space="preserve">de la sentencia condenatoria, se desprende que consideraron </w:t>
            </w:r>
            <w:r w:rsidR="007F050B" w:rsidRPr="00766D2C">
              <w:rPr>
                <w:rFonts w:ascii="Calibri Light" w:hAnsi="Calibri Light"/>
                <w:b w:val="0"/>
                <w:i/>
                <w:lang w:val="es-PE"/>
              </w:rPr>
              <w:t>per se</w:t>
            </w:r>
            <w:r w:rsidR="007F050B" w:rsidRPr="00766D2C">
              <w:rPr>
                <w:rFonts w:ascii="Calibri Light" w:hAnsi="Calibri Light"/>
                <w:b w:val="0"/>
                <w:lang w:val="es-PE"/>
              </w:rPr>
              <w:t xml:space="preserve"> al ejercicio de la libertad de expresión y la difusión de ideas políticas de las presuntas víctimas como una amenaza al orden público y seguridad nacional. </w:t>
            </w:r>
          </w:p>
          <w:p w14:paraId="0456C66E" w14:textId="63C25AC1" w:rsidR="00F060A4" w:rsidRPr="00766D2C" w:rsidRDefault="00F060A4" w:rsidP="00672A2A">
            <w:pPr>
              <w:jc w:val="both"/>
              <w:rPr>
                <w:rFonts w:ascii="Calibri Light" w:hAnsi="Calibri Light"/>
                <w:b w:val="0"/>
                <w:lang w:val="es-PE"/>
              </w:rPr>
            </w:pPr>
          </w:p>
          <w:p w14:paraId="700147E1" w14:textId="6B309449" w:rsidR="00DA25F7" w:rsidRPr="00766D2C" w:rsidRDefault="00DA25F7" w:rsidP="0033011A">
            <w:pPr>
              <w:jc w:val="both"/>
              <w:rPr>
                <w:rFonts w:ascii="Calibri Light" w:hAnsi="Calibri Light"/>
                <w:b w:val="0"/>
              </w:rPr>
            </w:pPr>
            <w:r w:rsidRPr="00766D2C">
              <w:rPr>
                <w:rFonts w:ascii="Calibri Light" w:hAnsi="Calibri Light"/>
                <w:b w:val="0"/>
              </w:rPr>
              <w:t>Por último, respecto a la necesidad y proporcionalidad de la medida,</w:t>
            </w:r>
            <w:r w:rsidR="00AF50B3" w:rsidRPr="00766D2C">
              <w:rPr>
                <w:rFonts w:ascii="Calibri Light" w:hAnsi="Calibri Light"/>
                <w:b w:val="0"/>
              </w:rPr>
              <w:t xml:space="preserve"> la CIDH señaló que en el caso bajo análisis no fue probado que las víctimas hayan amenazado o puesto en riesgo real los valores fundamentales de la sociedad democrática ni que </w:t>
            </w:r>
            <w:r w:rsidR="00403281">
              <w:rPr>
                <w:rFonts w:ascii="Calibri Light" w:hAnsi="Calibri Light"/>
                <w:b w:val="0"/>
              </w:rPr>
              <w:t>tuvieran</w:t>
            </w:r>
            <w:r w:rsidR="00403281" w:rsidRPr="00672A2A">
              <w:rPr>
                <w:rFonts w:ascii="Calibri Light" w:hAnsi="Calibri Light"/>
                <w:b w:val="0"/>
              </w:rPr>
              <w:t xml:space="preserve"> </w:t>
            </w:r>
            <w:r w:rsidR="00FB7AC4" w:rsidRPr="00672A2A">
              <w:rPr>
                <w:rFonts w:ascii="Calibri Light" w:hAnsi="Calibri Light"/>
                <w:b w:val="0"/>
              </w:rPr>
              <w:t xml:space="preserve">como intención incitar a otros a realizar </w:t>
            </w:r>
            <w:r w:rsidR="00FB7AC4" w:rsidRPr="00766D2C">
              <w:rPr>
                <w:rFonts w:ascii="Calibri Light" w:hAnsi="Calibri Light"/>
                <w:b w:val="0"/>
              </w:rPr>
              <w:t>este tipo de acciones violentas</w:t>
            </w:r>
            <w:r w:rsidR="007F050B">
              <w:rPr>
                <w:rFonts w:ascii="Calibri Light" w:hAnsi="Calibri Light"/>
                <w:b w:val="0"/>
              </w:rPr>
              <w:t>. En vista de ello,</w:t>
            </w:r>
            <w:r w:rsidR="00FB7AC4" w:rsidRPr="00766D2C">
              <w:rPr>
                <w:rFonts w:ascii="Calibri Light" w:hAnsi="Calibri Light"/>
                <w:b w:val="0"/>
              </w:rPr>
              <w:t xml:space="preserve"> la medida restrictiva a través de la imposición de una sanción penal resulta</w:t>
            </w:r>
            <w:r w:rsidR="00C87529" w:rsidRPr="00766D2C">
              <w:rPr>
                <w:rFonts w:ascii="Calibri Light" w:hAnsi="Calibri Light"/>
                <w:b w:val="0"/>
              </w:rPr>
              <w:t>ba</w:t>
            </w:r>
            <w:r w:rsidR="00FB7AC4" w:rsidRPr="00766D2C">
              <w:rPr>
                <w:rFonts w:ascii="Calibri Light" w:hAnsi="Calibri Light"/>
                <w:b w:val="0"/>
              </w:rPr>
              <w:t xml:space="preserve"> innecesaria</w:t>
            </w:r>
            <w:r w:rsidR="00403281">
              <w:rPr>
                <w:rFonts w:ascii="Calibri Light" w:hAnsi="Calibri Light"/>
                <w:b w:val="0"/>
              </w:rPr>
              <w:t>,</w:t>
            </w:r>
            <w:r w:rsidR="00FB7AC4" w:rsidRPr="00672A2A">
              <w:rPr>
                <w:rFonts w:ascii="Calibri Light" w:hAnsi="Calibri Light"/>
                <w:b w:val="0"/>
              </w:rPr>
              <w:t xml:space="preserve"> pues no se estableció a través de </w:t>
            </w:r>
            <w:r w:rsidR="00FB7AC4" w:rsidRPr="00672A2A">
              <w:rPr>
                <w:rFonts w:ascii="Calibri Light" w:hAnsi="Calibri Light"/>
                <w:b w:val="0"/>
              </w:rPr>
              <w:lastRenderedPageBreak/>
              <w:t>pruebas ciertas</w:t>
            </w:r>
            <w:r w:rsidR="00FB7AC4" w:rsidRPr="00766D2C">
              <w:rPr>
                <w:rFonts w:ascii="Calibri Light" w:hAnsi="Calibri Light"/>
                <w:b w:val="0"/>
              </w:rPr>
              <w:t xml:space="preserve"> que las víctimas no estaban simplemente manifestando una opinión</w:t>
            </w:r>
            <w:r w:rsidR="00C01E0D" w:rsidRPr="00672A2A">
              <w:rPr>
                <w:rFonts w:ascii="Calibri Light" w:hAnsi="Calibri Light"/>
                <w:b w:val="0"/>
              </w:rPr>
              <w:t xml:space="preserve"> y que la restricción al ejercicio de sus libertades de expresión y de asociación era indispensable para cumplir con el fin de preservar el orden público y la seguridad </w:t>
            </w:r>
            <w:r w:rsidR="00C01E0D" w:rsidRPr="00766D2C">
              <w:rPr>
                <w:rFonts w:ascii="Calibri Light" w:hAnsi="Calibri Light"/>
                <w:b w:val="0"/>
              </w:rPr>
              <w:t>nacional</w:t>
            </w:r>
            <w:r w:rsidR="00FB7AC4" w:rsidRPr="00766D2C">
              <w:rPr>
                <w:rFonts w:ascii="Calibri Light" w:hAnsi="Calibri Light"/>
                <w:b w:val="0"/>
              </w:rPr>
              <w:t xml:space="preserve">. Asimismo, </w:t>
            </w:r>
            <w:r w:rsidR="00FB7AC4" w:rsidRPr="00672A2A">
              <w:rPr>
                <w:rFonts w:ascii="Calibri Light" w:hAnsi="Calibri Light"/>
                <w:b w:val="0"/>
              </w:rPr>
              <w:t>la apertura de un proceso penal por el delito de sedición, la consecuente imposición de severas penas de prisión</w:t>
            </w:r>
            <w:r w:rsidR="00FB7AC4" w:rsidRPr="00766D2C">
              <w:rPr>
                <w:rFonts w:ascii="Calibri Light" w:hAnsi="Calibri Light"/>
                <w:b w:val="0"/>
              </w:rPr>
              <w:t xml:space="preserve"> y demás</w:t>
            </w:r>
            <w:r w:rsidR="00F42D60">
              <w:rPr>
                <w:rFonts w:ascii="Calibri Light" w:hAnsi="Calibri Light"/>
                <w:b w:val="0"/>
              </w:rPr>
              <w:t xml:space="preserve"> penas</w:t>
            </w:r>
            <w:r w:rsidR="00FB7AC4" w:rsidRPr="00672A2A">
              <w:rPr>
                <w:rFonts w:ascii="Calibri Light" w:hAnsi="Calibri Light"/>
                <w:b w:val="0"/>
              </w:rPr>
              <w:t xml:space="preserve"> accesorias en un caso como el  presente</w:t>
            </w:r>
            <w:r w:rsidR="00FB7AC4" w:rsidRPr="00766D2C">
              <w:rPr>
                <w:rFonts w:ascii="Calibri Light" w:hAnsi="Calibri Light"/>
                <w:b w:val="0"/>
              </w:rPr>
              <w:t xml:space="preserve"> </w:t>
            </w:r>
            <w:r w:rsidR="00C87529" w:rsidRPr="00766D2C">
              <w:rPr>
                <w:rFonts w:ascii="Calibri Light" w:hAnsi="Calibri Light"/>
                <w:b w:val="0"/>
              </w:rPr>
              <w:t xml:space="preserve">eran </w:t>
            </w:r>
            <w:r w:rsidR="00FB7AC4" w:rsidRPr="00766D2C">
              <w:rPr>
                <w:rFonts w:ascii="Calibri Light" w:hAnsi="Calibri Light"/>
                <w:b w:val="0"/>
              </w:rPr>
              <w:t>desmedidas</w:t>
            </w:r>
            <w:r w:rsidR="00D24E13" w:rsidRPr="00766D2C">
              <w:rPr>
                <w:rFonts w:ascii="Calibri Light" w:hAnsi="Calibri Light"/>
                <w:b w:val="0"/>
              </w:rPr>
              <w:t xml:space="preserve"> respecto a los hechos y el delito por </w:t>
            </w:r>
            <w:r w:rsidR="007F050B">
              <w:rPr>
                <w:rFonts w:ascii="Calibri Light" w:hAnsi="Calibri Light"/>
                <w:b w:val="0"/>
              </w:rPr>
              <w:t>los cuales</w:t>
            </w:r>
            <w:r w:rsidR="00D24E13" w:rsidRPr="00672A2A">
              <w:rPr>
                <w:rFonts w:ascii="Calibri Light" w:hAnsi="Calibri Light"/>
                <w:b w:val="0"/>
              </w:rPr>
              <w:t xml:space="preserve"> estaban siendo procesados</w:t>
            </w:r>
            <w:r w:rsidR="00FB7AC4" w:rsidRPr="00672A2A">
              <w:rPr>
                <w:rFonts w:ascii="Calibri Light" w:hAnsi="Calibri Light"/>
                <w:b w:val="0"/>
              </w:rPr>
              <w:t xml:space="preserve">. </w:t>
            </w:r>
            <w:r w:rsidR="00F42D60">
              <w:rPr>
                <w:rFonts w:ascii="Calibri Light" w:hAnsi="Calibri Light"/>
                <w:b w:val="0"/>
              </w:rPr>
              <w:t xml:space="preserve">Por estas consideraciones, </w:t>
            </w:r>
            <w:r w:rsidR="00FB7AC4" w:rsidRPr="00766D2C">
              <w:rPr>
                <w:rFonts w:ascii="Calibri Light" w:hAnsi="Calibri Light"/>
                <w:b w:val="0"/>
              </w:rPr>
              <w:t>la CIDH concluyó que el Estado vulneró los artículos IV</w:t>
            </w:r>
            <w:r w:rsidR="00403281">
              <w:rPr>
                <w:rFonts w:ascii="Calibri Light" w:hAnsi="Calibri Light"/>
                <w:b w:val="0"/>
              </w:rPr>
              <w:t xml:space="preserve">, </w:t>
            </w:r>
            <w:r w:rsidR="00FB7AC4" w:rsidRPr="00766D2C">
              <w:rPr>
                <w:rFonts w:ascii="Calibri Light" w:hAnsi="Calibri Light"/>
                <w:b w:val="0"/>
              </w:rPr>
              <w:t>XXII</w:t>
            </w:r>
            <w:r w:rsidR="00403281">
              <w:rPr>
                <w:rFonts w:ascii="Calibri Light" w:hAnsi="Calibri Light"/>
                <w:b w:val="0"/>
              </w:rPr>
              <w:t xml:space="preserve"> y </w:t>
            </w:r>
            <w:r w:rsidR="00403281" w:rsidRPr="00911CB2">
              <w:rPr>
                <w:rFonts w:ascii="Calibri Light" w:hAnsi="Calibri Light"/>
                <w:b w:val="0"/>
              </w:rPr>
              <w:t>XXVI</w:t>
            </w:r>
            <w:r w:rsidR="00403281" w:rsidRPr="00672A2A">
              <w:rPr>
                <w:rFonts w:ascii="Calibri Light" w:hAnsi="Calibri Light"/>
                <w:b w:val="0"/>
              </w:rPr>
              <w:t xml:space="preserve"> </w:t>
            </w:r>
            <w:r w:rsidR="00FB7AC4" w:rsidRPr="00672A2A">
              <w:rPr>
                <w:rFonts w:ascii="Calibri Light" w:hAnsi="Calibri Light"/>
                <w:b w:val="0"/>
              </w:rPr>
              <w:t xml:space="preserve">de la </w:t>
            </w:r>
            <w:r w:rsidR="00D5201C" w:rsidRPr="00766D2C">
              <w:rPr>
                <w:rFonts w:ascii="Calibri Light" w:hAnsi="Calibri Light"/>
                <w:b w:val="0"/>
              </w:rPr>
              <w:t>DADDH</w:t>
            </w:r>
            <w:r w:rsidR="00FB7AC4" w:rsidRPr="00766D2C">
              <w:rPr>
                <w:rFonts w:ascii="Calibri Light" w:hAnsi="Calibri Light"/>
                <w:b w:val="0"/>
              </w:rPr>
              <w:t>, en perjuicio de</w:t>
            </w:r>
            <w:r w:rsidR="00403281">
              <w:rPr>
                <w:rFonts w:ascii="Calibri Light" w:hAnsi="Calibri Light"/>
                <w:b w:val="0"/>
              </w:rPr>
              <w:t xml:space="preserve"> los señores Roca, Gómez, Roque y Bonne</w:t>
            </w:r>
            <w:r w:rsidR="00FB7AC4" w:rsidRPr="00672A2A">
              <w:rPr>
                <w:rFonts w:ascii="Calibri Light" w:hAnsi="Calibri Light"/>
                <w:b w:val="0"/>
              </w:rPr>
              <w:t>.</w:t>
            </w:r>
          </w:p>
          <w:p w14:paraId="681FDA8B" w14:textId="77777777" w:rsidR="00D5201C" w:rsidRPr="00766D2C" w:rsidRDefault="00D5201C" w:rsidP="0033011A">
            <w:pPr>
              <w:jc w:val="both"/>
              <w:rPr>
                <w:rFonts w:ascii="Calibri Light" w:hAnsi="Calibri Light"/>
                <w:b w:val="0"/>
              </w:rPr>
            </w:pPr>
          </w:p>
          <w:p w14:paraId="499DFA7E" w14:textId="55F06DD4" w:rsidR="00492F01" w:rsidRPr="00766D2C" w:rsidRDefault="00172A45" w:rsidP="0033011A">
            <w:pPr>
              <w:jc w:val="both"/>
              <w:rPr>
                <w:rFonts w:ascii="Calibri Light" w:hAnsi="Calibri Light"/>
                <w:b w:val="0"/>
              </w:rPr>
            </w:pPr>
            <w:r w:rsidRPr="00766D2C">
              <w:rPr>
                <w:rFonts w:ascii="Calibri Light" w:hAnsi="Calibri Light"/>
              </w:rPr>
              <w:t xml:space="preserve">Derecho a la vida, a la libertad, a la seguridad e integridad de la persona, </w:t>
            </w:r>
            <w:r w:rsidR="005015D6" w:rsidRPr="00766D2C">
              <w:rPr>
                <w:rFonts w:ascii="Calibri Light" w:hAnsi="Calibri Light"/>
              </w:rPr>
              <w:t>d</w:t>
            </w:r>
            <w:r w:rsidRPr="00766D2C">
              <w:rPr>
                <w:rFonts w:ascii="Calibri Light" w:hAnsi="Calibri Light"/>
              </w:rPr>
              <w:t xml:space="preserve">erecho de protección contra la detención arbitraria y </w:t>
            </w:r>
            <w:r w:rsidR="005015D6" w:rsidRPr="00766D2C">
              <w:rPr>
                <w:rFonts w:ascii="Calibri Light" w:hAnsi="Calibri Light"/>
              </w:rPr>
              <w:t>d</w:t>
            </w:r>
            <w:r w:rsidRPr="00766D2C">
              <w:rPr>
                <w:rFonts w:ascii="Calibri Light" w:hAnsi="Calibri Light"/>
              </w:rPr>
              <w:t>erecho a proceso regular</w:t>
            </w:r>
            <w:r w:rsidR="00B042A8">
              <w:rPr>
                <w:rFonts w:ascii="Calibri Light" w:hAnsi="Calibri Light"/>
              </w:rPr>
              <w:t xml:space="preserve"> </w:t>
            </w:r>
            <w:r w:rsidR="00B042A8" w:rsidRPr="00672A2A">
              <w:rPr>
                <w:rFonts w:ascii="Calibri Light" w:hAnsi="Calibri Light"/>
              </w:rPr>
              <w:t>(</w:t>
            </w:r>
            <w:r w:rsidR="005015D6" w:rsidRPr="00672A2A">
              <w:rPr>
                <w:rFonts w:ascii="Calibri Light" w:hAnsi="Calibri Light"/>
              </w:rPr>
              <w:t>artículos I, XXV y XXVI de la DADDH</w:t>
            </w:r>
            <w:r w:rsidRPr="00766D2C">
              <w:rPr>
                <w:rFonts w:ascii="Calibri Light" w:hAnsi="Calibri Light"/>
              </w:rPr>
              <w:t>)</w:t>
            </w:r>
          </w:p>
          <w:p w14:paraId="195A188C" w14:textId="77777777" w:rsidR="00560242" w:rsidRPr="00766D2C" w:rsidRDefault="00560242" w:rsidP="0033011A">
            <w:pPr>
              <w:jc w:val="both"/>
              <w:rPr>
                <w:rFonts w:ascii="Calibri Light" w:hAnsi="Calibri Light"/>
                <w:b w:val="0"/>
              </w:rPr>
            </w:pPr>
          </w:p>
          <w:p w14:paraId="37A04603" w14:textId="23680166" w:rsidR="004754E2" w:rsidRDefault="004754E2" w:rsidP="004754E2">
            <w:pPr>
              <w:pStyle w:val="ListParagraph"/>
              <w:numPr>
                <w:ilvl w:val="0"/>
                <w:numId w:val="13"/>
              </w:numPr>
              <w:jc w:val="both"/>
              <w:rPr>
                <w:rFonts w:ascii="Calibri Light" w:hAnsi="Calibri Light"/>
              </w:rPr>
            </w:pPr>
            <w:r>
              <w:rPr>
                <w:rFonts w:ascii="Calibri Light" w:hAnsi="Calibri Light"/>
              </w:rPr>
              <w:t>Protección contra la privación de libertad arbitraria</w:t>
            </w:r>
          </w:p>
          <w:p w14:paraId="680A7481" w14:textId="77777777" w:rsidR="004754E2" w:rsidRPr="004754E2" w:rsidRDefault="004754E2" w:rsidP="004754E2">
            <w:pPr>
              <w:pStyle w:val="ListParagraph"/>
              <w:ind w:left="1080"/>
              <w:jc w:val="both"/>
              <w:rPr>
                <w:rFonts w:ascii="Calibri Light" w:hAnsi="Calibri Light"/>
              </w:rPr>
            </w:pPr>
          </w:p>
          <w:p w14:paraId="0B73063A" w14:textId="57B25BB6" w:rsidR="00952E1C" w:rsidRPr="00766D2C" w:rsidRDefault="005015D6" w:rsidP="0033011A">
            <w:pPr>
              <w:jc w:val="both"/>
              <w:rPr>
                <w:rFonts w:ascii="Calibri Light" w:hAnsi="Calibri Light"/>
                <w:b w:val="0"/>
              </w:rPr>
            </w:pPr>
            <w:r w:rsidRPr="00766D2C">
              <w:rPr>
                <w:rFonts w:ascii="Calibri Light" w:hAnsi="Calibri Light"/>
                <w:b w:val="0"/>
              </w:rPr>
              <w:t>La CIDH señaló que</w:t>
            </w:r>
            <w:r w:rsidR="00952E1C" w:rsidRPr="00766D2C">
              <w:rPr>
                <w:rFonts w:ascii="Calibri Light" w:hAnsi="Calibri Light"/>
                <w:b w:val="0"/>
              </w:rPr>
              <w:t xml:space="preserve"> los artículos I y XXV</w:t>
            </w:r>
            <w:r w:rsidR="00B5612E">
              <w:rPr>
                <w:rFonts w:ascii="Calibri Light" w:hAnsi="Calibri Light"/>
                <w:b w:val="0"/>
              </w:rPr>
              <w:t>I</w:t>
            </w:r>
            <w:r w:rsidR="00952E1C" w:rsidRPr="00766D2C">
              <w:rPr>
                <w:rFonts w:ascii="Calibri Light" w:hAnsi="Calibri Light"/>
                <w:b w:val="0"/>
              </w:rPr>
              <w:t xml:space="preserve"> de la </w:t>
            </w:r>
            <w:r w:rsidRPr="00766D2C">
              <w:rPr>
                <w:rFonts w:ascii="Calibri Light" w:hAnsi="Calibri Light"/>
                <w:b w:val="0"/>
              </w:rPr>
              <w:t>DADDH</w:t>
            </w:r>
            <w:r w:rsidR="00952E1C" w:rsidRPr="00766D2C">
              <w:rPr>
                <w:rFonts w:ascii="Calibri Light" w:hAnsi="Calibri Light"/>
                <w:b w:val="0"/>
              </w:rPr>
              <w:t xml:space="preserve"> reconocen la protección </w:t>
            </w:r>
            <w:r w:rsidR="00952E1C" w:rsidRPr="00672A2A">
              <w:rPr>
                <w:rFonts w:ascii="Calibri Light" w:hAnsi="Calibri Light"/>
                <w:b w:val="0"/>
              </w:rPr>
              <w:t xml:space="preserve">de las personas de cualquier interferencia ilegítima o arbitraria de su libertad, exigiendo que toda privación de la misma se realice </w:t>
            </w:r>
            <w:r w:rsidR="00FC762F" w:rsidRPr="00672A2A">
              <w:rPr>
                <w:rFonts w:ascii="Calibri Light" w:hAnsi="Calibri Light"/>
                <w:b w:val="0"/>
              </w:rPr>
              <w:t>bajo ciertas condiciones</w:t>
            </w:r>
            <w:r w:rsidR="00FC762F" w:rsidRPr="00766D2C">
              <w:rPr>
                <w:rFonts w:ascii="Calibri Light" w:hAnsi="Calibri Light"/>
                <w:b w:val="0"/>
              </w:rPr>
              <w:t>, como tener base en</w:t>
            </w:r>
            <w:r w:rsidR="00952E1C" w:rsidRPr="00766D2C">
              <w:rPr>
                <w:rFonts w:ascii="Calibri Light" w:hAnsi="Calibri Light"/>
                <w:b w:val="0"/>
              </w:rPr>
              <w:t xml:space="preserve"> una ley preestablecida, que el detenido tenga la información respecto a las razones de su detención y sea notificado sin demora de las acusaciones que se le imputan,</w:t>
            </w:r>
            <w:r w:rsidR="00914702" w:rsidRPr="00766D2C">
              <w:rPr>
                <w:rFonts w:ascii="Calibri Light" w:hAnsi="Calibri Light"/>
                <w:b w:val="0"/>
              </w:rPr>
              <w:t xml:space="preserve"> que tenga la posibilidad de comparecer ante un juez que examine la legalidad de la medida,</w:t>
            </w:r>
            <w:r w:rsidR="00952E1C" w:rsidRPr="00766D2C">
              <w:rPr>
                <w:rFonts w:ascii="Calibri Light" w:hAnsi="Calibri Light"/>
                <w:b w:val="0"/>
              </w:rPr>
              <w:t xml:space="preserve"> que pueda acceder a un recurso jurídico, sea juzgada dentro de un plazo razonable o que sea liberada mientras dura el proceso.</w:t>
            </w:r>
          </w:p>
          <w:p w14:paraId="1A0A0EA3" w14:textId="77777777" w:rsidR="00952E1C" w:rsidRPr="00766D2C" w:rsidRDefault="00952E1C" w:rsidP="0033011A">
            <w:pPr>
              <w:jc w:val="both"/>
              <w:rPr>
                <w:rFonts w:ascii="Calibri Light" w:hAnsi="Calibri Light"/>
                <w:b w:val="0"/>
              </w:rPr>
            </w:pPr>
          </w:p>
          <w:p w14:paraId="255657B0" w14:textId="24977261" w:rsidR="00B5612E" w:rsidRDefault="00B5612E" w:rsidP="0033011A">
            <w:pPr>
              <w:jc w:val="both"/>
              <w:rPr>
                <w:rFonts w:ascii="Calibri Light" w:hAnsi="Calibri Light"/>
                <w:b w:val="0"/>
              </w:rPr>
            </w:pPr>
            <w:r>
              <w:rPr>
                <w:rFonts w:ascii="Calibri Light" w:hAnsi="Calibri Light"/>
                <w:b w:val="0"/>
              </w:rPr>
              <w:t xml:space="preserve">En este caso, no se cumplieron los estándares </w:t>
            </w:r>
            <w:r w:rsidR="00871E73">
              <w:rPr>
                <w:rFonts w:ascii="Calibri Light" w:hAnsi="Calibri Light"/>
                <w:b w:val="0"/>
              </w:rPr>
              <w:t xml:space="preserve">mencionados, pues </w:t>
            </w:r>
            <w:r>
              <w:rPr>
                <w:rFonts w:ascii="Calibri Light" w:hAnsi="Calibri Light"/>
                <w:b w:val="0"/>
              </w:rPr>
              <w:t>las presuntas víctimas fueron arrestadas sin una orden judicial y no fueron informadas sobre los cargos en su contra hasta que se presentó el escrito de acusación de la Fiscalía el 16 de septiembre de 1998</w:t>
            </w:r>
            <w:r w:rsidR="00871E73">
              <w:rPr>
                <w:rFonts w:ascii="Calibri Light" w:hAnsi="Calibri Light"/>
                <w:b w:val="0"/>
              </w:rPr>
              <w:t xml:space="preserve">. </w:t>
            </w:r>
            <w:r w:rsidR="00705FF1">
              <w:rPr>
                <w:rFonts w:ascii="Calibri Light" w:hAnsi="Calibri Light"/>
                <w:b w:val="0"/>
              </w:rPr>
              <w:t>Además, e</w:t>
            </w:r>
            <w:r w:rsidR="000776F6">
              <w:rPr>
                <w:rFonts w:ascii="Calibri Light" w:hAnsi="Calibri Light"/>
                <w:b w:val="0"/>
              </w:rPr>
              <w:t xml:space="preserve">ste escrito no justificó la necesidad </w:t>
            </w:r>
            <w:r w:rsidR="00615CB5">
              <w:rPr>
                <w:rFonts w:ascii="Calibri Light" w:hAnsi="Calibri Light"/>
                <w:b w:val="0"/>
              </w:rPr>
              <w:t xml:space="preserve">de mantenerlas privadas de libertad en el transcurso del proceso penal. Al respecto, la CIDH evidenció que el artículo 252 de la Ley de Procedimiento </w:t>
            </w:r>
            <w:r w:rsidR="00615CB5" w:rsidRPr="0063508F">
              <w:rPr>
                <w:rFonts w:ascii="Calibri Light" w:hAnsi="Calibri Light"/>
                <w:b w:val="0"/>
              </w:rPr>
              <w:t>Penal, en base al cual se aplic</w:t>
            </w:r>
            <w:r w:rsidR="0063508F" w:rsidRPr="0063508F">
              <w:rPr>
                <w:rFonts w:ascii="Calibri Light" w:hAnsi="Calibri Light"/>
                <w:b w:val="0"/>
              </w:rPr>
              <w:t>aba</w:t>
            </w:r>
            <w:r w:rsidR="00615CB5" w:rsidRPr="0063508F">
              <w:rPr>
                <w:rFonts w:ascii="Calibri Light" w:hAnsi="Calibri Light"/>
                <w:b w:val="0"/>
              </w:rPr>
              <w:t xml:space="preserve"> la prisión provisional, justificaba</w:t>
            </w:r>
            <w:r w:rsidR="00615CB5">
              <w:rPr>
                <w:rFonts w:ascii="Calibri Light" w:hAnsi="Calibri Light"/>
                <w:b w:val="0"/>
              </w:rPr>
              <w:t xml:space="preserve"> dicha medida en base a indicios de responsabilidad, y no para asegurar que no se impida el desarrollo de las investigaciones o se eluda la acci</w:t>
            </w:r>
            <w:r w:rsidR="005B5EC4">
              <w:rPr>
                <w:rFonts w:ascii="Calibri Light" w:hAnsi="Calibri Light"/>
                <w:b w:val="0"/>
              </w:rPr>
              <w:t>ón de la justi</w:t>
            </w:r>
            <w:r w:rsidR="00615CB5">
              <w:rPr>
                <w:rFonts w:ascii="Calibri Light" w:hAnsi="Calibri Light"/>
                <w:b w:val="0"/>
              </w:rPr>
              <w:t>c</w:t>
            </w:r>
            <w:r w:rsidR="005B5EC4">
              <w:rPr>
                <w:rFonts w:ascii="Calibri Light" w:hAnsi="Calibri Light"/>
                <w:b w:val="0"/>
              </w:rPr>
              <w:t>i</w:t>
            </w:r>
            <w:r w:rsidR="00615CB5">
              <w:rPr>
                <w:rFonts w:ascii="Calibri Light" w:hAnsi="Calibri Light"/>
                <w:b w:val="0"/>
              </w:rPr>
              <w:t xml:space="preserve">a, como exigen los estándares en la materia. </w:t>
            </w:r>
            <w:r w:rsidR="00705FF1">
              <w:rPr>
                <w:rFonts w:ascii="Calibri Light" w:hAnsi="Calibri Light"/>
                <w:b w:val="0"/>
              </w:rPr>
              <w:t xml:space="preserve">Asimismo, </w:t>
            </w:r>
            <w:r w:rsidR="005B5EC4">
              <w:rPr>
                <w:rFonts w:ascii="Calibri Light" w:hAnsi="Calibri Light"/>
                <w:b w:val="0"/>
              </w:rPr>
              <w:t xml:space="preserve">la CIDH </w:t>
            </w:r>
            <w:r w:rsidR="00705FF1">
              <w:rPr>
                <w:rFonts w:ascii="Calibri Light" w:hAnsi="Calibri Light"/>
                <w:b w:val="0"/>
              </w:rPr>
              <w:t xml:space="preserve">consideró que se había violado el derecho a que un juez verifique la legalidad de la medida, reconocido en el artículo XXV, pues los dos hábeas corpus que </w:t>
            </w:r>
            <w:r w:rsidR="005B5EC4">
              <w:rPr>
                <w:rFonts w:ascii="Calibri Light" w:hAnsi="Calibri Light"/>
                <w:b w:val="0"/>
              </w:rPr>
              <w:t xml:space="preserve">se </w:t>
            </w:r>
            <w:r w:rsidR="00705FF1">
              <w:rPr>
                <w:rFonts w:ascii="Calibri Light" w:hAnsi="Calibri Light"/>
                <w:b w:val="0"/>
              </w:rPr>
              <w:t xml:space="preserve">presentaron </w:t>
            </w:r>
            <w:r w:rsidR="005B5EC4">
              <w:rPr>
                <w:rFonts w:ascii="Calibri Light" w:hAnsi="Calibri Light"/>
                <w:b w:val="0"/>
              </w:rPr>
              <w:t xml:space="preserve">a su favor </w:t>
            </w:r>
            <w:r w:rsidR="00705FF1">
              <w:rPr>
                <w:rFonts w:ascii="Calibri Light" w:hAnsi="Calibri Light"/>
                <w:b w:val="0"/>
              </w:rPr>
              <w:t xml:space="preserve">fueron desestimados y no resultaron efectivos. </w:t>
            </w:r>
          </w:p>
          <w:p w14:paraId="318B294C" w14:textId="77777777" w:rsidR="004754E2" w:rsidRDefault="004754E2" w:rsidP="0033011A">
            <w:pPr>
              <w:jc w:val="both"/>
              <w:rPr>
                <w:rFonts w:ascii="Calibri Light" w:hAnsi="Calibri Light"/>
                <w:b w:val="0"/>
              </w:rPr>
            </w:pPr>
          </w:p>
          <w:p w14:paraId="42BC0454" w14:textId="48879C05" w:rsidR="004754E2" w:rsidRPr="004754E2" w:rsidRDefault="004754E2" w:rsidP="004754E2">
            <w:pPr>
              <w:pStyle w:val="ListParagraph"/>
              <w:numPr>
                <w:ilvl w:val="0"/>
                <w:numId w:val="13"/>
              </w:numPr>
              <w:jc w:val="both"/>
              <w:rPr>
                <w:rFonts w:ascii="Calibri Light" w:hAnsi="Calibri Light"/>
              </w:rPr>
            </w:pPr>
            <w:r>
              <w:rPr>
                <w:rFonts w:ascii="Calibri Light" w:hAnsi="Calibri Light"/>
              </w:rPr>
              <w:t>Derecho a proceso regular</w:t>
            </w:r>
          </w:p>
          <w:p w14:paraId="3EFEC2D4" w14:textId="77777777" w:rsidR="00914702" w:rsidRPr="00766D2C" w:rsidRDefault="00914702" w:rsidP="0033011A">
            <w:pPr>
              <w:jc w:val="both"/>
              <w:rPr>
                <w:rFonts w:ascii="Calibri Light" w:hAnsi="Calibri Light"/>
                <w:b w:val="0"/>
              </w:rPr>
            </w:pPr>
          </w:p>
          <w:p w14:paraId="157957B7" w14:textId="77777777" w:rsidR="004754E2" w:rsidRDefault="00914702" w:rsidP="0033011A">
            <w:pPr>
              <w:jc w:val="both"/>
              <w:rPr>
                <w:rFonts w:ascii="Calibri Light" w:hAnsi="Calibri Light"/>
                <w:b w:val="0"/>
              </w:rPr>
            </w:pPr>
            <w:r w:rsidRPr="006D584B">
              <w:rPr>
                <w:rFonts w:ascii="Calibri Light" w:hAnsi="Calibri Light"/>
                <w:b w:val="0"/>
              </w:rPr>
              <w:t xml:space="preserve">Sobre el derecho a un proceso regular, </w:t>
            </w:r>
            <w:r w:rsidR="0056615A" w:rsidRPr="006D584B">
              <w:rPr>
                <w:rFonts w:ascii="Calibri Light" w:hAnsi="Calibri Light"/>
                <w:b w:val="0"/>
              </w:rPr>
              <w:t xml:space="preserve">consagrado en el artículo XXVI de la DADDH, </w:t>
            </w:r>
            <w:r w:rsidRPr="006D584B">
              <w:rPr>
                <w:rFonts w:ascii="Calibri Light" w:hAnsi="Calibri Light"/>
                <w:b w:val="0"/>
              </w:rPr>
              <w:t xml:space="preserve">la CIDH </w:t>
            </w:r>
            <w:r w:rsidR="006D584B">
              <w:rPr>
                <w:rFonts w:ascii="Calibri Light" w:hAnsi="Calibri Light"/>
                <w:b w:val="0"/>
              </w:rPr>
              <w:t xml:space="preserve">señaló que la presunción de inocencia puede verse afectada por la aplicación de prisión preventiva de manera prolongada sin justificación. Asimismo, señaló que este derecho incluye, entre otros, el derecho del acusado a la notificación previa y detallada de los cargos que se le imputan, el derecho a defenderse personalmente o mediante abogado de su elección, y el derecho a contar con un tiempo y medios adecuados para su defensa. </w:t>
            </w:r>
          </w:p>
          <w:p w14:paraId="4B1AF56E" w14:textId="77777777" w:rsidR="004754E2" w:rsidRDefault="004754E2" w:rsidP="0033011A">
            <w:pPr>
              <w:jc w:val="both"/>
              <w:rPr>
                <w:rFonts w:ascii="Calibri Light" w:hAnsi="Calibri Light"/>
                <w:b w:val="0"/>
              </w:rPr>
            </w:pPr>
          </w:p>
          <w:p w14:paraId="783EA7BB" w14:textId="79F92AA2" w:rsidR="00B9188B" w:rsidRPr="00766D2C" w:rsidRDefault="00B9188B" w:rsidP="0033011A">
            <w:pPr>
              <w:jc w:val="both"/>
              <w:rPr>
                <w:rFonts w:ascii="Calibri Light" w:hAnsi="Calibri Light"/>
                <w:b w:val="0"/>
              </w:rPr>
            </w:pPr>
            <w:r w:rsidRPr="00672A2A">
              <w:rPr>
                <w:rFonts w:ascii="Calibri Light" w:hAnsi="Calibri Light"/>
                <w:b w:val="0"/>
              </w:rPr>
              <w:t xml:space="preserve">En el caso bajo análisis, </w:t>
            </w:r>
            <w:r w:rsidR="00DA11A1">
              <w:rPr>
                <w:rFonts w:ascii="Calibri Light" w:hAnsi="Calibri Light"/>
                <w:b w:val="0"/>
              </w:rPr>
              <w:t xml:space="preserve">no se respetaron estas garantías, pues: i) como ya se señaló, </w:t>
            </w:r>
            <w:r w:rsidRPr="00672A2A">
              <w:rPr>
                <w:rFonts w:ascii="Calibri Light" w:hAnsi="Calibri Light"/>
                <w:b w:val="0"/>
              </w:rPr>
              <w:t>las víctimas no fueron informadas de las razones de su detención</w:t>
            </w:r>
            <w:r w:rsidR="00BB343F" w:rsidRPr="00766D2C">
              <w:rPr>
                <w:rFonts w:ascii="Calibri Light" w:hAnsi="Calibri Light"/>
                <w:b w:val="0"/>
              </w:rPr>
              <w:t xml:space="preserve"> y los cargos en su contra</w:t>
            </w:r>
            <w:r w:rsidRPr="00766D2C">
              <w:rPr>
                <w:rFonts w:ascii="Calibri Light" w:hAnsi="Calibri Light"/>
                <w:b w:val="0"/>
              </w:rPr>
              <w:t xml:space="preserve"> </w:t>
            </w:r>
            <w:r w:rsidR="00BB343F" w:rsidRPr="00766D2C">
              <w:rPr>
                <w:rFonts w:ascii="Calibri Light" w:hAnsi="Calibri Light"/>
                <w:b w:val="0"/>
              </w:rPr>
              <w:t>s</w:t>
            </w:r>
            <w:r w:rsidRPr="00766D2C">
              <w:rPr>
                <w:rFonts w:ascii="Calibri Light" w:hAnsi="Calibri Light"/>
                <w:b w:val="0"/>
              </w:rPr>
              <w:t>ino hasta aproximadamente 14 meses después de encontrarse privad</w:t>
            </w:r>
            <w:r w:rsidR="00FC762F" w:rsidRPr="00766D2C">
              <w:rPr>
                <w:rFonts w:ascii="Calibri Light" w:hAnsi="Calibri Light"/>
                <w:b w:val="0"/>
              </w:rPr>
              <w:t>a</w:t>
            </w:r>
            <w:r w:rsidR="00DA11A1">
              <w:rPr>
                <w:rFonts w:ascii="Calibri Light" w:hAnsi="Calibri Light"/>
                <w:b w:val="0"/>
              </w:rPr>
              <w:t xml:space="preserve">s de libertad; ii) </w:t>
            </w:r>
            <w:r w:rsidRPr="00766D2C">
              <w:rPr>
                <w:rFonts w:ascii="Calibri Light" w:hAnsi="Calibri Light"/>
                <w:b w:val="0"/>
              </w:rPr>
              <w:t xml:space="preserve"> </w:t>
            </w:r>
            <w:r w:rsidR="00DA11A1">
              <w:rPr>
                <w:rFonts w:ascii="Calibri Light" w:hAnsi="Calibri Light"/>
                <w:b w:val="0"/>
              </w:rPr>
              <w:t xml:space="preserve">no se justificó la prolongada prisión preventiva; iii) las víctimas y sus familiares no tuvieron acceso al expediente judicial y no pudieron elegir al abogado de su elección; iv) se negó sin sustento el derecho a la </w:t>
            </w:r>
            <w:r w:rsidR="005B5EC4">
              <w:rPr>
                <w:rFonts w:ascii="Calibri Light" w:hAnsi="Calibri Light"/>
                <w:b w:val="0"/>
              </w:rPr>
              <w:t>defensa propia</w:t>
            </w:r>
            <w:r w:rsidR="00DA11A1">
              <w:rPr>
                <w:rFonts w:ascii="Calibri Light" w:hAnsi="Calibri Light"/>
                <w:b w:val="0"/>
              </w:rPr>
              <w:t xml:space="preserve"> del señor Gómez; y v) el juicio fue realizado a puertas cerradas</w:t>
            </w:r>
            <w:r w:rsidR="00DA11A1" w:rsidRPr="004754E2">
              <w:rPr>
                <w:rFonts w:ascii="Calibri Light" w:hAnsi="Calibri Light"/>
                <w:b w:val="0"/>
              </w:rPr>
              <w:t xml:space="preserve">.  </w:t>
            </w:r>
            <w:r w:rsidR="00BB343F" w:rsidRPr="004754E2">
              <w:rPr>
                <w:rFonts w:ascii="Calibri Light" w:hAnsi="Calibri Light"/>
                <w:b w:val="0"/>
              </w:rPr>
              <w:t>Debido a ello, la CIDH consideró</w:t>
            </w:r>
            <w:r w:rsidRPr="004754E2">
              <w:rPr>
                <w:rFonts w:ascii="Calibri Light" w:hAnsi="Calibri Light"/>
                <w:b w:val="0"/>
              </w:rPr>
              <w:t xml:space="preserve"> que el Estado violó el artículo XXVI de la </w:t>
            </w:r>
            <w:r w:rsidR="0056615A" w:rsidRPr="004754E2">
              <w:rPr>
                <w:rFonts w:ascii="Calibri Light" w:hAnsi="Calibri Light"/>
                <w:b w:val="0"/>
              </w:rPr>
              <w:t>DADDH</w:t>
            </w:r>
            <w:r w:rsidRPr="004754E2">
              <w:rPr>
                <w:rFonts w:ascii="Calibri Light" w:hAnsi="Calibri Light"/>
                <w:b w:val="0"/>
              </w:rPr>
              <w:t xml:space="preserve"> en perjuicio de </w:t>
            </w:r>
            <w:r w:rsidR="0056615A" w:rsidRPr="004754E2">
              <w:rPr>
                <w:rFonts w:ascii="Calibri Light" w:hAnsi="Calibri Light"/>
                <w:b w:val="0"/>
              </w:rPr>
              <w:t>los señores Roca, Gómez, Roque y Bonne</w:t>
            </w:r>
            <w:r w:rsidR="00BB343F" w:rsidRPr="004754E2">
              <w:rPr>
                <w:rFonts w:ascii="Calibri Light" w:hAnsi="Calibri Light"/>
                <w:b w:val="0"/>
              </w:rPr>
              <w:t>.</w:t>
            </w:r>
          </w:p>
          <w:p w14:paraId="248385A3" w14:textId="77777777" w:rsidR="00C87CF0" w:rsidRDefault="00C87CF0" w:rsidP="00E602A4">
            <w:pPr>
              <w:jc w:val="both"/>
              <w:rPr>
                <w:rFonts w:ascii="Calibri Light" w:hAnsi="Calibri Light"/>
                <w:b w:val="0"/>
              </w:rPr>
            </w:pPr>
          </w:p>
          <w:p w14:paraId="644658BF" w14:textId="203FC45F" w:rsidR="004754E2" w:rsidRDefault="004754E2" w:rsidP="004754E2">
            <w:pPr>
              <w:pStyle w:val="ListParagraph"/>
              <w:numPr>
                <w:ilvl w:val="0"/>
                <w:numId w:val="13"/>
              </w:numPr>
              <w:jc w:val="both"/>
              <w:rPr>
                <w:rFonts w:ascii="Calibri Light" w:hAnsi="Calibri Light"/>
              </w:rPr>
            </w:pPr>
            <w:r>
              <w:rPr>
                <w:rFonts w:ascii="Calibri Light" w:hAnsi="Calibri Light"/>
              </w:rPr>
              <w:lastRenderedPageBreak/>
              <w:t>Tratamiento humanos y condiciones de detención dignas</w:t>
            </w:r>
          </w:p>
          <w:p w14:paraId="495D3632" w14:textId="77777777" w:rsidR="004754E2" w:rsidRPr="004754E2" w:rsidRDefault="004754E2" w:rsidP="004754E2">
            <w:pPr>
              <w:pStyle w:val="ListParagraph"/>
              <w:ind w:left="1080"/>
              <w:jc w:val="both"/>
              <w:rPr>
                <w:rFonts w:ascii="Calibri Light" w:hAnsi="Calibri Light"/>
              </w:rPr>
            </w:pPr>
          </w:p>
          <w:p w14:paraId="34C30946" w14:textId="2917E655" w:rsidR="004754E2" w:rsidRDefault="00272F9F" w:rsidP="00E602A4">
            <w:pPr>
              <w:jc w:val="both"/>
              <w:rPr>
                <w:rFonts w:ascii="Calibri Light" w:hAnsi="Calibri Light"/>
                <w:b w:val="0"/>
              </w:rPr>
            </w:pPr>
            <w:r>
              <w:rPr>
                <w:rFonts w:ascii="Calibri Light" w:hAnsi="Calibri Light"/>
                <w:b w:val="0"/>
              </w:rPr>
              <w:t>L</w:t>
            </w:r>
            <w:r w:rsidR="00BB343F" w:rsidRPr="00672A2A">
              <w:rPr>
                <w:rFonts w:ascii="Calibri Light" w:hAnsi="Calibri Light"/>
                <w:b w:val="0"/>
              </w:rPr>
              <w:t xml:space="preserve">a CIDH </w:t>
            </w:r>
            <w:r w:rsidR="004754E2">
              <w:rPr>
                <w:rFonts w:ascii="Calibri Light" w:hAnsi="Calibri Light"/>
                <w:b w:val="0"/>
              </w:rPr>
              <w:t xml:space="preserve">señaló que </w:t>
            </w:r>
            <w:r>
              <w:rPr>
                <w:rFonts w:ascii="Calibri Light" w:hAnsi="Calibri Light"/>
                <w:b w:val="0"/>
              </w:rPr>
              <w:t>la DADDH contiene varias disposiciones sobre el derecho de las personas privadas de libertad a un trato humano, tales como los artículos I, XXV y XXVI</w:t>
            </w:r>
            <w:r w:rsidR="00BB343F" w:rsidRPr="00CE29D4">
              <w:rPr>
                <w:rFonts w:ascii="Calibri Light" w:hAnsi="Calibri Light"/>
                <w:b w:val="0"/>
              </w:rPr>
              <w:t xml:space="preserve">. </w:t>
            </w:r>
            <w:r w:rsidR="004754E2" w:rsidRPr="00CE29D4">
              <w:rPr>
                <w:rFonts w:ascii="Calibri Light" w:hAnsi="Calibri Light"/>
                <w:b w:val="0"/>
              </w:rPr>
              <w:t xml:space="preserve">En ese sentido, </w:t>
            </w:r>
            <w:r w:rsidR="00FD48F0">
              <w:rPr>
                <w:rFonts w:ascii="Calibri Light" w:hAnsi="Calibri Light"/>
                <w:b w:val="0"/>
              </w:rPr>
              <w:t>indic</w:t>
            </w:r>
            <w:r w:rsidRPr="00CE29D4">
              <w:rPr>
                <w:rFonts w:ascii="Calibri Light" w:hAnsi="Calibri Light"/>
                <w:b w:val="0"/>
              </w:rPr>
              <w:t xml:space="preserve">ó que </w:t>
            </w:r>
            <w:r w:rsidR="004754E2" w:rsidRPr="00CE29D4">
              <w:rPr>
                <w:rFonts w:ascii="Calibri Light" w:hAnsi="Calibri Light"/>
                <w:b w:val="0"/>
              </w:rPr>
              <w:t xml:space="preserve">toda persona privada de libertad tiene </w:t>
            </w:r>
            <w:r w:rsidR="00813A09" w:rsidRPr="00CE29D4">
              <w:rPr>
                <w:rFonts w:ascii="Calibri Light" w:hAnsi="Calibri Light"/>
                <w:b w:val="0"/>
              </w:rPr>
              <w:t xml:space="preserve">derecho a vivir en condiciones de detención </w:t>
            </w:r>
            <w:r w:rsidR="00672A2A" w:rsidRPr="00CE29D4">
              <w:rPr>
                <w:rFonts w:ascii="Calibri Light" w:hAnsi="Calibri Light"/>
                <w:b w:val="0"/>
              </w:rPr>
              <w:t>compatibles con</w:t>
            </w:r>
            <w:r w:rsidR="00E269B7" w:rsidRPr="00CE29D4">
              <w:rPr>
                <w:rFonts w:ascii="Calibri Light" w:hAnsi="Calibri Light"/>
                <w:b w:val="0"/>
              </w:rPr>
              <w:t xml:space="preserve"> su dignidad personal</w:t>
            </w:r>
            <w:r w:rsidRPr="00CE29D4">
              <w:rPr>
                <w:rFonts w:ascii="Calibri Light" w:hAnsi="Calibri Light"/>
                <w:b w:val="0"/>
              </w:rPr>
              <w:t>, y el Estado debe garantizar su vida e integridad</w:t>
            </w:r>
            <w:r w:rsidR="004754E2" w:rsidRPr="00CE29D4">
              <w:rPr>
                <w:rFonts w:ascii="Calibri Light" w:hAnsi="Calibri Light"/>
                <w:b w:val="0"/>
              </w:rPr>
              <w:t>.</w:t>
            </w:r>
            <w:r w:rsidRPr="00CE29D4">
              <w:rPr>
                <w:rFonts w:ascii="Calibri Light" w:hAnsi="Calibri Light"/>
                <w:b w:val="0"/>
              </w:rPr>
              <w:t xml:space="preserve"> </w:t>
            </w:r>
            <w:r w:rsidR="00FD48F0">
              <w:rPr>
                <w:rFonts w:ascii="Calibri Light" w:hAnsi="Calibri Light"/>
                <w:b w:val="0"/>
              </w:rPr>
              <w:t xml:space="preserve">Entre los estándares sobre la materia destacó que el aislamiento prolongado y la incomunicación coactiva podían constituir un tratamiento cruel e inhumano. Asimismo, señaló que el aislamiento en personas que no han sido condenadas resulta problemático. De otra parte, recordó que las personas privadas de libertad de diferentes categorías deben estar alojadas en lugares o secciones distintas. Por último, indicó que </w:t>
            </w:r>
            <w:r w:rsidR="008F5F9B">
              <w:rPr>
                <w:rFonts w:ascii="Calibri Light" w:hAnsi="Calibri Light"/>
                <w:b w:val="0"/>
              </w:rPr>
              <w:t>estas</w:t>
            </w:r>
            <w:r w:rsidR="00FD48F0">
              <w:rPr>
                <w:rFonts w:ascii="Calibri Light" w:hAnsi="Calibri Light"/>
                <w:b w:val="0"/>
              </w:rPr>
              <w:t xml:space="preserve"> tienen derecho a la salud, entre otros, mediante el acceso a una atención médica adecuada. </w:t>
            </w:r>
          </w:p>
          <w:p w14:paraId="0C96057B" w14:textId="77777777" w:rsidR="004754E2" w:rsidRDefault="004754E2" w:rsidP="00E602A4">
            <w:pPr>
              <w:jc w:val="both"/>
              <w:rPr>
                <w:rFonts w:ascii="Calibri Light" w:hAnsi="Calibri Light"/>
                <w:b w:val="0"/>
                <w:highlight w:val="yellow"/>
              </w:rPr>
            </w:pPr>
          </w:p>
          <w:p w14:paraId="01BF8CE9" w14:textId="0E2483BB" w:rsidR="0056615A" w:rsidRPr="00672A2A" w:rsidRDefault="00FD48F0">
            <w:pPr>
              <w:jc w:val="both"/>
              <w:rPr>
                <w:rFonts w:ascii="Calibri Light" w:hAnsi="Calibri Light"/>
                <w:b w:val="0"/>
              </w:rPr>
            </w:pPr>
            <w:r w:rsidRPr="008F5F9B">
              <w:rPr>
                <w:rFonts w:ascii="Calibri Light" w:hAnsi="Calibri Light"/>
                <w:b w:val="0"/>
              </w:rPr>
              <w:t>En el caso concreto</w:t>
            </w:r>
            <w:r w:rsidR="00E269B7" w:rsidRPr="008F5F9B">
              <w:rPr>
                <w:rFonts w:ascii="Calibri Light" w:hAnsi="Calibri Light"/>
                <w:b w:val="0"/>
              </w:rPr>
              <w:t xml:space="preserve">, </w:t>
            </w:r>
            <w:r w:rsidRPr="008F5F9B">
              <w:rPr>
                <w:rFonts w:ascii="Calibri Light" w:hAnsi="Calibri Light"/>
                <w:b w:val="0"/>
              </w:rPr>
              <w:t>este</w:t>
            </w:r>
            <w:r>
              <w:rPr>
                <w:rFonts w:ascii="Calibri Light" w:hAnsi="Calibri Light"/>
                <w:b w:val="0"/>
              </w:rPr>
              <w:t xml:space="preserve"> derecho fue violado</w:t>
            </w:r>
            <w:r w:rsidR="0056615A">
              <w:rPr>
                <w:rFonts w:ascii="Calibri Light" w:hAnsi="Calibri Light"/>
                <w:b w:val="0"/>
              </w:rPr>
              <w:t>,</w:t>
            </w:r>
            <w:r w:rsidR="00E269B7" w:rsidRPr="00672A2A">
              <w:rPr>
                <w:rFonts w:ascii="Calibri Light" w:hAnsi="Calibri Light"/>
                <w:b w:val="0"/>
              </w:rPr>
              <w:t xml:space="preserve"> pues </w:t>
            </w:r>
            <w:r w:rsidR="00E602A4" w:rsidRPr="00766D2C">
              <w:rPr>
                <w:rFonts w:ascii="Calibri Light" w:hAnsi="Calibri Light"/>
                <w:b w:val="0"/>
              </w:rPr>
              <w:t>las víctimas fueron privad</w:t>
            </w:r>
            <w:r w:rsidR="002244E4" w:rsidRPr="00766D2C">
              <w:rPr>
                <w:rFonts w:ascii="Calibri Light" w:hAnsi="Calibri Light"/>
                <w:b w:val="0"/>
              </w:rPr>
              <w:t>a</w:t>
            </w:r>
            <w:r w:rsidR="00E602A4" w:rsidRPr="00766D2C">
              <w:rPr>
                <w:rFonts w:ascii="Calibri Light" w:hAnsi="Calibri Light"/>
                <w:b w:val="0"/>
              </w:rPr>
              <w:t>s de su libertad sin contacto con sus familiares durante las dos primeras semanas de detención</w:t>
            </w:r>
            <w:r w:rsidR="00E17CD7">
              <w:rPr>
                <w:rFonts w:ascii="Calibri Light" w:hAnsi="Calibri Light"/>
                <w:b w:val="0"/>
              </w:rPr>
              <w:t xml:space="preserve">. Posteriormente, permanecieron detenidas sin posibilidad de salir al aire libre para luego ser trasladadas a centros de alta seguridad, donde </w:t>
            </w:r>
            <w:r w:rsidR="00E602A4" w:rsidRPr="00766D2C">
              <w:rPr>
                <w:rFonts w:ascii="Calibri Light" w:hAnsi="Calibri Light"/>
                <w:b w:val="0"/>
              </w:rPr>
              <w:t xml:space="preserve">sufrieron restricciones de acceso a la luz solar, al aire libre, al ejercicio físico, </w:t>
            </w:r>
            <w:r w:rsidR="00E17CD7">
              <w:rPr>
                <w:rFonts w:ascii="Calibri Light" w:hAnsi="Calibri Light"/>
                <w:b w:val="0"/>
              </w:rPr>
              <w:t xml:space="preserve">y a la </w:t>
            </w:r>
            <w:r w:rsidR="00E602A4" w:rsidRPr="00766D2C">
              <w:rPr>
                <w:rFonts w:ascii="Calibri Light" w:hAnsi="Calibri Light"/>
                <w:b w:val="0"/>
              </w:rPr>
              <w:t xml:space="preserve">comida; y las condiciones en las que se encontraban sus celdas </w:t>
            </w:r>
            <w:r w:rsidR="008F5F9B">
              <w:rPr>
                <w:rFonts w:ascii="Calibri Light" w:hAnsi="Calibri Light"/>
                <w:b w:val="0"/>
              </w:rPr>
              <w:t>fueron</w:t>
            </w:r>
            <w:r w:rsidR="00E602A4" w:rsidRPr="00766D2C">
              <w:rPr>
                <w:rFonts w:ascii="Calibri Light" w:hAnsi="Calibri Light"/>
                <w:b w:val="0"/>
              </w:rPr>
              <w:t xml:space="preserve"> insalubres</w:t>
            </w:r>
            <w:r w:rsidR="00E269B7" w:rsidRPr="00766D2C">
              <w:rPr>
                <w:rFonts w:ascii="Calibri Light" w:hAnsi="Calibri Light"/>
                <w:b w:val="0"/>
              </w:rPr>
              <w:t xml:space="preserve">. </w:t>
            </w:r>
            <w:r>
              <w:rPr>
                <w:rFonts w:ascii="Calibri Light" w:hAnsi="Calibri Light"/>
                <w:b w:val="0"/>
              </w:rPr>
              <w:t>Asimismo, en algunos casos</w:t>
            </w:r>
            <w:r w:rsidR="00E17CD7">
              <w:rPr>
                <w:rFonts w:ascii="Calibri Light" w:hAnsi="Calibri Light"/>
                <w:b w:val="0"/>
              </w:rPr>
              <w:t>, fueron detenida</w:t>
            </w:r>
            <w:r>
              <w:rPr>
                <w:rFonts w:ascii="Calibri Light" w:hAnsi="Calibri Light"/>
                <w:b w:val="0"/>
              </w:rPr>
              <w:t>s con personas acusadas y condenadas por delitos comunes</w:t>
            </w:r>
            <w:r w:rsidR="0063508F">
              <w:rPr>
                <w:rFonts w:ascii="Calibri Light" w:hAnsi="Calibri Light"/>
                <w:b w:val="0"/>
              </w:rPr>
              <w:t>, y en el caso del señor Gómez fue puesto en régimen de aislamiento</w:t>
            </w:r>
            <w:r>
              <w:rPr>
                <w:rFonts w:ascii="Calibri Light" w:hAnsi="Calibri Light"/>
                <w:b w:val="0"/>
              </w:rPr>
              <w:t>. Además,</w:t>
            </w:r>
            <w:r w:rsidR="00E602A4" w:rsidRPr="00672A2A">
              <w:rPr>
                <w:rFonts w:ascii="Calibri Light" w:hAnsi="Calibri Light"/>
                <w:b w:val="0"/>
              </w:rPr>
              <w:t xml:space="preserve"> </w:t>
            </w:r>
            <w:r w:rsidR="0056615A">
              <w:rPr>
                <w:rFonts w:ascii="Calibri Light" w:hAnsi="Calibri Light"/>
                <w:b w:val="0"/>
              </w:rPr>
              <w:t xml:space="preserve">los señores </w:t>
            </w:r>
            <w:r w:rsidR="00BB343F" w:rsidRPr="00672A2A">
              <w:rPr>
                <w:rFonts w:ascii="Calibri Light" w:hAnsi="Calibri Light"/>
                <w:b w:val="0"/>
              </w:rPr>
              <w:t>Gómez</w:t>
            </w:r>
            <w:r w:rsidR="00BB343F" w:rsidRPr="00766D2C">
              <w:rPr>
                <w:rFonts w:ascii="Calibri Light" w:hAnsi="Calibri Light"/>
                <w:b w:val="0"/>
              </w:rPr>
              <w:t>, Roque y</w:t>
            </w:r>
            <w:r w:rsidR="00E602A4" w:rsidRPr="00766D2C">
              <w:rPr>
                <w:rFonts w:ascii="Calibri Light" w:hAnsi="Calibri Light"/>
                <w:b w:val="0"/>
              </w:rPr>
              <w:t xml:space="preserve"> Bonne presentaron</w:t>
            </w:r>
            <w:r w:rsidR="00BB343F" w:rsidRPr="00766D2C">
              <w:rPr>
                <w:rFonts w:ascii="Calibri Light" w:hAnsi="Calibri Light"/>
                <w:b w:val="0"/>
              </w:rPr>
              <w:t xml:space="preserve"> problemas de salud que surgieron o se agravaron a partir del momento de su de</w:t>
            </w:r>
            <w:r w:rsidR="00E602A4" w:rsidRPr="00766D2C">
              <w:rPr>
                <w:rFonts w:ascii="Calibri Light" w:hAnsi="Calibri Light"/>
                <w:b w:val="0"/>
              </w:rPr>
              <w:t>tención sin que se reciban</w:t>
            </w:r>
            <w:r w:rsidR="00BB343F" w:rsidRPr="00766D2C">
              <w:rPr>
                <w:rFonts w:ascii="Calibri Light" w:hAnsi="Calibri Light"/>
                <w:b w:val="0"/>
              </w:rPr>
              <w:t xml:space="preserve"> una adecuada atención médica. </w:t>
            </w:r>
            <w:r w:rsidR="00E602A4" w:rsidRPr="00766D2C">
              <w:rPr>
                <w:rFonts w:ascii="Calibri Light" w:hAnsi="Calibri Light"/>
                <w:b w:val="0"/>
              </w:rPr>
              <w:t>En virtud de ello,</w:t>
            </w:r>
            <w:r w:rsidR="00E269B7" w:rsidRPr="00766D2C">
              <w:rPr>
                <w:rFonts w:ascii="Calibri Light" w:hAnsi="Calibri Light"/>
                <w:b w:val="0"/>
              </w:rPr>
              <w:t xml:space="preserve"> l</w:t>
            </w:r>
            <w:r w:rsidR="00813A09" w:rsidRPr="00766D2C">
              <w:rPr>
                <w:rFonts w:ascii="Calibri Light" w:hAnsi="Calibri Light"/>
                <w:b w:val="0"/>
              </w:rPr>
              <w:t>a  CIDH conclu</w:t>
            </w:r>
            <w:r w:rsidR="00E269B7" w:rsidRPr="00766D2C">
              <w:rPr>
                <w:rFonts w:ascii="Calibri Light" w:hAnsi="Calibri Light"/>
                <w:b w:val="0"/>
              </w:rPr>
              <w:t xml:space="preserve">yó que el Estado de Cuba violó </w:t>
            </w:r>
            <w:r>
              <w:rPr>
                <w:rFonts w:ascii="Calibri Light" w:hAnsi="Calibri Light"/>
                <w:b w:val="0"/>
              </w:rPr>
              <w:t xml:space="preserve">el </w:t>
            </w:r>
            <w:r w:rsidR="00813A09" w:rsidRPr="00766D2C">
              <w:rPr>
                <w:rFonts w:ascii="Calibri Light" w:hAnsi="Calibri Light"/>
                <w:b w:val="0"/>
              </w:rPr>
              <w:t xml:space="preserve"> XXV</w:t>
            </w:r>
            <w:r w:rsidR="00E269B7" w:rsidRPr="00766D2C">
              <w:rPr>
                <w:rFonts w:ascii="Calibri Light" w:hAnsi="Calibri Light"/>
                <w:b w:val="0"/>
              </w:rPr>
              <w:t xml:space="preserve"> </w:t>
            </w:r>
            <w:r w:rsidR="00766D2C">
              <w:rPr>
                <w:rFonts w:ascii="Calibri Light" w:hAnsi="Calibri Light"/>
                <w:b w:val="0"/>
              </w:rPr>
              <w:t xml:space="preserve">DADDH, </w:t>
            </w:r>
            <w:r w:rsidR="00813A09" w:rsidRPr="00766D2C">
              <w:rPr>
                <w:rFonts w:ascii="Calibri Light" w:hAnsi="Calibri Light"/>
                <w:b w:val="0"/>
              </w:rPr>
              <w:t>en perjuicio de</w:t>
            </w:r>
            <w:r w:rsidR="00766D2C">
              <w:rPr>
                <w:rFonts w:ascii="Calibri Light" w:hAnsi="Calibri Light"/>
                <w:b w:val="0"/>
              </w:rPr>
              <w:t xml:space="preserve"> señores Roca, Gómez, Roque y Bonne</w:t>
            </w:r>
            <w:r w:rsidR="00813A09" w:rsidRPr="00766D2C">
              <w:rPr>
                <w:rFonts w:ascii="Calibri Light" w:hAnsi="Calibri Light"/>
                <w:b w:val="0"/>
              </w:rPr>
              <w:t>.</w:t>
            </w:r>
          </w:p>
          <w:p w14:paraId="5AA471B6" w14:textId="131D879B" w:rsidR="005015D6" w:rsidRPr="00672A2A" w:rsidRDefault="005015D6">
            <w:pPr>
              <w:jc w:val="both"/>
              <w:rPr>
                <w:rFonts w:ascii="Calibri Light" w:hAnsi="Calibri Light"/>
                <w:b w:val="0"/>
                <w:lang w:val="es-PE"/>
              </w:rPr>
            </w:pPr>
          </w:p>
        </w:tc>
      </w:tr>
      <w:tr w:rsidR="005173CF" w:rsidRPr="00766D2C" w14:paraId="0FBFBB6F" w14:textId="77777777" w:rsidTr="00F124DE">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Pr="00672A2A" w:rsidRDefault="00AC6F31" w:rsidP="00AC6F31">
            <w:pPr>
              <w:pStyle w:val="ListParagraph"/>
              <w:rPr>
                <w:rFonts w:ascii="Calibri Light" w:hAnsi="Calibri Light"/>
              </w:rPr>
            </w:pPr>
          </w:p>
          <w:p w14:paraId="5CF7BA21" w14:textId="5790D6FB" w:rsidR="005173CF" w:rsidRPr="00766D2C" w:rsidRDefault="007A6C56" w:rsidP="0029671B">
            <w:pPr>
              <w:pStyle w:val="ListParagraph"/>
              <w:numPr>
                <w:ilvl w:val="0"/>
                <w:numId w:val="2"/>
              </w:numPr>
              <w:jc w:val="center"/>
              <w:rPr>
                <w:rFonts w:ascii="Calibri Light" w:hAnsi="Calibri Light"/>
              </w:rPr>
            </w:pPr>
            <w:r w:rsidRPr="00672A2A">
              <w:rPr>
                <w:rFonts w:ascii="Calibri Light" w:hAnsi="Calibri Light"/>
              </w:rPr>
              <w:t>Recomendac</w:t>
            </w:r>
            <w:r w:rsidRPr="00766D2C">
              <w:rPr>
                <w:rFonts w:ascii="Calibri Light" w:hAnsi="Calibri Light"/>
              </w:rPr>
              <w:t>iones</w:t>
            </w:r>
            <w:r w:rsidR="00230F24" w:rsidRPr="00766D2C">
              <w:rPr>
                <w:rFonts w:ascii="Calibri Light" w:hAnsi="Calibri Light"/>
              </w:rPr>
              <w:t xml:space="preserve"> de la CIDH al Estado</w:t>
            </w:r>
          </w:p>
          <w:p w14:paraId="510D8BF9" w14:textId="77777777" w:rsidR="00AC6F31" w:rsidRPr="00766D2C" w:rsidRDefault="00AC6F31" w:rsidP="00AC6F31">
            <w:pPr>
              <w:pStyle w:val="ListParagraph"/>
              <w:rPr>
                <w:rFonts w:ascii="Calibri Light" w:hAnsi="Calibri Light"/>
              </w:rPr>
            </w:pPr>
          </w:p>
        </w:tc>
      </w:tr>
      <w:tr w:rsidR="007A6C56" w:rsidRPr="00766D2C" w14:paraId="3D91AF16" w14:textId="77777777" w:rsidTr="00F124DE">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3893F431" w14:textId="77777777" w:rsidR="003B124D" w:rsidRDefault="003B124D" w:rsidP="00766D2C">
            <w:pPr>
              <w:jc w:val="both"/>
              <w:rPr>
                <w:rFonts w:ascii="Calibri Light" w:hAnsi="Calibri Light"/>
              </w:rPr>
            </w:pPr>
          </w:p>
          <w:p w14:paraId="21BFA0E5" w14:textId="77777777" w:rsidR="003B124D" w:rsidRPr="00766D2C" w:rsidRDefault="003B124D" w:rsidP="00766D2C">
            <w:pPr>
              <w:pStyle w:val="ListParagraph"/>
              <w:numPr>
                <w:ilvl w:val="0"/>
                <w:numId w:val="12"/>
              </w:numPr>
              <w:jc w:val="both"/>
              <w:rPr>
                <w:b w:val="0"/>
              </w:rPr>
            </w:pPr>
            <w:r w:rsidRPr="00766D2C">
              <w:rPr>
                <w:rFonts w:ascii="Calibri Light" w:hAnsi="Calibri Light"/>
                <w:b w:val="0"/>
              </w:rPr>
              <w:t>Reparar a las víctimas y a sus familiares sobrevivientes por el daño material e inmaterial sufrido.</w:t>
            </w:r>
          </w:p>
          <w:p w14:paraId="38C03D81" w14:textId="77777777" w:rsidR="003B124D" w:rsidRPr="00766D2C" w:rsidRDefault="003B124D" w:rsidP="00766D2C">
            <w:pPr>
              <w:pStyle w:val="ListParagraph"/>
              <w:jc w:val="both"/>
              <w:rPr>
                <w:b w:val="0"/>
              </w:rPr>
            </w:pPr>
          </w:p>
          <w:p w14:paraId="368915D4" w14:textId="77777777" w:rsidR="0056615A" w:rsidRPr="00766D2C" w:rsidRDefault="003B124D" w:rsidP="00766D2C">
            <w:pPr>
              <w:pStyle w:val="ListParagraph"/>
              <w:numPr>
                <w:ilvl w:val="0"/>
                <w:numId w:val="12"/>
              </w:numPr>
              <w:jc w:val="both"/>
              <w:rPr>
                <w:b w:val="0"/>
              </w:rPr>
            </w:pPr>
            <w:r w:rsidRPr="00766D2C">
              <w:rPr>
                <w:rFonts w:ascii="Calibri Light" w:hAnsi="Calibri Light"/>
                <w:b w:val="0"/>
              </w:rPr>
              <w:t>Dejar sin efecto la condena penal impuesta a las víctimas, así como todas las consecuencias que de ella se deriven.</w:t>
            </w:r>
          </w:p>
          <w:p w14:paraId="4A7DEBCB" w14:textId="77777777" w:rsidR="0056615A" w:rsidRPr="00766D2C" w:rsidRDefault="0056615A" w:rsidP="00766D2C">
            <w:pPr>
              <w:pStyle w:val="ListParagraph"/>
              <w:rPr>
                <w:rFonts w:ascii="Calibri Light" w:hAnsi="Calibri Light"/>
              </w:rPr>
            </w:pPr>
          </w:p>
          <w:p w14:paraId="5B563D15" w14:textId="1B20322C" w:rsidR="0056615A" w:rsidRPr="00766D2C" w:rsidRDefault="0056615A" w:rsidP="00766D2C">
            <w:pPr>
              <w:pStyle w:val="ListParagraph"/>
              <w:numPr>
                <w:ilvl w:val="0"/>
                <w:numId w:val="12"/>
              </w:numPr>
              <w:jc w:val="both"/>
              <w:rPr>
                <w:b w:val="0"/>
              </w:rPr>
            </w:pPr>
            <w:r>
              <w:rPr>
                <w:rFonts w:ascii="Calibri Light" w:hAnsi="Calibri Light"/>
                <w:b w:val="0"/>
              </w:rPr>
              <w:t xml:space="preserve">Realizar un acto público de reconocimiento de responsabilidad por las violaciones a las DADDH establecidas. </w:t>
            </w:r>
            <w:r w:rsidR="003B124D" w:rsidRPr="00766D2C">
              <w:rPr>
                <w:rFonts w:ascii="Calibri Light" w:hAnsi="Calibri Light"/>
                <w:b w:val="0"/>
              </w:rPr>
              <w:t xml:space="preserve"> </w:t>
            </w:r>
          </w:p>
          <w:p w14:paraId="420444AC" w14:textId="77777777" w:rsidR="003B124D" w:rsidRPr="00672A2A" w:rsidRDefault="003B124D" w:rsidP="00672A2A">
            <w:pPr>
              <w:jc w:val="both"/>
            </w:pPr>
          </w:p>
          <w:p w14:paraId="4F13FE08" w14:textId="64389565" w:rsidR="003B124D" w:rsidRPr="00766D2C" w:rsidRDefault="003B124D" w:rsidP="00766D2C">
            <w:pPr>
              <w:pStyle w:val="ListParagraph"/>
              <w:numPr>
                <w:ilvl w:val="0"/>
                <w:numId w:val="12"/>
              </w:numPr>
              <w:jc w:val="both"/>
              <w:rPr>
                <w:b w:val="0"/>
              </w:rPr>
            </w:pPr>
            <w:r w:rsidRPr="00766D2C">
              <w:rPr>
                <w:rFonts w:ascii="Calibri Light" w:hAnsi="Calibri Light"/>
                <w:b w:val="0"/>
              </w:rPr>
              <w:t>Adoptar las medidas necesarias para adecuar sus leyes, procedimientos y prácticas a las normas internacionales sobre derechos humanos. En particular, derogar las figuras penales que</w:t>
            </w:r>
            <w:r w:rsidR="0056615A">
              <w:rPr>
                <w:rFonts w:ascii="Calibri Light" w:hAnsi="Calibri Light"/>
                <w:b w:val="0"/>
              </w:rPr>
              <w:t>, como los artículos 100 y 125 del Código Penal,</w:t>
            </w:r>
            <w:r w:rsidRPr="00766D2C">
              <w:rPr>
                <w:rFonts w:ascii="Calibri Light" w:hAnsi="Calibri Light"/>
                <w:b w:val="0"/>
              </w:rPr>
              <w:t xml:space="preserve"> resulten incompatibles con el ejercicio de los derechos a la libertad de expresión y asociación.</w:t>
            </w:r>
          </w:p>
          <w:p w14:paraId="26B40D7B" w14:textId="77777777" w:rsidR="003B124D" w:rsidRPr="00672A2A" w:rsidRDefault="003B124D" w:rsidP="00672A2A">
            <w:pPr>
              <w:jc w:val="both"/>
            </w:pPr>
          </w:p>
          <w:p w14:paraId="26C88DB7" w14:textId="77777777" w:rsidR="003B124D" w:rsidRPr="00766D2C" w:rsidRDefault="003B124D" w:rsidP="00766D2C">
            <w:pPr>
              <w:pStyle w:val="ListParagraph"/>
              <w:numPr>
                <w:ilvl w:val="0"/>
                <w:numId w:val="12"/>
              </w:numPr>
              <w:jc w:val="both"/>
              <w:rPr>
                <w:rFonts w:ascii="Calibri Light" w:hAnsi="Calibri Light"/>
              </w:rPr>
            </w:pPr>
            <w:r w:rsidRPr="00766D2C">
              <w:rPr>
                <w:rFonts w:ascii="Calibri Light" w:hAnsi="Calibri Light"/>
                <w:b w:val="0"/>
              </w:rPr>
              <w:t>Adoptar las medidas necesarias para evitar que hechos similares vuelvan a cometerse. En particular, adoptar las medidas que sean necesarias para prevenir y erradicar la criminalización de quienes ejercen el derecho de libertad de expresión y asociación.</w:t>
            </w:r>
          </w:p>
          <w:p w14:paraId="49863AFC" w14:textId="4D056793" w:rsidR="003B124D" w:rsidRPr="00766D2C" w:rsidRDefault="003B124D" w:rsidP="00766D2C">
            <w:pPr>
              <w:rPr>
                <w:rFonts w:ascii="Calibri Light" w:hAnsi="Calibri Light"/>
              </w:rPr>
            </w:pPr>
          </w:p>
        </w:tc>
      </w:tr>
      <w:tr w:rsidR="00F464EC" w:rsidRPr="00766D2C" w14:paraId="0B7CC98E" w14:textId="77777777" w:rsidTr="00F124DE">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F464EC" w:rsidRPr="00766D2C" w:rsidRDefault="00F464EC" w:rsidP="00F464EC">
            <w:pPr>
              <w:pStyle w:val="ListParagraph"/>
              <w:spacing w:after="200" w:line="276" w:lineRule="auto"/>
              <w:rPr>
                <w:rFonts w:ascii="Calibri Light" w:hAnsi="Calibri Light"/>
              </w:rPr>
            </w:pPr>
          </w:p>
          <w:p w14:paraId="3C93C1C0" w14:textId="5FAA71BF" w:rsidR="00F464EC" w:rsidRPr="00766D2C" w:rsidRDefault="00F464EC" w:rsidP="00766D2C">
            <w:pPr>
              <w:pStyle w:val="ListParagraph"/>
              <w:numPr>
                <w:ilvl w:val="0"/>
                <w:numId w:val="2"/>
              </w:numPr>
              <w:spacing w:after="200" w:line="276" w:lineRule="auto"/>
              <w:jc w:val="center"/>
              <w:rPr>
                <w:rFonts w:ascii="Calibri Light" w:hAnsi="Calibri Light"/>
                <w:b w:val="0"/>
              </w:rPr>
            </w:pPr>
            <w:r w:rsidRPr="00766D2C">
              <w:rPr>
                <w:rFonts w:ascii="Calibri Light" w:hAnsi="Calibri Light"/>
              </w:rPr>
              <w:t>Análisis de cumplimiento de las recomendaciones</w:t>
            </w:r>
          </w:p>
        </w:tc>
      </w:tr>
      <w:tr w:rsidR="00F464EC" w:rsidRPr="00766D2C" w14:paraId="41FA15A1" w14:textId="77777777" w:rsidTr="00F124DE">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1F3EA985" w14:textId="28DA97D6" w:rsidR="009802FB" w:rsidRPr="00766D2C" w:rsidRDefault="00E269B7" w:rsidP="00840908">
            <w:pPr>
              <w:pStyle w:val="ListParagraph"/>
              <w:ind w:left="0"/>
              <w:jc w:val="center"/>
              <w:rPr>
                <w:rFonts w:ascii="Calibri Light" w:hAnsi="Calibri Light"/>
                <w:b w:val="0"/>
              </w:rPr>
            </w:pPr>
            <w:r w:rsidRPr="00766D2C">
              <w:rPr>
                <w:rFonts w:ascii="Calibri Light" w:hAnsi="Calibri Light"/>
                <w:b w:val="0"/>
              </w:rPr>
              <w:lastRenderedPageBreak/>
              <w:t>-</w:t>
            </w:r>
          </w:p>
        </w:tc>
      </w:tr>
    </w:tbl>
    <w:p w14:paraId="60BB15F2" w14:textId="77777777" w:rsidR="00F124DE" w:rsidRPr="00766D2C" w:rsidRDefault="00F124DE">
      <w:pPr>
        <w:rPr>
          <w:rFonts w:ascii="Calibri Light" w:hAnsi="Calibri Light"/>
        </w:rPr>
      </w:pPr>
    </w:p>
    <w:sectPr w:rsidR="00F124DE" w:rsidRPr="00766D2C" w:rsidSect="00A65231">
      <w:footerReference w:type="default" r:id="rId1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DB8DB" w14:textId="77777777" w:rsidR="00A03607" w:rsidRDefault="00A03607" w:rsidP="00A65231">
      <w:pPr>
        <w:spacing w:after="0" w:line="240" w:lineRule="auto"/>
      </w:pPr>
      <w:r>
        <w:separator/>
      </w:r>
    </w:p>
  </w:endnote>
  <w:endnote w:type="continuationSeparator" w:id="0">
    <w:p w14:paraId="581908CD" w14:textId="77777777" w:rsidR="00A03607" w:rsidRDefault="00A03607"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Light" w:hAnsi="Calibri Light"/>
      </w:rPr>
      <w:id w:val="210471937"/>
      <w:docPartObj>
        <w:docPartGallery w:val="Page Numbers (Bottom of Page)"/>
        <w:docPartUnique/>
      </w:docPartObj>
    </w:sdtPr>
    <w:sdtEndPr/>
    <w:sdtContent>
      <w:p w14:paraId="23A746CC" w14:textId="77777777" w:rsidR="00A65231" w:rsidRPr="00766D2C" w:rsidRDefault="00A65231">
        <w:pPr>
          <w:pStyle w:val="Footer"/>
          <w:jc w:val="right"/>
          <w:rPr>
            <w:rFonts w:ascii="Calibri Light" w:hAnsi="Calibri Light"/>
          </w:rPr>
        </w:pPr>
        <w:r w:rsidRPr="00766D2C">
          <w:rPr>
            <w:rFonts w:ascii="Calibri Light" w:hAnsi="Calibri Light"/>
          </w:rPr>
          <w:fldChar w:fldCharType="begin"/>
        </w:r>
        <w:r w:rsidRPr="00766D2C">
          <w:rPr>
            <w:rFonts w:ascii="Calibri Light" w:hAnsi="Calibri Light"/>
          </w:rPr>
          <w:instrText>PAGE   \* MERGEFORMAT</w:instrText>
        </w:r>
        <w:r w:rsidRPr="00766D2C">
          <w:rPr>
            <w:rFonts w:ascii="Calibri Light" w:hAnsi="Calibri Light"/>
          </w:rPr>
          <w:fldChar w:fldCharType="separate"/>
        </w:r>
        <w:r w:rsidR="00847C18" w:rsidRPr="00847C18">
          <w:rPr>
            <w:rFonts w:ascii="Calibri Light" w:hAnsi="Calibri Light"/>
            <w:noProof/>
            <w:lang w:val="es-ES"/>
          </w:rPr>
          <w:t>5</w:t>
        </w:r>
        <w:r w:rsidRPr="00766D2C">
          <w:rPr>
            <w:rFonts w:ascii="Calibri Light" w:hAnsi="Calibri Light"/>
          </w:rPr>
          <w:fldChar w:fldCharType="end"/>
        </w:r>
      </w:p>
    </w:sdtContent>
  </w:sdt>
  <w:p w14:paraId="6353BB13" w14:textId="77777777" w:rsidR="00A65231" w:rsidRPr="00766D2C" w:rsidRDefault="00A65231">
    <w:pPr>
      <w:pStyle w:val="Footer"/>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C9EEE" w14:textId="77777777" w:rsidR="00A03607" w:rsidRDefault="00A03607" w:rsidP="00A65231">
      <w:pPr>
        <w:spacing w:after="0" w:line="240" w:lineRule="auto"/>
      </w:pPr>
      <w:r>
        <w:separator/>
      </w:r>
    </w:p>
  </w:footnote>
  <w:footnote w:type="continuationSeparator" w:id="0">
    <w:p w14:paraId="24CAF518" w14:textId="77777777" w:rsidR="00A03607" w:rsidRDefault="00A03607" w:rsidP="00A65231">
      <w:pPr>
        <w:spacing w:after="0" w:line="240" w:lineRule="auto"/>
      </w:pPr>
      <w:r>
        <w:continuationSeparator/>
      </w:r>
    </w:p>
  </w:footnote>
  <w:footnote w:id="1">
    <w:p w14:paraId="21A169D9" w14:textId="7C7690C0" w:rsidR="005E567E" w:rsidRPr="00766D2C" w:rsidRDefault="005E567E" w:rsidP="005E567E">
      <w:pPr>
        <w:pStyle w:val="FootnoteText"/>
        <w:jc w:val="both"/>
        <w:rPr>
          <w:rFonts w:ascii="Calibri Light" w:hAnsi="Calibri Light"/>
          <w:sz w:val="18"/>
          <w:szCs w:val="18"/>
          <w:lang w:val="es-PE"/>
        </w:rPr>
      </w:pPr>
      <w:r w:rsidRPr="00766D2C">
        <w:rPr>
          <w:rStyle w:val="FootnoteReference"/>
          <w:rFonts w:ascii="Calibri Light" w:hAnsi="Calibri Light"/>
          <w:sz w:val="18"/>
          <w:szCs w:val="18"/>
        </w:rPr>
        <w:footnoteRef/>
      </w:r>
      <w:r w:rsidRPr="00766D2C">
        <w:rPr>
          <w:rFonts w:ascii="Calibri Light" w:hAnsi="Calibri Light"/>
          <w:sz w:val="18"/>
          <w:szCs w:val="18"/>
        </w:rPr>
        <w:t xml:space="preserve"> A</w:t>
      </w:r>
      <w:r w:rsidR="00403281">
        <w:rPr>
          <w:rFonts w:ascii="Calibri Light" w:hAnsi="Calibri Light"/>
          <w:sz w:val="18"/>
          <w:szCs w:val="18"/>
        </w:rPr>
        <w:t>rtículo</w:t>
      </w:r>
      <w:r w:rsidRPr="00766D2C">
        <w:rPr>
          <w:rFonts w:ascii="Calibri Light" w:hAnsi="Calibri Light"/>
          <w:sz w:val="18"/>
          <w:szCs w:val="18"/>
        </w:rPr>
        <w:t xml:space="preserve"> 100.</w:t>
      </w:r>
      <w:r w:rsidR="00403281">
        <w:rPr>
          <w:rFonts w:ascii="Calibri Light" w:hAnsi="Calibri Light"/>
          <w:sz w:val="18"/>
          <w:szCs w:val="18"/>
        </w:rPr>
        <w:t>-</w:t>
      </w:r>
      <w:r w:rsidRPr="00766D2C">
        <w:rPr>
          <w:rFonts w:ascii="Calibri Light" w:hAnsi="Calibri Light"/>
          <w:sz w:val="18"/>
          <w:szCs w:val="18"/>
        </w:rPr>
        <w:t xml:space="preserve"> Los que, tumultuariamente y mediante concierto expreso o tácito, empleando violencia, perturben el orden socialista o la celebración de elecciones o referendos, o impidan el cumplimiento de alguna sentencia, disposición legal o medida dictada por el Gobierno, o por una autoridad civil o militar en el ejercicio de sus respectivas funciones, o rehúsen obedecerlas, o realicen exigencias, o se resistan a cumplir sus deberes, son sancionados: a)</w:t>
      </w:r>
      <w:r w:rsidR="00403281">
        <w:rPr>
          <w:rFonts w:ascii="Calibri Light" w:hAnsi="Calibri Light"/>
          <w:sz w:val="18"/>
          <w:szCs w:val="18"/>
        </w:rPr>
        <w:t xml:space="preserve"> </w:t>
      </w:r>
      <w:r w:rsidRPr="00766D2C">
        <w:rPr>
          <w:rFonts w:ascii="Calibri Light" w:hAnsi="Calibri Light"/>
          <w:sz w:val="18"/>
          <w:szCs w:val="18"/>
        </w:rPr>
        <w:t>con privación de libertad de diez a veinte años o muerte, si el delito se comete en situación de guerra o que afecte la seguridad del Estado, o durante grave alteración del orden público, o en zona militar, recurriendo a las armas o ejerciendo violencia; b)</w:t>
      </w:r>
      <w:r w:rsidR="00403281">
        <w:rPr>
          <w:rFonts w:ascii="Calibri Light" w:hAnsi="Calibri Light"/>
          <w:sz w:val="18"/>
          <w:szCs w:val="18"/>
        </w:rPr>
        <w:t xml:space="preserve"> </w:t>
      </w:r>
      <w:r w:rsidRPr="00766D2C">
        <w:rPr>
          <w:rFonts w:ascii="Calibri Light" w:hAnsi="Calibri Light"/>
          <w:sz w:val="18"/>
          <w:szCs w:val="18"/>
        </w:rPr>
        <w:t>con privación de libertad de diez a veinte años, si el delito se comete sin recurrir a las armas ni ejercer violencia y concurre alguna de las demás circunstancias expresadas en el inciso anterior; o si se ha recurrido a las armas o ejercido violencia y el delito se comete fuera de zona militar en tiempo de paz; c)</w:t>
      </w:r>
      <w:r w:rsidR="00403281">
        <w:rPr>
          <w:rFonts w:ascii="Calibri Light" w:hAnsi="Calibri Light"/>
          <w:sz w:val="18"/>
          <w:szCs w:val="18"/>
        </w:rPr>
        <w:t xml:space="preserve"> </w:t>
      </w:r>
      <w:r w:rsidRPr="00766D2C">
        <w:rPr>
          <w:rFonts w:ascii="Calibri Light" w:hAnsi="Calibri Light"/>
          <w:sz w:val="18"/>
          <w:szCs w:val="18"/>
        </w:rPr>
        <w:t>con privación de libertad de uno a ocho años, en los demás casos.</w:t>
      </w:r>
    </w:p>
  </w:footnote>
  <w:footnote w:id="2">
    <w:p w14:paraId="63E89C18" w14:textId="2C4367EB" w:rsidR="00B06C7E" w:rsidRPr="00766D2C" w:rsidRDefault="00B06C7E" w:rsidP="00766D2C">
      <w:pPr>
        <w:pStyle w:val="FootnoteText"/>
        <w:jc w:val="both"/>
        <w:rPr>
          <w:rFonts w:ascii="Calibri Light" w:hAnsi="Calibri Light"/>
          <w:sz w:val="18"/>
          <w:szCs w:val="18"/>
          <w:lang w:val="es-PE"/>
        </w:rPr>
      </w:pPr>
      <w:r w:rsidRPr="00766D2C">
        <w:rPr>
          <w:rStyle w:val="FootnoteReference"/>
          <w:rFonts w:ascii="Calibri Light" w:hAnsi="Calibri Light"/>
          <w:sz w:val="18"/>
          <w:szCs w:val="18"/>
        </w:rPr>
        <w:footnoteRef/>
      </w:r>
      <w:r w:rsidRPr="00766D2C">
        <w:rPr>
          <w:rFonts w:ascii="Calibri Light" w:hAnsi="Calibri Light"/>
          <w:sz w:val="18"/>
          <w:szCs w:val="18"/>
        </w:rPr>
        <w:t xml:space="preserve"> A</w:t>
      </w:r>
      <w:r w:rsidR="00403281">
        <w:rPr>
          <w:rFonts w:ascii="Calibri Light" w:hAnsi="Calibri Light"/>
          <w:sz w:val="18"/>
          <w:szCs w:val="18"/>
        </w:rPr>
        <w:t>rtículo</w:t>
      </w:r>
      <w:r w:rsidRPr="00766D2C">
        <w:rPr>
          <w:rFonts w:ascii="Calibri Light" w:hAnsi="Calibri Light"/>
          <w:sz w:val="18"/>
          <w:szCs w:val="18"/>
        </w:rPr>
        <w:t xml:space="preserve"> 125.</w:t>
      </w:r>
      <w:r w:rsidR="00403281">
        <w:rPr>
          <w:rFonts w:ascii="Calibri Light" w:hAnsi="Calibri Light"/>
          <w:sz w:val="18"/>
          <w:szCs w:val="18"/>
        </w:rPr>
        <w:t>-</w:t>
      </w:r>
      <w:r w:rsidRPr="00766D2C">
        <w:rPr>
          <w:rFonts w:ascii="Calibri Light" w:hAnsi="Calibri Light"/>
          <w:sz w:val="18"/>
          <w:szCs w:val="18"/>
        </w:rPr>
        <w:t xml:space="preserve"> Se sanciona conforme a las reglas que respecto a los actos preparatorios se establecen en los artículos 12 y 49 al que: […] c) incite a otro u otros, de palabra o por escrito, pública o privadamente, a ejecutar alguno de los delitos previstos en este Título. Si a la incitación ha seguido la comisión del delito, el provocador será sancionado como autor del delito cometido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BFEC61BC"/>
    <w:lvl w:ilvl="0" w:tplc="DEDA053A">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DA10924"/>
    <w:multiLevelType w:val="hybridMultilevel"/>
    <w:tmpl w:val="BB2CFF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5856E6"/>
    <w:multiLevelType w:val="hybridMultilevel"/>
    <w:tmpl w:val="4BB27016"/>
    <w:lvl w:ilvl="0" w:tplc="5EFAFC4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BF7441"/>
    <w:multiLevelType w:val="hybridMultilevel"/>
    <w:tmpl w:val="95CAF5AE"/>
    <w:lvl w:ilvl="0" w:tplc="0A108696">
      <w:start w:val="1"/>
      <w:numFmt w:val="lowerRoman"/>
      <w:lvlText w:val="%1)"/>
      <w:lvlJc w:val="left"/>
      <w:pPr>
        <w:ind w:left="1125" w:hanging="720"/>
      </w:pPr>
      <w:rPr>
        <w:rFonts w:hint="default"/>
      </w:r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4" w15:restartNumberingAfterBreak="0">
    <w:nsid w:val="20726BFA"/>
    <w:multiLevelType w:val="hybridMultilevel"/>
    <w:tmpl w:val="167843CE"/>
    <w:lvl w:ilvl="0" w:tplc="9FA87EB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81334F"/>
    <w:multiLevelType w:val="hybridMultilevel"/>
    <w:tmpl w:val="F57E8A46"/>
    <w:lvl w:ilvl="0" w:tplc="17963FC0">
      <w:start w:val="1"/>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F130F24"/>
    <w:multiLevelType w:val="hybridMultilevel"/>
    <w:tmpl w:val="9E2A4EB8"/>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405A010C"/>
    <w:multiLevelType w:val="hybridMultilevel"/>
    <w:tmpl w:val="87C86BB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627510"/>
    <w:multiLevelType w:val="hybridMultilevel"/>
    <w:tmpl w:val="7870F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D712391"/>
    <w:multiLevelType w:val="hybridMultilevel"/>
    <w:tmpl w:val="0372AC4A"/>
    <w:lvl w:ilvl="0" w:tplc="522CE190">
      <w:numFmt w:val="bullet"/>
      <w:lvlText w:val="-"/>
      <w:lvlJc w:val="left"/>
      <w:pPr>
        <w:ind w:left="720" w:hanging="360"/>
      </w:pPr>
      <w:rPr>
        <w:rFonts w:ascii="Calibri Light" w:eastAsia="Calibri" w:hAnsi="Calibri Light"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7"/>
  </w:num>
  <w:num w:numId="5">
    <w:abstractNumId w:val="8"/>
  </w:num>
  <w:num w:numId="6">
    <w:abstractNumId w:val="11"/>
  </w:num>
  <w:num w:numId="7">
    <w:abstractNumId w:val="3"/>
  </w:num>
  <w:num w:numId="8">
    <w:abstractNumId w:val="6"/>
  </w:num>
  <w:num w:numId="9">
    <w:abstractNumId w:val="4"/>
  </w:num>
  <w:num w:numId="10">
    <w:abstractNumId w:val="12"/>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02DD6"/>
    <w:rsid w:val="000351F0"/>
    <w:rsid w:val="0006675C"/>
    <w:rsid w:val="00066C2A"/>
    <w:rsid w:val="000748FF"/>
    <w:rsid w:val="00076EBC"/>
    <w:rsid w:val="000776F6"/>
    <w:rsid w:val="0007777B"/>
    <w:rsid w:val="00091C7D"/>
    <w:rsid w:val="000B4B72"/>
    <w:rsid w:val="000B4CF2"/>
    <w:rsid w:val="000B5257"/>
    <w:rsid w:val="000C2ED1"/>
    <w:rsid w:val="000C5A72"/>
    <w:rsid w:val="000D243B"/>
    <w:rsid w:val="000D3CF2"/>
    <w:rsid w:val="000D52F6"/>
    <w:rsid w:val="000E4587"/>
    <w:rsid w:val="000E570F"/>
    <w:rsid w:val="000E706A"/>
    <w:rsid w:val="000E7146"/>
    <w:rsid w:val="000F2C70"/>
    <w:rsid w:val="000F4AEA"/>
    <w:rsid w:val="00106755"/>
    <w:rsid w:val="00106E76"/>
    <w:rsid w:val="00114199"/>
    <w:rsid w:val="00116670"/>
    <w:rsid w:val="0011756F"/>
    <w:rsid w:val="00123CE4"/>
    <w:rsid w:val="001454F7"/>
    <w:rsid w:val="0016183C"/>
    <w:rsid w:val="00171082"/>
    <w:rsid w:val="00172A45"/>
    <w:rsid w:val="0019709D"/>
    <w:rsid w:val="001A14F7"/>
    <w:rsid w:val="001A3AA6"/>
    <w:rsid w:val="001B2EB5"/>
    <w:rsid w:val="001C0307"/>
    <w:rsid w:val="001C0F99"/>
    <w:rsid w:val="001C1F24"/>
    <w:rsid w:val="001C28EC"/>
    <w:rsid w:val="001E79A8"/>
    <w:rsid w:val="001F0EBD"/>
    <w:rsid w:val="00200D9F"/>
    <w:rsid w:val="002077A5"/>
    <w:rsid w:val="00212F62"/>
    <w:rsid w:val="00213757"/>
    <w:rsid w:val="00213947"/>
    <w:rsid w:val="00220B75"/>
    <w:rsid w:val="002233EB"/>
    <w:rsid w:val="002244E4"/>
    <w:rsid w:val="00230F24"/>
    <w:rsid w:val="002412F8"/>
    <w:rsid w:val="00244853"/>
    <w:rsid w:val="00246EC0"/>
    <w:rsid w:val="0024772F"/>
    <w:rsid w:val="00251DDE"/>
    <w:rsid w:val="00253DF5"/>
    <w:rsid w:val="00255161"/>
    <w:rsid w:val="0026342A"/>
    <w:rsid w:val="00272F9F"/>
    <w:rsid w:val="002736D6"/>
    <w:rsid w:val="00280F4C"/>
    <w:rsid w:val="0028192E"/>
    <w:rsid w:val="00283F01"/>
    <w:rsid w:val="0029671B"/>
    <w:rsid w:val="002A6E03"/>
    <w:rsid w:val="002A7581"/>
    <w:rsid w:val="002B3B1E"/>
    <w:rsid w:val="002D1B91"/>
    <w:rsid w:val="002E5E1B"/>
    <w:rsid w:val="002F7799"/>
    <w:rsid w:val="00306927"/>
    <w:rsid w:val="00307183"/>
    <w:rsid w:val="00317EE5"/>
    <w:rsid w:val="0032141E"/>
    <w:rsid w:val="00322827"/>
    <w:rsid w:val="0033011A"/>
    <w:rsid w:val="00334C56"/>
    <w:rsid w:val="00336C3B"/>
    <w:rsid w:val="00350DE9"/>
    <w:rsid w:val="00363AC7"/>
    <w:rsid w:val="0037075A"/>
    <w:rsid w:val="0037716B"/>
    <w:rsid w:val="003A3ADB"/>
    <w:rsid w:val="003A7A99"/>
    <w:rsid w:val="003B124D"/>
    <w:rsid w:val="003B2CD2"/>
    <w:rsid w:val="003D6E0F"/>
    <w:rsid w:val="003E1DE0"/>
    <w:rsid w:val="003E6AB8"/>
    <w:rsid w:val="003F218E"/>
    <w:rsid w:val="00403281"/>
    <w:rsid w:val="004043CC"/>
    <w:rsid w:val="00406F2F"/>
    <w:rsid w:val="00411A74"/>
    <w:rsid w:val="00417C7D"/>
    <w:rsid w:val="00421D6C"/>
    <w:rsid w:val="004242D0"/>
    <w:rsid w:val="00431612"/>
    <w:rsid w:val="00444387"/>
    <w:rsid w:val="00445D2C"/>
    <w:rsid w:val="00451809"/>
    <w:rsid w:val="00452AA6"/>
    <w:rsid w:val="00452C34"/>
    <w:rsid w:val="004533E5"/>
    <w:rsid w:val="00455A3A"/>
    <w:rsid w:val="00464CAC"/>
    <w:rsid w:val="004754E2"/>
    <w:rsid w:val="00476F6A"/>
    <w:rsid w:val="0048271F"/>
    <w:rsid w:val="004858A8"/>
    <w:rsid w:val="004861D8"/>
    <w:rsid w:val="00492F01"/>
    <w:rsid w:val="004A0763"/>
    <w:rsid w:val="004A0900"/>
    <w:rsid w:val="004B1311"/>
    <w:rsid w:val="004B151D"/>
    <w:rsid w:val="004C0A21"/>
    <w:rsid w:val="004D3AE5"/>
    <w:rsid w:val="004D3F73"/>
    <w:rsid w:val="004E1258"/>
    <w:rsid w:val="004E2BB2"/>
    <w:rsid w:val="004E678F"/>
    <w:rsid w:val="004F061A"/>
    <w:rsid w:val="0050074E"/>
    <w:rsid w:val="005015D6"/>
    <w:rsid w:val="005173CF"/>
    <w:rsid w:val="00535769"/>
    <w:rsid w:val="0054767B"/>
    <w:rsid w:val="00554EE9"/>
    <w:rsid w:val="00556690"/>
    <w:rsid w:val="00557C90"/>
    <w:rsid w:val="00560242"/>
    <w:rsid w:val="00561359"/>
    <w:rsid w:val="00561986"/>
    <w:rsid w:val="0056615A"/>
    <w:rsid w:val="00581FEB"/>
    <w:rsid w:val="005A1120"/>
    <w:rsid w:val="005A5DA0"/>
    <w:rsid w:val="005B257B"/>
    <w:rsid w:val="005B3624"/>
    <w:rsid w:val="005B41CE"/>
    <w:rsid w:val="005B5EC4"/>
    <w:rsid w:val="005C3229"/>
    <w:rsid w:val="005C35DD"/>
    <w:rsid w:val="005D4A1F"/>
    <w:rsid w:val="005D4FDF"/>
    <w:rsid w:val="005D5DFA"/>
    <w:rsid w:val="005D6A39"/>
    <w:rsid w:val="005E082B"/>
    <w:rsid w:val="005E190A"/>
    <w:rsid w:val="005E567E"/>
    <w:rsid w:val="005F14CB"/>
    <w:rsid w:val="005F1E4B"/>
    <w:rsid w:val="006030CE"/>
    <w:rsid w:val="00603CA7"/>
    <w:rsid w:val="00615CB5"/>
    <w:rsid w:val="00626543"/>
    <w:rsid w:val="0063508F"/>
    <w:rsid w:val="0064028C"/>
    <w:rsid w:val="006407DD"/>
    <w:rsid w:val="006459A6"/>
    <w:rsid w:val="006462EA"/>
    <w:rsid w:val="00646696"/>
    <w:rsid w:val="00646894"/>
    <w:rsid w:val="0065601B"/>
    <w:rsid w:val="006576F9"/>
    <w:rsid w:val="0066351A"/>
    <w:rsid w:val="00672A2A"/>
    <w:rsid w:val="0067568C"/>
    <w:rsid w:val="00676230"/>
    <w:rsid w:val="006833CD"/>
    <w:rsid w:val="00685F04"/>
    <w:rsid w:val="00690328"/>
    <w:rsid w:val="00693C80"/>
    <w:rsid w:val="006963FB"/>
    <w:rsid w:val="006A1D9E"/>
    <w:rsid w:val="006A3FA1"/>
    <w:rsid w:val="006A6C23"/>
    <w:rsid w:val="006A6EC1"/>
    <w:rsid w:val="006C3F1D"/>
    <w:rsid w:val="006D0024"/>
    <w:rsid w:val="006D06A7"/>
    <w:rsid w:val="006D488A"/>
    <w:rsid w:val="006D500A"/>
    <w:rsid w:val="006D584B"/>
    <w:rsid w:val="006D748C"/>
    <w:rsid w:val="006E6371"/>
    <w:rsid w:val="006F49B1"/>
    <w:rsid w:val="006F5AAD"/>
    <w:rsid w:val="006F647E"/>
    <w:rsid w:val="006F657F"/>
    <w:rsid w:val="00705FF1"/>
    <w:rsid w:val="00714E42"/>
    <w:rsid w:val="0071697F"/>
    <w:rsid w:val="00726533"/>
    <w:rsid w:val="007327CE"/>
    <w:rsid w:val="00746532"/>
    <w:rsid w:val="00747E22"/>
    <w:rsid w:val="007539A5"/>
    <w:rsid w:val="00766D2C"/>
    <w:rsid w:val="00785A0F"/>
    <w:rsid w:val="00792335"/>
    <w:rsid w:val="00793A83"/>
    <w:rsid w:val="0079477F"/>
    <w:rsid w:val="007A6C56"/>
    <w:rsid w:val="007B7ED8"/>
    <w:rsid w:val="007D1B56"/>
    <w:rsid w:val="007E382B"/>
    <w:rsid w:val="007E6D79"/>
    <w:rsid w:val="007F050B"/>
    <w:rsid w:val="007F7E47"/>
    <w:rsid w:val="008036E7"/>
    <w:rsid w:val="00810470"/>
    <w:rsid w:val="008116C6"/>
    <w:rsid w:val="00813A09"/>
    <w:rsid w:val="00814C6B"/>
    <w:rsid w:val="0082139A"/>
    <w:rsid w:val="00830AB5"/>
    <w:rsid w:val="00840908"/>
    <w:rsid w:val="00841B0E"/>
    <w:rsid w:val="00843C41"/>
    <w:rsid w:val="00845CE5"/>
    <w:rsid w:val="00846B58"/>
    <w:rsid w:val="00847C18"/>
    <w:rsid w:val="00851773"/>
    <w:rsid w:val="008554D1"/>
    <w:rsid w:val="008570F6"/>
    <w:rsid w:val="00862302"/>
    <w:rsid w:val="008644B4"/>
    <w:rsid w:val="00864751"/>
    <w:rsid w:val="00866A4D"/>
    <w:rsid w:val="0087063C"/>
    <w:rsid w:val="00871AB0"/>
    <w:rsid w:val="00871E73"/>
    <w:rsid w:val="00872160"/>
    <w:rsid w:val="008943A8"/>
    <w:rsid w:val="008A5F25"/>
    <w:rsid w:val="008B57FB"/>
    <w:rsid w:val="008D38A2"/>
    <w:rsid w:val="008E1571"/>
    <w:rsid w:val="008F5F9B"/>
    <w:rsid w:val="0090367F"/>
    <w:rsid w:val="00914702"/>
    <w:rsid w:val="00931216"/>
    <w:rsid w:val="00931244"/>
    <w:rsid w:val="00940088"/>
    <w:rsid w:val="00947FEA"/>
    <w:rsid w:val="00952E1C"/>
    <w:rsid w:val="0095310E"/>
    <w:rsid w:val="00954E20"/>
    <w:rsid w:val="009600A0"/>
    <w:rsid w:val="00973EFC"/>
    <w:rsid w:val="00974F30"/>
    <w:rsid w:val="009802FB"/>
    <w:rsid w:val="00981AC3"/>
    <w:rsid w:val="00991A82"/>
    <w:rsid w:val="009956CE"/>
    <w:rsid w:val="009A7AE2"/>
    <w:rsid w:val="009B6211"/>
    <w:rsid w:val="009C056C"/>
    <w:rsid w:val="009E0269"/>
    <w:rsid w:val="009F10ED"/>
    <w:rsid w:val="009F34D5"/>
    <w:rsid w:val="00A03607"/>
    <w:rsid w:val="00A03CAE"/>
    <w:rsid w:val="00A075D2"/>
    <w:rsid w:val="00A133CC"/>
    <w:rsid w:val="00A153E3"/>
    <w:rsid w:val="00A16B0A"/>
    <w:rsid w:val="00A16C0C"/>
    <w:rsid w:val="00A2337D"/>
    <w:rsid w:val="00A271BF"/>
    <w:rsid w:val="00A275F8"/>
    <w:rsid w:val="00A305A3"/>
    <w:rsid w:val="00A43A03"/>
    <w:rsid w:val="00A4435A"/>
    <w:rsid w:val="00A51B70"/>
    <w:rsid w:val="00A526BD"/>
    <w:rsid w:val="00A526EC"/>
    <w:rsid w:val="00A65231"/>
    <w:rsid w:val="00A67581"/>
    <w:rsid w:val="00A679C6"/>
    <w:rsid w:val="00A73F2F"/>
    <w:rsid w:val="00A91255"/>
    <w:rsid w:val="00A91B24"/>
    <w:rsid w:val="00A95B49"/>
    <w:rsid w:val="00AC24DC"/>
    <w:rsid w:val="00AC6F31"/>
    <w:rsid w:val="00AE104F"/>
    <w:rsid w:val="00AE6481"/>
    <w:rsid w:val="00AF175D"/>
    <w:rsid w:val="00AF50B3"/>
    <w:rsid w:val="00AF5466"/>
    <w:rsid w:val="00B03384"/>
    <w:rsid w:val="00B042A8"/>
    <w:rsid w:val="00B06C7E"/>
    <w:rsid w:val="00B07E72"/>
    <w:rsid w:val="00B13CE0"/>
    <w:rsid w:val="00B152F9"/>
    <w:rsid w:val="00B16D3A"/>
    <w:rsid w:val="00B36CC8"/>
    <w:rsid w:val="00B434F9"/>
    <w:rsid w:val="00B475E2"/>
    <w:rsid w:val="00B5267E"/>
    <w:rsid w:val="00B55B6C"/>
    <w:rsid w:val="00B5612E"/>
    <w:rsid w:val="00B71AFA"/>
    <w:rsid w:val="00B71B8C"/>
    <w:rsid w:val="00B748D9"/>
    <w:rsid w:val="00B771B5"/>
    <w:rsid w:val="00B832A6"/>
    <w:rsid w:val="00B9188B"/>
    <w:rsid w:val="00B93CB9"/>
    <w:rsid w:val="00BA1A47"/>
    <w:rsid w:val="00BA2CC8"/>
    <w:rsid w:val="00BB343F"/>
    <w:rsid w:val="00BB3EB0"/>
    <w:rsid w:val="00BB61C6"/>
    <w:rsid w:val="00BD09B9"/>
    <w:rsid w:val="00BD385B"/>
    <w:rsid w:val="00BD48E5"/>
    <w:rsid w:val="00BD4947"/>
    <w:rsid w:val="00BD624E"/>
    <w:rsid w:val="00BE44E9"/>
    <w:rsid w:val="00BE6398"/>
    <w:rsid w:val="00BE6FA1"/>
    <w:rsid w:val="00BF0473"/>
    <w:rsid w:val="00C00A80"/>
    <w:rsid w:val="00C01E0D"/>
    <w:rsid w:val="00C025C7"/>
    <w:rsid w:val="00C31DFF"/>
    <w:rsid w:val="00C464C0"/>
    <w:rsid w:val="00C47437"/>
    <w:rsid w:val="00C552D7"/>
    <w:rsid w:val="00C5799F"/>
    <w:rsid w:val="00C63B25"/>
    <w:rsid w:val="00C67265"/>
    <w:rsid w:val="00C73642"/>
    <w:rsid w:val="00C87529"/>
    <w:rsid w:val="00C87CF0"/>
    <w:rsid w:val="00C907CA"/>
    <w:rsid w:val="00CA18F9"/>
    <w:rsid w:val="00CA1F4E"/>
    <w:rsid w:val="00CB2E51"/>
    <w:rsid w:val="00CC17A2"/>
    <w:rsid w:val="00CC1D4C"/>
    <w:rsid w:val="00CC6107"/>
    <w:rsid w:val="00CE2036"/>
    <w:rsid w:val="00CE276D"/>
    <w:rsid w:val="00CE29D4"/>
    <w:rsid w:val="00CE3CC6"/>
    <w:rsid w:val="00CE7AF9"/>
    <w:rsid w:val="00CE7B15"/>
    <w:rsid w:val="00CF14CE"/>
    <w:rsid w:val="00D0696E"/>
    <w:rsid w:val="00D14182"/>
    <w:rsid w:val="00D17007"/>
    <w:rsid w:val="00D177FB"/>
    <w:rsid w:val="00D20798"/>
    <w:rsid w:val="00D24E13"/>
    <w:rsid w:val="00D35205"/>
    <w:rsid w:val="00D5201C"/>
    <w:rsid w:val="00D63D0C"/>
    <w:rsid w:val="00D64A9C"/>
    <w:rsid w:val="00D81F61"/>
    <w:rsid w:val="00D96306"/>
    <w:rsid w:val="00D971C9"/>
    <w:rsid w:val="00DA11A1"/>
    <w:rsid w:val="00DA25F7"/>
    <w:rsid w:val="00DA32BA"/>
    <w:rsid w:val="00DA3CC3"/>
    <w:rsid w:val="00DB1786"/>
    <w:rsid w:val="00DD0E3C"/>
    <w:rsid w:val="00DD3C7C"/>
    <w:rsid w:val="00DD6BE8"/>
    <w:rsid w:val="00DE2D65"/>
    <w:rsid w:val="00DF122C"/>
    <w:rsid w:val="00DF2AFB"/>
    <w:rsid w:val="00E11C4B"/>
    <w:rsid w:val="00E135B2"/>
    <w:rsid w:val="00E15E20"/>
    <w:rsid w:val="00E1710F"/>
    <w:rsid w:val="00E17CD7"/>
    <w:rsid w:val="00E269B7"/>
    <w:rsid w:val="00E27629"/>
    <w:rsid w:val="00E27748"/>
    <w:rsid w:val="00E325C2"/>
    <w:rsid w:val="00E35FF7"/>
    <w:rsid w:val="00E54E5D"/>
    <w:rsid w:val="00E5548B"/>
    <w:rsid w:val="00E56039"/>
    <w:rsid w:val="00E602A4"/>
    <w:rsid w:val="00E6178E"/>
    <w:rsid w:val="00E701C5"/>
    <w:rsid w:val="00E83C68"/>
    <w:rsid w:val="00E86C83"/>
    <w:rsid w:val="00EA1C24"/>
    <w:rsid w:val="00EA1D5D"/>
    <w:rsid w:val="00EB2AC4"/>
    <w:rsid w:val="00EB3DA2"/>
    <w:rsid w:val="00EB7FF9"/>
    <w:rsid w:val="00ED7AD6"/>
    <w:rsid w:val="00EE4BA9"/>
    <w:rsid w:val="00EF1CDE"/>
    <w:rsid w:val="00EF4ABD"/>
    <w:rsid w:val="00EF5E2A"/>
    <w:rsid w:val="00F0130C"/>
    <w:rsid w:val="00F04C43"/>
    <w:rsid w:val="00F060A4"/>
    <w:rsid w:val="00F06184"/>
    <w:rsid w:val="00F124DE"/>
    <w:rsid w:val="00F14336"/>
    <w:rsid w:val="00F2162D"/>
    <w:rsid w:val="00F25F5B"/>
    <w:rsid w:val="00F33A69"/>
    <w:rsid w:val="00F35633"/>
    <w:rsid w:val="00F35CF9"/>
    <w:rsid w:val="00F3733D"/>
    <w:rsid w:val="00F4070A"/>
    <w:rsid w:val="00F42D60"/>
    <w:rsid w:val="00F464EC"/>
    <w:rsid w:val="00F53444"/>
    <w:rsid w:val="00F55CD0"/>
    <w:rsid w:val="00F70873"/>
    <w:rsid w:val="00F725A5"/>
    <w:rsid w:val="00F72C26"/>
    <w:rsid w:val="00F83405"/>
    <w:rsid w:val="00F95138"/>
    <w:rsid w:val="00FA49E1"/>
    <w:rsid w:val="00FA6E5A"/>
    <w:rsid w:val="00FB0B17"/>
    <w:rsid w:val="00FB0F60"/>
    <w:rsid w:val="00FB15AA"/>
    <w:rsid w:val="00FB1AE3"/>
    <w:rsid w:val="00FB1D17"/>
    <w:rsid w:val="00FB619C"/>
    <w:rsid w:val="00FB7AC4"/>
    <w:rsid w:val="00FC1C41"/>
    <w:rsid w:val="00FC762F"/>
    <w:rsid w:val="00FD48F0"/>
    <w:rsid w:val="00FD5700"/>
    <w:rsid w:val="00FF0A1A"/>
    <w:rsid w:val="00FF40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32141E"/>
    <w:rPr>
      <w:color w:val="0000FF" w:themeColor="hyperlink"/>
      <w:u w:val="single"/>
    </w:rPr>
  </w:style>
  <w:style w:type="paragraph" w:customStyle="1" w:styleId="Default">
    <w:name w:val="Default"/>
    <w:rsid w:val="00810470"/>
    <w:pPr>
      <w:autoSpaceDE w:val="0"/>
      <w:autoSpaceDN w:val="0"/>
      <w:adjustRightInd w:val="0"/>
      <w:spacing w:after="0" w:line="240" w:lineRule="auto"/>
    </w:pPr>
    <w:rPr>
      <w:rFonts w:ascii="Cambria" w:hAnsi="Cambria" w:cs="Cambria"/>
      <w:color w:val="000000"/>
      <w:sz w:val="24"/>
      <w:szCs w:val="24"/>
    </w:rPr>
  </w:style>
  <w:style w:type="paragraph" w:styleId="NoSpacing">
    <w:name w:val="No Spacing"/>
    <w:uiPriority w:val="1"/>
    <w:qFormat/>
    <w:rsid w:val="00793A83"/>
    <w:pPr>
      <w:spacing w:after="0" w:line="240" w:lineRule="auto"/>
    </w:pPr>
    <w:rPr>
      <w:rFonts w:ascii="Calibri" w:eastAsia="Calibri" w:hAnsi="Calibri" w:cs="Times New Roman"/>
      <w:lang w:val="es-MX"/>
    </w:rPr>
  </w:style>
  <w:style w:type="character" w:styleId="FollowedHyperlink">
    <w:name w:val="FollowedHyperlink"/>
    <w:basedOn w:val="DefaultParagraphFont"/>
    <w:uiPriority w:val="99"/>
    <w:semiHidden/>
    <w:unhideWhenUsed/>
    <w:rsid w:val="00793A83"/>
    <w:rPr>
      <w:color w:val="800080" w:themeColor="followedHyperlink"/>
      <w:u w:val="single"/>
    </w:rPr>
  </w:style>
  <w:style w:type="paragraph" w:styleId="Revision">
    <w:name w:val="Revision"/>
    <w:hidden/>
    <w:uiPriority w:val="99"/>
    <w:semiHidden/>
    <w:rsid w:val="00406F2F"/>
    <w:pPr>
      <w:spacing w:after="0" w:line="240" w:lineRule="auto"/>
    </w:pPr>
    <w:rPr>
      <w:rFonts w:ascii="Calibri" w:eastAsia="Calibri" w:hAnsi="Calibri" w:cs="Times New Roman"/>
      <w:lang w:val="es-MX"/>
    </w:rPr>
  </w:style>
  <w:style w:type="table" w:styleId="LightShading-Accent3">
    <w:name w:val="Light Shading Accent 3"/>
    <w:basedOn w:val="TableNormal"/>
    <w:uiPriority w:val="60"/>
    <w:rsid w:val="000D52F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FootnoteText">
    <w:name w:val="footnote text"/>
    <w:basedOn w:val="Normal"/>
    <w:link w:val="FootnoteTextChar"/>
    <w:uiPriority w:val="99"/>
    <w:semiHidden/>
    <w:unhideWhenUsed/>
    <w:rsid w:val="00B13C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CE0"/>
    <w:rPr>
      <w:rFonts w:ascii="Calibri" w:eastAsia="Calibri" w:hAnsi="Calibri" w:cs="Times New Roman"/>
      <w:sz w:val="20"/>
      <w:szCs w:val="20"/>
      <w:lang w:val="es-MX"/>
    </w:rPr>
  </w:style>
  <w:style w:type="character" w:styleId="FootnoteReference">
    <w:name w:val="footnote reference"/>
    <w:basedOn w:val="DefaultParagraphFont"/>
    <w:uiPriority w:val="99"/>
    <w:semiHidden/>
    <w:unhideWhenUsed/>
    <w:rsid w:val="00B13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5277">
      <w:bodyDiv w:val="1"/>
      <w:marLeft w:val="0"/>
      <w:marRight w:val="0"/>
      <w:marTop w:val="0"/>
      <w:marBottom w:val="0"/>
      <w:divBdr>
        <w:top w:val="none" w:sz="0" w:space="0" w:color="auto"/>
        <w:left w:val="none" w:sz="0" w:space="0" w:color="auto"/>
        <w:bottom w:val="none" w:sz="0" w:space="0" w:color="auto"/>
        <w:right w:val="none" w:sz="0" w:space="0" w:color="auto"/>
      </w:divBdr>
    </w:div>
    <w:div w:id="223416273">
      <w:bodyDiv w:val="1"/>
      <w:marLeft w:val="0"/>
      <w:marRight w:val="0"/>
      <w:marTop w:val="0"/>
      <w:marBottom w:val="0"/>
      <w:divBdr>
        <w:top w:val="none" w:sz="0" w:space="0" w:color="auto"/>
        <w:left w:val="none" w:sz="0" w:space="0" w:color="auto"/>
        <w:bottom w:val="none" w:sz="0" w:space="0" w:color="auto"/>
        <w:right w:val="none" w:sz="0" w:space="0" w:color="auto"/>
      </w:divBdr>
    </w:div>
    <w:div w:id="387073166">
      <w:bodyDiv w:val="1"/>
      <w:marLeft w:val="0"/>
      <w:marRight w:val="0"/>
      <w:marTop w:val="0"/>
      <w:marBottom w:val="0"/>
      <w:divBdr>
        <w:top w:val="none" w:sz="0" w:space="0" w:color="auto"/>
        <w:left w:val="none" w:sz="0" w:space="0" w:color="auto"/>
        <w:bottom w:val="none" w:sz="0" w:space="0" w:color="auto"/>
        <w:right w:val="none" w:sz="0" w:space="0" w:color="auto"/>
      </w:divBdr>
    </w:div>
    <w:div w:id="1108889464">
      <w:bodyDiv w:val="1"/>
      <w:marLeft w:val="0"/>
      <w:marRight w:val="0"/>
      <w:marTop w:val="0"/>
      <w:marBottom w:val="0"/>
      <w:divBdr>
        <w:top w:val="none" w:sz="0" w:space="0" w:color="auto"/>
        <w:left w:val="none" w:sz="0" w:space="0" w:color="auto"/>
        <w:bottom w:val="none" w:sz="0" w:space="0" w:color="auto"/>
        <w:right w:val="none" w:sz="0" w:space="0" w:color="auto"/>
      </w:divBdr>
    </w:div>
    <w:div w:id="1366834651">
      <w:bodyDiv w:val="1"/>
      <w:marLeft w:val="0"/>
      <w:marRight w:val="0"/>
      <w:marTop w:val="0"/>
      <w:marBottom w:val="0"/>
      <w:divBdr>
        <w:top w:val="none" w:sz="0" w:space="0" w:color="auto"/>
        <w:left w:val="none" w:sz="0" w:space="0" w:color="auto"/>
        <w:bottom w:val="none" w:sz="0" w:space="0" w:color="auto"/>
        <w:right w:val="none" w:sz="0" w:space="0" w:color="auto"/>
      </w:divBdr>
    </w:div>
    <w:div w:id="145779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dh.oas.org/annualrep/2004sp/Cuba.1212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s.org/es/cidh/decisiones/2018/CUPU12127ES.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AADCD-2B72-454D-97F3-58FCB46E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2328</Words>
  <Characters>13275</Characters>
  <Application>Microsoft Office Word</Application>
  <DocSecurity>0</DocSecurity>
  <Lines>110</Lines>
  <Paragraphs>31</Paragraphs>
  <ScaleCrop>false</ScaleCrop>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2021-02-11T09:51:00Z</dcterms:created>
  <dcterms:modified xsi:type="dcterms:W3CDTF">2021-02-11T09:51:00Z</dcterms:modified>
</cp:coreProperties>
</file>