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01472" w14:textId="77777777" w:rsidR="009B7115" w:rsidRDefault="009B7115" w:rsidP="009B7115">
      <w:pP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397E0587" wp14:editId="32A6E116">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4715E90D" wp14:editId="2E9A6C51">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753A3C09" wp14:editId="561E1297">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AD43F7" w14:textId="77777777" w:rsidR="009B7115" w:rsidRPr="00411A74" w:rsidRDefault="009B7115" w:rsidP="009B7115">
      <w:pPr>
        <w:spacing w:after="0"/>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1451733D" w14:textId="4FECF5C2" w:rsidR="00C3365A" w:rsidRPr="009B7115" w:rsidRDefault="009B7115" w:rsidP="009B7115">
      <w:pPr>
        <w:spacing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esumen</w:t>
      </w:r>
    </w:p>
    <w:tbl>
      <w:tblPr>
        <w:tblStyle w:val="a"/>
        <w:tblW w:w="8505" w:type="dxa"/>
        <w:tblInd w:w="0" w:type="dxa"/>
        <w:tblBorders>
          <w:top w:val="single" w:sz="4" w:space="0" w:color="9CC3E5"/>
          <w:bottom w:val="single" w:sz="4" w:space="0" w:color="9CC3E5"/>
          <w:insideH w:val="single" w:sz="4" w:space="0" w:color="9CC3E5"/>
        </w:tblBorders>
        <w:tblLayout w:type="fixed"/>
        <w:tblLook w:val="04A0" w:firstRow="1" w:lastRow="0" w:firstColumn="1" w:lastColumn="0" w:noHBand="0" w:noVBand="1"/>
      </w:tblPr>
      <w:tblGrid>
        <w:gridCol w:w="3587"/>
        <w:gridCol w:w="2429"/>
        <w:gridCol w:w="2489"/>
      </w:tblGrid>
      <w:tr w:rsidR="00894028" w:rsidRPr="00C3365A" w14:paraId="777EF941" w14:textId="77777777" w:rsidTr="00B03F5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05" w:type="dxa"/>
            <w:gridSpan w:val="3"/>
            <w:vAlign w:val="center"/>
          </w:tcPr>
          <w:p w14:paraId="3DCA12C3" w14:textId="77777777" w:rsidR="00CA32F1" w:rsidRDefault="00CA32F1" w:rsidP="00CA32F1">
            <w:pPr>
              <w:pBdr>
                <w:top w:val="nil"/>
                <w:left w:val="nil"/>
                <w:bottom w:val="nil"/>
                <w:right w:val="nil"/>
                <w:between w:val="nil"/>
              </w:pBdr>
              <w:ind w:left="720"/>
              <w:contextualSpacing/>
              <w:rPr>
                <w:rFonts w:ascii="Calibri Light" w:hAnsi="Calibri Light"/>
                <w:color w:val="000000"/>
              </w:rPr>
            </w:pPr>
          </w:p>
          <w:p w14:paraId="2306251A" w14:textId="77777777" w:rsidR="00894028" w:rsidRDefault="00036320" w:rsidP="00B03F50">
            <w:pPr>
              <w:numPr>
                <w:ilvl w:val="0"/>
                <w:numId w:val="5"/>
              </w:numPr>
              <w:pBdr>
                <w:top w:val="nil"/>
                <w:left w:val="nil"/>
                <w:bottom w:val="nil"/>
                <w:right w:val="nil"/>
                <w:between w:val="nil"/>
              </w:pBdr>
              <w:contextualSpacing/>
              <w:jc w:val="center"/>
              <w:rPr>
                <w:rFonts w:ascii="Calibri Light" w:hAnsi="Calibri Light"/>
                <w:color w:val="000000"/>
              </w:rPr>
            </w:pPr>
            <w:r w:rsidRPr="00C3365A">
              <w:rPr>
                <w:rFonts w:ascii="Calibri Light" w:hAnsi="Calibri Light"/>
                <w:color w:val="000000"/>
              </w:rPr>
              <w:t>Datos generales</w:t>
            </w:r>
          </w:p>
          <w:p w14:paraId="57692360" w14:textId="7A961304" w:rsidR="00CA32F1" w:rsidRPr="00C3365A" w:rsidRDefault="00CA32F1" w:rsidP="00CA32F1">
            <w:pPr>
              <w:pBdr>
                <w:top w:val="nil"/>
                <w:left w:val="nil"/>
                <w:bottom w:val="nil"/>
                <w:right w:val="nil"/>
                <w:between w:val="nil"/>
              </w:pBdr>
              <w:ind w:left="720"/>
              <w:contextualSpacing/>
              <w:rPr>
                <w:rFonts w:ascii="Calibri Light" w:hAnsi="Calibri Light"/>
                <w:color w:val="000000"/>
              </w:rPr>
            </w:pPr>
          </w:p>
        </w:tc>
      </w:tr>
      <w:tr w:rsidR="00894028" w:rsidRPr="00C3365A" w14:paraId="41F3252E" w14:textId="77777777" w:rsidTr="0089402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87" w:type="dxa"/>
          </w:tcPr>
          <w:p w14:paraId="5D2D3B95" w14:textId="77777777" w:rsidR="00894028" w:rsidRPr="00C3365A" w:rsidRDefault="00036320">
            <w:pPr>
              <w:numPr>
                <w:ilvl w:val="0"/>
                <w:numId w:val="7"/>
              </w:numPr>
              <w:pBdr>
                <w:top w:val="nil"/>
                <w:left w:val="nil"/>
                <w:bottom w:val="nil"/>
                <w:right w:val="nil"/>
                <w:between w:val="nil"/>
              </w:pBdr>
              <w:contextualSpacing/>
              <w:rPr>
                <w:rFonts w:ascii="Calibri Light" w:hAnsi="Calibri Light"/>
                <w:color w:val="000000"/>
              </w:rPr>
            </w:pPr>
            <w:r w:rsidRPr="00C3365A">
              <w:rPr>
                <w:rFonts w:ascii="Calibri Light" w:hAnsi="Calibri Light"/>
                <w:color w:val="000000"/>
              </w:rPr>
              <w:t>Nombre del caso</w:t>
            </w:r>
          </w:p>
        </w:tc>
        <w:tc>
          <w:tcPr>
            <w:tcW w:w="4918" w:type="dxa"/>
            <w:gridSpan w:val="2"/>
          </w:tcPr>
          <w:p w14:paraId="2B539E78" w14:textId="51D37AD4" w:rsidR="00894028" w:rsidRPr="00C3365A" w:rsidRDefault="00840625">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3365A">
              <w:rPr>
                <w:rFonts w:ascii="Calibri Light" w:hAnsi="Calibri Light"/>
              </w:rPr>
              <w:t>José Rusbel Lara y otros,</w:t>
            </w:r>
            <w:r w:rsidR="00036320" w:rsidRPr="00C3365A">
              <w:rPr>
                <w:rFonts w:ascii="Calibri Light" w:hAnsi="Calibri Light"/>
              </w:rPr>
              <w:t xml:space="preserve"> Colombia</w:t>
            </w:r>
          </w:p>
        </w:tc>
      </w:tr>
      <w:tr w:rsidR="00894028" w:rsidRPr="00C3365A" w14:paraId="0350108D" w14:textId="77777777" w:rsidTr="00894028">
        <w:trPr>
          <w:trHeight w:val="260"/>
        </w:trPr>
        <w:tc>
          <w:tcPr>
            <w:cnfStyle w:val="001000000000" w:firstRow="0" w:lastRow="0" w:firstColumn="1" w:lastColumn="0" w:oddVBand="0" w:evenVBand="0" w:oddHBand="0" w:evenHBand="0" w:firstRowFirstColumn="0" w:firstRowLastColumn="0" w:lastRowFirstColumn="0" w:lastRowLastColumn="0"/>
            <w:tcW w:w="3587" w:type="dxa"/>
          </w:tcPr>
          <w:p w14:paraId="27E62968" w14:textId="0D08052C" w:rsidR="00894028" w:rsidRPr="00C3365A" w:rsidRDefault="00B03F50">
            <w:pPr>
              <w:numPr>
                <w:ilvl w:val="0"/>
                <w:numId w:val="7"/>
              </w:numPr>
              <w:pBdr>
                <w:top w:val="nil"/>
                <w:left w:val="nil"/>
                <w:bottom w:val="nil"/>
                <w:right w:val="nil"/>
                <w:between w:val="nil"/>
              </w:pBdr>
              <w:contextualSpacing/>
              <w:rPr>
                <w:rFonts w:ascii="Calibri Light" w:hAnsi="Calibri Light"/>
                <w:color w:val="000000"/>
              </w:rPr>
            </w:pPr>
            <w:r w:rsidRPr="00C3365A">
              <w:rPr>
                <w:rFonts w:ascii="Calibri Light" w:hAnsi="Calibri Light"/>
                <w:color w:val="000000"/>
              </w:rPr>
              <w:t>Parte peticionaria</w:t>
            </w:r>
          </w:p>
        </w:tc>
        <w:tc>
          <w:tcPr>
            <w:tcW w:w="4918" w:type="dxa"/>
            <w:gridSpan w:val="2"/>
          </w:tcPr>
          <w:p w14:paraId="43CF5080" w14:textId="77777777" w:rsidR="00894028" w:rsidRPr="00C3365A" w:rsidRDefault="000363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3365A">
              <w:rPr>
                <w:rFonts w:ascii="Calibri Light" w:hAnsi="Calibri Light"/>
              </w:rPr>
              <w:t>Asociación para la Promoción Social Alternativa (MINGA)</w:t>
            </w:r>
          </w:p>
        </w:tc>
      </w:tr>
      <w:tr w:rsidR="00894028" w:rsidRPr="00C3365A" w14:paraId="46762F37" w14:textId="77777777" w:rsidTr="00894028">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87" w:type="dxa"/>
          </w:tcPr>
          <w:p w14:paraId="3197A0BA" w14:textId="77777777" w:rsidR="00894028" w:rsidRPr="00C3365A" w:rsidRDefault="00036320">
            <w:pPr>
              <w:numPr>
                <w:ilvl w:val="0"/>
                <w:numId w:val="7"/>
              </w:numPr>
              <w:pBdr>
                <w:top w:val="nil"/>
                <w:left w:val="nil"/>
                <w:bottom w:val="nil"/>
                <w:right w:val="nil"/>
                <w:between w:val="nil"/>
              </w:pBdr>
              <w:contextualSpacing/>
              <w:rPr>
                <w:rFonts w:ascii="Calibri Light" w:hAnsi="Calibri Light"/>
                <w:color w:val="000000"/>
              </w:rPr>
            </w:pPr>
            <w:r w:rsidRPr="00C3365A">
              <w:rPr>
                <w:rFonts w:ascii="Calibri Light" w:hAnsi="Calibri Light"/>
                <w:color w:val="000000"/>
              </w:rPr>
              <w:t xml:space="preserve">Número de Informe </w:t>
            </w:r>
          </w:p>
        </w:tc>
        <w:tc>
          <w:tcPr>
            <w:tcW w:w="4918" w:type="dxa"/>
            <w:gridSpan w:val="2"/>
          </w:tcPr>
          <w:p w14:paraId="20FDDF8F" w14:textId="77777777" w:rsidR="00894028" w:rsidRPr="00C3365A" w:rsidRDefault="0030564C">
            <w:pPr>
              <w:jc w:val="both"/>
              <w:cnfStyle w:val="000000100000" w:firstRow="0" w:lastRow="0" w:firstColumn="0" w:lastColumn="0" w:oddVBand="0" w:evenVBand="0" w:oddHBand="1" w:evenHBand="0" w:firstRowFirstColumn="0" w:firstRowLastColumn="0" w:lastRowFirstColumn="0" w:lastRowLastColumn="0"/>
              <w:rPr>
                <w:rFonts w:ascii="Calibri Light" w:hAnsi="Calibri Light"/>
                <w:color w:val="0000FF"/>
              </w:rPr>
            </w:pPr>
            <w:hyperlink r:id="rId12">
              <w:r w:rsidR="00036320" w:rsidRPr="00C3365A">
                <w:rPr>
                  <w:rFonts w:ascii="Calibri Light" w:hAnsi="Calibri Light"/>
                  <w:color w:val="0000FF"/>
                  <w:u w:val="single"/>
                </w:rPr>
                <w:t>Informe No. 35/17</w:t>
              </w:r>
            </w:hyperlink>
          </w:p>
        </w:tc>
      </w:tr>
      <w:tr w:rsidR="00894028" w:rsidRPr="00C3365A" w14:paraId="7FB536ED" w14:textId="77777777" w:rsidTr="00894028">
        <w:trPr>
          <w:trHeight w:val="200"/>
        </w:trPr>
        <w:tc>
          <w:tcPr>
            <w:cnfStyle w:val="001000000000" w:firstRow="0" w:lastRow="0" w:firstColumn="1" w:lastColumn="0" w:oddVBand="0" w:evenVBand="0" w:oddHBand="0" w:evenHBand="0" w:firstRowFirstColumn="0" w:firstRowLastColumn="0" w:lastRowFirstColumn="0" w:lastRowLastColumn="0"/>
            <w:tcW w:w="3587" w:type="dxa"/>
          </w:tcPr>
          <w:p w14:paraId="3EFE28A6" w14:textId="77777777" w:rsidR="00894028" w:rsidRPr="00C3365A" w:rsidRDefault="00036320">
            <w:pPr>
              <w:numPr>
                <w:ilvl w:val="0"/>
                <w:numId w:val="7"/>
              </w:numPr>
              <w:pBdr>
                <w:top w:val="nil"/>
                <w:left w:val="nil"/>
                <w:bottom w:val="nil"/>
                <w:right w:val="nil"/>
                <w:between w:val="nil"/>
              </w:pBdr>
              <w:contextualSpacing/>
              <w:rPr>
                <w:rFonts w:ascii="Calibri Light" w:hAnsi="Calibri Light"/>
              </w:rPr>
            </w:pPr>
            <w:r w:rsidRPr="00C3365A">
              <w:rPr>
                <w:rFonts w:ascii="Calibri Light" w:hAnsi="Calibri Light"/>
                <w:color w:val="000000"/>
              </w:rPr>
              <w:t xml:space="preserve">Tipo de informe </w:t>
            </w:r>
          </w:p>
        </w:tc>
        <w:tc>
          <w:tcPr>
            <w:tcW w:w="4918" w:type="dxa"/>
            <w:gridSpan w:val="2"/>
          </w:tcPr>
          <w:p w14:paraId="376A2FB6" w14:textId="77777777" w:rsidR="00894028" w:rsidRPr="00C3365A" w:rsidRDefault="000363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highlight w:val="yellow"/>
              </w:rPr>
            </w:pPr>
            <w:r w:rsidRPr="00C3365A">
              <w:rPr>
                <w:rFonts w:ascii="Calibri Light" w:hAnsi="Calibri Light"/>
              </w:rPr>
              <w:t>Informe de Fondo (Publicación)</w:t>
            </w:r>
          </w:p>
        </w:tc>
      </w:tr>
      <w:tr w:rsidR="00894028" w:rsidRPr="00C3365A" w14:paraId="0F451D02" w14:textId="77777777" w:rsidTr="0089402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87" w:type="dxa"/>
          </w:tcPr>
          <w:p w14:paraId="66090BD2" w14:textId="77777777" w:rsidR="00894028" w:rsidRPr="00C3365A" w:rsidRDefault="00036320">
            <w:pPr>
              <w:numPr>
                <w:ilvl w:val="0"/>
                <w:numId w:val="7"/>
              </w:numPr>
              <w:pBdr>
                <w:top w:val="nil"/>
                <w:left w:val="nil"/>
                <w:bottom w:val="nil"/>
                <w:right w:val="nil"/>
                <w:between w:val="nil"/>
              </w:pBdr>
              <w:contextualSpacing/>
              <w:rPr>
                <w:rFonts w:ascii="Calibri Light" w:hAnsi="Calibri Light"/>
                <w:color w:val="000000"/>
              </w:rPr>
            </w:pPr>
            <w:r w:rsidRPr="00C3365A">
              <w:rPr>
                <w:rFonts w:ascii="Calibri Light" w:hAnsi="Calibri Light"/>
                <w:color w:val="000000"/>
              </w:rPr>
              <w:t xml:space="preserve">Fecha </w:t>
            </w:r>
          </w:p>
        </w:tc>
        <w:tc>
          <w:tcPr>
            <w:tcW w:w="4918" w:type="dxa"/>
            <w:gridSpan w:val="2"/>
          </w:tcPr>
          <w:p w14:paraId="04175C85" w14:textId="77777777" w:rsidR="00894028" w:rsidRPr="00C3365A" w:rsidRDefault="00036320">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3365A">
              <w:rPr>
                <w:rFonts w:ascii="Calibri Light" w:hAnsi="Calibri Light"/>
              </w:rPr>
              <w:t>21 de marzo de 2017</w:t>
            </w:r>
          </w:p>
        </w:tc>
      </w:tr>
      <w:tr w:rsidR="00894028" w:rsidRPr="00C3365A" w14:paraId="48AC0656" w14:textId="77777777" w:rsidTr="00894028">
        <w:trPr>
          <w:trHeight w:val="600"/>
        </w:trPr>
        <w:tc>
          <w:tcPr>
            <w:cnfStyle w:val="001000000000" w:firstRow="0" w:lastRow="0" w:firstColumn="1" w:lastColumn="0" w:oddVBand="0" w:evenVBand="0" w:oddHBand="0" w:evenHBand="0" w:firstRowFirstColumn="0" w:firstRowLastColumn="0" w:lastRowFirstColumn="0" w:lastRowLastColumn="0"/>
            <w:tcW w:w="3587" w:type="dxa"/>
          </w:tcPr>
          <w:p w14:paraId="69767C2A" w14:textId="77777777" w:rsidR="00894028" w:rsidRPr="00C3365A" w:rsidRDefault="00036320">
            <w:pPr>
              <w:numPr>
                <w:ilvl w:val="0"/>
                <w:numId w:val="7"/>
              </w:numPr>
              <w:pBdr>
                <w:top w:val="nil"/>
                <w:left w:val="nil"/>
                <w:bottom w:val="nil"/>
                <w:right w:val="nil"/>
                <w:between w:val="nil"/>
              </w:pBdr>
              <w:contextualSpacing/>
              <w:rPr>
                <w:rFonts w:ascii="Calibri Light" w:hAnsi="Calibri Light"/>
                <w:color w:val="000000"/>
              </w:rPr>
            </w:pPr>
            <w:r w:rsidRPr="00C3365A">
              <w:rPr>
                <w:rFonts w:ascii="Calibri Light" w:hAnsi="Calibri Light"/>
                <w:color w:val="000000"/>
              </w:rPr>
              <w:t>Decisiones de la CIDH y/o la Corte IDH, relacionadas</w:t>
            </w:r>
          </w:p>
        </w:tc>
        <w:tc>
          <w:tcPr>
            <w:tcW w:w="4918" w:type="dxa"/>
            <w:gridSpan w:val="2"/>
            <w:vAlign w:val="center"/>
          </w:tcPr>
          <w:p w14:paraId="01863812" w14:textId="2275A355" w:rsidR="002632D7" w:rsidRPr="00C3365A" w:rsidRDefault="002632D7">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3365A">
              <w:rPr>
                <w:rFonts w:ascii="Calibri Light" w:hAnsi="Calibri Light"/>
              </w:rPr>
              <w:t>Informe No. 70/90 (</w:t>
            </w:r>
            <w:hyperlink r:id="rId13" w:history="1">
              <w:r w:rsidRPr="00C3365A">
                <w:rPr>
                  <w:rStyle w:val="Hyperlink"/>
                  <w:rFonts w:ascii="Calibri Light" w:hAnsi="Calibri Light"/>
                </w:rPr>
                <w:t>Admis</w:t>
              </w:r>
              <w:r w:rsidR="000E392F">
                <w:rPr>
                  <w:rStyle w:val="Hyperlink"/>
                  <w:rFonts w:ascii="Calibri Light" w:hAnsi="Calibri Light"/>
                </w:rPr>
                <w:t>i</w:t>
              </w:r>
              <w:r w:rsidRPr="00C3365A">
                <w:rPr>
                  <w:rStyle w:val="Hyperlink"/>
                  <w:rFonts w:ascii="Calibri Light" w:hAnsi="Calibri Light"/>
                </w:rPr>
                <w:t>bilidad</w:t>
              </w:r>
            </w:hyperlink>
            <w:r w:rsidRPr="00C3365A">
              <w:rPr>
                <w:rFonts w:ascii="Calibri Light" w:hAnsi="Calibri Light"/>
              </w:rPr>
              <w:t>)</w:t>
            </w:r>
          </w:p>
          <w:p w14:paraId="046ADE46" w14:textId="2F63F6E7" w:rsidR="0096339C" w:rsidRPr="00C3365A" w:rsidRDefault="0096339C">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3365A">
              <w:rPr>
                <w:rFonts w:ascii="Calibri Light" w:hAnsi="Calibri Light"/>
              </w:rPr>
              <w:t>Informe No. 2/13 (Fondo)</w:t>
            </w:r>
          </w:p>
          <w:p w14:paraId="350C00EB" w14:textId="2903B790" w:rsidR="0096339C" w:rsidRPr="00C3365A" w:rsidRDefault="0096339C" w:rsidP="0096339C">
            <w:pP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3365A">
              <w:rPr>
                <w:rFonts w:ascii="Calibri Light" w:hAnsi="Calibri Light"/>
              </w:rPr>
              <w:t>Informe No. 49/16 (Fondo)</w:t>
            </w:r>
          </w:p>
          <w:p w14:paraId="1521B1BB" w14:textId="70778A92" w:rsidR="00894028" w:rsidRPr="00C3365A" w:rsidRDefault="0030564C" w:rsidP="0096339C">
            <w:pPr>
              <w:cnfStyle w:val="000000000000" w:firstRow="0" w:lastRow="0" w:firstColumn="0" w:lastColumn="0" w:oddVBand="0" w:evenVBand="0" w:oddHBand="0" w:evenHBand="0" w:firstRowFirstColumn="0" w:firstRowLastColumn="0" w:lastRowFirstColumn="0" w:lastRowLastColumn="0"/>
              <w:rPr>
                <w:rFonts w:ascii="Calibri Light" w:hAnsi="Calibri Light"/>
              </w:rPr>
            </w:pPr>
            <w:hyperlink r:id="rId14">
              <w:r w:rsidR="00036320" w:rsidRPr="00C3365A">
                <w:rPr>
                  <w:rFonts w:ascii="Calibri Light" w:hAnsi="Calibri Light"/>
                  <w:color w:val="0000FF"/>
                  <w:u w:val="single"/>
                </w:rPr>
                <w:t>Medida</w:t>
              </w:r>
              <w:r w:rsidR="00B70FA2" w:rsidRPr="00C3365A">
                <w:rPr>
                  <w:rFonts w:ascii="Calibri Light" w:hAnsi="Calibri Light"/>
                  <w:color w:val="0000FF"/>
                  <w:u w:val="single"/>
                </w:rPr>
                <w:t>s</w:t>
              </w:r>
              <w:r w:rsidR="00036320" w:rsidRPr="00C3365A">
                <w:rPr>
                  <w:rFonts w:ascii="Calibri Light" w:hAnsi="Calibri Light"/>
                  <w:color w:val="0000FF"/>
                  <w:u w:val="single"/>
                </w:rPr>
                <w:t xml:space="preserve"> Cautelar</w:t>
              </w:r>
              <w:r w:rsidR="00B70FA2" w:rsidRPr="00C3365A">
                <w:rPr>
                  <w:rFonts w:ascii="Calibri Light" w:hAnsi="Calibri Light"/>
                  <w:color w:val="0000FF"/>
                  <w:u w:val="single"/>
                </w:rPr>
                <w:t>es No.</w:t>
              </w:r>
              <w:r w:rsidR="00036320" w:rsidRPr="00C3365A">
                <w:rPr>
                  <w:rFonts w:ascii="Calibri Light" w:hAnsi="Calibri Light"/>
                  <w:color w:val="0000FF"/>
                  <w:u w:val="single"/>
                </w:rPr>
                <w:t xml:space="preserve"> 218/02</w:t>
              </w:r>
            </w:hyperlink>
          </w:p>
        </w:tc>
      </w:tr>
      <w:tr w:rsidR="00894028" w:rsidRPr="00C3365A" w14:paraId="77040199" w14:textId="77777777" w:rsidTr="008940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87" w:type="dxa"/>
            <w:vMerge w:val="restart"/>
          </w:tcPr>
          <w:p w14:paraId="0A7BE773" w14:textId="77777777" w:rsidR="00894028" w:rsidRPr="00C3365A" w:rsidRDefault="00036320">
            <w:pPr>
              <w:numPr>
                <w:ilvl w:val="0"/>
                <w:numId w:val="7"/>
              </w:numPr>
              <w:pBdr>
                <w:top w:val="nil"/>
                <w:left w:val="nil"/>
                <w:bottom w:val="nil"/>
                <w:right w:val="nil"/>
                <w:between w:val="nil"/>
              </w:pBdr>
              <w:contextualSpacing/>
              <w:rPr>
                <w:rFonts w:ascii="Calibri Light" w:hAnsi="Calibri Light"/>
                <w:color w:val="000000"/>
              </w:rPr>
            </w:pPr>
            <w:r w:rsidRPr="00C3365A">
              <w:rPr>
                <w:rFonts w:ascii="Calibri Light" w:hAnsi="Calibri Light"/>
                <w:color w:val="000000"/>
              </w:rPr>
              <w:t>Artículos analizados</w:t>
            </w:r>
          </w:p>
        </w:tc>
        <w:tc>
          <w:tcPr>
            <w:tcW w:w="4918" w:type="dxa"/>
            <w:gridSpan w:val="2"/>
          </w:tcPr>
          <w:p w14:paraId="4E6AEC9C" w14:textId="2A4D88C2" w:rsidR="00894028" w:rsidRPr="00C3365A" w:rsidRDefault="007B4DF1">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3365A">
              <w:rPr>
                <w:rFonts w:ascii="Calibri Light" w:hAnsi="Calibri Light"/>
              </w:rPr>
              <w:t>Convención Americana sobre</w:t>
            </w:r>
            <w:r w:rsidR="00036320" w:rsidRPr="00C3365A">
              <w:rPr>
                <w:rFonts w:ascii="Calibri Light" w:hAnsi="Calibri Light"/>
              </w:rPr>
              <w:t xml:space="preserve"> Derechos Humanos</w:t>
            </w:r>
          </w:p>
        </w:tc>
      </w:tr>
      <w:tr w:rsidR="00894028" w:rsidRPr="00C3365A" w14:paraId="6E2B7AFC" w14:textId="77777777" w:rsidTr="00894028">
        <w:trPr>
          <w:trHeight w:val="540"/>
        </w:trPr>
        <w:tc>
          <w:tcPr>
            <w:cnfStyle w:val="001000000000" w:firstRow="0" w:lastRow="0" w:firstColumn="1" w:lastColumn="0" w:oddVBand="0" w:evenVBand="0" w:oddHBand="0" w:evenHBand="0" w:firstRowFirstColumn="0" w:firstRowLastColumn="0" w:lastRowFirstColumn="0" w:lastRowLastColumn="0"/>
            <w:tcW w:w="3587" w:type="dxa"/>
            <w:vMerge/>
          </w:tcPr>
          <w:p w14:paraId="6FBE3E1E" w14:textId="77777777" w:rsidR="00894028" w:rsidRPr="00C3365A" w:rsidRDefault="00894028">
            <w:pPr>
              <w:widowControl w:val="0"/>
              <w:pBdr>
                <w:top w:val="nil"/>
                <w:left w:val="nil"/>
                <w:bottom w:val="nil"/>
                <w:right w:val="nil"/>
                <w:between w:val="nil"/>
              </w:pBdr>
              <w:spacing w:line="276" w:lineRule="auto"/>
              <w:rPr>
                <w:rFonts w:ascii="Calibri Light" w:hAnsi="Calibri Light"/>
              </w:rPr>
            </w:pPr>
          </w:p>
        </w:tc>
        <w:tc>
          <w:tcPr>
            <w:tcW w:w="2429" w:type="dxa"/>
          </w:tcPr>
          <w:p w14:paraId="706208B2" w14:textId="77777777" w:rsidR="00894028" w:rsidRPr="00C3365A" w:rsidRDefault="000363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3365A">
              <w:rPr>
                <w:rFonts w:ascii="Calibri Light" w:hAnsi="Calibri Light"/>
              </w:rPr>
              <w:t>Artículos analizados declarados violados</w:t>
            </w:r>
          </w:p>
        </w:tc>
        <w:tc>
          <w:tcPr>
            <w:tcW w:w="2489" w:type="dxa"/>
          </w:tcPr>
          <w:p w14:paraId="7BF481FB" w14:textId="77777777" w:rsidR="00894028" w:rsidRPr="00C3365A" w:rsidRDefault="00036320">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3365A">
              <w:rPr>
                <w:rFonts w:ascii="Calibri Light" w:hAnsi="Calibri Light"/>
              </w:rPr>
              <w:t>Artículos analizados no declarados violados</w:t>
            </w:r>
          </w:p>
        </w:tc>
      </w:tr>
      <w:tr w:rsidR="00894028" w:rsidRPr="00C3365A" w14:paraId="7C8A8390" w14:textId="77777777" w:rsidTr="00894028">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87" w:type="dxa"/>
            <w:vMerge/>
          </w:tcPr>
          <w:p w14:paraId="1519F8AE" w14:textId="77777777" w:rsidR="00894028" w:rsidRPr="00C3365A" w:rsidRDefault="00894028">
            <w:pPr>
              <w:widowControl w:val="0"/>
              <w:pBdr>
                <w:top w:val="nil"/>
                <w:left w:val="nil"/>
                <w:bottom w:val="nil"/>
                <w:right w:val="nil"/>
                <w:between w:val="nil"/>
              </w:pBdr>
              <w:spacing w:line="276" w:lineRule="auto"/>
              <w:rPr>
                <w:rFonts w:ascii="Calibri Light" w:hAnsi="Calibri Light"/>
              </w:rPr>
            </w:pPr>
          </w:p>
        </w:tc>
        <w:tc>
          <w:tcPr>
            <w:tcW w:w="2429" w:type="dxa"/>
          </w:tcPr>
          <w:p w14:paraId="2065EAAD" w14:textId="77777777" w:rsidR="00894028" w:rsidRPr="00C3365A" w:rsidRDefault="00036320">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C3365A">
              <w:rPr>
                <w:rFonts w:ascii="Calibri Light" w:hAnsi="Calibri Light"/>
                <w:lang w:val="en-US"/>
              </w:rPr>
              <w:t>Art. 1, art. 2, art. 4, art. 5, art. 8, art. 25</w:t>
            </w:r>
          </w:p>
        </w:tc>
        <w:tc>
          <w:tcPr>
            <w:tcW w:w="2489" w:type="dxa"/>
            <w:vAlign w:val="center"/>
          </w:tcPr>
          <w:p w14:paraId="00E8C2EC" w14:textId="77777777" w:rsidR="00894028" w:rsidRPr="00C3365A" w:rsidRDefault="00036320">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3365A">
              <w:rPr>
                <w:rFonts w:ascii="Calibri Light" w:hAnsi="Calibri Light"/>
              </w:rPr>
              <w:t>-</w:t>
            </w:r>
          </w:p>
        </w:tc>
      </w:tr>
      <w:tr w:rsidR="00894028" w:rsidRPr="00C3365A" w14:paraId="4F78934F" w14:textId="77777777" w:rsidTr="009950D5">
        <w:trPr>
          <w:trHeight w:val="567"/>
        </w:trPr>
        <w:tc>
          <w:tcPr>
            <w:cnfStyle w:val="001000000000" w:firstRow="0" w:lastRow="0" w:firstColumn="1" w:lastColumn="0" w:oddVBand="0" w:evenVBand="0" w:oddHBand="0" w:evenHBand="0" w:firstRowFirstColumn="0" w:firstRowLastColumn="0" w:lastRowFirstColumn="0" w:lastRowLastColumn="0"/>
            <w:tcW w:w="8505" w:type="dxa"/>
            <w:gridSpan w:val="3"/>
            <w:vAlign w:val="center"/>
          </w:tcPr>
          <w:p w14:paraId="6355CC91" w14:textId="77777777" w:rsidR="00CA32F1" w:rsidRDefault="00CA32F1" w:rsidP="00CA32F1">
            <w:pPr>
              <w:pBdr>
                <w:top w:val="nil"/>
                <w:left w:val="nil"/>
                <w:bottom w:val="nil"/>
                <w:right w:val="nil"/>
                <w:between w:val="nil"/>
              </w:pBdr>
              <w:ind w:left="720"/>
              <w:contextualSpacing/>
              <w:rPr>
                <w:rFonts w:ascii="Calibri Light" w:hAnsi="Calibri Light"/>
                <w:color w:val="000000"/>
              </w:rPr>
            </w:pPr>
          </w:p>
          <w:p w14:paraId="6D95B323" w14:textId="77777777" w:rsidR="00894028" w:rsidRDefault="00036320" w:rsidP="009950D5">
            <w:pPr>
              <w:numPr>
                <w:ilvl w:val="0"/>
                <w:numId w:val="5"/>
              </w:numPr>
              <w:pBdr>
                <w:top w:val="nil"/>
                <w:left w:val="nil"/>
                <w:bottom w:val="nil"/>
                <w:right w:val="nil"/>
                <w:between w:val="nil"/>
              </w:pBdr>
              <w:contextualSpacing/>
              <w:jc w:val="center"/>
              <w:rPr>
                <w:rFonts w:ascii="Calibri Light" w:hAnsi="Calibri Light"/>
                <w:color w:val="000000"/>
              </w:rPr>
            </w:pPr>
            <w:r w:rsidRPr="00C3365A">
              <w:rPr>
                <w:rFonts w:ascii="Calibri Light" w:hAnsi="Calibri Light"/>
                <w:color w:val="000000"/>
              </w:rPr>
              <w:t>Sumilla</w:t>
            </w:r>
          </w:p>
          <w:p w14:paraId="7878DB0E" w14:textId="0246E3E0" w:rsidR="00CA32F1" w:rsidRPr="00C3365A" w:rsidRDefault="00CA32F1" w:rsidP="00CA32F1">
            <w:pPr>
              <w:pBdr>
                <w:top w:val="nil"/>
                <w:left w:val="nil"/>
                <w:bottom w:val="nil"/>
                <w:right w:val="nil"/>
                <w:between w:val="nil"/>
              </w:pBdr>
              <w:ind w:left="720"/>
              <w:contextualSpacing/>
              <w:rPr>
                <w:rFonts w:ascii="Calibri Light" w:hAnsi="Calibri Light"/>
                <w:color w:val="000000"/>
              </w:rPr>
            </w:pPr>
          </w:p>
        </w:tc>
      </w:tr>
      <w:tr w:rsidR="00894028" w:rsidRPr="00C3365A" w14:paraId="6F2C39FE" w14:textId="77777777" w:rsidTr="0089402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505" w:type="dxa"/>
            <w:gridSpan w:val="3"/>
          </w:tcPr>
          <w:p w14:paraId="5FB814D7" w14:textId="77777777" w:rsidR="00B70FA2" w:rsidRPr="00C3365A" w:rsidRDefault="00B70FA2">
            <w:pPr>
              <w:jc w:val="both"/>
              <w:rPr>
                <w:rFonts w:ascii="Calibri Light" w:hAnsi="Calibri Light"/>
                <w:b w:val="0"/>
              </w:rPr>
            </w:pPr>
          </w:p>
          <w:p w14:paraId="34045F76" w14:textId="706AB14E" w:rsidR="00894028" w:rsidRPr="00C3365A" w:rsidRDefault="00036320">
            <w:pPr>
              <w:jc w:val="both"/>
              <w:rPr>
                <w:rFonts w:ascii="Calibri Light" w:hAnsi="Calibri Light"/>
                <w:b w:val="0"/>
              </w:rPr>
            </w:pPr>
            <w:r w:rsidRPr="00C3365A">
              <w:rPr>
                <w:rFonts w:ascii="Calibri Light" w:hAnsi="Calibri Light"/>
                <w:b w:val="0"/>
              </w:rPr>
              <w:t xml:space="preserve">El caso </w:t>
            </w:r>
            <w:r w:rsidR="00635642">
              <w:rPr>
                <w:rFonts w:ascii="Calibri Light" w:hAnsi="Calibri Light"/>
                <w:b w:val="0"/>
              </w:rPr>
              <w:t>trata sobre</w:t>
            </w:r>
            <w:r w:rsidRPr="00C3365A">
              <w:rPr>
                <w:rFonts w:ascii="Calibri Light" w:hAnsi="Calibri Light"/>
                <w:b w:val="0"/>
              </w:rPr>
              <w:t xml:space="preserve"> </w:t>
            </w:r>
            <w:r w:rsidR="00635642">
              <w:rPr>
                <w:rFonts w:ascii="Calibri Light" w:hAnsi="Calibri Light"/>
                <w:b w:val="0"/>
              </w:rPr>
              <w:t>el</w:t>
            </w:r>
            <w:r w:rsidR="00656F77" w:rsidRPr="00C3365A">
              <w:rPr>
                <w:rFonts w:ascii="Calibri Light" w:hAnsi="Calibri Light"/>
                <w:b w:val="0"/>
              </w:rPr>
              <w:t xml:space="preserve"> asesinato</w:t>
            </w:r>
            <w:r w:rsidR="00463B0C" w:rsidRPr="00C3365A">
              <w:rPr>
                <w:rFonts w:ascii="Calibri Light" w:hAnsi="Calibri Light"/>
                <w:b w:val="0"/>
              </w:rPr>
              <w:t xml:space="preserve"> de José Rusbel Lara en el año 2002 por parte de </w:t>
            </w:r>
            <w:r w:rsidRPr="00C3365A">
              <w:rPr>
                <w:rFonts w:ascii="Calibri Light" w:hAnsi="Calibri Light"/>
                <w:b w:val="0"/>
              </w:rPr>
              <w:t xml:space="preserve">miembros del grupo paramilitar Bloque Vencedores de Arauca, tras recibir en reiteradas ocasiones amenazas y un ultimátum para retirarse del lugar donde residía y ejercía su labor como defensor de derechos humanos. Por otro lado, </w:t>
            </w:r>
            <w:r w:rsidR="00635642">
              <w:rPr>
                <w:rFonts w:ascii="Calibri Light" w:hAnsi="Calibri Light"/>
                <w:b w:val="0"/>
              </w:rPr>
              <w:t>aborda</w:t>
            </w:r>
            <w:r w:rsidRPr="00C3365A">
              <w:rPr>
                <w:rFonts w:ascii="Calibri Light" w:hAnsi="Calibri Light"/>
                <w:b w:val="0"/>
              </w:rPr>
              <w:t xml:space="preserve"> las deficiencias en la investigación para el esclarecimiento de las circunstancias en que se cometió su homicidio, el móvil por el cual se perpetró, y</w:t>
            </w:r>
            <w:r w:rsidR="007A4E4A" w:rsidRPr="00C3365A">
              <w:rPr>
                <w:rFonts w:ascii="Calibri Light" w:hAnsi="Calibri Light"/>
                <w:b w:val="0"/>
              </w:rPr>
              <w:t xml:space="preserve"> </w:t>
            </w:r>
            <w:r w:rsidRPr="00C3365A">
              <w:rPr>
                <w:rFonts w:ascii="Calibri Light" w:hAnsi="Calibri Light"/>
                <w:b w:val="0"/>
              </w:rPr>
              <w:t>la persecución y sanción por parte del Estado colombiano de los responsables materiales e intelectuales</w:t>
            </w:r>
            <w:r w:rsidR="003E2D1E">
              <w:rPr>
                <w:rFonts w:ascii="Calibri Light" w:hAnsi="Calibri Light"/>
                <w:b w:val="0"/>
              </w:rPr>
              <w:t>,</w:t>
            </w:r>
            <w:r w:rsidRPr="00C3365A">
              <w:rPr>
                <w:rFonts w:ascii="Calibri Light" w:hAnsi="Calibri Light"/>
                <w:b w:val="0"/>
              </w:rPr>
              <w:t xml:space="preserve"> a pesa</w:t>
            </w:r>
            <w:r w:rsidR="003E2D1E">
              <w:rPr>
                <w:rFonts w:ascii="Calibri Light" w:hAnsi="Calibri Light"/>
                <w:b w:val="0"/>
              </w:rPr>
              <w:t>r de que varios de estos ya hab</w:t>
            </w:r>
            <w:r w:rsidRPr="00C3365A">
              <w:rPr>
                <w:rFonts w:ascii="Calibri Light" w:hAnsi="Calibri Light"/>
                <w:b w:val="0"/>
              </w:rPr>
              <w:t>ían sido identificados.</w:t>
            </w:r>
          </w:p>
          <w:p w14:paraId="26CF062A" w14:textId="77777777" w:rsidR="00B70FA2" w:rsidRPr="00C3365A" w:rsidRDefault="00B70FA2">
            <w:pPr>
              <w:jc w:val="both"/>
              <w:rPr>
                <w:rFonts w:ascii="Calibri Light" w:hAnsi="Calibri Light"/>
              </w:rPr>
            </w:pPr>
          </w:p>
        </w:tc>
      </w:tr>
      <w:tr w:rsidR="00894028" w:rsidRPr="00C3365A" w14:paraId="425FCA63" w14:textId="77777777" w:rsidTr="001B6A88">
        <w:trPr>
          <w:trHeight w:val="567"/>
        </w:trPr>
        <w:tc>
          <w:tcPr>
            <w:cnfStyle w:val="001000000000" w:firstRow="0" w:lastRow="0" w:firstColumn="1" w:lastColumn="0" w:oddVBand="0" w:evenVBand="0" w:oddHBand="0" w:evenHBand="0" w:firstRowFirstColumn="0" w:firstRowLastColumn="0" w:lastRowFirstColumn="0" w:lastRowLastColumn="0"/>
            <w:tcW w:w="8505" w:type="dxa"/>
            <w:gridSpan w:val="3"/>
            <w:vAlign w:val="center"/>
          </w:tcPr>
          <w:p w14:paraId="31AB446A" w14:textId="77777777" w:rsidR="00CA32F1" w:rsidRDefault="00CA32F1" w:rsidP="00CA32F1">
            <w:pPr>
              <w:pBdr>
                <w:top w:val="nil"/>
                <w:left w:val="nil"/>
                <w:bottom w:val="nil"/>
                <w:right w:val="nil"/>
                <w:between w:val="nil"/>
              </w:pBdr>
              <w:ind w:left="720"/>
              <w:contextualSpacing/>
              <w:rPr>
                <w:rFonts w:ascii="Calibri Light" w:hAnsi="Calibri Light"/>
                <w:color w:val="000000"/>
              </w:rPr>
            </w:pPr>
          </w:p>
          <w:p w14:paraId="126C6470" w14:textId="77777777" w:rsidR="00894028" w:rsidRDefault="00036320" w:rsidP="001B6A88">
            <w:pPr>
              <w:numPr>
                <w:ilvl w:val="0"/>
                <w:numId w:val="5"/>
              </w:numPr>
              <w:pBdr>
                <w:top w:val="nil"/>
                <w:left w:val="nil"/>
                <w:bottom w:val="nil"/>
                <w:right w:val="nil"/>
                <w:between w:val="nil"/>
              </w:pBdr>
              <w:contextualSpacing/>
              <w:jc w:val="center"/>
              <w:rPr>
                <w:rFonts w:ascii="Calibri Light" w:hAnsi="Calibri Light"/>
                <w:color w:val="000000"/>
              </w:rPr>
            </w:pPr>
            <w:r w:rsidRPr="00C3365A">
              <w:rPr>
                <w:rFonts w:ascii="Calibri Light" w:hAnsi="Calibri Light"/>
                <w:color w:val="000000"/>
              </w:rPr>
              <w:t>Palabras clave</w:t>
            </w:r>
          </w:p>
          <w:p w14:paraId="7BB74F07" w14:textId="07B478F3" w:rsidR="00CA32F1" w:rsidRPr="00C3365A" w:rsidRDefault="00CA32F1" w:rsidP="00CA32F1">
            <w:pPr>
              <w:pBdr>
                <w:top w:val="nil"/>
                <w:left w:val="nil"/>
                <w:bottom w:val="nil"/>
                <w:right w:val="nil"/>
                <w:between w:val="nil"/>
              </w:pBdr>
              <w:ind w:left="720"/>
              <w:contextualSpacing/>
              <w:rPr>
                <w:rFonts w:ascii="Calibri Light" w:hAnsi="Calibri Light"/>
                <w:color w:val="000000"/>
              </w:rPr>
            </w:pPr>
          </w:p>
        </w:tc>
      </w:tr>
      <w:tr w:rsidR="00894028" w:rsidRPr="00C3365A" w14:paraId="4689793B" w14:textId="77777777" w:rsidTr="00894028">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505" w:type="dxa"/>
            <w:gridSpan w:val="3"/>
            <w:vAlign w:val="center"/>
          </w:tcPr>
          <w:p w14:paraId="6FE401C4" w14:textId="77777777" w:rsidR="00B70FA2" w:rsidRPr="00C3365A" w:rsidRDefault="00B70FA2">
            <w:pPr>
              <w:jc w:val="both"/>
              <w:rPr>
                <w:rFonts w:ascii="Calibri Light" w:hAnsi="Calibri Light"/>
                <w:b w:val="0"/>
              </w:rPr>
            </w:pPr>
          </w:p>
          <w:p w14:paraId="1924B930" w14:textId="50F1E793" w:rsidR="00894028" w:rsidRPr="00C3365A" w:rsidRDefault="00036320" w:rsidP="007A0B61">
            <w:pPr>
              <w:jc w:val="both"/>
              <w:rPr>
                <w:rFonts w:ascii="Calibri Light" w:hAnsi="Calibri Light"/>
                <w:b w:val="0"/>
              </w:rPr>
            </w:pPr>
            <w:r w:rsidRPr="00C3365A">
              <w:rPr>
                <w:rFonts w:ascii="Calibri Light" w:hAnsi="Calibri Light"/>
                <w:b w:val="0"/>
              </w:rPr>
              <w:t>Defensore</w:t>
            </w:r>
            <w:r w:rsidR="001B6A88" w:rsidRPr="00C3365A">
              <w:rPr>
                <w:rFonts w:ascii="Calibri Light" w:hAnsi="Calibri Light"/>
                <w:b w:val="0"/>
              </w:rPr>
              <w:t>s de DDHH, Grupos paramilitares</w:t>
            </w:r>
            <w:r w:rsidRPr="00C3365A">
              <w:rPr>
                <w:rFonts w:ascii="Calibri Light" w:hAnsi="Calibri Light"/>
                <w:b w:val="0"/>
              </w:rPr>
              <w:t>, Protección judicial y garantías judiciales, Vida</w:t>
            </w:r>
          </w:p>
          <w:p w14:paraId="30E11904" w14:textId="77777777" w:rsidR="00B70FA2" w:rsidRPr="00C3365A" w:rsidRDefault="00B70FA2">
            <w:pPr>
              <w:jc w:val="both"/>
              <w:rPr>
                <w:rFonts w:ascii="Calibri Light" w:hAnsi="Calibri Light"/>
              </w:rPr>
            </w:pPr>
          </w:p>
        </w:tc>
      </w:tr>
      <w:tr w:rsidR="00894028" w:rsidRPr="00C3365A" w14:paraId="0F09A7C3" w14:textId="77777777" w:rsidTr="003F006B">
        <w:trPr>
          <w:trHeight w:val="510"/>
        </w:trPr>
        <w:tc>
          <w:tcPr>
            <w:cnfStyle w:val="001000000000" w:firstRow="0" w:lastRow="0" w:firstColumn="1" w:lastColumn="0" w:oddVBand="0" w:evenVBand="0" w:oddHBand="0" w:evenHBand="0" w:firstRowFirstColumn="0" w:firstRowLastColumn="0" w:lastRowFirstColumn="0" w:lastRowLastColumn="0"/>
            <w:tcW w:w="8505" w:type="dxa"/>
            <w:gridSpan w:val="3"/>
            <w:vAlign w:val="center"/>
          </w:tcPr>
          <w:p w14:paraId="6225C260" w14:textId="77777777" w:rsidR="00CA32F1" w:rsidRDefault="00CA32F1" w:rsidP="00CA32F1">
            <w:pPr>
              <w:pBdr>
                <w:top w:val="nil"/>
                <w:left w:val="nil"/>
                <w:bottom w:val="nil"/>
                <w:right w:val="nil"/>
                <w:between w:val="nil"/>
              </w:pBdr>
              <w:ind w:left="720"/>
              <w:contextualSpacing/>
              <w:rPr>
                <w:rFonts w:ascii="Calibri Light" w:hAnsi="Calibri Light"/>
                <w:color w:val="000000"/>
              </w:rPr>
            </w:pPr>
          </w:p>
          <w:p w14:paraId="5D9ED702" w14:textId="77777777" w:rsidR="00894028" w:rsidRDefault="00036320" w:rsidP="003F006B">
            <w:pPr>
              <w:numPr>
                <w:ilvl w:val="0"/>
                <w:numId w:val="5"/>
              </w:numPr>
              <w:pBdr>
                <w:top w:val="nil"/>
                <w:left w:val="nil"/>
                <w:bottom w:val="nil"/>
                <w:right w:val="nil"/>
                <w:between w:val="nil"/>
              </w:pBdr>
              <w:contextualSpacing/>
              <w:jc w:val="center"/>
              <w:rPr>
                <w:rFonts w:ascii="Calibri Light" w:hAnsi="Calibri Light"/>
                <w:color w:val="000000"/>
              </w:rPr>
            </w:pPr>
            <w:r w:rsidRPr="00C3365A">
              <w:rPr>
                <w:rFonts w:ascii="Calibri Light" w:hAnsi="Calibri Light"/>
                <w:color w:val="000000"/>
              </w:rPr>
              <w:t>Hechos</w:t>
            </w:r>
          </w:p>
          <w:p w14:paraId="6C3D844E" w14:textId="2F8ABD05" w:rsidR="00CA32F1" w:rsidRPr="00C3365A" w:rsidRDefault="00CA32F1" w:rsidP="00CA32F1">
            <w:pPr>
              <w:pBdr>
                <w:top w:val="nil"/>
                <w:left w:val="nil"/>
                <w:bottom w:val="nil"/>
                <w:right w:val="nil"/>
                <w:between w:val="nil"/>
              </w:pBdr>
              <w:ind w:left="720"/>
              <w:contextualSpacing/>
              <w:rPr>
                <w:rFonts w:ascii="Calibri Light" w:hAnsi="Calibri Light"/>
                <w:color w:val="000000"/>
              </w:rPr>
            </w:pPr>
          </w:p>
        </w:tc>
      </w:tr>
      <w:tr w:rsidR="00894028" w:rsidRPr="00C3365A" w14:paraId="74B724C1" w14:textId="77777777" w:rsidTr="00894028">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8505" w:type="dxa"/>
            <w:gridSpan w:val="3"/>
          </w:tcPr>
          <w:p w14:paraId="0075AE66" w14:textId="77777777" w:rsidR="00B70FA2" w:rsidRPr="00C3365A" w:rsidRDefault="00B70FA2" w:rsidP="007A0B61">
            <w:pPr>
              <w:jc w:val="both"/>
              <w:rPr>
                <w:rFonts w:ascii="Calibri Light" w:hAnsi="Calibri Light"/>
                <w:b w:val="0"/>
              </w:rPr>
            </w:pPr>
          </w:p>
          <w:p w14:paraId="761158B0" w14:textId="744FE6CE" w:rsidR="00894028" w:rsidRPr="00C3365A" w:rsidRDefault="00101B37" w:rsidP="007A0B61">
            <w:pPr>
              <w:jc w:val="both"/>
              <w:rPr>
                <w:rFonts w:ascii="Calibri Light" w:hAnsi="Calibri Light"/>
                <w:b w:val="0"/>
              </w:rPr>
            </w:pPr>
            <w:r w:rsidRPr="00C3365A">
              <w:rPr>
                <w:rFonts w:ascii="Calibri Light" w:hAnsi="Calibri Light"/>
                <w:b w:val="0"/>
              </w:rPr>
              <w:t>Los grupos paramilitares</w:t>
            </w:r>
            <w:r w:rsidR="00036320" w:rsidRPr="00C3365A">
              <w:rPr>
                <w:rFonts w:ascii="Calibri Light" w:hAnsi="Calibri Light"/>
                <w:b w:val="0"/>
              </w:rPr>
              <w:t xml:space="preserve"> surgieron </w:t>
            </w:r>
            <w:r w:rsidRPr="00C3365A">
              <w:rPr>
                <w:rFonts w:ascii="Calibri Light" w:hAnsi="Calibri Light"/>
                <w:b w:val="0"/>
              </w:rPr>
              <w:t>en el marco del conflicto armado interno colombiano</w:t>
            </w:r>
            <w:r w:rsidR="00036320" w:rsidRPr="00C3365A">
              <w:rPr>
                <w:rFonts w:ascii="Calibri Light" w:hAnsi="Calibri Light"/>
                <w:b w:val="0"/>
              </w:rPr>
              <w:t xml:space="preserve"> como mecanismos de defensa de la población e incluso gozaron por un tiempo del aval del Estado</w:t>
            </w:r>
            <w:r w:rsidRPr="00C3365A">
              <w:rPr>
                <w:rFonts w:ascii="Calibri Light" w:hAnsi="Calibri Light"/>
                <w:b w:val="0"/>
              </w:rPr>
              <w:t>. No obstante, posteriormente</w:t>
            </w:r>
            <w:r w:rsidR="00036320" w:rsidRPr="00C3365A">
              <w:rPr>
                <w:rFonts w:ascii="Calibri Light" w:hAnsi="Calibri Light"/>
                <w:b w:val="0"/>
              </w:rPr>
              <w:t xml:space="preserve"> </w:t>
            </w:r>
            <w:r w:rsidRPr="00C3365A">
              <w:rPr>
                <w:rFonts w:ascii="Calibri Light" w:hAnsi="Calibri Light"/>
                <w:b w:val="0"/>
              </w:rPr>
              <w:t>contribuyeron en gran medida</w:t>
            </w:r>
            <w:r w:rsidR="00036320" w:rsidRPr="00C3365A">
              <w:rPr>
                <w:rFonts w:ascii="Calibri Light" w:hAnsi="Calibri Light"/>
                <w:b w:val="0"/>
              </w:rPr>
              <w:t xml:space="preserve"> al aumento de la </w:t>
            </w:r>
            <w:r w:rsidR="00036320" w:rsidRPr="00C3365A">
              <w:rPr>
                <w:rFonts w:ascii="Calibri Light" w:hAnsi="Calibri Light"/>
                <w:b w:val="0"/>
              </w:rPr>
              <w:lastRenderedPageBreak/>
              <w:t>intensidad de la violencia</w:t>
            </w:r>
            <w:r w:rsidRPr="00C3365A">
              <w:rPr>
                <w:rFonts w:ascii="Calibri Light" w:hAnsi="Calibri Light"/>
                <w:b w:val="0"/>
              </w:rPr>
              <w:t xml:space="preserve"> del conflicto</w:t>
            </w:r>
            <w:r w:rsidR="00036320" w:rsidRPr="00C3365A">
              <w:rPr>
                <w:rFonts w:ascii="Calibri Light" w:hAnsi="Calibri Light"/>
                <w:b w:val="0"/>
              </w:rPr>
              <w:t xml:space="preserve">. </w:t>
            </w:r>
            <w:r w:rsidRPr="00C3365A">
              <w:rPr>
                <w:rFonts w:ascii="Calibri Light" w:hAnsi="Calibri Light"/>
                <w:b w:val="0"/>
              </w:rPr>
              <w:t xml:space="preserve">Arauca, donde se encuentra el municipio de Tame, fue uno de los departamentos en los que grupos paramilitares, como el Bloque Vencedores de Arauca (BVA), tuvieron una presencia importante. </w:t>
            </w:r>
            <w:r w:rsidR="00036320" w:rsidRPr="00C3365A">
              <w:rPr>
                <w:rFonts w:ascii="Calibri Light" w:hAnsi="Calibri Light"/>
                <w:b w:val="0"/>
              </w:rPr>
              <w:t xml:space="preserve">Hacia el año 2002, </w:t>
            </w:r>
            <w:r w:rsidRPr="00C3365A">
              <w:rPr>
                <w:rFonts w:ascii="Calibri Light" w:hAnsi="Calibri Light"/>
                <w:b w:val="0"/>
              </w:rPr>
              <w:t>BVA llegó</w:t>
            </w:r>
            <w:r w:rsidR="00036320" w:rsidRPr="00C3365A">
              <w:rPr>
                <w:rFonts w:ascii="Calibri Light" w:hAnsi="Calibri Light"/>
                <w:b w:val="0"/>
              </w:rPr>
              <w:t xml:space="preserve"> a disputarle el control del municipio de Tame a la guerrilla a través de </w:t>
            </w:r>
            <w:r w:rsidRPr="00C3365A">
              <w:rPr>
                <w:rFonts w:ascii="Calibri Light" w:hAnsi="Calibri Light"/>
                <w:b w:val="0"/>
              </w:rPr>
              <w:t>una</w:t>
            </w:r>
            <w:r w:rsidR="00036320" w:rsidRPr="00C3365A">
              <w:rPr>
                <w:rFonts w:ascii="Calibri Light" w:hAnsi="Calibri Light"/>
                <w:b w:val="0"/>
              </w:rPr>
              <w:t xml:space="preserve"> ofensiva militar severa, </w:t>
            </w:r>
            <w:r w:rsidRPr="00C3365A">
              <w:rPr>
                <w:rFonts w:ascii="Calibri Light" w:hAnsi="Calibri Light"/>
                <w:b w:val="0"/>
              </w:rPr>
              <w:t>que</w:t>
            </w:r>
            <w:r w:rsidR="00036320" w:rsidRPr="00C3365A">
              <w:rPr>
                <w:rFonts w:ascii="Calibri Light" w:hAnsi="Calibri Light"/>
                <w:b w:val="0"/>
              </w:rPr>
              <w:t xml:space="preserve"> conllevó el asesinato y amenaza de guerrilleros</w:t>
            </w:r>
            <w:r w:rsidRPr="00C3365A">
              <w:rPr>
                <w:rFonts w:ascii="Calibri Light" w:hAnsi="Calibri Light"/>
                <w:b w:val="0"/>
              </w:rPr>
              <w:t xml:space="preserve"> y</w:t>
            </w:r>
            <w:r w:rsidR="00036320" w:rsidRPr="00C3365A">
              <w:rPr>
                <w:rFonts w:ascii="Calibri Light" w:hAnsi="Calibri Light"/>
                <w:b w:val="0"/>
              </w:rPr>
              <w:t xml:space="preserve"> de quienes eran señalados como sus colaboradores. </w:t>
            </w:r>
            <w:r w:rsidR="00CF3D9C" w:rsidRPr="00C3365A">
              <w:rPr>
                <w:rFonts w:ascii="Calibri Light" w:hAnsi="Calibri Light"/>
                <w:b w:val="0"/>
              </w:rPr>
              <w:t>El</w:t>
            </w:r>
            <w:r w:rsidR="00036320" w:rsidRPr="00C3365A">
              <w:rPr>
                <w:rFonts w:ascii="Calibri Light" w:hAnsi="Calibri Light"/>
                <w:b w:val="0"/>
              </w:rPr>
              <w:t xml:space="preserve"> BVA </w:t>
            </w:r>
            <w:r w:rsidR="00CF3D9C" w:rsidRPr="00C3365A">
              <w:rPr>
                <w:rFonts w:ascii="Calibri Light" w:hAnsi="Calibri Light"/>
                <w:b w:val="0"/>
              </w:rPr>
              <w:t xml:space="preserve">habría contado </w:t>
            </w:r>
            <w:r w:rsidR="00036320" w:rsidRPr="00C3365A">
              <w:rPr>
                <w:rFonts w:ascii="Calibri Light" w:hAnsi="Calibri Light"/>
                <w:b w:val="0"/>
              </w:rPr>
              <w:t>en varias ocasiones con el apoyo de agentes del Estado para sus operaciones.</w:t>
            </w:r>
          </w:p>
          <w:p w14:paraId="12844F74" w14:textId="77777777" w:rsidR="00894028" w:rsidRPr="00C3365A" w:rsidRDefault="00894028" w:rsidP="007A0B61">
            <w:pPr>
              <w:jc w:val="both"/>
              <w:rPr>
                <w:rFonts w:ascii="Calibri Light" w:hAnsi="Calibri Light"/>
                <w:b w:val="0"/>
              </w:rPr>
            </w:pPr>
          </w:p>
          <w:p w14:paraId="5CFD26D2" w14:textId="7FEDFB1F" w:rsidR="00894028" w:rsidRPr="00C3365A" w:rsidRDefault="00CF3D9C" w:rsidP="007A0B61">
            <w:pPr>
              <w:jc w:val="both"/>
              <w:rPr>
                <w:rFonts w:ascii="Calibri Light" w:hAnsi="Calibri Light"/>
                <w:b w:val="0"/>
              </w:rPr>
            </w:pPr>
            <w:r w:rsidRPr="00C3365A">
              <w:rPr>
                <w:rFonts w:ascii="Calibri Light" w:hAnsi="Calibri Light"/>
                <w:b w:val="0"/>
              </w:rPr>
              <w:t>E</w:t>
            </w:r>
            <w:r w:rsidR="00036320" w:rsidRPr="00C3365A">
              <w:rPr>
                <w:rFonts w:ascii="Calibri Light" w:hAnsi="Calibri Light"/>
                <w:b w:val="0"/>
              </w:rPr>
              <w:t>n ese contexto</w:t>
            </w:r>
            <w:r w:rsidRPr="00C3365A">
              <w:rPr>
                <w:rFonts w:ascii="Calibri Light" w:hAnsi="Calibri Light"/>
                <w:b w:val="0"/>
              </w:rPr>
              <w:t xml:space="preserve">, </w:t>
            </w:r>
            <w:r w:rsidR="00036320" w:rsidRPr="00C3365A">
              <w:rPr>
                <w:rFonts w:ascii="Calibri Light" w:hAnsi="Calibri Light"/>
                <w:b w:val="0"/>
              </w:rPr>
              <w:t xml:space="preserve">se agravó la situación de los defensores y defensoras de derechos humanos </w:t>
            </w:r>
            <w:r w:rsidR="00B84AE9" w:rsidRPr="00C3365A">
              <w:rPr>
                <w:rFonts w:ascii="Calibri Light" w:hAnsi="Calibri Light"/>
                <w:b w:val="0"/>
              </w:rPr>
              <w:t xml:space="preserve">de </w:t>
            </w:r>
            <w:r w:rsidR="00036320" w:rsidRPr="00C3365A">
              <w:rPr>
                <w:rFonts w:ascii="Calibri Light" w:hAnsi="Calibri Light"/>
                <w:b w:val="0"/>
              </w:rPr>
              <w:t>Arauca, quienes fueron víctimas de homicidios, amenazas, desapariciones forzadas y toma de rehenes. Dichos ataques habrían estado relacionados con la visión negativa que se tenía sobre la labor que desempeña</w:t>
            </w:r>
            <w:r w:rsidRPr="00C3365A">
              <w:rPr>
                <w:rFonts w:ascii="Calibri Light" w:hAnsi="Calibri Light"/>
                <w:b w:val="0"/>
              </w:rPr>
              <w:t>ba</w:t>
            </w:r>
            <w:r w:rsidR="00036320" w:rsidRPr="00C3365A">
              <w:rPr>
                <w:rFonts w:ascii="Calibri Light" w:hAnsi="Calibri Light"/>
                <w:b w:val="0"/>
              </w:rPr>
              <w:t xml:space="preserve">n. </w:t>
            </w:r>
            <w:r w:rsidRPr="00C3365A">
              <w:rPr>
                <w:rFonts w:ascii="Calibri Light" w:hAnsi="Calibri Light"/>
                <w:b w:val="0"/>
              </w:rPr>
              <w:t>Esta situación</w:t>
            </w:r>
            <w:r w:rsidR="00036320" w:rsidRPr="00C3365A">
              <w:rPr>
                <w:rFonts w:ascii="Calibri Light" w:hAnsi="Calibri Light"/>
                <w:b w:val="0"/>
              </w:rPr>
              <w:t xml:space="preserve"> mereció el otorgamiento de medidas cautelares por parte de la CIDH</w:t>
            </w:r>
            <w:r w:rsidR="006B3023" w:rsidRPr="00C3365A">
              <w:rPr>
                <w:rFonts w:ascii="Calibri Light" w:hAnsi="Calibri Light"/>
                <w:b w:val="0"/>
              </w:rPr>
              <w:t xml:space="preserve">, que beneficiaron entre otras personas a </w:t>
            </w:r>
            <w:r w:rsidR="00036320" w:rsidRPr="00C3365A">
              <w:rPr>
                <w:rFonts w:ascii="Calibri Light" w:hAnsi="Calibri Light"/>
                <w:b w:val="0"/>
              </w:rPr>
              <w:t xml:space="preserve"> José Rusbel Lara. </w:t>
            </w:r>
            <w:r w:rsidR="00394A96" w:rsidRPr="00C3365A">
              <w:rPr>
                <w:rFonts w:ascii="Calibri Light" w:hAnsi="Calibri Light"/>
                <w:b w:val="0"/>
              </w:rPr>
              <w:t>E</w:t>
            </w:r>
            <w:r w:rsidR="006B3023" w:rsidRPr="00C3365A">
              <w:rPr>
                <w:rFonts w:ascii="Calibri Light" w:hAnsi="Calibri Light"/>
                <w:b w:val="0"/>
              </w:rPr>
              <w:t>l señor</w:t>
            </w:r>
            <w:r w:rsidR="00036320" w:rsidRPr="00C3365A">
              <w:rPr>
                <w:rFonts w:ascii="Calibri Light" w:hAnsi="Calibri Light"/>
                <w:b w:val="0"/>
              </w:rPr>
              <w:t xml:space="preserve"> </w:t>
            </w:r>
            <w:r w:rsidR="00C551E4">
              <w:rPr>
                <w:rFonts w:ascii="Calibri Light" w:hAnsi="Calibri Light"/>
                <w:b w:val="0"/>
              </w:rPr>
              <w:t>Lara</w:t>
            </w:r>
            <w:r w:rsidR="00036320" w:rsidRPr="00C3365A">
              <w:rPr>
                <w:rFonts w:ascii="Calibri Light" w:hAnsi="Calibri Light"/>
                <w:b w:val="0"/>
              </w:rPr>
              <w:t xml:space="preserve"> era miembro del Comité Regional de Derechos Humanos “Joel Sierra”, y cumplía la función de Coordinador de Derechos Humanos para Tame, lugar donde residía. Entre sus actividades se encontraban </w:t>
            </w:r>
            <w:r w:rsidR="002B70B9" w:rsidRPr="00C3365A">
              <w:rPr>
                <w:rFonts w:ascii="Calibri Light" w:hAnsi="Calibri Light"/>
                <w:b w:val="0"/>
              </w:rPr>
              <w:t>el monitorear</w:t>
            </w:r>
            <w:r w:rsidR="00036320" w:rsidRPr="00C3365A">
              <w:rPr>
                <w:rFonts w:ascii="Calibri Light" w:hAnsi="Calibri Light"/>
                <w:b w:val="0"/>
              </w:rPr>
              <w:t xml:space="preserve"> la situación de derechos humanos en el municipio, </w:t>
            </w:r>
            <w:r w:rsidR="006B3023" w:rsidRPr="00C3365A">
              <w:rPr>
                <w:rFonts w:ascii="Calibri Light" w:hAnsi="Calibri Light"/>
                <w:b w:val="0"/>
              </w:rPr>
              <w:t>y</w:t>
            </w:r>
            <w:r w:rsidR="00036320" w:rsidRPr="00C3365A">
              <w:rPr>
                <w:rFonts w:ascii="Calibri Light" w:hAnsi="Calibri Light"/>
                <w:b w:val="0"/>
              </w:rPr>
              <w:t xml:space="preserve"> orientar a </w:t>
            </w:r>
            <w:r w:rsidR="006B3023" w:rsidRPr="00C3365A">
              <w:rPr>
                <w:rFonts w:ascii="Calibri Light" w:hAnsi="Calibri Light"/>
                <w:b w:val="0"/>
              </w:rPr>
              <w:t>las personas</w:t>
            </w:r>
            <w:r w:rsidR="00036320" w:rsidRPr="00C3365A">
              <w:rPr>
                <w:rFonts w:ascii="Calibri Light" w:hAnsi="Calibri Light"/>
                <w:b w:val="0"/>
              </w:rPr>
              <w:t xml:space="preserve"> </w:t>
            </w:r>
            <w:r w:rsidR="006B3023" w:rsidRPr="00C3365A">
              <w:rPr>
                <w:rFonts w:ascii="Calibri Light" w:hAnsi="Calibri Light"/>
                <w:b w:val="0"/>
              </w:rPr>
              <w:t>frente a las</w:t>
            </w:r>
            <w:r w:rsidR="00036320" w:rsidRPr="00C3365A">
              <w:rPr>
                <w:rFonts w:ascii="Calibri Light" w:hAnsi="Calibri Light"/>
                <w:b w:val="0"/>
              </w:rPr>
              <w:t xml:space="preserve"> violaciones al Derecho Internacional de los Derechos Humanos o </w:t>
            </w:r>
            <w:r w:rsidR="00C551E4">
              <w:rPr>
                <w:rFonts w:ascii="Calibri Light" w:hAnsi="Calibri Light"/>
                <w:b w:val="0"/>
              </w:rPr>
              <w:t xml:space="preserve">al </w:t>
            </w:r>
            <w:r w:rsidR="00036320" w:rsidRPr="00C3365A">
              <w:rPr>
                <w:rFonts w:ascii="Calibri Light" w:hAnsi="Calibri Light"/>
                <w:b w:val="0"/>
              </w:rPr>
              <w:t>Derecho Internacional Humanitario</w:t>
            </w:r>
            <w:r w:rsidR="006B3023" w:rsidRPr="00C3365A">
              <w:rPr>
                <w:rFonts w:ascii="Calibri Light" w:hAnsi="Calibri Light"/>
                <w:b w:val="0"/>
              </w:rPr>
              <w:t xml:space="preserve"> </w:t>
            </w:r>
            <w:r w:rsidR="002B70B9" w:rsidRPr="00C3365A">
              <w:rPr>
                <w:rFonts w:ascii="Calibri Light" w:hAnsi="Calibri Light"/>
                <w:b w:val="0"/>
              </w:rPr>
              <w:t>(</w:t>
            </w:r>
            <w:r w:rsidR="00C551E4">
              <w:rPr>
                <w:rFonts w:ascii="Calibri Light" w:hAnsi="Calibri Light"/>
                <w:b w:val="0"/>
              </w:rPr>
              <w:t xml:space="preserve">en adelante, </w:t>
            </w:r>
            <w:r w:rsidR="002B70B9" w:rsidRPr="00C3365A">
              <w:rPr>
                <w:rFonts w:ascii="Calibri Light" w:hAnsi="Calibri Light"/>
                <w:b w:val="0"/>
              </w:rPr>
              <w:t xml:space="preserve">DIH) </w:t>
            </w:r>
            <w:r w:rsidR="006B3023" w:rsidRPr="00C3365A">
              <w:rPr>
                <w:rFonts w:ascii="Calibri Light" w:hAnsi="Calibri Light"/>
                <w:b w:val="0"/>
              </w:rPr>
              <w:t>que pudieran ocurrir</w:t>
            </w:r>
            <w:r w:rsidR="00036320" w:rsidRPr="00C3365A">
              <w:rPr>
                <w:rFonts w:ascii="Calibri Light" w:hAnsi="Calibri Light"/>
                <w:b w:val="0"/>
              </w:rPr>
              <w:t>. Durante el año 2002, colaboró con marchas campesinas que buscaban reclamar por la situación de violencia y el dominio del grupo paramilitar BVA en Arauca.</w:t>
            </w:r>
          </w:p>
          <w:p w14:paraId="76C7393A" w14:textId="77777777" w:rsidR="00894028" w:rsidRPr="00C3365A" w:rsidRDefault="00894028" w:rsidP="007A0B61">
            <w:pPr>
              <w:jc w:val="both"/>
              <w:rPr>
                <w:rFonts w:ascii="Calibri Light" w:hAnsi="Calibri Light"/>
                <w:b w:val="0"/>
              </w:rPr>
            </w:pPr>
          </w:p>
          <w:p w14:paraId="53EB5856" w14:textId="435709A1" w:rsidR="00894028" w:rsidRPr="00C3365A" w:rsidRDefault="002F7BE1" w:rsidP="007A0B61">
            <w:pPr>
              <w:jc w:val="both"/>
              <w:rPr>
                <w:rFonts w:ascii="Calibri Light" w:hAnsi="Calibri Light"/>
                <w:b w:val="0"/>
              </w:rPr>
            </w:pPr>
            <w:r w:rsidRPr="00C3365A">
              <w:rPr>
                <w:rFonts w:ascii="Calibri Light" w:hAnsi="Calibri Light"/>
                <w:b w:val="0"/>
              </w:rPr>
              <w:t>En vista de sus labores, e</w:t>
            </w:r>
            <w:r w:rsidR="00036320" w:rsidRPr="00C3365A">
              <w:rPr>
                <w:rFonts w:ascii="Calibri Light" w:hAnsi="Calibri Light"/>
                <w:b w:val="0"/>
              </w:rPr>
              <w:t>l</w:t>
            </w:r>
            <w:r w:rsidR="00C551E4">
              <w:rPr>
                <w:rFonts w:ascii="Calibri Light" w:hAnsi="Calibri Light"/>
                <w:b w:val="0"/>
              </w:rPr>
              <w:t xml:space="preserve"> señor Lara</w:t>
            </w:r>
            <w:r w:rsidR="00036320" w:rsidRPr="00C3365A">
              <w:rPr>
                <w:rFonts w:ascii="Calibri Light" w:hAnsi="Calibri Light"/>
                <w:b w:val="0"/>
              </w:rPr>
              <w:t xml:space="preserve"> comenzó a recibir una serie de amenazas anónimas que le advertían que su vida estaba en riesgo</w:t>
            </w:r>
            <w:r w:rsidR="00456CDB" w:rsidRPr="00C3365A">
              <w:rPr>
                <w:rFonts w:ascii="Calibri Light" w:hAnsi="Calibri Light"/>
                <w:b w:val="0"/>
              </w:rPr>
              <w:t xml:space="preserve"> </w:t>
            </w:r>
            <w:r w:rsidR="00D83726" w:rsidRPr="00C3365A">
              <w:rPr>
                <w:rFonts w:ascii="Calibri Light" w:hAnsi="Calibri Light"/>
                <w:b w:val="0"/>
              </w:rPr>
              <w:t>cerca de tres meses antes de su asesinato</w:t>
            </w:r>
            <w:r w:rsidR="00036320" w:rsidRPr="00C3365A">
              <w:rPr>
                <w:rFonts w:ascii="Calibri Light" w:hAnsi="Calibri Light"/>
                <w:b w:val="0"/>
              </w:rPr>
              <w:t>. A pesar de ser beneficiario de la</w:t>
            </w:r>
            <w:r w:rsidRPr="00C3365A">
              <w:rPr>
                <w:rFonts w:ascii="Calibri Light" w:hAnsi="Calibri Light"/>
                <w:b w:val="0"/>
              </w:rPr>
              <w:t>s</w:t>
            </w:r>
            <w:r w:rsidR="00036320" w:rsidRPr="00C3365A">
              <w:rPr>
                <w:rFonts w:ascii="Calibri Light" w:hAnsi="Calibri Light"/>
                <w:b w:val="0"/>
              </w:rPr>
              <w:t xml:space="preserve"> medida</w:t>
            </w:r>
            <w:r w:rsidRPr="00C3365A">
              <w:rPr>
                <w:rFonts w:ascii="Calibri Light" w:hAnsi="Calibri Light"/>
                <w:b w:val="0"/>
              </w:rPr>
              <w:t>s</w:t>
            </w:r>
            <w:r w:rsidR="00036320" w:rsidRPr="00C3365A">
              <w:rPr>
                <w:rFonts w:ascii="Calibri Light" w:hAnsi="Calibri Light"/>
                <w:b w:val="0"/>
              </w:rPr>
              <w:t xml:space="preserve"> cautelar</w:t>
            </w:r>
            <w:r w:rsidRPr="00C3365A">
              <w:rPr>
                <w:rFonts w:ascii="Calibri Light" w:hAnsi="Calibri Light"/>
                <w:b w:val="0"/>
              </w:rPr>
              <w:t>es</w:t>
            </w:r>
            <w:r w:rsidR="00036320" w:rsidRPr="00C3365A">
              <w:rPr>
                <w:rFonts w:ascii="Calibri Light" w:hAnsi="Calibri Light"/>
                <w:b w:val="0"/>
              </w:rPr>
              <w:t xml:space="preserve"> otorgada</w:t>
            </w:r>
            <w:r w:rsidRPr="00C3365A">
              <w:rPr>
                <w:rFonts w:ascii="Calibri Light" w:hAnsi="Calibri Light"/>
                <w:b w:val="0"/>
              </w:rPr>
              <w:t>s</w:t>
            </w:r>
            <w:r w:rsidR="00036320" w:rsidRPr="00C3365A">
              <w:rPr>
                <w:rFonts w:ascii="Calibri Light" w:hAnsi="Calibri Light"/>
                <w:b w:val="0"/>
              </w:rPr>
              <w:t xml:space="preserve"> por la CIDH, </w:t>
            </w:r>
            <w:r w:rsidRPr="00C3365A">
              <w:rPr>
                <w:rFonts w:ascii="Calibri Light" w:hAnsi="Calibri Light"/>
                <w:b w:val="0"/>
              </w:rPr>
              <w:t xml:space="preserve">y </w:t>
            </w:r>
            <w:r w:rsidR="00036320" w:rsidRPr="00C3365A">
              <w:rPr>
                <w:rFonts w:ascii="Calibri Light" w:hAnsi="Calibri Light"/>
                <w:b w:val="0"/>
              </w:rPr>
              <w:t>l</w:t>
            </w:r>
            <w:r w:rsidR="00C551E4">
              <w:rPr>
                <w:rFonts w:ascii="Calibri Light" w:hAnsi="Calibri Light"/>
                <w:b w:val="0"/>
              </w:rPr>
              <w:t>as acciones emprendidas por la P</w:t>
            </w:r>
            <w:r w:rsidR="00036320" w:rsidRPr="00C3365A">
              <w:rPr>
                <w:rFonts w:ascii="Calibri Light" w:hAnsi="Calibri Light"/>
                <w:b w:val="0"/>
              </w:rPr>
              <w:t>olicía colombiana</w:t>
            </w:r>
            <w:r w:rsidRPr="00C3365A">
              <w:rPr>
                <w:rFonts w:ascii="Calibri Light" w:hAnsi="Calibri Light"/>
                <w:b w:val="0"/>
              </w:rPr>
              <w:t xml:space="preserve"> -</w:t>
            </w:r>
            <w:r w:rsidR="00036320" w:rsidRPr="00C3365A">
              <w:rPr>
                <w:rFonts w:ascii="Calibri Light" w:hAnsi="Calibri Light"/>
                <w:b w:val="0"/>
              </w:rPr>
              <w:t>como la remisión de medidas de autoprotección, la creación del programa de padrinos policiales, entre otras</w:t>
            </w:r>
            <w:r w:rsidRPr="00C3365A">
              <w:rPr>
                <w:rFonts w:ascii="Calibri Light" w:hAnsi="Calibri Light"/>
                <w:b w:val="0"/>
              </w:rPr>
              <w:t>-</w:t>
            </w:r>
            <w:r w:rsidR="005719C1" w:rsidRPr="00C3365A">
              <w:rPr>
                <w:rFonts w:ascii="Calibri Light" w:hAnsi="Calibri Light"/>
                <w:b w:val="0"/>
              </w:rPr>
              <w:t>,</w:t>
            </w:r>
            <w:r w:rsidR="00036320" w:rsidRPr="00C3365A">
              <w:rPr>
                <w:rFonts w:ascii="Calibri Light" w:hAnsi="Calibri Light"/>
                <w:b w:val="0"/>
              </w:rPr>
              <w:t xml:space="preserve"> el señor </w:t>
            </w:r>
            <w:r w:rsidR="00C551E4">
              <w:rPr>
                <w:rFonts w:ascii="Calibri Light" w:hAnsi="Calibri Light"/>
                <w:b w:val="0"/>
              </w:rPr>
              <w:t>Lara</w:t>
            </w:r>
            <w:r w:rsidR="00036320" w:rsidRPr="00C3365A">
              <w:rPr>
                <w:rFonts w:ascii="Calibri Light" w:hAnsi="Calibri Light"/>
                <w:b w:val="0"/>
              </w:rPr>
              <w:t xml:space="preserve"> continuó siendo hostigado, vía cartas o llamadas, a tal punto que recibió un ultimátum para marcharse de Tame. </w:t>
            </w:r>
          </w:p>
          <w:p w14:paraId="06A8B53C" w14:textId="77777777" w:rsidR="00894028" w:rsidRPr="00C3365A" w:rsidRDefault="00894028" w:rsidP="007A0B61">
            <w:pPr>
              <w:jc w:val="both"/>
              <w:rPr>
                <w:rFonts w:ascii="Calibri Light" w:hAnsi="Calibri Light"/>
                <w:b w:val="0"/>
              </w:rPr>
            </w:pPr>
          </w:p>
          <w:p w14:paraId="07D8CD6B" w14:textId="44A7D8D7" w:rsidR="00894028" w:rsidRPr="00C3365A" w:rsidRDefault="00036320" w:rsidP="007A0B61">
            <w:pPr>
              <w:jc w:val="both"/>
              <w:rPr>
                <w:rFonts w:ascii="Calibri Light" w:hAnsi="Calibri Light"/>
                <w:b w:val="0"/>
              </w:rPr>
            </w:pPr>
            <w:r w:rsidRPr="00C3365A">
              <w:rPr>
                <w:rFonts w:ascii="Calibri Light" w:hAnsi="Calibri Light"/>
                <w:b w:val="0"/>
              </w:rPr>
              <w:t>La falta de efectividad por parte de los encargados de tomar acciones para proteger a los beneficiarios de la</w:t>
            </w:r>
            <w:r w:rsidR="002F7BE1" w:rsidRPr="00C3365A">
              <w:rPr>
                <w:rFonts w:ascii="Calibri Light" w:hAnsi="Calibri Light"/>
                <w:b w:val="0"/>
              </w:rPr>
              <w:t>s</w:t>
            </w:r>
            <w:r w:rsidRPr="00C3365A">
              <w:rPr>
                <w:rFonts w:ascii="Calibri Light" w:hAnsi="Calibri Light"/>
                <w:b w:val="0"/>
              </w:rPr>
              <w:t xml:space="preserve"> medida</w:t>
            </w:r>
            <w:r w:rsidR="002F7BE1" w:rsidRPr="00C3365A">
              <w:rPr>
                <w:rFonts w:ascii="Calibri Light" w:hAnsi="Calibri Light"/>
                <w:b w:val="0"/>
              </w:rPr>
              <w:t>s</w:t>
            </w:r>
            <w:r w:rsidRPr="00C3365A">
              <w:rPr>
                <w:rFonts w:ascii="Calibri Light" w:hAnsi="Calibri Light"/>
                <w:b w:val="0"/>
              </w:rPr>
              <w:t xml:space="preserve"> cautelar</w:t>
            </w:r>
            <w:r w:rsidR="002F7BE1" w:rsidRPr="00C3365A">
              <w:rPr>
                <w:rFonts w:ascii="Calibri Light" w:hAnsi="Calibri Light"/>
                <w:b w:val="0"/>
              </w:rPr>
              <w:t>es</w:t>
            </w:r>
            <w:r w:rsidRPr="00C3365A">
              <w:rPr>
                <w:rFonts w:ascii="Calibri Light" w:hAnsi="Calibri Light"/>
                <w:b w:val="0"/>
              </w:rPr>
              <w:t xml:space="preserve"> fue </w:t>
            </w:r>
            <w:r w:rsidR="002F7BE1" w:rsidRPr="00C3365A">
              <w:rPr>
                <w:rFonts w:ascii="Calibri Light" w:hAnsi="Calibri Light"/>
                <w:b w:val="0"/>
              </w:rPr>
              <w:t xml:space="preserve">denunciada </w:t>
            </w:r>
            <w:r w:rsidRPr="00C3365A">
              <w:rPr>
                <w:rFonts w:ascii="Calibri Light" w:hAnsi="Calibri Light"/>
                <w:b w:val="0"/>
              </w:rPr>
              <w:t xml:space="preserve">por el </w:t>
            </w:r>
            <w:r w:rsidR="002F7BE1" w:rsidRPr="00C3365A">
              <w:rPr>
                <w:rFonts w:ascii="Calibri Light" w:hAnsi="Calibri Light"/>
                <w:b w:val="0"/>
              </w:rPr>
              <w:t>P</w:t>
            </w:r>
            <w:r w:rsidRPr="00C3365A">
              <w:rPr>
                <w:rFonts w:ascii="Calibri Light" w:hAnsi="Calibri Light"/>
                <w:b w:val="0"/>
              </w:rPr>
              <w:t xml:space="preserve">residente de la Central Unitaria de Trabajadores (CUT) y el Comité “Joel Sierra”, organizaciones a las que pertenecía el señor Lara, en una carta </w:t>
            </w:r>
            <w:r w:rsidR="002F7BE1" w:rsidRPr="00C3365A">
              <w:rPr>
                <w:rFonts w:ascii="Calibri Light" w:hAnsi="Calibri Light"/>
                <w:b w:val="0"/>
              </w:rPr>
              <w:t xml:space="preserve">dirigida </w:t>
            </w:r>
            <w:r w:rsidRPr="00C3365A">
              <w:rPr>
                <w:rFonts w:ascii="Calibri Light" w:hAnsi="Calibri Light"/>
                <w:b w:val="0"/>
              </w:rPr>
              <w:t>al Presidente de la República enviada en septiembre de 2002.</w:t>
            </w:r>
            <w:r w:rsidR="002F7BE1" w:rsidRPr="00C3365A" w:rsidDel="002F7BE1">
              <w:rPr>
                <w:rFonts w:ascii="Calibri Light" w:hAnsi="Calibri Light"/>
                <w:b w:val="0"/>
              </w:rPr>
              <w:t xml:space="preserve"> </w:t>
            </w:r>
            <w:r w:rsidRPr="00C3365A">
              <w:rPr>
                <w:rFonts w:ascii="Calibri Light" w:hAnsi="Calibri Light"/>
                <w:b w:val="0"/>
              </w:rPr>
              <w:t>A pesar de ello, y el evidente riesgo que corría la vida de</w:t>
            </w:r>
            <w:r w:rsidR="00C551E4">
              <w:rPr>
                <w:rFonts w:ascii="Calibri Light" w:hAnsi="Calibri Light"/>
                <w:b w:val="0"/>
              </w:rPr>
              <w:t>l señor Lara</w:t>
            </w:r>
            <w:r w:rsidRPr="00C3365A">
              <w:rPr>
                <w:rFonts w:ascii="Calibri Light" w:hAnsi="Calibri Light"/>
                <w:b w:val="0"/>
              </w:rPr>
              <w:t xml:space="preserve">, no se adoptó un esquema distinto de protección al diseñado. </w:t>
            </w:r>
            <w:r w:rsidR="00F95542" w:rsidRPr="00C3365A">
              <w:rPr>
                <w:rFonts w:ascii="Calibri Light" w:hAnsi="Calibri Light"/>
                <w:b w:val="0"/>
              </w:rPr>
              <w:t>Finalmente, e</w:t>
            </w:r>
            <w:r w:rsidRPr="00C3365A">
              <w:rPr>
                <w:rFonts w:ascii="Calibri Light" w:hAnsi="Calibri Light"/>
                <w:b w:val="0"/>
              </w:rPr>
              <w:t xml:space="preserve">l 8 de noviembre de 2002, a la salida de una de las obras que supervisaba en un colegio del municipio, miembros del grupo paramilitar BVA </w:t>
            </w:r>
            <w:r w:rsidR="00C551E4">
              <w:rPr>
                <w:rFonts w:ascii="Calibri Light" w:hAnsi="Calibri Light"/>
                <w:b w:val="0"/>
              </w:rPr>
              <w:t xml:space="preserve">le </w:t>
            </w:r>
            <w:r w:rsidRPr="00C3365A">
              <w:rPr>
                <w:rFonts w:ascii="Calibri Light" w:hAnsi="Calibri Light"/>
                <w:b w:val="0"/>
              </w:rPr>
              <w:t>dispararon</w:t>
            </w:r>
            <w:r w:rsidR="009B0238" w:rsidRPr="00C3365A">
              <w:rPr>
                <w:rFonts w:ascii="Calibri Light" w:hAnsi="Calibri Light"/>
                <w:b w:val="0"/>
              </w:rPr>
              <w:t xml:space="preserve"> </w:t>
            </w:r>
            <w:r w:rsidRPr="00C3365A">
              <w:rPr>
                <w:rFonts w:ascii="Calibri Light" w:hAnsi="Calibri Light"/>
                <w:b w:val="0"/>
              </w:rPr>
              <w:t>y lo dejaron agonizante. Aunque fue auxiliado y llevado a un hospital, falleció.</w:t>
            </w:r>
            <w:r w:rsidR="00C551E4">
              <w:rPr>
                <w:rFonts w:ascii="Calibri Light" w:hAnsi="Calibri Light"/>
                <w:b w:val="0"/>
              </w:rPr>
              <w:t xml:space="preserve"> </w:t>
            </w:r>
            <w:r w:rsidRPr="00C3365A">
              <w:rPr>
                <w:rFonts w:ascii="Calibri Light" w:hAnsi="Calibri Light"/>
                <w:b w:val="0"/>
              </w:rPr>
              <w:t xml:space="preserve">Tras ello, sus tres hijos quedaron huérfanos y se vieron en la necesidad de trasladarse a vivir con familiares fuera del municipio de Tame. Su hijo mayor, Rusbel Dair Lara Tuay, </w:t>
            </w:r>
            <w:r w:rsidR="009B0238" w:rsidRPr="00C3365A">
              <w:rPr>
                <w:rFonts w:ascii="Calibri Light" w:hAnsi="Calibri Light"/>
                <w:b w:val="0"/>
              </w:rPr>
              <w:t xml:space="preserve">también </w:t>
            </w:r>
            <w:r w:rsidRPr="00C3365A">
              <w:rPr>
                <w:rFonts w:ascii="Calibri Light" w:hAnsi="Calibri Light"/>
                <w:b w:val="0"/>
              </w:rPr>
              <w:t>fue amenazado de muerte tras haber tomado conocimiento de las amenazas hechas a su padre de forma previa a su homicidio.</w:t>
            </w:r>
          </w:p>
          <w:p w14:paraId="234D46BB" w14:textId="77777777" w:rsidR="00894028" w:rsidRPr="00C3365A" w:rsidRDefault="00894028" w:rsidP="007A0B61">
            <w:pPr>
              <w:jc w:val="both"/>
              <w:rPr>
                <w:rFonts w:ascii="Calibri Light" w:hAnsi="Calibri Light"/>
                <w:b w:val="0"/>
              </w:rPr>
            </w:pPr>
          </w:p>
          <w:p w14:paraId="669F4B00" w14:textId="6D0B7E7F" w:rsidR="00894028" w:rsidRPr="00C3365A" w:rsidRDefault="00036320" w:rsidP="007A0B61">
            <w:pPr>
              <w:jc w:val="both"/>
              <w:rPr>
                <w:rFonts w:ascii="Calibri Light" w:hAnsi="Calibri Light"/>
                <w:b w:val="0"/>
              </w:rPr>
            </w:pPr>
            <w:r w:rsidRPr="00C3365A">
              <w:rPr>
                <w:rFonts w:ascii="Calibri Light" w:hAnsi="Calibri Light"/>
                <w:b w:val="0"/>
              </w:rPr>
              <w:t xml:space="preserve">El homicidio del señor Lara mereció la apertura de una investigación por parte de la Fiscalía Única Seccional Delegada, la cual posteriormente pasó a ser llevada por la Unidad Nacional de Derechos Humanos y Derecho Internacional Humanitario. El proceso de investigación llevó a la determinación </w:t>
            </w:r>
            <w:r w:rsidR="002023C0" w:rsidRPr="00C3365A">
              <w:rPr>
                <w:rFonts w:ascii="Calibri Light" w:hAnsi="Calibri Light"/>
                <w:b w:val="0"/>
              </w:rPr>
              <w:t xml:space="preserve">de </w:t>
            </w:r>
            <w:r w:rsidRPr="00C3365A">
              <w:rPr>
                <w:rFonts w:ascii="Calibri Light" w:hAnsi="Calibri Light"/>
                <w:b w:val="0"/>
              </w:rPr>
              <w:t xml:space="preserve">que se habrían encontrado involucrados en su homicidio cinco integrantes del BVA, quienes habrían recibido la orden de “darle de baja” </w:t>
            </w:r>
            <w:r w:rsidR="00FE1351" w:rsidRPr="00C3365A">
              <w:rPr>
                <w:rFonts w:ascii="Calibri Light" w:hAnsi="Calibri Light"/>
                <w:b w:val="0"/>
              </w:rPr>
              <w:t>cuando</w:t>
            </w:r>
            <w:r w:rsidRPr="00C3365A">
              <w:rPr>
                <w:rFonts w:ascii="Calibri Light" w:hAnsi="Calibri Light"/>
                <w:b w:val="0"/>
              </w:rPr>
              <w:t xml:space="preserve"> se encontraban bajo del mando de Miguel Ángel Melchor Mejía Múnera y Víctor Manuel Mejía Múnera.</w:t>
            </w:r>
          </w:p>
          <w:p w14:paraId="080D1B64" w14:textId="77777777" w:rsidR="00894028" w:rsidRPr="00C3365A" w:rsidRDefault="00894028" w:rsidP="007A0B61">
            <w:pPr>
              <w:jc w:val="both"/>
              <w:rPr>
                <w:rFonts w:ascii="Calibri Light" w:hAnsi="Calibri Light"/>
                <w:b w:val="0"/>
              </w:rPr>
            </w:pPr>
          </w:p>
          <w:p w14:paraId="79E07D61" w14:textId="50EEB935" w:rsidR="00894028" w:rsidRPr="00C3365A" w:rsidRDefault="00036320" w:rsidP="007A0B61">
            <w:pPr>
              <w:jc w:val="both"/>
              <w:rPr>
                <w:rFonts w:ascii="Calibri Light" w:hAnsi="Calibri Light"/>
                <w:b w:val="0"/>
              </w:rPr>
            </w:pPr>
            <w:r w:rsidRPr="00C3365A">
              <w:rPr>
                <w:rFonts w:ascii="Calibri Light" w:hAnsi="Calibri Light"/>
                <w:b w:val="0"/>
              </w:rPr>
              <w:t>Dos de los sindicados como responsables por la muerte del señor Lara fallecieron en el</w:t>
            </w:r>
            <w:r w:rsidR="00655912" w:rsidRPr="00C3365A">
              <w:rPr>
                <w:rFonts w:ascii="Calibri Light" w:hAnsi="Calibri Light"/>
                <w:b w:val="0"/>
              </w:rPr>
              <w:t xml:space="preserve"> transcurso de la investigación; por otro lado,</w:t>
            </w:r>
            <w:r w:rsidRPr="00C3365A">
              <w:rPr>
                <w:rFonts w:ascii="Calibri Light" w:hAnsi="Calibri Light"/>
                <w:b w:val="0"/>
              </w:rPr>
              <w:t xml:space="preserve"> Miguel Mejía Múnera fue extraditado a Estados </w:t>
            </w:r>
            <w:r w:rsidRPr="00C3365A">
              <w:rPr>
                <w:rFonts w:ascii="Calibri Light" w:hAnsi="Calibri Light"/>
                <w:b w:val="0"/>
              </w:rPr>
              <w:lastRenderedPageBreak/>
              <w:t xml:space="preserve">Unidos en el año 2009. Solo Julio César Contreras, alias “Alex”, fue sentenciado por el homicidio contra </w:t>
            </w:r>
            <w:r w:rsidR="009B0238" w:rsidRPr="00C3365A">
              <w:rPr>
                <w:rFonts w:ascii="Calibri Light" w:hAnsi="Calibri Light"/>
                <w:b w:val="0"/>
              </w:rPr>
              <w:t xml:space="preserve">el señor </w:t>
            </w:r>
            <w:r w:rsidRPr="00C3365A">
              <w:rPr>
                <w:rFonts w:ascii="Calibri Light" w:hAnsi="Calibri Light"/>
                <w:b w:val="0"/>
              </w:rPr>
              <w:t>Lara, mientras que</w:t>
            </w:r>
            <w:r w:rsidR="009B0238" w:rsidRPr="00C3365A">
              <w:rPr>
                <w:rFonts w:ascii="Calibri Light" w:hAnsi="Calibri Light"/>
                <w:b w:val="0"/>
              </w:rPr>
              <w:t xml:space="preserve"> otros</w:t>
            </w:r>
            <w:r w:rsidRPr="00C3365A">
              <w:rPr>
                <w:rFonts w:ascii="Calibri Light" w:hAnsi="Calibri Light"/>
                <w:b w:val="0"/>
              </w:rPr>
              <w:t xml:space="preserve"> dos de los señalados como responsables </w:t>
            </w:r>
            <w:r w:rsidR="009B0238" w:rsidRPr="00C3365A">
              <w:rPr>
                <w:rFonts w:ascii="Calibri Light" w:hAnsi="Calibri Light"/>
                <w:b w:val="0"/>
              </w:rPr>
              <w:t xml:space="preserve">permanecieron </w:t>
            </w:r>
            <w:r w:rsidRPr="00C3365A">
              <w:rPr>
                <w:rFonts w:ascii="Calibri Light" w:hAnsi="Calibri Light"/>
                <w:b w:val="0"/>
              </w:rPr>
              <w:t>prófugos y Orlando Villa Zapata, alias “Ruben”, no ha sido condenado a pesar de haber aceptado su participación en el crimen.</w:t>
            </w:r>
          </w:p>
          <w:p w14:paraId="3436D8F7" w14:textId="77777777" w:rsidR="00894028" w:rsidRPr="00C3365A" w:rsidRDefault="00894028" w:rsidP="007A0B61">
            <w:pPr>
              <w:jc w:val="both"/>
              <w:rPr>
                <w:rFonts w:ascii="Calibri Light" w:hAnsi="Calibri Light"/>
                <w:b w:val="0"/>
              </w:rPr>
            </w:pPr>
          </w:p>
          <w:p w14:paraId="372E56C5" w14:textId="02C5B8D3" w:rsidR="00894028" w:rsidRPr="00C3365A" w:rsidRDefault="00036320" w:rsidP="007A0B61">
            <w:pPr>
              <w:jc w:val="both"/>
              <w:rPr>
                <w:rFonts w:ascii="Calibri Light" w:hAnsi="Calibri Light"/>
              </w:rPr>
            </w:pPr>
            <w:r w:rsidRPr="00C3365A">
              <w:rPr>
                <w:rFonts w:ascii="Calibri Light" w:hAnsi="Calibri Light"/>
                <w:b w:val="0"/>
              </w:rPr>
              <w:t>Frente a tales hechos, la Asociación para la Promoción Social Alternativa (MINGA) presentó una petición ante la CIDH denunciando al Estado de Colombia por la violación de los derechos a la vida, a las garantías judiciales y la protección judic</w:t>
            </w:r>
            <w:r w:rsidR="000E392F">
              <w:rPr>
                <w:rFonts w:ascii="Calibri Light" w:hAnsi="Calibri Light"/>
                <w:b w:val="0"/>
              </w:rPr>
              <w:t xml:space="preserve">ial del señor </w:t>
            </w:r>
            <w:r w:rsidRPr="00C3365A">
              <w:rPr>
                <w:rFonts w:ascii="Calibri Light" w:hAnsi="Calibri Light"/>
                <w:b w:val="0"/>
              </w:rPr>
              <w:t>Lara, reconocidos en la Convención Americana sobre Derechos Humanos (</w:t>
            </w:r>
            <w:r w:rsidR="009B0238" w:rsidRPr="00C3365A">
              <w:rPr>
                <w:rFonts w:ascii="Calibri Light" w:hAnsi="Calibri Light"/>
                <w:b w:val="0"/>
              </w:rPr>
              <w:t xml:space="preserve">en adelante, </w:t>
            </w:r>
            <w:r w:rsidRPr="00C3365A">
              <w:rPr>
                <w:rFonts w:ascii="Calibri Light" w:hAnsi="Calibri Light"/>
                <w:b w:val="0"/>
              </w:rPr>
              <w:t>CADH).</w:t>
            </w:r>
          </w:p>
          <w:p w14:paraId="07C391A5" w14:textId="77777777" w:rsidR="00894028" w:rsidRPr="00C3365A" w:rsidRDefault="00894028" w:rsidP="007A0B61">
            <w:pPr>
              <w:jc w:val="both"/>
              <w:rPr>
                <w:rFonts w:ascii="Calibri Light" w:hAnsi="Calibri Light"/>
              </w:rPr>
            </w:pPr>
            <w:bookmarkStart w:id="0" w:name="_gjdgxs" w:colFirst="0" w:colLast="0"/>
            <w:bookmarkEnd w:id="0"/>
          </w:p>
        </w:tc>
      </w:tr>
      <w:tr w:rsidR="00894028" w:rsidRPr="00C3365A" w14:paraId="330605FA" w14:textId="77777777" w:rsidTr="001C49A0">
        <w:trPr>
          <w:trHeight w:val="567"/>
        </w:trPr>
        <w:tc>
          <w:tcPr>
            <w:cnfStyle w:val="001000000000" w:firstRow="0" w:lastRow="0" w:firstColumn="1" w:lastColumn="0" w:oddVBand="0" w:evenVBand="0" w:oddHBand="0" w:evenHBand="0" w:firstRowFirstColumn="0" w:firstRowLastColumn="0" w:lastRowFirstColumn="0" w:lastRowLastColumn="0"/>
            <w:tcW w:w="8505" w:type="dxa"/>
            <w:gridSpan w:val="3"/>
            <w:vAlign w:val="center"/>
          </w:tcPr>
          <w:p w14:paraId="72961A26" w14:textId="77777777" w:rsidR="00CA32F1" w:rsidRDefault="00CA32F1" w:rsidP="00CA32F1">
            <w:pPr>
              <w:pBdr>
                <w:top w:val="nil"/>
                <w:left w:val="nil"/>
                <w:bottom w:val="nil"/>
                <w:right w:val="nil"/>
                <w:between w:val="nil"/>
              </w:pBdr>
              <w:ind w:left="720"/>
              <w:contextualSpacing/>
              <w:rPr>
                <w:rFonts w:ascii="Calibri Light" w:hAnsi="Calibri Light"/>
                <w:color w:val="000000"/>
              </w:rPr>
            </w:pPr>
          </w:p>
          <w:p w14:paraId="03760836" w14:textId="77777777" w:rsidR="00894028" w:rsidRDefault="00036320" w:rsidP="001C49A0">
            <w:pPr>
              <w:numPr>
                <w:ilvl w:val="0"/>
                <w:numId w:val="5"/>
              </w:numPr>
              <w:pBdr>
                <w:top w:val="nil"/>
                <w:left w:val="nil"/>
                <w:bottom w:val="nil"/>
                <w:right w:val="nil"/>
                <w:between w:val="nil"/>
              </w:pBdr>
              <w:contextualSpacing/>
              <w:jc w:val="center"/>
              <w:rPr>
                <w:rFonts w:ascii="Calibri Light" w:hAnsi="Calibri Light"/>
                <w:color w:val="000000"/>
              </w:rPr>
            </w:pPr>
            <w:r w:rsidRPr="00C3365A">
              <w:rPr>
                <w:rFonts w:ascii="Calibri Light" w:hAnsi="Calibri Light"/>
                <w:color w:val="000000"/>
              </w:rPr>
              <w:t>Análisis jurídico</w:t>
            </w:r>
          </w:p>
          <w:p w14:paraId="3BB893AC" w14:textId="399594D3" w:rsidR="00CA32F1" w:rsidRPr="00C3365A" w:rsidRDefault="00CA32F1" w:rsidP="00CA32F1">
            <w:pPr>
              <w:pBdr>
                <w:top w:val="nil"/>
                <w:left w:val="nil"/>
                <w:bottom w:val="nil"/>
                <w:right w:val="nil"/>
                <w:between w:val="nil"/>
              </w:pBdr>
              <w:ind w:left="720"/>
              <w:contextualSpacing/>
              <w:rPr>
                <w:rFonts w:ascii="Calibri Light" w:hAnsi="Calibri Light"/>
                <w:color w:val="000000"/>
              </w:rPr>
            </w:pPr>
          </w:p>
        </w:tc>
      </w:tr>
      <w:tr w:rsidR="00894028" w:rsidRPr="00C3365A" w14:paraId="608F6BD7" w14:textId="77777777" w:rsidTr="00894028">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8505" w:type="dxa"/>
            <w:gridSpan w:val="3"/>
          </w:tcPr>
          <w:p w14:paraId="4C1FB688" w14:textId="77777777" w:rsidR="001C49A0" w:rsidRPr="00C3365A" w:rsidRDefault="001C49A0" w:rsidP="001C49A0">
            <w:pPr>
              <w:spacing w:after="200" w:line="276" w:lineRule="auto"/>
              <w:contextualSpacing/>
              <w:jc w:val="both"/>
              <w:rPr>
                <w:rFonts w:ascii="Calibri Light" w:hAnsi="Calibri Light"/>
              </w:rPr>
            </w:pPr>
          </w:p>
          <w:p w14:paraId="09200F28" w14:textId="3389E4EA" w:rsidR="00894028" w:rsidRPr="00C3365A" w:rsidRDefault="00036320" w:rsidP="007A0B61">
            <w:pPr>
              <w:spacing w:after="200"/>
              <w:contextualSpacing/>
              <w:jc w:val="both"/>
              <w:rPr>
                <w:rFonts w:ascii="Calibri Light" w:hAnsi="Calibri Light"/>
              </w:rPr>
            </w:pPr>
            <w:r w:rsidRPr="00C3365A">
              <w:rPr>
                <w:rFonts w:ascii="Calibri Light" w:hAnsi="Calibri Light"/>
              </w:rPr>
              <w:t>Derechos a la vida e integridad personal de José Rusbel Lara (artículos 4 y 5 de la CADH)</w:t>
            </w:r>
            <w:r w:rsidRPr="00C3365A">
              <w:rPr>
                <w:rFonts w:ascii="Calibri Light" w:hAnsi="Calibri Light"/>
              </w:rPr>
              <w:br/>
            </w:r>
          </w:p>
          <w:p w14:paraId="2DF22203" w14:textId="77777777" w:rsidR="00894028" w:rsidRPr="00C3365A" w:rsidRDefault="00036320" w:rsidP="007A0B61">
            <w:pPr>
              <w:numPr>
                <w:ilvl w:val="0"/>
                <w:numId w:val="3"/>
              </w:numPr>
              <w:spacing w:after="200"/>
              <w:contextualSpacing/>
              <w:jc w:val="both"/>
              <w:rPr>
                <w:rFonts w:ascii="Calibri Light" w:hAnsi="Calibri Light"/>
              </w:rPr>
            </w:pPr>
            <w:r w:rsidRPr="00C3365A">
              <w:rPr>
                <w:rFonts w:ascii="Calibri Light" w:hAnsi="Calibri Light"/>
              </w:rPr>
              <w:t>Consideraciones generales sobre el derecho a la vida y el derecho a la integridad personal</w:t>
            </w:r>
          </w:p>
          <w:p w14:paraId="3D0F9492" w14:textId="77777777" w:rsidR="00B84AE9" w:rsidRPr="00C3365A" w:rsidRDefault="00B84AE9" w:rsidP="007A0B61">
            <w:pPr>
              <w:spacing w:after="200"/>
              <w:ind w:left="1080"/>
              <w:contextualSpacing/>
              <w:jc w:val="both"/>
              <w:rPr>
                <w:rFonts w:ascii="Calibri Light" w:hAnsi="Calibri Light"/>
              </w:rPr>
            </w:pPr>
          </w:p>
          <w:p w14:paraId="19C389D2" w14:textId="068C294B" w:rsidR="00894028" w:rsidRPr="00C3365A" w:rsidRDefault="00036320" w:rsidP="007A0B61">
            <w:pPr>
              <w:jc w:val="both"/>
              <w:rPr>
                <w:rFonts w:ascii="Calibri Light" w:hAnsi="Calibri Light"/>
                <w:b w:val="0"/>
              </w:rPr>
            </w:pPr>
            <w:r w:rsidRPr="00C3365A">
              <w:rPr>
                <w:rFonts w:ascii="Calibri Light" w:hAnsi="Calibri Light"/>
                <w:b w:val="0"/>
              </w:rPr>
              <w:t xml:space="preserve">De acuerdo a la Corte IDH, los derechos a la vida y a la integridad personal, contenidos en los artículos 4 y 5 de la CADH respectivamente, forman parte de un núcleo inderogable que no puede ser suspendido en casos de </w:t>
            </w:r>
            <w:r w:rsidR="00F220B2" w:rsidRPr="00C3365A">
              <w:rPr>
                <w:rFonts w:ascii="Calibri Light" w:hAnsi="Calibri Light"/>
                <w:b w:val="0"/>
              </w:rPr>
              <w:t>conflicto armado</w:t>
            </w:r>
            <w:r w:rsidRPr="00C3365A">
              <w:rPr>
                <w:rFonts w:ascii="Calibri Light" w:hAnsi="Calibri Light"/>
                <w:b w:val="0"/>
              </w:rPr>
              <w:t xml:space="preserve">, peligro público o amenazas a la independencia o seguridad de los Estados Partes. No basta la abstención por parte del Estado de su vulneración, sino que se requiere la adopción de medidas positivas para su garantía, las cuales han de ser determinadas en función </w:t>
            </w:r>
            <w:r w:rsidR="00A66FC3" w:rsidRPr="00C3365A">
              <w:rPr>
                <w:rFonts w:ascii="Calibri Light" w:hAnsi="Calibri Light"/>
                <w:b w:val="0"/>
              </w:rPr>
              <w:t>a la situación específica</w:t>
            </w:r>
            <w:r w:rsidRPr="00C3365A">
              <w:rPr>
                <w:rFonts w:ascii="Calibri Light" w:hAnsi="Calibri Light"/>
                <w:b w:val="0"/>
              </w:rPr>
              <w:t xml:space="preserve"> en que se encuentra cada particular.</w:t>
            </w:r>
          </w:p>
          <w:p w14:paraId="7D8AFC86" w14:textId="77777777" w:rsidR="00894028" w:rsidRPr="00C3365A" w:rsidRDefault="00894028" w:rsidP="007A0B61">
            <w:pPr>
              <w:jc w:val="both"/>
              <w:rPr>
                <w:rFonts w:ascii="Calibri Light" w:hAnsi="Calibri Light"/>
                <w:b w:val="0"/>
              </w:rPr>
            </w:pPr>
          </w:p>
          <w:p w14:paraId="7D591F21" w14:textId="494230A5" w:rsidR="00894028" w:rsidRPr="00C3365A" w:rsidRDefault="00B0428D" w:rsidP="007A0B61">
            <w:pPr>
              <w:jc w:val="both"/>
              <w:rPr>
                <w:rFonts w:ascii="Calibri Light" w:hAnsi="Calibri Light"/>
                <w:b w:val="0"/>
              </w:rPr>
            </w:pPr>
            <w:r>
              <w:rPr>
                <w:rFonts w:ascii="Calibri Light" w:hAnsi="Calibri Light"/>
                <w:b w:val="0"/>
              </w:rPr>
              <w:t>E</w:t>
            </w:r>
            <w:r w:rsidR="00484236" w:rsidRPr="00C3365A">
              <w:rPr>
                <w:rFonts w:ascii="Calibri Light" w:hAnsi="Calibri Light"/>
                <w:b w:val="0"/>
              </w:rPr>
              <w:t xml:space="preserve">n relación con las obligaciones de prevenir y proteger que se desprenden del artículo 1.1 de la CADH, </w:t>
            </w:r>
            <w:r>
              <w:rPr>
                <w:rFonts w:ascii="Calibri Light" w:hAnsi="Calibri Light"/>
                <w:b w:val="0"/>
              </w:rPr>
              <w:t>ello im</w:t>
            </w:r>
            <w:r w:rsidR="00484236" w:rsidRPr="00C3365A">
              <w:rPr>
                <w:rFonts w:ascii="Calibri Light" w:hAnsi="Calibri Light"/>
                <w:b w:val="0"/>
              </w:rPr>
              <w:t>plica no solo</w:t>
            </w:r>
            <w:r w:rsidR="00036320" w:rsidRPr="00C3365A">
              <w:rPr>
                <w:rFonts w:ascii="Calibri Light" w:hAnsi="Calibri Light"/>
                <w:b w:val="0"/>
              </w:rPr>
              <w:t xml:space="preserve"> la adopción de medidas que promuevan su salvaguarda y la sanción de posibles responsables de su violación, sino que además extiende la responsabilidad del Estado en determinadas circunstancias a violaciones perpetradas por terceros o particulares. Tanto la Corte IDH como la CIDH han determinado que el nacimiento de la responsabilidad internacional en dichos casos se encontraría condicionado a una situación de riesgo real e inmediato, y a las posibilidades razonables de</w:t>
            </w:r>
            <w:r w:rsidR="005D7475" w:rsidRPr="00C3365A">
              <w:rPr>
                <w:rFonts w:ascii="Calibri Light" w:hAnsi="Calibri Light"/>
                <w:b w:val="0"/>
              </w:rPr>
              <w:t xml:space="preserve"> poder evitar la materialización</w:t>
            </w:r>
            <w:r w:rsidR="00036320" w:rsidRPr="00C3365A">
              <w:rPr>
                <w:rFonts w:ascii="Calibri Light" w:hAnsi="Calibri Light"/>
                <w:b w:val="0"/>
              </w:rPr>
              <w:t xml:space="preserve"> de dicho riesgo por parte del Estado.</w:t>
            </w:r>
            <w:r w:rsidR="00E61FC7">
              <w:rPr>
                <w:rFonts w:ascii="Calibri Light" w:hAnsi="Calibri Light"/>
                <w:b w:val="0"/>
              </w:rPr>
              <w:t xml:space="preserve"> </w:t>
            </w:r>
            <w:r w:rsidR="00966BCD" w:rsidRPr="00C3365A">
              <w:rPr>
                <w:rFonts w:ascii="Calibri Light" w:hAnsi="Calibri Light"/>
                <w:b w:val="0"/>
              </w:rPr>
              <w:t>Asimismo, ambos órganos han enfatizado que lo señalado</w:t>
            </w:r>
            <w:r w:rsidR="00036320" w:rsidRPr="00C3365A">
              <w:rPr>
                <w:rFonts w:ascii="Calibri Light" w:hAnsi="Calibri Light"/>
                <w:b w:val="0"/>
              </w:rPr>
              <w:t xml:space="preserve"> cobra especial importancia en el caso de defensores y defensoras de derechos humanos, </w:t>
            </w:r>
            <w:r w:rsidR="00966BCD" w:rsidRPr="00C3365A">
              <w:rPr>
                <w:rFonts w:ascii="Calibri Light" w:hAnsi="Calibri Light"/>
                <w:b w:val="0"/>
              </w:rPr>
              <w:t>para</w:t>
            </w:r>
            <w:r w:rsidR="00036320" w:rsidRPr="00C3365A">
              <w:rPr>
                <w:rFonts w:ascii="Calibri Light" w:hAnsi="Calibri Light"/>
                <w:b w:val="0"/>
              </w:rPr>
              <w:t xml:space="preserve"> los cuales la obligación del Estado no se ve satisfecha con proporcionar medidas materiales para el libre ejercicio de su derecho a la integridad personal o a la vida, sino que además implica el análisis y toma de medidas sobre las causas estructurales que hacen riesgoso el ejercicio de su labor.</w:t>
            </w:r>
          </w:p>
          <w:p w14:paraId="5F0C3989" w14:textId="77777777" w:rsidR="00894028" w:rsidRPr="00C3365A" w:rsidRDefault="00894028" w:rsidP="007A0B61">
            <w:pPr>
              <w:ind w:left="1080" w:hanging="720"/>
              <w:jc w:val="both"/>
              <w:rPr>
                <w:rFonts w:ascii="Calibri Light" w:hAnsi="Calibri Light"/>
              </w:rPr>
            </w:pPr>
          </w:p>
          <w:p w14:paraId="7308230B" w14:textId="652C23A1" w:rsidR="00894028" w:rsidRPr="00C3365A" w:rsidRDefault="00036320" w:rsidP="007A0B61">
            <w:pPr>
              <w:numPr>
                <w:ilvl w:val="0"/>
                <w:numId w:val="3"/>
              </w:numPr>
              <w:spacing w:after="200"/>
              <w:contextualSpacing/>
              <w:jc w:val="both"/>
              <w:rPr>
                <w:rFonts w:ascii="Calibri Light" w:hAnsi="Calibri Light"/>
              </w:rPr>
            </w:pPr>
            <w:r w:rsidRPr="00C3365A">
              <w:rPr>
                <w:rFonts w:ascii="Calibri Light" w:hAnsi="Calibri Light"/>
              </w:rPr>
              <w:t>Consideraciones sobre la afectación a la vida e integridad personal del señor Lara</w:t>
            </w:r>
          </w:p>
          <w:p w14:paraId="1A355AE1" w14:textId="77777777" w:rsidR="00B84AE9" w:rsidRPr="00C3365A" w:rsidRDefault="00B84AE9" w:rsidP="007A0B61">
            <w:pPr>
              <w:spacing w:after="200"/>
              <w:ind w:left="720"/>
              <w:contextualSpacing/>
              <w:jc w:val="both"/>
              <w:rPr>
                <w:rFonts w:ascii="Calibri Light" w:hAnsi="Calibri Light"/>
              </w:rPr>
            </w:pPr>
          </w:p>
          <w:p w14:paraId="0BEC2336" w14:textId="07346712" w:rsidR="00894028" w:rsidRPr="00C3365A" w:rsidRDefault="00036320" w:rsidP="007A0B61">
            <w:pPr>
              <w:spacing w:after="200"/>
              <w:jc w:val="both"/>
              <w:rPr>
                <w:rFonts w:ascii="Calibri Light" w:hAnsi="Calibri Light"/>
                <w:b w:val="0"/>
              </w:rPr>
            </w:pPr>
            <w:r w:rsidRPr="00C3365A">
              <w:rPr>
                <w:rFonts w:ascii="Calibri Light" w:hAnsi="Calibri Light"/>
                <w:b w:val="0"/>
              </w:rPr>
              <w:t>Respecto a las consideraciones sobre la afectación a la vida e integridad personal d</w:t>
            </w:r>
            <w:r w:rsidR="00E61FC7">
              <w:rPr>
                <w:rFonts w:ascii="Calibri Light" w:hAnsi="Calibri Light"/>
                <w:b w:val="0"/>
              </w:rPr>
              <w:t>e José Rusbel Lara, la CIDH tomó</w:t>
            </w:r>
            <w:r w:rsidRPr="00C3365A">
              <w:rPr>
                <w:rFonts w:ascii="Calibri Light" w:hAnsi="Calibri Light"/>
                <w:b w:val="0"/>
              </w:rPr>
              <w:t xml:space="preserve"> en cuenta dos aristas: a) el conocimiento de la situación de riesgo, y b) las medidas adoptadas por el Estado para su protección.</w:t>
            </w:r>
          </w:p>
          <w:p w14:paraId="7D0F8E4E" w14:textId="13EB11F0" w:rsidR="00894028" w:rsidRPr="00C3365A" w:rsidRDefault="00036320" w:rsidP="007A0B61">
            <w:pPr>
              <w:spacing w:after="200"/>
              <w:jc w:val="both"/>
              <w:rPr>
                <w:rFonts w:ascii="Calibri Light" w:hAnsi="Calibri Light"/>
                <w:b w:val="0"/>
              </w:rPr>
            </w:pPr>
            <w:r w:rsidRPr="00C3365A">
              <w:rPr>
                <w:rFonts w:ascii="Calibri Light" w:hAnsi="Calibri Light"/>
                <w:b w:val="0"/>
              </w:rPr>
              <w:t>Respecto al conocimiento de la situación de riesgo, la CIDH consider</w:t>
            </w:r>
            <w:r w:rsidR="00DE6782" w:rsidRPr="00C3365A">
              <w:rPr>
                <w:rFonts w:ascii="Calibri Light" w:hAnsi="Calibri Light"/>
                <w:b w:val="0"/>
              </w:rPr>
              <w:t>ó</w:t>
            </w:r>
            <w:r w:rsidRPr="00C3365A">
              <w:rPr>
                <w:rFonts w:ascii="Calibri Light" w:hAnsi="Calibri Light"/>
                <w:b w:val="0"/>
              </w:rPr>
              <w:t xml:space="preserve"> que la situación generalizada de violencia contra la población civil, especialmente contra defensores y defensoras de derechos humanos en Colombia a la fecha de acontecidos los hechos del caso, era conocida por el Estado. </w:t>
            </w:r>
            <w:r w:rsidR="00A66FC3" w:rsidRPr="00C3365A">
              <w:rPr>
                <w:rFonts w:ascii="Calibri Light" w:hAnsi="Calibri Light"/>
                <w:b w:val="0"/>
              </w:rPr>
              <w:t>E</w:t>
            </w:r>
            <w:r w:rsidRPr="00C3365A">
              <w:rPr>
                <w:rFonts w:ascii="Calibri Light" w:hAnsi="Calibri Light"/>
                <w:b w:val="0"/>
              </w:rPr>
              <w:t xml:space="preserve">n específico sobre la situación en el departamento de Arauca, el Estado era consciente sobre la presencia del BVA, su gran capacidad de articulación, y las </w:t>
            </w:r>
            <w:r w:rsidRPr="00C3365A">
              <w:rPr>
                <w:rFonts w:ascii="Calibri Light" w:hAnsi="Calibri Light"/>
                <w:b w:val="0"/>
              </w:rPr>
              <w:lastRenderedPageBreak/>
              <w:t xml:space="preserve">constantes y graves amenazas de las que defensores y defensoras de derechos humanos eran </w:t>
            </w:r>
            <w:r w:rsidR="00A66FC3" w:rsidRPr="00C3365A">
              <w:rPr>
                <w:rFonts w:ascii="Calibri Light" w:hAnsi="Calibri Light"/>
                <w:b w:val="0"/>
              </w:rPr>
              <w:t>objeto</w:t>
            </w:r>
            <w:r w:rsidRPr="00C3365A">
              <w:rPr>
                <w:rFonts w:ascii="Calibri Light" w:hAnsi="Calibri Light"/>
                <w:b w:val="0"/>
              </w:rPr>
              <w:t>.</w:t>
            </w:r>
          </w:p>
          <w:p w14:paraId="58D32F4F" w14:textId="6B05F70C" w:rsidR="00894028" w:rsidRPr="00C3365A" w:rsidRDefault="00036320" w:rsidP="007A0B61">
            <w:pPr>
              <w:spacing w:after="200"/>
              <w:jc w:val="both"/>
              <w:rPr>
                <w:rFonts w:ascii="Calibri Light" w:hAnsi="Calibri Light"/>
                <w:b w:val="0"/>
              </w:rPr>
            </w:pPr>
            <w:r w:rsidRPr="00C3365A">
              <w:rPr>
                <w:rFonts w:ascii="Calibri Light" w:hAnsi="Calibri Light"/>
                <w:b w:val="0"/>
              </w:rPr>
              <w:t>Aunado a ello, el señor Lara h</w:t>
            </w:r>
            <w:r w:rsidR="00ED1623" w:rsidRPr="00C3365A">
              <w:rPr>
                <w:rFonts w:ascii="Calibri Light" w:hAnsi="Calibri Light"/>
                <w:b w:val="0"/>
              </w:rPr>
              <w:t>abía sido individualizado</w:t>
            </w:r>
            <w:r w:rsidRPr="00C3365A">
              <w:rPr>
                <w:rFonts w:ascii="Calibri Light" w:hAnsi="Calibri Light"/>
                <w:b w:val="0"/>
              </w:rPr>
              <w:t xml:space="preserve"> de entre las víctimas de dichas amenazas</w:t>
            </w:r>
            <w:r w:rsidR="00ED1623" w:rsidRPr="00C3365A">
              <w:rPr>
                <w:rFonts w:ascii="Calibri Light" w:hAnsi="Calibri Light"/>
                <w:b w:val="0"/>
              </w:rPr>
              <w:t>,</w:t>
            </w:r>
            <w:r w:rsidRPr="00C3365A">
              <w:rPr>
                <w:rFonts w:ascii="Calibri Light" w:hAnsi="Calibri Light"/>
                <w:b w:val="0"/>
              </w:rPr>
              <w:t xml:space="preserve"> a través de la comunicación de la CIDH que otorgó medida</w:t>
            </w:r>
            <w:r w:rsidR="00E61FC7">
              <w:rPr>
                <w:rFonts w:ascii="Calibri Light" w:hAnsi="Calibri Light"/>
                <w:b w:val="0"/>
              </w:rPr>
              <w:t>s</w:t>
            </w:r>
            <w:r w:rsidRPr="00C3365A">
              <w:rPr>
                <w:rFonts w:ascii="Calibri Light" w:hAnsi="Calibri Light"/>
                <w:b w:val="0"/>
              </w:rPr>
              <w:t xml:space="preserve"> cautelar</w:t>
            </w:r>
            <w:r w:rsidR="00E61FC7">
              <w:rPr>
                <w:rFonts w:ascii="Calibri Light" w:hAnsi="Calibri Light"/>
                <w:b w:val="0"/>
              </w:rPr>
              <w:t>es</w:t>
            </w:r>
            <w:r w:rsidRPr="00C3365A">
              <w:rPr>
                <w:rFonts w:ascii="Calibri Light" w:hAnsi="Calibri Light"/>
                <w:b w:val="0"/>
              </w:rPr>
              <w:t xml:space="preserve"> </w:t>
            </w:r>
            <w:r w:rsidR="00E61FC7">
              <w:rPr>
                <w:rFonts w:ascii="Calibri Light" w:hAnsi="Calibri Light"/>
                <w:b w:val="0"/>
              </w:rPr>
              <w:t xml:space="preserve">a </w:t>
            </w:r>
            <w:r w:rsidRPr="00C3365A">
              <w:rPr>
                <w:rFonts w:ascii="Calibri Light" w:hAnsi="Calibri Light"/>
                <w:b w:val="0"/>
              </w:rPr>
              <w:t xml:space="preserve">su favor y </w:t>
            </w:r>
            <w:r w:rsidR="00E61FC7">
              <w:rPr>
                <w:rFonts w:ascii="Calibri Light" w:hAnsi="Calibri Light"/>
                <w:b w:val="0"/>
              </w:rPr>
              <w:t xml:space="preserve">de </w:t>
            </w:r>
            <w:r w:rsidRPr="00C3365A">
              <w:rPr>
                <w:rFonts w:ascii="Calibri Light" w:hAnsi="Calibri Light"/>
                <w:b w:val="0"/>
              </w:rPr>
              <w:t>otros defensores y defensoras de derechos humanos en Colombia. Si bien el Estado afirmó no tener conocimiento de las amenazas de las que fue víctima el señor Lara de forma previ</w:t>
            </w:r>
            <w:r w:rsidR="00AF54A4" w:rsidRPr="00C3365A">
              <w:rPr>
                <w:rFonts w:ascii="Calibri Light" w:hAnsi="Calibri Light"/>
                <w:b w:val="0"/>
              </w:rPr>
              <w:t>a a su muerte, la CIDH consideró</w:t>
            </w:r>
            <w:r w:rsidRPr="00C3365A">
              <w:rPr>
                <w:rFonts w:ascii="Calibri Light" w:hAnsi="Calibri Light"/>
                <w:b w:val="0"/>
              </w:rPr>
              <w:t xml:space="preserve"> que de haber tomado de forma seria y diligente la situación y el otorgamiento de la</w:t>
            </w:r>
            <w:r w:rsidR="00F80685" w:rsidRPr="00C3365A">
              <w:rPr>
                <w:rFonts w:ascii="Calibri Light" w:hAnsi="Calibri Light"/>
                <w:b w:val="0"/>
              </w:rPr>
              <w:t>s</w:t>
            </w:r>
            <w:r w:rsidRPr="00C3365A">
              <w:rPr>
                <w:rFonts w:ascii="Calibri Light" w:hAnsi="Calibri Light"/>
                <w:b w:val="0"/>
              </w:rPr>
              <w:t xml:space="preserve"> medida</w:t>
            </w:r>
            <w:r w:rsidR="00F80685" w:rsidRPr="00C3365A">
              <w:rPr>
                <w:rFonts w:ascii="Calibri Light" w:hAnsi="Calibri Light"/>
                <w:b w:val="0"/>
              </w:rPr>
              <w:t>s</w:t>
            </w:r>
            <w:r w:rsidRPr="00C3365A">
              <w:rPr>
                <w:rFonts w:ascii="Calibri Light" w:hAnsi="Calibri Light"/>
                <w:b w:val="0"/>
              </w:rPr>
              <w:t xml:space="preserve"> cautelar</w:t>
            </w:r>
            <w:r w:rsidR="00F80685" w:rsidRPr="00C3365A">
              <w:rPr>
                <w:rFonts w:ascii="Calibri Light" w:hAnsi="Calibri Light"/>
                <w:b w:val="0"/>
              </w:rPr>
              <w:t>es</w:t>
            </w:r>
            <w:r w:rsidRPr="00C3365A">
              <w:rPr>
                <w:rFonts w:ascii="Calibri Light" w:hAnsi="Calibri Light"/>
                <w:b w:val="0"/>
              </w:rPr>
              <w:t xml:space="preserve"> de la</w:t>
            </w:r>
            <w:r w:rsidR="00F80685" w:rsidRPr="00C3365A">
              <w:rPr>
                <w:rFonts w:ascii="Calibri Light" w:hAnsi="Calibri Light"/>
                <w:b w:val="0"/>
              </w:rPr>
              <w:t>s</w:t>
            </w:r>
            <w:r w:rsidRPr="00C3365A">
              <w:rPr>
                <w:rFonts w:ascii="Calibri Light" w:hAnsi="Calibri Light"/>
                <w:b w:val="0"/>
              </w:rPr>
              <w:t xml:space="preserve"> que fue beneficiario, podría haber cumplido con su deber de prevención.</w:t>
            </w:r>
          </w:p>
          <w:p w14:paraId="40E61FAA" w14:textId="01C0D8F7" w:rsidR="00E33CB9" w:rsidRPr="00C3365A" w:rsidRDefault="00036320" w:rsidP="007A0B61">
            <w:pPr>
              <w:jc w:val="both"/>
              <w:rPr>
                <w:rFonts w:ascii="Calibri Light" w:hAnsi="Calibri Light"/>
              </w:rPr>
            </w:pPr>
            <w:r w:rsidRPr="00C3365A">
              <w:rPr>
                <w:rFonts w:ascii="Calibri Light" w:hAnsi="Calibri Light"/>
                <w:b w:val="0"/>
              </w:rPr>
              <w:t>Por otro lado, el esquema de protecci</w:t>
            </w:r>
            <w:r w:rsidR="00ED43A5" w:rsidRPr="00C3365A">
              <w:rPr>
                <w:rFonts w:ascii="Calibri Light" w:hAnsi="Calibri Light"/>
                <w:b w:val="0"/>
              </w:rPr>
              <w:t>ón diseñado para el señor</w:t>
            </w:r>
            <w:r w:rsidRPr="00C3365A">
              <w:rPr>
                <w:rFonts w:ascii="Calibri Light" w:hAnsi="Calibri Light"/>
                <w:b w:val="0"/>
              </w:rPr>
              <w:t xml:space="preserve"> Lara y otros beneficiarios</w:t>
            </w:r>
            <w:r w:rsidR="00A66FC3" w:rsidRPr="00C3365A">
              <w:rPr>
                <w:rFonts w:ascii="Calibri Light" w:hAnsi="Calibri Light"/>
                <w:b w:val="0"/>
              </w:rPr>
              <w:t xml:space="preserve"> resultó insuficiente</w:t>
            </w:r>
            <w:r w:rsidRPr="00C3365A">
              <w:rPr>
                <w:rFonts w:ascii="Calibri Light" w:hAnsi="Calibri Light"/>
                <w:b w:val="0"/>
              </w:rPr>
              <w:t xml:space="preserve">. </w:t>
            </w:r>
            <w:r w:rsidR="00E33CB9" w:rsidRPr="00C3365A">
              <w:rPr>
                <w:rFonts w:ascii="Calibri Light" w:hAnsi="Calibri Light"/>
                <w:b w:val="0"/>
              </w:rPr>
              <w:t>En este aspecto, la CIDH señaló</w:t>
            </w:r>
            <w:r w:rsidR="00560851" w:rsidRPr="00C3365A">
              <w:rPr>
                <w:rFonts w:ascii="Calibri Light" w:hAnsi="Calibri Light"/>
                <w:b w:val="0"/>
              </w:rPr>
              <w:t xml:space="preserve"> que para que las medidas de protección sean idóneas para un defensor o defensora</w:t>
            </w:r>
            <w:r w:rsidR="00E61FC7">
              <w:rPr>
                <w:rFonts w:ascii="Calibri Light" w:hAnsi="Calibri Light"/>
                <w:b w:val="0"/>
              </w:rPr>
              <w:t xml:space="preserve"> de derechos humanos</w:t>
            </w:r>
            <w:r w:rsidR="00E33CB9" w:rsidRPr="00C3365A">
              <w:rPr>
                <w:rFonts w:ascii="Calibri Light" w:hAnsi="Calibri Light"/>
                <w:b w:val="0"/>
              </w:rPr>
              <w:t>,</w:t>
            </w:r>
            <w:r w:rsidR="00560851" w:rsidRPr="00C3365A">
              <w:rPr>
                <w:rFonts w:ascii="Calibri Light" w:hAnsi="Calibri Light"/>
                <w:b w:val="0"/>
              </w:rPr>
              <w:t xml:space="preserve"> deben corresponder a las necesidades de sus labores y poder ser modificadas con base </w:t>
            </w:r>
            <w:r w:rsidR="00E61FC7">
              <w:rPr>
                <w:rFonts w:ascii="Calibri Light" w:hAnsi="Calibri Light"/>
                <w:b w:val="0"/>
              </w:rPr>
              <w:t>a</w:t>
            </w:r>
            <w:r w:rsidR="00560851" w:rsidRPr="00C3365A">
              <w:rPr>
                <w:rFonts w:ascii="Calibri Light" w:hAnsi="Calibri Light"/>
                <w:b w:val="0"/>
              </w:rPr>
              <w:t xml:space="preserve"> la variación en la intensidad de riesgo que ameriten </w:t>
            </w:r>
            <w:r w:rsidR="00E61FC7">
              <w:rPr>
                <w:rFonts w:ascii="Calibri Light" w:hAnsi="Calibri Light"/>
                <w:b w:val="0"/>
              </w:rPr>
              <w:t>sus</w:t>
            </w:r>
            <w:r w:rsidR="00560851" w:rsidRPr="00C3365A">
              <w:rPr>
                <w:rFonts w:ascii="Calibri Light" w:hAnsi="Calibri Light"/>
                <w:b w:val="0"/>
              </w:rPr>
              <w:t xml:space="preserve"> actividades. </w:t>
            </w:r>
            <w:r w:rsidR="00236597">
              <w:rPr>
                <w:rFonts w:ascii="Calibri Light" w:hAnsi="Calibri Light"/>
                <w:b w:val="0"/>
              </w:rPr>
              <w:t>El</w:t>
            </w:r>
            <w:r w:rsidR="00E33CB9" w:rsidRPr="00C3365A">
              <w:rPr>
                <w:rFonts w:ascii="Calibri Light" w:hAnsi="Calibri Light"/>
                <w:b w:val="0"/>
              </w:rPr>
              <w:t xml:space="preserve"> Estado resaltó</w:t>
            </w:r>
            <w:r w:rsidR="00560851" w:rsidRPr="00C3365A">
              <w:rPr>
                <w:rFonts w:ascii="Calibri Light" w:hAnsi="Calibri Light"/>
                <w:b w:val="0"/>
              </w:rPr>
              <w:t xml:space="preserve"> haber entregado una serie de recomendaciones sobre medidas de autoprotección y los teléfonos de los comand</w:t>
            </w:r>
            <w:r w:rsidR="00E33CB9" w:rsidRPr="00C3365A">
              <w:rPr>
                <w:rFonts w:ascii="Calibri Light" w:hAnsi="Calibri Light"/>
                <w:b w:val="0"/>
              </w:rPr>
              <w:t>os de la zona</w:t>
            </w:r>
            <w:r w:rsidR="00236597">
              <w:rPr>
                <w:rFonts w:ascii="Calibri Light" w:hAnsi="Calibri Light"/>
                <w:b w:val="0"/>
              </w:rPr>
              <w:t>. No obstante</w:t>
            </w:r>
            <w:r w:rsidR="00E33CB9" w:rsidRPr="00C3365A">
              <w:rPr>
                <w:rFonts w:ascii="Calibri Light" w:hAnsi="Calibri Light"/>
                <w:b w:val="0"/>
              </w:rPr>
              <w:t>, la CIDH consideró</w:t>
            </w:r>
            <w:r w:rsidR="00560851" w:rsidRPr="00C3365A">
              <w:rPr>
                <w:rFonts w:ascii="Calibri Light" w:hAnsi="Calibri Light"/>
                <w:b w:val="0"/>
              </w:rPr>
              <w:t xml:space="preserve"> que esas medidas, por la </w:t>
            </w:r>
            <w:r w:rsidR="00E33CB9" w:rsidRPr="00C3365A">
              <w:rPr>
                <w:rFonts w:ascii="Calibri Light" w:hAnsi="Calibri Light"/>
                <w:b w:val="0"/>
              </w:rPr>
              <w:t>naturaleza en que se perpetró su</w:t>
            </w:r>
            <w:r w:rsidR="00560851" w:rsidRPr="00C3365A">
              <w:rPr>
                <w:rFonts w:ascii="Calibri Light" w:hAnsi="Calibri Light"/>
                <w:b w:val="0"/>
              </w:rPr>
              <w:t xml:space="preserve"> homicidio, no podrían haber evitado o prevenido su asesinato</w:t>
            </w:r>
            <w:r w:rsidR="00E33CB9" w:rsidRPr="00C3365A">
              <w:rPr>
                <w:rFonts w:ascii="Calibri Light" w:hAnsi="Calibri Light"/>
                <w:b w:val="0"/>
              </w:rPr>
              <w:t xml:space="preserve">, en tanto no </w:t>
            </w:r>
            <w:r w:rsidR="00236597">
              <w:rPr>
                <w:rFonts w:ascii="Calibri Light" w:hAnsi="Calibri Light"/>
                <w:b w:val="0"/>
              </w:rPr>
              <w:t>se realizó</w:t>
            </w:r>
            <w:r w:rsidR="00E33CB9" w:rsidRPr="00C3365A">
              <w:rPr>
                <w:rFonts w:ascii="Calibri Light" w:hAnsi="Calibri Light"/>
                <w:b w:val="0"/>
              </w:rPr>
              <w:t xml:space="preserve"> un estudio de riesgo para conocer la situación del beneficiario</w:t>
            </w:r>
            <w:r w:rsidR="00236597">
              <w:rPr>
                <w:rFonts w:ascii="Calibri Light" w:hAnsi="Calibri Light"/>
                <w:b w:val="0"/>
              </w:rPr>
              <w:t>. Esto evidenció</w:t>
            </w:r>
            <w:r w:rsidR="00E33CB9" w:rsidRPr="00C3365A">
              <w:rPr>
                <w:rFonts w:ascii="Calibri Light" w:hAnsi="Calibri Light"/>
                <w:b w:val="0"/>
              </w:rPr>
              <w:t xml:space="preserve"> aún más la falta de diligencia en la implementación de la</w:t>
            </w:r>
            <w:r w:rsidR="00236597">
              <w:rPr>
                <w:rFonts w:ascii="Calibri Light" w:hAnsi="Calibri Light"/>
                <w:b w:val="0"/>
              </w:rPr>
              <w:t>s</w:t>
            </w:r>
            <w:r w:rsidR="00E33CB9" w:rsidRPr="00C3365A">
              <w:rPr>
                <w:rFonts w:ascii="Calibri Light" w:hAnsi="Calibri Light"/>
                <w:b w:val="0"/>
              </w:rPr>
              <w:t xml:space="preserve"> medida</w:t>
            </w:r>
            <w:r w:rsidR="00236597">
              <w:rPr>
                <w:rFonts w:ascii="Calibri Light" w:hAnsi="Calibri Light"/>
                <w:b w:val="0"/>
              </w:rPr>
              <w:t>s</w:t>
            </w:r>
            <w:r w:rsidR="00E33CB9" w:rsidRPr="00C3365A">
              <w:rPr>
                <w:rFonts w:ascii="Calibri Light" w:hAnsi="Calibri Light"/>
                <w:b w:val="0"/>
              </w:rPr>
              <w:t xml:space="preserve"> cautelar</w:t>
            </w:r>
            <w:r w:rsidR="00236597">
              <w:rPr>
                <w:rFonts w:ascii="Calibri Light" w:hAnsi="Calibri Light"/>
                <w:b w:val="0"/>
              </w:rPr>
              <w:t>es</w:t>
            </w:r>
            <w:r w:rsidR="00E33CB9" w:rsidRPr="00C3365A">
              <w:rPr>
                <w:rFonts w:ascii="Calibri Light" w:hAnsi="Calibri Light"/>
                <w:b w:val="0"/>
              </w:rPr>
              <w:t xml:space="preserve"> y el estado de indefensión</w:t>
            </w:r>
            <w:r w:rsidR="00236597">
              <w:rPr>
                <w:rFonts w:ascii="Calibri Light" w:hAnsi="Calibri Light"/>
                <w:b w:val="0"/>
              </w:rPr>
              <w:t xml:space="preserve"> en que el Estado dejó al señor</w:t>
            </w:r>
            <w:r w:rsidR="00323FC0" w:rsidRPr="00C3365A">
              <w:rPr>
                <w:rFonts w:ascii="Calibri Light" w:hAnsi="Calibri Light"/>
                <w:b w:val="0"/>
              </w:rPr>
              <w:t xml:space="preserve"> </w:t>
            </w:r>
            <w:r w:rsidR="00E33CB9" w:rsidRPr="00C3365A">
              <w:rPr>
                <w:rFonts w:ascii="Calibri Light" w:hAnsi="Calibri Light"/>
                <w:b w:val="0"/>
              </w:rPr>
              <w:t>Lara frente a la actuación paramilitar.</w:t>
            </w:r>
            <w:r w:rsidR="00E33CB9" w:rsidRPr="00C3365A">
              <w:rPr>
                <w:rFonts w:ascii="Calibri Light" w:hAnsi="Calibri Light"/>
              </w:rPr>
              <w:t xml:space="preserve"> </w:t>
            </w:r>
          </w:p>
          <w:p w14:paraId="485BF1EA" w14:textId="77777777" w:rsidR="00E33CB9" w:rsidRPr="00C3365A" w:rsidRDefault="00E33CB9" w:rsidP="007A0B61">
            <w:pPr>
              <w:jc w:val="both"/>
              <w:rPr>
                <w:rFonts w:ascii="Calibri Light" w:hAnsi="Calibri Light"/>
              </w:rPr>
            </w:pPr>
          </w:p>
          <w:p w14:paraId="2D04B754" w14:textId="18578EF8" w:rsidR="00894028" w:rsidRDefault="00036320" w:rsidP="00904471">
            <w:pPr>
              <w:jc w:val="both"/>
              <w:rPr>
                <w:rFonts w:ascii="Calibri Light" w:hAnsi="Calibri Light"/>
                <w:b w:val="0"/>
              </w:rPr>
            </w:pPr>
            <w:r w:rsidRPr="00C3365A">
              <w:rPr>
                <w:rFonts w:ascii="Calibri Light" w:hAnsi="Calibri Light"/>
                <w:b w:val="0"/>
              </w:rPr>
              <w:t>La falta de una oportuna evaluación de riesgo y el no otorgamiento de facilidades para la protección durante sus traslados suponen fallas relevantes en la prevención de la afectación de los derechos a la vida e integridad personal del señor Lara, ya que generaron una situación de indefensión que culminó en su asesinato por los integrantes del grupo paramilitar BVA.</w:t>
            </w:r>
            <w:r w:rsidR="00904471">
              <w:rPr>
                <w:rFonts w:ascii="Calibri Light" w:hAnsi="Calibri Light"/>
                <w:b w:val="0"/>
              </w:rPr>
              <w:t xml:space="preserve"> </w:t>
            </w:r>
            <w:r w:rsidRPr="00C3365A">
              <w:rPr>
                <w:rFonts w:ascii="Calibri Light" w:hAnsi="Calibri Light"/>
                <w:b w:val="0"/>
              </w:rPr>
              <w:t>Por lo detallado, la CIDH declaró la responsabilidad del Estado de Colombia por la violación del artículo 4.1 de la CADH</w:t>
            </w:r>
            <w:r w:rsidR="00904471">
              <w:rPr>
                <w:rFonts w:ascii="Calibri Light" w:hAnsi="Calibri Light"/>
                <w:b w:val="0"/>
              </w:rPr>
              <w:t>,</w:t>
            </w:r>
            <w:r w:rsidRPr="00C3365A">
              <w:rPr>
                <w:rFonts w:ascii="Calibri Light" w:hAnsi="Calibri Light"/>
                <w:b w:val="0"/>
              </w:rPr>
              <w:t xml:space="preserve"> en relación con su artículo 1.1. Asimismo, </w:t>
            </w:r>
            <w:r w:rsidR="00904471" w:rsidRPr="00C3365A">
              <w:rPr>
                <w:rFonts w:ascii="Calibri Light" w:hAnsi="Calibri Light"/>
                <w:b w:val="0"/>
              </w:rPr>
              <w:t>aunque los peticionarios no alegaron su violación</w:t>
            </w:r>
            <w:r w:rsidR="00904471">
              <w:rPr>
                <w:rFonts w:ascii="Calibri Light" w:hAnsi="Calibri Light"/>
                <w:b w:val="0"/>
              </w:rPr>
              <w:t>,</w:t>
            </w:r>
            <w:r w:rsidR="00904471" w:rsidRPr="00C3365A">
              <w:rPr>
                <w:rFonts w:ascii="Calibri Light" w:hAnsi="Calibri Light"/>
                <w:b w:val="0"/>
              </w:rPr>
              <w:t xml:space="preserve"> la CIDH declaró</w:t>
            </w:r>
            <w:r w:rsidR="00904471">
              <w:rPr>
                <w:rFonts w:ascii="Calibri Light" w:hAnsi="Calibri Light"/>
                <w:b w:val="0"/>
              </w:rPr>
              <w:t>,</w:t>
            </w:r>
            <w:r w:rsidR="00904471" w:rsidRPr="00C3365A">
              <w:rPr>
                <w:rFonts w:ascii="Calibri Light" w:hAnsi="Calibri Light"/>
                <w:b w:val="0"/>
              </w:rPr>
              <w:t xml:space="preserve"> </w:t>
            </w:r>
            <w:r w:rsidR="00904471">
              <w:rPr>
                <w:rFonts w:ascii="Calibri Light" w:hAnsi="Calibri Light"/>
                <w:b w:val="0"/>
              </w:rPr>
              <w:t xml:space="preserve">en virtud del principio de </w:t>
            </w:r>
            <w:r w:rsidR="00904471" w:rsidRPr="00904471">
              <w:rPr>
                <w:rFonts w:ascii="Calibri Light" w:hAnsi="Calibri Light"/>
                <w:b w:val="0"/>
                <w:i/>
              </w:rPr>
              <w:t>iura novit curia</w:t>
            </w:r>
            <w:r w:rsidRPr="00C3365A">
              <w:rPr>
                <w:rFonts w:ascii="Calibri Light" w:hAnsi="Calibri Light"/>
                <w:b w:val="0"/>
              </w:rPr>
              <w:t>,  la responsabilidad del Estado por la violación del artículo 5.1 de la CADH, en atención al sufrimiento físico, psíquico y moral que padeció el señor L</w:t>
            </w:r>
            <w:r w:rsidR="00084604" w:rsidRPr="00C3365A">
              <w:rPr>
                <w:rFonts w:ascii="Calibri Light" w:hAnsi="Calibri Light"/>
                <w:b w:val="0"/>
              </w:rPr>
              <w:t>ara de fo</w:t>
            </w:r>
            <w:r w:rsidR="000916F7" w:rsidRPr="00C3365A">
              <w:rPr>
                <w:rFonts w:ascii="Calibri Light" w:hAnsi="Calibri Light"/>
                <w:b w:val="0"/>
              </w:rPr>
              <w:t>rma previa a su muerte</w:t>
            </w:r>
          </w:p>
          <w:p w14:paraId="49CE3AF2" w14:textId="77777777" w:rsidR="00904471" w:rsidRPr="00904471" w:rsidRDefault="00904471" w:rsidP="00904471">
            <w:pPr>
              <w:jc w:val="both"/>
              <w:rPr>
                <w:rFonts w:ascii="Calibri Light" w:hAnsi="Calibri Light"/>
                <w:b w:val="0"/>
              </w:rPr>
            </w:pPr>
          </w:p>
          <w:p w14:paraId="28F9EF2D" w14:textId="77777777" w:rsidR="00894028" w:rsidRPr="00C3365A" w:rsidRDefault="00036320" w:rsidP="007A0B61">
            <w:pPr>
              <w:spacing w:after="200"/>
              <w:contextualSpacing/>
              <w:jc w:val="both"/>
              <w:rPr>
                <w:rFonts w:ascii="Calibri Light" w:hAnsi="Calibri Light"/>
              </w:rPr>
            </w:pPr>
            <w:r w:rsidRPr="00C3365A">
              <w:rPr>
                <w:rFonts w:ascii="Calibri Light" w:hAnsi="Calibri Light"/>
              </w:rPr>
              <w:t>Derecho a las garantías judiciales y a la protección judicial (artículos 8 y 25 de la CADH)</w:t>
            </w:r>
          </w:p>
          <w:p w14:paraId="17596D23" w14:textId="77777777" w:rsidR="00B84AE9" w:rsidRPr="00C3365A" w:rsidRDefault="00B84AE9" w:rsidP="007A0B61">
            <w:pPr>
              <w:spacing w:after="200"/>
              <w:ind w:left="720"/>
              <w:contextualSpacing/>
              <w:jc w:val="both"/>
              <w:rPr>
                <w:rFonts w:ascii="Calibri Light" w:hAnsi="Calibri Light"/>
              </w:rPr>
            </w:pPr>
          </w:p>
          <w:p w14:paraId="5CBC9EBF" w14:textId="77777777" w:rsidR="0048039C" w:rsidRPr="00C3365A" w:rsidRDefault="00036320" w:rsidP="007A0B61">
            <w:pPr>
              <w:numPr>
                <w:ilvl w:val="0"/>
                <w:numId w:val="4"/>
              </w:numPr>
              <w:spacing w:before="240" w:after="200"/>
              <w:contextualSpacing/>
              <w:jc w:val="both"/>
              <w:rPr>
                <w:rFonts w:ascii="Calibri Light" w:hAnsi="Calibri Light"/>
              </w:rPr>
            </w:pPr>
            <w:r w:rsidRPr="00C3365A">
              <w:rPr>
                <w:rFonts w:ascii="Calibri Light" w:hAnsi="Calibri Light"/>
              </w:rPr>
              <w:t>Consideraciones generales sobre el derecho a las garantías judiciales y a la protección judicial</w:t>
            </w:r>
          </w:p>
          <w:p w14:paraId="4B22E6B8" w14:textId="77777777" w:rsidR="00B84AE9" w:rsidRPr="00C3365A" w:rsidRDefault="00B84AE9" w:rsidP="007A0B61">
            <w:pPr>
              <w:spacing w:before="240" w:after="200"/>
              <w:ind w:left="720"/>
              <w:contextualSpacing/>
              <w:jc w:val="both"/>
              <w:rPr>
                <w:rFonts w:ascii="Calibri Light" w:hAnsi="Calibri Light"/>
              </w:rPr>
            </w:pPr>
          </w:p>
          <w:p w14:paraId="0AB103F4" w14:textId="032DDA19" w:rsidR="00894028" w:rsidRPr="00C3365A" w:rsidRDefault="00036320" w:rsidP="007A0B61">
            <w:pPr>
              <w:jc w:val="both"/>
              <w:rPr>
                <w:rFonts w:ascii="Calibri Light" w:hAnsi="Calibri Light"/>
                <w:b w:val="0"/>
              </w:rPr>
            </w:pPr>
            <w:r w:rsidRPr="00C3365A">
              <w:rPr>
                <w:rFonts w:ascii="Calibri Light" w:hAnsi="Calibri Light"/>
                <w:b w:val="0"/>
              </w:rPr>
              <w:t xml:space="preserve">La Corte IDH ha establecido que toda persona que ha sufrido una violación a sus derechos humanos tiene derecho a obtener tutela a través del esclarecimiento de los hechos y la determinación de los responsables, </w:t>
            </w:r>
            <w:r w:rsidR="00082E02">
              <w:rPr>
                <w:rFonts w:ascii="Calibri Light" w:hAnsi="Calibri Light"/>
                <w:b w:val="0"/>
              </w:rPr>
              <w:t>mediante</w:t>
            </w:r>
            <w:r w:rsidRPr="00C3365A">
              <w:rPr>
                <w:rFonts w:ascii="Calibri Light" w:hAnsi="Calibri Light"/>
                <w:b w:val="0"/>
              </w:rPr>
              <w:t xml:space="preserve"> recursos rápidos y sencillos. Los Estados tienen la obligación de tomar las medidas necesarias para que nadie sea sustraído de la protección judicial, además de evitar la existencia de actos que puedan obstruir el acceso a la </w:t>
            </w:r>
            <w:r w:rsidR="00082E02">
              <w:rPr>
                <w:rFonts w:ascii="Calibri Light" w:hAnsi="Calibri Light"/>
                <w:b w:val="0"/>
              </w:rPr>
              <w:t xml:space="preserve">justicia o la investigación de </w:t>
            </w:r>
            <w:r w:rsidRPr="00C3365A">
              <w:rPr>
                <w:rFonts w:ascii="Calibri Light" w:hAnsi="Calibri Light"/>
                <w:b w:val="0"/>
              </w:rPr>
              <w:t>hechos determinados como violatorios de los derechos humanos.</w:t>
            </w:r>
            <w:r w:rsidR="00082E02">
              <w:rPr>
                <w:rFonts w:ascii="Calibri Light" w:hAnsi="Calibri Light"/>
                <w:b w:val="0"/>
              </w:rPr>
              <w:t xml:space="preserve"> </w:t>
            </w:r>
            <w:r w:rsidRPr="00C3365A">
              <w:rPr>
                <w:rFonts w:ascii="Calibri Light" w:hAnsi="Calibri Light"/>
                <w:b w:val="0"/>
              </w:rPr>
              <w:t>Cabe resaltar que la obligación de investigar es de medios, no de resultados, y esta debe ser llevada con la debida diligencia, de forma efectiva, seria e imparcial, y dentro de los límites del plazo razonable. En el mismo sentido, la CIDH resalt</w:t>
            </w:r>
            <w:r w:rsidR="00945833" w:rsidRPr="00C3365A">
              <w:rPr>
                <w:rFonts w:ascii="Calibri Light" w:hAnsi="Calibri Light"/>
                <w:b w:val="0"/>
              </w:rPr>
              <w:t>ó</w:t>
            </w:r>
            <w:r w:rsidRPr="00C3365A">
              <w:rPr>
                <w:rFonts w:ascii="Calibri Light" w:hAnsi="Calibri Light"/>
                <w:b w:val="0"/>
              </w:rPr>
              <w:t xml:space="preserve"> que la obligación de investigar y sancionar no solo involucra el castigo de los autores materiales de las violaciones de derechos humanos, sino también de sus autores intelectuales.</w:t>
            </w:r>
            <w:r w:rsidR="00FF7A2F" w:rsidRPr="00C3365A">
              <w:rPr>
                <w:rFonts w:ascii="Calibri Light" w:hAnsi="Calibri Light"/>
                <w:b w:val="0"/>
              </w:rPr>
              <w:t xml:space="preserve"> </w:t>
            </w:r>
            <w:r w:rsidRPr="00C3365A">
              <w:rPr>
                <w:rFonts w:ascii="Calibri Light" w:hAnsi="Calibri Light"/>
                <w:b w:val="0"/>
              </w:rPr>
              <w:t>En el caso de defensores y defensoras de derechos humanos, indic</w:t>
            </w:r>
            <w:r w:rsidR="00945833" w:rsidRPr="00C3365A">
              <w:rPr>
                <w:rFonts w:ascii="Calibri Light" w:hAnsi="Calibri Light"/>
                <w:b w:val="0"/>
              </w:rPr>
              <w:t>ó</w:t>
            </w:r>
            <w:r w:rsidRPr="00C3365A">
              <w:rPr>
                <w:rFonts w:ascii="Calibri Light" w:hAnsi="Calibri Light"/>
                <w:b w:val="0"/>
              </w:rPr>
              <w:t xml:space="preserve"> que el medio más eficaz para su protección es investigar y sancionar la violencia en su contra.</w:t>
            </w:r>
          </w:p>
          <w:p w14:paraId="43F15858" w14:textId="77777777" w:rsidR="00894028" w:rsidRPr="00C3365A" w:rsidRDefault="00894028" w:rsidP="007A0B61">
            <w:pPr>
              <w:jc w:val="both"/>
              <w:rPr>
                <w:rFonts w:ascii="Calibri Light" w:hAnsi="Calibri Light"/>
                <w:color w:val="5F497A"/>
              </w:rPr>
            </w:pPr>
          </w:p>
          <w:p w14:paraId="1CD7045C" w14:textId="7FEBE6F8" w:rsidR="00894028" w:rsidRPr="00C3365A" w:rsidRDefault="00036320" w:rsidP="007A0B61">
            <w:pPr>
              <w:numPr>
                <w:ilvl w:val="0"/>
                <w:numId w:val="4"/>
              </w:numPr>
              <w:spacing w:after="200"/>
              <w:contextualSpacing/>
              <w:jc w:val="both"/>
              <w:rPr>
                <w:rFonts w:ascii="Calibri Light" w:hAnsi="Calibri Light"/>
              </w:rPr>
            </w:pPr>
            <w:r w:rsidRPr="00C3365A">
              <w:rPr>
                <w:rFonts w:ascii="Calibri Light" w:hAnsi="Calibri Light"/>
              </w:rPr>
              <w:lastRenderedPageBreak/>
              <w:t>Consideraciones sobre la afectación del plazo razonable y la protección judicial en el caso del señor Lara</w:t>
            </w:r>
          </w:p>
          <w:p w14:paraId="7FCEEF78" w14:textId="77777777" w:rsidR="00B84AE9" w:rsidRPr="00C3365A" w:rsidRDefault="00B84AE9" w:rsidP="007A0B61">
            <w:pPr>
              <w:spacing w:after="200"/>
              <w:ind w:left="720"/>
              <w:contextualSpacing/>
              <w:jc w:val="both"/>
              <w:rPr>
                <w:rFonts w:ascii="Calibri Light" w:hAnsi="Calibri Light"/>
              </w:rPr>
            </w:pPr>
          </w:p>
          <w:p w14:paraId="5A6C46E3" w14:textId="6F23F4DF" w:rsidR="00452F68" w:rsidRPr="00C3365A" w:rsidRDefault="00945833" w:rsidP="00452F68">
            <w:pPr>
              <w:jc w:val="both"/>
              <w:rPr>
                <w:rFonts w:ascii="Calibri Light" w:hAnsi="Calibri Light"/>
                <w:b w:val="0"/>
              </w:rPr>
            </w:pPr>
            <w:r w:rsidRPr="00C3365A">
              <w:rPr>
                <w:rFonts w:ascii="Calibri Light" w:hAnsi="Calibri Light"/>
                <w:b w:val="0"/>
              </w:rPr>
              <w:t xml:space="preserve">Para </w:t>
            </w:r>
            <w:r w:rsidR="00036320" w:rsidRPr="00C3365A">
              <w:rPr>
                <w:rFonts w:ascii="Calibri Light" w:hAnsi="Calibri Light"/>
                <w:b w:val="0"/>
              </w:rPr>
              <w:t xml:space="preserve">su análisis sobre la responsabilidad </w:t>
            </w:r>
            <w:r w:rsidRPr="00C3365A">
              <w:rPr>
                <w:rFonts w:ascii="Calibri Light" w:hAnsi="Calibri Light"/>
                <w:b w:val="0"/>
              </w:rPr>
              <w:t xml:space="preserve">internacional del Estado </w:t>
            </w:r>
            <w:r w:rsidR="00036320" w:rsidRPr="00C3365A">
              <w:rPr>
                <w:rFonts w:ascii="Calibri Light" w:hAnsi="Calibri Light"/>
                <w:b w:val="0"/>
              </w:rPr>
              <w:t xml:space="preserve">en relación con estos derechos, la CIDH </w:t>
            </w:r>
            <w:r w:rsidRPr="00C3365A">
              <w:rPr>
                <w:rFonts w:ascii="Calibri Light" w:hAnsi="Calibri Light"/>
                <w:b w:val="0"/>
              </w:rPr>
              <w:t xml:space="preserve">abordó </w:t>
            </w:r>
            <w:r w:rsidR="00082E02">
              <w:rPr>
                <w:rFonts w:ascii="Calibri Light" w:hAnsi="Calibri Light"/>
                <w:b w:val="0"/>
              </w:rPr>
              <w:t>tres puntos: i) el proceso penal ordinario, ii</w:t>
            </w:r>
            <w:r w:rsidR="00036320" w:rsidRPr="00C3365A">
              <w:rPr>
                <w:rFonts w:ascii="Calibri Light" w:hAnsi="Calibri Light"/>
                <w:b w:val="0"/>
              </w:rPr>
              <w:t>) la jurisdicción espe</w:t>
            </w:r>
            <w:r w:rsidR="00082E02">
              <w:rPr>
                <w:rFonts w:ascii="Calibri Light" w:hAnsi="Calibri Light"/>
                <w:b w:val="0"/>
              </w:rPr>
              <w:t>cial de justicia y paz, y iii</w:t>
            </w:r>
            <w:r w:rsidR="00036320" w:rsidRPr="00C3365A">
              <w:rPr>
                <w:rFonts w:ascii="Calibri Light" w:hAnsi="Calibri Light"/>
                <w:b w:val="0"/>
              </w:rPr>
              <w:t>) el plazo razonable.</w:t>
            </w:r>
          </w:p>
          <w:p w14:paraId="0B2D9F1E" w14:textId="1D325FCF" w:rsidR="00452F68" w:rsidRPr="00C3365A" w:rsidRDefault="00452F68" w:rsidP="00452F68">
            <w:pPr>
              <w:jc w:val="both"/>
              <w:rPr>
                <w:rFonts w:ascii="Calibri Light" w:hAnsi="Calibri Light"/>
                <w:b w:val="0"/>
              </w:rPr>
            </w:pPr>
          </w:p>
          <w:p w14:paraId="3092450B" w14:textId="32417CC0" w:rsidR="00452F68" w:rsidRPr="00C3365A" w:rsidRDefault="00452F68" w:rsidP="00452F68">
            <w:pPr>
              <w:jc w:val="both"/>
              <w:rPr>
                <w:rFonts w:ascii="Calibri Light" w:hAnsi="Calibri Light"/>
                <w:b w:val="0"/>
                <w:u w:val="single"/>
              </w:rPr>
            </w:pPr>
            <w:r w:rsidRPr="00C3365A">
              <w:rPr>
                <w:rFonts w:ascii="Calibri Light" w:hAnsi="Calibri Light"/>
                <w:b w:val="0"/>
                <w:u w:val="single"/>
              </w:rPr>
              <w:t xml:space="preserve">Proceso penal ordinario </w:t>
            </w:r>
          </w:p>
          <w:p w14:paraId="155BA419" w14:textId="77777777" w:rsidR="00452F68" w:rsidRPr="00C3365A" w:rsidRDefault="00452F68" w:rsidP="00452F68">
            <w:pPr>
              <w:jc w:val="both"/>
              <w:rPr>
                <w:rFonts w:ascii="Calibri Light" w:hAnsi="Calibri Light"/>
                <w:b w:val="0"/>
                <w:u w:val="single"/>
              </w:rPr>
            </w:pPr>
          </w:p>
          <w:p w14:paraId="24220515" w14:textId="654E83F7" w:rsidR="0035597E" w:rsidRPr="00C3365A" w:rsidRDefault="00082E02" w:rsidP="0035597E">
            <w:pPr>
              <w:jc w:val="both"/>
              <w:rPr>
                <w:rFonts w:ascii="Calibri Light" w:hAnsi="Calibri Light"/>
                <w:b w:val="0"/>
              </w:rPr>
            </w:pPr>
            <w:r>
              <w:rPr>
                <w:rFonts w:ascii="Calibri Light" w:hAnsi="Calibri Light"/>
                <w:b w:val="0"/>
              </w:rPr>
              <w:t>L</w:t>
            </w:r>
            <w:r w:rsidR="00036320" w:rsidRPr="00C3365A">
              <w:rPr>
                <w:rFonts w:ascii="Calibri Light" w:hAnsi="Calibri Light"/>
                <w:b w:val="0"/>
              </w:rPr>
              <w:t>a CIDH consider</w:t>
            </w:r>
            <w:r w:rsidR="00945833" w:rsidRPr="00C3365A">
              <w:rPr>
                <w:rFonts w:ascii="Calibri Light" w:hAnsi="Calibri Light"/>
                <w:b w:val="0"/>
              </w:rPr>
              <w:t>ó</w:t>
            </w:r>
            <w:r w:rsidR="00036320" w:rsidRPr="00C3365A">
              <w:rPr>
                <w:rFonts w:ascii="Calibri Light" w:hAnsi="Calibri Light"/>
                <w:b w:val="0"/>
              </w:rPr>
              <w:t xml:space="preserve"> que las actuaciones iniciales</w:t>
            </w:r>
            <w:r w:rsidR="00894BC7" w:rsidRPr="00C3365A">
              <w:rPr>
                <w:rFonts w:ascii="Calibri Light" w:hAnsi="Calibri Light"/>
                <w:b w:val="0"/>
              </w:rPr>
              <w:t xml:space="preserve"> no se realizaron con debida diligencia</w:t>
            </w:r>
            <w:r w:rsidR="00036320" w:rsidRPr="00C3365A">
              <w:rPr>
                <w:rFonts w:ascii="Calibri Light" w:hAnsi="Calibri Light"/>
                <w:b w:val="0"/>
              </w:rPr>
              <w:t xml:space="preserve">, </w:t>
            </w:r>
            <w:r w:rsidR="00894BC7" w:rsidRPr="00C3365A">
              <w:rPr>
                <w:rFonts w:ascii="Calibri Light" w:hAnsi="Calibri Light"/>
                <w:b w:val="0"/>
              </w:rPr>
              <w:t xml:space="preserve">pues </w:t>
            </w:r>
            <w:r w:rsidR="00036320" w:rsidRPr="00C3365A">
              <w:rPr>
                <w:rFonts w:ascii="Calibri Light" w:hAnsi="Calibri Light"/>
                <w:b w:val="0"/>
              </w:rPr>
              <w:t>no se cumpli</w:t>
            </w:r>
            <w:r w:rsidR="00894BC7" w:rsidRPr="00C3365A">
              <w:rPr>
                <w:rFonts w:ascii="Calibri Light" w:hAnsi="Calibri Light"/>
                <w:b w:val="0"/>
              </w:rPr>
              <w:t>eron</w:t>
            </w:r>
            <w:r w:rsidR="00036320" w:rsidRPr="00C3365A">
              <w:rPr>
                <w:rFonts w:ascii="Calibri Light" w:hAnsi="Calibri Light"/>
                <w:b w:val="0"/>
              </w:rPr>
              <w:t xml:space="preserve"> estándares internacionales</w:t>
            </w:r>
            <w:r w:rsidR="00894BC7" w:rsidRPr="00C3365A">
              <w:rPr>
                <w:rFonts w:ascii="Calibri Light" w:hAnsi="Calibri Light"/>
                <w:b w:val="0"/>
              </w:rPr>
              <w:t xml:space="preserve"> sobre la investigación de la escena del crimen</w:t>
            </w:r>
            <w:r w:rsidR="00036320" w:rsidRPr="00C3365A">
              <w:rPr>
                <w:rFonts w:ascii="Calibri Light" w:hAnsi="Calibri Light"/>
                <w:b w:val="0"/>
              </w:rPr>
              <w:t xml:space="preserve">, como los contenidos en el Protocolo de Minnesota. </w:t>
            </w:r>
            <w:r w:rsidR="00894BC7" w:rsidRPr="00082E02">
              <w:rPr>
                <w:rFonts w:ascii="Calibri Light" w:hAnsi="Calibri Light"/>
                <w:b w:val="0"/>
              </w:rPr>
              <w:t xml:space="preserve">En efecto, algunas de las fallas fueron: </w:t>
            </w:r>
            <w:r w:rsidR="00894BC7" w:rsidRPr="00C3365A">
              <w:rPr>
                <w:rFonts w:ascii="Calibri Light" w:hAnsi="Calibri Light"/>
                <w:b w:val="0"/>
              </w:rPr>
              <w:t xml:space="preserve"> </w:t>
            </w:r>
            <w:r w:rsidR="009A27EB" w:rsidRPr="00C3365A">
              <w:rPr>
                <w:rFonts w:ascii="Calibri Light" w:hAnsi="Calibri Light"/>
                <w:b w:val="0"/>
              </w:rPr>
              <w:t xml:space="preserve">i) </w:t>
            </w:r>
            <w:r w:rsidR="00036320" w:rsidRPr="00C3365A">
              <w:rPr>
                <w:rFonts w:ascii="Calibri Light" w:hAnsi="Calibri Light"/>
                <w:b w:val="0"/>
              </w:rPr>
              <w:t xml:space="preserve">la Fiscalía no acudió a la zona en la que se perpetró el homicidio, </w:t>
            </w:r>
            <w:r w:rsidR="009A27EB" w:rsidRPr="00C3365A">
              <w:rPr>
                <w:rFonts w:ascii="Calibri Light" w:hAnsi="Calibri Light"/>
                <w:b w:val="0"/>
              </w:rPr>
              <w:t xml:space="preserve">ii) dicha zona </w:t>
            </w:r>
            <w:r>
              <w:rPr>
                <w:rFonts w:ascii="Calibri Light" w:hAnsi="Calibri Light"/>
                <w:b w:val="0"/>
              </w:rPr>
              <w:t>no</w:t>
            </w:r>
            <w:r w:rsidR="009A27EB" w:rsidRPr="00C3365A">
              <w:rPr>
                <w:rFonts w:ascii="Calibri Light" w:hAnsi="Calibri Light"/>
                <w:b w:val="0"/>
              </w:rPr>
              <w:t xml:space="preserve"> fue acordonada</w:t>
            </w:r>
            <w:r w:rsidR="00036320" w:rsidRPr="00C3365A">
              <w:rPr>
                <w:rFonts w:ascii="Calibri Light" w:hAnsi="Calibri Light"/>
                <w:b w:val="0"/>
              </w:rPr>
              <w:t>,</w:t>
            </w:r>
            <w:r w:rsidR="009A27EB" w:rsidRPr="00C3365A">
              <w:rPr>
                <w:rFonts w:ascii="Calibri Light" w:hAnsi="Calibri Light"/>
                <w:b w:val="0"/>
              </w:rPr>
              <w:t xml:space="preserve"> </w:t>
            </w:r>
            <w:r w:rsidR="00196D5F" w:rsidRPr="00C3365A">
              <w:rPr>
                <w:rFonts w:ascii="Calibri Light" w:hAnsi="Calibri Light"/>
                <w:b w:val="0"/>
              </w:rPr>
              <w:t>i</w:t>
            </w:r>
            <w:r w:rsidR="009A27EB" w:rsidRPr="00C3365A">
              <w:rPr>
                <w:rFonts w:ascii="Calibri Light" w:hAnsi="Calibri Light"/>
                <w:b w:val="0"/>
              </w:rPr>
              <w:t>ii)</w:t>
            </w:r>
            <w:r>
              <w:rPr>
                <w:rFonts w:ascii="Calibri Light" w:hAnsi="Calibri Light"/>
                <w:b w:val="0"/>
              </w:rPr>
              <w:t xml:space="preserve"> </w:t>
            </w:r>
            <w:r w:rsidR="009A27EB" w:rsidRPr="00C3365A">
              <w:rPr>
                <w:rFonts w:ascii="Calibri Light" w:hAnsi="Calibri Light"/>
                <w:b w:val="0"/>
              </w:rPr>
              <w:t>no se recogieron</w:t>
            </w:r>
            <w:r w:rsidR="00036320" w:rsidRPr="00C3365A">
              <w:rPr>
                <w:rFonts w:ascii="Calibri Light" w:hAnsi="Calibri Light"/>
                <w:b w:val="0"/>
              </w:rPr>
              <w:t xml:space="preserve"> evidencias tales como las </w:t>
            </w:r>
            <w:r w:rsidR="009A27EB" w:rsidRPr="00C3365A">
              <w:rPr>
                <w:rFonts w:ascii="Calibri Light" w:hAnsi="Calibri Light"/>
                <w:b w:val="0"/>
              </w:rPr>
              <w:t xml:space="preserve">partes delanteras de los proyectiles que </w:t>
            </w:r>
            <w:r w:rsidR="00036320" w:rsidRPr="00C3365A">
              <w:rPr>
                <w:rFonts w:ascii="Calibri Light" w:hAnsi="Calibri Light"/>
                <w:b w:val="0"/>
              </w:rPr>
              <w:t>impa</w:t>
            </w:r>
            <w:r w:rsidR="002B32AE" w:rsidRPr="00C3365A">
              <w:rPr>
                <w:rFonts w:ascii="Calibri Light" w:hAnsi="Calibri Light"/>
                <w:b w:val="0"/>
              </w:rPr>
              <w:t>ctaron con el señor Lara, iv) t</w:t>
            </w:r>
            <w:r w:rsidR="00036320" w:rsidRPr="00C3365A">
              <w:rPr>
                <w:rFonts w:ascii="Calibri Light" w:hAnsi="Calibri Light"/>
                <w:b w:val="0"/>
              </w:rPr>
              <w:t xml:space="preserve">ampoco se realizó una reconstrucción de los hechos, </w:t>
            </w:r>
            <w:r w:rsidR="002B32AE" w:rsidRPr="00C3365A">
              <w:rPr>
                <w:rFonts w:ascii="Calibri Light" w:hAnsi="Calibri Light"/>
                <w:b w:val="0"/>
              </w:rPr>
              <w:t xml:space="preserve">y v) </w:t>
            </w:r>
            <w:r w:rsidR="00036320" w:rsidRPr="00C3365A">
              <w:rPr>
                <w:rFonts w:ascii="Calibri Light" w:hAnsi="Calibri Light"/>
                <w:b w:val="0"/>
              </w:rPr>
              <w:t>n</w:t>
            </w:r>
            <w:r w:rsidR="002B32AE" w:rsidRPr="00C3365A">
              <w:rPr>
                <w:rFonts w:ascii="Calibri Light" w:hAnsi="Calibri Light"/>
                <w:b w:val="0"/>
              </w:rPr>
              <w:t>o</w:t>
            </w:r>
            <w:r w:rsidR="00036320" w:rsidRPr="00C3365A">
              <w:rPr>
                <w:rFonts w:ascii="Calibri Light" w:hAnsi="Calibri Light"/>
                <w:b w:val="0"/>
              </w:rPr>
              <w:t xml:space="preserve"> se especificaron los motivos por los cuales </w:t>
            </w:r>
            <w:r w:rsidRPr="00C3365A">
              <w:rPr>
                <w:rFonts w:ascii="Calibri Light" w:hAnsi="Calibri Light"/>
                <w:b w:val="0"/>
              </w:rPr>
              <w:t>en la denuncia efectuada a la Fiscalía</w:t>
            </w:r>
            <w:r>
              <w:rPr>
                <w:rFonts w:ascii="Calibri Light" w:hAnsi="Calibri Light"/>
                <w:b w:val="0"/>
              </w:rPr>
              <w:t xml:space="preserve"> </w:t>
            </w:r>
            <w:r w:rsidR="00036320" w:rsidRPr="00C3365A">
              <w:rPr>
                <w:rFonts w:ascii="Calibri Light" w:hAnsi="Calibri Light"/>
                <w:b w:val="0"/>
              </w:rPr>
              <w:t xml:space="preserve">se señaló como responsables </w:t>
            </w:r>
            <w:r>
              <w:rPr>
                <w:rFonts w:ascii="Calibri Light" w:hAnsi="Calibri Light"/>
                <w:b w:val="0"/>
              </w:rPr>
              <w:t xml:space="preserve">a </w:t>
            </w:r>
            <w:r w:rsidRPr="00C3365A">
              <w:rPr>
                <w:rFonts w:ascii="Calibri Light" w:hAnsi="Calibri Light"/>
                <w:b w:val="0"/>
              </w:rPr>
              <w:t>varios integrantes del BVA</w:t>
            </w:r>
            <w:r>
              <w:rPr>
                <w:rFonts w:ascii="Calibri Light" w:hAnsi="Calibri Light"/>
                <w:b w:val="0"/>
              </w:rPr>
              <w:t>.</w:t>
            </w:r>
          </w:p>
          <w:p w14:paraId="2AC6D531" w14:textId="77777777" w:rsidR="0035597E" w:rsidRPr="00C3365A" w:rsidRDefault="0035597E" w:rsidP="0035597E">
            <w:pPr>
              <w:jc w:val="both"/>
              <w:rPr>
                <w:rFonts w:ascii="Calibri Light" w:hAnsi="Calibri Light"/>
                <w:b w:val="0"/>
              </w:rPr>
            </w:pPr>
          </w:p>
          <w:p w14:paraId="2F32AA50" w14:textId="0655F5E4" w:rsidR="0047544D" w:rsidRPr="00C3365A" w:rsidRDefault="00036320" w:rsidP="0035597E">
            <w:pPr>
              <w:jc w:val="both"/>
              <w:rPr>
                <w:rFonts w:ascii="Calibri Light" w:hAnsi="Calibri Light"/>
                <w:b w:val="0"/>
              </w:rPr>
            </w:pPr>
            <w:r w:rsidRPr="00C3365A">
              <w:rPr>
                <w:rFonts w:ascii="Calibri Light" w:hAnsi="Calibri Light"/>
                <w:b w:val="0"/>
              </w:rPr>
              <w:t xml:space="preserve">Asimismo, tampoco se cumplió con la debida diligencia en relación a las líneas lógicas surgidas durante la investigación, pues no se </w:t>
            </w:r>
            <w:r w:rsidR="00894BC7" w:rsidRPr="00C3365A">
              <w:rPr>
                <w:rFonts w:ascii="Calibri Light" w:hAnsi="Calibri Light"/>
                <w:b w:val="0"/>
              </w:rPr>
              <w:t>determinaron</w:t>
            </w:r>
            <w:r w:rsidRPr="00C3365A">
              <w:rPr>
                <w:rFonts w:ascii="Calibri Light" w:hAnsi="Calibri Light"/>
                <w:b w:val="0"/>
              </w:rPr>
              <w:t xml:space="preserve"> los móviles que llevaron a los responsables a comet</w:t>
            </w:r>
            <w:r w:rsidR="005E5365" w:rsidRPr="00C3365A">
              <w:rPr>
                <w:rFonts w:ascii="Calibri Light" w:hAnsi="Calibri Light"/>
                <w:b w:val="0"/>
              </w:rPr>
              <w:t>er el homicidio del señor</w:t>
            </w:r>
            <w:r w:rsidRPr="00C3365A">
              <w:rPr>
                <w:rFonts w:ascii="Calibri Light" w:hAnsi="Calibri Light"/>
                <w:b w:val="0"/>
              </w:rPr>
              <w:t xml:space="preserve"> Lara, o cuál podría haber sido la relación de su labor como defensor de derechos humanos con su determinación como “objetivo” por parte del BVA.</w:t>
            </w:r>
            <w:r w:rsidR="0047544D" w:rsidRPr="00C3365A">
              <w:rPr>
                <w:rFonts w:ascii="Calibri Light" w:hAnsi="Calibri Light"/>
                <w:b w:val="0"/>
              </w:rPr>
              <w:t xml:space="preserve"> </w:t>
            </w:r>
            <w:r w:rsidRPr="00C3365A">
              <w:rPr>
                <w:rFonts w:ascii="Calibri Light" w:hAnsi="Calibri Light"/>
                <w:b w:val="0"/>
              </w:rPr>
              <w:t xml:space="preserve">Tampoco se reparó en la protección que debía brindarse a testigos claves en el caso, como el señor Jaime Reuto Manosalva, quien en el año 2004 declaró sobre el asesinato del señor Lara, pero fue asesinado de forma posterior en Tame. </w:t>
            </w:r>
          </w:p>
          <w:p w14:paraId="2E813AD8" w14:textId="77777777" w:rsidR="0047544D" w:rsidRPr="00C3365A" w:rsidRDefault="0047544D" w:rsidP="0047544D">
            <w:pPr>
              <w:jc w:val="both"/>
              <w:rPr>
                <w:rFonts w:ascii="Calibri Light" w:hAnsi="Calibri Light"/>
                <w:b w:val="0"/>
              </w:rPr>
            </w:pPr>
          </w:p>
          <w:p w14:paraId="5CFE1FF6" w14:textId="77777777" w:rsidR="00820A41" w:rsidRPr="00C3365A" w:rsidRDefault="00036320" w:rsidP="00820A41">
            <w:pPr>
              <w:jc w:val="both"/>
              <w:rPr>
                <w:rFonts w:ascii="Calibri Light" w:hAnsi="Calibri Light"/>
                <w:b w:val="0"/>
              </w:rPr>
            </w:pPr>
            <w:r w:rsidRPr="00C3365A">
              <w:rPr>
                <w:rFonts w:ascii="Calibri Light" w:hAnsi="Calibri Light"/>
                <w:b w:val="0"/>
              </w:rPr>
              <w:t>Sobre la debida diligencia en relación a la investigación de la responsabilidad de los autores del homicidio, la CIDH resalt</w:t>
            </w:r>
            <w:r w:rsidR="00894BC7" w:rsidRPr="00C3365A">
              <w:rPr>
                <w:rFonts w:ascii="Calibri Light" w:hAnsi="Calibri Light"/>
                <w:b w:val="0"/>
              </w:rPr>
              <w:t>ó</w:t>
            </w:r>
            <w:r w:rsidRPr="00C3365A">
              <w:rPr>
                <w:rFonts w:ascii="Calibri Light" w:hAnsi="Calibri Light"/>
                <w:b w:val="0"/>
              </w:rPr>
              <w:t xml:space="preserve"> que ninguna de las personas detenidas en el proceso ordinario lo fueron en razón de la muerte del señor Lara, y solamente en el caso de uno de los señalados como responsables se ha proferido una sentencia por los cargos referentes al homicidio del señor Lara.</w:t>
            </w:r>
          </w:p>
          <w:p w14:paraId="3D0F6CF6" w14:textId="4CEC99D5" w:rsidR="00820A41" w:rsidRPr="00C3365A" w:rsidRDefault="00820A41" w:rsidP="00820A41">
            <w:pPr>
              <w:jc w:val="both"/>
              <w:rPr>
                <w:rFonts w:ascii="Calibri Light" w:hAnsi="Calibri Light"/>
                <w:b w:val="0"/>
              </w:rPr>
            </w:pPr>
          </w:p>
          <w:p w14:paraId="2BD667EE" w14:textId="72119233" w:rsidR="00820A41" w:rsidRPr="00C3365A" w:rsidRDefault="00820A41" w:rsidP="00820A41">
            <w:pPr>
              <w:jc w:val="both"/>
              <w:rPr>
                <w:rFonts w:ascii="Calibri Light" w:hAnsi="Calibri Light"/>
                <w:b w:val="0"/>
                <w:u w:val="single"/>
              </w:rPr>
            </w:pPr>
            <w:r w:rsidRPr="00C3365A">
              <w:rPr>
                <w:rFonts w:ascii="Calibri Light" w:hAnsi="Calibri Light"/>
                <w:b w:val="0"/>
                <w:u w:val="single"/>
              </w:rPr>
              <w:t>Jurisdicción especial de Justicia y Paz</w:t>
            </w:r>
          </w:p>
          <w:p w14:paraId="3309777B" w14:textId="77777777" w:rsidR="00820A41" w:rsidRPr="00C3365A" w:rsidRDefault="00820A41" w:rsidP="00820A41">
            <w:pPr>
              <w:jc w:val="both"/>
              <w:rPr>
                <w:rFonts w:ascii="Calibri Light" w:hAnsi="Calibri Light"/>
                <w:b w:val="0"/>
              </w:rPr>
            </w:pPr>
          </w:p>
          <w:p w14:paraId="00ABE192" w14:textId="1A1F543C" w:rsidR="00C95488" w:rsidRPr="00C3365A" w:rsidRDefault="00820A41" w:rsidP="00C95488">
            <w:pPr>
              <w:jc w:val="both"/>
              <w:rPr>
                <w:rFonts w:ascii="Calibri Light" w:hAnsi="Calibri Light"/>
                <w:b w:val="0"/>
              </w:rPr>
            </w:pPr>
            <w:r w:rsidRPr="00C3365A">
              <w:rPr>
                <w:rFonts w:ascii="Calibri Light" w:hAnsi="Calibri Light"/>
                <w:b w:val="0"/>
              </w:rPr>
              <w:t>La CIDH consideró</w:t>
            </w:r>
            <w:r w:rsidR="00036320" w:rsidRPr="00C3365A">
              <w:rPr>
                <w:rFonts w:ascii="Calibri Light" w:hAnsi="Calibri Light"/>
                <w:b w:val="0"/>
              </w:rPr>
              <w:t xml:space="preserve"> que la extradición de uno de los responsables, Miguel Mejía Múne</w:t>
            </w:r>
            <w:r w:rsidR="00D65DC5" w:rsidRPr="00C3365A">
              <w:rPr>
                <w:rFonts w:ascii="Calibri Light" w:hAnsi="Calibri Light"/>
                <w:b w:val="0"/>
              </w:rPr>
              <w:t>ra, a Estados Unidos impidi</w:t>
            </w:r>
            <w:r w:rsidR="0088459F" w:rsidRPr="00C3365A">
              <w:rPr>
                <w:rFonts w:ascii="Calibri Light" w:hAnsi="Calibri Light"/>
                <w:b w:val="0"/>
              </w:rPr>
              <w:t>ó</w:t>
            </w:r>
            <w:r w:rsidR="00036320" w:rsidRPr="00C3365A">
              <w:rPr>
                <w:rFonts w:ascii="Calibri Light" w:hAnsi="Calibri Light"/>
                <w:b w:val="0"/>
              </w:rPr>
              <w:t xml:space="preserve"> el esclarecimiento de la verdad y sanción de los responsables, ya que </w:t>
            </w:r>
            <w:r w:rsidR="0047266A">
              <w:rPr>
                <w:rFonts w:ascii="Calibri Light" w:hAnsi="Calibri Light"/>
                <w:b w:val="0"/>
              </w:rPr>
              <w:t xml:space="preserve">obstaculizó </w:t>
            </w:r>
            <w:r w:rsidR="00036320" w:rsidRPr="00C3365A">
              <w:rPr>
                <w:rFonts w:ascii="Calibri Light" w:hAnsi="Calibri Light"/>
                <w:b w:val="0"/>
              </w:rPr>
              <w:t>la investigación a profundidad por parte de las autoridades encargadas del caso del señor Lara. Dicha medida, además, parece haber sido tomada sin ponderar de forma adecuada la naturaleza del delito por el cual se le extraditó, narcotráfico, frente al delito por el cual se le procesa por el caso del señor Lara, el cual constituye una violación de derechos humanos y, por ello, debería haberse priorizado frente al que habilitó su extradición.</w:t>
            </w:r>
          </w:p>
          <w:p w14:paraId="5554531E" w14:textId="450905A8" w:rsidR="0088459F" w:rsidRPr="00C3365A" w:rsidRDefault="0088459F" w:rsidP="00C95488">
            <w:pPr>
              <w:jc w:val="both"/>
              <w:rPr>
                <w:rFonts w:ascii="Calibri Light" w:hAnsi="Calibri Light"/>
                <w:b w:val="0"/>
              </w:rPr>
            </w:pPr>
          </w:p>
          <w:p w14:paraId="062ADCE5" w14:textId="67AEB917" w:rsidR="0088459F" w:rsidRPr="00C3365A" w:rsidRDefault="0088459F" w:rsidP="00C95488">
            <w:pPr>
              <w:jc w:val="both"/>
              <w:rPr>
                <w:rFonts w:ascii="Calibri Light" w:hAnsi="Calibri Light"/>
                <w:b w:val="0"/>
                <w:u w:val="single"/>
              </w:rPr>
            </w:pPr>
            <w:r w:rsidRPr="00C3365A">
              <w:rPr>
                <w:rFonts w:ascii="Calibri Light" w:hAnsi="Calibri Light"/>
                <w:b w:val="0"/>
                <w:u w:val="single"/>
              </w:rPr>
              <w:t>Plazo razonable</w:t>
            </w:r>
          </w:p>
          <w:p w14:paraId="68B7A5A3" w14:textId="77777777" w:rsidR="00C95488" w:rsidRPr="00C3365A" w:rsidRDefault="00C95488" w:rsidP="00C95488">
            <w:pPr>
              <w:jc w:val="both"/>
              <w:rPr>
                <w:rFonts w:ascii="Calibri Light" w:hAnsi="Calibri Light"/>
                <w:b w:val="0"/>
              </w:rPr>
            </w:pPr>
          </w:p>
          <w:p w14:paraId="33BCA8FD" w14:textId="67403BAE" w:rsidR="00894028" w:rsidRDefault="0088459F" w:rsidP="0047266A">
            <w:pPr>
              <w:jc w:val="both"/>
              <w:rPr>
                <w:rFonts w:ascii="Calibri Light" w:hAnsi="Calibri Light"/>
                <w:b w:val="0"/>
              </w:rPr>
            </w:pPr>
            <w:r w:rsidRPr="00C3365A">
              <w:rPr>
                <w:rFonts w:ascii="Calibri Light" w:hAnsi="Calibri Light"/>
                <w:b w:val="0"/>
              </w:rPr>
              <w:t>E</w:t>
            </w:r>
            <w:r w:rsidR="00036320" w:rsidRPr="00C3365A">
              <w:rPr>
                <w:rFonts w:ascii="Calibri Light" w:hAnsi="Calibri Light"/>
                <w:b w:val="0"/>
              </w:rPr>
              <w:t xml:space="preserve">n el SIDH ya se ha determinado que la demora prolongada de </w:t>
            </w:r>
            <w:r w:rsidR="0048039C" w:rsidRPr="00C3365A">
              <w:rPr>
                <w:rFonts w:ascii="Calibri Light" w:hAnsi="Calibri Light"/>
                <w:b w:val="0"/>
              </w:rPr>
              <w:t>un proceso</w:t>
            </w:r>
            <w:r w:rsidR="00036320" w:rsidRPr="00C3365A">
              <w:rPr>
                <w:rFonts w:ascii="Calibri Light" w:hAnsi="Calibri Light"/>
                <w:b w:val="0"/>
              </w:rPr>
              <w:t xml:space="preserve"> puede constituir en sí misma una violación del derecho a las garantías judiciales. Para determinar si se viola o no el derecho a un plazo razonable</w:t>
            </w:r>
            <w:r w:rsidR="002A326C" w:rsidRPr="00C3365A">
              <w:rPr>
                <w:rFonts w:ascii="Calibri Light" w:hAnsi="Calibri Light"/>
                <w:b w:val="0"/>
              </w:rPr>
              <w:t xml:space="preserve"> en el presente caso</w:t>
            </w:r>
            <w:r w:rsidR="00036320" w:rsidRPr="00C3365A">
              <w:rPr>
                <w:rFonts w:ascii="Calibri Light" w:hAnsi="Calibri Light"/>
                <w:b w:val="0"/>
              </w:rPr>
              <w:t>, la CIDH tom</w:t>
            </w:r>
            <w:r w:rsidR="00DF17DA" w:rsidRPr="00C3365A">
              <w:rPr>
                <w:rFonts w:ascii="Calibri Light" w:hAnsi="Calibri Light"/>
                <w:b w:val="0"/>
              </w:rPr>
              <w:t>ó</w:t>
            </w:r>
            <w:r w:rsidR="00036320" w:rsidRPr="00C3365A">
              <w:rPr>
                <w:rFonts w:ascii="Calibri Light" w:hAnsi="Calibri Light"/>
                <w:b w:val="0"/>
              </w:rPr>
              <w:t xml:space="preserve"> en consideración tres factores: a) la complejidad del asunto, b) la actividad procesal del interesado, y c) la conducta de las autoridades judiciales.</w:t>
            </w:r>
            <w:r w:rsidR="0047266A">
              <w:rPr>
                <w:rFonts w:ascii="Calibri Light" w:hAnsi="Calibri Light"/>
                <w:b w:val="0"/>
              </w:rPr>
              <w:t xml:space="preserve"> </w:t>
            </w:r>
            <w:r w:rsidR="002A326C" w:rsidRPr="00C3365A">
              <w:rPr>
                <w:rFonts w:ascii="Calibri Light" w:hAnsi="Calibri Light"/>
                <w:b w:val="0"/>
              </w:rPr>
              <w:t>En relación al primer elemento</w:t>
            </w:r>
            <w:r w:rsidR="00036320" w:rsidRPr="00C3365A">
              <w:rPr>
                <w:rFonts w:ascii="Calibri Light" w:hAnsi="Calibri Light"/>
                <w:b w:val="0"/>
              </w:rPr>
              <w:t>, la CIDH determin</w:t>
            </w:r>
            <w:r w:rsidR="00DF17DA" w:rsidRPr="00C3365A">
              <w:rPr>
                <w:rFonts w:ascii="Calibri Light" w:hAnsi="Calibri Light"/>
                <w:b w:val="0"/>
              </w:rPr>
              <w:t>ó</w:t>
            </w:r>
            <w:r w:rsidR="002A326C" w:rsidRPr="00C3365A">
              <w:rPr>
                <w:rFonts w:ascii="Calibri Light" w:hAnsi="Calibri Light"/>
                <w:b w:val="0"/>
              </w:rPr>
              <w:t xml:space="preserve"> que el caso</w:t>
            </w:r>
            <w:r w:rsidR="00036320" w:rsidRPr="00C3365A">
              <w:rPr>
                <w:rFonts w:ascii="Calibri Light" w:hAnsi="Calibri Light"/>
                <w:b w:val="0"/>
              </w:rPr>
              <w:t xml:space="preserve"> no revestía complejidad, ya que se trataba de una víctima plenamente identificada y existían claros indicios para el esclarecimiento de los hechos y determinación de responsables. </w:t>
            </w:r>
            <w:r w:rsidR="002A326C" w:rsidRPr="00C3365A">
              <w:rPr>
                <w:rFonts w:ascii="Calibri Light" w:hAnsi="Calibri Light"/>
                <w:b w:val="0"/>
              </w:rPr>
              <w:t>Sobre el segundo y el tercer elemento</w:t>
            </w:r>
            <w:r w:rsidR="00036320" w:rsidRPr="00C3365A">
              <w:rPr>
                <w:rFonts w:ascii="Calibri Light" w:hAnsi="Calibri Light"/>
                <w:b w:val="0"/>
              </w:rPr>
              <w:t xml:space="preserve">, los familiares del señor Lara contribuyeron de forma activa </w:t>
            </w:r>
            <w:r w:rsidR="00036320" w:rsidRPr="00C3365A">
              <w:rPr>
                <w:rFonts w:ascii="Calibri Light" w:hAnsi="Calibri Light"/>
                <w:b w:val="0"/>
              </w:rPr>
              <w:lastRenderedPageBreak/>
              <w:t>con sus declaraciones en los momentos oportunos, por lo que las dilaciones en el proceso son atribuibles a las propias autoridades judiciales, las cuales además generaron perjuicios sobre la posibilidad de sancionar a los responsables del delito. Así, la CIDH consider</w:t>
            </w:r>
            <w:r w:rsidR="00DF17DA" w:rsidRPr="00C3365A">
              <w:rPr>
                <w:rFonts w:ascii="Calibri Light" w:hAnsi="Calibri Light"/>
                <w:b w:val="0"/>
              </w:rPr>
              <w:t>ó</w:t>
            </w:r>
            <w:r w:rsidR="00036320" w:rsidRPr="00C3365A">
              <w:rPr>
                <w:rFonts w:ascii="Calibri Light" w:hAnsi="Calibri Light"/>
                <w:b w:val="0"/>
              </w:rPr>
              <w:t xml:space="preserve"> que el lapso de 10 años que duró el proceso sobrepas</w:t>
            </w:r>
            <w:r w:rsidR="00DF17DA" w:rsidRPr="00C3365A">
              <w:rPr>
                <w:rFonts w:ascii="Calibri Light" w:hAnsi="Calibri Light"/>
                <w:b w:val="0"/>
              </w:rPr>
              <w:t>ó</w:t>
            </w:r>
            <w:r w:rsidR="00036320" w:rsidRPr="00C3365A">
              <w:rPr>
                <w:rFonts w:ascii="Calibri Light" w:hAnsi="Calibri Light"/>
                <w:b w:val="0"/>
              </w:rPr>
              <w:t xml:space="preserve"> un plazo que pueda ser considerado razonable dada la naturaleza del caso.</w:t>
            </w:r>
            <w:r w:rsidR="0047266A">
              <w:rPr>
                <w:rFonts w:ascii="Calibri Light" w:hAnsi="Calibri Light"/>
                <w:b w:val="0"/>
              </w:rPr>
              <w:t xml:space="preserve">  </w:t>
            </w:r>
            <w:r w:rsidR="00036320" w:rsidRPr="00C3365A">
              <w:rPr>
                <w:rFonts w:ascii="Calibri Light" w:hAnsi="Calibri Light"/>
                <w:b w:val="0"/>
              </w:rPr>
              <w:t>Por lo detallado, la CIDH declaró la responsabilidad del Estado colombiano por la violación de los artículos 8.1 y 25 de la CADH</w:t>
            </w:r>
            <w:r w:rsidR="0047266A">
              <w:rPr>
                <w:rFonts w:ascii="Calibri Light" w:hAnsi="Calibri Light"/>
                <w:b w:val="0"/>
              </w:rPr>
              <w:t>,</w:t>
            </w:r>
            <w:r w:rsidR="00036320" w:rsidRPr="00C3365A">
              <w:rPr>
                <w:rFonts w:ascii="Calibri Light" w:hAnsi="Calibri Light"/>
                <w:b w:val="0"/>
              </w:rPr>
              <w:t xml:space="preserve"> en relación con los artículos 1.1 y 2</w:t>
            </w:r>
            <w:r w:rsidR="0047266A">
              <w:rPr>
                <w:rFonts w:ascii="Calibri Light" w:hAnsi="Calibri Light"/>
                <w:b w:val="0"/>
              </w:rPr>
              <w:t>,</w:t>
            </w:r>
            <w:r w:rsidR="00036320" w:rsidRPr="00C3365A">
              <w:rPr>
                <w:rFonts w:ascii="Calibri Light" w:hAnsi="Calibri Light"/>
                <w:b w:val="0"/>
              </w:rPr>
              <w:t xml:space="preserve"> en perjuicio </w:t>
            </w:r>
            <w:r w:rsidR="0047266A">
              <w:rPr>
                <w:rFonts w:ascii="Calibri Light" w:hAnsi="Calibri Light"/>
                <w:b w:val="0"/>
              </w:rPr>
              <w:t>del señor</w:t>
            </w:r>
            <w:r w:rsidR="00036320" w:rsidRPr="00C3365A">
              <w:rPr>
                <w:rFonts w:ascii="Calibri Light" w:hAnsi="Calibri Light"/>
                <w:b w:val="0"/>
              </w:rPr>
              <w:t xml:space="preserve"> Lara.</w:t>
            </w:r>
          </w:p>
          <w:p w14:paraId="7C18183B" w14:textId="77777777" w:rsidR="0047266A" w:rsidRPr="00C3365A" w:rsidRDefault="0047266A" w:rsidP="0047266A">
            <w:pPr>
              <w:jc w:val="both"/>
              <w:rPr>
                <w:rFonts w:ascii="Calibri Light" w:hAnsi="Calibri Light"/>
                <w:b w:val="0"/>
              </w:rPr>
            </w:pPr>
          </w:p>
          <w:p w14:paraId="67ABD3B1" w14:textId="263E748E" w:rsidR="00894028" w:rsidRPr="00C3365A" w:rsidRDefault="00036320" w:rsidP="007A0B61">
            <w:pPr>
              <w:spacing w:after="200"/>
              <w:contextualSpacing/>
              <w:jc w:val="both"/>
              <w:rPr>
                <w:rFonts w:ascii="Calibri Light" w:hAnsi="Calibri Light"/>
              </w:rPr>
            </w:pPr>
            <w:r w:rsidRPr="00C3365A">
              <w:rPr>
                <w:rFonts w:ascii="Calibri Light" w:hAnsi="Calibri Light"/>
              </w:rPr>
              <w:t>Derecho a la integridad personal de los familiares del señor Lara (artículo 5 de la CADH)</w:t>
            </w:r>
          </w:p>
          <w:p w14:paraId="45E508B7" w14:textId="77777777" w:rsidR="00B84AE9" w:rsidRPr="00C3365A" w:rsidRDefault="00B84AE9" w:rsidP="007A0B61">
            <w:pPr>
              <w:spacing w:after="200"/>
              <w:ind w:left="720"/>
              <w:contextualSpacing/>
              <w:jc w:val="both"/>
              <w:rPr>
                <w:rFonts w:ascii="Calibri Light" w:hAnsi="Calibri Light"/>
              </w:rPr>
            </w:pPr>
          </w:p>
          <w:p w14:paraId="04C34068" w14:textId="12ED372F" w:rsidR="007A0B61" w:rsidRPr="00C3365A" w:rsidRDefault="00036320" w:rsidP="007A0B61">
            <w:pPr>
              <w:jc w:val="both"/>
              <w:rPr>
                <w:rFonts w:ascii="Calibri Light" w:hAnsi="Calibri Light"/>
                <w:b w:val="0"/>
              </w:rPr>
            </w:pPr>
            <w:r w:rsidRPr="00C3365A">
              <w:rPr>
                <w:rFonts w:ascii="Calibri Light" w:hAnsi="Calibri Light"/>
                <w:b w:val="0"/>
              </w:rPr>
              <w:t xml:space="preserve">La jurisprudencia de la Corte IDH ha determinado que los familiares de las víctimas pueden ver afectado su derecho a la integridad personal debido a los sufrimientos padecidos por sus seres queridos en casos de violaciones a derechos humanos. En este caso particular, la CIDH determinó que no existió un investigación y sanción efectiva </w:t>
            </w:r>
            <w:r w:rsidR="00DF17DA" w:rsidRPr="00C3365A">
              <w:rPr>
                <w:rFonts w:ascii="Calibri Light" w:hAnsi="Calibri Light"/>
                <w:b w:val="0"/>
              </w:rPr>
              <w:t>a</w:t>
            </w:r>
            <w:r w:rsidRPr="00C3365A">
              <w:rPr>
                <w:rFonts w:ascii="Calibri Light" w:hAnsi="Calibri Light"/>
                <w:b w:val="0"/>
              </w:rPr>
              <w:t xml:space="preserve"> los responsables</w:t>
            </w:r>
            <w:r w:rsidR="0047266A">
              <w:rPr>
                <w:rFonts w:ascii="Calibri Light" w:hAnsi="Calibri Light"/>
                <w:b w:val="0"/>
              </w:rPr>
              <w:t>;</w:t>
            </w:r>
            <w:r w:rsidRPr="00C3365A">
              <w:rPr>
                <w:rFonts w:ascii="Calibri Light" w:hAnsi="Calibri Light"/>
                <w:b w:val="0"/>
              </w:rPr>
              <w:t xml:space="preserve"> lo cual, </w:t>
            </w:r>
            <w:r w:rsidR="00DF17DA" w:rsidRPr="00C3365A">
              <w:rPr>
                <w:rFonts w:ascii="Calibri Light" w:hAnsi="Calibri Light"/>
                <w:b w:val="0"/>
              </w:rPr>
              <w:t>sumado a otros factores</w:t>
            </w:r>
            <w:r w:rsidRPr="00C3365A">
              <w:rPr>
                <w:rFonts w:ascii="Calibri Light" w:hAnsi="Calibri Light"/>
                <w:b w:val="0"/>
              </w:rPr>
              <w:t xml:space="preserve"> como las amenazas sufridas por el hijo mayor del señor Lara, la situación de orfandad en que quedaron sus tres hijos, su sufrimiento y el cambio radical en sus vidas, gener</w:t>
            </w:r>
            <w:r w:rsidR="0047266A">
              <w:rPr>
                <w:rFonts w:ascii="Calibri Light" w:hAnsi="Calibri Light"/>
                <w:b w:val="0"/>
              </w:rPr>
              <w:t>ó</w:t>
            </w:r>
            <w:r w:rsidRPr="00C3365A">
              <w:rPr>
                <w:rFonts w:ascii="Calibri Light" w:hAnsi="Calibri Light"/>
                <w:b w:val="0"/>
              </w:rPr>
              <w:t xml:space="preserve"> una afectación sobre la integridad física, psíquica y moral de los familiares del señor Lara. En atención a ello, la CIDH declaró la responsabilidad del Estado colombiano por la violación del artículo 5.1 de la CADH</w:t>
            </w:r>
            <w:r w:rsidR="0047266A">
              <w:rPr>
                <w:rFonts w:ascii="Calibri Light" w:hAnsi="Calibri Light"/>
                <w:b w:val="0"/>
              </w:rPr>
              <w:t>,</w:t>
            </w:r>
            <w:r w:rsidRPr="00C3365A">
              <w:rPr>
                <w:rFonts w:ascii="Calibri Light" w:hAnsi="Calibri Light"/>
                <w:b w:val="0"/>
              </w:rPr>
              <w:t xml:space="preserve"> en relación el artículo 1.1</w:t>
            </w:r>
            <w:r w:rsidR="0047266A">
              <w:rPr>
                <w:rFonts w:ascii="Calibri Light" w:hAnsi="Calibri Light"/>
                <w:b w:val="0"/>
              </w:rPr>
              <w:t>,</w:t>
            </w:r>
            <w:r w:rsidRPr="00C3365A">
              <w:rPr>
                <w:rFonts w:ascii="Calibri Light" w:hAnsi="Calibri Light"/>
                <w:b w:val="0"/>
              </w:rPr>
              <w:t xml:space="preserve"> en perjuicio de los familiares </w:t>
            </w:r>
            <w:r w:rsidR="0047266A">
              <w:rPr>
                <w:rFonts w:ascii="Calibri Light" w:hAnsi="Calibri Light"/>
                <w:b w:val="0"/>
              </w:rPr>
              <w:t>del señor Lara</w:t>
            </w:r>
            <w:r w:rsidRPr="00C3365A">
              <w:rPr>
                <w:rFonts w:ascii="Calibri Light" w:hAnsi="Calibri Light"/>
                <w:b w:val="0"/>
              </w:rPr>
              <w:t>.</w:t>
            </w:r>
          </w:p>
          <w:p w14:paraId="7E8C1F08" w14:textId="1E141DAD" w:rsidR="007A0B61" w:rsidRPr="00C3365A" w:rsidRDefault="007A0B61" w:rsidP="007A0B61">
            <w:pPr>
              <w:jc w:val="both"/>
              <w:rPr>
                <w:rFonts w:ascii="Calibri Light" w:hAnsi="Calibri Light"/>
                <w:b w:val="0"/>
              </w:rPr>
            </w:pPr>
          </w:p>
        </w:tc>
      </w:tr>
      <w:tr w:rsidR="00894028" w:rsidRPr="00C3365A" w14:paraId="1A041E28" w14:textId="77777777" w:rsidTr="004C1BB3">
        <w:trPr>
          <w:trHeight w:val="567"/>
        </w:trPr>
        <w:tc>
          <w:tcPr>
            <w:cnfStyle w:val="001000000000" w:firstRow="0" w:lastRow="0" w:firstColumn="1" w:lastColumn="0" w:oddVBand="0" w:evenVBand="0" w:oddHBand="0" w:evenHBand="0" w:firstRowFirstColumn="0" w:firstRowLastColumn="0" w:lastRowFirstColumn="0" w:lastRowLastColumn="0"/>
            <w:tcW w:w="8505" w:type="dxa"/>
            <w:gridSpan w:val="3"/>
            <w:vAlign w:val="center"/>
          </w:tcPr>
          <w:p w14:paraId="3C4307FC" w14:textId="77777777" w:rsidR="00CA32F1" w:rsidRDefault="00CA32F1" w:rsidP="00CA32F1">
            <w:pPr>
              <w:pBdr>
                <w:top w:val="nil"/>
                <w:left w:val="nil"/>
                <w:bottom w:val="nil"/>
                <w:right w:val="nil"/>
                <w:between w:val="nil"/>
              </w:pBdr>
              <w:ind w:left="720"/>
              <w:contextualSpacing/>
              <w:rPr>
                <w:rFonts w:ascii="Calibri Light" w:hAnsi="Calibri Light"/>
                <w:color w:val="000000"/>
              </w:rPr>
            </w:pPr>
          </w:p>
          <w:p w14:paraId="7BEFDECB" w14:textId="77777777" w:rsidR="00B84AE9" w:rsidRDefault="00036320" w:rsidP="004C1BB3">
            <w:pPr>
              <w:numPr>
                <w:ilvl w:val="0"/>
                <w:numId w:val="5"/>
              </w:numPr>
              <w:pBdr>
                <w:top w:val="nil"/>
                <w:left w:val="nil"/>
                <w:bottom w:val="nil"/>
                <w:right w:val="nil"/>
                <w:between w:val="nil"/>
              </w:pBdr>
              <w:contextualSpacing/>
              <w:jc w:val="center"/>
              <w:rPr>
                <w:rFonts w:ascii="Calibri Light" w:hAnsi="Calibri Light"/>
                <w:color w:val="000000"/>
              </w:rPr>
            </w:pPr>
            <w:r w:rsidRPr="00C3365A">
              <w:rPr>
                <w:rFonts w:ascii="Calibri Light" w:hAnsi="Calibri Light"/>
                <w:color w:val="000000"/>
              </w:rPr>
              <w:t>Recomendaciones</w:t>
            </w:r>
            <w:r w:rsidR="004C1BB3" w:rsidRPr="00C3365A">
              <w:rPr>
                <w:rFonts w:ascii="Calibri Light" w:hAnsi="Calibri Light"/>
                <w:color w:val="000000"/>
              </w:rPr>
              <w:t xml:space="preserve"> de la CIDH al Estado</w:t>
            </w:r>
          </w:p>
          <w:p w14:paraId="0F0A524D" w14:textId="4AB00452" w:rsidR="00CA32F1" w:rsidRPr="00C3365A" w:rsidRDefault="00CA32F1" w:rsidP="00CA32F1">
            <w:pPr>
              <w:pBdr>
                <w:top w:val="nil"/>
                <w:left w:val="nil"/>
                <w:bottom w:val="nil"/>
                <w:right w:val="nil"/>
                <w:between w:val="nil"/>
              </w:pBdr>
              <w:ind w:left="720"/>
              <w:contextualSpacing/>
              <w:rPr>
                <w:rFonts w:ascii="Calibri Light" w:hAnsi="Calibri Light"/>
                <w:color w:val="000000"/>
              </w:rPr>
            </w:pPr>
          </w:p>
        </w:tc>
      </w:tr>
      <w:tr w:rsidR="00894028" w:rsidRPr="00C3365A" w14:paraId="481BF29E" w14:textId="77777777" w:rsidTr="008940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05" w:type="dxa"/>
            <w:gridSpan w:val="3"/>
          </w:tcPr>
          <w:p w14:paraId="6D2F2648" w14:textId="1145D292" w:rsidR="00B84AE9" w:rsidRPr="00C3365A" w:rsidRDefault="00B84AE9" w:rsidP="004C1BB3">
            <w:pPr>
              <w:pBdr>
                <w:top w:val="nil"/>
                <w:left w:val="nil"/>
                <w:bottom w:val="nil"/>
                <w:right w:val="nil"/>
                <w:between w:val="nil"/>
              </w:pBdr>
              <w:ind w:hanging="720"/>
              <w:jc w:val="both"/>
              <w:rPr>
                <w:rFonts w:ascii="Calibri Light" w:hAnsi="Calibri Light"/>
                <w:b w:val="0"/>
              </w:rPr>
            </w:pPr>
            <w:r w:rsidRPr="00C3365A">
              <w:rPr>
                <w:rFonts w:ascii="Calibri Light" w:hAnsi="Calibri Light"/>
              </w:rPr>
              <w:t>F</w:t>
            </w:r>
          </w:p>
          <w:p w14:paraId="44DC9164" w14:textId="6EE84D2A" w:rsidR="00894028" w:rsidRDefault="00036320" w:rsidP="004C1BB3">
            <w:pPr>
              <w:numPr>
                <w:ilvl w:val="0"/>
                <w:numId w:val="2"/>
              </w:numPr>
              <w:pBdr>
                <w:top w:val="nil"/>
                <w:left w:val="nil"/>
                <w:bottom w:val="nil"/>
                <w:right w:val="nil"/>
                <w:between w:val="nil"/>
              </w:pBdr>
              <w:contextualSpacing/>
              <w:jc w:val="both"/>
              <w:rPr>
                <w:rFonts w:ascii="Calibri Light" w:hAnsi="Calibri Light"/>
                <w:b w:val="0"/>
              </w:rPr>
            </w:pPr>
            <w:r w:rsidRPr="00C3365A">
              <w:rPr>
                <w:rFonts w:ascii="Calibri Light" w:hAnsi="Calibri Light"/>
                <w:b w:val="0"/>
              </w:rPr>
              <w:t>Reparar integralmente las violaciones de derechos humanos declaradas</w:t>
            </w:r>
            <w:r w:rsidR="00635642">
              <w:rPr>
                <w:rFonts w:ascii="Calibri Light" w:hAnsi="Calibri Light"/>
                <w:b w:val="0"/>
              </w:rPr>
              <w:t>,</w:t>
            </w:r>
            <w:r w:rsidRPr="00C3365A">
              <w:rPr>
                <w:rFonts w:ascii="Calibri Light" w:hAnsi="Calibri Light"/>
                <w:b w:val="0"/>
              </w:rPr>
              <w:t xml:space="preserve"> tanto en el aspecto material como el moral de las víctimas del caso.</w:t>
            </w:r>
          </w:p>
          <w:p w14:paraId="316AB3DB" w14:textId="77777777" w:rsidR="0047266A" w:rsidRPr="00C3365A" w:rsidRDefault="0047266A" w:rsidP="0047266A">
            <w:pPr>
              <w:pBdr>
                <w:top w:val="nil"/>
                <w:left w:val="nil"/>
                <w:bottom w:val="nil"/>
                <w:right w:val="nil"/>
                <w:between w:val="nil"/>
              </w:pBdr>
              <w:ind w:left="720"/>
              <w:contextualSpacing/>
              <w:jc w:val="both"/>
              <w:rPr>
                <w:rFonts w:ascii="Calibri Light" w:hAnsi="Calibri Light"/>
                <w:b w:val="0"/>
              </w:rPr>
            </w:pPr>
          </w:p>
          <w:p w14:paraId="5CC27F45" w14:textId="77777777" w:rsidR="00894028" w:rsidRDefault="00036320" w:rsidP="004C1BB3">
            <w:pPr>
              <w:numPr>
                <w:ilvl w:val="0"/>
                <w:numId w:val="2"/>
              </w:numPr>
              <w:pBdr>
                <w:top w:val="nil"/>
                <w:left w:val="nil"/>
                <w:bottom w:val="nil"/>
                <w:right w:val="nil"/>
                <w:between w:val="nil"/>
              </w:pBdr>
              <w:contextualSpacing/>
              <w:jc w:val="both"/>
              <w:rPr>
                <w:rFonts w:ascii="Calibri Light" w:hAnsi="Calibri Light"/>
                <w:b w:val="0"/>
              </w:rPr>
            </w:pPr>
            <w:r w:rsidRPr="00C3365A">
              <w:rPr>
                <w:rFonts w:ascii="Calibri Light" w:hAnsi="Calibri Light"/>
                <w:b w:val="0"/>
              </w:rPr>
              <w:t>Desarrollar y completar una investigación judicial que cumpla con los estándares internacionales detallados, prestando especial atención a la investigación de las líneas lógicas para un efectivo esclarecimiento de los hechos y la determinación de las sanciones correspondientes. Esta recomendación deberá cumplirse mediante la adopción de las medidas necesarias para asegurar la continuidad de los procesos regidos por la Ley de Justicia y Paz.</w:t>
            </w:r>
          </w:p>
          <w:p w14:paraId="6582B1B9" w14:textId="77777777" w:rsidR="0047266A" w:rsidRPr="00C3365A" w:rsidRDefault="0047266A" w:rsidP="0047266A">
            <w:pPr>
              <w:pBdr>
                <w:top w:val="nil"/>
                <w:left w:val="nil"/>
                <w:bottom w:val="nil"/>
                <w:right w:val="nil"/>
                <w:between w:val="nil"/>
              </w:pBdr>
              <w:contextualSpacing/>
              <w:jc w:val="both"/>
              <w:rPr>
                <w:rFonts w:ascii="Calibri Light" w:hAnsi="Calibri Light"/>
                <w:b w:val="0"/>
              </w:rPr>
            </w:pPr>
          </w:p>
          <w:p w14:paraId="2C996105" w14:textId="77777777" w:rsidR="00894028" w:rsidRDefault="00036320" w:rsidP="004C1BB3">
            <w:pPr>
              <w:numPr>
                <w:ilvl w:val="0"/>
                <w:numId w:val="2"/>
              </w:numPr>
              <w:pBdr>
                <w:top w:val="nil"/>
                <w:left w:val="nil"/>
                <w:bottom w:val="nil"/>
                <w:right w:val="nil"/>
                <w:between w:val="nil"/>
              </w:pBdr>
              <w:contextualSpacing/>
              <w:jc w:val="both"/>
              <w:rPr>
                <w:rFonts w:ascii="Calibri Light" w:hAnsi="Calibri Light"/>
                <w:b w:val="0"/>
              </w:rPr>
            </w:pPr>
            <w:r w:rsidRPr="00C3365A">
              <w:rPr>
                <w:rFonts w:ascii="Calibri Light" w:hAnsi="Calibri Light"/>
                <w:b w:val="0"/>
              </w:rPr>
              <w:t>Disponer las medidas necesarias para la sanción de las acciones u omisiones de funcionarios estatales que contribuyeron a la impunidad de los responsables en este caso.</w:t>
            </w:r>
          </w:p>
          <w:p w14:paraId="3EC833F2" w14:textId="77777777" w:rsidR="0047266A" w:rsidRPr="00635642" w:rsidRDefault="0047266A" w:rsidP="0047266A">
            <w:pPr>
              <w:pBdr>
                <w:top w:val="nil"/>
                <w:left w:val="nil"/>
                <w:bottom w:val="nil"/>
                <w:right w:val="nil"/>
                <w:between w:val="nil"/>
              </w:pBdr>
              <w:contextualSpacing/>
              <w:jc w:val="both"/>
              <w:rPr>
                <w:rFonts w:ascii="Calibri Light" w:hAnsi="Calibri Light"/>
                <w:b w:val="0"/>
              </w:rPr>
            </w:pPr>
          </w:p>
          <w:p w14:paraId="40FBE034" w14:textId="77777777" w:rsidR="00635642" w:rsidRPr="00635642" w:rsidRDefault="00635642" w:rsidP="00635642">
            <w:pPr>
              <w:pStyle w:val="ListParagraph"/>
              <w:numPr>
                <w:ilvl w:val="0"/>
                <w:numId w:val="8"/>
              </w:numPr>
              <w:pBdr>
                <w:top w:val="nil"/>
                <w:left w:val="nil"/>
                <w:bottom w:val="nil"/>
                <w:right w:val="nil"/>
                <w:between w:val="nil"/>
              </w:pBdr>
              <w:jc w:val="both"/>
              <w:rPr>
                <w:rFonts w:ascii="Calibri Light" w:hAnsi="Calibri Light"/>
                <w:b w:val="0"/>
              </w:rPr>
            </w:pPr>
            <w:r w:rsidRPr="00635642">
              <w:rPr>
                <w:rFonts w:ascii="Calibri Light" w:hAnsi="Calibri Light"/>
                <w:b w:val="0"/>
              </w:rPr>
              <w:t xml:space="preserve">Adoptar medidas de carácter legislativo, institucional y judicial orientadas a reducir la exposición al riesgo de las defensoras y defensores de derechos humanos que se encuentran en situación de riesgo. En ese sentido, el Estado debe: </w:t>
            </w:r>
          </w:p>
          <w:p w14:paraId="2D89A419" w14:textId="77777777" w:rsidR="00635642" w:rsidRPr="00635642" w:rsidRDefault="00635642" w:rsidP="0047266A">
            <w:pPr>
              <w:pBdr>
                <w:top w:val="nil"/>
                <w:left w:val="nil"/>
                <w:bottom w:val="nil"/>
                <w:right w:val="nil"/>
                <w:between w:val="nil"/>
              </w:pBdr>
              <w:contextualSpacing/>
              <w:jc w:val="both"/>
              <w:rPr>
                <w:rFonts w:ascii="Calibri Light" w:hAnsi="Calibri Light"/>
                <w:b w:val="0"/>
              </w:rPr>
            </w:pPr>
          </w:p>
          <w:p w14:paraId="496BB858" w14:textId="3B7552C5" w:rsidR="00635642" w:rsidRPr="00635642" w:rsidRDefault="00635642" w:rsidP="00635642">
            <w:pPr>
              <w:pStyle w:val="ListParagraph"/>
              <w:numPr>
                <w:ilvl w:val="0"/>
                <w:numId w:val="9"/>
              </w:numPr>
              <w:pBdr>
                <w:top w:val="nil"/>
                <w:left w:val="nil"/>
                <w:bottom w:val="nil"/>
                <w:right w:val="nil"/>
                <w:between w:val="nil"/>
              </w:pBdr>
              <w:ind w:left="720"/>
              <w:jc w:val="both"/>
              <w:rPr>
                <w:rFonts w:ascii="Calibri Light" w:hAnsi="Calibri Light"/>
                <w:b w:val="0"/>
              </w:rPr>
            </w:pPr>
            <w:r w:rsidRPr="00635642">
              <w:rPr>
                <w:rFonts w:ascii="Calibri Light" w:hAnsi="Calibri Light"/>
                <w:b w:val="0"/>
              </w:rPr>
              <w:t>Fortalecer la capacidad institucional para combatir el patrón de impunidad frente a casos de amenazas y muertes de defensoras y defensores, mediante la elaboración de protocolos de investigación que teniendo en cuenta los riesgos inherentes a la labor de defensa de los derechos humanos permitan un desarrollo exhaustivo de la investigación bajo esta hipótesis.</w:t>
            </w:r>
          </w:p>
          <w:p w14:paraId="5532C39D" w14:textId="448BE0D5" w:rsidR="00635642" w:rsidRPr="00635642" w:rsidRDefault="00635642" w:rsidP="00635642">
            <w:pPr>
              <w:pStyle w:val="ListParagraph"/>
              <w:numPr>
                <w:ilvl w:val="0"/>
                <w:numId w:val="9"/>
              </w:numPr>
              <w:pBdr>
                <w:top w:val="nil"/>
                <w:left w:val="nil"/>
                <w:bottom w:val="nil"/>
                <w:right w:val="nil"/>
                <w:between w:val="nil"/>
              </w:pBdr>
              <w:ind w:left="720"/>
              <w:jc w:val="both"/>
              <w:rPr>
                <w:b w:val="0"/>
              </w:rPr>
            </w:pPr>
            <w:r w:rsidRPr="00635642">
              <w:rPr>
                <w:rFonts w:ascii="Calibri Light" w:hAnsi="Calibri Light"/>
                <w:b w:val="0"/>
              </w:rPr>
              <w:t xml:space="preserve">Desarrollar medidas adecuadas y expeditas de respuesta institucional que permitan proteger eficazmente a defensoras y defensores de derechos humanos en situaciones de riesgo. En concreto, adoptar medidas para asegurar la implementación </w:t>
            </w:r>
            <w:r w:rsidRPr="00635642">
              <w:rPr>
                <w:rFonts w:ascii="Calibri Light" w:hAnsi="Calibri Light"/>
                <w:b w:val="0"/>
              </w:rPr>
              <w:lastRenderedPageBreak/>
              <w:t>efectiva las medidas especiales de protección dictados por los órganos del sistema interamericano.</w:t>
            </w:r>
          </w:p>
          <w:p w14:paraId="116418E6" w14:textId="77777777" w:rsidR="00B84AE9" w:rsidRPr="00C3365A" w:rsidRDefault="00B84AE9" w:rsidP="00635642">
            <w:pPr>
              <w:pBdr>
                <w:top w:val="nil"/>
                <w:left w:val="nil"/>
                <w:bottom w:val="nil"/>
                <w:right w:val="nil"/>
                <w:between w:val="nil"/>
              </w:pBdr>
              <w:ind w:left="720"/>
              <w:contextualSpacing/>
              <w:jc w:val="both"/>
              <w:rPr>
                <w:rFonts w:ascii="Calibri Light" w:hAnsi="Calibri Light"/>
              </w:rPr>
            </w:pPr>
          </w:p>
        </w:tc>
      </w:tr>
      <w:tr w:rsidR="00894028" w:rsidRPr="00C3365A" w14:paraId="3F22BCDA" w14:textId="77777777" w:rsidTr="004C1BB3">
        <w:trPr>
          <w:trHeight w:val="567"/>
        </w:trPr>
        <w:tc>
          <w:tcPr>
            <w:cnfStyle w:val="001000000000" w:firstRow="0" w:lastRow="0" w:firstColumn="1" w:lastColumn="0" w:oddVBand="0" w:evenVBand="0" w:oddHBand="0" w:evenHBand="0" w:firstRowFirstColumn="0" w:firstRowLastColumn="0" w:lastRowFirstColumn="0" w:lastRowLastColumn="0"/>
            <w:tcW w:w="8505" w:type="dxa"/>
            <w:gridSpan w:val="3"/>
            <w:vAlign w:val="center"/>
          </w:tcPr>
          <w:p w14:paraId="35B01502" w14:textId="0EC3CC69" w:rsidR="00894028" w:rsidRPr="00C3365A" w:rsidRDefault="00036320" w:rsidP="004C1BB3">
            <w:pPr>
              <w:numPr>
                <w:ilvl w:val="0"/>
                <w:numId w:val="5"/>
              </w:numPr>
              <w:pBdr>
                <w:top w:val="nil"/>
                <w:left w:val="nil"/>
                <w:bottom w:val="nil"/>
                <w:right w:val="nil"/>
                <w:between w:val="nil"/>
              </w:pBdr>
              <w:contextualSpacing/>
              <w:jc w:val="center"/>
              <w:rPr>
                <w:rFonts w:ascii="Calibri Light" w:hAnsi="Calibri Light"/>
                <w:color w:val="000000"/>
              </w:rPr>
            </w:pPr>
            <w:r w:rsidRPr="00C3365A">
              <w:rPr>
                <w:rFonts w:ascii="Calibri Light" w:hAnsi="Calibri Light"/>
                <w:color w:val="000000"/>
              </w:rPr>
              <w:lastRenderedPageBreak/>
              <w:t>Análisis de cumplimiento de las recomendaciones</w:t>
            </w:r>
          </w:p>
        </w:tc>
      </w:tr>
      <w:tr w:rsidR="00894028" w:rsidRPr="00C3365A" w14:paraId="5F8BD29F" w14:textId="77777777" w:rsidTr="0089402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05" w:type="dxa"/>
            <w:gridSpan w:val="3"/>
          </w:tcPr>
          <w:p w14:paraId="32B3C9D8" w14:textId="77777777" w:rsidR="00894028" w:rsidRPr="00C3365A" w:rsidRDefault="00894028">
            <w:pPr>
              <w:pBdr>
                <w:top w:val="nil"/>
                <w:left w:val="nil"/>
                <w:bottom w:val="nil"/>
                <w:right w:val="nil"/>
                <w:between w:val="nil"/>
              </w:pBdr>
              <w:ind w:hanging="720"/>
              <w:jc w:val="both"/>
              <w:rPr>
                <w:rFonts w:ascii="Calibri Light" w:hAnsi="Calibri Light"/>
                <w:b w:val="0"/>
                <w:color w:val="000000"/>
              </w:rPr>
            </w:pPr>
          </w:p>
          <w:p w14:paraId="470CBE68" w14:textId="77777777" w:rsidR="00635642" w:rsidRPr="00635642" w:rsidRDefault="00036320" w:rsidP="00635642">
            <w:pPr>
              <w:pStyle w:val="ListParagraph"/>
              <w:numPr>
                <w:ilvl w:val="0"/>
                <w:numId w:val="10"/>
              </w:numPr>
              <w:pBdr>
                <w:top w:val="nil"/>
                <w:left w:val="nil"/>
                <w:bottom w:val="nil"/>
                <w:right w:val="nil"/>
                <w:between w:val="nil"/>
              </w:pBdr>
              <w:jc w:val="both"/>
              <w:rPr>
                <w:rFonts w:ascii="Calibri Light" w:hAnsi="Calibri Light"/>
                <w:b w:val="0"/>
                <w:color w:val="000000"/>
              </w:rPr>
            </w:pPr>
            <w:r w:rsidRPr="00635642">
              <w:rPr>
                <w:rFonts w:ascii="Calibri Light" w:hAnsi="Calibri Light"/>
                <w:b w:val="0"/>
              </w:rPr>
              <w:t>Respecto a la recomendación de reparación integral, la CIDH determinó el cumplimiento</w:t>
            </w:r>
            <w:r w:rsidR="003024DE" w:rsidRPr="00635642">
              <w:rPr>
                <w:rFonts w:ascii="Calibri Light" w:hAnsi="Calibri Light"/>
                <w:b w:val="0"/>
              </w:rPr>
              <w:t xml:space="preserve"> total</w:t>
            </w:r>
            <w:r w:rsidRPr="00635642">
              <w:rPr>
                <w:rFonts w:ascii="Calibri Light" w:hAnsi="Calibri Light"/>
                <w:b w:val="0"/>
              </w:rPr>
              <w:t xml:space="preserve"> por parte del Estado en tanto: i) se realizó un acto de público de reconocimiento de responsabilidad internacional y perdón público que contó con la participación de los familiares del señor Lara; y ii) se aprobó un acuerdo indemnizatorio que ya fue cumplido por el Estado.</w:t>
            </w:r>
          </w:p>
          <w:p w14:paraId="226AAD38" w14:textId="77777777" w:rsidR="00635642" w:rsidRPr="00635642" w:rsidRDefault="00635642" w:rsidP="00635642">
            <w:pPr>
              <w:pStyle w:val="ListParagraph"/>
              <w:pBdr>
                <w:top w:val="nil"/>
                <w:left w:val="nil"/>
                <w:bottom w:val="nil"/>
                <w:right w:val="nil"/>
                <w:between w:val="nil"/>
              </w:pBdr>
              <w:ind w:left="360"/>
              <w:jc w:val="both"/>
              <w:rPr>
                <w:rFonts w:ascii="Calibri Light" w:hAnsi="Calibri Light"/>
                <w:b w:val="0"/>
                <w:color w:val="000000"/>
              </w:rPr>
            </w:pPr>
          </w:p>
          <w:p w14:paraId="5D4EE076" w14:textId="7B2819AE" w:rsidR="004C1BB3" w:rsidRPr="00635642" w:rsidRDefault="00036320" w:rsidP="00635642">
            <w:pPr>
              <w:pStyle w:val="ListParagraph"/>
              <w:numPr>
                <w:ilvl w:val="0"/>
                <w:numId w:val="10"/>
              </w:numPr>
              <w:pBdr>
                <w:top w:val="nil"/>
                <w:left w:val="nil"/>
                <w:bottom w:val="nil"/>
                <w:right w:val="nil"/>
                <w:between w:val="nil"/>
              </w:pBdr>
              <w:jc w:val="both"/>
              <w:rPr>
                <w:rFonts w:ascii="Calibri Light" w:hAnsi="Calibri Light"/>
                <w:b w:val="0"/>
                <w:color w:val="000000"/>
              </w:rPr>
            </w:pPr>
            <w:r w:rsidRPr="00635642">
              <w:rPr>
                <w:rFonts w:ascii="Calibri Light" w:hAnsi="Calibri Light"/>
                <w:b w:val="0"/>
              </w:rPr>
              <w:t>Respecto a la segunda y tercera recomendación, la CIDH las consider</w:t>
            </w:r>
            <w:r w:rsidR="00546FA0" w:rsidRPr="00635642">
              <w:rPr>
                <w:rFonts w:ascii="Calibri Light" w:hAnsi="Calibri Light"/>
                <w:b w:val="0"/>
              </w:rPr>
              <w:t>ó</w:t>
            </w:r>
            <w:r w:rsidRPr="00635642">
              <w:rPr>
                <w:rFonts w:ascii="Calibri Light" w:hAnsi="Calibri Light"/>
                <w:b w:val="0"/>
              </w:rPr>
              <w:t xml:space="preserve"> parcialmente cumplidas</w:t>
            </w:r>
            <w:r w:rsidR="00635642">
              <w:rPr>
                <w:rFonts w:ascii="Calibri Light" w:hAnsi="Calibri Light"/>
                <w:b w:val="0"/>
              </w:rPr>
              <w:t>, pues</w:t>
            </w:r>
            <w:r w:rsidRPr="00635642">
              <w:rPr>
                <w:rFonts w:ascii="Calibri Light" w:hAnsi="Calibri Light"/>
                <w:b w:val="0"/>
              </w:rPr>
              <w:t xml:space="preserve"> si bien se ha sentenciado ya a tres autores materiales del homicidio del señor Lara, los autores intelectuales aún continúan siendo procesados de forma interna.</w:t>
            </w:r>
          </w:p>
          <w:p w14:paraId="7130A8FA" w14:textId="77777777" w:rsidR="00635642" w:rsidRPr="00635642" w:rsidRDefault="00635642" w:rsidP="00635642">
            <w:pPr>
              <w:pBdr>
                <w:top w:val="nil"/>
                <w:left w:val="nil"/>
                <w:bottom w:val="nil"/>
                <w:right w:val="nil"/>
                <w:between w:val="nil"/>
              </w:pBdr>
              <w:contextualSpacing/>
              <w:jc w:val="both"/>
              <w:rPr>
                <w:rFonts w:ascii="Calibri Light" w:hAnsi="Calibri Light"/>
                <w:b w:val="0"/>
              </w:rPr>
            </w:pPr>
          </w:p>
          <w:p w14:paraId="5C1F9AA5" w14:textId="134F1E6C" w:rsidR="00894028" w:rsidRPr="00635642" w:rsidRDefault="00036320" w:rsidP="00635642">
            <w:pPr>
              <w:pStyle w:val="ListParagraph"/>
              <w:numPr>
                <w:ilvl w:val="0"/>
                <w:numId w:val="10"/>
              </w:numPr>
              <w:pBdr>
                <w:top w:val="nil"/>
                <w:left w:val="nil"/>
                <w:bottom w:val="nil"/>
                <w:right w:val="nil"/>
                <w:between w:val="nil"/>
              </w:pBdr>
              <w:jc w:val="both"/>
              <w:rPr>
                <w:rFonts w:ascii="Calibri Light" w:hAnsi="Calibri Light"/>
                <w:b w:val="0"/>
              </w:rPr>
            </w:pPr>
            <w:r w:rsidRPr="00635642">
              <w:rPr>
                <w:rFonts w:ascii="Calibri Light" w:hAnsi="Calibri Light"/>
                <w:b w:val="0"/>
              </w:rPr>
              <w:t>Respecto a la cuarta recomendación, el Estado presentó una serie de medidas adoptadas para su cumplimiento, entre las cuales se encuentran i) la creación e implementación de una Unidad Nacional de Protección, con programas diseñados para defensores y defensoras de derechos humanos; ii) la actualización del Programa de Protección de personas en riesgo; entre otras. En vista de lo informado, la CIDH consider</w:t>
            </w:r>
            <w:r w:rsidR="00546FA0" w:rsidRPr="00635642">
              <w:rPr>
                <w:rFonts w:ascii="Calibri Light" w:hAnsi="Calibri Light"/>
                <w:b w:val="0"/>
              </w:rPr>
              <w:t>ó</w:t>
            </w:r>
            <w:r w:rsidRPr="00635642">
              <w:rPr>
                <w:rFonts w:ascii="Calibri Light" w:hAnsi="Calibri Light"/>
                <w:b w:val="0"/>
              </w:rPr>
              <w:t xml:space="preserve"> la recomendación parcialmente cumplida.</w:t>
            </w:r>
          </w:p>
          <w:p w14:paraId="48CC454F" w14:textId="1A3E1E5D" w:rsidR="004C1BB3" w:rsidRPr="00C3365A" w:rsidRDefault="004C1BB3">
            <w:pPr>
              <w:pBdr>
                <w:top w:val="nil"/>
                <w:left w:val="nil"/>
                <w:bottom w:val="nil"/>
                <w:right w:val="nil"/>
                <w:between w:val="nil"/>
              </w:pBdr>
              <w:ind w:hanging="720"/>
              <w:jc w:val="center"/>
              <w:rPr>
                <w:rFonts w:ascii="Calibri Light" w:hAnsi="Calibri Light"/>
                <w:b w:val="0"/>
                <w:color w:val="000000"/>
              </w:rPr>
            </w:pPr>
          </w:p>
        </w:tc>
      </w:tr>
    </w:tbl>
    <w:p w14:paraId="121BFF52" w14:textId="77777777" w:rsidR="00894028" w:rsidRPr="00C3365A" w:rsidRDefault="00894028">
      <w:pPr>
        <w:spacing w:line="240" w:lineRule="auto"/>
        <w:rPr>
          <w:rFonts w:ascii="Calibri Light" w:hAnsi="Calibri Light"/>
        </w:rPr>
      </w:pPr>
    </w:p>
    <w:p w14:paraId="571EB34C" w14:textId="77777777" w:rsidR="00894028" w:rsidRPr="00C3365A" w:rsidRDefault="00894028">
      <w:pPr>
        <w:spacing w:line="240" w:lineRule="auto"/>
        <w:rPr>
          <w:rFonts w:ascii="Calibri Light" w:hAnsi="Calibri Light"/>
        </w:rPr>
      </w:pPr>
    </w:p>
    <w:sectPr w:rsidR="00894028" w:rsidRPr="00C3365A">
      <w:footerReference w:type="default" r:id="rId15"/>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CB37E" w14:textId="77777777" w:rsidR="00E84654" w:rsidRDefault="00E84654">
      <w:pPr>
        <w:spacing w:after="0" w:line="240" w:lineRule="auto"/>
      </w:pPr>
      <w:r>
        <w:separator/>
      </w:r>
    </w:p>
  </w:endnote>
  <w:endnote w:type="continuationSeparator" w:id="0">
    <w:p w14:paraId="69711729" w14:textId="77777777" w:rsidR="00E84654" w:rsidRDefault="00E8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CC92" w14:textId="7315CA8F" w:rsidR="00A66FC3" w:rsidRPr="00635642" w:rsidRDefault="00A66FC3">
    <w:pPr>
      <w:pBdr>
        <w:top w:val="nil"/>
        <w:left w:val="nil"/>
        <w:bottom w:val="nil"/>
        <w:right w:val="nil"/>
        <w:between w:val="nil"/>
      </w:pBdr>
      <w:tabs>
        <w:tab w:val="center" w:pos="4419"/>
        <w:tab w:val="right" w:pos="8838"/>
      </w:tabs>
      <w:spacing w:after="0" w:line="240" w:lineRule="auto"/>
      <w:jc w:val="right"/>
      <w:rPr>
        <w:rFonts w:ascii="Calibri Light" w:hAnsi="Calibri Light"/>
        <w:color w:val="000000"/>
      </w:rPr>
    </w:pPr>
    <w:r w:rsidRPr="00635642">
      <w:rPr>
        <w:rFonts w:ascii="Calibri Light" w:hAnsi="Calibri Light"/>
        <w:color w:val="000000"/>
      </w:rPr>
      <w:fldChar w:fldCharType="begin"/>
    </w:r>
    <w:r w:rsidRPr="00635642">
      <w:rPr>
        <w:rFonts w:ascii="Calibri Light" w:hAnsi="Calibri Light"/>
        <w:color w:val="000000"/>
      </w:rPr>
      <w:instrText>PAGE</w:instrText>
    </w:r>
    <w:r w:rsidRPr="00635642">
      <w:rPr>
        <w:rFonts w:ascii="Calibri Light" w:hAnsi="Calibri Light"/>
        <w:color w:val="000000"/>
      </w:rPr>
      <w:fldChar w:fldCharType="separate"/>
    </w:r>
    <w:r w:rsidR="007B5132">
      <w:rPr>
        <w:rFonts w:ascii="Calibri Light" w:hAnsi="Calibri Light"/>
        <w:noProof/>
        <w:color w:val="000000"/>
      </w:rPr>
      <w:t>7</w:t>
    </w:r>
    <w:r w:rsidRPr="00635642">
      <w:rPr>
        <w:rFonts w:ascii="Calibri Light" w:hAnsi="Calibri Light"/>
        <w:color w:val="000000"/>
      </w:rPr>
      <w:fldChar w:fldCharType="end"/>
    </w:r>
  </w:p>
  <w:p w14:paraId="019ED456" w14:textId="77777777" w:rsidR="00A66FC3" w:rsidRPr="00635642" w:rsidRDefault="00A66FC3">
    <w:pPr>
      <w:pBdr>
        <w:top w:val="nil"/>
        <w:left w:val="nil"/>
        <w:bottom w:val="nil"/>
        <w:right w:val="nil"/>
        <w:between w:val="nil"/>
      </w:pBdr>
      <w:tabs>
        <w:tab w:val="center" w:pos="4419"/>
        <w:tab w:val="right" w:pos="8838"/>
      </w:tabs>
      <w:spacing w:after="0" w:line="240" w:lineRule="auto"/>
      <w:rPr>
        <w:rFonts w:ascii="Calibri Light" w:hAnsi="Calibri Light"/>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A19F8" w14:textId="77777777" w:rsidR="00E84654" w:rsidRDefault="00E84654">
      <w:pPr>
        <w:spacing w:after="0" w:line="240" w:lineRule="auto"/>
      </w:pPr>
      <w:r>
        <w:separator/>
      </w:r>
    </w:p>
  </w:footnote>
  <w:footnote w:type="continuationSeparator" w:id="0">
    <w:p w14:paraId="21CB42A5" w14:textId="77777777" w:rsidR="00E84654" w:rsidRDefault="00E84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3B7"/>
    <w:multiLevelType w:val="multilevel"/>
    <w:tmpl w:val="F3F8019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D55E6"/>
    <w:multiLevelType w:val="hybridMultilevel"/>
    <w:tmpl w:val="4AEEE1B8"/>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2FF171CF"/>
    <w:multiLevelType w:val="multilevel"/>
    <w:tmpl w:val="09BE2490"/>
    <w:lvl w:ilvl="0">
      <w:start w:val="1"/>
      <w:numFmt w:val="decimal"/>
      <w:lvlText w:val="%1."/>
      <w:lvlJc w:val="left"/>
      <w:pPr>
        <w:ind w:left="360" w:hanging="360"/>
      </w:pPr>
      <w:rPr>
        <w:rFonts w:ascii="Calibri Light" w:eastAsia="Calibri" w:hAnsi="Calibri Light" w:cs="Calibri"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A36BA2"/>
    <w:multiLevelType w:val="multilevel"/>
    <w:tmpl w:val="D28249DC"/>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83B1C0F"/>
    <w:multiLevelType w:val="hybridMultilevel"/>
    <w:tmpl w:val="232CD25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5A2D3CC9"/>
    <w:multiLevelType w:val="multilevel"/>
    <w:tmpl w:val="3C18B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970E11"/>
    <w:multiLevelType w:val="multilevel"/>
    <w:tmpl w:val="9E629E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696241"/>
    <w:multiLevelType w:val="hybridMultilevel"/>
    <w:tmpl w:val="E59C38A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76C7792C"/>
    <w:multiLevelType w:val="multilevel"/>
    <w:tmpl w:val="C3BE037A"/>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9EB760B"/>
    <w:multiLevelType w:val="multilevel"/>
    <w:tmpl w:val="A606E89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5"/>
  </w:num>
  <w:num w:numId="2">
    <w:abstractNumId w:val="9"/>
  </w:num>
  <w:num w:numId="3">
    <w:abstractNumId w:val="8"/>
  </w:num>
  <w:num w:numId="4">
    <w:abstractNumId w:val="3"/>
  </w:num>
  <w:num w:numId="5">
    <w:abstractNumId w:val="6"/>
  </w:num>
  <w:num w:numId="6">
    <w:abstractNumId w:val="0"/>
  </w:num>
  <w:num w:numId="7">
    <w:abstractNumId w:val="2"/>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94028"/>
    <w:rsid w:val="00036320"/>
    <w:rsid w:val="0003757F"/>
    <w:rsid w:val="0004623D"/>
    <w:rsid w:val="00082E02"/>
    <w:rsid w:val="00084604"/>
    <w:rsid w:val="000916F7"/>
    <w:rsid w:val="0009401F"/>
    <w:rsid w:val="000C7507"/>
    <w:rsid w:val="000D5E33"/>
    <w:rsid w:val="000E392F"/>
    <w:rsid w:val="00101B37"/>
    <w:rsid w:val="001059BC"/>
    <w:rsid w:val="00115499"/>
    <w:rsid w:val="0012050F"/>
    <w:rsid w:val="00121D54"/>
    <w:rsid w:val="00131A15"/>
    <w:rsid w:val="00141920"/>
    <w:rsid w:val="00166BBB"/>
    <w:rsid w:val="0017763E"/>
    <w:rsid w:val="00196D5F"/>
    <w:rsid w:val="001B6A88"/>
    <w:rsid w:val="001C049E"/>
    <w:rsid w:val="001C49A0"/>
    <w:rsid w:val="001E692C"/>
    <w:rsid w:val="00200463"/>
    <w:rsid w:val="002023C0"/>
    <w:rsid w:val="0020360F"/>
    <w:rsid w:val="00207E16"/>
    <w:rsid w:val="00236597"/>
    <w:rsid w:val="00236BDE"/>
    <w:rsid w:val="002415F6"/>
    <w:rsid w:val="00247EE0"/>
    <w:rsid w:val="00251F68"/>
    <w:rsid w:val="002632D7"/>
    <w:rsid w:val="00280DCF"/>
    <w:rsid w:val="0028275E"/>
    <w:rsid w:val="00293B03"/>
    <w:rsid w:val="002A326C"/>
    <w:rsid w:val="002A3B22"/>
    <w:rsid w:val="002B32AE"/>
    <w:rsid w:val="002B5357"/>
    <w:rsid w:val="002B70B9"/>
    <w:rsid w:val="002F6973"/>
    <w:rsid w:val="002F7BE1"/>
    <w:rsid w:val="003024DE"/>
    <w:rsid w:val="0030564C"/>
    <w:rsid w:val="00323FC0"/>
    <w:rsid w:val="00326EC9"/>
    <w:rsid w:val="003343BB"/>
    <w:rsid w:val="0035597E"/>
    <w:rsid w:val="003750DE"/>
    <w:rsid w:val="00394A96"/>
    <w:rsid w:val="003D68DF"/>
    <w:rsid w:val="003E2D1E"/>
    <w:rsid w:val="003F006B"/>
    <w:rsid w:val="00402283"/>
    <w:rsid w:val="00415412"/>
    <w:rsid w:val="00424486"/>
    <w:rsid w:val="004376D0"/>
    <w:rsid w:val="00452F68"/>
    <w:rsid w:val="0045445D"/>
    <w:rsid w:val="00456CDB"/>
    <w:rsid w:val="00463B0C"/>
    <w:rsid w:val="0047266A"/>
    <w:rsid w:val="00473522"/>
    <w:rsid w:val="0047544D"/>
    <w:rsid w:val="0048039C"/>
    <w:rsid w:val="00484236"/>
    <w:rsid w:val="00486917"/>
    <w:rsid w:val="00490000"/>
    <w:rsid w:val="004A0568"/>
    <w:rsid w:val="004C0F0F"/>
    <w:rsid w:val="004C1BB3"/>
    <w:rsid w:val="004D48C0"/>
    <w:rsid w:val="004E79B1"/>
    <w:rsid w:val="00511288"/>
    <w:rsid w:val="005340B7"/>
    <w:rsid w:val="00546FA0"/>
    <w:rsid w:val="005535A5"/>
    <w:rsid w:val="00560851"/>
    <w:rsid w:val="005618E8"/>
    <w:rsid w:val="005719C1"/>
    <w:rsid w:val="0058151B"/>
    <w:rsid w:val="0058632F"/>
    <w:rsid w:val="005A3072"/>
    <w:rsid w:val="005A568F"/>
    <w:rsid w:val="005A5E80"/>
    <w:rsid w:val="005A7EBE"/>
    <w:rsid w:val="005B03EA"/>
    <w:rsid w:val="005D7475"/>
    <w:rsid w:val="005E5365"/>
    <w:rsid w:val="005F2901"/>
    <w:rsid w:val="005F7B5E"/>
    <w:rsid w:val="00635642"/>
    <w:rsid w:val="00655912"/>
    <w:rsid w:val="00656F77"/>
    <w:rsid w:val="00684177"/>
    <w:rsid w:val="00692FA4"/>
    <w:rsid w:val="00696012"/>
    <w:rsid w:val="006B3023"/>
    <w:rsid w:val="006C4597"/>
    <w:rsid w:val="006D1F0B"/>
    <w:rsid w:val="006D40DC"/>
    <w:rsid w:val="006E0EBB"/>
    <w:rsid w:val="006E3CA0"/>
    <w:rsid w:val="00701283"/>
    <w:rsid w:val="00714B6D"/>
    <w:rsid w:val="0077522B"/>
    <w:rsid w:val="007A0B61"/>
    <w:rsid w:val="007A4E4A"/>
    <w:rsid w:val="007B26C0"/>
    <w:rsid w:val="007B4DF1"/>
    <w:rsid w:val="007B5132"/>
    <w:rsid w:val="007C41E9"/>
    <w:rsid w:val="00820A41"/>
    <w:rsid w:val="00830418"/>
    <w:rsid w:val="00831C81"/>
    <w:rsid w:val="00840625"/>
    <w:rsid w:val="00860A95"/>
    <w:rsid w:val="00872280"/>
    <w:rsid w:val="00876773"/>
    <w:rsid w:val="0087768B"/>
    <w:rsid w:val="0088459F"/>
    <w:rsid w:val="00894028"/>
    <w:rsid w:val="00894BC7"/>
    <w:rsid w:val="008A776B"/>
    <w:rsid w:val="008E0978"/>
    <w:rsid w:val="008E7B29"/>
    <w:rsid w:val="008F4BE5"/>
    <w:rsid w:val="00904471"/>
    <w:rsid w:val="009260DA"/>
    <w:rsid w:val="00945833"/>
    <w:rsid w:val="009559C9"/>
    <w:rsid w:val="0096339C"/>
    <w:rsid w:val="00966BCD"/>
    <w:rsid w:val="009676BF"/>
    <w:rsid w:val="009729A3"/>
    <w:rsid w:val="00972FFF"/>
    <w:rsid w:val="009950D5"/>
    <w:rsid w:val="009A27EB"/>
    <w:rsid w:val="009A440C"/>
    <w:rsid w:val="009B0238"/>
    <w:rsid w:val="009B7115"/>
    <w:rsid w:val="009D37F5"/>
    <w:rsid w:val="009D589B"/>
    <w:rsid w:val="009E5B51"/>
    <w:rsid w:val="00A12B65"/>
    <w:rsid w:val="00A172DD"/>
    <w:rsid w:val="00A36B9C"/>
    <w:rsid w:val="00A5354F"/>
    <w:rsid w:val="00A66FC3"/>
    <w:rsid w:val="00A978D7"/>
    <w:rsid w:val="00AD27A7"/>
    <w:rsid w:val="00AF54A4"/>
    <w:rsid w:val="00AF7CFE"/>
    <w:rsid w:val="00B03F50"/>
    <w:rsid w:val="00B0428D"/>
    <w:rsid w:val="00B21089"/>
    <w:rsid w:val="00B4764A"/>
    <w:rsid w:val="00B70FA2"/>
    <w:rsid w:val="00B84AE9"/>
    <w:rsid w:val="00B86608"/>
    <w:rsid w:val="00B95C82"/>
    <w:rsid w:val="00BA49C9"/>
    <w:rsid w:val="00BA6034"/>
    <w:rsid w:val="00BE7E0C"/>
    <w:rsid w:val="00C019E4"/>
    <w:rsid w:val="00C06B0E"/>
    <w:rsid w:val="00C07A87"/>
    <w:rsid w:val="00C126A6"/>
    <w:rsid w:val="00C3365A"/>
    <w:rsid w:val="00C51404"/>
    <w:rsid w:val="00C551E4"/>
    <w:rsid w:val="00C8718A"/>
    <w:rsid w:val="00C95488"/>
    <w:rsid w:val="00CA32F1"/>
    <w:rsid w:val="00CC045A"/>
    <w:rsid w:val="00CC1514"/>
    <w:rsid w:val="00CC63BF"/>
    <w:rsid w:val="00CC7F1C"/>
    <w:rsid w:val="00CF3D9C"/>
    <w:rsid w:val="00CF5602"/>
    <w:rsid w:val="00CF60EF"/>
    <w:rsid w:val="00D047F1"/>
    <w:rsid w:val="00D135D7"/>
    <w:rsid w:val="00D267E6"/>
    <w:rsid w:val="00D65DC5"/>
    <w:rsid w:val="00D76008"/>
    <w:rsid w:val="00D76CBC"/>
    <w:rsid w:val="00D7746A"/>
    <w:rsid w:val="00D806B7"/>
    <w:rsid w:val="00D83726"/>
    <w:rsid w:val="00D95FB3"/>
    <w:rsid w:val="00DA4A6E"/>
    <w:rsid w:val="00DB0870"/>
    <w:rsid w:val="00DB0D50"/>
    <w:rsid w:val="00DD57C2"/>
    <w:rsid w:val="00DE6782"/>
    <w:rsid w:val="00DE72E2"/>
    <w:rsid w:val="00DF17DA"/>
    <w:rsid w:val="00DF1B73"/>
    <w:rsid w:val="00DF6E4F"/>
    <w:rsid w:val="00E03453"/>
    <w:rsid w:val="00E168D5"/>
    <w:rsid w:val="00E33CB9"/>
    <w:rsid w:val="00E43C8E"/>
    <w:rsid w:val="00E50541"/>
    <w:rsid w:val="00E61FC7"/>
    <w:rsid w:val="00E6549F"/>
    <w:rsid w:val="00E76C42"/>
    <w:rsid w:val="00E808D2"/>
    <w:rsid w:val="00E84654"/>
    <w:rsid w:val="00E9369A"/>
    <w:rsid w:val="00EA5B4B"/>
    <w:rsid w:val="00EC0836"/>
    <w:rsid w:val="00ED1623"/>
    <w:rsid w:val="00ED43A5"/>
    <w:rsid w:val="00ED72BE"/>
    <w:rsid w:val="00EE2C95"/>
    <w:rsid w:val="00EF1DF9"/>
    <w:rsid w:val="00F13BD0"/>
    <w:rsid w:val="00F17C81"/>
    <w:rsid w:val="00F220B2"/>
    <w:rsid w:val="00F2782F"/>
    <w:rsid w:val="00F656C9"/>
    <w:rsid w:val="00F80685"/>
    <w:rsid w:val="00F8479A"/>
    <w:rsid w:val="00F95542"/>
    <w:rsid w:val="00FB3385"/>
    <w:rsid w:val="00FB6D3B"/>
    <w:rsid w:val="00FE1351"/>
    <w:rsid w:val="00FF7A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character" w:styleId="Hyperlink">
    <w:name w:val="Hyperlink"/>
    <w:basedOn w:val="DefaultParagraphFont"/>
    <w:uiPriority w:val="99"/>
    <w:unhideWhenUsed/>
    <w:rsid w:val="002632D7"/>
    <w:rPr>
      <w:color w:val="0000FF" w:themeColor="hyperlink"/>
      <w:u w:val="single"/>
    </w:rPr>
  </w:style>
  <w:style w:type="paragraph" w:styleId="BalloonText">
    <w:name w:val="Balloon Text"/>
    <w:basedOn w:val="Normal"/>
    <w:link w:val="BalloonTextChar"/>
    <w:uiPriority w:val="99"/>
    <w:semiHidden/>
    <w:unhideWhenUsed/>
    <w:rsid w:val="00B70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FA2"/>
    <w:rPr>
      <w:rFonts w:ascii="Tahoma" w:hAnsi="Tahoma" w:cs="Tahoma"/>
      <w:sz w:val="16"/>
      <w:szCs w:val="16"/>
    </w:rPr>
  </w:style>
  <w:style w:type="character" w:styleId="CommentReference">
    <w:name w:val="annotation reference"/>
    <w:basedOn w:val="DefaultParagraphFont"/>
    <w:uiPriority w:val="99"/>
    <w:semiHidden/>
    <w:unhideWhenUsed/>
    <w:rsid w:val="00B84AE9"/>
    <w:rPr>
      <w:sz w:val="16"/>
      <w:szCs w:val="16"/>
    </w:rPr>
  </w:style>
  <w:style w:type="paragraph" w:styleId="CommentText">
    <w:name w:val="annotation text"/>
    <w:basedOn w:val="Normal"/>
    <w:link w:val="CommentTextChar"/>
    <w:uiPriority w:val="99"/>
    <w:semiHidden/>
    <w:unhideWhenUsed/>
    <w:rsid w:val="00B84AE9"/>
    <w:pPr>
      <w:spacing w:line="240" w:lineRule="auto"/>
    </w:pPr>
    <w:rPr>
      <w:sz w:val="20"/>
      <w:szCs w:val="20"/>
    </w:rPr>
  </w:style>
  <w:style w:type="character" w:customStyle="1" w:styleId="CommentTextChar">
    <w:name w:val="Comment Text Char"/>
    <w:basedOn w:val="DefaultParagraphFont"/>
    <w:link w:val="CommentText"/>
    <w:uiPriority w:val="99"/>
    <w:semiHidden/>
    <w:rsid w:val="00B84AE9"/>
    <w:rPr>
      <w:sz w:val="20"/>
      <w:szCs w:val="20"/>
    </w:rPr>
  </w:style>
  <w:style w:type="paragraph" w:styleId="CommentSubject">
    <w:name w:val="annotation subject"/>
    <w:basedOn w:val="CommentText"/>
    <w:next w:val="CommentText"/>
    <w:link w:val="CommentSubjectChar"/>
    <w:uiPriority w:val="99"/>
    <w:semiHidden/>
    <w:unhideWhenUsed/>
    <w:rsid w:val="00B84AE9"/>
    <w:rPr>
      <w:b/>
      <w:bCs/>
    </w:rPr>
  </w:style>
  <w:style w:type="character" w:customStyle="1" w:styleId="CommentSubjectChar">
    <w:name w:val="Comment Subject Char"/>
    <w:basedOn w:val="CommentTextChar"/>
    <w:link w:val="CommentSubject"/>
    <w:uiPriority w:val="99"/>
    <w:semiHidden/>
    <w:rsid w:val="00B84AE9"/>
    <w:rPr>
      <w:b/>
      <w:bCs/>
      <w:sz w:val="20"/>
      <w:szCs w:val="20"/>
    </w:rPr>
  </w:style>
  <w:style w:type="character" w:styleId="FollowedHyperlink">
    <w:name w:val="FollowedHyperlink"/>
    <w:basedOn w:val="DefaultParagraphFont"/>
    <w:uiPriority w:val="99"/>
    <w:semiHidden/>
    <w:unhideWhenUsed/>
    <w:rsid w:val="00DA4A6E"/>
    <w:rPr>
      <w:color w:val="800080" w:themeColor="followedHyperlink"/>
      <w:u w:val="single"/>
    </w:rPr>
  </w:style>
  <w:style w:type="paragraph" w:customStyle="1" w:styleId="Default">
    <w:name w:val="Default"/>
    <w:rsid w:val="00E33CB9"/>
    <w:pPr>
      <w:autoSpaceDE w:val="0"/>
      <w:autoSpaceDN w:val="0"/>
      <w:adjustRightInd w:val="0"/>
      <w:spacing w:after="0" w:line="240" w:lineRule="auto"/>
    </w:pPr>
    <w:rPr>
      <w:rFonts w:ascii="Cambria" w:hAnsi="Cambria" w:cs="Cambria"/>
      <w:color w:val="000000"/>
      <w:sz w:val="24"/>
      <w:szCs w:val="24"/>
      <w:lang w:val="es-PE"/>
    </w:rPr>
  </w:style>
  <w:style w:type="paragraph" w:styleId="ListParagraph">
    <w:name w:val="List Paragraph"/>
    <w:basedOn w:val="Normal"/>
    <w:uiPriority w:val="34"/>
    <w:qFormat/>
    <w:rsid w:val="0047266A"/>
    <w:pPr>
      <w:ind w:left="720"/>
      <w:contextualSpacing/>
    </w:pPr>
  </w:style>
  <w:style w:type="paragraph" w:styleId="Header">
    <w:name w:val="header"/>
    <w:basedOn w:val="Normal"/>
    <w:link w:val="HeaderChar"/>
    <w:uiPriority w:val="99"/>
    <w:unhideWhenUsed/>
    <w:rsid w:val="00635642"/>
    <w:pPr>
      <w:tabs>
        <w:tab w:val="center" w:pos="4419"/>
        <w:tab w:val="right" w:pos="8838"/>
      </w:tabs>
      <w:spacing w:after="0" w:line="240" w:lineRule="auto"/>
    </w:pPr>
  </w:style>
  <w:style w:type="character" w:customStyle="1" w:styleId="HeaderChar">
    <w:name w:val="Header Char"/>
    <w:basedOn w:val="DefaultParagraphFont"/>
    <w:link w:val="Header"/>
    <w:uiPriority w:val="99"/>
    <w:rsid w:val="00635642"/>
  </w:style>
  <w:style w:type="paragraph" w:styleId="Footer">
    <w:name w:val="footer"/>
    <w:basedOn w:val="Normal"/>
    <w:link w:val="FooterChar"/>
    <w:uiPriority w:val="99"/>
    <w:unhideWhenUsed/>
    <w:rsid w:val="00635642"/>
    <w:pPr>
      <w:tabs>
        <w:tab w:val="center" w:pos="4419"/>
        <w:tab w:val="right" w:pos="8838"/>
      </w:tabs>
      <w:spacing w:after="0" w:line="240" w:lineRule="auto"/>
    </w:pPr>
  </w:style>
  <w:style w:type="character" w:customStyle="1" w:styleId="FooterChar">
    <w:name w:val="Footer Char"/>
    <w:basedOn w:val="DefaultParagraphFont"/>
    <w:link w:val="Footer"/>
    <w:uiPriority w:val="99"/>
    <w:rsid w:val="00635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9sp/Colombia1514-06.sp.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7/COPU12713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www.cidh.org/medidas/2002.s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28FC-AC9F-4719-BFD1-83B2F2F3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3128</Words>
  <Characters>17832</Characters>
  <Application>Microsoft Office Word</Application>
  <DocSecurity>0</DocSecurity>
  <Lines>148</Lines>
  <Paragraphs>41</Paragraphs>
  <ScaleCrop>false</ScaleCrop>
  <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2021-02-11T09:51:00Z</dcterms:created>
  <dcterms:modified xsi:type="dcterms:W3CDTF">2021-02-11T09:51:00Z</dcterms:modified>
</cp:coreProperties>
</file>