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D1709" w14:textId="77777777" w:rsidR="00813143" w:rsidRDefault="00813143" w:rsidP="00813143">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4E14F590" wp14:editId="151D8363">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284619EC" wp14:editId="245D4BFA">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2A38761C" wp14:editId="5317E42A">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19947B" w14:textId="77777777" w:rsidR="00813143" w:rsidRPr="00411A74" w:rsidRDefault="00813143" w:rsidP="00813143">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3E61EEDA" w14:textId="77777777" w:rsidR="00813143" w:rsidRDefault="00813143" w:rsidP="00813143">
      <w:pPr>
        <w:spacing w:after="0"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 xml:space="preserve">esumen </w:t>
      </w:r>
    </w:p>
    <w:p w14:paraId="2E7D3ED4" w14:textId="77777777" w:rsidR="003B49DA" w:rsidRPr="004533E5" w:rsidRDefault="003B49DA" w:rsidP="00813143">
      <w:pPr>
        <w:pStyle w:val="Header"/>
        <w:rPr>
          <w:rFonts w:ascii="Calibri Light" w:hAnsi="Calibri Light"/>
          <w:sz w:val="16"/>
          <w:szCs w:val="16"/>
          <w:lang w:val="es-PE"/>
        </w:rPr>
      </w:pPr>
    </w:p>
    <w:tbl>
      <w:tblPr>
        <w:tblStyle w:val="Tabladelista2-nfasis11"/>
        <w:tblW w:w="0" w:type="auto"/>
        <w:tblLook w:val="04A0" w:firstRow="1" w:lastRow="0" w:firstColumn="1" w:lastColumn="0" w:noHBand="0" w:noVBand="1"/>
      </w:tblPr>
      <w:tblGrid>
        <w:gridCol w:w="3678"/>
        <w:gridCol w:w="2490"/>
        <w:gridCol w:w="2553"/>
      </w:tblGrid>
      <w:tr w:rsidR="005173CF" w:rsidRPr="004533E5" w14:paraId="01A2F61A" w14:textId="77777777" w:rsidTr="00A94EE7">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721" w:type="dxa"/>
            <w:gridSpan w:val="3"/>
          </w:tcPr>
          <w:p w14:paraId="07609204" w14:textId="77777777" w:rsidR="00AC6F31" w:rsidRDefault="00AC6F31" w:rsidP="00AC6F31">
            <w:pPr>
              <w:pStyle w:val="ListParagraph"/>
              <w:rPr>
                <w:rFonts w:ascii="Calibri Light" w:hAnsi="Calibri Light"/>
              </w:rPr>
            </w:pPr>
          </w:p>
          <w:p w14:paraId="160CE2AC" w14:textId="77777777" w:rsidR="00212F62" w:rsidRDefault="007A6C56" w:rsidP="00AC6F31">
            <w:pPr>
              <w:pStyle w:val="ListParagraph"/>
              <w:numPr>
                <w:ilvl w:val="0"/>
                <w:numId w:val="2"/>
              </w:numPr>
              <w:jc w:val="center"/>
              <w:rPr>
                <w:rFonts w:ascii="Calibri Light" w:hAnsi="Calibri Light"/>
              </w:rPr>
            </w:pPr>
            <w:r w:rsidRPr="004533E5">
              <w:rPr>
                <w:rFonts w:ascii="Calibri Light" w:hAnsi="Calibri Light"/>
              </w:rPr>
              <w:t>Datos generales</w:t>
            </w:r>
          </w:p>
          <w:p w14:paraId="6C5B323B" w14:textId="6BA3A748" w:rsidR="00AC6F31" w:rsidRPr="00AC6F31" w:rsidRDefault="00AC6F31" w:rsidP="00AC6F31">
            <w:pPr>
              <w:pStyle w:val="ListParagraph"/>
              <w:rPr>
                <w:rFonts w:ascii="Calibri Light" w:hAnsi="Calibri Light"/>
              </w:rPr>
            </w:pPr>
          </w:p>
        </w:tc>
      </w:tr>
      <w:tr w:rsidR="004533E5" w:rsidRPr="004533E5" w14:paraId="275AD1EA" w14:textId="77777777" w:rsidTr="00A94EE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78" w:type="dxa"/>
          </w:tcPr>
          <w:p w14:paraId="63C7EFE0" w14:textId="77777777" w:rsidR="005173CF" w:rsidRPr="004533E5" w:rsidRDefault="007A6C56" w:rsidP="00A65231">
            <w:pPr>
              <w:pStyle w:val="ListParagraph"/>
              <w:numPr>
                <w:ilvl w:val="0"/>
                <w:numId w:val="3"/>
              </w:numPr>
              <w:rPr>
                <w:rFonts w:ascii="Calibri Light" w:hAnsi="Calibri Light"/>
              </w:rPr>
            </w:pPr>
            <w:r w:rsidRPr="004533E5">
              <w:rPr>
                <w:rFonts w:ascii="Calibri Light" w:hAnsi="Calibri Light"/>
              </w:rPr>
              <w:t>Nombre del caso</w:t>
            </w:r>
          </w:p>
        </w:tc>
        <w:tc>
          <w:tcPr>
            <w:tcW w:w="5043" w:type="dxa"/>
            <w:gridSpan w:val="2"/>
          </w:tcPr>
          <w:p w14:paraId="084A5991" w14:textId="2FA8EA89" w:rsidR="005173CF" w:rsidRPr="004533E5" w:rsidRDefault="001077C9" w:rsidP="00A133CC">
            <w:pPr>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Gilberto Jiménez Her</w:t>
            </w:r>
            <w:r w:rsidR="003B49DA">
              <w:rPr>
                <w:rFonts w:ascii="Calibri Light" w:hAnsi="Calibri Light"/>
              </w:rPr>
              <w:t xml:space="preserve">nández y otros (La Grandeza), </w:t>
            </w:r>
            <w:r>
              <w:rPr>
                <w:rFonts w:ascii="Calibri Light" w:hAnsi="Calibri Light"/>
              </w:rPr>
              <w:t>México</w:t>
            </w:r>
          </w:p>
        </w:tc>
      </w:tr>
      <w:tr w:rsidR="00F464EC" w:rsidRPr="004533E5" w14:paraId="59A6A8A1" w14:textId="77777777" w:rsidTr="00A94EE7">
        <w:trPr>
          <w:trHeight w:val="263"/>
        </w:trPr>
        <w:tc>
          <w:tcPr>
            <w:cnfStyle w:val="001000000000" w:firstRow="0" w:lastRow="0" w:firstColumn="1" w:lastColumn="0" w:oddVBand="0" w:evenVBand="0" w:oddHBand="0" w:evenHBand="0" w:firstRowFirstColumn="0" w:firstRowLastColumn="0" w:lastRowFirstColumn="0" w:lastRowLastColumn="0"/>
            <w:tcW w:w="3678" w:type="dxa"/>
          </w:tcPr>
          <w:p w14:paraId="7FA9FC90" w14:textId="1DB2C855" w:rsidR="00F464EC" w:rsidRPr="004533E5" w:rsidRDefault="003B49DA" w:rsidP="00A65231">
            <w:pPr>
              <w:pStyle w:val="ListParagraph"/>
              <w:numPr>
                <w:ilvl w:val="0"/>
                <w:numId w:val="3"/>
              </w:numPr>
              <w:rPr>
                <w:rFonts w:ascii="Calibri Light" w:hAnsi="Calibri Light"/>
              </w:rPr>
            </w:pPr>
            <w:r>
              <w:rPr>
                <w:rFonts w:ascii="Calibri Light" w:hAnsi="Calibri Light"/>
              </w:rPr>
              <w:t>Parte peticionaria</w:t>
            </w:r>
          </w:p>
        </w:tc>
        <w:tc>
          <w:tcPr>
            <w:tcW w:w="5043" w:type="dxa"/>
            <w:gridSpan w:val="2"/>
          </w:tcPr>
          <w:p w14:paraId="21064732" w14:textId="77777777" w:rsidR="004419E8" w:rsidRDefault="001077C9" w:rsidP="00B07E72">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Centro de Derechos Humanos Fray Bartolomé de las Casas</w:t>
            </w:r>
          </w:p>
          <w:p w14:paraId="374B2A68" w14:textId="08E602A3" w:rsidR="00F464EC" w:rsidRDefault="001077C9" w:rsidP="00B07E72">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Centro por la Justicia y el Derecho Internacional (CEJIL)</w:t>
            </w:r>
          </w:p>
        </w:tc>
      </w:tr>
      <w:tr w:rsidR="005173CF" w:rsidRPr="004533E5" w14:paraId="3A483B4F" w14:textId="77777777" w:rsidTr="00A94EE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78" w:type="dxa"/>
          </w:tcPr>
          <w:p w14:paraId="6233C75C" w14:textId="77777777" w:rsidR="005173CF" w:rsidRPr="004533E5" w:rsidRDefault="007A6C56" w:rsidP="00A65231">
            <w:pPr>
              <w:pStyle w:val="ListParagraph"/>
              <w:numPr>
                <w:ilvl w:val="0"/>
                <w:numId w:val="3"/>
              </w:numPr>
              <w:rPr>
                <w:rFonts w:ascii="Calibri Light" w:hAnsi="Calibri Light"/>
              </w:rPr>
            </w:pPr>
            <w:r w:rsidRPr="004533E5">
              <w:rPr>
                <w:rFonts w:ascii="Calibri Light" w:hAnsi="Calibri Light"/>
              </w:rPr>
              <w:t xml:space="preserve">Número de Informe </w:t>
            </w:r>
          </w:p>
        </w:tc>
        <w:tc>
          <w:tcPr>
            <w:tcW w:w="5043" w:type="dxa"/>
            <w:gridSpan w:val="2"/>
          </w:tcPr>
          <w:p w14:paraId="77740DF4" w14:textId="10B9F988" w:rsidR="005173CF" w:rsidRPr="004533E5" w:rsidRDefault="000E0E17" w:rsidP="00B07E72">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r:id="rId12" w:history="1">
              <w:r w:rsidR="00CF2D40">
                <w:rPr>
                  <w:rStyle w:val="Hyperlink"/>
                  <w:rFonts w:ascii="Calibri Light" w:hAnsi="Calibri Light"/>
                </w:rPr>
                <w:t>Informe No. 5</w:t>
              </w:r>
              <w:r w:rsidR="001077C9" w:rsidRPr="001077C9">
                <w:rPr>
                  <w:rStyle w:val="Hyperlink"/>
                  <w:rFonts w:ascii="Calibri Light" w:hAnsi="Calibri Light"/>
                </w:rPr>
                <w:t>1/16</w:t>
              </w:r>
            </w:hyperlink>
          </w:p>
        </w:tc>
      </w:tr>
      <w:tr w:rsidR="004533E5" w:rsidRPr="004533E5" w14:paraId="5EC10F5F" w14:textId="77777777" w:rsidTr="00A94EE7">
        <w:trPr>
          <w:trHeight w:val="212"/>
        </w:trPr>
        <w:tc>
          <w:tcPr>
            <w:cnfStyle w:val="001000000000" w:firstRow="0" w:lastRow="0" w:firstColumn="1" w:lastColumn="0" w:oddVBand="0" w:evenVBand="0" w:oddHBand="0" w:evenHBand="0" w:firstRowFirstColumn="0" w:firstRowLastColumn="0" w:lastRowFirstColumn="0" w:lastRowLastColumn="0"/>
            <w:tcW w:w="3678" w:type="dxa"/>
          </w:tcPr>
          <w:p w14:paraId="00180E4F" w14:textId="77777777" w:rsidR="005173CF" w:rsidRPr="00F725A5" w:rsidRDefault="00954E20" w:rsidP="00954E20">
            <w:pPr>
              <w:pStyle w:val="ListParagraph"/>
              <w:numPr>
                <w:ilvl w:val="0"/>
                <w:numId w:val="3"/>
              </w:numPr>
            </w:pPr>
            <w:r w:rsidRPr="004533E5">
              <w:rPr>
                <w:rFonts w:ascii="Calibri Light" w:hAnsi="Calibri Light"/>
              </w:rPr>
              <w:t xml:space="preserve">Tipo de informe </w:t>
            </w:r>
          </w:p>
        </w:tc>
        <w:tc>
          <w:tcPr>
            <w:tcW w:w="5043" w:type="dxa"/>
            <w:gridSpan w:val="2"/>
          </w:tcPr>
          <w:p w14:paraId="35E9A08D" w14:textId="2F1156D7" w:rsidR="005173CF" w:rsidRPr="00243C42" w:rsidRDefault="001077C9" w:rsidP="00954E20">
            <w:pPr>
              <w:jc w:val="both"/>
              <w:cnfStyle w:val="000000000000" w:firstRow="0" w:lastRow="0" w:firstColumn="0" w:lastColumn="0" w:oddVBand="0" w:evenVBand="0" w:oddHBand="0" w:evenHBand="0" w:firstRowFirstColumn="0" w:firstRowLastColumn="0" w:lastRowFirstColumn="0" w:lastRowLastColumn="0"/>
              <w:rPr>
                <w:rFonts w:ascii="Calibri Light" w:hAnsi="Calibri Light"/>
                <w:highlight w:val="yellow"/>
              </w:rPr>
            </w:pPr>
            <w:r w:rsidRPr="00243C42">
              <w:rPr>
                <w:rFonts w:ascii="Calibri Light" w:hAnsi="Calibri Light"/>
              </w:rPr>
              <w:t xml:space="preserve">Informe de </w:t>
            </w:r>
            <w:r w:rsidR="00243C42" w:rsidRPr="00243C42">
              <w:rPr>
                <w:rFonts w:ascii="Calibri Light" w:hAnsi="Calibri Light"/>
              </w:rPr>
              <w:t xml:space="preserve">Admisibilidad y </w:t>
            </w:r>
            <w:r w:rsidRPr="00243C42">
              <w:rPr>
                <w:rFonts w:ascii="Calibri Light" w:hAnsi="Calibri Light"/>
              </w:rPr>
              <w:t>Fondo</w:t>
            </w:r>
            <w:r w:rsidR="00243C42">
              <w:rPr>
                <w:rFonts w:ascii="Calibri Light" w:hAnsi="Calibri Light"/>
              </w:rPr>
              <w:t xml:space="preserve"> </w:t>
            </w:r>
            <w:r w:rsidR="004419E8">
              <w:rPr>
                <w:rFonts w:ascii="Calibri Light" w:hAnsi="Calibri Light"/>
              </w:rPr>
              <w:t>(Publicación)</w:t>
            </w:r>
          </w:p>
        </w:tc>
      </w:tr>
      <w:tr w:rsidR="005173CF" w:rsidRPr="004533E5" w14:paraId="7ED5AB61" w14:textId="77777777" w:rsidTr="00A94EE7">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678" w:type="dxa"/>
          </w:tcPr>
          <w:p w14:paraId="2F77A84C" w14:textId="77777777" w:rsidR="005173CF" w:rsidRPr="004533E5" w:rsidRDefault="00954E20" w:rsidP="00A65231">
            <w:pPr>
              <w:pStyle w:val="ListParagraph"/>
              <w:numPr>
                <w:ilvl w:val="0"/>
                <w:numId w:val="3"/>
              </w:numPr>
              <w:rPr>
                <w:rFonts w:ascii="Calibri Light" w:hAnsi="Calibri Light"/>
              </w:rPr>
            </w:pPr>
            <w:r>
              <w:rPr>
                <w:rFonts w:ascii="Calibri Light" w:hAnsi="Calibri Light"/>
              </w:rPr>
              <w:t>Fecha</w:t>
            </w:r>
            <w:r w:rsidR="007A6C56" w:rsidRPr="004533E5">
              <w:rPr>
                <w:rFonts w:ascii="Calibri Light" w:hAnsi="Calibri Light"/>
              </w:rPr>
              <w:t xml:space="preserve"> </w:t>
            </w:r>
          </w:p>
        </w:tc>
        <w:tc>
          <w:tcPr>
            <w:tcW w:w="5043" w:type="dxa"/>
            <w:gridSpan w:val="2"/>
          </w:tcPr>
          <w:p w14:paraId="1C803DF5" w14:textId="3F817EAD" w:rsidR="005173CF" w:rsidRPr="004533E5" w:rsidRDefault="001077C9" w:rsidP="00BB61C6">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30 de noviembre de 2016</w:t>
            </w:r>
            <w:r w:rsidR="00954E20">
              <w:rPr>
                <w:rFonts w:ascii="Calibri Light" w:hAnsi="Calibri Light"/>
              </w:rPr>
              <w:t xml:space="preserve"> </w:t>
            </w:r>
          </w:p>
        </w:tc>
      </w:tr>
      <w:tr w:rsidR="004533E5" w:rsidRPr="004533E5" w14:paraId="1A0D058F" w14:textId="77777777" w:rsidTr="00A94EE7">
        <w:trPr>
          <w:trHeight w:val="602"/>
        </w:trPr>
        <w:tc>
          <w:tcPr>
            <w:cnfStyle w:val="001000000000" w:firstRow="0" w:lastRow="0" w:firstColumn="1" w:lastColumn="0" w:oddVBand="0" w:evenVBand="0" w:oddHBand="0" w:evenHBand="0" w:firstRowFirstColumn="0" w:firstRowLastColumn="0" w:lastRowFirstColumn="0" w:lastRowLastColumn="0"/>
            <w:tcW w:w="3678" w:type="dxa"/>
          </w:tcPr>
          <w:p w14:paraId="661C9E19" w14:textId="1119002C" w:rsidR="005173CF" w:rsidRPr="004533E5" w:rsidRDefault="00BB61C6" w:rsidP="00A65231">
            <w:pPr>
              <w:pStyle w:val="ListParagraph"/>
              <w:numPr>
                <w:ilvl w:val="0"/>
                <w:numId w:val="3"/>
              </w:numPr>
              <w:rPr>
                <w:rFonts w:ascii="Calibri Light" w:hAnsi="Calibri Light"/>
              </w:rPr>
            </w:pPr>
            <w:r>
              <w:rPr>
                <w:rFonts w:ascii="Calibri Light" w:hAnsi="Calibri Light"/>
              </w:rPr>
              <w:t>Decisiones de la CIDH</w:t>
            </w:r>
            <w:r w:rsidR="007A6C56" w:rsidRPr="004533E5">
              <w:rPr>
                <w:rFonts w:ascii="Calibri Light" w:hAnsi="Calibri Light"/>
              </w:rPr>
              <w:t xml:space="preserve"> </w:t>
            </w:r>
            <w:r w:rsidR="00DD3C7C">
              <w:rPr>
                <w:rFonts w:ascii="Calibri Light" w:hAnsi="Calibri Light"/>
              </w:rPr>
              <w:t xml:space="preserve">y/o la Corte IDH, </w:t>
            </w:r>
            <w:r w:rsidR="007A6C56" w:rsidRPr="004533E5">
              <w:rPr>
                <w:rFonts w:ascii="Calibri Light" w:hAnsi="Calibri Light"/>
              </w:rPr>
              <w:t>relacionadas</w:t>
            </w:r>
          </w:p>
        </w:tc>
        <w:tc>
          <w:tcPr>
            <w:tcW w:w="5043" w:type="dxa"/>
            <w:gridSpan w:val="2"/>
          </w:tcPr>
          <w:p w14:paraId="1E0D0643" w14:textId="77777777" w:rsidR="00AC6F31" w:rsidRDefault="00243C42" w:rsidP="00DD3C7C">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Informe 73/15 (Admisibilidad y Fondo)</w:t>
            </w:r>
          </w:p>
          <w:p w14:paraId="72EA1AA4" w14:textId="4630C8E2" w:rsidR="00243C42" w:rsidRPr="004533E5" w:rsidRDefault="00243C42" w:rsidP="00DD3C7C">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 xml:space="preserve">Informe 34/16 </w:t>
            </w:r>
          </w:p>
        </w:tc>
      </w:tr>
      <w:tr w:rsidR="00A94EE7" w:rsidRPr="004533E5" w14:paraId="570485B4" w14:textId="77777777" w:rsidTr="00A94E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78" w:type="dxa"/>
            <w:vMerge w:val="restart"/>
          </w:tcPr>
          <w:p w14:paraId="3FCF8D6E" w14:textId="568477D0" w:rsidR="00A94EE7" w:rsidRDefault="00A94EE7" w:rsidP="00A65231">
            <w:pPr>
              <w:pStyle w:val="ListParagraph"/>
              <w:numPr>
                <w:ilvl w:val="0"/>
                <w:numId w:val="3"/>
              </w:numPr>
              <w:rPr>
                <w:rFonts w:ascii="Calibri Light" w:hAnsi="Calibri Light"/>
              </w:rPr>
            </w:pPr>
            <w:r>
              <w:rPr>
                <w:rFonts w:ascii="Calibri Light" w:hAnsi="Calibri Light"/>
              </w:rPr>
              <w:t>Artículos analizados</w:t>
            </w:r>
          </w:p>
        </w:tc>
        <w:tc>
          <w:tcPr>
            <w:tcW w:w="5043" w:type="dxa"/>
            <w:gridSpan w:val="2"/>
          </w:tcPr>
          <w:p w14:paraId="18718B95" w14:textId="03A7CD66" w:rsidR="00A94EE7" w:rsidRPr="004533E5" w:rsidRDefault="00A94EE7" w:rsidP="00AE31D9">
            <w:pPr>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Convención Americana sobre Derechos Humanos</w:t>
            </w:r>
          </w:p>
        </w:tc>
      </w:tr>
      <w:tr w:rsidR="00A94EE7" w:rsidRPr="004533E5" w14:paraId="59D19EAD" w14:textId="3753DE07" w:rsidTr="00A94EE7">
        <w:trPr>
          <w:trHeight w:val="540"/>
        </w:trPr>
        <w:tc>
          <w:tcPr>
            <w:cnfStyle w:val="001000000000" w:firstRow="0" w:lastRow="0" w:firstColumn="1" w:lastColumn="0" w:oddVBand="0" w:evenVBand="0" w:oddHBand="0" w:evenHBand="0" w:firstRowFirstColumn="0" w:firstRowLastColumn="0" w:lastRowFirstColumn="0" w:lastRowLastColumn="0"/>
            <w:tcW w:w="3678" w:type="dxa"/>
            <w:vMerge/>
          </w:tcPr>
          <w:p w14:paraId="17BB3A97" w14:textId="77777777" w:rsidR="00A94EE7" w:rsidRDefault="00A94EE7" w:rsidP="00A65231">
            <w:pPr>
              <w:pStyle w:val="ListParagraph"/>
              <w:numPr>
                <w:ilvl w:val="0"/>
                <w:numId w:val="3"/>
              </w:numPr>
              <w:rPr>
                <w:rFonts w:ascii="Calibri Light" w:hAnsi="Calibri Light"/>
              </w:rPr>
            </w:pPr>
          </w:p>
        </w:tc>
        <w:tc>
          <w:tcPr>
            <w:tcW w:w="2490" w:type="dxa"/>
          </w:tcPr>
          <w:p w14:paraId="04C377A5" w14:textId="03DDDCE4" w:rsidR="00A94EE7" w:rsidRDefault="00A94EE7" w:rsidP="00AC6F3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Artículos analizados declarados violados</w:t>
            </w:r>
          </w:p>
        </w:tc>
        <w:tc>
          <w:tcPr>
            <w:tcW w:w="2553" w:type="dxa"/>
          </w:tcPr>
          <w:p w14:paraId="277975FB" w14:textId="56CF35CB" w:rsidR="00A94EE7" w:rsidRDefault="00A94EE7" w:rsidP="00AC6F3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Artículos analizados no declarados violados</w:t>
            </w:r>
          </w:p>
        </w:tc>
      </w:tr>
      <w:tr w:rsidR="00A94EE7" w:rsidRPr="00A94EE7" w14:paraId="4F41E916" w14:textId="77777777" w:rsidTr="00A94EE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78" w:type="dxa"/>
            <w:vMerge/>
          </w:tcPr>
          <w:p w14:paraId="1D1C3694" w14:textId="77777777" w:rsidR="00A94EE7" w:rsidRDefault="00A94EE7" w:rsidP="00A65231">
            <w:pPr>
              <w:pStyle w:val="ListParagraph"/>
              <w:numPr>
                <w:ilvl w:val="0"/>
                <w:numId w:val="3"/>
              </w:numPr>
              <w:rPr>
                <w:rFonts w:ascii="Calibri Light" w:hAnsi="Calibri Light"/>
              </w:rPr>
            </w:pPr>
          </w:p>
        </w:tc>
        <w:tc>
          <w:tcPr>
            <w:tcW w:w="2490" w:type="dxa"/>
          </w:tcPr>
          <w:p w14:paraId="5E6682FC" w14:textId="58B023A2" w:rsidR="00A94EE7" w:rsidRPr="00A94EE7" w:rsidRDefault="00A94EE7" w:rsidP="004419E8">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n-US"/>
              </w:rPr>
            </w:pPr>
            <w:r w:rsidRPr="00A94EE7">
              <w:rPr>
                <w:rFonts w:ascii="Calibri Light" w:hAnsi="Calibri Light"/>
                <w:lang w:val="en-US"/>
              </w:rPr>
              <w:t xml:space="preserve">Art. </w:t>
            </w:r>
            <w:r>
              <w:rPr>
                <w:rFonts w:ascii="Calibri Light" w:hAnsi="Calibri Light"/>
                <w:lang w:val="en-US"/>
              </w:rPr>
              <w:t>1</w:t>
            </w:r>
            <w:r w:rsidR="003C5D84">
              <w:rPr>
                <w:rFonts w:ascii="Calibri Light" w:hAnsi="Calibri Light"/>
                <w:lang w:val="en-US"/>
              </w:rPr>
              <w:t>, a</w:t>
            </w:r>
            <w:r>
              <w:rPr>
                <w:rFonts w:ascii="Calibri Light" w:hAnsi="Calibri Light"/>
                <w:lang w:val="en-US"/>
              </w:rPr>
              <w:t>rt. 2</w:t>
            </w:r>
            <w:r w:rsidR="003C5D84">
              <w:rPr>
                <w:rFonts w:ascii="Calibri Light" w:hAnsi="Calibri Light"/>
                <w:lang w:val="en-US"/>
              </w:rPr>
              <w:t>, a</w:t>
            </w:r>
            <w:r>
              <w:rPr>
                <w:rFonts w:ascii="Calibri Light" w:hAnsi="Calibri Light"/>
                <w:lang w:val="en-US"/>
              </w:rPr>
              <w:t xml:space="preserve">rt. </w:t>
            </w:r>
            <w:r w:rsidRPr="00A94EE7">
              <w:rPr>
                <w:rFonts w:ascii="Calibri Light" w:hAnsi="Calibri Light"/>
                <w:lang w:val="en-US"/>
              </w:rPr>
              <w:t>4</w:t>
            </w:r>
            <w:r w:rsidR="003C5D84">
              <w:rPr>
                <w:rFonts w:ascii="Calibri Light" w:hAnsi="Calibri Light"/>
                <w:lang w:val="en-US"/>
              </w:rPr>
              <w:t>, a</w:t>
            </w:r>
            <w:r w:rsidRPr="00A94EE7">
              <w:rPr>
                <w:rFonts w:ascii="Calibri Light" w:hAnsi="Calibri Light"/>
                <w:lang w:val="en-US"/>
              </w:rPr>
              <w:t>rt. 5</w:t>
            </w:r>
            <w:r w:rsidR="003C5D84">
              <w:rPr>
                <w:rFonts w:ascii="Calibri Light" w:hAnsi="Calibri Light"/>
                <w:lang w:val="en-US"/>
              </w:rPr>
              <w:t>, a</w:t>
            </w:r>
            <w:r w:rsidRPr="00A94EE7">
              <w:rPr>
                <w:rFonts w:ascii="Calibri Light" w:hAnsi="Calibri Light"/>
                <w:lang w:val="en-US"/>
              </w:rPr>
              <w:t>rt. 8</w:t>
            </w:r>
            <w:r w:rsidR="003C5D84">
              <w:rPr>
                <w:rFonts w:ascii="Calibri Light" w:hAnsi="Calibri Light"/>
                <w:lang w:val="en-US"/>
              </w:rPr>
              <w:t>, a</w:t>
            </w:r>
            <w:r w:rsidRPr="00A94EE7">
              <w:rPr>
                <w:rFonts w:ascii="Calibri Light" w:hAnsi="Calibri Light"/>
                <w:lang w:val="en-US"/>
              </w:rPr>
              <w:t xml:space="preserve">rt. 24 </w:t>
            </w:r>
            <w:r w:rsidR="003C5D84">
              <w:rPr>
                <w:rFonts w:ascii="Calibri Light" w:hAnsi="Calibri Light"/>
                <w:lang w:val="en-US"/>
              </w:rPr>
              <w:t>, a</w:t>
            </w:r>
            <w:r w:rsidRPr="00A94EE7">
              <w:rPr>
                <w:rFonts w:ascii="Calibri Light" w:hAnsi="Calibri Light"/>
                <w:lang w:val="en-US"/>
              </w:rPr>
              <w:t>rt. 25</w:t>
            </w:r>
          </w:p>
        </w:tc>
        <w:tc>
          <w:tcPr>
            <w:tcW w:w="2553" w:type="dxa"/>
            <w:vAlign w:val="center"/>
          </w:tcPr>
          <w:p w14:paraId="1DBBF8BB" w14:textId="2D7D4AB9" w:rsidR="00A94EE7" w:rsidRPr="00A94EE7" w:rsidRDefault="00A94EE7" w:rsidP="00A94EE7">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lang w:val="en-US"/>
              </w:rPr>
            </w:pPr>
            <w:r>
              <w:rPr>
                <w:rFonts w:ascii="Calibri Light" w:hAnsi="Calibri Light"/>
                <w:lang w:val="en-US"/>
              </w:rPr>
              <w:t>-</w:t>
            </w:r>
          </w:p>
        </w:tc>
      </w:tr>
      <w:tr w:rsidR="005173CF" w:rsidRPr="004533E5" w14:paraId="54B7813B" w14:textId="77777777" w:rsidTr="00A94EE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6D4895DD" w14:textId="77777777" w:rsidR="00AC6F31" w:rsidRPr="00A94EE7" w:rsidRDefault="00AC6F31" w:rsidP="00AC6F31">
            <w:pPr>
              <w:pStyle w:val="ListParagraph"/>
              <w:rPr>
                <w:rFonts w:ascii="Calibri Light" w:hAnsi="Calibri Light"/>
                <w:lang w:val="en-US"/>
              </w:rPr>
            </w:pPr>
          </w:p>
          <w:p w14:paraId="1ECE5967" w14:textId="77777777" w:rsidR="005173CF" w:rsidRDefault="007A6C56" w:rsidP="0029671B">
            <w:pPr>
              <w:pStyle w:val="ListParagraph"/>
              <w:numPr>
                <w:ilvl w:val="0"/>
                <w:numId w:val="2"/>
              </w:numPr>
              <w:jc w:val="center"/>
              <w:rPr>
                <w:rFonts w:ascii="Calibri Light" w:hAnsi="Calibri Light"/>
              </w:rPr>
            </w:pPr>
            <w:r w:rsidRPr="004533E5">
              <w:rPr>
                <w:rFonts w:ascii="Calibri Light" w:hAnsi="Calibri Light"/>
              </w:rPr>
              <w:t>Sumilla</w:t>
            </w:r>
          </w:p>
          <w:p w14:paraId="009AFBB8" w14:textId="77777777" w:rsidR="00AC6F31" w:rsidRPr="004533E5" w:rsidRDefault="00AC6F31" w:rsidP="00AC6F31">
            <w:pPr>
              <w:pStyle w:val="ListParagraph"/>
              <w:rPr>
                <w:rFonts w:ascii="Calibri Light" w:hAnsi="Calibri Light"/>
              </w:rPr>
            </w:pPr>
          </w:p>
        </w:tc>
      </w:tr>
      <w:tr w:rsidR="007A6C56" w:rsidRPr="004533E5" w14:paraId="6B670455" w14:textId="77777777" w:rsidTr="00A94EE7">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721" w:type="dxa"/>
            <w:gridSpan w:val="3"/>
          </w:tcPr>
          <w:p w14:paraId="5C62C63C" w14:textId="77777777" w:rsidR="00AC6F31" w:rsidRDefault="00AC6F31" w:rsidP="00243C42">
            <w:pPr>
              <w:jc w:val="both"/>
              <w:rPr>
                <w:rFonts w:ascii="Calibri Light" w:hAnsi="Calibri Light"/>
                <w:b w:val="0"/>
              </w:rPr>
            </w:pPr>
          </w:p>
          <w:p w14:paraId="1DEA94AD" w14:textId="60872A9B" w:rsidR="00871530" w:rsidRDefault="003920AF" w:rsidP="00243C42">
            <w:pPr>
              <w:jc w:val="both"/>
              <w:rPr>
                <w:rFonts w:ascii="Calibri Light" w:hAnsi="Calibri Light"/>
                <w:b w:val="0"/>
              </w:rPr>
            </w:pPr>
            <w:r>
              <w:rPr>
                <w:rFonts w:ascii="Calibri Light" w:hAnsi="Calibri Light"/>
                <w:b w:val="0"/>
              </w:rPr>
              <w:t xml:space="preserve">El caso trata </w:t>
            </w:r>
            <w:r w:rsidR="00871530">
              <w:rPr>
                <w:rFonts w:ascii="Calibri Light" w:hAnsi="Calibri Light"/>
                <w:b w:val="0"/>
              </w:rPr>
              <w:t>sobre la ejecución extrajudicial del señor Jiménez, un indígena tzeltal, en el ejido La Grandeza del Municipio de Altamirano, en el estado de Chiapas, en 1995. Los hechos se dieron en el contexto de los enfrentamientos de las Fuerzas Armadas con el Ejército Zapatista de Liberación Nacional</w:t>
            </w:r>
            <w:r w:rsidR="00AC5A6A">
              <w:rPr>
                <w:rFonts w:ascii="Calibri Light" w:hAnsi="Calibri Light"/>
                <w:b w:val="0"/>
              </w:rPr>
              <w:t>, y la aplicación del “Plan de Campaña Chiapas 1994”</w:t>
            </w:r>
            <w:r w:rsidR="00871530">
              <w:rPr>
                <w:rFonts w:ascii="Calibri Light" w:hAnsi="Calibri Light"/>
                <w:b w:val="0"/>
              </w:rPr>
              <w:t>.</w:t>
            </w:r>
            <w:r w:rsidR="00CC28C0">
              <w:rPr>
                <w:rFonts w:ascii="Calibri Light" w:hAnsi="Calibri Light"/>
                <w:b w:val="0"/>
              </w:rPr>
              <w:t xml:space="preserve"> Este último buscaba romper la relación de colaboración de este grupo con la población. </w:t>
            </w:r>
          </w:p>
          <w:p w14:paraId="1EE5A7E7" w14:textId="69048BF9" w:rsidR="00826869" w:rsidRPr="004533E5" w:rsidRDefault="00826869" w:rsidP="00243C42">
            <w:pPr>
              <w:jc w:val="both"/>
              <w:rPr>
                <w:rFonts w:ascii="Calibri Light" w:hAnsi="Calibri Light"/>
                <w:b w:val="0"/>
              </w:rPr>
            </w:pPr>
          </w:p>
        </w:tc>
      </w:tr>
      <w:tr w:rsidR="007A6C56" w:rsidRPr="004533E5" w14:paraId="238A2196" w14:textId="77777777" w:rsidTr="00A94EE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76D9AAF2" w14:textId="77777777" w:rsidR="00AC6F31" w:rsidRDefault="00AC6F31" w:rsidP="00AC6F31">
            <w:pPr>
              <w:pStyle w:val="ListParagraph"/>
              <w:rPr>
                <w:rFonts w:ascii="Calibri Light" w:hAnsi="Calibri Light"/>
              </w:rPr>
            </w:pPr>
          </w:p>
          <w:p w14:paraId="6E7AC4B8" w14:textId="77777777" w:rsidR="007A6C56" w:rsidRDefault="007A6C56" w:rsidP="0029671B">
            <w:pPr>
              <w:pStyle w:val="ListParagraph"/>
              <w:numPr>
                <w:ilvl w:val="0"/>
                <w:numId w:val="2"/>
              </w:numPr>
              <w:jc w:val="center"/>
              <w:rPr>
                <w:rFonts w:ascii="Calibri Light" w:hAnsi="Calibri Light"/>
              </w:rPr>
            </w:pPr>
            <w:r w:rsidRPr="004533E5">
              <w:rPr>
                <w:rFonts w:ascii="Calibri Light" w:hAnsi="Calibri Light"/>
              </w:rPr>
              <w:t>Palabras clave</w:t>
            </w:r>
          </w:p>
          <w:p w14:paraId="6A1E32A7" w14:textId="77777777" w:rsidR="00AC6F31" w:rsidRPr="004533E5" w:rsidRDefault="00AC6F31" w:rsidP="00AC6F31">
            <w:pPr>
              <w:pStyle w:val="ListParagraph"/>
              <w:rPr>
                <w:rFonts w:ascii="Calibri Light" w:hAnsi="Calibri Light"/>
              </w:rPr>
            </w:pPr>
          </w:p>
        </w:tc>
      </w:tr>
      <w:tr w:rsidR="007A6C56" w:rsidRPr="004533E5" w14:paraId="34AE2D45" w14:textId="77777777" w:rsidTr="00A94EE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21" w:type="dxa"/>
            <w:gridSpan w:val="3"/>
          </w:tcPr>
          <w:p w14:paraId="21ACCEDC" w14:textId="77777777" w:rsidR="00243C42" w:rsidRDefault="00243C42" w:rsidP="00A94EE7">
            <w:pPr>
              <w:jc w:val="both"/>
              <w:rPr>
                <w:rFonts w:ascii="Calibri Light" w:hAnsi="Calibri Light" w:cs="Calibri Light"/>
                <w:b w:val="0"/>
                <w:sz w:val="23"/>
                <w:szCs w:val="23"/>
                <w:highlight w:val="yellow"/>
              </w:rPr>
            </w:pPr>
          </w:p>
          <w:p w14:paraId="7D888C69" w14:textId="1C74112F" w:rsidR="00AC6F31" w:rsidRDefault="0073272E" w:rsidP="00A94EE7">
            <w:pPr>
              <w:jc w:val="both"/>
              <w:rPr>
                <w:rFonts w:ascii="Calibri Light" w:hAnsi="Calibri Light" w:cs="Calibri Light"/>
                <w:b w:val="0"/>
                <w:sz w:val="23"/>
                <w:szCs w:val="23"/>
              </w:rPr>
            </w:pPr>
            <w:r w:rsidRPr="00243C42">
              <w:rPr>
                <w:rFonts w:ascii="Calibri Light" w:hAnsi="Calibri Light" w:cs="Calibri Light"/>
                <w:b w:val="0"/>
                <w:sz w:val="23"/>
                <w:szCs w:val="23"/>
              </w:rPr>
              <w:t>Justicia militar</w:t>
            </w:r>
            <w:r>
              <w:rPr>
                <w:rFonts w:ascii="Calibri Light" w:hAnsi="Calibri Light" w:cs="Calibri Light"/>
                <w:b w:val="0"/>
                <w:sz w:val="23"/>
                <w:szCs w:val="23"/>
              </w:rPr>
              <w:t>,</w:t>
            </w:r>
            <w:r w:rsidRPr="00243C42">
              <w:rPr>
                <w:rFonts w:ascii="Calibri Light" w:hAnsi="Calibri Light" w:cs="Calibri Light"/>
                <w:b w:val="0"/>
                <w:sz w:val="23"/>
                <w:szCs w:val="23"/>
              </w:rPr>
              <w:t xml:space="preserve"> </w:t>
            </w:r>
            <w:r w:rsidR="00CC28C0">
              <w:rPr>
                <w:rFonts w:ascii="Calibri Light" w:hAnsi="Calibri Light" w:cs="Calibri Light"/>
                <w:b w:val="0"/>
                <w:sz w:val="23"/>
                <w:szCs w:val="23"/>
              </w:rPr>
              <w:t>Integridad personal,</w:t>
            </w:r>
            <w:r w:rsidR="00CC28C0" w:rsidRPr="00243C42">
              <w:rPr>
                <w:rFonts w:ascii="Calibri Light" w:hAnsi="Calibri Light" w:cs="Calibri Light"/>
                <w:b w:val="0"/>
                <w:sz w:val="23"/>
                <w:szCs w:val="23"/>
              </w:rPr>
              <w:t xml:space="preserve"> </w:t>
            </w:r>
            <w:r w:rsidR="001077C9" w:rsidRPr="00243C42">
              <w:rPr>
                <w:rFonts w:ascii="Calibri Light" w:hAnsi="Calibri Light" w:cs="Calibri Light"/>
                <w:b w:val="0"/>
                <w:sz w:val="23"/>
                <w:szCs w:val="23"/>
              </w:rPr>
              <w:t xml:space="preserve">Protección judicial y garantías judiciales, </w:t>
            </w:r>
            <w:r w:rsidRPr="00243C42">
              <w:rPr>
                <w:rFonts w:ascii="Calibri Light" w:hAnsi="Calibri Light" w:cs="Calibri Light"/>
                <w:b w:val="0"/>
                <w:sz w:val="23"/>
                <w:szCs w:val="23"/>
              </w:rPr>
              <w:t xml:space="preserve">Pueblos indígenas, Vida, </w:t>
            </w:r>
            <w:r>
              <w:rPr>
                <w:rFonts w:ascii="Calibri Light" w:hAnsi="Calibri Light" w:cs="Calibri Light"/>
                <w:b w:val="0"/>
                <w:sz w:val="23"/>
                <w:szCs w:val="23"/>
              </w:rPr>
              <w:t>Uso de la fuerza</w:t>
            </w:r>
            <w:r w:rsidR="00613D24">
              <w:rPr>
                <w:rFonts w:ascii="Calibri Light" w:hAnsi="Calibri Light" w:cs="Calibri Light"/>
                <w:b w:val="0"/>
                <w:sz w:val="23"/>
                <w:szCs w:val="23"/>
              </w:rPr>
              <w:t xml:space="preserve"> </w:t>
            </w:r>
          </w:p>
          <w:p w14:paraId="05374712" w14:textId="636B7BE7" w:rsidR="00243C42" w:rsidRPr="004533E5" w:rsidRDefault="00243C42" w:rsidP="00A94EE7">
            <w:pPr>
              <w:jc w:val="both"/>
              <w:rPr>
                <w:rFonts w:ascii="Calibri Light" w:hAnsi="Calibri Light"/>
                <w:b w:val="0"/>
              </w:rPr>
            </w:pPr>
          </w:p>
        </w:tc>
      </w:tr>
      <w:tr w:rsidR="005173CF" w:rsidRPr="004533E5" w14:paraId="69044E7B" w14:textId="77777777" w:rsidTr="00A94EE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23949460" w14:textId="77777777" w:rsidR="00AC6F31" w:rsidRDefault="00AC6F31" w:rsidP="00AC6F31">
            <w:pPr>
              <w:pStyle w:val="ListParagraph"/>
              <w:rPr>
                <w:rFonts w:ascii="Calibri Light" w:hAnsi="Calibri Light"/>
              </w:rPr>
            </w:pPr>
          </w:p>
          <w:p w14:paraId="177FF988" w14:textId="77777777" w:rsidR="005173CF" w:rsidRDefault="007A6C56" w:rsidP="0029671B">
            <w:pPr>
              <w:pStyle w:val="ListParagraph"/>
              <w:numPr>
                <w:ilvl w:val="0"/>
                <w:numId w:val="2"/>
              </w:numPr>
              <w:jc w:val="center"/>
              <w:rPr>
                <w:rFonts w:ascii="Calibri Light" w:hAnsi="Calibri Light"/>
              </w:rPr>
            </w:pPr>
            <w:r w:rsidRPr="004533E5">
              <w:rPr>
                <w:rFonts w:ascii="Calibri Light" w:hAnsi="Calibri Light"/>
              </w:rPr>
              <w:t>Hechos</w:t>
            </w:r>
          </w:p>
          <w:p w14:paraId="190B7E98" w14:textId="77777777" w:rsidR="00AC6F31" w:rsidRPr="004533E5" w:rsidRDefault="00AC6F31" w:rsidP="00AC6F31">
            <w:pPr>
              <w:pStyle w:val="ListParagraph"/>
              <w:rPr>
                <w:rFonts w:ascii="Calibri Light" w:hAnsi="Calibri Light"/>
              </w:rPr>
            </w:pPr>
          </w:p>
        </w:tc>
      </w:tr>
      <w:tr w:rsidR="005173CF" w:rsidRPr="004533E5" w14:paraId="6F58DE83" w14:textId="77777777" w:rsidTr="00A94EE7">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8721" w:type="dxa"/>
            <w:gridSpan w:val="3"/>
          </w:tcPr>
          <w:p w14:paraId="470EC13D" w14:textId="4EF893E2" w:rsidR="00AC6F31" w:rsidRDefault="00AC6F31" w:rsidP="008036E7">
            <w:pPr>
              <w:jc w:val="both"/>
              <w:rPr>
                <w:rFonts w:ascii="Calibri Light" w:hAnsi="Calibri Light"/>
                <w:b w:val="0"/>
              </w:rPr>
            </w:pPr>
          </w:p>
          <w:p w14:paraId="422B6872" w14:textId="0DF37656" w:rsidR="00996958" w:rsidRDefault="00996958" w:rsidP="00CC717F">
            <w:pPr>
              <w:jc w:val="both"/>
              <w:rPr>
                <w:rFonts w:ascii="Calibri Light" w:hAnsi="Calibri Light"/>
                <w:b w:val="0"/>
              </w:rPr>
            </w:pPr>
            <w:r>
              <w:rPr>
                <w:rFonts w:ascii="Calibri Light" w:hAnsi="Calibri Light"/>
                <w:b w:val="0"/>
              </w:rPr>
              <w:t>Los hechos del caso se produjeron en medio de la sublevación del Ejército Zapatista de Liberación Nacional (EZLN) iniciada en 1994</w:t>
            </w:r>
            <w:r w:rsidR="00FB1A15">
              <w:rPr>
                <w:rFonts w:ascii="Calibri Light" w:hAnsi="Calibri Light"/>
                <w:b w:val="0"/>
              </w:rPr>
              <w:t>. El EZLN</w:t>
            </w:r>
            <w:r w:rsidR="00CC717F">
              <w:rPr>
                <w:rFonts w:ascii="Calibri Light" w:hAnsi="Calibri Light"/>
                <w:b w:val="0"/>
              </w:rPr>
              <w:t xml:space="preserve"> </w:t>
            </w:r>
            <w:r>
              <w:rPr>
                <w:rFonts w:ascii="Calibri Light" w:hAnsi="Calibri Light"/>
                <w:b w:val="0"/>
              </w:rPr>
              <w:t>había tomado ciertas cabeceras municipales en el estado de Chiapas</w:t>
            </w:r>
            <w:r w:rsidR="00FB1A15">
              <w:rPr>
                <w:rFonts w:ascii="Calibri Light" w:hAnsi="Calibri Light"/>
                <w:b w:val="0"/>
              </w:rPr>
              <w:t>, incluyendo el Municipio del Altamirano donde se encontraba el ejido La Grandeza</w:t>
            </w:r>
            <w:r>
              <w:rPr>
                <w:rFonts w:ascii="Calibri Light" w:hAnsi="Calibri Light"/>
                <w:b w:val="0"/>
              </w:rPr>
              <w:t xml:space="preserve">. </w:t>
            </w:r>
            <w:r w:rsidR="00FB1A15">
              <w:rPr>
                <w:rFonts w:ascii="Calibri Light" w:hAnsi="Calibri Light"/>
                <w:b w:val="0"/>
              </w:rPr>
              <w:t>Frente a esta situación</w:t>
            </w:r>
            <w:r>
              <w:rPr>
                <w:rFonts w:ascii="Calibri Light" w:hAnsi="Calibri Light"/>
                <w:b w:val="0"/>
              </w:rPr>
              <w:t xml:space="preserve">, las Fuerzas Armadas comenzaron a </w:t>
            </w:r>
            <w:r>
              <w:rPr>
                <w:rFonts w:ascii="Calibri Light" w:hAnsi="Calibri Light"/>
                <w:b w:val="0"/>
              </w:rPr>
              <w:lastRenderedPageBreak/>
              <w:t xml:space="preserve">ejercer el control </w:t>
            </w:r>
            <w:r w:rsidR="00FB1A15">
              <w:rPr>
                <w:rFonts w:ascii="Calibri Light" w:hAnsi="Calibri Light"/>
                <w:b w:val="0"/>
              </w:rPr>
              <w:t>de la seguridad interna</w:t>
            </w:r>
            <w:r>
              <w:rPr>
                <w:rFonts w:ascii="Calibri Light" w:hAnsi="Calibri Light"/>
                <w:b w:val="0"/>
              </w:rPr>
              <w:t xml:space="preserve"> e incrementaron su presencia en territorios indígenas</w:t>
            </w:r>
            <w:r w:rsidR="00CC717F">
              <w:rPr>
                <w:rFonts w:ascii="Calibri Light" w:hAnsi="Calibri Light"/>
                <w:b w:val="0"/>
              </w:rPr>
              <w:t xml:space="preserve"> de dicho estado. Para retomar el territorio </w:t>
            </w:r>
            <w:r w:rsidR="00F83655">
              <w:rPr>
                <w:rFonts w:ascii="Calibri Light" w:hAnsi="Calibri Light"/>
                <w:b w:val="0"/>
              </w:rPr>
              <w:t xml:space="preserve">operado </w:t>
            </w:r>
            <w:r w:rsidR="00CC717F">
              <w:rPr>
                <w:rFonts w:ascii="Calibri Light" w:hAnsi="Calibri Light"/>
                <w:b w:val="0"/>
              </w:rPr>
              <w:t xml:space="preserve">por el EZLN, se puso en marcha el “Plan de Campaña Chiapas 1994”, </w:t>
            </w:r>
            <w:r w:rsidR="00FB1A15">
              <w:rPr>
                <w:rFonts w:ascii="Calibri Light" w:hAnsi="Calibri Light"/>
                <w:b w:val="0"/>
              </w:rPr>
              <w:t>con el</w:t>
            </w:r>
            <w:r w:rsidR="00CC717F">
              <w:rPr>
                <w:rFonts w:ascii="Calibri Light" w:hAnsi="Calibri Light"/>
                <w:b w:val="0"/>
              </w:rPr>
              <w:t xml:space="preserve"> objetivo romper la colaboración </w:t>
            </w:r>
            <w:r w:rsidR="00FB1A15">
              <w:rPr>
                <w:rFonts w:ascii="Calibri Light" w:hAnsi="Calibri Light"/>
                <w:b w:val="0"/>
              </w:rPr>
              <w:t xml:space="preserve">de este grupo con </w:t>
            </w:r>
            <w:r w:rsidR="00CC717F">
              <w:rPr>
                <w:rFonts w:ascii="Calibri Light" w:hAnsi="Calibri Light"/>
                <w:b w:val="0"/>
              </w:rPr>
              <w:t xml:space="preserve">la población. En ese contexto, se denunciaron numerosas violaciones de derechos humanos que incluyeron desapariciones forzadas, ejecuciones extrajudiciales, torturas y detenciones arbitrarias. </w:t>
            </w:r>
          </w:p>
          <w:p w14:paraId="506AC048" w14:textId="77777777" w:rsidR="00733E0F" w:rsidRDefault="00733E0F" w:rsidP="00CC717F">
            <w:pPr>
              <w:jc w:val="both"/>
              <w:rPr>
                <w:rFonts w:ascii="Calibri Light" w:hAnsi="Calibri Light"/>
                <w:b w:val="0"/>
              </w:rPr>
            </w:pPr>
          </w:p>
          <w:p w14:paraId="377026C5" w14:textId="579E0253" w:rsidR="00A5581A" w:rsidRDefault="00733E0F" w:rsidP="00CC717F">
            <w:pPr>
              <w:jc w:val="both"/>
              <w:rPr>
                <w:rFonts w:ascii="Calibri Light" w:hAnsi="Calibri Light"/>
                <w:b w:val="0"/>
              </w:rPr>
            </w:pPr>
            <w:r>
              <w:rPr>
                <w:rFonts w:ascii="Calibri Light" w:hAnsi="Calibri Light"/>
                <w:b w:val="0"/>
              </w:rPr>
              <w:t xml:space="preserve">Frente a la llegada del Ejército a La Grandeza en febrero de 1995 y ante el temor de los abusos cometidos en otros poblados, un grupo de aproximadamente 70 personas, </w:t>
            </w:r>
            <w:r w:rsidR="003920AF">
              <w:rPr>
                <w:rFonts w:ascii="Calibri Light" w:hAnsi="Calibri Light"/>
                <w:b w:val="0"/>
              </w:rPr>
              <w:t xml:space="preserve">incluida </w:t>
            </w:r>
            <w:r>
              <w:rPr>
                <w:rFonts w:ascii="Calibri Light" w:hAnsi="Calibri Light"/>
                <w:b w:val="0"/>
              </w:rPr>
              <w:t xml:space="preserve">la familia del señor del señor Jiménez, huyó y buscó refugio en un cerro ubicado entre su ejido y el ejido Patziwuitz. El 20 de febrero de 1995, </w:t>
            </w:r>
            <w:r w:rsidR="00A5581A">
              <w:rPr>
                <w:rFonts w:ascii="Calibri Light" w:hAnsi="Calibri Light"/>
                <w:b w:val="0"/>
              </w:rPr>
              <w:t>tras presionar</w:t>
            </w:r>
            <w:r>
              <w:rPr>
                <w:rFonts w:ascii="Calibri Light" w:hAnsi="Calibri Light"/>
                <w:b w:val="0"/>
              </w:rPr>
              <w:t xml:space="preserve"> a Sebastián Mena </w:t>
            </w:r>
            <w:r w:rsidR="00A5581A">
              <w:rPr>
                <w:rFonts w:ascii="Calibri Light" w:hAnsi="Calibri Light"/>
                <w:b w:val="0"/>
              </w:rPr>
              <w:t xml:space="preserve">para </w:t>
            </w:r>
            <w:r w:rsidR="00C72CF5">
              <w:rPr>
                <w:rFonts w:ascii="Calibri Light" w:hAnsi="Calibri Light"/>
                <w:b w:val="0"/>
              </w:rPr>
              <w:t xml:space="preserve">que </w:t>
            </w:r>
            <w:r w:rsidR="00A5581A">
              <w:rPr>
                <w:rFonts w:ascii="Calibri Light" w:hAnsi="Calibri Light"/>
                <w:b w:val="0"/>
              </w:rPr>
              <w:t>señalar</w:t>
            </w:r>
            <w:r w:rsidR="00C72CF5">
              <w:rPr>
                <w:rFonts w:ascii="Calibri Light" w:hAnsi="Calibri Light"/>
                <w:b w:val="0"/>
              </w:rPr>
              <w:t>a</w:t>
            </w:r>
            <w:r w:rsidR="00A5581A">
              <w:rPr>
                <w:rFonts w:ascii="Calibri Light" w:hAnsi="Calibri Light"/>
                <w:b w:val="0"/>
              </w:rPr>
              <w:t xml:space="preserve"> el lugar dónde se escondían sus compañeros, el Ejército encontró a este grupo. Existen versiones contradictorias al respecto. </w:t>
            </w:r>
          </w:p>
          <w:p w14:paraId="70BC8031" w14:textId="77777777" w:rsidR="00A5581A" w:rsidRDefault="00A5581A" w:rsidP="00CC717F">
            <w:pPr>
              <w:jc w:val="both"/>
              <w:rPr>
                <w:rFonts w:ascii="Calibri Light" w:hAnsi="Calibri Light"/>
                <w:b w:val="0"/>
              </w:rPr>
            </w:pPr>
          </w:p>
          <w:p w14:paraId="53A54400" w14:textId="429D5395" w:rsidR="00733E0F" w:rsidRDefault="00A5581A" w:rsidP="00CC717F">
            <w:pPr>
              <w:jc w:val="both"/>
              <w:rPr>
                <w:rFonts w:ascii="Calibri Light" w:hAnsi="Calibri Light"/>
                <w:b w:val="0"/>
              </w:rPr>
            </w:pPr>
            <w:r>
              <w:rPr>
                <w:rFonts w:ascii="Calibri Light" w:hAnsi="Calibri Light"/>
                <w:b w:val="0"/>
              </w:rPr>
              <w:t xml:space="preserve">De una parte, los familiares del señor Jiménez y otros testigos señalan que los militares dispararon indiscriminadamente tan pronto llegaron y en el momento en que las personas huían, </w:t>
            </w:r>
            <w:r w:rsidR="003920AF">
              <w:rPr>
                <w:rFonts w:ascii="Calibri Light" w:hAnsi="Calibri Light"/>
                <w:b w:val="0"/>
              </w:rPr>
              <w:t xml:space="preserve">continuaron </w:t>
            </w:r>
            <w:r>
              <w:rPr>
                <w:rFonts w:ascii="Calibri Light" w:hAnsi="Calibri Light"/>
                <w:b w:val="0"/>
              </w:rPr>
              <w:t>dispara</w:t>
            </w:r>
            <w:r w:rsidR="003920AF">
              <w:rPr>
                <w:rFonts w:ascii="Calibri Light" w:hAnsi="Calibri Light"/>
                <w:b w:val="0"/>
              </w:rPr>
              <w:t xml:space="preserve">ndo ocasionando la muerte del </w:t>
            </w:r>
            <w:r>
              <w:rPr>
                <w:rFonts w:ascii="Calibri Light" w:hAnsi="Calibri Light"/>
                <w:b w:val="0"/>
              </w:rPr>
              <w:t xml:space="preserve">señor Jiménez. De otra parte, agentes del Ejército señalaron que habían escuchado a un grupo de personas hablar en dialecto indígena y que estas al notar </w:t>
            </w:r>
            <w:r w:rsidR="003920AF">
              <w:rPr>
                <w:rFonts w:ascii="Calibri Light" w:hAnsi="Calibri Light"/>
                <w:b w:val="0"/>
              </w:rPr>
              <w:t xml:space="preserve">la </w:t>
            </w:r>
            <w:r>
              <w:rPr>
                <w:rFonts w:ascii="Calibri Light" w:hAnsi="Calibri Light"/>
                <w:b w:val="0"/>
              </w:rPr>
              <w:t>presencia</w:t>
            </w:r>
            <w:r w:rsidR="003920AF">
              <w:rPr>
                <w:rFonts w:ascii="Calibri Light" w:hAnsi="Calibri Light"/>
                <w:b w:val="0"/>
              </w:rPr>
              <w:t xml:space="preserve"> de los militares</w:t>
            </w:r>
            <w:r>
              <w:rPr>
                <w:rFonts w:ascii="Calibri Light" w:hAnsi="Calibri Light"/>
                <w:b w:val="0"/>
              </w:rPr>
              <w:t xml:space="preserve">, huyeron. Ante esta situación, realizaron disparos de advertencia para que se detuvieran. Señalaron que la muerte del señor Jiménez se produjo </w:t>
            </w:r>
            <w:r w:rsidR="00B6265F">
              <w:rPr>
                <w:rFonts w:ascii="Calibri Light" w:hAnsi="Calibri Light"/>
                <w:b w:val="0"/>
              </w:rPr>
              <w:t xml:space="preserve">en </w:t>
            </w:r>
            <w:r>
              <w:rPr>
                <w:rFonts w:ascii="Calibri Light" w:hAnsi="Calibri Light"/>
                <w:b w:val="0"/>
              </w:rPr>
              <w:t xml:space="preserve">legítima defensa del soldado Abner García </w:t>
            </w:r>
            <w:r w:rsidR="00A85413">
              <w:rPr>
                <w:rFonts w:ascii="Calibri Light" w:hAnsi="Calibri Light"/>
                <w:b w:val="0"/>
              </w:rPr>
              <w:t xml:space="preserve">Torres </w:t>
            </w:r>
            <w:r>
              <w:rPr>
                <w:rFonts w:ascii="Calibri Light" w:hAnsi="Calibri Light"/>
                <w:b w:val="0"/>
              </w:rPr>
              <w:t xml:space="preserve">ante los disparos del primero, y que se había encontrado armamento en una zona cercana. </w:t>
            </w:r>
            <w:r w:rsidR="00C72CF5">
              <w:rPr>
                <w:rFonts w:ascii="Calibri Light" w:hAnsi="Calibri Light"/>
                <w:b w:val="0"/>
              </w:rPr>
              <w:t>Los</w:t>
            </w:r>
            <w:r>
              <w:rPr>
                <w:rFonts w:ascii="Calibri Light" w:hAnsi="Calibri Light"/>
                <w:b w:val="0"/>
              </w:rPr>
              <w:t xml:space="preserve"> familiares del señor Jiménez</w:t>
            </w:r>
            <w:r w:rsidR="00B6265F">
              <w:rPr>
                <w:rFonts w:ascii="Calibri Light" w:hAnsi="Calibri Light"/>
                <w:b w:val="0"/>
              </w:rPr>
              <w:t xml:space="preserve"> indicaron</w:t>
            </w:r>
            <w:r>
              <w:rPr>
                <w:rFonts w:ascii="Calibri Light" w:hAnsi="Calibri Light"/>
                <w:b w:val="0"/>
              </w:rPr>
              <w:t xml:space="preserve"> que este se había incorporado recientemente al EZLN</w:t>
            </w:r>
            <w:r w:rsidR="00B6265F">
              <w:rPr>
                <w:rFonts w:ascii="Calibri Light" w:hAnsi="Calibri Light"/>
                <w:b w:val="0"/>
              </w:rPr>
              <w:t>,</w:t>
            </w:r>
            <w:r>
              <w:rPr>
                <w:rFonts w:ascii="Calibri Light" w:hAnsi="Calibri Light"/>
                <w:b w:val="0"/>
              </w:rPr>
              <w:t xml:space="preserve"> desempeñando una función auxiliar sin armas de fuego.   </w:t>
            </w:r>
          </w:p>
          <w:p w14:paraId="362048B7" w14:textId="5BCA60B5" w:rsidR="009F6931" w:rsidRDefault="00E82999" w:rsidP="003920AF">
            <w:pPr>
              <w:jc w:val="both"/>
              <w:rPr>
                <w:rFonts w:ascii="Calibri Light" w:hAnsi="Calibri Light"/>
                <w:b w:val="0"/>
              </w:rPr>
            </w:pPr>
            <w:r>
              <w:rPr>
                <w:rFonts w:ascii="Calibri Light" w:hAnsi="Calibri Light"/>
                <w:b w:val="0"/>
              </w:rPr>
              <w:br/>
            </w:r>
            <w:r w:rsidR="00B6265F">
              <w:rPr>
                <w:rFonts w:ascii="Calibri Light" w:hAnsi="Calibri Light"/>
                <w:b w:val="0"/>
              </w:rPr>
              <w:t>El Ministerio Público Federal de Tuxtla Gutiérrez abrió la averiguación previa N</w:t>
            </w:r>
            <w:r w:rsidR="003920AF">
              <w:rPr>
                <w:rFonts w:ascii="Calibri Light" w:hAnsi="Calibri Light"/>
                <w:b w:val="0"/>
              </w:rPr>
              <w:t>o.</w:t>
            </w:r>
            <w:r w:rsidR="00B6265F">
              <w:rPr>
                <w:rFonts w:ascii="Calibri Light" w:hAnsi="Calibri Light"/>
                <w:b w:val="0"/>
              </w:rPr>
              <w:t xml:space="preserve"> 66/1/95 por estos hechos</w:t>
            </w:r>
            <w:r w:rsidR="00850A45">
              <w:rPr>
                <w:rFonts w:ascii="Calibri Light" w:hAnsi="Calibri Light"/>
                <w:b w:val="0"/>
              </w:rPr>
              <w:t xml:space="preserve">, </w:t>
            </w:r>
            <w:r w:rsidR="003920AF">
              <w:rPr>
                <w:rFonts w:ascii="Calibri Light" w:hAnsi="Calibri Light"/>
                <w:b w:val="0"/>
              </w:rPr>
              <w:t xml:space="preserve">la cual </w:t>
            </w:r>
            <w:r w:rsidR="00850A45">
              <w:rPr>
                <w:rFonts w:ascii="Calibri Light" w:hAnsi="Calibri Light"/>
                <w:b w:val="0"/>
              </w:rPr>
              <w:t xml:space="preserve">fue remitida el 23 de febrero </w:t>
            </w:r>
            <w:r w:rsidR="003920AF">
              <w:rPr>
                <w:rFonts w:ascii="Calibri Light" w:hAnsi="Calibri Light"/>
                <w:b w:val="0"/>
              </w:rPr>
              <w:t xml:space="preserve">de 1995 </w:t>
            </w:r>
            <w:r w:rsidR="00850A45">
              <w:rPr>
                <w:rFonts w:ascii="Calibri Light" w:hAnsi="Calibri Light"/>
                <w:b w:val="0"/>
              </w:rPr>
              <w:t xml:space="preserve">al Ministerio Público Federal de la Mesa Primera de Averiguaciones Previas. </w:t>
            </w:r>
            <w:r w:rsidR="0008203A">
              <w:rPr>
                <w:rFonts w:ascii="Calibri Light" w:hAnsi="Calibri Light"/>
                <w:b w:val="0"/>
              </w:rPr>
              <w:t>El</w:t>
            </w:r>
            <w:r w:rsidR="00850A45">
              <w:rPr>
                <w:rFonts w:ascii="Calibri Light" w:hAnsi="Calibri Light"/>
                <w:b w:val="0"/>
              </w:rPr>
              <w:t xml:space="preserve"> 24 de febrero, </w:t>
            </w:r>
            <w:r w:rsidR="00C72CF5">
              <w:rPr>
                <w:rFonts w:ascii="Calibri Light" w:hAnsi="Calibri Light"/>
                <w:b w:val="0"/>
              </w:rPr>
              <w:t>la jurisdicción</w:t>
            </w:r>
            <w:r w:rsidR="00850A45">
              <w:rPr>
                <w:rFonts w:ascii="Calibri Light" w:hAnsi="Calibri Light"/>
                <w:b w:val="0"/>
              </w:rPr>
              <w:t xml:space="preserve"> militar</w:t>
            </w:r>
            <w:r w:rsidR="0008203A">
              <w:rPr>
                <w:rFonts w:ascii="Calibri Light" w:hAnsi="Calibri Light"/>
                <w:b w:val="0"/>
              </w:rPr>
              <w:t xml:space="preserve"> se a</w:t>
            </w:r>
            <w:r w:rsidR="003920AF">
              <w:rPr>
                <w:rFonts w:ascii="Calibri Light" w:hAnsi="Calibri Light"/>
                <w:b w:val="0"/>
              </w:rPr>
              <w:t>b</w:t>
            </w:r>
            <w:r w:rsidR="0008203A">
              <w:rPr>
                <w:rFonts w:ascii="Calibri Light" w:hAnsi="Calibri Light"/>
                <w:b w:val="0"/>
              </w:rPr>
              <w:t xml:space="preserve">ocó </w:t>
            </w:r>
            <w:r w:rsidR="003920AF">
              <w:rPr>
                <w:rFonts w:ascii="Calibri Light" w:hAnsi="Calibri Light"/>
                <w:b w:val="0"/>
              </w:rPr>
              <w:t xml:space="preserve">a </w:t>
            </w:r>
            <w:r w:rsidR="0008203A">
              <w:rPr>
                <w:rFonts w:ascii="Calibri Light" w:hAnsi="Calibri Light"/>
                <w:b w:val="0"/>
              </w:rPr>
              <w:t>dicha causa</w:t>
            </w:r>
            <w:r w:rsidR="00850A45">
              <w:rPr>
                <w:rFonts w:ascii="Calibri Light" w:hAnsi="Calibri Light"/>
                <w:b w:val="0"/>
              </w:rPr>
              <w:t xml:space="preserve">. El 30 de julio, el Ministerio Público Militar Investigador solicitó el archivo de las investigaciones en aplicación de la excluyente de responsabilidad por legítima defensa. Dicha decisión fue confirmada posteriormente. Los familiares del señor Jiménez recién tomaron conocimiento de esta </w:t>
            </w:r>
            <w:r w:rsidR="003920AF">
              <w:rPr>
                <w:rFonts w:ascii="Calibri Light" w:hAnsi="Calibri Light"/>
                <w:b w:val="0"/>
              </w:rPr>
              <w:t xml:space="preserve">situación </w:t>
            </w:r>
            <w:r w:rsidR="00850A45">
              <w:rPr>
                <w:rFonts w:ascii="Calibri Light" w:hAnsi="Calibri Light"/>
                <w:b w:val="0"/>
              </w:rPr>
              <w:t xml:space="preserve">en 1997, luego de iniciar el trámite ante la CIDH en 1996. </w:t>
            </w:r>
            <w:r w:rsidR="00B6265F">
              <w:rPr>
                <w:rFonts w:ascii="Calibri Light" w:hAnsi="Calibri Light"/>
                <w:b w:val="0"/>
              </w:rPr>
              <w:t xml:space="preserve"> </w:t>
            </w:r>
            <w:r w:rsidR="00850A45">
              <w:rPr>
                <w:rFonts w:ascii="Calibri Light" w:hAnsi="Calibri Light"/>
                <w:b w:val="0"/>
              </w:rPr>
              <w:t>Adicionalmente, el 7 de julio</w:t>
            </w:r>
            <w:r w:rsidR="00CC28C0">
              <w:rPr>
                <w:rFonts w:ascii="Calibri Light" w:hAnsi="Calibri Light"/>
                <w:b w:val="0"/>
              </w:rPr>
              <w:t xml:space="preserve"> de 1995</w:t>
            </w:r>
            <w:r w:rsidR="00850A45">
              <w:rPr>
                <w:rFonts w:ascii="Calibri Light" w:hAnsi="Calibri Light"/>
                <w:b w:val="0"/>
              </w:rPr>
              <w:t xml:space="preserve">, el hermano del señor Jiménez presentó una denuncia ante el Ministerio Público del Fuero Común en Altamirano. El expediente fue trasladado al Ministerio Público Federal en Comitán de Domínguez, Chiapas el 27 de agosto de 1996. La Comisión Nacional de Derechos Humanos indicó que había desaparecido de ese lugar en 1997 tras una inundación. </w:t>
            </w:r>
          </w:p>
          <w:p w14:paraId="0F92713F" w14:textId="77777777" w:rsidR="003920AF" w:rsidRDefault="003920AF" w:rsidP="003920AF">
            <w:pPr>
              <w:jc w:val="both"/>
              <w:rPr>
                <w:rFonts w:ascii="Calibri Light" w:hAnsi="Calibri Light"/>
                <w:b w:val="0"/>
              </w:rPr>
            </w:pPr>
          </w:p>
          <w:p w14:paraId="6D1C14B9" w14:textId="72948B6A" w:rsidR="003920AF" w:rsidRPr="004419E8" w:rsidRDefault="003920AF" w:rsidP="003920AF">
            <w:pPr>
              <w:jc w:val="both"/>
              <w:rPr>
                <w:rFonts w:ascii="Calibri Light" w:hAnsi="Calibri Light"/>
                <w:b w:val="0"/>
              </w:rPr>
            </w:pPr>
            <w:r w:rsidRPr="004419E8">
              <w:rPr>
                <w:rFonts w:ascii="Calibri Light" w:hAnsi="Calibri Light"/>
                <w:b w:val="0"/>
              </w:rPr>
              <w:t xml:space="preserve">Frente a tales hechos, </w:t>
            </w:r>
            <w:r w:rsidR="004419E8">
              <w:rPr>
                <w:rFonts w:ascii="Calibri Light" w:hAnsi="Calibri Light"/>
                <w:b w:val="0"/>
              </w:rPr>
              <w:t xml:space="preserve">el Centro de Derechos Humanos Fray Bartolomé de las Casas y CEJIL </w:t>
            </w:r>
            <w:r w:rsidRPr="004419E8">
              <w:rPr>
                <w:rFonts w:ascii="Calibri Light" w:hAnsi="Calibri Light"/>
                <w:b w:val="0"/>
              </w:rPr>
              <w:t xml:space="preserve">presentaron una petición ante la CIDH, denunciando que el Estado de México había vulnerado los derechos </w:t>
            </w:r>
            <w:r w:rsidR="004419E8">
              <w:rPr>
                <w:rFonts w:ascii="Calibri Light" w:hAnsi="Calibri Light"/>
                <w:b w:val="0"/>
              </w:rPr>
              <w:t>a la vida</w:t>
            </w:r>
            <w:r w:rsidR="00F83655">
              <w:rPr>
                <w:rFonts w:ascii="Calibri Light" w:hAnsi="Calibri Light"/>
                <w:b w:val="0"/>
              </w:rPr>
              <w:t>,</w:t>
            </w:r>
            <w:r w:rsidR="004419E8">
              <w:rPr>
                <w:rFonts w:ascii="Calibri Light" w:hAnsi="Calibri Light"/>
                <w:b w:val="0"/>
              </w:rPr>
              <w:t xml:space="preserve"> a la integridad personal, a las garantías judiciales, a la igualdad ante la ley  y a la protección judicial</w:t>
            </w:r>
            <w:r w:rsidR="00CC28C0">
              <w:rPr>
                <w:rFonts w:ascii="Calibri Light" w:hAnsi="Calibri Light"/>
                <w:b w:val="0"/>
              </w:rPr>
              <w:t>,</w:t>
            </w:r>
            <w:r w:rsidR="004419E8">
              <w:rPr>
                <w:rFonts w:ascii="Calibri Light" w:hAnsi="Calibri Light"/>
                <w:b w:val="0"/>
              </w:rPr>
              <w:t xml:space="preserve"> </w:t>
            </w:r>
            <w:r w:rsidRPr="004419E8">
              <w:rPr>
                <w:rFonts w:ascii="Calibri Light" w:hAnsi="Calibri Light"/>
                <w:b w:val="0"/>
              </w:rPr>
              <w:t>reconocidos en la Convención Americana sobre Derechos Humanos</w:t>
            </w:r>
            <w:r w:rsidR="004419E8">
              <w:rPr>
                <w:rFonts w:ascii="Calibri Light" w:hAnsi="Calibri Light"/>
                <w:b w:val="0"/>
              </w:rPr>
              <w:t xml:space="preserve"> </w:t>
            </w:r>
            <w:r w:rsidRPr="004419E8">
              <w:rPr>
                <w:rFonts w:ascii="Calibri Light" w:hAnsi="Calibri Light"/>
                <w:b w:val="0"/>
              </w:rPr>
              <w:t>(en adelante, CADH).</w:t>
            </w:r>
          </w:p>
          <w:p w14:paraId="6543A68A" w14:textId="6953DF70" w:rsidR="003920AF" w:rsidRPr="004533E5" w:rsidRDefault="003920AF" w:rsidP="003920AF">
            <w:pPr>
              <w:jc w:val="both"/>
              <w:rPr>
                <w:rFonts w:ascii="Calibri Light" w:hAnsi="Calibri Light"/>
                <w:b w:val="0"/>
              </w:rPr>
            </w:pPr>
            <w:r>
              <w:rPr>
                <w:rFonts w:ascii="Calibri Light" w:hAnsi="Calibri Light"/>
                <w:b w:val="0"/>
              </w:rPr>
              <w:t xml:space="preserve">  </w:t>
            </w:r>
          </w:p>
        </w:tc>
      </w:tr>
      <w:tr w:rsidR="005173CF" w:rsidRPr="004533E5" w14:paraId="7B81A2F3" w14:textId="77777777" w:rsidTr="00A94EE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4B448BEC" w14:textId="77777777" w:rsidR="00AC6F31" w:rsidRDefault="00AC6F31" w:rsidP="00AC6F31">
            <w:pPr>
              <w:pStyle w:val="ListParagraph"/>
              <w:rPr>
                <w:rFonts w:ascii="Calibri Light" w:hAnsi="Calibri Light"/>
              </w:rPr>
            </w:pPr>
          </w:p>
          <w:p w14:paraId="1FB8AB09" w14:textId="77777777" w:rsidR="005173CF" w:rsidRDefault="003E6AB8" w:rsidP="003E6AB8">
            <w:pPr>
              <w:pStyle w:val="ListParagraph"/>
              <w:numPr>
                <w:ilvl w:val="0"/>
                <w:numId w:val="2"/>
              </w:numPr>
              <w:jc w:val="center"/>
              <w:rPr>
                <w:rFonts w:ascii="Calibri Light" w:hAnsi="Calibri Light"/>
              </w:rPr>
            </w:pPr>
            <w:r>
              <w:rPr>
                <w:rFonts w:ascii="Calibri Light" w:hAnsi="Calibri Light"/>
              </w:rPr>
              <w:t>Análisis jurídico</w:t>
            </w:r>
          </w:p>
          <w:p w14:paraId="158A739A" w14:textId="77777777" w:rsidR="00AC6F31" w:rsidRPr="004533E5" w:rsidRDefault="00AC6F31" w:rsidP="00AC6F31">
            <w:pPr>
              <w:pStyle w:val="ListParagraph"/>
              <w:rPr>
                <w:rFonts w:ascii="Calibri Light" w:hAnsi="Calibri Light"/>
              </w:rPr>
            </w:pPr>
          </w:p>
        </w:tc>
      </w:tr>
      <w:tr w:rsidR="005173CF" w:rsidRPr="004533E5" w14:paraId="71AB3B44" w14:textId="77777777" w:rsidTr="00A94EE7">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8721" w:type="dxa"/>
            <w:gridSpan w:val="3"/>
          </w:tcPr>
          <w:p w14:paraId="26AC653F" w14:textId="2E42499C" w:rsidR="00AC6F31" w:rsidRDefault="00AC6F31" w:rsidP="00AC6F31">
            <w:pPr>
              <w:pStyle w:val="ListParagraph"/>
              <w:ind w:left="360"/>
              <w:jc w:val="both"/>
              <w:rPr>
                <w:rFonts w:ascii="Calibri Light" w:hAnsi="Calibri Light"/>
                <w:b w:val="0"/>
              </w:rPr>
            </w:pPr>
          </w:p>
          <w:p w14:paraId="1704D256" w14:textId="6C41AE99" w:rsidR="00AC6F31" w:rsidRDefault="00CB180B" w:rsidP="009F6931">
            <w:pPr>
              <w:jc w:val="both"/>
              <w:rPr>
                <w:rFonts w:ascii="Calibri Light" w:hAnsi="Calibri Light"/>
              </w:rPr>
            </w:pPr>
            <w:r>
              <w:rPr>
                <w:rFonts w:ascii="Calibri Light" w:hAnsi="Calibri Light"/>
              </w:rPr>
              <w:t xml:space="preserve">Derecho a la vida y </w:t>
            </w:r>
            <w:r w:rsidR="00237E47">
              <w:rPr>
                <w:rFonts w:ascii="Calibri Light" w:hAnsi="Calibri Light"/>
              </w:rPr>
              <w:t xml:space="preserve">principio de igualdad y </w:t>
            </w:r>
            <w:r>
              <w:rPr>
                <w:rFonts w:ascii="Calibri Light" w:hAnsi="Calibri Light"/>
              </w:rPr>
              <w:t>no discriminación (artículo 4 de la CADH en relación a los artículos 1.1 y 2)</w:t>
            </w:r>
          </w:p>
          <w:p w14:paraId="139875D5" w14:textId="77777777" w:rsidR="00CB180B" w:rsidRDefault="00CB180B" w:rsidP="009F6931">
            <w:pPr>
              <w:jc w:val="both"/>
              <w:rPr>
                <w:rFonts w:ascii="Calibri Light" w:hAnsi="Calibri Light"/>
              </w:rPr>
            </w:pPr>
          </w:p>
          <w:p w14:paraId="0883BF5B" w14:textId="77777777" w:rsidR="00EC4E9F" w:rsidRDefault="00EC4E9F" w:rsidP="00EC4E9F">
            <w:pPr>
              <w:pStyle w:val="ListParagraph"/>
              <w:numPr>
                <w:ilvl w:val="0"/>
                <w:numId w:val="7"/>
              </w:numPr>
              <w:jc w:val="both"/>
              <w:rPr>
                <w:rFonts w:ascii="Calibri Light" w:hAnsi="Calibri Light"/>
              </w:rPr>
            </w:pPr>
            <w:r>
              <w:rPr>
                <w:rFonts w:ascii="Calibri Light" w:hAnsi="Calibri Light"/>
              </w:rPr>
              <w:t>Planificación y regulación sobre el potencial uso de la fuerza en el operativo</w:t>
            </w:r>
          </w:p>
          <w:p w14:paraId="1BE55787" w14:textId="77777777" w:rsidR="00EC4E9F" w:rsidRDefault="00EC4E9F" w:rsidP="00EC4E9F">
            <w:pPr>
              <w:jc w:val="both"/>
              <w:rPr>
                <w:rFonts w:ascii="Calibri Light" w:hAnsi="Calibri Light"/>
              </w:rPr>
            </w:pPr>
          </w:p>
          <w:p w14:paraId="36D364F7" w14:textId="07E9362D" w:rsidR="00FE2BA4" w:rsidRDefault="00FE2BA4" w:rsidP="00EC4E9F">
            <w:pPr>
              <w:jc w:val="both"/>
              <w:rPr>
                <w:rFonts w:ascii="Calibri Light" w:hAnsi="Calibri Light"/>
                <w:b w:val="0"/>
              </w:rPr>
            </w:pPr>
            <w:r>
              <w:rPr>
                <w:rFonts w:ascii="Calibri Light" w:hAnsi="Calibri Light"/>
                <w:b w:val="0"/>
              </w:rPr>
              <w:lastRenderedPageBreak/>
              <w:t xml:space="preserve">La CIDH reiteró que el derecho a la vida también implicaba la adopción de medidas apropiadas para proteger y preservar </w:t>
            </w:r>
            <w:r w:rsidR="00975D0F">
              <w:rPr>
                <w:rFonts w:ascii="Calibri Light" w:hAnsi="Calibri Light"/>
                <w:b w:val="0"/>
              </w:rPr>
              <w:t>este derecho</w:t>
            </w:r>
            <w:r>
              <w:rPr>
                <w:rFonts w:ascii="Calibri Light" w:hAnsi="Calibri Light"/>
                <w:b w:val="0"/>
              </w:rPr>
              <w:t xml:space="preserve">. En el contexto del uso de la fuerza, ello </w:t>
            </w:r>
            <w:r w:rsidR="009C2C05">
              <w:rPr>
                <w:rFonts w:ascii="Calibri Light" w:hAnsi="Calibri Light"/>
                <w:b w:val="0"/>
              </w:rPr>
              <w:t xml:space="preserve">abarca </w:t>
            </w:r>
            <w:r w:rsidR="00975D0F">
              <w:rPr>
                <w:rFonts w:ascii="Calibri Light" w:hAnsi="Calibri Light"/>
                <w:b w:val="0"/>
              </w:rPr>
              <w:t>el deber del E</w:t>
            </w:r>
            <w:r>
              <w:rPr>
                <w:rFonts w:ascii="Calibri Light" w:hAnsi="Calibri Light"/>
                <w:b w:val="0"/>
              </w:rPr>
              <w:t xml:space="preserve">stado de adoptar medidas para crear un marco normativo adecuado que disuada cualquier amenaza a este derecho. Según la Corte IDH, de este deber, se desprenden tres obligaciones: i) buscar estrategias para implementar los Principios sobre empleo de la fuerza y </w:t>
            </w:r>
            <w:r w:rsidR="00975D0F">
              <w:rPr>
                <w:rFonts w:ascii="Calibri Light" w:hAnsi="Calibri Light"/>
                <w:b w:val="0"/>
              </w:rPr>
              <w:t xml:space="preserve">el </w:t>
            </w:r>
            <w:r>
              <w:rPr>
                <w:rFonts w:ascii="Calibri Light" w:hAnsi="Calibri Light"/>
                <w:b w:val="0"/>
              </w:rPr>
              <w:t xml:space="preserve">Código de Conducta, ii) dotar a los agentes de distintos tipos de armas, municiones y equipos de protección que les permitan adecuar su reacción de forma proporcional, y iii) realizar capacitaciones a sus agentes. </w:t>
            </w:r>
          </w:p>
          <w:p w14:paraId="2F4CA8EC" w14:textId="77777777" w:rsidR="009C2C05" w:rsidRDefault="009C2C05" w:rsidP="00EC4E9F">
            <w:pPr>
              <w:jc w:val="both"/>
              <w:rPr>
                <w:rFonts w:ascii="Calibri Light" w:hAnsi="Calibri Light"/>
                <w:b w:val="0"/>
              </w:rPr>
            </w:pPr>
          </w:p>
          <w:p w14:paraId="0BDA53F5" w14:textId="0188FA19" w:rsidR="00FE2BA4" w:rsidRDefault="00FE2BA4" w:rsidP="00EC4E9F">
            <w:pPr>
              <w:jc w:val="both"/>
              <w:rPr>
                <w:rFonts w:ascii="Calibri Light" w:hAnsi="Calibri Light"/>
                <w:b w:val="0"/>
              </w:rPr>
            </w:pPr>
            <w:r>
              <w:rPr>
                <w:rFonts w:ascii="Calibri Light" w:hAnsi="Calibri Light"/>
                <w:b w:val="0"/>
              </w:rPr>
              <w:t xml:space="preserve">Para la Comisión, el “Plan de Campaña Chiapas 1994” no se adecuaba a estos estándares, pues consideraba a la población civil como una fuerza enemiga </w:t>
            </w:r>
            <w:r w:rsidR="006A3F5E">
              <w:rPr>
                <w:rFonts w:ascii="Calibri Light" w:hAnsi="Calibri Light"/>
                <w:b w:val="0"/>
              </w:rPr>
              <w:t>y no instruía al Ejército a respetar los principios de distinción, necesidad y proporcionalidad. Además, cre</w:t>
            </w:r>
            <w:r w:rsidR="00975D0F">
              <w:rPr>
                <w:rFonts w:ascii="Calibri Light" w:hAnsi="Calibri Light"/>
                <w:b w:val="0"/>
              </w:rPr>
              <w:t>aba</w:t>
            </w:r>
            <w:r w:rsidR="006A3F5E">
              <w:rPr>
                <w:rFonts w:ascii="Calibri Light" w:hAnsi="Calibri Light"/>
                <w:b w:val="0"/>
              </w:rPr>
              <w:t xml:space="preserve"> bases para que los abusos se cometieran con un sesgo discriminador relacionado al origen étnico de ciertos grupos. Asimismo, tomó en cuenta </w:t>
            </w:r>
            <w:r w:rsidR="009C2C05">
              <w:rPr>
                <w:rFonts w:ascii="Calibri Light" w:hAnsi="Calibri Light"/>
                <w:b w:val="0"/>
              </w:rPr>
              <w:t xml:space="preserve">que </w:t>
            </w:r>
            <w:r w:rsidR="006A3F5E">
              <w:rPr>
                <w:rFonts w:ascii="Calibri Light" w:hAnsi="Calibri Light"/>
                <w:b w:val="0"/>
              </w:rPr>
              <w:t>el Estado no había informado</w:t>
            </w:r>
            <w:r w:rsidR="009C2C05">
              <w:rPr>
                <w:rFonts w:ascii="Calibri Light" w:hAnsi="Calibri Light"/>
                <w:b w:val="0"/>
              </w:rPr>
              <w:t xml:space="preserve"> </w:t>
            </w:r>
            <w:r w:rsidR="006A3F5E">
              <w:rPr>
                <w:rFonts w:ascii="Calibri Light" w:hAnsi="Calibri Light"/>
                <w:b w:val="0"/>
              </w:rPr>
              <w:t xml:space="preserve">sobre la existencia de protocolos de control de uso de la fuerza, ni de entrenamiento. En base a ello, consideró que </w:t>
            </w:r>
            <w:r w:rsidR="009C2C05">
              <w:rPr>
                <w:rFonts w:ascii="Calibri Light" w:hAnsi="Calibri Light"/>
                <w:b w:val="0"/>
              </w:rPr>
              <w:t xml:space="preserve">el Estado de México </w:t>
            </w:r>
            <w:r w:rsidR="006A3F5E">
              <w:rPr>
                <w:rFonts w:ascii="Calibri Light" w:hAnsi="Calibri Light"/>
                <w:b w:val="0"/>
              </w:rPr>
              <w:t xml:space="preserve">había violado los artículos 4.1 y 24 de la CADH en relación a los artículos 1.1 y 2 del mismo instrumento. </w:t>
            </w:r>
          </w:p>
          <w:p w14:paraId="28C31534" w14:textId="77777777" w:rsidR="00FE2BA4" w:rsidRPr="00FE2BA4" w:rsidRDefault="00FE2BA4" w:rsidP="00EC4E9F">
            <w:pPr>
              <w:jc w:val="both"/>
              <w:rPr>
                <w:rFonts w:ascii="Calibri Light" w:hAnsi="Calibri Light"/>
                <w:b w:val="0"/>
              </w:rPr>
            </w:pPr>
          </w:p>
          <w:p w14:paraId="22B4CDC1" w14:textId="0F5A71B2" w:rsidR="00EC4E9F" w:rsidRDefault="00FE2BA4" w:rsidP="00EC4E9F">
            <w:pPr>
              <w:pStyle w:val="ListParagraph"/>
              <w:numPr>
                <w:ilvl w:val="0"/>
                <w:numId w:val="7"/>
              </w:numPr>
              <w:jc w:val="both"/>
              <w:rPr>
                <w:rFonts w:ascii="Calibri Light" w:hAnsi="Calibri Light"/>
              </w:rPr>
            </w:pPr>
            <w:r>
              <w:rPr>
                <w:rFonts w:ascii="Calibri Light" w:hAnsi="Calibri Light"/>
              </w:rPr>
              <w:t>Despliegue del operativo militar en el ejido La Grandeza y uso de la fuerza</w:t>
            </w:r>
          </w:p>
          <w:p w14:paraId="3C089DC6" w14:textId="77777777" w:rsidR="006A3F5E" w:rsidRDefault="006A3F5E" w:rsidP="006A3F5E">
            <w:pPr>
              <w:jc w:val="both"/>
              <w:rPr>
                <w:rFonts w:ascii="Calibri Light" w:hAnsi="Calibri Light"/>
              </w:rPr>
            </w:pPr>
          </w:p>
          <w:p w14:paraId="18077318" w14:textId="7EEF3C9D" w:rsidR="00A85DC9" w:rsidRDefault="006A3F5E" w:rsidP="006A3F5E">
            <w:pPr>
              <w:jc w:val="both"/>
              <w:rPr>
                <w:rFonts w:ascii="Calibri Light" w:hAnsi="Calibri Light"/>
                <w:b w:val="0"/>
              </w:rPr>
            </w:pPr>
            <w:r>
              <w:rPr>
                <w:rFonts w:ascii="Calibri Light" w:hAnsi="Calibri Light"/>
                <w:b w:val="0"/>
              </w:rPr>
              <w:t xml:space="preserve">La </w:t>
            </w:r>
            <w:r w:rsidR="009C2C05">
              <w:rPr>
                <w:rFonts w:ascii="Calibri Light" w:hAnsi="Calibri Light"/>
                <w:b w:val="0"/>
              </w:rPr>
              <w:t xml:space="preserve">CIDH </w:t>
            </w:r>
            <w:r>
              <w:rPr>
                <w:rFonts w:ascii="Calibri Light" w:hAnsi="Calibri Light"/>
                <w:b w:val="0"/>
              </w:rPr>
              <w:t xml:space="preserve">reconoció que existían distintas versiones sobre los hechos, pero señaló que las declaraciones de los agentes del Ejército debían ser valoradas a la luz de otras pruebas y elementos, como el hecho de que </w:t>
            </w:r>
            <w:r w:rsidR="00835985">
              <w:rPr>
                <w:rFonts w:ascii="Calibri Light" w:hAnsi="Calibri Light"/>
                <w:b w:val="0"/>
              </w:rPr>
              <w:t xml:space="preserve">las personas </w:t>
            </w:r>
            <w:r w:rsidR="009A5B47">
              <w:rPr>
                <w:rFonts w:ascii="Calibri Light" w:hAnsi="Calibri Light"/>
                <w:b w:val="0"/>
              </w:rPr>
              <w:t>contra quienes dispararon estaban</w:t>
            </w:r>
            <w:r>
              <w:rPr>
                <w:rFonts w:ascii="Calibri Light" w:hAnsi="Calibri Light"/>
                <w:b w:val="0"/>
              </w:rPr>
              <w:t xml:space="preserve"> vestidas de civil, </w:t>
            </w:r>
            <w:r w:rsidR="009C2C05">
              <w:rPr>
                <w:rFonts w:ascii="Calibri Light" w:hAnsi="Calibri Light"/>
                <w:b w:val="0"/>
              </w:rPr>
              <w:t xml:space="preserve">que </w:t>
            </w:r>
            <w:r>
              <w:rPr>
                <w:rFonts w:ascii="Calibri Light" w:hAnsi="Calibri Light"/>
                <w:b w:val="0"/>
              </w:rPr>
              <w:t xml:space="preserve">se había golpeado en al menos tres ocasiones a Sebastián Mena para que indicara el lugar de refugio de sus compañeros y </w:t>
            </w:r>
            <w:r w:rsidR="009C2C05">
              <w:rPr>
                <w:rFonts w:ascii="Calibri Light" w:hAnsi="Calibri Light"/>
                <w:b w:val="0"/>
              </w:rPr>
              <w:t xml:space="preserve">que </w:t>
            </w:r>
            <w:r w:rsidR="00A85DC9">
              <w:rPr>
                <w:rFonts w:ascii="Calibri Light" w:hAnsi="Calibri Light"/>
                <w:b w:val="0"/>
              </w:rPr>
              <w:t xml:space="preserve">existía un anuncio de los militares de su intención de dañar a las personas refugiadas en la montaña al realizar varios disparos. </w:t>
            </w:r>
          </w:p>
          <w:p w14:paraId="07B48392" w14:textId="77777777" w:rsidR="00A85DC9" w:rsidRDefault="00A85DC9" w:rsidP="006A3F5E">
            <w:pPr>
              <w:jc w:val="both"/>
              <w:rPr>
                <w:rFonts w:ascii="Calibri Light" w:hAnsi="Calibri Light"/>
                <w:b w:val="0"/>
              </w:rPr>
            </w:pPr>
          </w:p>
          <w:p w14:paraId="5FA42CF4" w14:textId="4AC2A970" w:rsidR="00A85DC9" w:rsidRDefault="00A85DC9" w:rsidP="006A3F5E">
            <w:pPr>
              <w:jc w:val="both"/>
              <w:rPr>
                <w:rFonts w:ascii="Calibri Light" w:hAnsi="Calibri Light"/>
                <w:b w:val="0"/>
              </w:rPr>
            </w:pPr>
            <w:r>
              <w:rPr>
                <w:rFonts w:ascii="Calibri Light" w:hAnsi="Calibri Light"/>
                <w:b w:val="0"/>
              </w:rPr>
              <w:t xml:space="preserve">Asimismo, consideró que los agentes habían tomado como un indicio de peligrosidad el hecho de que algunas personas hablaran un dialecto indígena, lo cual tenía un sesgo discriminador. </w:t>
            </w:r>
            <w:r w:rsidR="009C2C05">
              <w:rPr>
                <w:rFonts w:ascii="Calibri Light" w:hAnsi="Calibri Light"/>
                <w:b w:val="0"/>
              </w:rPr>
              <w:t>La CIDH t</w:t>
            </w:r>
            <w:r>
              <w:rPr>
                <w:rFonts w:ascii="Calibri Light" w:hAnsi="Calibri Light"/>
                <w:b w:val="0"/>
              </w:rPr>
              <w:t xml:space="preserve">ambién </w:t>
            </w:r>
            <w:r w:rsidR="00975D0F">
              <w:rPr>
                <w:rFonts w:ascii="Calibri Light" w:hAnsi="Calibri Light"/>
                <w:b w:val="0"/>
              </w:rPr>
              <w:t xml:space="preserve">tomó en cuenta </w:t>
            </w:r>
            <w:r>
              <w:rPr>
                <w:rFonts w:ascii="Calibri Light" w:hAnsi="Calibri Light"/>
                <w:b w:val="0"/>
              </w:rPr>
              <w:t>que si bien algunas de las personas refugiadas se encontraban vinculadas al EZLN, en ese momento iban vestidas de civil y que de las propias declaraciones de los militares se desprendía que el propósito de los disparos había sido evitar su huida. En base a estos elementos y a la existencia de un marco normativo que propiciaba un uso excesivo de la fuerza, la C</w:t>
            </w:r>
            <w:r w:rsidR="009C2C05">
              <w:rPr>
                <w:rFonts w:ascii="Calibri Light" w:hAnsi="Calibri Light"/>
                <w:b w:val="0"/>
              </w:rPr>
              <w:t>IDH</w:t>
            </w:r>
            <w:r>
              <w:rPr>
                <w:rFonts w:ascii="Calibri Light" w:hAnsi="Calibri Light"/>
                <w:b w:val="0"/>
              </w:rPr>
              <w:t xml:space="preserve"> advirtió que existían indicios que mostraban una actuación innecesaria y desproporcional</w:t>
            </w:r>
            <w:r w:rsidR="009C2C05">
              <w:rPr>
                <w:rFonts w:ascii="Calibri Light" w:hAnsi="Calibri Light"/>
                <w:b w:val="0"/>
              </w:rPr>
              <w:t xml:space="preserve"> por parte de los agentes militares</w:t>
            </w:r>
            <w:r>
              <w:rPr>
                <w:rFonts w:ascii="Calibri Light" w:hAnsi="Calibri Light"/>
                <w:b w:val="0"/>
              </w:rPr>
              <w:t xml:space="preserve">.  </w:t>
            </w:r>
          </w:p>
          <w:p w14:paraId="385D6C1A" w14:textId="77777777" w:rsidR="00A85DC9" w:rsidRPr="006A3F5E" w:rsidRDefault="00A85DC9" w:rsidP="006A3F5E">
            <w:pPr>
              <w:jc w:val="both"/>
              <w:rPr>
                <w:rFonts w:ascii="Calibri Light" w:hAnsi="Calibri Light"/>
                <w:b w:val="0"/>
              </w:rPr>
            </w:pPr>
          </w:p>
          <w:p w14:paraId="794E0A24" w14:textId="00401E34" w:rsidR="00EC4E9F" w:rsidRDefault="00FE2BA4" w:rsidP="00EC4E9F">
            <w:pPr>
              <w:pStyle w:val="ListParagraph"/>
              <w:numPr>
                <w:ilvl w:val="0"/>
                <w:numId w:val="7"/>
              </w:numPr>
              <w:jc w:val="both"/>
              <w:rPr>
                <w:rFonts w:ascii="Calibri Light" w:hAnsi="Calibri Light"/>
              </w:rPr>
            </w:pPr>
            <w:r>
              <w:rPr>
                <w:rFonts w:ascii="Calibri Light" w:hAnsi="Calibri Light"/>
              </w:rPr>
              <w:t>Análisis del uso de la fuerza en contra del señor Jiménez</w:t>
            </w:r>
          </w:p>
          <w:p w14:paraId="49DEAA84" w14:textId="77777777" w:rsidR="00A85DC9" w:rsidRDefault="00A85DC9" w:rsidP="00A85DC9">
            <w:pPr>
              <w:jc w:val="both"/>
              <w:rPr>
                <w:rFonts w:ascii="Calibri Light" w:hAnsi="Calibri Light"/>
              </w:rPr>
            </w:pPr>
          </w:p>
          <w:p w14:paraId="75A7EC0D" w14:textId="14559656" w:rsidR="00A85DC9" w:rsidRDefault="00975D0F" w:rsidP="00A85DC9">
            <w:pPr>
              <w:jc w:val="both"/>
              <w:rPr>
                <w:rFonts w:ascii="Calibri Light" w:hAnsi="Calibri Light"/>
                <w:b w:val="0"/>
              </w:rPr>
            </w:pPr>
            <w:r>
              <w:rPr>
                <w:rFonts w:ascii="Calibri Light" w:hAnsi="Calibri Light"/>
                <w:b w:val="0"/>
              </w:rPr>
              <w:t>En relación a la muerte del señor Jiménez, la Comisión</w:t>
            </w:r>
            <w:r w:rsidR="00A85DC9">
              <w:rPr>
                <w:rFonts w:ascii="Calibri Light" w:hAnsi="Calibri Light"/>
                <w:b w:val="0"/>
              </w:rPr>
              <w:t xml:space="preserve"> observó que existían algunas inconsistencias en la teoría de que se trataba un supuesto de leg</w:t>
            </w:r>
            <w:r>
              <w:rPr>
                <w:rFonts w:ascii="Calibri Light" w:hAnsi="Calibri Light"/>
                <w:b w:val="0"/>
              </w:rPr>
              <w:t xml:space="preserve">ítima defensa. </w:t>
            </w:r>
            <w:r w:rsidR="009C2C05">
              <w:rPr>
                <w:rFonts w:ascii="Calibri Light" w:hAnsi="Calibri Light"/>
                <w:b w:val="0"/>
              </w:rPr>
              <w:t>En primer lugar</w:t>
            </w:r>
            <w:r>
              <w:rPr>
                <w:rFonts w:ascii="Calibri Light" w:hAnsi="Calibri Light"/>
                <w:b w:val="0"/>
              </w:rPr>
              <w:t xml:space="preserve">, ninguno de los testigos civiles </w:t>
            </w:r>
            <w:r w:rsidR="009C2C05">
              <w:rPr>
                <w:rFonts w:ascii="Calibri Light" w:hAnsi="Calibri Light"/>
                <w:b w:val="0"/>
              </w:rPr>
              <w:t xml:space="preserve">señaló </w:t>
            </w:r>
            <w:r>
              <w:rPr>
                <w:rFonts w:ascii="Calibri Light" w:hAnsi="Calibri Light"/>
                <w:b w:val="0"/>
              </w:rPr>
              <w:t>que</w:t>
            </w:r>
            <w:r w:rsidR="009C2C05">
              <w:rPr>
                <w:rFonts w:ascii="Calibri Light" w:hAnsi="Calibri Light"/>
                <w:b w:val="0"/>
              </w:rPr>
              <w:t xml:space="preserve"> Jiménez </w:t>
            </w:r>
            <w:r>
              <w:rPr>
                <w:rFonts w:ascii="Calibri Light" w:hAnsi="Calibri Light"/>
                <w:b w:val="0"/>
              </w:rPr>
              <w:t>porta</w:t>
            </w:r>
            <w:r w:rsidR="009C2C05">
              <w:rPr>
                <w:rFonts w:ascii="Calibri Light" w:hAnsi="Calibri Light"/>
                <w:b w:val="0"/>
              </w:rPr>
              <w:t>r</w:t>
            </w:r>
            <w:r>
              <w:rPr>
                <w:rFonts w:ascii="Calibri Light" w:hAnsi="Calibri Light"/>
                <w:b w:val="0"/>
              </w:rPr>
              <w:t>a un arma; por el contrario, indicaron que llevaba cargada a su hija en la espalda. Además, las pruebas balísticas y químicas no permit</w:t>
            </w:r>
            <w:r w:rsidR="009C2C05">
              <w:rPr>
                <w:rFonts w:ascii="Calibri Light" w:hAnsi="Calibri Light"/>
                <w:b w:val="0"/>
              </w:rPr>
              <w:t>ían</w:t>
            </w:r>
            <w:r>
              <w:rPr>
                <w:rFonts w:ascii="Calibri Light" w:hAnsi="Calibri Light"/>
                <w:b w:val="0"/>
              </w:rPr>
              <w:t xml:space="preserve"> concluir que el señor Jiménez hubiera accionado un arma contra el soldado García, y la única investigación que llegó a tal conclusión fue la derivada de un proceso en jurisdicción militar que no contaba con las garantías de independencia e imparcialidad. </w:t>
            </w:r>
            <w:r w:rsidR="008D1B19">
              <w:rPr>
                <w:rFonts w:ascii="Calibri Light" w:hAnsi="Calibri Light"/>
                <w:b w:val="0"/>
              </w:rPr>
              <w:t>Sumado a ello, el Estado no logró esclarecer los hechos ni explicar satisfactoriamente la necesidad y proporcionalidad del uso de la fuerza contra el señor Jiménez. Por ello,</w:t>
            </w:r>
            <w:r w:rsidR="009C2C05">
              <w:rPr>
                <w:rFonts w:ascii="Calibri Light" w:hAnsi="Calibri Light"/>
                <w:b w:val="0"/>
              </w:rPr>
              <w:t xml:space="preserve"> la CIDH estimó violado</w:t>
            </w:r>
            <w:r w:rsidR="008D1B19">
              <w:rPr>
                <w:rFonts w:ascii="Calibri Light" w:hAnsi="Calibri Light"/>
                <w:b w:val="0"/>
              </w:rPr>
              <w:t xml:space="preserve"> el artículo 4.1 de la CADH en relación al artículo 1.1. </w:t>
            </w:r>
          </w:p>
          <w:p w14:paraId="4B76683F" w14:textId="77777777" w:rsidR="00975D0F" w:rsidRPr="00A85DC9" w:rsidRDefault="00975D0F" w:rsidP="00A85DC9">
            <w:pPr>
              <w:jc w:val="both"/>
              <w:rPr>
                <w:rFonts w:ascii="Calibri Light" w:hAnsi="Calibri Light"/>
                <w:b w:val="0"/>
              </w:rPr>
            </w:pPr>
          </w:p>
          <w:p w14:paraId="2796CF0D" w14:textId="3AF54155" w:rsidR="00CB180B" w:rsidRDefault="00237E47" w:rsidP="009F6931">
            <w:pPr>
              <w:jc w:val="both"/>
              <w:rPr>
                <w:rFonts w:ascii="Calibri Light" w:hAnsi="Calibri Light"/>
              </w:rPr>
            </w:pPr>
            <w:r>
              <w:rPr>
                <w:rFonts w:ascii="Calibri Light" w:hAnsi="Calibri Light"/>
              </w:rPr>
              <w:t>Los derechos a las g</w:t>
            </w:r>
            <w:r w:rsidR="00CB180B">
              <w:rPr>
                <w:rFonts w:ascii="Calibri Light" w:hAnsi="Calibri Light"/>
              </w:rPr>
              <w:t xml:space="preserve">arantías judiciales y protección judicial </w:t>
            </w:r>
            <w:r>
              <w:rPr>
                <w:rFonts w:ascii="Calibri Light" w:hAnsi="Calibri Light"/>
              </w:rPr>
              <w:t xml:space="preserve">respecto de las investigaciones iniciadas por la muerte de Gilberto Jiménez Hernández </w:t>
            </w:r>
            <w:r w:rsidR="00CB180B">
              <w:rPr>
                <w:rFonts w:ascii="Calibri Light" w:hAnsi="Calibri Light"/>
              </w:rPr>
              <w:t>(artículos 8 y 25 de la CADH)</w:t>
            </w:r>
          </w:p>
          <w:p w14:paraId="7DA478E3" w14:textId="77777777" w:rsidR="00CB180B" w:rsidRDefault="00CB180B" w:rsidP="009F6931">
            <w:pPr>
              <w:jc w:val="both"/>
              <w:rPr>
                <w:rFonts w:ascii="Calibri Light" w:hAnsi="Calibri Light"/>
              </w:rPr>
            </w:pPr>
          </w:p>
          <w:p w14:paraId="38BF90C2" w14:textId="4FF0B0CB" w:rsidR="008D1B19" w:rsidRDefault="008D1B19" w:rsidP="009F6931">
            <w:pPr>
              <w:jc w:val="both"/>
              <w:rPr>
                <w:rFonts w:ascii="Calibri Light" w:hAnsi="Calibri Light"/>
                <w:b w:val="0"/>
              </w:rPr>
            </w:pPr>
            <w:r>
              <w:rPr>
                <w:rFonts w:ascii="Calibri Light" w:hAnsi="Calibri Light"/>
                <w:b w:val="0"/>
              </w:rPr>
              <w:lastRenderedPageBreak/>
              <w:t>Ante una muerte violenta, como la del señor Jiménez, el Estado se enc</w:t>
            </w:r>
            <w:r w:rsidR="002C4CED">
              <w:rPr>
                <w:rFonts w:ascii="Calibri Light" w:hAnsi="Calibri Light"/>
                <w:b w:val="0"/>
              </w:rPr>
              <w:t>uentra</w:t>
            </w:r>
            <w:r>
              <w:rPr>
                <w:rFonts w:ascii="Calibri Light" w:hAnsi="Calibri Light"/>
                <w:b w:val="0"/>
              </w:rPr>
              <w:t xml:space="preserve"> obligado a realizar una investigación </w:t>
            </w:r>
            <w:r w:rsidRPr="009A5B47">
              <w:rPr>
                <w:rFonts w:ascii="Calibri Light" w:hAnsi="Calibri Light"/>
                <w:b w:val="0"/>
                <w:i/>
              </w:rPr>
              <w:t>ex officio</w:t>
            </w:r>
            <w:r>
              <w:rPr>
                <w:rFonts w:ascii="Calibri Light" w:hAnsi="Calibri Light"/>
                <w:b w:val="0"/>
              </w:rPr>
              <w:t xml:space="preserve"> en sede penal </w:t>
            </w:r>
            <w:r w:rsidR="002C4CED">
              <w:rPr>
                <w:rFonts w:ascii="Calibri Light" w:hAnsi="Calibri Light"/>
                <w:b w:val="0"/>
              </w:rPr>
              <w:t>de manera</w:t>
            </w:r>
            <w:r>
              <w:rPr>
                <w:rFonts w:ascii="Calibri Light" w:hAnsi="Calibri Light"/>
                <w:b w:val="0"/>
              </w:rPr>
              <w:t xml:space="preserve"> independiente, imparcial, diligente</w:t>
            </w:r>
            <w:r w:rsidR="009C2C05">
              <w:rPr>
                <w:rFonts w:ascii="Calibri Light" w:hAnsi="Calibri Light"/>
                <w:b w:val="0"/>
              </w:rPr>
              <w:t>,</w:t>
            </w:r>
            <w:r>
              <w:rPr>
                <w:rFonts w:ascii="Calibri Light" w:hAnsi="Calibri Light"/>
                <w:b w:val="0"/>
              </w:rPr>
              <w:t xml:space="preserve"> efectiva</w:t>
            </w:r>
            <w:r w:rsidR="009C2C05">
              <w:rPr>
                <w:rFonts w:ascii="Calibri Light" w:hAnsi="Calibri Light"/>
                <w:b w:val="0"/>
              </w:rPr>
              <w:t xml:space="preserve"> y</w:t>
            </w:r>
            <w:r>
              <w:rPr>
                <w:rFonts w:ascii="Calibri Light" w:hAnsi="Calibri Light"/>
                <w:b w:val="0"/>
              </w:rPr>
              <w:t xml:space="preserve"> en un plazo razonable. En el presente caso, </w:t>
            </w:r>
            <w:r w:rsidR="009C2C05">
              <w:rPr>
                <w:rFonts w:ascii="Calibri Light" w:hAnsi="Calibri Light"/>
                <w:b w:val="0"/>
              </w:rPr>
              <w:t xml:space="preserve">según la CIDH, </w:t>
            </w:r>
            <w:r>
              <w:rPr>
                <w:rFonts w:ascii="Calibri Light" w:hAnsi="Calibri Light"/>
                <w:b w:val="0"/>
              </w:rPr>
              <w:t xml:space="preserve">no se respetaron estas garantías. </w:t>
            </w:r>
          </w:p>
          <w:p w14:paraId="2C1004A8" w14:textId="77777777" w:rsidR="008D1B19" w:rsidRDefault="008D1B19" w:rsidP="009F6931">
            <w:pPr>
              <w:jc w:val="both"/>
              <w:rPr>
                <w:rFonts w:ascii="Calibri Light" w:hAnsi="Calibri Light"/>
                <w:b w:val="0"/>
              </w:rPr>
            </w:pPr>
          </w:p>
          <w:p w14:paraId="7D8F6450" w14:textId="5ED6829C" w:rsidR="008D1B19" w:rsidRDefault="008D1B19" w:rsidP="008D1B19">
            <w:pPr>
              <w:pStyle w:val="ListParagraph"/>
              <w:numPr>
                <w:ilvl w:val="0"/>
                <w:numId w:val="8"/>
              </w:numPr>
              <w:jc w:val="both"/>
              <w:rPr>
                <w:rFonts w:ascii="Calibri Light" w:hAnsi="Calibri Light"/>
              </w:rPr>
            </w:pPr>
            <w:r>
              <w:rPr>
                <w:rFonts w:ascii="Calibri Light" w:hAnsi="Calibri Light"/>
              </w:rPr>
              <w:t>Independencia e imparcialidad de las autoridades militares que conocieron la investigación</w:t>
            </w:r>
          </w:p>
          <w:p w14:paraId="7AA118CE" w14:textId="77777777" w:rsidR="008D1B19" w:rsidRDefault="008D1B19" w:rsidP="008D1B19">
            <w:pPr>
              <w:jc w:val="both"/>
              <w:rPr>
                <w:rFonts w:ascii="Calibri Light" w:hAnsi="Calibri Light"/>
              </w:rPr>
            </w:pPr>
          </w:p>
          <w:p w14:paraId="5A3FD5BF" w14:textId="780A694C" w:rsidR="002C4CED" w:rsidRDefault="009C2C05" w:rsidP="008D1B19">
            <w:pPr>
              <w:jc w:val="both"/>
              <w:rPr>
                <w:rFonts w:ascii="Calibri Light" w:hAnsi="Calibri Light"/>
                <w:b w:val="0"/>
              </w:rPr>
            </w:pPr>
            <w:r>
              <w:rPr>
                <w:rFonts w:ascii="Calibri Light" w:hAnsi="Calibri Light"/>
                <w:b w:val="0"/>
              </w:rPr>
              <w:t>D</w:t>
            </w:r>
            <w:r w:rsidR="002C4CED">
              <w:rPr>
                <w:rFonts w:ascii="Calibri Light" w:hAnsi="Calibri Light"/>
                <w:b w:val="0"/>
              </w:rPr>
              <w:t>e acuerdo a la jurisprudencia de la Corte IDH</w:t>
            </w:r>
            <w:r>
              <w:rPr>
                <w:rFonts w:ascii="Calibri Light" w:hAnsi="Calibri Light"/>
                <w:b w:val="0"/>
              </w:rPr>
              <w:t>, los tribunales militares no cumplen</w:t>
            </w:r>
            <w:r w:rsidR="002C4CED">
              <w:rPr>
                <w:rFonts w:ascii="Calibri Light" w:hAnsi="Calibri Light"/>
                <w:b w:val="0"/>
              </w:rPr>
              <w:t xml:space="preserve"> con las garantías de imparcialidad e independencia, por factores como la subordinación de sus integrantes a superiores jerárquicos, el hecho de que su nombramiento no esté sujeto a su competencia profesional o que no cuenten con garantías de inamovilidad. Por e</w:t>
            </w:r>
            <w:r>
              <w:rPr>
                <w:rFonts w:ascii="Calibri Light" w:hAnsi="Calibri Light"/>
                <w:b w:val="0"/>
              </w:rPr>
              <w:t>ll</w:t>
            </w:r>
            <w:r w:rsidR="002C4CED">
              <w:rPr>
                <w:rFonts w:ascii="Calibri Light" w:hAnsi="Calibri Light"/>
                <w:b w:val="0"/>
              </w:rPr>
              <w:t>o, su competencia debe ser restringida y solo deben juzgar delitos o faltas que atenten con bienes jurídicos propios del orden militar, dentro de los cuales no se encuentra el derecho a la vida.</w:t>
            </w:r>
          </w:p>
          <w:p w14:paraId="09282CFC" w14:textId="77777777" w:rsidR="002C4CED" w:rsidRDefault="002C4CED" w:rsidP="008D1B19">
            <w:pPr>
              <w:jc w:val="both"/>
              <w:rPr>
                <w:rFonts w:ascii="Calibri Light" w:hAnsi="Calibri Light"/>
                <w:b w:val="0"/>
              </w:rPr>
            </w:pPr>
          </w:p>
          <w:p w14:paraId="1E93F867" w14:textId="57E69915" w:rsidR="008D1B19" w:rsidRDefault="009C2C05" w:rsidP="008D1B19">
            <w:pPr>
              <w:jc w:val="both"/>
              <w:rPr>
                <w:rFonts w:ascii="Calibri Light" w:hAnsi="Calibri Light"/>
                <w:b w:val="0"/>
              </w:rPr>
            </w:pPr>
            <w:r>
              <w:rPr>
                <w:rFonts w:ascii="Calibri Light" w:hAnsi="Calibri Light"/>
                <w:b w:val="0"/>
              </w:rPr>
              <w:t>En ese sentido</w:t>
            </w:r>
            <w:r w:rsidR="002C4CED">
              <w:rPr>
                <w:rFonts w:ascii="Calibri Light" w:hAnsi="Calibri Light"/>
                <w:b w:val="0"/>
              </w:rPr>
              <w:t>, su intervención en este caso, tanto en las diligencias de las investigaciones como en la investigación previa que se abrió bajo su jurisdicción, es contraria al derecho a ser juzgado por una autoridad competente, independiente e imparcial. La C</w:t>
            </w:r>
            <w:r w:rsidR="00613D24">
              <w:rPr>
                <w:rFonts w:ascii="Calibri Light" w:hAnsi="Calibri Light"/>
                <w:b w:val="0"/>
              </w:rPr>
              <w:t>IDH</w:t>
            </w:r>
            <w:r w:rsidR="002C4CED">
              <w:rPr>
                <w:rFonts w:ascii="Calibri Light" w:hAnsi="Calibri Light"/>
                <w:b w:val="0"/>
              </w:rPr>
              <w:t xml:space="preserve"> tomó en cuenta además la existencia de un marco normativo constitucional y legal que consideraba que eran delitos de disciplina militar los delitos comunes co</w:t>
            </w:r>
            <w:r w:rsidR="00C10BC5">
              <w:rPr>
                <w:rFonts w:ascii="Calibri Light" w:hAnsi="Calibri Light"/>
                <w:b w:val="0"/>
              </w:rPr>
              <w:t xml:space="preserve">metidos por un militar al momento de estar en servicio. En base a todo ello, señaló que </w:t>
            </w:r>
            <w:r w:rsidR="00613D24">
              <w:rPr>
                <w:rFonts w:ascii="Calibri Light" w:hAnsi="Calibri Light"/>
                <w:b w:val="0"/>
              </w:rPr>
              <w:t xml:space="preserve">el Estado mexicano </w:t>
            </w:r>
            <w:r w:rsidR="00C10BC5">
              <w:rPr>
                <w:rFonts w:ascii="Calibri Light" w:hAnsi="Calibri Light"/>
                <w:b w:val="0"/>
              </w:rPr>
              <w:t xml:space="preserve">había violado los artículos 8.1 y 25.1 de la CADH, en relación a los artículos 1.1 y 2. </w:t>
            </w:r>
          </w:p>
          <w:p w14:paraId="6116BA4B" w14:textId="77777777" w:rsidR="002C4CED" w:rsidRPr="002C4CED" w:rsidRDefault="002C4CED" w:rsidP="008D1B19">
            <w:pPr>
              <w:jc w:val="both"/>
              <w:rPr>
                <w:rFonts w:ascii="Calibri Light" w:hAnsi="Calibri Light"/>
                <w:b w:val="0"/>
              </w:rPr>
            </w:pPr>
          </w:p>
          <w:p w14:paraId="665D8EF5" w14:textId="113A71BD" w:rsidR="008D1B19" w:rsidRDefault="008D1B19" w:rsidP="008D1B19">
            <w:pPr>
              <w:pStyle w:val="ListParagraph"/>
              <w:numPr>
                <w:ilvl w:val="0"/>
                <w:numId w:val="8"/>
              </w:numPr>
              <w:jc w:val="both"/>
              <w:rPr>
                <w:rFonts w:ascii="Calibri Light" w:hAnsi="Calibri Light"/>
              </w:rPr>
            </w:pPr>
            <w:r>
              <w:rPr>
                <w:rFonts w:ascii="Calibri Light" w:hAnsi="Calibri Light"/>
              </w:rPr>
              <w:t xml:space="preserve">Debida diligencia en las investigaciones </w:t>
            </w:r>
          </w:p>
          <w:p w14:paraId="74DD7917" w14:textId="77777777" w:rsidR="00C10BC5" w:rsidRDefault="00C10BC5" w:rsidP="00C10BC5">
            <w:pPr>
              <w:jc w:val="both"/>
              <w:rPr>
                <w:rFonts w:ascii="Calibri Light" w:hAnsi="Calibri Light"/>
              </w:rPr>
            </w:pPr>
          </w:p>
          <w:p w14:paraId="025760D0" w14:textId="448B9418" w:rsidR="00C10BC5" w:rsidRDefault="00C9455E" w:rsidP="00C10BC5">
            <w:pPr>
              <w:jc w:val="both"/>
              <w:rPr>
                <w:rFonts w:ascii="Calibri Light" w:hAnsi="Calibri Light"/>
                <w:b w:val="0"/>
              </w:rPr>
            </w:pPr>
            <w:r w:rsidRPr="00C9455E">
              <w:rPr>
                <w:rFonts w:ascii="Calibri Light" w:hAnsi="Calibri Light"/>
                <w:b w:val="0"/>
              </w:rPr>
              <w:t>La C</w:t>
            </w:r>
            <w:r w:rsidR="00613D24">
              <w:rPr>
                <w:rFonts w:ascii="Calibri Light" w:hAnsi="Calibri Light"/>
                <w:b w:val="0"/>
              </w:rPr>
              <w:t>IDH</w:t>
            </w:r>
            <w:r w:rsidRPr="00C9455E">
              <w:rPr>
                <w:rFonts w:ascii="Calibri Light" w:hAnsi="Calibri Light"/>
                <w:b w:val="0"/>
              </w:rPr>
              <w:t xml:space="preserve"> señaló que durante la investigación de la muerte de una persona, los Estados se encuentran obligados a investigar desde sus </w:t>
            </w:r>
            <w:r>
              <w:rPr>
                <w:rFonts w:ascii="Calibri Light" w:hAnsi="Calibri Light"/>
                <w:b w:val="0"/>
              </w:rPr>
              <w:t>primeras diligencias con la debida acuciosidad. En el caso de la muerte del señor Jiménez, se cometieron una serie de deficiencias en la investigación</w:t>
            </w:r>
            <w:r w:rsidR="0008203A">
              <w:rPr>
                <w:rFonts w:ascii="Calibri Light" w:hAnsi="Calibri Light"/>
                <w:b w:val="0"/>
              </w:rPr>
              <w:t xml:space="preserve"> que evidenciaron</w:t>
            </w:r>
            <w:r w:rsidR="00613D24">
              <w:rPr>
                <w:rFonts w:ascii="Calibri Light" w:hAnsi="Calibri Light"/>
                <w:b w:val="0"/>
              </w:rPr>
              <w:t xml:space="preserve"> una</w:t>
            </w:r>
            <w:r w:rsidR="0008203A">
              <w:rPr>
                <w:rFonts w:ascii="Calibri Light" w:hAnsi="Calibri Light"/>
                <w:b w:val="0"/>
              </w:rPr>
              <w:t xml:space="preserve"> falta de diligencia por parte del Estado. Entre ellas se encuentran:</w:t>
            </w:r>
            <w:r>
              <w:rPr>
                <w:rFonts w:ascii="Calibri Light" w:hAnsi="Calibri Light"/>
                <w:b w:val="0"/>
              </w:rPr>
              <w:t xml:space="preserve"> i) la exposición de la escena del crimen a miembros del Ejército lo cual podía facilitar su manipulación, ii) las inconsistencias entre las actas de inspección del Ministerio Público Militar Especial y el Ministerio Público Fiscal respecto a cómo iba vestido el señor Jiménez, iii) la falta de realización de pruebas en las armas de los agentes militares, </w:t>
            </w:r>
            <w:r w:rsidR="0008203A">
              <w:rPr>
                <w:rFonts w:ascii="Calibri Light" w:hAnsi="Calibri Light"/>
                <w:b w:val="0"/>
              </w:rPr>
              <w:t>etc</w:t>
            </w:r>
            <w:r>
              <w:rPr>
                <w:rFonts w:ascii="Calibri Light" w:hAnsi="Calibri Light"/>
                <w:b w:val="0"/>
              </w:rPr>
              <w:t xml:space="preserve">. </w:t>
            </w:r>
          </w:p>
          <w:p w14:paraId="3EF83BE8" w14:textId="77777777" w:rsidR="0008203A" w:rsidRDefault="0008203A" w:rsidP="00C10BC5">
            <w:pPr>
              <w:jc w:val="both"/>
              <w:rPr>
                <w:rFonts w:ascii="Calibri Light" w:hAnsi="Calibri Light"/>
                <w:b w:val="0"/>
              </w:rPr>
            </w:pPr>
          </w:p>
          <w:p w14:paraId="541F01CF" w14:textId="39BD31EA" w:rsidR="0008203A" w:rsidRDefault="0008203A" w:rsidP="00C10BC5">
            <w:pPr>
              <w:jc w:val="both"/>
              <w:rPr>
                <w:rFonts w:ascii="Calibri Light" w:hAnsi="Calibri Light"/>
                <w:b w:val="0"/>
              </w:rPr>
            </w:pPr>
            <w:r>
              <w:rPr>
                <w:rFonts w:ascii="Calibri Light" w:hAnsi="Calibri Light"/>
                <w:b w:val="0"/>
              </w:rPr>
              <w:t xml:space="preserve">Además, la CIDH tomó en cuenta que en la decisión de archivar la investigación en sede militar solo se tomaron en cuenta las declaraciones de agentes del Ejército y no </w:t>
            </w:r>
            <w:r w:rsidR="00613D24">
              <w:rPr>
                <w:rFonts w:ascii="Calibri Light" w:hAnsi="Calibri Light"/>
                <w:b w:val="0"/>
              </w:rPr>
              <w:t xml:space="preserve">las </w:t>
            </w:r>
            <w:r>
              <w:rPr>
                <w:rFonts w:ascii="Calibri Light" w:hAnsi="Calibri Light"/>
                <w:b w:val="0"/>
              </w:rPr>
              <w:t xml:space="preserve">de los testigos que señalaban una versión contraria. Además, apuntó como uno de los elementos que evidenciaban falta de diligencia en las investigaciones el hecho de que el expediente originado a partir de la denuncia del hermano del señor Jiménez se perdiera en 1997. Por todo ello, consideró que </w:t>
            </w:r>
            <w:r w:rsidR="00613D24">
              <w:rPr>
                <w:rFonts w:ascii="Calibri Light" w:hAnsi="Calibri Light"/>
                <w:b w:val="0"/>
              </w:rPr>
              <w:t xml:space="preserve">el Estado de México había </w:t>
            </w:r>
            <w:r>
              <w:rPr>
                <w:rFonts w:ascii="Calibri Light" w:hAnsi="Calibri Light"/>
                <w:b w:val="0"/>
              </w:rPr>
              <w:t xml:space="preserve">violado los artículos 8.1 y 25 de la CADH en relación al artículo 1.1, en perjuicio del señor Jiménez. </w:t>
            </w:r>
          </w:p>
          <w:p w14:paraId="3AAF9119" w14:textId="77777777" w:rsidR="00C9455E" w:rsidRPr="00C9455E" w:rsidRDefault="00C9455E" w:rsidP="00C10BC5">
            <w:pPr>
              <w:jc w:val="both"/>
              <w:rPr>
                <w:rFonts w:ascii="Calibri Light" w:hAnsi="Calibri Light"/>
                <w:b w:val="0"/>
              </w:rPr>
            </w:pPr>
          </w:p>
          <w:p w14:paraId="0A2A1BE8" w14:textId="3D49CF90" w:rsidR="008D1B19" w:rsidRPr="008D1B19" w:rsidRDefault="008D1B19" w:rsidP="008D1B19">
            <w:pPr>
              <w:pStyle w:val="ListParagraph"/>
              <w:numPr>
                <w:ilvl w:val="0"/>
                <w:numId w:val="8"/>
              </w:numPr>
              <w:jc w:val="both"/>
              <w:rPr>
                <w:rFonts w:ascii="Calibri Light" w:hAnsi="Calibri Light"/>
              </w:rPr>
            </w:pPr>
            <w:r>
              <w:rPr>
                <w:rFonts w:ascii="Calibri Light" w:hAnsi="Calibri Light"/>
              </w:rPr>
              <w:t>Razonabilidad en el plazo</w:t>
            </w:r>
          </w:p>
          <w:p w14:paraId="605BB1C4" w14:textId="77777777" w:rsidR="008D1B19" w:rsidRDefault="008D1B19" w:rsidP="009F6931">
            <w:pPr>
              <w:jc w:val="both"/>
              <w:rPr>
                <w:rFonts w:ascii="Calibri Light" w:hAnsi="Calibri Light"/>
                <w:b w:val="0"/>
              </w:rPr>
            </w:pPr>
          </w:p>
          <w:p w14:paraId="3A83A96C" w14:textId="76A3F2AF" w:rsidR="0008203A" w:rsidRDefault="0008203A" w:rsidP="009F6931">
            <w:pPr>
              <w:jc w:val="both"/>
              <w:rPr>
                <w:rFonts w:ascii="Calibri Light" w:hAnsi="Calibri Light"/>
                <w:b w:val="0"/>
              </w:rPr>
            </w:pPr>
            <w:r>
              <w:rPr>
                <w:rFonts w:ascii="Calibri Light" w:hAnsi="Calibri Light"/>
                <w:b w:val="0"/>
              </w:rPr>
              <w:t>La Comisión consideró que se había violado el derecho al plazo razonable, en vista de que habían transcurrido 20 años desde que las autoridades tuvieron conocimiento de la muerte del señor Jiménez sin que se hubieran esclarecido los hechos o impuesto las sanciones pertinentes. Igualmente, consideró que ello constituía una violación a los artículos 8.1 y 25 de la CADH, en relación el artículo 1.1.</w:t>
            </w:r>
          </w:p>
          <w:p w14:paraId="570C47AA" w14:textId="77777777" w:rsidR="0008203A" w:rsidRDefault="0008203A" w:rsidP="009F6931">
            <w:pPr>
              <w:jc w:val="both"/>
              <w:rPr>
                <w:rFonts w:ascii="Calibri Light" w:hAnsi="Calibri Light"/>
                <w:b w:val="0"/>
              </w:rPr>
            </w:pPr>
          </w:p>
          <w:p w14:paraId="09F127D4" w14:textId="6DD82747" w:rsidR="00CB180B" w:rsidRDefault="00237E47" w:rsidP="009F6931">
            <w:pPr>
              <w:jc w:val="both"/>
              <w:rPr>
                <w:rFonts w:ascii="Calibri Light" w:hAnsi="Calibri Light"/>
              </w:rPr>
            </w:pPr>
            <w:r>
              <w:rPr>
                <w:rFonts w:ascii="Calibri Light" w:hAnsi="Calibri Light"/>
              </w:rPr>
              <w:t>El d</w:t>
            </w:r>
            <w:r w:rsidR="00CB180B">
              <w:rPr>
                <w:rFonts w:ascii="Calibri Light" w:hAnsi="Calibri Light"/>
              </w:rPr>
              <w:t xml:space="preserve">erecho a la integridad personal </w:t>
            </w:r>
            <w:r>
              <w:rPr>
                <w:rFonts w:ascii="Calibri Light" w:hAnsi="Calibri Light"/>
              </w:rPr>
              <w:t xml:space="preserve">respecto de los familiares </w:t>
            </w:r>
            <w:r w:rsidR="00CB180B">
              <w:rPr>
                <w:rFonts w:ascii="Calibri Light" w:hAnsi="Calibri Light"/>
              </w:rPr>
              <w:t>(artículo 5 de la CADH)</w:t>
            </w:r>
          </w:p>
          <w:p w14:paraId="0AA22069" w14:textId="77777777" w:rsidR="0008203A" w:rsidRDefault="0008203A" w:rsidP="009F6931">
            <w:pPr>
              <w:jc w:val="both"/>
              <w:rPr>
                <w:rFonts w:ascii="Calibri Light" w:hAnsi="Calibri Light"/>
              </w:rPr>
            </w:pPr>
          </w:p>
          <w:p w14:paraId="08C200CA" w14:textId="3AE2BA90" w:rsidR="0008203A" w:rsidRPr="0008203A" w:rsidRDefault="0008203A" w:rsidP="009F6931">
            <w:pPr>
              <w:jc w:val="both"/>
              <w:rPr>
                <w:rFonts w:ascii="Calibri Light" w:hAnsi="Calibri Light"/>
                <w:b w:val="0"/>
              </w:rPr>
            </w:pPr>
            <w:r>
              <w:rPr>
                <w:rFonts w:ascii="Calibri Light" w:hAnsi="Calibri Light"/>
                <w:b w:val="0"/>
              </w:rPr>
              <w:lastRenderedPageBreak/>
              <w:t xml:space="preserve">La integridad psíquica y moral de los familiares de las víctimas puede verse afectada como consecuencia de las situaciones vividas por las víctimas y las omisiones o actuaciones de las autoridades frente a estos hechos. En este caso, </w:t>
            </w:r>
            <w:r w:rsidR="00ED1B65">
              <w:rPr>
                <w:rFonts w:ascii="Calibri Light" w:hAnsi="Calibri Light"/>
                <w:b w:val="0"/>
              </w:rPr>
              <w:t>sumado a</w:t>
            </w:r>
            <w:r>
              <w:rPr>
                <w:rFonts w:ascii="Calibri Light" w:hAnsi="Calibri Light"/>
                <w:b w:val="0"/>
              </w:rPr>
              <w:t xml:space="preserve"> que los familiares presenciaran la muerte del señor Jiménez</w:t>
            </w:r>
            <w:r w:rsidR="00ED1B65">
              <w:rPr>
                <w:rFonts w:ascii="Calibri Light" w:hAnsi="Calibri Light"/>
                <w:b w:val="0"/>
              </w:rPr>
              <w:t>, no existió una investigación completa y efectiva sobre lo ocurrido</w:t>
            </w:r>
            <w:r>
              <w:rPr>
                <w:rFonts w:ascii="Calibri Light" w:hAnsi="Calibri Light"/>
                <w:b w:val="0"/>
              </w:rPr>
              <w:t xml:space="preserve">. Por ello, la Comisión consideró que se había violado el artículo 5.1 de la CADH en relación al artículo 1.1 en perjuicio de los familiares del señor Jiménez. </w:t>
            </w:r>
          </w:p>
          <w:p w14:paraId="5AA471B6" w14:textId="3C0082B8" w:rsidR="00CB180B" w:rsidRPr="00CB180B" w:rsidRDefault="00CB180B" w:rsidP="00CB180B">
            <w:pPr>
              <w:jc w:val="both"/>
              <w:rPr>
                <w:rFonts w:ascii="Calibri Light" w:hAnsi="Calibri Light"/>
                <w:b w:val="0"/>
              </w:rPr>
            </w:pPr>
            <w:r>
              <w:rPr>
                <w:rFonts w:ascii="Calibri Light" w:hAnsi="Calibri Light"/>
                <w:b w:val="0"/>
              </w:rPr>
              <w:t xml:space="preserve"> </w:t>
            </w:r>
          </w:p>
        </w:tc>
      </w:tr>
      <w:tr w:rsidR="005173CF" w:rsidRPr="004533E5" w14:paraId="0FBFBB6F" w14:textId="77777777" w:rsidTr="00A94EE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0A864AFE" w14:textId="77777777" w:rsidR="00AC6F31" w:rsidRDefault="00AC6F31" w:rsidP="00AC6F31">
            <w:pPr>
              <w:pStyle w:val="ListParagraph"/>
              <w:rPr>
                <w:rFonts w:ascii="Calibri Light" w:hAnsi="Calibri Light"/>
              </w:rPr>
            </w:pPr>
          </w:p>
          <w:p w14:paraId="5CF7BA21" w14:textId="6EBC2B75" w:rsidR="005173CF" w:rsidRDefault="007A6C56" w:rsidP="0029671B">
            <w:pPr>
              <w:pStyle w:val="ListParagraph"/>
              <w:numPr>
                <w:ilvl w:val="0"/>
                <w:numId w:val="2"/>
              </w:numPr>
              <w:jc w:val="center"/>
              <w:rPr>
                <w:rFonts w:ascii="Calibri Light" w:hAnsi="Calibri Light"/>
              </w:rPr>
            </w:pPr>
            <w:r w:rsidRPr="004533E5">
              <w:rPr>
                <w:rFonts w:ascii="Calibri Light" w:hAnsi="Calibri Light"/>
              </w:rPr>
              <w:t>Recomendaciones</w:t>
            </w:r>
            <w:r w:rsidR="003B49DA">
              <w:rPr>
                <w:rFonts w:ascii="Calibri Light" w:hAnsi="Calibri Light"/>
              </w:rPr>
              <w:t xml:space="preserve"> de la CIDH al Estado</w:t>
            </w:r>
          </w:p>
          <w:p w14:paraId="510D8BF9" w14:textId="77777777" w:rsidR="00AC6F31" w:rsidRPr="004533E5" w:rsidRDefault="00AC6F31" w:rsidP="00AC6F31">
            <w:pPr>
              <w:pStyle w:val="ListParagraph"/>
              <w:rPr>
                <w:rFonts w:ascii="Calibri Light" w:hAnsi="Calibri Light"/>
              </w:rPr>
            </w:pPr>
          </w:p>
        </w:tc>
      </w:tr>
      <w:tr w:rsidR="007A6C56" w:rsidRPr="004533E5" w14:paraId="3D91AF16" w14:textId="77777777" w:rsidTr="00A94EE7">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6F086D22" w14:textId="77777777" w:rsidR="00613D24" w:rsidRDefault="00613D24" w:rsidP="004B1311">
            <w:pPr>
              <w:pStyle w:val="ListParagraph"/>
              <w:ind w:left="0"/>
              <w:jc w:val="both"/>
              <w:rPr>
                <w:rFonts w:ascii="Calibri Light" w:hAnsi="Calibri Light"/>
                <w:b w:val="0"/>
              </w:rPr>
            </w:pPr>
          </w:p>
          <w:p w14:paraId="2FF9A388" w14:textId="77777777" w:rsidR="00676230" w:rsidRDefault="00243C42" w:rsidP="00243C42">
            <w:pPr>
              <w:pStyle w:val="ListParagraph"/>
              <w:numPr>
                <w:ilvl w:val="0"/>
                <w:numId w:val="4"/>
              </w:numPr>
              <w:jc w:val="both"/>
              <w:rPr>
                <w:rFonts w:ascii="Calibri Light" w:hAnsi="Calibri Light"/>
                <w:b w:val="0"/>
              </w:rPr>
            </w:pPr>
            <w:r>
              <w:rPr>
                <w:rFonts w:ascii="Calibri Light" w:hAnsi="Calibri Light"/>
                <w:b w:val="0"/>
              </w:rPr>
              <w:t xml:space="preserve">Reparar adecuadamente las violaciones de derechos humanos tanto en el aspecto material como moral. Para ello, se deberá tomar en cuenta el daño a la familia del señor Jiménez y los efectos comunitarios de la aplicación del Plan de Campaña Chiapas 1994. </w:t>
            </w:r>
          </w:p>
          <w:p w14:paraId="4E5605F0" w14:textId="77777777" w:rsidR="00243C42" w:rsidRDefault="00243C42" w:rsidP="00243C42">
            <w:pPr>
              <w:pStyle w:val="ListParagraph"/>
              <w:ind w:left="360"/>
              <w:jc w:val="both"/>
              <w:rPr>
                <w:rFonts w:ascii="Calibri Light" w:hAnsi="Calibri Light"/>
                <w:b w:val="0"/>
              </w:rPr>
            </w:pPr>
          </w:p>
          <w:p w14:paraId="3393F620" w14:textId="77777777" w:rsidR="00243C42" w:rsidRDefault="00243C42" w:rsidP="00243C42">
            <w:pPr>
              <w:pStyle w:val="ListParagraph"/>
              <w:numPr>
                <w:ilvl w:val="0"/>
                <w:numId w:val="4"/>
              </w:numPr>
              <w:jc w:val="both"/>
              <w:rPr>
                <w:rFonts w:ascii="Calibri Light" w:hAnsi="Calibri Light"/>
                <w:b w:val="0"/>
              </w:rPr>
            </w:pPr>
            <w:r>
              <w:rPr>
                <w:rFonts w:ascii="Calibri Light" w:hAnsi="Calibri Light"/>
                <w:b w:val="0"/>
              </w:rPr>
              <w:t xml:space="preserve">Realizar una investigación imparcial, efectiva y dentro de un plazo razonable para esclarecer los hechos, identificar a los autores intelectuales y materiales, e imponer las sanciones que correspondan respecto a las violaciones de derechos humanos cometidas. En el marco de la investigación, se debe esclarecer el contexto en que tuvieron lugar los hechos del caso. </w:t>
            </w:r>
          </w:p>
          <w:p w14:paraId="77C8C6B2" w14:textId="77777777" w:rsidR="00243C42" w:rsidRPr="00243C42" w:rsidRDefault="00243C42" w:rsidP="00243C42">
            <w:pPr>
              <w:pStyle w:val="ListParagraph"/>
              <w:rPr>
                <w:rFonts w:ascii="Calibri Light" w:hAnsi="Calibri Light"/>
              </w:rPr>
            </w:pPr>
          </w:p>
          <w:p w14:paraId="552E99A2" w14:textId="20F1996B" w:rsidR="00243C42" w:rsidRDefault="00243C42" w:rsidP="00243C42">
            <w:pPr>
              <w:pStyle w:val="ListParagraph"/>
              <w:numPr>
                <w:ilvl w:val="0"/>
                <w:numId w:val="4"/>
              </w:numPr>
              <w:jc w:val="both"/>
              <w:rPr>
                <w:rFonts w:ascii="Calibri Light" w:hAnsi="Calibri Light"/>
                <w:b w:val="0"/>
              </w:rPr>
            </w:pPr>
            <w:r>
              <w:rPr>
                <w:rFonts w:ascii="Calibri Light" w:hAnsi="Calibri Light"/>
                <w:b w:val="0"/>
              </w:rPr>
              <w:t>Disponer las medidas administrativas, disciplinarias o penales correspondientes frente a las acciones u omisiones de los funcionarios estatales que contribuyeron a la denegación de justicia e impunidad</w:t>
            </w:r>
            <w:r w:rsidR="00826869">
              <w:rPr>
                <w:rFonts w:ascii="Calibri Light" w:hAnsi="Calibri Light"/>
                <w:b w:val="0"/>
              </w:rPr>
              <w:t xml:space="preserve"> existente en el caso</w:t>
            </w:r>
            <w:r>
              <w:rPr>
                <w:rFonts w:ascii="Calibri Light" w:hAnsi="Calibri Light"/>
                <w:b w:val="0"/>
              </w:rPr>
              <w:t xml:space="preserve">. </w:t>
            </w:r>
          </w:p>
          <w:p w14:paraId="55908905" w14:textId="77777777" w:rsidR="00243C42" w:rsidRPr="00243C42" w:rsidRDefault="00243C42" w:rsidP="00243C42">
            <w:pPr>
              <w:pStyle w:val="ListParagraph"/>
              <w:rPr>
                <w:rFonts w:ascii="Calibri Light" w:hAnsi="Calibri Light"/>
              </w:rPr>
            </w:pPr>
          </w:p>
          <w:p w14:paraId="35A6A83A" w14:textId="16447C57" w:rsidR="00243C42" w:rsidRDefault="00243C42" w:rsidP="00243C42">
            <w:pPr>
              <w:pStyle w:val="ListParagraph"/>
              <w:numPr>
                <w:ilvl w:val="0"/>
                <w:numId w:val="4"/>
              </w:numPr>
              <w:jc w:val="both"/>
              <w:rPr>
                <w:rFonts w:ascii="Calibri Light" w:hAnsi="Calibri Light"/>
                <w:b w:val="0"/>
              </w:rPr>
            </w:pPr>
            <w:r>
              <w:rPr>
                <w:rFonts w:ascii="Calibri Light" w:hAnsi="Calibri Light"/>
                <w:b w:val="0"/>
              </w:rPr>
              <w:t>Adoptar medidas de no repetición</w:t>
            </w:r>
            <w:r w:rsidR="00826869">
              <w:rPr>
                <w:rFonts w:ascii="Calibri Light" w:hAnsi="Calibri Light"/>
                <w:b w:val="0"/>
              </w:rPr>
              <w:t>,</w:t>
            </w:r>
            <w:r>
              <w:rPr>
                <w:rFonts w:ascii="Calibri Light" w:hAnsi="Calibri Light"/>
                <w:b w:val="0"/>
              </w:rPr>
              <w:t xml:space="preserve"> que incluyan medidas legislativas, administrativas y de cualquier otra índole</w:t>
            </w:r>
            <w:r w:rsidR="00826869">
              <w:rPr>
                <w:rFonts w:ascii="Calibri Light" w:hAnsi="Calibri Light"/>
                <w:b w:val="0"/>
              </w:rPr>
              <w:t>,</w:t>
            </w:r>
            <w:r>
              <w:rPr>
                <w:rFonts w:ascii="Calibri Light" w:hAnsi="Calibri Light"/>
                <w:b w:val="0"/>
              </w:rPr>
              <w:t xml:space="preserve"> con la finalidad de asegurar que el uso de la fuerza por parte de agentes estatales sea compatible con los estándares </w:t>
            </w:r>
            <w:r w:rsidR="00826869">
              <w:rPr>
                <w:rFonts w:ascii="Calibri Light" w:hAnsi="Calibri Light"/>
                <w:b w:val="0"/>
              </w:rPr>
              <w:t xml:space="preserve">establecidos en el </w:t>
            </w:r>
            <w:r>
              <w:rPr>
                <w:rFonts w:ascii="Calibri Light" w:hAnsi="Calibri Light"/>
                <w:b w:val="0"/>
              </w:rPr>
              <w:t xml:space="preserve">informe. </w:t>
            </w:r>
          </w:p>
          <w:p w14:paraId="49863AFC" w14:textId="2525BB6C" w:rsidR="00243C42" w:rsidRPr="004533E5" w:rsidRDefault="00243C42" w:rsidP="00243C42">
            <w:pPr>
              <w:pStyle w:val="ListParagraph"/>
              <w:ind w:left="360"/>
              <w:jc w:val="both"/>
              <w:rPr>
                <w:rFonts w:ascii="Calibri Light" w:hAnsi="Calibri Light"/>
                <w:b w:val="0"/>
              </w:rPr>
            </w:pPr>
          </w:p>
        </w:tc>
      </w:tr>
      <w:tr w:rsidR="00F464EC" w:rsidRPr="004533E5" w14:paraId="0B7CC98E" w14:textId="77777777" w:rsidTr="00A94EE7">
        <w:trPr>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66CFB853" w14:textId="77777777" w:rsidR="00F464EC" w:rsidRDefault="00F464EC" w:rsidP="00F464EC">
            <w:pPr>
              <w:pStyle w:val="ListParagraph"/>
              <w:spacing w:after="200" w:line="276" w:lineRule="auto"/>
              <w:rPr>
                <w:rFonts w:ascii="Calibri Light" w:hAnsi="Calibri Light"/>
              </w:rPr>
            </w:pPr>
          </w:p>
          <w:p w14:paraId="7B045F14" w14:textId="2270E615" w:rsidR="00F464EC" w:rsidRDefault="00F464EC" w:rsidP="00F464EC">
            <w:pPr>
              <w:pStyle w:val="ListParagraph"/>
              <w:numPr>
                <w:ilvl w:val="0"/>
                <w:numId w:val="2"/>
              </w:numPr>
              <w:spacing w:after="200" w:line="276" w:lineRule="auto"/>
              <w:jc w:val="center"/>
              <w:rPr>
                <w:rFonts w:ascii="Calibri Light" w:hAnsi="Calibri Light"/>
              </w:rPr>
            </w:pPr>
            <w:r>
              <w:rPr>
                <w:rFonts w:ascii="Calibri Light" w:hAnsi="Calibri Light"/>
              </w:rPr>
              <w:t>Análisis de cumplimiento de las recomendaciones</w:t>
            </w:r>
          </w:p>
          <w:p w14:paraId="3C93C1C0" w14:textId="77777777" w:rsidR="00F464EC" w:rsidRDefault="00F464EC" w:rsidP="00F464EC">
            <w:pPr>
              <w:pStyle w:val="ListParagraph"/>
              <w:ind w:left="0"/>
              <w:jc w:val="center"/>
              <w:rPr>
                <w:rFonts w:ascii="Calibri Light" w:hAnsi="Calibri Light"/>
                <w:b w:val="0"/>
              </w:rPr>
            </w:pPr>
          </w:p>
        </w:tc>
      </w:tr>
      <w:tr w:rsidR="00F464EC" w:rsidRPr="004533E5" w14:paraId="41FA15A1" w14:textId="77777777" w:rsidTr="00A94EE7">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4AAFA1A0" w14:textId="77777777" w:rsidR="00F464EC" w:rsidRDefault="00F464EC" w:rsidP="004B1311">
            <w:pPr>
              <w:pStyle w:val="ListParagraph"/>
              <w:ind w:left="0"/>
              <w:jc w:val="both"/>
              <w:rPr>
                <w:rFonts w:ascii="Calibri Light" w:hAnsi="Calibri Light"/>
                <w:b w:val="0"/>
              </w:rPr>
            </w:pPr>
          </w:p>
          <w:p w14:paraId="59C6DB00" w14:textId="77777777" w:rsidR="00826869" w:rsidRDefault="00826869" w:rsidP="00826869">
            <w:pPr>
              <w:pStyle w:val="ListParagraph"/>
              <w:ind w:left="0"/>
              <w:jc w:val="center"/>
              <w:rPr>
                <w:rFonts w:ascii="Calibri Light" w:hAnsi="Calibri Light"/>
                <w:b w:val="0"/>
              </w:rPr>
            </w:pPr>
            <w:r w:rsidRPr="00826869">
              <w:rPr>
                <w:rFonts w:ascii="Calibri Light" w:hAnsi="Calibri Light"/>
                <w:b w:val="0"/>
              </w:rPr>
              <w:t>-</w:t>
            </w:r>
          </w:p>
          <w:p w14:paraId="1F3EA985" w14:textId="4ED84473" w:rsidR="00826869" w:rsidRDefault="00826869" w:rsidP="00826869">
            <w:pPr>
              <w:pStyle w:val="ListParagraph"/>
              <w:ind w:left="0"/>
              <w:jc w:val="center"/>
              <w:rPr>
                <w:rFonts w:ascii="Calibri Light" w:hAnsi="Calibri Light"/>
                <w:b w:val="0"/>
              </w:rPr>
            </w:pPr>
          </w:p>
        </w:tc>
      </w:tr>
    </w:tbl>
    <w:p w14:paraId="23A9A3C3" w14:textId="77777777" w:rsidR="00714E42" w:rsidRDefault="00714E42" w:rsidP="00A65231"/>
    <w:sectPr w:rsidR="00714E42" w:rsidSect="00A65231">
      <w:footerReference w:type="default" r:id="rId13"/>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3C9D6" w14:textId="77777777" w:rsidR="00445926" w:rsidRDefault="00445926" w:rsidP="00A65231">
      <w:pPr>
        <w:spacing w:after="0" w:line="240" w:lineRule="auto"/>
      </w:pPr>
      <w:r>
        <w:separator/>
      </w:r>
    </w:p>
  </w:endnote>
  <w:endnote w:type="continuationSeparator" w:id="0">
    <w:p w14:paraId="43138267" w14:textId="77777777" w:rsidR="00445926" w:rsidRDefault="00445926" w:rsidP="00A6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71937"/>
      <w:docPartObj>
        <w:docPartGallery w:val="Page Numbers (Bottom of Page)"/>
        <w:docPartUnique/>
      </w:docPartObj>
    </w:sdtPr>
    <w:sdtEndPr/>
    <w:sdtContent>
      <w:p w14:paraId="23A746CC" w14:textId="77777777" w:rsidR="0008203A" w:rsidRDefault="0008203A">
        <w:pPr>
          <w:pStyle w:val="Footer"/>
          <w:jc w:val="right"/>
        </w:pPr>
        <w:r>
          <w:fldChar w:fldCharType="begin"/>
        </w:r>
        <w:r>
          <w:instrText>PAGE   \* MERGEFORMAT</w:instrText>
        </w:r>
        <w:r>
          <w:fldChar w:fldCharType="separate"/>
        </w:r>
        <w:r w:rsidR="009454BA" w:rsidRPr="009454BA">
          <w:rPr>
            <w:noProof/>
            <w:lang w:val="es-ES"/>
          </w:rPr>
          <w:t>5</w:t>
        </w:r>
        <w:r>
          <w:fldChar w:fldCharType="end"/>
        </w:r>
      </w:p>
    </w:sdtContent>
  </w:sdt>
  <w:p w14:paraId="6353BB13" w14:textId="77777777" w:rsidR="0008203A" w:rsidRDefault="00082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83566" w14:textId="77777777" w:rsidR="00445926" w:rsidRDefault="00445926" w:rsidP="00A65231">
      <w:pPr>
        <w:spacing w:after="0" w:line="240" w:lineRule="auto"/>
      </w:pPr>
      <w:r>
        <w:separator/>
      </w:r>
    </w:p>
  </w:footnote>
  <w:footnote w:type="continuationSeparator" w:id="0">
    <w:p w14:paraId="3DCE2224" w14:textId="77777777" w:rsidR="00445926" w:rsidRDefault="00445926" w:rsidP="00A6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A5EBA"/>
    <w:multiLevelType w:val="hybridMultilevel"/>
    <w:tmpl w:val="39DE7A64"/>
    <w:lvl w:ilvl="0" w:tplc="F208B1FA">
      <w:start w:val="1"/>
      <w:numFmt w:val="decimal"/>
      <w:lvlText w:val="%1."/>
      <w:lvlJc w:val="left"/>
      <w:pPr>
        <w:ind w:left="360" w:hanging="360"/>
      </w:pPr>
      <w:rPr>
        <w:rFonts w:ascii="Calibri Light" w:hAnsi="Calibri Light"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3D81334F"/>
    <w:multiLevelType w:val="hybridMultilevel"/>
    <w:tmpl w:val="66322A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05A010C"/>
    <w:multiLevelType w:val="hybridMultilevel"/>
    <w:tmpl w:val="F280DE6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45046FB2"/>
    <w:multiLevelType w:val="hybridMultilevel"/>
    <w:tmpl w:val="7BB2EC6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4B3C6EF6"/>
    <w:multiLevelType w:val="hybridMultilevel"/>
    <w:tmpl w:val="4C3AB1B8"/>
    <w:lvl w:ilvl="0" w:tplc="0246725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11A22F4"/>
    <w:multiLevelType w:val="hybridMultilevel"/>
    <w:tmpl w:val="C1A0C3EA"/>
    <w:lvl w:ilvl="0" w:tplc="080A0013">
      <w:start w:val="1"/>
      <w:numFmt w:val="upperRoman"/>
      <w:lvlText w:val="%1."/>
      <w:lvlJc w:val="right"/>
      <w:pPr>
        <w:ind w:left="720" w:hanging="18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1BF0003"/>
    <w:multiLevelType w:val="hybridMultilevel"/>
    <w:tmpl w:val="2ECCC9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79742C6C"/>
    <w:multiLevelType w:val="hybridMultilevel"/>
    <w:tmpl w:val="51F8012A"/>
    <w:lvl w:ilvl="0" w:tplc="1DEC523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3"/>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359"/>
    <w:rsid w:val="0008203A"/>
    <w:rsid w:val="000C18F7"/>
    <w:rsid w:val="000C2ED1"/>
    <w:rsid w:val="000C5A72"/>
    <w:rsid w:val="000D3CF2"/>
    <w:rsid w:val="000E0E17"/>
    <w:rsid w:val="000F2C70"/>
    <w:rsid w:val="001077C9"/>
    <w:rsid w:val="001A14F7"/>
    <w:rsid w:val="001C28EC"/>
    <w:rsid w:val="00212F62"/>
    <w:rsid w:val="00213757"/>
    <w:rsid w:val="00220B75"/>
    <w:rsid w:val="00237E09"/>
    <w:rsid w:val="00237E47"/>
    <w:rsid w:val="00243C42"/>
    <w:rsid w:val="0029049D"/>
    <w:rsid w:val="0029671B"/>
    <w:rsid w:val="002C4CED"/>
    <w:rsid w:val="002D7F8F"/>
    <w:rsid w:val="003111DB"/>
    <w:rsid w:val="00317EE5"/>
    <w:rsid w:val="003920AF"/>
    <w:rsid w:val="003B49DA"/>
    <w:rsid w:val="003C5D84"/>
    <w:rsid w:val="003E2B29"/>
    <w:rsid w:val="003E6AB8"/>
    <w:rsid w:val="00411A74"/>
    <w:rsid w:val="00421D6C"/>
    <w:rsid w:val="004419E8"/>
    <w:rsid w:val="00445926"/>
    <w:rsid w:val="00450A0F"/>
    <w:rsid w:val="00450C95"/>
    <w:rsid w:val="00451809"/>
    <w:rsid w:val="00452AA6"/>
    <w:rsid w:val="004533E5"/>
    <w:rsid w:val="00464CAC"/>
    <w:rsid w:val="004858A8"/>
    <w:rsid w:val="004861D8"/>
    <w:rsid w:val="004B1311"/>
    <w:rsid w:val="004E678F"/>
    <w:rsid w:val="004F061A"/>
    <w:rsid w:val="005173CF"/>
    <w:rsid w:val="00557C90"/>
    <w:rsid w:val="00561359"/>
    <w:rsid w:val="005C3229"/>
    <w:rsid w:val="005D4FDF"/>
    <w:rsid w:val="00613D24"/>
    <w:rsid w:val="006407DD"/>
    <w:rsid w:val="00676230"/>
    <w:rsid w:val="006853B3"/>
    <w:rsid w:val="00685F04"/>
    <w:rsid w:val="006A3F5E"/>
    <w:rsid w:val="006D488A"/>
    <w:rsid w:val="00714E42"/>
    <w:rsid w:val="0073272E"/>
    <w:rsid w:val="00733E0F"/>
    <w:rsid w:val="00747E22"/>
    <w:rsid w:val="007572E9"/>
    <w:rsid w:val="0079477F"/>
    <w:rsid w:val="007A6C56"/>
    <w:rsid w:val="007B39E9"/>
    <w:rsid w:val="007B7ED8"/>
    <w:rsid w:val="007E382B"/>
    <w:rsid w:val="008036E7"/>
    <w:rsid w:val="00803879"/>
    <w:rsid w:val="00813143"/>
    <w:rsid w:val="00826869"/>
    <w:rsid w:val="00835985"/>
    <w:rsid w:val="00841B0E"/>
    <w:rsid w:val="00850A45"/>
    <w:rsid w:val="00866A4D"/>
    <w:rsid w:val="00871530"/>
    <w:rsid w:val="008D1B19"/>
    <w:rsid w:val="0090367F"/>
    <w:rsid w:val="00931244"/>
    <w:rsid w:val="009363AD"/>
    <w:rsid w:val="009454BA"/>
    <w:rsid w:val="00947173"/>
    <w:rsid w:val="00954E20"/>
    <w:rsid w:val="00975D0F"/>
    <w:rsid w:val="00993B33"/>
    <w:rsid w:val="00996958"/>
    <w:rsid w:val="009978DE"/>
    <w:rsid w:val="009A5B47"/>
    <w:rsid w:val="009B0A86"/>
    <w:rsid w:val="009C2C05"/>
    <w:rsid w:val="009D5BD6"/>
    <w:rsid w:val="009F6931"/>
    <w:rsid w:val="00A133CC"/>
    <w:rsid w:val="00A271BF"/>
    <w:rsid w:val="00A4435A"/>
    <w:rsid w:val="00A5581A"/>
    <w:rsid w:val="00A65231"/>
    <w:rsid w:val="00A85413"/>
    <w:rsid w:val="00A85DC9"/>
    <w:rsid w:val="00A91B24"/>
    <w:rsid w:val="00A94EE7"/>
    <w:rsid w:val="00AC5A6A"/>
    <w:rsid w:val="00AC6F31"/>
    <w:rsid w:val="00AE31D9"/>
    <w:rsid w:val="00B07E72"/>
    <w:rsid w:val="00B6265F"/>
    <w:rsid w:val="00B71B8C"/>
    <w:rsid w:val="00B771B5"/>
    <w:rsid w:val="00B93CB9"/>
    <w:rsid w:val="00BB61C6"/>
    <w:rsid w:val="00BD48E5"/>
    <w:rsid w:val="00BE6FA1"/>
    <w:rsid w:val="00BF2A00"/>
    <w:rsid w:val="00C10BC5"/>
    <w:rsid w:val="00C31DFF"/>
    <w:rsid w:val="00C63B25"/>
    <w:rsid w:val="00C72CF5"/>
    <w:rsid w:val="00C9455E"/>
    <w:rsid w:val="00CB180B"/>
    <w:rsid w:val="00CC28C0"/>
    <w:rsid w:val="00CC717F"/>
    <w:rsid w:val="00CF2D40"/>
    <w:rsid w:val="00D0696E"/>
    <w:rsid w:val="00D10449"/>
    <w:rsid w:val="00DD3C7C"/>
    <w:rsid w:val="00DF2AFB"/>
    <w:rsid w:val="00E35FF7"/>
    <w:rsid w:val="00E82999"/>
    <w:rsid w:val="00EC4E9F"/>
    <w:rsid w:val="00ED1B65"/>
    <w:rsid w:val="00F06184"/>
    <w:rsid w:val="00F35633"/>
    <w:rsid w:val="00F464EC"/>
    <w:rsid w:val="00F53444"/>
    <w:rsid w:val="00F55CD0"/>
    <w:rsid w:val="00F725A5"/>
    <w:rsid w:val="00F83405"/>
    <w:rsid w:val="00F83655"/>
    <w:rsid w:val="00FB0F60"/>
    <w:rsid w:val="00FB1A15"/>
    <w:rsid w:val="00FB1D17"/>
    <w:rsid w:val="00FE2BA4"/>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7F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59"/>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359"/>
    <w:pPr>
      <w:tabs>
        <w:tab w:val="center" w:pos="4419"/>
        <w:tab w:val="right" w:pos="8838"/>
      </w:tabs>
      <w:spacing w:after="0" w:line="240" w:lineRule="auto"/>
    </w:pPr>
  </w:style>
  <w:style w:type="character" w:customStyle="1" w:styleId="HeaderChar">
    <w:name w:val="Header Char"/>
    <w:basedOn w:val="DefaultParagraphFont"/>
    <w:link w:val="Header"/>
    <w:uiPriority w:val="99"/>
    <w:rsid w:val="00561359"/>
    <w:rPr>
      <w:rFonts w:ascii="Calibri" w:eastAsia="Calibri" w:hAnsi="Calibri" w:cs="Times New Roman"/>
      <w:lang w:val="es-MX"/>
    </w:rPr>
  </w:style>
  <w:style w:type="table" w:styleId="TableGrid">
    <w:name w:val="Table Grid"/>
    <w:basedOn w:val="TableNormal"/>
    <w:uiPriority w:val="59"/>
    <w:rsid w:val="0051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173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5173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5173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Accent3">
    <w:name w:val="Medium Grid 1 Accent 3"/>
    <w:basedOn w:val="TableNormal"/>
    <w:uiPriority w:val="67"/>
    <w:rsid w:val="005173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1">
    <w:name w:val="Medium Grid 1 Accent 1"/>
    <w:basedOn w:val="TableNormal"/>
    <w:uiPriority w:val="67"/>
    <w:rsid w:val="005173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7A6C56"/>
    <w:pPr>
      <w:ind w:left="720"/>
      <w:contextualSpacing/>
    </w:pPr>
  </w:style>
  <w:style w:type="paragraph" w:styleId="Footer">
    <w:name w:val="footer"/>
    <w:basedOn w:val="Normal"/>
    <w:link w:val="FooterChar"/>
    <w:uiPriority w:val="99"/>
    <w:unhideWhenUsed/>
    <w:rsid w:val="00A65231"/>
    <w:pPr>
      <w:tabs>
        <w:tab w:val="center" w:pos="4419"/>
        <w:tab w:val="right" w:pos="8838"/>
      </w:tabs>
      <w:spacing w:after="0" w:line="240" w:lineRule="auto"/>
    </w:pPr>
  </w:style>
  <w:style w:type="character" w:customStyle="1" w:styleId="FooterChar">
    <w:name w:val="Footer Char"/>
    <w:basedOn w:val="DefaultParagraphFont"/>
    <w:link w:val="Footer"/>
    <w:uiPriority w:val="99"/>
    <w:rsid w:val="00A65231"/>
    <w:rPr>
      <w:rFonts w:ascii="Calibri" w:eastAsia="Calibri" w:hAnsi="Calibri" w:cs="Times New Roman"/>
      <w:lang w:val="es-MX"/>
    </w:rPr>
  </w:style>
  <w:style w:type="paragraph" w:styleId="BalloonText">
    <w:name w:val="Balloon Text"/>
    <w:basedOn w:val="Normal"/>
    <w:link w:val="BalloonTextChar"/>
    <w:uiPriority w:val="99"/>
    <w:semiHidden/>
    <w:unhideWhenUsed/>
    <w:rsid w:val="00954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E20"/>
    <w:rPr>
      <w:rFonts w:ascii="Tahoma" w:eastAsia="Calibri" w:hAnsi="Tahoma" w:cs="Tahoma"/>
      <w:sz w:val="16"/>
      <w:szCs w:val="16"/>
      <w:lang w:val="es-MX"/>
    </w:rPr>
  </w:style>
  <w:style w:type="table" w:customStyle="1" w:styleId="Tabladelista2-nfasis11">
    <w:name w:val="Tabla de lista 2 - Énfasis 11"/>
    <w:basedOn w:val="TableNormal"/>
    <w:uiPriority w:val="47"/>
    <w:rsid w:val="007B7ED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06184"/>
    <w:rPr>
      <w:sz w:val="18"/>
      <w:szCs w:val="18"/>
    </w:rPr>
  </w:style>
  <w:style w:type="paragraph" w:styleId="CommentText">
    <w:name w:val="annotation text"/>
    <w:basedOn w:val="Normal"/>
    <w:link w:val="CommentTextChar"/>
    <w:uiPriority w:val="99"/>
    <w:semiHidden/>
    <w:unhideWhenUsed/>
    <w:rsid w:val="00F06184"/>
    <w:pPr>
      <w:spacing w:line="240" w:lineRule="auto"/>
    </w:pPr>
    <w:rPr>
      <w:sz w:val="24"/>
      <w:szCs w:val="24"/>
    </w:rPr>
  </w:style>
  <w:style w:type="character" w:customStyle="1" w:styleId="CommentTextChar">
    <w:name w:val="Comment Text Char"/>
    <w:basedOn w:val="DefaultParagraphFont"/>
    <w:link w:val="CommentText"/>
    <w:uiPriority w:val="99"/>
    <w:semiHidden/>
    <w:rsid w:val="00F06184"/>
    <w:rPr>
      <w:rFonts w:ascii="Calibri" w:eastAsia="Calibri" w:hAnsi="Calibri" w:cs="Times New Roman"/>
      <w:sz w:val="24"/>
      <w:szCs w:val="24"/>
      <w:lang w:val="es-MX"/>
    </w:rPr>
  </w:style>
  <w:style w:type="paragraph" w:styleId="CommentSubject">
    <w:name w:val="annotation subject"/>
    <w:basedOn w:val="CommentText"/>
    <w:next w:val="CommentText"/>
    <w:link w:val="CommentSubjectChar"/>
    <w:uiPriority w:val="99"/>
    <w:semiHidden/>
    <w:unhideWhenUsed/>
    <w:rsid w:val="00F06184"/>
    <w:rPr>
      <w:b/>
      <w:bCs/>
      <w:sz w:val="20"/>
      <w:szCs w:val="20"/>
    </w:rPr>
  </w:style>
  <w:style w:type="character" w:customStyle="1" w:styleId="CommentSubjectChar">
    <w:name w:val="Comment Subject Char"/>
    <w:basedOn w:val="CommentTextChar"/>
    <w:link w:val="CommentSubject"/>
    <w:uiPriority w:val="99"/>
    <w:semiHidden/>
    <w:rsid w:val="00F06184"/>
    <w:rPr>
      <w:rFonts w:ascii="Calibri" w:eastAsia="Calibri" w:hAnsi="Calibri" w:cs="Times New Roman"/>
      <w:b/>
      <w:bCs/>
      <w:sz w:val="20"/>
      <w:szCs w:val="20"/>
      <w:lang w:val="es-MX"/>
    </w:rPr>
  </w:style>
  <w:style w:type="character" w:styleId="Hyperlink">
    <w:name w:val="Hyperlink"/>
    <w:basedOn w:val="DefaultParagraphFont"/>
    <w:uiPriority w:val="99"/>
    <w:unhideWhenUsed/>
    <w:rsid w:val="001077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2016/MXPU11564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EA494-30F8-4B2B-A10F-3B2584F4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2132</Words>
  <Characters>12154</Characters>
  <Application>Microsoft Office Word</Application>
  <DocSecurity>0</DocSecurity>
  <Lines>101</Lines>
  <Paragraphs>28</Paragraphs>
  <ScaleCrop>false</ScaleCrop>
  <Company/>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2021-02-11T09:50:00Z</dcterms:created>
  <dcterms:modified xsi:type="dcterms:W3CDTF">2021-02-11T09:50:00Z</dcterms:modified>
</cp:coreProperties>
</file>