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77050" w14:textId="77777777" w:rsidR="004D317C" w:rsidRDefault="004D317C" w:rsidP="004D317C">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0D6616AE" wp14:editId="2080D3AD">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09454BBF" wp14:editId="4277A532">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03093B98" wp14:editId="143FF430">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C7AB0" w14:textId="77777777" w:rsidR="004D317C" w:rsidRPr="00411A74" w:rsidRDefault="004D317C" w:rsidP="004D317C">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48EB92AB" w14:textId="77777777" w:rsidR="009038E5" w:rsidRPr="004D317C" w:rsidRDefault="004D317C" w:rsidP="004D317C">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r w:rsidR="006F7027" w:rsidRPr="009B7C6C">
        <w:rPr>
          <w:rFonts w:ascii="Calibri Light" w:hAnsi="Calibri Light"/>
          <w:b/>
          <w:i/>
        </w:rPr>
        <w:br/>
      </w:r>
    </w:p>
    <w:tbl>
      <w:tblPr>
        <w:tblStyle w:val="a"/>
        <w:tblW w:w="8505" w:type="dxa"/>
        <w:tblInd w:w="0" w:type="dxa"/>
        <w:tblBorders>
          <w:top w:val="single" w:sz="4" w:space="0" w:color="9CC3E5"/>
          <w:bottom w:val="single" w:sz="4" w:space="0" w:color="9CC3E5"/>
          <w:insideH w:val="single" w:sz="4" w:space="0" w:color="9CC3E5"/>
        </w:tblBorders>
        <w:tblLayout w:type="fixed"/>
        <w:tblLook w:val="04A0" w:firstRow="1" w:lastRow="0" w:firstColumn="1" w:lastColumn="0" w:noHBand="0" w:noVBand="1"/>
      </w:tblPr>
      <w:tblGrid>
        <w:gridCol w:w="3587"/>
        <w:gridCol w:w="2343"/>
        <w:gridCol w:w="2575"/>
      </w:tblGrid>
      <w:tr w:rsidR="009038E5" w:rsidRPr="009B7C6C" w14:paraId="540BE31C" w14:textId="77777777" w:rsidTr="009038E5">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505" w:type="dxa"/>
            <w:gridSpan w:val="3"/>
          </w:tcPr>
          <w:p w14:paraId="10669712"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4ABE4510" w14:textId="77777777" w:rsidR="009038E5" w:rsidRPr="009B7C6C" w:rsidRDefault="008063DA">
            <w:pPr>
              <w:numPr>
                <w:ilvl w:val="0"/>
                <w:numId w:val="3"/>
              </w:numPr>
              <w:pBdr>
                <w:top w:val="nil"/>
                <w:left w:val="nil"/>
                <w:bottom w:val="nil"/>
                <w:right w:val="nil"/>
                <w:between w:val="nil"/>
              </w:pBdr>
              <w:contextualSpacing/>
              <w:jc w:val="center"/>
              <w:rPr>
                <w:rFonts w:ascii="Calibri Light" w:hAnsi="Calibri Light"/>
                <w:color w:val="000000"/>
              </w:rPr>
            </w:pPr>
            <w:r w:rsidRPr="009B7C6C">
              <w:rPr>
                <w:rFonts w:ascii="Calibri Light" w:hAnsi="Calibri Light"/>
                <w:color w:val="000000"/>
              </w:rPr>
              <w:t>Datos generales</w:t>
            </w:r>
          </w:p>
          <w:p w14:paraId="006C4125" w14:textId="77777777" w:rsidR="009038E5" w:rsidRPr="009B7C6C" w:rsidRDefault="009038E5">
            <w:pPr>
              <w:pBdr>
                <w:top w:val="nil"/>
                <w:left w:val="nil"/>
                <w:bottom w:val="nil"/>
                <w:right w:val="nil"/>
                <w:between w:val="nil"/>
              </w:pBdr>
              <w:ind w:left="720" w:hanging="720"/>
              <w:rPr>
                <w:rFonts w:ascii="Calibri Light" w:hAnsi="Calibri Light"/>
                <w:color w:val="000000"/>
              </w:rPr>
            </w:pPr>
          </w:p>
        </w:tc>
      </w:tr>
      <w:tr w:rsidR="009038E5" w:rsidRPr="009B7C6C" w14:paraId="433EFEDE" w14:textId="77777777" w:rsidTr="009038E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87" w:type="dxa"/>
          </w:tcPr>
          <w:p w14:paraId="67148BA0" w14:textId="77777777" w:rsidR="009038E5" w:rsidRPr="009B7C6C" w:rsidRDefault="008063DA" w:rsidP="00A05852">
            <w:pPr>
              <w:numPr>
                <w:ilvl w:val="0"/>
                <w:numId w:val="4"/>
              </w:numPr>
              <w:pBdr>
                <w:top w:val="nil"/>
                <w:left w:val="nil"/>
                <w:bottom w:val="nil"/>
                <w:right w:val="nil"/>
                <w:between w:val="nil"/>
              </w:pBdr>
              <w:contextualSpacing/>
              <w:jc w:val="both"/>
              <w:rPr>
                <w:rFonts w:ascii="Calibri Light" w:hAnsi="Calibri Light"/>
                <w:color w:val="000000"/>
              </w:rPr>
            </w:pPr>
            <w:r w:rsidRPr="009B7C6C">
              <w:rPr>
                <w:rFonts w:ascii="Calibri Light" w:hAnsi="Calibri Light"/>
                <w:color w:val="000000"/>
              </w:rPr>
              <w:t>Nombre del caso</w:t>
            </w:r>
          </w:p>
        </w:tc>
        <w:tc>
          <w:tcPr>
            <w:tcW w:w="4918" w:type="dxa"/>
            <w:gridSpan w:val="2"/>
          </w:tcPr>
          <w:p w14:paraId="1A3D785B" w14:textId="77777777" w:rsidR="009038E5" w:rsidRPr="009B7C6C" w:rsidRDefault="008063DA" w:rsidP="00A0585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9B7C6C">
              <w:rPr>
                <w:rFonts w:ascii="Calibri Light" w:hAnsi="Calibri Light"/>
              </w:rPr>
              <w:t>María Laura Órdenes Guerra y otros</w:t>
            </w:r>
            <w:r w:rsidR="00525B85">
              <w:rPr>
                <w:rFonts w:ascii="Calibri Light" w:hAnsi="Calibri Light"/>
              </w:rPr>
              <w:t>,</w:t>
            </w:r>
            <w:r w:rsidRPr="009B7C6C">
              <w:rPr>
                <w:rFonts w:ascii="Calibri Light" w:hAnsi="Calibri Light"/>
              </w:rPr>
              <w:t xml:space="preserve"> Chile</w:t>
            </w:r>
          </w:p>
        </w:tc>
      </w:tr>
      <w:tr w:rsidR="009038E5" w:rsidRPr="009B7C6C" w14:paraId="26AA387B" w14:textId="77777777" w:rsidTr="009038E5">
        <w:trPr>
          <w:trHeight w:val="260"/>
        </w:trPr>
        <w:tc>
          <w:tcPr>
            <w:cnfStyle w:val="001000000000" w:firstRow="0" w:lastRow="0" w:firstColumn="1" w:lastColumn="0" w:oddVBand="0" w:evenVBand="0" w:oddHBand="0" w:evenHBand="0" w:firstRowFirstColumn="0" w:firstRowLastColumn="0" w:lastRowFirstColumn="0" w:lastRowLastColumn="0"/>
            <w:tcW w:w="3587" w:type="dxa"/>
          </w:tcPr>
          <w:p w14:paraId="62C4733F" w14:textId="77777777" w:rsidR="009038E5" w:rsidRPr="009B7C6C" w:rsidRDefault="00525B85" w:rsidP="00A05852">
            <w:pPr>
              <w:numPr>
                <w:ilvl w:val="0"/>
                <w:numId w:val="4"/>
              </w:numPr>
              <w:pBdr>
                <w:top w:val="nil"/>
                <w:left w:val="nil"/>
                <w:bottom w:val="nil"/>
                <w:right w:val="nil"/>
                <w:between w:val="nil"/>
              </w:pBdr>
              <w:contextualSpacing/>
              <w:jc w:val="both"/>
              <w:rPr>
                <w:rFonts w:ascii="Calibri Light" w:hAnsi="Calibri Light"/>
                <w:color w:val="000000"/>
              </w:rPr>
            </w:pPr>
            <w:r>
              <w:rPr>
                <w:rFonts w:ascii="Calibri Light" w:hAnsi="Calibri Light"/>
                <w:color w:val="000000"/>
              </w:rPr>
              <w:t>Parte peticionaria</w:t>
            </w:r>
          </w:p>
        </w:tc>
        <w:tc>
          <w:tcPr>
            <w:tcW w:w="4918" w:type="dxa"/>
            <w:gridSpan w:val="2"/>
          </w:tcPr>
          <w:p w14:paraId="2586279B"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rPr>
              <w:t>Nelson Caucoto</w:t>
            </w:r>
          </w:p>
        </w:tc>
      </w:tr>
      <w:tr w:rsidR="009038E5" w:rsidRPr="009B7C6C" w14:paraId="47A0454C" w14:textId="77777777" w:rsidTr="009038E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587" w:type="dxa"/>
          </w:tcPr>
          <w:p w14:paraId="6B4591FC" w14:textId="77777777" w:rsidR="009038E5" w:rsidRPr="009B7C6C" w:rsidRDefault="008063DA" w:rsidP="00A05852">
            <w:pPr>
              <w:numPr>
                <w:ilvl w:val="0"/>
                <w:numId w:val="4"/>
              </w:numPr>
              <w:pBdr>
                <w:top w:val="nil"/>
                <w:left w:val="nil"/>
                <w:bottom w:val="nil"/>
                <w:right w:val="nil"/>
                <w:between w:val="nil"/>
              </w:pBdr>
              <w:contextualSpacing/>
              <w:jc w:val="both"/>
              <w:rPr>
                <w:rFonts w:ascii="Calibri Light" w:hAnsi="Calibri Light"/>
                <w:color w:val="000000"/>
              </w:rPr>
            </w:pPr>
            <w:r w:rsidRPr="009B7C6C">
              <w:rPr>
                <w:rFonts w:ascii="Calibri Light" w:hAnsi="Calibri Light"/>
                <w:color w:val="000000"/>
              </w:rPr>
              <w:t xml:space="preserve">Número de Informe </w:t>
            </w:r>
          </w:p>
        </w:tc>
        <w:tc>
          <w:tcPr>
            <w:tcW w:w="4918" w:type="dxa"/>
            <w:gridSpan w:val="2"/>
          </w:tcPr>
          <w:p w14:paraId="66FE5F70" w14:textId="77777777" w:rsidR="009038E5" w:rsidRPr="009B7C6C" w:rsidRDefault="003B3F78" w:rsidP="00A0585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r w:rsidR="008063DA" w:rsidRPr="009B7C6C">
                <w:rPr>
                  <w:rFonts w:ascii="Calibri Light" w:hAnsi="Calibri Light"/>
                  <w:color w:val="0000FF"/>
                  <w:u w:val="single"/>
                </w:rPr>
                <w:t>Informe No. 52/16</w:t>
              </w:r>
            </w:hyperlink>
          </w:p>
        </w:tc>
      </w:tr>
      <w:tr w:rsidR="009038E5" w:rsidRPr="009B7C6C" w14:paraId="12494537" w14:textId="77777777" w:rsidTr="009038E5">
        <w:trPr>
          <w:trHeight w:val="200"/>
        </w:trPr>
        <w:tc>
          <w:tcPr>
            <w:cnfStyle w:val="001000000000" w:firstRow="0" w:lastRow="0" w:firstColumn="1" w:lastColumn="0" w:oddVBand="0" w:evenVBand="0" w:oddHBand="0" w:evenHBand="0" w:firstRowFirstColumn="0" w:firstRowLastColumn="0" w:lastRowFirstColumn="0" w:lastRowLastColumn="0"/>
            <w:tcW w:w="3587" w:type="dxa"/>
          </w:tcPr>
          <w:p w14:paraId="6A8F46E1" w14:textId="77777777" w:rsidR="009038E5" w:rsidRPr="009B7C6C" w:rsidRDefault="008063DA" w:rsidP="00A05852">
            <w:pPr>
              <w:numPr>
                <w:ilvl w:val="0"/>
                <w:numId w:val="4"/>
              </w:numPr>
              <w:pBdr>
                <w:top w:val="nil"/>
                <w:left w:val="nil"/>
                <w:bottom w:val="nil"/>
                <w:right w:val="nil"/>
                <w:between w:val="nil"/>
              </w:pBdr>
              <w:contextualSpacing/>
              <w:jc w:val="both"/>
              <w:rPr>
                <w:rFonts w:ascii="Calibri Light" w:hAnsi="Calibri Light"/>
              </w:rPr>
            </w:pPr>
            <w:r w:rsidRPr="009B7C6C">
              <w:rPr>
                <w:rFonts w:ascii="Calibri Light" w:hAnsi="Calibri Light"/>
                <w:color w:val="000000"/>
              </w:rPr>
              <w:t xml:space="preserve">Tipo de informe </w:t>
            </w:r>
          </w:p>
        </w:tc>
        <w:tc>
          <w:tcPr>
            <w:tcW w:w="4918" w:type="dxa"/>
            <w:gridSpan w:val="2"/>
            <w:vAlign w:val="center"/>
          </w:tcPr>
          <w:p w14:paraId="159F1084"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rPr>
              <w:t>Informe de Fondo (Caso en la Corte IDH)</w:t>
            </w:r>
          </w:p>
        </w:tc>
      </w:tr>
      <w:tr w:rsidR="009038E5" w:rsidRPr="009B7C6C" w14:paraId="3675A3EB" w14:textId="77777777" w:rsidTr="009038E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587" w:type="dxa"/>
          </w:tcPr>
          <w:p w14:paraId="1FF0F75E" w14:textId="77777777" w:rsidR="009038E5" w:rsidRPr="009B7C6C" w:rsidRDefault="008063DA" w:rsidP="00A05852">
            <w:pPr>
              <w:numPr>
                <w:ilvl w:val="0"/>
                <w:numId w:val="4"/>
              </w:numPr>
              <w:pBdr>
                <w:top w:val="nil"/>
                <w:left w:val="nil"/>
                <w:bottom w:val="nil"/>
                <w:right w:val="nil"/>
                <w:between w:val="nil"/>
              </w:pBdr>
              <w:contextualSpacing/>
              <w:jc w:val="both"/>
              <w:rPr>
                <w:rFonts w:ascii="Calibri Light" w:hAnsi="Calibri Light"/>
                <w:color w:val="000000"/>
              </w:rPr>
            </w:pPr>
            <w:r w:rsidRPr="009B7C6C">
              <w:rPr>
                <w:rFonts w:ascii="Calibri Light" w:hAnsi="Calibri Light"/>
                <w:color w:val="000000"/>
              </w:rPr>
              <w:t xml:space="preserve">Fecha </w:t>
            </w:r>
          </w:p>
        </w:tc>
        <w:tc>
          <w:tcPr>
            <w:tcW w:w="4918" w:type="dxa"/>
            <w:gridSpan w:val="2"/>
            <w:vAlign w:val="center"/>
          </w:tcPr>
          <w:p w14:paraId="7A4EA750" w14:textId="77777777" w:rsidR="009038E5" w:rsidRPr="009B7C6C" w:rsidRDefault="008063DA" w:rsidP="00A0585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9B7C6C">
              <w:rPr>
                <w:rFonts w:ascii="Calibri Light" w:hAnsi="Calibri Light"/>
              </w:rPr>
              <w:t>30 de noviembre de 2016</w:t>
            </w:r>
          </w:p>
        </w:tc>
      </w:tr>
      <w:tr w:rsidR="009038E5" w:rsidRPr="009B7C6C" w14:paraId="200E698C" w14:textId="77777777" w:rsidTr="009038E5">
        <w:trPr>
          <w:trHeight w:val="600"/>
        </w:trPr>
        <w:tc>
          <w:tcPr>
            <w:cnfStyle w:val="001000000000" w:firstRow="0" w:lastRow="0" w:firstColumn="1" w:lastColumn="0" w:oddVBand="0" w:evenVBand="0" w:oddHBand="0" w:evenHBand="0" w:firstRowFirstColumn="0" w:firstRowLastColumn="0" w:lastRowFirstColumn="0" w:lastRowLastColumn="0"/>
            <w:tcW w:w="3587" w:type="dxa"/>
          </w:tcPr>
          <w:p w14:paraId="5A1E51F3" w14:textId="77777777" w:rsidR="009038E5" w:rsidRPr="009B7C6C" w:rsidRDefault="008063DA" w:rsidP="00A05852">
            <w:pPr>
              <w:numPr>
                <w:ilvl w:val="0"/>
                <w:numId w:val="4"/>
              </w:numPr>
              <w:pBdr>
                <w:top w:val="nil"/>
                <w:left w:val="nil"/>
                <w:bottom w:val="nil"/>
                <w:right w:val="nil"/>
                <w:between w:val="nil"/>
              </w:pBdr>
              <w:contextualSpacing/>
              <w:jc w:val="both"/>
              <w:rPr>
                <w:rFonts w:ascii="Calibri Light" w:hAnsi="Calibri Light"/>
                <w:color w:val="000000"/>
              </w:rPr>
            </w:pPr>
            <w:r w:rsidRPr="009B7C6C">
              <w:rPr>
                <w:rFonts w:ascii="Calibri Light" w:hAnsi="Calibri Light"/>
                <w:color w:val="000000"/>
              </w:rPr>
              <w:t>Decisiones de la CIDH y/o la Corte IDH, relacionadas</w:t>
            </w:r>
          </w:p>
        </w:tc>
        <w:tc>
          <w:tcPr>
            <w:tcW w:w="4918" w:type="dxa"/>
            <w:gridSpan w:val="2"/>
            <w:vAlign w:val="center"/>
          </w:tcPr>
          <w:p w14:paraId="583AC07A"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color w:val="000000" w:themeColor="text1"/>
              </w:rPr>
              <w:t xml:space="preserve">Informe No. 59/05 </w:t>
            </w:r>
            <w:r w:rsidRPr="009B7C6C">
              <w:rPr>
                <w:rFonts w:ascii="Calibri Light" w:hAnsi="Calibri Light"/>
              </w:rPr>
              <w:t>(</w:t>
            </w:r>
            <w:hyperlink r:id="rId13" w:history="1">
              <w:r w:rsidRPr="009B7C6C">
                <w:rPr>
                  <w:rStyle w:val="Hyperlink"/>
                  <w:rFonts w:ascii="Calibri Light" w:hAnsi="Calibri Light"/>
                  <w:color w:val="0000FF"/>
                </w:rPr>
                <w:t>Admisibilidad</w:t>
              </w:r>
            </w:hyperlink>
            <w:r w:rsidRPr="009B7C6C">
              <w:rPr>
                <w:rFonts w:ascii="Calibri Light" w:hAnsi="Calibri Light"/>
              </w:rPr>
              <w:t>)</w:t>
            </w:r>
          </w:p>
          <w:p w14:paraId="60F6E30F"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color w:val="000000" w:themeColor="text1"/>
              </w:rPr>
              <w:t xml:space="preserve">Informe No. 60/05 </w:t>
            </w:r>
            <w:r w:rsidRPr="009B7C6C">
              <w:rPr>
                <w:rFonts w:ascii="Calibri Light" w:hAnsi="Calibri Light"/>
              </w:rPr>
              <w:t>(</w:t>
            </w:r>
            <w:hyperlink r:id="rId14" w:history="1">
              <w:r w:rsidRPr="009B7C6C">
                <w:rPr>
                  <w:rStyle w:val="Hyperlink"/>
                  <w:rFonts w:ascii="Calibri Light" w:hAnsi="Calibri Light"/>
                  <w:color w:val="0000FF"/>
                </w:rPr>
                <w:t>Admisibilidad</w:t>
              </w:r>
            </w:hyperlink>
            <w:r w:rsidRPr="009B7C6C">
              <w:rPr>
                <w:rFonts w:ascii="Calibri Light" w:hAnsi="Calibri Light"/>
              </w:rPr>
              <w:t>)</w:t>
            </w:r>
          </w:p>
          <w:p w14:paraId="7A718F03"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color w:val="000000" w:themeColor="text1"/>
              </w:rPr>
              <w:t xml:space="preserve">Informe No. 61/05 </w:t>
            </w:r>
            <w:r w:rsidRPr="009B7C6C">
              <w:rPr>
                <w:rFonts w:ascii="Calibri Light" w:hAnsi="Calibri Light"/>
              </w:rPr>
              <w:t>(</w:t>
            </w:r>
            <w:hyperlink r:id="rId15" w:history="1">
              <w:r w:rsidRPr="009B7C6C">
                <w:rPr>
                  <w:rStyle w:val="Hyperlink"/>
                  <w:rFonts w:ascii="Calibri Light" w:hAnsi="Calibri Light"/>
                  <w:color w:val="0000FF"/>
                </w:rPr>
                <w:t>Admisibilidad</w:t>
              </w:r>
            </w:hyperlink>
            <w:r w:rsidRPr="009B7C6C">
              <w:rPr>
                <w:rFonts w:ascii="Calibri Light" w:hAnsi="Calibri Light"/>
              </w:rPr>
              <w:t>)</w:t>
            </w:r>
          </w:p>
          <w:p w14:paraId="71885AC0" w14:textId="77777777" w:rsidR="00146C3E"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color w:val="000000" w:themeColor="text1"/>
              </w:rPr>
              <w:t>Informe No. 62/05</w:t>
            </w:r>
            <w:r w:rsidRPr="009B7C6C">
              <w:rPr>
                <w:rFonts w:ascii="Calibri Light" w:hAnsi="Calibri Light"/>
              </w:rPr>
              <w:t xml:space="preserve"> (</w:t>
            </w:r>
            <w:hyperlink r:id="rId16" w:history="1">
              <w:r w:rsidRPr="009B7C6C">
                <w:rPr>
                  <w:rStyle w:val="Hyperlink"/>
                  <w:rFonts w:ascii="Calibri Light" w:hAnsi="Calibri Light"/>
                  <w:color w:val="0000FF"/>
                </w:rPr>
                <w:t>Admisibilidad</w:t>
              </w:r>
            </w:hyperlink>
            <w:r w:rsidRPr="009B7C6C">
              <w:rPr>
                <w:rFonts w:ascii="Calibri Light" w:hAnsi="Calibri Light"/>
              </w:rPr>
              <w:t>)</w:t>
            </w:r>
          </w:p>
          <w:p w14:paraId="170E70E9" w14:textId="77777777" w:rsidR="00146C3E" w:rsidRPr="009B7C6C" w:rsidRDefault="00146C3E"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Caso Órdenes Guerra y otros vs. Chile (</w:t>
            </w:r>
            <w:hyperlink r:id="rId17" w:history="1">
              <w:r w:rsidRPr="00146C3E">
                <w:rPr>
                  <w:rStyle w:val="Hyperlink"/>
                  <w:rFonts w:ascii="Calibri Light" w:hAnsi="Calibri Light"/>
                </w:rPr>
                <w:t>Sentencia de 29 de noviembre de 2018</w:t>
              </w:r>
            </w:hyperlink>
            <w:r>
              <w:rPr>
                <w:rFonts w:ascii="Calibri Light" w:hAnsi="Calibri Light"/>
              </w:rPr>
              <w:t>)</w:t>
            </w:r>
          </w:p>
        </w:tc>
      </w:tr>
      <w:tr w:rsidR="009038E5" w:rsidRPr="009B7C6C" w14:paraId="3224A46B" w14:textId="77777777" w:rsidTr="00525B8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587" w:type="dxa"/>
            <w:vMerge w:val="restart"/>
          </w:tcPr>
          <w:p w14:paraId="63F3DD99" w14:textId="77777777" w:rsidR="009038E5" w:rsidRPr="009B7C6C" w:rsidRDefault="008063DA" w:rsidP="00A05852">
            <w:pPr>
              <w:numPr>
                <w:ilvl w:val="0"/>
                <w:numId w:val="4"/>
              </w:numPr>
              <w:pBdr>
                <w:top w:val="nil"/>
                <w:left w:val="nil"/>
                <w:bottom w:val="nil"/>
                <w:right w:val="nil"/>
                <w:between w:val="nil"/>
              </w:pBdr>
              <w:contextualSpacing/>
              <w:jc w:val="both"/>
              <w:rPr>
                <w:rFonts w:ascii="Calibri Light" w:hAnsi="Calibri Light"/>
                <w:color w:val="000000"/>
              </w:rPr>
            </w:pPr>
            <w:r w:rsidRPr="009B7C6C">
              <w:rPr>
                <w:rFonts w:ascii="Calibri Light" w:hAnsi="Calibri Light"/>
                <w:color w:val="000000"/>
              </w:rPr>
              <w:t xml:space="preserve">Artículos analizados </w:t>
            </w:r>
          </w:p>
        </w:tc>
        <w:tc>
          <w:tcPr>
            <w:tcW w:w="4918" w:type="dxa"/>
            <w:gridSpan w:val="2"/>
            <w:vAlign w:val="center"/>
          </w:tcPr>
          <w:p w14:paraId="1D892A33" w14:textId="77777777" w:rsidR="009038E5" w:rsidRPr="009B7C6C" w:rsidRDefault="008063DA" w:rsidP="00A0585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9B7C6C">
              <w:rPr>
                <w:rFonts w:ascii="Calibri Light" w:hAnsi="Calibri Light"/>
              </w:rPr>
              <w:t>Convención Americana sobre Derechos Humanos</w:t>
            </w:r>
          </w:p>
        </w:tc>
      </w:tr>
      <w:tr w:rsidR="009038E5" w:rsidRPr="009B7C6C" w14:paraId="3C2160CE" w14:textId="77777777" w:rsidTr="009038E5">
        <w:trPr>
          <w:trHeight w:val="600"/>
        </w:trPr>
        <w:tc>
          <w:tcPr>
            <w:cnfStyle w:val="001000000000" w:firstRow="0" w:lastRow="0" w:firstColumn="1" w:lastColumn="0" w:oddVBand="0" w:evenVBand="0" w:oddHBand="0" w:evenHBand="0" w:firstRowFirstColumn="0" w:firstRowLastColumn="0" w:lastRowFirstColumn="0" w:lastRowLastColumn="0"/>
            <w:tcW w:w="3587" w:type="dxa"/>
            <w:vMerge/>
          </w:tcPr>
          <w:p w14:paraId="42C4780F" w14:textId="77777777" w:rsidR="009038E5" w:rsidRPr="009B7C6C" w:rsidRDefault="009038E5" w:rsidP="00A05852">
            <w:pPr>
              <w:widowControl w:val="0"/>
              <w:pBdr>
                <w:top w:val="nil"/>
                <w:left w:val="nil"/>
                <w:bottom w:val="nil"/>
                <w:right w:val="nil"/>
                <w:between w:val="nil"/>
              </w:pBdr>
              <w:spacing w:line="276" w:lineRule="auto"/>
              <w:jc w:val="both"/>
              <w:rPr>
                <w:rFonts w:ascii="Calibri Light" w:hAnsi="Calibri Light"/>
              </w:rPr>
            </w:pPr>
          </w:p>
        </w:tc>
        <w:tc>
          <w:tcPr>
            <w:tcW w:w="2343" w:type="dxa"/>
            <w:vAlign w:val="center"/>
          </w:tcPr>
          <w:p w14:paraId="063EB377"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rPr>
              <w:t>Artículos analizados declarados violados</w:t>
            </w:r>
          </w:p>
        </w:tc>
        <w:tc>
          <w:tcPr>
            <w:tcW w:w="2575" w:type="dxa"/>
            <w:vAlign w:val="center"/>
          </w:tcPr>
          <w:p w14:paraId="2E7791CE" w14:textId="77777777" w:rsidR="009038E5" w:rsidRPr="009B7C6C" w:rsidRDefault="008063DA" w:rsidP="00A05852">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9B7C6C">
              <w:rPr>
                <w:rFonts w:ascii="Calibri Light" w:hAnsi="Calibri Light"/>
              </w:rPr>
              <w:t>Artículos analizados no declarados violados</w:t>
            </w:r>
          </w:p>
        </w:tc>
      </w:tr>
      <w:tr w:rsidR="009038E5" w:rsidRPr="009B7C6C" w14:paraId="3CCA3D07" w14:textId="77777777" w:rsidTr="009038E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587" w:type="dxa"/>
            <w:vMerge/>
          </w:tcPr>
          <w:p w14:paraId="678B97EC" w14:textId="77777777" w:rsidR="009038E5" w:rsidRPr="009B7C6C" w:rsidRDefault="009038E5" w:rsidP="00A05852">
            <w:pPr>
              <w:widowControl w:val="0"/>
              <w:pBdr>
                <w:top w:val="nil"/>
                <w:left w:val="nil"/>
                <w:bottom w:val="nil"/>
                <w:right w:val="nil"/>
                <w:between w:val="nil"/>
              </w:pBdr>
              <w:spacing w:line="276" w:lineRule="auto"/>
              <w:jc w:val="both"/>
              <w:rPr>
                <w:rFonts w:ascii="Calibri Light" w:hAnsi="Calibri Light"/>
              </w:rPr>
            </w:pPr>
          </w:p>
        </w:tc>
        <w:tc>
          <w:tcPr>
            <w:tcW w:w="2343" w:type="dxa"/>
            <w:vAlign w:val="center"/>
          </w:tcPr>
          <w:p w14:paraId="715037CF" w14:textId="77777777" w:rsidR="009038E5" w:rsidRPr="009B7C6C" w:rsidRDefault="008063DA" w:rsidP="00A0585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9B7C6C">
              <w:rPr>
                <w:rFonts w:ascii="Calibri Light" w:hAnsi="Calibri Light"/>
              </w:rPr>
              <w:t>Art. 1, art. 2, art. 8, art. 25</w:t>
            </w:r>
          </w:p>
        </w:tc>
        <w:tc>
          <w:tcPr>
            <w:tcW w:w="2575" w:type="dxa"/>
            <w:vAlign w:val="center"/>
          </w:tcPr>
          <w:p w14:paraId="2D7A02CD" w14:textId="77777777" w:rsidR="009038E5" w:rsidRPr="009B7C6C" w:rsidRDefault="008063DA" w:rsidP="00A05852">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9B7C6C">
              <w:rPr>
                <w:rFonts w:ascii="Calibri Light" w:hAnsi="Calibri Light"/>
              </w:rPr>
              <w:t>-</w:t>
            </w:r>
          </w:p>
        </w:tc>
      </w:tr>
      <w:tr w:rsidR="009038E5" w:rsidRPr="009B7C6C" w14:paraId="10052CBD" w14:textId="77777777" w:rsidTr="009038E5">
        <w:trPr>
          <w:trHeight w:val="260"/>
        </w:trPr>
        <w:tc>
          <w:tcPr>
            <w:cnfStyle w:val="001000000000" w:firstRow="0" w:lastRow="0" w:firstColumn="1" w:lastColumn="0" w:oddVBand="0" w:evenVBand="0" w:oddHBand="0" w:evenHBand="0" w:firstRowFirstColumn="0" w:firstRowLastColumn="0" w:lastRowFirstColumn="0" w:lastRowLastColumn="0"/>
            <w:tcW w:w="8505" w:type="dxa"/>
            <w:gridSpan w:val="3"/>
          </w:tcPr>
          <w:p w14:paraId="3594051E"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0A9525FF" w14:textId="77777777" w:rsidR="009038E5" w:rsidRPr="009B7C6C" w:rsidRDefault="008063DA">
            <w:pPr>
              <w:numPr>
                <w:ilvl w:val="0"/>
                <w:numId w:val="3"/>
              </w:numPr>
              <w:pBdr>
                <w:top w:val="nil"/>
                <w:left w:val="nil"/>
                <w:bottom w:val="nil"/>
                <w:right w:val="nil"/>
                <w:between w:val="nil"/>
              </w:pBdr>
              <w:contextualSpacing/>
              <w:jc w:val="center"/>
              <w:rPr>
                <w:rFonts w:ascii="Calibri Light" w:hAnsi="Calibri Light"/>
                <w:color w:val="000000"/>
              </w:rPr>
            </w:pPr>
            <w:r w:rsidRPr="009B7C6C">
              <w:rPr>
                <w:rFonts w:ascii="Calibri Light" w:hAnsi="Calibri Light"/>
                <w:color w:val="000000"/>
              </w:rPr>
              <w:t>Sumilla</w:t>
            </w:r>
          </w:p>
          <w:p w14:paraId="16DF4FCD" w14:textId="77777777" w:rsidR="009038E5" w:rsidRPr="009B7C6C" w:rsidRDefault="009038E5">
            <w:pPr>
              <w:pBdr>
                <w:top w:val="nil"/>
                <w:left w:val="nil"/>
                <w:bottom w:val="nil"/>
                <w:right w:val="nil"/>
                <w:between w:val="nil"/>
              </w:pBdr>
              <w:ind w:left="720" w:hanging="720"/>
              <w:rPr>
                <w:rFonts w:ascii="Calibri Light" w:hAnsi="Calibri Light"/>
                <w:color w:val="000000"/>
              </w:rPr>
            </w:pPr>
          </w:p>
        </w:tc>
      </w:tr>
      <w:tr w:rsidR="009038E5" w:rsidRPr="009B7C6C" w14:paraId="277123FB" w14:textId="77777777" w:rsidTr="009038E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505" w:type="dxa"/>
            <w:gridSpan w:val="3"/>
          </w:tcPr>
          <w:p w14:paraId="31920A28" w14:textId="77777777" w:rsidR="009038E5" w:rsidRPr="009B7C6C" w:rsidRDefault="009038E5">
            <w:pPr>
              <w:jc w:val="both"/>
              <w:rPr>
                <w:rFonts w:ascii="Calibri Light" w:hAnsi="Calibri Light"/>
              </w:rPr>
            </w:pPr>
          </w:p>
          <w:p w14:paraId="4A9C5C8C" w14:textId="77777777" w:rsidR="009038E5" w:rsidRPr="009B7C6C" w:rsidRDefault="008063DA">
            <w:pPr>
              <w:jc w:val="both"/>
              <w:rPr>
                <w:rFonts w:ascii="Calibri Light" w:hAnsi="Calibri Light"/>
              </w:rPr>
            </w:pPr>
            <w:r w:rsidRPr="009B7C6C">
              <w:rPr>
                <w:rFonts w:ascii="Calibri Light" w:hAnsi="Calibri Light"/>
                <w:b w:val="0"/>
              </w:rPr>
              <w:t xml:space="preserve">El caso trata </w:t>
            </w:r>
            <w:r w:rsidR="009B7C6C">
              <w:rPr>
                <w:rFonts w:ascii="Calibri Light" w:hAnsi="Calibri Light"/>
                <w:b w:val="0"/>
              </w:rPr>
              <w:t xml:space="preserve">sobre </w:t>
            </w:r>
            <w:r w:rsidRPr="009B7C6C">
              <w:rPr>
                <w:rFonts w:ascii="Calibri Light" w:hAnsi="Calibri Light"/>
                <w:b w:val="0"/>
              </w:rPr>
              <w:t xml:space="preserve">la </w:t>
            </w:r>
            <w:r w:rsidR="00F04208" w:rsidRPr="009B7C6C">
              <w:rPr>
                <w:rFonts w:ascii="Calibri Light" w:hAnsi="Calibri Light"/>
                <w:b w:val="0"/>
              </w:rPr>
              <w:t>aplicación</w:t>
            </w:r>
            <w:r w:rsidR="008844C6">
              <w:rPr>
                <w:rFonts w:ascii="Calibri Light" w:hAnsi="Calibri Light"/>
                <w:b w:val="0"/>
              </w:rPr>
              <w:t>, en base al Código Civil,</w:t>
            </w:r>
            <w:r w:rsidR="00F04208" w:rsidRPr="009B7C6C">
              <w:rPr>
                <w:rFonts w:ascii="Calibri Light" w:hAnsi="Calibri Light"/>
                <w:b w:val="0"/>
              </w:rPr>
              <w:t xml:space="preserve"> de la prescripción a</w:t>
            </w:r>
            <w:r w:rsidRPr="009B7C6C">
              <w:rPr>
                <w:rFonts w:ascii="Calibri Light" w:hAnsi="Calibri Light"/>
                <w:b w:val="0"/>
              </w:rPr>
              <w:t xml:space="preserve"> </w:t>
            </w:r>
            <w:r w:rsidR="00873472" w:rsidRPr="009B7C6C">
              <w:rPr>
                <w:rFonts w:ascii="Calibri Light" w:hAnsi="Calibri Light"/>
                <w:b w:val="0"/>
              </w:rPr>
              <w:t xml:space="preserve">las acciones </w:t>
            </w:r>
            <w:r w:rsidR="008844C6">
              <w:rPr>
                <w:rFonts w:ascii="Calibri Light" w:hAnsi="Calibri Light"/>
                <w:b w:val="0"/>
              </w:rPr>
              <w:t xml:space="preserve">judiciales </w:t>
            </w:r>
            <w:r w:rsidR="00873472" w:rsidRPr="009B7C6C">
              <w:rPr>
                <w:rFonts w:ascii="Calibri Light" w:hAnsi="Calibri Light"/>
                <w:b w:val="0"/>
              </w:rPr>
              <w:t>de reparación por daños</w:t>
            </w:r>
            <w:r w:rsidRPr="009B7C6C">
              <w:rPr>
                <w:rFonts w:ascii="Calibri Light" w:hAnsi="Calibri Light"/>
                <w:b w:val="0"/>
              </w:rPr>
              <w:t xml:space="preserve"> presentadas por </w:t>
            </w:r>
            <w:r w:rsidR="008844C6">
              <w:rPr>
                <w:rFonts w:ascii="Calibri Light" w:hAnsi="Calibri Light"/>
                <w:b w:val="0"/>
              </w:rPr>
              <w:t xml:space="preserve">familiares </w:t>
            </w:r>
            <w:r w:rsidRPr="009B7C6C">
              <w:rPr>
                <w:rFonts w:ascii="Calibri Light" w:hAnsi="Calibri Light"/>
                <w:b w:val="0"/>
              </w:rPr>
              <w:t>de víctimas de</w:t>
            </w:r>
            <w:r w:rsidR="008844C6">
              <w:rPr>
                <w:rFonts w:ascii="Calibri Light" w:hAnsi="Calibri Light"/>
                <w:b w:val="0"/>
              </w:rPr>
              <w:t xml:space="preserve"> desapariciones forzada y/o ejecuciones extrajudiciales, cometidas durante</w:t>
            </w:r>
            <w:r w:rsidRPr="009B7C6C">
              <w:rPr>
                <w:rFonts w:ascii="Calibri Light" w:hAnsi="Calibri Light"/>
                <w:b w:val="0"/>
              </w:rPr>
              <w:t xml:space="preserve"> la dic</w:t>
            </w:r>
            <w:r w:rsidR="00AA0280" w:rsidRPr="009B7C6C">
              <w:rPr>
                <w:rFonts w:ascii="Calibri Light" w:hAnsi="Calibri Light"/>
                <w:b w:val="0"/>
              </w:rPr>
              <w:t>tadura chilena</w:t>
            </w:r>
            <w:r w:rsidRPr="009B7C6C">
              <w:rPr>
                <w:rFonts w:ascii="Calibri Light" w:hAnsi="Calibri Light"/>
                <w:b w:val="0"/>
              </w:rPr>
              <w:t>.</w:t>
            </w:r>
            <w:r w:rsidR="008844C6">
              <w:rPr>
                <w:rFonts w:ascii="Calibri Light" w:hAnsi="Calibri Light"/>
                <w:b w:val="0"/>
              </w:rPr>
              <w:t xml:space="preserve"> </w:t>
            </w:r>
            <w:r w:rsidR="005040B9">
              <w:rPr>
                <w:rFonts w:ascii="Calibri Light" w:hAnsi="Calibri Light"/>
                <w:b w:val="0"/>
              </w:rPr>
              <w:t>La parte peticionaria alegó que dichas</w:t>
            </w:r>
            <w:r w:rsidR="00A05852">
              <w:rPr>
                <w:rFonts w:ascii="Calibri Light" w:hAnsi="Calibri Light"/>
                <w:b w:val="0"/>
              </w:rPr>
              <w:t xml:space="preserve"> acciones eran imprescriptibles. N</w:t>
            </w:r>
            <w:r w:rsidR="005040B9">
              <w:rPr>
                <w:rFonts w:ascii="Calibri Light" w:hAnsi="Calibri Light"/>
                <w:b w:val="0"/>
              </w:rPr>
              <w:t>o obstante, la normativa interna establecía que estas prescribían a los cuatros años</w:t>
            </w:r>
            <w:r w:rsidR="00DA28F6">
              <w:rPr>
                <w:rFonts w:ascii="Calibri Light" w:hAnsi="Calibri Light"/>
                <w:b w:val="0"/>
              </w:rPr>
              <w:t xml:space="preserve"> de la perpetración de los hechos que generaron los daños.</w:t>
            </w:r>
          </w:p>
          <w:p w14:paraId="6B9753A7" w14:textId="77777777" w:rsidR="009038E5" w:rsidRPr="009B7C6C" w:rsidRDefault="008063DA">
            <w:pPr>
              <w:jc w:val="both"/>
              <w:rPr>
                <w:rFonts w:ascii="Calibri Light" w:hAnsi="Calibri Light"/>
              </w:rPr>
            </w:pPr>
            <w:r w:rsidRPr="009B7C6C">
              <w:rPr>
                <w:rFonts w:ascii="Calibri Light" w:hAnsi="Calibri Light"/>
                <w:b w:val="0"/>
              </w:rPr>
              <w:t xml:space="preserve"> </w:t>
            </w:r>
          </w:p>
        </w:tc>
      </w:tr>
      <w:tr w:rsidR="009038E5" w:rsidRPr="009B7C6C" w14:paraId="08ECBE41" w14:textId="77777777" w:rsidTr="009038E5">
        <w:trPr>
          <w:trHeight w:val="260"/>
        </w:trPr>
        <w:tc>
          <w:tcPr>
            <w:cnfStyle w:val="001000000000" w:firstRow="0" w:lastRow="0" w:firstColumn="1" w:lastColumn="0" w:oddVBand="0" w:evenVBand="0" w:oddHBand="0" w:evenHBand="0" w:firstRowFirstColumn="0" w:firstRowLastColumn="0" w:lastRowFirstColumn="0" w:lastRowLastColumn="0"/>
            <w:tcW w:w="8505" w:type="dxa"/>
            <w:gridSpan w:val="3"/>
          </w:tcPr>
          <w:p w14:paraId="3A7E26D5"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14A47A45" w14:textId="77777777" w:rsidR="009038E5" w:rsidRPr="009B7C6C" w:rsidRDefault="008063DA">
            <w:pPr>
              <w:numPr>
                <w:ilvl w:val="0"/>
                <w:numId w:val="3"/>
              </w:numPr>
              <w:pBdr>
                <w:top w:val="nil"/>
                <w:left w:val="nil"/>
                <w:bottom w:val="nil"/>
                <w:right w:val="nil"/>
                <w:between w:val="nil"/>
              </w:pBdr>
              <w:contextualSpacing/>
              <w:jc w:val="center"/>
              <w:rPr>
                <w:rFonts w:ascii="Calibri Light" w:hAnsi="Calibri Light"/>
                <w:color w:val="000000"/>
              </w:rPr>
            </w:pPr>
            <w:r w:rsidRPr="009B7C6C">
              <w:rPr>
                <w:rFonts w:ascii="Calibri Light" w:hAnsi="Calibri Light"/>
                <w:color w:val="000000"/>
              </w:rPr>
              <w:t>Palabras clave</w:t>
            </w:r>
          </w:p>
          <w:p w14:paraId="04F36816" w14:textId="77777777" w:rsidR="009038E5" w:rsidRPr="009B7C6C" w:rsidRDefault="009038E5">
            <w:pPr>
              <w:pBdr>
                <w:top w:val="nil"/>
                <w:left w:val="nil"/>
                <w:bottom w:val="nil"/>
                <w:right w:val="nil"/>
                <w:between w:val="nil"/>
              </w:pBdr>
              <w:ind w:left="720" w:hanging="720"/>
              <w:rPr>
                <w:rFonts w:ascii="Calibri Light" w:hAnsi="Calibri Light"/>
                <w:color w:val="000000"/>
              </w:rPr>
            </w:pPr>
          </w:p>
        </w:tc>
      </w:tr>
      <w:tr w:rsidR="009038E5" w:rsidRPr="009B7C6C" w14:paraId="69A2B505" w14:textId="77777777" w:rsidTr="009038E5">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8505" w:type="dxa"/>
            <w:gridSpan w:val="3"/>
          </w:tcPr>
          <w:p w14:paraId="7D4B882B" w14:textId="77777777" w:rsidR="009038E5" w:rsidRPr="009B7C6C" w:rsidRDefault="009038E5">
            <w:pPr>
              <w:jc w:val="both"/>
              <w:rPr>
                <w:rFonts w:ascii="Calibri Light" w:hAnsi="Calibri Light"/>
              </w:rPr>
            </w:pPr>
          </w:p>
          <w:p w14:paraId="55B3E18A" w14:textId="77777777" w:rsidR="009038E5" w:rsidRPr="009B7C6C" w:rsidRDefault="008063DA">
            <w:pPr>
              <w:jc w:val="both"/>
              <w:rPr>
                <w:rFonts w:ascii="Calibri Light" w:hAnsi="Calibri Light"/>
              </w:rPr>
            </w:pPr>
            <w:r w:rsidRPr="009B7C6C">
              <w:rPr>
                <w:rFonts w:ascii="Calibri Light" w:hAnsi="Calibri Light"/>
                <w:b w:val="0"/>
              </w:rPr>
              <w:t>Protección judicial y garantías judiciales</w:t>
            </w:r>
          </w:p>
          <w:p w14:paraId="70E05827" w14:textId="77777777" w:rsidR="009038E5" w:rsidRPr="009B7C6C" w:rsidRDefault="009038E5">
            <w:pPr>
              <w:jc w:val="both"/>
              <w:rPr>
                <w:rFonts w:ascii="Calibri Light" w:hAnsi="Calibri Light"/>
              </w:rPr>
            </w:pPr>
          </w:p>
        </w:tc>
      </w:tr>
      <w:tr w:rsidR="009038E5" w:rsidRPr="009B7C6C" w14:paraId="16BC33FB" w14:textId="77777777" w:rsidTr="009038E5">
        <w:trPr>
          <w:trHeight w:val="260"/>
        </w:trPr>
        <w:tc>
          <w:tcPr>
            <w:cnfStyle w:val="001000000000" w:firstRow="0" w:lastRow="0" w:firstColumn="1" w:lastColumn="0" w:oddVBand="0" w:evenVBand="0" w:oddHBand="0" w:evenHBand="0" w:firstRowFirstColumn="0" w:firstRowLastColumn="0" w:lastRowFirstColumn="0" w:lastRowLastColumn="0"/>
            <w:tcW w:w="8505" w:type="dxa"/>
            <w:gridSpan w:val="3"/>
          </w:tcPr>
          <w:p w14:paraId="22076D8A"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1202101E" w14:textId="77777777" w:rsidR="009038E5" w:rsidRPr="009B7C6C" w:rsidRDefault="008063DA">
            <w:pPr>
              <w:numPr>
                <w:ilvl w:val="0"/>
                <w:numId w:val="3"/>
              </w:numPr>
              <w:pBdr>
                <w:top w:val="nil"/>
                <w:left w:val="nil"/>
                <w:bottom w:val="nil"/>
                <w:right w:val="nil"/>
                <w:between w:val="nil"/>
              </w:pBdr>
              <w:contextualSpacing/>
              <w:jc w:val="center"/>
              <w:rPr>
                <w:rFonts w:ascii="Calibri Light" w:hAnsi="Calibri Light"/>
                <w:color w:val="000000"/>
              </w:rPr>
            </w:pPr>
            <w:r w:rsidRPr="009B7C6C">
              <w:rPr>
                <w:rFonts w:ascii="Calibri Light" w:hAnsi="Calibri Light"/>
                <w:color w:val="000000"/>
              </w:rPr>
              <w:t>Hechos</w:t>
            </w:r>
          </w:p>
          <w:p w14:paraId="7430FF39" w14:textId="77777777" w:rsidR="009038E5" w:rsidRPr="009B7C6C" w:rsidRDefault="009038E5">
            <w:pPr>
              <w:pBdr>
                <w:top w:val="nil"/>
                <w:left w:val="nil"/>
                <w:bottom w:val="nil"/>
                <w:right w:val="nil"/>
                <w:between w:val="nil"/>
              </w:pBdr>
              <w:ind w:left="720" w:hanging="720"/>
              <w:rPr>
                <w:rFonts w:ascii="Calibri Light" w:hAnsi="Calibri Light"/>
                <w:color w:val="000000"/>
              </w:rPr>
            </w:pPr>
          </w:p>
        </w:tc>
      </w:tr>
      <w:tr w:rsidR="009038E5" w:rsidRPr="009B7C6C" w14:paraId="07FD73E7" w14:textId="77777777" w:rsidTr="009038E5">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8505" w:type="dxa"/>
            <w:gridSpan w:val="3"/>
          </w:tcPr>
          <w:p w14:paraId="4D22EAD7" w14:textId="77777777" w:rsidR="009038E5" w:rsidRPr="009B7C6C" w:rsidRDefault="009038E5">
            <w:pPr>
              <w:jc w:val="both"/>
              <w:rPr>
                <w:rFonts w:ascii="Calibri Light" w:hAnsi="Calibri Light"/>
              </w:rPr>
            </w:pPr>
          </w:p>
          <w:p w14:paraId="4F981EF5" w14:textId="77777777" w:rsidR="009038E5" w:rsidRPr="009B7C6C" w:rsidRDefault="00CC0E9D" w:rsidP="00373AA6">
            <w:pPr>
              <w:jc w:val="both"/>
              <w:rPr>
                <w:rFonts w:ascii="Calibri Light" w:hAnsi="Calibri Light"/>
              </w:rPr>
            </w:pPr>
            <w:r w:rsidRPr="009B7C6C">
              <w:rPr>
                <w:rFonts w:ascii="Calibri Light" w:hAnsi="Calibri Light"/>
                <w:b w:val="0"/>
              </w:rPr>
              <w:t>Entre</w:t>
            </w:r>
            <w:r w:rsidR="008063DA" w:rsidRPr="009B7C6C">
              <w:rPr>
                <w:rFonts w:ascii="Calibri Light" w:hAnsi="Calibri Light"/>
                <w:b w:val="0"/>
              </w:rPr>
              <w:t xml:space="preserve"> 1973 y 1990, el Estado chileno vivió bajo una dictadura militar</w:t>
            </w:r>
            <w:r w:rsidR="009978ED">
              <w:rPr>
                <w:rFonts w:ascii="Calibri Light" w:hAnsi="Calibri Light"/>
                <w:b w:val="0"/>
              </w:rPr>
              <w:t>, en la cual se cometieron</w:t>
            </w:r>
            <w:r w:rsidR="008063DA" w:rsidRPr="009B7C6C">
              <w:rPr>
                <w:rFonts w:ascii="Calibri Light" w:hAnsi="Calibri Light"/>
                <w:b w:val="0"/>
              </w:rPr>
              <w:t xml:space="preserve"> graves violaciones de derechos humanos. </w:t>
            </w:r>
            <w:r w:rsidR="009978ED">
              <w:rPr>
                <w:rFonts w:ascii="Calibri Light" w:hAnsi="Calibri Light"/>
                <w:b w:val="0"/>
              </w:rPr>
              <w:t>Al finalizar</w:t>
            </w:r>
            <w:r w:rsidR="008063DA" w:rsidRPr="009B7C6C">
              <w:rPr>
                <w:rFonts w:ascii="Calibri Light" w:hAnsi="Calibri Light"/>
                <w:b w:val="0"/>
              </w:rPr>
              <w:t xml:space="preserve"> </w:t>
            </w:r>
            <w:r w:rsidR="009978ED">
              <w:rPr>
                <w:rFonts w:ascii="Calibri Light" w:hAnsi="Calibri Light"/>
                <w:b w:val="0"/>
              </w:rPr>
              <w:t>este periodo</w:t>
            </w:r>
            <w:r w:rsidR="008063DA" w:rsidRPr="009B7C6C">
              <w:rPr>
                <w:rFonts w:ascii="Calibri Light" w:hAnsi="Calibri Light"/>
                <w:b w:val="0"/>
              </w:rPr>
              <w:t xml:space="preserve">, el 25 de abril de 1990, se creó la </w:t>
            </w:r>
            <w:r w:rsidR="002F0357" w:rsidRPr="002F0357">
              <w:rPr>
                <w:rFonts w:ascii="Calibri Light" w:hAnsi="Calibri Light"/>
                <w:b w:val="0"/>
              </w:rPr>
              <w:t>Comisión Nacional de Verdad y</w:t>
            </w:r>
            <w:r w:rsidR="002F0357">
              <w:rPr>
                <w:rFonts w:ascii="Calibri Light" w:hAnsi="Calibri Light"/>
                <w:b w:val="0"/>
              </w:rPr>
              <w:t xml:space="preserve"> </w:t>
            </w:r>
            <w:r w:rsidR="002F0357" w:rsidRPr="002F0357">
              <w:rPr>
                <w:rFonts w:ascii="Calibri Light" w:hAnsi="Calibri Light"/>
                <w:b w:val="0"/>
              </w:rPr>
              <w:t>Reconciliación</w:t>
            </w:r>
            <w:r w:rsidR="008A0BB4">
              <w:rPr>
                <w:rFonts w:ascii="Calibri Light" w:hAnsi="Calibri Light"/>
                <w:b w:val="0"/>
              </w:rPr>
              <w:t xml:space="preserve"> (</w:t>
            </w:r>
            <w:r w:rsidR="008063DA" w:rsidRPr="009B7C6C">
              <w:rPr>
                <w:rFonts w:ascii="Calibri Light" w:hAnsi="Calibri Light"/>
                <w:b w:val="0"/>
              </w:rPr>
              <w:t>Comisión Rettig</w:t>
            </w:r>
            <w:r w:rsidR="002F0357">
              <w:rPr>
                <w:rFonts w:ascii="Calibri Light" w:hAnsi="Calibri Light"/>
                <w:b w:val="0"/>
              </w:rPr>
              <w:t>)</w:t>
            </w:r>
            <w:r w:rsidR="008063DA" w:rsidRPr="009B7C6C">
              <w:rPr>
                <w:rFonts w:ascii="Calibri Light" w:hAnsi="Calibri Light"/>
                <w:b w:val="0"/>
              </w:rPr>
              <w:t xml:space="preserve"> con el fin de iniciar el </w:t>
            </w:r>
            <w:r w:rsidR="008063DA" w:rsidRPr="009B7C6C">
              <w:rPr>
                <w:rFonts w:ascii="Calibri Light" w:hAnsi="Calibri Light"/>
                <w:b w:val="0"/>
              </w:rPr>
              <w:lastRenderedPageBreak/>
              <w:t xml:space="preserve">proceso de </w:t>
            </w:r>
            <w:r w:rsidR="008A0BB4">
              <w:rPr>
                <w:rFonts w:ascii="Calibri Light" w:hAnsi="Calibri Light"/>
                <w:b w:val="0"/>
              </w:rPr>
              <w:t>esclarecimiento</w:t>
            </w:r>
            <w:r w:rsidR="008A0BB4" w:rsidRPr="009B7C6C">
              <w:rPr>
                <w:rFonts w:ascii="Calibri Light" w:hAnsi="Calibri Light"/>
                <w:b w:val="0"/>
              </w:rPr>
              <w:t xml:space="preserve"> </w:t>
            </w:r>
            <w:r w:rsidR="008063DA" w:rsidRPr="009B7C6C">
              <w:rPr>
                <w:rFonts w:ascii="Calibri Light" w:hAnsi="Calibri Light"/>
                <w:b w:val="0"/>
              </w:rPr>
              <w:t>de la verdad y reconciliación nacional.</w:t>
            </w:r>
            <w:r w:rsidR="009978ED">
              <w:rPr>
                <w:rFonts w:ascii="Calibri Light" w:hAnsi="Calibri Light"/>
                <w:b w:val="0"/>
              </w:rPr>
              <w:t xml:space="preserve"> Tras la emisión de su informe final, </w:t>
            </w:r>
            <w:r w:rsidR="008063DA" w:rsidRPr="009B7C6C">
              <w:rPr>
                <w:rFonts w:ascii="Calibri Light" w:hAnsi="Calibri Light"/>
                <w:b w:val="0"/>
              </w:rPr>
              <w:t>el Estado chileno tomó una serie de medidas para ofrecer una reparación integral a las víctimas de violaciones de derechos humanos</w:t>
            </w:r>
            <w:r w:rsidR="009978ED">
              <w:rPr>
                <w:rFonts w:ascii="Calibri Light" w:hAnsi="Calibri Light"/>
                <w:b w:val="0"/>
              </w:rPr>
              <w:t>, tales como</w:t>
            </w:r>
            <w:r w:rsidR="008063DA" w:rsidRPr="009B7C6C">
              <w:rPr>
                <w:rFonts w:ascii="Calibri Light" w:hAnsi="Calibri Light"/>
                <w:b w:val="0"/>
              </w:rPr>
              <w:t xml:space="preserve">: </w:t>
            </w:r>
            <w:r w:rsidR="009978ED">
              <w:rPr>
                <w:rFonts w:ascii="Calibri Light" w:hAnsi="Calibri Light"/>
                <w:b w:val="0"/>
              </w:rPr>
              <w:t>i</w:t>
            </w:r>
            <w:r w:rsidR="008063DA" w:rsidRPr="009B7C6C">
              <w:rPr>
                <w:rFonts w:ascii="Calibri Light" w:hAnsi="Calibri Light"/>
                <w:b w:val="0"/>
              </w:rPr>
              <w:t xml:space="preserve">) </w:t>
            </w:r>
            <w:r w:rsidR="006C5FCB">
              <w:rPr>
                <w:rFonts w:ascii="Calibri Light" w:hAnsi="Calibri Light"/>
                <w:b w:val="0"/>
              </w:rPr>
              <w:t>l</w:t>
            </w:r>
            <w:r w:rsidR="008063DA" w:rsidRPr="009B7C6C">
              <w:rPr>
                <w:rFonts w:ascii="Calibri Light" w:hAnsi="Calibri Light"/>
                <w:b w:val="0"/>
              </w:rPr>
              <w:t xml:space="preserve">a creación de </w:t>
            </w:r>
            <w:r w:rsidR="008063DA" w:rsidRPr="00DE6D0D">
              <w:rPr>
                <w:rFonts w:ascii="Calibri Light" w:hAnsi="Calibri Light"/>
                <w:b w:val="0"/>
              </w:rPr>
              <w:t>la Corporación Nacional de Reparación y Reconciliación</w:t>
            </w:r>
            <w:r w:rsidR="008063DA" w:rsidRPr="009B7C6C">
              <w:rPr>
                <w:rFonts w:ascii="Calibri Light" w:hAnsi="Calibri Light"/>
                <w:b w:val="0"/>
              </w:rPr>
              <w:t xml:space="preserve"> (CNRR) en 1992, para conocer casos no tratados por la </w:t>
            </w:r>
            <w:r w:rsidR="008063DA" w:rsidRPr="00DE6D0D">
              <w:rPr>
                <w:rFonts w:ascii="Calibri Light" w:hAnsi="Calibri Light"/>
                <w:b w:val="0"/>
              </w:rPr>
              <w:t>Comisión Rettig</w:t>
            </w:r>
            <w:r w:rsidR="008063DA" w:rsidRPr="009B7C6C">
              <w:rPr>
                <w:rFonts w:ascii="Calibri Light" w:hAnsi="Calibri Light"/>
                <w:b w:val="0"/>
              </w:rPr>
              <w:t xml:space="preserve">, y ofrecer asistencia social y legal a las víctimas; </w:t>
            </w:r>
            <w:r w:rsidR="009978ED">
              <w:rPr>
                <w:rFonts w:ascii="Calibri Light" w:hAnsi="Calibri Light"/>
                <w:b w:val="0"/>
              </w:rPr>
              <w:t>ii</w:t>
            </w:r>
            <w:r w:rsidR="008063DA" w:rsidRPr="009B7C6C">
              <w:rPr>
                <w:rFonts w:ascii="Calibri Light" w:hAnsi="Calibri Light"/>
                <w:b w:val="0"/>
              </w:rPr>
              <w:t xml:space="preserve">) la creación de la </w:t>
            </w:r>
            <w:r w:rsidR="008A0BB4" w:rsidRPr="008A0BB4">
              <w:rPr>
                <w:rFonts w:ascii="Calibri Light" w:hAnsi="Calibri Light"/>
                <w:b w:val="0"/>
              </w:rPr>
              <w:t>Comisión Nacional</w:t>
            </w:r>
            <w:r w:rsidR="008A0BB4">
              <w:rPr>
                <w:rFonts w:ascii="Calibri Light" w:hAnsi="Calibri Light"/>
                <w:b w:val="0"/>
              </w:rPr>
              <w:t xml:space="preserve"> </w:t>
            </w:r>
            <w:r w:rsidR="008A0BB4" w:rsidRPr="008A0BB4">
              <w:rPr>
                <w:rFonts w:ascii="Calibri Light" w:hAnsi="Calibri Light"/>
                <w:b w:val="0"/>
              </w:rPr>
              <w:t xml:space="preserve">Sobre Prisión Política y Tortura </w:t>
            </w:r>
            <w:r w:rsidR="008A0BB4">
              <w:rPr>
                <w:rFonts w:ascii="Calibri Light" w:hAnsi="Calibri Light"/>
                <w:b w:val="0"/>
              </w:rPr>
              <w:t>(</w:t>
            </w:r>
            <w:r w:rsidR="008063DA" w:rsidRPr="009B7C6C">
              <w:rPr>
                <w:rFonts w:ascii="Calibri Light" w:hAnsi="Calibri Light"/>
                <w:b w:val="0"/>
              </w:rPr>
              <w:t>Comisión Valech</w:t>
            </w:r>
            <w:r w:rsidR="008A0BB4">
              <w:rPr>
                <w:rFonts w:ascii="Calibri Light" w:hAnsi="Calibri Light"/>
                <w:b w:val="0"/>
              </w:rPr>
              <w:t>)</w:t>
            </w:r>
            <w:r w:rsidR="008063DA" w:rsidRPr="009B7C6C">
              <w:rPr>
                <w:rFonts w:ascii="Calibri Light" w:hAnsi="Calibri Light"/>
                <w:b w:val="0"/>
              </w:rPr>
              <w:t xml:space="preserve"> en 2003, para identificar a las víctimas que sufrieron privación de libertad y tortura por razones políticas, y proponer medidas de reparación idóneas; </w:t>
            </w:r>
            <w:r w:rsidR="009978ED">
              <w:rPr>
                <w:rFonts w:ascii="Calibri Light" w:hAnsi="Calibri Light"/>
                <w:b w:val="0"/>
              </w:rPr>
              <w:t>iii</w:t>
            </w:r>
            <w:r w:rsidR="008063DA" w:rsidRPr="009B7C6C">
              <w:rPr>
                <w:rFonts w:ascii="Calibri Light" w:hAnsi="Calibri Light"/>
                <w:b w:val="0"/>
              </w:rPr>
              <w:t>) la promulgación de la Ley No. 19.980, que amplió y estableció nuevos beneficios para los familiares de las víctimas</w:t>
            </w:r>
            <w:r w:rsidR="009978ED">
              <w:rPr>
                <w:rFonts w:ascii="Calibri Light" w:hAnsi="Calibri Light"/>
                <w:b w:val="0"/>
              </w:rPr>
              <w:t>, iv)</w:t>
            </w:r>
            <w:r w:rsidRPr="009B7C6C">
              <w:rPr>
                <w:rFonts w:ascii="Calibri Light" w:hAnsi="Calibri Light"/>
                <w:b w:val="0"/>
              </w:rPr>
              <w:t xml:space="preserve"> </w:t>
            </w:r>
            <w:r w:rsidR="00AC7DE9">
              <w:rPr>
                <w:rFonts w:ascii="Calibri Light" w:hAnsi="Calibri Light"/>
                <w:b w:val="0"/>
              </w:rPr>
              <w:t>la</w:t>
            </w:r>
            <w:r w:rsidR="00AC7DE9" w:rsidRPr="009B7C6C">
              <w:rPr>
                <w:rFonts w:ascii="Calibri Light" w:hAnsi="Calibri Light"/>
                <w:b w:val="0"/>
              </w:rPr>
              <w:t xml:space="preserve"> </w:t>
            </w:r>
            <w:r w:rsidRPr="009B7C6C">
              <w:rPr>
                <w:rFonts w:ascii="Calibri Light" w:hAnsi="Calibri Light"/>
                <w:b w:val="0"/>
              </w:rPr>
              <w:t xml:space="preserve">creación de </w:t>
            </w:r>
            <w:r w:rsidR="008063DA" w:rsidRPr="009B7C6C">
              <w:rPr>
                <w:rFonts w:ascii="Calibri Light" w:hAnsi="Calibri Light"/>
                <w:b w:val="0"/>
              </w:rPr>
              <w:t xml:space="preserve">pensiones, </w:t>
            </w:r>
            <w:r w:rsidR="00AC7DE9">
              <w:rPr>
                <w:rFonts w:ascii="Calibri Light" w:hAnsi="Calibri Light"/>
                <w:b w:val="0"/>
              </w:rPr>
              <w:t xml:space="preserve">v) el </w:t>
            </w:r>
            <w:r w:rsidRPr="009B7C6C">
              <w:rPr>
                <w:rFonts w:ascii="Calibri Light" w:hAnsi="Calibri Light"/>
                <w:b w:val="0"/>
              </w:rPr>
              <w:t xml:space="preserve">otorgamiento de </w:t>
            </w:r>
            <w:r w:rsidR="008063DA" w:rsidRPr="009B7C6C">
              <w:rPr>
                <w:rFonts w:ascii="Calibri Light" w:hAnsi="Calibri Light"/>
                <w:b w:val="0"/>
              </w:rPr>
              <w:t>becas,</w:t>
            </w:r>
            <w:r w:rsidR="00AC7DE9">
              <w:rPr>
                <w:rFonts w:ascii="Calibri Light" w:hAnsi="Calibri Light"/>
                <w:b w:val="0"/>
              </w:rPr>
              <w:t xml:space="preserve"> vi)</w:t>
            </w:r>
            <w:r w:rsidR="008063DA" w:rsidRPr="009B7C6C">
              <w:rPr>
                <w:rFonts w:ascii="Calibri Light" w:hAnsi="Calibri Light"/>
                <w:b w:val="0"/>
              </w:rPr>
              <w:t xml:space="preserve"> indemnizaciones, </w:t>
            </w:r>
            <w:r w:rsidR="00AC7DE9">
              <w:rPr>
                <w:rFonts w:ascii="Calibri Light" w:hAnsi="Calibri Light"/>
                <w:b w:val="0"/>
              </w:rPr>
              <w:t>y vii)</w:t>
            </w:r>
            <w:r w:rsidR="00AC7DE9" w:rsidRPr="009B7C6C">
              <w:rPr>
                <w:rFonts w:ascii="Calibri Light" w:hAnsi="Calibri Light"/>
                <w:b w:val="0"/>
              </w:rPr>
              <w:t xml:space="preserve"> </w:t>
            </w:r>
            <w:r w:rsidR="008063DA" w:rsidRPr="009B7C6C">
              <w:rPr>
                <w:rFonts w:ascii="Calibri Light" w:hAnsi="Calibri Light"/>
                <w:b w:val="0"/>
              </w:rPr>
              <w:t>como espacios de memoria y diálogo sobre la dictadura.</w:t>
            </w:r>
          </w:p>
          <w:p w14:paraId="19E88994" w14:textId="77777777" w:rsidR="009038E5" w:rsidRPr="009B7C6C" w:rsidRDefault="009038E5">
            <w:pPr>
              <w:jc w:val="both"/>
              <w:rPr>
                <w:rFonts w:ascii="Calibri Light" w:hAnsi="Calibri Light"/>
              </w:rPr>
            </w:pPr>
          </w:p>
          <w:p w14:paraId="08F2ADD0" w14:textId="77777777" w:rsidR="009038E5" w:rsidRPr="009B7C6C" w:rsidRDefault="006C5FCB">
            <w:pPr>
              <w:jc w:val="both"/>
              <w:rPr>
                <w:rFonts w:ascii="Calibri Light" w:hAnsi="Calibri Light"/>
              </w:rPr>
            </w:pPr>
            <w:r>
              <w:rPr>
                <w:rFonts w:ascii="Calibri Light" w:hAnsi="Calibri Light"/>
                <w:b w:val="0"/>
              </w:rPr>
              <w:t xml:space="preserve">En este contexto, </w:t>
            </w:r>
            <w:r w:rsidRPr="0002118B">
              <w:rPr>
                <w:rFonts w:ascii="Calibri Light" w:hAnsi="Calibri Light"/>
                <w:b w:val="0"/>
              </w:rPr>
              <w:t xml:space="preserve">la Comisión </w:t>
            </w:r>
            <w:r w:rsidR="00AC7DE9" w:rsidRPr="0002118B">
              <w:rPr>
                <w:rFonts w:ascii="Calibri Light" w:hAnsi="Calibri Light"/>
                <w:b w:val="0"/>
              </w:rPr>
              <w:t>Rettig</w:t>
            </w:r>
            <w:r w:rsidRPr="00DA28F6">
              <w:rPr>
                <w:rFonts w:ascii="Calibri Light" w:hAnsi="Calibri Light"/>
                <w:b w:val="0"/>
              </w:rPr>
              <w:t xml:space="preserve"> </w:t>
            </w:r>
            <w:r>
              <w:rPr>
                <w:rFonts w:ascii="Calibri Light" w:hAnsi="Calibri Light"/>
                <w:b w:val="0"/>
              </w:rPr>
              <w:t xml:space="preserve">reconoció como víctimas de desaparición forzada y/o ejecución judicial a </w:t>
            </w:r>
            <w:r w:rsidR="008063DA" w:rsidRPr="009B7C6C">
              <w:rPr>
                <w:rFonts w:ascii="Calibri Light" w:hAnsi="Calibri Light"/>
                <w:b w:val="0"/>
              </w:rPr>
              <w:t>Augusto Alcalaya, Jorge Osorio, Hipólito Cortés, Mario Melo, Ramón Vivanco, Rodolfo Espejo y Sergio Reyes</w:t>
            </w:r>
            <w:r>
              <w:rPr>
                <w:rFonts w:ascii="Calibri Light" w:hAnsi="Calibri Light"/>
                <w:b w:val="0"/>
              </w:rPr>
              <w:t>. Consecuentemente,</w:t>
            </w:r>
            <w:r w:rsidR="008063DA" w:rsidRPr="009B7C6C">
              <w:rPr>
                <w:rFonts w:ascii="Calibri Light" w:hAnsi="Calibri Light"/>
                <w:b w:val="0"/>
              </w:rPr>
              <w:t xml:space="preserve"> sus grupos familiares fueron incluidos en el programa de reparacio</w:t>
            </w:r>
            <w:r w:rsidR="002658B6" w:rsidRPr="009B7C6C">
              <w:rPr>
                <w:rFonts w:ascii="Calibri Light" w:hAnsi="Calibri Light"/>
                <w:b w:val="0"/>
              </w:rPr>
              <w:t xml:space="preserve">nes integral del Estado chileno, lo que los hizo beneficiarios de pensiones, bonos, becas, </w:t>
            </w:r>
            <w:r>
              <w:rPr>
                <w:rFonts w:ascii="Calibri Light" w:hAnsi="Calibri Light"/>
                <w:b w:val="0"/>
              </w:rPr>
              <w:t>y</w:t>
            </w:r>
            <w:r w:rsidRPr="009B7C6C">
              <w:rPr>
                <w:rFonts w:ascii="Calibri Light" w:hAnsi="Calibri Light"/>
                <w:b w:val="0"/>
              </w:rPr>
              <w:t xml:space="preserve"> </w:t>
            </w:r>
            <w:r w:rsidR="002658B6" w:rsidRPr="009B7C6C">
              <w:rPr>
                <w:rFonts w:ascii="Calibri Light" w:hAnsi="Calibri Light"/>
                <w:b w:val="0"/>
              </w:rPr>
              <w:t>otras medidas de reparación.</w:t>
            </w:r>
          </w:p>
          <w:p w14:paraId="6102BD22" w14:textId="77777777" w:rsidR="009038E5" w:rsidRPr="009B7C6C" w:rsidRDefault="009038E5">
            <w:pPr>
              <w:jc w:val="both"/>
              <w:rPr>
                <w:rFonts w:ascii="Calibri Light" w:hAnsi="Calibri Light"/>
              </w:rPr>
            </w:pPr>
          </w:p>
          <w:p w14:paraId="411EA083" w14:textId="77777777" w:rsidR="009038E5" w:rsidRPr="009B7C6C" w:rsidRDefault="008063DA">
            <w:pPr>
              <w:jc w:val="both"/>
              <w:rPr>
                <w:rFonts w:ascii="Calibri Light" w:hAnsi="Calibri Light"/>
              </w:rPr>
            </w:pPr>
            <w:r w:rsidRPr="009B7C6C">
              <w:rPr>
                <w:rFonts w:ascii="Calibri Light" w:hAnsi="Calibri Light"/>
                <w:b w:val="0"/>
              </w:rPr>
              <w:t>A fines de 1999 e inicios del 2000, los grupos familiares de las víctimas señaladas plantearon ante juzgados chilenos acciones civiles por conceptos de reparación en atención a los daños sufridos por la pérdida de sus familiares.</w:t>
            </w:r>
            <w:r w:rsidR="00845171" w:rsidRPr="009B7C6C">
              <w:rPr>
                <w:rFonts w:ascii="Calibri Light" w:hAnsi="Calibri Light"/>
                <w:b w:val="0"/>
              </w:rPr>
              <w:t xml:space="preserve"> Para </w:t>
            </w:r>
            <w:r w:rsidR="006C5FCB">
              <w:rPr>
                <w:rFonts w:ascii="Calibri Light" w:hAnsi="Calibri Light"/>
                <w:b w:val="0"/>
              </w:rPr>
              <w:t xml:space="preserve">ese </w:t>
            </w:r>
            <w:r w:rsidR="00845171" w:rsidRPr="009B7C6C">
              <w:rPr>
                <w:rFonts w:ascii="Calibri Light" w:hAnsi="Calibri Light"/>
                <w:b w:val="0"/>
              </w:rPr>
              <w:t xml:space="preserve">entonces, </w:t>
            </w:r>
            <w:r w:rsidR="006C5FCB" w:rsidRPr="009B7C6C">
              <w:rPr>
                <w:rFonts w:ascii="Calibri Light" w:hAnsi="Calibri Light"/>
                <w:b w:val="0"/>
              </w:rPr>
              <w:t>los artículos 2332, 2514, y 2515</w:t>
            </w:r>
            <w:r w:rsidR="006C5FCB">
              <w:rPr>
                <w:rFonts w:ascii="Calibri Light" w:hAnsi="Calibri Light"/>
                <w:b w:val="0"/>
              </w:rPr>
              <w:t xml:space="preserve"> d</w:t>
            </w:r>
            <w:r w:rsidRPr="009B7C6C">
              <w:rPr>
                <w:rFonts w:ascii="Calibri Light" w:hAnsi="Calibri Light"/>
                <w:b w:val="0"/>
              </w:rPr>
              <w:t xml:space="preserve">el Código Civil </w:t>
            </w:r>
            <w:r w:rsidR="00AB70B9" w:rsidRPr="009B7C6C">
              <w:rPr>
                <w:rFonts w:ascii="Calibri Light" w:hAnsi="Calibri Light"/>
                <w:b w:val="0"/>
              </w:rPr>
              <w:t xml:space="preserve">chileno </w:t>
            </w:r>
            <w:r w:rsidR="006C5FCB">
              <w:rPr>
                <w:rFonts w:ascii="Calibri Light" w:hAnsi="Calibri Light"/>
                <w:b w:val="0"/>
              </w:rPr>
              <w:t>establecían que</w:t>
            </w:r>
            <w:r w:rsidR="006C5FCB" w:rsidRPr="009B7C6C">
              <w:rPr>
                <w:rFonts w:ascii="Calibri Light" w:hAnsi="Calibri Light"/>
                <w:b w:val="0"/>
              </w:rPr>
              <w:t xml:space="preserve"> </w:t>
            </w:r>
            <w:r w:rsidRPr="009B7C6C">
              <w:rPr>
                <w:rFonts w:ascii="Calibri Light" w:hAnsi="Calibri Light"/>
                <w:b w:val="0"/>
              </w:rPr>
              <w:t xml:space="preserve">las acciones por daño o dolo </w:t>
            </w:r>
            <w:r w:rsidR="006C5FCB">
              <w:rPr>
                <w:rFonts w:ascii="Calibri Light" w:hAnsi="Calibri Light"/>
                <w:b w:val="0"/>
              </w:rPr>
              <w:t xml:space="preserve">prescribían a los </w:t>
            </w:r>
            <w:r w:rsidRPr="009B7C6C">
              <w:rPr>
                <w:rFonts w:ascii="Calibri Light" w:hAnsi="Calibri Light"/>
                <w:b w:val="0"/>
              </w:rPr>
              <w:t xml:space="preserve">cuatro años </w:t>
            </w:r>
            <w:r w:rsidR="006C5FCB">
              <w:rPr>
                <w:rFonts w:ascii="Calibri Light" w:hAnsi="Calibri Light"/>
                <w:b w:val="0"/>
              </w:rPr>
              <w:t>de</w:t>
            </w:r>
            <w:r w:rsidRPr="009B7C6C">
              <w:rPr>
                <w:rFonts w:ascii="Calibri Light" w:hAnsi="Calibri Light"/>
                <w:b w:val="0"/>
              </w:rPr>
              <w:t xml:space="preserve"> la perpetración de los hechos que generaron el daño.</w:t>
            </w:r>
            <w:r w:rsidR="006C5FCB" w:rsidRPr="009B7C6C" w:rsidDel="006C5FCB">
              <w:rPr>
                <w:rFonts w:ascii="Calibri Light" w:hAnsi="Calibri Light"/>
              </w:rPr>
              <w:t xml:space="preserve"> </w:t>
            </w:r>
            <w:r w:rsidRPr="009B7C6C">
              <w:rPr>
                <w:rFonts w:ascii="Calibri Light" w:hAnsi="Calibri Light"/>
                <w:b w:val="0"/>
              </w:rPr>
              <w:t xml:space="preserve">En </w:t>
            </w:r>
            <w:r w:rsidR="006C5FCB">
              <w:rPr>
                <w:rFonts w:ascii="Calibri Light" w:hAnsi="Calibri Light"/>
                <w:b w:val="0"/>
              </w:rPr>
              <w:t>base a ello</w:t>
            </w:r>
            <w:r w:rsidRPr="009B7C6C">
              <w:rPr>
                <w:rFonts w:ascii="Calibri Light" w:hAnsi="Calibri Light"/>
                <w:b w:val="0"/>
              </w:rPr>
              <w:t xml:space="preserve">, los juzgados chilenos </w:t>
            </w:r>
            <w:r w:rsidR="00772918">
              <w:rPr>
                <w:rFonts w:ascii="Calibri Light" w:hAnsi="Calibri Light"/>
                <w:b w:val="0"/>
              </w:rPr>
              <w:t>rechazaron las demandas presentadas por las violaciones, y</w:t>
            </w:r>
            <w:r w:rsidR="006515E9" w:rsidRPr="009B7C6C">
              <w:rPr>
                <w:rFonts w:ascii="Calibri Light" w:hAnsi="Calibri Light"/>
                <w:b w:val="0"/>
              </w:rPr>
              <w:t xml:space="preserve">a que </w:t>
            </w:r>
            <w:r w:rsidRPr="009B7C6C">
              <w:rPr>
                <w:rFonts w:ascii="Calibri Light" w:hAnsi="Calibri Light"/>
                <w:b w:val="0"/>
              </w:rPr>
              <w:t xml:space="preserve">todas las violaciones de derechos humanos </w:t>
            </w:r>
            <w:r w:rsidR="00F20AD7" w:rsidRPr="009B7C6C">
              <w:rPr>
                <w:rFonts w:ascii="Calibri Light" w:hAnsi="Calibri Light"/>
                <w:b w:val="0"/>
              </w:rPr>
              <w:t xml:space="preserve">aducidas para solicitar la reparación </w:t>
            </w:r>
            <w:r w:rsidRPr="009B7C6C">
              <w:rPr>
                <w:rFonts w:ascii="Calibri Light" w:hAnsi="Calibri Light"/>
                <w:b w:val="0"/>
              </w:rPr>
              <w:t>databan de 1973.</w:t>
            </w:r>
            <w:r w:rsidR="00772918">
              <w:rPr>
                <w:rFonts w:ascii="Calibri Light" w:hAnsi="Calibri Light"/>
                <w:b w:val="0"/>
              </w:rPr>
              <w:t xml:space="preserve"> Los familiares de las víctimas apelaron estas decisiones; no obstante, </w:t>
            </w:r>
            <w:r w:rsidRPr="009B7C6C">
              <w:rPr>
                <w:rFonts w:ascii="Calibri Light" w:hAnsi="Calibri Light"/>
                <w:b w:val="0"/>
              </w:rPr>
              <w:t xml:space="preserve">se presentó </w:t>
            </w:r>
            <w:r w:rsidR="0002118B">
              <w:rPr>
                <w:rFonts w:ascii="Calibri Light" w:hAnsi="Calibri Light"/>
                <w:b w:val="0"/>
              </w:rPr>
              <w:t>un</w:t>
            </w:r>
            <w:r w:rsidRPr="009B7C6C">
              <w:rPr>
                <w:rFonts w:ascii="Calibri Light" w:hAnsi="Calibri Light"/>
                <w:b w:val="0"/>
              </w:rPr>
              <w:t xml:space="preserve"> patrón consistente de declarar desierto</w:t>
            </w:r>
            <w:r w:rsidR="00F20AD7" w:rsidRPr="009B7C6C">
              <w:rPr>
                <w:rFonts w:ascii="Calibri Light" w:hAnsi="Calibri Light"/>
                <w:b w:val="0"/>
              </w:rPr>
              <w:t>s</w:t>
            </w:r>
            <w:r w:rsidR="0002118B">
              <w:rPr>
                <w:rFonts w:ascii="Calibri Light" w:hAnsi="Calibri Light"/>
                <w:b w:val="0"/>
              </w:rPr>
              <w:t xml:space="preserve"> los recursos</w:t>
            </w:r>
            <w:r w:rsidRPr="009B7C6C">
              <w:rPr>
                <w:rFonts w:ascii="Calibri Light" w:hAnsi="Calibri Light"/>
                <w:b w:val="0"/>
              </w:rPr>
              <w:t xml:space="preserve"> y ejecutar la sentencia que tenía como base la prescripción.</w:t>
            </w:r>
          </w:p>
          <w:p w14:paraId="4F008F4A" w14:textId="77777777" w:rsidR="009038E5" w:rsidRPr="009B7C6C" w:rsidRDefault="009038E5">
            <w:pPr>
              <w:jc w:val="both"/>
              <w:rPr>
                <w:rFonts w:ascii="Calibri Light" w:hAnsi="Calibri Light"/>
              </w:rPr>
            </w:pPr>
          </w:p>
          <w:p w14:paraId="6385F195" w14:textId="77777777" w:rsidR="009038E5" w:rsidRPr="009B7C6C" w:rsidRDefault="008063DA">
            <w:pPr>
              <w:jc w:val="both"/>
              <w:rPr>
                <w:rFonts w:ascii="Calibri Light" w:hAnsi="Calibri Light"/>
              </w:rPr>
            </w:pPr>
            <w:r w:rsidRPr="009B7C6C">
              <w:rPr>
                <w:rFonts w:ascii="Calibri Light" w:hAnsi="Calibri Light"/>
                <w:b w:val="0"/>
              </w:rPr>
              <w:t>Frente a tales hechos, Nelson Caucoto</w:t>
            </w:r>
            <w:r w:rsidR="00772918">
              <w:rPr>
                <w:rFonts w:ascii="Calibri Light" w:hAnsi="Calibri Light"/>
                <w:b w:val="0"/>
              </w:rPr>
              <w:t xml:space="preserve">, en representación de </w:t>
            </w:r>
            <w:r w:rsidR="00772918" w:rsidRPr="009B7C6C">
              <w:rPr>
                <w:rFonts w:ascii="Calibri Light" w:hAnsi="Calibri Light"/>
                <w:b w:val="0"/>
              </w:rPr>
              <w:t xml:space="preserve">María Laura Órdenes y otros </w:t>
            </w:r>
            <w:r w:rsidR="00772918">
              <w:rPr>
                <w:rFonts w:ascii="Calibri Light" w:hAnsi="Calibri Light"/>
                <w:b w:val="0"/>
              </w:rPr>
              <w:t xml:space="preserve">familiares </w:t>
            </w:r>
            <w:r w:rsidR="00772918" w:rsidRPr="009B7C6C">
              <w:rPr>
                <w:rFonts w:ascii="Calibri Light" w:hAnsi="Calibri Light"/>
                <w:b w:val="0"/>
              </w:rPr>
              <w:t>de las víctimas</w:t>
            </w:r>
            <w:r w:rsidR="00772918">
              <w:rPr>
                <w:rFonts w:ascii="Calibri Light" w:hAnsi="Calibri Light"/>
                <w:b w:val="0"/>
              </w:rPr>
              <w:t>,</w:t>
            </w:r>
            <w:r w:rsidR="00772918" w:rsidRPr="009B7C6C">
              <w:rPr>
                <w:rFonts w:ascii="Calibri Light" w:hAnsi="Calibri Light"/>
                <w:b w:val="0"/>
              </w:rPr>
              <w:t xml:space="preserve"> </w:t>
            </w:r>
            <w:r w:rsidRPr="009B7C6C">
              <w:rPr>
                <w:rFonts w:ascii="Calibri Light" w:hAnsi="Calibri Light"/>
                <w:b w:val="0"/>
              </w:rPr>
              <w:t xml:space="preserve">presentó una petición ante la CIDH, denunciado al Estado </w:t>
            </w:r>
            <w:r w:rsidR="00772918">
              <w:rPr>
                <w:rFonts w:ascii="Calibri Light" w:hAnsi="Calibri Light"/>
                <w:b w:val="0"/>
              </w:rPr>
              <w:t>de Chile</w:t>
            </w:r>
            <w:r w:rsidRPr="009B7C6C">
              <w:rPr>
                <w:rFonts w:ascii="Calibri Light" w:hAnsi="Calibri Light"/>
                <w:b w:val="0"/>
              </w:rPr>
              <w:t xml:space="preserve"> por la violación de los </w:t>
            </w:r>
            <w:r w:rsidR="00772918">
              <w:rPr>
                <w:rFonts w:ascii="Calibri Light" w:hAnsi="Calibri Light"/>
                <w:b w:val="0"/>
              </w:rPr>
              <w:t>derechos a las garantías judiciales y protección judicial, reconocidos en la  Convención Americana sobre Derechos Humanos (</w:t>
            </w:r>
            <w:r w:rsidR="00373AA6">
              <w:rPr>
                <w:rFonts w:ascii="Calibri Light" w:hAnsi="Calibri Light"/>
                <w:b w:val="0"/>
              </w:rPr>
              <w:t xml:space="preserve">en adelante, </w:t>
            </w:r>
            <w:r w:rsidR="00772918">
              <w:rPr>
                <w:rFonts w:ascii="Calibri Light" w:hAnsi="Calibri Light"/>
                <w:b w:val="0"/>
              </w:rPr>
              <w:t>CADH)</w:t>
            </w:r>
            <w:r w:rsidR="003454FC" w:rsidRPr="009B7C6C">
              <w:rPr>
                <w:rFonts w:ascii="Calibri Light" w:hAnsi="Calibri Light"/>
                <w:b w:val="0"/>
              </w:rPr>
              <w:t>.</w:t>
            </w:r>
          </w:p>
          <w:p w14:paraId="2491C9F5" w14:textId="77777777" w:rsidR="009038E5" w:rsidRPr="009B7C6C" w:rsidRDefault="009038E5">
            <w:pPr>
              <w:jc w:val="both"/>
              <w:rPr>
                <w:rFonts w:ascii="Calibri Light" w:hAnsi="Calibri Light"/>
              </w:rPr>
            </w:pPr>
          </w:p>
        </w:tc>
      </w:tr>
      <w:tr w:rsidR="009038E5" w:rsidRPr="009B7C6C" w14:paraId="5A0871E3" w14:textId="77777777" w:rsidTr="009038E5">
        <w:trPr>
          <w:trHeight w:val="260"/>
        </w:trPr>
        <w:tc>
          <w:tcPr>
            <w:cnfStyle w:val="001000000000" w:firstRow="0" w:lastRow="0" w:firstColumn="1" w:lastColumn="0" w:oddVBand="0" w:evenVBand="0" w:oddHBand="0" w:evenHBand="0" w:firstRowFirstColumn="0" w:firstRowLastColumn="0" w:lastRowFirstColumn="0" w:lastRowLastColumn="0"/>
            <w:tcW w:w="8505" w:type="dxa"/>
            <w:gridSpan w:val="3"/>
          </w:tcPr>
          <w:p w14:paraId="21542BBA"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351E4B00" w14:textId="77777777" w:rsidR="009038E5" w:rsidRPr="009B7C6C" w:rsidRDefault="008063DA">
            <w:pPr>
              <w:numPr>
                <w:ilvl w:val="0"/>
                <w:numId w:val="3"/>
              </w:numPr>
              <w:pBdr>
                <w:top w:val="nil"/>
                <w:left w:val="nil"/>
                <w:bottom w:val="nil"/>
                <w:right w:val="nil"/>
                <w:between w:val="nil"/>
              </w:pBdr>
              <w:contextualSpacing/>
              <w:jc w:val="center"/>
              <w:rPr>
                <w:rFonts w:ascii="Calibri Light" w:hAnsi="Calibri Light"/>
                <w:color w:val="000000"/>
              </w:rPr>
            </w:pPr>
            <w:r w:rsidRPr="009B7C6C">
              <w:rPr>
                <w:rFonts w:ascii="Calibri Light" w:hAnsi="Calibri Light"/>
                <w:color w:val="000000"/>
              </w:rPr>
              <w:t>Análisis jurídico</w:t>
            </w:r>
          </w:p>
          <w:p w14:paraId="662FFCF7" w14:textId="77777777" w:rsidR="009038E5" w:rsidRPr="009B7C6C" w:rsidRDefault="009038E5">
            <w:pPr>
              <w:pBdr>
                <w:top w:val="nil"/>
                <w:left w:val="nil"/>
                <w:bottom w:val="nil"/>
                <w:right w:val="nil"/>
                <w:between w:val="nil"/>
              </w:pBdr>
              <w:ind w:left="720" w:hanging="720"/>
              <w:rPr>
                <w:rFonts w:ascii="Calibri Light" w:hAnsi="Calibri Light"/>
                <w:color w:val="000000"/>
              </w:rPr>
            </w:pPr>
          </w:p>
        </w:tc>
      </w:tr>
      <w:tr w:rsidR="009038E5" w:rsidRPr="009B7C6C" w14:paraId="1DF919F2" w14:textId="77777777" w:rsidTr="009038E5">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8505" w:type="dxa"/>
            <w:gridSpan w:val="3"/>
          </w:tcPr>
          <w:p w14:paraId="1105E95C" w14:textId="77777777" w:rsidR="009038E5" w:rsidRPr="009B7C6C" w:rsidRDefault="009038E5">
            <w:pPr>
              <w:jc w:val="both"/>
              <w:rPr>
                <w:rFonts w:ascii="Calibri Light" w:hAnsi="Calibri Light"/>
              </w:rPr>
            </w:pPr>
          </w:p>
          <w:p w14:paraId="2AD6245F" w14:textId="77777777" w:rsidR="0002118B" w:rsidRDefault="008063DA" w:rsidP="0002118B">
            <w:pPr>
              <w:jc w:val="both"/>
              <w:rPr>
                <w:rFonts w:ascii="Calibri Light" w:hAnsi="Calibri Light"/>
              </w:rPr>
            </w:pPr>
            <w:r w:rsidRPr="0002118B">
              <w:rPr>
                <w:rFonts w:ascii="Calibri Light" w:hAnsi="Calibri Light"/>
              </w:rPr>
              <w:t>Derecho a las garantías judiciales y a la protección judicial de María Laura Órdenes y otros (artículos 8 y 25 de la CADH)</w:t>
            </w:r>
          </w:p>
          <w:p w14:paraId="743E21F5" w14:textId="77777777" w:rsidR="0002118B" w:rsidRDefault="0002118B" w:rsidP="0002118B">
            <w:pPr>
              <w:jc w:val="both"/>
              <w:rPr>
                <w:rFonts w:ascii="Calibri Light" w:hAnsi="Calibri Light"/>
              </w:rPr>
            </w:pPr>
          </w:p>
          <w:p w14:paraId="0EA99EDB" w14:textId="77777777" w:rsidR="00FA2DEC" w:rsidRPr="00334065" w:rsidRDefault="00FA2DEC" w:rsidP="00334065">
            <w:pPr>
              <w:pStyle w:val="ListParagraph"/>
              <w:numPr>
                <w:ilvl w:val="2"/>
                <w:numId w:val="3"/>
              </w:numPr>
              <w:jc w:val="both"/>
              <w:rPr>
                <w:rFonts w:ascii="Calibri Light" w:hAnsi="Calibri Light"/>
              </w:rPr>
            </w:pPr>
            <w:r w:rsidRPr="00334065">
              <w:rPr>
                <w:rFonts w:ascii="Calibri Light" w:hAnsi="Calibri Light"/>
              </w:rPr>
              <w:t>Consideraciones generales sobre el acceso a la justicia y el deber de adoptar disposiciones de derecho interno</w:t>
            </w:r>
          </w:p>
          <w:p w14:paraId="1C3FEBF0" w14:textId="77777777" w:rsidR="00FA2DEC" w:rsidRPr="009B7C6C" w:rsidRDefault="00FA2DEC" w:rsidP="00FA2DEC">
            <w:pPr>
              <w:jc w:val="both"/>
              <w:rPr>
                <w:rFonts w:ascii="Calibri Light" w:hAnsi="Calibri Light"/>
              </w:rPr>
            </w:pPr>
          </w:p>
          <w:p w14:paraId="5B4B0863" w14:textId="77777777" w:rsidR="00FA2DEC" w:rsidRPr="009B7C6C" w:rsidRDefault="00FA2DEC" w:rsidP="00FA2DEC">
            <w:pPr>
              <w:jc w:val="both"/>
              <w:rPr>
                <w:rFonts w:ascii="Calibri Light" w:hAnsi="Calibri Light"/>
                <w:b w:val="0"/>
              </w:rPr>
            </w:pPr>
            <w:r w:rsidRPr="009B7C6C">
              <w:rPr>
                <w:rFonts w:ascii="Calibri Light" w:hAnsi="Calibri Light"/>
                <w:b w:val="0"/>
              </w:rPr>
              <w:t>El derecho a la protección judicial</w:t>
            </w:r>
            <w:r w:rsidR="0093601F">
              <w:rPr>
                <w:rFonts w:ascii="Calibri Light" w:hAnsi="Calibri Light"/>
                <w:b w:val="0"/>
              </w:rPr>
              <w:t>, reconocido en el artículo 25 de la CADH,</w:t>
            </w:r>
            <w:r w:rsidRPr="009B7C6C">
              <w:rPr>
                <w:rFonts w:ascii="Calibri Light" w:hAnsi="Calibri Light"/>
                <w:b w:val="0"/>
              </w:rPr>
              <w:t xml:space="preserve"> implica la provisión a las víctimas de violaciones de derechos humanos de recursos judiciales efectivos,</w:t>
            </w:r>
            <w:r w:rsidR="003918A7" w:rsidRPr="009B7C6C">
              <w:rPr>
                <w:rFonts w:ascii="Calibri Light" w:hAnsi="Calibri Light"/>
                <w:b w:val="0"/>
              </w:rPr>
              <w:t xml:space="preserve"> los cuales no solo </w:t>
            </w:r>
            <w:r w:rsidR="0093601F">
              <w:rPr>
                <w:rFonts w:ascii="Calibri Light" w:hAnsi="Calibri Light"/>
                <w:b w:val="0"/>
              </w:rPr>
              <w:t>deben</w:t>
            </w:r>
            <w:r w:rsidR="003918A7" w:rsidRPr="009B7C6C">
              <w:rPr>
                <w:rFonts w:ascii="Calibri Light" w:hAnsi="Calibri Light"/>
                <w:b w:val="0"/>
              </w:rPr>
              <w:t xml:space="preserve"> ser idóneos para determinar si se produjo o no una violación de derechos humanos, sino también proveer lo necesario para remediarla.</w:t>
            </w:r>
            <w:r w:rsidR="0093601F">
              <w:rPr>
                <w:rFonts w:ascii="Calibri Light" w:hAnsi="Calibri Light"/>
                <w:b w:val="0"/>
              </w:rPr>
              <w:t xml:space="preserve"> Además, l</w:t>
            </w:r>
            <w:r w:rsidR="003918A7" w:rsidRPr="009B7C6C">
              <w:rPr>
                <w:rFonts w:ascii="Calibri Light" w:hAnsi="Calibri Light"/>
                <w:b w:val="0"/>
              </w:rPr>
              <w:t>a protección judicial debe darse con atención a las garantías del debido proceso, entre las cuales se encuentra el conferir a los familiares de las víctimas el derecho a que se reparen el perjuicio sufrido por la pérdida de sus seres queridos.</w:t>
            </w:r>
          </w:p>
          <w:p w14:paraId="688DB2A0" w14:textId="77777777" w:rsidR="009038E5" w:rsidRPr="009B7C6C" w:rsidRDefault="009038E5">
            <w:pPr>
              <w:jc w:val="both"/>
              <w:rPr>
                <w:rFonts w:ascii="Calibri Light" w:hAnsi="Calibri Light"/>
                <w:b w:val="0"/>
              </w:rPr>
            </w:pPr>
          </w:p>
          <w:p w14:paraId="1F0A9D36" w14:textId="77777777" w:rsidR="004710B7" w:rsidRPr="009B7C6C" w:rsidRDefault="004710B7" w:rsidP="005040B9">
            <w:pPr>
              <w:jc w:val="both"/>
              <w:rPr>
                <w:rFonts w:ascii="Calibri Light" w:hAnsi="Calibri Light"/>
                <w:b w:val="0"/>
              </w:rPr>
            </w:pPr>
            <w:r w:rsidRPr="009B7C6C">
              <w:rPr>
                <w:rFonts w:ascii="Calibri Light" w:hAnsi="Calibri Light"/>
                <w:b w:val="0"/>
              </w:rPr>
              <w:lastRenderedPageBreak/>
              <w:t>Por otro lado, el deber de adoptar disposiciones internas</w:t>
            </w:r>
            <w:r w:rsidR="0093601F">
              <w:rPr>
                <w:rFonts w:ascii="Calibri Light" w:hAnsi="Calibri Light"/>
                <w:b w:val="0"/>
              </w:rPr>
              <w:t>, reconocido en el artículo 2 de la CADH,</w:t>
            </w:r>
            <w:r w:rsidRPr="009B7C6C">
              <w:rPr>
                <w:rFonts w:ascii="Calibri Light" w:hAnsi="Calibri Light"/>
                <w:b w:val="0"/>
              </w:rPr>
              <w:t xml:space="preserve"> ha sido entendido</w:t>
            </w:r>
            <w:r w:rsidR="005B68FB">
              <w:rPr>
                <w:rFonts w:ascii="Calibri Light" w:hAnsi="Calibri Light"/>
                <w:b w:val="0"/>
              </w:rPr>
              <w:t xml:space="preserve"> como</w:t>
            </w:r>
            <w:r w:rsidRPr="009B7C6C">
              <w:rPr>
                <w:rFonts w:ascii="Calibri Light" w:hAnsi="Calibri Light"/>
                <w:b w:val="0"/>
              </w:rPr>
              <w:t xml:space="preserve">: </w:t>
            </w:r>
            <w:r w:rsidR="0093601F">
              <w:rPr>
                <w:rFonts w:ascii="Calibri Light" w:hAnsi="Calibri Light"/>
                <w:b w:val="0"/>
              </w:rPr>
              <w:t>i</w:t>
            </w:r>
            <w:r w:rsidRPr="009B7C6C">
              <w:rPr>
                <w:rFonts w:ascii="Calibri Light" w:hAnsi="Calibri Light"/>
                <w:b w:val="0"/>
              </w:rPr>
              <w:t xml:space="preserve">) la </w:t>
            </w:r>
            <w:r w:rsidR="005B68FB">
              <w:rPr>
                <w:rFonts w:ascii="Calibri Light" w:hAnsi="Calibri Light"/>
                <w:b w:val="0"/>
              </w:rPr>
              <w:t xml:space="preserve">obligación de </w:t>
            </w:r>
            <w:r w:rsidR="005B68FB" w:rsidRPr="009B7C6C">
              <w:rPr>
                <w:rFonts w:ascii="Calibri Light" w:hAnsi="Calibri Light"/>
                <w:b w:val="0"/>
              </w:rPr>
              <w:t>supr</w:t>
            </w:r>
            <w:r w:rsidR="005B68FB">
              <w:rPr>
                <w:rFonts w:ascii="Calibri Light" w:hAnsi="Calibri Light"/>
                <w:b w:val="0"/>
              </w:rPr>
              <w:t>imir</w:t>
            </w:r>
            <w:r w:rsidR="005B68FB" w:rsidRPr="009B7C6C">
              <w:rPr>
                <w:rFonts w:ascii="Calibri Light" w:hAnsi="Calibri Light"/>
                <w:b w:val="0"/>
              </w:rPr>
              <w:t xml:space="preserve"> </w:t>
            </w:r>
            <w:r w:rsidRPr="009B7C6C">
              <w:rPr>
                <w:rFonts w:ascii="Calibri Light" w:hAnsi="Calibri Light"/>
                <w:b w:val="0"/>
              </w:rPr>
              <w:t xml:space="preserve">normas o prácticas que entrañen la violación de </w:t>
            </w:r>
            <w:r w:rsidR="005B68FB">
              <w:rPr>
                <w:rFonts w:ascii="Calibri Light" w:hAnsi="Calibri Light"/>
                <w:b w:val="0"/>
              </w:rPr>
              <w:t>derechos protegidos por</w:t>
            </w:r>
            <w:r w:rsidRPr="009B7C6C">
              <w:rPr>
                <w:rFonts w:ascii="Calibri Light" w:hAnsi="Calibri Light"/>
                <w:b w:val="0"/>
              </w:rPr>
              <w:t xml:space="preserve"> la CADH; </w:t>
            </w:r>
            <w:r w:rsidR="005B68FB">
              <w:rPr>
                <w:rFonts w:ascii="Calibri Light" w:hAnsi="Calibri Light"/>
                <w:b w:val="0"/>
              </w:rPr>
              <w:t>mediante su</w:t>
            </w:r>
            <w:r w:rsidRPr="009B7C6C">
              <w:rPr>
                <w:rFonts w:ascii="Calibri Light" w:hAnsi="Calibri Light"/>
                <w:b w:val="0"/>
              </w:rPr>
              <w:t xml:space="preserve"> modificación, derogación, anulación o reforma; </w:t>
            </w:r>
            <w:r w:rsidR="005B68FB">
              <w:rPr>
                <w:rFonts w:ascii="Calibri Light" w:hAnsi="Calibri Light"/>
                <w:b w:val="0"/>
              </w:rPr>
              <w:t>o</w:t>
            </w:r>
            <w:r w:rsidRPr="009B7C6C">
              <w:rPr>
                <w:rFonts w:ascii="Calibri Light" w:hAnsi="Calibri Light"/>
                <w:b w:val="0"/>
              </w:rPr>
              <w:t xml:space="preserve"> </w:t>
            </w:r>
            <w:r w:rsidR="005B68FB">
              <w:rPr>
                <w:rFonts w:ascii="Calibri Light" w:hAnsi="Calibri Light"/>
                <w:b w:val="0"/>
              </w:rPr>
              <w:t>ii</w:t>
            </w:r>
            <w:r w:rsidRPr="009B7C6C">
              <w:rPr>
                <w:rFonts w:ascii="Calibri Light" w:hAnsi="Calibri Light"/>
                <w:b w:val="0"/>
              </w:rPr>
              <w:t xml:space="preserve">) </w:t>
            </w:r>
            <w:r w:rsidR="005B68FB">
              <w:rPr>
                <w:rFonts w:ascii="Calibri Light" w:hAnsi="Calibri Light"/>
                <w:b w:val="0"/>
              </w:rPr>
              <w:t>el deber de</w:t>
            </w:r>
            <w:r w:rsidRPr="009B7C6C">
              <w:rPr>
                <w:rFonts w:ascii="Calibri Light" w:hAnsi="Calibri Light"/>
                <w:b w:val="0"/>
              </w:rPr>
              <w:t xml:space="preserve"> </w:t>
            </w:r>
            <w:r w:rsidR="005B68FB" w:rsidRPr="009B7C6C">
              <w:rPr>
                <w:rFonts w:ascii="Calibri Light" w:hAnsi="Calibri Light"/>
                <w:b w:val="0"/>
              </w:rPr>
              <w:t>expedi</w:t>
            </w:r>
            <w:r w:rsidR="005B68FB">
              <w:rPr>
                <w:rFonts w:ascii="Calibri Light" w:hAnsi="Calibri Light"/>
                <w:b w:val="0"/>
              </w:rPr>
              <w:t>r</w:t>
            </w:r>
            <w:r w:rsidR="005B68FB" w:rsidRPr="009B7C6C">
              <w:rPr>
                <w:rFonts w:ascii="Calibri Light" w:hAnsi="Calibri Light"/>
                <w:b w:val="0"/>
              </w:rPr>
              <w:t xml:space="preserve"> </w:t>
            </w:r>
            <w:r w:rsidRPr="009B7C6C">
              <w:rPr>
                <w:rFonts w:ascii="Calibri Light" w:hAnsi="Calibri Light"/>
                <w:b w:val="0"/>
              </w:rPr>
              <w:t xml:space="preserve">normas y </w:t>
            </w:r>
            <w:r w:rsidR="005B68FB">
              <w:rPr>
                <w:rFonts w:ascii="Calibri Light" w:hAnsi="Calibri Light"/>
                <w:b w:val="0"/>
              </w:rPr>
              <w:t>desarrollar</w:t>
            </w:r>
            <w:r w:rsidRPr="009B7C6C">
              <w:rPr>
                <w:rFonts w:ascii="Calibri Light" w:hAnsi="Calibri Light"/>
                <w:b w:val="0"/>
              </w:rPr>
              <w:t xml:space="preserve"> prácticas conducentes a la efectiva observancia de dichas garantías.</w:t>
            </w:r>
            <w:r w:rsidR="005040B9">
              <w:rPr>
                <w:rFonts w:ascii="Calibri Light" w:hAnsi="Calibri Light"/>
                <w:b w:val="0"/>
              </w:rPr>
              <w:t xml:space="preserve"> </w:t>
            </w:r>
            <w:r w:rsidR="005040B9" w:rsidRPr="005040B9">
              <w:rPr>
                <w:rFonts w:ascii="Calibri Light" w:hAnsi="Calibri Light"/>
                <w:b w:val="0"/>
              </w:rPr>
              <w:t>La Corte</w:t>
            </w:r>
            <w:r w:rsidR="005040B9">
              <w:rPr>
                <w:rFonts w:ascii="Calibri Light" w:hAnsi="Calibri Light"/>
                <w:b w:val="0"/>
              </w:rPr>
              <w:t xml:space="preserve"> IDH</w:t>
            </w:r>
            <w:r w:rsidR="005040B9" w:rsidRPr="005040B9">
              <w:rPr>
                <w:rFonts w:ascii="Calibri Light" w:hAnsi="Calibri Light"/>
                <w:b w:val="0"/>
              </w:rPr>
              <w:t xml:space="preserve"> ha entendido que la obligación de la</w:t>
            </w:r>
            <w:r w:rsidR="005040B9">
              <w:rPr>
                <w:rFonts w:ascii="Calibri Light" w:hAnsi="Calibri Light"/>
                <w:b w:val="0"/>
              </w:rPr>
              <w:t xml:space="preserve"> </w:t>
            </w:r>
            <w:r w:rsidR="005040B9" w:rsidRPr="005040B9">
              <w:rPr>
                <w:rFonts w:ascii="Calibri Light" w:hAnsi="Calibri Light"/>
                <w:b w:val="0"/>
              </w:rPr>
              <w:t xml:space="preserve">primera vertiente se incumple mientras la norma o práctica violatoria de la </w:t>
            </w:r>
            <w:r w:rsidR="005040B9">
              <w:rPr>
                <w:rFonts w:ascii="Calibri Light" w:hAnsi="Calibri Light"/>
                <w:b w:val="0"/>
              </w:rPr>
              <w:t>CADH</w:t>
            </w:r>
            <w:r w:rsidR="005040B9" w:rsidRPr="005040B9">
              <w:rPr>
                <w:rFonts w:ascii="Calibri Light" w:hAnsi="Calibri Light"/>
                <w:b w:val="0"/>
              </w:rPr>
              <w:t xml:space="preserve"> se mantenga en el</w:t>
            </w:r>
            <w:r w:rsidR="005040B9">
              <w:rPr>
                <w:rFonts w:ascii="Calibri Light" w:hAnsi="Calibri Light"/>
                <w:b w:val="0"/>
              </w:rPr>
              <w:t xml:space="preserve"> </w:t>
            </w:r>
            <w:r w:rsidR="005040B9" w:rsidRPr="005040B9">
              <w:rPr>
                <w:rFonts w:ascii="Calibri Light" w:hAnsi="Calibri Light"/>
                <w:b w:val="0"/>
              </w:rPr>
              <w:t xml:space="preserve">ordenamiento jurídico y, por ende, se satisface con la modificación, derogación, </w:t>
            </w:r>
            <w:r w:rsidR="005040B9">
              <w:rPr>
                <w:rFonts w:ascii="Calibri Light" w:hAnsi="Calibri Light"/>
                <w:b w:val="0"/>
              </w:rPr>
              <w:t>anulación</w:t>
            </w:r>
            <w:r w:rsidR="005040B9" w:rsidRPr="005040B9">
              <w:rPr>
                <w:rFonts w:ascii="Calibri Light" w:hAnsi="Calibri Light"/>
                <w:b w:val="0"/>
              </w:rPr>
              <w:t>, o reforma de las normas o prácticas que tengan esos alcances</w:t>
            </w:r>
            <w:r w:rsidR="005040B9">
              <w:rPr>
                <w:rFonts w:ascii="Calibri Light" w:hAnsi="Calibri Light"/>
                <w:b w:val="0"/>
              </w:rPr>
              <w:t>.</w:t>
            </w:r>
          </w:p>
          <w:p w14:paraId="753DE878" w14:textId="77777777" w:rsidR="004710B7" w:rsidRPr="009B7C6C" w:rsidRDefault="004710B7">
            <w:pPr>
              <w:jc w:val="both"/>
              <w:rPr>
                <w:rFonts w:ascii="Calibri Light" w:hAnsi="Calibri Light"/>
                <w:b w:val="0"/>
              </w:rPr>
            </w:pPr>
          </w:p>
          <w:p w14:paraId="630C4B36" w14:textId="77777777" w:rsidR="004710B7" w:rsidRPr="00334065" w:rsidRDefault="00F14DCA" w:rsidP="00334065">
            <w:pPr>
              <w:pStyle w:val="ListParagraph"/>
              <w:numPr>
                <w:ilvl w:val="2"/>
                <w:numId w:val="3"/>
              </w:numPr>
              <w:jc w:val="both"/>
              <w:rPr>
                <w:rFonts w:ascii="Calibri Light" w:hAnsi="Calibri Light"/>
              </w:rPr>
            </w:pPr>
            <w:r w:rsidRPr="00334065">
              <w:rPr>
                <w:rFonts w:ascii="Calibri Light" w:hAnsi="Calibri Light"/>
              </w:rPr>
              <w:t>Consideraciones sobre la prescripción de acciones judiciales para obtener reparaciones frente a ciertas violaciones de derechos humanos</w:t>
            </w:r>
          </w:p>
          <w:p w14:paraId="69AE4E20" w14:textId="77777777" w:rsidR="00F14DCA" w:rsidRPr="009B7C6C" w:rsidRDefault="00F14DCA" w:rsidP="00F14DCA">
            <w:pPr>
              <w:jc w:val="both"/>
              <w:rPr>
                <w:rFonts w:ascii="Calibri Light" w:hAnsi="Calibri Light"/>
              </w:rPr>
            </w:pPr>
          </w:p>
          <w:p w14:paraId="5EF816F6" w14:textId="77777777" w:rsidR="002657AD" w:rsidRPr="009B7C6C" w:rsidRDefault="00AC022E" w:rsidP="00F14DCA">
            <w:pPr>
              <w:jc w:val="both"/>
              <w:rPr>
                <w:rFonts w:ascii="Calibri Light" w:hAnsi="Calibri Light"/>
                <w:b w:val="0"/>
              </w:rPr>
            </w:pPr>
            <w:r>
              <w:rPr>
                <w:rFonts w:ascii="Calibri Light" w:hAnsi="Calibri Light"/>
                <w:b w:val="0"/>
              </w:rPr>
              <w:t>Instrumentos internacionales</w:t>
            </w:r>
            <w:r w:rsidR="00927386">
              <w:rPr>
                <w:rFonts w:ascii="Calibri Light" w:hAnsi="Calibri Light"/>
                <w:b w:val="0"/>
              </w:rPr>
              <w:t>,</w:t>
            </w:r>
            <w:r>
              <w:rPr>
                <w:rFonts w:ascii="Calibri Light" w:hAnsi="Calibri Light"/>
                <w:b w:val="0"/>
              </w:rPr>
              <w:t xml:space="preserve"> como </w:t>
            </w:r>
            <w:r w:rsidRPr="00AC022E">
              <w:rPr>
                <w:rFonts w:ascii="Calibri Light" w:hAnsi="Calibri Light"/>
                <w:b w:val="0"/>
              </w:rPr>
              <w:t xml:space="preserve">el </w:t>
            </w:r>
            <w:r w:rsidRPr="00927386">
              <w:rPr>
                <w:rFonts w:ascii="Calibri Light" w:hAnsi="Calibri Light"/>
                <w:b w:val="0"/>
                <w:i/>
              </w:rPr>
              <w:t>Conjunto Actualizado de Principios para la Protección y la Promoción de los Derechos Humanos mediante la Lucha contra la Impunidad</w:t>
            </w:r>
            <w:r w:rsidRPr="00AC022E">
              <w:rPr>
                <w:rFonts w:ascii="Calibri Light" w:hAnsi="Calibri Light"/>
                <w:b w:val="0"/>
              </w:rPr>
              <w:t xml:space="preserve">, y en </w:t>
            </w:r>
            <w:r w:rsidRPr="00927386">
              <w:rPr>
                <w:rFonts w:ascii="Calibri Light" w:hAnsi="Calibri Light"/>
                <w:b w:val="0"/>
                <w:i/>
              </w:rPr>
              <w:t>los Principios y Directrices Básicos sobre el Derecho de las Víctimas de Violaciones Manifiestas de las Normas Internacionales de Derechos Humanos y de Violaciones Graves del Derecho Internacional Humanitario a Interponer Recursos y Obtener Reparaciones</w:t>
            </w:r>
            <w:r w:rsidR="00927386">
              <w:rPr>
                <w:rFonts w:ascii="Calibri Light" w:hAnsi="Calibri Light"/>
                <w:b w:val="0"/>
                <w:i/>
              </w:rPr>
              <w:t>,</w:t>
            </w:r>
            <w:r w:rsidR="00F14DCA" w:rsidRPr="009B7C6C">
              <w:rPr>
                <w:rFonts w:ascii="Calibri Light" w:hAnsi="Calibri Light"/>
                <w:b w:val="0"/>
              </w:rPr>
              <w:t xml:space="preserve"> </w:t>
            </w:r>
            <w:r w:rsidR="00927386">
              <w:rPr>
                <w:rFonts w:ascii="Calibri Light" w:hAnsi="Calibri Light"/>
                <w:b w:val="0"/>
              </w:rPr>
              <w:t xml:space="preserve">establecen </w:t>
            </w:r>
            <w:r w:rsidR="00F14DCA" w:rsidRPr="009B7C6C">
              <w:rPr>
                <w:rFonts w:ascii="Calibri Light" w:hAnsi="Calibri Light"/>
                <w:b w:val="0"/>
              </w:rPr>
              <w:t>que las acciones civiles de indemnización en casos de violaciones de derechos humanos</w:t>
            </w:r>
            <w:r w:rsidR="00927386">
              <w:rPr>
                <w:rFonts w:ascii="Calibri Light" w:hAnsi="Calibri Light"/>
                <w:b w:val="0"/>
              </w:rPr>
              <w:t>, como ocurre en los procesos penales sobre la misma materia,</w:t>
            </w:r>
            <w:r w:rsidR="00927386" w:rsidRPr="009B7C6C">
              <w:rPr>
                <w:rFonts w:ascii="Calibri Light" w:hAnsi="Calibri Light"/>
                <w:b w:val="0"/>
              </w:rPr>
              <w:t xml:space="preserve"> </w:t>
            </w:r>
            <w:r w:rsidR="00F14DCA" w:rsidRPr="009B7C6C">
              <w:rPr>
                <w:rFonts w:ascii="Calibri Light" w:hAnsi="Calibri Light"/>
                <w:b w:val="0"/>
              </w:rPr>
              <w:t xml:space="preserve">no </w:t>
            </w:r>
            <w:r w:rsidR="00927386">
              <w:rPr>
                <w:rFonts w:ascii="Calibri Light" w:hAnsi="Calibri Light"/>
                <w:b w:val="0"/>
              </w:rPr>
              <w:t>deben estar</w:t>
            </w:r>
            <w:r w:rsidR="00F14DCA" w:rsidRPr="009B7C6C">
              <w:rPr>
                <w:rFonts w:ascii="Calibri Light" w:hAnsi="Calibri Light"/>
                <w:b w:val="0"/>
              </w:rPr>
              <w:t xml:space="preserve"> sujetas a prescripción.</w:t>
            </w:r>
            <w:r w:rsidR="007274E3" w:rsidRPr="009B7C6C" w:rsidDel="007274E3">
              <w:rPr>
                <w:rFonts w:ascii="Calibri Light" w:hAnsi="Calibri Light"/>
                <w:b w:val="0"/>
              </w:rPr>
              <w:t xml:space="preserve"> </w:t>
            </w:r>
            <w:r w:rsidR="007274E3">
              <w:rPr>
                <w:rFonts w:ascii="Calibri Light" w:hAnsi="Calibri Light"/>
                <w:b w:val="0"/>
              </w:rPr>
              <w:t xml:space="preserve">Esto responde a que </w:t>
            </w:r>
            <w:r w:rsidR="002657AD" w:rsidRPr="009B7C6C">
              <w:rPr>
                <w:rFonts w:ascii="Calibri Light" w:hAnsi="Calibri Light"/>
                <w:b w:val="0"/>
              </w:rPr>
              <w:t>el paso del tiempo no borra las huellas de las violaciones de derechos humanos, sino que intensifica sus efectos y la necesidad de acceso a ayuda de todo tipo</w:t>
            </w:r>
            <w:r w:rsidR="000260C6">
              <w:rPr>
                <w:rFonts w:ascii="Calibri Light" w:hAnsi="Calibri Light"/>
                <w:b w:val="0"/>
              </w:rPr>
              <w:t xml:space="preserve"> por parte de las víctimas</w:t>
            </w:r>
            <w:r w:rsidR="002657AD" w:rsidRPr="009B7C6C">
              <w:rPr>
                <w:rFonts w:ascii="Calibri Light" w:hAnsi="Calibri Light"/>
                <w:b w:val="0"/>
              </w:rPr>
              <w:t>.</w:t>
            </w:r>
          </w:p>
          <w:p w14:paraId="6E95C670" w14:textId="77777777" w:rsidR="00CD1899" w:rsidRPr="009B7C6C" w:rsidRDefault="00CD1899" w:rsidP="00F14DCA">
            <w:pPr>
              <w:jc w:val="both"/>
              <w:rPr>
                <w:rFonts w:ascii="Calibri Light" w:hAnsi="Calibri Light"/>
                <w:b w:val="0"/>
              </w:rPr>
            </w:pPr>
          </w:p>
          <w:p w14:paraId="02EAA62F" w14:textId="77777777" w:rsidR="009038E5" w:rsidRPr="00334065" w:rsidRDefault="00BB5CCF" w:rsidP="00334065">
            <w:pPr>
              <w:pStyle w:val="ListParagraph"/>
              <w:numPr>
                <w:ilvl w:val="2"/>
                <w:numId w:val="3"/>
              </w:numPr>
              <w:jc w:val="both"/>
              <w:rPr>
                <w:rFonts w:ascii="Calibri Light" w:hAnsi="Calibri Light"/>
              </w:rPr>
            </w:pPr>
            <w:r w:rsidRPr="00334065">
              <w:rPr>
                <w:rFonts w:ascii="Calibri Light" w:hAnsi="Calibri Light"/>
              </w:rPr>
              <w:t>Consideraciones generales sobre reparaciones administrativas y judiciales</w:t>
            </w:r>
          </w:p>
          <w:p w14:paraId="7EF61756" w14:textId="77777777" w:rsidR="00BB5CCF" w:rsidRPr="009B7C6C" w:rsidRDefault="00BB5CCF" w:rsidP="00BB5CCF">
            <w:pPr>
              <w:jc w:val="both"/>
              <w:rPr>
                <w:rFonts w:ascii="Calibri Light" w:hAnsi="Calibri Light"/>
              </w:rPr>
            </w:pPr>
          </w:p>
          <w:p w14:paraId="41EA3C46" w14:textId="77777777" w:rsidR="00426D98" w:rsidRPr="009B7C6C" w:rsidRDefault="00426D98" w:rsidP="00BB5CCF">
            <w:pPr>
              <w:jc w:val="both"/>
              <w:rPr>
                <w:rFonts w:ascii="Calibri Light" w:hAnsi="Calibri Light"/>
                <w:b w:val="0"/>
              </w:rPr>
            </w:pPr>
            <w:r w:rsidRPr="009B7C6C">
              <w:rPr>
                <w:rFonts w:ascii="Calibri Light" w:hAnsi="Calibri Light"/>
                <w:b w:val="0"/>
              </w:rPr>
              <w:t xml:space="preserve">La Corte IDH ha valorado positivamente la existencia de mecanismos nacionales para determinar formas de reparación, pero ha </w:t>
            </w:r>
            <w:r w:rsidR="00526513">
              <w:rPr>
                <w:rFonts w:ascii="Calibri Light" w:hAnsi="Calibri Light"/>
                <w:b w:val="0"/>
              </w:rPr>
              <w:t xml:space="preserve">señalado que </w:t>
            </w:r>
            <w:r w:rsidRPr="009B7C6C">
              <w:rPr>
                <w:rFonts w:ascii="Calibri Light" w:hAnsi="Calibri Light"/>
                <w:b w:val="0"/>
              </w:rPr>
              <w:t xml:space="preserve">estos </w:t>
            </w:r>
            <w:r w:rsidR="00AA6353">
              <w:rPr>
                <w:rFonts w:ascii="Calibri Light" w:hAnsi="Calibri Light"/>
                <w:b w:val="0"/>
              </w:rPr>
              <w:t xml:space="preserve">deben </w:t>
            </w:r>
            <w:r w:rsidRPr="009B7C6C">
              <w:rPr>
                <w:rFonts w:ascii="Calibri Light" w:hAnsi="Calibri Light"/>
                <w:b w:val="0"/>
              </w:rPr>
              <w:t>satisface</w:t>
            </w:r>
            <w:r w:rsidR="00AA6353">
              <w:rPr>
                <w:rFonts w:ascii="Calibri Light" w:hAnsi="Calibri Light"/>
                <w:b w:val="0"/>
              </w:rPr>
              <w:t>r los</w:t>
            </w:r>
            <w:r w:rsidRPr="009B7C6C">
              <w:rPr>
                <w:rFonts w:ascii="Calibri Light" w:hAnsi="Calibri Light"/>
                <w:b w:val="0"/>
              </w:rPr>
              <w:t xml:space="preserve"> criterios de objetividad, razonabilidad y efectividad. En ese sentido, los programas de reparación nacionales </w:t>
            </w:r>
            <w:r w:rsidR="00AA6353">
              <w:rPr>
                <w:rFonts w:ascii="Calibri Light" w:hAnsi="Calibri Light"/>
                <w:b w:val="0"/>
              </w:rPr>
              <w:t>deben</w:t>
            </w:r>
            <w:r w:rsidRPr="009B7C6C">
              <w:rPr>
                <w:rFonts w:ascii="Calibri Light" w:hAnsi="Calibri Light"/>
                <w:b w:val="0"/>
              </w:rPr>
              <w:t xml:space="preserve"> ser compatibles con las obligaciones estatales a nivel internacional.</w:t>
            </w:r>
            <w:r w:rsidR="00AA6353">
              <w:rPr>
                <w:rFonts w:ascii="Calibri Light" w:hAnsi="Calibri Light"/>
                <w:b w:val="0"/>
              </w:rPr>
              <w:t xml:space="preserve"> </w:t>
            </w:r>
            <w:r w:rsidR="00AC022E">
              <w:rPr>
                <w:rFonts w:ascii="Calibri Light" w:hAnsi="Calibri Light"/>
                <w:b w:val="0"/>
              </w:rPr>
              <w:t>Por su parte, la CIDH ha expresado que</w:t>
            </w:r>
            <w:r w:rsidR="00DA28F6">
              <w:rPr>
                <w:rFonts w:ascii="Calibri Light" w:hAnsi="Calibri Light"/>
                <w:b w:val="0"/>
              </w:rPr>
              <w:t>, a</w:t>
            </w:r>
            <w:r w:rsidR="002D309D" w:rsidRPr="009B7C6C">
              <w:rPr>
                <w:rFonts w:ascii="Calibri Light" w:hAnsi="Calibri Light"/>
                <w:b w:val="0"/>
              </w:rPr>
              <w:t xml:space="preserve"> pesar de la importancia de estos mecanismos de reparaciones administrativas, su existencia no debe menoscabar </w:t>
            </w:r>
            <w:r w:rsidR="003001FA" w:rsidRPr="009B7C6C">
              <w:rPr>
                <w:rFonts w:ascii="Calibri Light" w:hAnsi="Calibri Light"/>
                <w:b w:val="0"/>
              </w:rPr>
              <w:t>u obstruir la garantía al derecho a obtener reparaciones a través de recursos judiciales. Así, debe permitirse a las víctimas escoger la vía que consideren más idónea para ser reparados, y armonizar las reparaciones que puedan obtenerse por ambas vías.</w:t>
            </w:r>
          </w:p>
          <w:p w14:paraId="521727EA" w14:textId="77777777" w:rsidR="003001FA" w:rsidRPr="009B7C6C" w:rsidRDefault="003001FA" w:rsidP="00BB5CCF">
            <w:pPr>
              <w:jc w:val="both"/>
              <w:rPr>
                <w:rFonts w:ascii="Calibri Light" w:hAnsi="Calibri Light"/>
                <w:b w:val="0"/>
              </w:rPr>
            </w:pPr>
          </w:p>
          <w:p w14:paraId="5D6317B8" w14:textId="77777777" w:rsidR="003001FA" w:rsidRPr="00334065" w:rsidRDefault="003001FA" w:rsidP="00334065">
            <w:pPr>
              <w:pStyle w:val="ListParagraph"/>
              <w:numPr>
                <w:ilvl w:val="2"/>
                <w:numId w:val="3"/>
              </w:numPr>
              <w:jc w:val="both"/>
              <w:rPr>
                <w:rFonts w:ascii="Calibri Light" w:hAnsi="Calibri Light"/>
              </w:rPr>
            </w:pPr>
            <w:r w:rsidRPr="00334065">
              <w:rPr>
                <w:rFonts w:ascii="Calibri Light" w:hAnsi="Calibri Light"/>
              </w:rPr>
              <w:t>Análisis del caso concreto</w:t>
            </w:r>
          </w:p>
          <w:p w14:paraId="3D91D445" w14:textId="77777777" w:rsidR="003001FA" w:rsidRPr="009B7C6C" w:rsidRDefault="003001FA" w:rsidP="003001FA">
            <w:pPr>
              <w:jc w:val="both"/>
              <w:rPr>
                <w:rFonts w:ascii="Calibri Light" w:hAnsi="Calibri Light"/>
              </w:rPr>
            </w:pPr>
          </w:p>
          <w:p w14:paraId="1E894086" w14:textId="77777777" w:rsidR="005531E3" w:rsidRPr="009B7C6C" w:rsidRDefault="00AC022E" w:rsidP="003001FA">
            <w:pPr>
              <w:jc w:val="both"/>
              <w:rPr>
                <w:rFonts w:ascii="Calibri Light" w:hAnsi="Calibri Light"/>
                <w:b w:val="0"/>
              </w:rPr>
            </w:pPr>
            <w:r>
              <w:rPr>
                <w:rFonts w:ascii="Calibri Light" w:hAnsi="Calibri Light"/>
                <w:b w:val="0"/>
              </w:rPr>
              <w:t>En el presente caso, l</w:t>
            </w:r>
            <w:r w:rsidR="000260C6">
              <w:rPr>
                <w:rFonts w:ascii="Calibri Light" w:hAnsi="Calibri Light"/>
                <w:b w:val="0"/>
              </w:rPr>
              <w:t>a CIDH utilizó un test de proporcionalidad</w:t>
            </w:r>
            <w:r>
              <w:rPr>
                <w:rFonts w:ascii="Calibri Light" w:hAnsi="Calibri Light"/>
                <w:b w:val="0"/>
              </w:rPr>
              <w:t xml:space="preserve"> para determinar si la figura de la prescripción civil constituyó una restricción </w:t>
            </w:r>
            <w:r w:rsidR="00927386">
              <w:rPr>
                <w:rFonts w:ascii="Calibri Light" w:hAnsi="Calibri Light"/>
                <w:b w:val="0"/>
              </w:rPr>
              <w:t>válida a la luz de los</w:t>
            </w:r>
            <w:r>
              <w:rPr>
                <w:rFonts w:ascii="Calibri Light" w:hAnsi="Calibri Light"/>
                <w:b w:val="0"/>
              </w:rPr>
              <w:t xml:space="preserve"> estándares interamericanos</w:t>
            </w:r>
            <w:r w:rsidR="000260C6">
              <w:rPr>
                <w:rFonts w:ascii="Calibri Light" w:hAnsi="Calibri Light"/>
                <w:b w:val="0"/>
              </w:rPr>
              <w:t xml:space="preserve">. Este </w:t>
            </w:r>
            <w:r>
              <w:rPr>
                <w:rFonts w:ascii="Calibri Light" w:hAnsi="Calibri Light"/>
                <w:b w:val="0"/>
              </w:rPr>
              <w:t xml:space="preserve">test </w:t>
            </w:r>
            <w:r w:rsidR="000260C6">
              <w:rPr>
                <w:rFonts w:ascii="Calibri Light" w:hAnsi="Calibri Light"/>
                <w:b w:val="0"/>
              </w:rPr>
              <w:t xml:space="preserve">se encuentra compuesto por cuatro elementos: </w:t>
            </w:r>
            <w:r>
              <w:rPr>
                <w:rFonts w:ascii="Calibri Light" w:hAnsi="Calibri Light"/>
                <w:b w:val="0"/>
              </w:rPr>
              <w:t>i</w:t>
            </w:r>
            <w:r w:rsidR="005531E3" w:rsidRPr="009B7C6C">
              <w:rPr>
                <w:rFonts w:ascii="Calibri Light" w:hAnsi="Calibri Light"/>
                <w:b w:val="0"/>
              </w:rPr>
              <w:t xml:space="preserve">) la existencia de un fin legítimo, </w:t>
            </w:r>
            <w:r>
              <w:rPr>
                <w:rFonts w:ascii="Calibri Light" w:hAnsi="Calibri Light"/>
                <w:b w:val="0"/>
              </w:rPr>
              <w:t>ii</w:t>
            </w:r>
            <w:r w:rsidR="005531E3" w:rsidRPr="009B7C6C">
              <w:rPr>
                <w:rFonts w:ascii="Calibri Light" w:hAnsi="Calibri Light"/>
                <w:b w:val="0"/>
              </w:rPr>
              <w:t xml:space="preserve">) la idoneidad de la medida, </w:t>
            </w:r>
            <w:r>
              <w:rPr>
                <w:rFonts w:ascii="Calibri Light" w:hAnsi="Calibri Light"/>
                <w:b w:val="0"/>
              </w:rPr>
              <w:t>iii</w:t>
            </w:r>
            <w:r w:rsidR="005531E3" w:rsidRPr="009B7C6C">
              <w:rPr>
                <w:rFonts w:ascii="Calibri Light" w:hAnsi="Calibri Light"/>
                <w:b w:val="0"/>
              </w:rPr>
              <w:t>) la necesidad de la medida, y</w:t>
            </w:r>
            <w:r w:rsidR="00DA28F6">
              <w:rPr>
                <w:rFonts w:ascii="Calibri Light" w:hAnsi="Calibri Light"/>
                <w:b w:val="0"/>
              </w:rPr>
              <w:t xml:space="preserve"> </w:t>
            </w:r>
            <w:r>
              <w:rPr>
                <w:rFonts w:ascii="Calibri Light" w:hAnsi="Calibri Light"/>
                <w:b w:val="0"/>
              </w:rPr>
              <w:t>iv</w:t>
            </w:r>
            <w:r w:rsidR="005531E3" w:rsidRPr="009B7C6C">
              <w:rPr>
                <w:rFonts w:ascii="Calibri Light" w:hAnsi="Calibri Light"/>
                <w:b w:val="0"/>
              </w:rPr>
              <w:t>) la proporcionalidad en sentido estricto.</w:t>
            </w:r>
          </w:p>
          <w:p w14:paraId="127D05E9" w14:textId="77777777" w:rsidR="005531E3" w:rsidRPr="009B7C6C" w:rsidRDefault="005531E3" w:rsidP="003001FA">
            <w:pPr>
              <w:jc w:val="both"/>
              <w:rPr>
                <w:rFonts w:ascii="Calibri Light" w:hAnsi="Calibri Light"/>
                <w:b w:val="0"/>
              </w:rPr>
            </w:pPr>
          </w:p>
          <w:p w14:paraId="61587C15" w14:textId="77777777" w:rsidR="00295719" w:rsidRPr="009B7C6C" w:rsidRDefault="005531E3" w:rsidP="00295719">
            <w:pPr>
              <w:jc w:val="both"/>
              <w:rPr>
                <w:rFonts w:ascii="Calibri Light" w:hAnsi="Calibri Light"/>
                <w:b w:val="0"/>
              </w:rPr>
            </w:pPr>
            <w:r w:rsidRPr="009B7C6C">
              <w:rPr>
                <w:rFonts w:ascii="Calibri Light" w:hAnsi="Calibri Light"/>
                <w:b w:val="0"/>
              </w:rPr>
              <w:t>Respecto al primer elemento</w:t>
            </w:r>
            <w:r w:rsidR="00AB06B8" w:rsidRPr="009B7C6C">
              <w:rPr>
                <w:rFonts w:ascii="Calibri Light" w:hAnsi="Calibri Light"/>
                <w:b w:val="0"/>
              </w:rPr>
              <w:t xml:space="preserve"> y segundo elemento</w:t>
            </w:r>
            <w:r w:rsidRPr="009B7C6C">
              <w:rPr>
                <w:rFonts w:ascii="Calibri Light" w:hAnsi="Calibri Light"/>
                <w:b w:val="0"/>
              </w:rPr>
              <w:t xml:space="preserve">, </w:t>
            </w:r>
            <w:r w:rsidR="00AB06B8" w:rsidRPr="009B7C6C">
              <w:rPr>
                <w:rFonts w:ascii="Calibri Light" w:hAnsi="Calibri Light"/>
                <w:b w:val="0"/>
              </w:rPr>
              <w:t>la CIDH consider</w:t>
            </w:r>
            <w:r w:rsidR="000260C6">
              <w:rPr>
                <w:rFonts w:ascii="Calibri Light" w:hAnsi="Calibri Light"/>
                <w:b w:val="0"/>
              </w:rPr>
              <w:t>ó</w:t>
            </w:r>
            <w:r w:rsidR="00AB06B8" w:rsidRPr="009B7C6C">
              <w:rPr>
                <w:rFonts w:ascii="Calibri Light" w:hAnsi="Calibri Light"/>
                <w:b w:val="0"/>
              </w:rPr>
              <w:t xml:space="preserve"> que la seguridad jurídica podía ser un fin legítimo</w:t>
            </w:r>
            <w:r w:rsidR="00FB143B">
              <w:rPr>
                <w:rFonts w:ascii="Calibri Light" w:hAnsi="Calibri Light"/>
                <w:b w:val="0"/>
              </w:rPr>
              <w:t xml:space="preserve"> y que, para la protección de esta,</w:t>
            </w:r>
            <w:r w:rsidR="00AB06B8" w:rsidRPr="009B7C6C">
              <w:rPr>
                <w:rFonts w:ascii="Calibri Light" w:hAnsi="Calibri Light"/>
                <w:b w:val="0"/>
              </w:rPr>
              <w:t xml:space="preserve"> </w:t>
            </w:r>
            <w:r w:rsidR="00FB143B">
              <w:rPr>
                <w:rFonts w:ascii="Calibri Light" w:hAnsi="Calibri Light"/>
                <w:b w:val="0"/>
              </w:rPr>
              <w:t xml:space="preserve">la figura de la prescripción podía </w:t>
            </w:r>
            <w:r w:rsidR="005468F6" w:rsidRPr="009B7C6C">
              <w:rPr>
                <w:rFonts w:ascii="Calibri Light" w:hAnsi="Calibri Light"/>
                <w:b w:val="0"/>
              </w:rPr>
              <w:t>resultar</w:t>
            </w:r>
            <w:r w:rsidR="00AB06B8" w:rsidRPr="009B7C6C">
              <w:rPr>
                <w:rFonts w:ascii="Calibri Light" w:hAnsi="Calibri Light"/>
                <w:b w:val="0"/>
              </w:rPr>
              <w:t xml:space="preserve"> idónea. Sin embargo, </w:t>
            </w:r>
            <w:r w:rsidR="00295719" w:rsidRPr="009B7C6C">
              <w:rPr>
                <w:rFonts w:ascii="Calibri Light" w:hAnsi="Calibri Light"/>
                <w:b w:val="0"/>
              </w:rPr>
              <w:t>incluso con esta interpretación, no cumpliría con el requisito de necesidad, ya que no resulta indispensable aplicar la prescripción para garantizar la seguridad jurídica.</w:t>
            </w:r>
            <w:r w:rsidR="00FB143B">
              <w:rPr>
                <w:rFonts w:ascii="Calibri Light" w:hAnsi="Calibri Light"/>
                <w:b w:val="0"/>
              </w:rPr>
              <w:t xml:space="preserve"> </w:t>
            </w:r>
            <w:r w:rsidR="00295719" w:rsidRPr="009B7C6C">
              <w:rPr>
                <w:rFonts w:ascii="Calibri Light" w:hAnsi="Calibri Light"/>
                <w:b w:val="0"/>
              </w:rPr>
              <w:t xml:space="preserve">Por el contrario, si se considera que la seguridad jurídica coadyuva al orden público y a la paz, entonces el obtener una reparación por crímenes de lesa humanidad la optimiza y fortalece. Además, en cuanto a la proporcionalidad en sentido estricto, por la gravedad que revisten las violaciones cometidas en los crímenes de lesa humanidad, como los que originaron el daño en este caso, </w:t>
            </w:r>
            <w:r w:rsidR="008E0EFA" w:rsidRPr="009B7C6C">
              <w:rPr>
                <w:rFonts w:ascii="Calibri Light" w:hAnsi="Calibri Light"/>
                <w:b w:val="0"/>
              </w:rPr>
              <w:t xml:space="preserve">se les ha de brindar un mayor peso frente a la seguridad </w:t>
            </w:r>
            <w:r w:rsidR="008E0EFA" w:rsidRPr="009B7C6C">
              <w:rPr>
                <w:rFonts w:ascii="Calibri Light" w:hAnsi="Calibri Light"/>
                <w:b w:val="0"/>
              </w:rPr>
              <w:lastRenderedPageBreak/>
              <w:t>jurídica en el análisis.</w:t>
            </w:r>
          </w:p>
          <w:p w14:paraId="1A9D1390" w14:textId="77777777" w:rsidR="008E0EFA" w:rsidRPr="009B7C6C" w:rsidRDefault="008E0EFA" w:rsidP="00295719">
            <w:pPr>
              <w:jc w:val="both"/>
              <w:rPr>
                <w:rFonts w:ascii="Calibri Light" w:hAnsi="Calibri Light"/>
                <w:b w:val="0"/>
              </w:rPr>
            </w:pPr>
          </w:p>
          <w:p w14:paraId="17043E4D" w14:textId="77777777" w:rsidR="008E0EFA" w:rsidRPr="009B7C6C" w:rsidRDefault="00104751" w:rsidP="00104751">
            <w:pPr>
              <w:jc w:val="both"/>
              <w:rPr>
                <w:rFonts w:ascii="Calibri Light" w:hAnsi="Calibri Light"/>
                <w:b w:val="0"/>
              </w:rPr>
            </w:pPr>
            <w:r>
              <w:rPr>
                <w:rFonts w:ascii="Calibri Light" w:hAnsi="Calibri Light"/>
                <w:b w:val="0"/>
              </w:rPr>
              <w:t>Asimismo</w:t>
            </w:r>
            <w:r w:rsidR="008E0EFA" w:rsidRPr="009B7C6C">
              <w:rPr>
                <w:rFonts w:ascii="Calibri Light" w:hAnsi="Calibri Light"/>
                <w:b w:val="0"/>
              </w:rPr>
              <w:t xml:space="preserve">, tomando en cuenta los estándares interamericanos sobre la inconvencionalidad de la aplicación de la prescripción penal en los casos de crímenes de lesa humanidad, la CIDH </w:t>
            </w:r>
            <w:r w:rsidRPr="009B7C6C">
              <w:rPr>
                <w:rFonts w:ascii="Calibri Light" w:hAnsi="Calibri Light"/>
                <w:b w:val="0"/>
              </w:rPr>
              <w:t>consider</w:t>
            </w:r>
            <w:r>
              <w:rPr>
                <w:rFonts w:ascii="Calibri Light" w:hAnsi="Calibri Light"/>
                <w:b w:val="0"/>
              </w:rPr>
              <w:t>ó</w:t>
            </w:r>
            <w:r w:rsidRPr="009B7C6C">
              <w:rPr>
                <w:rFonts w:ascii="Calibri Light" w:hAnsi="Calibri Light"/>
                <w:b w:val="0"/>
              </w:rPr>
              <w:t xml:space="preserve"> </w:t>
            </w:r>
            <w:r w:rsidR="008E0EFA" w:rsidRPr="009B7C6C">
              <w:rPr>
                <w:rFonts w:ascii="Calibri Light" w:hAnsi="Calibri Light"/>
                <w:b w:val="0"/>
              </w:rPr>
              <w:t>que ese mismo estándar</w:t>
            </w:r>
            <w:r w:rsidR="00A05852">
              <w:rPr>
                <w:rFonts w:ascii="Calibri Light" w:hAnsi="Calibri Light"/>
                <w:b w:val="0"/>
              </w:rPr>
              <w:t xml:space="preserve"> debía</w:t>
            </w:r>
            <w:r w:rsidR="008E0EFA" w:rsidRPr="009B7C6C">
              <w:rPr>
                <w:rFonts w:ascii="Calibri Light" w:hAnsi="Calibri Light"/>
                <w:b w:val="0"/>
              </w:rPr>
              <w:t xml:space="preserve"> ser aplicado a la reparación en estos casos</w:t>
            </w:r>
            <w:r>
              <w:rPr>
                <w:rFonts w:ascii="Calibri Light" w:hAnsi="Calibri Light"/>
                <w:b w:val="0"/>
              </w:rPr>
              <w:t xml:space="preserve"> y que </w:t>
            </w:r>
            <w:r w:rsidRPr="00104751">
              <w:rPr>
                <w:rFonts w:ascii="Calibri Light" w:hAnsi="Calibri Light"/>
                <w:b w:val="0"/>
              </w:rPr>
              <w:t xml:space="preserve"> dicha prohibición se relaciona con el carácter</w:t>
            </w:r>
            <w:r>
              <w:rPr>
                <w:rFonts w:ascii="Calibri Light" w:hAnsi="Calibri Light"/>
                <w:b w:val="0"/>
              </w:rPr>
              <w:t xml:space="preserve"> </w:t>
            </w:r>
            <w:r w:rsidRPr="00104751">
              <w:rPr>
                <w:rFonts w:ascii="Calibri Light" w:hAnsi="Calibri Light"/>
                <w:b w:val="0"/>
              </w:rPr>
              <w:t>fundamental que tiene para las víctimas de graves violaciones de derechos humanos, el esclarecimiento de los</w:t>
            </w:r>
            <w:r>
              <w:rPr>
                <w:rFonts w:ascii="Calibri Light" w:hAnsi="Calibri Light"/>
                <w:b w:val="0"/>
              </w:rPr>
              <w:t xml:space="preserve"> </w:t>
            </w:r>
            <w:r w:rsidRPr="00104751">
              <w:rPr>
                <w:rFonts w:ascii="Calibri Light" w:hAnsi="Calibri Light"/>
                <w:b w:val="0"/>
              </w:rPr>
              <w:t>hechos y la obtención de justicia</w:t>
            </w:r>
            <w:r w:rsidR="008E0EFA" w:rsidRPr="009B7C6C">
              <w:rPr>
                <w:rFonts w:ascii="Calibri Light" w:hAnsi="Calibri Light"/>
                <w:b w:val="0"/>
              </w:rPr>
              <w:t>.</w:t>
            </w:r>
          </w:p>
          <w:p w14:paraId="18D6D249" w14:textId="77777777" w:rsidR="00AC3604" w:rsidRDefault="00AC3604" w:rsidP="00295719">
            <w:pPr>
              <w:jc w:val="both"/>
              <w:rPr>
                <w:rFonts w:ascii="Calibri Light" w:hAnsi="Calibri Light"/>
                <w:b w:val="0"/>
              </w:rPr>
            </w:pPr>
          </w:p>
          <w:p w14:paraId="044E0AD9" w14:textId="77777777" w:rsidR="005040B9" w:rsidRPr="009B7C6C" w:rsidRDefault="00104751" w:rsidP="00DA28F6">
            <w:pPr>
              <w:jc w:val="both"/>
              <w:rPr>
                <w:rFonts w:ascii="Calibri Light" w:hAnsi="Calibri Light"/>
                <w:b w:val="0"/>
              </w:rPr>
            </w:pPr>
            <w:r>
              <w:rPr>
                <w:rFonts w:ascii="Calibri Light" w:hAnsi="Calibri Light"/>
                <w:b w:val="0"/>
              </w:rPr>
              <w:t>De este modo, l</w:t>
            </w:r>
            <w:r w:rsidR="00AC022E" w:rsidRPr="009B7C6C">
              <w:rPr>
                <w:rFonts w:ascii="Calibri Light" w:hAnsi="Calibri Light"/>
                <w:b w:val="0"/>
              </w:rPr>
              <w:t>a CIDH determin</w:t>
            </w:r>
            <w:r w:rsidR="00AC022E">
              <w:rPr>
                <w:rFonts w:ascii="Calibri Light" w:hAnsi="Calibri Light"/>
                <w:b w:val="0"/>
              </w:rPr>
              <w:t>ó</w:t>
            </w:r>
            <w:r w:rsidR="00AC022E" w:rsidRPr="009B7C6C">
              <w:rPr>
                <w:rFonts w:ascii="Calibri Light" w:hAnsi="Calibri Light"/>
                <w:b w:val="0"/>
              </w:rPr>
              <w:t xml:space="preserve"> que la aplicación de la prescripción a las acciones de indemnización civil presentadas por los grupos familiares de las víctimas, que era el recurso judicial idóneo para acceder a la reparación que buscaban, supuso una restricción de los derechos de quienes plantearon las acciones.</w:t>
            </w:r>
            <w:r w:rsidR="005040B9">
              <w:rPr>
                <w:rFonts w:ascii="Calibri Light" w:hAnsi="Calibri Light"/>
                <w:b w:val="0"/>
              </w:rPr>
              <w:t xml:space="preserve"> Adicionalmente, consideró que </w:t>
            </w:r>
            <w:r w:rsidR="00DA28F6">
              <w:rPr>
                <w:rFonts w:ascii="Calibri Light" w:hAnsi="Calibri Light"/>
                <w:b w:val="0"/>
              </w:rPr>
              <w:t>el</w:t>
            </w:r>
            <w:r w:rsidR="005040B9">
              <w:rPr>
                <w:rFonts w:ascii="Calibri Light" w:hAnsi="Calibri Light"/>
                <w:b w:val="0"/>
              </w:rPr>
              <w:t xml:space="preserve"> </w:t>
            </w:r>
            <w:r w:rsidR="00DA28F6" w:rsidRPr="00DA28F6">
              <w:rPr>
                <w:rFonts w:ascii="Calibri Light" w:hAnsi="Calibri Light"/>
                <w:b w:val="0"/>
              </w:rPr>
              <w:t>recurso judicial disponible en la</w:t>
            </w:r>
            <w:r w:rsidR="00DA28F6">
              <w:rPr>
                <w:rFonts w:ascii="Calibri Light" w:hAnsi="Calibri Light"/>
                <w:b w:val="0"/>
              </w:rPr>
              <w:t xml:space="preserve"> </w:t>
            </w:r>
            <w:r w:rsidR="00DA28F6" w:rsidRPr="00DA28F6">
              <w:rPr>
                <w:rFonts w:ascii="Calibri Light" w:hAnsi="Calibri Light"/>
                <w:b w:val="0"/>
              </w:rPr>
              <w:t>jurisdicción chilena para acceder a una indemnización por violaciones a los derechos humanos de indemnización</w:t>
            </w:r>
            <w:r w:rsidR="00DA28F6">
              <w:rPr>
                <w:rFonts w:ascii="Calibri Light" w:hAnsi="Calibri Light"/>
                <w:b w:val="0"/>
              </w:rPr>
              <w:t xml:space="preserve"> fue obstaculizado por la figura de la prescripción, también contemplada en la normativa interna.</w:t>
            </w:r>
          </w:p>
          <w:p w14:paraId="4102CF85" w14:textId="77777777" w:rsidR="00AC022E" w:rsidRPr="009B7C6C" w:rsidRDefault="00AC022E" w:rsidP="00295719">
            <w:pPr>
              <w:jc w:val="both"/>
              <w:rPr>
                <w:rFonts w:ascii="Calibri Light" w:hAnsi="Calibri Light"/>
                <w:b w:val="0"/>
              </w:rPr>
            </w:pPr>
          </w:p>
          <w:p w14:paraId="23DFECFF" w14:textId="77777777" w:rsidR="00AC3604" w:rsidRPr="009B7C6C" w:rsidRDefault="00AC3604" w:rsidP="00295719">
            <w:pPr>
              <w:jc w:val="both"/>
              <w:rPr>
                <w:rFonts w:ascii="Calibri Light" w:hAnsi="Calibri Light"/>
                <w:b w:val="0"/>
              </w:rPr>
            </w:pPr>
            <w:r w:rsidRPr="009B7C6C">
              <w:rPr>
                <w:rFonts w:ascii="Calibri Light" w:hAnsi="Calibri Light"/>
                <w:b w:val="0"/>
              </w:rPr>
              <w:t xml:space="preserve">Por lo expuesto, la CIDH declaró que el Estado chileno </w:t>
            </w:r>
            <w:r w:rsidR="00AA6353">
              <w:rPr>
                <w:rFonts w:ascii="Calibri Light" w:hAnsi="Calibri Light"/>
                <w:b w:val="0"/>
              </w:rPr>
              <w:t>había violado</w:t>
            </w:r>
            <w:r w:rsidR="00AA6353" w:rsidRPr="009B7C6C">
              <w:rPr>
                <w:rFonts w:ascii="Calibri Light" w:hAnsi="Calibri Light"/>
                <w:b w:val="0"/>
              </w:rPr>
              <w:t xml:space="preserve"> </w:t>
            </w:r>
            <w:r w:rsidRPr="009B7C6C">
              <w:rPr>
                <w:rFonts w:ascii="Calibri Light" w:hAnsi="Calibri Light"/>
                <w:b w:val="0"/>
              </w:rPr>
              <w:t>los artículos 8.1 y 25.1 de la CADH, en relación con los artículos 1.1 y 2, en perjuicio de María Laura Órdenes y otros integrantes de los grupos familiares de Augusto Alcalaya, Jorge Osorio, Hipólito Cortés, Mario Melo, Ramón Vivanco, Rodolfo Espejo y Sergio Reyes.</w:t>
            </w:r>
          </w:p>
          <w:p w14:paraId="6093B7A5" w14:textId="77777777" w:rsidR="00AC3604" w:rsidRPr="009B7C6C" w:rsidRDefault="00AC3604" w:rsidP="00295719">
            <w:pPr>
              <w:jc w:val="both"/>
              <w:rPr>
                <w:rFonts w:ascii="Calibri Light" w:hAnsi="Calibri Light"/>
                <w:b w:val="0"/>
              </w:rPr>
            </w:pPr>
          </w:p>
        </w:tc>
      </w:tr>
      <w:tr w:rsidR="009038E5" w:rsidRPr="009B7C6C" w14:paraId="263EF1B4" w14:textId="77777777" w:rsidTr="009038E5">
        <w:trPr>
          <w:trHeight w:val="260"/>
        </w:trPr>
        <w:tc>
          <w:tcPr>
            <w:cnfStyle w:val="001000000000" w:firstRow="0" w:lastRow="0" w:firstColumn="1" w:lastColumn="0" w:oddVBand="0" w:evenVBand="0" w:oddHBand="0" w:evenHBand="0" w:firstRowFirstColumn="0" w:firstRowLastColumn="0" w:lastRowFirstColumn="0" w:lastRowLastColumn="0"/>
            <w:tcW w:w="8505" w:type="dxa"/>
            <w:gridSpan w:val="3"/>
          </w:tcPr>
          <w:p w14:paraId="78652D0E"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5C7E719D" w14:textId="77777777" w:rsidR="009038E5" w:rsidRPr="009B7C6C" w:rsidRDefault="008063DA" w:rsidP="00BB5CCF">
            <w:pPr>
              <w:pStyle w:val="ListParagraph"/>
              <w:numPr>
                <w:ilvl w:val="0"/>
                <w:numId w:val="3"/>
              </w:numPr>
              <w:pBdr>
                <w:top w:val="nil"/>
                <w:left w:val="nil"/>
                <w:bottom w:val="nil"/>
                <w:right w:val="nil"/>
                <w:between w:val="nil"/>
              </w:pBdr>
              <w:jc w:val="center"/>
              <w:rPr>
                <w:rFonts w:ascii="Calibri Light" w:hAnsi="Calibri Light"/>
                <w:color w:val="000000"/>
              </w:rPr>
            </w:pPr>
            <w:r w:rsidRPr="009B7C6C">
              <w:rPr>
                <w:rFonts w:ascii="Calibri Light" w:hAnsi="Calibri Light"/>
                <w:color w:val="000000"/>
              </w:rPr>
              <w:t>Recomendaciones</w:t>
            </w:r>
            <w:r w:rsidR="00525B85">
              <w:rPr>
                <w:rFonts w:ascii="Calibri Light" w:hAnsi="Calibri Light"/>
                <w:color w:val="000000"/>
              </w:rPr>
              <w:t xml:space="preserve"> de la CIDH al Estado</w:t>
            </w:r>
          </w:p>
          <w:p w14:paraId="79D973DE" w14:textId="77777777" w:rsidR="009038E5" w:rsidRPr="009B7C6C" w:rsidRDefault="009038E5">
            <w:pPr>
              <w:pBdr>
                <w:top w:val="nil"/>
                <w:left w:val="nil"/>
                <w:bottom w:val="nil"/>
                <w:right w:val="nil"/>
                <w:between w:val="nil"/>
              </w:pBdr>
              <w:ind w:left="720" w:hanging="720"/>
              <w:rPr>
                <w:rFonts w:ascii="Calibri Light" w:hAnsi="Calibri Light"/>
                <w:color w:val="000000"/>
              </w:rPr>
            </w:pPr>
          </w:p>
        </w:tc>
      </w:tr>
      <w:tr w:rsidR="009038E5" w:rsidRPr="009B7C6C" w14:paraId="4760E071" w14:textId="77777777" w:rsidTr="009038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05" w:type="dxa"/>
            <w:gridSpan w:val="3"/>
          </w:tcPr>
          <w:p w14:paraId="57CB4927" w14:textId="77777777" w:rsidR="00A05852" w:rsidRDefault="00A05852" w:rsidP="00A05852">
            <w:pPr>
              <w:pBdr>
                <w:top w:val="nil"/>
                <w:left w:val="nil"/>
                <w:bottom w:val="nil"/>
                <w:right w:val="nil"/>
                <w:between w:val="nil"/>
              </w:pBdr>
              <w:contextualSpacing/>
              <w:jc w:val="both"/>
              <w:rPr>
                <w:rFonts w:ascii="Calibri Light" w:hAnsi="Calibri Light"/>
                <w:color w:val="000000"/>
              </w:rPr>
            </w:pPr>
          </w:p>
          <w:p w14:paraId="2CC230F0" w14:textId="77777777" w:rsidR="00A05852" w:rsidRPr="00A05852" w:rsidRDefault="00A05852" w:rsidP="00A05852">
            <w:pPr>
              <w:pStyle w:val="ListParagraph"/>
              <w:numPr>
                <w:ilvl w:val="0"/>
                <w:numId w:val="12"/>
              </w:numPr>
              <w:pBdr>
                <w:top w:val="nil"/>
                <w:left w:val="nil"/>
                <w:bottom w:val="nil"/>
                <w:right w:val="nil"/>
                <w:between w:val="nil"/>
              </w:pBdr>
              <w:ind w:left="360"/>
              <w:jc w:val="both"/>
              <w:rPr>
                <w:rFonts w:ascii="Calibri Light" w:hAnsi="Calibri Light"/>
                <w:b w:val="0"/>
              </w:rPr>
            </w:pPr>
            <w:r w:rsidRPr="00A05852">
              <w:rPr>
                <w:rFonts w:ascii="Calibri Light" w:hAnsi="Calibri Light"/>
                <w:b w:val="0"/>
              </w:rPr>
              <w:t xml:space="preserve">Reparar a las víctimas por las violaciones declaradas en el presente informe. Como parte de esta reparación, el Estado debe adoptar las medidas necesarias para ofrecer un recurso judicial efectivo para que las víctimas puedan presentar sus reclamos y obtener una decisión en materia de reparaciones. El cumplimiento de esta recomendación es independiente del programa de reparaciones administrativas. </w:t>
            </w:r>
          </w:p>
          <w:p w14:paraId="30DC43E0" w14:textId="77777777" w:rsidR="00A05852" w:rsidRPr="00A05852" w:rsidRDefault="00A05852" w:rsidP="00A05852">
            <w:pPr>
              <w:pBdr>
                <w:top w:val="nil"/>
                <w:left w:val="nil"/>
                <w:bottom w:val="nil"/>
                <w:right w:val="nil"/>
                <w:between w:val="nil"/>
              </w:pBdr>
              <w:contextualSpacing/>
              <w:jc w:val="both"/>
              <w:rPr>
                <w:rFonts w:ascii="Calibri Light" w:hAnsi="Calibri Light"/>
                <w:b w:val="0"/>
              </w:rPr>
            </w:pPr>
          </w:p>
          <w:p w14:paraId="0D24B64E" w14:textId="77777777" w:rsidR="009038E5" w:rsidRPr="00A05852" w:rsidRDefault="00A05852" w:rsidP="00A05852">
            <w:pPr>
              <w:pStyle w:val="ListParagraph"/>
              <w:numPr>
                <w:ilvl w:val="0"/>
                <w:numId w:val="12"/>
              </w:numPr>
              <w:pBdr>
                <w:top w:val="nil"/>
                <w:left w:val="nil"/>
                <w:bottom w:val="nil"/>
                <w:right w:val="nil"/>
                <w:between w:val="nil"/>
              </w:pBdr>
              <w:ind w:left="360"/>
              <w:jc w:val="both"/>
              <w:rPr>
                <w:rFonts w:ascii="Calibri Light" w:hAnsi="Calibri Light"/>
                <w:b w:val="0"/>
              </w:rPr>
            </w:pPr>
            <w:r w:rsidRPr="00A05852">
              <w:rPr>
                <w:rFonts w:ascii="Calibri Light" w:hAnsi="Calibri Light"/>
                <w:b w:val="0"/>
              </w:rPr>
              <w:t>Adoptar medidas de no repetición. En particular, medidas legislativas, administrativas y de cualquier otra índole, con el objeto de adecuar la legislación y las prácticas judiciales chilenas a los estándares descritos en el presente informe respecto de la prohibición de aplicar la prescripción a las acciones civiles de reparaciones en casos como el presente.</w:t>
            </w:r>
          </w:p>
          <w:p w14:paraId="54727E37" w14:textId="77777777" w:rsidR="00A05852" w:rsidRPr="009B7C6C" w:rsidRDefault="00A05852" w:rsidP="00A05852">
            <w:pPr>
              <w:pBdr>
                <w:top w:val="nil"/>
                <w:left w:val="nil"/>
                <w:bottom w:val="nil"/>
                <w:right w:val="nil"/>
                <w:between w:val="nil"/>
              </w:pBdr>
              <w:contextualSpacing/>
              <w:jc w:val="both"/>
              <w:rPr>
                <w:rFonts w:ascii="Calibri Light" w:hAnsi="Calibri Light"/>
              </w:rPr>
            </w:pPr>
          </w:p>
        </w:tc>
      </w:tr>
      <w:tr w:rsidR="009038E5" w:rsidRPr="009B7C6C" w14:paraId="1AE65710" w14:textId="77777777" w:rsidTr="009038E5">
        <w:trPr>
          <w:trHeight w:val="460"/>
        </w:trPr>
        <w:tc>
          <w:tcPr>
            <w:cnfStyle w:val="001000000000" w:firstRow="0" w:lastRow="0" w:firstColumn="1" w:lastColumn="0" w:oddVBand="0" w:evenVBand="0" w:oddHBand="0" w:evenHBand="0" w:firstRowFirstColumn="0" w:firstRowLastColumn="0" w:lastRowFirstColumn="0" w:lastRowLastColumn="0"/>
            <w:tcW w:w="8505" w:type="dxa"/>
            <w:gridSpan w:val="3"/>
          </w:tcPr>
          <w:p w14:paraId="6A8F2E6F" w14:textId="77777777" w:rsidR="009038E5" w:rsidRPr="009B7C6C" w:rsidRDefault="009038E5">
            <w:pPr>
              <w:pBdr>
                <w:top w:val="nil"/>
                <w:left w:val="nil"/>
                <w:bottom w:val="nil"/>
                <w:right w:val="nil"/>
                <w:between w:val="nil"/>
              </w:pBdr>
              <w:ind w:left="720" w:hanging="720"/>
              <w:rPr>
                <w:rFonts w:ascii="Calibri Light" w:hAnsi="Calibri Light"/>
                <w:color w:val="000000"/>
              </w:rPr>
            </w:pPr>
          </w:p>
          <w:p w14:paraId="11F53AEF" w14:textId="77777777" w:rsidR="009038E5" w:rsidRPr="009B7C6C" w:rsidRDefault="008063DA" w:rsidP="00BB5CCF">
            <w:pPr>
              <w:numPr>
                <w:ilvl w:val="0"/>
                <w:numId w:val="3"/>
              </w:numPr>
              <w:pBdr>
                <w:top w:val="nil"/>
                <w:left w:val="nil"/>
                <w:bottom w:val="nil"/>
                <w:right w:val="nil"/>
                <w:between w:val="nil"/>
              </w:pBdr>
              <w:contextualSpacing/>
              <w:jc w:val="center"/>
              <w:rPr>
                <w:rFonts w:ascii="Calibri Light" w:hAnsi="Calibri Light"/>
                <w:color w:val="000000"/>
              </w:rPr>
            </w:pPr>
            <w:r w:rsidRPr="009B7C6C">
              <w:rPr>
                <w:rFonts w:ascii="Calibri Light" w:hAnsi="Calibri Light"/>
                <w:color w:val="000000"/>
              </w:rPr>
              <w:t>Análisis de cumplimiento de las recomendaciones</w:t>
            </w:r>
          </w:p>
          <w:p w14:paraId="07E297CD" w14:textId="77777777" w:rsidR="009038E5" w:rsidRPr="009B7C6C" w:rsidRDefault="009038E5">
            <w:pPr>
              <w:pBdr>
                <w:top w:val="nil"/>
                <w:left w:val="nil"/>
                <w:bottom w:val="nil"/>
                <w:right w:val="nil"/>
                <w:between w:val="nil"/>
              </w:pBdr>
              <w:ind w:hanging="720"/>
              <w:jc w:val="center"/>
              <w:rPr>
                <w:rFonts w:ascii="Calibri Light" w:hAnsi="Calibri Light"/>
                <w:color w:val="000000"/>
              </w:rPr>
            </w:pPr>
          </w:p>
        </w:tc>
      </w:tr>
      <w:tr w:rsidR="009038E5" w:rsidRPr="009B7C6C" w14:paraId="6DD4E06B" w14:textId="77777777" w:rsidTr="009038E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05" w:type="dxa"/>
            <w:gridSpan w:val="3"/>
          </w:tcPr>
          <w:p w14:paraId="11A6AE26" w14:textId="77777777" w:rsidR="009038E5" w:rsidRPr="009B7C6C" w:rsidRDefault="009038E5">
            <w:pPr>
              <w:pBdr>
                <w:top w:val="nil"/>
                <w:left w:val="nil"/>
                <w:bottom w:val="nil"/>
                <w:right w:val="nil"/>
                <w:between w:val="nil"/>
              </w:pBdr>
              <w:ind w:hanging="720"/>
              <w:jc w:val="center"/>
              <w:rPr>
                <w:rFonts w:ascii="Calibri Light" w:hAnsi="Calibri Light"/>
                <w:color w:val="000000"/>
              </w:rPr>
            </w:pPr>
          </w:p>
          <w:p w14:paraId="42739729" w14:textId="77777777" w:rsidR="009038E5" w:rsidRPr="009B7C6C" w:rsidRDefault="008063DA" w:rsidP="00CC0E9D">
            <w:pPr>
              <w:pBdr>
                <w:top w:val="nil"/>
                <w:left w:val="nil"/>
                <w:bottom w:val="nil"/>
                <w:right w:val="nil"/>
                <w:between w:val="nil"/>
              </w:pBdr>
              <w:ind w:left="720" w:hanging="720"/>
              <w:jc w:val="center"/>
              <w:rPr>
                <w:rFonts w:ascii="Calibri Light" w:hAnsi="Calibri Light"/>
                <w:color w:val="000000"/>
              </w:rPr>
            </w:pPr>
            <w:r w:rsidRPr="009B7C6C">
              <w:rPr>
                <w:rFonts w:ascii="Calibri Light" w:hAnsi="Calibri Light"/>
                <w:b w:val="0"/>
                <w:color w:val="000000"/>
              </w:rPr>
              <w:t>-</w:t>
            </w:r>
          </w:p>
          <w:p w14:paraId="677AD1F0" w14:textId="77777777" w:rsidR="009038E5" w:rsidRPr="009B7C6C" w:rsidRDefault="009038E5">
            <w:pPr>
              <w:pBdr>
                <w:top w:val="nil"/>
                <w:left w:val="nil"/>
                <w:bottom w:val="nil"/>
                <w:right w:val="nil"/>
                <w:between w:val="nil"/>
              </w:pBdr>
              <w:ind w:hanging="720"/>
              <w:jc w:val="center"/>
              <w:rPr>
                <w:rFonts w:ascii="Calibri Light" w:hAnsi="Calibri Light"/>
                <w:color w:val="000000"/>
              </w:rPr>
            </w:pPr>
          </w:p>
        </w:tc>
      </w:tr>
    </w:tbl>
    <w:p w14:paraId="1AB248DB" w14:textId="77777777" w:rsidR="009038E5" w:rsidRPr="009B7C6C" w:rsidRDefault="009038E5">
      <w:pPr>
        <w:spacing w:line="240" w:lineRule="auto"/>
        <w:rPr>
          <w:rFonts w:ascii="Calibri Light" w:hAnsi="Calibri Light"/>
        </w:rPr>
      </w:pPr>
    </w:p>
    <w:p w14:paraId="44A1C742" w14:textId="77777777" w:rsidR="009038E5" w:rsidRPr="009B7C6C" w:rsidRDefault="009038E5">
      <w:pPr>
        <w:spacing w:line="240" w:lineRule="auto"/>
        <w:rPr>
          <w:rFonts w:ascii="Calibri Light" w:hAnsi="Calibri Light"/>
        </w:rPr>
      </w:pPr>
    </w:p>
    <w:sectPr w:rsidR="009038E5" w:rsidRPr="009B7C6C">
      <w:footerReference w:type="default" r:id="rId18"/>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C965A" w14:textId="77777777" w:rsidR="003B7C07" w:rsidRDefault="003B7C07">
      <w:pPr>
        <w:spacing w:after="0" w:line="240" w:lineRule="auto"/>
      </w:pPr>
      <w:r>
        <w:separator/>
      </w:r>
    </w:p>
  </w:endnote>
  <w:endnote w:type="continuationSeparator" w:id="0">
    <w:p w14:paraId="45DC12C8" w14:textId="77777777" w:rsidR="003B7C07" w:rsidRDefault="003B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B8D3" w14:textId="77777777" w:rsidR="009038E5" w:rsidRDefault="008063D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F0E19">
      <w:rPr>
        <w:noProof/>
        <w:color w:val="000000"/>
      </w:rPr>
      <w:t>1</w:t>
    </w:r>
    <w:r>
      <w:rPr>
        <w:color w:val="000000"/>
      </w:rPr>
      <w:fldChar w:fldCharType="end"/>
    </w:r>
  </w:p>
  <w:p w14:paraId="1E8A21AA" w14:textId="77777777" w:rsidR="009038E5" w:rsidRDefault="009038E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B7355" w14:textId="77777777" w:rsidR="003B7C07" w:rsidRDefault="003B7C07">
      <w:pPr>
        <w:spacing w:after="0" w:line="240" w:lineRule="auto"/>
      </w:pPr>
      <w:r>
        <w:separator/>
      </w:r>
    </w:p>
  </w:footnote>
  <w:footnote w:type="continuationSeparator" w:id="0">
    <w:p w14:paraId="7D2F7B1C" w14:textId="77777777" w:rsidR="003B7C07" w:rsidRDefault="003B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70EC1"/>
    <w:multiLevelType w:val="hybridMultilevel"/>
    <w:tmpl w:val="08B08960"/>
    <w:lvl w:ilvl="0" w:tplc="280A0015">
      <w:start w:val="9"/>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E740542"/>
    <w:multiLevelType w:val="hybridMultilevel"/>
    <w:tmpl w:val="B3344C52"/>
    <w:lvl w:ilvl="0" w:tplc="280A0015">
      <w:start w:val="9"/>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0F93400"/>
    <w:multiLevelType w:val="multilevel"/>
    <w:tmpl w:val="9B9C39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322"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5C7C0F"/>
    <w:multiLevelType w:val="hybridMultilevel"/>
    <w:tmpl w:val="46B28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2B3C5B64"/>
    <w:multiLevelType w:val="hybridMultilevel"/>
    <w:tmpl w:val="C882B2A6"/>
    <w:lvl w:ilvl="0" w:tplc="FB940A2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A8000D5"/>
    <w:multiLevelType w:val="hybridMultilevel"/>
    <w:tmpl w:val="F31C087C"/>
    <w:lvl w:ilvl="0" w:tplc="F2BCDCD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7D27C47"/>
    <w:multiLevelType w:val="multilevel"/>
    <w:tmpl w:val="128493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8093F2B"/>
    <w:multiLevelType w:val="multilevel"/>
    <w:tmpl w:val="280EE8C8"/>
    <w:lvl w:ilvl="0">
      <w:start w:val="1"/>
      <w:numFmt w:val="decimal"/>
      <w:lvlText w:val="%1."/>
      <w:lvlJc w:val="left"/>
      <w:pPr>
        <w:ind w:left="360" w:hanging="360"/>
      </w:pPr>
      <w:rPr>
        <w:rFonts w:ascii="Calibri Light" w:eastAsia="Calibri" w:hAnsi="Calibri Light" w:cs="Calibri"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B5665C6"/>
    <w:multiLevelType w:val="multilevel"/>
    <w:tmpl w:val="4AD8B6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62E18DF"/>
    <w:multiLevelType w:val="multilevel"/>
    <w:tmpl w:val="CFB4D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A014FA6"/>
    <w:multiLevelType w:val="hybridMultilevel"/>
    <w:tmpl w:val="13C4AFC0"/>
    <w:lvl w:ilvl="0" w:tplc="280A0015">
      <w:start w:val="9"/>
      <w:numFmt w:val="upp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7F8C6850"/>
    <w:multiLevelType w:val="hybridMultilevel"/>
    <w:tmpl w:val="FFB6A2A0"/>
    <w:lvl w:ilvl="0" w:tplc="280A001B">
      <w:start w:val="1"/>
      <w:numFmt w:val="lowerRoman"/>
      <w:lvlText w:val="%1."/>
      <w:lvlJc w:val="righ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9"/>
  </w:num>
  <w:num w:numId="2">
    <w:abstractNumId w:val="6"/>
  </w:num>
  <w:num w:numId="3">
    <w:abstractNumId w:val="2"/>
  </w:num>
  <w:num w:numId="4">
    <w:abstractNumId w:val="7"/>
  </w:num>
  <w:num w:numId="5">
    <w:abstractNumId w:val="1"/>
  </w:num>
  <w:num w:numId="6">
    <w:abstractNumId w:val="0"/>
  </w:num>
  <w:num w:numId="7">
    <w:abstractNumId w:val="10"/>
  </w:num>
  <w:num w:numId="8">
    <w:abstractNumId w:val="5"/>
  </w:num>
  <w:num w:numId="9">
    <w:abstractNumId w:val="4"/>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38E5"/>
    <w:rsid w:val="0002118B"/>
    <w:rsid w:val="000260C6"/>
    <w:rsid w:val="00073C63"/>
    <w:rsid w:val="00104751"/>
    <w:rsid w:val="00125F20"/>
    <w:rsid w:val="00146C3E"/>
    <w:rsid w:val="00195515"/>
    <w:rsid w:val="002657AD"/>
    <w:rsid w:val="002658B6"/>
    <w:rsid w:val="00295719"/>
    <w:rsid w:val="002C0AD9"/>
    <w:rsid w:val="002D309D"/>
    <w:rsid w:val="002F0357"/>
    <w:rsid w:val="002F687E"/>
    <w:rsid w:val="003001FA"/>
    <w:rsid w:val="00306E3F"/>
    <w:rsid w:val="00310567"/>
    <w:rsid w:val="00334065"/>
    <w:rsid w:val="003454FC"/>
    <w:rsid w:val="003718EC"/>
    <w:rsid w:val="00373AA6"/>
    <w:rsid w:val="003918A7"/>
    <w:rsid w:val="00393D49"/>
    <w:rsid w:val="003A2292"/>
    <w:rsid w:val="003B3F78"/>
    <w:rsid w:val="003B7C07"/>
    <w:rsid w:val="00403404"/>
    <w:rsid w:val="00414775"/>
    <w:rsid w:val="00426D98"/>
    <w:rsid w:val="004710B7"/>
    <w:rsid w:val="004C0265"/>
    <w:rsid w:val="004D317C"/>
    <w:rsid w:val="00500545"/>
    <w:rsid w:val="005040B9"/>
    <w:rsid w:val="00525B85"/>
    <w:rsid w:val="00526513"/>
    <w:rsid w:val="00540FC5"/>
    <w:rsid w:val="005468F6"/>
    <w:rsid w:val="005531E3"/>
    <w:rsid w:val="005B68FB"/>
    <w:rsid w:val="00622D3D"/>
    <w:rsid w:val="006515E9"/>
    <w:rsid w:val="006A05DA"/>
    <w:rsid w:val="006C0788"/>
    <w:rsid w:val="006C5FCB"/>
    <w:rsid w:val="006F7027"/>
    <w:rsid w:val="007274E3"/>
    <w:rsid w:val="00753E7C"/>
    <w:rsid w:val="00762115"/>
    <w:rsid w:val="00772918"/>
    <w:rsid w:val="007E234C"/>
    <w:rsid w:val="007E75D7"/>
    <w:rsid w:val="008063DA"/>
    <w:rsid w:val="00814037"/>
    <w:rsid w:val="00845171"/>
    <w:rsid w:val="00873472"/>
    <w:rsid w:val="00881CF6"/>
    <w:rsid w:val="008844C6"/>
    <w:rsid w:val="00897B72"/>
    <w:rsid w:val="008A0BB4"/>
    <w:rsid w:val="008A3948"/>
    <w:rsid w:val="008E0826"/>
    <w:rsid w:val="008E0EFA"/>
    <w:rsid w:val="009038E5"/>
    <w:rsid w:val="00927386"/>
    <w:rsid w:val="0093601F"/>
    <w:rsid w:val="00941078"/>
    <w:rsid w:val="00967E97"/>
    <w:rsid w:val="009978ED"/>
    <w:rsid w:val="009B7C6C"/>
    <w:rsid w:val="009C1B9C"/>
    <w:rsid w:val="009D6A80"/>
    <w:rsid w:val="00A05852"/>
    <w:rsid w:val="00A345C9"/>
    <w:rsid w:val="00A84CDE"/>
    <w:rsid w:val="00AA0280"/>
    <w:rsid w:val="00AA6353"/>
    <w:rsid w:val="00AB06B8"/>
    <w:rsid w:val="00AB70B9"/>
    <w:rsid w:val="00AC022E"/>
    <w:rsid w:val="00AC254A"/>
    <w:rsid w:val="00AC3604"/>
    <w:rsid w:val="00AC7DE9"/>
    <w:rsid w:val="00AF515F"/>
    <w:rsid w:val="00B26FA5"/>
    <w:rsid w:val="00B55DEB"/>
    <w:rsid w:val="00BB5CCF"/>
    <w:rsid w:val="00BD61B3"/>
    <w:rsid w:val="00BE1C48"/>
    <w:rsid w:val="00BF0E19"/>
    <w:rsid w:val="00C63DB6"/>
    <w:rsid w:val="00C94DCE"/>
    <w:rsid w:val="00CC0E9D"/>
    <w:rsid w:val="00CD1899"/>
    <w:rsid w:val="00CD35D4"/>
    <w:rsid w:val="00CF7867"/>
    <w:rsid w:val="00D9251C"/>
    <w:rsid w:val="00DA28F6"/>
    <w:rsid w:val="00DB576B"/>
    <w:rsid w:val="00DB5A55"/>
    <w:rsid w:val="00DB6618"/>
    <w:rsid w:val="00DD0F24"/>
    <w:rsid w:val="00DE374B"/>
    <w:rsid w:val="00DE6D0D"/>
    <w:rsid w:val="00DF2983"/>
    <w:rsid w:val="00E01027"/>
    <w:rsid w:val="00E062B6"/>
    <w:rsid w:val="00E45D66"/>
    <w:rsid w:val="00E65310"/>
    <w:rsid w:val="00E745CC"/>
    <w:rsid w:val="00E8541E"/>
    <w:rsid w:val="00EA5821"/>
    <w:rsid w:val="00F04208"/>
    <w:rsid w:val="00F14DCA"/>
    <w:rsid w:val="00F20AD7"/>
    <w:rsid w:val="00F41500"/>
    <w:rsid w:val="00F65DA1"/>
    <w:rsid w:val="00FA2DEC"/>
    <w:rsid w:val="00FB143B"/>
    <w:rsid w:val="00FB341F"/>
    <w:rsid w:val="00FD24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character" w:styleId="Hyperlink">
    <w:name w:val="Hyperlink"/>
    <w:basedOn w:val="DefaultParagraphFont"/>
    <w:uiPriority w:val="99"/>
    <w:unhideWhenUsed/>
    <w:rsid w:val="00AC254A"/>
    <w:rPr>
      <w:color w:val="0000FF" w:themeColor="hyperlink"/>
      <w:u w:val="single"/>
    </w:rPr>
  </w:style>
  <w:style w:type="paragraph" w:styleId="ListParagraph">
    <w:name w:val="List Paragraph"/>
    <w:basedOn w:val="Normal"/>
    <w:uiPriority w:val="34"/>
    <w:qFormat/>
    <w:rsid w:val="006A05DA"/>
    <w:pPr>
      <w:ind w:left="720"/>
      <w:contextualSpacing/>
    </w:pPr>
  </w:style>
  <w:style w:type="paragraph" w:styleId="BalloonText">
    <w:name w:val="Balloon Text"/>
    <w:basedOn w:val="Normal"/>
    <w:link w:val="BalloonTextChar"/>
    <w:uiPriority w:val="99"/>
    <w:semiHidden/>
    <w:unhideWhenUsed/>
    <w:rsid w:val="009B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C6C"/>
    <w:rPr>
      <w:rFonts w:ascii="Tahoma" w:hAnsi="Tahoma" w:cs="Tahoma"/>
      <w:sz w:val="16"/>
      <w:szCs w:val="16"/>
    </w:rPr>
  </w:style>
  <w:style w:type="character" w:styleId="CommentReference">
    <w:name w:val="annotation reference"/>
    <w:basedOn w:val="DefaultParagraphFont"/>
    <w:uiPriority w:val="99"/>
    <w:semiHidden/>
    <w:unhideWhenUsed/>
    <w:rsid w:val="009978ED"/>
    <w:rPr>
      <w:sz w:val="16"/>
      <w:szCs w:val="16"/>
    </w:rPr>
  </w:style>
  <w:style w:type="paragraph" w:styleId="CommentText">
    <w:name w:val="annotation text"/>
    <w:basedOn w:val="Normal"/>
    <w:link w:val="CommentTextChar"/>
    <w:uiPriority w:val="99"/>
    <w:semiHidden/>
    <w:unhideWhenUsed/>
    <w:rsid w:val="009978ED"/>
    <w:pPr>
      <w:spacing w:line="240" w:lineRule="auto"/>
    </w:pPr>
    <w:rPr>
      <w:sz w:val="20"/>
      <w:szCs w:val="20"/>
    </w:rPr>
  </w:style>
  <w:style w:type="character" w:customStyle="1" w:styleId="CommentTextChar">
    <w:name w:val="Comment Text Char"/>
    <w:basedOn w:val="DefaultParagraphFont"/>
    <w:link w:val="CommentText"/>
    <w:uiPriority w:val="99"/>
    <w:semiHidden/>
    <w:rsid w:val="009978ED"/>
    <w:rPr>
      <w:sz w:val="20"/>
      <w:szCs w:val="20"/>
    </w:rPr>
  </w:style>
  <w:style w:type="paragraph" w:styleId="CommentSubject">
    <w:name w:val="annotation subject"/>
    <w:basedOn w:val="CommentText"/>
    <w:next w:val="CommentText"/>
    <w:link w:val="CommentSubjectChar"/>
    <w:uiPriority w:val="99"/>
    <w:semiHidden/>
    <w:unhideWhenUsed/>
    <w:rsid w:val="009978ED"/>
    <w:rPr>
      <w:b/>
      <w:bCs/>
    </w:rPr>
  </w:style>
  <w:style w:type="character" w:customStyle="1" w:styleId="CommentSubjectChar">
    <w:name w:val="Comment Subject Char"/>
    <w:basedOn w:val="CommentTextChar"/>
    <w:link w:val="CommentSubject"/>
    <w:uiPriority w:val="99"/>
    <w:semiHidden/>
    <w:rsid w:val="009978ED"/>
    <w:rPr>
      <w:b/>
      <w:bCs/>
      <w:sz w:val="20"/>
      <w:szCs w:val="20"/>
    </w:rPr>
  </w:style>
  <w:style w:type="paragraph" w:styleId="Header">
    <w:name w:val="header"/>
    <w:basedOn w:val="Normal"/>
    <w:link w:val="HeaderChar"/>
    <w:uiPriority w:val="99"/>
    <w:unhideWhenUsed/>
    <w:rsid w:val="004D317C"/>
    <w:pPr>
      <w:tabs>
        <w:tab w:val="center" w:pos="4419"/>
        <w:tab w:val="right" w:pos="8838"/>
      </w:tabs>
      <w:spacing w:after="0" w:line="240" w:lineRule="auto"/>
    </w:pPr>
    <w:rPr>
      <w:rFonts w:cs="Times New Roman"/>
      <w:lang w:eastAsia="en-US"/>
    </w:rPr>
  </w:style>
  <w:style w:type="character" w:customStyle="1" w:styleId="HeaderChar">
    <w:name w:val="Header Char"/>
    <w:basedOn w:val="DefaultParagraphFont"/>
    <w:link w:val="Header"/>
    <w:uiPriority w:val="99"/>
    <w:rsid w:val="004D317C"/>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dh.oas.org/annualrep/2005sp/Chile381.04sp.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corte/2017/12521FondoEs.pdf" TargetMode="External"/><Relationship Id="rId17" Type="http://schemas.openxmlformats.org/officeDocument/2006/relationships/hyperlink" Target="http://www.corteidh.or.cr/docs/casos/articulos/seriec_372_esp.pdf" TargetMode="External"/><Relationship Id="rId2" Type="http://schemas.openxmlformats.org/officeDocument/2006/relationships/numbering" Target="numbering.xml"/><Relationship Id="rId16" Type="http://schemas.openxmlformats.org/officeDocument/2006/relationships/hyperlink" Target="http://www.cidh.oas.org/annualrep/2005sp/Chile862.03sp.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cidh.oas.org/annualrep/2005sp/Chile698.03sp.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hyperlink" Target="http://www.cidh.oas.org/annualrep/2005sp/Chile511.03s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80DCA-C152-4F6B-A212-71935C41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1730</Words>
  <Characters>9861</Characters>
  <Application>Microsoft Office Word</Application>
  <DocSecurity>0</DocSecurity>
  <Lines>82</Lines>
  <Paragraphs>23</Paragraphs>
  <ScaleCrop>false</ScaleCrop>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2021-02-11T09:48:00Z</dcterms:created>
  <dcterms:modified xsi:type="dcterms:W3CDTF">2021-02-11T09:48:00Z</dcterms:modified>
</cp:coreProperties>
</file>