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089CE" w14:textId="77777777" w:rsidR="007C76B5" w:rsidRDefault="007C76B5" w:rsidP="00CD17CA">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406AD7F1" wp14:editId="5DEB0966">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1CD46786" wp14:editId="1B942E83">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1EC91F39" wp14:editId="24BF9A10">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937E34" w14:textId="77777777" w:rsidR="007C76B5" w:rsidRPr="00411A74" w:rsidRDefault="007C76B5" w:rsidP="00CD17CA">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275D469E" w14:textId="1F8C7CD7" w:rsidR="007C76B5" w:rsidRDefault="007C76B5" w:rsidP="007C76B5">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6B9DFD93" w14:textId="77777777" w:rsidR="007C76B5" w:rsidRDefault="007C76B5" w:rsidP="007C76B5">
      <w:pPr>
        <w:spacing w:after="0" w:line="240" w:lineRule="auto"/>
        <w:jc w:val="center"/>
        <w:outlineLvl w:val="0"/>
        <w:rPr>
          <w:rFonts w:ascii="Calibri Light" w:hAnsi="Calibri Light"/>
          <w:b/>
          <w:i/>
          <w:lang w:val="es-PE"/>
        </w:rPr>
      </w:pPr>
    </w:p>
    <w:tbl>
      <w:tblPr>
        <w:tblStyle w:val="a"/>
        <w:tblW w:w="8504" w:type="dxa"/>
        <w:tblInd w:w="0" w:type="dxa"/>
        <w:tblBorders>
          <w:top w:val="single" w:sz="4" w:space="0" w:color="9CC3E5"/>
          <w:bottom w:val="single" w:sz="4" w:space="0" w:color="9CC3E5"/>
          <w:insideH w:val="single" w:sz="4" w:space="0" w:color="9CC3E5"/>
        </w:tblBorders>
        <w:tblLayout w:type="fixed"/>
        <w:tblLook w:val="04A0" w:firstRow="1" w:lastRow="0" w:firstColumn="1" w:lastColumn="0" w:noHBand="0" w:noVBand="1"/>
      </w:tblPr>
      <w:tblGrid>
        <w:gridCol w:w="3586"/>
        <w:gridCol w:w="2343"/>
        <w:gridCol w:w="116"/>
        <w:gridCol w:w="2459"/>
      </w:tblGrid>
      <w:tr w:rsidR="00B855C5" w:rsidRPr="004E5542" w14:paraId="541FB101" w14:textId="77777777" w:rsidTr="00B855C5">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8504" w:type="dxa"/>
            <w:gridSpan w:val="4"/>
            <w:tcBorders>
              <w:top w:val="single" w:sz="4" w:space="0" w:color="9CC3E5"/>
              <w:left w:val="nil"/>
              <w:bottom w:val="single" w:sz="4" w:space="0" w:color="9CC3E5"/>
              <w:right w:val="nil"/>
            </w:tcBorders>
            <w:vAlign w:val="center"/>
          </w:tcPr>
          <w:p w14:paraId="5A283901" w14:textId="77777777" w:rsidR="00B855C5" w:rsidRPr="004E5542" w:rsidRDefault="00AE246E">
            <w:pPr>
              <w:numPr>
                <w:ilvl w:val="0"/>
                <w:numId w:val="2"/>
              </w:numPr>
              <w:pBdr>
                <w:top w:val="nil"/>
                <w:left w:val="nil"/>
                <w:bottom w:val="nil"/>
                <w:right w:val="nil"/>
                <w:between w:val="nil"/>
              </w:pBdr>
              <w:contextualSpacing/>
              <w:jc w:val="center"/>
              <w:rPr>
                <w:rFonts w:ascii="Calibri Light" w:hAnsi="Calibri Light"/>
                <w:color w:val="000000"/>
              </w:rPr>
            </w:pPr>
            <w:r w:rsidRPr="004E5542">
              <w:rPr>
                <w:rFonts w:ascii="Calibri Light" w:hAnsi="Calibri Light"/>
                <w:color w:val="000000"/>
              </w:rPr>
              <w:t>Datos generales</w:t>
            </w:r>
          </w:p>
        </w:tc>
      </w:tr>
      <w:tr w:rsidR="00B855C5" w:rsidRPr="004E5542" w14:paraId="5186DA43" w14:textId="77777777" w:rsidTr="00B855C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3E5"/>
              <w:left w:val="nil"/>
              <w:bottom w:val="single" w:sz="4" w:space="0" w:color="9CC3E5"/>
              <w:right w:val="nil"/>
            </w:tcBorders>
          </w:tcPr>
          <w:p w14:paraId="5ED664CE" w14:textId="77777777" w:rsidR="00B855C5" w:rsidRPr="004E5542" w:rsidRDefault="00AE246E">
            <w:pPr>
              <w:numPr>
                <w:ilvl w:val="0"/>
                <w:numId w:val="3"/>
              </w:numPr>
              <w:pBdr>
                <w:top w:val="nil"/>
                <w:left w:val="nil"/>
                <w:bottom w:val="nil"/>
                <w:right w:val="nil"/>
                <w:between w:val="nil"/>
              </w:pBdr>
              <w:contextualSpacing/>
              <w:rPr>
                <w:rFonts w:ascii="Calibri Light" w:hAnsi="Calibri Light"/>
                <w:color w:val="000000"/>
              </w:rPr>
            </w:pPr>
            <w:r w:rsidRPr="004E5542">
              <w:rPr>
                <w:rFonts w:ascii="Calibri Light" w:hAnsi="Calibri Light"/>
                <w:color w:val="000000"/>
              </w:rPr>
              <w:t>Nombre del caso</w:t>
            </w:r>
          </w:p>
        </w:tc>
        <w:tc>
          <w:tcPr>
            <w:tcW w:w="4918" w:type="dxa"/>
            <w:gridSpan w:val="3"/>
            <w:tcBorders>
              <w:top w:val="single" w:sz="4" w:space="0" w:color="9CC3E5"/>
              <w:left w:val="nil"/>
              <w:bottom w:val="single" w:sz="4" w:space="0" w:color="9CC3E5"/>
              <w:right w:val="nil"/>
            </w:tcBorders>
          </w:tcPr>
          <w:p w14:paraId="61E60CD3" w14:textId="77777777" w:rsidR="00B855C5" w:rsidRPr="004E5542" w:rsidRDefault="00AE246E">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4E5542">
              <w:rPr>
                <w:rFonts w:ascii="Calibri Light" w:hAnsi="Calibri Light"/>
              </w:rPr>
              <w:t>Juan Francisco Arrom Suhurt, Anuncio Martí Méndez y otros, Paraguay</w:t>
            </w:r>
          </w:p>
        </w:tc>
      </w:tr>
      <w:tr w:rsidR="00B855C5" w:rsidRPr="007C76B5" w14:paraId="4D9FF1AC" w14:textId="77777777" w:rsidTr="00B855C5">
        <w:trPr>
          <w:trHeight w:val="260"/>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3E5"/>
              <w:left w:val="nil"/>
              <w:bottom w:val="single" w:sz="4" w:space="0" w:color="9CC3E5"/>
              <w:right w:val="nil"/>
            </w:tcBorders>
          </w:tcPr>
          <w:p w14:paraId="3D700D7D" w14:textId="77777777" w:rsidR="00B855C5" w:rsidRPr="004E5542" w:rsidRDefault="00E514AD">
            <w:pPr>
              <w:numPr>
                <w:ilvl w:val="0"/>
                <w:numId w:val="3"/>
              </w:numPr>
              <w:pBdr>
                <w:top w:val="nil"/>
                <w:left w:val="nil"/>
                <w:bottom w:val="nil"/>
                <w:right w:val="nil"/>
                <w:between w:val="nil"/>
              </w:pBdr>
              <w:contextualSpacing/>
              <w:rPr>
                <w:rFonts w:ascii="Calibri Light" w:hAnsi="Calibri Light"/>
                <w:color w:val="000000"/>
              </w:rPr>
            </w:pPr>
            <w:r w:rsidRPr="004E5542">
              <w:rPr>
                <w:rFonts w:ascii="Calibri Light" w:hAnsi="Calibri Light"/>
                <w:color w:val="000000"/>
              </w:rPr>
              <w:t>Parte peticionaria</w:t>
            </w:r>
          </w:p>
        </w:tc>
        <w:tc>
          <w:tcPr>
            <w:tcW w:w="4918" w:type="dxa"/>
            <w:gridSpan w:val="3"/>
            <w:tcBorders>
              <w:top w:val="single" w:sz="4" w:space="0" w:color="9CC3E5"/>
              <w:left w:val="nil"/>
              <w:bottom w:val="single" w:sz="4" w:space="0" w:color="9CC3E5"/>
              <w:right w:val="nil"/>
            </w:tcBorders>
          </w:tcPr>
          <w:p w14:paraId="0EC24363" w14:textId="327A82C2" w:rsidR="00B855C5" w:rsidRPr="004E5542" w:rsidRDefault="00AE246E" w:rsidP="00287753">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n-US"/>
              </w:rPr>
            </w:pPr>
            <w:r w:rsidRPr="004E5542">
              <w:rPr>
                <w:rFonts w:ascii="Calibri Light" w:hAnsi="Calibri Light"/>
                <w:lang w:val="en-US"/>
              </w:rPr>
              <w:t>Marina Arrom Suhurt</w:t>
            </w:r>
            <w:r w:rsidR="00287753" w:rsidRPr="004E5542">
              <w:rPr>
                <w:rFonts w:ascii="Calibri Light" w:hAnsi="Calibri Light"/>
                <w:lang w:val="en-US"/>
              </w:rPr>
              <w:t xml:space="preserve"> y</w:t>
            </w:r>
            <w:r w:rsidR="00807158" w:rsidRPr="004E5542">
              <w:rPr>
                <w:rFonts w:ascii="Calibri Light" w:hAnsi="Calibri Light"/>
                <w:lang w:val="en-US"/>
              </w:rPr>
              <w:t xml:space="preserve"> </w:t>
            </w:r>
            <w:r w:rsidRPr="004E5542">
              <w:rPr>
                <w:rFonts w:ascii="Calibri Light" w:hAnsi="Calibri Light"/>
                <w:lang w:val="en-US"/>
              </w:rPr>
              <w:t>Cristina Arrom Suhurt</w:t>
            </w:r>
          </w:p>
        </w:tc>
      </w:tr>
      <w:tr w:rsidR="00B855C5" w:rsidRPr="004E5542" w14:paraId="0157F473" w14:textId="77777777" w:rsidTr="00CA5BAF">
        <w:trPr>
          <w:cnfStyle w:val="000000100000" w:firstRow="0" w:lastRow="0" w:firstColumn="0" w:lastColumn="0" w:oddVBand="0" w:evenVBand="0" w:oddHBand="1"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3E5"/>
              <w:left w:val="nil"/>
              <w:bottom w:val="single" w:sz="4" w:space="0" w:color="9CC3E5"/>
              <w:right w:val="nil"/>
            </w:tcBorders>
          </w:tcPr>
          <w:p w14:paraId="0C0742FB" w14:textId="77777777" w:rsidR="00B855C5" w:rsidRPr="004E5542" w:rsidRDefault="00AE246E">
            <w:pPr>
              <w:numPr>
                <w:ilvl w:val="0"/>
                <w:numId w:val="3"/>
              </w:numPr>
              <w:pBdr>
                <w:top w:val="nil"/>
                <w:left w:val="nil"/>
                <w:bottom w:val="nil"/>
                <w:right w:val="nil"/>
                <w:between w:val="nil"/>
              </w:pBdr>
              <w:contextualSpacing/>
              <w:rPr>
                <w:rFonts w:ascii="Calibri Light" w:hAnsi="Calibri Light"/>
                <w:color w:val="000000"/>
              </w:rPr>
            </w:pPr>
            <w:r w:rsidRPr="004E5542">
              <w:rPr>
                <w:rFonts w:ascii="Calibri Light" w:hAnsi="Calibri Light"/>
                <w:color w:val="000000"/>
              </w:rPr>
              <w:t xml:space="preserve">Número de Informe </w:t>
            </w:r>
          </w:p>
        </w:tc>
        <w:tc>
          <w:tcPr>
            <w:tcW w:w="4918" w:type="dxa"/>
            <w:gridSpan w:val="3"/>
            <w:tcBorders>
              <w:top w:val="single" w:sz="4" w:space="0" w:color="9CC3E5"/>
              <w:left w:val="nil"/>
              <w:bottom w:val="single" w:sz="4" w:space="0" w:color="9CC3E5"/>
              <w:right w:val="nil"/>
            </w:tcBorders>
          </w:tcPr>
          <w:p w14:paraId="0DA15574" w14:textId="77777777" w:rsidR="00B855C5" w:rsidRPr="004E5542" w:rsidRDefault="00F20762">
            <w:pPr>
              <w:jc w:val="both"/>
              <w:cnfStyle w:val="000000100000" w:firstRow="0" w:lastRow="0" w:firstColumn="0" w:lastColumn="0" w:oddVBand="0" w:evenVBand="0" w:oddHBand="1" w:evenHBand="0" w:firstRowFirstColumn="0" w:firstRowLastColumn="0" w:lastRowFirstColumn="0" w:lastRowLastColumn="0"/>
              <w:rPr>
                <w:rFonts w:ascii="Calibri Light" w:hAnsi="Calibri Light"/>
                <w:color w:val="0000FF"/>
              </w:rPr>
            </w:pPr>
            <w:hyperlink r:id="rId12">
              <w:r w:rsidR="00AE246E" w:rsidRPr="004E5542">
                <w:rPr>
                  <w:rFonts w:ascii="Calibri Light" w:hAnsi="Calibri Light"/>
                  <w:color w:val="0000FF"/>
                  <w:u w:val="single"/>
                </w:rPr>
                <w:t>Informe No. 100/17</w:t>
              </w:r>
            </w:hyperlink>
          </w:p>
        </w:tc>
      </w:tr>
      <w:tr w:rsidR="00B855C5" w:rsidRPr="004E5542" w14:paraId="6225724E" w14:textId="77777777" w:rsidTr="00B855C5">
        <w:trPr>
          <w:trHeight w:val="200"/>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3E5"/>
              <w:left w:val="nil"/>
              <w:bottom w:val="single" w:sz="4" w:space="0" w:color="9CC3E5"/>
              <w:right w:val="nil"/>
            </w:tcBorders>
          </w:tcPr>
          <w:p w14:paraId="264980D3" w14:textId="77777777" w:rsidR="00B855C5" w:rsidRPr="004E5542" w:rsidRDefault="00AE246E">
            <w:pPr>
              <w:numPr>
                <w:ilvl w:val="0"/>
                <w:numId w:val="3"/>
              </w:numPr>
              <w:pBdr>
                <w:top w:val="nil"/>
                <w:left w:val="nil"/>
                <w:bottom w:val="nil"/>
                <w:right w:val="nil"/>
                <w:between w:val="nil"/>
              </w:pBdr>
              <w:contextualSpacing/>
              <w:rPr>
                <w:rFonts w:ascii="Calibri Light" w:hAnsi="Calibri Light"/>
              </w:rPr>
            </w:pPr>
            <w:r w:rsidRPr="004E5542">
              <w:rPr>
                <w:rFonts w:ascii="Calibri Light" w:hAnsi="Calibri Light"/>
                <w:color w:val="000000"/>
              </w:rPr>
              <w:t xml:space="preserve">Tipo de informe </w:t>
            </w:r>
          </w:p>
        </w:tc>
        <w:tc>
          <w:tcPr>
            <w:tcW w:w="4918" w:type="dxa"/>
            <w:gridSpan w:val="3"/>
            <w:tcBorders>
              <w:top w:val="single" w:sz="4" w:space="0" w:color="9CC3E5"/>
              <w:left w:val="nil"/>
              <w:bottom w:val="single" w:sz="4" w:space="0" w:color="9CC3E5"/>
              <w:right w:val="nil"/>
            </w:tcBorders>
            <w:vAlign w:val="center"/>
          </w:tcPr>
          <w:p w14:paraId="6CDFD619" w14:textId="77777777" w:rsidR="00B855C5" w:rsidRPr="004E5542" w:rsidRDefault="00AE246E">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4E5542">
              <w:rPr>
                <w:rFonts w:ascii="Calibri Light" w:hAnsi="Calibri Light"/>
              </w:rPr>
              <w:t>Informe de Fondo (Caso en la Corte IDH)</w:t>
            </w:r>
          </w:p>
        </w:tc>
      </w:tr>
      <w:tr w:rsidR="00B855C5" w:rsidRPr="004E5542" w14:paraId="3C326F28" w14:textId="77777777" w:rsidTr="00807158">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3E5"/>
              <w:left w:val="nil"/>
              <w:bottom w:val="single" w:sz="4" w:space="0" w:color="9CC3E5"/>
              <w:right w:val="nil"/>
            </w:tcBorders>
          </w:tcPr>
          <w:p w14:paraId="519F0E40" w14:textId="77777777" w:rsidR="00B855C5" w:rsidRPr="004E5542" w:rsidRDefault="00AE246E">
            <w:pPr>
              <w:numPr>
                <w:ilvl w:val="0"/>
                <w:numId w:val="3"/>
              </w:numPr>
              <w:pBdr>
                <w:top w:val="nil"/>
                <w:left w:val="nil"/>
                <w:bottom w:val="nil"/>
                <w:right w:val="nil"/>
                <w:between w:val="nil"/>
              </w:pBdr>
              <w:contextualSpacing/>
              <w:rPr>
                <w:rFonts w:ascii="Calibri Light" w:hAnsi="Calibri Light"/>
                <w:color w:val="000000"/>
              </w:rPr>
            </w:pPr>
            <w:r w:rsidRPr="004E5542">
              <w:rPr>
                <w:rFonts w:ascii="Calibri Light" w:hAnsi="Calibri Light"/>
                <w:color w:val="000000"/>
              </w:rPr>
              <w:t xml:space="preserve">Fecha </w:t>
            </w:r>
          </w:p>
        </w:tc>
        <w:tc>
          <w:tcPr>
            <w:tcW w:w="4918" w:type="dxa"/>
            <w:gridSpan w:val="3"/>
            <w:tcBorders>
              <w:top w:val="single" w:sz="4" w:space="0" w:color="9CC3E5"/>
              <w:left w:val="nil"/>
              <w:bottom w:val="single" w:sz="4" w:space="0" w:color="9CC3E5"/>
              <w:right w:val="nil"/>
            </w:tcBorders>
            <w:vAlign w:val="center"/>
          </w:tcPr>
          <w:p w14:paraId="5DF28703" w14:textId="77777777" w:rsidR="00B855C5" w:rsidRPr="004E5542" w:rsidRDefault="00AE246E">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4E5542">
              <w:rPr>
                <w:rFonts w:ascii="Calibri Light" w:hAnsi="Calibri Light"/>
              </w:rPr>
              <w:t>05 de septiembre de 2017</w:t>
            </w:r>
          </w:p>
        </w:tc>
      </w:tr>
      <w:tr w:rsidR="00B855C5" w:rsidRPr="004E5542" w14:paraId="776E022E" w14:textId="77777777" w:rsidTr="00B855C5">
        <w:trPr>
          <w:trHeight w:val="560"/>
        </w:trPr>
        <w:tc>
          <w:tcPr>
            <w:cnfStyle w:val="001000000000" w:firstRow="0" w:lastRow="0" w:firstColumn="1" w:lastColumn="0" w:oddVBand="0" w:evenVBand="0" w:oddHBand="0" w:evenHBand="0" w:firstRowFirstColumn="0" w:firstRowLastColumn="0" w:lastRowFirstColumn="0" w:lastRowLastColumn="0"/>
            <w:tcW w:w="3586" w:type="dxa"/>
            <w:tcBorders>
              <w:top w:val="single" w:sz="4" w:space="0" w:color="9CC3E5"/>
              <w:left w:val="nil"/>
              <w:bottom w:val="single" w:sz="4" w:space="0" w:color="9CC3E5"/>
              <w:right w:val="nil"/>
            </w:tcBorders>
          </w:tcPr>
          <w:p w14:paraId="75DF2F0A" w14:textId="77777777" w:rsidR="00B855C5" w:rsidRPr="004E5542" w:rsidRDefault="00AE246E">
            <w:pPr>
              <w:numPr>
                <w:ilvl w:val="0"/>
                <w:numId w:val="3"/>
              </w:numPr>
              <w:pBdr>
                <w:top w:val="nil"/>
                <w:left w:val="nil"/>
                <w:bottom w:val="nil"/>
                <w:right w:val="nil"/>
                <w:between w:val="nil"/>
              </w:pBdr>
              <w:contextualSpacing/>
              <w:rPr>
                <w:rFonts w:ascii="Calibri Light" w:hAnsi="Calibri Light"/>
                <w:color w:val="000000"/>
              </w:rPr>
            </w:pPr>
            <w:r w:rsidRPr="004E5542">
              <w:rPr>
                <w:rFonts w:ascii="Calibri Light" w:hAnsi="Calibri Light"/>
                <w:color w:val="000000"/>
              </w:rPr>
              <w:t>Decisiones de la CIDH y/o la Corte IDH, relacionadas</w:t>
            </w:r>
          </w:p>
        </w:tc>
        <w:tc>
          <w:tcPr>
            <w:tcW w:w="4918" w:type="dxa"/>
            <w:gridSpan w:val="3"/>
            <w:tcBorders>
              <w:top w:val="single" w:sz="4" w:space="0" w:color="9CC3E5"/>
              <w:left w:val="nil"/>
              <w:bottom w:val="single" w:sz="4" w:space="0" w:color="9CC3E5"/>
              <w:right w:val="nil"/>
            </w:tcBorders>
            <w:vAlign w:val="center"/>
          </w:tcPr>
          <w:p w14:paraId="3C01DC13" w14:textId="12452827" w:rsidR="007C76B5" w:rsidRDefault="00AE246E">
            <w:pPr>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FF"/>
              </w:rPr>
            </w:pPr>
            <w:r w:rsidRPr="004E5542">
              <w:rPr>
                <w:rFonts w:ascii="Calibri Light" w:hAnsi="Calibri Light"/>
              </w:rPr>
              <w:t>Informe No. 86/08 (</w:t>
            </w:r>
            <w:hyperlink r:id="rId13">
              <w:r w:rsidRPr="004E5542">
                <w:rPr>
                  <w:rFonts w:ascii="Calibri Light" w:hAnsi="Calibri Light"/>
                  <w:color w:val="0000FF"/>
                  <w:u w:val="single"/>
                </w:rPr>
                <w:t>Admisibilidad</w:t>
              </w:r>
            </w:hyperlink>
            <w:r w:rsidRPr="004E5542">
              <w:rPr>
                <w:rFonts w:ascii="Calibri Light" w:hAnsi="Calibri Light"/>
                <w:color w:val="0000FF"/>
              </w:rPr>
              <w:t>)</w:t>
            </w:r>
          </w:p>
          <w:p w14:paraId="02222A5A" w14:textId="3C221C62" w:rsidR="007C76B5" w:rsidRPr="007C76B5" w:rsidRDefault="007C76B5">
            <w:pPr>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rPr>
            </w:pPr>
            <w:r>
              <w:rPr>
                <w:rFonts w:ascii="Calibri Light" w:hAnsi="Calibri Light"/>
                <w:color w:val="000000" w:themeColor="text1"/>
              </w:rPr>
              <w:t xml:space="preserve">Resoluciones de medidas provisionales de </w:t>
            </w:r>
            <w:hyperlink r:id="rId14" w:history="1">
              <w:r w:rsidRPr="00607C8B">
                <w:rPr>
                  <w:rStyle w:val="Hyperlink"/>
                  <w:rFonts w:ascii="Calibri Light" w:hAnsi="Calibri Light"/>
                </w:rPr>
                <w:t>6 de febrero de 2019</w:t>
              </w:r>
            </w:hyperlink>
            <w:r>
              <w:rPr>
                <w:rFonts w:ascii="Calibri Light" w:hAnsi="Calibri Light"/>
                <w:color w:val="000000" w:themeColor="text1"/>
              </w:rPr>
              <w:t xml:space="preserve"> y </w:t>
            </w:r>
            <w:hyperlink r:id="rId15" w:history="1">
              <w:r w:rsidR="00607C8B" w:rsidRPr="00607C8B">
                <w:rPr>
                  <w:rStyle w:val="Hyperlink"/>
                  <w:rFonts w:ascii="Calibri Light" w:hAnsi="Calibri Light"/>
                </w:rPr>
                <w:t>13 de mayo de 2019</w:t>
              </w:r>
            </w:hyperlink>
          </w:p>
          <w:p w14:paraId="0E1C86DA" w14:textId="3C6BE536" w:rsidR="007C76B5" w:rsidRPr="007C76B5" w:rsidRDefault="007C76B5">
            <w:pPr>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rPr>
            </w:pPr>
            <w:r>
              <w:rPr>
                <w:rFonts w:ascii="Calibri Light" w:hAnsi="Calibri Light"/>
                <w:color w:val="000000" w:themeColor="text1"/>
              </w:rPr>
              <w:t>Caso Arrom Suhurt y otros vs. Paraguay (</w:t>
            </w:r>
            <w:hyperlink r:id="rId16" w:history="1">
              <w:r w:rsidRPr="007C76B5">
                <w:rPr>
                  <w:rStyle w:val="Hyperlink"/>
                  <w:rFonts w:ascii="Calibri Light" w:hAnsi="Calibri Light"/>
                </w:rPr>
                <w:t>Sentencia de 13 de mayo de 2019</w:t>
              </w:r>
            </w:hyperlink>
            <w:r>
              <w:rPr>
                <w:rFonts w:ascii="Calibri Light" w:hAnsi="Calibri Light"/>
                <w:color w:val="000000" w:themeColor="text1"/>
              </w:rPr>
              <w:t>)</w:t>
            </w:r>
          </w:p>
        </w:tc>
      </w:tr>
      <w:tr w:rsidR="00B855C5" w:rsidRPr="004E5542" w14:paraId="5947BE50" w14:textId="77777777" w:rsidTr="00CA5BA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586" w:type="dxa"/>
            <w:vMerge w:val="restart"/>
            <w:tcBorders>
              <w:top w:val="single" w:sz="4" w:space="0" w:color="9CC3E5"/>
              <w:left w:val="nil"/>
              <w:right w:val="nil"/>
            </w:tcBorders>
          </w:tcPr>
          <w:p w14:paraId="52568643" w14:textId="77777777" w:rsidR="00B855C5" w:rsidRPr="004E5542" w:rsidRDefault="00AE246E">
            <w:pPr>
              <w:numPr>
                <w:ilvl w:val="0"/>
                <w:numId w:val="3"/>
              </w:numPr>
              <w:pBdr>
                <w:top w:val="nil"/>
                <w:left w:val="nil"/>
                <w:bottom w:val="nil"/>
                <w:right w:val="nil"/>
                <w:between w:val="nil"/>
              </w:pBdr>
              <w:contextualSpacing/>
              <w:rPr>
                <w:rFonts w:ascii="Calibri Light" w:hAnsi="Calibri Light"/>
                <w:color w:val="000000"/>
              </w:rPr>
            </w:pPr>
            <w:r w:rsidRPr="004E5542">
              <w:rPr>
                <w:rFonts w:ascii="Calibri Light" w:hAnsi="Calibri Light"/>
                <w:color w:val="000000"/>
              </w:rPr>
              <w:t xml:space="preserve">Artículos analizados </w:t>
            </w:r>
          </w:p>
        </w:tc>
        <w:tc>
          <w:tcPr>
            <w:tcW w:w="4918" w:type="dxa"/>
            <w:gridSpan w:val="3"/>
            <w:tcBorders>
              <w:top w:val="single" w:sz="4" w:space="0" w:color="9CC3E5"/>
              <w:left w:val="nil"/>
              <w:bottom w:val="single" w:sz="4" w:space="0" w:color="9CC3E5"/>
              <w:right w:val="nil"/>
            </w:tcBorders>
            <w:vAlign w:val="center"/>
          </w:tcPr>
          <w:p w14:paraId="5C699360" w14:textId="77777777" w:rsidR="00B855C5" w:rsidRPr="004E5542" w:rsidRDefault="00AE246E">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4E5542">
              <w:rPr>
                <w:rFonts w:ascii="Calibri Light" w:hAnsi="Calibri Light"/>
              </w:rPr>
              <w:t>Convención Americana sobre Derechos Humanos</w:t>
            </w:r>
          </w:p>
        </w:tc>
      </w:tr>
      <w:tr w:rsidR="00B855C5" w:rsidRPr="004E5542" w14:paraId="021A402C" w14:textId="77777777" w:rsidTr="00B855C5">
        <w:trPr>
          <w:trHeight w:val="600"/>
        </w:trPr>
        <w:tc>
          <w:tcPr>
            <w:cnfStyle w:val="001000000000" w:firstRow="0" w:lastRow="0" w:firstColumn="1" w:lastColumn="0" w:oddVBand="0" w:evenVBand="0" w:oddHBand="0" w:evenHBand="0" w:firstRowFirstColumn="0" w:firstRowLastColumn="0" w:lastRowFirstColumn="0" w:lastRowLastColumn="0"/>
            <w:tcW w:w="3586" w:type="dxa"/>
            <w:vMerge/>
            <w:tcBorders>
              <w:top w:val="single" w:sz="4" w:space="0" w:color="9CC3E5"/>
              <w:left w:val="nil"/>
              <w:right w:val="nil"/>
            </w:tcBorders>
          </w:tcPr>
          <w:p w14:paraId="305CE73E" w14:textId="77777777" w:rsidR="00B855C5" w:rsidRPr="004E5542" w:rsidRDefault="00B855C5">
            <w:pPr>
              <w:widowControl w:val="0"/>
              <w:pBdr>
                <w:top w:val="nil"/>
                <w:left w:val="nil"/>
                <w:bottom w:val="nil"/>
                <w:right w:val="nil"/>
                <w:between w:val="nil"/>
              </w:pBdr>
              <w:spacing w:line="276" w:lineRule="auto"/>
              <w:rPr>
                <w:rFonts w:ascii="Calibri Light" w:hAnsi="Calibri Light"/>
              </w:rPr>
            </w:pPr>
          </w:p>
        </w:tc>
        <w:tc>
          <w:tcPr>
            <w:tcW w:w="2343" w:type="dxa"/>
            <w:tcBorders>
              <w:top w:val="single" w:sz="4" w:space="0" w:color="9CC3E5"/>
              <w:left w:val="nil"/>
              <w:bottom w:val="single" w:sz="4" w:space="0" w:color="9CC3E5"/>
              <w:right w:val="nil"/>
            </w:tcBorders>
            <w:vAlign w:val="center"/>
          </w:tcPr>
          <w:p w14:paraId="772009BD" w14:textId="77777777" w:rsidR="00B855C5" w:rsidRPr="004E5542" w:rsidRDefault="00AE246E">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4E5542">
              <w:rPr>
                <w:rFonts w:ascii="Calibri Light" w:hAnsi="Calibri Light"/>
              </w:rPr>
              <w:t>Artículos analizados declarados violados</w:t>
            </w:r>
          </w:p>
        </w:tc>
        <w:tc>
          <w:tcPr>
            <w:tcW w:w="2575" w:type="dxa"/>
            <w:gridSpan w:val="2"/>
            <w:tcBorders>
              <w:top w:val="single" w:sz="4" w:space="0" w:color="9CC3E5"/>
              <w:left w:val="nil"/>
              <w:bottom w:val="single" w:sz="4" w:space="0" w:color="9CC3E5"/>
              <w:right w:val="nil"/>
            </w:tcBorders>
            <w:vAlign w:val="center"/>
          </w:tcPr>
          <w:p w14:paraId="23229E29" w14:textId="77777777" w:rsidR="00B855C5" w:rsidRPr="004E5542" w:rsidRDefault="00AE246E">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4E5542">
              <w:rPr>
                <w:rFonts w:ascii="Calibri Light" w:hAnsi="Calibri Light"/>
              </w:rPr>
              <w:t>Artículos analizados no declarados violados</w:t>
            </w:r>
          </w:p>
        </w:tc>
      </w:tr>
      <w:tr w:rsidR="00B855C5" w:rsidRPr="004E5542" w14:paraId="6CC01C68" w14:textId="77777777" w:rsidTr="00CA5BAF">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586" w:type="dxa"/>
            <w:vMerge/>
            <w:tcBorders>
              <w:top w:val="single" w:sz="4" w:space="0" w:color="9CC3E5"/>
              <w:left w:val="nil"/>
              <w:right w:val="nil"/>
            </w:tcBorders>
          </w:tcPr>
          <w:p w14:paraId="441C9114" w14:textId="77777777" w:rsidR="00B855C5" w:rsidRPr="004E5542" w:rsidRDefault="00B855C5">
            <w:pPr>
              <w:widowControl w:val="0"/>
              <w:pBdr>
                <w:top w:val="nil"/>
                <w:left w:val="nil"/>
                <w:bottom w:val="nil"/>
                <w:right w:val="nil"/>
                <w:between w:val="nil"/>
              </w:pBdr>
              <w:spacing w:line="276" w:lineRule="auto"/>
              <w:rPr>
                <w:rFonts w:ascii="Calibri Light" w:hAnsi="Calibri Light"/>
              </w:rPr>
            </w:pPr>
          </w:p>
        </w:tc>
        <w:tc>
          <w:tcPr>
            <w:tcW w:w="2343" w:type="dxa"/>
            <w:tcBorders>
              <w:top w:val="single" w:sz="4" w:space="0" w:color="9CC3E5"/>
              <w:left w:val="nil"/>
              <w:bottom w:val="single" w:sz="4" w:space="0" w:color="9CC3E5"/>
              <w:right w:val="nil"/>
            </w:tcBorders>
            <w:vAlign w:val="center"/>
          </w:tcPr>
          <w:p w14:paraId="16F695D8" w14:textId="77777777" w:rsidR="00B855C5" w:rsidRPr="004E5542" w:rsidRDefault="00AE246E">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4E5542">
              <w:rPr>
                <w:rFonts w:ascii="Calibri Light" w:hAnsi="Calibri Light"/>
                <w:lang w:val="en-US"/>
              </w:rPr>
              <w:t>Art. 1, art. 3, art. 4, art. 5, art. 8, art. 7, art. 25</w:t>
            </w:r>
          </w:p>
        </w:tc>
        <w:tc>
          <w:tcPr>
            <w:tcW w:w="2575" w:type="dxa"/>
            <w:gridSpan w:val="2"/>
            <w:tcBorders>
              <w:top w:val="single" w:sz="4" w:space="0" w:color="9CC3E5"/>
              <w:left w:val="nil"/>
              <w:bottom w:val="single" w:sz="4" w:space="0" w:color="9CC3E5"/>
              <w:right w:val="nil"/>
            </w:tcBorders>
            <w:vAlign w:val="center"/>
          </w:tcPr>
          <w:p w14:paraId="0CDF4754" w14:textId="77777777" w:rsidR="00B855C5" w:rsidRPr="004E5542" w:rsidRDefault="00AE246E">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4E5542">
              <w:rPr>
                <w:rFonts w:ascii="Calibri Light" w:hAnsi="Calibri Light"/>
              </w:rPr>
              <w:t>-</w:t>
            </w:r>
          </w:p>
        </w:tc>
      </w:tr>
      <w:tr w:rsidR="00B855C5" w:rsidRPr="004E5542" w14:paraId="0233F882" w14:textId="77777777" w:rsidTr="00CA5BAF">
        <w:trPr>
          <w:trHeight w:val="396"/>
        </w:trPr>
        <w:tc>
          <w:tcPr>
            <w:cnfStyle w:val="001000000000" w:firstRow="0" w:lastRow="0" w:firstColumn="1" w:lastColumn="0" w:oddVBand="0" w:evenVBand="0" w:oddHBand="0" w:evenHBand="0" w:firstRowFirstColumn="0" w:firstRowLastColumn="0" w:lastRowFirstColumn="0" w:lastRowLastColumn="0"/>
            <w:tcW w:w="3586" w:type="dxa"/>
            <w:vMerge/>
            <w:tcBorders>
              <w:top w:val="single" w:sz="4" w:space="0" w:color="9CC3E5"/>
              <w:left w:val="nil"/>
              <w:right w:val="nil"/>
            </w:tcBorders>
          </w:tcPr>
          <w:p w14:paraId="210EB925" w14:textId="77777777" w:rsidR="00B855C5" w:rsidRPr="004E5542" w:rsidRDefault="00B855C5">
            <w:pPr>
              <w:widowControl w:val="0"/>
              <w:pBdr>
                <w:top w:val="nil"/>
                <w:left w:val="nil"/>
                <w:bottom w:val="nil"/>
                <w:right w:val="nil"/>
                <w:between w:val="nil"/>
              </w:pBdr>
              <w:spacing w:line="276" w:lineRule="auto"/>
              <w:rPr>
                <w:rFonts w:ascii="Calibri Light" w:hAnsi="Calibri Light"/>
              </w:rPr>
            </w:pPr>
          </w:p>
        </w:tc>
        <w:tc>
          <w:tcPr>
            <w:tcW w:w="4918" w:type="dxa"/>
            <w:gridSpan w:val="3"/>
            <w:tcBorders>
              <w:top w:val="single" w:sz="4" w:space="0" w:color="9CC3E5"/>
              <w:left w:val="nil"/>
              <w:bottom w:val="single" w:sz="4" w:space="0" w:color="9CC3E5"/>
              <w:right w:val="nil"/>
            </w:tcBorders>
            <w:vAlign w:val="center"/>
          </w:tcPr>
          <w:p w14:paraId="4CE1818E" w14:textId="77777777" w:rsidR="00B855C5" w:rsidRPr="004E5542" w:rsidRDefault="00AE246E">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4E5542">
              <w:rPr>
                <w:rFonts w:ascii="Calibri Light" w:hAnsi="Calibri Light"/>
              </w:rPr>
              <w:t>Convención Interamericana sobre Desaparición Forzada de Personas</w:t>
            </w:r>
          </w:p>
        </w:tc>
      </w:tr>
      <w:tr w:rsidR="00B855C5" w:rsidRPr="004E5542" w14:paraId="0C14E2D6" w14:textId="77777777" w:rsidTr="00CA5BAF">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586" w:type="dxa"/>
            <w:vMerge/>
            <w:tcBorders>
              <w:top w:val="single" w:sz="4" w:space="0" w:color="9CC3E5"/>
              <w:left w:val="nil"/>
              <w:right w:val="nil"/>
            </w:tcBorders>
          </w:tcPr>
          <w:p w14:paraId="1ED1577D" w14:textId="77777777" w:rsidR="00B855C5" w:rsidRPr="004E5542" w:rsidRDefault="00B855C5">
            <w:pPr>
              <w:widowControl w:val="0"/>
              <w:pBdr>
                <w:top w:val="nil"/>
                <w:left w:val="nil"/>
                <w:bottom w:val="nil"/>
                <w:right w:val="nil"/>
                <w:between w:val="nil"/>
              </w:pBdr>
              <w:spacing w:line="276" w:lineRule="auto"/>
              <w:rPr>
                <w:rFonts w:ascii="Calibri Light" w:hAnsi="Calibri Light"/>
              </w:rPr>
            </w:pPr>
          </w:p>
        </w:tc>
        <w:tc>
          <w:tcPr>
            <w:tcW w:w="2343" w:type="dxa"/>
            <w:tcBorders>
              <w:top w:val="single" w:sz="4" w:space="0" w:color="9CC3E5"/>
              <w:left w:val="nil"/>
              <w:bottom w:val="single" w:sz="4" w:space="0" w:color="9CC3E5"/>
              <w:right w:val="nil"/>
            </w:tcBorders>
            <w:vAlign w:val="center"/>
          </w:tcPr>
          <w:p w14:paraId="60161C18" w14:textId="77777777" w:rsidR="00B855C5" w:rsidRPr="004E5542" w:rsidRDefault="00AE246E">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4E5542">
              <w:rPr>
                <w:rFonts w:ascii="Calibri Light" w:hAnsi="Calibri Light"/>
              </w:rPr>
              <w:t>Artículos analizados declarados violados</w:t>
            </w:r>
          </w:p>
        </w:tc>
        <w:tc>
          <w:tcPr>
            <w:tcW w:w="2575" w:type="dxa"/>
            <w:gridSpan w:val="2"/>
            <w:tcBorders>
              <w:top w:val="single" w:sz="4" w:space="0" w:color="9CC3E5"/>
              <w:left w:val="nil"/>
              <w:bottom w:val="single" w:sz="4" w:space="0" w:color="9CC3E5"/>
              <w:right w:val="nil"/>
            </w:tcBorders>
            <w:vAlign w:val="center"/>
          </w:tcPr>
          <w:p w14:paraId="4B40B2B7" w14:textId="77777777" w:rsidR="00B855C5" w:rsidRPr="004E5542" w:rsidRDefault="00AE246E">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4E5542">
              <w:rPr>
                <w:rFonts w:ascii="Calibri Light" w:hAnsi="Calibri Light"/>
              </w:rPr>
              <w:t>Artículos analizados no declarados violados</w:t>
            </w:r>
          </w:p>
        </w:tc>
      </w:tr>
      <w:tr w:rsidR="00B855C5" w:rsidRPr="004E5542" w14:paraId="2446113A" w14:textId="77777777" w:rsidTr="00CA5BAF">
        <w:trPr>
          <w:trHeight w:val="284"/>
        </w:trPr>
        <w:tc>
          <w:tcPr>
            <w:cnfStyle w:val="001000000000" w:firstRow="0" w:lastRow="0" w:firstColumn="1" w:lastColumn="0" w:oddVBand="0" w:evenVBand="0" w:oddHBand="0" w:evenHBand="0" w:firstRowFirstColumn="0" w:firstRowLastColumn="0" w:lastRowFirstColumn="0" w:lastRowLastColumn="0"/>
            <w:tcW w:w="3586" w:type="dxa"/>
            <w:vMerge/>
            <w:tcBorders>
              <w:top w:val="single" w:sz="4" w:space="0" w:color="9CC3E5"/>
              <w:left w:val="nil"/>
              <w:right w:val="nil"/>
            </w:tcBorders>
          </w:tcPr>
          <w:p w14:paraId="184EE2BE" w14:textId="77777777" w:rsidR="00B855C5" w:rsidRPr="004E5542" w:rsidRDefault="00B855C5">
            <w:pPr>
              <w:widowControl w:val="0"/>
              <w:pBdr>
                <w:top w:val="nil"/>
                <w:left w:val="nil"/>
                <w:bottom w:val="nil"/>
                <w:right w:val="nil"/>
                <w:between w:val="nil"/>
              </w:pBdr>
              <w:spacing w:line="276" w:lineRule="auto"/>
              <w:rPr>
                <w:rFonts w:ascii="Calibri Light" w:hAnsi="Calibri Light"/>
              </w:rPr>
            </w:pPr>
          </w:p>
        </w:tc>
        <w:tc>
          <w:tcPr>
            <w:tcW w:w="2343" w:type="dxa"/>
            <w:tcBorders>
              <w:top w:val="single" w:sz="4" w:space="0" w:color="9CC3E5"/>
              <w:left w:val="nil"/>
              <w:bottom w:val="single" w:sz="4" w:space="0" w:color="9CC3E5"/>
              <w:right w:val="nil"/>
            </w:tcBorders>
            <w:vAlign w:val="center"/>
          </w:tcPr>
          <w:p w14:paraId="255D52F0" w14:textId="77777777" w:rsidR="00B855C5" w:rsidRPr="004E5542" w:rsidRDefault="00AE246E">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4E5542">
              <w:rPr>
                <w:rFonts w:ascii="Calibri Light" w:hAnsi="Calibri Light"/>
              </w:rPr>
              <w:t xml:space="preserve">Art. </w:t>
            </w:r>
            <w:r w:rsidR="00C8245A" w:rsidRPr="004E5542">
              <w:rPr>
                <w:rFonts w:ascii="Calibri Light" w:hAnsi="Calibri Light"/>
              </w:rPr>
              <w:t>I</w:t>
            </w:r>
          </w:p>
        </w:tc>
        <w:tc>
          <w:tcPr>
            <w:tcW w:w="2575" w:type="dxa"/>
            <w:gridSpan w:val="2"/>
            <w:tcBorders>
              <w:top w:val="single" w:sz="4" w:space="0" w:color="9CC3E5"/>
              <w:left w:val="nil"/>
              <w:bottom w:val="single" w:sz="4" w:space="0" w:color="9CC3E5"/>
              <w:right w:val="nil"/>
            </w:tcBorders>
            <w:vAlign w:val="center"/>
          </w:tcPr>
          <w:p w14:paraId="084398B5" w14:textId="77777777" w:rsidR="00B855C5" w:rsidRPr="004E5542" w:rsidRDefault="00AE246E">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4E5542">
              <w:rPr>
                <w:rFonts w:ascii="Calibri Light" w:hAnsi="Calibri Light"/>
              </w:rPr>
              <w:t>-</w:t>
            </w:r>
          </w:p>
        </w:tc>
      </w:tr>
      <w:tr w:rsidR="00B855C5" w:rsidRPr="004E5542" w14:paraId="51CB9BF9" w14:textId="77777777" w:rsidTr="00CA5BA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586" w:type="dxa"/>
            <w:vMerge/>
            <w:tcBorders>
              <w:top w:val="single" w:sz="4" w:space="0" w:color="9CC3E5"/>
              <w:left w:val="nil"/>
              <w:right w:val="nil"/>
            </w:tcBorders>
          </w:tcPr>
          <w:p w14:paraId="2F0F9DC3" w14:textId="77777777" w:rsidR="00B855C5" w:rsidRPr="004E5542" w:rsidRDefault="00B855C5">
            <w:pPr>
              <w:widowControl w:val="0"/>
              <w:pBdr>
                <w:top w:val="nil"/>
                <w:left w:val="nil"/>
                <w:bottom w:val="nil"/>
                <w:right w:val="nil"/>
                <w:between w:val="nil"/>
              </w:pBdr>
              <w:spacing w:line="276" w:lineRule="auto"/>
              <w:rPr>
                <w:rFonts w:ascii="Calibri Light" w:hAnsi="Calibri Light"/>
              </w:rPr>
            </w:pPr>
          </w:p>
        </w:tc>
        <w:tc>
          <w:tcPr>
            <w:tcW w:w="4918" w:type="dxa"/>
            <w:gridSpan w:val="3"/>
            <w:tcBorders>
              <w:top w:val="single" w:sz="4" w:space="0" w:color="9CC3E5"/>
              <w:left w:val="nil"/>
              <w:bottom w:val="single" w:sz="4" w:space="0" w:color="9CC3E5"/>
              <w:right w:val="nil"/>
            </w:tcBorders>
            <w:vAlign w:val="center"/>
          </w:tcPr>
          <w:p w14:paraId="05240474" w14:textId="77777777" w:rsidR="00B855C5" w:rsidRPr="004E5542" w:rsidRDefault="00AE246E">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4E5542">
              <w:rPr>
                <w:rFonts w:ascii="Calibri Light" w:hAnsi="Calibri Light"/>
              </w:rPr>
              <w:t>Convención Interamericana para Prevenir y Sancionar la Tortura</w:t>
            </w:r>
          </w:p>
        </w:tc>
      </w:tr>
      <w:tr w:rsidR="00B855C5" w:rsidRPr="004E5542" w14:paraId="768C5817" w14:textId="77777777" w:rsidTr="00B855C5">
        <w:trPr>
          <w:trHeight w:val="520"/>
        </w:trPr>
        <w:tc>
          <w:tcPr>
            <w:cnfStyle w:val="001000000000" w:firstRow="0" w:lastRow="0" w:firstColumn="1" w:lastColumn="0" w:oddVBand="0" w:evenVBand="0" w:oddHBand="0" w:evenHBand="0" w:firstRowFirstColumn="0" w:firstRowLastColumn="0" w:lastRowFirstColumn="0" w:lastRowLastColumn="0"/>
            <w:tcW w:w="3586" w:type="dxa"/>
            <w:vMerge/>
            <w:tcBorders>
              <w:top w:val="single" w:sz="4" w:space="0" w:color="9CC3E5"/>
              <w:left w:val="nil"/>
              <w:right w:val="nil"/>
            </w:tcBorders>
          </w:tcPr>
          <w:p w14:paraId="0B2B8464" w14:textId="77777777" w:rsidR="00B855C5" w:rsidRPr="004E5542" w:rsidRDefault="00B855C5">
            <w:pPr>
              <w:widowControl w:val="0"/>
              <w:pBdr>
                <w:top w:val="nil"/>
                <w:left w:val="nil"/>
                <w:bottom w:val="nil"/>
                <w:right w:val="nil"/>
                <w:between w:val="nil"/>
              </w:pBdr>
              <w:spacing w:line="276" w:lineRule="auto"/>
              <w:rPr>
                <w:rFonts w:ascii="Calibri Light" w:hAnsi="Calibri Light"/>
              </w:rPr>
            </w:pPr>
          </w:p>
        </w:tc>
        <w:tc>
          <w:tcPr>
            <w:tcW w:w="2459" w:type="dxa"/>
            <w:gridSpan w:val="2"/>
            <w:tcBorders>
              <w:top w:val="single" w:sz="4" w:space="0" w:color="9CC3E5"/>
              <w:left w:val="nil"/>
              <w:bottom w:val="single" w:sz="4" w:space="0" w:color="9CC3E5"/>
              <w:right w:val="nil"/>
            </w:tcBorders>
            <w:vAlign w:val="center"/>
          </w:tcPr>
          <w:p w14:paraId="1F829725" w14:textId="77777777" w:rsidR="00B855C5" w:rsidRPr="004E5542" w:rsidRDefault="00AE246E">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4E5542">
              <w:rPr>
                <w:rFonts w:ascii="Calibri Light" w:hAnsi="Calibri Light"/>
              </w:rPr>
              <w:t>Artículos analizados declarados violados</w:t>
            </w:r>
          </w:p>
        </w:tc>
        <w:tc>
          <w:tcPr>
            <w:tcW w:w="2459" w:type="dxa"/>
            <w:tcBorders>
              <w:top w:val="single" w:sz="4" w:space="0" w:color="9CC3E5"/>
              <w:left w:val="nil"/>
              <w:bottom w:val="single" w:sz="4" w:space="0" w:color="9CC3E5"/>
              <w:right w:val="nil"/>
            </w:tcBorders>
            <w:vAlign w:val="center"/>
          </w:tcPr>
          <w:p w14:paraId="6FED1D5C" w14:textId="77777777" w:rsidR="00B855C5" w:rsidRPr="004E5542" w:rsidRDefault="00AE246E">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4E5542">
              <w:rPr>
                <w:rFonts w:ascii="Calibri Light" w:hAnsi="Calibri Light"/>
              </w:rPr>
              <w:t>Artículos analizados no declarados violados</w:t>
            </w:r>
          </w:p>
        </w:tc>
      </w:tr>
      <w:tr w:rsidR="00B855C5" w:rsidRPr="004E5542" w14:paraId="5446029D" w14:textId="77777777" w:rsidTr="00B855C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86" w:type="dxa"/>
            <w:vMerge/>
            <w:tcBorders>
              <w:top w:val="single" w:sz="4" w:space="0" w:color="9CC3E5"/>
              <w:left w:val="nil"/>
              <w:right w:val="nil"/>
            </w:tcBorders>
          </w:tcPr>
          <w:p w14:paraId="011C6C5C" w14:textId="77777777" w:rsidR="00B855C5" w:rsidRPr="004E5542" w:rsidRDefault="00B855C5">
            <w:pPr>
              <w:widowControl w:val="0"/>
              <w:pBdr>
                <w:top w:val="nil"/>
                <w:left w:val="nil"/>
                <w:bottom w:val="nil"/>
                <w:right w:val="nil"/>
                <w:between w:val="nil"/>
              </w:pBdr>
              <w:spacing w:line="276" w:lineRule="auto"/>
              <w:rPr>
                <w:rFonts w:ascii="Calibri Light" w:hAnsi="Calibri Light"/>
              </w:rPr>
            </w:pPr>
          </w:p>
        </w:tc>
        <w:tc>
          <w:tcPr>
            <w:tcW w:w="2343" w:type="dxa"/>
            <w:tcBorders>
              <w:top w:val="single" w:sz="4" w:space="0" w:color="9CC3E5"/>
              <w:left w:val="nil"/>
              <w:bottom w:val="single" w:sz="4" w:space="0" w:color="9CC3E5"/>
              <w:right w:val="nil"/>
            </w:tcBorders>
            <w:vAlign w:val="center"/>
          </w:tcPr>
          <w:p w14:paraId="3A75BE98" w14:textId="77777777" w:rsidR="00B855C5" w:rsidRPr="004E5542" w:rsidRDefault="00AE246E">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4E5542">
              <w:rPr>
                <w:rFonts w:ascii="Calibri Light" w:hAnsi="Calibri Light"/>
              </w:rPr>
              <w:t>Art. 1, art. 6, art. 8</w:t>
            </w:r>
          </w:p>
        </w:tc>
        <w:tc>
          <w:tcPr>
            <w:tcW w:w="2575" w:type="dxa"/>
            <w:gridSpan w:val="2"/>
            <w:tcBorders>
              <w:top w:val="single" w:sz="4" w:space="0" w:color="9CC3E5"/>
              <w:left w:val="nil"/>
              <w:bottom w:val="single" w:sz="4" w:space="0" w:color="9CC3E5"/>
              <w:right w:val="nil"/>
            </w:tcBorders>
            <w:vAlign w:val="center"/>
          </w:tcPr>
          <w:p w14:paraId="521D9766" w14:textId="77777777" w:rsidR="00B855C5" w:rsidRPr="004E5542" w:rsidRDefault="00AE246E">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4E5542">
              <w:rPr>
                <w:rFonts w:ascii="Calibri Light" w:hAnsi="Calibri Light"/>
              </w:rPr>
              <w:t>-</w:t>
            </w:r>
          </w:p>
        </w:tc>
      </w:tr>
      <w:tr w:rsidR="00B855C5" w:rsidRPr="004E5542" w14:paraId="376A05CA" w14:textId="77777777" w:rsidTr="00B855C5">
        <w:trPr>
          <w:trHeight w:val="560"/>
        </w:trPr>
        <w:tc>
          <w:tcPr>
            <w:cnfStyle w:val="001000000000" w:firstRow="0" w:lastRow="0" w:firstColumn="1" w:lastColumn="0" w:oddVBand="0" w:evenVBand="0" w:oddHBand="0" w:evenHBand="0" w:firstRowFirstColumn="0" w:firstRowLastColumn="0" w:lastRowFirstColumn="0" w:lastRowLastColumn="0"/>
            <w:tcW w:w="8504" w:type="dxa"/>
            <w:gridSpan w:val="4"/>
            <w:tcBorders>
              <w:top w:val="single" w:sz="4" w:space="0" w:color="9CC3E5"/>
              <w:left w:val="nil"/>
              <w:bottom w:val="single" w:sz="4" w:space="0" w:color="9CC3E5"/>
              <w:right w:val="nil"/>
            </w:tcBorders>
            <w:vAlign w:val="center"/>
          </w:tcPr>
          <w:p w14:paraId="1CDF23B8" w14:textId="77777777" w:rsidR="00B855C5" w:rsidRPr="004E5542" w:rsidRDefault="00AE246E">
            <w:pPr>
              <w:numPr>
                <w:ilvl w:val="0"/>
                <w:numId w:val="2"/>
              </w:numPr>
              <w:pBdr>
                <w:top w:val="nil"/>
                <w:left w:val="nil"/>
                <w:bottom w:val="nil"/>
                <w:right w:val="nil"/>
                <w:between w:val="nil"/>
              </w:pBdr>
              <w:contextualSpacing/>
              <w:jc w:val="center"/>
              <w:rPr>
                <w:rFonts w:ascii="Calibri Light" w:hAnsi="Calibri Light"/>
                <w:color w:val="000000"/>
              </w:rPr>
            </w:pPr>
            <w:r w:rsidRPr="004E5542">
              <w:rPr>
                <w:rFonts w:ascii="Calibri Light" w:hAnsi="Calibri Light"/>
                <w:color w:val="000000"/>
              </w:rPr>
              <w:t>Sumilla</w:t>
            </w:r>
          </w:p>
        </w:tc>
      </w:tr>
      <w:tr w:rsidR="00B855C5" w:rsidRPr="004E5542" w14:paraId="730CED14" w14:textId="77777777" w:rsidTr="00CA5BAF">
        <w:trPr>
          <w:cnfStyle w:val="000000100000" w:firstRow="0" w:lastRow="0" w:firstColumn="0" w:lastColumn="0" w:oddVBand="0" w:evenVBand="0" w:oddHBand="1" w:evenHBand="0" w:firstRowFirstColumn="0" w:firstRowLastColumn="0" w:lastRowFirstColumn="0" w:lastRowLastColumn="0"/>
          <w:trHeight w:val="1522"/>
        </w:trPr>
        <w:tc>
          <w:tcPr>
            <w:cnfStyle w:val="001000000000" w:firstRow="0" w:lastRow="0" w:firstColumn="1" w:lastColumn="0" w:oddVBand="0" w:evenVBand="0" w:oddHBand="0" w:evenHBand="0" w:firstRowFirstColumn="0" w:firstRowLastColumn="0" w:lastRowFirstColumn="0" w:lastRowLastColumn="0"/>
            <w:tcW w:w="8504" w:type="dxa"/>
            <w:gridSpan w:val="4"/>
            <w:tcBorders>
              <w:top w:val="single" w:sz="4" w:space="0" w:color="9CC3E5"/>
              <w:left w:val="nil"/>
              <w:bottom w:val="single" w:sz="4" w:space="0" w:color="9CC3E5"/>
              <w:right w:val="nil"/>
            </w:tcBorders>
            <w:vAlign w:val="center"/>
          </w:tcPr>
          <w:p w14:paraId="506CA543" w14:textId="1F1E86A3" w:rsidR="00B855C5" w:rsidRPr="004E5542" w:rsidRDefault="00AE246E" w:rsidP="00CA5BAF">
            <w:pPr>
              <w:jc w:val="both"/>
              <w:rPr>
                <w:rFonts w:ascii="Calibri Light" w:hAnsi="Calibri Light"/>
              </w:rPr>
            </w:pPr>
            <w:r w:rsidRPr="004E5542">
              <w:rPr>
                <w:rFonts w:ascii="Calibri Light" w:hAnsi="Calibri Light"/>
                <w:b w:val="0"/>
              </w:rPr>
              <w:t xml:space="preserve">El caso </w:t>
            </w:r>
            <w:r w:rsidR="00807158" w:rsidRPr="004E5542">
              <w:rPr>
                <w:rFonts w:ascii="Calibri Light" w:hAnsi="Calibri Light"/>
                <w:b w:val="0"/>
              </w:rPr>
              <w:t xml:space="preserve">trata sobre </w:t>
            </w:r>
            <w:r w:rsidRPr="004E5542">
              <w:rPr>
                <w:rFonts w:ascii="Calibri Light" w:hAnsi="Calibri Light"/>
                <w:b w:val="0"/>
              </w:rPr>
              <w:t xml:space="preserve">la desaparición de </w:t>
            </w:r>
            <w:r w:rsidR="00287753" w:rsidRPr="004E5542">
              <w:rPr>
                <w:rFonts w:ascii="Calibri Light" w:hAnsi="Calibri Light"/>
                <w:b w:val="0"/>
              </w:rPr>
              <w:t xml:space="preserve">los dirigentes del Partido Patria Libre, </w:t>
            </w:r>
            <w:r w:rsidRPr="004E5542">
              <w:rPr>
                <w:rFonts w:ascii="Calibri Light" w:hAnsi="Calibri Light"/>
                <w:b w:val="0"/>
              </w:rPr>
              <w:t>Juan Arrom y Anuncio Martí</w:t>
            </w:r>
            <w:r w:rsidR="00CA5BAF" w:rsidRPr="004E5542">
              <w:rPr>
                <w:rFonts w:ascii="Calibri Light" w:hAnsi="Calibri Light"/>
                <w:b w:val="0"/>
              </w:rPr>
              <w:t>. Ante esta situación, sus familiares presentaron hábeas corpus que fueron negados.</w:t>
            </w:r>
            <w:r w:rsidRPr="004E5542">
              <w:rPr>
                <w:rFonts w:ascii="Calibri Light" w:hAnsi="Calibri Light"/>
                <w:b w:val="0"/>
              </w:rPr>
              <w:t xml:space="preserve"> </w:t>
            </w:r>
            <w:r w:rsidR="00CA5BAF" w:rsidRPr="004E5542">
              <w:rPr>
                <w:rFonts w:ascii="Calibri Light" w:hAnsi="Calibri Light"/>
                <w:b w:val="0"/>
              </w:rPr>
              <w:t>Tras su liberación, los señores Arrom y Martí mostraron lesiones y denunciaron la participación de agentes estatales en los hechos. No obstante, la investigación penal fue sobreseída.</w:t>
            </w:r>
          </w:p>
        </w:tc>
      </w:tr>
      <w:tr w:rsidR="00B855C5" w:rsidRPr="004E5542" w14:paraId="015AD731" w14:textId="77777777" w:rsidTr="00B855C5">
        <w:trPr>
          <w:trHeight w:val="560"/>
        </w:trPr>
        <w:tc>
          <w:tcPr>
            <w:cnfStyle w:val="001000000000" w:firstRow="0" w:lastRow="0" w:firstColumn="1" w:lastColumn="0" w:oddVBand="0" w:evenVBand="0" w:oddHBand="0" w:evenHBand="0" w:firstRowFirstColumn="0" w:firstRowLastColumn="0" w:lastRowFirstColumn="0" w:lastRowLastColumn="0"/>
            <w:tcW w:w="8504" w:type="dxa"/>
            <w:gridSpan w:val="4"/>
            <w:tcBorders>
              <w:top w:val="single" w:sz="4" w:space="0" w:color="9CC3E5"/>
              <w:left w:val="nil"/>
              <w:bottom w:val="single" w:sz="4" w:space="0" w:color="9CC3E5"/>
              <w:right w:val="nil"/>
            </w:tcBorders>
            <w:vAlign w:val="center"/>
          </w:tcPr>
          <w:p w14:paraId="51F00E21" w14:textId="77777777" w:rsidR="00B855C5" w:rsidRPr="004E5542" w:rsidRDefault="00AE246E">
            <w:pPr>
              <w:numPr>
                <w:ilvl w:val="0"/>
                <w:numId w:val="2"/>
              </w:numPr>
              <w:pBdr>
                <w:top w:val="nil"/>
                <w:left w:val="nil"/>
                <w:bottom w:val="nil"/>
                <w:right w:val="nil"/>
                <w:between w:val="nil"/>
              </w:pBdr>
              <w:contextualSpacing/>
              <w:jc w:val="center"/>
              <w:rPr>
                <w:rFonts w:ascii="Calibri Light" w:hAnsi="Calibri Light"/>
                <w:color w:val="000000"/>
              </w:rPr>
            </w:pPr>
            <w:r w:rsidRPr="004E5542">
              <w:rPr>
                <w:rFonts w:ascii="Calibri Light" w:hAnsi="Calibri Light"/>
                <w:color w:val="000000"/>
              </w:rPr>
              <w:t>Palabras clave</w:t>
            </w:r>
          </w:p>
        </w:tc>
      </w:tr>
      <w:tr w:rsidR="00B855C5" w:rsidRPr="004E5542" w14:paraId="2564BE91" w14:textId="77777777" w:rsidTr="00CA5BAF">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8504" w:type="dxa"/>
            <w:gridSpan w:val="4"/>
            <w:tcBorders>
              <w:top w:val="single" w:sz="4" w:space="0" w:color="9CC3E5"/>
              <w:left w:val="nil"/>
              <w:bottom w:val="single" w:sz="4" w:space="0" w:color="9CC3E5"/>
              <w:right w:val="nil"/>
            </w:tcBorders>
            <w:vAlign w:val="center"/>
          </w:tcPr>
          <w:p w14:paraId="1AC8D374" w14:textId="3AB1ACD5" w:rsidR="00807158" w:rsidRPr="004E5542" w:rsidRDefault="00AE246E" w:rsidP="00CA5BAF">
            <w:pPr>
              <w:jc w:val="both"/>
              <w:rPr>
                <w:rFonts w:ascii="Calibri Light" w:hAnsi="Calibri Light"/>
              </w:rPr>
            </w:pPr>
            <w:r w:rsidRPr="004E5542">
              <w:rPr>
                <w:rFonts w:ascii="Calibri Light" w:hAnsi="Calibri Light"/>
                <w:b w:val="0"/>
              </w:rPr>
              <w:t xml:space="preserve">CIDFP, CIPST, Desaparición forzada, </w:t>
            </w:r>
            <w:r w:rsidR="00807158" w:rsidRPr="004E5542">
              <w:rPr>
                <w:rFonts w:ascii="Calibri Light" w:hAnsi="Calibri Light"/>
                <w:b w:val="0"/>
              </w:rPr>
              <w:t xml:space="preserve">Integridad personal, </w:t>
            </w:r>
            <w:r w:rsidRPr="004E5542">
              <w:rPr>
                <w:rFonts w:ascii="Calibri Light" w:hAnsi="Calibri Light"/>
                <w:b w:val="0"/>
              </w:rPr>
              <w:t>Libertad personal</w:t>
            </w:r>
            <w:r w:rsidR="00807158" w:rsidRPr="004E5542">
              <w:rPr>
                <w:rFonts w:ascii="Calibri Light" w:hAnsi="Calibri Light"/>
                <w:b w:val="0"/>
              </w:rPr>
              <w:t>, Personalidad jurídica, Tortura tratos crueles inhumanos o degradantes, Vida</w:t>
            </w:r>
          </w:p>
        </w:tc>
      </w:tr>
      <w:tr w:rsidR="00B855C5" w:rsidRPr="004E5542" w14:paraId="14360C17" w14:textId="77777777" w:rsidTr="00B855C5">
        <w:trPr>
          <w:trHeight w:val="560"/>
        </w:trPr>
        <w:tc>
          <w:tcPr>
            <w:cnfStyle w:val="001000000000" w:firstRow="0" w:lastRow="0" w:firstColumn="1" w:lastColumn="0" w:oddVBand="0" w:evenVBand="0" w:oddHBand="0" w:evenHBand="0" w:firstRowFirstColumn="0" w:firstRowLastColumn="0" w:lastRowFirstColumn="0" w:lastRowLastColumn="0"/>
            <w:tcW w:w="8504" w:type="dxa"/>
            <w:gridSpan w:val="4"/>
            <w:tcBorders>
              <w:top w:val="single" w:sz="4" w:space="0" w:color="9CC3E5"/>
              <w:left w:val="nil"/>
              <w:bottom w:val="single" w:sz="4" w:space="0" w:color="9CC3E5"/>
              <w:right w:val="nil"/>
            </w:tcBorders>
            <w:vAlign w:val="center"/>
          </w:tcPr>
          <w:p w14:paraId="24EF87B6" w14:textId="77777777" w:rsidR="00B855C5" w:rsidRPr="004E5542" w:rsidRDefault="00AE246E">
            <w:pPr>
              <w:numPr>
                <w:ilvl w:val="0"/>
                <w:numId w:val="2"/>
              </w:numPr>
              <w:pBdr>
                <w:top w:val="nil"/>
                <w:left w:val="nil"/>
                <w:bottom w:val="nil"/>
                <w:right w:val="nil"/>
                <w:between w:val="nil"/>
              </w:pBdr>
              <w:contextualSpacing/>
              <w:jc w:val="center"/>
              <w:rPr>
                <w:rFonts w:ascii="Calibri Light" w:hAnsi="Calibri Light"/>
                <w:color w:val="000000"/>
              </w:rPr>
            </w:pPr>
            <w:r w:rsidRPr="004E5542">
              <w:rPr>
                <w:rFonts w:ascii="Calibri Light" w:hAnsi="Calibri Light"/>
                <w:color w:val="000000"/>
              </w:rPr>
              <w:t>Hechos</w:t>
            </w:r>
          </w:p>
        </w:tc>
      </w:tr>
      <w:tr w:rsidR="00B855C5" w:rsidRPr="004E5542" w14:paraId="18B17298" w14:textId="77777777" w:rsidTr="00B855C5">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8504" w:type="dxa"/>
            <w:gridSpan w:val="4"/>
            <w:tcBorders>
              <w:top w:val="single" w:sz="4" w:space="0" w:color="9CC3E5"/>
              <w:left w:val="nil"/>
              <w:bottom w:val="single" w:sz="4" w:space="0" w:color="9CC3E5"/>
              <w:right w:val="nil"/>
            </w:tcBorders>
          </w:tcPr>
          <w:p w14:paraId="787A7FF4" w14:textId="77777777" w:rsidR="00B855C5" w:rsidRPr="004E5542" w:rsidRDefault="00B855C5">
            <w:pPr>
              <w:jc w:val="both"/>
              <w:rPr>
                <w:rFonts w:ascii="Calibri Light" w:hAnsi="Calibri Light"/>
              </w:rPr>
            </w:pPr>
          </w:p>
          <w:p w14:paraId="0E8BBD4A" w14:textId="77777777" w:rsidR="00B855C5" w:rsidRPr="004E5542" w:rsidRDefault="00AE246E" w:rsidP="00120FC3">
            <w:pPr>
              <w:spacing w:after="200"/>
              <w:jc w:val="both"/>
              <w:rPr>
                <w:rFonts w:ascii="Calibri Light" w:hAnsi="Calibri Light"/>
              </w:rPr>
            </w:pPr>
            <w:r w:rsidRPr="004E5542">
              <w:rPr>
                <w:rFonts w:ascii="Calibri Light" w:hAnsi="Calibri Light"/>
                <w:b w:val="0"/>
              </w:rPr>
              <w:t>En noviembre de 2001, la prensa del Estado de Paraguay difundió que Juan Arrom y Anuncio Martí</w:t>
            </w:r>
            <w:r w:rsidR="00120FC3" w:rsidRPr="004E5542">
              <w:rPr>
                <w:rFonts w:ascii="Calibri Light" w:hAnsi="Calibri Light"/>
                <w:b w:val="0"/>
              </w:rPr>
              <w:t xml:space="preserve">, dirigentes del Partido Patria Libre y supuestos responsables del secuestro de </w:t>
            </w:r>
            <w:r w:rsidR="00B16A1F" w:rsidRPr="004E5542">
              <w:rPr>
                <w:rFonts w:ascii="Calibri Light" w:hAnsi="Calibri Light"/>
                <w:b w:val="0"/>
              </w:rPr>
              <w:t>María Bordón</w:t>
            </w:r>
            <w:r w:rsidR="00120FC3" w:rsidRPr="004E5542">
              <w:rPr>
                <w:rFonts w:ascii="Calibri Light" w:hAnsi="Calibri Light"/>
                <w:b w:val="0"/>
              </w:rPr>
              <w:t>,</w:t>
            </w:r>
            <w:r w:rsidRPr="004E5542">
              <w:rPr>
                <w:rFonts w:ascii="Calibri Light" w:hAnsi="Calibri Light"/>
                <w:b w:val="0"/>
              </w:rPr>
              <w:t xml:space="preserve"> se encontraban desaparecidos. Respecto a </w:t>
            </w:r>
            <w:r w:rsidR="00970659" w:rsidRPr="004E5542">
              <w:rPr>
                <w:rFonts w:ascii="Calibri Light" w:hAnsi="Calibri Light"/>
                <w:b w:val="0"/>
              </w:rPr>
              <w:t xml:space="preserve">su </w:t>
            </w:r>
            <w:r w:rsidRPr="004E5542">
              <w:rPr>
                <w:rFonts w:ascii="Calibri Light" w:hAnsi="Calibri Light"/>
                <w:b w:val="0"/>
              </w:rPr>
              <w:t xml:space="preserve">desaparición entre el 17 y el 30 de ese mes, existen dos versiones: </w:t>
            </w:r>
            <w:r w:rsidR="00B835DA" w:rsidRPr="004E5542">
              <w:rPr>
                <w:rFonts w:ascii="Calibri Light" w:hAnsi="Calibri Light"/>
                <w:b w:val="0"/>
              </w:rPr>
              <w:t xml:space="preserve">i) </w:t>
            </w:r>
            <w:r w:rsidRPr="004E5542">
              <w:rPr>
                <w:rFonts w:ascii="Calibri Light" w:hAnsi="Calibri Light"/>
                <w:b w:val="0"/>
              </w:rPr>
              <w:t xml:space="preserve">la versión según la cual agentes estatales participaron en la desaparición y tortura de los señores Arrom y Martí, sostenida por ellos mismos tras su liberación; y </w:t>
            </w:r>
            <w:r w:rsidR="00B835DA" w:rsidRPr="004E5542">
              <w:rPr>
                <w:rFonts w:ascii="Calibri Light" w:hAnsi="Calibri Light"/>
                <w:b w:val="0"/>
              </w:rPr>
              <w:t xml:space="preserve">ii) </w:t>
            </w:r>
            <w:r w:rsidRPr="004E5542">
              <w:rPr>
                <w:rFonts w:ascii="Calibri Light" w:hAnsi="Calibri Light"/>
                <w:b w:val="0"/>
              </w:rPr>
              <w:t>la versión según la cual no se encuentra acreditada la participación de agentes estatales en la desaparición, sostenida por funcionarios estatales.</w:t>
            </w:r>
          </w:p>
          <w:p w14:paraId="21E966EC" w14:textId="221E16DC" w:rsidR="00B855C5" w:rsidRPr="004E5542" w:rsidRDefault="00AE246E">
            <w:pPr>
              <w:spacing w:after="200"/>
              <w:jc w:val="both"/>
              <w:rPr>
                <w:rFonts w:ascii="Calibri Light" w:hAnsi="Calibri Light"/>
              </w:rPr>
            </w:pPr>
            <w:r w:rsidRPr="004E5542">
              <w:rPr>
                <w:rFonts w:ascii="Calibri Light" w:hAnsi="Calibri Light"/>
                <w:b w:val="0"/>
              </w:rPr>
              <w:t>Según la primera versión, los señores Arrom y Martí fueron interceptados por hombres armados el 17 de enero y privados de su libertad de forma ilegal hasta el 30 de enero. Durante su secuestro, sufrieron fuertes golpes en todo el cuerpo, presión en los testículos y asfixias. Asimismo, fueron amenazados, insultados e interrogados con el fin de obtener información sobre el partido en el que militaban</w:t>
            </w:r>
            <w:r w:rsidR="00970659" w:rsidRPr="004E5542">
              <w:rPr>
                <w:rFonts w:ascii="Calibri Light" w:hAnsi="Calibri Light"/>
                <w:b w:val="0"/>
              </w:rPr>
              <w:t xml:space="preserve"> e inculparse por el secuestro</w:t>
            </w:r>
            <w:r w:rsidRPr="004E5542">
              <w:rPr>
                <w:rFonts w:ascii="Calibri Light" w:hAnsi="Calibri Light"/>
                <w:b w:val="0"/>
              </w:rPr>
              <w:t xml:space="preserve">. </w:t>
            </w:r>
            <w:r w:rsidR="00970659" w:rsidRPr="004E5542">
              <w:rPr>
                <w:rFonts w:ascii="Calibri Light" w:hAnsi="Calibri Light"/>
                <w:b w:val="0"/>
              </w:rPr>
              <w:t>Según</w:t>
            </w:r>
            <w:r w:rsidRPr="004E5542">
              <w:rPr>
                <w:rFonts w:ascii="Calibri Light" w:hAnsi="Calibri Light"/>
                <w:b w:val="0"/>
              </w:rPr>
              <w:t xml:space="preserve"> sus relatos, varios funcionarios del Estado participaron </w:t>
            </w:r>
            <w:r w:rsidR="004E5542" w:rsidRPr="004E5542">
              <w:rPr>
                <w:rFonts w:ascii="Calibri Light" w:hAnsi="Calibri Light"/>
                <w:b w:val="0"/>
              </w:rPr>
              <w:t xml:space="preserve">o tenían conocimiento </w:t>
            </w:r>
            <w:r w:rsidRPr="004E5542">
              <w:rPr>
                <w:rFonts w:ascii="Calibri Light" w:hAnsi="Calibri Light"/>
                <w:b w:val="0"/>
              </w:rPr>
              <w:t>de los hechos.</w:t>
            </w:r>
            <w:r w:rsidR="00120FC3" w:rsidRPr="004E5542">
              <w:rPr>
                <w:rFonts w:ascii="Calibri Light" w:hAnsi="Calibri Light"/>
                <w:b w:val="0"/>
              </w:rPr>
              <w:t xml:space="preserve"> Además, Esteban Centurión y Ángela Salinas, quienes se encontraban en el lugar de los hechos, testificaron en contra de tales funcionarios.</w:t>
            </w:r>
            <w:r w:rsidR="006A4C3C" w:rsidRPr="004E5542">
              <w:rPr>
                <w:rFonts w:ascii="Calibri Light" w:hAnsi="Calibri Light"/>
                <w:b w:val="0"/>
              </w:rPr>
              <w:t xml:space="preserve"> Cabe agregar que en los vídeos ofrecidos a la CIDH para el presente caso, se documentaron que ambos presentaban lesiones visibles.</w:t>
            </w:r>
          </w:p>
          <w:p w14:paraId="121E3791" w14:textId="77777777" w:rsidR="00B855C5" w:rsidRPr="004E5542" w:rsidRDefault="00AE246E">
            <w:pPr>
              <w:spacing w:after="200"/>
              <w:jc w:val="both"/>
              <w:rPr>
                <w:rFonts w:ascii="Calibri Light" w:hAnsi="Calibri Light"/>
              </w:rPr>
            </w:pPr>
            <w:r w:rsidRPr="004E5542">
              <w:rPr>
                <w:rFonts w:ascii="Calibri Light" w:hAnsi="Calibri Light"/>
                <w:b w:val="0"/>
              </w:rPr>
              <w:t xml:space="preserve">De acuerdo a la segunda versión, los funcionarios estatales imputados </w:t>
            </w:r>
            <w:r w:rsidR="005343F6" w:rsidRPr="004E5542">
              <w:rPr>
                <w:rFonts w:ascii="Calibri Light" w:hAnsi="Calibri Light"/>
                <w:b w:val="0"/>
              </w:rPr>
              <w:t>—</w:t>
            </w:r>
            <w:r w:rsidRPr="004E5542">
              <w:rPr>
                <w:rFonts w:ascii="Calibri Light" w:hAnsi="Calibri Light"/>
                <w:b w:val="0"/>
              </w:rPr>
              <w:t>entre ellos</w:t>
            </w:r>
            <w:r w:rsidR="005343F6" w:rsidRPr="004E5542">
              <w:rPr>
                <w:rFonts w:ascii="Calibri Light" w:hAnsi="Calibri Light"/>
                <w:b w:val="0"/>
              </w:rPr>
              <w:t>,</w:t>
            </w:r>
            <w:r w:rsidRPr="004E5542">
              <w:rPr>
                <w:rFonts w:ascii="Calibri Light" w:hAnsi="Calibri Light"/>
                <w:b w:val="0"/>
              </w:rPr>
              <w:t xml:space="preserve"> </w:t>
            </w:r>
            <w:r w:rsidR="00B835DA" w:rsidRPr="004E5542">
              <w:rPr>
                <w:rFonts w:ascii="Calibri Light" w:hAnsi="Calibri Light"/>
                <w:b w:val="0"/>
              </w:rPr>
              <w:t>M</w:t>
            </w:r>
            <w:r w:rsidRPr="004E5542">
              <w:rPr>
                <w:rFonts w:ascii="Calibri Light" w:hAnsi="Calibri Light"/>
                <w:b w:val="0"/>
              </w:rPr>
              <w:t xml:space="preserve">inistros, agentes </w:t>
            </w:r>
            <w:r w:rsidR="001D7F6F" w:rsidRPr="004E5542">
              <w:rPr>
                <w:rFonts w:ascii="Calibri Light" w:hAnsi="Calibri Light"/>
                <w:b w:val="0"/>
              </w:rPr>
              <w:t>policiales</w:t>
            </w:r>
            <w:r w:rsidRPr="004E5542">
              <w:rPr>
                <w:rFonts w:ascii="Calibri Light" w:hAnsi="Calibri Light"/>
                <w:b w:val="0"/>
              </w:rPr>
              <w:t xml:space="preserve"> y fiscales</w:t>
            </w:r>
            <w:r w:rsidR="005343F6" w:rsidRPr="004E5542">
              <w:rPr>
                <w:rFonts w:ascii="Calibri Light" w:hAnsi="Calibri Light"/>
                <w:b w:val="0"/>
              </w:rPr>
              <w:t>—</w:t>
            </w:r>
            <w:r w:rsidRPr="004E5542">
              <w:rPr>
                <w:rFonts w:ascii="Calibri Light" w:hAnsi="Calibri Light"/>
                <w:b w:val="0"/>
              </w:rPr>
              <w:t xml:space="preserve"> negaron su participación y presentaron coartadas sobre sus actividades en los días en que los señores Arrom y Martí estuvieron desaparecidos. Algunos adujeron encontrarse de vacaciones, mientras otros afirmaron haber participado en operativos propios de sus funciones. Asimismo, cuestionaron la desaparición en tanto existía una denuncia </w:t>
            </w:r>
            <w:r w:rsidR="00C8245A" w:rsidRPr="004E5542">
              <w:rPr>
                <w:rFonts w:ascii="Calibri Light" w:hAnsi="Calibri Light"/>
                <w:b w:val="0"/>
              </w:rPr>
              <w:t xml:space="preserve">por la pérdida de su licencia de conducir, formulada </w:t>
            </w:r>
            <w:r w:rsidRPr="004E5542">
              <w:rPr>
                <w:rFonts w:ascii="Calibri Light" w:hAnsi="Calibri Light"/>
                <w:b w:val="0"/>
              </w:rPr>
              <w:t xml:space="preserve">por el señor Arrom el 19 de enero, fecha en la que </w:t>
            </w:r>
            <w:r w:rsidR="00C8245A" w:rsidRPr="004E5542">
              <w:rPr>
                <w:rFonts w:ascii="Calibri Light" w:hAnsi="Calibri Light"/>
                <w:b w:val="0"/>
              </w:rPr>
              <w:t>había afirmado</w:t>
            </w:r>
            <w:r w:rsidRPr="004E5542">
              <w:rPr>
                <w:rFonts w:ascii="Calibri Light" w:hAnsi="Calibri Light"/>
                <w:b w:val="0"/>
              </w:rPr>
              <w:t xml:space="preserve"> </w:t>
            </w:r>
            <w:r w:rsidR="00C8245A" w:rsidRPr="004E5542">
              <w:rPr>
                <w:rFonts w:ascii="Calibri Light" w:hAnsi="Calibri Light"/>
                <w:b w:val="0"/>
              </w:rPr>
              <w:t xml:space="preserve">estar </w:t>
            </w:r>
            <w:r w:rsidRPr="004E5542">
              <w:rPr>
                <w:rFonts w:ascii="Calibri Light" w:hAnsi="Calibri Light"/>
                <w:b w:val="0"/>
              </w:rPr>
              <w:t>detenido ilegalmente.</w:t>
            </w:r>
          </w:p>
          <w:p w14:paraId="2C466242" w14:textId="775FBF6C" w:rsidR="00B855C5" w:rsidRPr="004E5542" w:rsidRDefault="00AE246E">
            <w:pPr>
              <w:spacing w:after="200"/>
              <w:jc w:val="both"/>
              <w:rPr>
                <w:rFonts w:ascii="Calibri Light" w:hAnsi="Calibri Light"/>
              </w:rPr>
            </w:pPr>
            <w:r w:rsidRPr="004E5542">
              <w:rPr>
                <w:rFonts w:ascii="Calibri Light" w:hAnsi="Calibri Light"/>
                <w:b w:val="0"/>
              </w:rPr>
              <w:t>Durante el tiempo que duró la desaparición de los señores Arrom y Martí,</w:t>
            </w:r>
            <w:r w:rsidR="00C8245A" w:rsidRPr="004E5542">
              <w:rPr>
                <w:rFonts w:ascii="Calibri Light" w:hAnsi="Calibri Light"/>
                <w:b w:val="0"/>
              </w:rPr>
              <w:t xml:space="preserve"> sus</w:t>
            </w:r>
            <w:r w:rsidRPr="004E5542">
              <w:rPr>
                <w:rFonts w:ascii="Calibri Light" w:hAnsi="Calibri Light"/>
                <w:b w:val="0"/>
              </w:rPr>
              <w:t xml:space="preserve"> familiares plantearon recursos de hábeas corpus en su favor. Sin embargo, estos fueron rechazados por las autoridades judiciales, </w:t>
            </w:r>
            <w:r w:rsidR="00287753" w:rsidRPr="004E5542">
              <w:rPr>
                <w:rFonts w:ascii="Calibri Light" w:hAnsi="Calibri Light"/>
                <w:b w:val="0"/>
              </w:rPr>
              <w:t>que</w:t>
            </w:r>
            <w:r w:rsidRPr="004E5542">
              <w:rPr>
                <w:rFonts w:ascii="Calibri Light" w:hAnsi="Calibri Light"/>
                <w:b w:val="0"/>
              </w:rPr>
              <w:t xml:space="preserve"> adujeron que</w:t>
            </w:r>
            <w:r w:rsidR="0069313E" w:rsidRPr="004E5542">
              <w:rPr>
                <w:rFonts w:ascii="Calibri Light" w:hAnsi="Calibri Light"/>
                <w:b w:val="0"/>
              </w:rPr>
              <w:t xml:space="preserve"> ambos tenían una orden de captura en su contra por el supuesto secuestro de</w:t>
            </w:r>
            <w:r w:rsidR="00B16A1F" w:rsidRPr="004E5542">
              <w:rPr>
                <w:rFonts w:ascii="Calibri Light" w:hAnsi="Calibri Light"/>
                <w:b w:val="0"/>
              </w:rPr>
              <w:t xml:space="preserve"> la señora Bordón</w:t>
            </w:r>
            <w:r w:rsidR="0069313E" w:rsidRPr="004E5542">
              <w:rPr>
                <w:rFonts w:ascii="Calibri Light" w:hAnsi="Calibri Light"/>
                <w:b w:val="0"/>
              </w:rPr>
              <w:t xml:space="preserve">. </w:t>
            </w:r>
            <w:r w:rsidR="00B16A1F" w:rsidRPr="004E5542">
              <w:rPr>
                <w:rFonts w:ascii="Calibri Light" w:hAnsi="Calibri Light"/>
                <w:b w:val="0"/>
              </w:rPr>
              <w:t>E</w:t>
            </w:r>
            <w:r w:rsidR="0069313E" w:rsidRPr="004E5542">
              <w:rPr>
                <w:rFonts w:ascii="Calibri Light" w:hAnsi="Calibri Light"/>
                <w:b w:val="0"/>
              </w:rPr>
              <w:t>n el caso del señor Arrom, señalaron que</w:t>
            </w:r>
            <w:r w:rsidRPr="004E5542">
              <w:rPr>
                <w:rFonts w:ascii="Calibri Light" w:hAnsi="Calibri Light"/>
                <w:b w:val="0"/>
              </w:rPr>
              <w:t xml:space="preserve"> no existía certeza sobre </w:t>
            </w:r>
            <w:r w:rsidR="0069313E" w:rsidRPr="004E5542">
              <w:rPr>
                <w:rFonts w:ascii="Calibri Light" w:hAnsi="Calibri Light"/>
                <w:b w:val="0"/>
              </w:rPr>
              <w:t xml:space="preserve">su </w:t>
            </w:r>
            <w:r w:rsidRPr="004E5542">
              <w:rPr>
                <w:rFonts w:ascii="Calibri Light" w:hAnsi="Calibri Light"/>
                <w:b w:val="0"/>
              </w:rPr>
              <w:t>desaparición</w:t>
            </w:r>
            <w:r w:rsidR="0069313E" w:rsidRPr="004E5542">
              <w:rPr>
                <w:rFonts w:ascii="Calibri Light" w:hAnsi="Calibri Light"/>
                <w:b w:val="0"/>
              </w:rPr>
              <w:t xml:space="preserve"> y</w:t>
            </w:r>
            <w:r w:rsidRPr="004E5542">
              <w:rPr>
                <w:rFonts w:ascii="Calibri Light" w:hAnsi="Calibri Light"/>
                <w:b w:val="0"/>
              </w:rPr>
              <w:t xml:space="preserve">, en el caso del señor </w:t>
            </w:r>
            <w:r w:rsidR="0069313E" w:rsidRPr="004E5542">
              <w:rPr>
                <w:rFonts w:ascii="Calibri Light" w:hAnsi="Calibri Light"/>
                <w:b w:val="0"/>
              </w:rPr>
              <w:t xml:space="preserve">Martí, expresaron que </w:t>
            </w:r>
            <w:r w:rsidRPr="004E5542">
              <w:rPr>
                <w:rFonts w:ascii="Calibri Light" w:hAnsi="Calibri Light"/>
                <w:b w:val="0"/>
              </w:rPr>
              <w:t>no se cumplían los requisitos para que su posible detención fuera considerada ilegal.</w:t>
            </w:r>
            <w:r w:rsidR="007E7EDA" w:rsidRPr="004E5542">
              <w:rPr>
                <w:rFonts w:ascii="Calibri Light" w:hAnsi="Calibri Light"/>
                <w:b w:val="0"/>
              </w:rPr>
              <w:t xml:space="preserve"> </w:t>
            </w:r>
            <w:r w:rsidR="0069313E" w:rsidRPr="004E5542">
              <w:rPr>
                <w:rFonts w:ascii="Calibri Light" w:hAnsi="Calibri Light"/>
                <w:b w:val="0"/>
              </w:rPr>
              <w:t>Por otra parte</w:t>
            </w:r>
            <w:r w:rsidRPr="004E5542">
              <w:rPr>
                <w:rFonts w:ascii="Calibri Light" w:hAnsi="Calibri Light"/>
                <w:b w:val="0"/>
              </w:rPr>
              <w:t>,</w:t>
            </w:r>
            <w:r w:rsidR="0069313E" w:rsidRPr="004E5542">
              <w:rPr>
                <w:rFonts w:ascii="Calibri Light" w:hAnsi="Calibri Light"/>
                <w:b w:val="0"/>
              </w:rPr>
              <w:t xml:space="preserve"> los familiares</w:t>
            </w:r>
            <w:r w:rsidRPr="004E5542">
              <w:rPr>
                <w:rFonts w:ascii="Calibri Light" w:hAnsi="Calibri Light"/>
                <w:b w:val="0"/>
              </w:rPr>
              <w:t xml:space="preserve"> plantearon una denuncia</w:t>
            </w:r>
            <w:r w:rsidR="0069313E" w:rsidRPr="004E5542">
              <w:rPr>
                <w:rFonts w:ascii="Calibri Light" w:hAnsi="Calibri Light"/>
                <w:b w:val="0"/>
              </w:rPr>
              <w:t xml:space="preserve"> penal</w:t>
            </w:r>
            <w:r w:rsidRPr="004E5542">
              <w:rPr>
                <w:rFonts w:ascii="Calibri Light" w:hAnsi="Calibri Light"/>
                <w:b w:val="0"/>
              </w:rPr>
              <w:t xml:space="preserve"> por </w:t>
            </w:r>
            <w:r w:rsidR="0069313E" w:rsidRPr="004E5542">
              <w:rPr>
                <w:rFonts w:ascii="Calibri Light" w:hAnsi="Calibri Light"/>
                <w:b w:val="0"/>
              </w:rPr>
              <w:t xml:space="preserve">la </w:t>
            </w:r>
            <w:r w:rsidRPr="004E5542">
              <w:rPr>
                <w:rFonts w:ascii="Calibri Light" w:hAnsi="Calibri Light"/>
                <w:b w:val="0"/>
              </w:rPr>
              <w:t>desaparición</w:t>
            </w:r>
            <w:r w:rsidR="0069313E" w:rsidRPr="004E5542">
              <w:rPr>
                <w:rFonts w:ascii="Calibri Light" w:hAnsi="Calibri Light"/>
                <w:b w:val="0"/>
              </w:rPr>
              <w:t xml:space="preserve"> de amb</w:t>
            </w:r>
            <w:r w:rsidR="00B16A1F" w:rsidRPr="004E5542">
              <w:rPr>
                <w:rFonts w:ascii="Calibri Light" w:hAnsi="Calibri Light"/>
                <w:b w:val="0"/>
              </w:rPr>
              <w:t>o</w:t>
            </w:r>
            <w:r w:rsidR="0069313E" w:rsidRPr="004E5542">
              <w:rPr>
                <w:rFonts w:ascii="Calibri Light" w:hAnsi="Calibri Light"/>
                <w:b w:val="0"/>
              </w:rPr>
              <w:t>s</w:t>
            </w:r>
            <w:r w:rsidRPr="004E5542">
              <w:rPr>
                <w:rFonts w:ascii="Calibri Light" w:hAnsi="Calibri Light"/>
                <w:b w:val="0"/>
              </w:rPr>
              <w:t xml:space="preserve">. Tras su liberación, los señores Arrom y Martí plantearon querellas </w:t>
            </w:r>
            <w:r w:rsidR="00B16A1F" w:rsidRPr="004E5542">
              <w:rPr>
                <w:rFonts w:ascii="Calibri Light" w:hAnsi="Calibri Light"/>
                <w:b w:val="0"/>
              </w:rPr>
              <w:t xml:space="preserve">contra </w:t>
            </w:r>
            <w:r w:rsidRPr="004E5542">
              <w:rPr>
                <w:rFonts w:ascii="Calibri Light" w:hAnsi="Calibri Light"/>
                <w:b w:val="0"/>
              </w:rPr>
              <w:t xml:space="preserve">diversos funcionarios estatales a quienes responsabilizaron por su privación de la libertad y tortura. </w:t>
            </w:r>
            <w:r w:rsidR="007E7EDA" w:rsidRPr="004E5542">
              <w:rPr>
                <w:rFonts w:ascii="Calibri Light" w:hAnsi="Calibri Light"/>
                <w:b w:val="0"/>
              </w:rPr>
              <w:t>E</w:t>
            </w:r>
            <w:r w:rsidRPr="004E5542">
              <w:rPr>
                <w:rFonts w:ascii="Calibri Light" w:hAnsi="Calibri Light"/>
                <w:b w:val="0"/>
              </w:rPr>
              <w:t xml:space="preserve">n febrero de </w:t>
            </w:r>
            <w:r w:rsidR="007E7EDA" w:rsidRPr="004E5542">
              <w:rPr>
                <w:rFonts w:ascii="Calibri Light" w:hAnsi="Calibri Light"/>
                <w:b w:val="0"/>
              </w:rPr>
              <w:t>2002</w:t>
            </w:r>
            <w:r w:rsidR="0069313E" w:rsidRPr="004E5542">
              <w:rPr>
                <w:rFonts w:ascii="Calibri Light" w:hAnsi="Calibri Light"/>
                <w:b w:val="0"/>
              </w:rPr>
              <w:t>,</w:t>
            </w:r>
            <w:r w:rsidRPr="004E5542">
              <w:rPr>
                <w:rFonts w:ascii="Calibri Light" w:hAnsi="Calibri Light"/>
                <w:b w:val="0"/>
              </w:rPr>
              <w:t xml:space="preserve"> el Ministerio Público imputó a cuatro de </w:t>
            </w:r>
            <w:r w:rsidR="007E7EDA" w:rsidRPr="004E5542">
              <w:rPr>
                <w:rFonts w:ascii="Calibri Light" w:hAnsi="Calibri Light"/>
                <w:b w:val="0"/>
              </w:rPr>
              <w:t xml:space="preserve">las personas </w:t>
            </w:r>
            <w:r w:rsidRPr="004E5542">
              <w:rPr>
                <w:rFonts w:ascii="Calibri Light" w:hAnsi="Calibri Light"/>
                <w:b w:val="0"/>
              </w:rPr>
              <w:t>señalad</w:t>
            </w:r>
            <w:r w:rsidR="007E7EDA" w:rsidRPr="004E5542">
              <w:rPr>
                <w:rFonts w:ascii="Calibri Light" w:hAnsi="Calibri Light"/>
                <w:b w:val="0"/>
              </w:rPr>
              <w:t>a</w:t>
            </w:r>
            <w:r w:rsidRPr="004E5542">
              <w:rPr>
                <w:rFonts w:ascii="Calibri Light" w:hAnsi="Calibri Light"/>
                <w:b w:val="0"/>
              </w:rPr>
              <w:t>s</w:t>
            </w:r>
            <w:r w:rsidR="00B16A1F" w:rsidRPr="004E5542">
              <w:rPr>
                <w:rFonts w:ascii="Calibri Light" w:hAnsi="Calibri Light"/>
                <w:b w:val="0"/>
              </w:rPr>
              <w:t>.</w:t>
            </w:r>
            <w:r w:rsidR="007E7EDA" w:rsidRPr="004E5542">
              <w:rPr>
                <w:rFonts w:ascii="Calibri Light" w:hAnsi="Calibri Light"/>
                <w:b w:val="0"/>
              </w:rPr>
              <w:t xml:space="preserve"> </w:t>
            </w:r>
            <w:r w:rsidR="00B16A1F" w:rsidRPr="004E5542">
              <w:rPr>
                <w:rFonts w:ascii="Calibri Light" w:hAnsi="Calibri Light"/>
                <w:b w:val="0"/>
              </w:rPr>
              <w:t>N</w:t>
            </w:r>
            <w:r w:rsidR="007E7EDA" w:rsidRPr="004E5542">
              <w:rPr>
                <w:rFonts w:ascii="Calibri Light" w:hAnsi="Calibri Light"/>
                <w:b w:val="0"/>
              </w:rPr>
              <w:t>o obstante,</w:t>
            </w:r>
            <w:r w:rsidRPr="004E5542">
              <w:rPr>
                <w:rFonts w:ascii="Calibri Light" w:hAnsi="Calibri Light"/>
                <w:b w:val="0"/>
              </w:rPr>
              <w:t xml:space="preserve"> en febrero de 2003</w:t>
            </w:r>
            <w:r w:rsidR="007E7EDA" w:rsidRPr="004E5542">
              <w:rPr>
                <w:rFonts w:ascii="Calibri Light" w:hAnsi="Calibri Light"/>
                <w:b w:val="0"/>
              </w:rPr>
              <w:t xml:space="preserve">, </w:t>
            </w:r>
            <w:r w:rsidRPr="004E5542">
              <w:rPr>
                <w:rFonts w:ascii="Calibri Light" w:hAnsi="Calibri Light"/>
                <w:b w:val="0"/>
              </w:rPr>
              <w:t xml:space="preserve">solicitó el sobreseimiento definitivo respecto a todos los acusados bajo el argumento </w:t>
            </w:r>
            <w:r w:rsidR="00C8245A" w:rsidRPr="004E5542">
              <w:rPr>
                <w:rFonts w:ascii="Calibri Light" w:hAnsi="Calibri Light"/>
                <w:b w:val="0"/>
              </w:rPr>
              <w:t xml:space="preserve">de </w:t>
            </w:r>
            <w:r w:rsidRPr="004E5542">
              <w:rPr>
                <w:rFonts w:ascii="Calibri Light" w:hAnsi="Calibri Light"/>
                <w:b w:val="0"/>
              </w:rPr>
              <w:t>que los testimonios de las víctimas no habían sido corroborados con otros elementos probatorios.</w:t>
            </w:r>
          </w:p>
          <w:p w14:paraId="23345ABD" w14:textId="2F3F99B5" w:rsidR="00E46528" w:rsidRPr="004E5542" w:rsidRDefault="00AE246E" w:rsidP="00610078">
            <w:pPr>
              <w:jc w:val="both"/>
              <w:rPr>
                <w:rFonts w:ascii="Calibri Light" w:hAnsi="Calibri Light"/>
                <w:b w:val="0"/>
              </w:rPr>
            </w:pPr>
            <w:r w:rsidRPr="004E5542">
              <w:rPr>
                <w:rFonts w:ascii="Calibri Light" w:hAnsi="Calibri Light"/>
                <w:b w:val="0"/>
              </w:rPr>
              <w:t xml:space="preserve">En junio de 2003, el abogado del señor Arrom presentó una excepción de inconstitucionalidad contra la disposición 358 del Código Penal de Paraguay, </w:t>
            </w:r>
            <w:r w:rsidR="00287753" w:rsidRPr="004E5542">
              <w:rPr>
                <w:rFonts w:ascii="Calibri Light" w:hAnsi="Calibri Light"/>
                <w:b w:val="0"/>
              </w:rPr>
              <w:t>que disponía que el juez no pod</w:t>
            </w:r>
            <w:r w:rsidRPr="004E5542">
              <w:rPr>
                <w:rFonts w:ascii="Calibri Light" w:hAnsi="Calibri Light"/>
                <w:b w:val="0"/>
              </w:rPr>
              <w:t xml:space="preserve">ía decretar la apertura de un juicio sin una acusación fiscal. En septiembre de ese año, la Sala Constitucional de la Corte Suprema de Justicia desestimó la excepción. Meses después, el juez penal decretó el sobreseimiento definitivo de los imputados. </w:t>
            </w:r>
            <w:r w:rsidR="00B16A1F" w:rsidRPr="004E5542">
              <w:rPr>
                <w:rFonts w:ascii="Calibri Light" w:hAnsi="Calibri Light"/>
                <w:b w:val="0"/>
              </w:rPr>
              <w:t>E</w:t>
            </w:r>
            <w:r w:rsidRPr="004E5542">
              <w:rPr>
                <w:rFonts w:ascii="Calibri Light" w:hAnsi="Calibri Light"/>
                <w:b w:val="0"/>
              </w:rPr>
              <w:t>n marzo de 2004</w:t>
            </w:r>
            <w:r w:rsidR="00BC0A6C" w:rsidRPr="004E5542">
              <w:rPr>
                <w:rFonts w:ascii="Calibri Light" w:hAnsi="Calibri Light"/>
                <w:b w:val="0"/>
              </w:rPr>
              <w:t>,</w:t>
            </w:r>
            <w:r w:rsidRPr="004E5542">
              <w:rPr>
                <w:rFonts w:ascii="Calibri Light" w:hAnsi="Calibri Light"/>
                <w:b w:val="0"/>
              </w:rPr>
              <w:t xml:space="preserve"> la Sala Cuarta del Tribunal de Apelaciones en lo Penal desestimó</w:t>
            </w:r>
            <w:r w:rsidR="00B16A1F" w:rsidRPr="004E5542">
              <w:rPr>
                <w:rFonts w:ascii="Calibri Light" w:hAnsi="Calibri Light"/>
                <w:b w:val="0"/>
              </w:rPr>
              <w:t xml:space="preserve"> la apelación de dicha decisión</w:t>
            </w:r>
            <w:r w:rsidRPr="004E5542">
              <w:rPr>
                <w:rFonts w:ascii="Calibri Light" w:hAnsi="Calibri Light"/>
                <w:b w:val="0"/>
              </w:rPr>
              <w:t>.</w:t>
            </w:r>
            <w:r w:rsidR="007E7EDA" w:rsidRPr="004E5542">
              <w:rPr>
                <w:rFonts w:ascii="Calibri Light" w:hAnsi="Calibri Light"/>
                <w:b w:val="0"/>
              </w:rPr>
              <w:t xml:space="preserve"> </w:t>
            </w:r>
            <w:r w:rsidR="007503A1" w:rsidRPr="004E5542">
              <w:rPr>
                <w:rFonts w:ascii="Calibri Light" w:hAnsi="Calibri Light"/>
                <w:b w:val="0"/>
              </w:rPr>
              <w:t>Para ese entonces, el señor Centurión y la señora Salinas se retractaron de su versión inicial de los hechos</w:t>
            </w:r>
            <w:r w:rsidR="00287753" w:rsidRPr="004E5542">
              <w:rPr>
                <w:rFonts w:ascii="Calibri Light" w:hAnsi="Calibri Light"/>
                <w:b w:val="0"/>
              </w:rPr>
              <w:t>,</w:t>
            </w:r>
            <w:r w:rsidR="007503A1" w:rsidRPr="004E5542">
              <w:rPr>
                <w:rFonts w:ascii="Calibri Light" w:hAnsi="Calibri Light"/>
                <w:b w:val="0"/>
              </w:rPr>
              <w:t xml:space="preserve"> y </w:t>
            </w:r>
            <w:r w:rsidR="00120FC3" w:rsidRPr="004E5542">
              <w:rPr>
                <w:rFonts w:ascii="Calibri Light" w:hAnsi="Calibri Light"/>
                <w:b w:val="0"/>
              </w:rPr>
              <w:t>el Ministerio Público no indagó más al respecto</w:t>
            </w:r>
            <w:r w:rsidR="007503A1" w:rsidRPr="004E5542">
              <w:rPr>
                <w:rFonts w:ascii="Calibri Light" w:hAnsi="Calibri Light"/>
                <w:b w:val="0"/>
              </w:rPr>
              <w:t>.</w:t>
            </w:r>
            <w:r w:rsidRPr="004E5542">
              <w:rPr>
                <w:rFonts w:ascii="Calibri Light" w:hAnsi="Calibri Light"/>
                <w:b w:val="0"/>
              </w:rPr>
              <w:t xml:space="preserve"> </w:t>
            </w:r>
            <w:r w:rsidR="00E46528" w:rsidRPr="004E5542">
              <w:rPr>
                <w:rFonts w:ascii="Calibri Light" w:hAnsi="Calibri Light"/>
                <w:b w:val="0"/>
              </w:rPr>
              <w:t xml:space="preserve">Por otro lado, durante los procesos, varias instituciones estatales difundieron </w:t>
            </w:r>
            <w:r w:rsidR="006D5518" w:rsidRPr="004E5542">
              <w:rPr>
                <w:rFonts w:ascii="Calibri Light" w:hAnsi="Calibri Light"/>
                <w:b w:val="0"/>
              </w:rPr>
              <w:t>la</w:t>
            </w:r>
            <w:r w:rsidR="00E46528" w:rsidRPr="004E5542">
              <w:rPr>
                <w:rFonts w:ascii="Calibri Light" w:hAnsi="Calibri Light"/>
                <w:b w:val="0"/>
              </w:rPr>
              <w:t xml:space="preserve"> circular “Enemigos del Pueblo Paraguayo”, con el logo del Ministerio Público, que presentaba la foto de presuntos delincuentes, incluidas las de los señores Arrom y Martí, a quienes se les indicaba de tener una “historia criminal” relacionada con el secuestro.</w:t>
            </w:r>
          </w:p>
          <w:p w14:paraId="2A89D98E" w14:textId="77777777" w:rsidR="00B855C5" w:rsidRPr="004E5542" w:rsidRDefault="00E46528" w:rsidP="00E46528">
            <w:pPr>
              <w:jc w:val="both"/>
              <w:rPr>
                <w:rFonts w:ascii="Calibri Light" w:hAnsi="Calibri Light"/>
              </w:rPr>
            </w:pPr>
            <w:r w:rsidRPr="004E5542">
              <w:rPr>
                <w:rStyle w:val="CommentReference"/>
                <w:rFonts w:ascii="Calibri Light" w:hAnsi="Calibri Light"/>
                <w:b w:val="0"/>
                <w:sz w:val="22"/>
                <w:szCs w:val="22"/>
              </w:rPr>
              <w:lastRenderedPageBreak/>
              <w:t xml:space="preserve"> </w:t>
            </w:r>
          </w:p>
          <w:p w14:paraId="056BEEB6" w14:textId="77777777" w:rsidR="00B855C5" w:rsidRPr="004E5542" w:rsidRDefault="00AE246E" w:rsidP="00111832">
            <w:pPr>
              <w:spacing w:after="200"/>
              <w:jc w:val="both"/>
              <w:rPr>
                <w:rFonts w:ascii="Calibri Light" w:hAnsi="Calibri Light"/>
              </w:rPr>
            </w:pPr>
            <w:r w:rsidRPr="004E5542">
              <w:rPr>
                <w:rFonts w:ascii="Calibri Light" w:hAnsi="Calibri Light"/>
                <w:b w:val="0"/>
              </w:rPr>
              <w:t xml:space="preserve">Frente a tales hechos, María Arrom y Cristina Arrom presentaron una petición ante la CIDH, denunciando al Estado de Paraguay por la vulneración de los derechos a la integridad personal, a la libertad personal, </w:t>
            </w:r>
            <w:r w:rsidR="007E7EDA" w:rsidRPr="004E5542">
              <w:rPr>
                <w:rFonts w:ascii="Calibri Light" w:hAnsi="Calibri Light"/>
                <w:b w:val="0"/>
              </w:rPr>
              <w:t xml:space="preserve">a las garantías judiciales el derecho de circulación y de residencia, </w:t>
            </w:r>
            <w:r w:rsidRPr="004E5542">
              <w:rPr>
                <w:rFonts w:ascii="Calibri Light" w:hAnsi="Calibri Light"/>
                <w:b w:val="0"/>
              </w:rPr>
              <w:t>a la protección judicial</w:t>
            </w:r>
            <w:r w:rsidR="007E7EDA" w:rsidRPr="004E5542">
              <w:rPr>
                <w:rFonts w:ascii="Calibri Light" w:hAnsi="Calibri Light"/>
                <w:b w:val="0"/>
              </w:rPr>
              <w:t>,</w:t>
            </w:r>
            <w:r w:rsidRPr="004E5542">
              <w:rPr>
                <w:rFonts w:ascii="Calibri Light" w:hAnsi="Calibri Light"/>
                <w:b w:val="0"/>
              </w:rPr>
              <w:t xml:space="preserve"> reconocidos en la Convención Americana sobre Derechos Humanos (</w:t>
            </w:r>
            <w:r w:rsidR="007E7EDA" w:rsidRPr="004E5542">
              <w:rPr>
                <w:rFonts w:ascii="Calibri Light" w:hAnsi="Calibri Light"/>
                <w:b w:val="0"/>
              </w:rPr>
              <w:t xml:space="preserve">en adelante, </w:t>
            </w:r>
            <w:r w:rsidRPr="004E5542">
              <w:rPr>
                <w:rFonts w:ascii="Calibri Light" w:hAnsi="Calibri Light"/>
                <w:b w:val="0"/>
              </w:rPr>
              <w:t>CADH)</w:t>
            </w:r>
            <w:r w:rsidR="007E7EDA" w:rsidRPr="004E5542">
              <w:rPr>
                <w:rFonts w:ascii="Calibri Light" w:hAnsi="Calibri Light"/>
                <w:b w:val="0"/>
              </w:rPr>
              <w:t>,</w:t>
            </w:r>
            <w:r w:rsidRPr="004E5542">
              <w:rPr>
                <w:rFonts w:ascii="Calibri Light" w:hAnsi="Calibri Light"/>
                <w:b w:val="0"/>
              </w:rPr>
              <w:t xml:space="preserve"> en perjuicio de</w:t>
            </w:r>
            <w:r w:rsidR="00B16A1F" w:rsidRPr="004E5542">
              <w:rPr>
                <w:rFonts w:ascii="Calibri Light" w:hAnsi="Calibri Light"/>
                <w:b w:val="0"/>
              </w:rPr>
              <w:t xml:space="preserve"> los señores</w:t>
            </w:r>
            <w:r w:rsidRPr="004E5542">
              <w:rPr>
                <w:rFonts w:ascii="Calibri Light" w:hAnsi="Calibri Light"/>
                <w:b w:val="0"/>
              </w:rPr>
              <w:t xml:space="preserve"> Arrom y Martí. </w:t>
            </w:r>
            <w:r w:rsidR="00076295" w:rsidRPr="004E5542">
              <w:rPr>
                <w:rFonts w:ascii="Calibri Light" w:hAnsi="Calibri Light"/>
                <w:b w:val="0"/>
              </w:rPr>
              <w:t>Asimismo, alegaron la vulneración de los deberes de prevenir, investigar y sancionar la tortura, establecidos en la Convención Interamericana para Prevenir y Sancionar la Tortura (en adelante, CIPST).</w:t>
            </w:r>
          </w:p>
        </w:tc>
      </w:tr>
      <w:tr w:rsidR="00B855C5" w:rsidRPr="004E5542" w14:paraId="2DF0EED8" w14:textId="77777777" w:rsidTr="00B855C5">
        <w:trPr>
          <w:trHeight w:val="560"/>
        </w:trPr>
        <w:tc>
          <w:tcPr>
            <w:cnfStyle w:val="001000000000" w:firstRow="0" w:lastRow="0" w:firstColumn="1" w:lastColumn="0" w:oddVBand="0" w:evenVBand="0" w:oddHBand="0" w:evenHBand="0" w:firstRowFirstColumn="0" w:firstRowLastColumn="0" w:lastRowFirstColumn="0" w:lastRowLastColumn="0"/>
            <w:tcW w:w="8504" w:type="dxa"/>
            <w:gridSpan w:val="4"/>
            <w:tcBorders>
              <w:top w:val="single" w:sz="4" w:space="0" w:color="9CC3E5"/>
              <w:left w:val="nil"/>
              <w:bottom w:val="single" w:sz="4" w:space="0" w:color="9CC3E5"/>
              <w:right w:val="nil"/>
            </w:tcBorders>
            <w:vAlign w:val="center"/>
          </w:tcPr>
          <w:p w14:paraId="6A85E6B7" w14:textId="77777777" w:rsidR="00B855C5" w:rsidRPr="004E5542" w:rsidRDefault="00AE246E">
            <w:pPr>
              <w:numPr>
                <w:ilvl w:val="0"/>
                <w:numId w:val="2"/>
              </w:numPr>
              <w:pBdr>
                <w:top w:val="nil"/>
                <w:left w:val="nil"/>
                <w:bottom w:val="nil"/>
                <w:right w:val="nil"/>
                <w:between w:val="nil"/>
              </w:pBdr>
              <w:contextualSpacing/>
              <w:jc w:val="center"/>
              <w:rPr>
                <w:rFonts w:ascii="Calibri Light" w:hAnsi="Calibri Light"/>
                <w:color w:val="000000"/>
              </w:rPr>
            </w:pPr>
            <w:r w:rsidRPr="004E5542">
              <w:rPr>
                <w:rFonts w:ascii="Calibri Light" w:hAnsi="Calibri Light"/>
                <w:color w:val="000000"/>
              </w:rPr>
              <w:lastRenderedPageBreak/>
              <w:t>Análisis jurídico</w:t>
            </w:r>
          </w:p>
        </w:tc>
      </w:tr>
      <w:tr w:rsidR="00B855C5" w:rsidRPr="004E5542" w14:paraId="166D61AE" w14:textId="77777777" w:rsidTr="0080715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04" w:type="dxa"/>
            <w:gridSpan w:val="4"/>
            <w:tcBorders>
              <w:top w:val="single" w:sz="4" w:space="0" w:color="9CC3E5"/>
              <w:left w:val="nil"/>
              <w:bottom w:val="single" w:sz="4" w:space="0" w:color="9CC3E5"/>
              <w:right w:val="nil"/>
            </w:tcBorders>
          </w:tcPr>
          <w:p w14:paraId="0F07B1AF" w14:textId="77777777" w:rsidR="00B855C5" w:rsidRPr="004E5542" w:rsidRDefault="00B855C5">
            <w:pPr>
              <w:jc w:val="both"/>
              <w:rPr>
                <w:rFonts w:ascii="Calibri Light" w:hAnsi="Calibri Light"/>
              </w:rPr>
            </w:pPr>
          </w:p>
          <w:p w14:paraId="3538388D" w14:textId="77777777" w:rsidR="00B855C5" w:rsidRPr="004E5542" w:rsidRDefault="00AE246E">
            <w:pPr>
              <w:jc w:val="both"/>
              <w:rPr>
                <w:rFonts w:ascii="Calibri Light" w:hAnsi="Calibri Light"/>
              </w:rPr>
            </w:pPr>
            <w:r w:rsidRPr="004E5542">
              <w:rPr>
                <w:rFonts w:ascii="Calibri Light" w:hAnsi="Calibri Light"/>
              </w:rPr>
              <w:t xml:space="preserve">Derechos a las garantías judiciales, protección judicial y el deber de investigar posible desaparición forzada y tortura (artículos 8 y 25 de la CADH, artículos 1, 6 y 8 de la CIPST, y artículo </w:t>
            </w:r>
            <w:r w:rsidR="00C8245A" w:rsidRPr="004E5542">
              <w:rPr>
                <w:rFonts w:ascii="Calibri Light" w:hAnsi="Calibri Light"/>
              </w:rPr>
              <w:t>I</w:t>
            </w:r>
            <w:r w:rsidRPr="004E5542">
              <w:rPr>
                <w:rFonts w:ascii="Calibri Light" w:hAnsi="Calibri Light"/>
              </w:rPr>
              <w:t xml:space="preserve"> de la CIDFP)</w:t>
            </w:r>
          </w:p>
          <w:p w14:paraId="48DE58FB" w14:textId="77777777" w:rsidR="00B855C5" w:rsidRPr="004E5542" w:rsidRDefault="00B855C5">
            <w:pPr>
              <w:jc w:val="both"/>
              <w:rPr>
                <w:rFonts w:ascii="Calibri Light" w:hAnsi="Calibri Light"/>
              </w:rPr>
            </w:pPr>
          </w:p>
          <w:p w14:paraId="15087445" w14:textId="77777777" w:rsidR="00B855C5" w:rsidRPr="004E5542" w:rsidRDefault="00AE246E" w:rsidP="00807158">
            <w:pPr>
              <w:pStyle w:val="ListParagraph"/>
              <w:numPr>
                <w:ilvl w:val="2"/>
                <w:numId w:val="2"/>
              </w:numPr>
              <w:jc w:val="both"/>
              <w:rPr>
                <w:rFonts w:ascii="Calibri Light" w:hAnsi="Calibri Light"/>
              </w:rPr>
            </w:pPr>
            <w:r w:rsidRPr="004E5542">
              <w:rPr>
                <w:rFonts w:ascii="Calibri Light" w:hAnsi="Calibri Light"/>
              </w:rPr>
              <w:t>Consideraciones generales</w:t>
            </w:r>
          </w:p>
          <w:p w14:paraId="006141CE" w14:textId="77777777" w:rsidR="00B855C5" w:rsidRPr="004E5542" w:rsidRDefault="00B855C5">
            <w:pPr>
              <w:jc w:val="both"/>
              <w:rPr>
                <w:rFonts w:ascii="Calibri Light" w:hAnsi="Calibri Light"/>
              </w:rPr>
            </w:pPr>
          </w:p>
          <w:p w14:paraId="2E261AEF" w14:textId="3B9B88F5" w:rsidR="00B855C5" w:rsidRPr="004E5542" w:rsidRDefault="00AE246E">
            <w:pPr>
              <w:spacing w:after="200"/>
              <w:jc w:val="both"/>
              <w:rPr>
                <w:rFonts w:ascii="Calibri Light" w:hAnsi="Calibri Light"/>
              </w:rPr>
            </w:pPr>
            <w:r w:rsidRPr="004E5542">
              <w:rPr>
                <w:rFonts w:ascii="Calibri Light" w:hAnsi="Calibri Light"/>
                <w:b w:val="0"/>
              </w:rPr>
              <w:t xml:space="preserve">La Corte IDH ha expresado que los Estados se encuentran obligados a proveer recursos judiciales efectivos para tutelar los derechos de las víctimas de violaciones de derechos humanos, los cuales deben llevarse según las normas del debido proceso legal. En el caso de denuncias </w:t>
            </w:r>
            <w:r w:rsidR="00C8245A" w:rsidRPr="004E5542">
              <w:rPr>
                <w:rFonts w:ascii="Calibri Light" w:hAnsi="Calibri Light"/>
                <w:b w:val="0"/>
              </w:rPr>
              <w:t xml:space="preserve">por </w:t>
            </w:r>
            <w:r w:rsidRPr="004E5542">
              <w:rPr>
                <w:rFonts w:ascii="Calibri Light" w:hAnsi="Calibri Light"/>
                <w:b w:val="0"/>
              </w:rPr>
              <w:t xml:space="preserve">la desaparición de una persona, existe un vínculo inescindible entre la respuesta estatal y la protección de </w:t>
            </w:r>
            <w:r w:rsidR="00C8245A" w:rsidRPr="004E5542">
              <w:rPr>
                <w:rFonts w:ascii="Calibri Light" w:hAnsi="Calibri Light"/>
                <w:b w:val="0"/>
              </w:rPr>
              <w:t>su</w:t>
            </w:r>
            <w:r w:rsidRPr="004E5542">
              <w:rPr>
                <w:rFonts w:ascii="Calibri Light" w:hAnsi="Calibri Light"/>
                <w:b w:val="0"/>
              </w:rPr>
              <w:t xml:space="preserve"> vida e integridad. Si existen indicios de la posible participación de agentes estatales en la desaparición, el deber de actuar pronta e inmediatamente se refuerza. Así, deben activarse todos los mecanismos necesarios para asegurar los derechos de la presunta víctima, establecer la verdad o descartar que esta se encuentra desaparecida.</w:t>
            </w:r>
          </w:p>
          <w:p w14:paraId="06E404EB" w14:textId="77777777" w:rsidR="00B855C5" w:rsidRPr="004E5542" w:rsidRDefault="00AE246E">
            <w:pPr>
              <w:jc w:val="both"/>
              <w:rPr>
                <w:rFonts w:ascii="Calibri Light" w:hAnsi="Calibri Light"/>
                <w:b w:val="0"/>
              </w:rPr>
            </w:pPr>
            <w:r w:rsidRPr="004E5542">
              <w:rPr>
                <w:rFonts w:ascii="Calibri Light" w:hAnsi="Calibri Light"/>
                <w:b w:val="0"/>
              </w:rPr>
              <w:t xml:space="preserve">Asimismo, </w:t>
            </w:r>
            <w:r w:rsidR="00C8245A" w:rsidRPr="004E5542">
              <w:rPr>
                <w:rFonts w:ascii="Calibri Light" w:hAnsi="Calibri Light"/>
                <w:b w:val="0"/>
              </w:rPr>
              <w:t>los Estados tienen el</w:t>
            </w:r>
            <w:r w:rsidRPr="004E5542">
              <w:rPr>
                <w:rFonts w:ascii="Calibri Light" w:hAnsi="Calibri Light"/>
                <w:b w:val="0"/>
              </w:rPr>
              <w:t xml:space="preserve"> deber de investigar posibles actos de tortura u otros tratos crueles, inhumanos y degradantes, que deben complementarse con la toma de medidas para prevenir </w:t>
            </w:r>
            <w:r w:rsidR="00C8245A" w:rsidRPr="004E5542">
              <w:rPr>
                <w:rFonts w:ascii="Calibri Light" w:hAnsi="Calibri Light"/>
                <w:b w:val="0"/>
              </w:rPr>
              <w:t xml:space="preserve">y sancionar </w:t>
            </w:r>
            <w:r w:rsidRPr="004E5542">
              <w:rPr>
                <w:rFonts w:ascii="Calibri Light" w:hAnsi="Calibri Light"/>
                <w:b w:val="0"/>
              </w:rPr>
              <w:t>tales actos. A</w:t>
            </w:r>
            <w:r w:rsidR="00784F98" w:rsidRPr="004E5542">
              <w:rPr>
                <w:rFonts w:ascii="Calibri Light" w:hAnsi="Calibri Light"/>
                <w:b w:val="0"/>
              </w:rPr>
              <w:t>nte</w:t>
            </w:r>
            <w:r w:rsidRPr="004E5542">
              <w:rPr>
                <w:rFonts w:ascii="Calibri Light" w:hAnsi="Calibri Light"/>
                <w:b w:val="0"/>
              </w:rPr>
              <w:t xml:space="preserve"> un posible caso de tortura o desaparición forzada, las autoridades tendrán un deber reforzado en el impulso y desarrollo de la investigación. De ello se desprende una serie de obligaciones específicas, </w:t>
            </w:r>
            <w:r w:rsidR="00784F98" w:rsidRPr="004E5542">
              <w:rPr>
                <w:rFonts w:ascii="Calibri Light" w:hAnsi="Calibri Light"/>
                <w:b w:val="0"/>
              </w:rPr>
              <w:t>como las siguientes</w:t>
            </w:r>
            <w:r w:rsidRPr="004E5542">
              <w:rPr>
                <w:rFonts w:ascii="Calibri Light" w:hAnsi="Calibri Light"/>
                <w:b w:val="0"/>
              </w:rPr>
              <w:t xml:space="preserve">: </w:t>
            </w:r>
            <w:r w:rsidR="00A7082C" w:rsidRPr="004E5542">
              <w:rPr>
                <w:rFonts w:ascii="Calibri Light" w:hAnsi="Calibri Light"/>
                <w:b w:val="0"/>
              </w:rPr>
              <w:t>i</w:t>
            </w:r>
            <w:r w:rsidRPr="004E5542">
              <w:rPr>
                <w:rFonts w:ascii="Calibri Light" w:hAnsi="Calibri Light"/>
                <w:b w:val="0"/>
              </w:rPr>
              <w:t xml:space="preserve">) iniciar de oficio la investigación siempre que exista denuncia o razón fundada para sospechar que ocurrieron tales delitos; </w:t>
            </w:r>
            <w:r w:rsidR="00A7082C" w:rsidRPr="004E5542">
              <w:rPr>
                <w:rFonts w:ascii="Calibri Light" w:hAnsi="Calibri Light"/>
                <w:b w:val="0"/>
              </w:rPr>
              <w:t>ii</w:t>
            </w:r>
            <w:r w:rsidRPr="004E5542">
              <w:rPr>
                <w:rFonts w:ascii="Calibri Light" w:hAnsi="Calibri Light"/>
                <w:b w:val="0"/>
              </w:rPr>
              <w:t xml:space="preserve">) ordenar y practicar las pruebas pertinentes conforme al deber de debida diligencia; </w:t>
            </w:r>
            <w:r w:rsidR="00A7082C" w:rsidRPr="004E5542">
              <w:rPr>
                <w:rFonts w:ascii="Calibri Light" w:hAnsi="Calibri Light"/>
                <w:b w:val="0"/>
              </w:rPr>
              <w:t>iii</w:t>
            </w:r>
            <w:r w:rsidRPr="004E5542">
              <w:rPr>
                <w:rFonts w:ascii="Calibri Light" w:hAnsi="Calibri Light"/>
                <w:b w:val="0"/>
              </w:rPr>
              <w:t xml:space="preserve">) garantizar independencia e imparcialidad en la investigación; y </w:t>
            </w:r>
            <w:r w:rsidR="00A7082C" w:rsidRPr="004E5542">
              <w:rPr>
                <w:rFonts w:ascii="Calibri Light" w:hAnsi="Calibri Light"/>
                <w:b w:val="0"/>
              </w:rPr>
              <w:t>iv</w:t>
            </w:r>
            <w:r w:rsidRPr="004E5542">
              <w:rPr>
                <w:rFonts w:ascii="Calibri Light" w:hAnsi="Calibri Light"/>
                <w:b w:val="0"/>
              </w:rPr>
              <w:t>) remover los obstáculos que amenacen el adecuado desarrollo de la investigación.</w:t>
            </w:r>
          </w:p>
          <w:p w14:paraId="749D4ECF" w14:textId="77777777" w:rsidR="008A00BE" w:rsidRPr="004E5542" w:rsidRDefault="008A00BE">
            <w:pPr>
              <w:jc w:val="both"/>
              <w:rPr>
                <w:rFonts w:ascii="Calibri Light" w:hAnsi="Calibri Light"/>
                <w:b w:val="0"/>
              </w:rPr>
            </w:pPr>
          </w:p>
          <w:p w14:paraId="51E5582E" w14:textId="42673284" w:rsidR="00C8245A" w:rsidRPr="004E5542" w:rsidRDefault="008A00BE" w:rsidP="008A00BE">
            <w:pPr>
              <w:jc w:val="both"/>
              <w:rPr>
                <w:rFonts w:ascii="Calibri Light" w:hAnsi="Calibri Light"/>
              </w:rPr>
            </w:pPr>
            <w:r w:rsidRPr="004E5542">
              <w:rPr>
                <w:rFonts w:ascii="Calibri Light" w:hAnsi="Calibri Light"/>
                <w:b w:val="0"/>
              </w:rPr>
              <w:t xml:space="preserve">Por otro lado, la CIDH ha señalado que el Estado debe asegurar que las autoridades </w:t>
            </w:r>
            <w:r w:rsidR="001D7F6F" w:rsidRPr="004E5542">
              <w:rPr>
                <w:rFonts w:ascii="Calibri Light" w:hAnsi="Calibri Light"/>
                <w:b w:val="0"/>
              </w:rPr>
              <w:t xml:space="preserve">de investigación y judiciales </w:t>
            </w:r>
            <w:r w:rsidRPr="004E5542">
              <w:rPr>
                <w:rFonts w:ascii="Calibri Light" w:hAnsi="Calibri Light"/>
                <w:b w:val="0"/>
              </w:rPr>
              <w:t xml:space="preserve">sean imparciales. </w:t>
            </w:r>
            <w:r w:rsidR="001D7F6F" w:rsidRPr="004E5542">
              <w:rPr>
                <w:rFonts w:ascii="Calibri Light" w:hAnsi="Calibri Light"/>
                <w:b w:val="0"/>
              </w:rPr>
              <w:t xml:space="preserve">Así, </w:t>
            </w:r>
            <w:r w:rsidRPr="004E5542">
              <w:rPr>
                <w:rFonts w:ascii="Calibri Light" w:hAnsi="Calibri Light"/>
                <w:b w:val="0"/>
              </w:rPr>
              <w:t xml:space="preserve">se espera que estas —de manera subjetiva— se aproximen a los hechos careciendo de todo prejuicio y —de manera objetiva— ofrezcan garantías suficientes que permitan desterrar toda duda que se pueda albergar </w:t>
            </w:r>
            <w:r w:rsidR="001D7F6F" w:rsidRPr="004E5542">
              <w:rPr>
                <w:rFonts w:ascii="Calibri Light" w:hAnsi="Calibri Light"/>
                <w:b w:val="0"/>
              </w:rPr>
              <w:t>sobre</w:t>
            </w:r>
            <w:r w:rsidRPr="004E5542">
              <w:rPr>
                <w:rFonts w:ascii="Calibri Light" w:hAnsi="Calibri Light"/>
                <w:b w:val="0"/>
              </w:rPr>
              <w:t xml:space="preserve"> la ausencia de imparcialidad. </w:t>
            </w:r>
          </w:p>
          <w:p w14:paraId="6674B5A6" w14:textId="77777777" w:rsidR="00C8245A" w:rsidRPr="004E5542" w:rsidRDefault="00C8245A" w:rsidP="008A00BE">
            <w:pPr>
              <w:jc w:val="both"/>
              <w:rPr>
                <w:rFonts w:ascii="Calibri Light" w:hAnsi="Calibri Light"/>
              </w:rPr>
            </w:pPr>
          </w:p>
          <w:p w14:paraId="26699273" w14:textId="77777777" w:rsidR="00C8245A" w:rsidRPr="004E5542" w:rsidRDefault="00AE246E" w:rsidP="00807158">
            <w:pPr>
              <w:pStyle w:val="ListParagraph"/>
              <w:numPr>
                <w:ilvl w:val="2"/>
                <w:numId w:val="2"/>
              </w:numPr>
              <w:jc w:val="both"/>
              <w:rPr>
                <w:rFonts w:ascii="Calibri Light" w:hAnsi="Calibri Light"/>
              </w:rPr>
            </w:pPr>
            <w:r w:rsidRPr="004E5542">
              <w:rPr>
                <w:rFonts w:ascii="Calibri Light" w:hAnsi="Calibri Light"/>
              </w:rPr>
              <w:t>Análisis del caso concreto</w:t>
            </w:r>
          </w:p>
          <w:p w14:paraId="3B2403E5" w14:textId="77777777" w:rsidR="00B855C5" w:rsidRPr="004E5542" w:rsidRDefault="00B855C5">
            <w:pPr>
              <w:jc w:val="both"/>
              <w:rPr>
                <w:rFonts w:ascii="Calibri Light" w:hAnsi="Calibri Light"/>
              </w:rPr>
            </w:pPr>
          </w:p>
          <w:p w14:paraId="6FB631EB" w14:textId="77777777" w:rsidR="00B855C5" w:rsidRPr="003B6BE1" w:rsidRDefault="00AE246E">
            <w:pPr>
              <w:spacing w:after="200"/>
              <w:jc w:val="both"/>
              <w:rPr>
                <w:rFonts w:ascii="Calibri Light" w:hAnsi="Calibri Light"/>
                <w:u w:val="single"/>
              </w:rPr>
            </w:pPr>
            <w:r w:rsidRPr="003B6BE1">
              <w:rPr>
                <w:rFonts w:ascii="Calibri Light" w:hAnsi="Calibri Light"/>
                <w:u w:val="single"/>
              </w:rPr>
              <w:t>Las primeras actuaciones de las autoridades cuando conocieron la desaparición</w:t>
            </w:r>
          </w:p>
          <w:p w14:paraId="3BA5FA62" w14:textId="0C09D40A" w:rsidR="00B855C5" w:rsidRPr="004E5542" w:rsidRDefault="00784F98">
            <w:pPr>
              <w:spacing w:after="200"/>
              <w:jc w:val="both"/>
              <w:rPr>
                <w:rFonts w:ascii="Calibri Light" w:hAnsi="Calibri Light"/>
                <w:highlight w:val="yellow"/>
              </w:rPr>
            </w:pPr>
            <w:r w:rsidRPr="004E5542">
              <w:rPr>
                <w:rFonts w:ascii="Calibri Light" w:hAnsi="Calibri Light"/>
                <w:b w:val="0"/>
              </w:rPr>
              <w:t>E</w:t>
            </w:r>
            <w:r w:rsidR="00AE246E" w:rsidRPr="004E5542">
              <w:rPr>
                <w:rFonts w:ascii="Calibri Light" w:hAnsi="Calibri Light"/>
                <w:b w:val="0"/>
              </w:rPr>
              <w:t xml:space="preserve">l Estado conoció de la desaparición </w:t>
            </w:r>
            <w:r w:rsidR="00A7082C" w:rsidRPr="004E5542">
              <w:rPr>
                <w:rFonts w:ascii="Calibri Light" w:hAnsi="Calibri Light"/>
                <w:b w:val="0"/>
              </w:rPr>
              <w:t>de los señores</w:t>
            </w:r>
            <w:r w:rsidR="00AE246E" w:rsidRPr="004E5542">
              <w:rPr>
                <w:rFonts w:ascii="Calibri Light" w:hAnsi="Calibri Light"/>
                <w:b w:val="0"/>
              </w:rPr>
              <w:t xml:space="preserve"> Arrom y Martí a través de los hábeas corpus planteados por sus familiares y la difusión realizada por la prensa. La CIDH consideró que las autoridades judiciales que conocieron los hábeas corpus no actuaron con la debida diligencia, ya que únicamente oficiaron a las autoridades de la Policía para que informaran </w:t>
            </w:r>
            <w:r w:rsidR="00AE246E" w:rsidRPr="004E5542">
              <w:rPr>
                <w:rFonts w:ascii="Calibri Light" w:hAnsi="Calibri Light"/>
                <w:b w:val="0"/>
              </w:rPr>
              <w:lastRenderedPageBreak/>
              <w:t xml:space="preserve">sobre la existencia de órdenes de captura en contra de los desaparecidos, o posibles lugares de detención. Ante la negativa de las autoridades policiales, no emprendieron más acciones orientadas a hallar </w:t>
            </w:r>
            <w:r w:rsidRPr="004E5542">
              <w:rPr>
                <w:rFonts w:ascii="Calibri Light" w:hAnsi="Calibri Light"/>
                <w:b w:val="0"/>
              </w:rPr>
              <w:t xml:space="preserve">su </w:t>
            </w:r>
            <w:r w:rsidR="00AE246E" w:rsidRPr="004E5542">
              <w:rPr>
                <w:rFonts w:ascii="Calibri Light" w:hAnsi="Calibri Light"/>
                <w:b w:val="0"/>
              </w:rPr>
              <w:t xml:space="preserve">paradero. En esa misma línea, resaltó la inefectividad de los recursos de hábeas corpus interpuestos, que quedó evidenciada en </w:t>
            </w:r>
            <w:r w:rsidR="00A7082C" w:rsidRPr="004E5542">
              <w:rPr>
                <w:rFonts w:ascii="Calibri Light" w:hAnsi="Calibri Light"/>
                <w:b w:val="0"/>
              </w:rPr>
              <w:t>l</w:t>
            </w:r>
            <w:r w:rsidR="00AE246E" w:rsidRPr="004E5542">
              <w:rPr>
                <w:rFonts w:ascii="Calibri Light" w:hAnsi="Calibri Light"/>
                <w:b w:val="0"/>
              </w:rPr>
              <w:t xml:space="preserve">as justificaciones de las autoridades judiciales para negarlos. Por ello, concluyó que las autoridades judiciales no actuaron con la diligencia debida en los primeros días en que tuvieron conocimiento de la desaparición, y </w:t>
            </w:r>
            <w:r w:rsidR="001D367C" w:rsidRPr="004E5542">
              <w:rPr>
                <w:rFonts w:ascii="Calibri Light" w:hAnsi="Calibri Light"/>
                <w:b w:val="0"/>
              </w:rPr>
              <w:t>los</w:t>
            </w:r>
            <w:r w:rsidR="00AE246E" w:rsidRPr="004E5542">
              <w:rPr>
                <w:rFonts w:ascii="Calibri Light" w:hAnsi="Calibri Light"/>
                <w:b w:val="0"/>
              </w:rPr>
              <w:t xml:space="preserve"> recurso</w:t>
            </w:r>
            <w:r w:rsidR="001D367C" w:rsidRPr="004E5542">
              <w:rPr>
                <w:rFonts w:ascii="Calibri Light" w:hAnsi="Calibri Light"/>
                <w:b w:val="0"/>
              </w:rPr>
              <w:t>s</w:t>
            </w:r>
            <w:r w:rsidR="00AE246E" w:rsidRPr="004E5542">
              <w:rPr>
                <w:rFonts w:ascii="Calibri Light" w:hAnsi="Calibri Light"/>
                <w:b w:val="0"/>
              </w:rPr>
              <w:t xml:space="preserve"> de hábeas corpus no </w:t>
            </w:r>
            <w:r w:rsidR="00A7082C" w:rsidRPr="004E5542">
              <w:rPr>
                <w:rFonts w:ascii="Calibri Light" w:hAnsi="Calibri Light"/>
                <w:b w:val="0"/>
              </w:rPr>
              <w:t>fue</w:t>
            </w:r>
            <w:r w:rsidR="001D367C" w:rsidRPr="004E5542">
              <w:rPr>
                <w:rFonts w:ascii="Calibri Light" w:hAnsi="Calibri Light"/>
                <w:b w:val="0"/>
              </w:rPr>
              <w:t>ron</w:t>
            </w:r>
            <w:r w:rsidR="00A7082C" w:rsidRPr="004E5542">
              <w:rPr>
                <w:rFonts w:ascii="Calibri Light" w:hAnsi="Calibri Light"/>
                <w:b w:val="0"/>
              </w:rPr>
              <w:t xml:space="preserve"> </w:t>
            </w:r>
            <w:r w:rsidR="00AE246E" w:rsidRPr="004E5542">
              <w:rPr>
                <w:rFonts w:ascii="Calibri Light" w:hAnsi="Calibri Light"/>
                <w:b w:val="0"/>
              </w:rPr>
              <w:t>efectivo</w:t>
            </w:r>
            <w:r w:rsidR="001D367C" w:rsidRPr="004E5542">
              <w:rPr>
                <w:rFonts w:ascii="Calibri Light" w:hAnsi="Calibri Light"/>
                <w:b w:val="0"/>
              </w:rPr>
              <w:t>s</w:t>
            </w:r>
            <w:r w:rsidR="00AE246E" w:rsidRPr="004E5542">
              <w:rPr>
                <w:rFonts w:ascii="Calibri Light" w:hAnsi="Calibri Light"/>
                <w:b w:val="0"/>
              </w:rPr>
              <w:t>.</w:t>
            </w:r>
          </w:p>
          <w:p w14:paraId="69835EBC" w14:textId="77777777" w:rsidR="00B855C5" w:rsidRPr="004E5542" w:rsidRDefault="00AE246E">
            <w:pPr>
              <w:spacing w:after="200"/>
              <w:jc w:val="both"/>
              <w:rPr>
                <w:rFonts w:ascii="Calibri Light" w:hAnsi="Calibri Light"/>
                <w:u w:val="single"/>
              </w:rPr>
            </w:pPr>
            <w:r w:rsidRPr="004E5542">
              <w:rPr>
                <w:rFonts w:ascii="Calibri Light" w:hAnsi="Calibri Light"/>
                <w:u w:val="single"/>
              </w:rPr>
              <w:t>Sobre el deber de investigar de oficio</w:t>
            </w:r>
          </w:p>
          <w:p w14:paraId="6FD64A08" w14:textId="0F72BF3D" w:rsidR="00B855C5" w:rsidRPr="004E5542" w:rsidRDefault="006A4C3C">
            <w:pPr>
              <w:spacing w:after="200"/>
              <w:jc w:val="both"/>
              <w:rPr>
                <w:rFonts w:ascii="Calibri Light" w:hAnsi="Calibri Light"/>
                <w:i/>
              </w:rPr>
            </w:pPr>
            <w:r w:rsidRPr="004E5542">
              <w:rPr>
                <w:rFonts w:ascii="Calibri Light" w:hAnsi="Calibri Light"/>
                <w:b w:val="0"/>
              </w:rPr>
              <w:t>La CIDH</w:t>
            </w:r>
            <w:r w:rsidR="00AE246E" w:rsidRPr="004E5542">
              <w:rPr>
                <w:rFonts w:ascii="Calibri Light" w:hAnsi="Calibri Light"/>
                <w:b w:val="0"/>
              </w:rPr>
              <w:t xml:space="preserve"> sostuvo que la obligación</w:t>
            </w:r>
            <w:r w:rsidRPr="004E5542">
              <w:rPr>
                <w:rFonts w:ascii="Calibri Light" w:hAnsi="Calibri Light"/>
                <w:b w:val="0"/>
              </w:rPr>
              <w:t xml:space="preserve"> de investigar de oficio en el caso de desaparición forzada de los señores Arrom y Martí</w:t>
            </w:r>
            <w:r w:rsidR="00AE246E" w:rsidRPr="004E5542">
              <w:rPr>
                <w:rFonts w:ascii="Calibri Light" w:hAnsi="Calibri Light"/>
                <w:b w:val="0"/>
              </w:rPr>
              <w:t xml:space="preserve"> surgió para el Estado desde el momento en que tomó conocimiento, es decir, la interposición de los hábeas corpus y la cobertura que le dio a los hechos la prensa. </w:t>
            </w:r>
            <w:r w:rsidRPr="004E5542">
              <w:rPr>
                <w:rFonts w:ascii="Calibri Light" w:hAnsi="Calibri Light"/>
                <w:b w:val="0"/>
              </w:rPr>
              <w:t>Mientras que, en el caso de</w:t>
            </w:r>
            <w:r w:rsidR="001D367C" w:rsidRPr="004E5542">
              <w:rPr>
                <w:rFonts w:ascii="Calibri Light" w:hAnsi="Calibri Light"/>
                <w:b w:val="0"/>
              </w:rPr>
              <w:t xml:space="preserve"> la</w:t>
            </w:r>
            <w:r w:rsidRPr="004E5542">
              <w:rPr>
                <w:rFonts w:ascii="Calibri Light" w:hAnsi="Calibri Light"/>
                <w:b w:val="0"/>
              </w:rPr>
              <w:t xml:space="preserve"> </w:t>
            </w:r>
            <w:r w:rsidR="00AE246E" w:rsidRPr="004E5542">
              <w:rPr>
                <w:rFonts w:ascii="Calibri Light" w:hAnsi="Calibri Light"/>
                <w:b w:val="0"/>
              </w:rPr>
              <w:t xml:space="preserve">tortura, la obligación </w:t>
            </w:r>
            <w:r w:rsidR="00723522" w:rsidRPr="004E5542">
              <w:rPr>
                <w:rFonts w:ascii="Calibri Light" w:hAnsi="Calibri Light"/>
                <w:b w:val="0"/>
              </w:rPr>
              <w:t>surgió</w:t>
            </w:r>
            <w:r w:rsidR="00AE246E" w:rsidRPr="004E5542">
              <w:rPr>
                <w:rFonts w:ascii="Calibri Light" w:hAnsi="Calibri Light"/>
                <w:b w:val="0"/>
              </w:rPr>
              <w:t xml:space="preserve"> </w:t>
            </w:r>
            <w:r w:rsidR="00723522" w:rsidRPr="004E5542">
              <w:rPr>
                <w:rFonts w:ascii="Calibri Light" w:hAnsi="Calibri Light"/>
                <w:b w:val="0"/>
              </w:rPr>
              <w:t>en</w:t>
            </w:r>
            <w:r w:rsidR="00AE246E" w:rsidRPr="004E5542">
              <w:rPr>
                <w:rFonts w:ascii="Calibri Light" w:hAnsi="Calibri Light"/>
                <w:b w:val="0"/>
              </w:rPr>
              <w:t xml:space="preserve"> el momento en que se conoció de los vídeos de la prensa </w:t>
            </w:r>
            <w:r w:rsidR="00723522" w:rsidRPr="004E5542">
              <w:rPr>
                <w:rFonts w:ascii="Calibri Light" w:hAnsi="Calibri Light"/>
                <w:b w:val="0"/>
              </w:rPr>
              <w:t>que documentaban</w:t>
            </w:r>
            <w:r w:rsidR="00AE246E" w:rsidRPr="004E5542">
              <w:rPr>
                <w:rFonts w:ascii="Calibri Light" w:hAnsi="Calibri Light"/>
                <w:b w:val="0"/>
              </w:rPr>
              <w:t xml:space="preserve"> que cuando fueron liberados, </w:t>
            </w:r>
            <w:r w:rsidRPr="004E5542">
              <w:rPr>
                <w:rFonts w:ascii="Calibri Light" w:hAnsi="Calibri Light"/>
                <w:b w:val="0"/>
              </w:rPr>
              <w:t xml:space="preserve">los </w:t>
            </w:r>
            <w:r w:rsidR="00AE246E" w:rsidRPr="004E5542">
              <w:rPr>
                <w:rFonts w:ascii="Calibri Light" w:hAnsi="Calibri Light"/>
                <w:b w:val="0"/>
              </w:rPr>
              <w:t>señor</w:t>
            </w:r>
            <w:r w:rsidRPr="004E5542">
              <w:rPr>
                <w:rFonts w:ascii="Calibri Light" w:hAnsi="Calibri Light"/>
                <w:b w:val="0"/>
              </w:rPr>
              <w:t>es</w:t>
            </w:r>
            <w:r w:rsidR="00AE246E" w:rsidRPr="004E5542">
              <w:rPr>
                <w:rFonts w:ascii="Calibri Light" w:hAnsi="Calibri Light"/>
                <w:b w:val="0"/>
              </w:rPr>
              <w:t xml:space="preserve"> Arrom y Martí tenían lesiones visibles. </w:t>
            </w:r>
            <w:r w:rsidR="001D367C" w:rsidRPr="004E5542">
              <w:rPr>
                <w:rStyle w:val="CommentReference"/>
                <w:rFonts w:ascii="Calibri Light" w:hAnsi="Calibri Light"/>
                <w:b w:val="0"/>
                <w:sz w:val="22"/>
                <w:szCs w:val="22"/>
              </w:rPr>
              <w:t>Debido a que</w:t>
            </w:r>
            <w:r w:rsidR="00AE246E" w:rsidRPr="004E5542">
              <w:rPr>
                <w:rFonts w:ascii="Calibri Light" w:hAnsi="Calibri Light"/>
                <w:b w:val="0"/>
              </w:rPr>
              <w:t xml:space="preserve"> la investigación no se inició sino hasta la presentación de la denuncia realiz</w:t>
            </w:r>
            <w:r w:rsidR="00723522" w:rsidRPr="004E5542">
              <w:rPr>
                <w:rFonts w:ascii="Calibri Light" w:hAnsi="Calibri Light"/>
                <w:b w:val="0"/>
              </w:rPr>
              <w:t>ada por los familiares de ambos</w:t>
            </w:r>
            <w:r w:rsidR="00AE246E" w:rsidRPr="004E5542">
              <w:rPr>
                <w:rFonts w:ascii="Calibri Light" w:hAnsi="Calibri Light"/>
                <w:b w:val="0"/>
              </w:rPr>
              <w:t xml:space="preserve"> y las querellas presentadas, la CIDH determinó que se incumplió el deber de investigar de oficio.</w:t>
            </w:r>
          </w:p>
          <w:p w14:paraId="0AE2F8CA" w14:textId="77777777" w:rsidR="00B855C5" w:rsidRPr="004E5542" w:rsidRDefault="00AE246E">
            <w:pPr>
              <w:spacing w:after="200"/>
              <w:jc w:val="both"/>
              <w:rPr>
                <w:rFonts w:ascii="Calibri Light" w:hAnsi="Calibri Light"/>
                <w:u w:val="single"/>
              </w:rPr>
            </w:pPr>
            <w:r w:rsidRPr="004E5542">
              <w:rPr>
                <w:rFonts w:ascii="Calibri Light" w:hAnsi="Calibri Light"/>
                <w:u w:val="single"/>
              </w:rPr>
              <w:t>La debida diligencia en el curso de la investigación</w:t>
            </w:r>
          </w:p>
          <w:p w14:paraId="406F15CE" w14:textId="35831580" w:rsidR="00B855C5" w:rsidRPr="004E5542" w:rsidRDefault="00AE246E">
            <w:pPr>
              <w:spacing w:after="200"/>
              <w:jc w:val="both"/>
              <w:rPr>
                <w:rFonts w:ascii="Calibri Light" w:hAnsi="Calibri Light"/>
              </w:rPr>
            </w:pPr>
            <w:r w:rsidRPr="004E5542">
              <w:rPr>
                <w:rFonts w:ascii="Calibri Light" w:hAnsi="Calibri Light"/>
                <w:b w:val="0"/>
              </w:rPr>
              <w:t xml:space="preserve">Para la CIDH, el Estado no cumplió con su deber de investigar los hechos con el máximo nivel de diligencia posible. En primer lugar, </w:t>
            </w:r>
            <w:r w:rsidR="001D7F6F" w:rsidRPr="004E5542">
              <w:rPr>
                <w:rFonts w:ascii="Calibri Light" w:hAnsi="Calibri Light"/>
                <w:b w:val="0"/>
              </w:rPr>
              <w:t xml:space="preserve">este </w:t>
            </w:r>
            <w:r w:rsidRPr="004E5542">
              <w:rPr>
                <w:rFonts w:ascii="Calibri Light" w:hAnsi="Calibri Light"/>
                <w:b w:val="0"/>
              </w:rPr>
              <w:t>trasladó la carga de la prueba de la investigación sobre la desaparición y posible tortura de</w:t>
            </w:r>
            <w:r w:rsidR="006A4C3C" w:rsidRPr="004E5542">
              <w:rPr>
                <w:rFonts w:ascii="Calibri Light" w:hAnsi="Calibri Light"/>
                <w:b w:val="0"/>
              </w:rPr>
              <w:t xml:space="preserve"> los señores</w:t>
            </w:r>
            <w:r w:rsidRPr="004E5542">
              <w:rPr>
                <w:rFonts w:ascii="Calibri Light" w:hAnsi="Calibri Light"/>
                <w:b w:val="0"/>
              </w:rPr>
              <w:t xml:space="preserve"> Arrom y Martí a los mismos afectados. Así, </w:t>
            </w:r>
            <w:r w:rsidR="00723522" w:rsidRPr="004E5542">
              <w:rPr>
                <w:rFonts w:ascii="Calibri Light" w:hAnsi="Calibri Light"/>
                <w:b w:val="0"/>
              </w:rPr>
              <w:t xml:space="preserve">se </w:t>
            </w:r>
            <w:r w:rsidRPr="004E5542">
              <w:rPr>
                <w:rFonts w:ascii="Calibri Light" w:hAnsi="Calibri Light"/>
                <w:b w:val="0"/>
              </w:rPr>
              <w:t xml:space="preserve">restó valor probatorio a </w:t>
            </w:r>
            <w:r w:rsidR="001D367C" w:rsidRPr="004E5542">
              <w:rPr>
                <w:rFonts w:ascii="Calibri Light" w:hAnsi="Calibri Light"/>
                <w:b w:val="0"/>
              </w:rPr>
              <w:t xml:space="preserve">sus </w:t>
            </w:r>
            <w:r w:rsidRPr="004E5542">
              <w:rPr>
                <w:rFonts w:ascii="Calibri Light" w:hAnsi="Calibri Light"/>
                <w:b w:val="0"/>
              </w:rPr>
              <w:t>declaraciones ya que no habrían sido “corroboradas”, pero lo hizo considerando como prueba suficiente las declaraciones de los agentes estatales imputados, sin llevar a cabo las diligencias necesarias para confrontar ambas versiones y comprobar su veracidad. Por ejemplo, no cumplió con incorporar en su investigación los estándares mínimos a seguir ante denuncias de tortura, como la documentación y calificación de las afectaciones físicas y mentales.</w:t>
            </w:r>
          </w:p>
          <w:p w14:paraId="00A45110" w14:textId="5E3B8D32" w:rsidR="00B855C5" w:rsidRPr="004E5542" w:rsidRDefault="00AE246E">
            <w:pPr>
              <w:spacing w:after="200"/>
              <w:jc w:val="both"/>
              <w:rPr>
                <w:rFonts w:ascii="Calibri Light" w:hAnsi="Calibri Light"/>
              </w:rPr>
            </w:pPr>
            <w:r w:rsidRPr="004E5542">
              <w:rPr>
                <w:rFonts w:ascii="Calibri Light" w:hAnsi="Calibri Light"/>
                <w:b w:val="0"/>
              </w:rPr>
              <w:t xml:space="preserve">En segundo lugar, porque no se previó la especial indagación de dos hechos que resultaban claves en el caso: </w:t>
            </w:r>
            <w:r w:rsidR="00012C4B" w:rsidRPr="004E5542">
              <w:rPr>
                <w:rFonts w:ascii="Calibri Light" w:hAnsi="Calibri Light"/>
                <w:b w:val="0"/>
              </w:rPr>
              <w:t>i</w:t>
            </w:r>
            <w:r w:rsidRPr="004E5542">
              <w:rPr>
                <w:rFonts w:ascii="Calibri Light" w:hAnsi="Calibri Light"/>
                <w:b w:val="0"/>
              </w:rPr>
              <w:t>) los indicios de participación del Estado en la desaparición y alegada tortura de los señores Arrom y Martí, los cuales se desprendían de forma consistente de las declaraciones de ambos afectados, de los testimonios de otras</w:t>
            </w:r>
            <w:r w:rsidR="00723522" w:rsidRPr="004E5542">
              <w:rPr>
                <w:rFonts w:ascii="Calibri Light" w:hAnsi="Calibri Light"/>
                <w:b w:val="0"/>
              </w:rPr>
              <w:t xml:space="preserve"> varias personas e incluso de una</w:t>
            </w:r>
            <w:r w:rsidRPr="004E5542">
              <w:rPr>
                <w:rFonts w:ascii="Calibri Light" w:hAnsi="Calibri Light"/>
                <w:b w:val="0"/>
              </w:rPr>
              <w:t xml:space="preserve"> denuncia formulada por el Defensor del Pueblo; y </w:t>
            </w:r>
            <w:r w:rsidR="00012C4B" w:rsidRPr="004E5542">
              <w:rPr>
                <w:rFonts w:ascii="Calibri Light" w:hAnsi="Calibri Light"/>
                <w:b w:val="0"/>
              </w:rPr>
              <w:t>ii</w:t>
            </w:r>
            <w:r w:rsidRPr="004E5542">
              <w:rPr>
                <w:rFonts w:ascii="Calibri Light" w:hAnsi="Calibri Light"/>
                <w:b w:val="0"/>
              </w:rPr>
              <w:t>) la condición de dirigentes de un partido político que pudo haber sido el motivo para que fueran víctima</w:t>
            </w:r>
            <w:r w:rsidR="00012C4B" w:rsidRPr="004E5542">
              <w:rPr>
                <w:rFonts w:ascii="Calibri Light" w:hAnsi="Calibri Light"/>
                <w:b w:val="0"/>
              </w:rPr>
              <w:t>s</w:t>
            </w:r>
            <w:r w:rsidRPr="004E5542">
              <w:rPr>
                <w:rFonts w:ascii="Calibri Light" w:hAnsi="Calibri Light"/>
                <w:b w:val="0"/>
              </w:rPr>
              <w:t xml:space="preserve"> de los alegados delitos, hipótesis que el Ministerio Público nunca tuvo en consideración durante su investigación.</w:t>
            </w:r>
          </w:p>
          <w:p w14:paraId="3AC68265" w14:textId="1E921712" w:rsidR="00B855C5" w:rsidRPr="004E5542" w:rsidRDefault="00AE246E">
            <w:pPr>
              <w:spacing w:after="200"/>
              <w:jc w:val="both"/>
              <w:rPr>
                <w:rFonts w:ascii="Calibri Light" w:hAnsi="Calibri Light"/>
              </w:rPr>
            </w:pPr>
            <w:r w:rsidRPr="004E5542">
              <w:rPr>
                <w:rFonts w:ascii="Calibri Light" w:hAnsi="Calibri Light"/>
                <w:b w:val="0"/>
              </w:rPr>
              <w:t xml:space="preserve">En tercer lugar, porque la investigación llevada a cabo por el Estado no cumplió con las garantías de imparcialidad e independencia. En relación con la independencia, la </w:t>
            </w:r>
            <w:r w:rsidR="00012C4B" w:rsidRPr="004E5542">
              <w:rPr>
                <w:rFonts w:ascii="Calibri Light" w:hAnsi="Calibri Light"/>
                <w:b w:val="0"/>
              </w:rPr>
              <w:t xml:space="preserve">CIDH </w:t>
            </w:r>
            <w:r w:rsidRPr="004E5542">
              <w:rPr>
                <w:rFonts w:ascii="Calibri Light" w:hAnsi="Calibri Light"/>
                <w:b w:val="0"/>
              </w:rPr>
              <w:t>observ</w:t>
            </w:r>
            <w:r w:rsidR="00012C4B" w:rsidRPr="004E5542">
              <w:rPr>
                <w:rFonts w:ascii="Calibri Light" w:hAnsi="Calibri Light"/>
                <w:b w:val="0"/>
              </w:rPr>
              <w:t>ó</w:t>
            </w:r>
            <w:r w:rsidRPr="004E5542">
              <w:rPr>
                <w:rFonts w:ascii="Calibri Light" w:hAnsi="Calibri Light"/>
                <w:b w:val="0"/>
              </w:rPr>
              <w:t xml:space="preserve"> que las acusaciones de </w:t>
            </w:r>
            <w:r w:rsidR="00012C4B" w:rsidRPr="004E5542">
              <w:rPr>
                <w:rFonts w:ascii="Calibri Light" w:hAnsi="Calibri Light"/>
                <w:b w:val="0"/>
              </w:rPr>
              <w:t xml:space="preserve">los señores </w:t>
            </w:r>
            <w:r w:rsidRPr="004E5542">
              <w:rPr>
                <w:rFonts w:ascii="Calibri Light" w:hAnsi="Calibri Light"/>
                <w:b w:val="0"/>
              </w:rPr>
              <w:t xml:space="preserve">Arrom y Martí involucraban a fiscales. Del expediente del caso, no se evidencia que el Estado </w:t>
            </w:r>
            <w:r w:rsidR="001D367C" w:rsidRPr="004E5542">
              <w:rPr>
                <w:rFonts w:ascii="Calibri Light" w:hAnsi="Calibri Light"/>
                <w:b w:val="0"/>
              </w:rPr>
              <w:t xml:space="preserve">haya </w:t>
            </w:r>
            <w:r w:rsidRPr="004E5542">
              <w:rPr>
                <w:rFonts w:ascii="Calibri Light" w:hAnsi="Calibri Light"/>
                <w:b w:val="0"/>
              </w:rPr>
              <w:t>tomado medidas para asegurar que los fiscales que tramitaban la causa de lo sucedido fueran independientes de los imputados. Con respecto a la imparcialidad y, específicamente, la imparcialidad subjetiva, la CIDH consider</w:t>
            </w:r>
            <w:r w:rsidR="00012C4B" w:rsidRPr="004E5542">
              <w:rPr>
                <w:rFonts w:ascii="Calibri Light" w:hAnsi="Calibri Light"/>
                <w:b w:val="0"/>
              </w:rPr>
              <w:t>ó</w:t>
            </w:r>
            <w:r w:rsidRPr="004E5542">
              <w:rPr>
                <w:rFonts w:ascii="Calibri Light" w:hAnsi="Calibri Light"/>
                <w:b w:val="0"/>
              </w:rPr>
              <w:t xml:space="preserve"> que</w:t>
            </w:r>
            <w:r w:rsidR="00723522" w:rsidRPr="004E5542">
              <w:rPr>
                <w:rFonts w:ascii="Calibri Light" w:hAnsi="Calibri Light"/>
                <w:b w:val="0"/>
              </w:rPr>
              <w:t>,</w:t>
            </w:r>
            <w:r w:rsidRPr="004E5542">
              <w:rPr>
                <w:rFonts w:ascii="Calibri Light" w:hAnsi="Calibri Light"/>
                <w:b w:val="0"/>
              </w:rPr>
              <w:t xml:space="preserve"> de las motivaciones en sus decisiones</w:t>
            </w:r>
            <w:r w:rsidR="00723522" w:rsidRPr="004E5542">
              <w:rPr>
                <w:rFonts w:ascii="Calibri Light" w:hAnsi="Calibri Light"/>
                <w:b w:val="0"/>
              </w:rPr>
              <w:t>,</w:t>
            </w:r>
            <w:r w:rsidRPr="004E5542">
              <w:rPr>
                <w:rFonts w:ascii="Calibri Light" w:hAnsi="Calibri Light"/>
                <w:b w:val="0"/>
              </w:rPr>
              <w:t xml:space="preserve"> se desprende que la dirección de la investigación y el análisis de los elementos probatorios no perseguía la finalidad de esclarecer la verdad </w:t>
            </w:r>
            <w:r w:rsidR="001D367C" w:rsidRPr="004E5542">
              <w:rPr>
                <w:rFonts w:ascii="Calibri Light" w:hAnsi="Calibri Light"/>
                <w:b w:val="0"/>
              </w:rPr>
              <w:t xml:space="preserve">de </w:t>
            </w:r>
            <w:r w:rsidRPr="004E5542">
              <w:rPr>
                <w:rFonts w:ascii="Calibri Light" w:hAnsi="Calibri Light"/>
                <w:b w:val="0"/>
              </w:rPr>
              <w:t>lo sucedido e identificar a las personas involucradas en los hechos.</w:t>
            </w:r>
          </w:p>
          <w:p w14:paraId="6C851D47" w14:textId="658BCFD9" w:rsidR="00B855C5" w:rsidRPr="004E5542" w:rsidRDefault="00AE246E">
            <w:pPr>
              <w:spacing w:after="200"/>
              <w:jc w:val="both"/>
              <w:rPr>
                <w:rFonts w:ascii="Calibri Light" w:hAnsi="Calibri Light"/>
              </w:rPr>
            </w:pPr>
            <w:r w:rsidRPr="004E5542">
              <w:rPr>
                <w:rFonts w:ascii="Calibri Light" w:hAnsi="Calibri Light"/>
                <w:b w:val="0"/>
              </w:rPr>
              <w:t>Esto último resulta evidente de la valoración realizada sobre la prueba testimonial con la que contaba el Ministerio Público</w:t>
            </w:r>
            <w:r w:rsidR="00CE772C" w:rsidRPr="004E5542">
              <w:rPr>
                <w:rFonts w:ascii="Calibri Light" w:hAnsi="Calibri Light"/>
                <w:b w:val="0"/>
              </w:rPr>
              <w:t>.</w:t>
            </w:r>
            <w:r w:rsidRPr="004E5542">
              <w:rPr>
                <w:rFonts w:ascii="Calibri Light" w:hAnsi="Calibri Light"/>
                <w:b w:val="0"/>
              </w:rPr>
              <w:t xml:space="preserve"> </w:t>
            </w:r>
            <w:r w:rsidR="00CE772C" w:rsidRPr="004E5542">
              <w:rPr>
                <w:rFonts w:ascii="Calibri Light" w:hAnsi="Calibri Light"/>
                <w:b w:val="0"/>
              </w:rPr>
              <w:t>M</w:t>
            </w:r>
            <w:r w:rsidRPr="004E5542">
              <w:rPr>
                <w:rFonts w:ascii="Calibri Light" w:hAnsi="Calibri Light"/>
                <w:b w:val="0"/>
              </w:rPr>
              <w:t xml:space="preserve">ientras las versiones de los señores Arrom y Martí </w:t>
            </w:r>
            <w:r w:rsidR="00CE772C" w:rsidRPr="004E5542">
              <w:rPr>
                <w:rFonts w:ascii="Calibri Light" w:hAnsi="Calibri Light"/>
                <w:b w:val="0"/>
              </w:rPr>
              <w:t xml:space="preserve">fueron cuestionadas por considerarlas subjetivas y poco imparciales, las versiones de los imputados </w:t>
            </w:r>
            <w:r w:rsidR="00CE772C" w:rsidRPr="004E5542">
              <w:rPr>
                <w:rFonts w:ascii="Calibri Light" w:hAnsi="Calibri Light"/>
                <w:b w:val="0"/>
              </w:rPr>
              <w:lastRenderedPageBreak/>
              <w:t>fueron calificados con plena credibilidad</w:t>
            </w:r>
            <w:r w:rsidRPr="004E5542">
              <w:rPr>
                <w:rFonts w:ascii="Calibri Light" w:hAnsi="Calibri Light"/>
                <w:b w:val="0"/>
              </w:rPr>
              <w:t xml:space="preserve">. </w:t>
            </w:r>
            <w:r w:rsidR="00784F98" w:rsidRPr="004E5542">
              <w:rPr>
                <w:rFonts w:ascii="Calibri Light" w:hAnsi="Calibri Light"/>
                <w:b w:val="0"/>
              </w:rPr>
              <w:t>L</w:t>
            </w:r>
            <w:r w:rsidRPr="004E5542">
              <w:rPr>
                <w:rFonts w:ascii="Calibri Light" w:hAnsi="Calibri Light"/>
                <w:b w:val="0"/>
              </w:rPr>
              <w:t xml:space="preserve">a CIDH llamó la atención sobre la falta de investigación seria sobre su veracidad o su suficiencia para afirmar que </w:t>
            </w:r>
            <w:r w:rsidR="00CE772C" w:rsidRPr="004E5542">
              <w:rPr>
                <w:rFonts w:ascii="Calibri Light" w:hAnsi="Calibri Light"/>
                <w:b w:val="0"/>
              </w:rPr>
              <w:t xml:space="preserve">los imputados no se encontraban en los </w:t>
            </w:r>
            <w:r w:rsidRPr="004E5542">
              <w:rPr>
                <w:rFonts w:ascii="Calibri Light" w:hAnsi="Calibri Light"/>
                <w:b w:val="0"/>
              </w:rPr>
              <w:t>espacios diferidos de la desaparición y posible tortura de los señores Arrom y Martí. Aunque la CIDH consideró plausible que una investigación de esta naturaleza culmine en sobreseimiento, aclaró que no es aceptable que se llegue a ello sin antes haber agotado de forma exhaustiva e imparcial las líneas de investigación necesaria para descartar la participación de los agentes estatales.</w:t>
            </w:r>
          </w:p>
          <w:p w14:paraId="49C12820" w14:textId="77777777" w:rsidR="00B855C5" w:rsidRPr="004E5542" w:rsidRDefault="00AE246E">
            <w:pPr>
              <w:spacing w:after="200"/>
              <w:jc w:val="both"/>
              <w:rPr>
                <w:rFonts w:ascii="Calibri Light" w:hAnsi="Calibri Light"/>
                <w:u w:val="single"/>
              </w:rPr>
            </w:pPr>
            <w:r w:rsidRPr="004E5542">
              <w:rPr>
                <w:rFonts w:ascii="Calibri Light" w:hAnsi="Calibri Light"/>
                <w:u w:val="single"/>
              </w:rPr>
              <w:t>En cuanto a la remoción de obstáculos en la investigación</w:t>
            </w:r>
          </w:p>
          <w:p w14:paraId="122D2CDE" w14:textId="77777777" w:rsidR="00C50457" w:rsidRPr="004E5542" w:rsidRDefault="00D50AFD" w:rsidP="00DB294F">
            <w:pPr>
              <w:jc w:val="both"/>
              <w:rPr>
                <w:rFonts w:ascii="Calibri Light" w:hAnsi="Calibri Light"/>
                <w:b w:val="0"/>
              </w:rPr>
            </w:pPr>
            <w:r w:rsidRPr="004E5542">
              <w:rPr>
                <w:rFonts w:ascii="Calibri Light" w:hAnsi="Calibri Light"/>
                <w:b w:val="0"/>
              </w:rPr>
              <w:t>L</w:t>
            </w:r>
            <w:r w:rsidR="00AE246E" w:rsidRPr="004E5542">
              <w:rPr>
                <w:rFonts w:ascii="Calibri Light" w:hAnsi="Calibri Light"/>
                <w:b w:val="0"/>
              </w:rPr>
              <w:t xml:space="preserve">a CIDH </w:t>
            </w:r>
            <w:r w:rsidR="00C50457" w:rsidRPr="004E5542">
              <w:rPr>
                <w:rFonts w:ascii="Calibri Light" w:hAnsi="Calibri Light"/>
                <w:b w:val="0"/>
              </w:rPr>
              <w:t xml:space="preserve">ha señalado que los Estados tienen el deber de remover los obstáculos para que una investigación se desarrolle adecuadamente. </w:t>
            </w:r>
            <w:r w:rsidR="00DB294F" w:rsidRPr="004E5542">
              <w:rPr>
                <w:rFonts w:ascii="Calibri Light" w:hAnsi="Calibri Light"/>
                <w:b w:val="0"/>
              </w:rPr>
              <w:t>Por un lado</w:t>
            </w:r>
            <w:r w:rsidR="00C50457" w:rsidRPr="004E5542">
              <w:rPr>
                <w:rFonts w:ascii="Calibri Light" w:hAnsi="Calibri Light"/>
                <w:b w:val="0"/>
              </w:rPr>
              <w:t>,</w:t>
            </w:r>
            <w:r w:rsidR="00DB294F" w:rsidRPr="004E5542">
              <w:rPr>
                <w:rFonts w:ascii="Calibri Light" w:hAnsi="Calibri Light"/>
                <w:b w:val="0"/>
              </w:rPr>
              <w:t xml:space="preserve"> ha considerado que si las normas procesales imponen límites para la continuidad de investigaciones sobre graves violaciones a derechos humanos, el Estado debe demostrar que ha actuado con el máximo nivel de diligencia. Asimismo, debe permitir algún tipo de control judicial frente a posibles actuaciones del Ministerio Público que sean incompatibles con la CADH. Por otro lado, ha expresado</w:t>
            </w:r>
            <w:r w:rsidR="00111832" w:rsidRPr="004E5542">
              <w:rPr>
                <w:rFonts w:ascii="Calibri Light" w:hAnsi="Calibri Light"/>
                <w:b w:val="0"/>
              </w:rPr>
              <w:t xml:space="preserve"> que,</w:t>
            </w:r>
            <w:r w:rsidR="00DB294F" w:rsidRPr="004E5542">
              <w:rPr>
                <w:rFonts w:ascii="Calibri Light" w:hAnsi="Calibri Light"/>
                <w:b w:val="0"/>
              </w:rPr>
              <w:t xml:space="preserve"> ante una declaración o testimonio en que exista algún indicio o presunción fundada de que fue obtenida por algún tipo de coacción, los órganos jurisdiccionales deben determinar si </w:t>
            </w:r>
            <w:r w:rsidR="001D7F6F" w:rsidRPr="004E5542">
              <w:rPr>
                <w:rFonts w:ascii="Calibri Light" w:hAnsi="Calibri Light"/>
                <w:b w:val="0"/>
              </w:rPr>
              <w:t xml:space="preserve">esta </w:t>
            </w:r>
            <w:r w:rsidR="00DB294F" w:rsidRPr="004E5542">
              <w:rPr>
                <w:rFonts w:ascii="Calibri Light" w:hAnsi="Calibri Light"/>
                <w:b w:val="0"/>
              </w:rPr>
              <w:t xml:space="preserve">existió. Además, en casos de desaparición forzada </w:t>
            </w:r>
            <w:r w:rsidR="008B0B42" w:rsidRPr="004E5542">
              <w:rPr>
                <w:rFonts w:ascii="Calibri Light" w:hAnsi="Calibri Light"/>
                <w:b w:val="0"/>
              </w:rPr>
              <w:t xml:space="preserve">—en los que </w:t>
            </w:r>
            <w:r w:rsidR="00DB294F" w:rsidRPr="004E5542">
              <w:rPr>
                <w:rFonts w:ascii="Calibri Light" w:hAnsi="Calibri Light"/>
                <w:b w:val="0"/>
              </w:rPr>
              <w:t>es común que se activen mecanismos de encubrimiento para desviar las investigaciones</w:t>
            </w:r>
            <w:r w:rsidR="008B0B42" w:rsidRPr="004E5542">
              <w:rPr>
                <w:rFonts w:ascii="Calibri Light" w:hAnsi="Calibri Light"/>
                <w:b w:val="0"/>
              </w:rPr>
              <w:t>—</w:t>
            </w:r>
            <w:r w:rsidR="00DB294F" w:rsidRPr="004E5542">
              <w:rPr>
                <w:rFonts w:ascii="Calibri Light" w:hAnsi="Calibri Light"/>
                <w:b w:val="0"/>
              </w:rPr>
              <w:t xml:space="preserve"> resulta fundamental que ante cualquier indicio de </w:t>
            </w:r>
            <w:r w:rsidR="00111832" w:rsidRPr="004E5542">
              <w:rPr>
                <w:rFonts w:ascii="Calibri Light" w:hAnsi="Calibri Light"/>
                <w:b w:val="0"/>
              </w:rPr>
              <w:t xml:space="preserve">estos </w:t>
            </w:r>
            <w:r w:rsidR="00DB294F" w:rsidRPr="004E5542">
              <w:rPr>
                <w:rFonts w:ascii="Calibri Light" w:hAnsi="Calibri Light"/>
                <w:b w:val="0"/>
              </w:rPr>
              <w:t xml:space="preserve">actos, como una retractación, se indague cuidadosamente si se presentó algún tipo de coacción. </w:t>
            </w:r>
            <w:r w:rsidR="008B0B42" w:rsidRPr="004E5542">
              <w:rPr>
                <w:rFonts w:ascii="Calibri Light" w:hAnsi="Calibri Light"/>
                <w:b w:val="0"/>
              </w:rPr>
              <w:t>E</w:t>
            </w:r>
            <w:r w:rsidR="00DB294F" w:rsidRPr="004E5542">
              <w:rPr>
                <w:rFonts w:ascii="Calibri Light" w:hAnsi="Calibri Light"/>
                <w:b w:val="0"/>
              </w:rPr>
              <w:t>sta obligación es parte del deber de debida diligencia.</w:t>
            </w:r>
          </w:p>
          <w:p w14:paraId="6A1F00EF" w14:textId="77777777" w:rsidR="007503A1" w:rsidRPr="004E5542" w:rsidRDefault="007503A1" w:rsidP="00DB294F">
            <w:pPr>
              <w:jc w:val="both"/>
              <w:rPr>
                <w:rFonts w:ascii="Calibri Light" w:hAnsi="Calibri Light"/>
                <w:b w:val="0"/>
              </w:rPr>
            </w:pPr>
          </w:p>
          <w:p w14:paraId="4273CB2F" w14:textId="354C552F" w:rsidR="00120FC3" w:rsidRPr="004E5542" w:rsidRDefault="007503A1">
            <w:pPr>
              <w:spacing w:after="200"/>
              <w:jc w:val="both"/>
              <w:rPr>
                <w:rFonts w:ascii="Calibri Light" w:hAnsi="Calibri Light"/>
                <w:b w:val="0"/>
              </w:rPr>
            </w:pPr>
            <w:r w:rsidRPr="004E5542">
              <w:rPr>
                <w:rFonts w:ascii="Calibri Light" w:hAnsi="Calibri Light"/>
                <w:b w:val="0"/>
              </w:rPr>
              <w:t>En el presente caso, la CIDH notó que la normativa procesal penal, impedía la acusación de los imputados si el Ministerio Público no lo hacía. Asimismo, el</w:t>
            </w:r>
            <w:r w:rsidR="00AE246E" w:rsidRPr="004E5542">
              <w:rPr>
                <w:rFonts w:ascii="Calibri Light" w:hAnsi="Calibri Light"/>
                <w:b w:val="0"/>
              </w:rPr>
              <w:t xml:space="preserve"> Estado no demostró </w:t>
            </w:r>
            <w:r w:rsidRPr="004E5542">
              <w:rPr>
                <w:rFonts w:ascii="Calibri Light" w:hAnsi="Calibri Light"/>
                <w:b w:val="0"/>
              </w:rPr>
              <w:t>el máximo nivel</w:t>
            </w:r>
            <w:r w:rsidR="00AE246E" w:rsidRPr="004E5542">
              <w:rPr>
                <w:rFonts w:ascii="Calibri Light" w:hAnsi="Calibri Light"/>
                <w:b w:val="0"/>
              </w:rPr>
              <w:t xml:space="preserve"> de diligencia, por lo que</w:t>
            </w:r>
            <w:r w:rsidRPr="004E5542">
              <w:rPr>
                <w:rFonts w:ascii="Calibri Light" w:hAnsi="Calibri Light"/>
                <w:b w:val="0"/>
              </w:rPr>
              <w:t xml:space="preserve"> </w:t>
            </w:r>
            <w:r w:rsidR="00AE246E" w:rsidRPr="004E5542">
              <w:rPr>
                <w:rFonts w:ascii="Calibri Light" w:hAnsi="Calibri Light"/>
                <w:b w:val="0"/>
              </w:rPr>
              <w:t xml:space="preserve">la aplicación de la norma procesal (artículo 358 del Código Procesal Penal) que impedía la acusación ante una solicitud ratificada de sobreseimiento, se convirtió en un obstáculo para continuar la investigación y para la participación de las víctimas en el proceso. En segundo lugar, </w:t>
            </w:r>
            <w:r w:rsidRPr="004E5542">
              <w:rPr>
                <w:rFonts w:ascii="Calibri Light" w:hAnsi="Calibri Light"/>
                <w:b w:val="0"/>
              </w:rPr>
              <w:t xml:space="preserve">la CIDH determinó que </w:t>
            </w:r>
            <w:r w:rsidR="00AE246E" w:rsidRPr="004E5542">
              <w:rPr>
                <w:rFonts w:ascii="Calibri Light" w:hAnsi="Calibri Light"/>
                <w:b w:val="0"/>
              </w:rPr>
              <w:t xml:space="preserve">las autoridades no fueron diligentes al investigar los motivos de la retractación de dos testigos clave en el proceso, el señor Centurión y la señora Salinas. </w:t>
            </w:r>
            <w:r w:rsidRPr="004E5542">
              <w:rPr>
                <w:rFonts w:ascii="Calibri Light" w:hAnsi="Calibri Light"/>
                <w:b w:val="0"/>
              </w:rPr>
              <w:t xml:space="preserve">Ante el cambio sustancial de </w:t>
            </w:r>
            <w:r w:rsidR="00723522" w:rsidRPr="004E5542">
              <w:rPr>
                <w:rFonts w:ascii="Calibri Light" w:hAnsi="Calibri Light"/>
                <w:b w:val="0"/>
              </w:rPr>
              <w:t xml:space="preserve">su </w:t>
            </w:r>
            <w:r w:rsidRPr="004E5542">
              <w:rPr>
                <w:rFonts w:ascii="Calibri Light" w:hAnsi="Calibri Light"/>
                <w:b w:val="0"/>
              </w:rPr>
              <w:t xml:space="preserve">testimonio, el Ministerio Público debía indagar sobre el contexto y los motivos </w:t>
            </w:r>
            <w:r w:rsidR="00723522" w:rsidRPr="004E5542">
              <w:rPr>
                <w:rFonts w:ascii="Calibri Light" w:hAnsi="Calibri Light"/>
                <w:b w:val="0"/>
              </w:rPr>
              <w:t>detrás</w:t>
            </w:r>
            <w:r w:rsidR="00120FC3" w:rsidRPr="004E5542">
              <w:rPr>
                <w:rFonts w:ascii="Calibri Light" w:hAnsi="Calibri Light"/>
                <w:b w:val="0"/>
              </w:rPr>
              <w:t xml:space="preserve"> para determinar si hubo coacción por parte de los imputados. </w:t>
            </w:r>
          </w:p>
          <w:p w14:paraId="6F46954D" w14:textId="77777777" w:rsidR="00B855C5" w:rsidRPr="004E5542" w:rsidRDefault="00AE246E">
            <w:pPr>
              <w:spacing w:after="200"/>
              <w:jc w:val="both"/>
              <w:rPr>
                <w:rFonts w:ascii="Calibri Light" w:hAnsi="Calibri Light"/>
                <w:u w:val="single"/>
              </w:rPr>
            </w:pPr>
            <w:r w:rsidRPr="004E5542">
              <w:rPr>
                <w:rFonts w:ascii="Calibri Light" w:hAnsi="Calibri Light"/>
                <w:u w:val="single"/>
              </w:rPr>
              <w:t>Impacto de las garantías procesales de la propaganda difundida por el Estado de Paraguay</w:t>
            </w:r>
          </w:p>
          <w:p w14:paraId="01DA92E7" w14:textId="40572EDD" w:rsidR="00B855C5" w:rsidRPr="004E5542" w:rsidRDefault="00AE246E">
            <w:pPr>
              <w:spacing w:after="200"/>
              <w:jc w:val="both"/>
              <w:rPr>
                <w:rFonts w:ascii="Calibri Light" w:hAnsi="Calibri Light"/>
              </w:rPr>
            </w:pPr>
            <w:r w:rsidRPr="004E5542">
              <w:rPr>
                <w:rFonts w:ascii="Calibri Light" w:hAnsi="Calibri Light"/>
                <w:b w:val="0"/>
              </w:rPr>
              <w:t>Asimismo, la CIDH resaltó la afectación al derecho a la presunción de inocencia, en tanto varias instituciones estatales difundieron una circular denominada “Enemigos d</w:t>
            </w:r>
            <w:r w:rsidR="00723522" w:rsidRPr="004E5542">
              <w:rPr>
                <w:rFonts w:ascii="Calibri Light" w:hAnsi="Calibri Light"/>
                <w:b w:val="0"/>
              </w:rPr>
              <w:t xml:space="preserve">el Pueblo Paraguayo”, que </w:t>
            </w:r>
            <w:r w:rsidRPr="004E5542">
              <w:rPr>
                <w:rFonts w:ascii="Calibri Light" w:hAnsi="Calibri Light"/>
                <w:b w:val="0"/>
              </w:rPr>
              <w:t xml:space="preserve">mostraba la foto de presuntos delincuentes, entre ellos </w:t>
            </w:r>
            <w:r w:rsidR="00D50AFD" w:rsidRPr="004E5542">
              <w:rPr>
                <w:rFonts w:ascii="Calibri Light" w:hAnsi="Calibri Light"/>
                <w:b w:val="0"/>
              </w:rPr>
              <w:t xml:space="preserve">los </w:t>
            </w:r>
            <w:r w:rsidRPr="004E5542">
              <w:rPr>
                <w:rFonts w:ascii="Calibri Light" w:hAnsi="Calibri Light"/>
                <w:b w:val="0"/>
              </w:rPr>
              <w:t>señor</w:t>
            </w:r>
            <w:r w:rsidR="00D50AFD" w:rsidRPr="004E5542">
              <w:rPr>
                <w:rFonts w:ascii="Calibri Light" w:hAnsi="Calibri Light"/>
                <w:b w:val="0"/>
              </w:rPr>
              <w:t>es</w:t>
            </w:r>
            <w:r w:rsidRPr="004E5542">
              <w:rPr>
                <w:rFonts w:ascii="Calibri Light" w:hAnsi="Calibri Light"/>
                <w:b w:val="0"/>
              </w:rPr>
              <w:t xml:space="preserve"> Arrom y Martí. La afirmación hecha a través del afiche, </w:t>
            </w:r>
            <w:r w:rsidR="006C5858" w:rsidRPr="004E5542">
              <w:rPr>
                <w:rFonts w:ascii="Calibri Light" w:hAnsi="Calibri Light"/>
                <w:b w:val="0"/>
              </w:rPr>
              <w:t xml:space="preserve">cuando </w:t>
            </w:r>
            <w:r w:rsidRPr="004E5542">
              <w:rPr>
                <w:rFonts w:ascii="Calibri Light" w:hAnsi="Calibri Light"/>
                <w:b w:val="0"/>
              </w:rPr>
              <w:t>no se contaba con sentencia firm</w:t>
            </w:r>
            <w:r w:rsidR="001D367C" w:rsidRPr="004E5542">
              <w:rPr>
                <w:rFonts w:ascii="Calibri Light" w:hAnsi="Calibri Light"/>
                <w:b w:val="0"/>
              </w:rPr>
              <w:t>e</w:t>
            </w:r>
            <w:r w:rsidRPr="004E5542">
              <w:rPr>
                <w:rFonts w:ascii="Calibri Light" w:hAnsi="Calibri Light"/>
                <w:b w:val="0"/>
              </w:rPr>
              <w:t xml:space="preserve"> sobre la responsabilidad </w:t>
            </w:r>
            <w:r w:rsidR="006C5858" w:rsidRPr="004E5542">
              <w:rPr>
                <w:rFonts w:ascii="Calibri Light" w:hAnsi="Calibri Light"/>
                <w:b w:val="0"/>
              </w:rPr>
              <w:t>los señores Arrom y Martí en</w:t>
            </w:r>
            <w:r w:rsidRPr="004E5542">
              <w:rPr>
                <w:rFonts w:ascii="Calibri Light" w:hAnsi="Calibri Light"/>
                <w:b w:val="0"/>
              </w:rPr>
              <w:t xml:space="preserve"> el caso de la señora Bordón, generó no solo un trato estigmatizante, sino que además </w:t>
            </w:r>
            <w:r w:rsidR="006C5858" w:rsidRPr="004E5542">
              <w:rPr>
                <w:rFonts w:ascii="Calibri Light" w:hAnsi="Calibri Light"/>
                <w:b w:val="0"/>
              </w:rPr>
              <w:t xml:space="preserve">fue </w:t>
            </w:r>
            <w:r w:rsidRPr="004E5542">
              <w:rPr>
                <w:rFonts w:ascii="Calibri Light" w:hAnsi="Calibri Light"/>
                <w:b w:val="0"/>
              </w:rPr>
              <w:t>una muestra más de la ausencia de imparcialidad por parte del Ministerio Público.</w:t>
            </w:r>
          </w:p>
          <w:p w14:paraId="394258FF" w14:textId="77777777" w:rsidR="00B855C5" w:rsidRPr="004E5542" w:rsidRDefault="00AE246E">
            <w:pPr>
              <w:spacing w:after="200"/>
              <w:jc w:val="both"/>
              <w:rPr>
                <w:rFonts w:ascii="Calibri Light" w:hAnsi="Calibri Light"/>
              </w:rPr>
            </w:pPr>
            <w:r w:rsidRPr="004E5542">
              <w:rPr>
                <w:rFonts w:ascii="Calibri Light" w:hAnsi="Calibri Light"/>
                <w:b w:val="0"/>
              </w:rPr>
              <w:t xml:space="preserve">Por todo lo expuesto, la CIDH declaró que el Estado violó los artículos 8.1, 8.2 y 25.1 de la CADH, en relación con el artículo 1.1, en perjuicio de Juan Arrom y Anuncio Martí. Asimismo, declaró la violación del artículo </w:t>
            </w:r>
            <w:r w:rsidR="001D367C" w:rsidRPr="004E5542">
              <w:rPr>
                <w:rFonts w:ascii="Calibri Light" w:hAnsi="Calibri Light"/>
                <w:b w:val="0"/>
              </w:rPr>
              <w:t>I</w:t>
            </w:r>
            <w:r w:rsidRPr="004E5542">
              <w:rPr>
                <w:rFonts w:ascii="Calibri Light" w:hAnsi="Calibri Light"/>
                <w:b w:val="0"/>
              </w:rPr>
              <w:t>.b</w:t>
            </w:r>
            <w:r w:rsidR="00E46528" w:rsidRPr="004E5542">
              <w:rPr>
                <w:rFonts w:ascii="Calibri Light" w:hAnsi="Calibri Light"/>
                <w:b w:val="0"/>
              </w:rPr>
              <w:t>)</w:t>
            </w:r>
            <w:r w:rsidRPr="004E5542">
              <w:rPr>
                <w:rFonts w:ascii="Calibri Light" w:hAnsi="Calibri Light"/>
                <w:b w:val="0"/>
              </w:rPr>
              <w:t xml:space="preserve"> de la CIDFP</w:t>
            </w:r>
            <w:r w:rsidR="00E46528" w:rsidRPr="004E5542">
              <w:rPr>
                <w:rFonts w:ascii="Calibri Light" w:hAnsi="Calibri Light"/>
                <w:b w:val="0"/>
              </w:rPr>
              <w:t>, que establece el deber de sancionar a los responsables del delito de desaparición forzada,</w:t>
            </w:r>
            <w:r w:rsidRPr="004E5542">
              <w:rPr>
                <w:rFonts w:ascii="Calibri Light" w:hAnsi="Calibri Light"/>
                <w:b w:val="0"/>
              </w:rPr>
              <w:t xml:space="preserve"> y los artículos 1, 6 y 8 de la CIPST</w:t>
            </w:r>
            <w:r w:rsidR="00E46528" w:rsidRPr="004E5542">
              <w:rPr>
                <w:rFonts w:ascii="Calibri Light" w:hAnsi="Calibri Light"/>
                <w:b w:val="0"/>
              </w:rPr>
              <w:t>, que establecen el debe</w:t>
            </w:r>
            <w:r w:rsidR="00970659" w:rsidRPr="004E5542">
              <w:rPr>
                <w:rFonts w:ascii="Calibri Light" w:hAnsi="Calibri Light"/>
                <w:b w:val="0"/>
              </w:rPr>
              <w:t>r</w:t>
            </w:r>
            <w:r w:rsidR="00E46528" w:rsidRPr="004E5542">
              <w:rPr>
                <w:rFonts w:ascii="Calibri Light" w:hAnsi="Calibri Light"/>
                <w:b w:val="0"/>
              </w:rPr>
              <w:t xml:space="preserve"> de prevenir, investigar y sancionar la tortura</w:t>
            </w:r>
            <w:r w:rsidRPr="004E5542">
              <w:rPr>
                <w:rFonts w:ascii="Calibri Light" w:hAnsi="Calibri Light"/>
                <w:b w:val="0"/>
              </w:rPr>
              <w:t>.</w:t>
            </w:r>
          </w:p>
          <w:p w14:paraId="415D0781" w14:textId="77777777" w:rsidR="00B855C5" w:rsidRPr="004E5542" w:rsidRDefault="00AE246E">
            <w:pPr>
              <w:spacing w:after="200"/>
              <w:jc w:val="both"/>
              <w:rPr>
                <w:rFonts w:ascii="Calibri Light" w:hAnsi="Calibri Light"/>
              </w:rPr>
            </w:pPr>
            <w:r w:rsidRPr="004E5542">
              <w:rPr>
                <w:rFonts w:ascii="Calibri Light" w:hAnsi="Calibri Light"/>
              </w:rPr>
              <w:t>El derecho a la integridad personal y la prohibición de la tortura respecto a Juan Arrom y Anuncio Martí (artículo 5 de la CADH, y artículos 1 y 6 de la CIPST)</w:t>
            </w:r>
          </w:p>
          <w:p w14:paraId="28F5BAAE" w14:textId="77777777" w:rsidR="00B855C5" w:rsidRPr="004E5542" w:rsidRDefault="00AE246E">
            <w:pPr>
              <w:spacing w:after="200"/>
              <w:jc w:val="both"/>
              <w:rPr>
                <w:rFonts w:ascii="Calibri Light" w:hAnsi="Calibri Light"/>
                <w:b w:val="0"/>
              </w:rPr>
            </w:pPr>
            <w:r w:rsidRPr="004E5542">
              <w:rPr>
                <w:rFonts w:ascii="Calibri Light" w:hAnsi="Calibri Light"/>
                <w:b w:val="0"/>
              </w:rPr>
              <w:lastRenderedPageBreak/>
              <w:t xml:space="preserve">Tanto la CIDH como la Corte IDH han señalado que el Derecho Internacional de los Derechos Humanos prohíbe la imposición de la tortura o de un trato o castigo cruel, inhumano y degradante contra las personas en cualquier circunstancia. Además, han calificado esta prohibición como una norma de </w:t>
            </w:r>
            <w:r w:rsidRPr="004E5542">
              <w:rPr>
                <w:rFonts w:ascii="Calibri Light" w:hAnsi="Calibri Light"/>
                <w:b w:val="0"/>
                <w:i/>
              </w:rPr>
              <w:t>ius cogens</w:t>
            </w:r>
            <w:r w:rsidRPr="004E5542">
              <w:rPr>
                <w:rFonts w:ascii="Calibri Light" w:hAnsi="Calibri Light"/>
                <w:b w:val="0"/>
              </w:rPr>
              <w:t>. En su jurisprudencia, para que una conducta constituya tortura deben concurrir tres elementos: i) que sea un acto intencional cometido por un agente del Estado o con su autorización o aquiescencia; ii) que cause intenso sufrimiento físico o mental; y iii) que se cometa con determinado fin o propósito.</w:t>
            </w:r>
          </w:p>
          <w:p w14:paraId="76075E61" w14:textId="77777777" w:rsidR="006D5518" w:rsidRPr="004E5542" w:rsidRDefault="006D5518" w:rsidP="006D5518">
            <w:pPr>
              <w:spacing w:after="200"/>
              <w:jc w:val="both"/>
              <w:rPr>
                <w:rFonts w:ascii="Calibri Light" w:hAnsi="Calibri Light"/>
                <w:b w:val="0"/>
              </w:rPr>
            </w:pPr>
            <w:r w:rsidRPr="004E5542">
              <w:rPr>
                <w:rFonts w:ascii="Calibri Light" w:hAnsi="Calibri Light"/>
                <w:b w:val="0"/>
              </w:rPr>
              <w:t xml:space="preserve">Sobre </w:t>
            </w:r>
            <w:r w:rsidR="00610078" w:rsidRPr="004E5542">
              <w:rPr>
                <w:rFonts w:ascii="Calibri Light" w:hAnsi="Calibri Light"/>
                <w:b w:val="0"/>
              </w:rPr>
              <w:t>el primer elemento</w:t>
            </w:r>
            <w:r w:rsidRPr="004E5542">
              <w:rPr>
                <w:rFonts w:ascii="Calibri Light" w:hAnsi="Calibri Light"/>
                <w:b w:val="0"/>
              </w:rPr>
              <w:t xml:space="preserve">, la CIDH recordó </w:t>
            </w:r>
            <w:r w:rsidR="00CE66DE" w:rsidRPr="004E5542">
              <w:rPr>
                <w:rFonts w:ascii="Calibri Light" w:hAnsi="Calibri Light"/>
                <w:b w:val="0"/>
              </w:rPr>
              <w:t xml:space="preserve">que </w:t>
            </w:r>
            <w:r w:rsidRPr="004E5542">
              <w:rPr>
                <w:rFonts w:ascii="Calibri Light" w:hAnsi="Calibri Light"/>
                <w:b w:val="0"/>
              </w:rPr>
              <w:t xml:space="preserve">no solo las declaraciones de los afectados </w:t>
            </w:r>
            <w:r w:rsidR="00CE66DE" w:rsidRPr="004E5542">
              <w:rPr>
                <w:rFonts w:ascii="Calibri Light" w:hAnsi="Calibri Light"/>
                <w:b w:val="0"/>
              </w:rPr>
              <w:t>eran</w:t>
            </w:r>
            <w:r w:rsidRPr="004E5542">
              <w:rPr>
                <w:rFonts w:ascii="Calibri Light" w:hAnsi="Calibri Light"/>
                <w:b w:val="0"/>
              </w:rPr>
              <w:t xml:space="preserve"> coherentes entre sí sobre este aspecto, sino que una serie de declaraciones adicionales </w:t>
            </w:r>
            <w:r w:rsidR="00610078" w:rsidRPr="004E5542">
              <w:rPr>
                <w:rFonts w:ascii="Calibri Light" w:hAnsi="Calibri Light"/>
                <w:b w:val="0"/>
              </w:rPr>
              <w:t>dieron</w:t>
            </w:r>
            <w:r w:rsidRPr="004E5542">
              <w:rPr>
                <w:rFonts w:ascii="Calibri Light" w:hAnsi="Calibri Light"/>
                <w:b w:val="0"/>
              </w:rPr>
              <w:t xml:space="preserve"> señales de la posible participación de funcionarios de diversas instituciones estatales. Indicó que correspondía al Estado desvirtuar, a través de una investigación minuciosa, seria y diligente, la intervención de agent</w:t>
            </w:r>
            <w:r w:rsidR="00610078" w:rsidRPr="004E5542">
              <w:rPr>
                <w:rFonts w:ascii="Calibri Light" w:hAnsi="Calibri Light"/>
                <w:b w:val="0"/>
              </w:rPr>
              <w:t>es estatales en la desaparición</w:t>
            </w:r>
            <w:r w:rsidR="00CE66DE" w:rsidRPr="004E5542">
              <w:rPr>
                <w:rFonts w:ascii="Calibri Light" w:hAnsi="Calibri Light"/>
                <w:b w:val="0"/>
              </w:rPr>
              <w:t xml:space="preserve">. Sin embargo, como no se cumplió con </w:t>
            </w:r>
            <w:r w:rsidRPr="004E5542">
              <w:rPr>
                <w:rFonts w:ascii="Calibri Light" w:hAnsi="Calibri Light"/>
                <w:b w:val="0"/>
              </w:rPr>
              <w:t>ello, correspondía otorgar valor probatorio a los indicios señalados.</w:t>
            </w:r>
          </w:p>
          <w:p w14:paraId="13BC9FC9" w14:textId="77777777" w:rsidR="00B855C5" w:rsidRPr="004E5542" w:rsidRDefault="00610078">
            <w:pPr>
              <w:spacing w:after="200"/>
              <w:jc w:val="both"/>
              <w:rPr>
                <w:rFonts w:ascii="Calibri Light" w:hAnsi="Calibri Light"/>
              </w:rPr>
            </w:pPr>
            <w:r w:rsidRPr="004E5542">
              <w:rPr>
                <w:rFonts w:ascii="Calibri Light" w:hAnsi="Calibri Light"/>
                <w:b w:val="0"/>
              </w:rPr>
              <w:t>R</w:t>
            </w:r>
            <w:r w:rsidR="00AE246E" w:rsidRPr="004E5542">
              <w:rPr>
                <w:rFonts w:ascii="Calibri Light" w:hAnsi="Calibri Light"/>
                <w:b w:val="0"/>
              </w:rPr>
              <w:t>especto al segundo elemento, la CIDH señaló que los testimonios de</w:t>
            </w:r>
            <w:r w:rsidR="006C5858" w:rsidRPr="004E5542">
              <w:rPr>
                <w:rFonts w:ascii="Calibri Light" w:hAnsi="Calibri Light"/>
                <w:b w:val="0"/>
              </w:rPr>
              <w:t xml:space="preserve"> </w:t>
            </w:r>
            <w:r w:rsidR="00AE246E" w:rsidRPr="004E5542">
              <w:rPr>
                <w:rFonts w:ascii="Calibri Light" w:hAnsi="Calibri Light"/>
                <w:b w:val="0"/>
              </w:rPr>
              <w:t>l</w:t>
            </w:r>
            <w:r w:rsidR="006C5858" w:rsidRPr="004E5542">
              <w:rPr>
                <w:rFonts w:ascii="Calibri Light" w:hAnsi="Calibri Light"/>
                <w:b w:val="0"/>
              </w:rPr>
              <w:t>os</w:t>
            </w:r>
            <w:r w:rsidR="00AE246E" w:rsidRPr="004E5542">
              <w:rPr>
                <w:rFonts w:ascii="Calibri Light" w:hAnsi="Calibri Light"/>
                <w:b w:val="0"/>
              </w:rPr>
              <w:t xml:space="preserve"> señor</w:t>
            </w:r>
            <w:r w:rsidR="006C5858" w:rsidRPr="004E5542">
              <w:rPr>
                <w:rFonts w:ascii="Calibri Light" w:hAnsi="Calibri Light"/>
                <w:b w:val="0"/>
              </w:rPr>
              <w:t>es</w:t>
            </w:r>
            <w:r w:rsidR="00AE246E" w:rsidRPr="004E5542">
              <w:rPr>
                <w:rFonts w:ascii="Calibri Light" w:hAnsi="Calibri Light"/>
                <w:b w:val="0"/>
              </w:rPr>
              <w:t xml:space="preserve"> Arrom y Martí </w:t>
            </w:r>
            <w:r w:rsidRPr="004E5542">
              <w:rPr>
                <w:rFonts w:ascii="Calibri Light" w:hAnsi="Calibri Light"/>
                <w:b w:val="0"/>
              </w:rPr>
              <w:t xml:space="preserve">y </w:t>
            </w:r>
            <w:r w:rsidR="00AE246E" w:rsidRPr="004E5542">
              <w:rPr>
                <w:rFonts w:ascii="Calibri Light" w:hAnsi="Calibri Light"/>
                <w:b w:val="0"/>
              </w:rPr>
              <w:t xml:space="preserve">los informes médicos realizados de forma posterior a su liberación </w:t>
            </w:r>
            <w:r w:rsidR="006C5858" w:rsidRPr="004E5542">
              <w:rPr>
                <w:rFonts w:ascii="Calibri Light" w:hAnsi="Calibri Light"/>
                <w:b w:val="0"/>
              </w:rPr>
              <w:t xml:space="preserve">fueron </w:t>
            </w:r>
            <w:r w:rsidR="00AE246E" w:rsidRPr="004E5542">
              <w:rPr>
                <w:rFonts w:ascii="Calibri Light" w:hAnsi="Calibri Light"/>
                <w:b w:val="0"/>
              </w:rPr>
              <w:t>consistentes entre sí y acredita</w:t>
            </w:r>
            <w:r w:rsidR="006C5858" w:rsidRPr="004E5542">
              <w:rPr>
                <w:rFonts w:ascii="Calibri Light" w:hAnsi="Calibri Light"/>
                <w:b w:val="0"/>
              </w:rPr>
              <w:t>ro</w:t>
            </w:r>
            <w:r w:rsidR="00AE246E" w:rsidRPr="004E5542">
              <w:rPr>
                <w:rFonts w:ascii="Calibri Light" w:hAnsi="Calibri Light"/>
                <w:b w:val="0"/>
              </w:rPr>
              <w:t xml:space="preserve">n que ambos sufrieron maltratos físicos como fuertes golpes en diversas partes del cuerpo, asfixias y presión en los testículos. </w:t>
            </w:r>
            <w:r w:rsidR="006C5858" w:rsidRPr="004E5542">
              <w:rPr>
                <w:rFonts w:ascii="Calibri Light" w:hAnsi="Calibri Light"/>
                <w:b w:val="0"/>
              </w:rPr>
              <w:t xml:space="preserve">Además, </w:t>
            </w:r>
            <w:r w:rsidR="00AE246E" w:rsidRPr="004E5542">
              <w:rPr>
                <w:rFonts w:ascii="Calibri Light" w:hAnsi="Calibri Light"/>
                <w:b w:val="0"/>
              </w:rPr>
              <w:t xml:space="preserve">los relatos de los hechos presentados por ambos se corresponden con las valoraciones de los informes psiquiátricos sobre las secuelas mentales de los malos tratos sufridos. De este modo, la CIDH consideró que el </w:t>
            </w:r>
            <w:r w:rsidR="006D5518" w:rsidRPr="004E5542">
              <w:rPr>
                <w:rFonts w:ascii="Calibri Light" w:hAnsi="Calibri Light"/>
                <w:b w:val="0"/>
              </w:rPr>
              <w:t xml:space="preserve">segundo </w:t>
            </w:r>
            <w:r w:rsidR="00AE246E" w:rsidRPr="004E5542">
              <w:rPr>
                <w:rFonts w:ascii="Calibri Light" w:hAnsi="Calibri Light"/>
                <w:b w:val="0"/>
              </w:rPr>
              <w:t>elemento se encontraba acreditado.</w:t>
            </w:r>
          </w:p>
          <w:p w14:paraId="464A8EE7" w14:textId="77777777" w:rsidR="00B855C5" w:rsidRPr="004E5542" w:rsidRDefault="00AE246E">
            <w:pPr>
              <w:spacing w:after="200"/>
              <w:jc w:val="both"/>
              <w:rPr>
                <w:rFonts w:ascii="Calibri Light" w:hAnsi="Calibri Light"/>
              </w:rPr>
            </w:pPr>
            <w:r w:rsidRPr="004E5542">
              <w:rPr>
                <w:rFonts w:ascii="Calibri Light" w:hAnsi="Calibri Light"/>
                <w:b w:val="0"/>
              </w:rPr>
              <w:t xml:space="preserve">Finalmente, consideró acreditado </w:t>
            </w:r>
            <w:r w:rsidR="006C5858" w:rsidRPr="004E5542">
              <w:rPr>
                <w:rFonts w:ascii="Calibri Light" w:hAnsi="Calibri Light"/>
                <w:b w:val="0"/>
              </w:rPr>
              <w:t xml:space="preserve">el tercer elemento </w:t>
            </w:r>
            <w:r w:rsidR="00610078" w:rsidRPr="004E5542">
              <w:rPr>
                <w:rFonts w:ascii="Calibri Light" w:hAnsi="Calibri Light"/>
                <w:b w:val="0"/>
              </w:rPr>
              <w:t>ya que</w:t>
            </w:r>
            <w:r w:rsidRPr="004E5542">
              <w:rPr>
                <w:rFonts w:ascii="Calibri Light" w:hAnsi="Calibri Light"/>
                <w:b w:val="0"/>
              </w:rPr>
              <w:t xml:space="preserve"> los actos de los agentes estatales fueron deliberados y habrían tenido como propósito el lograr que </w:t>
            </w:r>
            <w:r w:rsidR="006C5858" w:rsidRPr="004E5542">
              <w:rPr>
                <w:rFonts w:ascii="Calibri Light" w:hAnsi="Calibri Light"/>
                <w:b w:val="0"/>
              </w:rPr>
              <w:t xml:space="preserve">los </w:t>
            </w:r>
            <w:r w:rsidRPr="004E5542">
              <w:rPr>
                <w:rFonts w:ascii="Calibri Light" w:hAnsi="Calibri Light"/>
                <w:b w:val="0"/>
              </w:rPr>
              <w:t>señor</w:t>
            </w:r>
            <w:r w:rsidR="006C5858" w:rsidRPr="004E5542">
              <w:rPr>
                <w:rFonts w:ascii="Calibri Light" w:hAnsi="Calibri Light"/>
                <w:b w:val="0"/>
              </w:rPr>
              <w:t>es</w:t>
            </w:r>
            <w:r w:rsidRPr="004E5542">
              <w:rPr>
                <w:rFonts w:ascii="Calibri Light" w:hAnsi="Calibri Light"/>
                <w:b w:val="0"/>
              </w:rPr>
              <w:t xml:space="preserve"> Arrom y Martí se declararan culpables del secuestro de la señora Bordón, además de obtener información de </w:t>
            </w:r>
            <w:r w:rsidR="00610078" w:rsidRPr="004E5542">
              <w:rPr>
                <w:rFonts w:ascii="Calibri Light" w:hAnsi="Calibri Light"/>
                <w:b w:val="0"/>
              </w:rPr>
              <w:t xml:space="preserve">su </w:t>
            </w:r>
            <w:r w:rsidRPr="004E5542">
              <w:rPr>
                <w:rFonts w:ascii="Calibri Light" w:hAnsi="Calibri Light"/>
                <w:b w:val="0"/>
              </w:rPr>
              <w:t xml:space="preserve">organización política. Por ello, la CIDH declaró responsable al Estado de Paraguay por la violación de los artículos 5.1 y 5.2 de la CADH, en relación con su artículo 1.1, en perjuicio de </w:t>
            </w:r>
            <w:r w:rsidR="00610078" w:rsidRPr="004E5542">
              <w:rPr>
                <w:rFonts w:ascii="Calibri Light" w:hAnsi="Calibri Light"/>
                <w:b w:val="0"/>
              </w:rPr>
              <w:t>los señores</w:t>
            </w:r>
            <w:r w:rsidRPr="004E5542">
              <w:rPr>
                <w:rFonts w:ascii="Calibri Light" w:hAnsi="Calibri Light"/>
                <w:b w:val="0"/>
              </w:rPr>
              <w:t xml:space="preserve"> Arrom y Martí. Asimismo, declaró la violación de los artículos 1 y 6 de la CIPST</w:t>
            </w:r>
            <w:r w:rsidR="00970659" w:rsidRPr="004E5542">
              <w:rPr>
                <w:rFonts w:ascii="Calibri Light" w:hAnsi="Calibri Light"/>
                <w:b w:val="0"/>
              </w:rPr>
              <w:t>, que establecen el deber de prevenir y sancionar la tortura.</w:t>
            </w:r>
          </w:p>
          <w:p w14:paraId="35590631" w14:textId="77777777" w:rsidR="00B855C5" w:rsidRPr="004E5542" w:rsidRDefault="00AE246E">
            <w:pPr>
              <w:spacing w:after="200"/>
              <w:jc w:val="both"/>
              <w:rPr>
                <w:rFonts w:ascii="Calibri Light" w:hAnsi="Calibri Light"/>
              </w:rPr>
            </w:pPr>
            <w:r w:rsidRPr="004E5542">
              <w:rPr>
                <w:rFonts w:ascii="Calibri Light" w:hAnsi="Calibri Light"/>
              </w:rPr>
              <w:t xml:space="preserve">Derechos al reconocimiento de la personalidad jurídica, a la vida, a la integridad personal y a la libertad personal (artículos 3, 4, 5 y 7 de la CADH, y artículo </w:t>
            </w:r>
            <w:r w:rsidR="00CE66DE" w:rsidRPr="004E5542">
              <w:rPr>
                <w:rFonts w:ascii="Calibri Light" w:hAnsi="Calibri Light"/>
              </w:rPr>
              <w:t>I</w:t>
            </w:r>
            <w:r w:rsidRPr="004E5542">
              <w:rPr>
                <w:rFonts w:ascii="Calibri Light" w:hAnsi="Calibri Light"/>
              </w:rPr>
              <w:t xml:space="preserve"> de la CIDFP)</w:t>
            </w:r>
          </w:p>
          <w:p w14:paraId="334F4A36" w14:textId="77777777" w:rsidR="00B855C5" w:rsidRPr="004E5542" w:rsidRDefault="00F34DE5" w:rsidP="00970659">
            <w:pPr>
              <w:jc w:val="both"/>
              <w:rPr>
                <w:rFonts w:ascii="Calibri Light" w:hAnsi="Calibri Light"/>
                <w:b w:val="0"/>
              </w:rPr>
            </w:pPr>
            <w:r w:rsidRPr="004E5542">
              <w:rPr>
                <w:rFonts w:ascii="Calibri Light" w:hAnsi="Calibri Light"/>
                <w:b w:val="0"/>
              </w:rPr>
              <w:t>L</w:t>
            </w:r>
            <w:r w:rsidR="00AE246E" w:rsidRPr="004E5542">
              <w:rPr>
                <w:rFonts w:ascii="Calibri Light" w:hAnsi="Calibri Light"/>
                <w:b w:val="0"/>
              </w:rPr>
              <w:t xml:space="preserve">a desaparición forzada </w:t>
            </w:r>
            <w:r w:rsidRPr="004E5542">
              <w:rPr>
                <w:rFonts w:ascii="Calibri Light" w:hAnsi="Calibri Light"/>
                <w:b w:val="0"/>
              </w:rPr>
              <w:t>es</w:t>
            </w:r>
            <w:r w:rsidR="00AE246E" w:rsidRPr="004E5542">
              <w:rPr>
                <w:rFonts w:ascii="Calibri Light" w:hAnsi="Calibri Light"/>
                <w:b w:val="0"/>
              </w:rPr>
              <w:t xml:space="preserve"> un hecho ilícito que genera una violación múltiple y continuada de varios derechos protegidos por la CADH</w:t>
            </w:r>
            <w:r w:rsidRPr="004E5542">
              <w:rPr>
                <w:rFonts w:ascii="Calibri Light" w:hAnsi="Calibri Light"/>
                <w:b w:val="0"/>
              </w:rPr>
              <w:t>, tales como</w:t>
            </w:r>
            <w:r w:rsidR="00970659" w:rsidRPr="004E5542">
              <w:rPr>
                <w:rFonts w:ascii="Calibri Light" w:hAnsi="Calibri Light"/>
              </w:rPr>
              <w:t xml:space="preserve"> </w:t>
            </w:r>
            <w:r w:rsidR="00970659" w:rsidRPr="004E5542">
              <w:rPr>
                <w:rFonts w:ascii="Calibri Light" w:hAnsi="Calibri Light"/>
                <w:b w:val="0"/>
              </w:rPr>
              <w:t>a la personalidad jurídica, vida, integridad personal y libertad personal</w:t>
            </w:r>
            <w:r w:rsidR="00AE246E" w:rsidRPr="004E5542">
              <w:rPr>
                <w:rFonts w:ascii="Calibri Light" w:hAnsi="Calibri Light"/>
                <w:b w:val="0"/>
              </w:rPr>
              <w:t xml:space="preserve">. La Corte IDH ha indicado que la desaparición forzada cuenta con tres elementos concurrentes y constitutivos: i) la privación de la libertad; ii) la intervención directa de agentes estatales o la aquiescencia de estos; y iii) la negativa de reconocer la detención o de revelar la suerte o paradero de la persona desaparecida. </w:t>
            </w:r>
          </w:p>
          <w:p w14:paraId="03DECD3E" w14:textId="77777777" w:rsidR="00970659" w:rsidRPr="004E5542" w:rsidRDefault="00970659" w:rsidP="00970659">
            <w:pPr>
              <w:jc w:val="both"/>
              <w:rPr>
                <w:rFonts w:ascii="Calibri Light" w:hAnsi="Calibri Light"/>
              </w:rPr>
            </w:pPr>
          </w:p>
          <w:p w14:paraId="15746BEA" w14:textId="76A88AFB" w:rsidR="00B855C5" w:rsidRPr="004E5542" w:rsidRDefault="00F34DE5">
            <w:pPr>
              <w:spacing w:after="200"/>
              <w:jc w:val="both"/>
              <w:rPr>
                <w:rFonts w:ascii="Calibri Light" w:hAnsi="Calibri Light"/>
              </w:rPr>
            </w:pPr>
            <w:r w:rsidRPr="004E5542">
              <w:rPr>
                <w:rFonts w:ascii="Calibri Light" w:hAnsi="Calibri Light"/>
                <w:b w:val="0"/>
              </w:rPr>
              <w:t>E</w:t>
            </w:r>
            <w:r w:rsidR="00AE246E" w:rsidRPr="004E5542">
              <w:rPr>
                <w:rFonts w:ascii="Calibri Light" w:hAnsi="Calibri Light"/>
                <w:b w:val="0"/>
              </w:rPr>
              <w:t xml:space="preserve">n cuanto a la privación de la libertad, </w:t>
            </w:r>
            <w:r w:rsidRPr="004E5542">
              <w:rPr>
                <w:rFonts w:ascii="Calibri Light" w:hAnsi="Calibri Light"/>
                <w:b w:val="0"/>
              </w:rPr>
              <w:t>la CIDH consideró que los</w:t>
            </w:r>
            <w:r w:rsidR="00AE246E" w:rsidRPr="004E5542">
              <w:rPr>
                <w:rFonts w:ascii="Calibri Light" w:hAnsi="Calibri Light"/>
                <w:b w:val="0"/>
              </w:rPr>
              <w:t xml:space="preserve"> señor</w:t>
            </w:r>
            <w:r w:rsidRPr="004E5542">
              <w:rPr>
                <w:rFonts w:ascii="Calibri Light" w:hAnsi="Calibri Light"/>
                <w:b w:val="0"/>
              </w:rPr>
              <w:t>es</w:t>
            </w:r>
            <w:r w:rsidR="00AE246E" w:rsidRPr="004E5542">
              <w:rPr>
                <w:rFonts w:ascii="Calibri Light" w:hAnsi="Calibri Light"/>
                <w:b w:val="0"/>
              </w:rPr>
              <w:t xml:space="preserve"> Arrom y Martí afirmaron que estuvieron privados de su libertad entre el 17 y el 30 de enero de 2002. Existen testimonios consistentes entre sí que afirman que en el lugar en el que </w:t>
            </w:r>
            <w:r w:rsidR="00610078" w:rsidRPr="004E5542">
              <w:rPr>
                <w:rFonts w:ascii="Calibri Light" w:hAnsi="Calibri Light"/>
                <w:b w:val="0"/>
              </w:rPr>
              <w:t xml:space="preserve">señalaron </w:t>
            </w:r>
            <w:r w:rsidR="00723522" w:rsidRPr="004E5542">
              <w:rPr>
                <w:rFonts w:ascii="Calibri Light" w:hAnsi="Calibri Light"/>
                <w:b w:val="0"/>
              </w:rPr>
              <w:t>haber estado retenidos</w:t>
            </w:r>
            <w:r w:rsidR="00AE246E" w:rsidRPr="004E5542">
              <w:rPr>
                <w:rFonts w:ascii="Calibri Light" w:hAnsi="Calibri Light"/>
                <w:b w:val="0"/>
              </w:rPr>
              <w:t xml:space="preserve"> hubo actividad inusual. Asimismo, se ha probado que los familiares de ambos plantearon recursos de hábeas corpus y denunciaron ante los medios de comunicación su desaparición. También existen testimonios y vídeos que respaldan su liberación. Por ello, y en tanto el Estado no pudo proveer ninguna otra hipótesis alternativa sobre su paradero, el primer elemento se consideró acreditado.</w:t>
            </w:r>
          </w:p>
          <w:p w14:paraId="2E5C9FD0" w14:textId="77777777" w:rsidR="00B855C5" w:rsidRPr="004E5542" w:rsidRDefault="00AE246E">
            <w:pPr>
              <w:spacing w:after="200"/>
              <w:jc w:val="both"/>
              <w:rPr>
                <w:rFonts w:ascii="Calibri Light" w:hAnsi="Calibri Light"/>
              </w:rPr>
            </w:pPr>
            <w:r w:rsidRPr="004E5542">
              <w:rPr>
                <w:rFonts w:ascii="Calibri Light" w:hAnsi="Calibri Light"/>
                <w:b w:val="0"/>
              </w:rPr>
              <w:t xml:space="preserve">Respecto a la intervención directa de agentes estatales, la CIDH remitió a sus apreciaciones sobre la calificación jurídica de los hechos del caso como tortura. Sobre la negativa de reconocer la detención o de revelar la suerte o paradero de la persona desaparecida, resaltó </w:t>
            </w:r>
            <w:r w:rsidRPr="004E5542">
              <w:rPr>
                <w:rFonts w:ascii="Calibri Light" w:hAnsi="Calibri Light"/>
                <w:b w:val="0"/>
              </w:rPr>
              <w:lastRenderedPageBreak/>
              <w:t>que las autoridades policiales negaron la detención del señor Arrom y el señor Martí cuando las autoridades judiciales solicitaron información sobre ello</w:t>
            </w:r>
            <w:r w:rsidR="00CE66DE" w:rsidRPr="004E5542">
              <w:rPr>
                <w:rFonts w:ascii="Calibri Light" w:hAnsi="Calibri Light"/>
                <w:b w:val="0"/>
              </w:rPr>
              <w:t>.</w:t>
            </w:r>
            <w:r w:rsidRPr="004E5542">
              <w:rPr>
                <w:rFonts w:ascii="Calibri Light" w:hAnsi="Calibri Light"/>
                <w:b w:val="0"/>
              </w:rPr>
              <w:t xml:space="preserve"> </w:t>
            </w:r>
            <w:r w:rsidR="00CE66DE" w:rsidRPr="004E5542">
              <w:rPr>
                <w:rFonts w:ascii="Calibri Light" w:hAnsi="Calibri Light"/>
                <w:b w:val="0"/>
              </w:rPr>
              <w:t>E</w:t>
            </w:r>
            <w:r w:rsidRPr="004E5542">
              <w:rPr>
                <w:rFonts w:ascii="Calibri Light" w:hAnsi="Calibri Light"/>
                <w:b w:val="0"/>
              </w:rPr>
              <w:t>stas últimas aceptaron dicha negativa y procedieron a negar los hábeas corpus interpuestos. Asimismo, aunque la prensa paraguaya divulgó la desaparición de ambos, altos funcionarios del Estado negaron tener conocimiento sobre esta. Así, la CIDH consideró configurado el tercer elemento.</w:t>
            </w:r>
          </w:p>
          <w:p w14:paraId="326BC40F" w14:textId="77777777" w:rsidR="00B855C5" w:rsidRPr="004E5542" w:rsidRDefault="00AE246E">
            <w:pPr>
              <w:spacing w:after="200"/>
              <w:jc w:val="both"/>
              <w:rPr>
                <w:rFonts w:ascii="Calibri Light" w:hAnsi="Calibri Light"/>
              </w:rPr>
            </w:pPr>
            <w:r w:rsidRPr="004E5542">
              <w:rPr>
                <w:rFonts w:ascii="Calibri Light" w:hAnsi="Calibri Light"/>
                <w:b w:val="0"/>
              </w:rPr>
              <w:t>Por lo expuesto, el Estado de Paraguay fue declarado responsable de la violación de los artículos 3, 4.1, 5.1, 5.2 y 7 de la CADH, en relación con el artículo 1.1, en perjuicio de Juan Arrom y Anuncio Martí. Igualmente, se dec</w:t>
            </w:r>
            <w:r w:rsidR="00807158" w:rsidRPr="004E5542">
              <w:rPr>
                <w:rFonts w:ascii="Calibri Light" w:hAnsi="Calibri Light"/>
                <w:b w:val="0"/>
              </w:rPr>
              <w:t>laró la violación del artículo I</w:t>
            </w:r>
            <w:r w:rsidRPr="004E5542">
              <w:rPr>
                <w:rFonts w:ascii="Calibri Light" w:hAnsi="Calibri Light"/>
                <w:b w:val="0"/>
              </w:rPr>
              <w:t>.a</w:t>
            </w:r>
            <w:r w:rsidR="00970659" w:rsidRPr="004E5542">
              <w:rPr>
                <w:rFonts w:ascii="Calibri Light" w:hAnsi="Calibri Light"/>
                <w:b w:val="0"/>
              </w:rPr>
              <w:t>)</w:t>
            </w:r>
            <w:r w:rsidRPr="004E5542">
              <w:rPr>
                <w:rFonts w:ascii="Calibri Light" w:hAnsi="Calibri Light"/>
                <w:b w:val="0"/>
              </w:rPr>
              <w:t xml:space="preserve"> de la CIDFP</w:t>
            </w:r>
            <w:r w:rsidR="00970659" w:rsidRPr="004E5542">
              <w:rPr>
                <w:rFonts w:ascii="Calibri Light" w:hAnsi="Calibri Light"/>
                <w:b w:val="0"/>
              </w:rPr>
              <w:t>, que establece que los Estados no deben practicar, permitir o tolerar la desaparición forzada</w:t>
            </w:r>
            <w:r w:rsidRPr="004E5542">
              <w:rPr>
                <w:rFonts w:ascii="Calibri Light" w:hAnsi="Calibri Light"/>
                <w:b w:val="0"/>
              </w:rPr>
              <w:t>.</w:t>
            </w:r>
          </w:p>
          <w:p w14:paraId="6B4D3097" w14:textId="77777777" w:rsidR="00B855C5" w:rsidRPr="004E5542" w:rsidRDefault="00AE246E">
            <w:pPr>
              <w:spacing w:after="200"/>
              <w:jc w:val="both"/>
              <w:rPr>
                <w:rFonts w:ascii="Calibri Light" w:hAnsi="Calibri Light"/>
              </w:rPr>
            </w:pPr>
            <w:r w:rsidRPr="004E5542">
              <w:rPr>
                <w:rFonts w:ascii="Calibri Light" w:hAnsi="Calibri Light"/>
              </w:rPr>
              <w:t>Derecho a la integridad personal respecto a los familiares de Juan Arrom y Anuncio Martí (artículo 5 de la CADH)</w:t>
            </w:r>
          </w:p>
          <w:p w14:paraId="487371ED" w14:textId="5610A961" w:rsidR="00610078" w:rsidRPr="004E5542" w:rsidRDefault="00AE246E" w:rsidP="00CA5BAF">
            <w:pPr>
              <w:spacing w:after="200"/>
              <w:jc w:val="both"/>
              <w:rPr>
                <w:rFonts w:ascii="Calibri Light" w:hAnsi="Calibri Light"/>
                <w:b w:val="0"/>
              </w:rPr>
            </w:pPr>
            <w:bookmarkStart w:id="0" w:name="_gjdgxs" w:colFirst="0" w:colLast="0"/>
            <w:bookmarkEnd w:id="0"/>
            <w:r w:rsidRPr="004E5542">
              <w:rPr>
                <w:rFonts w:ascii="Calibri Light" w:hAnsi="Calibri Light"/>
                <w:b w:val="0"/>
              </w:rPr>
              <w:t>La Corte IDH ha manifestado que los familiares de las víctimas de ciertas violaciones de derechos humanos pueden ser, a su vez, víctimas. En ese sentido, su integridad psíquica y moral puede verse afectada como consecuencia de las situaciones particulares que padecieron sus seres queridos, y de las posteriores actuaciones u omisiones de las autoridades. Así, la falta de diligencia en la investigación, sobre todo tratándose de un caso de desaparición forzada, puede ocasionar sufrimiento derivado de la incertidumbre generada por desconocer el paradero de sus familiares y el temor por la vida e integridad de estos.</w:t>
            </w:r>
            <w:r w:rsidR="00CA5BAF" w:rsidRPr="004E5542">
              <w:rPr>
                <w:rFonts w:ascii="Calibri Light" w:hAnsi="Calibri Light"/>
                <w:b w:val="0"/>
              </w:rPr>
              <w:t xml:space="preserve"> </w:t>
            </w:r>
            <w:r w:rsidRPr="004E5542">
              <w:rPr>
                <w:rFonts w:ascii="Calibri Light" w:hAnsi="Calibri Light"/>
                <w:b w:val="0"/>
              </w:rPr>
              <w:t>En el caso, la CIDH resaltó que las hermanas de</w:t>
            </w:r>
            <w:r w:rsidR="00CE66DE" w:rsidRPr="004E5542">
              <w:rPr>
                <w:rFonts w:ascii="Calibri Light" w:hAnsi="Calibri Light"/>
                <w:b w:val="0"/>
              </w:rPr>
              <w:t xml:space="preserve"> </w:t>
            </w:r>
            <w:r w:rsidRPr="004E5542">
              <w:rPr>
                <w:rFonts w:ascii="Calibri Light" w:hAnsi="Calibri Light"/>
                <w:b w:val="0"/>
              </w:rPr>
              <w:t>l</w:t>
            </w:r>
            <w:r w:rsidR="00CE66DE" w:rsidRPr="004E5542">
              <w:rPr>
                <w:rFonts w:ascii="Calibri Light" w:hAnsi="Calibri Light"/>
                <w:b w:val="0"/>
              </w:rPr>
              <w:t>os</w:t>
            </w:r>
            <w:r w:rsidRPr="004E5542">
              <w:rPr>
                <w:rFonts w:ascii="Calibri Light" w:hAnsi="Calibri Light"/>
                <w:b w:val="0"/>
              </w:rPr>
              <w:t xml:space="preserve"> señor</w:t>
            </w:r>
            <w:r w:rsidR="00CA5BAF" w:rsidRPr="004E5542">
              <w:rPr>
                <w:rFonts w:ascii="Calibri Light" w:hAnsi="Calibri Light"/>
                <w:b w:val="0"/>
              </w:rPr>
              <w:t>es</w:t>
            </w:r>
            <w:r w:rsidRPr="004E5542">
              <w:rPr>
                <w:rFonts w:ascii="Calibri Light" w:hAnsi="Calibri Light"/>
                <w:b w:val="0"/>
              </w:rPr>
              <w:t xml:space="preserve"> Arrom </w:t>
            </w:r>
            <w:r w:rsidR="00CE66DE" w:rsidRPr="004E5542">
              <w:rPr>
                <w:rFonts w:ascii="Calibri Light" w:hAnsi="Calibri Light"/>
                <w:b w:val="0"/>
              </w:rPr>
              <w:t>y</w:t>
            </w:r>
            <w:r w:rsidRPr="004E5542">
              <w:rPr>
                <w:rFonts w:ascii="Calibri Light" w:hAnsi="Calibri Light"/>
                <w:b w:val="0"/>
              </w:rPr>
              <w:t xml:space="preserve"> Martí estuvieron activamente involucradas en </w:t>
            </w:r>
            <w:r w:rsidR="00CA5BAF" w:rsidRPr="004E5542">
              <w:rPr>
                <w:rFonts w:ascii="Calibri Light" w:hAnsi="Calibri Light"/>
                <w:b w:val="0"/>
              </w:rPr>
              <w:t>su</w:t>
            </w:r>
            <w:r w:rsidRPr="004E5542">
              <w:rPr>
                <w:rFonts w:ascii="Calibri Light" w:hAnsi="Calibri Light"/>
                <w:b w:val="0"/>
              </w:rPr>
              <w:t xml:space="preserve"> búsqueda, lo cual qued</w:t>
            </w:r>
            <w:r w:rsidR="00CE66DE" w:rsidRPr="004E5542">
              <w:rPr>
                <w:rFonts w:ascii="Calibri Light" w:hAnsi="Calibri Light"/>
                <w:b w:val="0"/>
              </w:rPr>
              <w:t>ó</w:t>
            </w:r>
            <w:r w:rsidRPr="004E5542">
              <w:rPr>
                <w:rFonts w:ascii="Calibri Light" w:hAnsi="Calibri Light"/>
                <w:b w:val="0"/>
              </w:rPr>
              <w:t xml:space="preserve"> acreditado con la interposición de recursos de hábeas corpus. Asimismo, señaló que </w:t>
            </w:r>
            <w:r w:rsidR="005C5CA5" w:rsidRPr="004E5542">
              <w:rPr>
                <w:rFonts w:ascii="Calibri Light" w:hAnsi="Calibri Light"/>
                <w:b w:val="0"/>
              </w:rPr>
              <w:t>los</w:t>
            </w:r>
            <w:r w:rsidRPr="004E5542">
              <w:rPr>
                <w:rFonts w:ascii="Calibri Light" w:hAnsi="Calibri Light"/>
                <w:b w:val="0"/>
              </w:rPr>
              <w:t xml:space="preserve"> señor</w:t>
            </w:r>
            <w:r w:rsidR="005C5CA5" w:rsidRPr="004E5542">
              <w:rPr>
                <w:rFonts w:ascii="Calibri Light" w:hAnsi="Calibri Light"/>
                <w:b w:val="0"/>
              </w:rPr>
              <w:t>es</w:t>
            </w:r>
            <w:r w:rsidRPr="004E5542">
              <w:rPr>
                <w:rFonts w:ascii="Calibri Light" w:hAnsi="Calibri Light"/>
                <w:b w:val="0"/>
              </w:rPr>
              <w:t xml:space="preserve"> Arrom </w:t>
            </w:r>
            <w:r w:rsidR="005C5CA5" w:rsidRPr="004E5542">
              <w:rPr>
                <w:rFonts w:ascii="Calibri Light" w:hAnsi="Calibri Light"/>
                <w:b w:val="0"/>
              </w:rPr>
              <w:t>y</w:t>
            </w:r>
            <w:r w:rsidRPr="004E5542">
              <w:rPr>
                <w:rFonts w:ascii="Calibri Light" w:hAnsi="Calibri Light"/>
                <w:b w:val="0"/>
              </w:rPr>
              <w:t xml:space="preserve"> Martí tenían parejas e hijos que potencialmente habrían visto afectada su integridad psíquica y moral</w:t>
            </w:r>
            <w:r w:rsidR="00CA5BAF" w:rsidRPr="004E5542">
              <w:rPr>
                <w:rFonts w:ascii="Calibri Light" w:hAnsi="Calibri Light"/>
                <w:b w:val="0"/>
              </w:rPr>
              <w:t xml:space="preserve">. </w:t>
            </w:r>
            <w:r w:rsidRPr="004E5542">
              <w:rPr>
                <w:rFonts w:ascii="Calibri Light" w:hAnsi="Calibri Light"/>
                <w:b w:val="0"/>
              </w:rPr>
              <w:t xml:space="preserve">Por ello, declaró que el Estado violó el artículo 5.1 de la CADH, en relación con el artículo 1.1, en perjuicio de </w:t>
            </w:r>
            <w:r w:rsidR="00807158" w:rsidRPr="004E5542">
              <w:rPr>
                <w:rFonts w:ascii="Calibri Light" w:hAnsi="Calibri Light"/>
                <w:b w:val="0"/>
              </w:rPr>
              <w:t xml:space="preserve">sus </w:t>
            </w:r>
            <w:r w:rsidRPr="004E5542">
              <w:rPr>
                <w:rFonts w:ascii="Calibri Light" w:hAnsi="Calibri Light"/>
                <w:b w:val="0"/>
              </w:rPr>
              <w:t>familiares.</w:t>
            </w:r>
          </w:p>
          <w:p w14:paraId="0FE67043" w14:textId="77777777" w:rsidR="00B855C5" w:rsidRPr="004E5542" w:rsidRDefault="00B855C5">
            <w:pPr>
              <w:jc w:val="both"/>
              <w:rPr>
                <w:rFonts w:ascii="Calibri Light" w:hAnsi="Calibri Light"/>
              </w:rPr>
            </w:pPr>
          </w:p>
        </w:tc>
      </w:tr>
      <w:tr w:rsidR="00B855C5" w:rsidRPr="004E5542" w14:paraId="773310AE" w14:textId="77777777" w:rsidTr="00B855C5">
        <w:trPr>
          <w:trHeight w:val="560"/>
        </w:trPr>
        <w:tc>
          <w:tcPr>
            <w:cnfStyle w:val="001000000000" w:firstRow="0" w:lastRow="0" w:firstColumn="1" w:lastColumn="0" w:oddVBand="0" w:evenVBand="0" w:oddHBand="0" w:evenHBand="0" w:firstRowFirstColumn="0" w:firstRowLastColumn="0" w:lastRowFirstColumn="0" w:lastRowLastColumn="0"/>
            <w:tcW w:w="8504" w:type="dxa"/>
            <w:gridSpan w:val="4"/>
            <w:tcBorders>
              <w:top w:val="single" w:sz="4" w:space="0" w:color="9CC3E5"/>
              <w:left w:val="nil"/>
              <w:bottom w:val="single" w:sz="4" w:space="0" w:color="9CC3E5"/>
              <w:right w:val="nil"/>
            </w:tcBorders>
            <w:vAlign w:val="center"/>
          </w:tcPr>
          <w:p w14:paraId="7D49118C" w14:textId="77777777" w:rsidR="00B855C5" w:rsidRPr="004E5542" w:rsidRDefault="00AE246E">
            <w:pPr>
              <w:numPr>
                <w:ilvl w:val="0"/>
                <w:numId w:val="2"/>
              </w:numPr>
              <w:pBdr>
                <w:top w:val="nil"/>
                <w:left w:val="nil"/>
                <w:bottom w:val="nil"/>
                <w:right w:val="nil"/>
                <w:between w:val="nil"/>
              </w:pBdr>
              <w:contextualSpacing/>
              <w:jc w:val="center"/>
              <w:rPr>
                <w:rFonts w:ascii="Calibri Light" w:hAnsi="Calibri Light"/>
                <w:color w:val="000000"/>
              </w:rPr>
            </w:pPr>
            <w:r w:rsidRPr="004E5542">
              <w:rPr>
                <w:rFonts w:ascii="Calibri Light" w:hAnsi="Calibri Light"/>
                <w:color w:val="000000"/>
              </w:rPr>
              <w:lastRenderedPageBreak/>
              <w:t>Recomendaciones de la CIDH al Estado</w:t>
            </w:r>
          </w:p>
        </w:tc>
      </w:tr>
      <w:tr w:rsidR="00B855C5" w:rsidRPr="004E5542" w14:paraId="52303D92" w14:textId="77777777" w:rsidTr="004E5542">
        <w:trPr>
          <w:cnfStyle w:val="000000100000" w:firstRow="0" w:lastRow="0" w:firstColumn="0" w:lastColumn="0" w:oddVBand="0" w:evenVBand="0" w:oddHBand="1" w:evenHBand="0" w:firstRowFirstColumn="0" w:firstRowLastColumn="0" w:lastRowFirstColumn="0" w:lastRowLastColumn="0"/>
          <w:trHeight w:val="5359"/>
        </w:trPr>
        <w:tc>
          <w:tcPr>
            <w:cnfStyle w:val="001000000000" w:firstRow="0" w:lastRow="0" w:firstColumn="1" w:lastColumn="0" w:oddVBand="0" w:evenVBand="0" w:oddHBand="0" w:evenHBand="0" w:firstRowFirstColumn="0" w:firstRowLastColumn="0" w:lastRowFirstColumn="0" w:lastRowLastColumn="0"/>
            <w:tcW w:w="8504" w:type="dxa"/>
            <w:gridSpan w:val="4"/>
            <w:tcBorders>
              <w:top w:val="single" w:sz="4" w:space="0" w:color="9CC3E5"/>
              <w:left w:val="nil"/>
              <w:bottom w:val="single" w:sz="4" w:space="0" w:color="9CC3E5"/>
              <w:right w:val="nil"/>
            </w:tcBorders>
          </w:tcPr>
          <w:p w14:paraId="7D13E7E8" w14:textId="77777777" w:rsidR="00B855C5" w:rsidRPr="004E5542" w:rsidRDefault="00B855C5">
            <w:pPr>
              <w:pBdr>
                <w:top w:val="nil"/>
                <w:left w:val="nil"/>
                <w:bottom w:val="nil"/>
                <w:right w:val="nil"/>
                <w:between w:val="nil"/>
              </w:pBdr>
              <w:ind w:hanging="720"/>
              <w:jc w:val="both"/>
              <w:rPr>
                <w:rFonts w:ascii="Calibri Light" w:hAnsi="Calibri Light"/>
                <w:color w:val="000000"/>
              </w:rPr>
            </w:pPr>
          </w:p>
          <w:p w14:paraId="7FB4A37E" w14:textId="77777777" w:rsidR="00B855C5" w:rsidRPr="004E5542" w:rsidRDefault="00AE246E" w:rsidP="006E2E4D">
            <w:pPr>
              <w:numPr>
                <w:ilvl w:val="0"/>
                <w:numId w:val="1"/>
              </w:numPr>
              <w:pBdr>
                <w:top w:val="nil"/>
                <w:left w:val="nil"/>
                <w:bottom w:val="nil"/>
                <w:right w:val="nil"/>
                <w:between w:val="nil"/>
              </w:pBdr>
              <w:ind w:left="426"/>
              <w:contextualSpacing/>
              <w:jc w:val="both"/>
              <w:rPr>
                <w:rFonts w:ascii="Calibri Light" w:hAnsi="Calibri Light"/>
                <w:color w:val="000000"/>
              </w:rPr>
            </w:pPr>
            <w:r w:rsidRPr="004E5542">
              <w:rPr>
                <w:rFonts w:ascii="Calibri Light" w:hAnsi="Calibri Light"/>
                <w:b w:val="0"/>
                <w:color w:val="000000"/>
              </w:rPr>
              <w:t>Reparar integralmente las violaciones de derechos humanas declaradas en el informe de fondo. En ese sentido, se recomendó que el Estado adoptara medidas de compensación económica y satisfacción.</w:t>
            </w:r>
          </w:p>
          <w:p w14:paraId="4FF10E7C" w14:textId="77777777" w:rsidR="00B835DA" w:rsidRPr="004E5542" w:rsidRDefault="00B835DA" w:rsidP="006E2E4D">
            <w:pPr>
              <w:pBdr>
                <w:top w:val="nil"/>
                <w:left w:val="nil"/>
                <w:bottom w:val="nil"/>
                <w:right w:val="nil"/>
                <w:between w:val="nil"/>
              </w:pBdr>
              <w:ind w:left="426"/>
              <w:contextualSpacing/>
              <w:jc w:val="both"/>
              <w:rPr>
                <w:rFonts w:ascii="Calibri Light" w:hAnsi="Calibri Light"/>
                <w:color w:val="000000"/>
              </w:rPr>
            </w:pPr>
          </w:p>
          <w:p w14:paraId="6DC592AC" w14:textId="77777777" w:rsidR="00B855C5" w:rsidRPr="004E5542" w:rsidRDefault="00AE246E" w:rsidP="006E2E4D">
            <w:pPr>
              <w:numPr>
                <w:ilvl w:val="0"/>
                <w:numId w:val="1"/>
              </w:numPr>
              <w:pBdr>
                <w:top w:val="nil"/>
                <w:left w:val="nil"/>
                <w:bottom w:val="nil"/>
                <w:right w:val="nil"/>
                <w:between w:val="nil"/>
              </w:pBdr>
              <w:ind w:left="426"/>
              <w:contextualSpacing/>
              <w:jc w:val="both"/>
              <w:rPr>
                <w:rFonts w:ascii="Calibri Light" w:hAnsi="Calibri Light"/>
                <w:color w:val="000000"/>
              </w:rPr>
            </w:pPr>
            <w:r w:rsidRPr="004E5542">
              <w:rPr>
                <w:rFonts w:ascii="Calibri Light" w:hAnsi="Calibri Light"/>
                <w:b w:val="0"/>
                <w:color w:val="000000"/>
              </w:rPr>
              <w:t xml:space="preserve">Disponer las medidas de atención en salud física y mental que se requieran para </w:t>
            </w:r>
            <w:r w:rsidR="00111832" w:rsidRPr="004E5542">
              <w:rPr>
                <w:rFonts w:ascii="Calibri Light" w:hAnsi="Calibri Light"/>
                <w:b w:val="0"/>
                <w:color w:val="000000"/>
              </w:rPr>
              <w:t xml:space="preserve">los </w:t>
            </w:r>
            <w:r w:rsidRPr="004E5542">
              <w:rPr>
                <w:rFonts w:ascii="Calibri Light" w:hAnsi="Calibri Light"/>
                <w:b w:val="0"/>
                <w:color w:val="000000"/>
              </w:rPr>
              <w:t>señor</w:t>
            </w:r>
            <w:r w:rsidR="00111832" w:rsidRPr="004E5542">
              <w:rPr>
                <w:rFonts w:ascii="Calibri Light" w:hAnsi="Calibri Light"/>
                <w:b w:val="0"/>
                <w:color w:val="000000"/>
              </w:rPr>
              <w:t>es</w:t>
            </w:r>
            <w:r w:rsidRPr="004E5542">
              <w:rPr>
                <w:rFonts w:ascii="Calibri Light" w:hAnsi="Calibri Light"/>
                <w:b w:val="0"/>
                <w:color w:val="000000"/>
              </w:rPr>
              <w:t xml:space="preserve"> Arrom y Martí en caso ellos así lo deseen.</w:t>
            </w:r>
          </w:p>
          <w:p w14:paraId="4F98B257" w14:textId="77777777" w:rsidR="00B835DA" w:rsidRPr="004E5542" w:rsidRDefault="00B835DA" w:rsidP="006E2E4D">
            <w:pPr>
              <w:pBdr>
                <w:top w:val="nil"/>
                <w:left w:val="nil"/>
                <w:bottom w:val="nil"/>
                <w:right w:val="nil"/>
                <w:between w:val="nil"/>
              </w:pBdr>
              <w:ind w:left="426"/>
              <w:contextualSpacing/>
              <w:jc w:val="both"/>
              <w:rPr>
                <w:rFonts w:ascii="Calibri Light" w:hAnsi="Calibri Light"/>
                <w:color w:val="000000"/>
              </w:rPr>
            </w:pPr>
          </w:p>
          <w:p w14:paraId="2FFE9623" w14:textId="77777777" w:rsidR="00B855C5" w:rsidRPr="004E5542" w:rsidRDefault="00AE246E" w:rsidP="006E2E4D">
            <w:pPr>
              <w:numPr>
                <w:ilvl w:val="0"/>
                <w:numId w:val="1"/>
              </w:numPr>
              <w:pBdr>
                <w:top w:val="nil"/>
                <w:left w:val="nil"/>
                <w:bottom w:val="nil"/>
                <w:right w:val="nil"/>
                <w:between w:val="nil"/>
              </w:pBdr>
              <w:ind w:left="426"/>
              <w:contextualSpacing/>
              <w:jc w:val="both"/>
              <w:rPr>
                <w:rFonts w:ascii="Calibri Light" w:hAnsi="Calibri Light"/>
                <w:color w:val="000000"/>
              </w:rPr>
            </w:pPr>
            <w:r w:rsidRPr="004E5542">
              <w:rPr>
                <w:rFonts w:ascii="Calibri Light" w:hAnsi="Calibri Light"/>
                <w:b w:val="0"/>
                <w:color w:val="000000"/>
              </w:rPr>
              <w:t>Reabrir y completar la investigación sobre los hechos referidos en el caso cumpliendo los parámetros señalados en el informe. Asimismo, identificar las posibles responsabilidades e imponer las sanciones que correspondan.</w:t>
            </w:r>
          </w:p>
          <w:p w14:paraId="54D29115" w14:textId="77777777" w:rsidR="00B835DA" w:rsidRPr="004E5542" w:rsidRDefault="00B835DA" w:rsidP="006E2E4D">
            <w:pPr>
              <w:pBdr>
                <w:top w:val="nil"/>
                <w:left w:val="nil"/>
                <w:bottom w:val="nil"/>
                <w:right w:val="nil"/>
                <w:between w:val="nil"/>
              </w:pBdr>
              <w:ind w:left="426"/>
              <w:contextualSpacing/>
              <w:jc w:val="both"/>
              <w:rPr>
                <w:rFonts w:ascii="Calibri Light" w:hAnsi="Calibri Light"/>
                <w:color w:val="000000"/>
              </w:rPr>
            </w:pPr>
          </w:p>
          <w:p w14:paraId="2D14C0B3" w14:textId="77777777" w:rsidR="00B855C5" w:rsidRPr="004E5542" w:rsidRDefault="00AE246E" w:rsidP="00807158">
            <w:pPr>
              <w:numPr>
                <w:ilvl w:val="0"/>
                <w:numId w:val="1"/>
              </w:numPr>
              <w:pBdr>
                <w:top w:val="nil"/>
                <w:left w:val="nil"/>
                <w:bottom w:val="nil"/>
                <w:right w:val="nil"/>
                <w:between w:val="nil"/>
              </w:pBdr>
              <w:ind w:left="426"/>
              <w:contextualSpacing/>
              <w:jc w:val="both"/>
              <w:rPr>
                <w:rFonts w:ascii="Calibri Light" w:hAnsi="Calibri Light"/>
                <w:b w:val="0"/>
                <w:color w:val="000000"/>
              </w:rPr>
            </w:pPr>
            <w:r w:rsidRPr="004E5542">
              <w:rPr>
                <w:rFonts w:ascii="Calibri Light" w:hAnsi="Calibri Light"/>
                <w:b w:val="0"/>
                <w:color w:val="000000"/>
              </w:rPr>
              <w:t>Disponer mecanismos de no repetición que incluyan:</w:t>
            </w:r>
            <w:r w:rsidR="00970659" w:rsidRPr="004E5542">
              <w:rPr>
                <w:rFonts w:ascii="Calibri Light" w:hAnsi="Calibri Light"/>
                <w:b w:val="0"/>
                <w:color w:val="000000"/>
              </w:rPr>
              <w:t xml:space="preserve"> i) f</w:t>
            </w:r>
            <w:r w:rsidRPr="004E5542">
              <w:rPr>
                <w:rFonts w:ascii="Calibri Light" w:hAnsi="Calibri Light"/>
                <w:b w:val="0"/>
                <w:color w:val="000000"/>
              </w:rPr>
              <w:t>ortalecer la capacidad investigativa del Ministerio Público, de forma que se asegure el cumplimiento de los parámetros señalados en el informe de fondo, sobre todo ante casos de violación de derechos humanos</w:t>
            </w:r>
            <w:r w:rsidR="00970659" w:rsidRPr="004E5542">
              <w:rPr>
                <w:rFonts w:ascii="Calibri Light" w:hAnsi="Calibri Light"/>
                <w:b w:val="0"/>
                <w:color w:val="000000"/>
              </w:rPr>
              <w:t>; ii) a</w:t>
            </w:r>
            <w:r w:rsidRPr="004E5542">
              <w:rPr>
                <w:rFonts w:ascii="Calibri Light" w:hAnsi="Calibri Light"/>
                <w:b w:val="0"/>
                <w:color w:val="000000"/>
              </w:rPr>
              <w:t>doptar las medidas necesarias para que pueda ejercerse control judicial sobre las actuaciones del Ministerio Público que puedan llevar a cerrar investigaciones sobre violaciones de derechos humanos</w:t>
            </w:r>
            <w:r w:rsidR="00970659" w:rsidRPr="004E5542">
              <w:rPr>
                <w:rFonts w:ascii="Calibri Light" w:hAnsi="Calibri Light"/>
                <w:b w:val="0"/>
                <w:color w:val="000000"/>
              </w:rPr>
              <w:t>; y iii) a</w:t>
            </w:r>
            <w:r w:rsidRPr="004E5542">
              <w:rPr>
                <w:rFonts w:ascii="Calibri Light" w:hAnsi="Calibri Light"/>
                <w:b w:val="0"/>
                <w:color w:val="000000"/>
              </w:rPr>
              <w:t>doptar las medidas necesarias para que todas las autoridades involucradas en el desarrollo de las investigaciones y procesos penales respeten la presunción de inocencia.</w:t>
            </w:r>
          </w:p>
          <w:p w14:paraId="1031665A" w14:textId="77777777" w:rsidR="00B855C5" w:rsidRPr="004E5542" w:rsidRDefault="00B855C5">
            <w:pPr>
              <w:pBdr>
                <w:top w:val="nil"/>
                <w:left w:val="nil"/>
                <w:bottom w:val="nil"/>
                <w:right w:val="nil"/>
                <w:between w:val="nil"/>
              </w:pBdr>
              <w:ind w:left="720" w:hanging="720"/>
              <w:jc w:val="both"/>
              <w:rPr>
                <w:rFonts w:ascii="Calibri Light" w:hAnsi="Calibri Light"/>
                <w:color w:val="000000"/>
              </w:rPr>
            </w:pPr>
          </w:p>
        </w:tc>
      </w:tr>
      <w:tr w:rsidR="00B855C5" w:rsidRPr="004E5542" w14:paraId="483C8A4C" w14:textId="77777777" w:rsidTr="00B855C5">
        <w:trPr>
          <w:trHeight w:val="560"/>
        </w:trPr>
        <w:tc>
          <w:tcPr>
            <w:cnfStyle w:val="001000000000" w:firstRow="0" w:lastRow="0" w:firstColumn="1" w:lastColumn="0" w:oddVBand="0" w:evenVBand="0" w:oddHBand="0" w:evenHBand="0" w:firstRowFirstColumn="0" w:firstRowLastColumn="0" w:lastRowFirstColumn="0" w:lastRowLastColumn="0"/>
            <w:tcW w:w="8504" w:type="dxa"/>
            <w:gridSpan w:val="4"/>
            <w:tcBorders>
              <w:top w:val="single" w:sz="4" w:space="0" w:color="9CC3E5"/>
              <w:left w:val="nil"/>
              <w:bottom w:val="single" w:sz="4" w:space="0" w:color="9CC3E5"/>
              <w:right w:val="nil"/>
            </w:tcBorders>
            <w:vAlign w:val="bottom"/>
          </w:tcPr>
          <w:p w14:paraId="1FB6F0B1" w14:textId="77777777" w:rsidR="00B855C5" w:rsidRPr="004E5542" w:rsidRDefault="00AE246E">
            <w:pPr>
              <w:numPr>
                <w:ilvl w:val="0"/>
                <w:numId w:val="2"/>
              </w:numPr>
              <w:pBdr>
                <w:top w:val="nil"/>
                <w:left w:val="nil"/>
                <w:bottom w:val="nil"/>
                <w:right w:val="nil"/>
                <w:between w:val="nil"/>
              </w:pBdr>
              <w:spacing w:after="200" w:line="276" w:lineRule="auto"/>
              <w:contextualSpacing/>
              <w:jc w:val="center"/>
              <w:rPr>
                <w:rFonts w:ascii="Calibri Light" w:hAnsi="Calibri Light"/>
                <w:color w:val="000000"/>
              </w:rPr>
            </w:pPr>
            <w:r w:rsidRPr="004E5542">
              <w:rPr>
                <w:rFonts w:ascii="Calibri Light" w:hAnsi="Calibri Light"/>
                <w:color w:val="000000"/>
              </w:rPr>
              <w:lastRenderedPageBreak/>
              <w:t>Análisis de cumplimiento de las recomendaciones</w:t>
            </w:r>
          </w:p>
        </w:tc>
      </w:tr>
      <w:tr w:rsidR="00B855C5" w:rsidRPr="004E5542" w14:paraId="6942D94E" w14:textId="77777777" w:rsidTr="00B855C5">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504" w:type="dxa"/>
            <w:gridSpan w:val="4"/>
            <w:tcBorders>
              <w:top w:val="single" w:sz="4" w:space="0" w:color="9CC3E5"/>
              <w:left w:val="nil"/>
              <w:bottom w:val="single" w:sz="4" w:space="0" w:color="9CC3E5"/>
              <w:right w:val="nil"/>
            </w:tcBorders>
          </w:tcPr>
          <w:p w14:paraId="0C63BC7E" w14:textId="3B553515" w:rsidR="00B855C5" w:rsidRPr="004E5542" w:rsidRDefault="00AE246E" w:rsidP="00CA5BAF">
            <w:pPr>
              <w:pBdr>
                <w:top w:val="nil"/>
                <w:left w:val="nil"/>
                <w:bottom w:val="nil"/>
                <w:right w:val="nil"/>
                <w:between w:val="nil"/>
              </w:pBdr>
              <w:ind w:hanging="720"/>
              <w:jc w:val="center"/>
              <w:rPr>
                <w:rFonts w:ascii="Calibri Light" w:hAnsi="Calibri Light"/>
                <w:color w:val="000000"/>
              </w:rPr>
            </w:pPr>
            <w:r w:rsidRPr="004E5542">
              <w:rPr>
                <w:rFonts w:ascii="Calibri Light" w:hAnsi="Calibri Light"/>
                <w:b w:val="0"/>
                <w:color w:val="000000"/>
              </w:rPr>
              <w:t>-</w:t>
            </w:r>
          </w:p>
        </w:tc>
      </w:tr>
    </w:tbl>
    <w:p w14:paraId="449773A1" w14:textId="77777777" w:rsidR="00B855C5" w:rsidRPr="004E5542" w:rsidRDefault="00B855C5">
      <w:pPr>
        <w:rPr>
          <w:rFonts w:ascii="Calibri Light" w:hAnsi="Calibri Light"/>
        </w:rPr>
      </w:pPr>
    </w:p>
    <w:p w14:paraId="6E9C6C5B" w14:textId="77777777" w:rsidR="00B855C5" w:rsidRPr="004E5542" w:rsidRDefault="00B855C5">
      <w:pPr>
        <w:rPr>
          <w:rFonts w:ascii="Calibri Light" w:hAnsi="Calibri Light"/>
        </w:rPr>
      </w:pPr>
    </w:p>
    <w:sectPr w:rsidR="00B855C5" w:rsidRPr="004E5542">
      <w:footerReference w:type="even" r:id="rId17"/>
      <w:footerReference w:type="default" r:id="rId1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AF331" w14:textId="77777777" w:rsidR="00A31436" w:rsidRDefault="00A31436" w:rsidP="00807158">
      <w:pPr>
        <w:spacing w:after="0" w:line="240" w:lineRule="auto"/>
      </w:pPr>
      <w:r>
        <w:separator/>
      </w:r>
    </w:p>
  </w:endnote>
  <w:endnote w:type="continuationSeparator" w:id="0">
    <w:p w14:paraId="6548BACF" w14:textId="77777777" w:rsidR="00A31436" w:rsidRDefault="00A31436" w:rsidP="00807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CD5E" w14:textId="77777777" w:rsidR="00807158" w:rsidRDefault="00807158" w:rsidP="008071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126072" w14:textId="77777777" w:rsidR="00807158" w:rsidRDefault="00807158" w:rsidP="008071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39CFB" w14:textId="77777777" w:rsidR="00807158" w:rsidRPr="00807158" w:rsidRDefault="00807158" w:rsidP="00807158">
    <w:pPr>
      <w:pStyle w:val="Footer"/>
      <w:framePr w:wrap="around" w:vAnchor="text" w:hAnchor="margin" w:xAlign="right" w:y="1"/>
      <w:rPr>
        <w:rStyle w:val="PageNumber"/>
        <w:rFonts w:ascii="Calibri Light" w:hAnsi="Calibri Light"/>
      </w:rPr>
    </w:pPr>
    <w:r w:rsidRPr="00807158">
      <w:rPr>
        <w:rStyle w:val="PageNumber"/>
        <w:rFonts w:ascii="Calibri Light" w:hAnsi="Calibri Light"/>
      </w:rPr>
      <w:fldChar w:fldCharType="begin"/>
    </w:r>
    <w:r w:rsidRPr="00807158">
      <w:rPr>
        <w:rStyle w:val="PageNumber"/>
        <w:rFonts w:ascii="Calibri Light" w:hAnsi="Calibri Light"/>
      </w:rPr>
      <w:instrText xml:space="preserve">PAGE  </w:instrText>
    </w:r>
    <w:r w:rsidRPr="00807158">
      <w:rPr>
        <w:rStyle w:val="PageNumber"/>
        <w:rFonts w:ascii="Calibri Light" w:hAnsi="Calibri Light"/>
      </w:rPr>
      <w:fldChar w:fldCharType="separate"/>
    </w:r>
    <w:r w:rsidR="00D66C8E">
      <w:rPr>
        <w:rStyle w:val="PageNumber"/>
        <w:rFonts w:ascii="Calibri Light" w:hAnsi="Calibri Light"/>
        <w:noProof/>
      </w:rPr>
      <w:t>1</w:t>
    </w:r>
    <w:r w:rsidRPr="00807158">
      <w:rPr>
        <w:rStyle w:val="PageNumber"/>
        <w:rFonts w:ascii="Calibri Light" w:hAnsi="Calibri Light"/>
      </w:rPr>
      <w:fldChar w:fldCharType="end"/>
    </w:r>
  </w:p>
  <w:p w14:paraId="711A396C" w14:textId="77777777" w:rsidR="00807158" w:rsidRDefault="00807158" w:rsidP="008071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7F779" w14:textId="77777777" w:rsidR="00A31436" w:rsidRDefault="00A31436" w:rsidP="00807158">
      <w:pPr>
        <w:spacing w:after="0" w:line="240" w:lineRule="auto"/>
      </w:pPr>
      <w:r>
        <w:separator/>
      </w:r>
    </w:p>
  </w:footnote>
  <w:footnote w:type="continuationSeparator" w:id="0">
    <w:p w14:paraId="194EA708" w14:textId="77777777" w:rsidR="00A31436" w:rsidRDefault="00A31436" w:rsidP="00807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76C2F"/>
    <w:multiLevelType w:val="multilevel"/>
    <w:tmpl w:val="159660B0"/>
    <w:lvl w:ilvl="0">
      <w:start w:val="1"/>
      <w:numFmt w:val="decimal"/>
      <w:lvlText w:val="%1."/>
      <w:lvlJc w:val="left"/>
      <w:pPr>
        <w:ind w:left="360" w:hanging="360"/>
      </w:pPr>
      <w:rPr>
        <w:rFonts w:ascii="Calibri Light" w:eastAsia="Calibri" w:hAnsi="Calibri Light" w:cs="Calibri"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83A299E"/>
    <w:multiLevelType w:val="multilevel"/>
    <w:tmpl w:val="A470CCA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322"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B94A55"/>
    <w:multiLevelType w:val="multilevel"/>
    <w:tmpl w:val="AB6E31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6A02B84"/>
    <w:multiLevelType w:val="hybridMultilevel"/>
    <w:tmpl w:val="637054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4C7D0FAE"/>
    <w:multiLevelType w:val="multilevel"/>
    <w:tmpl w:val="A470CCA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3655863"/>
    <w:multiLevelType w:val="multilevel"/>
    <w:tmpl w:val="08005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855C5"/>
    <w:rsid w:val="00012C4B"/>
    <w:rsid w:val="00034853"/>
    <w:rsid w:val="00076295"/>
    <w:rsid w:val="00111832"/>
    <w:rsid w:val="00120FC3"/>
    <w:rsid w:val="001D367C"/>
    <w:rsid w:val="001D6CFA"/>
    <w:rsid w:val="001D7F6F"/>
    <w:rsid w:val="002255C3"/>
    <w:rsid w:val="00287753"/>
    <w:rsid w:val="003B6BE1"/>
    <w:rsid w:val="00417CFC"/>
    <w:rsid w:val="00427EB9"/>
    <w:rsid w:val="00453CE0"/>
    <w:rsid w:val="004E5542"/>
    <w:rsid w:val="005343F6"/>
    <w:rsid w:val="005C5CA5"/>
    <w:rsid w:val="00607C8B"/>
    <w:rsid w:val="00610078"/>
    <w:rsid w:val="00680B0A"/>
    <w:rsid w:val="0069313E"/>
    <w:rsid w:val="006A4AF3"/>
    <w:rsid w:val="006A4C3C"/>
    <w:rsid w:val="006C5858"/>
    <w:rsid w:val="006D5518"/>
    <w:rsid w:val="006E2E4D"/>
    <w:rsid w:val="00723522"/>
    <w:rsid w:val="007503A1"/>
    <w:rsid w:val="00784F98"/>
    <w:rsid w:val="007C76B5"/>
    <w:rsid w:val="007E7EDA"/>
    <w:rsid w:val="00807158"/>
    <w:rsid w:val="008A00BE"/>
    <w:rsid w:val="008B0B42"/>
    <w:rsid w:val="00970659"/>
    <w:rsid w:val="009C75FC"/>
    <w:rsid w:val="009F670F"/>
    <w:rsid w:val="00A31436"/>
    <w:rsid w:val="00A7082C"/>
    <w:rsid w:val="00AE246E"/>
    <w:rsid w:val="00B16A1F"/>
    <w:rsid w:val="00B65A4E"/>
    <w:rsid w:val="00B835DA"/>
    <w:rsid w:val="00B855C5"/>
    <w:rsid w:val="00BC0A6C"/>
    <w:rsid w:val="00C50457"/>
    <w:rsid w:val="00C8245A"/>
    <w:rsid w:val="00CA5BAF"/>
    <w:rsid w:val="00CE66DE"/>
    <w:rsid w:val="00CE772C"/>
    <w:rsid w:val="00D42CF9"/>
    <w:rsid w:val="00D50AFD"/>
    <w:rsid w:val="00D66C8E"/>
    <w:rsid w:val="00DB294F"/>
    <w:rsid w:val="00E46528"/>
    <w:rsid w:val="00E514AD"/>
    <w:rsid w:val="00E51DED"/>
    <w:rsid w:val="00F20762"/>
    <w:rsid w:val="00F34DE5"/>
    <w:rsid w:val="00FE7935"/>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4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P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paragraph" w:styleId="BalloonText">
    <w:name w:val="Balloon Text"/>
    <w:basedOn w:val="Normal"/>
    <w:link w:val="BalloonTextChar"/>
    <w:uiPriority w:val="99"/>
    <w:semiHidden/>
    <w:unhideWhenUsed/>
    <w:rsid w:val="00B83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5DA"/>
    <w:rPr>
      <w:rFonts w:ascii="Tahoma" w:hAnsi="Tahoma" w:cs="Tahoma"/>
      <w:sz w:val="16"/>
      <w:szCs w:val="16"/>
    </w:rPr>
  </w:style>
  <w:style w:type="character" w:styleId="CommentReference">
    <w:name w:val="annotation reference"/>
    <w:basedOn w:val="DefaultParagraphFont"/>
    <w:uiPriority w:val="99"/>
    <w:semiHidden/>
    <w:unhideWhenUsed/>
    <w:rsid w:val="007E7EDA"/>
    <w:rPr>
      <w:sz w:val="16"/>
      <w:szCs w:val="16"/>
    </w:rPr>
  </w:style>
  <w:style w:type="paragraph" w:styleId="CommentText">
    <w:name w:val="annotation text"/>
    <w:basedOn w:val="Normal"/>
    <w:link w:val="CommentTextChar"/>
    <w:uiPriority w:val="99"/>
    <w:semiHidden/>
    <w:unhideWhenUsed/>
    <w:rsid w:val="007E7EDA"/>
    <w:pPr>
      <w:spacing w:line="240" w:lineRule="auto"/>
    </w:pPr>
    <w:rPr>
      <w:sz w:val="20"/>
      <w:szCs w:val="20"/>
    </w:rPr>
  </w:style>
  <w:style w:type="character" w:customStyle="1" w:styleId="CommentTextChar">
    <w:name w:val="Comment Text Char"/>
    <w:basedOn w:val="DefaultParagraphFont"/>
    <w:link w:val="CommentText"/>
    <w:uiPriority w:val="99"/>
    <w:semiHidden/>
    <w:rsid w:val="007E7EDA"/>
    <w:rPr>
      <w:sz w:val="20"/>
      <w:szCs w:val="20"/>
    </w:rPr>
  </w:style>
  <w:style w:type="paragraph" w:styleId="CommentSubject">
    <w:name w:val="annotation subject"/>
    <w:basedOn w:val="CommentText"/>
    <w:next w:val="CommentText"/>
    <w:link w:val="CommentSubjectChar"/>
    <w:uiPriority w:val="99"/>
    <w:semiHidden/>
    <w:unhideWhenUsed/>
    <w:rsid w:val="007E7EDA"/>
    <w:rPr>
      <w:b/>
      <w:bCs/>
    </w:rPr>
  </w:style>
  <w:style w:type="character" w:customStyle="1" w:styleId="CommentSubjectChar">
    <w:name w:val="Comment Subject Char"/>
    <w:basedOn w:val="CommentTextChar"/>
    <w:link w:val="CommentSubject"/>
    <w:uiPriority w:val="99"/>
    <w:semiHidden/>
    <w:rsid w:val="007E7EDA"/>
    <w:rPr>
      <w:b/>
      <w:bCs/>
      <w:sz w:val="20"/>
      <w:szCs w:val="20"/>
    </w:rPr>
  </w:style>
  <w:style w:type="paragraph" w:styleId="ListParagraph">
    <w:name w:val="List Paragraph"/>
    <w:basedOn w:val="Normal"/>
    <w:uiPriority w:val="34"/>
    <w:qFormat/>
    <w:rsid w:val="00AE246E"/>
    <w:pPr>
      <w:ind w:left="720"/>
      <w:contextualSpacing/>
    </w:pPr>
  </w:style>
  <w:style w:type="paragraph" w:styleId="Revision">
    <w:name w:val="Revision"/>
    <w:hidden/>
    <w:uiPriority w:val="99"/>
    <w:semiHidden/>
    <w:rsid w:val="00C8245A"/>
    <w:pPr>
      <w:spacing w:after="0" w:line="240" w:lineRule="auto"/>
    </w:pPr>
  </w:style>
  <w:style w:type="paragraph" w:styleId="Footer">
    <w:name w:val="footer"/>
    <w:basedOn w:val="Normal"/>
    <w:link w:val="FooterChar"/>
    <w:uiPriority w:val="99"/>
    <w:unhideWhenUsed/>
    <w:rsid w:val="00807158"/>
    <w:pPr>
      <w:tabs>
        <w:tab w:val="center" w:pos="4252"/>
        <w:tab w:val="right" w:pos="8504"/>
      </w:tabs>
      <w:spacing w:after="0" w:line="240" w:lineRule="auto"/>
    </w:pPr>
  </w:style>
  <w:style w:type="character" w:customStyle="1" w:styleId="FooterChar">
    <w:name w:val="Footer Char"/>
    <w:basedOn w:val="DefaultParagraphFont"/>
    <w:link w:val="Footer"/>
    <w:uiPriority w:val="99"/>
    <w:rsid w:val="00807158"/>
  </w:style>
  <w:style w:type="character" w:styleId="PageNumber">
    <w:name w:val="page number"/>
    <w:basedOn w:val="DefaultParagraphFont"/>
    <w:uiPriority w:val="99"/>
    <w:semiHidden/>
    <w:unhideWhenUsed/>
    <w:rsid w:val="00807158"/>
  </w:style>
  <w:style w:type="paragraph" w:styleId="Header">
    <w:name w:val="header"/>
    <w:basedOn w:val="Normal"/>
    <w:link w:val="HeaderChar"/>
    <w:uiPriority w:val="99"/>
    <w:unhideWhenUsed/>
    <w:rsid w:val="00807158"/>
    <w:pPr>
      <w:tabs>
        <w:tab w:val="center" w:pos="4252"/>
        <w:tab w:val="right" w:pos="8504"/>
      </w:tabs>
      <w:spacing w:after="0" w:line="240" w:lineRule="auto"/>
    </w:pPr>
  </w:style>
  <w:style w:type="character" w:customStyle="1" w:styleId="HeaderChar">
    <w:name w:val="Header Char"/>
    <w:basedOn w:val="DefaultParagraphFont"/>
    <w:link w:val="Header"/>
    <w:uiPriority w:val="99"/>
    <w:rsid w:val="00807158"/>
  </w:style>
  <w:style w:type="character" w:styleId="Hyperlink">
    <w:name w:val="Hyperlink"/>
    <w:basedOn w:val="DefaultParagraphFont"/>
    <w:uiPriority w:val="99"/>
    <w:unhideWhenUsed/>
    <w:rsid w:val="007C76B5"/>
    <w:rPr>
      <w:color w:val="0000FF" w:themeColor="hyperlink"/>
      <w:u w:val="single"/>
    </w:rPr>
  </w:style>
  <w:style w:type="character" w:styleId="UnresolvedMention">
    <w:name w:val="Unresolved Mention"/>
    <w:basedOn w:val="DefaultParagraphFont"/>
    <w:uiPriority w:val="99"/>
    <w:semiHidden/>
    <w:unhideWhenUsed/>
    <w:rsid w:val="007C7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dh.oas.org/annualrep/2008sp/Paraguay04-03.sp.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corte/2017/12685FondoE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orteidh.or.cr/docs/casos/articulos/seriec_377_esp.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corteidh.or.cr/docs/medidas/arrom_se_02.pdf"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hyperlink" Target="https://www.corteidh.or.cr/docs/medidas/arrom_se_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25B6C-17D0-4A98-B20E-766B3E263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3697</Words>
  <Characters>21075</Characters>
  <Application>Microsoft Office Word</Application>
  <DocSecurity>0</DocSecurity>
  <Lines>175</Lines>
  <Paragraphs>49</Paragraphs>
  <ScaleCrop>false</ScaleCrop>
  <Company/>
  <LinksUpToDate>false</LinksUpToDate>
  <CharactersWithSpaces>24723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2021-02-11T09:47:00Z</dcterms:created>
  <dcterms:modified xsi:type="dcterms:W3CDTF">2021-02-11T09:47:00Z</dcterms:modified>
</cp:coreProperties>
</file>