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A080" w14:textId="77777777" w:rsidR="004B6E36" w:rsidRDefault="004B6E36" w:rsidP="004B6E36">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36A86C2" wp14:editId="28C0650B">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7F1230C" wp14:editId="78DA6B3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E4FC72A" wp14:editId="05987A4A">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FC3706" w14:textId="77777777" w:rsidR="004B6E36" w:rsidRPr="00411A74" w:rsidRDefault="004B6E36" w:rsidP="004B6E36">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AD7C9EE" w14:textId="77777777" w:rsidR="004B6E36" w:rsidRDefault="004B6E36" w:rsidP="004B6E36">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03A49D12" w14:textId="77777777" w:rsidR="00C3765A" w:rsidRPr="00923EFF" w:rsidRDefault="00C3765A" w:rsidP="00BB61C6">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30"/>
        <w:gridCol w:w="2613"/>
      </w:tblGrid>
      <w:tr w:rsidR="005173CF" w:rsidRPr="00923EFF" w14:paraId="01A2F61A" w14:textId="77777777" w:rsidTr="00C3765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923EFF" w:rsidRDefault="00AC6F31" w:rsidP="00AC6F31">
            <w:pPr>
              <w:pStyle w:val="ListParagraph"/>
              <w:rPr>
                <w:rFonts w:ascii="Calibri Light" w:hAnsi="Calibri Light"/>
              </w:rPr>
            </w:pPr>
          </w:p>
          <w:p w14:paraId="160CE2AC" w14:textId="77777777" w:rsidR="00212F62" w:rsidRPr="00923EFF" w:rsidRDefault="007A6C56" w:rsidP="00AC6F31">
            <w:pPr>
              <w:pStyle w:val="ListParagraph"/>
              <w:numPr>
                <w:ilvl w:val="0"/>
                <w:numId w:val="2"/>
              </w:numPr>
              <w:jc w:val="center"/>
              <w:rPr>
                <w:rFonts w:ascii="Calibri Light" w:hAnsi="Calibri Light"/>
              </w:rPr>
            </w:pPr>
            <w:r w:rsidRPr="00923EFF">
              <w:rPr>
                <w:rFonts w:ascii="Calibri Light" w:hAnsi="Calibri Light"/>
              </w:rPr>
              <w:t>Datos generales</w:t>
            </w:r>
          </w:p>
          <w:p w14:paraId="6C5B323B" w14:textId="6BA3A748" w:rsidR="00AC6F31" w:rsidRPr="00923EFF" w:rsidRDefault="00AC6F31" w:rsidP="00AC6F31">
            <w:pPr>
              <w:pStyle w:val="ListParagraph"/>
              <w:rPr>
                <w:rFonts w:ascii="Calibri Light" w:hAnsi="Calibri Light"/>
              </w:rPr>
            </w:pPr>
          </w:p>
        </w:tc>
      </w:tr>
      <w:tr w:rsidR="004533E5" w:rsidRPr="00923EFF" w14:paraId="275AD1EA" w14:textId="77777777" w:rsidTr="00C3765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923EFF" w:rsidRDefault="007A6C56" w:rsidP="00A65231">
            <w:pPr>
              <w:pStyle w:val="ListParagraph"/>
              <w:numPr>
                <w:ilvl w:val="0"/>
                <w:numId w:val="3"/>
              </w:numPr>
              <w:rPr>
                <w:rFonts w:ascii="Calibri Light" w:hAnsi="Calibri Light"/>
              </w:rPr>
            </w:pPr>
            <w:r w:rsidRPr="00923EFF">
              <w:rPr>
                <w:rFonts w:ascii="Calibri Light" w:hAnsi="Calibri Light"/>
              </w:rPr>
              <w:t>Nombre del caso</w:t>
            </w:r>
          </w:p>
        </w:tc>
        <w:tc>
          <w:tcPr>
            <w:tcW w:w="5043" w:type="dxa"/>
            <w:gridSpan w:val="2"/>
          </w:tcPr>
          <w:p w14:paraId="084A5991" w14:textId="09C1DF48" w:rsidR="005173CF" w:rsidRPr="00923EFF" w:rsidRDefault="00A719A1" w:rsidP="00A719A1">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23EFF">
              <w:rPr>
                <w:rFonts w:ascii="Calibri Light" w:hAnsi="Calibri Light"/>
              </w:rPr>
              <w:t>Jorge Rosadi</w:t>
            </w:r>
            <w:r w:rsidR="00902C92" w:rsidRPr="00923EFF">
              <w:rPr>
                <w:rFonts w:ascii="Calibri Light" w:hAnsi="Calibri Light"/>
              </w:rPr>
              <w:t xml:space="preserve">o Villavicencio, </w:t>
            </w:r>
            <w:r w:rsidR="00076EBC" w:rsidRPr="00923EFF">
              <w:rPr>
                <w:rFonts w:ascii="Calibri Light" w:hAnsi="Calibri Light"/>
              </w:rPr>
              <w:t xml:space="preserve"> </w:t>
            </w:r>
            <w:r w:rsidRPr="00923EFF">
              <w:rPr>
                <w:rFonts w:ascii="Calibri Light" w:hAnsi="Calibri Light"/>
              </w:rPr>
              <w:t>Perú</w:t>
            </w:r>
          </w:p>
        </w:tc>
      </w:tr>
      <w:tr w:rsidR="00F464EC" w:rsidRPr="00923EFF" w14:paraId="59A6A8A1" w14:textId="77777777" w:rsidTr="00C3765A">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19A62CC8" w:rsidR="00F464EC" w:rsidRPr="00923EFF" w:rsidRDefault="00B93E21" w:rsidP="00B93E21">
            <w:pPr>
              <w:pStyle w:val="ListParagraph"/>
              <w:numPr>
                <w:ilvl w:val="0"/>
                <w:numId w:val="3"/>
              </w:numPr>
              <w:rPr>
                <w:rFonts w:ascii="Calibri Light" w:hAnsi="Calibri Light"/>
              </w:rPr>
            </w:pPr>
            <w:r w:rsidRPr="00923EFF">
              <w:rPr>
                <w:rFonts w:ascii="Calibri Light" w:hAnsi="Calibri Light"/>
              </w:rPr>
              <w:t>Parte peticionaria</w:t>
            </w:r>
          </w:p>
        </w:tc>
        <w:tc>
          <w:tcPr>
            <w:tcW w:w="5043" w:type="dxa"/>
            <w:gridSpan w:val="2"/>
          </w:tcPr>
          <w:p w14:paraId="374B2A68" w14:textId="7888CBE1" w:rsidR="00F464EC" w:rsidRPr="00923EFF" w:rsidRDefault="00A719A1" w:rsidP="00A719A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EFF">
              <w:rPr>
                <w:rFonts w:ascii="Calibri Light" w:hAnsi="Calibri Light"/>
              </w:rPr>
              <w:t>Amelia Villavicencio de Rosadio</w:t>
            </w:r>
            <w:r w:rsidR="00F857CE" w:rsidRPr="00923EFF">
              <w:rPr>
                <w:rFonts w:ascii="Calibri Light" w:hAnsi="Calibri Light"/>
              </w:rPr>
              <w:t>, Carlos</w:t>
            </w:r>
            <w:r w:rsidR="00D1375C" w:rsidRPr="00923EFF">
              <w:rPr>
                <w:rFonts w:ascii="Calibri Light" w:hAnsi="Calibri Light"/>
              </w:rPr>
              <w:t xml:space="preserve"> Alfonso Rosadio Villavicencio,</w:t>
            </w:r>
            <w:r w:rsidR="00F857CE" w:rsidRPr="00923EFF">
              <w:rPr>
                <w:rFonts w:ascii="Calibri Light" w:hAnsi="Calibri Light"/>
              </w:rPr>
              <w:t xml:space="preserve"> César Villacorta Spinner</w:t>
            </w:r>
            <w:r w:rsidR="00D1375C" w:rsidRPr="00923EFF">
              <w:rPr>
                <w:rFonts w:ascii="Calibri Light" w:hAnsi="Calibri Light"/>
              </w:rPr>
              <w:t>, Carolina Loayza Tamayo</w:t>
            </w:r>
          </w:p>
        </w:tc>
      </w:tr>
      <w:tr w:rsidR="005173CF" w:rsidRPr="00923EFF" w14:paraId="3A483B4F" w14:textId="77777777" w:rsidTr="00C3765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923EFF" w:rsidRDefault="007A6C56" w:rsidP="00A65231">
            <w:pPr>
              <w:pStyle w:val="ListParagraph"/>
              <w:numPr>
                <w:ilvl w:val="0"/>
                <w:numId w:val="3"/>
              </w:numPr>
              <w:rPr>
                <w:rFonts w:ascii="Calibri Light" w:hAnsi="Calibri Light"/>
              </w:rPr>
            </w:pPr>
            <w:r w:rsidRPr="00923EFF">
              <w:rPr>
                <w:rFonts w:ascii="Calibri Light" w:hAnsi="Calibri Light"/>
              </w:rPr>
              <w:t xml:space="preserve">Número de Informe </w:t>
            </w:r>
          </w:p>
        </w:tc>
        <w:tc>
          <w:tcPr>
            <w:tcW w:w="5043" w:type="dxa"/>
            <w:gridSpan w:val="2"/>
          </w:tcPr>
          <w:p w14:paraId="77740DF4" w14:textId="603D33AC" w:rsidR="005173CF" w:rsidRPr="00923EFF" w:rsidRDefault="00A05D80" w:rsidP="0032141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A719A1" w:rsidRPr="00923EFF">
                <w:rPr>
                  <w:rStyle w:val="Hyperlink"/>
                  <w:rFonts w:ascii="Calibri Light" w:hAnsi="Calibri Light"/>
                </w:rPr>
                <w:t>Informe No. 42/17</w:t>
              </w:r>
            </w:hyperlink>
          </w:p>
        </w:tc>
      </w:tr>
      <w:tr w:rsidR="004533E5" w:rsidRPr="00923EFF" w14:paraId="5EC10F5F" w14:textId="77777777" w:rsidTr="00C3765A">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923EFF" w:rsidRDefault="00954E20" w:rsidP="00954E20">
            <w:pPr>
              <w:pStyle w:val="ListParagraph"/>
              <w:numPr>
                <w:ilvl w:val="0"/>
                <w:numId w:val="3"/>
              </w:numPr>
              <w:rPr>
                <w:rFonts w:ascii="Calibri Light" w:hAnsi="Calibri Light"/>
              </w:rPr>
            </w:pPr>
            <w:r w:rsidRPr="00923EFF">
              <w:rPr>
                <w:rFonts w:ascii="Calibri Light" w:hAnsi="Calibri Light"/>
              </w:rPr>
              <w:t xml:space="preserve">Tipo de informe </w:t>
            </w:r>
          </w:p>
        </w:tc>
        <w:tc>
          <w:tcPr>
            <w:tcW w:w="5043" w:type="dxa"/>
            <w:gridSpan w:val="2"/>
          </w:tcPr>
          <w:p w14:paraId="35E9A08D" w14:textId="7732220E" w:rsidR="005173CF" w:rsidRPr="00923EFF" w:rsidRDefault="0032141E" w:rsidP="00A73F2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EFF">
              <w:rPr>
                <w:rFonts w:ascii="Calibri Light" w:hAnsi="Calibri Light"/>
              </w:rPr>
              <w:t>Informe de Fondo (</w:t>
            </w:r>
            <w:r w:rsidR="00A73F2F" w:rsidRPr="00923EFF">
              <w:rPr>
                <w:rFonts w:ascii="Calibri Light" w:hAnsi="Calibri Light"/>
              </w:rPr>
              <w:t>Caso en la Corte IDH</w:t>
            </w:r>
            <w:r w:rsidRPr="00923EFF">
              <w:rPr>
                <w:rFonts w:ascii="Calibri Light" w:hAnsi="Calibri Light"/>
              </w:rPr>
              <w:t>)</w:t>
            </w:r>
          </w:p>
        </w:tc>
      </w:tr>
      <w:tr w:rsidR="005173CF" w:rsidRPr="00923EFF" w14:paraId="7ED5AB61" w14:textId="77777777" w:rsidTr="00C3765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923EFF" w:rsidRDefault="00954E20" w:rsidP="00A65231">
            <w:pPr>
              <w:pStyle w:val="ListParagraph"/>
              <w:numPr>
                <w:ilvl w:val="0"/>
                <w:numId w:val="3"/>
              </w:numPr>
              <w:rPr>
                <w:rFonts w:ascii="Calibri Light" w:hAnsi="Calibri Light"/>
              </w:rPr>
            </w:pPr>
            <w:r w:rsidRPr="00923EFF">
              <w:rPr>
                <w:rFonts w:ascii="Calibri Light" w:hAnsi="Calibri Light"/>
              </w:rPr>
              <w:t>Fecha</w:t>
            </w:r>
            <w:r w:rsidR="007A6C56" w:rsidRPr="00923EFF">
              <w:rPr>
                <w:rFonts w:ascii="Calibri Light" w:hAnsi="Calibri Light"/>
              </w:rPr>
              <w:t xml:space="preserve"> </w:t>
            </w:r>
          </w:p>
        </w:tc>
        <w:tc>
          <w:tcPr>
            <w:tcW w:w="5043" w:type="dxa"/>
            <w:gridSpan w:val="2"/>
          </w:tcPr>
          <w:p w14:paraId="1C803DF5" w14:textId="23D9E437" w:rsidR="005173CF" w:rsidRPr="00923EFF" w:rsidRDefault="007B1764" w:rsidP="007B176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23EFF">
              <w:rPr>
                <w:rFonts w:ascii="Calibri Light" w:hAnsi="Calibri Light"/>
              </w:rPr>
              <w:t>23</w:t>
            </w:r>
            <w:r w:rsidR="0032141E" w:rsidRPr="00923EFF">
              <w:rPr>
                <w:rFonts w:ascii="Calibri Light" w:hAnsi="Calibri Light"/>
              </w:rPr>
              <w:t xml:space="preserve"> de </w:t>
            </w:r>
            <w:r w:rsidRPr="00923EFF">
              <w:rPr>
                <w:rFonts w:ascii="Calibri Light" w:hAnsi="Calibri Light"/>
              </w:rPr>
              <w:t>mayo</w:t>
            </w:r>
            <w:r w:rsidR="0032141E" w:rsidRPr="00923EFF">
              <w:rPr>
                <w:rFonts w:ascii="Calibri Light" w:hAnsi="Calibri Light"/>
              </w:rPr>
              <w:t xml:space="preserve"> de 2017</w:t>
            </w:r>
            <w:r w:rsidR="00954E20" w:rsidRPr="00923EFF">
              <w:rPr>
                <w:rFonts w:ascii="Calibri Light" w:hAnsi="Calibri Light"/>
              </w:rPr>
              <w:t xml:space="preserve"> </w:t>
            </w:r>
          </w:p>
        </w:tc>
      </w:tr>
      <w:tr w:rsidR="004533E5" w:rsidRPr="00923EFF" w14:paraId="1A0D058F" w14:textId="77777777" w:rsidTr="00F1681A">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923EFF" w:rsidRDefault="00BB61C6" w:rsidP="00A65231">
            <w:pPr>
              <w:pStyle w:val="ListParagraph"/>
              <w:numPr>
                <w:ilvl w:val="0"/>
                <w:numId w:val="3"/>
              </w:numPr>
              <w:rPr>
                <w:rFonts w:ascii="Calibri Light" w:hAnsi="Calibri Light"/>
              </w:rPr>
            </w:pPr>
            <w:r w:rsidRPr="00923EFF">
              <w:rPr>
                <w:rFonts w:ascii="Calibri Light" w:hAnsi="Calibri Light"/>
              </w:rPr>
              <w:t>Decisiones de la CIDH</w:t>
            </w:r>
            <w:r w:rsidR="007A6C56" w:rsidRPr="00923EFF">
              <w:rPr>
                <w:rFonts w:ascii="Calibri Light" w:hAnsi="Calibri Light"/>
              </w:rPr>
              <w:t xml:space="preserve"> </w:t>
            </w:r>
            <w:r w:rsidR="00DD3C7C" w:rsidRPr="00923EFF">
              <w:rPr>
                <w:rFonts w:ascii="Calibri Light" w:hAnsi="Calibri Light"/>
              </w:rPr>
              <w:t xml:space="preserve">y/o la Corte IDH, </w:t>
            </w:r>
            <w:r w:rsidR="007A6C56" w:rsidRPr="00923EFF">
              <w:rPr>
                <w:rFonts w:ascii="Calibri Light" w:hAnsi="Calibri Light"/>
              </w:rPr>
              <w:t>relacionadas</w:t>
            </w:r>
          </w:p>
        </w:tc>
        <w:tc>
          <w:tcPr>
            <w:tcW w:w="5043" w:type="dxa"/>
            <w:gridSpan w:val="2"/>
            <w:vAlign w:val="center"/>
          </w:tcPr>
          <w:p w14:paraId="77409C91" w14:textId="392BCCB5" w:rsidR="00A73F2F" w:rsidRDefault="00A73F2F" w:rsidP="00F1681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EFF">
              <w:rPr>
                <w:rFonts w:ascii="Calibri Light" w:hAnsi="Calibri Light"/>
              </w:rPr>
              <w:t>Informe No.</w:t>
            </w:r>
            <w:r w:rsidR="004B6E36">
              <w:rPr>
                <w:rFonts w:ascii="Calibri Light" w:hAnsi="Calibri Light"/>
              </w:rPr>
              <w:t xml:space="preserve"> </w:t>
            </w:r>
            <w:r w:rsidR="007B1764" w:rsidRPr="00923EFF">
              <w:rPr>
                <w:rFonts w:ascii="Calibri Light" w:hAnsi="Calibri Light"/>
              </w:rPr>
              <w:t>13</w:t>
            </w:r>
            <w:r w:rsidRPr="00923EFF">
              <w:rPr>
                <w:rFonts w:ascii="Calibri Light" w:hAnsi="Calibri Light"/>
              </w:rPr>
              <w:t>/0</w:t>
            </w:r>
            <w:r w:rsidR="007B1764" w:rsidRPr="00923EFF">
              <w:rPr>
                <w:rFonts w:ascii="Calibri Light" w:hAnsi="Calibri Light"/>
              </w:rPr>
              <w:t>3</w:t>
            </w:r>
            <w:r w:rsidR="00C3765A" w:rsidRPr="00923EFF">
              <w:rPr>
                <w:rFonts w:ascii="Calibri Light" w:hAnsi="Calibri Light"/>
              </w:rPr>
              <w:t xml:space="preserve"> (</w:t>
            </w:r>
            <w:hyperlink r:id="rId13" w:history="1">
              <w:r w:rsidR="00C3765A" w:rsidRPr="00923EFF">
                <w:rPr>
                  <w:rStyle w:val="Hyperlink"/>
                  <w:rFonts w:ascii="Calibri Light" w:hAnsi="Calibri Light"/>
                </w:rPr>
                <w:t>Admisibilidad</w:t>
              </w:r>
            </w:hyperlink>
            <w:r w:rsidR="00C3765A" w:rsidRPr="00923EFF">
              <w:rPr>
                <w:rFonts w:ascii="Calibri Light" w:hAnsi="Calibri Light"/>
              </w:rPr>
              <w:t xml:space="preserve">) </w:t>
            </w:r>
          </w:p>
          <w:p w14:paraId="72EA1AA4" w14:textId="13CCF6FC" w:rsidR="004B6E36" w:rsidRPr="00923EFF" w:rsidRDefault="004B6E36" w:rsidP="004B6E3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Rosadio Villavicencio vs. Perú (</w:t>
            </w:r>
            <w:hyperlink r:id="rId14" w:history="1">
              <w:r w:rsidRPr="004B6E36">
                <w:rPr>
                  <w:rStyle w:val="Hyperlink"/>
                  <w:rFonts w:ascii="Calibri Light" w:hAnsi="Calibri Light"/>
                </w:rPr>
                <w:t>Sentencia de 14 de octubre de 2019</w:t>
              </w:r>
            </w:hyperlink>
            <w:r>
              <w:rPr>
                <w:rFonts w:ascii="Calibri Light" w:hAnsi="Calibri Light"/>
              </w:rPr>
              <w:t>)</w:t>
            </w:r>
          </w:p>
        </w:tc>
      </w:tr>
      <w:tr w:rsidR="00C3765A" w:rsidRPr="00923EFF" w14:paraId="570485B4" w14:textId="77777777" w:rsidTr="00C3765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C3765A" w:rsidRPr="00923EFF" w:rsidRDefault="00C3765A" w:rsidP="00A65231">
            <w:pPr>
              <w:pStyle w:val="ListParagraph"/>
              <w:numPr>
                <w:ilvl w:val="0"/>
                <w:numId w:val="3"/>
              </w:numPr>
              <w:rPr>
                <w:rFonts w:ascii="Calibri Light" w:hAnsi="Calibri Light"/>
              </w:rPr>
            </w:pPr>
            <w:r w:rsidRPr="00923EFF">
              <w:rPr>
                <w:rFonts w:ascii="Calibri Light" w:hAnsi="Calibri Light"/>
              </w:rPr>
              <w:t>Artículos analizados</w:t>
            </w:r>
          </w:p>
        </w:tc>
        <w:tc>
          <w:tcPr>
            <w:tcW w:w="5043" w:type="dxa"/>
            <w:gridSpan w:val="2"/>
          </w:tcPr>
          <w:p w14:paraId="18718B95" w14:textId="356F1FDF" w:rsidR="00C3765A" w:rsidRPr="00923EFF" w:rsidRDefault="00C3765A"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23EFF">
              <w:rPr>
                <w:rFonts w:ascii="Calibri Light" w:hAnsi="Calibri Light"/>
              </w:rPr>
              <w:t>Convención Americana sobre Derechos Humanos</w:t>
            </w:r>
          </w:p>
        </w:tc>
      </w:tr>
      <w:tr w:rsidR="00C3765A" w:rsidRPr="00923EFF" w14:paraId="1883ABBC" w14:textId="3D769286" w:rsidTr="00C3765A">
        <w:trPr>
          <w:trHeight w:val="210"/>
        </w:trPr>
        <w:tc>
          <w:tcPr>
            <w:cnfStyle w:val="001000000000" w:firstRow="0" w:lastRow="0" w:firstColumn="1" w:lastColumn="0" w:oddVBand="0" w:evenVBand="0" w:oddHBand="0" w:evenHBand="0" w:firstRowFirstColumn="0" w:firstRowLastColumn="0" w:lastRowFirstColumn="0" w:lastRowLastColumn="0"/>
            <w:tcW w:w="3678" w:type="dxa"/>
            <w:vMerge/>
          </w:tcPr>
          <w:p w14:paraId="52108833" w14:textId="77777777" w:rsidR="00C3765A" w:rsidRPr="00923EFF" w:rsidRDefault="00C3765A" w:rsidP="00A65231">
            <w:pPr>
              <w:pStyle w:val="ListParagraph"/>
              <w:numPr>
                <w:ilvl w:val="0"/>
                <w:numId w:val="3"/>
              </w:numPr>
              <w:rPr>
                <w:rFonts w:ascii="Calibri Light" w:hAnsi="Calibri Light"/>
              </w:rPr>
            </w:pPr>
          </w:p>
        </w:tc>
        <w:tc>
          <w:tcPr>
            <w:tcW w:w="2430" w:type="dxa"/>
          </w:tcPr>
          <w:p w14:paraId="5F45EC36" w14:textId="1C938D6E" w:rsidR="00C3765A" w:rsidRPr="00923EFF" w:rsidRDefault="00C3765A"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EFF">
              <w:rPr>
                <w:rFonts w:ascii="Calibri Light" w:hAnsi="Calibri Light"/>
              </w:rPr>
              <w:t>Artículos analizados declarados violados</w:t>
            </w:r>
          </w:p>
        </w:tc>
        <w:tc>
          <w:tcPr>
            <w:tcW w:w="2613" w:type="dxa"/>
          </w:tcPr>
          <w:p w14:paraId="08DFE139" w14:textId="5F4A9854" w:rsidR="00C3765A" w:rsidRPr="00923EFF" w:rsidRDefault="00C3765A"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23EFF">
              <w:rPr>
                <w:rFonts w:ascii="Calibri Light" w:hAnsi="Calibri Light"/>
              </w:rPr>
              <w:t>Artículos analizados no declarados violados</w:t>
            </w:r>
          </w:p>
        </w:tc>
      </w:tr>
      <w:tr w:rsidR="00C3765A" w:rsidRPr="00923EFF" w14:paraId="3CA5D2F5" w14:textId="3D43B283" w:rsidTr="00D1375C">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678" w:type="dxa"/>
            <w:vMerge/>
          </w:tcPr>
          <w:p w14:paraId="6B0C12F5" w14:textId="77777777" w:rsidR="00C3765A" w:rsidRPr="00923EFF" w:rsidRDefault="00C3765A" w:rsidP="00A65231">
            <w:pPr>
              <w:pStyle w:val="ListParagraph"/>
              <w:numPr>
                <w:ilvl w:val="0"/>
                <w:numId w:val="3"/>
              </w:numPr>
              <w:rPr>
                <w:rFonts w:ascii="Calibri Light" w:hAnsi="Calibri Light"/>
              </w:rPr>
            </w:pPr>
          </w:p>
        </w:tc>
        <w:tc>
          <w:tcPr>
            <w:tcW w:w="2430" w:type="dxa"/>
          </w:tcPr>
          <w:p w14:paraId="494023AF" w14:textId="7828B159" w:rsidR="00C3765A" w:rsidRPr="00923EFF" w:rsidRDefault="00C3765A" w:rsidP="00C3765A">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923EFF">
              <w:rPr>
                <w:rFonts w:ascii="Calibri Light" w:hAnsi="Calibri Light"/>
                <w:lang w:val="en-US"/>
              </w:rPr>
              <w:t>Art. 1, art. 7, art. 8, art. 25</w:t>
            </w:r>
          </w:p>
        </w:tc>
        <w:tc>
          <w:tcPr>
            <w:tcW w:w="2613" w:type="dxa"/>
            <w:vAlign w:val="center"/>
          </w:tcPr>
          <w:p w14:paraId="69242979" w14:textId="4BC2AB47" w:rsidR="00C3765A" w:rsidRPr="00923EFF" w:rsidRDefault="00C3765A" w:rsidP="00D1375C">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23EFF">
              <w:rPr>
                <w:rFonts w:ascii="Calibri Light" w:hAnsi="Calibri Light"/>
              </w:rPr>
              <w:t>-</w:t>
            </w:r>
          </w:p>
        </w:tc>
      </w:tr>
      <w:tr w:rsidR="005173CF" w:rsidRPr="00923EFF" w14:paraId="54B7813B" w14:textId="77777777" w:rsidTr="00C3765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923EFF" w:rsidRDefault="00AC6F31" w:rsidP="00AC6F31">
            <w:pPr>
              <w:pStyle w:val="ListParagraph"/>
              <w:rPr>
                <w:rFonts w:ascii="Calibri Light" w:hAnsi="Calibri Light"/>
              </w:rPr>
            </w:pPr>
          </w:p>
          <w:p w14:paraId="1ECE5967" w14:textId="77777777" w:rsidR="005173CF" w:rsidRPr="00923EFF" w:rsidRDefault="007A6C56" w:rsidP="0029671B">
            <w:pPr>
              <w:pStyle w:val="ListParagraph"/>
              <w:numPr>
                <w:ilvl w:val="0"/>
                <w:numId w:val="2"/>
              </w:numPr>
              <w:jc w:val="center"/>
              <w:rPr>
                <w:rFonts w:ascii="Calibri Light" w:hAnsi="Calibri Light"/>
              </w:rPr>
            </w:pPr>
            <w:r w:rsidRPr="00923EFF">
              <w:rPr>
                <w:rFonts w:ascii="Calibri Light" w:hAnsi="Calibri Light"/>
              </w:rPr>
              <w:t>Sumilla</w:t>
            </w:r>
          </w:p>
          <w:p w14:paraId="009AFBB8" w14:textId="77777777" w:rsidR="00AC6F31" w:rsidRPr="00923EFF" w:rsidRDefault="00AC6F31" w:rsidP="00AC6F31">
            <w:pPr>
              <w:pStyle w:val="ListParagraph"/>
              <w:rPr>
                <w:rFonts w:ascii="Calibri Light" w:hAnsi="Calibri Light"/>
              </w:rPr>
            </w:pPr>
          </w:p>
        </w:tc>
      </w:tr>
      <w:tr w:rsidR="007A6C56" w:rsidRPr="00923EFF" w14:paraId="6B670455" w14:textId="77777777" w:rsidTr="00C3765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6CC07006" w14:textId="77777777" w:rsidR="00923EFF" w:rsidRPr="00923EFF" w:rsidRDefault="00923EFF" w:rsidP="00090BCA">
            <w:pPr>
              <w:jc w:val="both"/>
              <w:rPr>
                <w:rFonts w:ascii="Calibri Light" w:hAnsi="Calibri Light"/>
                <w:b w:val="0"/>
                <w:highlight w:val="yellow"/>
              </w:rPr>
            </w:pPr>
          </w:p>
          <w:p w14:paraId="18517CB1" w14:textId="57D40CB8" w:rsidR="003171F9" w:rsidRPr="00BE2265" w:rsidRDefault="003171F9" w:rsidP="00090BCA">
            <w:pPr>
              <w:jc w:val="both"/>
              <w:rPr>
                <w:rFonts w:ascii="Calibri Light" w:hAnsi="Calibri Light"/>
                <w:b w:val="0"/>
              </w:rPr>
            </w:pPr>
            <w:r w:rsidRPr="00BE2265">
              <w:rPr>
                <w:rFonts w:ascii="Calibri Light" w:hAnsi="Calibri Light"/>
                <w:b w:val="0"/>
              </w:rPr>
              <w:t>El caso trata sobre los procesos penal ord</w:t>
            </w:r>
            <w:r w:rsidR="00BE2265" w:rsidRPr="00BE2265">
              <w:rPr>
                <w:rFonts w:ascii="Calibri Light" w:hAnsi="Calibri Light"/>
                <w:b w:val="0"/>
              </w:rPr>
              <w:t>inario, militar y disciplinario</w:t>
            </w:r>
            <w:r w:rsidRPr="00BE2265">
              <w:rPr>
                <w:rFonts w:ascii="Calibri Light" w:hAnsi="Calibri Light"/>
                <w:b w:val="0"/>
              </w:rPr>
              <w:t xml:space="preserve"> abiertos contra Jorge Rosadio Villavicencio</w:t>
            </w:r>
            <w:r w:rsidR="00BE2265" w:rsidRPr="00BE2265">
              <w:rPr>
                <w:rFonts w:ascii="Calibri Light" w:hAnsi="Calibri Light"/>
                <w:b w:val="0"/>
              </w:rPr>
              <w:t>, entonces Jefe de la Base Militar de Sion de la Quinta Región Militar,</w:t>
            </w:r>
            <w:r w:rsidRPr="00BE2265">
              <w:rPr>
                <w:rFonts w:ascii="Calibri Light" w:hAnsi="Calibri Light"/>
                <w:b w:val="0"/>
              </w:rPr>
              <w:t xml:space="preserve"> por su participación en el Plan de Operaciones “Ángel”. </w:t>
            </w:r>
            <w:r w:rsidR="00BE2265" w:rsidRPr="00BE2265">
              <w:rPr>
                <w:rFonts w:ascii="Calibri Light" w:hAnsi="Calibri Light"/>
                <w:b w:val="0"/>
              </w:rPr>
              <w:t>En este, el señor Rosadio debía infiltrarse a organizaciones de narcotraficantes para desarticularlas. En base a ello, el señor Rosadio fue condenado por la justicia ordinaria a 15 años de prisión por el delito de tráfico ilícito de drogas. Asimismo, la justicia militar lo condenó a 28 meses de prisión y, ad</w:t>
            </w:r>
            <w:r w:rsidR="00546C3C">
              <w:rPr>
                <w:rFonts w:ascii="Calibri Light" w:hAnsi="Calibri Light"/>
                <w:b w:val="0"/>
              </w:rPr>
              <w:t>ministrativamente, se le sancionó</w:t>
            </w:r>
            <w:r w:rsidR="00BE2265" w:rsidRPr="00BE2265">
              <w:rPr>
                <w:rFonts w:ascii="Calibri Light" w:hAnsi="Calibri Light"/>
                <w:b w:val="0"/>
              </w:rPr>
              <w:t xml:space="preserve"> con su pase a retiro. </w:t>
            </w:r>
            <w:r w:rsidR="00F1681A">
              <w:rPr>
                <w:rFonts w:ascii="Calibri Light" w:hAnsi="Calibri Light"/>
                <w:b w:val="0"/>
              </w:rPr>
              <w:t>En este contexto</w:t>
            </w:r>
            <w:r w:rsidR="00BE2265" w:rsidRPr="00BE2265">
              <w:rPr>
                <w:rFonts w:ascii="Calibri Light" w:hAnsi="Calibri Light"/>
                <w:b w:val="0"/>
              </w:rPr>
              <w:t xml:space="preserve">, al señor Rosadio se le aplicó la medida de prisión preventiva por más de tres años. </w:t>
            </w:r>
          </w:p>
          <w:p w14:paraId="1EE5A7E7" w14:textId="69E10F12" w:rsidR="007964D1" w:rsidRPr="00923EFF" w:rsidRDefault="007964D1" w:rsidP="00090BCA">
            <w:pPr>
              <w:jc w:val="both"/>
              <w:rPr>
                <w:rFonts w:ascii="Calibri Light" w:hAnsi="Calibri Light"/>
                <w:b w:val="0"/>
                <w:highlight w:val="yellow"/>
              </w:rPr>
            </w:pPr>
            <w:r w:rsidRPr="00923EFF">
              <w:rPr>
                <w:rFonts w:ascii="Calibri Light" w:hAnsi="Calibri Light"/>
                <w:b w:val="0"/>
                <w:highlight w:val="yellow"/>
              </w:rPr>
              <w:t xml:space="preserve"> </w:t>
            </w:r>
          </w:p>
        </w:tc>
      </w:tr>
      <w:tr w:rsidR="007A6C56" w:rsidRPr="00923EFF" w14:paraId="238A2196" w14:textId="77777777" w:rsidTr="00C3765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923EFF" w:rsidRDefault="00AC6F31" w:rsidP="00AC6F31">
            <w:pPr>
              <w:pStyle w:val="ListParagraph"/>
              <w:rPr>
                <w:rFonts w:ascii="Calibri Light" w:hAnsi="Calibri Light"/>
              </w:rPr>
            </w:pPr>
          </w:p>
          <w:p w14:paraId="6E7AC4B8" w14:textId="77777777" w:rsidR="007A6C56" w:rsidRPr="00923EFF" w:rsidRDefault="007A6C56" w:rsidP="0029671B">
            <w:pPr>
              <w:pStyle w:val="ListParagraph"/>
              <w:numPr>
                <w:ilvl w:val="0"/>
                <w:numId w:val="2"/>
              </w:numPr>
              <w:jc w:val="center"/>
              <w:rPr>
                <w:rFonts w:ascii="Calibri Light" w:hAnsi="Calibri Light"/>
              </w:rPr>
            </w:pPr>
            <w:r w:rsidRPr="00923EFF">
              <w:rPr>
                <w:rFonts w:ascii="Calibri Light" w:hAnsi="Calibri Light"/>
              </w:rPr>
              <w:t>Palabras clave</w:t>
            </w:r>
          </w:p>
          <w:p w14:paraId="6A1E32A7" w14:textId="77777777" w:rsidR="00AC6F31" w:rsidRPr="00923EFF" w:rsidRDefault="00AC6F31" w:rsidP="00AC6F31">
            <w:pPr>
              <w:pStyle w:val="ListParagraph"/>
              <w:rPr>
                <w:rFonts w:ascii="Calibri Light" w:hAnsi="Calibri Light"/>
              </w:rPr>
            </w:pPr>
          </w:p>
        </w:tc>
      </w:tr>
      <w:tr w:rsidR="007A6C56" w:rsidRPr="00923EFF" w14:paraId="34AE2D45" w14:textId="77777777" w:rsidTr="00C3765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7A0499B7" w14:textId="77777777" w:rsidR="00C3765A" w:rsidRPr="00923EFF" w:rsidRDefault="00C3765A" w:rsidP="003B0BFF">
            <w:pPr>
              <w:rPr>
                <w:rFonts w:ascii="Calibri Light" w:hAnsi="Calibri Light"/>
                <w:b w:val="0"/>
              </w:rPr>
            </w:pPr>
          </w:p>
          <w:p w14:paraId="6B269C5D" w14:textId="4235B511" w:rsidR="003B0BFF" w:rsidRPr="00923EFF" w:rsidRDefault="003B0BFF" w:rsidP="003B0BFF">
            <w:pPr>
              <w:rPr>
                <w:rFonts w:ascii="Calibri Light" w:hAnsi="Calibri Light"/>
                <w:b w:val="0"/>
              </w:rPr>
            </w:pPr>
            <w:r w:rsidRPr="00923EFF">
              <w:rPr>
                <w:rFonts w:ascii="Calibri Light" w:hAnsi="Calibri Light"/>
                <w:b w:val="0"/>
              </w:rPr>
              <w:t>Libertad personal, Prisión preventiva</w:t>
            </w:r>
            <w:r w:rsidR="00D1375C" w:rsidRPr="00923EFF">
              <w:rPr>
                <w:rFonts w:ascii="Calibri Light" w:hAnsi="Calibri Light"/>
                <w:b w:val="0"/>
              </w:rPr>
              <w:t>, Protección judicial y garantías judiciales</w:t>
            </w:r>
          </w:p>
          <w:p w14:paraId="05374712" w14:textId="16252068" w:rsidR="006C4484" w:rsidRPr="00923EFF" w:rsidRDefault="006C4484" w:rsidP="0098327C">
            <w:pPr>
              <w:jc w:val="both"/>
              <w:rPr>
                <w:rFonts w:ascii="Calibri Light" w:hAnsi="Calibri Light"/>
                <w:b w:val="0"/>
              </w:rPr>
            </w:pPr>
          </w:p>
        </w:tc>
      </w:tr>
      <w:tr w:rsidR="005173CF" w:rsidRPr="00923EFF" w14:paraId="69044E7B" w14:textId="77777777" w:rsidTr="00C3765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923EFF" w:rsidRDefault="00AC6F31" w:rsidP="00AC6F31">
            <w:pPr>
              <w:pStyle w:val="ListParagraph"/>
              <w:rPr>
                <w:rFonts w:ascii="Calibri Light" w:hAnsi="Calibri Light"/>
              </w:rPr>
            </w:pPr>
          </w:p>
          <w:p w14:paraId="177FF988" w14:textId="77777777" w:rsidR="005173CF" w:rsidRPr="00923EFF" w:rsidRDefault="007A6C56" w:rsidP="0029671B">
            <w:pPr>
              <w:pStyle w:val="ListParagraph"/>
              <w:numPr>
                <w:ilvl w:val="0"/>
                <w:numId w:val="2"/>
              </w:numPr>
              <w:jc w:val="center"/>
              <w:rPr>
                <w:rFonts w:ascii="Calibri Light" w:hAnsi="Calibri Light"/>
              </w:rPr>
            </w:pPr>
            <w:r w:rsidRPr="00923EFF">
              <w:rPr>
                <w:rFonts w:ascii="Calibri Light" w:hAnsi="Calibri Light"/>
              </w:rPr>
              <w:t>Hechos</w:t>
            </w:r>
          </w:p>
          <w:p w14:paraId="190B7E98" w14:textId="77777777" w:rsidR="00AC6F31" w:rsidRPr="00923EFF" w:rsidRDefault="00AC6F31" w:rsidP="00AC6F31">
            <w:pPr>
              <w:pStyle w:val="ListParagraph"/>
              <w:rPr>
                <w:rFonts w:ascii="Calibri Light" w:hAnsi="Calibri Light"/>
              </w:rPr>
            </w:pPr>
          </w:p>
        </w:tc>
      </w:tr>
      <w:tr w:rsidR="005173CF" w:rsidRPr="00923EFF" w14:paraId="6F58DE83" w14:textId="77777777" w:rsidTr="00C3765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1D8A0116" w14:textId="1B39337F" w:rsidR="00C3765A" w:rsidRPr="00923EFF" w:rsidRDefault="00C3765A" w:rsidP="00884A20">
            <w:pPr>
              <w:jc w:val="both"/>
              <w:rPr>
                <w:rFonts w:ascii="Calibri Light" w:hAnsi="Calibri Light"/>
                <w:b w:val="0"/>
              </w:rPr>
            </w:pPr>
          </w:p>
          <w:p w14:paraId="221F195C" w14:textId="2E299074" w:rsidR="00014A80" w:rsidRPr="003171F9" w:rsidRDefault="00074FE4" w:rsidP="00884A20">
            <w:pPr>
              <w:jc w:val="both"/>
              <w:rPr>
                <w:rFonts w:ascii="Calibri Light" w:hAnsi="Calibri Light"/>
                <w:b w:val="0"/>
              </w:rPr>
            </w:pPr>
            <w:r w:rsidRPr="00923EFF">
              <w:rPr>
                <w:rFonts w:ascii="Calibri Light" w:hAnsi="Calibri Light"/>
                <w:b w:val="0"/>
              </w:rPr>
              <w:t xml:space="preserve">Al momento de los hechos, </w:t>
            </w:r>
            <w:r w:rsidR="00C3765A" w:rsidRPr="00923EFF">
              <w:rPr>
                <w:rFonts w:ascii="Calibri Light" w:hAnsi="Calibri Light"/>
                <w:b w:val="0"/>
              </w:rPr>
              <w:t>Jorge</w:t>
            </w:r>
            <w:r w:rsidRPr="00923EFF">
              <w:rPr>
                <w:rFonts w:ascii="Calibri Light" w:hAnsi="Calibri Light"/>
                <w:b w:val="0"/>
              </w:rPr>
              <w:t xml:space="preserve"> Rosadio Villavicencio </w:t>
            </w:r>
            <w:r w:rsidR="00DC6848" w:rsidRPr="00923EFF">
              <w:rPr>
                <w:rFonts w:ascii="Calibri Light" w:hAnsi="Calibri Light"/>
                <w:b w:val="0"/>
              </w:rPr>
              <w:t xml:space="preserve">se desempeñaba como Jefe de la Base Militar de Sion de la Quinta Región Militar, </w:t>
            </w:r>
            <w:r w:rsidR="00C3765A" w:rsidRPr="00923EFF">
              <w:rPr>
                <w:rFonts w:ascii="Calibri Light" w:hAnsi="Calibri Light"/>
                <w:b w:val="0"/>
              </w:rPr>
              <w:t>D</w:t>
            </w:r>
            <w:r w:rsidR="00DC6848" w:rsidRPr="00923EFF">
              <w:rPr>
                <w:rFonts w:ascii="Calibri Light" w:hAnsi="Calibri Light"/>
                <w:b w:val="0"/>
              </w:rPr>
              <w:t xml:space="preserve">estacamento Leoncio Prado, Compañía de </w:t>
            </w:r>
            <w:r w:rsidR="00DC6848" w:rsidRPr="00923EFF">
              <w:rPr>
                <w:rFonts w:ascii="Calibri Light" w:hAnsi="Calibri Light"/>
                <w:b w:val="0"/>
              </w:rPr>
              <w:lastRenderedPageBreak/>
              <w:t>Inteligencia N° 341, en la ciudad de Tarapoto, San Martín.</w:t>
            </w:r>
            <w:r w:rsidR="002B3221" w:rsidRPr="00923EFF">
              <w:rPr>
                <w:rFonts w:ascii="Calibri Light" w:hAnsi="Calibri Light"/>
                <w:b w:val="0"/>
              </w:rPr>
              <w:t xml:space="preserve"> En cumplimiento de sus funciones, se </w:t>
            </w:r>
            <w:r w:rsidR="0083052F" w:rsidRPr="00923EFF">
              <w:rPr>
                <w:rFonts w:ascii="Calibri Light" w:hAnsi="Calibri Light"/>
                <w:b w:val="0"/>
              </w:rPr>
              <w:t xml:space="preserve">le </w:t>
            </w:r>
            <w:r w:rsidR="002B3221" w:rsidRPr="00923EFF">
              <w:rPr>
                <w:rFonts w:ascii="Calibri Light" w:hAnsi="Calibri Light"/>
                <w:b w:val="0"/>
              </w:rPr>
              <w:t>encomendó llevar a cabo el Plan de Operaciones "Ángel"</w:t>
            </w:r>
            <w:r w:rsidR="00C3765A" w:rsidRPr="00923EFF">
              <w:rPr>
                <w:rFonts w:ascii="Calibri Light" w:hAnsi="Calibri Light"/>
                <w:b w:val="0"/>
              </w:rPr>
              <w:t>, que consistía</w:t>
            </w:r>
            <w:r w:rsidR="002B3221" w:rsidRPr="00923EFF">
              <w:rPr>
                <w:rFonts w:ascii="Calibri Light" w:hAnsi="Calibri Light"/>
                <w:b w:val="0"/>
              </w:rPr>
              <w:t xml:space="preserve">  en infiltrarse “como un oficial corrupto” dentro de las organizaciones de narcotraficantes para desarticularlas</w:t>
            </w:r>
            <w:r w:rsidR="00C3765A" w:rsidRPr="00923EFF">
              <w:rPr>
                <w:rFonts w:ascii="Calibri Light" w:hAnsi="Calibri Light"/>
                <w:b w:val="0"/>
              </w:rPr>
              <w:t>. El plan fue</w:t>
            </w:r>
            <w:r w:rsidR="002B3221" w:rsidRPr="00923EFF">
              <w:rPr>
                <w:rFonts w:ascii="Calibri Light" w:hAnsi="Calibri Light"/>
                <w:b w:val="0"/>
              </w:rPr>
              <w:t xml:space="preserve"> </w:t>
            </w:r>
            <w:r w:rsidR="00C3765A" w:rsidRPr="00923EFF">
              <w:rPr>
                <w:rFonts w:ascii="Calibri Light" w:hAnsi="Calibri Light"/>
                <w:b w:val="0"/>
              </w:rPr>
              <w:t>clasificado como "secreto"</w:t>
            </w:r>
            <w:r w:rsidR="00CB3E30" w:rsidRPr="00923EFF">
              <w:rPr>
                <w:rFonts w:ascii="Calibri Light" w:hAnsi="Calibri Light"/>
                <w:b w:val="0"/>
              </w:rPr>
              <w:t xml:space="preserve"> y </w:t>
            </w:r>
            <w:r w:rsidR="00C3765A" w:rsidRPr="00923EFF">
              <w:rPr>
                <w:rFonts w:ascii="Calibri Light" w:hAnsi="Calibri Light"/>
                <w:b w:val="0"/>
              </w:rPr>
              <w:t>puesto en marcha</w:t>
            </w:r>
            <w:r w:rsidR="002B3221" w:rsidRPr="00923EFF">
              <w:rPr>
                <w:rFonts w:ascii="Calibri Light" w:hAnsi="Calibri Light"/>
                <w:b w:val="0"/>
              </w:rPr>
              <w:t xml:space="preserve"> la primera quincena de agosto de 1994.</w:t>
            </w:r>
            <w:r w:rsidR="00856406" w:rsidRPr="00923EFF">
              <w:rPr>
                <w:rFonts w:ascii="Calibri Light" w:hAnsi="Calibri Light"/>
                <w:b w:val="0"/>
              </w:rPr>
              <w:t xml:space="preserve"> </w:t>
            </w:r>
            <w:r w:rsidR="003B0BFF" w:rsidRPr="00923EFF">
              <w:rPr>
                <w:rFonts w:ascii="Calibri Light" w:hAnsi="Calibri Light"/>
                <w:b w:val="0"/>
              </w:rPr>
              <w:t>E</w:t>
            </w:r>
            <w:r w:rsidR="006C4484" w:rsidRPr="00923EFF">
              <w:rPr>
                <w:rFonts w:ascii="Calibri Light" w:hAnsi="Calibri Light"/>
                <w:b w:val="0"/>
              </w:rPr>
              <w:t>n</w:t>
            </w:r>
            <w:r w:rsidR="002B3221" w:rsidRPr="00923EFF">
              <w:rPr>
                <w:rFonts w:ascii="Calibri Light" w:hAnsi="Calibri Light"/>
                <w:b w:val="0"/>
              </w:rPr>
              <w:t xml:space="preserve"> septiembre de 1994, </w:t>
            </w:r>
            <w:r w:rsidR="006C4484" w:rsidRPr="00923EFF">
              <w:rPr>
                <w:rFonts w:ascii="Calibri Light" w:hAnsi="Calibri Light"/>
                <w:b w:val="0"/>
              </w:rPr>
              <w:t xml:space="preserve">la Inspectoría del Destacamento Leoncio Prado inició una investigación </w:t>
            </w:r>
            <w:r w:rsidR="008F15CD" w:rsidRPr="00923EFF">
              <w:rPr>
                <w:rFonts w:ascii="Calibri Light" w:hAnsi="Calibri Light"/>
                <w:b w:val="0"/>
              </w:rPr>
              <w:t xml:space="preserve">contra el señor </w:t>
            </w:r>
            <w:r w:rsidR="00CB3E30" w:rsidRPr="00923EFF">
              <w:rPr>
                <w:rFonts w:ascii="Calibri Light" w:hAnsi="Calibri Light"/>
                <w:b w:val="0"/>
              </w:rPr>
              <w:t>Rosadio</w:t>
            </w:r>
            <w:r w:rsidR="008F15CD" w:rsidRPr="00923EFF">
              <w:rPr>
                <w:rFonts w:ascii="Calibri Light" w:hAnsi="Calibri Light"/>
                <w:b w:val="0"/>
              </w:rPr>
              <w:t>.</w:t>
            </w:r>
            <w:r w:rsidR="005D3082" w:rsidRPr="00923EFF">
              <w:rPr>
                <w:rFonts w:ascii="Calibri Light" w:hAnsi="Calibri Light"/>
                <w:b w:val="0"/>
              </w:rPr>
              <w:t xml:space="preserve"> </w:t>
            </w:r>
            <w:r w:rsidR="00C76AE1" w:rsidRPr="00923EFF">
              <w:rPr>
                <w:rFonts w:ascii="Calibri Light" w:hAnsi="Calibri Light"/>
                <w:b w:val="0"/>
              </w:rPr>
              <w:t>El 15 de septiembre</w:t>
            </w:r>
            <w:r w:rsidR="00856406" w:rsidRPr="00923EFF">
              <w:rPr>
                <w:rFonts w:ascii="Calibri Light" w:hAnsi="Calibri Light"/>
                <w:b w:val="0"/>
              </w:rPr>
              <w:t>, el señor Rosadio</w:t>
            </w:r>
            <w:r w:rsidR="00C76AE1" w:rsidRPr="00923EFF">
              <w:rPr>
                <w:rFonts w:ascii="Calibri Light" w:hAnsi="Calibri Light"/>
                <w:b w:val="0"/>
              </w:rPr>
              <w:t xml:space="preserve"> rindió su declaración con la presencia de</w:t>
            </w:r>
            <w:r w:rsidR="00E169C8" w:rsidRPr="00923EFF">
              <w:rPr>
                <w:rFonts w:ascii="Calibri Light" w:hAnsi="Calibri Light"/>
                <w:b w:val="0"/>
              </w:rPr>
              <w:t>l abogado que le fue designado de oficio</w:t>
            </w:r>
            <w:r w:rsidR="00856406" w:rsidRPr="00923EFF">
              <w:rPr>
                <w:rFonts w:ascii="Calibri Light" w:hAnsi="Calibri Light"/>
                <w:b w:val="0"/>
              </w:rPr>
              <w:t>. Este</w:t>
            </w:r>
            <w:r w:rsidR="00C76AE1" w:rsidRPr="00923EFF">
              <w:rPr>
                <w:rFonts w:ascii="Calibri Light" w:hAnsi="Calibri Light"/>
                <w:b w:val="0"/>
              </w:rPr>
              <w:t xml:space="preserve"> era </w:t>
            </w:r>
            <w:r w:rsidR="00856406" w:rsidRPr="00923EFF">
              <w:rPr>
                <w:rFonts w:ascii="Calibri Light" w:hAnsi="Calibri Light"/>
                <w:b w:val="0"/>
              </w:rPr>
              <w:t xml:space="preserve">un </w:t>
            </w:r>
            <w:r w:rsidR="00C76AE1" w:rsidRPr="00923EFF">
              <w:rPr>
                <w:rFonts w:ascii="Calibri Light" w:hAnsi="Calibri Light"/>
                <w:b w:val="0"/>
              </w:rPr>
              <w:t>militar en servicio activo</w:t>
            </w:r>
            <w:r w:rsidR="00EA0C77" w:rsidRPr="00923EFF">
              <w:rPr>
                <w:rFonts w:ascii="Calibri Light" w:hAnsi="Calibri Light"/>
                <w:b w:val="0"/>
              </w:rPr>
              <w:t>,</w:t>
            </w:r>
            <w:r w:rsidR="005D3082" w:rsidRPr="00923EFF">
              <w:rPr>
                <w:rFonts w:ascii="Calibri Light" w:hAnsi="Calibri Light"/>
                <w:b w:val="0"/>
              </w:rPr>
              <w:t xml:space="preserve"> </w:t>
            </w:r>
            <w:r w:rsidR="0083052F" w:rsidRPr="00923EFF">
              <w:rPr>
                <w:rFonts w:ascii="Calibri Light" w:hAnsi="Calibri Light"/>
                <w:b w:val="0"/>
              </w:rPr>
              <w:t>que</w:t>
            </w:r>
            <w:r w:rsidR="005D3082" w:rsidRPr="00923EFF">
              <w:rPr>
                <w:rFonts w:ascii="Calibri Light" w:hAnsi="Calibri Light"/>
                <w:b w:val="0"/>
              </w:rPr>
              <w:t xml:space="preserve"> </w:t>
            </w:r>
            <w:r w:rsidR="00F1681A">
              <w:rPr>
                <w:rFonts w:ascii="Calibri Light" w:hAnsi="Calibri Light"/>
                <w:b w:val="0"/>
              </w:rPr>
              <w:t xml:space="preserve">también </w:t>
            </w:r>
            <w:r w:rsidR="006C5CFF">
              <w:rPr>
                <w:rFonts w:ascii="Calibri Light" w:hAnsi="Calibri Light"/>
                <w:b w:val="0"/>
              </w:rPr>
              <w:t>asistió jurídicamente al</w:t>
            </w:r>
            <w:r w:rsidR="005D3082" w:rsidRPr="00923EFF">
              <w:rPr>
                <w:rFonts w:ascii="Calibri Light" w:hAnsi="Calibri Light"/>
                <w:b w:val="0"/>
              </w:rPr>
              <w:t xml:space="preserve"> superior jerárquico</w:t>
            </w:r>
            <w:r w:rsidR="006C5CFF">
              <w:rPr>
                <w:rFonts w:ascii="Calibri Light" w:hAnsi="Calibri Light"/>
                <w:b w:val="0"/>
              </w:rPr>
              <w:t xml:space="preserve"> del señor Rosadio</w:t>
            </w:r>
            <w:r w:rsidR="00E169C8" w:rsidRPr="00923EFF">
              <w:rPr>
                <w:rFonts w:ascii="Calibri Light" w:hAnsi="Calibri Light"/>
                <w:b w:val="0"/>
              </w:rPr>
              <w:t xml:space="preserve"> </w:t>
            </w:r>
            <w:r w:rsidR="005D3082" w:rsidRPr="00923EFF">
              <w:rPr>
                <w:rFonts w:ascii="Calibri Light" w:hAnsi="Calibri Light"/>
                <w:b w:val="0"/>
              </w:rPr>
              <w:t>cuando ambos rindieron su declaración en la etapa de investigación</w:t>
            </w:r>
            <w:r w:rsidR="0083052F" w:rsidRPr="003171F9">
              <w:rPr>
                <w:rFonts w:ascii="Calibri Light" w:hAnsi="Calibri Light"/>
                <w:b w:val="0"/>
              </w:rPr>
              <w:t xml:space="preserve">, y </w:t>
            </w:r>
            <w:r w:rsidR="00EA0C77" w:rsidRPr="003171F9">
              <w:rPr>
                <w:rFonts w:ascii="Calibri Light" w:hAnsi="Calibri Light"/>
                <w:b w:val="0"/>
              </w:rPr>
              <w:t xml:space="preserve">que además, </w:t>
            </w:r>
            <w:r w:rsidR="0083052F" w:rsidRPr="003171F9">
              <w:rPr>
                <w:rFonts w:ascii="Calibri Light" w:hAnsi="Calibri Light"/>
                <w:b w:val="0"/>
              </w:rPr>
              <w:t>posteriormente</w:t>
            </w:r>
            <w:r w:rsidR="00EA0C77" w:rsidRPr="003171F9">
              <w:rPr>
                <w:rFonts w:ascii="Calibri Light" w:hAnsi="Calibri Light"/>
                <w:b w:val="0"/>
              </w:rPr>
              <w:t>,</w:t>
            </w:r>
            <w:r w:rsidR="0083052F" w:rsidRPr="003171F9">
              <w:rPr>
                <w:rFonts w:ascii="Calibri Light" w:hAnsi="Calibri Light"/>
                <w:b w:val="0"/>
              </w:rPr>
              <w:t xml:space="preserve"> fue</w:t>
            </w:r>
            <w:r w:rsidR="00EA0C77" w:rsidRPr="003171F9">
              <w:rPr>
                <w:rFonts w:ascii="Calibri Light" w:hAnsi="Calibri Light"/>
                <w:b w:val="0"/>
              </w:rPr>
              <w:t xml:space="preserve"> juez dentro del proceso en jurisdicción militar que se siguió en su contra</w:t>
            </w:r>
            <w:r w:rsidR="00753904" w:rsidRPr="003171F9">
              <w:rPr>
                <w:rFonts w:ascii="Calibri Light" w:hAnsi="Calibri Light"/>
                <w:b w:val="0"/>
              </w:rPr>
              <w:t xml:space="preserve">. </w:t>
            </w:r>
          </w:p>
          <w:p w14:paraId="37EAB005" w14:textId="77777777" w:rsidR="005D3082" w:rsidRPr="003171F9" w:rsidRDefault="005D3082" w:rsidP="00884A20">
            <w:pPr>
              <w:jc w:val="both"/>
              <w:rPr>
                <w:rFonts w:ascii="Calibri Light" w:hAnsi="Calibri Light"/>
                <w:b w:val="0"/>
              </w:rPr>
            </w:pPr>
          </w:p>
          <w:p w14:paraId="5A8999B2" w14:textId="5071A763" w:rsidR="00E169C8" w:rsidRPr="00923EFF" w:rsidRDefault="00856406" w:rsidP="00884A20">
            <w:pPr>
              <w:jc w:val="both"/>
              <w:rPr>
                <w:rFonts w:ascii="Calibri Light" w:hAnsi="Calibri Light"/>
                <w:b w:val="0"/>
              </w:rPr>
            </w:pPr>
            <w:r w:rsidRPr="003171F9">
              <w:rPr>
                <w:rFonts w:ascii="Calibri Light" w:hAnsi="Calibri Light"/>
                <w:b w:val="0"/>
              </w:rPr>
              <w:t>Recién e</w:t>
            </w:r>
            <w:r w:rsidR="005D3082" w:rsidRPr="003171F9">
              <w:rPr>
                <w:rFonts w:ascii="Calibri Light" w:hAnsi="Calibri Light"/>
                <w:b w:val="0"/>
              </w:rPr>
              <w:t xml:space="preserve">l 25 de septiembre de 1994, </w:t>
            </w:r>
            <w:r w:rsidR="00B71DB7" w:rsidRPr="003171F9">
              <w:rPr>
                <w:rFonts w:ascii="Calibri Light" w:hAnsi="Calibri Light"/>
                <w:b w:val="0"/>
              </w:rPr>
              <w:t xml:space="preserve">el señor Rosadio fue informado </w:t>
            </w:r>
            <w:r w:rsidRPr="003171F9">
              <w:rPr>
                <w:rFonts w:ascii="Calibri Light" w:hAnsi="Calibri Light"/>
                <w:b w:val="0"/>
              </w:rPr>
              <w:t>de</w:t>
            </w:r>
            <w:r w:rsidR="00B71DB7" w:rsidRPr="003171F9">
              <w:rPr>
                <w:rFonts w:ascii="Calibri Light" w:hAnsi="Calibri Light"/>
                <w:b w:val="0"/>
              </w:rPr>
              <w:t xml:space="preserve"> la denuncia</w:t>
            </w:r>
            <w:r w:rsidRPr="003171F9">
              <w:rPr>
                <w:rFonts w:ascii="Calibri Light" w:hAnsi="Calibri Light"/>
                <w:b w:val="0"/>
              </w:rPr>
              <w:t xml:space="preserve"> en su contra</w:t>
            </w:r>
            <w:r w:rsidR="00B71DB7" w:rsidRPr="003171F9">
              <w:rPr>
                <w:rFonts w:ascii="Calibri Light" w:hAnsi="Calibri Light"/>
                <w:b w:val="0"/>
              </w:rPr>
              <w:t xml:space="preserve"> </w:t>
            </w:r>
            <w:r w:rsidR="008F15CD" w:rsidRPr="003171F9">
              <w:rPr>
                <w:rFonts w:ascii="Calibri Light" w:hAnsi="Calibri Light"/>
                <w:b w:val="0"/>
              </w:rPr>
              <w:t xml:space="preserve">por el delito </w:t>
            </w:r>
            <w:r w:rsidR="006C4484" w:rsidRPr="003171F9">
              <w:rPr>
                <w:rFonts w:ascii="Calibri Light" w:hAnsi="Calibri Light"/>
                <w:b w:val="0"/>
              </w:rPr>
              <w:t xml:space="preserve">de tráfico ilícito de drogas previsto en el </w:t>
            </w:r>
            <w:r w:rsidR="00CB3E30" w:rsidRPr="003171F9">
              <w:rPr>
                <w:rFonts w:ascii="Calibri Light" w:hAnsi="Calibri Light"/>
                <w:b w:val="0"/>
              </w:rPr>
              <w:t xml:space="preserve">artículo </w:t>
            </w:r>
            <w:r w:rsidR="00442C6B" w:rsidRPr="003171F9">
              <w:rPr>
                <w:rFonts w:ascii="Calibri Light" w:hAnsi="Calibri Light"/>
                <w:b w:val="0"/>
              </w:rPr>
              <w:t>296</w:t>
            </w:r>
            <w:r w:rsidR="00CB3E30" w:rsidRPr="003171F9">
              <w:rPr>
                <w:rFonts w:ascii="Calibri Light" w:hAnsi="Calibri Light"/>
                <w:b w:val="0"/>
              </w:rPr>
              <w:t xml:space="preserve"> del </w:t>
            </w:r>
            <w:r w:rsidR="006C4484" w:rsidRPr="003171F9">
              <w:rPr>
                <w:rFonts w:ascii="Calibri Light" w:hAnsi="Calibri Light"/>
                <w:b w:val="0"/>
              </w:rPr>
              <w:t xml:space="preserve">Código Penal, </w:t>
            </w:r>
            <w:r w:rsidR="006375B0" w:rsidRPr="003171F9">
              <w:rPr>
                <w:rFonts w:ascii="Calibri Light" w:hAnsi="Calibri Light"/>
                <w:b w:val="0"/>
              </w:rPr>
              <w:t>y por los delitos contra el deber y dignidad de la función, falsedad, negligencia, contra la administración de justicia y desobediencia</w:t>
            </w:r>
            <w:r w:rsidR="0083052F" w:rsidRPr="003171F9">
              <w:rPr>
                <w:rFonts w:ascii="Calibri Light" w:hAnsi="Calibri Light"/>
                <w:b w:val="0"/>
              </w:rPr>
              <w:t>,</w:t>
            </w:r>
            <w:r w:rsidR="006375B0" w:rsidRPr="003171F9">
              <w:rPr>
                <w:rFonts w:ascii="Calibri Light" w:hAnsi="Calibri Light"/>
                <w:b w:val="0"/>
              </w:rPr>
              <w:t xml:space="preserve"> contemplados en los artículos 200, 299, 238, 302, 180 y 158 del Código de Justicia Militar</w:t>
            </w:r>
            <w:r w:rsidR="008F15CD" w:rsidRPr="003171F9">
              <w:rPr>
                <w:rFonts w:ascii="Calibri Light" w:hAnsi="Calibri Light"/>
                <w:b w:val="0"/>
              </w:rPr>
              <w:t xml:space="preserve">. </w:t>
            </w:r>
            <w:r w:rsidR="0083052F" w:rsidRPr="003171F9">
              <w:rPr>
                <w:rFonts w:ascii="Calibri Light" w:hAnsi="Calibri Light"/>
                <w:b w:val="0"/>
              </w:rPr>
              <w:t>E</w:t>
            </w:r>
            <w:r w:rsidRPr="003171F9">
              <w:rPr>
                <w:rFonts w:ascii="Calibri Light" w:hAnsi="Calibri Light"/>
                <w:b w:val="0"/>
              </w:rPr>
              <w:t xml:space="preserve">n esa ocasión no se le informó sobre las faltas disciplinarias que habría cometido. </w:t>
            </w:r>
            <w:r w:rsidR="00CB3E30" w:rsidRPr="003171F9">
              <w:rPr>
                <w:rFonts w:ascii="Calibri Light" w:hAnsi="Calibri Light"/>
                <w:b w:val="0"/>
              </w:rPr>
              <w:t>En el marco de este proceso, e</w:t>
            </w:r>
            <w:r w:rsidR="00C23809" w:rsidRPr="003171F9">
              <w:rPr>
                <w:rFonts w:ascii="Calibri Light" w:hAnsi="Calibri Light"/>
                <w:b w:val="0"/>
              </w:rPr>
              <w:t>l señor Rosadio fue detenido bajo la figura de la detención preventiva desde el 14 de setiembre de 1994 hasta el 30 de junio de 1998, es decir</w:t>
            </w:r>
            <w:r w:rsidR="00CB3E30" w:rsidRPr="003171F9">
              <w:rPr>
                <w:rFonts w:ascii="Calibri Light" w:hAnsi="Calibri Light"/>
                <w:b w:val="0"/>
              </w:rPr>
              <w:t>,</w:t>
            </w:r>
            <w:r w:rsidR="00C23809" w:rsidRPr="003171F9">
              <w:rPr>
                <w:rFonts w:ascii="Calibri Light" w:hAnsi="Calibri Light"/>
                <w:b w:val="0"/>
              </w:rPr>
              <w:t xml:space="preserve"> por más</w:t>
            </w:r>
            <w:r w:rsidR="006C5CFF">
              <w:rPr>
                <w:rFonts w:ascii="Calibri Light" w:hAnsi="Calibri Light"/>
                <w:b w:val="0"/>
              </w:rPr>
              <w:t xml:space="preserve"> de </w:t>
            </w:r>
            <w:r w:rsidR="00C23809" w:rsidRPr="003171F9">
              <w:rPr>
                <w:rFonts w:ascii="Calibri Light" w:hAnsi="Calibri Light"/>
                <w:b w:val="0"/>
              </w:rPr>
              <w:t xml:space="preserve"> tres años y seis meses.</w:t>
            </w:r>
            <w:r w:rsidR="00C23809" w:rsidRPr="00923EFF">
              <w:rPr>
                <w:rFonts w:ascii="Calibri Light" w:hAnsi="Calibri Light"/>
                <w:b w:val="0"/>
              </w:rPr>
              <w:t xml:space="preserve"> </w:t>
            </w:r>
          </w:p>
          <w:p w14:paraId="6BCF7978" w14:textId="77777777" w:rsidR="00E169C8" w:rsidRPr="00923EFF" w:rsidRDefault="00E169C8" w:rsidP="00884A20">
            <w:pPr>
              <w:jc w:val="both"/>
              <w:rPr>
                <w:rFonts w:ascii="Calibri Light" w:hAnsi="Calibri Light"/>
                <w:b w:val="0"/>
              </w:rPr>
            </w:pPr>
          </w:p>
          <w:p w14:paraId="3A2E9298" w14:textId="60A9A410" w:rsidR="003A4AA1" w:rsidRPr="00923EFF" w:rsidRDefault="00CB3E30" w:rsidP="003A4AA1">
            <w:pPr>
              <w:jc w:val="both"/>
              <w:rPr>
                <w:rFonts w:ascii="Calibri Light" w:hAnsi="Calibri Light"/>
                <w:b w:val="0"/>
              </w:rPr>
            </w:pPr>
            <w:r w:rsidRPr="00923EFF">
              <w:rPr>
                <w:rFonts w:ascii="Calibri Light" w:hAnsi="Calibri Light"/>
                <w:b w:val="0"/>
              </w:rPr>
              <w:t>El 7 de febrero de 1995</w:t>
            </w:r>
            <w:r w:rsidR="00C23809" w:rsidRPr="00923EFF">
              <w:rPr>
                <w:rFonts w:ascii="Calibri Light" w:hAnsi="Calibri Light"/>
                <w:b w:val="0"/>
              </w:rPr>
              <w:t xml:space="preserve">, el señor </w:t>
            </w:r>
            <w:r w:rsidRPr="00923EFF">
              <w:rPr>
                <w:rFonts w:ascii="Calibri Light" w:hAnsi="Calibri Light"/>
                <w:b w:val="0"/>
              </w:rPr>
              <w:t xml:space="preserve">Rosadio </w:t>
            </w:r>
            <w:r w:rsidR="00C23809" w:rsidRPr="00923EFF">
              <w:rPr>
                <w:rFonts w:ascii="Calibri Light" w:hAnsi="Calibri Light"/>
                <w:b w:val="0"/>
              </w:rPr>
              <w:t xml:space="preserve">interpuso una solicitud de libertad incondicional, </w:t>
            </w:r>
            <w:r w:rsidR="005D3082" w:rsidRPr="00923EFF">
              <w:rPr>
                <w:rFonts w:ascii="Calibri Light" w:hAnsi="Calibri Light"/>
                <w:b w:val="0"/>
              </w:rPr>
              <w:t>la cual</w:t>
            </w:r>
            <w:r w:rsidR="00C23809" w:rsidRPr="00923EFF">
              <w:rPr>
                <w:rFonts w:ascii="Calibri Light" w:hAnsi="Calibri Light"/>
                <w:b w:val="0"/>
              </w:rPr>
              <w:t xml:space="preserve"> fue denegada</w:t>
            </w:r>
            <w:r w:rsidR="00775290" w:rsidRPr="00923EFF">
              <w:rPr>
                <w:rFonts w:ascii="Calibri Light" w:hAnsi="Calibri Light"/>
                <w:b w:val="0"/>
              </w:rPr>
              <w:t xml:space="preserve"> y frente a lo cual </w:t>
            </w:r>
            <w:r w:rsidR="006C5CFF">
              <w:rPr>
                <w:rFonts w:ascii="Calibri Light" w:hAnsi="Calibri Light"/>
                <w:b w:val="0"/>
              </w:rPr>
              <w:t xml:space="preserve">presentó </w:t>
            </w:r>
            <w:r w:rsidR="00775290" w:rsidRPr="00923EFF">
              <w:rPr>
                <w:rFonts w:ascii="Calibri Light" w:hAnsi="Calibri Light"/>
                <w:b w:val="0"/>
              </w:rPr>
              <w:t xml:space="preserve">un recurso de apelación que fue </w:t>
            </w:r>
            <w:r w:rsidR="00C23809" w:rsidRPr="00923EFF">
              <w:rPr>
                <w:rFonts w:ascii="Calibri Light" w:hAnsi="Calibri Light"/>
                <w:b w:val="0"/>
              </w:rPr>
              <w:t>rechazad</w:t>
            </w:r>
            <w:r w:rsidRPr="00923EFF">
              <w:rPr>
                <w:rFonts w:ascii="Calibri Light" w:hAnsi="Calibri Light"/>
                <w:b w:val="0"/>
              </w:rPr>
              <w:t>o</w:t>
            </w:r>
            <w:r w:rsidR="00C23809" w:rsidRPr="00923EFF">
              <w:rPr>
                <w:rFonts w:ascii="Calibri Light" w:hAnsi="Calibri Light"/>
                <w:b w:val="0"/>
              </w:rPr>
              <w:t xml:space="preserve">. </w:t>
            </w:r>
            <w:r w:rsidR="00775290" w:rsidRPr="00923EFF">
              <w:rPr>
                <w:rFonts w:ascii="Calibri Light" w:hAnsi="Calibri Light"/>
                <w:b w:val="0"/>
              </w:rPr>
              <w:t>E</w:t>
            </w:r>
            <w:r w:rsidR="00C71663" w:rsidRPr="00923EFF">
              <w:rPr>
                <w:rFonts w:ascii="Calibri Light" w:hAnsi="Calibri Light"/>
                <w:b w:val="0"/>
              </w:rPr>
              <w:t>se mismo día</w:t>
            </w:r>
            <w:r w:rsidR="003A4AA1" w:rsidRPr="00923EFF">
              <w:rPr>
                <w:rFonts w:ascii="Calibri Light" w:hAnsi="Calibri Light"/>
                <w:b w:val="0"/>
              </w:rPr>
              <w:t xml:space="preserve">, </w:t>
            </w:r>
            <w:r w:rsidR="00775290" w:rsidRPr="00923EFF">
              <w:rPr>
                <w:rFonts w:ascii="Calibri Light" w:hAnsi="Calibri Light"/>
                <w:b w:val="0"/>
              </w:rPr>
              <w:t xml:space="preserve">en el marco del proceso disciplinario seguido en su contra, </w:t>
            </w:r>
            <w:r w:rsidR="003A4AA1" w:rsidRPr="00923EFF">
              <w:rPr>
                <w:rFonts w:ascii="Calibri Light" w:hAnsi="Calibri Light"/>
                <w:b w:val="0"/>
              </w:rPr>
              <w:t>el Consejo de Investigación para Oficiales Subalternos</w:t>
            </w:r>
            <w:r w:rsidR="00C71663" w:rsidRPr="00923EFF">
              <w:rPr>
                <w:rFonts w:ascii="Calibri Light" w:hAnsi="Calibri Light"/>
                <w:b w:val="0"/>
              </w:rPr>
              <w:t xml:space="preserve"> </w:t>
            </w:r>
            <w:r w:rsidR="003A4AA1" w:rsidRPr="00923EFF">
              <w:rPr>
                <w:rFonts w:ascii="Calibri Light" w:hAnsi="Calibri Light"/>
                <w:b w:val="0"/>
              </w:rPr>
              <w:t xml:space="preserve">recomendó </w:t>
            </w:r>
            <w:r w:rsidR="00775290" w:rsidRPr="00923EFF">
              <w:rPr>
                <w:rFonts w:ascii="Calibri Light" w:hAnsi="Calibri Light"/>
                <w:b w:val="0"/>
              </w:rPr>
              <w:t xml:space="preserve">que </w:t>
            </w:r>
            <w:r w:rsidR="003A4AA1" w:rsidRPr="00923EFF">
              <w:rPr>
                <w:rFonts w:ascii="Calibri Light" w:hAnsi="Calibri Light"/>
                <w:b w:val="0"/>
              </w:rPr>
              <w:t>pasar</w:t>
            </w:r>
            <w:r w:rsidR="00775290" w:rsidRPr="00923EFF">
              <w:rPr>
                <w:rFonts w:ascii="Calibri Light" w:hAnsi="Calibri Light"/>
                <w:b w:val="0"/>
              </w:rPr>
              <w:t>a</w:t>
            </w:r>
            <w:r w:rsidR="003A4AA1" w:rsidRPr="00923EFF">
              <w:rPr>
                <w:rFonts w:ascii="Calibri Light" w:hAnsi="Calibri Light"/>
                <w:b w:val="0"/>
              </w:rPr>
              <w:t xml:space="preserve"> a la situación de retiro</w:t>
            </w:r>
            <w:r w:rsidR="00C71663" w:rsidRPr="00923EFF">
              <w:rPr>
                <w:rFonts w:ascii="Calibri Light" w:hAnsi="Calibri Light"/>
                <w:b w:val="0"/>
              </w:rPr>
              <w:t xml:space="preserve"> </w:t>
            </w:r>
            <w:r w:rsidR="003A4AA1" w:rsidRPr="00923EFF">
              <w:rPr>
                <w:rFonts w:ascii="Calibri Light" w:hAnsi="Calibri Light"/>
                <w:b w:val="0"/>
              </w:rPr>
              <w:t xml:space="preserve">por </w:t>
            </w:r>
            <w:r w:rsidR="007E5D86">
              <w:rPr>
                <w:rFonts w:ascii="Calibri Light" w:hAnsi="Calibri Light"/>
                <w:b w:val="0"/>
              </w:rPr>
              <w:t>“</w:t>
            </w:r>
            <w:r w:rsidR="003A4AA1" w:rsidRPr="00923EFF">
              <w:rPr>
                <w:rFonts w:ascii="Calibri Light" w:hAnsi="Calibri Light"/>
                <w:b w:val="0"/>
              </w:rPr>
              <w:t>Medida Disciplinaria (Faltas Contra el Honor, Decoro, Moral y Deberes Militares: Contra el Deber y Dignidad de la Función –Falsedad-Negligencia-Contra la Administración de Justicia –Desobediencia-Abuso de Autoridad</w:t>
            </w:r>
            <w:r w:rsidR="007E5D86">
              <w:rPr>
                <w:rFonts w:ascii="Calibri Light" w:hAnsi="Calibri Light"/>
                <w:b w:val="0"/>
              </w:rPr>
              <w:t>-tid [tráfico ilícito de drogas]</w:t>
            </w:r>
            <w:r w:rsidR="00B71DB7" w:rsidRPr="00923EFF">
              <w:rPr>
                <w:rFonts w:ascii="Calibri Light" w:hAnsi="Calibri Light"/>
                <w:b w:val="0"/>
              </w:rPr>
              <w:t>)</w:t>
            </w:r>
            <w:r w:rsidR="002375BD" w:rsidRPr="00923EFF">
              <w:rPr>
                <w:rFonts w:ascii="Calibri Light" w:hAnsi="Calibri Light"/>
                <w:b w:val="0"/>
              </w:rPr>
              <w:t>”. Cabe señalar que</w:t>
            </w:r>
            <w:r w:rsidR="003A4AA1" w:rsidRPr="00923EFF">
              <w:rPr>
                <w:rFonts w:ascii="Calibri Light" w:hAnsi="Calibri Light"/>
                <w:b w:val="0"/>
              </w:rPr>
              <w:t xml:space="preserve"> el señor Rosadio no </w:t>
            </w:r>
            <w:r w:rsidR="00775290" w:rsidRPr="00923EFF">
              <w:rPr>
                <w:rFonts w:ascii="Calibri Light" w:hAnsi="Calibri Light"/>
                <w:b w:val="0"/>
              </w:rPr>
              <w:t xml:space="preserve">compareció </w:t>
            </w:r>
            <w:r w:rsidR="003A4AA1" w:rsidRPr="00923EFF">
              <w:rPr>
                <w:rFonts w:ascii="Calibri Light" w:hAnsi="Calibri Light"/>
                <w:b w:val="0"/>
              </w:rPr>
              <w:t xml:space="preserve">ante el dicho órgano por estar privado de la  libertad. </w:t>
            </w:r>
            <w:r w:rsidR="00775290" w:rsidRPr="00923EFF">
              <w:rPr>
                <w:rFonts w:ascii="Calibri Light" w:hAnsi="Calibri Light"/>
                <w:b w:val="0"/>
              </w:rPr>
              <w:t xml:space="preserve">El 3 de marzo de 1995, la Comandancia General del Ejército determinó su pase a situación de retiro. </w:t>
            </w:r>
          </w:p>
          <w:p w14:paraId="7AF17BDC" w14:textId="77777777" w:rsidR="003A4AA1" w:rsidRPr="00923EFF" w:rsidRDefault="003A4AA1" w:rsidP="003A4AA1">
            <w:pPr>
              <w:jc w:val="both"/>
              <w:rPr>
                <w:rFonts w:ascii="Calibri Light" w:hAnsi="Calibri Light"/>
                <w:b w:val="0"/>
              </w:rPr>
            </w:pPr>
          </w:p>
          <w:p w14:paraId="3FEA512E" w14:textId="684D0BC5" w:rsidR="006D5B7B" w:rsidRPr="00923EFF" w:rsidRDefault="00C23809" w:rsidP="00357544">
            <w:pPr>
              <w:jc w:val="both"/>
              <w:rPr>
                <w:rFonts w:ascii="Calibri Light" w:hAnsi="Calibri Light"/>
                <w:b w:val="0"/>
                <w:lang w:val="es-AR"/>
              </w:rPr>
            </w:pPr>
            <w:r w:rsidRPr="00923EFF">
              <w:rPr>
                <w:rFonts w:ascii="Calibri Light" w:hAnsi="Calibri Light"/>
                <w:b w:val="0"/>
              </w:rPr>
              <w:t xml:space="preserve">Finalmente, </w:t>
            </w:r>
            <w:r w:rsidR="00CB3E30" w:rsidRPr="00923EFF">
              <w:rPr>
                <w:rFonts w:ascii="Calibri Light" w:hAnsi="Calibri Light"/>
                <w:b w:val="0"/>
              </w:rPr>
              <w:t xml:space="preserve">el 17 de abril de 1996, </w:t>
            </w:r>
            <w:r w:rsidRPr="00923EFF">
              <w:rPr>
                <w:rFonts w:ascii="Calibri Light" w:hAnsi="Calibri Light"/>
                <w:b w:val="0"/>
              </w:rPr>
              <w:t xml:space="preserve">el señor Rosadio </w:t>
            </w:r>
            <w:r w:rsidR="00EB258D" w:rsidRPr="00923EFF">
              <w:rPr>
                <w:rFonts w:ascii="Calibri Light" w:hAnsi="Calibri Light"/>
                <w:b w:val="0"/>
              </w:rPr>
              <w:t>fue condenad</w:t>
            </w:r>
            <w:r w:rsidRPr="00923EFF">
              <w:rPr>
                <w:rFonts w:ascii="Calibri Light" w:hAnsi="Calibri Light"/>
                <w:b w:val="0"/>
              </w:rPr>
              <w:t>o</w:t>
            </w:r>
            <w:r w:rsidR="00EB258D" w:rsidRPr="00923EFF">
              <w:rPr>
                <w:rFonts w:ascii="Calibri Light" w:hAnsi="Calibri Light"/>
                <w:b w:val="0"/>
              </w:rPr>
              <w:t xml:space="preserve"> a </w:t>
            </w:r>
            <w:r w:rsidR="00C71663" w:rsidRPr="00923EFF">
              <w:rPr>
                <w:rFonts w:ascii="Calibri Light" w:hAnsi="Calibri Light"/>
                <w:b w:val="0"/>
              </w:rPr>
              <w:t xml:space="preserve">6 </w:t>
            </w:r>
            <w:r w:rsidR="00EB258D" w:rsidRPr="00923EFF">
              <w:rPr>
                <w:rFonts w:ascii="Calibri Light" w:hAnsi="Calibri Light"/>
                <w:b w:val="0"/>
              </w:rPr>
              <w:t xml:space="preserve">años de prisión en la jurisdicción ordinaria por el delito de tráfico ilícito de drogas. </w:t>
            </w:r>
            <w:r w:rsidR="002375BD" w:rsidRPr="00923EFF">
              <w:rPr>
                <w:rFonts w:ascii="Calibri Light" w:hAnsi="Calibri Light"/>
                <w:b w:val="0"/>
              </w:rPr>
              <w:t xml:space="preserve">Dicha sentencia fue confirmada </w:t>
            </w:r>
            <w:r w:rsidR="00EB258D" w:rsidRPr="00923EFF">
              <w:rPr>
                <w:rFonts w:ascii="Calibri Light" w:hAnsi="Calibri Light"/>
                <w:b w:val="0"/>
              </w:rPr>
              <w:t>el 19 de junio de 1997</w:t>
            </w:r>
            <w:r w:rsidR="002375BD" w:rsidRPr="00923EFF">
              <w:rPr>
                <w:rFonts w:ascii="Calibri Light" w:hAnsi="Calibri Light"/>
                <w:b w:val="0"/>
              </w:rPr>
              <w:t xml:space="preserve"> por una decisión que además</w:t>
            </w:r>
            <w:r w:rsidR="00EB258D" w:rsidRPr="00923EFF">
              <w:rPr>
                <w:rFonts w:ascii="Calibri Light" w:hAnsi="Calibri Light"/>
                <w:b w:val="0"/>
              </w:rPr>
              <w:t xml:space="preserve"> aumentó la pena de 6 a 15 años de prisión. </w:t>
            </w:r>
            <w:r w:rsidR="00CB3E30" w:rsidRPr="00923EFF">
              <w:rPr>
                <w:rFonts w:ascii="Calibri Light" w:hAnsi="Calibri Light"/>
                <w:b w:val="0"/>
              </w:rPr>
              <w:t xml:space="preserve">De otra parte, </w:t>
            </w:r>
            <w:r w:rsidR="003E09A4" w:rsidRPr="00923EFF">
              <w:rPr>
                <w:rFonts w:ascii="Calibri Light" w:hAnsi="Calibri Light"/>
                <w:b w:val="0"/>
              </w:rPr>
              <w:t>e</w:t>
            </w:r>
            <w:r w:rsidRPr="00923EFF">
              <w:rPr>
                <w:rFonts w:ascii="Calibri Light" w:hAnsi="Calibri Light"/>
                <w:b w:val="0"/>
              </w:rPr>
              <w:t>n la jurisdicción militar</w:t>
            </w:r>
            <w:r w:rsidR="00B71DB7" w:rsidRPr="00923EFF">
              <w:rPr>
                <w:rFonts w:ascii="Calibri Light" w:hAnsi="Calibri Light"/>
                <w:b w:val="0"/>
              </w:rPr>
              <w:t xml:space="preserve">, </w:t>
            </w:r>
            <w:r w:rsidR="006C5CFF">
              <w:rPr>
                <w:rFonts w:ascii="Calibri Light" w:hAnsi="Calibri Light"/>
                <w:b w:val="0"/>
              </w:rPr>
              <w:t>el 17 de octubre de 1995, la Fiscalía Militar formuló acusación en su contra por los delitos contra el deber y dignidad de la función, abuso de autoridad y negligencia. Los peticionarios señalaron que el señor Rosadio no fue notificado con dicha acusación. Posteriormente, e</w:t>
            </w:r>
            <w:r w:rsidR="00B71DB7" w:rsidRPr="00923EFF">
              <w:rPr>
                <w:rFonts w:ascii="Calibri Light" w:hAnsi="Calibri Light"/>
                <w:b w:val="0"/>
              </w:rPr>
              <w:t>l 29 de noviembre de 1996, el Consejo de Guerra Permanente de la Sexta Zona Judicial del Ejército condenó al señor Rosadio a 16 meses de prisión por la comisión del delito de negligencia</w:t>
            </w:r>
            <w:r w:rsidR="00775290" w:rsidRPr="00923EFF">
              <w:rPr>
                <w:rFonts w:ascii="Calibri Light" w:hAnsi="Calibri Light"/>
                <w:b w:val="0"/>
              </w:rPr>
              <w:t xml:space="preserve">. </w:t>
            </w:r>
            <w:r w:rsidR="006D5B7B" w:rsidRPr="00923EFF">
              <w:rPr>
                <w:rFonts w:ascii="Calibri Light" w:hAnsi="Calibri Light"/>
                <w:b w:val="0"/>
              </w:rPr>
              <w:t>Dicha sentencia fue apelada por</w:t>
            </w:r>
            <w:r w:rsidR="00B71DB7" w:rsidRPr="00923EFF">
              <w:rPr>
                <w:rFonts w:ascii="Calibri Light" w:hAnsi="Calibri Light"/>
                <w:b w:val="0"/>
              </w:rPr>
              <w:t xml:space="preserve"> el Fiscal del Consejo de Justicia Militar. </w:t>
            </w:r>
            <w:r w:rsidR="00775290" w:rsidRPr="00923EFF">
              <w:rPr>
                <w:rFonts w:ascii="Calibri Light" w:hAnsi="Calibri Light"/>
                <w:b w:val="0"/>
              </w:rPr>
              <w:t>Ante ello, e</w:t>
            </w:r>
            <w:r w:rsidR="00B71DB7" w:rsidRPr="00923EFF">
              <w:rPr>
                <w:rFonts w:ascii="Calibri Light" w:hAnsi="Calibri Light"/>
                <w:b w:val="0"/>
                <w:lang w:val="es-AR"/>
              </w:rPr>
              <w:t>l 16 de septiembre de 1997</w:t>
            </w:r>
            <w:r w:rsidR="00C71663" w:rsidRPr="00923EFF">
              <w:rPr>
                <w:rFonts w:ascii="Calibri Light" w:hAnsi="Calibri Light"/>
                <w:b w:val="0"/>
                <w:lang w:val="es-AR"/>
              </w:rPr>
              <w:t>,</w:t>
            </w:r>
            <w:r w:rsidR="00B71DB7" w:rsidRPr="00923EFF">
              <w:rPr>
                <w:rFonts w:ascii="Calibri Light" w:hAnsi="Calibri Light"/>
                <w:b w:val="0"/>
                <w:lang w:val="es-AR"/>
              </w:rPr>
              <w:t xml:space="preserve"> el Consejo Supremo de Justicia Militar declaró nula la sentencia </w:t>
            </w:r>
            <w:r w:rsidR="006D5B7B" w:rsidRPr="00923EFF">
              <w:rPr>
                <w:rFonts w:ascii="Calibri Light" w:hAnsi="Calibri Light"/>
                <w:b w:val="0"/>
                <w:lang w:val="es-AR"/>
              </w:rPr>
              <w:t xml:space="preserve">y recomendó al órgano correspondiente tomar en cuenta que el señor Rosadio habría cometido el delito de desobediencia. En ese sentido, el 15 de diciembre de 1997, el Consejo de Guerra lo condenó a 28 meses de prisión por dicho delito. </w:t>
            </w:r>
            <w:r w:rsidR="003E09A4" w:rsidRPr="00923EFF">
              <w:rPr>
                <w:rFonts w:ascii="Calibri Light" w:hAnsi="Calibri Light"/>
                <w:b w:val="0"/>
                <w:lang w:val="es-AR"/>
              </w:rPr>
              <w:t>Esta sentencia lo absolvió</w:t>
            </w:r>
            <w:r w:rsidR="006D5B7B" w:rsidRPr="00923EFF">
              <w:rPr>
                <w:rFonts w:ascii="Calibri Light" w:hAnsi="Calibri Light"/>
                <w:b w:val="0"/>
                <w:lang w:val="es-AR"/>
              </w:rPr>
              <w:t xml:space="preserve"> de los delitos contra el deber y dignidad de la función, falsedad, negligencia y abuso de autoridad.</w:t>
            </w:r>
          </w:p>
          <w:p w14:paraId="7C79442F" w14:textId="77777777" w:rsidR="006D5B7B" w:rsidRPr="00923EFF" w:rsidRDefault="006D5B7B" w:rsidP="00357544">
            <w:pPr>
              <w:jc w:val="both"/>
              <w:rPr>
                <w:rFonts w:ascii="Calibri Light" w:hAnsi="Calibri Light"/>
                <w:b w:val="0"/>
                <w:lang w:val="es-AR"/>
              </w:rPr>
            </w:pPr>
          </w:p>
          <w:p w14:paraId="1315CD31" w14:textId="71927D2E" w:rsidR="00C3765A" w:rsidRPr="00923EFF" w:rsidRDefault="000372C6" w:rsidP="00A73593">
            <w:pPr>
              <w:jc w:val="both"/>
              <w:rPr>
                <w:rFonts w:ascii="Calibri Light" w:hAnsi="Calibri Light"/>
                <w:b w:val="0"/>
              </w:rPr>
            </w:pPr>
            <w:r w:rsidRPr="00923EFF">
              <w:rPr>
                <w:rFonts w:ascii="Calibri Light" w:hAnsi="Calibri Light"/>
                <w:b w:val="0"/>
              </w:rPr>
              <w:t>Frente a tales hechos, Amelia Villavicencio de Rosadio presentó una petición ante la</w:t>
            </w:r>
            <w:r w:rsidR="00B82C13" w:rsidRPr="00923EFF">
              <w:rPr>
                <w:rFonts w:ascii="Calibri Light" w:hAnsi="Calibri Light"/>
                <w:b w:val="0"/>
              </w:rPr>
              <w:t xml:space="preserve"> </w:t>
            </w:r>
            <w:r w:rsidRPr="00923EFF">
              <w:rPr>
                <w:rFonts w:ascii="Calibri Light" w:hAnsi="Calibri Light"/>
                <w:b w:val="0"/>
              </w:rPr>
              <w:t xml:space="preserve">CIDH, denunciando que el Estado de Perú había vulnerado los derechos del señor Rosadio a la libertad personal, a las garantías judiciales y a la protección judicial, reconocidos en la Convención Americana sobre Derechos Humanos (en adelante, CADH). </w:t>
            </w:r>
            <w:r w:rsidR="00F857CE" w:rsidRPr="00923EFF">
              <w:rPr>
                <w:rFonts w:ascii="Calibri Light" w:hAnsi="Calibri Light"/>
                <w:b w:val="0"/>
              </w:rPr>
              <w:t xml:space="preserve">Con posterioridad se incorporaron como peticionarios Carlos Alfonso Rosadio Villavicencio y César Villacorta Spinner. El 30 de abril </w:t>
            </w:r>
            <w:r w:rsidR="00F857CE" w:rsidRPr="00923EFF">
              <w:rPr>
                <w:rFonts w:ascii="Calibri Light" w:hAnsi="Calibri Light"/>
                <w:b w:val="0"/>
              </w:rPr>
              <w:lastRenderedPageBreak/>
              <w:t>de 1998</w:t>
            </w:r>
            <w:r w:rsidR="00A270B0" w:rsidRPr="00923EFF">
              <w:rPr>
                <w:rFonts w:ascii="Calibri Light" w:hAnsi="Calibri Light"/>
                <w:b w:val="0"/>
              </w:rPr>
              <w:t>,</w:t>
            </w:r>
            <w:r w:rsidR="00F857CE" w:rsidRPr="00923EFF">
              <w:rPr>
                <w:rFonts w:ascii="Calibri Light" w:hAnsi="Calibri Light"/>
                <w:b w:val="0"/>
              </w:rPr>
              <w:t xml:space="preserve"> </w:t>
            </w:r>
            <w:r w:rsidR="00775290" w:rsidRPr="00923EFF">
              <w:rPr>
                <w:rFonts w:ascii="Calibri Light" w:hAnsi="Calibri Light"/>
                <w:b w:val="0"/>
              </w:rPr>
              <w:t>la señora Villavicencio</w:t>
            </w:r>
            <w:r w:rsidR="00F857CE" w:rsidRPr="00923EFF">
              <w:rPr>
                <w:rFonts w:ascii="Calibri Light" w:hAnsi="Calibri Light"/>
                <w:b w:val="0"/>
              </w:rPr>
              <w:t xml:space="preserve"> designó como peticionaria a Carolina Loayza Tamayo</w:t>
            </w:r>
            <w:r w:rsidR="00A270B0" w:rsidRPr="00923EFF">
              <w:rPr>
                <w:rFonts w:ascii="Calibri Light" w:hAnsi="Calibri Light"/>
                <w:b w:val="0"/>
              </w:rPr>
              <w:t>,</w:t>
            </w:r>
            <w:r w:rsidR="00F857CE" w:rsidRPr="00923EFF">
              <w:rPr>
                <w:rFonts w:ascii="Calibri Light" w:hAnsi="Calibri Light"/>
                <w:b w:val="0"/>
              </w:rPr>
              <w:t xml:space="preserve"> quien actuó como </w:t>
            </w:r>
            <w:r w:rsidR="00A270B0" w:rsidRPr="00923EFF">
              <w:rPr>
                <w:rFonts w:ascii="Calibri Light" w:hAnsi="Calibri Light"/>
                <w:b w:val="0"/>
              </w:rPr>
              <w:t>tal</w:t>
            </w:r>
            <w:r w:rsidR="00F857CE" w:rsidRPr="00923EFF">
              <w:rPr>
                <w:rFonts w:ascii="Calibri Light" w:hAnsi="Calibri Light"/>
                <w:b w:val="0"/>
              </w:rPr>
              <w:t xml:space="preserve"> hasta el 24 de julio de 2003</w:t>
            </w:r>
            <w:r w:rsidR="00E47126" w:rsidRPr="00923EFF">
              <w:rPr>
                <w:rFonts w:ascii="Calibri Light" w:hAnsi="Calibri Light"/>
                <w:b w:val="0"/>
              </w:rPr>
              <w:t>.</w:t>
            </w:r>
          </w:p>
          <w:p w14:paraId="6543A68A" w14:textId="07AD0141" w:rsidR="00680A41" w:rsidRPr="00923EFF" w:rsidRDefault="00680A41" w:rsidP="00A73593">
            <w:pPr>
              <w:jc w:val="both"/>
              <w:rPr>
                <w:rFonts w:ascii="Calibri Light" w:hAnsi="Calibri Light"/>
                <w:b w:val="0"/>
              </w:rPr>
            </w:pPr>
          </w:p>
        </w:tc>
      </w:tr>
      <w:tr w:rsidR="005173CF" w:rsidRPr="00923EFF" w14:paraId="7B81A2F3" w14:textId="77777777" w:rsidTr="00C3765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923EFF" w:rsidRDefault="00AC6F31" w:rsidP="009506AF">
            <w:pPr>
              <w:pStyle w:val="ListParagraph"/>
              <w:rPr>
                <w:rFonts w:ascii="Calibri Light" w:hAnsi="Calibri Light"/>
              </w:rPr>
            </w:pPr>
          </w:p>
          <w:p w14:paraId="1FB8AB09" w14:textId="77777777" w:rsidR="005173CF" w:rsidRPr="00923EFF" w:rsidRDefault="003E6AB8" w:rsidP="009506AF">
            <w:pPr>
              <w:pStyle w:val="ListParagraph"/>
              <w:numPr>
                <w:ilvl w:val="0"/>
                <w:numId w:val="2"/>
              </w:numPr>
              <w:jc w:val="center"/>
              <w:rPr>
                <w:rFonts w:ascii="Calibri Light" w:hAnsi="Calibri Light"/>
              </w:rPr>
            </w:pPr>
            <w:r w:rsidRPr="00923EFF">
              <w:rPr>
                <w:rFonts w:ascii="Calibri Light" w:hAnsi="Calibri Light"/>
              </w:rPr>
              <w:t>Análisis jurídico</w:t>
            </w:r>
          </w:p>
          <w:p w14:paraId="158A739A" w14:textId="77777777" w:rsidR="00AC6F31" w:rsidRPr="00923EFF" w:rsidRDefault="00AC6F31" w:rsidP="009506AF">
            <w:pPr>
              <w:pStyle w:val="ListParagraph"/>
              <w:rPr>
                <w:rFonts w:ascii="Calibri Light" w:hAnsi="Calibri Light"/>
              </w:rPr>
            </w:pPr>
          </w:p>
        </w:tc>
      </w:tr>
      <w:tr w:rsidR="005173CF" w:rsidRPr="00923EFF" w14:paraId="71AB3B44" w14:textId="77777777" w:rsidTr="000928B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721" w:type="dxa"/>
            <w:gridSpan w:val="3"/>
          </w:tcPr>
          <w:p w14:paraId="6EC97A0D" w14:textId="77777777" w:rsidR="006C5CFF" w:rsidRDefault="006C5CFF" w:rsidP="009506AF">
            <w:pPr>
              <w:jc w:val="both"/>
              <w:rPr>
                <w:rFonts w:ascii="Calibri Light" w:hAnsi="Calibri Light"/>
              </w:rPr>
            </w:pPr>
          </w:p>
          <w:p w14:paraId="1C62EEC1" w14:textId="3FE066F4" w:rsidR="00336C3B" w:rsidRPr="00923EFF" w:rsidRDefault="00810849" w:rsidP="009506AF">
            <w:pPr>
              <w:jc w:val="both"/>
              <w:rPr>
                <w:rFonts w:ascii="Calibri Light" w:hAnsi="Calibri Light"/>
              </w:rPr>
            </w:pPr>
            <w:r w:rsidRPr="00923EFF">
              <w:rPr>
                <w:rFonts w:ascii="Calibri Light" w:hAnsi="Calibri Light"/>
              </w:rPr>
              <w:t>Derecho a las garantías judiciales en relación con el proces</w:t>
            </w:r>
            <w:r w:rsidR="009506AF" w:rsidRPr="00923EFF">
              <w:rPr>
                <w:rFonts w:ascii="Calibri Light" w:hAnsi="Calibri Light"/>
              </w:rPr>
              <w:t>o administrativo disciplinario</w:t>
            </w:r>
            <w:r w:rsidR="000372C6" w:rsidRPr="00923EFF">
              <w:rPr>
                <w:rFonts w:ascii="Calibri Light" w:hAnsi="Calibri Light"/>
              </w:rPr>
              <w:t xml:space="preserve"> (artículo 8 de la CADH) </w:t>
            </w:r>
            <w:r w:rsidR="009506AF" w:rsidRPr="00923EFF">
              <w:rPr>
                <w:rFonts w:ascii="Calibri Light" w:hAnsi="Calibri Light"/>
              </w:rPr>
              <w:t xml:space="preserve"> </w:t>
            </w:r>
          </w:p>
          <w:p w14:paraId="1B56B704" w14:textId="77777777" w:rsidR="003500DD" w:rsidRPr="00923EFF" w:rsidRDefault="003500DD" w:rsidP="009506AF">
            <w:pPr>
              <w:jc w:val="both"/>
              <w:rPr>
                <w:rFonts w:ascii="Calibri Light" w:hAnsi="Calibri Light"/>
              </w:rPr>
            </w:pPr>
          </w:p>
          <w:p w14:paraId="3EA1B28D" w14:textId="54D312A7" w:rsidR="00D1375C" w:rsidRPr="00923EFF" w:rsidRDefault="000B0DAA" w:rsidP="009506AF">
            <w:pPr>
              <w:jc w:val="both"/>
              <w:rPr>
                <w:rFonts w:ascii="Calibri Light" w:hAnsi="Calibri Light"/>
                <w:b w:val="0"/>
              </w:rPr>
            </w:pPr>
            <w:r w:rsidRPr="00923EFF">
              <w:rPr>
                <w:rFonts w:ascii="Calibri Light" w:hAnsi="Calibri Light"/>
                <w:b w:val="0"/>
              </w:rPr>
              <w:t xml:space="preserve">La CIDH recordó que las garantías establecidas en el artículo 8 de la CADH no se limitan exclusivamente a procesos penales. En ese sentido, señaló que </w:t>
            </w:r>
            <w:r w:rsidR="004A039C" w:rsidRPr="00923EFF">
              <w:rPr>
                <w:rFonts w:ascii="Calibri Light" w:hAnsi="Calibri Light"/>
                <w:b w:val="0"/>
              </w:rPr>
              <w:t>aquellas</w:t>
            </w:r>
            <w:r w:rsidRPr="00923EFF">
              <w:rPr>
                <w:rFonts w:ascii="Calibri Light" w:hAnsi="Calibri Light"/>
                <w:b w:val="0"/>
              </w:rPr>
              <w:t xml:space="preserve"> previstas en el artículo 8.2 de la CADH resultan aplicables </w:t>
            </w:r>
            <w:r w:rsidR="006C5CFF">
              <w:rPr>
                <w:rFonts w:ascii="Calibri Light" w:hAnsi="Calibri Light"/>
                <w:b w:val="0"/>
              </w:rPr>
              <w:t xml:space="preserve">también </w:t>
            </w:r>
            <w:r w:rsidRPr="00923EFF">
              <w:rPr>
                <w:rFonts w:ascii="Calibri Light" w:hAnsi="Calibri Light"/>
                <w:b w:val="0"/>
              </w:rPr>
              <w:t xml:space="preserve">a procesos sancionadores, como el procedimiento </w:t>
            </w:r>
            <w:r w:rsidR="00D1375C" w:rsidRPr="00923EFF">
              <w:rPr>
                <w:rFonts w:ascii="Calibri Light" w:hAnsi="Calibri Light"/>
                <w:b w:val="0"/>
              </w:rPr>
              <w:t>disciplinario</w:t>
            </w:r>
            <w:r w:rsidRPr="00923EFF">
              <w:rPr>
                <w:rFonts w:ascii="Calibri Light" w:hAnsi="Calibri Light"/>
                <w:b w:val="0"/>
              </w:rPr>
              <w:t xml:space="preserve"> </w:t>
            </w:r>
            <w:r w:rsidR="004A039C" w:rsidRPr="00923EFF">
              <w:rPr>
                <w:rFonts w:ascii="Calibri Light" w:hAnsi="Calibri Light"/>
                <w:b w:val="0"/>
              </w:rPr>
              <w:t>seguido</w:t>
            </w:r>
            <w:r w:rsidRPr="00923EFF">
              <w:rPr>
                <w:rFonts w:ascii="Calibri Light" w:hAnsi="Calibri Light"/>
                <w:b w:val="0"/>
              </w:rPr>
              <w:t xml:space="preserve"> contra el señor Rosadio </w:t>
            </w:r>
            <w:r w:rsidR="004A039C" w:rsidRPr="00923EFF">
              <w:rPr>
                <w:rFonts w:ascii="Calibri Light" w:hAnsi="Calibri Light"/>
                <w:b w:val="0"/>
              </w:rPr>
              <w:t>que</w:t>
            </w:r>
            <w:r w:rsidRPr="00923EFF">
              <w:rPr>
                <w:rFonts w:ascii="Calibri Light" w:hAnsi="Calibri Light"/>
                <w:b w:val="0"/>
              </w:rPr>
              <w:t xml:space="preserve"> concluyó con la </w:t>
            </w:r>
            <w:r w:rsidR="00D1375C" w:rsidRPr="00923EFF">
              <w:rPr>
                <w:rFonts w:ascii="Calibri Light" w:hAnsi="Calibri Light"/>
                <w:b w:val="0"/>
              </w:rPr>
              <w:t>decisión</w:t>
            </w:r>
            <w:r w:rsidRPr="00923EFF">
              <w:rPr>
                <w:rFonts w:ascii="Calibri Light" w:hAnsi="Calibri Light"/>
                <w:b w:val="0"/>
              </w:rPr>
              <w:t xml:space="preserve"> de pasarlo a retiro.</w:t>
            </w:r>
            <w:r w:rsidR="00D1375C" w:rsidRPr="00923EFF">
              <w:rPr>
                <w:rFonts w:ascii="Calibri Light" w:hAnsi="Calibri Light"/>
                <w:b w:val="0"/>
              </w:rPr>
              <w:t xml:space="preserve"> Dentro de las garantías de dicho artículo relevantes para e</w:t>
            </w:r>
            <w:r w:rsidR="0062514D" w:rsidRPr="00923EFF">
              <w:rPr>
                <w:rFonts w:ascii="Calibri Light" w:hAnsi="Calibri Light"/>
                <w:b w:val="0"/>
              </w:rPr>
              <w:t xml:space="preserve">l </w:t>
            </w:r>
            <w:r w:rsidR="00D1375C" w:rsidRPr="00923EFF">
              <w:rPr>
                <w:rFonts w:ascii="Calibri Light" w:hAnsi="Calibri Light"/>
                <w:b w:val="0"/>
              </w:rPr>
              <w:t xml:space="preserve">caso, la CIDH </w:t>
            </w:r>
            <w:r w:rsidR="0062514D" w:rsidRPr="00923EFF">
              <w:rPr>
                <w:rFonts w:ascii="Calibri Light" w:hAnsi="Calibri Light"/>
                <w:b w:val="0"/>
              </w:rPr>
              <w:t>identific</w:t>
            </w:r>
            <w:r w:rsidR="00D1375C" w:rsidRPr="00923EFF">
              <w:rPr>
                <w:rFonts w:ascii="Calibri Light" w:hAnsi="Calibri Light"/>
                <w:b w:val="0"/>
              </w:rPr>
              <w:t xml:space="preserve">ó al derecho a conocer </w:t>
            </w:r>
            <w:r w:rsidR="00406461" w:rsidRPr="00923EFF">
              <w:rPr>
                <w:rFonts w:ascii="Calibri Light" w:hAnsi="Calibri Light"/>
                <w:b w:val="0"/>
              </w:rPr>
              <w:t>previa y detalladamente la acusación</w:t>
            </w:r>
            <w:r w:rsidR="00D1375C" w:rsidRPr="00923EFF">
              <w:rPr>
                <w:rFonts w:ascii="Calibri Light" w:hAnsi="Calibri Light"/>
                <w:b w:val="0"/>
              </w:rPr>
              <w:t>. Este</w:t>
            </w:r>
            <w:r w:rsidR="00406461" w:rsidRPr="00923EFF">
              <w:rPr>
                <w:rFonts w:ascii="Calibri Light" w:hAnsi="Calibri Light"/>
                <w:b w:val="0"/>
              </w:rPr>
              <w:t xml:space="preserve"> exige la notificación al inculpado sobre la acusación formulada en su contra, las razones y los delitos o faltas por los cuales se le atribuye responsabilidad.</w:t>
            </w:r>
            <w:r w:rsidR="003F68BD" w:rsidRPr="00923EFF">
              <w:rPr>
                <w:rFonts w:ascii="Calibri Light" w:hAnsi="Calibri Light"/>
                <w:b w:val="0"/>
              </w:rPr>
              <w:t xml:space="preserve"> </w:t>
            </w:r>
            <w:r w:rsidR="00406461" w:rsidRPr="00923EFF">
              <w:rPr>
                <w:rFonts w:ascii="Calibri Light" w:hAnsi="Calibri Light"/>
                <w:b w:val="0"/>
              </w:rPr>
              <w:t>Asimismo,</w:t>
            </w:r>
            <w:r w:rsidR="00753904" w:rsidRPr="00923EFF">
              <w:rPr>
                <w:rFonts w:ascii="Calibri Light" w:hAnsi="Calibri Light"/>
                <w:b w:val="0"/>
              </w:rPr>
              <w:t xml:space="preserve"> </w:t>
            </w:r>
            <w:r w:rsidR="0062514D" w:rsidRPr="00923EFF">
              <w:rPr>
                <w:rFonts w:ascii="Calibri Light" w:hAnsi="Calibri Light"/>
                <w:b w:val="0"/>
              </w:rPr>
              <w:t>se refirió</w:t>
            </w:r>
            <w:r w:rsidR="00D1375C" w:rsidRPr="00923EFF">
              <w:rPr>
                <w:rFonts w:ascii="Calibri Light" w:hAnsi="Calibri Light"/>
                <w:b w:val="0"/>
              </w:rPr>
              <w:t xml:space="preserve"> a </w:t>
            </w:r>
            <w:r w:rsidR="00406461" w:rsidRPr="00923EFF">
              <w:rPr>
                <w:rFonts w:ascii="Calibri Light" w:hAnsi="Calibri Light"/>
                <w:b w:val="0"/>
              </w:rPr>
              <w:t>la garantía de contar con los medios adecuados para la defensa</w:t>
            </w:r>
            <w:r w:rsidR="00D1375C" w:rsidRPr="00923EFF">
              <w:rPr>
                <w:rFonts w:ascii="Calibri Light" w:hAnsi="Calibri Light"/>
                <w:b w:val="0"/>
              </w:rPr>
              <w:t>, la cual implica que el inculpado tenga acceso al conocimiento del expediente y a las actuaciones relacionadas con lo</w:t>
            </w:r>
            <w:r w:rsidR="0062514D" w:rsidRPr="00923EFF">
              <w:rPr>
                <w:rFonts w:ascii="Calibri Light" w:hAnsi="Calibri Light"/>
                <w:b w:val="0"/>
              </w:rPr>
              <w:t xml:space="preserve">s cargos y la detención, y pueda participar en el análisis de la prueba. </w:t>
            </w:r>
          </w:p>
          <w:p w14:paraId="5B89D9AF" w14:textId="77777777" w:rsidR="00D1375C" w:rsidRPr="00923EFF" w:rsidRDefault="00D1375C" w:rsidP="009506AF">
            <w:pPr>
              <w:jc w:val="both"/>
              <w:rPr>
                <w:rFonts w:ascii="Calibri Light" w:hAnsi="Calibri Light"/>
                <w:b w:val="0"/>
              </w:rPr>
            </w:pPr>
          </w:p>
          <w:p w14:paraId="02603632" w14:textId="2319DDA4" w:rsidR="00C46812" w:rsidRPr="00923EFF" w:rsidRDefault="0062514D" w:rsidP="009506AF">
            <w:pPr>
              <w:jc w:val="both"/>
              <w:rPr>
                <w:rFonts w:ascii="Calibri Light" w:hAnsi="Calibri Light"/>
                <w:b w:val="0"/>
              </w:rPr>
            </w:pPr>
            <w:r w:rsidRPr="00923EFF">
              <w:rPr>
                <w:rFonts w:ascii="Calibri Light" w:hAnsi="Calibri Light"/>
                <w:b w:val="0"/>
              </w:rPr>
              <w:t xml:space="preserve">Por otra parte, destacó el </w:t>
            </w:r>
            <w:r w:rsidR="00406461" w:rsidRPr="00923EFF">
              <w:rPr>
                <w:rFonts w:ascii="Calibri Light" w:hAnsi="Calibri Light"/>
                <w:b w:val="0"/>
              </w:rPr>
              <w:t>derecho a la defensa</w:t>
            </w:r>
            <w:r w:rsidR="00753904" w:rsidRPr="00923EFF">
              <w:rPr>
                <w:rFonts w:ascii="Calibri Light" w:hAnsi="Calibri Light"/>
                <w:b w:val="0"/>
              </w:rPr>
              <w:t xml:space="preserve">, </w:t>
            </w:r>
            <w:r w:rsidRPr="00923EFF">
              <w:rPr>
                <w:rFonts w:ascii="Calibri Light" w:hAnsi="Calibri Light"/>
                <w:b w:val="0"/>
              </w:rPr>
              <w:t xml:space="preserve">el cual significa </w:t>
            </w:r>
            <w:r w:rsidR="00406461" w:rsidRPr="00923EFF">
              <w:rPr>
                <w:rFonts w:ascii="Calibri Light" w:hAnsi="Calibri Light"/>
                <w:b w:val="0"/>
              </w:rPr>
              <w:t>que la per</w:t>
            </w:r>
            <w:r w:rsidRPr="00923EFF">
              <w:rPr>
                <w:rFonts w:ascii="Calibri Light" w:hAnsi="Calibri Light"/>
                <w:b w:val="0"/>
              </w:rPr>
              <w:t>sona sometida a un proceso pueda</w:t>
            </w:r>
            <w:r w:rsidR="00406461" w:rsidRPr="00923EFF">
              <w:rPr>
                <w:rFonts w:ascii="Calibri Light" w:hAnsi="Calibri Light"/>
                <w:b w:val="0"/>
              </w:rPr>
              <w:t xml:space="preserve"> defender sus intereses o derechos de manera efectiva y en c</w:t>
            </w:r>
            <w:r w:rsidR="00C46812" w:rsidRPr="00923EFF">
              <w:rPr>
                <w:rFonts w:ascii="Calibri Light" w:hAnsi="Calibri Light"/>
                <w:b w:val="0"/>
              </w:rPr>
              <w:t xml:space="preserve">ondiciones de igualdad procesal. </w:t>
            </w:r>
            <w:r w:rsidRPr="00923EFF">
              <w:rPr>
                <w:rFonts w:ascii="Calibri Light" w:hAnsi="Calibri Light"/>
                <w:b w:val="0"/>
              </w:rPr>
              <w:t>En cuanto al</w:t>
            </w:r>
            <w:r w:rsidR="00C46812" w:rsidRPr="00923EFF">
              <w:rPr>
                <w:rFonts w:ascii="Calibri Light" w:hAnsi="Calibri Light"/>
                <w:b w:val="0"/>
              </w:rPr>
              <w:t xml:space="preserve"> principio de presunción de inocencia, </w:t>
            </w:r>
            <w:r w:rsidRPr="00923EFF">
              <w:rPr>
                <w:rFonts w:ascii="Calibri Light" w:hAnsi="Calibri Light"/>
                <w:b w:val="0"/>
              </w:rPr>
              <w:t xml:space="preserve">recordó que </w:t>
            </w:r>
            <w:r w:rsidR="00C46812" w:rsidRPr="00923EFF">
              <w:rPr>
                <w:rFonts w:ascii="Calibri Light" w:hAnsi="Calibri Light"/>
                <w:b w:val="0"/>
              </w:rPr>
              <w:t xml:space="preserve">la Corte IDH ha manifestado que </w:t>
            </w:r>
            <w:r w:rsidRPr="00923EFF">
              <w:rPr>
                <w:rFonts w:ascii="Calibri Light" w:hAnsi="Calibri Light"/>
                <w:b w:val="0"/>
              </w:rPr>
              <w:t>e</w:t>
            </w:r>
            <w:r w:rsidR="00C46812" w:rsidRPr="00923EFF">
              <w:rPr>
                <w:rFonts w:ascii="Calibri Light" w:hAnsi="Calibri Light"/>
                <w:b w:val="0"/>
              </w:rPr>
              <w:t>ste implica que el acusado no de</w:t>
            </w:r>
            <w:r w:rsidRPr="00923EFF">
              <w:rPr>
                <w:rFonts w:ascii="Calibri Light" w:hAnsi="Calibri Light"/>
                <w:b w:val="0"/>
              </w:rPr>
              <w:t>ba</w:t>
            </w:r>
            <w:r w:rsidR="00C46812" w:rsidRPr="00923EFF">
              <w:rPr>
                <w:rFonts w:ascii="Calibri Light" w:hAnsi="Calibri Light"/>
                <w:b w:val="0"/>
              </w:rPr>
              <w:t xml:space="preserve"> demostrar que no ha cometido el delito que se le atribuye</w:t>
            </w:r>
            <w:r w:rsidRPr="00923EFF">
              <w:rPr>
                <w:rFonts w:ascii="Calibri Light" w:hAnsi="Calibri Light"/>
                <w:b w:val="0"/>
              </w:rPr>
              <w:t xml:space="preserve">, </w:t>
            </w:r>
            <w:r w:rsidR="00C46812" w:rsidRPr="00923EFF">
              <w:rPr>
                <w:rFonts w:ascii="Calibri Light" w:hAnsi="Calibri Light"/>
                <w:b w:val="0"/>
              </w:rPr>
              <w:t>pues la carga de la prueba recae e</w:t>
            </w:r>
            <w:r w:rsidR="009A559F" w:rsidRPr="00923EFF">
              <w:rPr>
                <w:rFonts w:ascii="Calibri Light" w:hAnsi="Calibri Light"/>
                <w:b w:val="0"/>
              </w:rPr>
              <w:t xml:space="preserve">n quien acusa. En ese sentido, ninguna persona puede ser condenada mientras no exista prueba plena de su responsabilidad, lo cual está estrechamente relacionado </w:t>
            </w:r>
            <w:r w:rsidR="004A039C" w:rsidRPr="00923EFF">
              <w:rPr>
                <w:rFonts w:ascii="Calibri Light" w:hAnsi="Calibri Light"/>
                <w:b w:val="0"/>
              </w:rPr>
              <w:t>a</w:t>
            </w:r>
            <w:r w:rsidR="009A559F" w:rsidRPr="00923EFF">
              <w:rPr>
                <w:rFonts w:ascii="Calibri Light" w:hAnsi="Calibri Light"/>
                <w:b w:val="0"/>
              </w:rPr>
              <w:t>l deber de motivación de los órganos jur</w:t>
            </w:r>
            <w:r w:rsidR="003F68BD" w:rsidRPr="00923EFF">
              <w:rPr>
                <w:rFonts w:ascii="Calibri Light" w:hAnsi="Calibri Light"/>
                <w:b w:val="0"/>
              </w:rPr>
              <w:t xml:space="preserve">isdiccionales. </w:t>
            </w:r>
            <w:r w:rsidR="004A039C" w:rsidRPr="00923EFF">
              <w:rPr>
                <w:rFonts w:ascii="Calibri Light" w:hAnsi="Calibri Light"/>
                <w:b w:val="0"/>
              </w:rPr>
              <w:t>Este</w:t>
            </w:r>
            <w:r w:rsidR="00923EFF" w:rsidRPr="00923EFF">
              <w:rPr>
                <w:rFonts w:ascii="Calibri Light" w:hAnsi="Calibri Light"/>
                <w:b w:val="0"/>
              </w:rPr>
              <w:t xml:space="preserve"> implica la exteriorización de la justificación que permite llegar a determinada conclusión.</w:t>
            </w:r>
          </w:p>
          <w:p w14:paraId="7468269E" w14:textId="77777777" w:rsidR="003F68BD" w:rsidRPr="00923EFF" w:rsidRDefault="003F68BD" w:rsidP="009506AF">
            <w:pPr>
              <w:jc w:val="both"/>
              <w:rPr>
                <w:rFonts w:ascii="Calibri Light" w:hAnsi="Calibri Light"/>
                <w:b w:val="0"/>
              </w:rPr>
            </w:pPr>
          </w:p>
          <w:p w14:paraId="00011C8D" w14:textId="33D79B73" w:rsidR="004A039C" w:rsidRPr="00923EFF" w:rsidRDefault="00EA0C77" w:rsidP="004A039C">
            <w:pPr>
              <w:pStyle w:val="Default"/>
              <w:jc w:val="both"/>
              <w:rPr>
                <w:rFonts w:ascii="Calibri Light" w:hAnsi="Calibri Light"/>
                <w:b w:val="0"/>
                <w:sz w:val="22"/>
                <w:szCs w:val="22"/>
              </w:rPr>
            </w:pPr>
            <w:r w:rsidRPr="00923EFF">
              <w:rPr>
                <w:rFonts w:ascii="Calibri Light" w:hAnsi="Calibri Light"/>
                <w:b w:val="0"/>
                <w:sz w:val="22"/>
                <w:szCs w:val="22"/>
              </w:rPr>
              <w:t>En el caso concreto, la CIDH consideró que dichos estándares no habían sido respetados por los siguientes motivos: i) durante su primera declaración, el señor Rosadio no fue informado de los hechos y causale</w:t>
            </w:r>
            <w:r w:rsidR="00923EFF" w:rsidRPr="00923EFF">
              <w:rPr>
                <w:rFonts w:ascii="Calibri Light" w:hAnsi="Calibri Light"/>
                <w:b w:val="0"/>
                <w:sz w:val="22"/>
                <w:szCs w:val="22"/>
              </w:rPr>
              <w:t>s por los cuales estaba siendo investigado</w:t>
            </w:r>
            <w:r w:rsidRPr="00923EFF">
              <w:rPr>
                <w:rFonts w:ascii="Calibri Light" w:hAnsi="Calibri Light"/>
                <w:b w:val="0"/>
                <w:sz w:val="22"/>
                <w:szCs w:val="22"/>
              </w:rPr>
              <w:t xml:space="preserve">; </w:t>
            </w:r>
            <w:r w:rsidR="00466104" w:rsidRPr="00923EFF">
              <w:rPr>
                <w:rFonts w:ascii="Calibri Light" w:hAnsi="Calibri Light"/>
                <w:b w:val="0"/>
                <w:sz w:val="22"/>
                <w:szCs w:val="22"/>
              </w:rPr>
              <w:t xml:space="preserve">ii) dicha declaración fue la única oportunidad que tuvo de ser escuchado antes de la decisión de pase al retiro, pues no pudo comparecer a la audiencia ante el Consejo de Investigación debido a que estaba privado de libertad; </w:t>
            </w:r>
            <w:r w:rsidRPr="00923EFF">
              <w:rPr>
                <w:rFonts w:ascii="Calibri Light" w:hAnsi="Calibri Light"/>
                <w:b w:val="0"/>
                <w:sz w:val="22"/>
                <w:szCs w:val="22"/>
              </w:rPr>
              <w:t>ii</w:t>
            </w:r>
            <w:r w:rsidR="00466104" w:rsidRPr="00923EFF">
              <w:rPr>
                <w:rFonts w:ascii="Calibri Light" w:hAnsi="Calibri Light"/>
                <w:b w:val="0"/>
                <w:sz w:val="22"/>
                <w:szCs w:val="22"/>
              </w:rPr>
              <w:t>i</w:t>
            </w:r>
            <w:r w:rsidRPr="00923EFF">
              <w:rPr>
                <w:rFonts w:ascii="Calibri Light" w:hAnsi="Calibri Light"/>
                <w:b w:val="0"/>
                <w:sz w:val="22"/>
                <w:szCs w:val="22"/>
              </w:rPr>
              <w:t xml:space="preserve">) recién el 25 de septiembre de 1994, fue informado de los delitos comunes y militares por </w:t>
            </w:r>
            <w:r w:rsidR="00466104" w:rsidRPr="00923EFF">
              <w:rPr>
                <w:rFonts w:ascii="Calibri Light" w:hAnsi="Calibri Light"/>
                <w:b w:val="0"/>
                <w:sz w:val="22"/>
                <w:szCs w:val="22"/>
              </w:rPr>
              <w:t xml:space="preserve">los </w:t>
            </w:r>
            <w:r w:rsidRPr="00923EFF">
              <w:rPr>
                <w:rFonts w:ascii="Calibri Light" w:hAnsi="Calibri Light"/>
                <w:b w:val="0"/>
                <w:sz w:val="22"/>
                <w:szCs w:val="22"/>
              </w:rPr>
              <w:t xml:space="preserve">cuales estaba siendo investigado, mas no de las causales disciplinarias que se le imputaban; </w:t>
            </w:r>
            <w:r w:rsidR="00466104" w:rsidRPr="00923EFF">
              <w:rPr>
                <w:rFonts w:ascii="Calibri Light" w:hAnsi="Calibri Light"/>
                <w:b w:val="0"/>
                <w:sz w:val="22"/>
                <w:szCs w:val="22"/>
              </w:rPr>
              <w:t>iv</w:t>
            </w:r>
            <w:r w:rsidRPr="00923EFF">
              <w:rPr>
                <w:rFonts w:ascii="Calibri Light" w:hAnsi="Calibri Light"/>
                <w:b w:val="0"/>
                <w:sz w:val="22"/>
                <w:szCs w:val="22"/>
              </w:rPr>
              <w:t>) el señor Rosadio compartió con su superior jer</w:t>
            </w:r>
            <w:r w:rsidR="00B968DF">
              <w:rPr>
                <w:rFonts w:ascii="Calibri Light" w:hAnsi="Calibri Light"/>
                <w:b w:val="0"/>
                <w:sz w:val="22"/>
                <w:szCs w:val="22"/>
              </w:rPr>
              <w:t>árquico al mismo asesor jurídico</w:t>
            </w:r>
            <w:r w:rsidRPr="00923EFF">
              <w:rPr>
                <w:rFonts w:ascii="Calibri Light" w:hAnsi="Calibri Light"/>
                <w:b w:val="0"/>
                <w:sz w:val="22"/>
                <w:szCs w:val="22"/>
              </w:rPr>
              <w:t xml:space="preserve">, a pesar de </w:t>
            </w:r>
            <w:r w:rsidR="00466104" w:rsidRPr="00923EFF">
              <w:rPr>
                <w:rFonts w:ascii="Calibri Light" w:hAnsi="Calibri Light"/>
                <w:b w:val="0"/>
                <w:sz w:val="22"/>
                <w:szCs w:val="22"/>
              </w:rPr>
              <w:t>que tenían intereses contrapuestos, lo cual resultó en una inadecuada defensa; v) esta defensa tambié</w:t>
            </w:r>
            <w:r w:rsidR="00B968DF">
              <w:rPr>
                <w:rFonts w:ascii="Calibri Light" w:hAnsi="Calibri Light"/>
                <w:b w:val="0"/>
                <w:sz w:val="22"/>
                <w:szCs w:val="22"/>
              </w:rPr>
              <w:t>n fue inadecuada, porque dicho asesor</w:t>
            </w:r>
            <w:r w:rsidR="00466104" w:rsidRPr="00923EFF">
              <w:rPr>
                <w:rFonts w:ascii="Calibri Light" w:hAnsi="Calibri Light"/>
                <w:b w:val="0"/>
                <w:sz w:val="22"/>
                <w:szCs w:val="22"/>
              </w:rPr>
              <w:t xml:space="preserve"> actuó luego como juez en el proceso ante la jurisdicción militar del señor Rosadio; vi) la resolución del Consejo de Investigación que recomendó su pase a retiro y que fue base de la decisión que ordenó </w:t>
            </w:r>
            <w:r w:rsidR="004A039C" w:rsidRPr="00923EFF">
              <w:rPr>
                <w:rFonts w:ascii="Calibri Light" w:hAnsi="Calibri Light"/>
                <w:b w:val="0"/>
                <w:sz w:val="22"/>
                <w:szCs w:val="22"/>
              </w:rPr>
              <w:t xml:space="preserve">efectivamente </w:t>
            </w:r>
            <w:r w:rsidR="00466104" w:rsidRPr="00923EFF">
              <w:rPr>
                <w:rFonts w:ascii="Calibri Light" w:hAnsi="Calibri Light"/>
                <w:b w:val="0"/>
                <w:sz w:val="22"/>
                <w:szCs w:val="22"/>
              </w:rPr>
              <w:t xml:space="preserve">dicha medida tuvo como argumento principal </w:t>
            </w:r>
            <w:r w:rsidR="004A039C" w:rsidRPr="00923EFF">
              <w:rPr>
                <w:rFonts w:ascii="Calibri Light" w:hAnsi="Calibri Light"/>
                <w:b w:val="0"/>
                <w:sz w:val="22"/>
                <w:szCs w:val="22"/>
              </w:rPr>
              <w:t>las denuncias en contra del señor Rosadio tanto en la jurisdicción ordinaria como militar, lo cual resultó contrario al principio de presunción de inocencia; y vii) la decisión de pasar a retiro al señor Rosadio no estuvo bien motivada, pues se limitó a citar normas legales sin indicar las razones por las cuales</w:t>
            </w:r>
            <w:r w:rsidR="00923EFF" w:rsidRPr="00923EFF">
              <w:rPr>
                <w:rFonts w:ascii="Calibri Light" w:hAnsi="Calibri Light"/>
                <w:b w:val="0"/>
                <w:sz w:val="22"/>
                <w:szCs w:val="22"/>
              </w:rPr>
              <w:t xml:space="preserve"> se</w:t>
            </w:r>
            <w:r w:rsidR="004A039C" w:rsidRPr="00923EFF">
              <w:rPr>
                <w:rFonts w:ascii="Calibri Light" w:hAnsi="Calibri Light"/>
                <w:b w:val="0"/>
                <w:sz w:val="22"/>
                <w:szCs w:val="22"/>
              </w:rPr>
              <w:t xml:space="preserve"> acogió la recomendación del Consejo de Investigación, ni referir de qué manera su conducta se subsumía en alguna causal disciplinaria. </w:t>
            </w:r>
          </w:p>
          <w:p w14:paraId="3C7BCA19" w14:textId="77777777" w:rsidR="004A039C" w:rsidRPr="00923EFF" w:rsidRDefault="004A039C" w:rsidP="004A039C">
            <w:pPr>
              <w:pStyle w:val="Default"/>
              <w:jc w:val="both"/>
              <w:rPr>
                <w:rFonts w:ascii="Calibri Light" w:hAnsi="Calibri Light"/>
                <w:bCs w:val="0"/>
                <w:sz w:val="22"/>
                <w:szCs w:val="22"/>
              </w:rPr>
            </w:pPr>
          </w:p>
          <w:p w14:paraId="086D344B" w14:textId="27E6082E" w:rsidR="00D75883" w:rsidRPr="00923EFF" w:rsidRDefault="00A73593" w:rsidP="009506AF">
            <w:pPr>
              <w:pStyle w:val="Default"/>
              <w:jc w:val="both"/>
              <w:rPr>
                <w:rFonts w:ascii="Calibri Light" w:hAnsi="Calibri Light"/>
                <w:b w:val="0"/>
                <w:sz w:val="22"/>
                <w:szCs w:val="22"/>
              </w:rPr>
            </w:pPr>
            <w:r w:rsidRPr="00923EFF">
              <w:rPr>
                <w:rFonts w:ascii="Calibri Light" w:hAnsi="Calibri Light"/>
                <w:b w:val="0"/>
                <w:sz w:val="22"/>
                <w:szCs w:val="22"/>
              </w:rPr>
              <w:t>En vista de estas consideraciones</w:t>
            </w:r>
            <w:r w:rsidR="00476581" w:rsidRPr="00923EFF">
              <w:rPr>
                <w:rFonts w:ascii="Calibri Light" w:hAnsi="Calibri Light"/>
                <w:b w:val="0"/>
                <w:sz w:val="22"/>
                <w:szCs w:val="22"/>
              </w:rPr>
              <w:t xml:space="preserve">, </w:t>
            </w:r>
            <w:r w:rsidRPr="00923EFF">
              <w:rPr>
                <w:rFonts w:ascii="Calibri Light" w:hAnsi="Calibri Light"/>
                <w:b w:val="0"/>
                <w:sz w:val="22"/>
                <w:szCs w:val="22"/>
              </w:rPr>
              <w:t xml:space="preserve">la CIDH declaró que </w:t>
            </w:r>
            <w:r w:rsidR="00476581" w:rsidRPr="00923EFF">
              <w:rPr>
                <w:rFonts w:ascii="Calibri Light" w:hAnsi="Calibri Light"/>
                <w:b w:val="0"/>
                <w:sz w:val="22"/>
                <w:szCs w:val="22"/>
              </w:rPr>
              <w:t xml:space="preserve">el Estado peruano </w:t>
            </w:r>
            <w:r w:rsidRPr="00923EFF">
              <w:rPr>
                <w:rFonts w:ascii="Calibri Light" w:hAnsi="Calibri Light"/>
                <w:b w:val="0"/>
                <w:sz w:val="22"/>
                <w:szCs w:val="22"/>
              </w:rPr>
              <w:t>había violado</w:t>
            </w:r>
            <w:r w:rsidR="00D75883" w:rsidRPr="00923EFF">
              <w:rPr>
                <w:rFonts w:ascii="Calibri Light" w:hAnsi="Calibri Light"/>
                <w:b w:val="0"/>
                <w:sz w:val="22"/>
                <w:szCs w:val="22"/>
              </w:rPr>
              <w:t xml:space="preserve"> los </w:t>
            </w:r>
            <w:r w:rsidR="00D75883" w:rsidRPr="00923EFF">
              <w:rPr>
                <w:rFonts w:ascii="Calibri Light" w:hAnsi="Calibri Light"/>
                <w:b w:val="0"/>
                <w:sz w:val="22"/>
                <w:szCs w:val="22"/>
              </w:rPr>
              <w:lastRenderedPageBreak/>
              <w:t xml:space="preserve">artículos 8.1, 8.2, 8.2.b) c) y e) de la </w:t>
            </w:r>
            <w:r w:rsidR="001424AD" w:rsidRPr="00923EFF">
              <w:rPr>
                <w:rFonts w:ascii="Calibri Light" w:hAnsi="Calibri Light"/>
                <w:b w:val="0"/>
                <w:sz w:val="22"/>
                <w:szCs w:val="22"/>
              </w:rPr>
              <w:t>CADH</w:t>
            </w:r>
            <w:r w:rsidRPr="00923EFF">
              <w:rPr>
                <w:rFonts w:ascii="Calibri Light" w:hAnsi="Calibri Light"/>
                <w:b w:val="0"/>
                <w:sz w:val="22"/>
                <w:szCs w:val="22"/>
              </w:rPr>
              <w:t>,</w:t>
            </w:r>
            <w:r w:rsidR="001424AD" w:rsidRPr="00923EFF">
              <w:rPr>
                <w:rFonts w:ascii="Calibri Light" w:hAnsi="Calibri Light"/>
                <w:b w:val="0"/>
                <w:sz w:val="22"/>
                <w:szCs w:val="22"/>
              </w:rPr>
              <w:t xml:space="preserve"> </w:t>
            </w:r>
            <w:r w:rsidR="00D75883" w:rsidRPr="00923EFF">
              <w:rPr>
                <w:rFonts w:ascii="Calibri Light" w:hAnsi="Calibri Light"/>
                <w:b w:val="0"/>
                <w:sz w:val="22"/>
                <w:szCs w:val="22"/>
              </w:rPr>
              <w:t>en relación con el artículo 1.1</w:t>
            </w:r>
            <w:r w:rsidRPr="00923EFF">
              <w:rPr>
                <w:rFonts w:ascii="Calibri Light" w:hAnsi="Calibri Light"/>
                <w:b w:val="0"/>
                <w:sz w:val="22"/>
                <w:szCs w:val="22"/>
              </w:rPr>
              <w:t>,</w:t>
            </w:r>
            <w:r w:rsidR="00D75883" w:rsidRPr="00923EFF">
              <w:rPr>
                <w:rFonts w:ascii="Calibri Light" w:hAnsi="Calibri Light"/>
                <w:b w:val="0"/>
                <w:sz w:val="22"/>
                <w:szCs w:val="22"/>
              </w:rPr>
              <w:t xml:space="preserve"> en perjuicio del señor Rosadio</w:t>
            </w:r>
            <w:r w:rsidR="00476581" w:rsidRPr="00923EFF">
              <w:rPr>
                <w:rFonts w:ascii="Calibri Light" w:hAnsi="Calibri Light"/>
                <w:b w:val="0"/>
                <w:sz w:val="22"/>
                <w:szCs w:val="22"/>
              </w:rPr>
              <w:t>.</w:t>
            </w:r>
          </w:p>
          <w:p w14:paraId="291F0304" w14:textId="77777777" w:rsidR="00D75883" w:rsidRPr="00923EFF" w:rsidRDefault="00D75883" w:rsidP="009506AF">
            <w:pPr>
              <w:pStyle w:val="Default"/>
              <w:jc w:val="both"/>
              <w:rPr>
                <w:rFonts w:ascii="Calibri Light" w:hAnsi="Calibri Light"/>
                <w:b w:val="0"/>
                <w:sz w:val="22"/>
                <w:szCs w:val="22"/>
              </w:rPr>
            </w:pPr>
          </w:p>
          <w:p w14:paraId="2289E560" w14:textId="687EB35D" w:rsidR="00D75883" w:rsidRPr="00923EFF" w:rsidRDefault="00D75883" w:rsidP="004A039C">
            <w:pPr>
              <w:jc w:val="both"/>
              <w:rPr>
                <w:rFonts w:ascii="Calibri Light" w:eastAsiaTheme="minorHAnsi" w:hAnsi="Calibri Light" w:cs="Cambria"/>
                <w:color w:val="000000"/>
                <w:lang w:val="es-PE"/>
              </w:rPr>
            </w:pPr>
            <w:r w:rsidRPr="00923EFF">
              <w:rPr>
                <w:rFonts w:ascii="Calibri Light" w:eastAsiaTheme="minorHAnsi" w:hAnsi="Calibri Light" w:cs="Cambria"/>
                <w:color w:val="000000"/>
                <w:lang w:val="es-PE"/>
              </w:rPr>
              <w:t>Derecho a las garantías judiciales en relación con el proceso ante la jurisdic</w:t>
            </w:r>
            <w:r w:rsidR="009506AF" w:rsidRPr="00923EFF">
              <w:rPr>
                <w:rFonts w:ascii="Calibri Light" w:eastAsiaTheme="minorHAnsi" w:hAnsi="Calibri Light" w:cs="Cambria"/>
                <w:color w:val="000000"/>
                <w:lang w:val="es-PE"/>
              </w:rPr>
              <w:t>ción penal militar y ordinaria</w:t>
            </w:r>
            <w:r w:rsidR="000372C6" w:rsidRPr="00923EFF">
              <w:rPr>
                <w:rFonts w:ascii="Calibri Light" w:eastAsiaTheme="minorHAnsi" w:hAnsi="Calibri Light" w:cs="Cambria"/>
                <w:color w:val="000000"/>
                <w:lang w:val="es-PE"/>
              </w:rPr>
              <w:t xml:space="preserve"> (artículo 8 de la CADH)</w:t>
            </w:r>
          </w:p>
          <w:p w14:paraId="3AD14C4D" w14:textId="77777777" w:rsidR="00D75883" w:rsidRPr="00923EFF" w:rsidRDefault="00D75883" w:rsidP="009506AF">
            <w:pPr>
              <w:rPr>
                <w:rFonts w:ascii="Calibri Light" w:eastAsiaTheme="minorHAnsi" w:hAnsi="Calibri Light" w:cs="Cambria"/>
                <w:color w:val="000000"/>
                <w:lang w:val="es-PE"/>
              </w:rPr>
            </w:pPr>
          </w:p>
          <w:p w14:paraId="35BBC5C9" w14:textId="23114B8F" w:rsidR="003059B2" w:rsidRDefault="003059B2" w:rsidP="00923EFF">
            <w:pPr>
              <w:jc w:val="both"/>
              <w:rPr>
                <w:rFonts w:ascii="Calibri Light" w:eastAsiaTheme="minorHAnsi" w:hAnsi="Calibri Light" w:cs="Cambria"/>
                <w:b w:val="0"/>
                <w:color w:val="000000"/>
                <w:lang w:val="es-CL"/>
              </w:rPr>
            </w:pPr>
            <w:r w:rsidRPr="00923EFF">
              <w:rPr>
                <w:rFonts w:ascii="Calibri Light" w:eastAsiaTheme="minorHAnsi" w:hAnsi="Calibri Light" w:cs="Cambria"/>
                <w:b w:val="0"/>
                <w:color w:val="000000"/>
                <w:lang w:val="es-PE"/>
              </w:rPr>
              <w:t>En est</w:t>
            </w:r>
            <w:r w:rsidR="00923EFF">
              <w:rPr>
                <w:rFonts w:ascii="Calibri Light" w:eastAsiaTheme="minorHAnsi" w:hAnsi="Calibri Light" w:cs="Cambria"/>
                <w:b w:val="0"/>
                <w:color w:val="000000"/>
                <w:lang w:val="es-PE"/>
              </w:rPr>
              <w:t xml:space="preserve">a sección, la CIDH </w:t>
            </w:r>
            <w:r w:rsidR="00B968DF">
              <w:rPr>
                <w:rFonts w:ascii="Calibri Light" w:eastAsiaTheme="minorHAnsi" w:hAnsi="Calibri Light" w:cs="Cambria"/>
                <w:b w:val="0"/>
                <w:color w:val="000000"/>
                <w:lang w:val="es-PE"/>
              </w:rPr>
              <w:t xml:space="preserve">se remitió a los estándares señalados en el apartado anterior y adicionalmente, se refirió al derecho a ser </w:t>
            </w:r>
            <w:r w:rsidRPr="00923EFF">
              <w:rPr>
                <w:rFonts w:ascii="Calibri Light" w:eastAsiaTheme="minorHAnsi" w:hAnsi="Calibri Light" w:cs="Cambria"/>
                <w:b w:val="0"/>
                <w:color w:val="000000"/>
                <w:lang w:val="es-PE"/>
              </w:rPr>
              <w:t xml:space="preserve">juzgado por autoridad independiente e imparcial. </w:t>
            </w:r>
            <w:r w:rsidR="00B968DF">
              <w:rPr>
                <w:rFonts w:ascii="Calibri Light" w:eastAsiaTheme="minorHAnsi" w:hAnsi="Calibri Light" w:cs="Cambria"/>
                <w:b w:val="0"/>
                <w:color w:val="000000"/>
                <w:lang w:val="es-PE"/>
              </w:rPr>
              <w:t xml:space="preserve">En cuanto a la garantía de independencia, recordó </w:t>
            </w:r>
            <w:r w:rsidRPr="00923EFF">
              <w:rPr>
                <w:rFonts w:ascii="Calibri Light" w:eastAsiaTheme="minorHAnsi" w:hAnsi="Calibri Light" w:cs="Cambria"/>
                <w:b w:val="0"/>
                <w:color w:val="000000"/>
                <w:lang w:val="es-CL"/>
              </w:rPr>
              <w:t xml:space="preserve">la separación </w:t>
            </w:r>
            <w:r w:rsidR="003363DC">
              <w:rPr>
                <w:rFonts w:ascii="Calibri Light" w:eastAsiaTheme="minorHAnsi" w:hAnsi="Calibri Light" w:cs="Cambria"/>
                <w:b w:val="0"/>
                <w:color w:val="000000"/>
                <w:lang w:val="es-CL"/>
              </w:rPr>
              <w:t>que el</w:t>
            </w:r>
            <w:r w:rsidRPr="00923EFF">
              <w:rPr>
                <w:rFonts w:ascii="Calibri Light" w:eastAsiaTheme="minorHAnsi" w:hAnsi="Calibri Light" w:cs="Cambria"/>
                <w:b w:val="0"/>
                <w:color w:val="000000"/>
                <w:lang w:val="es-CL"/>
              </w:rPr>
              <w:t xml:space="preserve"> ejercicio autónomo </w:t>
            </w:r>
            <w:r w:rsidR="003363DC">
              <w:rPr>
                <w:rFonts w:ascii="Calibri Light" w:eastAsiaTheme="minorHAnsi" w:hAnsi="Calibri Light" w:cs="Cambria"/>
                <w:b w:val="0"/>
                <w:color w:val="000000"/>
                <w:lang w:val="es-CL"/>
              </w:rPr>
              <w:t xml:space="preserve">de la función judicial </w:t>
            </w:r>
            <w:r w:rsidRPr="00923EFF">
              <w:rPr>
                <w:rFonts w:ascii="Calibri Light" w:eastAsiaTheme="minorHAnsi" w:hAnsi="Calibri Light" w:cs="Cambria"/>
                <w:b w:val="0"/>
                <w:color w:val="000000"/>
                <w:lang w:val="es-CL"/>
              </w:rPr>
              <w:t>debe ser garantizado por el Estado tanto en su faceta institucional, esto es en relación con el Poder Judicial como sistema, como en conexión con su vertiente individual, es decir, con relación a la persona del juez específico. S</w:t>
            </w:r>
            <w:r w:rsidR="00B968DF">
              <w:rPr>
                <w:rFonts w:ascii="Calibri Light" w:eastAsiaTheme="minorHAnsi" w:hAnsi="Calibri Light" w:cs="Cambria"/>
                <w:b w:val="0"/>
                <w:color w:val="000000"/>
                <w:lang w:val="es-CL"/>
              </w:rPr>
              <w:t>obre la imparcialidad, señaló que e</w:t>
            </w:r>
            <w:r w:rsidRPr="00923EFF">
              <w:rPr>
                <w:rFonts w:ascii="Calibri Light" w:eastAsiaTheme="minorHAnsi" w:hAnsi="Calibri Light" w:cs="Cambria"/>
                <w:b w:val="0"/>
                <w:color w:val="000000"/>
                <w:lang w:val="es-CL"/>
              </w:rPr>
              <w:t>sta exige que el juez que interviene en una contienda particular se aproxime a los hechos de la causa careciendo, de manera subjetiva de todo prejuicio, y ofreciendo garantías suficientes de índole objetiva que permitan desterrar toda duda que tanto el justiciable como la sociedad puedan albergar respecto de la ausencia de imparcialidad</w:t>
            </w:r>
            <w:r w:rsidR="003363DC">
              <w:rPr>
                <w:rFonts w:ascii="Calibri Light" w:eastAsiaTheme="minorHAnsi" w:hAnsi="Calibri Light" w:cs="Cambria"/>
                <w:b w:val="0"/>
                <w:color w:val="000000"/>
                <w:lang w:val="es-CL"/>
              </w:rPr>
              <w:t>.</w:t>
            </w:r>
          </w:p>
          <w:p w14:paraId="42273EAF" w14:textId="77777777" w:rsidR="003363DC" w:rsidRDefault="003363DC" w:rsidP="00923EFF">
            <w:pPr>
              <w:jc w:val="both"/>
              <w:rPr>
                <w:rFonts w:ascii="Calibri Light" w:eastAsiaTheme="minorHAnsi" w:hAnsi="Calibri Light" w:cs="Cambria"/>
                <w:b w:val="0"/>
                <w:color w:val="000000"/>
                <w:lang w:val="es-CL"/>
              </w:rPr>
            </w:pPr>
          </w:p>
          <w:p w14:paraId="6FB674B0" w14:textId="245F3B8B" w:rsidR="003363DC" w:rsidRPr="00923EFF" w:rsidRDefault="003363DC" w:rsidP="00923EFF">
            <w:pPr>
              <w:jc w:val="both"/>
              <w:rPr>
                <w:rFonts w:ascii="Calibri Light" w:eastAsiaTheme="minorHAnsi" w:hAnsi="Calibri Light" w:cs="Cambria"/>
                <w:b w:val="0"/>
                <w:color w:val="000000"/>
                <w:lang w:val="es-PE"/>
              </w:rPr>
            </w:pPr>
            <w:r>
              <w:rPr>
                <w:rFonts w:ascii="Calibri Light" w:eastAsiaTheme="minorHAnsi" w:hAnsi="Calibri Light" w:cs="Cambria"/>
                <w:b w:val="0"/>
                <w:color w:val="000000"/>
                <w:lang w:val="es-PE"/>
              </w:rPr>
              <w:t>Respecto del proceso ante la jurisdicción militar, la CIDH consideró que estas garantías no se habían respetado por tres motivos. En primer lugar, señaló que fue contrario al derecho a ser juzgado por una autoridad independiente e imparcial el hecho de que uno de los jueces militares del proceso que se siguió contra el señor Rosadio hubiera sido su defensor y el de su superior jerárquico de manera previa. En segundo lugar, concluyó que la acusación del 17 de octubre</w:t>
            </w:r>
            <w:r w:rsidR="00883DD2">
              <w:rPr>
                <w:rFonts w:ascii="Calibri Light" w:eastAsiaTheme="minorHAnsi" w:hAnsi="Calibri Light" w:cs="Cambria"/>
                <w:b w:val="0"/>
                <w:color w:val="000000"/>
                <w:lang w:val="es-PE"/>
              </w:rPr>
              <w:t xml:space="preserve"> de 1995 de la Fiscalía Militar respecto de los delitos contra el deber y dignidad de la función, abuso de autoridad y negligencia no fue debidamente notificad</w:t>
            </w:r>
            <w:r w:rsidR="000033FF">
              <w:rPr>
                <w:rFonts w:ascii="Calibri Light" w:eastAsiaTheme="minorHAnsi" w:hAnsi="Calibri Light" w:cs="Cambria"/>
                <w:b w:val="0"/>
                <w:color w:val="000000"/>
                <w:lang w:val="es-PE"/>
              </w:rPr>
              <w:t>a</w:t>
            </w:r>
            <w:r w:rsidR="00883DD2">
              <w:rPr>
                <w:rFonts w:ascii="Calibri Light" w:eastAsiaTheme="minorHAnsi" w:hAnsi="Calibri Light" w:cs="Cambria"/>
                <w:b w:val="0"/>
                <w:color w:val="000000"/>
                <w:lang w:val="es-PE"/>
              </w:rPr>
              <w:t xml:space="preserve"> al señor Rosadio, lo cual a su vez repercutió en su derecho de defensa. En tercer lugar, se refirió a la sentencia que lo condenó por desobediencia, tras volver a calificar los hechos por la decisión del Consejo Supremo de Justicia Militar que declaró nula la sentencia previa. Al respecto, la CIDH indicó que el delito de desobediencia </w:t>
            </w:r>
            <w:r w:rsidR="00426FDA">
              <w:rPr>
                <w:rFonts w:ascii="Calibri Light" w:eastAsiaTheme="minorHAnsi" w:hAnsi="Calibri Light" w:cs="Cambria"/>
                <w:b w:val="0"/>
                <w:color w:val="000000"/>
                <w:lang w:val="es-PE"/>
              </w:rPr>
              <w:t xml:space="preserve">no fue incluido en la acusación de la Fiscalía Militar y que el señor Rosadio no tuvo oportunidad de defenderse del cambio de calificación jurídica. </w:t>
            </w:r>
          </w:p>
          <w:p w14:paraId="3156399B" w14:textId="77777777" w:rsidR="00D75883" w:rsidRPr="00B968DF" w:rsidRDefault="00D75883" w:rsidP="009506AF">
            <w:pPr>
              <w:pStyle w:val="Default"/>
              <w:jc w:val="both"/>
              <w:rPr>
                <w:rFonts w:ascii="Calibri Light" w:hAnsi="Calibri Light"/>
                <w:b w:val="0"/>
                <w:sz w:val="22"/>
                <w:szCs w:val="22"/>
                <w:highlight w:val="yellow"/>
              </w:rPr>
            </w:pPr>
          </w:p>
          <w:p w14:paraId="7B5E00DB" w14:textId="2F5994BA" w:rsidR="00426FDA" w:rsidRPr="00EB08CC" w:rsidRDefault="00883DD2" w:rsidP="009506AF">
            <w:pPr>
              <w:jc w:val="both"/>
              <w:rPr>
                <w:rFonts w:ascii="Calibri Light" w:hAnsi="Calibri Light"/>
                <w:b w:val="0"/>
              </w:rPr>
            </w:pPr>
            <w:r w:rsidRPr="00EB08CC">
              <w:rPr>
                <w:rFonts w:ascii="Calibri Light" w:eastAsiaTheme="minorHAnsi" w:hAnsi="Calibri Light" w:cs="Cambria"/>
                <w:b w:val="0"/>
                <w:color w:val="000000"/>
                <w:lang w:val="es-PE"/>
              </w:rPr>
              <w:t xml:space="preserve">En cuanto </w:t>
            </w:r>
            <w:r w:rsidR="003565A4" w:rsidRPr="00EB08CC">
              <w:rPr>
                <w:rFonts w:ascii="Calibri Light" w:eastAsiaTheme="minorHAnsi" w:hAnsi="Calibri Light" w:cs="Cambria"/>
                <w:b w:val="0"/>
                <w:color w:val="000000"/>
                <w:lang w:val="es-PE"/>
              </w:rPr>
              <w:t>a la jurisdicción penal ordinaria, l</w:t>
            </w:r>
            <w:r w:rsidR="00EB258D" w:rsidRPr="00EB08CC">
              <w:rPr>
                <w:rFonts w:ascii="Calibri Light" w:hAnsi="Calibri Light"/>
                <w:b w:val="0"/>
              </w:rPr>
              <w:t xml:space="preserve">a </w:t>
            </w:r>
            <w:r w:rsidR="00426FDA" w:rsidRPr="00EB08CC">
              <w:rPr>
                <w:rFonts w:ascii="Calibri Light" w:hAnsi="Calibri Light"/>
                <w:b w:val="0"/>
              </w:rPr>
              <w:t xml:space="preserve">CIDH observó que la </w:t>
            </w:r>
            <w:r w:rsidR="00EB258D" w:rsidRPr="00EB08CC">
              <w:rPr>
                <w:rFonts w:ascii="Calibri Light" w:hAnsi="Calibri Light"/>
                <w:b w:val="0"/>
              </w:rPr>
              <w:t>sentencia de 19 de junio de 1997 aumentó la pena impuesta al señor Rosadio, de 6 a 15 años de prisión</w:t>
            </w:r>
            <w:r w:rsidR="00426FDA" w:rsidRPr="00EB08CC">
              <w:rPr>
                <w:rFonts w:ascii="Calibri Light" w:hAnsi="Calibri Light"/>
                <w:b w:val="0"/>
              </w:rPr>
              <w:t>, esto significo, modificar la pena en más del doble de aquella impuesta en primera instancia</w:t>
            </w:r>
            <w:r w:rsidR="00EB258D" w:rsidRPr="00EB08CC">
              <w:rPr>
                <w:rFonts w:ascii="Calibri Light" w:hAnsi="Calibri Light"/>
                <w:b w:val="0"/>
              </w:rPr>
              <w:t>.</w:t>
            </w:r>
            <w:r w:rsidR="00426FDA" w:rsidRPr="00EB08CC">
              <w:rPr>
                <w:rFonts w:ascii="Calibri Light" w:hAnsi="Calibri Light"/>
                <w:b w:val="0"/>
              </w:rPr>
              <w:t xml:space="preserve"> En vista del impacto severo de dicha medida, la CIDH consideró que las autoridades judiciales se encontraban obligadas a motivar debidamente su decisión. En ese sentido, la CIDH no analizó si correspondía una u otra pena, sino si la decisión estaba adecuadamente motivada. Al respecto, consideró que dicha garantía no fue cumplida pues no se </w:t>
            </w:r>
            <w:r w:rsidR="00EB08CC" w:rsidRPr="00EB08CC">
              <w:rPr>
                <w:rFonts w:ascii="Calibri Light" w:hAnsi="Calibri Light"/>
                <w:b w:val="0"/>
              </w:rPr>
              <w:t>especificó de manera concreta</w:t>
            </w:r>
            <w:r w:rsidR="00426FDA" w:rsidRPr="00EB08CC">
              <w:rPr>
                <w:rFonts w:ascii="Calibri Light" w:hAnsi="Calibri Light"/>
                <w:b w:val="0"/>
              </w:rPr>
              <w:t xml:space="preserve"> </w:t>
            </w:r>
            <w:r w:rsidR="00EB08CC" w:rsidRPr="00EB08CC">
              <w:rPr>
                <w:rFonts w:ascii="Calibri Light" w:hAnsi="Calibri Light"/>
                <w:b w:val="0"/>
              </w:rPr>
              <w:t xml:space="preserve">cuáles eran las condiciones personales o las circunstancias en las que el señor Rosadio habría cometido el delito que llevaron a la imposición de dicha pena. </w:t>
            </w:r>
          </w:p>
          <w:p w14:paraId="38A93EB6" w14:textId="77777777" w:rsidR="00137A85" w:rsidRPr="00923EFF" w:rsidRDefault="00137A85" w:rsidP="009506AF">
            <w:pPr>
              <w:jc w:val="both"/>
              <w:rPr>
                <w:rFonts w:ascii="Calibri Light" w:hAnsi="Calibri Light"/>
                <w:b w:val="0"/>
              </w:rPr>
            </w:pPr>
          </w:p>
          <w:p w14:paraId="38CBBB0E" w14:textId="287D2FB4" w:rsidR="00EB258D" w:rsidRPr="00923EFF" w:rsidRDefault="00781CD5" w:rsidP="00781CD5">
            <w:pPr>
              <w:jc w:val="both"/>
              <w:rPr>
                <w:rFonts w:ascii="Calibri Light" w:hAnsi="Calibri Light"/>
                <w:b w:val="0"/>
              </w:rPr>
            </w:pPr>
            <w:r w:rsidRPr="00923EFF">
              <w:rPr>
                <w:rFonts w:ascii="Calibri Light" w:hAnsi="Calibri Light"/>
                <w:b w:val="0"/>
              </w:rPr>
              <w:t>En razón de los argumentos antes esgrimidos, la CIDH señaló que el Estado peruano violó los artículos 8.1, 8.2 b, 8.2 c) y 8.2 e)</w:t>
            </w:r>
            <w:r w:rsidR="00EB258D" w:rsidRPr="00923EFF">
              <w:rPr>
                <w:rFonts w:ascii="Calibri Light" w:hAnsi="Calibri Light"/>
                <w:b w:val="0"/>
              </w:rPr>
              <w:t xml:space="preserve"> de la </w:t>
            </w:r>
            <w:r w:rsidR="00AA6FC3" w:rsidRPr="00923EFF">
              <w:rPr>
                <w:rFonts w:ascii="Calibri Light" w:hAnsi="Calibri Light"/>
                <w:b w:val="0"/>
              </w:rPr>
              <w:t>CADH,</w:t>
            </w:r>
            <w:r w:rsidR="00EB258D" w:rsidRPr="00923EFF">
              <w:rPr>
                <w:rFonts w:ascii="Calibri Light" w:hAnsi="Calibri Light"/>
                <w:b w:val="0"/>
              </w:rPr>
              <w:t xml:space="preserve"> en relación con el artículo 1.1, en perjuicio del señor Rosadio</w:t>
            </w:r>
            <w:r w:rsidRPr="00923EFF">
              <w:rPr>
                <w:rFonts w:ascii="Calibri Light" w:hAnsi="Calibri Light"/>
                <w:b w:val="0"/>
              </w:rPr>
              <w:t>.</w:t>
            </w:r>
          </w:p>
          <w:p w14:paraId="146DF36F" w14:textId="77777777" w:rsidR="009506AF" w:rsidRPr="00923EFF" w:rsidRDefault="009506AF" w:rsidP="009506AF">
            <w:pPr>
              <w:pStyle w:val="Default"/>
              <w:jc w:val="both"/>
              <w:rPr>
                <w:rFonts w:ascii="Calibri Light" w:hAnsi="Calibri Light"/>
                <w:b w:val="0"/>
                <w:sz w:val="22"/>
                <w:szCs w:val="22"/>
              </w:rPr>
            </w:pPr>
          </w:p>
          <w:p w14:paraId="0856A8B8" w14:textId="084AACC3" w:rsidR="00EB258D" w:rsidRPr="00923EFF" w:rsidRDefault="00EB258D" w:rsidP="009506AF">
            <w:pPr>
              <w:pStyle w:val="Default"/>
              <w:jc w:val="both"/>
              <w:rPr>
                <w:rFonts w:ascii="Calibri Light" w:hAnsi="Calibri Light"/>
                <w:sz w:val="22"/>
                <w:szCs w:val="22"/>
              </w:rPr>
            </w:pPr>
            <w:r w:rsidRPr="00923EFF">
              <w:rPr>
                <w:rFonts w:ascii="Calibri Light" w:hAnsi="Calibri Light"/>
                <w:sz w:val="22"/>
                <w:szCs w:val="22"/>
              </w:rPr>
              <w:t xml:space="preserve">Principio de </w:t>
            </w:r>
            <w:r w:rsidRPr="00923EFF">
              <w:rPr>
                <w:rFonts w:ascii="Calibri Light" w:hAnsi="Calibri Light"/>
                <w:i/>
                <w:sz w:val="22"/>
                <w:szCs w:val="22"/>
              </w:rPr>
              <w:t>non bis in ídem</w:t>
            </w:r>
            <w:r w:rsidRPr="00923EFF">
              <w:rPr>
                <w:rFonts w:ascii="Calibri Light" w:hAnsi="Calibri Light"/>
                <w:sz w:val="22"/>
                <w:szCs w:val="22"/>
              </w:rPr>
              <w:t xml:space="preserve"> respecto de los procesos adelanta</w:t>
            </w:r>
            <w:r w:rsidR="00781CD5" w:rsidRPr="00923EFF">
              <w:rPr>
                <w:rFonts w:ascii="Calibri Light" w:hAnsi="Calibri Light"/>
                <w:sz w:val="22"/>
                <w:szCs w:val="22"/>
              </w:rPr>
              <w:t>dos contra la presunta víctima</w:t>
            </w:r>
            <w:r w:rsidR="000372C6" w:rsidRPr="00923EFF">
              <w:rPr>
                <w:rFonts w:ascii="Calibri Light" w:hAnsi="Calibri Light"/>
                <w:sz w:val="22"/>
                <w:szCs w:val="22"/>
              </w:rPr>
              <w:t xml:space="preserve"> (artículo 8 de la CADH)</w:t>
            </w:r>
            <w:r w:rsidR="00781CD5" w:rsidRPr="00923EFF">
              <w:rPr>
                <w:rFonts w:ascii="Calibri Light" w:hAnsi="Calibri Light"/>
                <w:sz w:val="22"/>
                <w:szCs w:val="22"/>
              </w:rPr>
              <w:t xml:space="preserve"> </w:t>
            </w:r>
          </w:p>
          <w:p w14:paraId="7F934267" w14:textId="77777777" w:rsidR="00EB258D" w:rsidRPr="00923EFF" w:rsidRDefault="00EB258D" w:rsidP="009506AF">
            <w:pPr>
              <w:pStyle w:val="Default"/>
              <w:jc w:val="both"/>
              <w:rPr>
                <w:rFonts w:ascii="Calibri Light" w:hAnsi="Calibri Light"/>
                <w:b w:val="0"/>
                <w:sz w:val="22"/>
                <w:szCs w:val="22"/>
              </w:rPr>
            </w:pPr>
          </w:p>
          <w:p w14:paraId="480168FC" w14:textId="77777777" w:rsidR="000928BA" w:rsidRDefault="00A12ECE" w:rsidP="009506AF">
            <w:pPr>
              <w:pStyle w:val="Default"/>
              <w:jc w:val="both"/>
              <w:rPr>
                <w:rFonts w:ascii="Calibri Light" w:hAnsi="Calibri Light"/>
                <w:b w:val="0"/>
                <w:sz w:val="22"/>
                <w:szCs w:val="22"/>
              </w:rPr>
            </w:pPr>
            <w:r>
              <w:rPr>
                <w:rFonts w:ascii="Calibri Light" w:hAnsi="Calibri Light"/>
                <w:b w:val="0"/>
                <w:sz w:val="22"/>
                <w:szCs w:val="22"/>
              </w:rPr>
              <w:t>La CIDH y la Corte IDH han manifestado que</w:t>
            </w:r>
            <w:r w:rsidR="001C4077" w:rsidRPr="00923EFF">
              <w:rPr>
                <w:rFonts w:ascii="Calibri Light" w:hAnsi="Calibri Light"/>
                <w:b w:val="0"/>
                <w:sz w:val="22"/>
                <w:szCs w:val="22"/>
              </w:rPr>
              <w:t xml:space="preserve"> el principio </w:t>
            </w:r>
            <w:r w:rsidR="001C4077" w:rsidRPr="00A12ECE">
              <w:rPr>
                <w:rFonts w:ascii="Calibri Light" w:hAnsi="Calibri Light"/>
                <w:b w:val="0"/>
                <w:i/>
                <w:sz w:val="22"/>
                <w:szCs w:val="22"/>
              </w:rPr>
              <w:t>non bis in ídem</w:t>
            </w:r>
            <w:r>
              <w:rPr>
                <w:rFonts w:ascii="Calibri Light" w:hAnsi="Calibri Light"/>
                <w:b w:val="0"/>
                <w:sz w:val="22"/>
                <w:szCs w:val="22"/>
              </w:rPr>
              <w:t>,</w:t>
            </w:r>
            <w:r w:rsidR="001C4077" w:rsidRPr="00923EFF">
              <w:rPr>
                <w:rFonts w:ascii="Calibri Light" w:hAnsi="Calibri Light"/>
                <w:b w:val="0"/>
                <w:sz w:val="22"/>
                <w:szCs w:val="22"/>
              </w:rPr>
              <w:t xml:space="preserve"> contenido en el artículo 8.4 de la CADH, busca proteger a las personas que ya han sido juzgadas mediante sentencia firme de volver a juzgadas y sancionadas por un delito por el cual ya hayan sido condenadas o absueltas. </w:t>
            </w:r>
            <w:r w:rsidR="007E5D86">
              <w:rPr>
                <w:rFonts w:ascii="Calibri Light" w:hAnsi="Calibri Light"/>
                <w:b w:val="0"/>
                <w:sz w:val="22"/>
                <w:szCs w:val="22"/>
              </w:rPr>
              <w:t xml:space="preserve">En este caso, dicho principio se vio afectado, en primer lugar, porque la sentencia del </w:t>
            </w:r>
            <w:r w:rsidR="007E5D86">
              <w:rPr>
                <w:rFonts w:ascii="Calibri Light" w:hAnsi="Calibri Light"/>
                <w:b w:val="0"/>
                <w:sz w:val="22"/>
                <w:szCs w:val="22"/>
              </w:rPr>
              <w:lastRenderedPageBreak/>
              <w:t xml:space="preserve">15 de diciembre de 1997 que condenó en la jurisdicción militar al señor Rosadio por el delito de desobediencia se basó al menos parcialmente en que los hechos constituían el delito de tráfico ilícito de drogas. Por este último delito, el señor Rosadio fue condenado en última instancia el 19 de junio de 1997. </w:t>
            </w:r>
          </w:p>
          <w:p w14:paraId="2AD4B6F5" w14:textId="77777777" w:rsidR="000928BA" w:rsidRDefault="000928BA" w:rsidP="009506AF">
            <w:pPr>
              <w:pStyle w:val="Default"/>
              <w:jc w:val="both"/>
              <w:rPr>
                <w:rFonts w:ascii="Calibri Light" w:hAnsi="Calibri Light"/>
                <w:b w:val="0"/>
                <w:sz w:val="22"/>
                <w:szCs w:val="22"/>
              </w:rPr>
            </w:pPr>
          </w:p>
          <w:p w14:paraId="35A50F33" w14:textId="7D91A667" w:rsidR="00EB258D" w:rsidRPr="00923EFF" w:rsidRDefault="000928BA" w:rsidP="009506AF">
            <w:pPr>
              <w:pStyle w:val="Default"/>
              <w:jc w:val="both"/>
              <w:rPr>
                <w:rFonts w:ascii="Calibri Light" w:hAnsi="Calibri Light"/>
                <w:b w:val="0"/>
                <w:sz w:val="22"/>
                <w:szCs w:val="22"/>
              </w:rPr>
            </w:pPr>
            <w:r>
              <w:rPr>
                <w:rFonts w:ascii="Calibri Light" w:hAnsi="Calibri Light"/>
                <w:b w:val="0"/>
                <w:sz w:val="22"/>
                <w:szCs w:val="22"/>
              </w:rPr>
              <w:t xml:space="preserve">En segundo lugar, se incumplió este principio ya que, si bien se sancionó administrativamente al señor Rosadio por la comisión de determinadas faltas disciplinarias, del expediente de la CIDH se desprende que los hechos de ese proceso fueron los mismos que se discutieron en los procesos penal ordinario y militar. Finalmente, el principio fue afectado, pues el Estado no argumentó la diferencia del delito militar de desobediencia o del delito común de tráfico ilícito de droga con las faltas administrativas con los mismos nombres, por las cuales el señor Rosadio fue sancionado. Por estas consideraciones, la CIDH declaró que el Estado había violado el artículo 8.4 de la CADH, en relación con el artículo 1.1, </w:t>
            </w:r>
            <w:r w:rsidR="003F38FB" w:rsidRPr="00923EFF">
              <w:rPr>
                <w:rFonts w:ascii="Calibri Light" w:hAnsi="Calibri Light"/>
                <w:b w:val="0"/>
                <w:sz w:val="22"/>
                <w:szCs w:val="22"/>
              </w:rPr>
              <w:t>en perjuicio del señor Rosadio</w:t>
            </w:r>
            <w:r w:rsidR="0002173F" w:rsidRPr="00923EFF">
              <w:rPr>
                <w:rFonts w:ascii="Calibri Light" w:hAnsi="Calibri Light"/>
                <w:b w:val="0"/>
                <w:sz w:val="22"/>
                <w:szCs w:val="22"/>
              </w:rPr>
              <w:t>.</w:t>
            </w:r>
          </w:p>
          <w:p w14:paraId="49B3F1B1" w14:textId="77777777" w:rsidR="003F38FB" w:rsidRPr="00923EFF" w:rsidRDefault="003F38FB" w:rsidP="009506AF">
            <w:pPr>
              <w:pStyle w:val="Default"/>
              <w:jc w:val="both"/>
              <w:rPr>
                <w:rFonts w:ascii="Calibri Light" w:hAnsi="Calibri Light"/>
                <w:b w:val="0"/>
                <w:sz w:val="22"/>
                <w:szCs w:val="22"/>
              </w:rPr>
            </w:pPr>
          </w:p>
          <w:p w14:paraId="5625F7A3" w14:textId="2C3A831B" w:rsidR="003F38FB" w:rsidRPr="00923EFF" w:rsidRDefault="003F38FB" w:rsidP="009506AF">
            <w:pPr>
              <w:pStyle w:val="Default"/>
              <w:jc w:val="both"/>
              <w:rPr>
                <w:rFonts w:ascii="Calibri Light" w:hAnsi="Calibri Light"/>
                <w:sz w:val="22"/>
                <w:szCs w:val="22"/>
                <w:lang w:val="es-ES" w:eastAsia="es-ES"/>
              </w:rPr>
            </w:pPr>
            <w:r w:rsidRPr="00923EFF">
              <w:rPr>
                <w:rFonts w:ascii="Calibri Light" w:hAnsi="Calibri Light"/>
                <w:sz w:val="22"/>
                <w:szCs w:val="22"/>
                <w:lang w:val="es-ES" w:eastAsia="es-ES"/>
              </w:rPr>
              <w:t>Derecho a la libertad personal, a las garantías judiciales y a la protección judicial respe</w:t>
            </w:r>
            <w:r w:rsidR="00E54F22" w:rsidRPr="00923EFF">
              <w:rPr>
                <w:rFonts w:ascii="Calibri Light" w:hAnsi="Calibri Light"/>
                <w:sz w:val="22"/>
                <w:szCs w:val="22"/>
                <w:lang w:val="es-ES" w:eastAsia="es-ES"/>
              </w:rPr>
              <w:t xml:space="preserve">cto de la detención preventiva </w:t>
            </w:r>
            <w:r w:rsidR="000372C6" w:rsidRPr="00923EFF">
              <w:rPr>
                <w:rFonts w:ascii="Calibri Light" w:hAnsi="Calibri Light"/>
                <w:sz w:val="22"/>
                <w:szCs w:val="22"/>
                <w:lang w:val="es-ES" w:eastAsia="es-ES"/>
              </w:rPr>
              <w:t xml:space="preserve">(artículos 7 y 25 de la CADH) </w:t>
            </w:r>
          </w:p>
          <w:p w14:paraId="5FFC6107" w14:textId="77777777" w:rsidR="00357544" w:rsidRPr="00923EFF" w:rsidRDefault="00357544" w:rsidP="009506AF">
            <w:pPr>
              <w:pStyle w:val="Default"/>
              <w:jc w:val="both"/>
              <w:rPr>
                <w:rFonts w:ascii="Calibri Light" w:hAnsi="Calibri Light"/>
                <w:b w:val="0"/>
                <w:sz w:val="22"/>
                <w:szCs w:val="22"/>
                <w:lang w:val="es-ES" w:eastAsia="es-ES"/>
              </w:rPr>
            </w:pPr>
          </w:p>
          <w:p w14:paraId="366FD7EF" w14:textId="39F765DC" w:rsidR="00144284" w:rsidRDefault="00144284" w:rsidP="00144284">
            <w:pPr>
              <w:jc w:val="both"/>
              <w:rPr>
                <w:rFonts w:ascii="Calibri Light" w:hAnsi="Calibri Light"/>
                <w:b w:val="0"/>
              </w:rPr>
            </w:pPr>
            <w:r w:rsidRPr="00425C8B">
              <w:rPr>
                <w:rFonts w:ascii="Calibri Light" w:hAnsi="Calibri Light"/>
                <w:b w:val="0"/>
              </w:rPr>
              <w:t>La CIDH r</w:t>
            </w:r>
            <w:r>
              <w:rPr>
                <w:rFonts w:ascii="Calibri Light" w:hAnsi="Calibri Light"/>
                <w:b w:val="0"/>
              </w:rPr>
              <w:t>eiteró</w:t>
            </w:r>
            <w:r w:rsidRPr="00425C8B">
              <w:rPr>
                <w:rFonts w:ascii="Calibri Light" w:hAnsi="Calibri Light"/>
                <w:b w:val="0"/>
              </w:rPr>
              <w:t xml:space="preserve"> que la prisión preventiva debe ser una medida cautelar y no punitiva</w:t>
            </w:r>
            <w:r>
              <w:rPr>
                <w:rFonts w:ascii="Calibri Light" w:hAnsi="Calibri Light"/>
                <w:b w:val="0"/>
              </w:rPr>
              <w:t>, que</w:t>
            </w:r>
            <w:r w:rsidRPr="00425C8B">
              <w:rPr>
                <w:rFonts w:ascii="Calibri Light" w:hAnsi="Calibri Light"/>
                <w:b w:val="0"/>
              </w:rPr>
              <w:t xml:space="preserve"> solo debe aplicarse de manera excepcional. En cuanto a las razones que </w:t>
            </w:r>
            <w:r>
              <w:rPr>
                <w:rFonts w:ascii="Calibri Light" w:hAnsi="Calibri Light"/>
                <w:b w:val="0"/>
              </w:rPr>
              <w:t>justifican</w:t>
            </w:r>
            <w:r w:rsidRPr="00425C8B">
              <w:rPr>
                <w:rFonts w:ascii="Calibri Light" w:hAnsi="Calibri Light"/>
                <w:b w:val="0"/>
              </w:rPr>
              <w:t xml:space="preserve"> su aplicación</w:t>
            </w:r>
            <w:r>
              <w:rPr>
                <w:rFonts w:ascii="Calibri Light" w:hAnsi="Calibri Light"/>
                <w:b w:val="0"/>
              </w:rPr>
              <w:t xml:space="preserve"> </w:t>
            </w:r>
            <w:r w:rsidRPr="008009BA">
              <w:rPr>
                <w:rFonts w:ascii="Calibri Light" w:hAnsi="Calibri Light"/>
                <w:b w:val="0"/>
              </w:rPr>
              <w:t>de acuerdo al artículo 7.3 de la CADH,</w:t>
            </w:r>
            <w:r w:rsidRPr="00425C8B">
              <w:rPr>
                <w:rFonts w:ascii="Calibri Light" w:hAnsi="Calibri Light"/>
                <w:b w:val="0"/>
              </w:rPr>
              <w:t xml:space="preserve"> </w:t>
            </w:r>
            <w:r>
              <w:rPr>
                <w:rFonts w:ascii="Calibri Light" w:hAnsi="Calibri Light"/>
                <w:b w:val="0"/>
              </w:rPr>
              <w:t xml:space="preserve">señaló que de por sí, no son suficientes para ello las características personales del presunto autor o la gravedad del delito que se le imputa.  Al respecto, recordó que la Corte IDH ha señalado que si bien los indicios de responsabilidad deben ser tomados en cuenta, la prisión preventiva solo se puede fundamentar en un fin legítimo, como evitar que el acusado impida el desarrollo del proceso o eluda la acción de la justicia. </w:t>
            </w:r>
          </w:p>
          <w:p w14:paraId="7BBBCAD4" w14:textId="77777777" w:rsidR="00144284" w:rsidRDefault="00144284" w:rsidP="00144284">
            <w:pPr>
              <w:jc w:val="both"/>
              <w:rPr>
                <w:rFonts w:ascii="Calibri Light" w:hAnsi="Calibri Light"/>
                <w:b w:val="0"/>
              </w:rPr>
            </w:pPr>
          </w:p>
          <w:p w14:paraId="6E613381" w14:textId="630B6AB5" w:rsidR="00144284" w:rsidRDefault="00144284" w:rsidP="00144284">
            <w:pPr>
              <w:jc w:val="both"/>
              <w:rPr>
                <w:rFonts w:ascii="Calibri Light" w:hAnsi="Calibri Light"/>
                <w:b w:val="0"/>
              </w:rPr>
            </w:pPr>
            <w:r>
              <w:rPr>
                <w:rFonts w:ascii="Calibri Light" w:hAnsi="Calibri Light"/>
                <w:b w:val="0"/>
              </w:rPr>
              <w:t xml:space="preserve">De otra parte, señaló que de acuerdo al artículo 7.5 de la CADH, el plazo de aplicación de esta medida no debe exceder el límite de lo razonable. Además, sostuvo que la aplicación de la prisión preventiva debe ser revisada periódicamente para que no se prolongue en caso ya no existan los argumentos que llevaron a su adopción. Por último, indicó que la prisión preventiva también puede afectar el principio de presunción de inocencia, reconocido en el artículo 8.2 de la CADH, pues mantener a una persona detenida por más tiempo del necesario para cumplir con los fines de la prisión preventiva equivale a una pena anticipada. </w:t>
            </w:r>
          </w:p>
          <w:p w14:paraId="2ECD77A5" w14:textId="77777777" w:rsidR="000928BA" w:rsidRPr="00144284" w:rsidRDefault="000928BA" w:rsidP="00003B5B">
            <w:pPr>
              <w:jc w:val="both"/>
              <w:rPr>
                <w:rFonts w:ascii="Calibri Light" w:hAnsi="Calibri Light"/>
                <w:b w:val="0"/>
              </w:rPr>
            </w:pPr>
          </w:p>
          <w:p w14:paraId="4C80818A" w14:textId="7FF4BE81" w:rsidR="00003B5B" w:rsidRPr="00923EFF" w:rsidRDefault="001C4077" w:rsidP="00003B5B">
            <w:pPr>
              <w:jc w:val="both"/>
              <w:rPr>
                <w:rFonts w:ascii="Calibri Light" w:hAnsi="Calibri Light"/>
                <w:b w:val="0"/>
                <w:lang w:val="es-PE"/>
              </w:rPr>
            </w:pPr>
            <w:r w:rsidRPr="00923EFF">
              <w:rPr>
                <w:rFonts w:ascii="Calibri Light" w:hAnsi="Calibri Light"/>
                <w:b w:val="0"/>
                <w:lang w:val="es-PE"/>
              </w:rPr>
              <w:t xml:space="preserve">Asimismo, </w:t>
            </w:r>
            <w:r w:rsidR="008F0E3F">
              <w:rPr>
                <w:rFonts w:ascii="Calibri Light" w:hAnsi="Calibri Light"/>
                <w:b w:val="0"/>
                <w:lang w:val="es-PE"/>
              </w:rPr>
              <w:t xml:space="preserve">señaló que de acuerdo al artículo 7.6 de la CADH, toda persona tiene derecho a recurrir la legalidad de su detención ante un juez o tribunal competente, y conforme al artículo 25 de la CADH, tiene derecho a un recurso efectivo. En ese sentido, señaló que el recurso que controvierte la privación de libertad </w:t>
            </w:r>
            <w:r w:rsidRPr="00923EFF">
              <w:rPr>
                <w:rFonts w:ascii="Calibri Light" w:hAnsi="Calibri Light"/>
                <w:b w:val="0"/>
                <w:lang w:val="es-PE"/>
              </w:rPr>
              <w:t>no puede reducirse a una mera formalidad, sino</w:t>
            </w:r>
            <w:r w:rsidR="008F0E3F">
              <w:rPr>
                <w:rFonts w:ascii="Calibri Light" w:hAnsi="Calibri Light"/>
                <w:b w:val="0"/>
                <w:lang w:val="es-PE"/>
              </w:rPr>
              <w:t xml:space="preserve"> que la autoridad competente</w:t>
            </w:r>
            <w:r w:rsidRPr="00923EFF">
              <w:rPr>
                <w:rFonts w:ascii="Calibri Light" w:hAnsi="Calibri Light"/>
                <w:b w:val="0"/>
                <w:lang w:val="es-PE"/>
              </w:rPr>
              <w:t xml:space="preserve"> debe examinar las razones invocadas por el demandante y manifestarse expresamente sobre ellas</w:t>
            </w:r>
            <w:r w:rsidR="008F0E3F">
              <w:rPr>
                <w:rFonts w:ascii="Calibri Light" w:hAnsi="Calibri Light"/>
                <w:b w:val="0"/>
                <w:lang w:val="es-PE"/>
              </w:rPr>
              <w:t>.</w:t>
            </w:r>
          </w:p>
          <w:p w14:paraId="3E3B0EB8" w14:textId="77777777" w:rsidR="00003B5B" w:rsidRPr="00923EFF" w:rsidRDefault="00003B5B" w:rsidP="00003B5B">
            <w:pPr>
              <w:pStyle w:val="Default"/>
              <w:jc w:val="both"/>
              <w:rPr>
                <w:rFonts w:ascii="Calibri Light" w:hAnsi="Calibri Light"/>
                <w:b w:val="0"/>
                <w:sz w:val="22"/>
                <w:szCs w:val="22"/>
                <w:lang w:val="es-ES" w:eastAsia="es-ES"/>
              </w:rPr>
            </w:pPr>
          </w:p>
          <w:p w14:paraId="6B3D5332" w14:textId="77777777" w:rsidR="008F0E3F" w:rsidRDefault="00E54F22" w:rsidP="00C87133">
            <w:pPr>
              <w:pStyle w:val="Default"/>
              <w:jc w:val="both"/>
              <w:rPr>
                <w:rFonts w:ascii="Calibri Light" w:hAnsi="Calibri Light"/>
                <w:b w:val="0"/>
                <w:sz w:val="22"/>
                <w:szCs w:val="22"/>
              </w:rPr>
            </w:pPr>
            <w:r w:rsidRPr="00923EFF">
              <w:rPr>
                <w:rFonts w:ascii="Calibri Light" w:hAnsi="Calibri Light"/>
                <w:b w:val="0"/>
                <w:sz w:val="22"/>
                <w:szCs w:val="22"/>
              </w:rPr>
              <w:t>Sobre la mo</w:t>
            </w:r>
            <w:r w:rsidR="00D13472" w:rsidRPr="00923EFF">
              <w:rPr>
                <w:rFonts w:ascii="Calibri Light" w:hAnsi="Calibri Light"/>
                <w:b w:val="0"/>
                <w:sz w:val="22"/>
                <w:szCs w:val="22"/>
              </w:rPr>
              <w:t>tivación de la prisión preventiva en los fueros ordinario y militar</w:t>
            </w:r>
            <w:r w:rsidRPr="00923EFF">
              <w:rPr>
                <w:rFonts w:ascii="Calibri Light" w:hAnsi="Calibri Light"/>
                <w:b w:val="0"/>
                <w:sz w:val="22"/>
                <w:szCs w:val="22"/>
              </w:rPr>
              <w:t>, l</w:t>
            </w:r>
            <w:r w:rsidR="00523EA1" w:rsidRPr="00923EFF">
              <w:rPr>
                <w:rFonts w:ascii="Calibri Light" w:hAnsi="Calibri Light"/>
                <w:b w:val="0"/>
                <w:sz w:val="22"/>
                <w:szCs w:val="22"/>
              </w:rPr>
              <w:t>a CIDH no cuenta con</w:t>
            </w:r>
            <w:r w:rsidRPr="00923EFF">
              <w:rPr>
                <w:rFonts w:ascii="Calibri Light" w:hAnsi="Calibri Light"/>
                <w:b w:val="0"/>
                <w:sz w:val="22"/>
                <w:szCs w:val="22"/>
              </w:rPr>
              <w:t xml:space="preserve"> la</w:t>
            </w:r>
            <w:r w:rsidR="00523EA1" w:rsidRPr="00923EFF">
              <w:rPr>
                <w:rFonts w:ascii="Calibri Light" w:hAnsi="Calibri Light"/>
                <w:b w:val="0"/>
                <w:sz w:val="22"/>
                <w:szCs w:val="22"/>
              </w:rPr>
              <w:t xml:space="preserve"> decisión mediante la cual se dispuso </w:t>
            </w:r>
            <w:r w:rsidRPr="00923EFF">
              <w:rPr>
                <w:rFonts w:ascii="Calibri Light" w:hAnsi="Calibri Light"/>
                <w:b w:val="0"/>
                <w:sz w:val="22"/>
                <w:szCs w:val="22"/>
              </w:rPr>
              <w:t xml:space="preserve">dichas medidas al señor Rosadio. </w:t>
            </w:r>
            <w:r w:rsidR="00466580" w:rsidRPr="00923EFF">
              <w:rPr>
                <w:rFonts w:ascii="Calibri Light" w:hAnsi="Calibri Light"/>
                <w:b w:val="0"/>
                <w:sz w:val="22"/>
                <w:szCs w:val="22"/>
              </w:rPr>
              <w:t>A pesar de ello,</w:t>
            </w:r>
            <w:r w:rsidR="00C87133" w:rsidRPr="00923EFF">
              <w:rPr>
                <w:rFonts w:ascii="Calibri Light" w:hAnsi="Calibri Light"/>
                <w:b w:val="0"/>
                <w:sz w:val="22"/>
                <w:szCs w:val="22"/>
              </w:rPr>
              <w:t xml:space="preserve"> analizó otras resoluciones en el fuero común en las que las autoridades se limitaron a indicar que el señor Rosadio no cumplió con la condición de demostrar su inocencia en los términos del artículo 201 del Código de Procedimientos Penales. En ese sentido,</w:t>
            </w:r>
            <w:r w:rsidR="00144284">
              <w:rPr>
                <w:rFonts w:ascii="Calibri Light" w:hAnsi="Calibri Light"/>
                <w:b w:val="0"/>
                <w:sz w:val="22"/>
                <w:szCs w:val="22"/>
              </w:rPr>
              <w:t xml:space="preserve"> concluyó</w:t>
            </w:r>
            <w:r w:rsidR="00C87133" w:rsidRPr="00923EFF">
              <w:rPr>
                <w:rFonts w:ascii="Calibri Light" w:hAnsi="Calibri Light"/>
                <w:b w:val="0"/>
                <w:sz w:val="22"/>
                <w:szCs w:val="22"/>
              </w:rPr>
              <w:t xml:space="preserve"> que no existió una motivación individualizada sobre los fines procesales perseguidos mediante la detención preventiva en el fuero común y militar, y que, por el contrario, la motivación estuvo basada en la existencia de indicios de responsabilidad y la gravedad del delito, configurándose como una anticipación de la pena y no una medida cautelar</w:t>
            </w:r>
            <w:r w:rsidR="00466580" w:rsidRPr="00923EFF">
              <w:rPr>
                <w:rFonts w:ascii="Calibri Light" w:hAnsi="Calibri Light"/>
                <w:b w:val="0"/>
                <w:sz w:val="22"/>
                <w:szCs w:val="22"/>
              </w:rPr>
              <w:t>.</w:t>
            </w:r>
            <w:r w:rsidR="0002173F" w:rsidRPr="00923EFF">
              <w:rPr>
                <w:rFonts w:ascii="Calibri Light" w:hAnsi="Calibri Light"/>
                <w:b w:val="0"/>
                <w:sz w:val="22"/>
                <w:szCs w:val="22"/>
              </w:rPr>
              <w:t xml:space="preserve"> </w:t>
            </w:r>
          </w:p>
          <w:p w14:paraId="610A2BC6" w14:textId="77777777" w:rsidR="008F0E3F" w:rsidRDefault="008F0E3F" w:rsidP="00C87133">
            <w:pPr>
              <w:pStyle w:val="Default"/>
              <w:jc w:val="both"/>
              <w:rPr>
                <w:rFonts w:ascii="Calibri Light" w:hAnsi="Calibri Light"/>
                <w:b w:val="0"/>
                <w:sz w:val="22"/>
                <w:szCs w:val="22"/>
              </w:rPr>
            </w:pPr>
          </w:p>
          <w:p w14:paraId="6DA1D914" w14:textId="2AAD9A6E" w:rsidR="001F7DB5" w:rsidRPr="00923EFF" w:rsidRDefault="00786751" w:rsidP="00C87133">
            <w:pPr>
              <w:pStyle w:val="Default"/>
              <w:jc w:val="both"/>
              <w:rPr>
                <w:rFonts w:ascii="Calibri Light" w:hAnsi="Calibri Light"/>
                <w:b w:val="0"/>
                <w:sz w:val="22"/>
                <w:szCs w:val="22"/>
              </w:rPr>
            </w:pPr>
            <w:r w:rsidRPr="00923EFF">
              <w:rPr>
                <w:rFonts w:ascii="Calibri Light" w:hAnsi="Calibri Light"/>
                <w:b w:val="0"/>
                <w:sz w:val="22"/>
                <w:szCs w:val="22"/>
              </w:rPr>
              <w:lastRenderedPageBreak/>
              <w:t xml:space="preserve">Asimismo, manifestó que la </w:t>
            </w:r>
            <w:r w:rsidR="00466580" w:rsidRPr="00923EFF">
              <w:rPr>
                <w:rFonts w:ascii="Calibri Light" w:hAnsi="Calibri Light"/>
                <w:b w:val="0"/>
                <w:sz w:val="22"/>
                <w:szCs w:val="22"/>
              </w:rPr>
              <w:t>duración por más de tres años y seis meses de la detención preventiva del señor Villavicenc</w:t>
            </w:r>
            <w:r w:rsidRPr="00923EFF">
              <w:rPr>
                <w:rFonts w:ascii="Calibri Light" w:hAnsi="Calibri Light"/>
                <w:b w:val="0"/>
                <w:sz w:val="22"/>
                <w:szCs w:val="22"/>
              </w:rPr>
              <w:t>io, fue excesiva y vulneró</w:t>
            </w:r>
            <w:r w:rsidR="00466580" w:rsidRPr="00923EFF">
              <w:rPr>
                <w:rFonts w:ascii="Calibri Light" w:hAnsi="Calibri Light"/>
                <w:b w:val="0"/>
                <w:sz w:val="22"/>
                <w:szCs w:val="22"/>
              </w:rPr>
              <w:t xml:space="preserve"> el principio de la razonabilidad</w:t>
            </w:r>
            <w:r w:rsidR="001F7DB5" w:rsidRPr="00923EFF">
              <w:rPr>
                <w:rFonts w:ascii="Calibri Light" w:hAnsi="Calibri Light"/>
                <w:b w:val="0"/>
                <w:sz w:val="22"/>
                <w:szCs w:val="22"/>
              </w:rPr>
              <w:t>, siendo consecuencia del marco legal que exigía a la presunta víctima “demostrar plenamente la inculpabilidad del encausado” y de la valoración que desde el principio de los procesos las autoridades hicieron sobre los indicios de la responsabilidad de la presunta víctima, así como de la gravedad del delito.</w:t>
            </w:r>
          </w:p>
          <w:p w14:paraId="0A2B276D" w14:textId="77777777" w:rsidR="001F7DB5" w:rsidRPr="00923EFF" w:rsidRDefault="001F7DB5" w:rsidP="00C87133">
            <w:pPr>
              <w:pStyle w:val="Default"/>
              <w:jc w:val="both"/>
              <w:rPr>
                <w:rFonts w:ascii="Calibri Light" w:hAnsi="Calibri Light"/>
                <w:b w:val="0"/>
                <w:sz w:val="22"/>
                <w:szCs w:val="22"/>
              </w:rPr>
            </w:pPr>
          </w:p>
          <w:p w14:paraId="1B0C7280" w14:textId="7C3BE6B0" w:rsidR="001F7DB5" w:rsidRPr="00923EFF" w:rsidRDefault="001F7DB5" w:rsidP="00C87133">
            <w:pPr>
              <w:pStyle w:val="Default"/>
              <w:jc w:val="both"/>
              <w:rPr>
                <w:rFonts w:ascii="Calibri Light" w:hAnsi="Calibri Light"/>
                <w:b w:val="0"/>
                <w:sz w:val="22"/>
                <w:szCs w:val="22"/>
                <w:lang w:val="es-AR"/>
              </w:rPr>
            </w:pPr>
            <w:r w:rsidRPr="00923EFF">
              <w:rPr>
                <w:rFonts w:ascii="Calibri Light" w:hAnsi="Calibri Light"/>
                <w:b w:val="0"/>
                <w:sz w:val="22"/>
                <w:szCs w:val="22"/>
              </w:rPr>
              <w:t xml:space="preserve">Por último, respecto a la efectividad de los recursos interpuestos por el señor Rosadio para cuestionar su privación de la libertad, la CIDH ha señalado que </w:t>
            </w:r>
            <w:r w:rsidR="001C4077" w:rsidRPr="00923EFF">
              <w:rPr>
                <w:rFonts w:ascii="Calibri Light" w:hAnsi="Calibri Light"/>
                <w:b w:val="0"/>
                <w:sz w:val="22"/>
                <w:szCs w:val="22"/>
              </w:rPr>
              <w:t xml:space="preserve">la negación de la solicitud de libertad condicional, en primera instancia y en apelación, respondió a criterios sobre la responsabilidad del señor Rosadio, la gravedad del delito o el estándar probatorio del artículo 201 del Código de Procedimientos Penales, que exigía demostrar plenamente la inculpabilidad, sin que medie un análisis sobre los fines procesales </w:t>
            </w:r>
            <w:r w:rsidR="003171F9">
              <w:rPr>
                <w:rFonts w:ascii="Calibri Light" w:hAnsi="Calibri Light"/>
                <w:b w:val="0"/>
                <w:sz w:val="22"/>
                <w:szCs w:val="22"/>
              </w:rPr>
              <w:t>de la prisión preventiva</w:t>
            </w:r>
            <w:r w:rsidR="001C4077" w:rsidRPr="00923EFF">
              <w:rPr>
                <w:rFonts w:ascii="Calibri Light" w:hAnsi="Calibri Light"/>
                <w:b w:val="0"/>
                <w:sz w:val="22"/>
                <w:szCs w:val="22"/>
              </w:rPr>
              <w:t>. Debido a ello, los recursos judiciales no posibilitaron una revisión sin demora y efectiva tanto de la motivación como de la duración de la detención preventiva a la luz de los estándares descritos.</w:t>
            </w:r>
          </w:p>
          <w:p w14:paraId="0FE145D8" w14:textId="77777777" w:rsidR="001F7DB5" w:rsidRPr="00923EFF" w:rsidRDefault="001F7DB5" w:rsidP="00C87133">
            <w:pPr>
              <w:pStyle w:val="Default"/>
              <w:jc w:val="both"/>
              <w:rPr>
                <w:rFonts w:ascii="Calibri Light" w:hAnsi="Calibri Light"/>
                <w:b w:val="0"/>
                <w:sz w:val="22"/>
                <w:szCs w:val="22"/>
              </w:rPr>
            </w:pPr>
          </w:p>
          <w:p w14:paraId="3A51D85B" w14:textId="51F84BAD" w:rsidR="00923EFF" w:rsidRDefault="00466580" w:rsidP="000928BA">
            <w:pPr>
              <w:pStyle w:val="Default"/>
              <w:jc w:val="both"/>
              <w:rPr>
                <w:rFonts w:ascii="Calibri Light" w:hAnsi="Calibri Light"/>
                <w:b w:val="0"/>
                <w:sz w:val="22"/>
                <w:szCs w:val="22"/>
              </w:rPr>
            </w:pPr>
            <w:r w:rsidRPr="00923EFF">
              <w:rPr>
                <w:rFonts w:ascii="Calibri Light" w:hAnsi="Calibri Light"/>
                <w:b w:val="0"/>
                <w:sz w:val="22"/>
                <w:szCs w:val="22"/>
              </w:rPr>
              <w:t>En virtud d</w:t>
            </w:r>
            <w:r w:rsidR="00786751" w:rsidRPr="00923EFF">
              <w:rPr>
                <w:rFonts w:ascii="Calibri Light" w:hAnsi="Calibri Light"/>
                <w:b w:val="0"/>
                <w:sz w:val="22"/>
                <w:szCs w:val="22"/>
              </w:rPr>
              <w:t>e ello,</w:t>
            </w:r>
            <w:r w:rsidRPr="00923EFF">
              <w:rPr>
                <w:rFonts w:ascii="Calibri Light" w:hAnsi="Calibri Light"/>
                <w:b w:val="0"/>
                <w:sz w:val="22"/>
                <w:szCs w:val="22"/>
              </w:rPr>
              <w:t xml:space="preserve"> la </w:t>
            </w:r>
            <w:r w:rsidR="00786751" w:rsidRPr="00923EFF">
              <w:rPr>
                <w:rFonts w:ascii="Calibri Light" w:hAnsi="Calibri Light"/>
                <w:b w:val="0"/>
                <w:sz w:val="22"/>
                <w:szCs w:val="22"/>
              </w:rPr>
              <w:t>CIDH concluyó</w:t>
            </w:r>
            <w:r w:rsidRPr="00923EFF">
              <w:rPr>
                <w:rFonts w:ascii="Calibri Light" w:hAnsi="Calibri Light"/>
                <w:b w:val="0"/>
                <w:sz w:val="22"/>
                <w:szCs w:val="22"/>
              </w:rPr>
              <w:t xml:space="preserve"> que el Estado peruano e</w:t>
            </w:r>
            <w:r w:rsidR="0002173F" w:rsidRPr="00923EFF">
              <w:rPr>
                <w:rFonts w:ascii="Calibri Light" w:hAnsi="Calibri Light"/>
                <w:b w:val="0"/>
                <w:sz w:val="22"/>
                <w:szCs w:val="22"/>
              </w:rPr>
              <w:t>ra</w:t>
            </w:r>
            <w:r w:rsidRPr="00923EFF">
              <w:rPr>
                <w:rFonts w:ascii="Calibri Light" w:hAnsi="Calibri Light"/>
                <w:b w:val="0"/>
                <w:sz w:val="22"/>
                <w:szCs w:val="22"/>
              </w:rPr>
              <w:t xml:space="preserve"> responsable por la violación de los derechos establecidos en los artículos 7.1, 7.3, 7.5, 7.6, 8.1, 8.2 y 25 de la </w:t>
            </w:r>
            <w:r w:rsidR="00786751" w:rsidRPr="00923EFF">
              <w:rPr>
                <w:rFonts w:ascii="Calibri Light" w:hAnsi="Calibri Light"/>
                <w:b w:val="0"/>
                <w:sz w:val="22"/>
                <w:szCs w:val="22"/>
              </w:rPr>
              <w:t>CADH</w:t>
            </w:r>
            <w:r w:rsidR="0002173F" w:rsidRPr="00923EFF">
              <w:rPr>
                <w:rFonts w:ascii="Calibri Light" w:hAnsi="Calibri Light"/>
                <w:b w:val="0"/>
                <w:sz w:val="22"/>
                <w:szCs w:val="22"/>
              </w:rPr>
              <w:t>,</w:t>
            </w:r>
            <w:r w:rsidRPr="00923EFF">
              <w:rPr>
                <w:rFonts w:ascii="Calibri Light" w:hAnsi="Calibri Light"/>
                <w:b w:val="0"/>
                <w:sz w:val="22"/>
                <w:szCs w:val="22"/>
              </w:rPr>
              <w:t xml:space="preserve"> en relación con el artículo 1.1, en perjuicio d</w:t>
            </w:r>
            <w:r w:rsidR="0070300B">
              <w:rPr>
                <w:rFonts w:ascii="Calibri Light" w:hAnsi="Calibri Light"/>
                <w:b w:val="0"/>
                <w:sz w:val="22"/>
                <w:szCs w:val="22"/>
              </w:rPr>
              <w:t>e</w:t>
            </w:r>
            <w:r w:rsidR="0002173F" w:rsidRPr="00923EFF">
              <w:rPr>
                <w:rFonts w:ascii="Calibri Light" w:hAnsi="Calibri Light"/>
                <w:b w:val="0"/>
                <w:sz w:val="22"/>
                <w:szCs w:val="22"/>
              </w:rPr>
              <w:t>l señor</w:t>
            </w:r>
            <w:r w:rsidR="00753904" w:rsidRPr="00923EFF">
              <w:rPr>
                <w:rFonts w:ascii="Calibri Light" w:hAnsi="Calibri Light"/>
                <w:b w:val="0"/>
                <w:sz w:val="22"/>
                <w:szCs w:val="22"/>
              </w:rPr>
              <w:t xml:space="preserve"> </w:t>
            </w:r>
            <w:r w:rsidRPr="00923EFF">
              <w:rPr>
                <w:rFonts w:ascii="Calibri Light" w:hAnsi="Calibri Light"/>
                <w:b w:val="0"/>
                <w:sz w:val="22"/>
                <w:szCs w:val="22"/>
              </w:rPr>
              <w:t>Rosadio</w:t>
            </w:r>
            <w:r w:rsidR="00786751" w:rsidRPr="00923EFF">
              <w:rPr>
                <w:rFonts w:ascii="Calibri Light" w:hAnsi="Calibri Light"/>
                <w:b w:val="0"/>
                <w:sz w:val="22"/>
                <w:szCs w:val="22"/>
              </w:rPr>
              <w:t>.</w:t>
            </w:r>
          </w:p>
          <w:p w14:paraId="5AA471B6" w14:textId="57A9B407" w:rsidR="00144284" w:rsidRPr="00923EFF" w:rsidRDefault="00144284" w:rsidP="000928BA">
            <w:pPr>
              <w:pStyle w:val="Default"/>
              <w:jc w:val="both"/>
              <w:rPr>
                <w:rFonts w:ascii="Calibri Light" w:hAnsi="Calibri Light"/>
                <w:b w:val="0"/>
                <w:sz w:val="22"/>
                <w:szCs w:val="22"/>
              </w:rPr>
            </w:pPr>
          </w:p>
        </w:tc>
      </w:tr>
      <w:tr w:rsidR="005173CF" w:rsidRPr="00923EFF" w14:paraId="0FBFBB6F" w14:textId="77777777" w:rsidTr="00C3765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923EFF" w:rsidRDefault="00AC6F31" w:rsidP="00AC6F31">
            <w:pPr>
              <w:pStyle w:val="ListParagraph"/>
              <w:rPr>
                <w:rFonts w:ascii="Calibri Light" w:hAnsi="Calibri Light"/>
              </w:rPr>
            </w:pPr>
          </w:p>
          <w:p w14:paraId="5CF7BA21" w14:textId="5963A80B" w:rsidR="005173CF" w:rsidRPr="00923EFF" w:rsidRDefault="007A6C56" w:rsidP="0029671B">
            <w:pPr>
              <w:pStyle w:val="ListParagraph"/>
              <w:numPr>
                <w:ilvl w:val="0"/>
                <w:numId w:val="2"/>
              </w:numPr>
              <w:jc w:val="center"/>
              <w:rPr>
                <w:rFonts w:ascii="Calibri Light" w:hAnsi="Calibri Light"/>
              </w:rPr>
            </w:pPr>
            <w:r w:rsidRPr="00923EFF">
              <w:rPr>
                <w:rFonts w:ascii="Calibri Light" w:hAnsi="Calibri Light"/>
              </w:rPr>
              <w:t>Recomendaciones</w:t>
            </w:r>
            <w:r w:rsidR="00884A20" w:rsidRPr="00923EFF">
              <w:rPr>
                <w:rFonts w:ascii="Calibri Light" w:hAnsi="Calibri Light"/>
              </w:rPr>
              <w:t xml:space="preserve"> de la CIDH al Estado</w:t>
            </w:r>
          </w:p>
          <w:p w14:paraId="510D8BF9" w14:textId="77777777" w:rsidR="00AC6F31" w:rsidRPr="00923EFF" w:rsidRDefault="00AC6F31" w:rsidP="00AC6F31">
            <w:pPr>
              <w:pStyle w:val="ListParagraph"/>
              <w:rPr>
                <w:rFonts w:ascii="Calibri Light" w:hAnsi="Calibri Light"/>
              </w:rPr>
            </w:pPr>
          </w:p>
        </w:tc>
      </w:tr>
      <w:tr w:rsidR="007A6C56" w:rsidRPr="00923EFF" w14:paraId="3D91AF16" w14:textId="77777777" w:rsidTr="00C3765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199661B7" w14:textId="77777777" w:rsidR="003171F9" w:rsidRDefault="003171F9" w:rsidP="003171F9">
            <w:pPr>
              <w:pStyle w:val="ListParagraph"/>
              <w:ind w:left="360"/>
              <w:jc w:val="both"/>
              <w:rPr>
                <w:rFonts w:ascii="Calibri Light" w:hAnsi="Calibri Light"/>
                <w:b w:val="0"/>
              </w:rPr>
            </w:pPr>
          </w:p>
          <w:p w14:paraId="68B84EBE" w14:textId="77777777" w:rsidR="003171F9" w:rsidRDefault="003171F9" w:rsidP="003171F9">
            <w:pPr>
              <w:pStyle w:val="ListParagraph"/>
              <w:numPr>
                <w:ilvl w:val="0"/>
                <w:numId w:val="12"/>
              </w:numPr>
              <w:jc w:val="both"/>
              <w:rPr>
                <w:rFonts w:ascii="Calibri Light" w:hAnsi="Calibri Light"/>
                <w:b w:val="0"/>
              </w:rPr>
            </w:pPr>
            <w:r w:rsidRPr="003171F9">
              <w:rPr>
                <w:rFonts w:ascii="Calibri Light" w:hAnsi="Calibri Light"/>
                <w:b w:val="0"/>
              </w:rPr>
              <w:t>Reparar integralmente a la víctima del presente caso a través de medidas de compensación pecuniaria y de satisfacción que incluyan el daño material e inmaterial ocasionado a la víctima como consecuencia de las violaciones declaradas en el presente informe.</w:t>
            </w:r>
          </w:p>
          <w:p w14:paraId="2D92000F" w14:textId="01B1B5C1" w:rsidR="003171F9" w:rsidRPr="003171F9" w:rsidRDefault="003171F9" w:rsidP="003171F9">
            <w:pPr>
              <w:pStyle w:val="ListParagraph"/>
              <w:ind w:left="360"/>
              <w:jc w:val="both"/>
              <w:rPr>
                <w:rFonts w:ascii="Calibri Light" w:hAnsi="Calibri Light"/>
                <w:b w:val="0"/>
              </w:rPr>
            </w:pPr>
            <w:r w:rsidRPr="003171F9">
              <w:rPr>
                <w:rFonts w:ascii="Calibri Light" w:hAnsi="Calibri Light"/>
                <w:b w:val="0"/>
              </w:rPr>
              <w:t xml:space="preserve"> </w:t>
            </w:r>
          </w:p>
          <w:p w14:paraId="392F7097" w14:textId="77777777" w:rsidR="00923EFF" w:rsidRPr="003171F9" w:rsidRDefault="003171F9" w:rsidP="003171F9">
            <w:pPr>
              <w:pStyle w:val="ListParagraph"/>
              <w:numPr>
                <w:ilvl w:val="0"/>
                <w:numId w:val="12"/>
              </w:numPr>
              <w:jc w:val="both"/>
              <w:rPr>
                <w:rFonts w:ascii="Calibri Light" w:hAnsi="Calibri Light"/>
              </w:rPr>
            </w:pPr>
            <w:r w:rsidRPr="003171F9">
              <w:rPr>
                <w:rFonts w:ascii="Calibri Light" w:hAnsi="Calibri Light"/>
                <w:b w:val="0"/>
              </w:rPr>
              <w:t>Disponer las medidas de no repetición, legislativas, administrativas o de otra índole, para asegurar que en los procesos administrativos sancionatorios se respete estrictamente el principio de presunción de inocencia y las demás garantías del debido proceso. Asimismo, para asegurar que en el ejercicio del poder punitivo del Estado, tanto en la vía administrativa como en la vía penal, se respete el principio de non bis in ídem y se eviten múltiples juzgamientos por los mismos hechos. Finalmente, para asegurar que la aplicación de la detención preventiva se ajuste a los estándares declarados en el presente informe para que no se constituya en una medida punitiva, en particular, que la misma obedezca a fines procesales y que su duración sea la estrictamente necesaria para el logro de tales fines.</w:t>
            </w:r>
          </w:p>
          <w:p w14:paraId="49863AFC" w14:textId="2190ACAB" w:rsidR="003171F9" w:rsidRPr="003171F9" w:rsidRDefault="003171F9" w:rsidP="003171F9">
            <w:pPr>
              <w:jc w:val="both"/>
              <w:rPr>
                <w:rFonts w:ascii="Calibri Light" w:hAnsi="Calibri Light"/>
              </w:rPr>
            </w:pPr>
          </w:p>
        </w:tc>
      </w:tr>
      <w:tr w:rsidR="00F464EC" w:rsidRPr="00923EFF" w14:paraId="0B7CC98E" w14:textId="77777777" w:rsidTr="00C3765A">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923EFF" w:rsidRDefault="00F464EC" w:rsidP="00F464EC">
            <w:pPr>
              <w:pStyle w:val="ListParagraph"/>
              <w:spacing w:after="200" w:line="276" w:lineRule="auto"/>
              <w:rPr>
                <w:rFonts w:ascii="Calibri Light" w:hAnsi="Calibri Light"/>
              </w:rPr>
            </w:pPr>
          </w:p>
          <w:p w14:paraId="7B045F14" w14:textId="2270E615" w:rsidR="00F464EC" w:rsidRPr="00923EFF" w:rsidRDefault="00F464EC" w:rsidP="00F464EC">
            <w:pPr>
              <w:pStyle w:val="ListParagraph"/>
              <w:numPr>
                <w:ilvl w:val="0"/>
                <w:numId w:val="2"/>
              </w:numPr>
              <w:spacing w:after="200" w:line="276" w:lineRule="auto"/>
              <w:jc w:val="center"/>
              <w:rPr>
                <w:rFonts w:ascii="Calibri Light" w:hAnsi="Calibri Light"/>
              </w:rPr>
            </w:pPr>
            <w:r w:rsidRPr="00923EFF">
              <w:rPr>
                <w:rFonts w:ascii="Calibri Light" w:hAnsi="Calibri Light"/>
              </w:rPr>
              <w:t>Análisis de cumplimiento de las recomendaciones</w:t>
            </w:r>
          </w:p>
          <w:p w14:paraId="3C93C1C0" w14:textId="77777777" w:rsidR="00F464EC" w:rsidRPr="00923EFF" w:rsidRDefault="00F464EC" w:rsidP="00F464EC">
            <w:pPr>
              <w:pStyle w:val="ListParagraph"/>
              <w:ind w:left="0"/>
              <w:jc w:val="center"/>
              <w:rPr>
                <w:rFonts w:ascii="Calibri Light" w:hAnsi="Calibri Light"/>
                <w:b w:val="0"/>
              </w:rPr>
            </w:pPr>
          </w:p>
        </w:tc>
      </w:tr>
      <w:tr w:rsidR="00F464EC" w:rsidRPr="00923EFF" w14:paraId="41FA15A1" w14:textId="77777777" w:rsidTr="00C3765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9C10628" w14:textId="77777777" w:rsidR="00C3765A" w:rsidRPr="00923EFF" w:rsidRDefault="00C3765A" w:rsidP="00D13472">
            <w:pPr>
              <w:pStyle w:val="ListParagraph"/>
              <w:ind w:left="0"/>
              <w:jc w:val="center"/>
              <w:rPr>
                <w:rFonts w:ascii="Calibri Light" w:hAnsi="Calibri Light"/>
                <w:b w:val="0"/>
              </w:rPr>
            </w:pPr>
          </w:p>
          <w:p w14:paraId="2D161F53" w14:textId="77777777" w:rsidR="00F464EC" w:rsidRPr="00923EFF" w:rsidRDefault="00D13472" w:rsidP="00D13472">
            <w:pPr>
              <w:pStyle w:val="ListParagraph"/>
              <w:ind w:left="0"/>
              <w:jc w:val="center"/>
              <w:rPr>
                <w:rFonts w:ascii="Calibri Light" w:hAnsi="Calibri Light"/>
                <w:b w:val="0"/>
              </w:rPr>
            </w:pPr>
            <w:r w:rsidRPr="00923EFF">
              <w:rPr>
                <w:rFonts w:ascii="Calibri Light" w:hAnsi="Calibri Light"/>
                <w:b w:val="0"/>
              </w:rPr>
              <w:t>-</w:t>
            </w:r>
          </w:p>
          <w:p w14:paraId="1F3EA985" w14:textId="1E6A2D65" w:rsidR="00C3765A" w:rsidRPr="00923EFF" w:rsidRDefault="00C3765A" w:rsidP="00D13472">
            <w:pPr>
              <w:pStyle w:val="ListParagraph"/>
              <w:ind w:left="0"/>
              <w:jc w:val="center"/>
              <w:rPr>
                <w:rFonts w:ascii="Calibri Light" w:hAnsi="Calibri Light"/>
                <w:b w:val="0"/>
              </w:rPr>
            </w:pPr>
          </w:p>
        </w:tc>
      </w:tr>
    </w:tbl>
    <w:p w14:paraId="23A9A3C3" w14:textId="77777777" w:rsidR="00714E42" w:rsidRPr="00923EFF" w:rsidRDefault="00714E42" w:rsidP="00A65231">
      <w:pPr>
        <w:rPr>
          <w:rFonts w:ascii="Calibri Light" w:hAnsi="Calibri Light"/>
        </w:rPr>
      </w:pPr>
    </w:p>
    <w:sectPr w:rsidR="00714E42" w:rsidRPr="00923EFF"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9BB59" w14:textId="77777777" w:rsidR="00A93A6F" w:rsidRDefault="00A93A6F" w:rsidP="00A65231">
      <w:pPr>
        <w:spacing w:after="0" w:line="240" w:lineRule="auto"/>
      </w:pPr>
      <w:r>
        <w:separator/>
      </w:r>
    </w:p>
  </w:endnote>
  <w:endnote w:type="continuationSeparator" w:id="0">
    <w:p w14:paraId="7AA7D1D8" w14:textId="77777777" w:rsidR="00A93A6F" w:rsidRDefault="00A93A6F"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77777777" w:rsidR="00F631CC" w:rsidRPr="00144284" w:rsidRDefault="00F631CC">
        <w:pPr>
          <w:pStyle w:val="Footer"/>
          <w:jc w:val="right"/>
          <w:rPr>
            <w:rFonts w:ascii="Calibri Light" w:hAnsi="Calibri Light"/>
          </w:rPr>
        </w:pPr>
        <w:r w:rsidRPr="00144284">
          <w:rPr>
            <w:rFonts w:ascii="Calibri Light" w:hAnsi="Calibri Light"/>
          </w:rPr>
          <w:fldChar w:fldCharType="begin"/>
        </w:r>
        <w:r w:rsidRPr="00144284">
          <w:rPr>
            <w:rFonts w:ascii="Calibri Light" w:hAnsi="Calibri Light"/>
          </w:rPr>
          <w:instrText>PAGE   \* MERGEFORMAT</w:instrText>
        </w:r>
        <w:r w:rsidRPr="00144284">
          <w:rPr>
            <w:rFonts w:ascii="Calibri Light" w:hAnsi="Calibri Light"/>
          </w:rPr>
          <w:fldChar w:fldCharType="separate"/>
        </w:r>
        <w:r w:rsidR="003E67D8" w:rsidRPr="003E67D8">
          <w:rPr>
            <w:rFonts w:ascii="Calibri Light" w:hAnsi="Calibri Light"/>
            <w:noProof/>
            <w:lang w:val="es-ES"/>
          </w:rPr>
          <w:t>6</w:t>
        </w:r>
        <w:r w:rsidRPr="00144284">
          <w:rPr>
            <w:rFonts w:ascii="Calibri Light" w:hAnsi="Calibri Light"/>
          </w:rPr>
          <w:fldChar w:fldCharType="end"/>
        </w:r>
      </w:p>
    </w:sdtContent>
  </w:sdt>
  <w:p w14:paraId="6353BB13" w14:textId="77777777" w:rsidR="00F631CC" w:rsidRDefault="00F631CC">
    <w:pPr>
      <w:pStyle w:val="Footer"/>
      <w:rPr>
        <w:rFonts w:ascii="Calibri Light" w:hAnsi="Calibri Light"/>
      </w:rPr>
    </w:pPr>
  </w:p>
  <w:p w14:paraId="0B992D72" w14:textId="77777777" w:rsidR="00144284" w:rsidRPr="00144284" w:rsidRDefault="00144284">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B0D45" w14:textId="77777777" w:rsidR="00A93A6F" w:rsidRDefault="00A93A6F" w:rsidP="00A65231">
      <w:pPr>
        <w:spacing w:after="0" w:line="240" w:lineRule="auto"/>
      </w:pPr>
      <w:r>
        <w:separator/>
      </w:r>
    </w:p>
  </w:footnote>
  <w:footnote w:type="continuationSeparator" w:id="0">
    <w:p w14:paraId="67BE87AE" w14:textId="77777777" w:rsidR="00A93A6F" w:rsidRDefault="00A93A6F"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6604FCFE"/>
    <w:lvl w:ilvl="0" w:tplc="33E65C12">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1BF7441"/>
    <w:multiLevelType w:val="hybridMultilevel"/>
    <w:tmpl w:val="95CAF5AE"/>
    <w:lvl w:ilvl="0" w:tplc="0A108696">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 w15:restartNumberingAfterBreak="0">
    <w:nsid w:val="1B40141C"/>
    <w:multiLevelType w:val="hybridMultilevel"/>
    <w:tmpl w:val="63509294"/>
    <w:lvl w:ilvl="0" w:tplc="28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CF05AB0"/>
    <w:multiLevelType w:val="hybridMultilevel"/>
    <w:tmpl w:val="A10249F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F130F24"/>
    <w:multiLevelType w:val="hybridMultilevel"/>
    <w:tmpl w:val="9E2A4E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05A010C"/>
    <w:multiLevelType w:val="hybridMultilevel"/>
    <w:tmpl w:val="87C86B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7C3707"/>
    <w:multiLevelType w:val="hybridMultilevel"/>
    <w:tmpl w:val="9C282C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6C373E3C"/>
    <w:multiLevelType w:val="hybridMultilevel"/>
    <w:tmpl w:val="4FA49F72"/>
    <w:lvl w:ilvl="0" w:tplc="FBFA6D1C">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7"/>
  </w:num>
  <w:num w:numId="6">
    <w:abstractNumId w:val="11"/>
  </w:num>
  <w:num w:numId="7">
    <w:abstractNumId w:val="1"/>
  </w:num>
  <w:num w:numId="8">
    <w:abstractNumId w:val="5"/>
  </w:num>
  <w:num w:numId="9">
    <w:abstractNumId w:val="3"/>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33FF"/>
    <w:rsid w:val="00003B5B"/>
    <w:rsid w:val="00014A80"/>
    <w:rsid w:val="0002173F"/>
    <w:rsid w:val="00022847"/>
    <w:rsid w:val="0002332E"/>
    <w:rsid w:val="000372C6"/>
    <w:rsid w:val="00044FC2"/>
    <w:rsid w:val="000602C7"/>
    <w:rsid w:val="00063EC3"/>
    <w:rsid w:val="0006675C"/>
    <w:rsid w:val="00074FE4"/>
    <w:rsid w:val="00076EBC"/>
    <w:rsid w:val="0007777B"/>
    <w:rsid w:val="00090BCA"/>
    <w:rsid w:val="000928BA"/>
    <w:rsid w:val="00094376"/>
    <w:rsid w:val="000A223B"/>
    <w:rsid w:val="000B0DAA"/>
    <w:rsid w:val="000B4CF2"/>
    <w:rsid w:val="000B5257"/>
    <w:rsid w:val="000C2ED1"/>
    <w:rsid w:val="000C5A72"/>
    <w:rsid w:val="000D3CF2"/>
    <w:rsid w:val="000E4587"/>
    <w:rsid w:val="000F2C70"/>
    <w:rsid w:val="000F4AEA"/>
    <w:rsid w:val="00137A85"/>
    <w:rsid w:val="001424AD"/>
    <w:rsid w:val="00144284"/>
    <w:rsid w:val="00153666"/>
    <w:rsid w:val="001713F2"/>
    <w:rsid w:val="001A14F7"/>
    <w:rsid w:val="001B1B3D"/>
    <w:rsid w:val="001C0307"/>
    <w:rsid w:val="001C28EC"/>
    <w:rsid w:val="001C4077"/>
    <w:rsid w:val="001D3B54"/>
    <w:rsid w:val="001E7FC8"/>
    <w:rsid w:val="001F0EBD"/>
    <w:rsid w:val="001F7DB5"/>
    <w:rsid w:val="00212F62"/>
    <w:rsid w:val="00213757"/>
    <w:rsid w:val="00220B75"/>
    <w:rsid w:val="002233EB"/>
    <w:rsid w:val="002375BD"/>
    <w:rsid w:val="00244853"/>
    <w:rsid w:val="00251DDE"/>
    <w:rsid w:val="00261AD4"/>
    <w:rsid w:val="00270E78"/>
    <w:rsid w:val="002736D6"/>
    <w:rsid w:val="00283F01"/>
    <w:rsid w:val="0029671B"/>
    <w:rsid w:val="002B3221"/>
    <w:rsid w:val="002B3B1E"/>
    <w:rsid w:val="002D0949"/>
    <w:rsid w:val="002E13A1"/>
    <w:rsid w:val="003059B2"/>
    <w:rsid w:val="003171F9"/>
    <w:rsid w:val="00317EE5"/>
    <w:rsid w:val="0032141E"/>
    <w:rsid w:val="003343E9"/>
    <w:rsid w:val="003363DC"/>
    <w:rsid w:val="00336C3B"/>
    <w:rsid w:val="003439AB"/>
    <w:rsid w:val="003500DD"/>
    <w:rsid w:val="003565A4"/>
    <w:rsid w:val="00357544"/>
    <w:rsid w:val="00373700"/>
    <w:rsid w:val="003A3ADB"/>
    <w:rsid w:val="003A4AA1"/>
    <w:rsid w:val="003B0BFF"/>
    <w:rsid w:val="003D5A53"/>
    <w:rsid w:val="003D6E0F"/>
    <w:rsid w:val="003E09A4"/>
    <w:rsid w:val="003E67D8"/>
    <w:rsid w:val="003E6AB8"/>
    <w:rsid w:val="003F38FB"/>
    <w:rsid w:val="003F68BD"/>
    <w:rsid w:val="00400E46"/>
    <w:rsid w:val="00406461"/>
    <w:rsid w:val="00407FC2"/>
    <w:rsid w:val="00411A74"/>
    <w:rsid w:val="00421D6C"/>
    <w:rsid w:val="004242D0"/>
    <w:rsid w:val="00426FDA"/>
    <w:rsid w:val="00442C6B"/>
    <w:rsid w:val="00445D2C"/>
    <w:rsid w:val="00451809"/>
    <w:rsid w:val="00452AA6"/>
    <w:rsid w:val="004533E5"/>
    <w:rsid w:val="00455A3A"/>
    <w:rsid w:val="00464CAC"/>
    <w:rsid w:val="00466104"/>
    <w:rsid w:val="00466580"/>
    <w:rsid w:val="00476581"/>
    <w:rsid w:val="004858A8"/>
    <w:rsid w:val="004861D8"/>
    <w:rsid w:val="004A039C"/>
    <w:rsid w:val="004A7FA7"/>
    <w:rsid w:val="004B1311"/>
    <w:rsid w:val="004B151D"/>
    <w:rsid w:val="004B5568"/>
    <w:rsid w:val="004B6E36"/>
    <w:rsid w:val="004E07D5"/>
    <w:rsid w:val="004E27D5"/>
    <w:rsid w:val="004E2BB2"/>
    <w:rsid w:val="004E678F"/>
    <w:rsid w:val="004E7DFF"/>
    <w:rsid w:val="004F061A"/>
    <w:rsid w:val="0050074E"/>
    <w:rsid w:val="00504B27"/>
    <w:rsid w:val="005173CF"/>
    <w:rsid w:val="00523EA1"/>
    <w:rsid w:val="00546C3C"/>
    <w:rsid w:val="00555878"/>
    <w:rsid w:val="00557C90"/>
    <w:rsid w:val="00561359"/>
    <w:rsid w:val="005833BF"/>
    <w:rsid w:val="005A1120"/>
    <w:rsid w:val="005B257B"/>
    <w:rsid w:val="005C3229"/>
    <w:rsid w:val="005C35DD"/>
    <w:rsid w:val="005D3082"/>
    <w:rsid w:val="005D4FDF"/>
    <w:rsid w:val="005F14CB"/>
    <w:rsid w:val="005F1E4B"/>
    <w:rsid w:val="006030CE"/>
    <w:rsid w:val="0062514D"/>
    <w:rsid w:val="006375B0"/>
    <w:rsid w:val="006407DD"/>
    <w:rsid w:val="00646696"/>
    <w:rsid w:val="00650678"/>
    <w:rsid w:val="00655E8D"/>
    <w:rsid w:val="006576F9"/>
    <w:rsid w:val="006702D5"/>
    <w:rsid w:val="0067568C"/>
    <w:rsid w:val="00676230"/>
    <w:rsid w:val="00680A41"/>
    <w:rsid w:val="006833CD"/>
    <w:rsid w:val="00685F04"/>
    <w:rsid w:val="00690328"/>
    <w:rsid w:val="006A3FA1"/>
    <w:rsid w:val="006A6EC1"/>
    <w:rsid w:val="006B6064"/>
    <w:rsid w:val="006C3F1D"/>
    <w:rsid w:val="006C4484"/>
    <w:rsid w:val="006C5CFF"/>
    <w:rsid w:val="006D488A"/>
    <w:rsid w:val="006D5B7B"/>
    <w:rsid w:val="006E6371"/>
    <w:rsid w:val="006E6BA1"/>
    <w:rsid w:val="006F5AAD"/>
    <w:rsid w:val="0070300B"/>
    <w:rsid w:val="00714E42"/>
    <w:rsid w:val="00747E22"/>
    <w:rsid w:val="00753904"/>
    <w:rsid w:val="00775290"/>
    <w:rsid w:val="00781CD5"/>
    <w:rsid w:val="00786751"/>
    <w:rsid w:val="0079477F"/>
    <w:rsid w:val="007963CE"/>
    <w:rsid w:val="007964D1"/>
    <w:rsid w:val="007A6C56"/>
    <w:rsid w:val="007B1764"/>
    <w:rsid w:val="007B7ED8"/>
    <w:rsid w:val="007C1AF9"/>
    <w:rsid w:val="007C235B"/>
    <w:rsid w:val="007D49D3"/>
    <w:rsid w:val="007E382B"/>
    <w:rsid w:val="007E5D86"/>
    <w:rsid w:val="008036E7"/>
    <w:rsid w:val="00810470"/>
    <w:rsid w:val="00810849"/>
    <w:rsid w:val="0082139A"/>
    <w:rsid w:val="0083052F"/>
    <w:rsid w:val="00841B0E"/>
    <w:rsid w:val="00842429"/>
    <w:rsid w:val="00845354"/>
    <w:rsid w:val="00851773"/>
    <w:rsid w:val="00856406"/>
    <w:rsid w:val="008570F6"/>
    <w:rsid w:val="00864751"/>
    <w:rsid w:val="00866A4D"/>
    <w:rsid w:val="00871AB0"/>
    <w:rsid w:val="00883DD2"/>
    <w:rsid w:val="00884A20"/>
    <w:rsid w:val="008B53D7"/>
    <w:rsid w:val="008B57FB"/>
    <w:rsid w:val="008B743B"/>
    <w:rsid w:val="008D38A2"/>
    <w:rsid w:val="008D6D78"/>
    <w:rsid w:val="008E1571"/>
    <w:rsid w:val="008F0E3F"/>
    <w:rsid w:val="008F15CD"/>
    <w:rsid w:val="00902C92"/>
    <w:rsid w:val="0090367F"/>
    <w:rsid w:val="00923EFF"/>
    <w:rsid w:val="00931244"/>
    <w:rsid w:val="009506AF"/>
    <w:rsid w:val="0095310E"/>
    <w:rsid w:val="00954E20"/>
    <w:rsid w:val="00971801"/>
    <w:rsid w:val="00974F30"/>
    <w:rsid w:val="0098327C"/>
    <w:rsid w:val="009956CE"/>
    <w:rsid w:val="009A559F"/>
    <w:rsid w:val="009A7AE2"/>
    <w:rsid w:val="009D78B9"/>
    <w:rsid w:val="009E1880"/>
    <w:rsid w:val="009F34D5"/>
    <w:rsid w:val="00A05D80"/>
    <w:rsid w:val="00A12ECE"/>
    <w:rsid w:val="00A133CC"/>
    <w:rsid w:val="00A153E3"/>
    <w:rsid w:val="00A16B0A"/>
    <w:rsid w:val="00A2337D"/>
    <w:rsid w:val="00A26ADF"/>
    <w:rsid w:val="00A270B0"/>
    <w:rsid w:val="00A271BF"/>
    <w:rsid w:val="00A275F8"/>
    <w:rsid w:val="00A43A03"/>
    <w:rsid w:val="00A4435A"/>
    <w:rsid w:val="00A526EC"/>
    <w:rsid w:val="00A65231"/>
    <w:rsid w:val="00A719A1"/>
    <w:rsid w:val="00A73593"/>
    <w:rsid w:val="00A73F2F"/>
    <w:rsid w:val="00A774C6"/>
    <w:rsid w:val="00A878A3"/>
    <w:rsid w:val="00A91B24"/>
    <w:rsid w:val="00A93A6F"/>
    <w:rsid w:val="00A962F7"/>
    <w:rsid w:val="00AA323C"/>
    <w:rsid w:val="00AA52D1"/>
    <w:rsid w:val="00AA6FC3"/>
    <w:rsid w:val="00AC221B"/>
    <w:rsid w:val="00AC6F31"/>
    <w:rsid w:val="00AD3B6B"/>
    <w:rsid w:val="00AD40A3"/>
    <w:rsid w:val="00AF175D"/>
    <w:rsid w:val="00B07E72"/>
    <w:rsid w:val="00B16D3A"/>
    <w:rsid w:val="00B36CC8"/>
    <w:rsid w:val="00B42DCE"/>
    <w:rsid w:val="00B434F9"/>
    <w:rsid w:val="00B55B6C"/>
    <w:rsid w:val="00B71B8C"/>
    <w:rsid w:val="00B71DB7"/>
    <w:rsid w:val="00B771B5"/>
    <w:rsid w:val="00B82C13"/>
    <w:rsid w:val="00B832A6"/>
    <w:rsid w:val="00B93CB9"/>
    <w:rsid w:val="00B93E21"/>
    <w:rsid w:val="00B94CDF"/>
    <w:rsid w:val="00B968DF"/>
    <w:rsid w:val="00BB3EB0"/>
    <w:rsid w:val="00BB61AA"/>
    <w:rsid w:val="00BB61C6"/>
    <w:rsid w:val="00BD48E5"/>
    <w:rsid w:val="00BE2265"/>
    <w:rsid w:val="00BE6FA1"/>
    <w:rsid w:val="00C05E29"/>
    <w:rsid w:val="00C23809"/>
    <w:rsid w:val="00C31DFF"/>
    <w:rsid w:val="00C3765A"/>
    <w:rsid w:val="00C46812"/>
    <w:rsid w:val="00C5799F"/>
    <w:rsid w:val="00C63B25"/>
    <w:rsid w:val="00C71663"/>
    <w:rsid w:val="00C71E76"/>
    <w:rsid w:val="00C76AE1"/>
    <w:rsid w:val="00C87133"/>
    <w:rsid w:val="00CA18F9"/>
    <w:rsid w:val="00CB3E30"/>
    <w:rsid w:val="00CC1D4C"/>
    <w:rsid w:val="00CE276D"/>
    <w:rsid w:val="00D06281"/>
    <w:rsid w:val="00D0696E"/>
    <w:rsid w:val="00D13472"/>
    <w:rsid w:val="00D1375C"/>
    <w:rsid w:val="00D14182"/>
    <w:rsid w:val="00D20798"/>
    <w:rsid w:val="00D57D78"/>
    <w:rsid w:val="00D64A9C"/>
    <w:rsid w:val="00D70530"/>
    <w:rsid w:val="00D75883"/>
    <w:rsid w:val="00D9056E"/>
    <w:rsid w:val="00DA2211"/>
    <w:rsid w:val="00DA32BA"/>
    <w:rsid w:val="00DC6848"/>
    <w:rsid w:val="00DD0E3C"/>
    <w:rsid w:val="00DD3C7C"/>
    <w:rsid w:val="00DF2AFB"/>
    <w:rsid w:val="00E0255E"/>
    <w:rsid w:val="00E11C4B"/>
    <w:rsid w:val="00E135B2"/>
    <w:rsid w:val="00E169C8"/>
    <w:rsid w:val="00E1710F"/>
    <w:rsid w:val="00E27629"/>
    <w:rsid w:val="00E35FF7"/>
    <w:rsid w:val="00E47126"/>
    <w:rsid w:val="00E53E20"/>
    <w:rsid w:val="00E54F22"/>
    <w:rsid w:val="00E56039"/>
    <w:rsid w:val="00E72968"/>
    <w:rsid w:val="00E83C68"/>
    <w:rsid w:val="00E85606"/>
    <w:rsid w:val="00E86C83"/>
    <w:rsid w:val="00EA0C77"/>
    <w:rsid w:val="00EB08CC"/>
    <w:rsid w:val="00EB258D"/>
    <w:rsid w:val="00EB7FF9"/>
    <w:rsid w:val="00EC2B19"/>
    <w:rsid w:val="00ED7AD6"/>
    <w:rsid w:val="00EE4BA9"/>
    <w:rsid w:val="00EF1CDE"/>
    <w:rsid w:val="00EF5E2A"/>
    <w:rsid w:val="00F06184"/>
    <w:rsid w:val="00F14336"/>
    <w:rsid w:val="00F1681A"/>
    <w:rsid w:val="00F33A69"/>
    <w:rsid w:val="00F35633"/>
    <w:rsid w:val="00F41D6C"/>
    <w:rsid w:val="00F41F16"/>
    <w:rsid w:val="00F45700"/>
    <w:rsid w:val="00F464EC"/>
    <w:rsid w:val="00F53444"/>
    <w:rsid w:val="00F55CD0"/>
    <w:rsid w:val="00F631CC"/>
    <w:rsid w:val="00F725A5"/>
    <w:rsid w:val="00F77412"/>
    <w:rsid w:val="00F83405"/>
    <w:rsid w:val="00F857CE"/>
    <w:rsid w:val="00F95138"/>
    <w:rsid w:val="00F97709"/>
    <w:rsid w:val="00FA49E1"/>
    <w:rsid w:val="00FA6E5A"/>
    <w:rsid w:val="00FB0F60"/>
    <w:rsid w:val="00FB1AE3"/>
    <w:rsid w:val="00FB1D17"/>
    <w:rsid w:val="00FE1B43"/>
    <w:rsid w:val="00FF0A1A"/>
    <w:rsid w:val="00FF24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32141E"/>
    <w:rPr>
      <w:color w:val="0000FF" w:themeColor="hyperlink"/>
      <w:u w:val="single"/>
    </w:rPr>
  </w:style>
  <w:style w:type="paragraph" w:customStyle="1" w:styleId="Default">
    <w:name w:val="Default"/>
    <w:rsid w:val="00810470"/>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77412"/>
    <w:pPr>
      <w:spacing w:after="0" w:line="240" w:lineRule="auto"/>
    </w:pPr>
    <w:rPr>
      <w:rFonts w:ascii="Calibri" w:eastAsia="Calibri" w:hAnsi="Calibri" w:cs="Times New Roman"/>
      <w:lang w:val="es-MX"/>
    </w:rPr>
  </w:style>
  <w:style w:type="character" w:styleId="UnresolvedMention">
    <w:name w:val="Unresolved Mention"/>
    <w:basedOn w:val="DefaultParagraphFont"/>
    <w:uiPriority w:val="99"/>
    <w:semiHidden/>
    <w:unhideWhenUsed/>
    <w:rsid w:val="004B6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dh.oas.org/annualrep/2003sp/Peru.120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org/es/cidh/decisiones/corte/2017/12031NdeR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88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1F5E-E0C1-4165-B72B-6022D62A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3012</Words>
  <Characters>17170</Characters>
  <Application>Microsoft Office Word</Application>
  <DocSecurity>0</DocSecurity>
  <Lines>143</Lines>
  <Paragraphs>40</Paragraphs>
  <ScaleCrop>false</ScaleCrop>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2021-02-11T09:47:00Z</dcterms:created>
  <dcterms:modified xsi:type="dcterms:W3CDTF">2021-02-11T09:47:00Z</dcterms:modified>
</cp:coreProperties>
</file>