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9C82A" w14:textId="77777777" w:rsidR="000B7F11" w:rsidRDefault="000B7F11" w:rsidP="000B7F11">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3F01EFCB" wp14:editId="485909E6">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1ADD9D84" wp14:editId="42F08614">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20547ECA" wp14:editId="6490D6D5">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90BD23" w14:textId="77777777" w:rsidR="000B7F11" w:rsidRPr="00411A74" w:rsidRDefault="000B7F11" w:rsidP="000B7F11">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71B4C54C" w14:textId="77777777" w:rsidR="000B7F11" w:rsidRDefault="000B7F11" w:rsidP="000B7F11">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483F3D73" w14:textId="77777777" w:rsidR="00947FEA" w:rsidRPr="0051436E" w:rsidRDefault="00947FEA" w:rsidP="00BB61C6">
      <w:pPr>
        <w:spacing w:after="0" w:line="240" w:lineRule="auto"/>
        <w:jc w:val="center"/>
        <w:outlineLvl w:val="0"/>
        <w:rPr>
          <w:rFonts w:ascii="Calibri Light" w:hAnsi="Calibri Light"/>
          <w:b/>
          <w:i/>
          <w:lang w:val="es-PE"/>
        </w:rPr>
      </w:pPr>
    </w:p>
    <w:tbl>
      <w:tblPr>
        <w:tblStyle w:val="Tabladelista2-nfasis11"/>
        <w:tblW w:w="0" w:type="auto"/>
        <w:tblLook w:val="04A0" w:firstRow="1" w:lastRow="0" w:firstColumn="1" w:lastColumn="0" w:noHBand="0" w:noVBand="1"/>
      </w:tblPr>
      <w:tblGrid>
        <w:gridCol w:w="3678"/>
        <w:gridCol w:w="2552"/>
        <w:gridCol w:w="2491"/>
      </w:tblGrid>
      <w:tr w:rsidR="005173CF" w:rsidRPr="0051436E" w14:paraId="01A2F61A" w14:textId="77777777" w:rsidTr="004B598D">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Pr="0051436E" w:rsidRDefault="00AC6F31" w:rsidP="00AC6F31">
            <w:pPr>
              <w:pStyle w:val="ListParagraph"/>
              <w:rPr>
                <w:rFonts w:ascii="Calibri Light" w:hAnsi="Calibri Light"/>
              </w:rPr>
            </w:pPr>
          </w:p>
          <w:p w14:paraId="160CE2AC" w14:textId="77777777" w:rsidR="00212F62" w:rsidRPr="00713C22" w:rsidRDefault="007A6C56" w:rsidP="00AC6F31">
            <w:pPr>
              <w:pStyle w:val="ListParagraph"/>
              <w:numPr>
                <w:ilvl w:val="0"/>
                <w:numId w:val="2"/>
              </w:numPr>
              <w:jc w:val="center"/>
              <w:rPr>
                <w:rFonts w:ascii="Calibri Light" w:hAnsi="Calibri Light"/>
              </w:rPr>
            </w:pPr>
            <w:r w:rsidRPr="0051436E">
              <w:rPr>
                <w:rFonts w:ascii="Calibri Light" w:hAnsi="Calibri Light"/>
              </w:rPr>
              <w:t>Datos generales</w:t>
            </w:r>
          </w:p>
          <w:p w14:paraId="6C5B323B" w14:textId="6BA3A748" w:rsidR="00AC6F31" w:rsidRPr="00040417" w:rsidRDefault="00AC6F31" w:rsidP="00AC6F31">
            <w:pPr>
              <w:pStyle w:val="ListParagraph"/>
              <w:rPr>
                <w:rFonts w:ascii="Calibri Light" w:hAnsi="Calibri Light"/>
              </w:rPr>
            </w:pPr>
          </w:p>
        </w:tc>
      </w:tr>
      <w:tr w:rsidR="004533E5" w:rsidRPr="0051436E" w14:paraId="275AD1EA" w14:textId="77777777" w:rsidTr="004B598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713C22" w:rsidRDefault="007A6C56" w:rsidP="00A65231">
            <w:pPr>
              <w:pStyle w:val="ListParagraph"/>
              <w:numPr>
                <w:ilvl w:val="0"/>
                <w:numId w:val="3"/>
              </w:numPr>
              <w:rPr>
                <w:rFonts w:ascii="Calibri Light" w:hAnsi="Calibri Light"/>
              </w:rPr>
            </w:pPr>
            <w:r w:rsidRPr="00713C22">
              <w:rPr>
                <w:rFonts w:ascii="Calibri Light" w:hAnsi="Calibri Light"/>
              </w:rPr>
              <w:t>Nombre del caso</w:t>
            </w:r>
          </w:p>
        </w:tc>
        <w:tc>
          <w:tcPr>
            <w:tcW w:w="5043" w:type="dxa"/>
            <w:gridSpan w:val="2"/>
          </w:tcPr>
          <w:p w14:paraId="084A5991" w14:textId="7BDDD2F0" w:rsidR="005173CF" w:rsidRPr="0051436E" w:rsidRDefault="00AF5466" w:rsidP="00AF54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040417">
              <w:rPr>
                <w:rFonts w:ascii="Calibri Light" w:hAnsi="Calibri Light"/>
              </w:rPr>
              <w:t xml:space="preserve">Alejandro Yovany Gómez </w:t>
            </w:r>
            <w:r w:rsidRPr="00D01CA3">
              <w:rPr>
                <w:rFonts w:ascii="Calibri Light" w:hAnsi="Calibri Light"/>
              </w:rPr>
              <w:t>Virula</w:t>
            </w:r>
            <w:r w:rsidR="00A305A3" w:rsidRPr="0051436E">
              <w:rPr>
                <w:rFonts w:ascii="Calibri Light" w:hAnsi="Calibri Light"/>
              </w:rPr>
              <w:t xml:space="preserve"> y familia</w:t>
            </w:r>
            <w:r w:rsidR="00230F24" w:rsidRPr="0051436E">
              <w:rPr>
                <w:rFonts w:ascii="Calibri Light" w:hAnsi="Calibri Light"/>
              </w:rPr>
              <w:t xml:space="preserve">, </w:t>
            </w:r>
            <w:r w:rsidRPr="0051436E">
              <w:rPr>
                <w:rFonts w:ascii="Calibri Light" w:hAnsi="Calibri Light"/>
              </w:rPr>
              <w:t>Guatemala</w:t>
            </w:r>
          </w:p>
        </w:tc>
      </w:tr>
      <w:tr w:rsidR="00F464EC" w:rsidRPr="0051436E" w14:paraId="59A6A8A1" w14:textId="77777777" w:rsidTr="004B598D">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05B887C5" w:rsidR="00F464EC" w:rsidRPr="00713C22" w:rsidRDefault="00230F24" w:rsidP="00A65231">
            <w:pPr>
              <w:pStyle w:val="ListParagraph"/>
              <w:numPr>
                <w:ilvl w:val="0"/>
                <w:numId w:val="3"/>
              </w:numPr>
              <w:rPr>
                <w:rFonts w:ascii="Calibri Light" w:hAnsi="Calibri Light"/>
              </w:rPr>
            </w:pPr>
            <w:r w:rsidRPr="00713C22">
              <w:rPr>
                <w:rFonts w:ascii="Calibri Light" w:hAnsi="Calibri Light"/>
              </w:rPr>
              <w:t>Parte peticionaria</w:t>
            </w:r>
          </w:p>
        </w:tc>
        <w:tc>
          <w:tcPr>
            <w:tcW w:w="5043" w:type="dxa"/>
            <w:gridSpan w:val="2"/>
          </w:tcPr>
          <w:p w14:paraId="180AB662" w14:textId="516B44D4" w:rsidR="004B598D" w:rsidRPr="0051436E" w:rsidRDefault="004B598D" w:rsidP="00076EBC">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n-US"/>
              </w:rPr>
            </w:pPr>
            <w:r w:rsidRPr="00713C22">
              <w:rPr>
                <w:rFonts w:ascii="Calibri Light" w:hAnsi="Calibri Light"/>
              </w:rPr>
              <w:t>Antonio Gómez</w:t>
            </w:r>
            <w:r w:rsidR="00713C22">
              <w:rPr>
                <w:rFonts w:ascii="Calibri Light" w:hAnsi="Calibri Light"/>
              </w:rPr>
              <w:t xml:space="preserve">, </w:t>
            </w:r>
            <w:r w:rsidRPr="0051436E">
              <w:rPr>
                <w:rFonts w:ascii="Calibri Light" w:hAnsi="Calibri Light"/>
                <w:lang w:val="en-US"/>
              </w:rPr>
              <w:t>Paula Virula</w:t>
            </w:r>
            <w:r w:rsidR="00AF5466" w:rsidRPr="0051436E">
              <w:rPr>
                <w:rFonts w:ascii="Calibri Light" w:hAnsi="Calibri Light"/>
                <w:lang w:val="en-US"/>
              </w:rPr>
              <w:t xml:space="preserve"> </w:t>
            </w:r>
          </w:p>
          <w:p w14:paraId="47BD6330" w14:textId="77777777" w:rsidR="004B598D" w:rsidRPr="0051436E" w:rsidRDefault="004B598D" w:rsidP="00076EBC">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n-US"/>
              </w:rPr>
            </w:pPr>
            <w:r w:rsidRPr="0051436E">
              <w:rPr>
                <w:rFonts w:ascii="Calibri Light" w:hAnsi="Calibri Light"/>
                <w:lang w:val="en-US"/>
              </w:rPr>
              <w:t>T</w:t>
            </w:r>
            <w:r w:rsidR="00AF5466" w:rsidRPr="0051436E">
              <w:rPr>
                <w:rFonts w:ascii="Calibri Light" w:hAnsi="Calibri Light"/>
                <w:lang w:val="en-US"/>
              </w:rPr>
              <w:t xml:space="preserve">he Guatemala </w:t>
            </w:r>
            <w:r w:rsidRPr="0051436E">
              <w:rPr>
                <w:rFonts w:ascii="Calibri Light" w:hAnsi="Calibri Light"/>
                <w:lang w:val="en-US"/>
              </w:rPr>
              <w:t>Labor Education Project</w:t>
            </w:r>
          </w:p>
          <w:p w14:paraId="374B2A68" w14:textId="6D4F9506" w:rsidR="00F464EC" w:rsidRPr="00713C22" w:rsidRDefault="00AF5466" w:rsidP="00076EBC">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713C22">
              <w:rPr>
                <w:rFonts w:ascii="Calibri Light" w:hAnsi="Calibri Light"/>
              </w:rPr>
              <w:t>Unión Sindical de Trabajadores de Guatemala</w:t>
            </w:r>
          </w:p>
        </w:tc>
      </w:tr>
      <w:tr w:rsidR="005173CF" w:rsidRPr="0051436E" w14:paraId="3A483B4F" w14:textId="77777777" w:rsidTr="004B598D">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4792FF0E" w:rsidR="005173CF" w:rsidRPr="00713C22" w:rsidRDefault="007A6C56" w:rsidP="00A65231">
            <w:pPr>
              <w:pStyle w:val="ListParagraph"/>
              <w:numPr>
                <w:ilvl w:val="0"/>
                <w:numId w:val="3"/>
              </w:numPr>
              <w:rPr>
                <w:rFonts w:ascii="Calibri Light" w:hAnsi="Calibri Light"/>
              </w:rPr>
            </w:pPr>
            <w:r w:rsidRPr="00713C22">
              <w:rPr>
                <w:rFonts w:ascii="Calibri Light" w:hAnsi="Calibri Light"/>
              </w:rPr>
              <w:t xml:space="preserve">Número de Informe </w:t>
            </w:r>
          </w:p>
        </w:tc>
        <w:tc>
          <w:tcPr>
            <w:tcW w:w="5043" w:type="dxa"/>
            <w:gridSpan w:val="2"/>
          </w:tcPr>
          <w:p w14:paraId="77740DF4" w14:textId="42D76F1E" w:rsidR="005173CF" w:rsidRPr="00713C22" w:rsidRDefault="00BB2FCE" w:rsidP="00200D9F">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AF5466" w:rsidRPr="0051436E">
                <w:rPr>
                  <w:rStyle w:val="Hyperlink"/>
                  <w:rFonts w:ascii="Calibri Light" w:hAnsi="Calibri Light"/>
                </w:rPr>
                <w:t>Informe No. 33/17</w:t>
              </w:r>
            </w:hyperlink>
          </w:p>
        </w:tc>
      </w:tr>
      <w:tr w:rsidR="004533E5" w:rsidRPr="0051436E" w14:paraId="5EC10F5F" w14:textId="77777777" w:rsidTr="004B598D">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713C22" w:rsidRDefault="00954E20" w:rsidP="00954E20">
            <w:pPr>
              <w:pStyle w:val="ListParagraph"/>
              <w:numPr>
                <w:ilvl w:val="0"/>
                <w:numId w:val="3"/>
              </w:numPr>
              <w:rPr>
                <w:rFonts w:ascii="Calibri Light" w:hAnsi="Calibri Light"/>
              </w:rPr>
            </w:pPr>
            <w:r w:rsidRPr="00713C22">
              <w:rPr>
                <w:rFonts w:ascii="Calibri Light" w:hAnsi="Calibri Light"/>
              </w:rPr>
              <w:t xml:space="preserve">Tipo de informe </w:t>
            </w:r>
          </w:p>
        </w:tc>
        <w:tc>
          <w:tcPr>
            <w:tcW w:w="5043" w:type="dxa"/>
            <w:gridSpan w:val="2"/>
          </w:tcPr>
          <w:p w14:paraId="35E9A08D" w14:textId="1ED37933" w:rsidR="000B7F11" w:rsidRPr="0051436E" w:rsidRDefault="0032141E" w:rsidP="00A73F2F">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040417">
              <w:rPr>
                <w:rFonts w:ascii="Calibri Light" w:hAnsi="Calibri Light"/>
              </w:rPr>
              <w:t xml:space="preserve">Informe de </w:t>
            </w:r>
            <w:r w:rsidR="00AF5466" w:rsidRPr="00D01CA3">
              <w:rPr>
                <w:rFonts w:ascii="Calibri Light" w:hAnsi="Calibri Light"/>
              </w:rPr>
              <w:t xml:space="preserve">Admisibilidad y </w:t>
            </w:r>
            <w:r w:rsidRPr="0051436E">
              <w:rPr>
                <w:rFonts w:ascii="Calibri Light" w:hAnsi="Calibri Light"/>
              </w:rPr>
              <w:t>Fondo (</w:t>
            </w:r>
            <w:r w:rsidR="00A73F2F" w:rsidRPr="0051436E">
              <w:rPr>
                <w:rFonts w:ascii="Calibri Light" w:hAnsi="Calibri Light"/>
              </w:rPr>
              <w:t>Caso en la Corte IDH</w:t>
            </w:r>
            <w:r w:rsidRPr="0051436E">
              <w:rPr>
                <w:rFonts w:ascii="Calibri Light" w:hAnsi="Calibri Light"/>
              </w:rPr>
              <w:t>)</w:t>
            </w:r>
          </w:p>
        </w:tc>
      </w:tr>
      <w:tr w:rsidR="005173CF" w:rsidRPr="0051436E" w14:paraId="7ED5AB61" w14:textId="77777777" w:rsidTr="004B598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713C22" w:rsidRDefault="00954E20" w:rsidP="00A65231">
            <w:pPr>
              <w:pStyle w:val="ListParagraph"/>
              <w:numPr>
                <w:ilvl w:val="0"/>
                <w:numId w:val="3"/>
              </w:numPr>
              <w:rPr>
                <w:rFonts w:ascii="Calibri Light" w:hAnsi="Calibri Light"/>
              </w:rPr>
            </w:pPr>
            <w:r w:rsidRPr="00713C22">
              <w:rPr>
                <w:rFonts w:ascii="Calibri Light" w:hAnsi="Calibri Light"/>
              </w:rPr>
              <w:t>Fecha</w:t>
            </w:r>
            <w:r w:rsidR="007A6C56" w:rsidRPr="00713C22">
              <w:rPr>
                <w:rFonts w:ascii="Calibri Light" w:hAnsi="Calibri Light"/>
              </w:rPr>
              <w:t xml:space="preserve"> </w:t>
            </w:r>
          </w:p>
        </w:tc>
        <w:tc>
          <w:tcPr>
            <w:tcW w:w="5043" w:type="dxa"/>
            <w:gridSpan w:val="2"/>
          </w:tcPr>
          <w:p w14:paraId="1C803DF5" w14:textId="5DCA35E1" w:rsidR="005173CF" w:rsidRPr="0051436E" w:rsidRDefault="0032141E">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040417">
              <w:rPr>
                <w:rFonts w:ascii="Calibri Light" w:hAnsi="Calibri Light"/>
              </w:rPr>
              <w:t>2</w:t>
            </w:r>
            <w:r w:rsidR="00AF5466" w:rsidRPr="00D01CA3">
              <w:rPr>
                <w:rFonts w:ascii="Calibri Light" w:hAnsi="Calibri Light"/>
              </w:rPr>
              <w:t>1</w:t>
            </w:r>
            <w:r w:rsidRPr="0051436E">
              <w:rPr>
                <w:rFonts w:ascii="Calibri Light" w:hAnsi="Calibri Light"/>
              </w:rPr>
              <w:t xml:space="preserve"> de </w:t>
            </w:r>
            <w:r w:rsidR="00AF5466" w:rsidRPr="0051436E">
              <w:rPr>
                <w:rFonts w:ascii="Calibri Light" w:hAnsi="Calibri Light"/>
              </w:rPr>
              <w:t>marzo</w:t>
            </w:r>
            <w:r w:rsidRPr="0051436E">
              <w:rPr>
                <w:rFonts w:ascii="Calibri Light" w:hAnsi="Calibri Light"/>
              </w:rPr>
              <w:t xml:space="preserve"> de 2017</w:t>
            </w:r>
            <w:r w:rsidR="00954E20" w:rsidRPr="0051436E">
              <w:rPr>
                <w:rFonts w:ascii="Calibri Light" w:hAnsi="Calibri Light"/>
              </w:rPr>
              <w:t xml:space="preserve"> </w:t>
            </w:r>
          </w:p>
        </w:tc>
      </w:tr>
      <w:tr w:rsidR="004533E5" w:rsidRPr="0051436E" w14:paraId="1A0D058F" w14:textId="77777777" w:rsidTr="0051436E">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D01CA3" w:rsidRDefault="00BB61C6" w:rsidP="00A65231">
            <w:pPr>
              <w:pStyle w:val="ListParagraph"/>
              <w:numPr>
                <w:ilvl w:val="0"/>
                <w:numId w:val="3"/>
              </w:numPr>
              <w:rPr>
                <w:rFonts w:ascii="Calibri Light" w:hAnsi="Calibri Light"/>
              </w:rPr>
            </w:pPr>
            <w:r w:rsidRPr="00713C22">
              <w:rPr>
                <w:rFonts w:ascii="Calibri Light" w:hAnsi="Calibri Light"/>
              </w:rPr>
              <w:t>Decisiones de la CIDH</w:t>
            </w:r>
            <w:r w:rsidR="007A6C56" w:rsidRPr="00713C22">
              <w:rPr>
                <w:rFonts w:ascii="Calibri Light" w:hAnsi="Calibri Light"/>
              </w:rPr>
              <w:t xml:space="preserve"> </w:t>
            </w:r>
            <w:r w:rsidR="00DD3C7C" w:rsidRPr="00713C22">
              <w:rPr>
                <w:rFonts w:ascii="Calibri Light" w:hAnsi="Calibri Light"/>
              </w:rPr>
              <w:t xml:space="preserve">y/o la Corte IDH, </w:t>
            </w:r>
            <w:r w:rsidR="007A6C56" w:rsidRPr="00040417">
              <w:rPr>
                <w:rFonts w:ascii="Calibri Light" w:hAnsi="Calibri Light"/>
              </w:rPr>
              <w:t>relacionadas</w:t>
            </w:r>
          </w:p>
        </w:tc>
        <w:tc>
          <w:tcPr>
            <w:tcW w:w="5043" w:type="dxa"/>
            <w:gridSpan w:val="2"/>
            <w:vAlign w:val="center"/>
          </w:tcPr>
          <w:p w14:paraId="72EA1AA4" w14:textId="30AC6FC6" w:rsidR="00A73F2F" w:rsidRPr="0051436E" w:rsidRDefault="000B7F11" w:rsidP="001C21FC">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Gómez Virula y otros vs. Guatemala (</w:t>
            </w:r>
            <w:hyperlink r:id="rId13" w:history="1">
              <w:r w:rsidRPr="000B7F11">
                <w:rPr>
                  <w:rStyle w:val="Hyperlink"/>
                  <w:rFonts w:ascii="Calibri Light" w:hAnsi="Calibri Light"/>
                </w:rPr>
                <w:t>Sentencia de 21 de noviembre de 2019</w:t>
              </w:r>
            </w:hyperlink>
            <w:r>
              <w:rPr>
                <w:rFonts w:ascii="Calibri Light" w:hAnsi="Calibri Light"/>
              </w:rPr>
              <w:t>)</w:t>
            </w:r>
          </w:p>
        </w:tc>
      </w:tr>
      <w:tr w:rsidR="004B598D" w:rsidRPr="0051436E" w14:paraId="570485B4" w14:textId="77777777" w:rsidTr="004B598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4B598D" w:rsidRPr="00713C22" w:rsidRDefault="004B598D" w:rsidP="00A65231">
            <w:pPr>
              <w:pStyle w:val="ListParagraph"/>
              <w:numPr>
                <w:ilvl w:val="0"/>
                <w:numId w:val="3"/>
              </w:numPr>
              <w:rPr>
                <w:rFonts w:ascii="Calibri Light" w:hAnsi="Calibri Light"/>
              </w:rPr>
            </w:pPr>
            <w:r w:rsidRPr="00713C22">
              <w:rPr>
                <w:rFonts w:ascii="Calibri Light" w:hAnsi="Calibri Light"/>
              </w:rPr>
              <w:t>Artículos analizados</w:t>
            </w:r>
          </w:p>
        </w:tc>
        <w:tc>
          <w:tcPr>
            <w:tcW w:w="5043" w:type="dxa"/>
            <w:gridSpan w:val="2"/>
          </w:tcPr>
          <w:p w14:paraId="18718B95" w14:textId="41DE5788" w:rsidR="004B598D" w:rsidRPr="00D01CA3" w:rsidRDefault="004B598D" w:rsidP="004B598D">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040417">
              <w:rPr>
                <w:rFonts w:ascii="Calibri Light" w:hAnsi="Calibri Light"/>
              </w:rPr>
              <w:t>Convención Americana sobre Derechos Humanos</w:t>
            </w:r>
          </w:p>
        </w:tc>
      </w:tr>
      <w:tr w:rsidR="004B598D" w:rsidRPr="0051436E" w14:paraId="1209E53E" w14:textId="56B31999" w:rsidTr="004B598D">
        <w:trPr>
          <w:trHeight w:val="374"/>
        </w:trPr>
        <w:tc>
          <w:tcPr>
            <w:cnfStyle w:val="001000000000" w:firstRow="0" w:lastRow="0" w:firstColumn="1" w:lastColumn="0" w:oddVBand="0" w:evenVBand="0" w:oddHBand="0" w:evenHBand="0" w:firstRowFirstColumn="0" w:firstRowLastColumn="0" w:lastRowFirstColumn="0" w:lastRowLastColumn="0"/>
            <w:tcW w:w="3678" w:type="dxa"/>
            <w:vMerge/>
          </w:tcPr>
          <w:p w14:paraId="06BA8502" w14:textId="77777777" w:rsidR="004B598D" w:rsidRPr="0051436E" w:rsidRDefault="004B598D" w:rsidP="00A65231">
            <w:pPr>
              <w:pStyle w:val="ListParagraph"/>
              <w:numPr>
                <w:ilvl w:val="0"/>
                <w:numId w:val="3"/>
              </w:numPr>
              <w:rPr>
                <w:rFonts w:ascii="Calibri Light" w:hAnsi="Calibri Light"/>
              </w:rPr>
            </w:pPr>
          </w:p>
        </w:tc>
        <w:tc>
          <w:tcPr>
            <w:tcW w:w="2552" w:type="dxa"/>
          </w:tcPr>
          <w:p w14:paraId="3C8D412B" w14:textId="250CF5FE" w:rsidR="004B598D" w:rsidRPr="0051436E" w:rsidRDefault="004B598D" w:rsidP="004B598D">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1436E">
              <w:rPr>
                <w:rFonts w:ascii="Calibri Light" w:hAnsi="Calibri Light"/>
              </w:rPr>
              <w:t>Artículos analizados declarados violados</w:t>
            </w:r>
          </w:p>
        </w:tc>
        <w:tc>
          <w:tcPr>
            <w:tcW w:w="2491" w:type="dxa"/>
          </w:tcPr>
          <w:p w14:paraId="2FE9E783" w14:textId="13E7292F" w:rsidR="004B598D" w:rsidRPr="0051436E" w:rsidRDefault="004B598D" w:rsidP="004B598D">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1436E">
              <w:rPr>
                <w:rFonts w:ascii="Calibri Light" w:hAnsi="Calibri Light"/>
              </w:rPr>
              <w:t>Artículos analizados no declarados violados</w:t>
            </w:r>
          </w:p>
        </w:tc>
      </w:tr>
      <w:tr w:rsidR="004B598D" w:rsidRPr="0051436E" w14:paraId="03A14D39" w14:textId="18DC65A8" w:rsidTr="004B598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678" w:type="dxa"/>
            <w:vMerge/>
          </w:tcPr>
          <w:p w14:paraId="77A54EF4" w14:textId="77777777" w:rsidR="004B598D" w:rsidRPr="0051436E" w:rsidRDefault="004B598D" w:rsidP="00A65231">
            <w:pPr>
              <w:pStyle w:val="ListParagraph"/>
              <w:numPr>
                <w:ilvl w:val="0"/>
                <w:numId w:val="3"/>
              </w:numPr>
              <w:rPr>
                <w:rFonts w:ascii="Calibri Light" w:hAnsi="Calibri Light"/>
              </w:rPr>
            </w:pPr>
          </w:p>
        </w:tc>
        <w:tc>
          <w:tcPr>
            <w:tcW w:w="2552" w:type="dxa"/>
          </w:tcPr>
          <w:p w14:paraId="1BD2DE27" w14:textId="2D5A5E6D" w:rsidR="004B598D" w:rsidRPr="0051436E" w:rsidRDefault="004B598D" w:rsidP="004B598D">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51436E">
              <w:rPr>
                <w:rFonts w:ascii="Calibri Light" w:hAnsi="Calibri Light"/>
                <w:lang w:val="en-US"/>
              </w:rPr>
              <w:t>Art. 1, art. 4, art. 5, art. 7, art. 8, art. 16, art. 25</w:t>
            </w:r>
          </w:p>
        </w:tc>
        <w:tc>
          <w:tcPr>
            <w:tcW w:w="2491" w:type="dxa"/>
          </w:tcPr>
          <w:p w14:paraId="5A348EE2" w14:textId="2623AE31" w:rsidR="004B598D" w:rsidRPr="00713C22" w:rsidRDefault="004B598D" w:rsidP="004B598D">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713C22">
              <w:rPr>
                <w:rFonts w:ascii="Calibri Light" w:hAnsi="Calibri Light"/>
              </w:rPr>
              <w:t>-</w:t>
            </w:r>
          </w:p>
        </w:tc>
      </w:tr>
      <w:tr w:rsidR="005173CF" w:rsidRPr="0051436E" w14:paraId="54B7813B" w14:textId="77777777" w:rsidTr="004B598D">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77777777" w:rsidR="00AC6F31" w:rsidRPr="00713C22" w:rsidRDefault="00AC6F31" w:rsidP="00AC6F31">
            <w:pPr>
              <w:pStyle w:val="ListParagraph"/>
              <w:rPr>
                <w:rFonts w:ascii="Calibri Light" w:hAnsi="Calibri Light"/>
              </w:rPr>
            </w:pPr>
          </w:p>
          <w:p w14:paraId="1ECE5967" w14:textId="77777777" w:rsidR="005173CF" w:rsidRPr="00D01CA3" w:rsidRDefault="007A6C56" w:rsidP="0029671B">
            <w:pPr>
              <w:pStyle w:val="ListParagraph"/>
              <w:numPr>
                <w:ilvl w:val="0"/>
                <w:numId w:val="2"/>
              </w:numPr>
              <w:jc w:val="center"/>
              <w:rPr>
                <w:rFonts w:ascii="Calibri Light" w:hAnsi="Calibri Light"/>
              </w:rPr>
            </w:pPr>
            <w:r w:rsidRPr="00040417">
              <w:rPr>
                <w:rFonts w:ascii="Calibri Light" w:hAnsi="Calibri Light"/>
              </w:rPr>
              <w:t>Sumilla</w:t>
            </w:r>
          </w:p>
          <w:p w14:paraId="009AFBB8" w14:textId="77777777" w:rsidR="00AC6F31" w:rsidRPr="0051436E" w:rsidRDefault="00AC6F31" w:rsidP="00AC6F31">
            <w:pPr>
              <w:pStyle w:val="ListParagraph"/>
              <w:rPr>
                <w:rFonts w:ascii="Calibri Light" w:hAnsi="Calibri Light"/>
              </w:rPr>
            </w:pPr>
          </w:p>
        </w:tc>
      </w:tr>
      <w:tr w:rsidR="007A6C56" w:rsidRPr="0051436E" w14:paraId="6B670455" w14:textId="77777777" w:rsidTr="004B598D">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03C967CD" w14:textId="20E77284" w:rsidR="00AC6F31" w:rsidRPr="00713C22" w:rsidRDefault="00AC6F31" w:rsidP="00931244">
            <w:pPr>
              <w:jc w:val="both"/>
              <w:rPr>
                <w:rFonts w:ascii="Calibri Light" w:hAnsi="Calibri Light"/>
                <w:b w:val="0"/>
              </w:rPr>
            </w:pPr>
          </w:p>
          <w:p w14:paraId="2262A9CC" w14:textId="3DACC838" w:rsidR="00CD6F57" w:rsidRPr="0051436E" w:rsidRDefault="008644B4" w:rsidP="00BD3D4B">
            <w:pPr>
              <w:jc w:val="both"/>
              <w:rPr>
                <w:rFonts w:ascii="Calibri Light" w:hAnsi="Calibri Light"/>
                <w:b w:val="0"/>
              </w:rPr>
            </w:pPr>
            <w:r w:rsidRPr="00040417">
              <w:rPr>
                <w:rFonts w:ascii="Calibri Light" w:hAnsi="Calibri Light"/>
                <w:b w:val="0"/>
              </w:rPr>
              <w:t xml:space="preserve">El caso versa sobre la </w:t>
            </w:r>
            <w:r w:rsidR="00E325C2" w:rsidRPr="00D01CA3">
              <w:rPr>
                <w:rFonts w:ascii="Calibri Light" w:hAnsi="Calibri Light"/>
                <w:b w:val="0"/>
              </w:rPr>
              <w:t>desaparición y posterior asesinato de Alejandro Yovany Gómez Virula en marzo de 199</w:t>
            </w:r>
            <w:r w:rsidR="00FD5700" w:rsidRPr="0051436E">
              <w:rPr>
                <w:rFonts w:ascii="Calibri Light" w:hAnsi="Calibri Light"/>
                <w:b w:val="0"/>
              </w:rPr>
              <w:t xml:space="preserve">5, quien activamente ocupó un cargo sindical. Su desaparición se dio en </w:t>
            </w:r>
            <w:r w:rsidR="004B598D" w:rsidRPr="0051436E">
              <w:rPr>
                <w:rFonts w:ascii="Calibri Light" w:hAnsi="Calibri Light"/>
                <w:b w:val="0"/>
              </w:rPr>
              <w:t>un</w:t>
            </w:r>
            <w:r w:rsidR="00FD5700" w:rsidRPr="0051436E">
              <w:rPr>
                <w:rFonts w:ascii="Calibri Light" w:hAnsi="Calibri Light"/>
                <w:b w:val="0"/>
              </w:rPr>
              <w:t xml:space="preserve"> contexto generalizado de represión en contra de sindicalistas en Guatemala durante la década de </w:t>
            </w:r>
            <w:r w:rsidR="00D76631">
              <w:rPr>
                <w:rFonts w:ascii="Calibri Light" w:hAnsi="Calibri Light"/>
                <w:b w:val="0"/>
              </w:rPr>
              <w:t>los noventa</w:t>
            </w:r>
            <w:r w:rsidR="00FD5700" w:rsidRPr="0051436E">
              <w:rPr>
                <w:rFonts w:ascii="Calibri Light" w:hAnsi="Calibri Light"/>
                <w:b w:val="0"/>
              </w:rPr>
              <w:t xml:space="preserve">. </w:t>
            </w:r>
            <w:r w:rsidR="002E4DC6" w:rsidRPr="0051436E">
              <w:rPr>
                <w:rFonts w:ascii="Calibri Light" w:hAnsi="Calibri Light"/>
                <w:b w:val="0"/>
              </w:rPr>
              <w:t>L</w:t>
            </w:r>
            <w:r w:rsidR="00FD5700" w:rsidRPr="0051436E">
              <w:rPr>
                <w:rFonts w:ascii="Calibri Light" w:hAnsi="Calibri Light"/>
                <w:b w:val="0"/>
              </w:rPr>
              <w:t xml:space="preserve">a investigación sobre el caso </w:t>
            </w:r>
            <w:r w:rsidR="004B598D" w:rsidRPr="0051436E">
              <w:rPr>
                <w:rFonts w:ascii="Calibri Light" w:hAnsi="Calibri Light"/>
                <w:b w:val="0"/>
              </w:rPr>
              <w:t>se caracterizó</w:t>
            </w:r>
            <w:r w:rsidR="00BE6398" w:rsidRPr="0051436E">
              <w:rPr>
                <w:rFonts w:ascii="Calibri Light" w:hAnsi="Calibri Light"/>
                <w:b w:val="0"/>
              </w:rPr>
              <w:t xml:space="preserve"> por </w:t>
            </w:r>
            <w:r w:rsidR="004B598D" w:rsidRPr="0051436E">
              <w:rPr>
                <w:rFonts w:ascii="Calibri Light" w:hAnsi="Calibri Light"/>
                <w:b w:val="0"/>
              </w:rPr>
              <w:t xml:space="preserve">la </w:t>
            </w:r>
            <w:r w:rsidR="00BE6398" w:rsidRPr="0051436E">
              <w:rPr>
                <w:rFonts w:ascii="Calibri Light" w:hAnsi="Calibri Light"/>
                <w:b w:val="0"/>
              </w:rPr>
              <w:t xml:space="preserve">falta de debida diligencia </w:t>
            </w:r>
            <w:r w:rsidR="00FD5700" w:rsidRPr="0051436E">
              <w:rPr>
                <w:rFonts w:ascii="Calibri Light" w:hAnsi="Calibri Light"/>
                <w:b w:val="0"/>
              </w:rPr>
              <w:t xml:space="preserve">del Estado para buscar la verdad y sancionar a los responsables. </w:t>
            </w:r>
          </w:p>
          <w:p w14:paraId="1EE5A7E7" w14:textId="68BEA5EA" w:rsidR="00FD5700" w:rsidRPr="0051436E" w:rsidRDefault="00FD5700" w:rsidP="00FD5700">
            <w:pPr>
              <w:jc w:val="both"/>
              <w:rPr>
                <w:rFonts w:ascii="Calibri Light" w:hAnsi="Calibri Light"/>
                <w:b w:val="0"/>
              </w:rPr>
            </w:pPr>
          </w:p>
        </w:tc>
      </w:tr>
      <w:tr w:rsidR="007A6C56" w:rsidRPr="0051436E" w14:paraId="238A2196" w14:textId="77777777" w:rsidTr="004B598D">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35CE2C16" w14:textId="77777777" w:rsidR="00FD5700" w:rsidRPr="00713C22" w:rsidRDefault="00FD5700" w:rsidP="00AC6F31">
            <w:pPr>
              <w:pStyle w:val="ListParagraph"/>
              <w:rPr>
                <w:rFonts w:ascii="Calibri Light" w:hAnsi="Calibri Light"/>
              </w:rPr>
            </w:pPr>
          </w:p>
          <w:p w14:paraId="6E7AC4B8" w14:textId="77777777" w:rsidR="007A6C56" w:rsidRPr="00D01CA3" w:rsidRDefault="007A6C56" w:rsidP="0029671B">
            <w:pPr>
              <w:pStyle w:val="ListParagraph"/>
              <w:numPr>
                <w:ilvl w:val="0"/>
                <w:numId w:val="2"/>
              </w:numPr>
              <w:jc w:val="center"/>
              <w:rPr>
                <w:rFonts w:ascii="Calibri Light" w:hAnsi="Calibri Light"/>
              </w:rPr>
            </w:pPr>
            <w:r w:rsidRPr="00040417">
              <w:rPr>
                <w:rFonts w:ascii="Calibri Light" w:hAnsi="Calibri Light"/>
              </w:rPr>
              <w:t>Palabras clave</w:t>
            </w:r>
          </w:p>
          <w:p w14:paraId="6A1E32A7" w14:textId="77777777" w:rsidR="00AC6F31" w:rsidRPr="0051436E" w:rsidRDefault="00AC6F31" w:rsidP="00AC6F31">
            <w:pPr>
              <w:pStyle w:val="ListParagraph"/>
              <w:rPr>
                <w:rFonts w:ascii="Calibri Light" w:hAnsi="Calibri Light"/>
              </w:rPr>
            </w:pPr>
          </w:p>
        </w:tc>
      </w:tr>
      <w:tr w:rsidR="007A6C56" w:rsidRPr="0051436E" w14:paraId="34AE2D45" w14:textId="77777777" w:rsidTr="004B598D">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4A766F3F" w14:textId="77777777" w:rsidR="009802FB" w:rsidRPr="00713C22" w:rsidRDefault="009802FB" w:rsidP="00A16B0A">
            <w:pPr>
              <w:jc w:val="both"/>
              <w:rPr>
                <w:rFonts w:ascii="Calibri Light" w:hAnsi="Calibri Light"/>
                <w:b w:val="0"/>
              </w:rPr>
            </w:pPr>
          </w:p>
          <w:p w14:paraId="3F4B9FEC" w14:textId="455CDA47" w:rsidR="009802FB" w:rsidRPr="0051436E" w:rsidRDefault="00E325C2" w:rsidP="00A16B0A">
            <w:pPr>
              <w:jc w:val="both"/>
              <w:rPr>
                <w:rFonts w:ascii="Calibri Light" w:hAnsi="Calibri Light"/>
                <w:b w:val="0"/>
              </w:rPr>
            </w:pPr>
            <w:r w:rsidRPr="00040417">
              <w:rPr>
                <w:rFonts w:ascii="Calibri Light" w:hAnsi="Calibri Light"/>
                <w:b w:val="0"/>
              </w:rPr>
              <w:t>Vida, Integridad personal, Libertad personal, Libertad de asociación</w:t>
            </w:r>
            <w:r w:rsidRPr="00D01CA3" w:rsidDel="00E325C2">
              <w:rPr>
                <w:rFonts w:ascii="Calibri Light" w:hAnsi="Calibri Light"/>
                <w:b w:val="0"/>
              </w:rPr>
              <w:t xml:space="preserve"> </w:t>
            </w:r>
          </w:p>
          <w:p w14:paraId="05374712" w14:textId="2DD3E6C9" w:rsidR="004B598D" w:rsidRPr="0051436E" w:rsidRDefault="004B598D" w:rsidP="00A16B0A">
            <w:pPr>
              <w:jc w:val="both"/>
              <w:rPr>
                <w:rFonts w:ascii="Calibri Light" w:hAnsi="Calibri Light"/>
                <w:b w:val="0"/>
              </w:rPr>
            </w:pPr>
          </w:p>
        </w:tc>
      </w:tr>
      <w:tr w:rsidR="005173CF" w:rsidRPr="0051436E" w14:paraId="69044E7B" w14:textId="77777777" w:rsidTr="004B598D">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AC6F31" w:rsidRPr="00713C22" w:rsidRDefault="00AC6F31" w:rsidP="00AC6F31">
            <w:pPr>
              <w:pStyle w:val="ListParagraph"/>
              <w:rPr>
                <w:rFonts w:ascii="Calibri Light" w:hAnsi="Calibri Light"/>
              </w:rPr>
            </w:pPr>
          </w:p>
          <w:p w14:paraId="177FF988" w14:textId="77777777" w:rsidR="005173CF" w:rsidRPr="00D01CA3" w:rsidRDefault="007A6C56" w:rsidP="0029671B">
            <w:pPr>
              <w:pStyle w:val="ListParagraph"/>
              <w:numPr>
                <w:ilvl w:val="0"/>
                <w:numId w:val="2"/>
              </w:numPr>
              <w:jc w:val="center"/>
              <w:rPr>
                <w:rFonts w:ascii="Calibri Light" w:hAnsi="Calibri Light"/>
              </w:rPr>
            </w:pPr>
            <w:r w:rsidRPr="00040417">
              <w:rPr>
                <w:rFonts w:ascii="Calibri Light" w:hAnsi="Calibri Light"/>
              </w:rPr>
              <w:t>Hechos</w:t>
            </w:r>
          </w:p>
          <w:p w14:paraId="190B7E98" w14:textId="77777777" w:rsidR="00AC6F31" w:rsidRPr="0051436E" w:rsidRDefault="00AC6F31" w:rsidP="00AC6F31">
            <w:pPr>
              <w:pStyle w:val="ListParagraph"/>
              <w:rPr>
                <w:rFonts w:ascii="Calibri Light" w:hAnsi="Calibri Light"/>
              </w:rPr>
            </w:pPr>
          </w:p>
        </w:tc>
      </w:tr>
      <w:tr w:rsidR="005173CF" w:rsidRPr="0051436E" w14:paraId="6F58DE83" w14:textId="77777777" w:rsidTr="004B598D">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233DAAB2" w14:textId="4DCF271F" w:rsidR="009802FB" w:rsidRPr="00713C22" w:rsidRDefault="009802FB" w:rsidP="00DD0E3C">
            <w:pPr>
              <w:jc w:val="both"/>
              <w:rPr>
                <w:rFonts w:ascii="Calibri Light" w:hAnsi="Calibri Light"/>
                <w:b w:val="0"/>
              </w:rPr>
            </w:pPr>
          </w:p>
          <w:p w14:paraId="3580AC8A" w14:textId="4262D2DE" w:rsidR="00F04C43" w:rsidRPr="00D01CA3" w:rsidRDefault="00114199">
            <w:pPr>
              <w:jc w:val="both"/>
              <w:rPr>
                <w:rFonts w:ascii="Calibri Light" w:hAnsi="Calibri Light"/>
                <w:b w:val="0"/>
              </w:rPr>
            </w:pPr>
            <w:r w:rsidRPr="00040417">
              <w:rPr>
                <w:rFonts w:ascii="Calibri Light" w:hAnsi="Calibri Light"/>
                <w:b w:val="0"/>
              </w:rPr>
              <w:t xml:space="preserve">Al momento de los hechos, </w:t>
            </w:r>
            <w:r w:rsidR="004B598D" w:rsidRPr="00040417">
              <w:rPr>
                <w:rFonts w:ascii="Calibri Light" w:hAnsi="Calibri Light"/>
                <w:b w:val="0"/>
              </w:rPr>
              <w:t xml:space="preserve">Alejandro </w:t>
            </w:r>
            <w:r w:rsidR="004B598D" w:rsidRPr="00D01CA3">
              <w:rPr>
                <w:rFonts w:ascii="Calibri Light" w:hAnsi="Calibri Light"/>
                <w:b w:val="0"/>
              </w:rPr>
              <w:t>Yovany Gómez Virula</w:t>
            </w:r>
            <w:r w:rsidRPr="00D01CA3">
              <w:rPr>
                <w:rFonts w:ascii="Calibri Light" w:hAnsi="Calibri Light"/>
                <w:b w:val="0"/>
              </w:rPr>
              <w:t xml:space="preserve"> se desempeñaba como </w:t>
            </w:r>
            <w:r w:rsidR="00213947" w:rsidRPr="0051436E">
              <w:rPr>
                <w:rFonts w:ascii="Calibri Light" w:hAnsi="Calibri Light"/>
                <w:b w:val="0"/>
              </w:rPr>
              <w:t>Secretario de Finanzas del Sindicato de los Trabajadores de la Máquila</w:t>
            </w:r>
            <w:r w:rsidR="00213947" w:rsidRPr="00713C22">
              <w:rPr>
                <w:rFonts w:ascii="Calibri Light" w:hAnsi="Calibri Light"/>
                <w:b w:val="0"/>
              </w:rPr>
              <w:t xml:space="preserve"> RCA</w:t>
            </w:r>
            <w:r w:rsidRPr="00713C22">
              <w:rPr>
                <w:rFonts w:ascii="Calibri Light" w:hAnsi="Calibri Light"/>
                <w:b w:val="0"/>
              </w:rPr>
              <w:t xml:space="preserve">, una industria maquiladora </w:t>
            </w:r>
            <w:r w:rsidR="0054767B" w:rsidRPr="00713C22">
              <w:rPr>
                <w:rFonts w:ascii="Calibri Light" w:hAnsi="Calibri Light"/>
                <w:b w:val="0"/>
              </w:rPr>
              <w:t xml:space="preserve">coreana que </w:t>
            </w:r>
            <w:r w:rsidR="00554EE9" w:rsidRPr="00713C22">
              <w:rPr>
                <w:rFonts w:ascii="Calibri Light" w:hAnsi="Calibri Light"/>
                <w:b w:val="0"/>
              </w:rPr>
              <w:t>tuvo que cerrar sus operaciones</w:t>
            </w:r>
            <w:r w:rsidR="0054767B" w:rsidRPr="00713C22">
              <w:rPr>
                <w:rFonts w:ascii="Calibri Light" w:hAnsi="Calibri Light"/>
                <w:b w:val="0"/>
              </w:rPr>
              <w:t xml:space="preserve"> dejando a </w:t>
            </w:r>
            <w:r w:rsidR="007D6E73" w:rsidRPr="00713C22">
              <w:rPr>
                <w:rFonts w:ascii="Calibri Light" w:hAnsi="Calibri Light"/>
                <w:b w:val="0"/>
              </w:rPr>
              <w:t>70</w:t>
            </w:r>
            <w:r w:rsidR="0054767B" w:rsidRPr="00713C22">
              <w:rPr>
                <w:rFonts w:ascii="Calibri Light" w:hAnsi="Calibri Light"/>
                <w:b w:val="0"/>
              </w:rPr>
              <w:t xml:space="preserve"> personas sin empleo. </w:t>
            </w:r>
            <w:r w:rsidR="00940088" w:rsidRPr="00713C22">
              <w:rPr>
                <w:rFonts w:ascii="Calibri Light" w:hAnsi="Calibri Light"/>
                <w:b w:val="0"/>
              </w:rPr>
              <w:t xml:space="preserve">Debido a ello, y al incumplimiento de pago de beneficios laborales, dicho sindicato </w:t>
            </w:r>
            <w:r w:rsidR="00917DBC" w:rsidRPr="00713C22">
              <w:rPr>
                <w:rFonts w:ascii="Calibri Light" w:hAnsi="Calibri Light"/>
                <w:b w:val="0"/>
              </w:rPr>
              <w:t xml:space="preserve">presentó </w:t>
            </w:r>
            <w:r w:rsidR="00940088" w:rsidRPr="00713C22">
              <w:rPr>
                <w:rFonts w:ascii="Calibri Light" w:hAnsi="Calibri Light"/>
                <w:b w:val="0"/>
              </w:rPr>
              <w:t>una denuncia ante</w:t>
            </w:r>
            <w:r w:rsidR="00AE6481" w:rsidRPr="00713C22">
              <w:rPr>
                <w:rFonts w:ascii="Calibri Light" w:hAnsi="Calibri Light"/>
                <w:b w:val="0"/>
              </w:rPr>
              <w:t xml:space="preserve"> el Tribunal Laboral de Guatema</w:t>
            </w:r>
            <w:r w:rsidR="00CE7B15" w:rsidRPr="00713C22">
              <w:rPr>
                <w:rFonts w:ascii="Calibri Light" w:hAnsi="Calibri Light"/>
                <w:b w:val="0"/>
              </w:rPr>
              <w:t xml:space="preserve">la, proceso en el que el </w:t>
            </w:r>
            <w:r w:rsidR="00F04C43" w:rsidRPr="00713C22">
              <w:rPr>
                <w:rFonts w:ascii="Calibri Light" w:hAnsi="Calibri Light"/>
                <w:b w:val="0"/>
              </w:rPr>
              <w:t xml:space="preserve">señor Gómez participó </w:t>
            </w:r>
            <w:r w:rsidR="00F04C43" w:rsidRPr="00713C22">
              <w:rPr>
                <w:rFonts w:ascii="Calibri Light" w:hAnsi="Calibri Light"/>
                <w:b w:val="0"/>
              </w:rPr>
              <w:lastRenderedPageBreak/>
              <w:t>activamente</w:t>
            </w:r>
            <w:r w:rsidR="00CE7B15" w:rsidRPr="00713C22">
              <w:rPr>
                <w:rFonts w:ascii="Calibri Light" w:hAnsi="Calibri Light"/>
                <w:b w:val="0"/>
              </w:rPr>
              <w:t xml:space="preserve">. El 13 de marzo de 1995, </w:t>
            </w:r>
            <w:r w:rsidR="00184E27" w:rsidRPr="00713C22">
              <w:rPr>
                <w:rFonts w:ascii="Calibri Light" w:hAnsi="Calibri Light"/>
                <w:b w:val="0"/>
              </w:rPr>
              <w:t xml:space="preserve">el señor Gómez </w:t>
            </w:r>
            <w:r w:rsidR="00CE7B15" w:rsidRPr="00713C22">
              <w:rPr>
                <w:rFonts w:ascii="Calibri Light" w:hAnsi="Calibri Light"/>
                <w:b w:val="0"/>
              </w:rPr>
              <w:t>asistió a</w:t>
            </w:r>
            <w:r w:rsidR="00FD5700" w:rsidRPr="00443321">
              <w:rPr>
                <w:rFonts w:ascii="Calibri Light" w:hAnsi="Calibri Light"/>
                <w:b w:val="0"/>
              </w:rPr>
              <w:t xml:space="preserve"> una serie de</w:t>
            </w:r>
            <w:r w:rsidR="00CE7B15" w:rsidRPr="00443321">
              <w:rPr>
                <w:rFonts w:ascii="Calibri Light" w:hAnsi="Calibri Light"/>
                <w:b w:val="0"/>
              </w:rPr>
              <w:t xml:space="preserve"> reuniones</w:t>
            </w:r>
            <w:r w:rsidR="00917DBC" w:rsidRPr="00443321">
              <w:rPr>
                <w:rFonts w:ascii="Calibri Light" w:hAnsi="Calibri Light"/>
                <w:b w:val="0"/>
              </w:rPr>
              <w:t xml:space="preserve"> </w:t>
            </w:r>
            <w:r w:rsidR="00917DBC" w:rsidRPr="00040417">
              <w:rPr>
                <w:rFonts w:ascii="Calibri Light" w:hAnsi="Calibri Light"/>
                <w:b w:val="0"/>
              </w:rPr>
              <w:t>referidas a los conflictos existentes entre la maquiladora y sus ex trabajadores</w:t>
            </w:r>
            <w:r w:rsidR="00CE7B15" w:rsidRPr="00040417">
              <w:rPr>
                <w:rFonts w:ascii="Calibri Light" w:hAnsi="Calibri Light"/>
                <w:b w:val="0"/>
              </w:rPr>
              <w:t xml:space="preserve"> </w:t>
            </w:r>
            <w:r w:rsidR="00CE7B15" w:rsidRPr="00713C22">
              <w:rPr>
                <w:rFonts w:ascii="Calibri Light" w:hAnsi="Calibri Light"/>
                <w:b w:val="0"/>
              </w:rPr>
              <w:t>en la oficina del sindicat</w:t>
            </w:r>
            <w:r w:rsidR="00347D88" w:rsidRPr="00713C22">
              <w:rPr>
                <w:rFonts w:ascii="Calibri Light" w:hAnsi="Calibri Light"/>
                <w:b w:val="0"/>
              </w:rPr>
              <w:t>o.</w:t>
            </w:r>
            <w:r w:rsidR="00CE7B15" w:rsidRPr="00713C22">
              <w:rPr>
                <w:rFonts w:ascii="Calibri Light" w:hAnsi="Calibri Light"/>
                <w:b w:val="0"/>
              </w:rPr>
              <w:t xml:space="preserve"> </w:t>
            </w:r>
            <w:r w:rsidR="00D76631">
              <w:rPr>
                <w:rFonts w:ascii="Calibri Light" w:hAnsi="Calibri Light"/>
                <w:b w:val="0"/>
              </w:rPr>
              <w:t>Tras</w:t>
            </w:r>
            <w:r w:rsidR="00646894" w:rsidRPr="00713C22">
              <w:rPr>
                <w:rFonts w:ascii="Calibri Light" w:hAnsi="Calibri Light"/>
                <w:b w:val="0"/>
              </w:rPr>
              <w:t xml:space="preserve"> dichas reuniones, de acuerdo a la </w:t>
            </w:r>
            <w:r w:rsidR="007D6E73" w:rsidRPr="00713C22">
              <w:rPr>
                <w:rFonts w:ascii="Calibri Light" w:hAnsi="Calibri Light"/>
                <w:b w:val="0"/>
              </w:rPr>
              <w:t>declaración</w:t>
            </w:r>
            <w:r w:rsidR="00646894" w:rsidRPr="00713C22">
              <w:rPr>
                <w:rFonts w:ascii="Calibri Light" w:hAnsi="Calibri Light"/>
                <w:b w:val="0"/>
              </w:rPr>
              <w:t xml:space="preserve"> de una testigo</w:t>
            </w:r>
            <w:r w:rsidR="008644B4" w:rsidRPr="00713C22">
              <w:rPr>
                <w:rFonts w:ascii="Calibri Light" w:hAnsi="Calibri Light"/>
                <w:b w:val="0"/>
              </w:rPr>
              <w:t xml:space="preserve"> e informes realizados por el propio sindicato</w:t>
            </w:r>
            <w:r w:rsidR="00646894" w:rsidRPr="00713C22">
              <w:rPr>
                <w:rFonts w:ascii="Calibri Light" w:hAnsi="Calibri Light"/>
                <w:b w:val="0"/>
              </w:rPr>
              <w:t xml:space="preserve">, el señor Gómez </w:t>
            </w:r>
            <w:r w:rsidR="008644B4" w:rsidRPr="00713C22">
              <w:rPr>
                <w:rFonts w:ascii="Calibri Light" w:hAnsi="Calibri Light"/>
                <w:b w:val="0"/>
              </w:rPr>
              <w:t>habría sido</w:t>
            </w:r>
            <w:r w:rsidR="00646894" w:rsidRPr="00713C22">
              <w:rPr>
                <w:rFonts w:ascii="Calibri Light" w:hAnsi="Calibri Light"/>
                <w:b w:val="0"/>
              </w:rPr>
              <w:t xml:space="preserve"> golpeado por dos hombres en un estacionamiento, desapareciendo </w:t>
            </w:r>
            <w:r w:rsidR="00D76631">
              <w:rPr>
                <w:rFonts w:ascii="Calibri Light" w:hAnsi="Calibri Light"/>
                <w:b w:val="0"/>
              </w:rPr>
              <w:t xml:space="preserve">luego </w:t>
            </w:r>
            <w:r w:rsidR="00646894" w:rsidRPr="00713C22">
              <w:rPr>
                <w:rFonts w:ascii="Calibri Light" w:hAnsi="Calibri Light"/>
                <w:b w:val="0"/>
              </w:rPr>
              <w:t xml:space="preserve">en el </w:t>
            </w:r>
            <w:r w:rsidR="00F04C43" w:rsidRPr="00040417">
              <w:rPr>
                <w:rFonts w:ascii="Calibri Light" w:hAnsi="Calibri Light"/>
                <w:b w:val="0"/>
              </w:rPr>
              <w:t xml:space="preserve">kilómetro </w:t>
            </w:r>
            <w:r w:rsidR="00C47437" w:rsidRPr="00040417">
              <w:rPr>
                <w:rFonts w:ascii="Calibri Light" w:hAnsi="Calibri Light"/>
                <w:b w:val="0"/>
              </w:rPr>
              <w:t>6 de la carretera al Atlánti</w:t>
            </w:r>
            <w:r w:rsidR="00C47437" w:rsidRPr="00D01CA3">
              <w:rPr>
                <w:rFonts w:ascii="Calibri Light" w:hAnsi="Calibri Light"/>
                <w:b w:val="0"/>
              </w:rPr>
              <w:t>co.</w:t>
            </w:r>
          </w:p>
          <w:p w14:paraId="63E27256" w14:textId="77777777" w:rsidR="00646894" w:rsidRPr="0051436E" w:rsidRDefault="00646894">
            <w:pPr>
              <w:jc w:val="both"/>
              <w:rPr>
                <w:rFonts w:ascii="Calibri Light" w:hAnsi="Calibri Light"/>
                <w:b w:val="0"/>
              </w:rPr>
            </w:pPr>
          </w:p>
          <w:p w14:paraId="1686960A" w14:textId="210C3D7F" w:rsidR="00C47437" w:rsidRPr="0051436E" w:rsidRDefault="00D76631" w:rsidP="00B434F9">
            <w:pPr>
              <w:jc w:val="both"/>
              <w:rPr>
                <w:rFonts w:ascii="Calibri Light" w:hAnsi="Calibri Light"/>
                <w:b w:val="0"/>
              </w:rPr>
            </w:pPr>
            <w:r>
              <w:rPr>
                <w:rFonts w:ascii="Calibri Light" w:hAnsi="Calibri Light"/>
                <w:b w:val="0"/>
              </w:rPr>
              <w:t>E</w:t>
            </w:r>
            <w:r w:rsidR="00646894" w:rsidRPr="0051436E">
              <w:rPr>
                <w:rFonts w:ascii="Calibri Light" w:hAnsi="Calibri Light"/>
                <w:b w:val="0"/>
              </w:rPr>
              <w:t xml:space="preserve">l 14 de marzo de 1995, </w:t>
            </w:r>
            <w:r w:rsidR="00F04C43" w:rsidRPr="0051436E">
              <w:rPr>
                <w:rFonts w:ascii="Calibri Light" w:hAnsi="Calibri Light"/>
                <w:b w:val="0"/>
              </w:rPr>
              <w:t xml:space="preserve">los padres del señor Gómez acudieron </w:t>
            </w:r>
            <w:r w:rsidR="00646894" w:rsidRPr="0051436E">
              <w:rPr>
                <w:rFonts w:ascii="Calibri Light" w:hAnsi="Calibri Light"/>
                <w:b w:val="0"/>
              </w:rPr>
              <w:t xml:space="preserve">a la Policía Nacional para </w:t>
            </w:r>
            <w:r>
              <w:rPr>
                <w:rFonts w:ascii="Calibri Light" w:hAnsi="Calibri Light"/>
                <w:b w:val="0"/>
              </w:rPr>
              <w:t>denunciar su desaparición</w:t>
            </w:r>
            <w:r w:rsidR="00184E27" w:rsidRPr="0051436E">
              <w:rPr>
                <w:rFonts w:ascii="Calibri Light" w:hAnsi="Calibri Light"/>
                <w:b w:val="0"/>
              </w:rPr>
              <w:t>. Asimis</w:t>
            </w:r>
            <w:r w:rsidR="00646894" w:rsidRPr="0051436E">
              <w:rPr>
                <w:rFonts w:ascii="Calibri Light" w:hAnsi="Calibri Light"/>
                <w:b w:val="0"/>
              </w:rPr>
              <w:t xml:space="preserve">mo, el 16 de marzo, el sindicato solicitó al Ministerio de Gobernación una audiencia </w:t>
            </w:r>
            <w:r w:rsidR="00C47437" w:rsidRPr="0051436E">
              <w:rPr>
                <w:rFonts w:ascii="Calibri Light" w:hAnsi="Calibri Light"/>
                <w:b w:val="0"/>
              </w:rPr>
              <w:t>para brindar información sobre l</w:t>
            </w:r>
            <w:r w:rsidR="00646894" w:rsidRPr="0051436E">
              <w:rPr>
                <w:rFonts w:ascii="Calibri Light" w:hAnsi="Calibri Light"/>
                <w:b w:val="0"/>
              </w:rPr>
              <w:t xml:space="preserve">a desaparición del señor Gómez, </w:t>
            </w:r>
            <w:r w:rsidR="0024772F" w:rsidRPr="0051436E">
              <w:rPr>
                <w:rFonts w:ascii="Calibri Light" w:hAnsi="Calibri Light"/>
                <w:b w:val="0"/>
              </w:rPr>
              <w:t xml:space="preserve">pedido que </w:t>
            </w:r>
            <w:r w:rsidR="00646894" w:rsidRPr="0051436E">
              <w:rPr>
                <w:rFonts w:ascii="Calibri Light" w:hAnsi="Calibri Light"/>
                <w:b w:val="0"/>
              </w:rPr>
              <w:t>fue reiterad</w:t>
            </w:r>
            <w:r w:rsidR="007D6E73" w:rsidRPr="0051436E">
              <w:rPr>
                <w:rFonts w:ascii="Calibri Light" w:hAnsi="Calibri Light"/>
                <w:b w:val="0"/>
              </w:rPr>
              <w:t>o</w:t>
            </w:r>
            <w:r w:rsidR="00646894" w:rsidRPr="0051436E">
              <w:rPr>
                <w:rFonts w:ascii="Calibri Light" w:hAnsi="Calibri Light"/>
                <w:b w:val="0"/>
              </w:rPr>
              <w:t xml:space="preserve"> sin obtener respuesta.</w:t>
            </w:r>
            <w:r w:rsidR="0024772F" w:rsidRPr="0051436E">
              <w:rPr>
                <w:rFonts w:ascii="Calibri Light" w:hAnsi="Calibri Light"/>
                <w:b w:val="0"/>
              </w:rPr>
              <w:t xml:space="preserve"> Por su parte, el sindicato también </w:t>
            </w:r>
            <w:r w:rsidR="00BD624E" w:rsidRPr="0051436E">
              <w:rPr>
                <w:rFonts w:ascii="Calibri Light" w:hAnsi="Calibri Light"/>
                <w:b w:val="0"/>
              </w:rPr>
              <w:t xml:space="preserve">emitió un comunicado de prensa solicitando </w:t>
            </w:r>
            <w:r w:rsidR="007D6E73" w:rsidRPr="0051436E">
              <w:rPr>
                <w:rFonts w:ascii="Calibri Light" w:hAnsi="Calibri Light"/>
                <w:b w:val="0"/>
              </w:rPr>
              <w:t xml:space="preserve">al Presidente de la República </w:t>
            </w:r>
            <w:r w:rsidR="00BD624E" w:rsidRPr="0051436E">
              <w:rPr>
                <w:rFonts w:ascii="Calibri Light" w:hAnsi="Calibri Light"/>
                <w:b w:val="0"/>
              </w:rPr>
              <w:t xml:space="preserve">adoptar las medidas necesarias para localizar el paradero del señor Gómez. </w:t>
            </w:r>
            <w:r w:rsidR="00646894" w:rsidRPr="0051436E">
              <w:rPr>
                <w:rFonts w:ascii="Calibri Light" w:hAnsi="Calibri Light"/>
                <w:b w:val="0"/>
              </w:rPr>
              <w:t xml:space="preserve">A su vez, el 18 de marzo, </w:t>
            </w:r>
            <w:r w:rsidR="00C47437" w:rsidRPr="0051436E">
              <w:rPr>
                <w:rFonts w:ascii="Calibri Light" w:hAnsi="Calibri Light"/>
                <w:b w:val="0"/>
              </w:rPr>
              <w:t>el padre del señor Gómez se acercó nuevamente a la Policía Nacional a efectos de conocer los</w:t>
            </w:r>
            <w:r w:rsidR="007D6E73" w:rsidRPr="0051436E">
              <w:rPr>
                <w:rFonts w:ascii="Calibri Light" w:hAnsi="Calibri Light"/>
                <w:b w:val="0"/>
              </w:rPr>
              <w:t xml:space="preserve"> progresos de la investigación. S</w:t>
            </w:r>
            <w:r w:rsidR="00646894" w:rsidRPr="0051436E">
              <w:rPr>
                <w:rFonts w:ascii="Calibri Light" w:hAnsi="Calibri Light"/>
                <w:b w:val="0"/>
              </w:rPr>
              <w:t>in embargo</w:t>
            </w:r>
            <w:r w:rsidR="007D6E73" w:rsidRPr="0051436E">
              <w:rPr>
                <w:rFonts w:ascii="Calibri Light" w:hAnsi="Calibri Light"/>
                <w:b w:val="0"/>
              </w:rPr>
              <w:t>,</w:t>
            </w:r>
            <w:r w:rsidR="00646894" w:rsidRPr="0051436E">
              <w:rPr>
                <w:rFonts w:ascii="Calibri Light" w:hAnsi="Calibri Light"/>
                <w:b w:val="0"/>
              </w:rPr>
              <w:t xml:space="preserve"> se </w:t>
            </w:r>
            <w:r w:rsidR="007D6E73" w:rsidRPr="0051436E">
              <w:rPr>
                <w:rFonts w:ascii="Calibri Light" w:hAnsi="Calibri Light"/>
                <w:b w:val="0"/>
              </w:rPr>
              <w:t xml:space="preserve">le </w:t>
            </w:r>
            <w:r w:rsidR="00646894" w:rsidRPr="0051436E">
              <w:rPr>
                <w:rFonts w:ascii="Calibri Light" w:hAnsi="Calibri Light"/>
                <w:b w:val="0"/>
              </w:rPr>
              <w:t>informó que no</w:t>
            </w:r>
            <w:r w:rsidR="00C47437" w:rsidRPr="0051436E">
              <w:rPr>
                <w:rFonts w:ascii="Calibri Light" w:hAnsi="Calibri Light"/>
                <w:b w:val="0"/>
              </w:rPr>
              <w:t xml:space="preserve"> habían tomado acciones.</w:t>
            </w:r>
          </w:p>
          <w:p w14:paraId="78598E96" w14:textId="77777777" w:rsidR="00114199" w:rsidRPr="0051436E" w:rsidRDefault="00114199" w:rsidP="00B434F9">
            <w:pPr>
              <w:jc w:val="both"/>
              <w:rPr>
                <w:rFonts w:ascii="Calibri Light" w:hAnsi="Calibri Light"/>
                <w:b w:val="0"/>
              </w:rPr>
            </w:pPr>
          </w:p>
          <w:p w14:paraId="40A4FB60" w14:textId="3CDE6D2B" w:rsidR="00DF122C" w:rsidRPr="00713C22" w:rsidRDefault="00CE3CC6" w:rsidP="00B434F9">
            <w:pPr>
              <w:jc w:val="both"/>
              <w:rPr>
                <w:rFonts w:ascii="Calibri Light" w:hAnsi="Calibri Light"/>
                <w:b w:val="0"/>
              </w:rPr>
            </w:pPr>
            <w:r w:rsidRPr="0051436E">
              <w:rPr>
                <w:rFonts w:ascii="Calibri Light" w:hAnsi="Calibri Light"/>
                <w:b w:val="0"/>
              </w:rPr>
              <w:t>El 19 de marzo de 1995</w:t>
            </w:r>
            <w:r w:rsidR="007D6E73" w:rsidRPr="0051436E">
              <w:rPr>
                <w:rFonts w:ascii="Calibri Light" w:hAnsi="Calibri Light"/>
                <w:b w:val="0"/>
              </w:rPr>
              <w:t>,</w:t>
            </w:r>
            <w:r w:rsidRPr="0051436E">
              <w:rPr>
                <w:rFonts w:ascii="Calibri Light" w:hAnsi="Calibri Light"/>
                <w:b w:val="0"/>
              </w:rPr>
              <w:t xml:space="preserve"> se encontró el cuerpo del señor Gómez en un barranco de la ciudad de Guatemala</w:t>
            </w:r>
            <w:r w:rsidR="00646894" w:rsidRPr="0051436E">
              <w:rPr>
                <w:rFonts w:ascii="Calibri Light" w:hAnsi="Calibri Light"/>
                <w:b w:val="0"/>
              </w:rPr>
              <w:t xml:space="preserve">. </w:t>
            </w:r>
            <w:r w:rsidR="00917DBC" w:rsidRPr="0051436E">
              <w:rPr>
                <w:rFonts w:ascii="Calibri Light" w:hAnsi="Calibri Light"/>
                <w:b w:val="0"/>
              </w:rPr>
              <w:t>Tras el</w:t>
            </w:r>
            <w:r w:rsidR="00646894" w:rsidRPr="00443321">
              <w:rPr>
                <w:rFonts w:ascii="Calibri Light" w:hAnsi="Calibri Light"/>
                <w:b w:val="0"/>
              </w:rPr>
              <w:t xml:space="preserve"> hallazgo, sus familiares solicitaron una copia del informe forense</w:t>
            </w:r>
            <w:r w:rsidR="007D6E73" w:rsidRPr="00040417">
              <w:rPr>
                <w:rFonts w:ascii="Calibri Light" w:hAnsi="Calibri Light"/>
                <w:b w:val="0"/>
              </w:rPr>
              <w:t>, pedido que fue rechazado</w:t>
            </w:r>
            <w:r w:rsidR="00646894" w:rsidRPr="00040417">
              <w:rPr>
                <w:rFonts w:ascii="Calibri Light" w:hAnsi="Calibri Light"/>
                <w:b w:val="0"/>
              </w:rPr>
              <w:t xml:space="preserve"> por </w:t>
            </w:r>
            <w:r w:rsidR="007D6E73" w:rsidRPr="00040417">
              <w:rPr>
                <w:rFonts w:ascii="Calibri Light" w:hAnsi="Calibri Light"/>
                <w:b w:val="0"/>
              </w:rPr>
              <w:t>el jefe de la división fiscal, limitán</w:t>
            </w:r>
            <w:r w:rsidR="00646894" w:rsidRPr="00D01CA3">
              <w:rPr>
                <w:rFonts w:ascii="Calibri Light" w:hAnsi="Calibri Light"/>
                <w:b w:val="0"/>
              </w:rPr>
              <w:t>dose a darle</w:t>
            </w:r>
            <w:r w:rsidR="0092633D" w:rsidRPr="00D01CA3">
              <w:rPr>
                <w:rFonts w:ascii="Calibri Light" w:hAnsi="Calibri Light"/>
                <w:b w:val="0"/>
              </w:rPr>
              <w:t>s</w:t>
            </w:r>
            <w:r w:rsidR="00646894" w:rsidRPr="00D01CA3">
              <w:rPr>
                <w:rFonts w:ascii="Calibri Light" w:hAnsi="Calibri Light"/>
                <w:b w:val="0"/>
              </w:rPr>
              <w:t xml:space="preserve"> algunos datos por vía telefónica. </w:t>
            </w:r>
            <w:r w:rsidR="00646894" w:rsidRPr="0051436E">
              <w:rPr>
                <w:rFonts w:ascii="Calibri Light" w:hAnsi="Calibri Light"/>
                <w:b w:val="0"/>
              </w:rPr>
              <w:t>Luego</w:t>
            </w:r>
            <w:r w:rsidR="00646894" w:rsidRPr="00443321">
              <w:rPr>
                <w:rFonts w:ascii="Calibri Light" w:hAnsi="Calibri Light"/>
                <w:b w:val="0"/>
              </w:rPr>
              <w:t xml:space="preserve"> de volver a solicitarlo, pudiero</w:t>
            </w:r>
            <w:r w:rsidR="0092633D" w:rsidRPr="00443321">
              <w:rPr>
                <w:rFonts w:ascii="Calibri Light" w:hAnsi="Calibri Light"/>
                <w:b w:val="0"/>
              </w:rPr>
              <w:t>n obtener el informe mencionado.</w:t>
            </w:r>
            <w:r w:rsidR="00646894" w:rsidRPr="00443321">
              <w:rPr>
                <w:rFonts w:ascii="Calibri Light" w:hAnsi="Calibri Light"/>
                <w:b w:val="0"/>
              </w:rPr>
              <w:t xml:space="preserve"> </w:t>
            </w:r>
            <w:r w:rsidR="0092633D" w:rsidRPr="00443321">
              <w:rPr>
                <w:rFonts w:ascii="Calibri Light" w:hAnsi="Calibri Light"/>
                <w:b w:val="0"/>
              </w:rPr>
              <w:t>Este</w:t>
            </w:r>
            <w:r w:rsidR="00646894" w:rsidRPr="00443321">
              <w:rPr>
                <w:rFonts w:ascii="Calibri Light" w:hAnsi="Calibri Light"/>
                <w:b w:val="0"/>
              </w:rPr>
              <w:t xml:space="preserve"> conclu</w:t>
            </w:r>
            <w:r w:rsidR="0092633D" w:rsidRPr="00443321">
              <w:rPr>
                <w:rFonts w:ascii="Calibri Light" w:hAnsi="Calibri Light"/>
                <w:b w:val="0"/>
              </w:rPr>
              <w:t xml:space="preserve">ía </w:t>
            </w:r>
            <w:r w:rsidR="00646894" w:rsidRPr="00443321">
              <w:rPr>
                <w:rFonts w:ascii="Calibri Light" w:hAnsi="Calibri Light"/>
                <w:b w:val="0"/>
              </w:rPr>
              <w:t xml:space="preserve">que el señor Gómez murió de un </w:t>
            </w:r>
            <w:r w:rsidR="001B2EB5" w:rsidRPr="00443321">
              <w:rPr>
                <w:rFonts w:ascii="Calibri Light" w:hAnsi="Calibri Light"/>
                <w:b w:val="0"/>
              </w:rPr>
              <w:t xml:space="preserve">traumatismo craneoencefálico y torácico </w:t>
            </w:r>
            <w:r w:rsidR="001B2EB5" w:rsidRPr="00713C22">
              <w:rPr>
                <w:rFonts w:ascii="Calibri Light" w:hAnsi="Calibri Light"/>
                <w:b w:val="0"/>
              </w:rPr>
              <w:t>de cuarto grado.</w:t>
            </w:r>
            <w:r w:rsidR="004C0A21" w:rsidRPr="00713C22">
              <w:rPr>
                <w:rFonts w:ascii="Calibri Light" w:hAnsi="Calibri Light"/>
                <w:b w:val="0"/>
              </w:rPr>
              <w:t xml:space="preserve"> Asimismo, el </w:t>
            </w:r>
            <w:r w:rsidR="00DF122C" w:rsidRPr="00713C22">
              <w:rPr>
                <w:rFonts w:ascii="Calibri Light" w:hAnsi="Calibri Light"/>
                <w:b w:val="0"/>
              </w:rPr>
              <w:t>Ministerio Público abri</w:t>
            </w:r>
            <w:r w:rsidR="004C0A21" w:rsidRPr="00713C22">
              <w:rPr>
                <w:rFonts w:ascii="Calibri Light" w:hAnsi="Calibri Light"/>
                <w:b w:val="0"/>
              </w:rPr>
              <w:t xml:space="preserve">ó </w:t>
            </w:r>
            <w:r w:rsidR="00443321">
              <w:rPr>
                <w:rFonts w:ascii="Calibri Light" w:hAnsi="Calibri Light"/>
                <w:b w:val="0"/>
              </w:rPr>
              <w:t xml:space="preserve">un </w:t>
            </w:r>
            <w:r w:rsidR="004C0A21" w:rsidRPr="00713C22">
              <w:rPr>
                <w:rFonts w:ascii="Calibri Light" w:hAnsi="Calibri Light"/>
                <w:b w:val="0"/>
              </w:rPr>
              <w:t xml:space="preserve">expediente sobre el caso, </w:t>
            </w:r>
            <w:r w:rsidR="00443321">
              <w:rPr>
                <w:rFonts w:ascii="Calibri Light" w:hAnsi="Calibri Light"/>
                <w:b w:val="0"/>
              </w:rPr>
              <w:t>ordenando la</w:t>
            </w:r>
            <w:r w:rsidR="00280F4C" w:rsidRPr="00713C22">
              <w:rPr>
                <w:rFonts w:ascii="Calibri Light" w:hAnsi="Calibri Light"/>
                <w:b w:val="0"/>
              </w:rPr>
              <w:t xml:space="preserve"> comparecencia de dos propietario</w:t>
            </w:r>
            <w:r w:rsidR="00726533" w:rsidRPr="00713C22">
              <w:rPr>
                <w:rFonts w:ascii="Calibri Light" w:hAnsi="Calibri Light"/>
                <w:b w:val="0"/>
              </w:rPr>
              <w:t>s</w:t>
            </w:r>
            <w:r w:rsidR="00280F4C" w:rsidRPr="00713C22">
              <w:rPr>
                <w:rFonts w:ascii="Calibri Light" w:hAnsi="Calibri Light"/>
                <w:b w:val="0"/>
              </w:rPr>
              <w:t xml:space="preserve"> de la empresa en la que trabaja</w:t>
            </w:r>
            <w:r w:rsidR="0092633D" w:rsidRPr="00713C22">
              <w:rPr>
                <w:rFonts w:ascii="Calibri Light" w:hAnsi="Calibri Light"/>
                <w:b w:val="0"/>
              </w:rPr>
              <w:t>ba</w:t>
            </w:r>
            <w:r w:rsidR="00280F4C" w:rsidRPr="00713C22">
              <w:rPr>
                <w:rFonts w:ascii="Calibri Light" w:hAnsi="Calibri Light"/>
                <w:b w:val="0"/>
              </w:rPr>
              <w:t xml:space="preserve"> el señor Gómez, </w:t>
            </w:r>
            <w:r w:rsidR="00443321">
              <w:rPr>
                <w:rFonts w:ascii="Calibri Light" w:hAnsi="Calibri Light"/>
                <w:b w:val="0"/>
              </w:rPr>
              <w:t>y</w:t>
            </w:r>
            <w:r w:rsidR="00280F4C" w:rsidRPr="00713C22">
              <w:rPr>
                <w:rFonts w:ascii="Calibri Light" w:hAnsi="Calibri Light"/>
                <w:b w:val="0"/>
              </w:rPr>
              <w:t xml:space="preserve"> de Octa</w:t>
            </w:r>
            <w:r w:rsidR="00726533" w:rsidRPr="00713C22">
              <w:rPr>
                <w:rFonts w:ascii="Calibri Light" w:hAnsi="Calibri Light"/>
                <w:b w:val="0"/>
              </w:rPr>
              <w:t>vio Cardona, su amigo y miembro</w:t>
            </w:r>
            <w:r w:rsidR="00280F4C" w:rsidRPr="00443321">
              <w:rPr>
                <w:rFonts w:ascii="Calibri Light" w:hAnsi="Calibri Light"/>
                <w:b w:val="0"/>
              </w:rPr>
              <w:t xml:space="preserve"> del sindicato. </w:t>
            </w:r>
            <w:r w:rsidR="0092633D" w:rsidRPr="00443321">
              <w:rPr>
                <w:rFonts w:ascii="Calibri Light" w:hAnsi="Calibri Light"/>
                <w:b w:val="0"/>
              </w:rPr>
              <w:t>Estos</w:t>
            </w:r>
            <w:r w:rsidR="0092633D" w:rsidRPr="00713C22">
              <w:rPr>
                <w:rFonts w:ascii="Calibri Light" w:hAnsi="Calibri Light"/>
                <w:b w:val="0"/>
              </w:rPr>
              <w:t xml:space="preserve"> </w:t>
            </w:r>
            <w:r w:rsidR="00280F4C" w:rsidRPr="00713C22">
              <w:rPr>
                <w:rFonts w:ascii="Calibri Light" w:hAnsi="Calibri Light"/>
                <w:b w:val="0"/>
              </w:rPr>
              <w:t xml:space="preserve">no </w:t>
            </w:r>
            <w:r w:rsidR="00726533" w:rsidRPr="00713C22">
              <w:rPr>
                <w:rFonts w:ascii="Calibri Light" w:hAnsi="Calibri Light"/>
                <w:b w:val="0"/>
              </w:rPr>
              <w:t>comparecieron en el plazo establecido</w:t>
            </w:r>
            <w:r w:rsidR="0092633D" w:rsidRPr="00713C22">
              <w:rPr>
                <w:rFonts w:ascii="Calibri Light" w:hAnsi="Calibri Light"/>
                <w:b w:val="0"/>
              </w:rPr>
              <w:t>,</w:t>
            </w:r>
            <w:r w:rsidR="00280F4C" w:rsidRPr="00713C22">
              <w:rPr>
                <w:rFonts w:ascii="Calibri Light" w:hAnsi="Calibri Light"/>
                <w:b w:val="0"/>
              </w:rPr>
              <w:t xml:space="preserve"> </w:t>
            </w:r>
            <w:r w:rsidR="00424B66">
              <w:rPr>
                <w:rFonts w:ascii="Calibri Light" w:hAnsi="Calibri Light"/>
                <w:b w:val="0"/>
              </w:rPr>
              <w:t xml:space="preserve">a pesar de lo cual, </w:t>
            </w:r>
            <w:r w:rsidR="00280F4C" w:rsidRPr="00713C22">
              <w:rPr>
                <w:rFonts w:ascii="Calibri Light" w:hAnsi="Calibri Light"/>
                <w:b w:val="0"/>
              </w:rPr>
              <w:t xml:space="preserve">el Estado no habría adoptado ninguna medida para localizarlos y continuar con la investigación. </w:t>
            </w:r>
          </w:p>
          <w:p w14:paraId="73EF1FBB" w14:textId="77777777" w:rsidR="004C0A21" w:rsidRPr="00713C22" w:rsidRDefault="004C0A21" w:rsidP="00B434F9">
            <w:pPr>
              <w:jc w:val="both"/>
              <w:rPr>
                <w:rFonts w:ascii="Calibri Light" w:hAnsi="Calibri Light"/>
                <w:b w:val="0"/>
              </w:rPr>
            </w:pPr>
          </w:p>
          <w:p w14:paraId="59C1CC8C" w14:textId="0FEAC4AC" w:rsidR="0011756F" w:rsidRPr="0051436E" w:rsidRDefault="00424B66" w:rsidP="00A61412">
            <w:pPr>
              <w:jc w:val="both"/>
              <w:rPr>
                <w:rFonts w:ascii="Calibri Light" w:hAnsi="Calibri Light"/>
                <w:b w:val="0"/>
              </w:rPr>
            </w:pPr>
            <w:r>
              <w:rPr>
                <w:rFonts w:ascii="Calibri Light" w:hAnsi="Calibri Light"/>
                <w:b w:val="0"/>
              </w:rPr>
              <w:t>E</w:t>
            </w:r>
            <w:r w:rsidR="006D0024" w:rsidRPr="00713C22">
              <w:rPr>
                <w:rFonts w:ascii="Calibri Light" w:hAnsi="Calibri Light"/>
                <w:b w:val="0"/>
              </w:rPr>
              <w:t>l 7 de jul</w:t>
            </w:r>
            <w:r>
              <w:rPr>
                <w:rFonts w:ascii="Calibri Light" w:hAnsi="Calibri Light"/>
                <w:b w:val="0"/>
              </w:rPr>
              <w:t>io de 1995, el Departamento de Investigaciones C</w:t>
            </w:r>
            <w:r w:rsidR="006D0024" w:rsidRPr="00713C22">
              <w:rPr>
                <w:rFonts w:ascii="Calibri Light" w:hAnsi="Calibri Light"/>
                <w:b w:val="0"/>
              </w:rPr>
              <w:t>riminológicas de la Policía Nacional presentó un informe señalando que existían indicios suficientes para procesa</w:t>
            </w:r>
            <w:r w:rsidR="0092633D" w:rsidRPr="00713C22">
              <w:rPr>
                <w:rFonts w:ascii="Calibri Light" w:hAnsi="Calibri Light"/>
                <w:b w:val="0"/>
              </w:rPr>
              <w:t>r</w:t>
            </w:r>
            <w:r w:rsidR="006D0024" w:rsidRPr="00443321">
              <w:rPr>
                <w:rFonts w:ascii="Calibri Light" w:hAnsi="Calibri Light"/>
                <w:b w:val="0"/>
              </w:rPr>
              <w:t xml:space="preserve"> penalmente a </w:t>
            </w:r>
            <w:r w:rsidR="004D25FA" w:rsidRPr="00443321">
              <w:rPr>
                <w:rFonts w:ascii="Calibri Light" w:hAnsi="Calibri Light"/>
                <w:b w:val="0"/>
              </w:rPr>
              <w:t xml:space="preserve">los </w:t>
            </w:r>
            <w:r w:rsidR="006D0024" w:rsidRPr="00443321">
              <w:rPr>
                <w:rFonts w:ascii="Calibri Light" w:hAnsi="Calibri Light"/>
                <w:b w:val="0"/>
              </w:rPr>
              <w:t xml:space="preserve">dos propietarios de la </w:t>
            </w:r>
            <w:r w:rsidR="004D25FA" w:rsidRPr="00713C22">
              <w:rPr>
                <w:rFonts w:ascii="Calibri Light" w:hAnsi="Calibri Light"/>
                <w:b w:val="0"/>
              </w:rPr>
              <w:t>empresa en la que trabajaba el señor Gómez</w:t>
            </w:r>
            <w:r w:rsidR="006D0024" w:rsidRPr="00424B66">
              <w:rPr>
                <w:rFonts w:ascii="Calibri Light" w:hAnsi="Calibri Light"/>
                <w:b w:val="0"/>
              </w:rPr>
              <w:t>, y que Octavio Cardona tendría participación pues se negaba a dar información.</w:t>
            </w:r>
            <w:r w:rsidR="00280F4C" w:rsidRPr="00713C22">
              <w:rPr>
                <w:rFonts w:ascii="Calibri Light" w:hAnsi="Calibri Light"/>
                <w:b w:val="0"/>
              </w:rPr>
              <w:t xml:space="preserve"> </w:t>
            </w:r>
            <w:r w:rsidR="00040417">
              <w:rPr>
                <w:rFonts w:ascii="Calibri Light" w:hAnsi="Calibri Light"/>
                <w:b w:val="0"/>
              </w:rPr>
              <w:t>E</w:t>
            </w:r>
            <w:r w:rsidR="00280F4C" w:rsidRPr="00713C22">
              <w:rPr>
                <w:rFonts w:ascii="Calibri Light" w:hAnsi="Calibri Light"/>
                <w:b w:val="0"/>
              </w:rPr>
              <w:t xml:space="preserve">l </w:t>
            </w:r>
            <w:r w:rsidR="006D0024" w:rsidRPr="00713C22">
              <w:rPr>
                <w:rFonts w:ascii="Calibri Light" w:hAnsi="Calibri Light"/>
                <w:b w:val="0"/>
              </w:rPr>
              <w:t>10 de agosto de 1995</w:t>
            </w:r>
            <w:r w:rsidR="0092633D" w:rsidRPr="00713C22">
              <w:rPr>
                <w:rFonts w:ascii="Calibri Light" w:hAnsi="Calibri Light"/>
                <w:b w:val="0"/>
              </w:rPr>
              <w:t>,</w:t>
            </w:r>
            <w:r w:rsidR="00280F4C" w:rsidRPr="00443321">
              <w:rPr>
                <w:rFonts w:ascii="Calibri Light" w:hAnsi="Calibri Light"/>
                <w:b w:val="0"/>
              </w:rPr>
              <w:t xml:space="preserve"> se orden</w:t>
            </w:r>
            <w:r w:rsidR="0092633D" w:rsidRPr="00443321">
              <w:rPr>
                <w:rFonts w:ascii="Calibri Light" w:hAnsi="Calibri Light"/>
                <w:b w:val="0"/>
              </w:rPr>
              <w:t>ó</w:t>
            </w:r>
            <w:r w:rsidR="00280F4C" w:rsidRPr="00443321">
              <w:rPr>
                <w:rFonts w:ascii="Calibri Light" w:hAnsi="Calibri Light"/>
                <w:b w:val="0"/>
              </w:rPr>
              <w:t xml:space="preserve"> la </w:t>
            </w:r>
            <w:r w:rsidR="006D0024" w:rsidRPr="00443321">
              <w:rPr>
                <w:rFonts w:ascii="Calibri Light" w:hAnsi="Calibri Light"/>
                <w:b w:val="0"/>
              </w:rPr>
              <w:t>detención de</w:t>
            </w:r>
            <w:r w:rsidR="0092633D" w:rsidRPr="00443321">
              <w:rPr>
                <w:rFonts w:ascii="Calibri Light" w:hAnsi="Calibri Light"/>
                <w:b w:val="0"/>
              </w:rPr>
              <w:t>l señor</w:t>
            </w:r>
            <w:r w:rsidR="006D0024" w:rsidRPr="00443321">
              <w:rPr>
                <w:rFonts w:ascii="Calibri Light" w:hAnsi="Calibri Light"/>
                <w:b w:val="0"/>
              </w:rPr>
              <w:t xml:space="preserve"> Cardona</w:t>
            </w:r>
            <w:r w:rsidR="00280F4C" w:rsidRPr="00443321">
              <w:rPr>
                <w:rFonts w:ascii="Calibri Light" w:hAnsi="Calibri Light"/>
                <w:b w:val="0"/>
              </w:rPr>
              <w:t xml:space="preserve"> a fin de que pu</w:t>
            </w:r>
            <w:r w:rsidR="0092633D" w:rsidRPr="00443321">
              <w:rPr>
                <w:rFonts w:ascii="Calibri Light" w:hAnsi="Calibri Light"/>
                <w:b w:val="0"/>
              </w:rPr>
              <w:t>diera</w:t>
            </w:r>
            <w:r w:rsidR="00280F4C" w:rsidRPr="00443321">
              <w:rPr>
                <w:rFonts w:ascii="Calibri Light" w:hAnsi="Calibri Light"/>
                <w:b w:val="0"/>
              </w:rPr>
              <w:t xml:space="preserve"> declarar sobre la desaparición del señor </w:t>
            </w:r>
            <w:r w:rsidR="00184E27" w:rsidRPr="00443321">
              <w:rPr>
                <w:rFonts w:ascii="Calibri Light" w:hAnsi="Calibri Light"/>
                <w:b w:val="0"/>
              </w:rPr>
              <w:t>Gómez</w:t>
            </w:r>
            <w:r w:rsidR="00280F4C" w:rsidRPr="00443321">
              <w:rPr>
                <w:rFonts w:ascii="Calibri Light" w:hAnsi="Calibri Light"/>
                <w:b w:val="0"/>
              </w:rPr>
              <w:t xml:space="preserve">. Luego de </w:t>
            </w:r>
            <w:r w:rsidR="008644B4" w:rsidRPr="00443321">
              <w:rPr>
                <w:rFonts w:ascii="Calibri Light" w:hAnsi="Calibri Light"/>
                <w:b w:val="0"/>
              </w:rPr>
              <w:t>sus</w:t>
            </w:r>
            <w:r w:rsidR="00280F4C" w:rsidRPr="00443321">
              <w:rPr>
                <w:rFonts w:ascii="Calibri Light" w:hAnsi="Calibri Light"/>
                <w:b w:val="0"/>
              </w:rPr>
              <w:t xml:space="preserve"> declaraciones, la Policía Nacional y el Ministerio Público no </w:t>
            </w:r>
            <w:r w:rsidR="0011756F" w:rsidRPr="00040417">
              <w:rPr>
                <w:rFonts w:ascii="Calibri Light" w:hAnsi="Calibri Light"/>
                <w:b w:val="0"/>
              </w:rPr>
              <w:t>realizaron otras diligencias por más de un año.</w:t>
            </w:r>
            <w:r w:rsidR="009052FD" w:rsidRPr="00D01CA3">
              <w:rPr>
                <w:rFonts w:ascii="Calibri Light" w:hAnsi="Calibri Light"/>
                <w:b w:val="0"/>
              </w:rPr>
              <w:t xml:space="preserve"> </w:t>
            </w:r>
            <w:r w:rsidR="0092633D" w:rsidRPr="0051436E">
              <w:rPr>
                <w:rFonts w:ascii="Calibri Light" w:hAnsi="Calibri Light"/>
                <w:b w:val="0"/>
              </w:rPr>
              <w:t>T</w:t>
            </w:r>
            <w:r w:rsidR="00280F4C" w:rsidRPr="0051436E">
              <w:rPr>
                <w:rFonts w:ascii="Calibri Light" w:hAnsi="Calibri Light"/>
                <w:b w:val="0"/>
              </w:rPr>
              <w:t>ranscurrido</w:t>
            </w:r>
            <w:r w:rsidR="009052FD" w:rsidRPr="0051436E">
              <w:rPr>
                <w:rFonts w:ascii="Calibri Light" w:hAnsi="Calibri Light"/>
                <w:b w:val="0"/>
              </w:rPr>
              <w:t>s dos años d</w:t>
            </w:r>
            <w:r w:rsidR="009052FD" w:rsidRPr="00713C22">
              <w:rPr>
                <w:rFonts w:ascii="Calibri Light" w:hAnsi="Calibri Light"/>
                <w:b w:val="0"/>
              </w:rPr>
              <w:t>e la desaparición del señor Gómez</w:t>
            </w:r>
            <w:r w:rsidR="0011756F" w:rsidRPr="00713C22">
              <w:rPr>
                <w:rFonts w:ascii="Calibri Light" w:hAnsi="Calibri Light"/>
                <w:b w:val="0"/>
              </w:rPr>
              <w:t>, debido a una serie de dificultades para continuar con la investigación, como la no comparecenc</w:t>
            </w:r>
            <w:r w:rsidR="00253DF5" w:rsidRPr="00713C22">
              <w:rPr>
                <w:rFonts w:ascii="Calibri Light" w:hAnsi="Calibri Light"/>
                <w:b w:val="0"/>
              </w:rPr>
              <w:t xml:space="preserve">ia y ubicación de testigos, </w:t>
            </w:r>
            <w:r w:rsidR="009052FD" w:rsidRPr="00713C22">
              <w:rPr>
                <w:rFonts w:ascii="Calibri Light" w:hAnsi="Calibri Light"/>
                <w:b w:val="0"/>
              </w:rPr>
              <w:t xml:space="preserve">el Ministerio Público </w:t>
            </w:r>
            <w:r w:rsidR="00253DF5" w:rsidRPr="00713C22">
              <w:rPr>
                <w:rFonts w:ascii="Calibri Light" w:hAnsi="Calibri Light"/>
                <w:b w:val="0"/>
              </w:rPr>
              <w:t>solicitó</w:t>
            </w:r>
            <w:r w:rsidR="00BA1A47" w:rsidRPr="00713C22">
              <w:rPr>
                <w:rFonts w:ascii="Calibri Light" w:hAnsi="Calibri Light"/>
                <w:b w:val="0"/>
              </w:rPr>
              <w:t xml:space="preserve"> el archivo del proceso</w:t>
            </w:r>
            <w:r w:rsidR="000E706A" w:rsidRPr="00713C22">
              <w:rPr>
                <w:rFonts w:ascii="Calibri Light" w:hAnsi="Calibri Light"/>
                <w:b w:val="0"/>
              </w:rPr>
              <w:t>. El 22 de mayo de 1997</w:t>
            </w:r>
            <w:r w:rsidR="0092633D" w:rsidRPr="00713C22">
              <w:rPr>
                <w:rFonts w:ascii="Calibri Light" w:hAnsi="Calibri Light"/>
                <w:b w:val="0"/>
              </w:rPr>
              <w:t>,</w:t>
            </w:r>
            <w:r w:rsidR="000E706A" w:rsidRPr="00713C22">
              <w:rPr>
                <w:rFonts w:ascii="Calibri Light" w:hAnsi="Calibri Light"/>
                <w:b w:val="0"/>
              </w:rPr>
              <w:t xml:space="preserve"> el juez contralor de la caus</w:t>
            </w:r>
            <w:r w:rsidR="0092633D" w:rsidRPr="00713C22">
              <w:rPr>
                <w:rFonts w:ascii="Calibri Light" w:hAnsi="Calibri Light"/>
                <w:b w:val="0"/>
              </w:rPr>
              <w:t>a</w:t>
            </w:r>
            <w:r w:rsidR="000E706A" w:rsidRPr="00713C22">
              <w:rPr>
                <w:rFonts w:ascii="Calibri Light" w:hAnsi="Calibri Light"/>
                <w:b w:val="0"/>
              </w:rPr>
              <w:t xml:space="preserve"> declaró sin lugar </w:t>
            </w:r>
            <w:r w:rsidR="00184E27" w:rsidRPr="00713C22">
              <w:rPr>
                <w:rFonts w:ascii="Calibri Light" w:hAnsi="Calibri Light"/>
                <w:b w:val="0"/>
              </w:rPr>
              <w:t>dicha solicitud</w:t>
            </w:r>
            <w:r w:rsidR="000E706A" w:rsidRPr="00443321">
              <w:rPr>
                <w:rFonts w:ascii="Calibri Light" w:hAnsi="Calibri Light"/>
                <w:b w:val="0"/>
              </w:rPr>
              <w:t>, razón por la cual la investigación permaneció en curso.</w:t>
            </w:r>
            <w:r w:rsidR="0092633D" w:rsidRPr="00443321">
              <w:rPr>
                <w:rFonts w:ascii="Calibri Light" w:hAnsi="Calibri Light"/>
                <w:b w:val="0"/>
              </w:rPr>
              <w:t xml:space="preserve"> Cabe señalar que los hechos del caso se enmarcan en </w:t>
            </w:r>
            <w:r w:rsidR="000E706A" w:rsidRPr="00D01CA3">
              <w:rPr>
                <w:rFonts w:ascii="Calibri Light" w:hAnsi="Calibri Light"/>
                <w:b w:val="0"/>
              </w:rPr>
              <w:t xml:space="preserve">un contexto de represión que limitaba la libertad sindical con amenazas, atentados contra la vida, despidos de líderes sindicales, entre otros. </w:t>
            </w:r>
          </w:p>
          <w:p w14:paraId="335A251C" w14:textId="77777777" w:rsidR="000E706A" w:rsidRPr="0051436E" w:rsidRDefault="000E706A" w:rsidP="00B434F9">
            <w:pPr>
              <w:jc w:val="both"/>
              <w:rPr>
                <w:rFonts w:ascii="Calibri Light" w:hAnsi="Calibri Light"/>
                <w:b w:val="0"/>
              </w:rPr>
            </w:pPr>
          </w:p>
          <w:p w14:paraId="19EAED23" w14:textId="46A01947" w:rsidR="00EB3DA2" w:rsidRPr="00D01CA3" w:rsidRDefault="00B969A3">
            <w:pPr>
              <w:jc w:val="both"/>
              <w:rPr>
                <w:rFonts w:ascii="Calibri Light" w:hAnsi="Calibri Light"/>
                <w:b w:val="0"/>
              </w:rPr>
            </w:pPr>
            <w:r w:rsidRPr="0051436E">
              <w:rPr>
                <w:rFonts w:ascii="Calibri Light" w:hAnsi="Calibri Light"/>
                <w:b w:val="0"/>
              </w:rPr>
              <w:t>Frente a estos hechos</w:t>
            </w:r>
            <w:r w:rsidR="000E706A" w:rsidRPr="0051436E">
              <w:rPr>
                <w:rFonts w:ascii="Calibri Light" w:hAnsi="Calibri Light"/>
                <w:b w:val="0"/>
              </w:rPr>
              <w:t>,</w:t>
            </w:r>
            <w:r w:rsidR="001454F7" w:rsidRPr="0051436E">
              <w:rPr>
                <w:rFonts w:ascii="Calibri Light" w:hAnsi="Calibri Light"/>
                <w:b w:val="0"/>
              </w:rPr>
              <w:t xml:space="preserve"> Antonio Gómez, Paula Virula, the Guatemala Labor Education Project y la Unión Sindical de Trabajadores de Guatemala presentaron </w:t>
            </w:r>
            <w:r w:rsidR="009C056C" w:rsidRPr="0051436E">
              <w:rPr>
                <w:rFonts w:ascii="Calibri Light" w:hAnsi="Calibri Light"/>
                <w:b w:val="0"/>
              </w:rPr>
              <w:t xml:space="preserve">una petición ante la CIDH, denunciando que </w:t>
            </w:r>
            <w:r w:rsidR="00581FEB" w:rsidRPr="0051436E">
              <w:rPr>
                <w:rFonts w:ascii="Calibri Light" w:hAnsi="Calibri Light"/>
                <w:b w:val="0"/>
              </w:rPr>
              <w:t xml:space="preserve">la </w:t>
            </w:r>
            <w:r w:rsidR="001454F7" w:rsidRPr="0051436E">
              <w:rPr>
                <w:rFonts w:ascii="Calibri Light" w:hAnsi="Calibri Light"/>
                <w:b w:val="0"/>
              </w:rPr>
              <w:t xml:space="preserve">República de Guatemala </w:t>
            </w:r>
            <w:r w:rsidR="009C056C" w:rsidRPr="0051436E">
              <w:rPr>
                <w:rFonts w:ascii="Calibri Light" w:hAnsi="Calibri Light"/>
                <w:b w:val="0"/>
              </w:rPr>
              <w:t xml:space="preserve">había vulnerado </w:t>
            </w:r>
            <w:r w:rsidR="00CC6107" w:rsidRPr="0051436E">
              <w:rPr>
                <w:rFonts w:ascii="Calibri Light" w:hAnsi="Calibri Light"/>
                <w:b w:val="0"/>
              </w:rPr>
              <w:t xml:space="preserve">los derechos a la vida, integridad personal y libertad personal, </w:t>
            </w:r>
            <w:r w:rsidR="0092633D" w:rsidRPr="0051436E">
              <w:rPr>
                <w:rFonts w:ascii="Calibri Light" w:hAnsi="Calibri Light"/>
                <w:b w:val="0"/>
              </w:rPr>
              <w:t>reconocidos en</w:t>
            </w:r>
            <w:r w:rsidR="00CC6107" w:rsidRPr="0051436E">
              <w:rPr>
                <w:rFonts w:ascii="Calibri Light" w:hAnsi="Calibri Light"/>
                <w:b w:val="0"/>
              </w:rPr>
              <w:t xml:space="preserve"> la Convención Americana sobre Derechos Humanos (en adelante CADH), en perjuicio de</w:t>
            </w:r>
            <w:r w:rsidR="00040417">
              <w:rPr>
                <w:rFonts w:ascii="Calibri Light" w:hAnsi="Calibri Light"/>
                <w:b w:val="0"/>
              </w:rPr>
              <w:t>l señor</w:t>
            </w:r>
            <w:r w:rsidR="00CC6107" w:rsidRPr="00040417">
              <w:rPr>
                <w:rFonts w:ascii="Calibri Light" w:hAnsi="Calibri Light"/>
                <w:b w:val="0"/>
              </w:rPr>
              <w:t xml:space="preserve"> Gómez </w:t>
            </w:r>
            <w:r w:rsidR="0092633D" w:rsidRPr="00040417">
              <w:rPr>
                <w:rFonts w:ascii="Calibri Light" w:hAnsi="Calibri Light"/>
                <w:b w:val="0"/>
              </w:rPr>
              <w:t>y sus familiares</w:t>
            </w:r>
            <w:r w:rsidR="00CC6107" w:rsidRPr="00D01CA3">
              <w:rPr>
                <w:rFonts w:ascii="Calibri Light" w:hAnsi="Calibri Light"/>
                <w:b w:val="0"/>
              </w:rPr>
              <w:t>.</w:t>
            </w:r>
          </w:p>
          <w:p w14:paraId="6543A68A" w14:textId="6F35E168" w:rsidR="009C056C" w:rsidRPr="0051436E" w:rsidRDefault="009C056C">
            <w:pPr>
              <w:jc w:val="both"/>
              <w:rPr>
                <w:rFonts w:ascii="Calibri Light" w:hAnsi="Calibri Light"/>
                <w:b w:val="0"/>
              </w:rPr>
            </w:pPr>
          </w:p>
        </w:tc>
      </w:tr>
      <w:tr w:rsidR="005173CF" w:rsidRPr="0051436E" w14:paraId="7B81A2F3" w14:textId="77777777" w:rsidTr="004B598D">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AC6F31" w:rsidRPr="00713C22" w:rsidRDefault="00AC6F31" w:rsidP="00AC6F31">
            <w:pPr>
              <w:pStyle w:val="ListParagraph"/>
              <w:rPr>
                <w:rFonts w:ascii="Calibri Light" w:hAnsi="Calibri Light"/>
              </w:rPr>
            </w:pPr>
          </w:p>
          <w:p w14:paraId="1FB8AB09" w14:textId="77777777" w:rsidR="005173CF" w:rsidRPr="00713C22" w:rsidRDefault="003E6AB8" w:rsidP="003E6AB8">
            <w:pPr>
              <w:pStyle w:val="ListParagraph"/>
              <w:numPr>
                <w:ilvl w:val="0"/>
                <w:numId w:val="2"/>
              </w:numPr>
              <w:jc w:val="center"/>
              <w:rPr>
                <w:rFonts w:ascii="Calibri Light" w:hAnsi="Calibri Light"/>
              </w:rPr>
            </w:pPr>
            <w:r w:rsidRPr="00713C22">
              <w:rPr>
                <w:rFonts w:ascii="Calibri Light" w:hAnsi="Calibri Light"/>
              </w:rPr>
              <w:t>Análisis jurídico</w:t>
            </w:r>
          </w:p>
          <w:p w14:paraId="158A739A" w14:textId="77777777" w:rsidR="00AC6F31" w:rsidRPr="00713C22" w:rsidRDefault="00AC6F31" w:rsidP="00AC6F31">
            <w:pPr>
              <w:pStyle w:val="ListParagraph"/>
              <w:rPr>
                <w:rFonts w:ascii="Calibri Light" w:hAnsi="Calibri Light"/>
              </w:rPr>
            </w:pPr>
          </w:p>
        </w:tc>
      </w:tr>
      <w:tr w:rsidR="005173CF" w:rsidRPr="0051436E" w14:paraId="71AB3B44" w14:textId="77777777" w:rsidTr="004B598D">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3E02036E" w14:textId="7A7EBF66" w:rsidR="00CC6107" w:rsidRPr="00040417" w:rsidRDefault="00CC6107">
            <w:pPr>
              <w:jc w:val="both"/>
              <w:rPr>
                <w:rFonts w:ascii="Calibri Light" w:hAnsi="Calibri Light"/>
              </w:rPr>
            </w:pPr>
            <w:r w:rsidRPr="00713C22">
              <w:rPr>
                <w:rFonts w:ascii="Calibri Light" w:hAnsi="Calibri Light"/>
              </w:rPr>
              <w:lastRenderedPageBreak/>
              <w:t>Derechos a la vida</w:t>
            </w:r>
            <w:r w:rsidR="0092633D" w:rsidRPr="00713C22">
              <w:rPr>
                <w:rFonts w:ascii="Calibri Light" w:hAnsi="Calibri Light"/>
              </w:rPr>
              <w:t xml:space="preserve">, </w:t>
            </w:r>
            <w:r w:rsidRPr="00713C22">
              <w:rPr>
                <w:rFonts w:ascii="Calibri Light" w:hAnsi="Calibri Light"/>
              </w:rPr>
              <w:t>integridad personal</w:t>
            </w:r>
            <w:r w:rsidR="0084740E" w:rsidRPr="00713C22">
              <w:rPr>
                <w:rFonts w:ascii="Calibri Light" w:hAnsi="Calibri Light"/>
              </w:rPr>
              <w:t xml:space="preserve">, </w:t>
            </w:r>
            <w:r w:rsidRPr="00713C22">
              <w:rPr>
                <w:rFonts w:ascii="Calibri Light" w:hAnsi="Calibri Light"/>
              </w:rPr>
              <w:t>libertad personal</w:t>
            </w:r>
            <w:r w:rsidR="0084740E" w:rsidRPr="00713C22">
              <w:rPr>
                <w:rFonts w:ascii="Calibri Light" w:hAnsi="Calibri Light"/>
              </w:rPr>
              <w:t xml:space="preserve"> y libertad de asociación</w:t>
            </w:r>
            <w:r w:rsidRPr="00713C22">
              <w:rPr>
                <w:rFonts w:ascii="Calibri Light" w:hAnsi="Calibri Light"/>
              </w:rPr>
              <w:t xml:space="preserve"> (artículos 4</w:t>
            </w:r>
            <w:r w:rsidRPr="00443321">
              <w:rPr>
                <w:rFonts w:ascii="Calibri Light" w:hAnsi="Calibri Light"/>
              </w:rPr>
              <w:t>, 5</w:t>
            </w:r>
            <w:r w:rsidR="0084740E" w:rsidRPr="00443321">
              <w:rPr>
                <w:rFonts w:ascii="Calibri Light" w:hAnsi="Calibri Light"/>
              </w:rPr>
              <w:t>,</w:t>
            </w:r>
            <w:r w:rsidR="0084740E" w:rsidRPr="00040417">
              <w:rPr>
                <w:rFonts w:ascii="Calibri Light" w:hAnsi="Calibri Light"/>
              </w:rPr>
              <w:t xml:space="preserve"> </w:t>
            </w:r>
            <w:r w:rsidRPr="00040417">
              <w:rPr>
                <w:rFonts w:ascii="Calibri Light" w:hAnsi="Calibri Light"/>
              </w:rPr>
              <w:t>7</w:t>
            </w:r>
            <w:r w:rsidR="0084740E" w:rsidRPr="00040417">
              <w:rPr>
                <w:rFonts w:ascii="Calibri Light" w:hAnsi="Calibri Light"/>
              </w:rPr>
              <w:t xml:space="preserve"> y 16</w:t>
            </w:r>
            <w:r w:rsidR="0071697F" w:rsidRPr="00040417">
              <w:rPr>
                <w:rFonts w:ascii="Calibri Light" w:hAnsi="Calibri Light"/>
              </w:rPr>
              <w:t xml:space="preserve"> </w:t>
            </w:r>
            <w:r w:rsidRPr="00040417">
              <w:rPr>
                <w:rFonts w:ascii="Calibri Light" w:hAnsi="Calibri Light"/>
              </w:rPr>
              <w:t>de la CADH)</w:t>
            </w:r>
          </w:p>
          <w:p w14:paraId="09FEC317" w14:textId="77777777" w:rsidR="002A6E03" w:rsidRPr="00040417" w:rsidRDefault="002A6E03">
            <w:pPr>
              <w:jc w:val="both"/>
              <w:rPr>
                <w:rFonts w:ascii="Calibri Light" w:hAnsi="Calibri Light"/>
              </w:rPr>
            </w:pPr>
          </w:p>
          <w:p w14:paraId="00D1B6AE" w14:textId="5322EE13" w:rsidR="009300E6" w:rsidRDefault="002A6E03">
            <w:pPr>
              <w:jc w:val="both"/>
              <w:rPr>
                <w:rFonts w:ascii="Calibri Light" w:hAnsi="Calibri Light"/>
                <w:b w:val="0"/>
              </w:rPr>
            </w:pPr>
            <w:r w:rsidRPr="009300E6">
              <w:rPr>
                <w:rFonts w:ascii="Calibri Light" w:hAnsi="Calibri Light"/>
                <w:b w:val="0"/>
              </w:rPr>
              <w:t xml:space="preserve">La CIDH consideró que no </w:t>
            </w:r>
            <w:r w:rsidR="009300E6" w:rsidRPr="009300E6">
              <w:rPr>
                <w:rFonts w:ascii="Calibri Light" w:hAnsi="Calibri Light"/>
                <w:b w:val="0"/>
              </w:rPr>
              <w:t>existía</w:t>
            </w:r>
            <w:r w:rsidRPr="009300E6">
              <w:rPr>
                <w:rFonts w:ascii="Calibri Light" w:hAnsi="Calibri Light"/>
                <w:b w:val="0"/>
              </w:rPr>
              <w:t xml:space="preserve"> controversia respecto a que el señor Gómez </w:t>
            </w:r>
            <w:r w:rsidR="009300E6">
              <w:rPr>
                <w:rFonts w:ascii="Calibri Light" w:hAnsi="Calibri Light"/>
                <w:b w:val="0"/>
              </w:rPr>
              <w:t>fue</w:t>
            </w:r>
            <w:r w:rsidRPr="009300E6">
              <w:rPr>
                <w:rFonts w:ascii="Calibri Light" w:hAnsi="Calibri Light"/>
                <w:b w:val="0"/>
              </w:rPr>
              <w:t xml:space="preserve"> privado de </w:t>
            </w:r>
            <w:r w:rsidR="00B1627D" w:rsidRPr="009300E6">
              <w:rPr>
                <w:rFonts w:ascii="Calibri Light" w:hAnsi="Calibri Light"/>
                <w:b w:val="0"/>
              </w:rPr>
              <w:t xml:space="preserve">su </w:t>
            </w:r>
            <w:r w:rsidRPr="009300E6">
              <w:rPr>
                <w:rFonts w:ascii="Calibri Light" w:hAnsi="Calibri Light"/>
                <w:b w:val="0"/>
              </w:rPr>
              <w:t>libertad el 13 de marzo de 1995 y asesinado luego</w:t>
            </w:r>
            <w:r w:rsidR="00D01CA3" w:rsidRPr="009300E6">
              <w:rPr>
                <w:rFonts w:ascii="Calibri Light" w:hAnsi="Calibri Light"/>
                <w:b w:val="0"/>
              </w:rPr>
              <w:t>;</w:t>
            </w:r>
            <w:r w:rsidRPr="009300E6">
              <w:rPr>
                <w:rFonts w:ascii="Calibri Light" w:hAnsi="Calibri Light"/>
                <w:b w:val="0"/>
              </w:rPr>
              <w:t xml:space="preserve"> por lo cual sus derechos a la libertad personal y a la vida</w:t>
            </w:r>
            <w:r w:rsidR="000C78C2" w:rsidRPr="009300E6">
              <w:rPr>
                <w:rFonts w:ascii="Calibri Light" w:hAnsi="Calibri Light"/>
                <w:b w:val="0"/>
              </w:rPr>
              <w:t xml:space="preserve"> </w:t>
            </w:r>
            <w:r w:rsidR="00491C25" w:rsidRPr="009300E6">
              <w:rPr>
                <w:rFonts w:ascii="Calibri Light" w:hAnsi="Calibri Light"/>
                <w:b w:val="0"/>
              </w:rPr>
              <w:t>fueron</w:t>
            </w:r>
            <w:r w:rsidR="000C78C2" w:rsidRPr="009300E6">
              <w:rPr>
                <w:rFonts w:ascii="Calibri Light" w:hAnsi="Calibri Light"/>
                <w:b w:val="0"/>
              </w:rPr>
              <w:t xml:space="preserve"> </w:t>
            </w:r>
            <w:r w:rsidR="00491C25" w:rsidRPr="009300E6">
              <w:rPr>
                <w:rFonts w:ascii="Calibri Light" w:hAnsi="Calibri Light"/>
                <w:b w:val="0"/>
              </w:rPr>
              <w:t>afectados</w:t>
            </w:r>
            <w:r w:rsidRPr="009300E6">
              <w:rPr>
                <w:rFonts w:ascii="Calibri Light" w:hAnsi="Calibri Light"/>
                <w:b w:val="0"/>
              </w:rPr>
              <w:t xml:space="preserve">. </w:t>
            </w:r>
            <w:r w:rsidR="00491C25" w:rsidRPr="009300E6">
              <w:rPr>
                <w:rFonts w:ascii="Calibri Light" w:hAnsi="Calibri Light"/>
                <w:b w:val="0"/>
              </w:rPr>
              <w:t xml:space="preserve">Además, </w:t>
            </w:r>
            <w:r w:rsidR="00705878">
              <w:rPr>
                <w:rFonts w:ascii="Calibri Light" w:hAnsi="Calibri Light"/>
                <w:b w:val="0"/>
              </w:rPr>
              <w:t>como</w:t>
            </w:r>
            <w:r w:rsidRPr="009300E6">
              <w:rPr>
                <w:rFonts w:ascii="Calibri Light" w:hAnsi="Calibri Light"/>
                <w:b w:val="0"/>
              </w:rPr>
              <w:t xml:space="preserve"> no fue asesinado inmediatamente</w:t>
            </w:r>
            <w:r w:rsidR="00491C25" w:rsidRPr="009300E6">
              <w:rPr>
                <w:rFonts w:ascii="Calibri Light" w:hAnsi="Calibri Light"/>
                <w:b w:val="0"/>
              </w:rPr>
              <w:t xml:space="preserve"> y fue golpeado durante su detención</w:t>
            </w:r>
            <w:r w:rsidRPr="009300E6">
              <w:rPr>
                <w:rFonts w:ascii="Calibri Light" w:hAnsi="Calibri Light"/>
                <w:b w:val="0"/>
              </w:rPr>
              <w:t xml:space="preserve">, también </w:t>
            </w:r>
            <w:r w:rsidR="009300E6">
              <w:rPr>
                <w:rFonts w:ascii="Calibri Light" w:hAnsi="Calibri Light"/>
                <w:b w:val="0"/>
              </w:rPr>
              <w:t xml:space="preserve">determinó que </w:t>
            </w:r>
            <w:r w:rsidRPr="009300E6">
              <w:rPr>
                <w:rFonts w:ascii="Calibri Light" w:hAnsi="Calibri Light"/>
                <w:b w:val="0"/>
              </w:rPr>
              <w:t>su derecho a la integridad personal</w:t>
            </w:r>
            <w:r w:rsidR="00705878">
              <w:rPr>
                <w:rFonts w:ascii="Calibri Light" w:hAnsi="Calibri Light"/>
                <w:b w:val="0"/>
              </w:rPr>
              <w:t xml:space="preserve"> había sido afectado</w:t>
            </w:r>
            <w:r w:rsidR="007327CE" w:rsidRPr="009300E6">
              <w:rPr>
                <w:rFonts w:ascii="Calibri Light" w:hAnsi="Calibri Light"/>
                <w:b w:val="0"/>
              </w:rPr>
              <w:t xml:space="preserve">. </w:t>
            </w:r>
            <w:r w:rsidR="003A3B07">
              <w:rPr>
                <w:rFonts w:ascii="Calibri Light" w:hAnsi="Calibri Light"/>
                <w:b w:val="0"/>
              </w:rPr>
              <w:t>En cuanto a la atribución de responsabilidad internacional del Estado</w:t>
            </w:r>
            <w:r w:rsidR="009300E6">
              <w:rPr>
                <w:rFonts w:ascii="Calibri Light" w:hAnsi="Calibri Light"/>
                <w:b w:val="0"/>
              </w:rPr>
              <w:t xml:space="preserve">, </w:t>
            </w:r>
            <w:r w:rsidR="003A3B07">
              <w:rPr>
                <w:rFonts w:ascii="Calibri Light" w:hAnsi="Calibri Light"/>
                <w:b w:val="0"/>
              </w:rPr>
              <w:t xml:space="preserve"> consideró que, </w:t>
            </w:r>
            <w:r w:rsidR="009300E6">
              <w:rPr>
                <w:rFonts w:ascii="Calibri Light" w:hAnsi="Calibri Light"/>
                <w:b w:val="0"/>
              </w:rPr>
              <w:t xml:space="preserve">al no desprenderse la posible participación de agentes estatales en los hechos, </w:t>
            </w:r>
            <w:r w:rsidR="003A3B07">
              <w:rPr>
                <w:rFonts w:ascii="Calibri Light" w:hAnsi="Calibri Light"/>
                <w:b w:val="0"/>
              </w:rPr>
              <w:t>el análisis debía hacerse</w:t>
            </w:r>
            <w:r w:rsidR="009300E6">
              <w:rPr>
                <w:rFonts w:ascii="Calibri Light" w:hAnsi="Calibri Light"/>
                <w:b w:val="0"/>
              </w:rPr>
              <w:t xml:space="preserve"> respecto  de su deber de garantía, y más específicamente, su</w:t>
            </w:r>
            <w:r w:rsidR="008C058C">
              <w:rPr>
                <w:rFonts w:ascii="Calibri Light" w:hAnsi="Calibri Light"/>
                <w:b w:val="0"/>
              </w:rPr>
              <w:t>s</w:t>
            </w:r>
            <w:r w:rsidR="009300E6">
              <w:rPr>
                <w:rFonts w:ascii="Calibri Light" w:hAnsi="Calibri Light"/>
                <w:b w:val="0"/>
              </w:rPr>
              <w:t xml:space="preserve"> deber</w:t>
            </w:r>
            <w:r w:rsidR="008C058C">
              <w:rPr>
                <w:rFonts w:ascii="Calibri Light" w:hAnsi="Calibri Light"/>
                <w:b w:val="0"/>
              </w:rPr>
              <w:t>es</w:t>
            </w:r>
            <w:r w:rsidR="009300E6">
              <w:rPr>
                <w:rFonts w:ascii="Calibri Light" w:hAnsi="Calibri Light"/>
                <w:b w:val="0"/>
              </w:rPr>
              <w:t xml:space="preserve"> de prevenir</w:t>
            </w:r>
            <w:r w:rsidR="008C058C">
              <w:rPr>
                <w:rFonts w:ascii="Calibri Light" w:hAnsi="Calibri Light"/>
                <w:b w:val="0"/>
              </w:rPr>
              <w:t xml:space="preserve"> e investigar</w:t>
            </w:r>
            <w:r w:rsidR="009300E6">
              <w:rPr>
                <w:rFonts w:ascii="Calibri Light" w:hAnsi="Calibri Light"/>
                <w:b w:val="0"/>
              </w:rPr>
              <w:t xml:space="preserve">. </w:t>
            </w:r>
          </w:p>
          <w:p w14:paraId="7D76F6B9" w14:textId="77777777" w:rsidR="00830AB5" w:rsidRPr="00040417" w:rsidRDefault="00830AB5">
            <w:pPr>
              <w:jc w:val="both"/>
              <w:rPr>
                <w:rFonts w:ascii="Calibri Light" w:hAnsi="Calibri Light"/>
                <w:b w:val="0"/>
              </w:rPr>
            </w:pPr>
          </w:p>
          <w:p w14:paraId="4782A848" w14:textId="658E7CA7" w:rsidR="00705878" w:rsidRDefault="0071697F">
            <w:pPr>
              <w:jc w:val="both"/>
              <w:rPr>
                <w:rFonts w:ascii="Calibri Light" w:hAnsi="Calibri Light"/>
                <w:b w:val="0"/>
              </w:rPr>
            </w:pPr>
            <w:r w:rsidRPr="00040417">
              <w:rPr>
                <w:rFonts w:ascii="Calibri Light" w:hAnsi="Calibri Light"/>
                <w:b w:val="0"/>
              </w:rPr>
              <w:t>Sobre</w:t>
            </w:r>
            <w:r w:rsidRPr="00713C22">
              <w:rPr>
                <w:rFonts w:ascii="Calibri Light" w:hAnsi="Calibri Light"/>
                <w:b w:val="0"/>
              </w:rPr>
              <w:t xml:space="preserve"> </w:t>
            </w:r>
            <w:r w:rsidR="008C058C">
              <w:rPr>
                <w:rFonts w:ascii="Calibri Light" w:hAnsi="Calibri Light"/>
                <w:b w:val="0"/>
              </w:rPr>
              <w:t>el deber de prevenir</w:t>
            </w:r>
            <w:r w:rsidRPr="00713C22">
              <w:rPr>
                <w:rFonts w:ascii="Calibri Light" w:hAnsi="Calibri Light"/>
                <w:b w:val="0"/>
              </w:rPr>
              <w:t xml:space="preserve">, </w:t>
            </w:r>
            <w:r w:rsidR="00705878">
              <w:rPr>
                <w:rFonts w:ascii="Calibri Light" w:hAnsi="Calibri Light"/>
                <w:b w:val="0"/>
              </w:rPr>
              <w:t>recordó</w:t>
            </w:r>
            <w:r w:rsidR="00587003" w:rsidRPr="00713C22">
              <w:rPr>
                <w:rFonts w:ascii="Calibri Light" w:hAnsi="Calibri Light"/>
                <w:b w:val="0"/>
              </w:rPr>
              <w:t xml:space="preserve"> </w:t>
            </w:r>
            <w:r w:rsidR="00705878">
              <w:rPr>
                <w:rFonts w:ascii="Calibri Light" w:hAnsi="Calibri Light"/>
                <w:b w:val="0"/>
              </w:rPr>
              <w:t>que cuando existe</w:t>
            </w:r>
            <w:r w:rsidR="002D75E3" w:rsidRPr="00713C22">
              <w:rPr>
                <w:rFonts w:ascii="Calibri Light" w:hAnsi="Calibri Light"/>
                <w:b w:val="0"/>
              </w:rPr>
              <w:t xml:space="preserve">n motivos razonables para sospechar que una persona ha </w:t>
            </w:r>
            <w:r w:rsidR="000C78C2" w:rsidRPr="00713C22">
              <w:rPr>
                <w:rFonts w:ascii="Calibri Light" w:hAnsi="Calibri Light"/>
                <w:b w:val="0"/>
              </w:rPr>
              <w:t>sido víctima de</w:t>
            </w:r>
            <w:r w:rsidR="002D75E3" w:rsidRPr="00713C22">
              <w:rPr>
                <w:rFonts w:ascii="Calibri Light" w:hAnsi="Calibri Light"/>
                <w:b w:val="0"/>
              </w:rPr>
              <w:t xml:space="preserve"> desaparición, es necesaria la actuación inmediata de las autoridades</w:t>
            </w:r>
            <w:r w:rsidR="00CA6845">
              <w:rPr>
                <w:rFonts w:ascii="Calibri Light" w:hAnsi="Calibri Light"/>
                <w:b w:val="0"/>
              </w:rPr>
              <w:t xml:space="preserve"> ordenando </w:t>
            </w:r>
            <w:r w:rsidR="002D75E3" w:rsidRPr="00713C22">
              <w:rPr>
                <w:rFonts w:ascii="Calibri Light" w:hAnsi="Calibri Light"/>
                <w:b w:val="0"/>
              </w:rPr>
              <w:t xml:space="preserve">medidas </w:t>
            </w:r>
            <w:r w:rsidR="002D75E3" w:rsidRPr="00443321">
              <w:rPr>
                <w:rFonts w:ascii="Calibri Light" w:hAnsi="Calibri Light"/>
                <w:b w:val="0"/>
              </w:rPr>
              <w:t xml:space="preserve">para determinar el paradero de la víctima. </w:t>
            </w:r>
            <w:r w:rsidR="003A3B07">
              <w:rPr>
                <w:rFonts w:ascii="Calibri Light" w:hAnsi="Calibri Light"/>
                <w:b w:val="0"/>
              </w:rPr>
              <w:t xml:space="preserve">En el caso bajo análisis, no existían elementos que indicaran una situación de amenaza al señor Gómez previa a su desaparición, de la cual hubiera tenido conocimiento el Estado. Por ello, </w:t>
            </w:r>
            <w:r w:rsidR="00B16B8B">
              <w:rPr>
                <w:rFonts w:ascii="Calibri Light" w:hAnsi="Calibri Light"/>
                <w:b w:val="0"/>
              </w:rPr>
              <w:t xml:space="preserve">analizó </w:t>
            </w:r>
            <w:r w:rsidR="003A3B07">
              <w:rPr>
                <w:rFonts w:ascii="Calibri Light" w:hAnsi="Calibri Light"/>
                <w:b w:val="0"/>
              </w:rPr>
              <w:t xml:space="preserve">el deber de prevención recién desde que </w:t>
            </w:r>
            <w:r w:rsidR="00B16B8B">
              <w:rPr>
                <w:rFonts w:ascii="Calibri Light" w:hAnsi="Calibri Light"/>
                <w:b w:val="0"/>
              </w:rPr>
              <w:t xml:space="preserve">el Estado </w:t>
            </w:r>
            <w:r w:rsidR="003A3B07">
              <w:rPr>
                <w:rFonts w:ascii="Calibri Light" w:hAnsi="Calibri Light"/>
                <w:b w:val="0"/>
              </w:rPr>
              <w:t xml:space="preserve">tomó conocimiento de su desaparición con la denuncia que hicieron sus padres. La CIDH observó que </w:t>
            </w:r>
            <w:r w:rsidR="00705878">
              <w:rPr>
                <w:rFonts w:ascii="Calibri Light" w:hAnsi="Calibri Light"/>
                <w:b w:val="0"/>
              </w:rPr>
              <w:t xml:space="preserve">desde ese momento hasta que apareció su cuerpo, no </w:t>
            </w:r>
            <w:r w:rsidR="00B16B8B">
              <w:rPr>
                <w:rFonts w:ascii="Calibri Light" w:hAnsi="Calibri Light"/>
                <w:b w:val="0"/>
              </w:rPr>
              <w:t xml:space="preserve">se </w:t>
            </w:r>
            <w:r w:rsidR="00705878">
              <w:rPr>
                <w:rFonts w:ascii="Calibri Light" w:hAnsi="Calibri Light"/>
                <w:b w:val="0"/>
              </w:rPr>
              <w:t>adoptó ninguna medida para su búsqueda.</w:t>
            </w:r>
            <w:r w:rsidR="00B16B8B">
              <w:rPr>
                <w:rFonts w:ascii="Calibri Light" w:hAnsi="Calibri Light"/>
                <w:b w:val="0"/>
              </w:rPr>
              <w:t xml:space="preserve"> Consecuentemente, el Estado incumplió este deber respecto de los derechos a la vida e integridad del señor Gómez. </w:t>
            </w:r>
            <w:r w:rsidR="007E6001">
              <w:rPr>
                <w:rFonts w:ascii="Calibri Light" w:hAnsi="Calibri Light"/>
                <w:b w:val="0"/>
              </w:rPr>
              <w:t>Además, como el señor Gómez fue privado de libertad antes de su muerte, también se incumplió este deber respecto al derecho a la libertad personal. Cabe señalar que en</w:t>
            </w:r>
            <w:r w:rsidR="00B16B8B">
              <w:rPr>
                <w:rFonts w:ascii="Calibri Light" w:hAnsi="Calibri Light"/>
                <w:b w:val="0"/>
              </w:rPr>
              <w:t xml:space="preserve"> este caso, debido a que eran públicas las afectaciones a los derechos de los sindicalistas </w:t>
            </w:r>
            <w:r w:rsidR="007E6001">
              <w:rPr>
                <w:rFonts w:ascii="Calibri Light" w:hAnsi="Calibri Light"/>
                <w:b w:val="0"/>
              </w:rPr>
              <w:t>en un</w:t>
            </w:r>
            <w:r w:rsidR="00B16B8B">
              <w:rPr>
                <w:rFonts w:ascii="Calibri Light" w:hAnsi="Calibri Light"/>
                <w:b w:val="0"/>
              </w:rPr>
              <w:t xml:space="preserve"> contexto de represión, el deber de prevención se encontraba acentuado. </w:t>
            </w:r>
          </w:p>
          <w:p w14:paraId="0F7F053C" w14:textId="77777777" w:rsidR="006C4995" w:rsidRPr="00443321" w:rsidRDefault="006C4995" w:rsidP="001C39A8">
            <w:pPr>
              <w:jc w:val="both"/>
              <w:rPr>
                <w:rFonts w:ascii="Calibri Light" w:hAnsi="Calibri Light"/>
                <w:b w:val="0"/>
                <w:lang w:val="es-PE"/>
              </w:rPr>
            </w:pPr>
          </w:p>
          <w:p w14:paraId="23F8E4CC" w14:textId="77777777" w:rsidR="00AA3A88" w:rsidRDefault="00F25F5B" w:rsidP="00CF14CE">
            <w:pPr>
              <w:jc w:val="both"/>
              <w:rPr>
                <w:rFonts w:ascii="Calibri Light" w:hAnsi="Calibri Light"/>
                <w:b w:val="0"/>
                <w:lang w:val="es-PE"/>
              </w:rPr>
            </w:pPr>
            <w:r w:rsidRPr="00713C22">
              <w:rPr>
                <w:rFonts w:ascii="Calibri Light" w:hAnsi="Calibri Light"/>
                <w:b w:val="0"/>
                <w:lang w:val="es-PE"/>
              </w:rPr>
              <w:t xml:space="preserve">Respecto a la libertad de asociación, la CIDH </w:t>
            </w:r>
            <w:r w:rsidR="007E6001">
              <w:rPr>
                <w:rFonts w:ascii="Calibri Light" w:hAnsi="Calibri Light"/>
                <w:b w:val="0"/>
                <w:lang w:val="es-PE"/>
              </w:rPr>
              <w:t>señaló que este derecho</w:t>
            </w:r>
            <w:r w:rsidRPr="00713C22">
              <w:rPr>
                <w:rFonts w:ascii="Calibri Light" w:hAnsi="Calibri Light"/>
                <w:b w:val="0"/>
                <w:lang w:val="es-PE"/>
              </w:rPr>
              <w:t xml:space="preserve"> tiene una manifestación individual</w:t>
            </w:r>
            <w:r w:rsidR="00B1627D" w:rsidRPr="00713C22">
              <w:rPr>
                <w:rFonts w:ascii="Calibri Light" w:hAnsi="Calibri Light"/>
                <w:b w:val="0"/>
                <w:lang w:val="es-PE"/>
              </w:rPr>
              <w:t xml:space="preserve"> </w:t>
            </w:r>
            <w:r w:rsidRPr="00443321">
              <w:rPr>
                <w:rFonts w:ascii="Calibri Light" w:hAnsi="Calibri Light"/>
                <w:b w:val="0"/>
                <w:lang w:val="es-PE"/>
              </w:rPr>
              <w:t xml:space="preserve">y otra social. La dimensión individual se refiere a la libertad de las personas de asociarse libremente con otras, sin intervenciones de las autoridades públicas que limiten su ejercicio; mientras que la dimensión social está referida a la libertad de perseguir la realización común de un fin lícito, sin presiones o intromisiones que puedan </w:t>
            </w:r>
            <w:r w:rsidRPr="00040417">
              <w:rPr>
                <w:rFonts w:ascii="Calibri Light" w:hAnsi="Calibri Light"/>
                <w:b w:val="0"/>
                <w:lang w:val="es-PE"/>
              </w:rPr>
              <w:t xml:space="preserve">desnaturalizar su finalidad. </w:t>
            </w:r>
            <w:r w:rsidR="0019709D" w:rsidRPr="00D01CA3">
              <w:rPr>
                <w:rFonts w:ascii="Calibri Light" w:hAnsi="Calibri Light"/>
                <w:b w:val="0"/>
                <w:lang w:val="es-PE"/>
              </w:rPr>
              <w:t xml:space="preserve">En </w:t>
            </w:r>
            <w:r w:rsidR="007E6001">
              <w:rPr>
                <w:rFonts w:ascii="Calibri Light" w:hAnsi="Calibri Light"/>
                <w:b w:val="0"/>
                <w:lang w:val="es-PE"/>
              </w:rPr>
              <w:t>este caso</w:t>
            </w:r>
            <w:r w:rsidR="0019709D" w:rsidRPr="00D01CA3">
              <w:rPr>
                <w:rFonts w:ascii="Calibri Light" w:hAnsi="Calibri Light"/>
                <w:b w:val="0"/>
                <w:lang w:val="es-PE"/>
              </w:rPr>
              <w:t xml:space="preserve">, la CIDH determinó que el señor Gómez ejercía </w:t>
            </w:r>
            <w:r w:rsidR="007E6001">
              <w:rPr>
                <w:rFonts w:ascii="Calibri Light" w:hAnsi="Calibri Light"/>
                <w:b w:val="0"/>
                <w:lang w:val="es-PE"/>
              </w:rPr>
              <w:t>actividad</w:t>
            </w:r>
            <w:r w:rsidR="0019709D" w:rsidRPr="00D01CA3">
              <w:rPr>
                <w:rFonts w:ascii="Calibri Light" w:hAnsi="Calibri Light"/>
                <w:b w:val="0"/>
                <w:lang w:val="es-PE"/>
              </w:rPr>
              <w:t xml:space="preserve"> sindical </w:t>
            </w:r>
            <w:r w:rsidR="00B1627D" w:rsidRPr="0051436E">
              <w:rPr>
                <w:rFonts w:ascii="Calibri Light" w:hAnsi="Calibri Light"/>
                <w:b w:val="0"/>
                <w:lang w:val="es-PE"/>
              </w:rPr>
              <w:t xml:space="preserve">a través de </w:t>
            </w:r>
            <w:r w:rsidR="0019709D" w:rsidRPr="0051436E">
              <w:rPr>
                <w:rFonts w:ascii="Calibri Light" w:hAnsi="Calibri Light"/>
                <w:b w:val="0"/>
                <w:lang w:val="es-PE"/>
              </w:rPr>
              <w:t xml:space="preserve">su cargo como secretario de finanzas del Sindicato de los Trabajadores de la Maquila RCA y en el marco de la demanda laboral contra la empresa en la que trabajó. </w:t>
            </w:r>
            <w:r w:rsidR="007E6001">
              <w:rPr>
                <w:rFonts w:ascii="Calibri Light" w:hAnsi="Calibri Light"/>
                <w:b w:val="0"/>
                <w:lang w:val="es-PE"/>
              </w:rPr>
              <w:t xml:space="preserve">Su desaparición y asesinato se produjeron en estas circunstancias y en un contexto más general de represión y </w:t>
            </w:r>
            <w:r w:rsidR="00991A82" w:rsidRPr="0051436E">
              <w:rPr>
                <w:rFonts w:ascii="Calibri Light" w:hAnsi="Calibri Light"/>
                <w:b w:val="0"/>
                <w:lang w:val="es-PE"/>
              </w:rPr>
              <w:t xml:space="preserve">violencia contra líderes sindicales, </w:t>
            </w:r>
            <w:r w:rsidR="007E6001">
              <w:rPr>
                <w:rFonts w:ascii="Calibri Light" w:hAnsi="Calibri Light"/>
                <w:b w:val="0"/>
                <w:lang w:val="es-PE"/>
              </w:rPr>
              <w:t>lo cual hacía que existan</w:t>
            </w:r>
            <w:r w:rsidR="00A61412" w:rsidRPr="0051436E">
              <w:rPr>
                <w:rFonts w:ascii="Calibri Light" w:hAnsi="Calibri Light"/>
                <w:b w:val="0"/>
                <w:lang w:val="es-PE"/>
              </w:rPr>
              <w:t xml:space="preserve"> </w:t>
            </w:r>
            <w:r w:rsidR="00991A82" w:rsidRPr="0051436E">
              <w:rPr>
                <w:rFonts w:ascii="Calibri Light" w:hAnsi="Calibri Light"/>
                <w:b w:val="0"/>
                <w:lang w:val="es-PE"/>
              </w:rPr>
              <w:t xml:space="preserve">indicios significativos para relacionar </w:t>
            </w:r>
            <w:r w:rsidR="006C4995" w:rsidRPr="0051436E">
              <w:rPr>
                <w:rFonts w:ascii="Calibri Light" w:hAnsi="Calibri Light"/>
                <w:b w:val="0"/>
                <w:lang w:val="es-PE"/>
              </w:rPr>
              <w:t xml:space="preserve">su </w:t>
            </w:r>
            <w:r w:rsidR="00991A82" w:rsidRPr="0051436E">
              <w:rPr>
                <w:rFonts w:ascii="Calibri Light" w:hAnsi="Calibri Light"/>
                <w:b w:val="0"/>
                <w:lang w:val="es-PE"/>
              </w:rPr>
              <w:t xml:space="preserve">desaparición y asesinato con </w:t>
            </w:r>
            <w:r w:rsidR="00B1627D" w:rsidRPr="0051436E">
              <w:rPr>
                <w:rFonts w:ascii="Calibri Light" w:hAnsi="Calibri Light"/>
                <w:b w:val="0"/>
                <w:lang w:val="es-PE"/>
              </w:rPr>
              <w:t>dicha labor</w:t>
            </w:r>
            <w:r w:rsidR="00991A82" w:rsidRPr="0051436E">
              <w:rPr>
                <w:rFonts w:ascii="Calibri Light" w:hAnsi="Calibri Light"/>
                <w:b w:val="0"/>
                <w:lang w:val="es-PE"/>
              </w:rPr>
              <w:t xml:space="preserve">. </w:t>
            </w:r>
            <w:r w:rsidR="00CF14CE" w:rsidRPr="0051436E">
              <w:rPr>
                <w:rFonts w:ascii="Calibri Light" w:hAnsi="Calibri Light"/>
                <w:b w:val="0"/>
                <w:lang w:val="es-PE"/>
              </w:rPr>
              <w:t>A pesar de</w:t>
            </w:r>
            <w:r w:rsidR="007E6001">
              <w:rPr>
                <w:rFonts w:ascii="Calibri Light" w:hAnsi="Calibri Light"/>
                <w:b w:val="0"/>
                <w:lang w:val="es-PE"/>
              </w:rPr>
              <w:t xml:space="preserve"> ello</w:t>
            </w:r>
            <w:r w:rsidR="00991A82" w:rsidRPr="0051436E">
              <w:rPr>
                <w:rFonts w:ascii="Calibri Light" w:hAnsi="Calibri Light"/>
                <w:b w:val="0"/>
                <w:lang w:val="es-PE"/>
              </w:rPr>
              <w:t xml:space="preserve">, el Estado no cumplió con investigar </w:t>
            </w:r>
            <w:r w:rsidR="007E6001">
              <w:rPr>
                <w:rFonts w:ascii="Calibri Light" w:hAnsi="Calibri Light"/>
                <w:b w:val="0"/>
                <w:lang w:val="es-PE"/>
              </w:rPr>
              <w:t>estos indicios</w:t>
            </w:r>
            <w:r w:rsidR="00991A82" w:rsidRPr="0051436E">
              <w:rPr>
                <w:rFonts w:ascii="Calibri Light" w:hAnsi="Calibri Light"/>
                <w:b w:val="0"/>
                <w:lang w:val="es-PE"/>
              </w:rPr>
              <w:t xml:space="preserve"> de manera exhaustiva y con la debida diligencia</w:t>
            </w:r>
            <w:r w:rsidR="00B1627D" w:rsidRPr="0051436E">
              <w:rPr>
                <w:rFonts w:ascii="Calibri Light" w:hAnsi="Calibri Light"/>
                <w:b w:val="0"/>
                <w:lang w:val="es-PE"/>
              </w:rPr>
              <w:t>.</w:t>
            </w:r>
            <w:r w:rsidR="00991A82" w:rsidRPr="0051436E">
              <w:rPr>
                <w:rFonts w:ascii="Calibri Light" w:hAnsi="Calibri Light"/>
                <w:b w:val="0"/>
                <w:lang w:val="es-PE"/>
              </w:rPr>
              <w:t xml:space="preserve"> </w:t>
            </w:r>
            <w:r w:rsidR="00AA3A88">
              <w:rPr>
                <w:rFonts w:ascii="Calibri Light" w:hAnsi="Calibri Light"/>
                <w:b w:val="0"/>
                <w:lang w:val="es-PE"/>
              </w:rPr>
              <w:t xml:space="preserve">Esto, sumado a la falta de una hipótesis distinta de lo ocurrido, llevó a la CIDH a concluir que la desaparición y muerte del señor Gómez estuvo relacionada a su actividad sindical, y que también se incumplió el deber de prevención respecto del derecho a la libertad de asociación. </w:t>
            </w:r>
          </w:p>
          <w:p w14:paraId="019BD860" w14:textId="77777777" w:rsidR="00AA3A88" w:rsidRDefault="00AA3A88" w:rsidP="00CF14CE">
            <w:pPr>
              <w:jc w:val="both"/>
              <w:rPr>
                <w:rFonts w:ascii="Calibri Light" w:hAnsi="Calibri Light"/>
                <w:b w:val="0"/>
                <w:lang w:val="es-PE"/>
              </w:rPr>
            </w:pPr>
          </w:p>
          <w:p w14:paraId="58EEFEAF" w14:textId="7442411C" w:rsidR="00991A82" w:rsidRDefault="00AA3A88" w:rsidP="00CF14CE">
            <w:pPr>
              <w:jc w:val="both"/>
              <w:rPr>
                <w:rFonts w:ascii="Calibri Light" w:hAnsi="Calibri Light"/>
                <w:b w:val="0"/>
                <w:lang w:val="es-PE"/>
              </w:rPr>
            </w:pPr>
            <w:r>
              <w:rPr>
                <w:rFonts w:ascii="Calibri Light" w:hAnsi="Calibri Light"/>
                <w:b w:val="0"/>
                <w:lang w:val="es-PE"/>
              </w:rPr>
              <w:t xml:space="preserve">En base a estas consideraciones, determinó que el Estado de Guatemala había violado los artículos 4.1, 5.1, </w:t>
            </w:r>
            <w:r w:rsidR="0084740E" w:rsidRPr="0051436E">
              <w:rPr>
                <w:rFonts w:ascii="Calibri Light" w:hAnsi="Calibri Light"/>
                <w:b w:val="0"/>
                <w:lang w:val="es-PE"/>
              </w:rPr>
              <w:t>7.1</w:t>
            </w:r>
            <w:r>
              <w:rPr>
                <w:rFonts w:ascii="Calibri Light" w:hAnsi="Calibri Light"/>
                <w:b w:val="0"/>
                <w:lang w:val="es-PE"/>
              </w:rPr>
              <w:t xml:space="preserve"> y 17</w:t>
            </w:r>
            <w:r w:rsidR="0084740E" w:rsidRPr="0051436E">
              <w:rPr>
                <w:rFonts w:ascii="Calibri Light" w:hAnsi="Calibri Light"/>
                <w:b w:val="0"/>
                <w:lang w:val="es-PE"/>
              </w:rPr>
              <w:t xml:space="preserve"> de la </w:t>
            </w:r>
            <w:r w:rsidR="006770DF" w:rsidRPr="0051436E">
              <w:rPr>
                <w:rFonts w:ascii="Calibri Light" w:hAnsi="Calibri Light"/>
                <w:b w:val="0"/>
                <w:lang w:val="es-PE"/>
              </w:rPr>
              <w:t>CADH</w:t>
            </w:r>
            <w:r w:rsidR="0084740E" w:rsidRPr="0051436E">
              <w:rPr>
                <w:rFonts w:ascii="Calibri Light" w:hAnsi="Calibri Light"/>
                <w:b w:val="0"/>
                <w:lang w:val="es-PE"/>
              </w:rPr>
              <w:t>, en relación con el artículo 1.</w:t>
            </w:r>
            <w:r w:rsidR="006C4995" w:rsidRPr="0051436E">
              <w:rPr>
                <w:rFonts w:ascii="Calibri Light" w:hAnsi="Calibri Light"/>
                <w:b w:val="0"/>
                <w:lang w:val="es-PE"/>
              </w:rPr>
              <w:t>1, en perjuicio del señor Gómez</w:t>
            </w:r>
            <w:r w:rsidR="00491C25">
              <w:rPr>
                <w:rFonts w:ascii="Calibri Light" w:hAnsi="Calibri Light"/>
                <w:b w:val="0"/>
                <w:lang w:val="es-PE"/>
              </w:rPr>
              <w:t>.</w:t>
            </w:r>
          </w:p>
          <w:p w14:paraId="6A101F55" w14:textId="77777777" w:rsidR="00491C25" w:rsidRPr="0051436E" w:rsidRDefault="00491C25" w:rsidP="00CF14CE">
            <w:pPr>
              <w:jc w:val="both"/>
              <w:rPr>
                <w:rFonts w:ascii="Calibri Light" w:hAnsi="Calibri Light"/>
                <w:b w:val="0"/>
                <w:lang w:val="es-PE"/>
              </w:rPr>
            </w:pPr>
          </w:p>
          <w:p w14:paraId="15CFB5DE" w14:textId="0003AB93" w:rsidR="00CF14CE" w:rsidRPr="0051436E" w:rsidRDefault="00CF14CE" w:rsidP="00CF14CE">
            <w:pPr>
              <w:jc w:val="both"/>
              <w:rPr>
                <w:rFonts w:ascii="Calibri Light" w:hAnsi="Calibri Light"/>
                <w:lang w:val="es-PE"/>
              </w:rPr>
            </w:pPr>
            <w:r w:rsidRPr="0051436E">
              <w:rPr>
                <w:rFonts w:ascii="Calibri Light" w:hAnsi="Calibri Light"/>
                <w:lang w:val="es-PE"/>
              </w:rPr>
              <w:t xml:space="preserve">Derechos a las garantías judiciales y protección judicial (artículos 8 y 25 de la </w:t>
            </w:r>
            <w:r w:rsidR="00A61412" w:rsidRPr="0051436E">
              <w:rPr>
                <w:rFonts w:ascii="Calibri Light" w:hAnsi="Calibri Light"/>
                <w:lang w:val="es-PE"/>
              </w:rPr>
              <w:t>CADH</w:t>
            </w:r>
            <w:r w:rsidRPr="0051436E">
              <w:rPr>
                <w:rFonts w:ascii="Calibri Light" w:hAnsi="Calibri Light"/>
                <w:lang w:val="es-PE"/>
              </w:rPr>
              <w:t>)</w:t>
            </w:r>
          </w:p>
          <w:p w14:paraId="146C63DB" w14:textId="77777777" w:rsidR="00CF14CE" w:rsidRPr="0051436E" w:rsidRDefault="00CF14CE" w:rsidP="00CF14CE">
            <w:pPr>
              <w:jc w:val="both"/>
              <w:rPr>
                <w:rFonts w:ascii="Calibri Light" w:hAnsi="Calibri Light"/>
                <w:lang w:val="es-PE"/>
              </w:rPr>
            </w:pPr>
          </w:p>
          <w:p w14:paraId="57060482" w14:textId="54C435D7" w:rsidR="00CF14CE" w:rsidRPr="0051436E" w:rsidRDefault="008C058C" w:rsidP="00200D9F">
            <w:pPr>
              <w:jc w:val="both"/>
              <w:rPr>
                <w:rFonts w:ascii="Calibri Light" w:hAnsi="Calibri Light"/>
                <w:b w:val="0"/>
                <w:lang w:val="es-PE"/>
              </w:rPr>
            </w:pPr>
            <w:r>
              <w:rPr>
                <w:rFonts w:ascii="Calibri Light" w:hAnsi="Calibri Light"/>
                <w:b w:val="0"/>
                <w:lang w:val="es-PE"/>
              </w:rPr>
              <w:t>En</w:t>
            </w:r>
            <w:r w:rsidR="00A61412" w:rsidRPr="0051436E">
              <w:rPr>
                <w:rFonts w:ascii="Calibri Light" w:hAnsi="Calibri Light"/>
                <w:b w:val="0"/>
                <w:lang w:val="es-PE"/>
              </w:rPr>
              <w:t xml:space="preserve"> el marco del respeto y garantía de los derechos consagrados en el artículo 8.1 y 25.1  de la CADH, </w:t>
            </w:r>
            <w:r w:rsidR="0024772F" w:rsidRPr="0051436E">
              <w:rPr>
                <w:rFonts w:ascii="Calibri Light" w:hAnsi="Calibri Light"/>
                <w:b w:val="0"/>
                <w:lang w:val="es-PE"/>
              </w:rPr>
              <w:t>los Estados están obligados a suministra</w:t>
            </w:r>
            <w:r w:rsidR="00A61412" w:rsidRPr="0051436E">
              <w:rPr>
                <w:rFonts w:ascii="Calibri Light" w:hAnsi="Calibri Light"/>
                <w:b w:val="0"/>
                <w:lang w:val="es-PE"/>
              </w:rPr>
              <w:t>r</w:t>
            </w:r>
            <w:r w:rsidR="0024772F" w:rsidRPr="0051436E">
              <w:rPr>
                <w:rFonts w:ascii="Calibri Light" w:hAnsi="Calibri Light"/>
                <w:b w:val="0"/>
                <w:lang w:val="es-PE"/>
              </w:rPr>
              <w:t xml:space="preserve"> recursos judiciales efectivos a las víctimas de violaciones de los derechos humanos, garantizando una investigación seria, imparcial y efectiva, en tiempo razonable, con el fin de determinar la verdad y perseguir a los responsables. Así pues, </w:t>
            </w:r>
            <w:r w:rsidR="0024772F" w:rsidRPr="0051436E">
              <w:rPr>
                <w:rFonts w:ascii="Calibri Light" w:hAnsi="Calibri Light"/>
                <w:b w:val="0"/>
                <w:lang w:val="es-PE"/>
              </w:rPr>
              <w:lastRenderedPageBreak/>
              <w:t xml:space="preserve">en este punto, la CIDH analizó si el modo en que se desarrolló la investigación por la muerte del señor Gómez constituyó una violación </w:t>
            </w:r>
            <w:r>
              <w:rPr>
                <w:rFonts w:ascii="Calibri Light" w:hAnsi="Calibri Light"/>
                <w:b w:val="0"/>
                <w:lang w:val="es-PE"/>
              </w:rPr>
              <w:t>de</w:t>
            </w:r>
            <w:r w:rsidR="0024772F" w:rsidRPr="0051436E">
              <w:rPr>
                <w:rFonts w:ascii="Calibri Light" w:hAnsi="Calibri Light"/>
                <w:b w:val="0"/>
                <w:lang w:val="es-PE"/>
              </w:rPr>
              <w:t xml:space="preserve">l deber de </w:t>
            </w:r>
            <w:r>
              <w:rPr>
                <w:rFonts w:ascii="Calibri Light" w:hAnsi="Calibri Light"/>
                <w:b w:val="0"/>
                <w:lang w:val="es-PE"/>
              </w:rPr>
              <w:t>investigar</w:t>
            </w:r>
            <w:r w:rsidR="0024772F" w:rsidRPr="0051436E">
              <w:rPr>
                <w:rFonts w:ascii="Calibri Light" w:hAnsi="Calibri Light"/>
                <w:b w:val="0"/>
                <w:lang w:val="es-PE"/>
              </w:rPr>
              <w:t xml:space="preserve"> </w:t>
            </w:r>
            <w:r>
              <w:rPr>
                <w:rFonts w:ascii="Calibri Light" w:hAnsi="Calibri Light"/>
                <w:b w:val="0"/>
                <w:lang w:val="es-PE"/>
              </w:rPr>
              <w:t xml:space="preserve">respecto </w:t>
            </w:r>
            <w:r w:rsidR="0024772F" w:rsidRPr="0051436E">
              <w:rPr>
                <w:rFonts w:ascii="Calibri Light" w:hAnsi="Calibri Light"/>
                <w:b w:val="0"/>
                <w:lang w:val="es-PE"/>
              </w:rPr>
              <w:t>de los derechos sustantivos a</w:t>
            </w:r>
            <w:r>
              <w:rPr>
                <w:rFonts w:ascii="Calibri Light" w:hAnsi="Calibri Light"/>
                <w:b w:val="0"/>
                <w:lang w:val="es-PE"/>
              </w:rPr>
              <w:t>nalizados anteriormente</w:t>
            </w:r>
            <w:r w:rsidR="009E0269" w:rsidRPr="0051436E">
              <w:rPr>
                <w:rFonts w:ascii="Calibri Light" w:hAnsi="Calibri Light"/>
                <w:b w:val="0"/>
                <w:lang w:val="es-PE"/>
              </w:rPr>
              <w:t xml:space="preserve"> y de las obligaciones derivadas en los derechos a las garantías judiciales y protección judicial. Para ello, analizó </w:t>
            </w:r>
            <w:r w:rsidR="005A5547" w:rsidRPr="0051436E">
              <w:rPr>
                <w:rFonts w:ascii="Calibri Light" w:hAnsi="Calibri Light"/>
                <w:b w:val="0"/>
                <w:lang w:val="es-PE"/>
              </w:rPr>
              <w:t xml:space="preserve">tres </w:t>
            </w:r>
            <w:r w:rsidR="009E0269" w:rsidRPr="0051436E">
              <w:rPr>
                <w:rFonts w:ascii="Calibri Light" w:hAnsi="Calibri Light"/>
                <w:b w:val="0"/>
                <w:lang w:val="es-PE"/>
              </w:rPr>
              <w:t xml:space="preserve">aspectos: </w:t>
            </w:r>
            <w:r w:rsidR="00CF14CE" w:rsidRPr="0051436E">
              <w:rPr>
                <w:rFonts w:ascii="Calibri Light" w:hAnsi="Calibri Light"/>
                <w:b w:val="0"/>
                <w:lang w:val="es-PE"/>
              </w:rPr>
              <w:t>i)</w:t>
            </w:r>
            <w:r w:rsidR="005A5547" w:rsidRPr="0051436E">
              <w:rPr>
                <w:rFonts w:ascii="Calibri Light" w:hAnsi="Calibri Light"/>
                <w:b w:val="0"/>
                <w:lang w:val="es-PE"/>
              </w:rPr>
              <w:t xml:space="preserve"> las</w:t>
            </w:r>
            <w:r w:rsidR="00CF14CE" w:rsidRPr="0051436E">
              <w:rPr>
                <w:rFonts w:ascii="Calibri Light" w:hAnsi="Calibri Light"/>
                <w:b w:val="0"/>
                <w:lang w:val="es-PE"/>
              </w:rPr>
              <w:t xml:space="preserve"> irregularidades en la investigación a partir del hallazgo del cuerpo de</w:t>
            </w:r>
            <w:r w:rsidR="005A5547" w:rsidRPr="0051436E">
              <w:rPr>
                <w:rFonts w:ascii="Calibri Light" w:hAnsi="Calibri Light"/>
                <w:b w:val="0"/>
                <w:lang w:val="es-PE"/>
              </w:rPr>
              <w:t xml:space="preserve">l señor </w:t>
            </w:r>
            <w:r w:rsidR="00CF14CE" w:rsidRPr="0051436E">
              <w:rPr>
                <w:rFonts w:ascii="Calibri Light" w:hAnsi="Calibri Light"/>
                <w:b w:val="0"/>
                <w:lang w:val="es-PE"/>
              </w:rPr>
              <w:t xml:space="preserve">Gómez y posteriores actuaciones de los funcionarios estatales; ii) </w:t>
            </w:r>
            <w:r w:rsidR="005A5547" w:rsidRPr="0051436E">
              <w:rPr>
                <w:rFonts w:ascii="Calibri Light" w:hAnsi="Calibri Light"/>
                <w:b w:val="0"/>
                <w:lang w:val="es-PE"/>
              </w:rPr>
              <w:t xml:space="preserve">la </w:t>
            </w:r>
            <w:r w:rsidR="00CF14CE" w:rsidRPr="0051436E">
              <w:rPr>
                <w:rFonts w:ascii="Calibri Light" w:hAnsi="Calibri Light"/>
                <w:b w:val="0"/>
                <w:lang w:val="es-PE"/>
              </w:rPr>
              <w:t xml:space="preserve">falta de debida diligencia en las etapas posteriores de la investigación; y iii) </w:t>
            </w:r>
            <w:r w:rsidR="005A5547" w:rsidRPr="0051436E">
              <w:rPr>
                <w:rFonts w:ascii="Calibri Light" w:hAnsi="Calibri Light"/>
                <w:b w:val="0"/>
                <w:lang w:val="es-PE"/>
              </w:rPr>
              <w:t xml:space="preserve">el </w:t>
            </w:r>
            <w:r w:rsidR="00CF14CE" w:rsidRPr="0051436E">
              <w:rPr>
                <w:rFonts w:ascii="Calibri Light" w:hAnsi="Calibri Light"/>
                <w:b w:val="0"/>
                <w:lang w:val="es-PE"/>
              </w:rPr>
              <w:t>plazo razonable.</w:t>
            </w:r>
          </w:p>
          <w:p w14:paraId="2063FAB2" w14:textId="77777777" w:rsidR="00CF14CE" w:rsidRPr="0051436E" w:rsidRDefault="00CF14CE">
            <w:pPr>
              <w:jc w:val="both"/>
              <w:rPr>
                <w:rFonts w:ascii="Calibri Light" w:hAnsi="Calibri Light"/>
                <w:b w:val="0"/>
                <w:lang w:val="es-PE"/>
              </w:rPr>
            </w:pPr>
          </w:p>
          <w:p w14:paraId="12C0C2FE" w14:textId="33C57AA6" w:rsidR="00DB1786" w:rsidRPr="00443321" w:rsidRDefault="009E0269" w:rsidP="001C39A8">
            <w:pPr>
              <w:jc w:val="both"/>
              <w:rPr>
                <w:rFonts w:ascii="Calibri Light" w:hAnsi="Calibri Light"/>
                <w:b w:val="0"/>
                <w:lang w:val="es-PE"/>
              </w:rPr>
            </w:pPr>
            <w:r w:rsidRPr="0051436E">
              <w:rPr>
                <w:rFonts w:ascii="Calibri Light" w:hAnsi="Calibri Light"/>
                <w:b w:val="0"/>
                <w:lang w:val="es-PE"/>
              </w:rPr>
              <w:t xml:space="preserve">Sobre </w:t>
            </w:r>
            <w:r w:rsidR="00DD6143" w:rsidRPr="0051436E">
              <w:rPr>
                <w:rFonts w:ascii="Calibri Light" w:hAnsi="Calibri Light"/>
                <w:b w:val="0"/>
                <w:lang w:val="es-PE"/>
              </w:rPr>
              <w:t>las irregularidades en la investigación a partir del hallazgo del cuerpo del señor Gómez</w:t>
            </w:r>
            <w:r w:rsidR="00F47FA9" w:rsidRPr="0051436E">
              <w:rPr>
                <w:rFonts w:ascii="Calibri Light" w:hAnsi="Calibri Light"/>
                <w:b w:val="0"/>
                <w:lang w:val="es-PE"/>
              </w:rPr>
              <w:t xml:space="preserve">, </w:t>
            </w:r>
            <w:r w:rsidRPr="0051436E">
              <w:rPr>
                <w:rFonts w:ascii="Calibri Light" w:hAnsi="Calibri Light"/>
                <w:b w:val="0"/>
                <w:lang w:val="es-PE"/>
              </w:rPr>
              <w:t xml:space="preserve">la CIDH </w:t>
            </w:r>
            <w:r w:rsidR="00DD6143">
              <w:rPr>
                <w:rFonts w:ascii="Calibri Light" w:hAnsi="Calibri Light"/>
                <w:b w:val="0"/>
                <w:lang w:val="es-PE"/>
              </w:rPr>
              <w:t>manifestó</w:t>
            </w:r>
            <w:r w:rsidRPr="0051436E">
              <w:rPr>
                <w:rFonts w:ascii="Calibri Light" w:hAnsi="Calibri Light"/>
                <w:b w:val="0"/>
                <w:lang w:val="es-PE"/>
              </w:rPr>
              <w:t xml:space="preserve"> que, en el marco de la obligación de investigar una muerte, la eficiente determinación de los hechos debe mostrarse desde las primeras diligencias de investigación. </w:t>
            </w:r>
            <w:r w:rsidR="008C7266" w:rsidRPr="0051436E">
              <w:rPr>
                <w:rFonts w:ascii="Calibri Light" w:hAnsi="Calibri Light"/>
                <w:b w:val="0"/>
                <w:lang w:val="es-PE"/>
              </w:rPr>
              <w:t>En el caso</w:t>
            </w:r>
            <w:r w:rsidR="0051436E">
              <w:rPr>
                <w:rFonts w:ascii="Calibri Light" w:hAnsi="Calibri Light"/>
                <w:b w:val="0"/>
                <w:lang w:val="es-PE"/>
              </w:rPr>
              <w:t xml:space="preserve"> concreto</w:t>
            </w:r>
            <w:r w:rsidR="008C7266" w:rsidRPr="0051436E">
              <w:rPr>
                <w:rFonts w:ascii="Calibri Light" w:hAnsi="Calibri Light"/>
                <w:b w:val="0"/>
                <w:lang w:val="es-PE"/>
              </w:rPr>
              <w:t xml:space="preserve">, </w:t>
            </w:r>
            <w:r w:rsidR="00DD6143">
              <w:rPr>
                <w:rFonts w:ascii="Calibri Light" w:hAnsi="Calibri Light"/>
                <w:b w:val="0"/>
                <w:lang w:val="es-PE"/>
              </w:rPr>
              <w:t xml:space="preserve">a pesar de las denuncias, </w:t>
            </w:r>
            <w:r w:rsidR="00DB1786" w:rsidRPr="0051436E">
              <w:rPr>
                <w:rFonts w:ascii="Calibri Light" w:hAnsi="Calibri Light"/>
                <w:b w:val="0"/>
                <w:lang w:val="es-PE"/>
              </w:rPr>
              <w:t>la investigación penal inici</w:t>
            </w:r>
            <w:r w:rsidR="005A5547" w:rsidRPr="0051436E">
              <w:rPr>
                <w:rFonts w:ascii="Calibri Light" w:hAnsi="Calibri Light"/>
                <w:b w:val="0"/>
                <w:lang w:val="es-PE"/>
              </w:rPr>
              <w:t>ó</w:t>
            </w:r>
            <w:r w:rsidR="00DB1786" w:rsidRPr="0051436E">
              <w:rPr>
                <w:rFonts w:ascii="Calibri Light" w:hAnsi="Calibri Light"/>
                <w:b w:val="0"/>
                <w:lang w:val="es-PE"/>
              </w:rPr>
              <w:t xml:space="preserve"> </w:t>
            </w:r>
            <w:r w:rsidR="005A5547" w:rsidRPr="0051436E">
              <w:rPr>
                <w:rFonts w:ascii="Calibri Light" w:hAnsi="Calibri Light"/>
                <w:b w:val="0"/>
                <w:lang w:val="es-PE"/>
              </w:rPr>
              <w:t xml:space="preserve">recién </w:t>
            </w:r>
            <w:r w:rsidR="00DB1786" w:rsidRPr="0051436E">
              <w:rPr>
                <w:rFonts w:ascii="Calibri Light" w:hAnsi="Calibri Light"/>
                <w:b w:val="0"/>
                <w:lang w:val="es-PE"/>
              </w:rPr>
              <w:t>a partir del hallazgo del cuerpo</w:t>
            </w:r>
            <w:r w:rsidR="00DD6143">
              <w:rPr>
                <w:rFonts w:ascii="Calibri Light" w:hAnsi="Calibri Light"/>
                <w:b w:val="0"/>
                <w:lang w:val="es-PE"/>
              </w:rPr>
              <w:t>. Esta estuvo marcada</w:t>
            </w:r>
            <w:r w:rsidR="001C39A8" w:rsidRPr="0051436E">
              <w:rPr>
                <w:rFonts w:ascii="Calibri Light" w:hAnsi="Calibri Light"/>
                <w:b w:val="0"/>
                <w:lang w:val="es-PE"/>
              </w:rPr>
              <w:t xml:space="preserve"> por omisiones tales como la ausencia de información sobre</w:t>
            </w:r>
            <w:r w:rsidR="00DD6143">
              <w:rPr>
                <w:rFonts w:ascii="Calibri Light" w:hAnsi="Calibri Light"/>
                <w:b w:val="0"/>
                <w:lang w:val="es-PE"/>
              </w:rPr>
              <w:t>:</w:t>
            </w:r>
            <w:r w:rsidR="001C39A8" w:rsidRPr="0051436E">
              <w:rPr>
                <w:rFonts w:ascii="Calibri Light" w:hAnsi="Calibri Light"/>
                <w:b w:val="0"/>
                <w:lang w:val="es-PE"/>
              </w:rPr>
              <w:t xml:space="preserve"> </w:t>
            </w:r>
            <w:r w:rsidR="00DB1786" w:rsidRPr="0051436E">
              <w:rPr>
                <w:rFonts w:ascii="Calibri Light" w:hAnsi="Calibri Light"/>
                <w:b w:val="0"/>
                <w:lang w:val="es-PE"/>
              </w:rPr>
              <w:t xml:space="preserve">las circunstancias </w:t>
            </w:r>
            <w:r w:rsidR="007B4751" w:rsidRPr="0051436E">
              <w:rPr>
                <w:rFonts w:ascii="Calibri Light" w:hAnsi="Calibri Light"/>
                <w:b w:val="0"/>
                <w:lang w:val="es-PE"/>
              </w:rPr>
              <w:t>del hallazgo</w:t>
            </w:r>
            <w:r w:rsidR="001C39A8" w:rsidRPr="00713C22">
              <w:rPr>
                <w:rFonts w:ascii="Calibri Light" w:hAnsi="Calibri Light"/>
                <w:b w:val="0"/>
                <w:lang w:val="es-PE"/>
              </w:rPr>
              <w:t xml:space="preserve">, </w:t>
            </w:r>
            <w:r w:rsidR="00DB1786" w:rsidRPr="00713C22">
              <w:rPr>
                <w:rFonts w:ascii="Calibri Light" w:hAnsi="Calibri Light"/>
                <w:b w:val="0"/>
                <w:lang w:val="es-PE"/>
              </w:rPr>
              <w:t>las medidas que se tomaron para el manejo de la escena del crimen</w:t>
            </w:r>
            <w:r w:rsidR="00F47FA9" w:rsidRPr="00713C22">
              <w:rPr>
                <w:rFonts w:ascii="Calibri Light" w:hAnsi="Calibri Light"/>
                <w:b w:val="0"/>
                <w:lang w:val="es-PE"/>
              </w:rPr>
              <w:t>,</w:t>
            </w:r>
            <w:r w:rsidR="00DD6143">
              <w:rPr>
                <w:rFonts w:ascii="Calibri Light" w:hAnsi="Calibri Light"/>
                <w:b w:val="0"/>
                <w:lang w:val="es-PE"/>
              </w:rPr>
              <w:t xml:space="preserve"> la</w:t>
            </w:r>
            <w:r w:rsidR="00F47FA9" w:rsidRPr="00443321">
              <w:rPr>
                <w:rFonts w:ascii="Calibri Light" w:hAnsi="Calibri Light"/>
                <w:b w:val="0"/>
                <w:lang w:val="es-PE"/>
              </w:rPr>
              <w:t xml:space="preserve"> </w:t>
            </w:r>
            <w:r w:rsidR="00DB1786" w:rsidRPr="00443321">
              <w:rPr>
                <w:rFonts w:ascii="Calibri Light" w:hAnsi="Calibri Light"/>
                <w:b w:val="0"/>
                <w:lang w:val="es-PE"/>
              </w:rPr>
              <w:t>información sobre la necropsia realizada</w:t>
            </w:r>
            <w:r w:rsidR="007B4751" w:rsidRPr="00040417">
              <w:rPr>
                <w:rFonts w:ascii="Calibri Light" w:hAnsi="Calibri Light"/>
                <w:b w:val="0"/>
                <w:lang w:val="es-PE"/>
              </w:rPr>
              <w:t>, entre otras</w:t>
            </w:r>
            <w:r w:rsidR="007B4751" w:rsidRPr="00713C22">
              <w:rPr>
                <w:rFonts w:ascii="Calibri Light" w:hAnsi="Calibri Light"/>
                <w:b w:val="0"/>
                <w:lang w:val="es-PE"/>
              </w:rPr>
              <w:t>.</w:t>
            </w:r>
            <w:r w:rsidR="00DB1786" w:rsidRPr="00713C22">
              <w:rPr>
                <w:rFonts w:ascii="Calibri Light" w:hAnsi="Calibri Light"/>
                <w:b w:val="0"/>
                <w:lang w:val="es-PE"/>
              </w:rPr>
              <w:t xml:space="preserve"> </w:t>
            </w:r>
            <w:r w:rsidR="001C39A8" w:rsidRPr="00713C22">
              <w:rPr>
                <w:rFonts w:ascii="Calibri Light" w:hAnsi="Calibri Light"/>
                <w:b w:val="0"/>
                <w:lang w:val="es-PE"/>
              </w:rPr>
              <w:t xml:space="preserve">Esta situación </w:t>
            </w:r>
            <w:r w:rsidR="00184E27" w:rsidRPr="00713C22">
              <w:rPr>
                <w:rFonts w:ascii="Calibri Light" w:hAnsi="Calibri Light"/>
                <w:b w:val="0"/>
                <w:lang w:val="es-PE"/>
              </w:rPr>
              <w:t>generó</w:t>
            </w:r>
            <w:r w:rsidR="001C39A8" w:rsidRPr="00713C22">
              <w:rPr>
                <w:rFonts w:ascii="Calibri Light" w:hAnsi="Calibri Light"/>
                <w:b w:val="0"/>
                <w:lang w:val="es-PE"/>
              </w:rPr>
              <w:t xml:space="preserve"> una omisión que, a consideración de la CIDH</w:t>
            </w:r>
            <w:r w:rsidR="00DD6143">
              <w:rPr>
                <w:rFonts w:ascii="Calibri Light" w:hAnsi="Calibri Light"/>
                <w:b w:val="0"/>
                <w:lang w:val="es-PE"/>
              </w:rPr>
              <w:t>,</w:t>
            </w:r>
            <w:r w:rsidR="001C39A8" w:rsidRPr="00713C22">
              <w:rPr>
                <w:rFonts w:ascii="Calibri Light" w:hAnsi="Calibri Light"/>
                <w:b w:val="0"/>
                <w:lang w:val="es-PE"/>
              </w:rPr>
              <w:t xml:space="preserve"> constituyó la fuente de responsabilidad internacional del Estado y una violación del derecho a las garantías y protección judiciales</w:t>
            </w:r>
            <w:r w:rsidR="00BD4947" w:rsidRPr="00443321">
              <w:rPr>
                <w:rFonts w:ascii="Calibri Light" w:hAnsi="Calibri Light"/>
                <w:b w:val="0"/>
                <w:lang w:val="es-PE"/>
              </w:rPr>
              <w:t>.</w:t>
            </w:r>
          </w:p>
          <w:p w14:paraId="0B581EC4" w14:textId="77777777" w:rsidR="001C39A8" w:rsidRPr="00443321" w:rsidRDefault="001C39A8">
            <w:pPr>
              <w:jc w:val="both"/>
              <w:rPr>
                <w:rFonts w:ascii="Calibri Light" w:hAnsi="Calibri Light"/>
                <w:b w:val="0"/>
                <w:lang w:val="es-PE"/>
              </w:rPr>
            </w:pPr>
          </w:p>
          <w:p w14:paraId="1D266749" w14:textId="1B3B5E68" w:rsidR="00F2162D" w:rsidRPr="0051436E" w:rsidRDefault="00BD4947" w:rsidP="00200D9F">
            <w:pPr>
              <w:pStyle w:val="Default"/>
              <w:jc w:val="both"/>
              <w:rPr>
                <w:rFonts w:ascii="Calibri Light" w:eastAsia="Calibri" w:hAnsi="Calibri Light" w:cs="Times New Roman"/>
                <w:b w:val="0"/>
                <w:color w:val="auto"/>
                <w:sz w:val="22"/>
                <w:szCs w:val="22"/>
                <w:lang w:val="es-MX"/>
              </w:rPr>
            </w:pPr>
            <w:r w:rsidRPr="00040417">
              <w:rPr>
                <w:rFonts w:ascii="Calibri Light" w:eastAsia="Calibri" w:hAnsi="Calibri Light" w:cs="Times New Roman"/>
                <w:b w:val="0"/>
                <w:color w:val="auto"/>
                <w:sz w:val="22"/>
                <w:szCs w:val="22"/>
                <w:lang w:val="es-MX"/>
              </w:rPr>
              <w:t>Respecto</w:t>
            </w:r>
            <w:r w:rsidRPr="00713C22">
              <w:rPr>
                <w:rFonts w:ascii="Calibri Light" w:eastAsia="Calibri" w:hAnsi="Calibri Light" w:cs="Times New Roman"/>
                <w:b w:val="0"/>
                <w:color w:val="auto"/>
                <w:sz w:val="22"/>
                <w:szCs w:val="22"/>
                <w:lang w:val="es-MX"/>
              </w:rPr>
              <w:t xml:space="preserve"> a la falta de debida diligencia en las etapas posteriores de la investigación, l</w:t>
            </w:r>
            <w:r w:rsidR="002A6E03" w:rsidRPr="00713C22">
              <w:rPr>
                <w:rFonts w:ascii="Calibri Light" w:eastAsia="Calibri" w:hAnsi="Calibri Light" w:cs="Times New Roman"/>
                <w:b w:val="0"/>
                <w:color w:val="auto"/>
                <w:sz w:val="22"/>
                <w:szCs w:val="22"/>
                <w:lang w:val="es-MX"/>
              </w:rPr>
              <w:t xml:space="preserve">a </w:t>
            </w:r>
            <w:r w:rsidR="00F2162D" w:rsidRPr="00713C22">
              <w:rPr>
                <w:rFonts w:ascii="Calibri Light" w:eastAsia="Calibri" w:hAnsi="Calibri Light" w:cs="Times New Roman"/>
                <w:b w:val="0"/>
                <w:color w:val="auto"/>
                <w:sz w:val="22"/>
                <w:szCs w:val="22"/>
                <w:lang w:val="es-MX"/>
              </w:rPr>
              <w:t xml:space="preserve">CIDH </w:t>
            </w:r>
            <w:r w:rsidR="00DD6143">
              <w:rPr>
                <w:rFonts w:ascii="Calibri Light" w:eastAsia="Calibri" w:hAnsi="Calibri Light" w:cs="Times New Roman"/>
                <w:b w:val="0"/>
                <w:color w:val="auto"/>
                <w:sz w:val="22"/>
                <w:szCs w:val="22"/>
                <w:lang w:val="es-MX"/>
              </w:rPr>
              <w:t>recordó que</w:t>
            </w:r>
            <w:r w:rsidR="001C39A8" w:rsidRPr="00713C22">
              <w:rPr>
                <w:rFonts w:ascii="Calibri Light" w:eastAsia="Calibri" w:hAnsi="Calibri Light" w:cs="Times New Roman"/>
                <w:b w:val="0"/>
                <w:color w:val="auto"/>
                <w:sz w:val="22"/>
                <w:szCs w:val="22"/>
                <w:lang w:val="es-MX"/>
              </w:rPr>
              <w:t xml:space="preserve"> </w:t>
            </w:r>
            <w:r w:rsidR="00F2162D" w:rsidRPr="00713C22">
              <w:rPr>
                <w:rFonts w:ascii="Calibri Light" w:eastAsia="Calibri" w:hAnsi="Calibri Light" w:cs="Times New Roman"/>
                <w:b w:val="0"/>
                <w:color w:val="auto"/>
                <w:sz w:val="22"/>
                <w:szCs w:val="22"/>
                <w:lang w:val="es-MX"/>
              </w:rPr>
              <w:t>en los casos de investigaciones de violaciones de los derechos humanos, se debe</w:t>
            </w:r>
            <w:r w:rsidR="00184E27" w:rsidRPr="00713C22">
              <w:rPr>
                <w:rFonts w:ascii="Calibri Light" w:eastAsia="Calibri" w:hAnsi="Calibri Light" w:cs="Times New Roman"/>
                <w:b w:val="0"/>
                <w:color w:val="auto"/>
                <w:sz w:val="22"/>
                <w:szCs w:val="22"/>
                <w:lang w:val="es-MX"/>
              </w:rPr>
              <w:t>n</w:t>
            </w:r>
            <w:r w:rsidR="00F2162D" w:rsidRPr="00443321">
              <w:rPr>
                <w:rFonts w:ascii="Calibri Light" w:eastAsia="Calibri" w:hAnsi="Calibri Light" w:cs="Times New Roman"/>
                <w:b w:val="0"/>
                <w:color w:val="auto"/>
                <w:sz w:val="22"/>
                <w:szCs w:val="22"/>
                <w:lang w:val="es-MX"/>
              </w:rPr>
              <w:t xml:space="preserve"> evitar omisiones en la recaudación de </w:t>
            </w:r>
            <w:r w:rsidR="002A6E03" w:rsidRPr="00443321">
              <w:rPr>
                <w:rFonts w:ascii="Calibri Light" w:eastAsia="Calibri" w:hAnsi="Calibri Light" w:cs="Times New Roman"/>
                <w:b w:val="0"/>
                <w:color w:val="auto"/>
                <w:sz w:val="22"/>
                <w:szCs w:val="22"/>
                <w:lang w:val="es-MX"/>
              </w:rPr>
              <w:t xml:space="preserve">prueba y </w:t>
            </w:r>
            <w:r w:rsidR="00F2162D" w:rsidRPr="00040417">
              <w:rPr>
                <w:rFonts w:ascii="Calibri Light" w:eastAsia="Calibri" w:hAnsi="Calibri Light" w:cs="Times New Roman"/>
                <w:b w:val="0"/>
                <w:color w:val="auto"/>
                <w:sz w:val="22"/>
                <w:szCs w:val="22"/>
                <w:lang w:val="es-MX"/>
              </w:rPr>
              <w:t xml:space="preserve">el </w:t>
            </w:r>
            <w:r w:rsidR="002A6E03" w:rsidRPr="00040417">
              <w:rPr>
                <w:rFonts w:ascii="Calibri Light" w:eastAsia="Calibri" w:hAnsi="Calibri Light" w:cs="Times New Roman"/>
                <w:b w:val="0"/>
                <w:color w:val="auto"/>
                <w:sz w:val="22"/>
                <w:szCs w:val="22"/>
                <w:lang w:val="es-MX"/>
              </w:rPr>
              <w:t xml:space="preserve">Estado </w:t>
            </w:r>
            <w:r w:rsidR="00184E27" w:rsidRPr="00040417">
              <w:rPr>
                <w:rFonts w:ascii="Calibri Light" w:eastAsia="Calibri" w:hAnsi="Calibri Light" w:cs="Times New Roman"/>
                <w:b w:val="0"/>
                <w:color w:val="auto"/>
                <w:sz w:val="22"/>
                <w:szCs w:val="22"/>
                <w:lang w:val="es-MX"/>
              </w:rPr>
              <w:t>debe</w:t>
            </w:r>
            <w:r w:rsidR="002A6E03" w:rsidRPr="00040417">
              <w:rPr>
                <w:rFonts w:ascii="Calibri Light" w:eastAsia="Calibri" w:hAnsi="Calibri Light" w:cs="Times New Roman"/>
                <w:b w:val="0"/>
                <w:color w:val="auto"/>
                <w:sz w:val="22"/>
                <w:szCs w:val="22"/>
                <w:lang w:val="es-MX"/>
              </w:rPr>
              <w:t xml:space="preserve"> demostrar que ha realizado una investigación inmediata, exhaustiva, seria e imparcial</w:t>
            </w:r>
            <w:r w:rsidR="00F2162D" w:rsidRPr="00040417">
              <w:rPr>
                <w:rFonts w:ascii="Calibri Light" w:eastAsia="Calibri" w:hAnsi="Calibri Light" w:cs="Times New Roman"/>
                <w:b w:val="0"/>
                <w:color w:val="auto"/>
                <w:sz w:val="22"/>
                <w:szCs w:val="22"/>
                <w:lang w:val="es-MX"/>
              </w:rPr>
              <w:t>.</w:t>
            </w:r>
            <w:r w:rsidR="00C67265" w:rsidRPr="00040417">
              <w:rPr>
                <w:rFonts w:ascii="Calibri Light" w:eastAsia="Calibri" w:hAnsi="Calibri Light" w:cs="Times New Roman"/>
                <w:b w:val="0"/>
                <w:color w:val="auto"/>
                <w:sz w:val="22"/>
                <w:szCs w:val="22"/>
                <w:lang w:val="es-MX"/>
              </w:rPr>
              <w:t xml:space="preserve"> En el </w:t>
            </w:r>
            <w:r w:rsidR="005A5547" w:rsidRPr="00CA6845">
              <w:rPr>
                <w:rFonts w:ascii="Calibri Light" w:eastAsia="Calibri" w:hAnsi="Calibri Light" w:cs="Times New Roman"/>
                <w:b w:val="0"/>
                <w:color w:val="auto"/>
                <w:sz w:val="22"/>
                <w:szCs w:val="22"/>
                <w:lang w:val="es-MX"/>
              </w:rPr>
              <w:t>caso concreto</w:t>
            </w:r>
            <w:r w:rsidR="00C67265" w:rsidRPr="00CA6845">
              <w:rPr>
                <w:rFonts w:ascii="Calibri Light" w:eastAsia="Calibri" w:hAnsi="Calibri Light" w:cs="Times New Roman"/>
                <w:b w:val="0"/>
                <w:color w:val="auto"/>
                <w:sz w:val="22"/>
                <w:szCs w:val="22"/>
                <w:lang w:val="es-MX"/>
              </w:rPr>
              <w:t xml:space="preserve">, las únicas diligencias realizadas en los primeros meses de investigación fueron las citaciones </w:t>
            </w:r>
            <w:r w:rsidR="005A5547" w:rsidRPr="0051436E">
              <w:rPr>
                <w:rFonts w:ascii="Calibri Light" w:eastAsia="Calibri" w:hAnsi="Calibri Light" w:cs="Times New Roman"/>
                <w:b w:val="0"/>
                <w:color w:val="auto"/>
                <w:sz w:val="22"/>
                <w:szCs w:val="22"/>
                <w:lang w:val="es-MX"/>
              </w:rPr>
              <w:t>al señor</w:t>
            </w:r>
            <w:r w:rsidR="00C67265" w:rsidRPr="0051436E">
              <w:rPr>
                <w:rFonts w:ascii="Calibri Light" w:eastAsia="Calibri" w:hAnsi="Calibri Light" w:cs="Times New Roman"/>
                <w:b w:val="0"/>
                <w:color w:val="auto"/>
                <w:sz w:val="22"/>
                <w:szCs w:val="22"/>
                <w:lang w:val="es-MX"/>
              </w:rPr>
              <w:t xml:space="preserve"> Cardona, quien fue la última persona que vio con vida al señor Gómez y a los dos propietarios de la maquila, frente a las cuales el Estado no adoptó ninguna medida para hacer comparecerlos efectivamente. </w:t>
            </w:r>
          </w:p>
          <w:p w14:paraId="1CC4AD47" w14:textId="77777777" w:rsidR="00F2162D" w:rsidRPr="00713C22" w:rsidRDefault="00F2162D" w:rsidP="00200D9F">
            <w:pPr>
              <w:pStyle w:val="Default"/>
              <w:jc w:val="both"/>
              <w:rPr>
                <w:rFonts w:ascii="Calibri Light" w:eastAsia="Calibri" w:hAnsi="Calibri Light" w:cs="Times New Roman"/>
                <w:b w:val="0"/>
                <w:color w:val="auto"/>
                <w:sz w:val="22"/>
                <w:szCs w:val="22"/>
                <w:lang w:val="es-MX"/>
              </w:rPr>
            </w:pPr>
          </w:p>
          <w:p w14:paraId="79C5B2D7" w14:textId="5738390F" w:rsidR="006770DF" w:rsidRPr="00713C22" w:rsidRDefault="00DD6143" w:rsidP="00AE4621">
            <w:pPr>
              <w:pStyle w:val="Default"/>
              <w:jc w:val="both"/>
              <w:rPr>
                <w:rFonts w:ascii="Calibri Light" w:eastAsia="Calibri" w:hAnsi="Calibri Light" w:cs="Times New Roman"/>
                <w:b w:val="0"/>
                <w:color w:val="auto"/>
                <w:sz w:val="22"/>
                <w:szCs w:val="22"/>
              </w:rPr>
            </w:pPr>
            <w:r>
              <w:rPr>
                <w:rFonts w:ascii="Calibri Light" w:eastAsia="Calibri" w:hAnsi="Calibri Light" w:cs="Times New Roman"/>
                <w:b w:val="0"/>
                <w:color w:val="auto"/>
                <w:sz w:val="22"/>
                <w:szCs w:val="22"/>
                <w:lang w:val="es-MX"/>
              </w:rPr>
              <w:t>En cuanto al</w:t>
            </w:r>
            <w:r w:rsidR="00002DD6" w:rsidRPr="00713C22">
              <w:rPr>
                <w:rFonts w:ascii="Calibri Light" w:eastAsia="Calibri" w:hAnsi="Calibri Light" w:cs="Times New Roman"/>
                <w:b w:val="0"/>
                <w:color w:val="auto"/>
                <w:sz w:val="22"/>
                <w:szCs w:val="22"/>
                <w:lang w:val="es-MX"/>
              </w:rPr>
              <w:t xml:space="preserve"> plazo razonable, la CIDH advirtió que </w:t>
            </w:r>
            <w:r w:rsidR="007E6D79" w:rsidRPr="00713C22">
              <w:rPr>
                <w:rFonts w:ascii="Calibri Light" w:eastAsia="Calibri" w:hAnsi="Calibri Light" w:cs="Times New Roman"/>
                <w:b w:val="0"/>
                <w:color w:val="auto"/>
                <w:sz w:val="22"/>
                <w:szCs w:val="22"/>
              </w:rPr>
              <w:t xml:space="preserve">una demora prolongada </w:t>
            </w:r>
            <w:r w:rsidR="00002DD6" w:rsidRPr="00713C22">
              <w:rPr>
                <w:rFonts w:ascii="Calibri Light" w:eastAsia="Calibri" w:hAnsi="Calibri Light" w:cs="Times New Roman"/>
                <w:b w:val="0"/>
                <w:color w:val="auto"/>
                <w:sz w:val="22"/>
                <w:szCs w:val="22"/>
              </w:rPr>
              <w:t xml:space="preserve">en la investigación </w:t>
            </w:r>
            <w:r w:rsidR="007E6D79" w:rsidRPr="00713C22">
              <w:rPr>
                <w:rFonts w:ascii="Calibri Light" w:eastAsia="Calibri" w:hAnsi="Calibri Light" w:cs="Times New Roman"/>
                <w:b w:val="0"/>
                <w:color w:val="auto"/>
                <w:sz w:val="22"/>
                <w:szCs w:val="22"/>
              </w:rPr>
              <w:t>puede llegar a constituir</w:t>
            </w:r>
            <w:r>
              <w:rPr>
                <w:rFonts w:ascii="Calibri Light" w:eastAsia="Calibri" w:hAnsi="Calibri Light" w:cs="Times New Roman"/>
                <w:b w:val="0"/>
                <w:color w:val="auto"/>
                <w:sz w:val="22"/>
                <w:szCs w:val="22"/>
              </w:rPr>
              <w:t xml:space="preserve"> </w:t>
            </w:r>
            <w:r w:rsidR="007E6D79" w:rsidRPr="00713C22">
              <w:rPr>
                <w:rFonts w:ascii="Calibri Light" w:eastAsia="Calibri" w:hAnsi="Calibri Light" w:cs="Times New Roman"/>
                <w:b w:val="0"/>
                <w:color w:val="auto"/>
                <w:sz w:val="22"/>
                <w:szCs w:val="22"/>
              </w:rPr>
              <w:t>una violaci</w:t>
            </w:r>
            <w:r w:rsidR="00002DD6" w:rsidRPr="00443321">
              <w:rPr>
                <w:rFonts w:ascii="Calibri Light" w:eastAsia="Calibri" w:hAnsi="Calibri Light" w:cs="Times New Roman"/>
                <w:b w:val="0"/>
                <w:color w:val="auto"/>
                <w:sz w:val="22"/>
                <w:szCs w:val="22"/>
              </w:rPr>
              <w:t xml:space="preserve">ón de las garantías judiciales y </w:t>
            </w:r>
            <w:r>
              <w:rPr>
                <w:rFonts w:ascii="Calibri Light" w:eastAsia="Calibri" w:hAnsi="Calibri Light" w:cs="Times New Roman"/>
                <w:b w:val="0"/>
                <w:color w:val="auto"/>
                <w:sz w:val="22"/>
                <w:szCs w:val="22"/>
              </w:rPr>
              <w:t xml:space="preserve">que </w:t>
            </w:r>
            <w:r w:rsidR="00002DD6" w:rsidRPr="00443321">
              <w:rPr>
                <w:rFonts w:ascii="Calibri Light" w:eastAsia="Calibri" w:hAnsi="Calibri Light" w:cs="Times New Roman"/>
                <w:b w:val="0"/>
                <w:color w:val="auto"/>
                <w:sz w:val="22"/>
                <w:szCs w:val="22"/>
              </w:rPr>
              <w:t>co</w:t>
            </w:r>
            <w:r w:rsidR="007E6D79" w:rsidRPr="00443321">
              <w:rPr>
                <w:rFonts w:ascii="Calibri Light" w:eastAsia="Calibri" w:hAnsi="Calibri Light" w:cs="Times New Roman"/>
                <w:b w:val="0"/>
                <w:color w:val="auto"/>
                <w:sz w:val="22"/>
                <w:szCs w:val="22"/>
              </w:rPr>
              <w:t xml:space="preserve">rresponde al Estado </w:t>
            </w:r>
            <w:r w:rsidR="00002DD6" w:rsidRPr="00443321">
              <w:rPr>
                <w:rFonts w:ascii="Calibri Light" w:eastAsia="Calibri" w:hAnsi="Calibri Light" w:cs="Times New Roman"/>
                <w:b w:val="0"/>
                <w:color w:val="auto"/>
                <w:sz w:val="22"/>
                <w:szCs w:val="22"/>
              </w:rPr>
              <w:t>demostrar</w:t>
            </w:r>
            <w:r w:rsidR="007E6D79" w:rsidRPr="00443321">
              <w:rPr>
                <w:rFonts w:ascii="Calibri Light" w:eastAsia="Calibri" w:hAnsi="Calibri Light" w:cs="Times New Roman"/>
                <w:b w:val="0"/>
                <w:color w:val="auto"/>
                <w:sz w:val="22"/>
                <w:szCs w:val="22"/>
              </w:rPr>
              <w:t xml:space="preserve"> la razón por la cual se ha requerido más tiempo del razonable para dictar sentencia</w:t>
            </w:r>
            <w:r w:rsidR="00002DD6" w:rsidRPr="00040417">
              <w:rPr>
                <w:rFonts w:ascii="Calibri Light" w:eastAsia="Calibri" w:hAnsi="Calibri Light" w:cs="Times New Roman"/>
                <w:b w:val="0"/>
                <w:color w:val="auto"/>
                <w:sz w:val="22"/>
                <w:szCs w:val="22"/>
              </w:rPr>
              <w:t xml:space="preserve">. Para evaluar la razonabilidad del caso, en base a jurisprudencia de la Corte, la CIDH </w:t>
            </w:r>
            <w:r w:rsidR="009374C5" w:rsidRPr="00040417">
              <w:rPr>
                <w:rFonts w:ascii="Calibri Light" w:eastAsia="Calibri" w:hAnsi="Calibri Light" w:cs="Times New Roman"/>
                <w:b w:val="0"/>
                <w:color w:val="auto"/>
                <w:sz w:val="22"/>
                <w:szCs w:val="22"/>
              </w:rPr>
              <w:t xml:space="preserve">tomó en consideración </w:t>
            </w:r>
            <w:r w:rsidR="0051436E">
              <w:rPr>
                <w:rFonts w:ascii="Calibri Light" w:eastAsia="Calibri" w:hAnsi="Calibri Light" w:cs="Times New Roman"/>
                <w:b w:val="0"/>
                <w:color w:val="auto"/>
                <w:sz w:val="22"/>
                <w:szCs w:val="22"/>
              </w:rPr>
              <w:t xml:space="preserve">los siguientes factores: </w:t>
            </w:r>
            <w:r w:rsidR="006770DF" w:rsidRPr="00D01CA3">
              <w:rPr>
                <w:rFonts w:ascii="Calibri Light" w:eastAsia="Calibri" w:hAnsi="Calibri Light" w:cs="Times New Roman"/>
                <w:b w:val="0"/>
                <w:color w:val="auto"/>
                <w:sz w:val="22"/>
                <w:szCs w:val="22"/>
              </w:rPr>
              <w:t>i)</w:t>
            </w:r>
            <w:r w:rsidR="00904394">
              <w:rPr>
                <w:rFonts w:ascii="Calibri Light" w:eastAsia="Calibri" w:hAnsi="Calibri Light" w:cs="Times New Roman"/>
                <w:b w:val="0"/>
                <w:color w:val="auto"/>
                <w:sz w:val="22"/>
                <w:szCs w:val="22"/>
              </w:rPr>
              <w:t xml:space="preserve"> </w:t>
            </w:r>
            <w:r w:rsidR="00002DD6" w:rsidRPr="00CA6845">
              <w:rPr>
                <w:rFonts w:ascii="Calibri Light" w:eastAsia="Calibri" w:hAnsi="Calibri Light" w:cs="Times New Roman"/>
                <w:b w:val="0"/>
                <w:color w:val="auto"/>
                <w:sz w:val="22"/>
                <w:szCs w:val="22"/>
              </w:rPr>
              <w:t xml:space="preserve">la complejidad del asunto; </w:t>
            </w:r>
            <w:r w:rsidR="006770DF" w:rsidRPr="00CA6845">
              <w:rPr>
                <w:rFonts w:ascii="Calibri Light" w:eastAsia="Calibri" w:hAnsi="Calibri Light" w:cs="Times New Roman"/>
                <w:b w:val="0"/>
                <w:color w:val="auto"/>
                <w:sz w:val="22"/>
                <w:szCs w:val="22"/>
              </w:rPr>
              <w:t xml:space="preserve">ii) </w:t>
            </w:r>
            <w:r w:rsidR="007E6D79" w:rsidRPr="00CA6845">
              <w:rPr>
                <w:rFonts w:ascii="Calibri Light" w:eastAsia="Calibri" w:hAnsi="Calibri Light" w:cs="Times New Roman"/>
                <w:b w:val="0"/>
                <w:color w:val="auto"/>
                <w:sz w:val="22"/>
                <w:szCs w:val="22"/>
              </w:rPr>
              <w:t>la actividad</w:t>
            </w:r>
            <w:r w:rsidR="00002DD6" w:rsidRPr="0051436E">
              <w:rPr>
                <w:rFonts w:ascii="Calibri Light" w:eastAsia="Calibri" w:hAnsi="Calibri Light" w:cs="Times New Roman"/>
                <w:b w:val="0"/>
                <w:color w:val="auto"/>
                <w:sz w:val="22"/>
                <w:szCs w:val="22"/>
              </w:rPr>
              <w:t xml:space="preserve"> procesal del interesado;</w:t>
            </w:r>
            <w:r w:rsidR="007E6D79" w:rsidRPr="0051436E">
              <w:rPr>
                <w:rFonts w:ascii="Calibri Light" w:eastAsia="Calibri" w:hAnsi="Calibri Light" w:cs="Times New Roman"/>
                <w:b w:val="0"/>
                <w:color w:val="auto"/>
                <w:sz w:val="22"/>
                <w:szCs w:val="22"/>
              </w:rPr>
              <w:t xml:space="preserve"> </w:t>
            </w:r>
            <w:r w:rsidR="006770DF" w:rsidRPr="0051436E">
              <w:rPr>
                <w:rFonts w:ascii="Calibri Light" w:eastAsia="Calibri" w:hAnsi="Calibri Light" w:cs="Times New Roman"/>
                <w:b w:val="0"/>
                <w:color w:val="auto"/>
                <w:sz w:val="22"/>
                <w:szCs w:val="22"/>
              </w:rPr>
              <w:t xml:space="preserve">iii) </w:t>
            </w:r>
            <w:r w:rsidR="007E6D79" w:rsidRPr="0051436E">
              <w:rPr>
                <w:rFonts w:ascii="Calibri Light" w:eastAsia="Calibri" w:hAnsi="Calibri Light" w:cs="Times New Roman"/>
                <w:b w:val="0"/>
                <w:color w:val="auto"/>
                <w:sz w:val="22"/>
                <w:szCs w:val="22"/>
              </w:rPr>
              <w:t>la conducta de la</w:t>
            </w:r>
            <w:r w:rsidR="00002DD6" w:rsidRPr="0051436E">
              <w:rPr>
                <w:rFonts w:ascii="Calibri Light" w:eastAsia="Calibri" w:hAnsi="Calibri Light" w:cs="Times New Roman"/>
                <w:b w:val="0"/>
                <w:color w:val="auto"/>
                <w:sz w:val="22"/>
                <w:szCs w:val="22"/>
              </w:rPr>
              <w:t xml:space="preserve">s autoridades judiciales; y </w:t>
            </w:r>
            <w:r w:rsidR="006770DF" w:rsidRPr="0051436E">
              <w:rPr>
                <w:rFonts w:ascii="Calibri Light" w:eastAsia="Calibri" w:hAnsi="Calibri Light" w:cs="Times New Roman"/>
                <w:b w:val="0"/>
                <w:color w:val="auto"/>
                <w:sz w:val="22"/>
                <w:szCs w:val="22"/>
              </w:rPr>
              <w:t xml:space="preserve">iv) </w:t>
            </w:r>
            <w:r w:rsidR="007E6D79" w:rsidRPr="0051436E">
              <w:rPr>
                <w:rFonts w:ascii="Calibri Light" w:eastAsia="Calibri" w:hAnsi="Calibri Light" w:cs="Times New Roman"/>
                <w:b w:val="0"/>
                <w:color w:val="auto"/>
                <w:sz w:val="22"/>
                <w:szCs w:val="22"/>
              </w:rPr>
              <w:t>afectación generada en la situación jurídica de la persona involucrada en el</w:t>
            </w:r>
            <w:r w:rsidR="00002DD6" w:rsidRPr="0051436E">
              <w:rPr>
                <w:rFonts w:ascii="Calibri Light" w:eastAsia="Calibri" w:hAnsi="Calibri Light" w:cs="Times New Roman"/>
                <w:b w:val="0"/>
                <w:color w:val="auto"/>
                <w:sz w:val="22"/>
                <w:szCs w:val="22"/>
              </w:rPr>
              <w:t xml:space="preserve"> proceso</w:t>
            </w:r>
            <w:r w:rsidR="007E6D79" w:rsidRPr="00713C22">
              <w:rPr>
                <w:rFonts w:ascii="Calibri Light" w:eastAsia="Calibri" w:hAnsi="Calibri Light" w:cs="Times New Roman"/>
                <w:b w:val="0"/>
                <w:color w:val="auto"/>
                <w:sz w:val="22"/>
                <w:szCs w:val="22"/>
              </w:rPr>
              <w:t>.</w:t>
            </w:r>
            <w:r w:rsidR="00002DD6" w:rsidRPr="00713C22">
              <w:rPr>
                <w:rFonts w:ascii="Calibri Light" w:eastAsia="Calibri" w:hAnsi="Calibri Light" w:cs="Times New Roman"/>
                <w:b w:val="0"/>
                <w:color w:val="auto"/>
                <w:sz w:val="22"/>
                <w:szCs w:val="22"/>
              </w:rPr>
              <w:t xml:space="preserve"> </w:t>
            </w:r>
          </w:p>
          <w:p w14:paraId="0E92CCCC" w14:textId="77777777" w:rsidR="006770DF" w:rsidRPr="00713C22" w:rsidRDefault="006770DF" w:rsidP="00AE4621">
            <w:pPr>
              <w:pStyle w:val="Default"/>
              <w:jc w:val="both"/>
              <w:rPr>
                <w:rFonts w:ascii="Calibri Light" w:eastAsia="Calibri" w:hAnsi="Calibri Light" w:cs="Times New Roman"/>
                <w:b w:val="0"/>
                <w:color w:val="auto"/>
                <w:sz w:val="22"/>
                <w:szCs w:val="22"/>
              </w:rPr>
            </w:pPr>
          </w:p>
          <w:p w14:paraId="4342040A" w14:textId="2AB6A784" w:rsidR="00F70873" w:rsidRPr="0051436E" w:rsidRDefault="00DD6143" w:rsidP="00D977A2">
            <w:pPr>
              <w:pStyle w:val="Default"/>
              <w:jc w:val="both"/>
              <w:rPr>
                <w:rFonts w:ascii="Calibri Light" w:hAnsi="Calibri Light"/>
                <w:b w:val="0"/>
                <w:sz w:val="22"/>
                <w:szCs w:val="22"/>
              </w:rPr>
            </w:pPr>
            <w:r>
              <w:rPr>
                <w:rFonts w:ascii="Calibri Light" w:eastAsia="Calibri" w:hAnsi="Calibri Light" w:cs="Times New Roman"/>
                <w:b w:val="0"/>
                <w:color w:val="auto"/>
                <w:sz w:val="22"/>
                <w:szCs w:val="22"/>
              </w:rPr>
              <w:t>En relación a</w:t>
            </w:r>
            <w:r w:rsidR="00AE4621" w:rsidRPr="00713C22">
              <w:rPr>
                <w:rFonts w:ascii="Calibri Light" w:eastAsia="Calibri" w:hAnsi="Calibri Light" w:cs="Times New Roman"/>
                <w:b w:val="0"/>
                <w:color w:val="auto"/>
                <w:sz w:val="22"/>
                <w:szCs w:val="22"/>
              </w:rPr>
              <w:t xml:space="preserve">l primer elemento, </w:t>
            </w:r>
            <w:r>
              <w:rPr>
                <w:rFonts w:ascii="Calibri Light" w:eastAsia="Calibri" w:hAnsi="Calibri Light" w:cs="Times New Roman"/>
                <w:b w:val="0"/>
                <w:color w:val="auto"/>
                <w:sz w:val="22"/>
                <w:szCs w:val="22"/>
              </w:rPr>
              <w:t xml:space="preserve">la CIDH consideró que este no se cumplía, pues si bien el Estado había indicado que dos personas sospechosas de la muerte del señor Gómez se encontraban prófugas, no había demostrado el vínculo entre estos elementos y la demora del proceso. Respecto del </w:t>
            </w:r>
            <w:r w:rsidR="00AE4621" w:rsidRPr="00713C22">
              <w:rPr>
                <w:rFonts w:ascii="Calibri Light" w:eastAsia="Calibri" w:hAnsi="Calibri Light" w:cs="Times New Roman"/>
                <w:b w:val="0"/>
                <w:color w:val="auto"/>
                <w:sz w:val="22"/>
                <w:szCs w:val="22"/>
              </w:rPr>
              <w:t xml:space="preserve"> </w:t>
            </w:r>
            <w:r>
              <w:rPr>
                <w:rFonts w:ascii="Calibri Light" w:eastAsia="Calibri" w:hAnsi="Calibri Light" w:cs="Times New Roman"/>
                <w:b w:val="0"/>
                <w:color w:val="auto"/>
                <w:sz w:val="22"/>
                <w:szCs w:val="22"/>
              </w:rPr>
              <w:t xml:space="preserve">segundo requisito, </w:t>
            </w:r>
            <w:r w:rsidR="00AE4621" w:rsidRPr="00040417">
              <w:rPr>
                <w:rFonts w:ascii="Calibri Light" w:eastAsia="Calibri" w:hAnsi="Calibri Light" w:cs="Times New Roman"/>
                <w:b w:val="0"/>
                <w:color w:val="auto"/>
                <w:sz w:val="22"/>
                <w:szCs w:val="22"/>
              </w:rPr>
              <w:t xml:space="preserve">la CIDH observó que </w:t>
            </w:r>
            <w:r w:rsidR="00AE4621" w:rsidRPr="00D01CA3">
              <w:rPr>
                <w:rFonts w:ascii="Calibri Light" w:eastAsia="Calibri" w:hAnsi="Calibri Light" w:cs="Times New Roman"/>
                <w:b w:val="0"/>
                <w:color w:val="auto"/>
                <w:sz w:val="22"/>
                <w:szCs w:val="22"/>
              </w:rPr>
              <w:t xml:space="preserve">los familiares del señor Gómez </w:t>
            </w:r>
            <w:r w:rsidR="00D977A2">
              <w:rPr>
                <w:rFonts w:ascii="Calibri Light" w:eastAsia="Calibri" w:hAnsi="Calibri Light" w:cs="Times New Roman"/>
                <w:b w:val="0"/>
                <w:color w:val="auto"/>
                <w:sz w:val="22"/>
                <w:szCs w:val="22"/>
              </w:rPr>
              <w:t xml:space="preserve">no </w:t>
            </w:r>
            <w:r w:rsidR="00AE4621" w:rsidRPr="00D01CA3">
              <w:rPr>
                <w:rFonts w:ascii="Calibri Light" w:eastAsia="Calibri" w:hAnsi="Calibri Light" w:cs="Times New Roman"/>
                <w:b w:val="0"/>
                <w:color w:val="auto"/>
                <w:sz w:val="22"/>
                <w:szCs w:val="22"/>
              </w:rPr>
              <w:t>obstaculizaron el proceso o tuvieron relación co</w:t>
            </w:r>
            <w:r w:rsidR="00AE4621" w:rsidRPr="00CA6845">
              <w:rPr>
                <w:rFonts w:ascii="Calibri Light" w:eastAsia="Calibri" w:hAnsi="Calibri Light" w:cs="Times New Roman"/>
                <w:b w:val="0"/>
                <w:color w:val="auto"/>
                <w:sz w:val="22"/>
                <w:szCs w:val="22"/>
              </w:rPr>
              <w:t xml:space="preserve">n la demora. </w:t>
            </w:r>
            <w:r w:rsidR="00D977A2">
              <w:rPr>
                <w:rFonts w:ascii="Calibri Light" w:eastAsia="Calibri" w:hAnsi="Calibri Light" w:cs="Times New Roman"/>
                <w:b w:val="0"/>
                <w:color w:val="auto"/>
                <w:sz w:val="22"/>
                <w:szCs w:val="22"/>
              </w:rPr>
              <w:t xml:space="preserve">En cuanto al tercer elemento, la CIDH se remitió a su análisis respecto del cumplimiento del deber de debida diligencia en las investigaciones penales. En vista de dichas conclusiones, no consideró necesario analizar el cuarto elemento, concluyendo que </w:t>
            </w:r>
            <w:r w:rsidR="00002DD6" w:rsidRPr="00713C22">
              <w:rPr>
                <w:rFonts w:ascii="Calibri Light" w:eastAsia="Calibri" w:hAnsi="Calibri Light" w:cs="Times New Roman"/>
                <w:b w:val="0"/>
                <w:color w:val="auto"/>
                <w:sz w:val="22"/>
                <w:szCs w:val="22"/>
              </w:rPr>
              <w:t xml:space="preserve">los más de 21 años transcurridos desde la </w:t>
            </w:r>
            <w:r w:rsidR="00D977A2">
              <w:rPr>
                <w:rFonts w:ascii="Calibri Light" w:eastAsia="Calibri" w:hAnsi="Calibri Light" w:cs="Times New Roman"/>
                <w:b w:val="0"/>
                <w:color w:val="auto"/>
                <w:sz w:val="22"/>
                <w:szCs w:val="22"/>
              </w:rPr>
              <w:t xml:space="preserve">denuncia de la </w:t>
            </w:r>
            <w:r w:rsidR="00002DD6" w:rsidRPr="00713C22">
              <w:rPr>
                <w:rFonts w:ascii="Calibri Light" w:eastAsia="Calibri" w:hAnsi="Calibri Light" w:cs="Times New Roman"/>
                <w:b w:val="0"/>
                <w:color w:val="auto"/>
                <w:sz w:val="22"/>
                <w:szCs w:val="22"/>
              </w:rPr>
              <w:t>desaparición</w:t>
            </w:r>
            <w:r w:rsidR="00D977A2">
              <w:rPr>
                <w:rFonts w:ascii="Calibri Light" w:eastAsia="Calibri" w:hAnsi="Calibri Light" w:cs="Times New Roman"/>
                <w:b w:val="0"/>
                <w:color w:val="auto"/>
                <w:sz w:val="22"/>
                <w:szCs w:val="22"/>
              </w:rPr>
              <w:t xml:space="preserve"> del señor Gómez hasta la fecha</w:t>
            </w:r>
            <w:r w:rsidR="00002DD6" w:rsidRPr="00713C22">
              <w:rPr>
                <w:rFonts w:ascii="Calibri Light" w:eastAsia="Calibri" w:hAnsi="Calibri Light" w:cs="Times New Roman"/>
                <w:b w:val="0"/>
                <w:color w:val="auto"/>
                <w:sz w:val="22"/>
                <w:szCs w:val="22"/>
              </w:rPr>
              <w:t xml:space="preserve"> constituye</w:t>
            </w:r>
            <w:r w:rsidR="00D977A2">
              <w:rPr>
                <w:rFonts w:ascii="Calibri Light" w:eastAsia="Calibri" w:hAnsi="Calibri Light" w:cs="Times New Roman"/>
                <w:b w:val="0"/>
                <w:color w:val="auto"/>
                <w:sz w:val="22"/>
                <w:szCs w:val="22"/>
              </w:rPr>
              <w:t>n</w:t>
            </w:r>
            <w:r w:rsidR="00002DD6" w:rsidRPr="00713C22">
              <w:rPr>
                <w:rFonts w:ascii="Calibri Light" w:eastAsia="Calibri" w:hAnsi="Calibri Light" w:cs="Times New Roman"/>
                <w:b w:val="0"/>
                <w:color w:val="auto"/>
                <w:sz w:val="22"/>
                <w:szCs w:val="22"/>
              </w:rPr>
              <w:t xml:space="preserve"> un plazo excesivo que no ha sido justificado adecuadamente por el Estado. </w:t>
            </w:r>
            <w:r w:rsidR="00D977A2">
              <w:rPr>
                <w:rFonts w:ascii="Calibri Light" w:hAnsi="Calibri Light"/>
                <w:b w:val="0"/>
                <w:sz w:val="22"/>
                <w:szCs w:val="22"/>
              </w:rPr>
              <w:t>Por</w:t>
            </w:r>
            <w:r w:rsidR="00002DD6" w:rsidRPr="00443321">
              <w:rPr>
                <w:rFonts w:ascii="Calibri Light" w:hAnsi="Calibri Light"/>
                <w:b w:val="0"/>
                <w:sz w:val="22"/>
                <w:szCs w:val="22"/>
              </w:rPr>
              <w:t xml:space="preserve"> estas consideraciones, la CIDH </w:t>
            </w:r>
            <w:r w:rsidR="005A5547" w:rsidRPr="00443321">
              <w:rPr>
                <w:rFonts w:ascii="Calibri Light" w:hAnsi="Calibri Light"/>
                <w:b w:val="0"/>
                <w:sz w:val="22"/>
                <w:szCs w:val="22"/>
              </w:rPr>
              <w:t>declaró</w:t>
            </w:r>
            <w:r w:rsidR="005A5547" w:rsidRPr="00040417">
              <w:rPr>
                <w:rFonts w:ascii="Calibri Light" w:hAnsi="Calibri Light"/>
                <w:b w:val="0"/>
                <w:sz w:val="22"/>
                <w:szCs w:val="22"/>
              </w:rPr>
              <w:t xml:space="preserve"> </w:t>
            </w:r>
            <w:r w:rsidR="00002DD6" w:rsidRPr="00040417">
              <w:rPr>
                <w:rFonts w:ascii="Calibri Light" w:hAnsi="Calibri Light"/>
                <w:b w:val="0"/>
                <w:sz w:val="22"/>
                <w:szCs w:val="22"/>
              </w:rPr>
              <w:t>que el Estado de Guatemala e</w:t>
            </w:r>
            <w:r w:rsidR="005A5547" w:rsidRPr="00040417">
              <w:rPr>
                <w:rFonts w:ascii="Calibri Light" w:hAnsi="Calibri Light"/>
                <w:b w:val="0"/>
                <w:sz w:val="22"/>
                <w:szCs w:val="22"/>
              </w:rPr>
              <w:t>ra</w:t>
            </w:r>
            <w:r w:rsidR="00002DD6" w:rsidRPr="00040417">
              <w:rPr>
                <w:rFonts w:ascii="Calibri Light" w:hAnsi="Calibri Light"/>
                <w:b w:val="0"/>
                <w:sz w:val="22"/>
                <w:szCs w:val="22"/>
              </w:rPr>
              <w:t xml:space="preserve"> responsable por la violación de los derechos a las garantías judiciales y protección judicial establecidos en los artículos 8.1 y 25.1 de la </w:t>
            </w:r>
            <w:r w:rsidR="005A5547" w:rsidRPr="00D01CA3">
              <w:rPr>
                <w:rFonts w:ascii="Calibri Light" w:hAnsi="Calibri Light"/>
                <w:b w:val="0"/>
                <w:sz w:val="22"/>
                <w:szCs w:val="22"/>
              </w:rPr>
              <w:t>CADH,</w:t>
            </w:r>
            <w:r w:rsidR="00002DD6" w:rsidRPr="00CA6845">
              <w:rPr>
                <w:rFonts w:ascii="Calibri Light" w:hAnsi="Calibri Light"/>
                <w:b w:val="0"/>
                <w:sz w:val="22"/>
                <w:szCs w:val="22"/>
              </w:rPr>
              <w:t xml:space="preserve"> en relación con </w:t>
            </w:r>
            <w:r w:rsidR="00002DD6" w:rsidRPr="0051436E">
              <w:rPr>
                <w:rFonts w:ascii="Calibri Light" w:hAnsi="Calibri Light"/>
                <w:b w:val="0"/>
                <w:sz w:val="22"/>
                <w:szCs w:val="22"/>
              </w:rPr>
              <w:t>el artículo 1.1, en perjuicio de</w:t>
            </w:r>
            <w:r w:rsidR="005A5547" w:rsidRPr="0051436E">
              <w:rPr>
                <w:rFonts w:ascii="Calibri Light" w:hAnsi="Calibri Light"/>
                <w:b w:val="0"/>
                <w:sz w:val="22"/>
                <w:szCs w:val="22"/>
              </w:rPr>
              <w:t>l señor</w:t>
            </w:r>
            <w:r w:rsidR="00002DD6" w:rsidRPr="0051436E">
              <w:rPr>
                <w:rFonts w:ascii="Calibri Light" w:hAnsi="Calibri Light"/>
                <w:b w:val="0"/>
                <w:sz w:val="22"/>
                <w:szCs w:val="22"/>
              </w:rPr>
              <w:t xml:space="preserve"> Gómez.</w:t>
            </w:r>
          </w:p>
          <w:p w14:paraId="187F8AB1" w14:textId="77777777" w:rsidR="00F70873" w:rsidRPr="0051436E" w:rsidRDefault="00F70873">
            <w:pPr>
              <w:jc w:val="both"/>
              <w:rPr>
                <w:rFonts w:ascii="Calibri Light" w:hAnsi="Calibri Light"/>
                <w:b w:val="0"/>
              </w:rPr>
            </w:pPr>
          </w:p>
          <w:p w14:paraId="6FF86A3C" w14:textId="17A6F0B9" w:rsidR="00F70873" w:rsidRPr="0051436E" w:rsidRDefault="00F70873">
            <w:pPr>
              <w:jc w:val="both"/>
              <w:rPr>
                <w:rFonts w:ascii="Calibri Light" w:hAnsi="Calibri Light"/>
              </w:rPr>
            </w:pPr>
            <w:r w:rsidRPr="0051436E">
              <w:rPr>
                <w:rFonts w:ascii="Calibri Light" w:hAnsi="Calibri Light"/>
              </w:rPr>
              <w:t xml:space="preserve">Derecho a integridad personal </w:t>
            </w:r>
            <w:r w:rsidR="005A5547" w:rsidRPr="0051436E">
              <w:rPr>
                <w:rFonts w:ascii="Calibri Light" w:hAnsi="Calibri Light"/>
              </w:rPr>
              <w:t xml:space="preserve">en perjuicio de los familiares de Alejandro Yovany Gómez </w:t>
            </w:r>
            <w:r w:rsidRPr="0051436E">
              <w:rPr>
                <w:rFonts w:ascii="Calibri Light" w:hAnsi="Calibri Light"/>
              </w:rPr>
              <w:t xml:space="preserve">(artículo 5 de la CADH) </w:t>
            </w:r>
          </w:p>
          <w:p w14:paraId="4F02849D" w14:textId="77777777" w:rsidR="00F70873" w:rsidRPr="0051436E" w:rsidRDefault="00F70873">
            <w:pPr>
              <w:jc w:val="both"/>
              <w:rPr>
                <w:rFonts w:ascii="Calibri Light" w:hAnsi="Calibri Light"/>
              </w:rPr>
            </w:pPr>
          </w:p>
          <w:p w14:paraId="20825F5A" w14:textId="2F8A67E3" w:rsidR="00200D9F" w:rsidRPr="0051436E" w:rsidRDefault="00F70873" w:rsidP="00200D9F">
            <w:pPr>
              <w:jc w:val="both"/>
              <w:rPr>
                <w:rFonts w:ascii="Calibri Light" w:hAnsi="Calibri Light"/>
                <w:b w:val="0"/>
                <w:lang w:val="es-PE"/>
              </w:rPr>
            </w:pPr>
            <w:r w:rsidRPr="0051436E">
              <w:rPr>
                <w:rFonts w:ascii="Calibri Light" w:hAnsi="Calibri Light"/>
                <w:b w:val="0"/>
              </w:rPr>
              <w:lastRenderedPageBreak/>
              <w:t>Valiéndose de jurisprudencia de la Corte IDH, la CIDH</w:t>
            </w:r>
            <w:r w:rsidR="00200D9F" w:rsidRPr="0051436E">
              <w:rPr>
                <w:rFonts w:ascii="Calibri Light" w:hAnsi="Calibri Light"/>
                <w:b w:val="0"/>
              </w:rPr>
              <w:t xml:space="preserve"> señaló que, </w:t>
            </w:r>
            <w:r w:rsidR="00D977A2">
              <w:rPr>
                <w:rFonts w:ascii="Calibri Light" w:hAnsi="Calibri Light"/>
                <w:b w:val="0"/>
              </w:rPr>
              <w:t>en</w:t>
            </w:r>
            <w:r w:rsidR="00200D9F" w:rsidRPr="0051436E">
              <w:rPr>
                <w:rFonts w:ascii="Calibri Light" w:hAnsi="Calibri Light"/>
                <w:b w:val="0"/>
              </w:rPr>
              <w:t xml:space="preserve"> casos donde existe</w:t>
            </w:r>
            <w:r w:rsidR="00D977A2">
              <w:rPr>
                <w:rFonts w:ascii="Calibri Light" w:hAnsi="Calibri Light"/>
                <w:b w:val="0"/>
              </w:rPr>
              <w:t xml:space="preserve"> una</w:t>
            </w:r>
            <w:r w:rsidR="00200D9F" w:rsidRPr="0051436E">
              <w:rPr>
                <w:rFonts w:ascii="Calibri Light" w:hAnsi="Calibri Light"/>
                <w:b w:val="0"/>
              </w:rPr>
              <w:t xml:space="preserve"> falta de investigación completa y efectiva, se produce sufrimiento y angustia no solo para las víctimas sino también para los familiares. En el </w:t>
            </w:r>
            <w:r w:rsidR="00D977A2">
              <w:rPr>
                <w:rFonts w:ascii="Calibri Light" w:hAnsi="Calibri Light"/>
                <w:b w:val="0"/>
              </w:rPr>
              <w:t>presente caso</w:t>
            </w:r>
            <w:r w:rsidR="00200D9F" w:rsidRPr="0051436E">
              <w:rPr>
                <w:rFonts w:ascii="Calibri Light" w:hAnsi="Calibri Light"/>
                <w:b w:val="0"/>
              </w:rPr>
              <w:t xml:space="preserve">, la pérdida de un ser querido </w:t>
            </w:r>
            <w:r w:rsidR="005A5547" w:rsidRPr="0051436E">
              <w:rPr>
                <w:rFonts w:ascii="Calibri Light" w:hAnsi="Calibri Light"/>
                <w:b w:val="0"/>
              </w:rPr>
              <w:t xml:space="preserve">sumada </w:t>
            </w:r>
            <w:r w:rsidR="00200D9F" w:rsidRPr="0051436E">
              <w:rPr>
                <w:rFonts w:ascii="Calibri Light" w:hAnsi="Calibri Light"/>
                <w:b w:val="0"/>
              </w:rPr>
              <w:t xml:space="preserve">a la falta de una investigación diligente no solo ocasionó angustia, sino también afectó la integridad psíquica y moral de los familiares del señor Gómez. Debido a ello, la CIDH concluyó que el Estado violó el </w:t>
            </w:r>
            <w:r w:rsidR="00200D9F" w:rsidRPr="0051436E">
              <w:rPr>
                <w:rFonts w:ascii="Calibri Light" w:hAnsi="Calibri Light"/>
                <w:b w:val="0"/>
                <w:lang w:val="es-PE"/>
              </w:rPr>
              <w:t>derecho a la integridad psíquica y moral consagrado en el artículo 5.1 de la CADH</w:t>
            </w:r>
            <w:r w:rsidR="005A5547" w:rsidRPr="0051436E">
              <w:rPr>
                <w:rFonts w:ascii="Calibri Light" w:hAnsi="Calibri Light"/>
                <w:b w:val="0"/>
                <w:lang w:val="es-PE"/>
              </w:rPr>
              <w:t>,</w:t>
            </w:r>
            <w:r w:rsidR="00200D9F" w:rsidRPr="0051436E">
              <w:rPr>
                <w:rFonts w:ascii="Calibri Light" w:hAnsi="Calibri Light"/>
                <w:b w:val="0"/>
                <w:lang w:val="es-PE"/>
              </w:rPr>
              <w:t xml:space="preserve"> en relación con el artículo 1.1</w:t>
            </w:r>
            <w:r w:rsidR="005A5547" w:rsidRPr="0051436E">
              <w:rPr>
                <w:rFonts w:ascii="Calibri Light" w:hAnsi="Calibri Light"/>
                <w:b w:val="0"/>
                <w:lang w:val="es-PE"/>
              </w:rPr>
              <w:t>,</w:t>
            </w:r>
            <w:r w:rsidR="00200D9F" w:rsidRPr="0051436E">
              <w:rPr>
                <w:rFonts w:ascii="Calibri Light" w:hAnsi="Calibri Light"/>
                <w:b w:val="0"/>
                <w:lang w:val="es-PE"/>
              </w:rPr>
              <w:t xml:space="preserve"> en perjuicio de los familiares de</w:t>
            </w:r>
            <w:r w:rsidR="005A5547" w:rsidRPr="0051436E">
              <w:rPr>
                <w:rFonts w:ascii="Calibri Light" w:hAnsi="Calibri Light"/>
                <w:b w:val="0"/>
                <w:lang w:val="es-PE"/>
              </w:rPr>
              <w:t xml:space="preserve">l </w:t>
            </w:r>
            <w:r w:rsidR="00200D9F" w:rsidRPr="0051436E">
              <w:rPr>
                <w:rFonts w:ascii="Calibri Light" w:hAnsi="Calibri Light"/>
                <w:b w:val="0"/>
                <w:lang w:val="es-PE"/>
              </w:rPr>
              <w:t xml:space="preserve"> </w:t>
            </w:r>
            <w:r w:rsidR="005A5547" w:rsidRPr="0051436E">
              <w:rPr>
                <w:rFonts w:ascii="Calibri Light" w:hAnsi="Calibri Light"/>
                <w:b w:val="0"/>
                <w:lang w:val="es-PE"/>
              </w:rPr>
              <w:t xml:space="preserve">señor </w:t>
            </w:r>
            <w:r w:rsidR="00200D9F" w:rsidRPr="0051436E">
              <w:rPr>
                <w:rFonts w:ascii="Calibri Light" w:hAnsi="Calibri Light"/>
                <w:b w:val="0"/>
                <w:lang w:val="es-PE"/>
              </w:rPr>
              <w:t>Gómez.</w:t>
            </w:r>
          </w:p>
          <w:p w14:paraId="5AA471B6" w14:textId="49F32B54" w:rsidR="006D06A7" w:rsidRPr="0051436E" w:rsidRDefault="006D06A7">
            <w:pPr>
              <w:jc w:val="both"/>
              <w:rPr>
                <w:rFonts w:ascii="Calibri Light" w:hAnsi="Calibri Light"/>
                <w:b w:val="0"/>
                <w:lang w:val="es-PE"/>
              </w:rPr>
            </w:pPr>
          </w:p>
        </w:tc>
      </w:tr>
      <w:tr w:rsidR="005173CF" w:rsidRPr="0051436E" w14:paraId="0FBFBB6F" w14:textId="77777777" w:rsidTr="004B598D">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AC6F31" w:rsidRPr="00713C22" w:rsidRDefault="00AC6F31" w:rsidP="00AC6F31">
            <w:pPr>
              <w:pStyle w:val="ListParagraph"/>
              <w:rPr>
                <w:rFonts w:ascii="Calibri Light" w:hAnsi="Calibri Light"/>
              </w:rPr>
            </w:pPr>
          </w:p>
          <w:p w14:paraId="5CF7BA21" w14:textId="5790D6FB" w:rsidR="005173CF" w:rsidRPr="00713C22" w:rsidRDefault="007A6C56" w:rsidP="0029671B">
            <w:pPr>
              <w:pStyle w:val="ListParagraph"/>
              <w:numPr>
                <w:ilvl w:val="0"/>
                <w:numId w:val="2"/>
              </w:numPr>
              <w:jc w:val="center"/>
              <w:rPr>
                <w:rFonts w:ascii="Calibri Light" w:hAnsi="Calibri Light"/>
              </w:rPr>
            </w:pPr>
            <w:r w:rsidRPr="00713C22">
              <w:rPr>
                <w:rFonts w:ascii="Calibri Light" w:hAnsi="Calibri Light"/>
              </w:rPr>
              <w:t>Recomendaciones</w:t>
            </w:r>
            <w:r w:rsidR="00230F24" w:rsidRPr="00713C22">
              <w:rPr>
                <w:rFonts w:ascii="Calibri Light" w:hAnsi="Calibri Light"/>
              </w:rPr>
              <w:t xml:space="preserve"> de la CIDH al Estado</w:t>
            </w:r>
          </w:p>
          <w:p w14:paraId="510D8BF9" w14:textId="77777777" w:rsidR="00AC6F31" w:rsidRPr="00713C22" w:rsidRDefault="00AC6F31" w:rsidP="00AC6F31">
            <w:pPr>
              <w:pStyle w:val="ListParagraph"/>
              <w:rPr>
                <w:rFonts w:ascii="Calibri Light" w:hAnsi="Calibri Light"/>
              </w:rPr>
            </w:pPr>
          </w:p>
        </w:tc>
      </w:tr>
      <w:tr w:rsidR="007A6C56" w:rsidRPr="0051436E" w14:paraId="3D91AF16" w14:textId="77777777" w:rsidTr="004B598D">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7B53120E" w14:textId="77777777" w:rsidR="0051436E" w:rsidRDefault="0051436E" w:rsidP="0051436E">
            <w:pPr>
              <w:pStyle w:val="ListParagraph"/>
              <w:ind w:left="360"/>
              <w:jc w:val="both"/>
              <w:rPr>
                <w:rFonts w:ascii="Calibri Light" w:hAnsi="Calibri Light"/>
                <w:b w:val="0"/>
              </w:rPr>
            </w:pPr>
          </w:p>
          <w:p w14:paraId="0F1D8588" w14:textId="4FF81539" w:rsidR="00CC6107" w:rsidRPr="00713C22" w:rsidRDefault="00CC6107" w:rsidP="00200D9F">
            <w:pPr>
              <w:pStyle w:val="ListParagraph"/>
              <w:numPr>
                <w:ilvl w:val="0"/>
                <w:numId w:val="4"/>
              </w:numPr>
              <w:jc w:val="both"/>
              <w:rPr>
                <w:rFonts w:ascii="Calibri Light" w:hAnsi="Calibri Light"/>
                <w:b w:val="0"/>
              </w:rPr>
            </w:pPr>
            <w:r w:rsidRPr="00713C22">
              <w:rPr>
                <w:rFonts w:ascii="Calibri Light" w:hAnsi="Calibri Light"/>
                <w:b w:val="0"/>
              </w:rPr>
              <w:t xml:space="preserve">Reparar </w:t>
            </w:r>
            <w:r w:rsidR="007B4751" w:rsidRPr="00713C22">
              <w:rPr>
                <w:rFonts w:ascii="Calibri Light" w:hAnsi="Calibri Light"/>
                <w:b w:val="0"/>
              </w:rPr>
              <w:t xml:space="preserve">integralmente </w:t>
            </w:r>
            <w:r w:rsidRPr="00713C22">
              <w:rPr>
                <w:rFonts w:ascii="Calibri Light" w:hAnsi="Calibri Light"/>
                <w:b w:val="0"/>
              </w:rPr>
              <w:t>las violaciones de derechos humanos declaradas, tanto en el aspecto material como moral. Debido a ello, el Estado deberá adoptar medidas de compensación económica y satisfacción del daño moral, y rehabilitación para los familiares.</w:t>
            </w:r>
          </w:p>
          <w:p w14:paraId="72A1939F" w14:textId="77777777" w:rsidR="00DD0E3C" w:rsidRPr="00713C22" w:rsidRDefault="00DD0E3C">
            <w:pPr>
              <w:pStyle w:val="ListParagraph"/>
              <w:ind w:left="360"/>
              <w:jc w:val="both"/>
              <w:rPr>
                <w:rFonts w:ascii="Calibri Light" w:hAnsi="Calibri Light"/>
                <w:b w:val="0"/>
              </w:rPr>
            </w:pPr>
          </w:p>
          <w:p w14:paraId="4BF90CAA" w14:textId="40060F2A" w:rsidR="003A3ADB" w:rsidRPr="00443321" w:rsidRDefault="00CC6107" w:rsidP="00B55B6C">
            <w:pPr>
              <w:pStyle w:val="ListParagraph"/>
              <w:numPr>
                <w:ilvl w:val="0"/>
                <w:numId w:val="4"/>
              </w:numPr>
              <w:jc w:val="both"/>
              <w:rPr>
                <w:rFonts w:ascii="Calibri Light" w:hAnsi="Calibri Light"/>
                <w:b w:val="0"/>
              </w:rPr>
            </w:pPr>
            <w:r w:rsidRPr="00713C22">
              <w:rPr>
                <w:rFonts w:ascii="Calibri Light" w:hAnsi="Calibri Light"/>
                <w:b w:val="0"/>
              </w:rPr>
              <w:t>Desarrollar y completar una investigación judicial imparcial, completa y efectiva</w:t>
            </w:r>
            <w:r w:rsidR="00EB3DA2" w:rsidRPr="00443321">
              <w:rPr>
                <w:rFonts w:ascii="Calibri Light" w:hAnsi="Calibri Light"/>
                <w:b w:val="0"/>
              </w:rPr>
              <w:t>, con celeridad, a fin de establecer las circunstancias de la desaparición y posterior muerte de</w:t>
            </w:r>
            <w:r w:rsidR="0051436E">
              <w:rPr>
                <w:rFonts w:ascii="Calibri Light" w:hAnsi="Calibri Light"/>
                <w:b w:val="0"/>
              </w:rPr>
              <w:t xml:space="preserve">l señor </w:t>
            </w:r>
            <w:r w:rsidR="00EB3DA2" w:rsidRPr="00443321">
              <w:rPr>
                <w:rFonts w:ascii="Calibri Light" w:hAnsi="Calibri Light"/>
                <w:b w:val="0"/>
              </w:rPr>
              <w:t xml:space="preserve">Gómez; explotar y agotar de manera exhaustica las líneas lógicas de investigación; e identificar y sancionar a los responsables. </w:t>
            </w:r>
          </w:p>
          <w:p w14:paraId="3FD8B56E" w14:textId="77777777" w:rsidR="00DD0E3C" w:rsidRPr="00443321" w:rsidRDefault="00DD0E3C" w:rsidP="00DD0E3C">
            <w:pPr>
              <w:pStyle w:val="ListParagraph"/>
              <w:rPr>
                <w:rFonts w:ascii="Calibri Light" w:hAnsi="Calibri Light"/>
              </w:rPr>
            </w:pPr>
          </w:p>
          <w:p w14:paraId="3E6FFE8A" w14:textId="77777777" w:rsidR="00EB3DA2" w:rsidRPr="00040417" w:rsidRDefault="00EB3DA2" w:rsidP="00200D9F">
            <w:pPr>
              <w:pStyle w:val="ListParagraph"/>
              <w:numPr>
                <w:ilvl w:val="0"/>
                <w:numId w:val="4"/>
              </w:numPr>
              <w:jc w:val="both"/>
              <w:rPr>
                <w:rFonts w:ascii="Calibri Light" w:hAnsi="Calibri Light"/>
                <w:b w:val="0"/>
              </w:rPr>
            </w:pPr>
            <w:r w:rsidRPr="00040417">
              <w:rPr>
                <w:rFonts w:ascii="Calibri Light" w:hAnsi="Calibri Light"/>
                <w:b w:val="0"/>
              </w:rPr>
              <w:t xml:space="preserve">Disponer las medidas administrativas, disciplinarias o penales correspondientes en respuesta a las acciones u omisiones de los funcionarios estatales que contribuyeron a la denegación de justicia e impunidad del caso. </w:t>
            </w:r>
          </w:p>
          <w:p w14:paraId="1A79F315" w14:textId="77777777" w:rsidR="00DD0E3C" w:rsidRPr="00040417" w:rsidRDefault="00DD0E3C" w:rsidP="00200D9F">
            <w:pPr>
              <w:pStyle w:val="ListParagraph"/>
              <w:ind w:left="360"/>
              <w:jc w:val="both"/>
              <w:rPr>
                <w:rFonts w:ascii="Calibri Light" w:hAnsi="Calibri Light"/>
              </w:rPr>
            </w:pPr>
          </w:p>
          <w:p w14:paraId="657864CB" w14:textId="1104574F" w:rsidR="00DD0E3C" w:rsidRPr="0051436E" w:rsidRDefault="00EB3DA2" w:rsidP="007B4751">
            <w:pPr>
              <w:pStyle w:val="ListParagraph"/>
              <w:numPr>
                <w:ilvl w:val="0"/>
                <w:numId w:val="4"/>
              </w:numPr>
              <w:jc w:val="both"/>
              <w:rPr>
                <w:rFonts w:ascii="Calibri Light" w:hAnsi="Calibri Light"/>
              </w:rPr>
            </w:pPr>
            <w:r w:rsidRPr="00040417">
              <w:rPr>
                <w:rFonts w:ascii="Calibri Light" w:hAnsi="Calibri Light"/>
                <w:b w:val="0"/>
              </w:rPr>
              <w:t>Imple</w:t>
            </w:r>
            <w:r w:rsidR="0051436E">
              <w:rPr>
                <w:rFonts w:ascii="Calibri Light" w:hAnsi="Calibri Light"/>
                <w:b w:val="0"/>
              </w:rPr>
              <w:t>mentar medidas de no repetición,</w:t>
            </w:r>
            <w:r w:rsidR="007B4751" w:rsidRPr="00D01CA3">
              <w:rPr>
                <w:rFonts w:ascii="Calibri Light" w:hAnsi="Calibri Light"/>
                <w:b w:val="0"/>
              </w:rPr>
              <w:t xml:space="preserve"> que incluyan: i) </w:t>
            </w:r>
            <w:r w:rsidR="007B4751" w:rsidRPr="00CA6845">
              <w:rPr>
                <w:rFonts w:ascii="Calibri Light" w:hAnsi="Calibri Light"/>
                <w:b w:val="0"/>
              </w:rPr>
              <w:t xml:space="preserve">medidas necesarias para asegurar que las investigaciones de denuncias de desaparición cumplan con los estándares establecidos </w:t>
            </w:r>
            <w:r w:rsidR="007B4751" w:rsidRPr="0051436E">
              <w:rPr>
                <w:rFonts w:ascii="Calibri Light" w:hAnsi="Calibri Light"/>
                <w:b w:val="0"/>
              </w:rPr>
              <w:t xml:space="preserve"> en el informe; ii) medidas necesarias para asegurar que las investigaciones de muertes violentas cumplan con el deber de investigar con la debida diligencia en los términos descritos en el informe; y iii) medidas necesarias para fortalecer la capacidad investigativa de muertes de defensores de derechos humanos en Guatemala, particularmente sindicalistas, posiblemente relacionadas con su actividad.</w:t>
            </w:r>
          </w:p>
          <w:p w14:paraId="49863AFC" w14:textId="4CCC3990" w:rsidR="009600A0" w:rsidRPr="00713C22" w:rsidRDefault="009600A0" w:rsidP="00200D9F">
            <w:pPr>
              <w:pStyle w:val="ListParagraph"/>
              <w:ind w:left="360"/>
              <w:jc w:val="both"/>
              <w:rPr>
                <w:rFonts w:ascii="Calibri Light" w:hAnsi="Calibri Light"/>
              </w:rPr>
            </w:pPr>
          </w:p>
        </w:tc>
      </w:tr>
      <w:tr w:rsidR="00F464EC" w:rsidRPr="0051436E" w14:paraId="0B7CC98E" w14:textId="77777777" w:rsidTr="004B598D">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F464EC" w:rsidRPr="00713C22" w:rsidRDefault="00F464EC" w:rsidP="00F464EC">
            <w:pPr>
              <w:pStyle w:val="ListParagraph"/>
              <w:spacing w:after="200" w:line="276" w:lineRule="auto"/>
              <w:rPr>
                <w:rFonts w:ascii="Calibri Light" w:hAnsi="Calibri Light"/>
              </w:rPr>
            </w:pPr>
          </w:p>
          <w:p w14:paraId="7B045F14" w14:textId="2270E615" w:rsidR="00F464EC" w:rsidRPr="00713C22" w:rsidRDefault="00F464EC" w:rsidP="00F464EC">
            <w:pPr>
              <w:pStyle w:val="ListParagraph"/>
              <w:numPr>
                <w:ilvl w:val="0"/>
                <w:numId w:val="2"/>
              </w:numPr>
              <w:spacing w:after="200" w:line="276" w:lineRule="auto"/>
              <w:jc w:val="center"/>
              <w:rPr>
                <w:rFonts w:ascii="Calibri Light" w:hAnsi="Calibri Light"/>
              </w:rPr>
            </w:pPr>
            <w:r w:rsidRPr="00713C22">
              <w:rPr>
                <w:rFonts w:ascii="Calibri Light" w:hAnsi="Calibri Light"/>
              </w:rPr>
              <w:t>Análisis de cumplimiento de las recomendaciones</w:t>
            </w:r>
          </w:p>
          <w:p w14:paraId="3C93C1C0" w14:textId="77777777" w:rsidR="00F464EC" w:rsidRPr="00713C22" w:rsidRDefault="00F464EC" w:rsidP="00F464EC">
            <w:pPr>
              <w:pStyle w:val="ListParagraph"/>
              <w:ind w:left="0"/>
              <w:jc w:val="center"/>
              <w:rPr>
                <w:rFonts w:ascii="Calibri Light" w:hAnsi="Calibri Light"/>
                <w:b w:val="0"/>
              </w:rPr>
            </w:pPr>
          </w:p>
        </w:tc>
      </w:tr>
      <w:tr w:rsidR="00F464EC" w:rsidRPr="0051436E" w14:paraId="41FA15A1" w14:textId="77777777" w:rsidTr="004B598D">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1F3EA985" w14:textId="4084EB4F" w:rsidR="009802FB" w:rsidRPr="00713C22" w:rsidRDefault="009802FB" w:rsidP="00840908">
            <w:pPr>
              <w:pStyle w:val="ListParagraph"/>
              <w:ind w:left="0"/>
              <w:jc w:val="center"/>
              <w:rPr>
                <w:rFonts w:ascii="Calibri Light" w:hAnsi="Calibri Light"/>
                <w:b w:val="0"/>
              </w:rPr>
            </w:pPr>
            <w:r w:rsidRPr="00713C22">
              <w:rPr>
                <w:rFonts w:ascii="Calibri Light" w:hAnsi="Calibri Light"/>
                <w:b w:val="0"/>
              </w:rPr>
              <w:t>-</w:t>
            </w:r>
          </w:p>
        </w:tc>
      </w:tr>
    </w:tbl>
    <w:p w14:paraId="66DC880E" w14:textId="77777777" w:rsidR="000E570F" w:rsidRPr="0051436E" w:rsidRDefault="000E570F" w:rsidP="008C7266">
      <w:pPr>
        <w:rPr>
          <w:rFonts w:ascii="Calibri Light" w:hAnsi="Calibri Light"/>
        </w:rPr>
      </w:pPr>
    </w:p>
    <w:sectPr w:rsidR="000E570F" w:rsidRPr="0051436E" w:rsidSect="00A65231">
      <w:footerReference w:type="default" r:id="rId14"/>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22CB4" w14:textId="77777777" w:rsidR="005943FA" w:rsidRDefault="005943FA" w:rsidP="00A65231">
      <w:pPr>
        <w:spacing w:after="0" w:line="240" w:lineRule="auto"/>
      </w:pPr>
      <w:r>
        <w:separator/>
      </w:r>
    </w:p>
  </w:endnote>
  <w:endnote w:type="continuationSeparator" w:id="0">
    <w:p w14:paraId="371607AC" w14:textId="77777777" w:rsidR="005943FA" w:rsidRDefault="005943FA"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77777777" w:rsidR="005A5547" w:rsidRDefault="005A5547">
        <w:pPr>
          <w:pStyle w:val="Footer"/>
          <w:jc w:val="right"/>
        </w:pPr>
        <w:r>
          <w:fldChar w:fldCharType="begin"/>
        </w:r>
        <w:r>
          <w:instrText>PAGE   \* MERGEFORMAT</w:instrText>
        </w:r>
        <w:r>
          <w:fldChar w:fldCharType="separate"/>
        </w:r>
        <w:r w:rsidR="00E162DB" w:rsidRPr="00E162DB">
          <w:rPr>
            <w:noProof/>
            <w:lang w:val="es-ES"/>
          </w:rPr>
          <w:t>5</w:t>
        </w:r>
        <w:r>
          <w:fldChar w:fldCharType="end"/>
        </w:r>
      </w:p>
    </w:sdtContent>
  </w:sdt>
  <w:p w14:paraId="6353BB13" w14:textId="77777777" w:rsidR="005A5547" w:rsidRDefault="005A5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2FAA0" w14:textId="77777777" w:rsidR="005943FA" w:rsidRDefault="005943FA" w:rsidP="00A65231">
      <w:pPr>
        <w:spacing w:after="0" w:line="240" w:lineRule="auto"/>
      </w:pPr>
      <w:r>
        <w:separator/>
      </w:r>
    </w:p>
  </w:footnote>
  <w:footnote w:type="continuationSeparator" w:id="0">
    <w:p w14:paraId="1767F0C4" w14:textId="77777777" w:rsidR="005943FA" w:rsidRDefault="005943FA"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108C446A"/>
    <w:lvl w:ilvl="0" w:tplc="111A91B0">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11BF7441"/>
    <w:multiLevelType w:val="hybridMultilevel"/>
    <w:tmpl w:val="95CAF5AE"/>
    <w:lvl w:ilvl="0" w:tplc="0A108696">
      <w:start w:val="1"/>
      <w:numFmt w:val="lowerRoman"/>
      <w:lvlText w:val="%1)"/>
      <w:lvlJc w:val="left"/>
      <w:pPr>
        <w:ind w:left="1125" w:hanging="720"/>
      </w:pPr>
      <w:rPr>
        <w:rFonts w:hint="default"/>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tentative="1">
      <w:start w:val="1"/>
      <w:numFmt w:val="decimal"/>
      <w:lvlText w:val="%4."/>
      <w:lvlJc w:val="left"/>
      <w:pPr>
        <w:ind w:left="2925"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2"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F130F24"/>
    <w:multiLevelType w:val="hybridMultilevel"/>
    <w:tmpl w:val="9E2A4EB8"/>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405A010C"/>
    <w:multiLevelType w:val="hybridMultilevel"/>
    <w:tmpl w:val="87C86BB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02DD6"/>
    <w:rsid w:val="000351F0"/>
    <w:rsid w:val="00040417"/>
    <w:rsid w:val="0006675C"/>
    <w:rsid w:val="00066C2A"/>
    <w:rsid w:val="000748FF"/>
    <w:rsid w:val="00076EBC"/>
    <w:rsid w:val="0007777B"/>
    <w:rsid w:val="000B4B72"/>
    <w:rsid w:val="000B4CF2"/>
    <w:rsid w:val="000B5257"/>
    <w:rsid w:val="000B7F11"/>
    <w:rsid w:val="000C2ED1"/>
    <w:rsid w:val="000C5A72"/>
    <w:rsid w:val="000C78C2"/>
    <w:rsid w:val="000D243B"/>
    <w:rsid w:val="000D3CF2"/>
    <w:rsid w:val="000D52F6"/>
    <w:rsid w:val="000E4587"/>
    <w:rsid w:val="000E570F"/>
    <w:rsid w:val="000E706A"/>
    <w:rsid w:val="000F2C70"/>
    <w:rsid w:val="000F4AEA"/>
    <w:rsid w:val="00106E76"/>
    <w:rsid w:val="00114199"/>
    <w:rsid w:val="0011756F"/>
    <w:rsid w:val="00123CE4"/>
    <w:rsid w:val="001454F7"/>
    <w:rsid w:val="00184E27"/>
    <w:rsid w:val="0019709D"/>
    <w:rsid w:val="001A14F7"/>
    <w:rsid w:val="001B2EB5"/>
    <w:rsid w:val="001C0307"/>
    <w:rsid w:val="001C21FC"/>
    <w:rsid w:val="001C28EC"/>
    <w:rsid w:val="001C39A8"/>
    <w:rsid w:val="001E79A8"/>
    <w:rsid w:val="001F0EBD"/>
    <w:rsid w:val="00200D9F"/>
    <w:rsid w:val="002077A5"/>
    <w:rsid w:val="00212F62"/>
    <w:rsid w:val="00213757"/>
    <w:rsid w:val="00213947"/>
    <w:rsid w:val="00220B75"/>
    <w:rsid w:val="002233EB"/>
    <w:rsid w:val="00230F24"/>
    <w:rsid w:val="002412F8"/>
    <w:rsid w:val="00244853"/>
    <w:rsid w:val="00246EC0"/>
    <w:rsid w:val="0024772F"/>
    <w:rsid w:val="00251DDE"/>
    <w:rsid w:val="00253DF5"/>
    <w:rsid w:val="002736D6"/>
    <w:rsid w:val="00280F4C"/>
    <w:rsid w:val="00283F01"/>
    <w:rsid w:val="0029671B"/>
    <w:rsid w:val="002A6E03"/>
    <w:rsid w:val="002A7581"/>
    <w:rsid w:val="002B3B1E"/>
    <w:rsid w:val="002D1B91"/>
    <w:rsid w:val="002D75E3"/>
    <w:rsid w:val="002E4DC6"/>
    <w:rsid w:val="00317EE5"/>
    <w:rsid w:val="0032141E"/>
    <w:rsid w:val="00336C3B"/>
    <w:rsid w:val="00347D88"/>
    <w:rsid w:val="00350DE9"/>
    <w:rsid w:val="00363AC7"/>
    <w:rsid w:val="0037716B"/>
    <w:rsid w:val="003A3ADB"/>
    <w:rsid w:val="003A3B07"/>
    <w:rsid w:val="003A7A99"/>
    <w:rsid w:val="003B2CD2"/>
    <w:rsid w:val="003D6E0F"/>
    <w:rsid w:val="003E1DE0"/>
    <w:rsid w:val="003E6AB8"/>
    <w:rsid w:val="004043CC"/>
    <w:rsid w:val="00406F2F"/>
    <w:rsid w:val="00411A74"/>
    <w:rsid w:val="00421D6C"/>
    <w:rsid w:val="004242D0"/>
    <w:rsid w:val="00424B66"/>
    <w:rsid w:val="00431612"/>
    <w:rsid w:val="00443321"/>
    <w:rsid w:val="00445D2C"/>
    <w:rsid w:val="00451809"/>
    <w:rsid w:val="00452AA6"/>
    <w:rsid w:val="004533E5"/>
    <w:rsid w:val="00455A3A"/>
    <w:rsid w:val="00464CAC"/>
    <w:rsid w:val="00476F6A"/>
    <w:rsid w:val="004858A8"/>
    <w:rsid w:val="004861D8"/>
    <w:rsid w:val="00491C25"/>
    <w:rsid w:val="004A0763"/>
    <w:rsid w:val="004A0900"/>
    <w:rsid w:val="004B1311"/>
    <w:rsid w:val="004B151D"/>
    <w:rsid w:val="004B598D"/>
    <w:rsid w:val="004C0A21"/>
    <w:rsid w:val="004D25FA"/>
    <w:rsid w:val="004D3AE5"/>
    <w:rsid w:val="004D3F73"/>
    <w:rsid w:val="004E2BB2"/>
    <w:rsid w:val="004E678F"/>
    <w:rsid w:val="004F061A"/>
    <w:rsid w:val="0050074E"/>
    <w:rsid w:val="0051436E"/>
    <w:rsid w:val="005173CF"/>
    <w:rsid w:val="0054767B"/>
    <w:rsid w:val="00554EE9"/>
    <w:rsid w:val="005564B1"/>
    <w:rsid w:val="00557C90"/>
    <w:rsid w:val="00561359"/>
    <w:rsid w:val="00561986"/>
    <w:rsid w:val="00563925"/>
    <w:rsid w:val="00581FEB"/>
    <w:rsid w:val="00587003"/>
    <w:rsid w:val="005943FA"/>
    <w:rsid w:val="005A1120"/>
    <w:rsid w:val="005A5547"/>
    <w:rsid w:val="005A5DA0"/>
    <w:rsid w:val="005B257B"/>
    <w:rsid w:val="005C3229"/>
    <w:rsid w:val="005C35DD"/>
    <w:rsid w:val="005D4FDF"/>
    <w:rsid w:val="005E082B"/>
    <w:rsid w:val="005E190A"/>
    <w:rsid w:val="005F14CB"/>
    <w:rsid w:val="005F1E4B"/>
    <w:rsid w:val="006030CE"/>
    <w:rsid w:val="00611384"/>
    <w:rsid w:val="0064028C"/>
    <w:rsid w:val="006407DD"/>
    <w:rsid w:val="006462EA"/>
    <w:rsid w:val="00646696"/>
    <w:rsid w:val="00646894"/>
    <w:rsid w:val="006576F9"/>
    <w:rsid w:val="0066351A"/>
    <w:rsid w:val="0067568C"/>
    <w:rsid w:val="00676230"/>
    <w:rsid w:val="006770DF"/>
    <w:rsid w:val="006833CD"/>
    <w:rsid w:val="00685F04"/>
    <w:rsid w:val="00690328"/>
    <w:rsid w:val="006963FB"/>
    <w:rsid w:val="006A1D9E"/>
    <w:rsid w:val="006A3FA1"/>
    <w:rsid w:val="006A6EC1"/>
    <w:rsid w:val="006C3F1D"/>
    <w:rsid w:val="006C4995"/>
    <w:rsid w:val="006D0024"/>
    <w:rsid w:val="006D06A7"/>
    <w:rsid w:val="006D488A"/>
    <w:rsid w:val="006E6371"/>
    <w:rsid w:val="006F49B1"/>
    <w:rsid w:val="006F5AAD"/>
    <w:rsid w:val="006F657F"/>
    <w:rsid w:val="00705878"/>
    <w:rsid w:val="00713C22"/>
    <w:rsid w:val="00714E42"/>
    <w:rsid w:val="0071697F"/>
    <w:rsid w:val="00726533"/>
    <w:rsid w:val="007327CE"/>
    <w:rsid w:val="00747E22"/>
    <w:rsid w:val="0075123A"/>
    <w:rsid w:val="00793A83"/>
    <w:rsid w:val="0079447E"/>
    <w:rsid w:val="0079477F"/>
    <w:rsid w:val="007A6C56"/>
    <w:rsid w:val="007B4751"/>
    <w:rsid w:val="007B7ED8"/>
    <w:rsid w:val="007D1B56"/>
    <w:rsid w:val="007D6E73"/>
    <w:rsid w:val="007E382B"/>
    <w:rsid w:val="007E6001"/>
    <w:rsid w:val="007E6411"/>
    <w:rsid w:val="007E6D79"/>
    <w:rsid w:val="007F7E47"/>
    <w:rsid w:val="008036E7"/>
    <w:rsid w:val="00810470"/>
    <w:rsid w:val="008116C6"/>
    <w:rsid w:val="0082139A"/>
    <w:rsid w:val="00830AB5"/>
    <w:rsid w:val="00840908"/>
    <w:rsid w:val="00841B0E"/>
    <w:rsid w:val="00841FC6"/>
    <w:rsid w:val="00845CE5"/>
    <w:rsid w:val="0084740E"/>
    <w:rsid w:val="00851773"/>
    <w:rsid w:val="008570F6"/>
    <w:rsid w:val="008575FB"/>
    <w:rsid w:val="00862302"/>
    <w:rsid w:val="008644B4"/>
    <w:rsid w:val="00864751"/>
    <w:rsid w:val="00866A4D"/>
    <w:rsid w:val="0087063C"/>
    <w:rsid w:val="00871AB0"/>
    <w:rsid w:val="008A5F25"/>
    <w:rsid w:val="008B57FB"/>
    <w:rsid w:val="008C058C"/>
    <w:rsid w:val="008C7266"/>
    <w:rsid w:val="008D38A2"/>
    <w:rsid w:val="008E1571"/>
    <w:rsid w:val="0090367F"/>
    <w:rsid w:val="00904394"/>
    <w:rsid w:val="009052FD"/>
    <w:rsid w:val="00917DBC"/>
    <w:rsid w:val="0092633D"/>
    <w:rsid w:val="009300E6"/>
    <w:rsid w:val="00931244"/>
    <w:rsid w:val="009374C5"/>
    <w:rsid w:val="00940088"/>
    <w:rsid w:val="00947FEA"/>
    <w:rsid w:val="0095310E"/>
    <w:rsid w:val="00954E20"/>
    <w:rsid w:val="009600A0"/>
    <w:rsid w:val="00974F30"/>
    <w:rsid w:val="009802FB"/>
    <w:rsid w:val="00981AC3"/>
    <w:rsid w:val="00991A82"/>
    <w:rsid w:val="009956CE"/>
    <w:rsid w:val="009A7AE2"/>
    <w:rsid w:val="009C056C"/>
    <w:rsid w:val="009E0269"/>
    <w:rsid w:val="009F10ED"/>
    <w:rsid w:val="009F34D5"/>
    <w:rsid w:val="00A133CC"/>
    <w:rsid w:val="00A153E3"/>
    <w:rsid w:val="00A16B0A"/>
    <w:rsid w:val="00A16C0C"/>
    <w:rsid w:val="00A2337D"/>
    <w:rsid w:val="00A271BF"/>
    <w:rsid w:val="00A275F8"/>
    <w:rsid w:val="00A305A3"/>
    <w:rsid w:val="00A43A03"/>
    <w:rsid w:val="00A4435A"/>
    <w:rsid w:val="00A51B70"/>
    <w:rsid w:val="00A526EC"/>
    <w:rsid w:val="00A61412"/>
    <w:rsid w:val="00A65231"/>
    <w:rsid w:val="00A679C6"/>
    <w:rsid w:val="00A73F2F"/>
    <w:rsid w:val="00A91255"/>
    <w:rsid w:val="00A91B24"/>
    <w:rsid w:val="00AA3A88"/>
    <w:rsid w:val="00AC24DC"/>
    <w:rsid w:val="00AC43C2"/>
    <w:rsid w:val="00AC6F31"/>
    <w:rsid w:val="00AC7FFD"/>
    <w:rsid w:val="00AE4621"/>
    <w:rsid w:val="00AE6481"/>
    <w:rsid w:val="00AF175D"/>
    <w:rsid w:val="00AF5466"/>
    <w:rsid w:val="00B03384"/>
    <w:rsid w:val="00B07E72"/>
    <w:rsid w:val="00B152F9"/>
    <w:rsid w:val="00B1627D"/>
    <w:rsid w:val="00B16B8B"/>
    <w:rsid w:val="00B16D3A"/>
    <w:rsid w:val="00B36CC8"/>
    <w:rsid w:val="00B434F9"/>
    <w:rsid w:val="00B5267E"/>
    <w:rsid w:val="00B52BA3"/>
    <w:rsid w:val="00B55B6C"/>
    <w:rsid w:val="00B71B8C"/>
    <w:rsid w:val="00B771B5"/>
    <w:rsid w:val="00B832A6"/>
    <w:rsid w:val="00B93CB9"/>
    <w:rsid w:val="00B969A3"/>
    <w:rsid w:val="00BA1A47"/>
    <w:rsid w:val="00BB2FCE"/>
    <w:rsid w:val="00BB3EB0"/>
    <w:rsid w:val="00BB61C6"/>
    <w:rsid w:val="00BD3D4B"/>
    <w:rsid w:val="00BD48E5"/>
    <w:rsid w:val="00BD4947"/>
    <w:rsid w:val="00BD624E"/>
    <w:rsid w:val="00BE6398"/>
    <w:rsid w:val="00BE6FA1"/>
    <w:rsid w:val="00BF0473"/>
    <w:rsid w:val="00C00A80"/>
    <w:rsid w:val="00C16F25"/>
    <w:rsid w:val="00C31DFF"/>
    <w:rsid w:val="00C47437"/>
    <w:rsid w:val="00C5799F"/>
    <w:rsid w:val="00C63B25"/>
    <w:rsid w:val="00C67265"/>
    <w:rsid w:val="00CA18F9"/>
    <w:rsid w:val="00CA6845"/>
    <w:rsid w:val="00CB2E51"/>
    <w:rsid w:val="00CC1D4C"/>
    <w:rsid w:val="00CC6107"/>
    <w:rsid w:val="00CD6F57"/>
    <w:rsid w:val="00CE276D"/>
    <w:rsid w:val="00CE3CC6"/>
    <w:rsid w:val="00CE7B15"/>
    <w:rsid w:val="00CF14CE"/>
    <w:rsid w:val="00D01CA3"/>
    <w:rsid w:val="00D0696E"/>
    <w:rsid w:val="00D14182"/>
    <w:rsid w:val="00D17007"/>
    <w:rsid w:val="00D20798"/>
    <w:rsid w:val="00D35205"/>
    <w:rsid w:val="00D64937"/>
    <w:rsid w:val="00D64A9C"/>
    <w:rsid w:val="00D76631"/>
    <w:rsid w:val="00D977A2"/>
    <w:rsid w:val="00DA32BA"/>
    <w:rsid w:val="00DB1786"/>
    <w:rsid w:val="00DD0E3C"/>
    <w:rsid w:val="00DD3C7C"/>
    <w:rsid w:val="00DD6143"/>
    <w:rsid w:val="00DD6BE8"/>
    <w:rsid w:val="00DE2D65"/>
    <w:rsid w:val="00DF122C"/>
    <w:rsid w:val="00DF2AFB"/>
    <w:rsid w:val="00E11C4B"/>
    <w:rsid w:val="00E135B2"/>
    <w:rsid w:val="00E162DB"/>
    <w:rsid w:val="00E1710F"/>
    <w:rsid w:val="00E27629"/>
    <w:rsid w:val="00E27748"/>
    <w:rsid w:val="00E325C2"/>
    <w:rsid w:val="00E35FF7"/>
    <w:rsid w:val="00E56039"/>
    <w:rsid w:val="00E701C5"/>
    <w:rsid w:val="00E83C68"/>
    <w:rsid w:val="00E86C83"/>
    <w:rsid w:val="00EA1D5D"/>
    <w:rsid w:val="00EB3B72"/>
    <w:rsid w:val="00EB3DA2"/>
    <w:rsid w:val="00EB7FF9"/>
    <w:rsid w:val="00EC3C1A"/>
    <w:rsid w:val="00ED2A4F"/>
    <w:rsid w:val="00ED7AD6"/>
    <w:rsid w:val="00EE4BA9"/>
    <w:rsid w:val="00EF1CDE"/>
    <w:rsid w:val="00EF5E2A"/>
    <w:rsid w:val="00F04C43"/>
    <w:rsid w:val="00F06184"/>
    <w:rsid w:val="00F06664"/>
    <w:rsid w:val="00F14336"/>
    <w:rsid w:val="00F2162D"/>
    <w:rsid w:val="00F25F5B"/>
    <w:rsid w:val="00F33A69"/>
    <w:rsid w:val="00F35633"/>
    <w:rsid w:val="00F35CF9"/>
    <w:rsid w:val="00F4070A"/>
    <w:rsid w:val="00F464EC"/>
    <w:rsid w:val="00F47FA9"/>
    <w:rsid w:val="00F53444"/>
    <w:rsid w:val="00F55CD0"/>
    <w:rsid w:val="00F70873"/>
    <w:rsid w:val="00F725A5"/>
    <w:rsid w:val="00F72C26"/>
    <w:rsid w:val="00F83405"/>
    <w:rsid w:val="00F95138"/>
    <w:rsid w:val="00FA49E1"/>
    <w:rsid w:val="00FA6E5A"/>
    <w:rsid w:val="00FB0F60"/>
    <w:rsid w:val="00FB15AA"/>
    <w:rsid w:val="00FB1AE3"/>
    <w:rsid w:val="00FB1D17"/>
    <w:rsid w:val="00FD5700"/>
    <w:rsid w:val="00FF0A1A"/>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32141E"/>
    <w:rPr>
      <w:color w:val="0000FF" w:themeColor="hyperlink"/>
      <w:u w:val="single"/>
    </w:rPr>
  </w:style>
  <w:style w:type="paragraph" w:customStyle="1" w:styleId="Default">
    <w:name w:val="Default"/>
    <w:rsid w:val="00810470"/>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793A83"/>
    <w:pPr>
      <w:spacing w:after="0" w:line="240" w:lineRule="auto"/>
    </w:pPr>
    <w:rPr>
      <w:rFonts w:ascii="Calibri" w:eastAsia="Calibri" w:hAnsi="Calibri" w:cs="Times New Roman"/>
      <w:lang w:val="es-MX"/>
    </w:rPr>
  </w:style>
  <w:style w:type="character" w:styleId="FollowedHyperlink">
    <w:name w:val="FollowedHyperlink"/>
    <w:basedOn w:val="DefaultParagraphFont"/>
    <w:uiPriority w:val="99"/>
    <w:semiHidden/>
    <w:unhideWhenUsed/>
    <w:rsid w:val="00793A83"/>
    <w:rPr>
      <w:color w:val="800080" w:themeColor="followedHyperlink"/>
      <w:u w:val="single"/>
    </w:rPr>
  </w:style>
  <w:style w:type="paragraph" w:styleId="Revision">
    <w:name w:val="Revision"/>
    <w:hidden/>
    <w:uiPriority w:val="99"/>
    <w:semiHidden/>
    <w:rsid w:val="00406F2F"/>
    <w:pPr>
      <w:spacing w:after="0" w:line="240" w:lineRule="auto"/>
    </w:pPr>
    <w:rPr>
      <w:rFonts w:ascii="Calibri" w:eastAsia="Calibri" w:hAnsi="Calibri" w:cs="Times New Roman"/>
      <w:lang w:val="es-MX"/>
    </w:rPr>
  </w:style>
  <w:style w:type="table" w:styleId="LightShading-Accent3">
    <w:name w:val="Light Shading Accent 3"/>
    <w:basedOn w:val="TableNormal"/>
    <w:uiPriority w:val="60"/>
    <w:rsid w:val="000D52F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4B59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B598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B598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UnresolvedMention">
    <w:name w:val="Unresolved Mention"/>
    <w:basedOn w:val="DefaultParagraphFont"/>
    <w:uiPriority w:val="99"/>
    <w:semiHidden/>
    <w:unhideWhenUsed/>
    <w:rsid w:val="000B7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rteidh.or.cr/docs/casos/articulos/seriec_393_es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7/11639Fondo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12834-E6B6-416C-8629-C6D1AD1F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2349</Words>
  <Characters>13390</Characters>
  <Application>Microsoft Office Word</Application>
  <DocSecurity>0</DocSecurity>
  <Lines>111</Lines>
  <Paragraphs>31</Paragraphs>
  <ScaleCrop>false</ScaleCrop>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2021-02-11T09:46:00Z</dcterms:created>
  <dcterms:modified xsi:type="dcterms:W3CDTF">2021-02-11T09:47:00Z</dcterms:modified>
</cp:coreProperties>
</file>