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2C529" w14:textId="77777777" w:rsidR="00CB56DA" w:rsidRDefault="00CB56DA" w:rsidP="00CB56DA">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60BD99DC" wp14:editId="64C47C1D">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60DA53A7" wp14:editId="32C815D2">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40F9DF33" wp14:editId="4CF46D0F">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D29654" w14:textId="77777777" w:rsidR="00CB56DA" w:rsidRPr="00411A74" w:rsidRDefault="00CB56DA" w:rsidP="00CB56DA">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49DDE596" w14:textId="77777777" w:rsidR="00CB56DA" w:rsidRDefault="00CB56DA" w:rsidP="00CB56DA">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4B1E5C98" w14:textId="77777777" w:rsidR="00C132A0" w:rsidRPr="004533E5" w:rsidRDefault="00C132A0" w:rsidP="00EB00E0">
      <w:pPr>
        <w:spacing w:after="0" w:line="240" w:lineRule="auto"/>
        <w:jc w:val="center"/>
        <w:outlineLvl w:val="0"/>
        <w:rPr>
          <w:rFonts w:ascii="Calibri Light" w:hAnsi="Calibri Light"/>
          <w:sz w:val="16"/>
          <w:szCs w:val="16"/>
          <w:lang w:val="es-PE"/>
        </w:rPr>
      </w:pPr>
    </w:p>
    <w:tbl>
      <w:tblPr>
        <w:tblStyle w:val="Tabladelista2-nfasis11"/>
        <w:tblW w:w="0" w:type="auto"/>
        <w:tblLook w:val="04A0" w:firstRow="1" w:lastRow="0" w:firstColumn="1" w:lastColumn="0" w:noHBand="0" w:noVBand="1"/>
      </w:tblPr>
      <w:tblGrid>
        <w:gridCol w:w="3678"/>
        <w:gridCol w:w="2490"/>
        <w:gridCol w:w="2553"/>
      </w:tblGrid>
      <w:tr w:rsidR="005173CF" w:rsidRPr="004533E5" w14:paraId="01A2F61A" w14:textId="77777777" w:rsidTr="00A94E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A94EE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3B11AB2E" w:rsidR="005173CF" w:rsidRPr="005A1DB6" w:rsidRDefault="00295E72" w:rsidP="004D35E0">
            <w:pP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sidRPr="00295E72">
              <w:rPr>
                <w:rFonts w:ascii="Calibri Light" w:hAnsi="Calibri Light"/>
              </w:rPr>
              <w:t>Mariana Selvas Gómez y otras</w:t>
            </w:r>
            <w:r w:rsidR="004D35E0">
              <w:rPr>
                <w:rFonts w:ascii="Calibri Light" w:hAnsi="Calibri Light"/>
              </w:rPr>
              <w:t>,</w:t>
            </w:r>
            <w:r w:rsidRPr="00295E72">
              <w:rPr>
                <w:rFonts w:ascii="Calibri Light" w:hAnsi="Calibri Light"/>
              </w:rPr>
              <w:t xml:space="preserve"> México</w:t>
            </w:r>
          </w:p>
        </w:tc>
      </w:tr>
      <w:tr w:rsidR="00F464EC" w:rsidRPr="004533E5" w14:paraId="59A6A8A1" w14:textId="77777777" w:rsidTr="00A94EE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2FE0C5F3" w:rsidR="00F464EC" w:rsidRPr="00295E72" w:rsidRDefault="00587FD1"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0DC5C748" w14:textId="77777777" w:rsidR="00F464EC" w:rsidRPr="00295E72" w:rsidRDefault="00295E72"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Centro de los Derechos Humanos Miguel Agustín Pro Juárez A.C. (PRODH)</w:t>
            </w:r>
          </w:p>
          <w:p w14:paraId="374B2A68" w14:textId="3C55E1B0" w:rsidR="00295E72" w:rsidRPr="00295E72" w:rsidRDefault="00295E72"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Centro por la Justicia y el Derecho Internacional (CEJIL)</w:t>
            </w:r>
          </w:p>
        </w:tc>
      </w:tr>
      <w:tr w:rsidR="005173CF" w:rsidRPr="004533E5" w14:paraId="3A483B4F" w14:textId="77777777" w:rsidTr="00A94EE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AC7F4"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4FFFC255" w:rsidR="005173CF" w:rsidRPr="00295E72" w:rsidRDefault="007E3D24" w:rsidP="00F07CF4">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CF2D40" w:rsidRPr="00295E72">
                <w:rPr>
                  <w:rStyle w:val="Hyperlink"/>
                  <w:rFonts w:ascii="Calibri Light" w:hAnsi="Calibri Light"/>
                </w:rPr>
                <w:t xml:space="preserve">Informe No. </w:t>
              </w:r>
              <w:r w:rsidR="00295E72" w:rsidRPr="00295E72">
                <w:rPr>
                  <w:rStyle w:val="Hyperlink"/>
                  <w:rFonts w:ascii="Calibri Light" w:hAnsi="Calibri Light"/>
                </w:rPr>
                <w:t>74/15</w:t>
              </w:r>
            </w:hyperlink>
          </w:p>
        </w:tc>
      </w:tr>
      <w:tr w:rsidR="004533E5" w:rsidRPr="004533E5" w14:paraId="5EC10F5F" w14:textId="77777777" w:rsidTr="00A94EE7">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255D4274" w:rsidR="005173CF" w:rsidRPr="00295E72" w:rsidRDefault="001077C9" w:rsidP="00F07CF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Informe de Fondo</w:t>
            </w:r>
            <w:r w:rsidR="00243C42" w:rsidRPr="00295E72">
              <w:rPr>
                <w:rFonts w:ascii="Calibri Light" w:hAnsi="Calibri Light"/>
              </w:rPr>
              <w:t xml:space="preserve"> </w:t>
            </w:r>
            <w:r w:rsidR="00F07CF4" w:rsidRPr="00295E72">
              <w:rPr>
                <w:rFonts w:ascii="Calibri Light" w:hAnsi="Calibri Light"/>
              </w:rPr>
              <w:t>(Caso en la Corte IDH)</w:t>
            </w:r>
          </w:p>
        </w:tc>
      </w:tr>
      <w:tr w:rsidR="005173CF" w:rsidRPr="004533E5" w14:paraId="7ED5AB61" w14:textId="77777777" w:rsidTr="00A94EE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1455D1A9" w:rsidR="005173CF" w:rsidRPr="005A1DB6" w:rsidRDefault="00295E72"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sidRPr="00295E72">
              <w:rPr>
                <w:rFonts w:ascii="Calibri Light" w:hAnsi="Calibri Light"/>
              </w:rPr>
              <w:t>28 de octubre de 2015</w:t>
            </w:r>
            <w:r w:rsidR="00954E20" w:rsidRPr="00295E72">
              <w:rPr>
                <w:rFonts w:ascii="Calibri Light" w:hAnsi="Calibri Light"/>
              </w:rPr>
              <w:t xml:space="preserve"> </w:t>
            </w:r>
          </w:p>
        </w:tc>
      </w:tr>
      <w:tr w:rsidR="004533E5" w:rsidRPr="004533E5" w14:paraId="1A0D058F" w14:textId="77777777" w:rsidTr="00E70716">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vAlign w:val="center"/>
          </w:tcPr>
          <w:p w14:paraId="7B5BBAD1" w14:textId="77777777" w:rsidR="0042581C" w:rsidRDefault="00243C42" w:rsidP="00295E72">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 xml:space="preserve">Informe </w:t>
            </w:r>
            <w:r w:rsidR="0042581C" w:rsidRPr="00295E72">
              <w:rPr>
                <w:rFonts w:ascii="Calibri Light" w:hAnsi="Calibri Light"/>
              </w:rPr>
              <w:t xml:space="preserve">No. </w:t>
            </w:r>
            <w:r w:rsidR="00295E72" w:rsidRPr="00295E72">
              <w:rPr>
                <w:rFonts w:ascii="Calibri Light" w:hAnsi="Calibri Light"/>
              </w:rPr>
              <w:t>158</w:t>
            </w:r>
            <w:r w:rsidRPr="00295E72">
              <w:rPr>
                <w:rFonts w:ascii="Calibri Light" w:hAnsi="Calibri Light"/>
              </w:rPr>
              <w:t>/</w:t>
            </w:r>
            <w:r w:rsidR="00295E72" w:rsidRPr="00295E72">
              <w:rPr>
                <w:rFonts w:ascii="Calibri Light" w:hAnsi="Calibri Light"/>
              </w:rPr>
              <w:t>11</w:t>
            </w:r>
            <w:r w:rsidRPr="00295E72">
              <w:rPr>
                <w:rFonts w:ascii="Calibri Light" w:hAnsi="Calibri Light"/>
              </w:rPr>
              <w:t xml:space="preserve"> (</w:t>
            </w:r>
            <w:hyperlink r:id="rId13" w:history="1">
              <w:r w:rsidRPr="00295E72">
                <w:rPr>
                  <w:rStyle w:val="Hyperlink"/>
                  <w:rFonts w:ascii="Calibri Light" w:hAnsi="Calibri Light"/>
                </w:rPr>
                <w:t>Admisibilidad</w:t>
              </w:r>
            </w:hyperlink>
            <w:r w:rsidRPr="00295E72">
              <w:rPr>
                <w:rFonts w:ascii="Calibri Light" w:hAnsi="Calibri Light"/>
              </w:rPr>
              <w:t>)</w:t>
            </w:r>
          </w:p>
          <w:p w14:paraId="72EA1AA4" w14:textId="5F3B7A6B" w:rsidR="00422D26" w:rsidRPr="00295E72" w:rsidRDefault="00422D26" w:rsidP="00422D2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Mujeres Víctimas de Tortura Sexual en Atenco vs. México (</w:t>
            </w:r>
            <w:hyperlink r:id="rId14" w:history="1">
              <w:r w:rsidRPr="00422D26">
                <w:rPr>
                  <w:rStyle w:val="Hyperlink"/>
                  <w:rFonts w:ascii="Calibri Light" w:hAnsi="Calibri Light"/>
                </w:rPr>
                <w:t>Sentencia de 28 de noviembre de 2018</w:t>
              </w:r>
            </w:hyperlink>
            <w:r>
              <w:rPr>
                <w:rFonts w:ascii="Calibri Light" w:hAnsi="Calibri Light"/>
              </w:rPr>
              <w:t>)</w:t>
            </w:r>
          </w:p>
        </w:tc>
      </w:tr>
      <w:tr w:rsidR="004C2E50" w:rsidRPr="004533E5" w14:paraId="570485B4" w14:textId="77777777" w:rsidTr="00A94E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4C2E50" w:rsidRDefault="004C2E50"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44612EDF" w:rsidR="004C2E50" w:rsidRPr="00295E72" w:rsidRDefault="004C2E50" w:rsidP="000F3B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295E72">
              <w:rPr>
                <w:rFonts w:ascii="Calibri Light" w:hAnsi="Calibri Light"/>
              </w:rPr>
              <w:t>Convención Americana sobre Derechos Humanos</w:t>
            </w:r>
          </w:p>
        </w:tc>
      </w:tr>
      <w:tr w:rsidR="004C2E50" w:rsidRPr="004533E5" w14:paraId="59D19EAD" w14:textId="3753DE07" w:rsidTr="00A94EE7">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7BB3A97" w14:textId="77777777" w:rsidR="004C2E50" w:rsidRDefault="004C2E50" w:rsidP="00A65231">
            <w:pPr>
              <w:pStyle w:val="ListParagraph"/>
              <w:numPr>
                <w:ilvl w:val="0"/>
                <w:numId w:val="3"/>
              </w:numPr>
              <w:rPr>
                <w:rFonts w:ascii="Calibri Light" w:hAnsi="Calibri Light"/>
              </w:rPr>
            </w:pPr>
          </w:p>
        </w:tc>
        <w:tc>
          <w:tcPr>
            <w:tcW w:w="2490" w:type="dxa"/>
          </w:tcPr>
          <w:p w14:paraId="04C377A5" w14:textId="03DDDCE4" w:rsidR="004C2E50" w:rsidRPr="00295E72" w:rsidRDefault="004C2E50" w:rsidP="000F3BC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declarados violados</w:t>
            </w:r>
          </w:p>
        </w:tc>
        <w:tc>
          <w:tcPr>
            <w:tcW w:w="2553" w:type="dxa"/>
          </w:tcPr>
          <w:p w14:paraId="277975FB" w14:textId="56CF35CB" w:rsidR="004C2E50" w:rsidRPr="00295E72" w:rsidRDefault="004C2E50" w:rsidP="000F3BC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no declarados violados</w:t>
            </w:r>
          </w:p>
        </w:tc>
      </w:tr>
      <w:tr w:rsidR="004C2E50" w:rsidRPr="00A94EE7" w14:paraId="4F41E916" w14:textId="77777777" w:rsidTr="00A94EE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1D1C3694" w14:textId="77777777" w:rsidR="004C2E50" w:rsidRDefault="004C2E50" w:rsidP="00A65231">
            <w:pPr>
              <w:pStyle w:val="ListParagraph"/>
              <w:numPr>
                <w:ilvl w:val="0"/>
                <w:numId w:val="3"/>
              </w:numPr>
              <w:rPr>
                <w:rFonts w:ascii="Calibri Light" w:hAnsi="Calibri Light"/>
              </w:rPr>
            </w:pPr>
          </w:p>
        </w:tc>
        <w:tc>
          <w:tcPr>
            <w:tcW w:w="2490" w:type="dxa"/>
          </w:tcPr>
          <w:p w14:paraId="5E6682FC" w14:textId="243EEC0E" w:rsidR="004C2E50" w:rsidRPr="0058678D" w:rsidRDefault="004C2E50" w:rsidP="000F3B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n-US"/>
              </w:rPr>
            </w:pPr>
            <w:r w:rsidRPr="0058678D">
              <w:rPr>
                <w:rFonts w:ascii="Calibri Light" w:hAnsi="Calibri Light"/>
                <w:lang w:val="en-US"/>
              </w:rPr>
              <w:t xml:space="preserve">Art. </w:t>
            </w:r>
            <w:r w:rsidR="0005763B" w:rsidRPr="0058678D">
              <w:rPr>
                <w:rFonts w:ascii="Calibri Light" w:hAnsi="Calibri Light"/>
                <w:lang w:val="en-US"/>
              </w:rPr>
              <w:t xml:space="preserve">1, art. </w:t>
            </w:r>
            <w:r w:rsidRPr="00086AB2">
              <w:rPr>
                <w:rFonts w:ascii="Calibri Light" w:hAnsi="Calibri Light"/>
                <w:lang w:val="en-US"/>
              </w:rPr>
              <w:t xml:space="preserve">5, art. 7, art. 8, art. 11, art. 24, art. 25 </w:t>
            </w:r>
          </w:p>
        </w:tc>
        <w:tc>
          <w:tcPr>
            <w:tcW w:w="2553" w:type="dxa"/>
            <w:vAlign w:val="center"/>
          </w:tcPr>
          <w:p w14:paraId="1DBBF8BB" w14:textId="2D7D4AB9" w:rsidR="004C2E50" w:rsidRPr="005A1DB6" w:rsidRDefault="004C2E50" w:rsidP="000F3BC6">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s-PE"/>
              </w:rPr>
            </w:pPr>
            <w:r w:rsidRPr="004E58DE">
              <w:rPr>
                <w:rFonts w:ascii="Calibri Light" w:hAnsi="Calibri Light"/>
                <w:lang w:val="es-PE"/>
              </w:rPr>
              <w:t>-</w:t>
            </w:r>
          </w:p>
        </w:tc>
      </w:tr>
      <w:tr w:rsidR="004C2E50" w:rsidRPr="00A94EE7" w14:paraId="300C0C96" w14:textId="77777777" w:rsidTr="00B44EA1">
        <w:trPr>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5D477F82" w14:textId="77777777" w:rsidR="004C2E50" w:rsidRDefault="004C2E50" w:rsidP="00A65231">
            <w:pPr>
              <w:pStyle w:val="ListParagraph"/>
              <w:numPr>
                <w:ilvl w:val="0"/>
                <w:numId w:val="3"/>
              </w:numPr>
              <w:rPr>
                <w:rFonts w:ascii="Calibri Light" w:hAnsi="Calibri Light"/>
              </w:rPr>
            </w:pPr>
          </w:p>
        </w:tc>
        <w:tc>
          <w:tcPr>
            <w:tcW w:w="5043" w:type="dxa"/>
            <w:gridSpan w:val="2"/>
          </w:tcPr>
          <w:p w14:paraId="0A350BA2" w14:textId="7AEA7D36" w:rsidR="004C2E50" w:rsidRPr="004E58DE" w:rsidRDefault="004C2E50" w:rsidP="000F3BC6">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4C2E50">
              <w:rPr>
                <w:rFonts w:ascii="Calibri Light" w:hAnsi="Calibri Light"/>
                <w:lang w:val="es-PE"/>
              </w:rPr>
              <w:t>Convención Interamericana para Prevenir y Sancionar la Tortura</w:t>
            </w:r>
          </w:p>
        </w:tc>
      </w:tr>
      <w:tr w:rsidR="004C2E50" w:rsidRPr="00A94EE7" w14:paraId="4FBC1962" w14:textId="77777777" w:rsidTr="00B44E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1323E1E9" w14:textId="77777777" w:rsidR="004C2E50" w:rsidRDefault="004C2E50" w:rsidP="00A65231">
            <w:pPr>
              <w:pStyle w:val="ListParagraph"/>
              <w:numPr>
                <w:ilvl w:val="0"/>
                <w:numId w:val="3"/>
              </w:numPr>
              <w:rPr>
                <w:rFonts w:ascii="Calibri Light" w:hAnsi="Calibri Light"/>
              </w:rPr>
            </w:pPr>
          </w:p>
        </w:tc>
        <w:tc>
          <w:tcPr>
            <w:tcW w:w="2490" w:type="dxa"/>
          </w:tcPr>
          <w:p w14:paraId="629E750B" w14:textId="44D8DDDF" w:rsidR="004C2E50" w:rsidRPr="004C2E50" w:rsidRDefault="004C2E50" w:rsidP="000F3B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295E72">
              <w:rPr>
                <w:rFonts w:ascii="Calibri Light" w:hAnsi="Calibri Light"/>
              </w:rPr>
              <w:t>Artículos analizados declarados violados</w:t>
            </w:r>
          </w:p>
        </w:tc>
        <w:tc>
          <w:tcPr>
            <w:tcW w:w="2553" w:type="dxa"/>
          </w:tcPr>
          <w:p w14:paraId="73FD192F" w14:textId="4EC48E26" w:rsidR="004C2E50" w:rsidRPr="004E58DE" w:rsidRDefault="004C2E50" w:rsidP="000F3B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295E72">
              <w:rPr>
                <w:rFonts w:ascii="Calibri Light" w:hAnsi="Calibri Light"/>
              </w:rPr>
              <w:t>Artículos analizados no declarados violados</w:t>
            </w:r>
          </w:p>
        </w:tc>
      </w:tr>
      <w:tr w:rsidR="004C2E50" w:rsidRPr="00A94EE7" w14:paraId="00F22D8A" w14:textId="77777777" w:rsidTr="00A94EE7">
        <w:trPr>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3CFD726E" w14:textId="77777777" w:rsidR="004C2E50" w:rsidRDefault="004C2E50" w:rsidP="00A65231">
            <w:pPr>
              <w:pStyle w:val="ListParagraph"/>
              <w:numPr>
                <w:ilvl w:val="0"/>
                <w:numId w:val="3"/>
              </w:numPr>
              <w:rPr>
                <w:rFonts w:ascii="Calibri Light" w:hAnsi="Calibri Light"/>
              </w:rPr>
            </w:pPr>
          </w:p>
        </w:tc>
        <w:tc>
          <w:tcPr>
            <w:tcW w:w="2490" w:type="dxa"/>
          </w:tcPr>
          <w:p w14:paraId="621BC15F" w14:textId="7B14C9FA" w:rsidR="004C2E50" w:rsidRPr="004C2E50" w:rsidRDefault="004C2E50" w:rsidP="000F3BC6">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lang w:val="es-PE"/>
              </w:rPr>
              <w:t>Art. 1, art. 6, art. 8</w:t>
            </w:r>
          </w:p>
        </w:tc>
        <w:tc>
          <w:tcPr>
            <w:tcW w:w="2553" w:type="dxa"/>
            <w:vAlign w:val="center"/>
          </w:tcPr>
          <w:p w14:paraId="5DD64A6D" w14:textId="658E3559" w:rsidR="004C2E50" w:rsidRPr="004E58DE" w:rsidRDefault="004C2E50" w:rsidP="000F3BC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lang w:val="es-PE"/>
              </w:rPr>
              <w:t>-</w:t>
            </w:r>
          </w:p>
        </w:tc>
      </w:tr>
      <w:tr w:rsidR="004C2E50" w:rsidRPr="00A94EE7" w14:paraId="301F287D" w14:textId="77777777" w:rsidTr="00B44E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4BB59DBC" w14:textId="77777777" w:rsidR="004C2E50" w:rsidRDefault="004C2E50" w:rsidP="00A65231">
            <w:pPr>
              <w:pStyle w:val="ListParagraph"/>
              <w:numPr>
                <w:ilvl w:val="0"/>
                <w:numId w:val="3"/>
              </w:numPr>
              <w:rPr>
                <w:rFonts w:ascii="Calibri Light" w:hAnsi="Calibri Light"/>
              </w:rPr>
            </w:pPr>
          </w:p>
        </w:tc>
        <w:tc>
          <w:tcPr>
            <w:tcW w:w="5043" w:type="dxa"/>
            <w:gridSpan w:val="2"/>
          </w:tcPr>
          <w:p w14:paraId="3BD9DDCF" w14:textId="4E2B901F" w:rsidR="004C2E50" w:rsidRPr="004E58DE" w:rsidRDefault="004C2E50" w:rsidP="000F3B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4C2E50">
              <w:rPr>
                <w:rFonts w:ascii="Calibri Light" w:hAnsi="Calibri Light"/>
                <w:lang w:val="es-PE"/>
              </w:rPr>
              <w:t>Convención Interamericana para Prevenir Sancionar y Erradicar la Violencia contra la Mujer</w:t>
            </w:r>
          </w:p>
        </w:tc>
      </w:tr>
      <w:tr w:rsidR="004C2E50" w:rsidRPr="00A94EE7" w14:paraId="218A9B1B" w14:textId="77777777" w:rsidTr="00B44EA1">
        <w:trPr>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684BE2B8" w14:textId="77777777" w:rsidR="004C2E50" w:rsidRDefault="004C2E50" w:rsidP="00A65231">
            <w:pPr>
              <w:pStyle w:val="ListParagraph"/>
              <w:numPr>
                <w:ilvl w:val="0"/>
                <w:numId w:val="3"/>
              </w:numPr>
              <w:rPr>
                <w:rFonts w:ascii="Calibri Light" w:hAnsi="Calibri Light"/>
              </w:rPr>
            </w:pPr>
          </w:p>
        </w:tc>
        <w:tc>
          <w:tcPr>
            <w:tcW w:w="2490" w:type="dxa"/>
          </w:tcPr>
          <w:p w14:paraId="4245A4F4" w14:textId="5AF47C39" w:rsidR="004C2E50" w:rsidRPr="004C2E50" w:rsidRDefault="004C2E50" w:rsidP="000F3BC6">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295E72">
              <w:rPr>
                <w:rFonts w:ascii="Calibri Light" w:hAnsi="Calibri Light"/>
              </w:rPr>
              <w:t>Artículos analizados declarados violados</w:t>
            </w:r>
          </w:p>
        </w:tc>
        <w:tc>
          <w:tcPr>
            <w:tcW w:w="2553" w:type="dxa"/>
          </w:tcPr>
          <w:p w14:paraId="04D60501" w14:textId="704E75A3" w:rsidR="004C2E50" w:rsidRPr="004E58DE" w:rsidRDefault="004C2E50" w:rsidP="000F3BC6">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295E72">
              <w:rPr>
                <w:rFonts w:ascii="Calibri Light" w:hAnsi="Calibri Light"/>
              </w:rPr>
              <w:t>Artículos analizados no declarados violados</w:t>
            </w:r>
          </w:p>
        </w:tc>
      </w:tr>
      <w:tr w:rsidR="004C2E50" w:rsidRPr="00A94EE7" w14:paraId="76475775" w14:textId="77777777" w:rsidTr="00A94EE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5FC623EB" w14:textId="77777777" w:rsidR="004C2E50" w:rsidRDefault="004C2E50" w:rsidP="00A65231">
            <w:pPr>
              <w:pStyle w:val="ListParagraph"/>
              <w:numPr>
                <w:ilvl w:val="0"/>
                <w:numId w:val="3"/>
              </w:numPr>
              <w:rPr>
                <w:rFonts w:ascii="Calibri Light" w:hAnsi="Calibri Light"/>
              </w:rPr>
            </w:pPr>
          </w:p>
        </w:tc>
        <w:tc>
          <w:tcPr>
            <w:tcW w:w="2490" w:type="dxa"/>
          </w:tcPr>
          <w:p w14:paraId="4F5CC6B6" w14:textId="034C1C20" w:rsidR="004C2E50" w:rsidRPr="004C2E50" w:rsidRDefault="004C2E50" w:rsidP="000F3B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Art. 7</w:t>
            </w:r>
          </w:p>
        </w:tc>
        <w:tc>
          <w:tcPr>
            <w:tcW w:w="2553" w:type="dxa"/>
            <w:vAlign w:val="center"/>
          </w:tcPr>
          <w:p w14:paraId="354013E0" w14:textId="0D03F3BE" w:rsidR="004C2E50" w:rsidRPr="004E58DE" w:rsidRDefault="004C2E50" w:rsidP="000F3BC6">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w:t>
            </w:r>
          </w:p>
        </w:tc>
      </w:tr>
      <w:tr w:rsidR="004C2E50" w:rsidRPr="004533E5" w14:paraId="54B7813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33F046F3" w:rsidR="004C2E50" w:rsidRPr="00E70716" w:rsidRDefault="004C2E50" w:rsidP="00AC6F31">
            <w:pPr>
              <w:pStyle w:val="ListParagraph"/>
              <w:rPr>
                <w:rFonts w:ascii="Calibri Light" w:hAnsi="Calibri Light"/>
                <w:lang w:val="es-PE"/>
              </w:rPr>
            </w:pPr>
          </w:p>
          <w:p w14:paraId="1ECE5967" w14:textId="77777777" w:rsidR="004C2E50" w:rsidRDefault="004C2E50"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4C2E50" w:rsidRPr="004533E5" w:rsidRDefault="004C2E50" w:rsidP="00AC6F31">
            <w:pPr>
              <w:pStyle w:val="ListParagraph"/>
              <w:rPr>
                <w:rFonts w:ascii="Calibri Light" w:hAnsi="Calibri Light"/>
              </w:rPr>
            </w:pPr>
          </w:p>
        </w:tc>
      </w:tr>
      <w:tr w:rsidR="004C2E50" w:rsidRPr="004533E5" w14:paraId="6B670455" w14:textId="77777777" w:rsidTr="00A94EE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5C62C63C" w14:textId="77777777" w:rsidR="004C2E50" w:rsidRDefault="004C2E50" w:rsidP="00243C42">
            <w:pPr>
              <w:jc w:val="both"/>
              <w:rPr>
                <w:rFonts w:ascii="Calibri Light" w:hAnsi="Calibri Light"/>
                <w:b w:val="0"/>
              </w:rPr>
            </w:pPr>
          </w:p>
          <w:p w14:paraId="4088EC05" w14:textId="26C8C6A9" w:rsidR="003A0CC7" w:rsidRDefault="003A0CC7" w:rsidP="00243C42">
            <w:pPr>
              <w:jc w:val="both"/>
              <w:rPr>
                <w:rFonts w:ascii="Calibri Light" w:hAnsi="Calibri Light"/>
                <w:b w:val="0"/>
              </w:rPr>
            </w:pPr>
            <w:r>
              <w:rPr>
                <w:rFonts w:ascii="Calibri Light" w:hAnsi="Calibri Light"/>
                <w:b w:val="0"/>
              </w:rPr>
              <w:t>El caso trata sobre la detención</w:t>
            </w:r>
            <w:r w:rsidR="00DF3C05">
              <w:rPr>
                <w:rFonts w:ascii="Calibri Light" w:hAnsi="Calibri Light"/>
                <w:b w:val="0"/>
              </w:rPr>
              <w:t xml:space="preserve"> de</w:t>
            </w:r>
            <w:r w:rsidR="004C0481">
              <w:rPr>
                <w:rFonts w:ascii="Calibri Light" w:hAnsi="Calibri Light"/>
                <w:b w:val="0"/>
              </w:rPr>
              <w:t xml:space="preserve"> </w:t>
            </w:r>
            <w:r>
              <w:rPr>
                <w:rFonts w:ascii="Calibri Light" w:hAnsi="Calibri Light"/>
                <w:b w:val="0"/>
              </w:rPr>
              <w:t xml:space="preserve">Mariana Selvas Gómez y otras diez mujeres, en el marco de los operativos </w:t>
            </w:r>
            <w:r w:rsidR="00E13FCE">
              <w:rPr>
                <w:rFonts w:ascii="Calibri Light" w:hAnsi="Calibri Light"/>
                <w:b w:val="0"/>
              </w:rPr>
              <w:t xml:space="preserve">policiales </w:t>
            </w:r>
            <w:r>
              <w:rPr>
                <w:rFonts w:ascii="Calibri Light" w:hAnsi="Calibri Light"/>
                <w:b w:val="0"/>
              </w:rPr>
              <w:t xml:space="preserve">que se realizaron por </w:t>
            </w:r>
            <w:r w:rsidR="000F3BC6">
              <w:rPr>
                <w:rFonts w:ascii="Calibri Light" w:hAnsi="Calibri Light"/>
                <w:b w:val="0"/>
              </w:rPr>
              <w:t xml:space="preserve">las </w:t>
            </w:r>
            <w:r>
              <w:rPr>
                <w:rFonts w:ascii="Calibri Light" w:hAnsi="Calibri Light"/>
                <w:b w:val="0"/>
              </w:rPr>
              <w:t>protestas de floricultores y otros grupos</w:t>
            </w:r>
            <w:r w:rsidR="004C0481">
              <w:rPr>
                <w:rFonts w:ascii="Calibri Light" w:hAnsi="Calibri Light"/>
                <w:b w:val="0"/>
              </w:rPr>
              <w:t xml:space="preserve"> en conflicto</w:t>
            </w:r>
            <w:r w:rsidR="00E13FCE">
              <w:rPr>
                <w:rFonts w:ascii="Calibri Light" w:hAnsi="Calibri Light"/>
                <w:b w:val="0"/>
              </w:rPr>
              <w:t xml:space="preserve"> en los municipios de </w:t>
            </w:r>
            <w:r w:rsidR="00762060">
              <w:rPr>
                <w:rFonts w:ascii="Calibri Light" w:hAnsi="Calibri Light"/>
                <w:b w:val="0"/>
              </w:rPr>
              <w:t>Texcoco y San Salvador Atenco</w:t>
            </w:r>
            <w:r>
              <w:rPr>
                <w:rFonts w:ascii="Calibri Light" w:hAnsi="Calibri Light"/>
                <w:b w:val="0"/>
              </w:rPr>
              <w:t xml:space="preserve">. </w:t>
            </w:r>
            <w:r w:rsidR="00762060">
              <w:rPr>
                <w:rFonts w:ascii="Calibri Light" w:hAnsi="Calibri Light"/>
                <w:b w:val="0"/>
              </w:rPr>
              <w:t>En ese contexto</w:t>
            </w:r>
            <w:r>
              <w:rPr>
                <w:rFonts w:ascii="Calibri Light" w:hAnsi="Calibri Light"/>
                <w:b w:val="0"/>
              </w:rPr>
              <w:t xml:space="preserve">, </w:t>
            </w:r>
            <w:r w:rsidR="00DF3C05">
              <w:rPr>
                <w:rFonts w:ascii="Calibri Light" w:hAnsi="Calibri Light"/>
                <w:b w:val="0"/>
              </w:rPr>
              <w:t xml:space="preserve">estas </w:t>
            </w:r>
            <w:r w:rsidR="00EE6130">
              <w:rPr>
                <w:rFonts w:ascii="Calibri Light" w:hAnsi="Calibri Light"/>
                <w:b w:val="0"/>
              </w:rPr>
              <w:t xml:space="preserve">11 </w:t>
            </w:r>
            <w:r>
              <w:rPr>
                <w:rFonts w:ascii="Calibri Light" w:hAnsi="Calibri Light"/>
                <w:b w:val="0"/>
              </w:rPr>
              <w:t xml:space="preserve">mujeres fueron víctimas de diversas formas de </w:t>
            </w:r>
            <w:r w:rsidRPr="003A0CC7">
              <w:rPr>
                <w:rFonts w:ascii="Calibri Light" w:hAnsi="Calibri Light"/>
                <w:b w:val="0"/>
              </w:rPr>
              <w:t>violencia física, psicológica, de agresiones sexuales y, en algunos casos, de violación sexual</w:t>
            </w:r>
            <w:r>
              <w:rPr>
                <w:rFonts w:ascii="Calibri Light" w:hAnsi="Calibri Light"/>
                <w:b w:val="0"/>
              </w:rPr>
              <w:t xml:space="preserve">. </w:t>
            </w:r>
            <w:r w:rsidR="00DF3C05">
              <w:rPr>
                <w:rFonts w:ascii="Calibri Light" w:hAnsi="Calibri Light"/>
                <w:b w:val="0"/>
              </w:rPr>
              <w:t>E</w:t>
            </w:r>
            <w:r>
              <w:rPr>
                <w:rFonts w:ascii="Calibri Light" w:hAnsi="Calibri Light"/>
                <w:b w:val="0"/>
              </w:rPr>
              <w:t>l Estado reconoció que se cometieron hechos de violencia de género y tortura en perjuicio de ellas.</w:t>
            </w:r>
          </w:p>
          <w:p w14:paraId="1EE5A7E7" w14:textId="69048BF9" w:rsidR="004C2E50" w:rsidRPr="004533E5" w:rsidRDefault="004C2E50" w:rsidP="00243C42">
            <w:pPr>
              <w:jc w:val="both"/>
              <w:rPr>
                <w:rFonts w:ascii="Calibri Light" w:hAnsi="Calibri Light"/>
                <w:b w:val="0"/>
              </w:rPr>
            </w:pPr>
          </w:p>
        </w:tc>
      </w:tr>
      <w:tr w:rsidR="004C2E50" w:rsidRPr="004533E5" w14:paraId="238A2196"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4C2E50" w:rsidRDefault="004C2E50" w:rsidP="00AC6F31">
            <w:pPr>
              <w:pStyle w:val="ListParagraph"/>
              <w:rPr>
                <w:rFonts w:ascii="Calibri Light" w:hAnsi="Calibri Light"/>
              </w:rPr>
            </w:pPr>
          </w:p>
          <w:p w14:paraId="6E7AC4B8" w14:textId="77777777" w:rsidR="004C2E50" w:rsidRDefault="004C2E50"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4C2E50" w:rsidRPr="004533E5" w:rsidRDefault="004C2E50" w:rsidP="00AC6F31">
            <w:pPr>
              <w:pStyle w:val="ListParagraph"/>
              <w:rPr>
                <w:rFonts w:ascii="Calibri Light" w:hAnsi="Calibri Light"/>
              </w:rPr>
            </w:pPr>
          </w:p>
        </w:tc>
      </w:tr>
      <w:tr w:rsidR="004C2E50" w:rsidRPr="004533E5" w14:paraId="34AE2D45" w14:textId="77777777" w:rsidTr="00E7071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3F9C6288" w14:textId="77777777" w:rsidR="004C2E50" w:rsidRDefault="004C2E50" w:rsidP="00E70716">
            <w:pPr>
              <w:rPr>
                <w:rFonts w:ascii="Calibri Light" w:hAnsi="Calibri Light"/>
                <w:b w:val="0"/>
              </w:rPr>
            </w:pPr>
          </w:p>
          <w:p w14:paraId="6D7CCD73" w14:textId="1E3DEB3E" w:rsidR="004C2E50" w:rsidRDefault="00790783" w:rsidP="0042581C">
            <w:pPr>
              <w:jc w:val="both"/>
              <w:rPr>
                <w:rFonts w:ascii="Calibri Light" w:hAnsi="Calibri Light"/>
                <w:b w:val="0"/>
              </w:rPr>
            </w:pPr>
            <w:r>
              <w:rPr>
                <w:rFonts w:ascii="Calibri Light" w:hAnsi="Calibri Light"/>
                <w:b w:val="0"/>
              </w:rPr>
              <w:lastRenderedPageBreak/>
              <w:t>Belem do Pará, CIPST, Integridad personal, Libertad personal, Mujer, Protección judicial y garantías judiciales, Tortura tratos crueles inhumanos o degradantes, Violencia sexual</w:t>
            </w:r>
          </w:p>
          <w:p w14:paraId="05374712" w14:textId="47F3DA48" w:rsidR="004C2E50" w:rsidRPr="004533E5" w:rsidRDefault="004C2E50" w:rsidP="0042581C">
            <w:pPr>
              <w:jc w:val="both"/>
              <w:rPr>
                <w:rFonts w:ascii="Calibri Light" w:hAnsi="Calibri Light"/>
                <w:b w:val="0"/>
              </w:rPr>
            </w:pPr>
          </w:p>
        </w:tc>
      </w:tr>
      <w:tr w:rsidR="004C2E50" w:rsidRPr="004533E5" w14:paraId="69044E7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4C2E50" w:rsidRDefault="004C2E50" w:rsidP="00AC6F31">
            <w:pPr>
              <w:pStyle w:val="ListParagraph"/>
              <w:rPr>
                <w:rFonts w:ascii="Calibri Light" w:hAnsi="Calibri Light"/>
              </w:rPr>
            </w:pPr>
          </w:p>
          <w:p w14:paraId="177FF988" w14:textId="77777777" w:rsidR="004C2E50" w:rsidRDefault="004C2E50"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4C2E50" w:rsidRPr="004533E5" w:rsidRDefault="004C2E50" w:rsidP="00AC6F31">
            <w:pPr>
              <w:pStyle w:val="ListParagraph"/>
              <w:rPr>
                <w:rFonts w:ascii="Calibri Light" w:hAnsi="Calibri Light"/>
              </w:rPr>
            </w:pPr>
          </w:p>
        </w:tc>
      </w:tr>
      <w:tr w:rsidR="004C2E50" w:rsidRPr="004533E5" w14:paraId="6F58DE83" w14:textId="77777777" w:rsidTr="00A94EE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4A8AFC89" w:rsidR="004C2E50" w:rsidRDefault="004C2E50" w:rsidP="008036E7">
            <w:pPr>
              <w:jc w:val="both"/>
              <w:rPr>
                <w:rFonts w:ascii="Calibri Light" w:hAnsi="Calibri Light"/>
                <w:b w:val="0"/>
              </w:rPr>
            </w:pPr>
          </w:p>
          <w:p w14:paraId="62E9B86C" w14:textId="6EA68105" w:rsidR="00A464B0" w:rsidRDefault="003A0CC7" w:rsidP="00732BC0">
            <w:pPr>
              <w:jc w:val="both"/>
              <w:rPr>
                <w:rFonts w:ascii="Calibri Light" w:hAnsi="Calibri Light"/>
                <w:b w:val="0"/>
              </w:rPr>
            </w:pPr>
            <w:r w:rsidRPr="00103C4C">
              <w:rPr>
                <w:rFonts w:ascii="Calibri Light" w:hAnsi="Calibri Light"/>
                <w:b w:val="0"/>
              </w:rPr>
              <w:t xml:space="preserve">Los días 3 y 4 de mayo de 2006, se realizaron operativos </w:t>
            </w:r>
            <w:r w:rsidR="00B90050">
              <w:rPr>
                <w:rFonts w:ascii="Calibri Light" w:hAnsi="Calibri Light"/>
                <w:b w:val="0"/>
              </w:rPr>
              <w:t>policiale</w:t>
            </w:r>
            <w:r w:rsidR="00B90050" w:rsidRPr="00103C4C">
              <w:rPr>
                <w:rFonts w:ascii="Calibri Light" w:hAnsi="Calibri Light"/>
                <w:b w:val="0"/>
              </w:rPr>
              <w:t xml:space="preserve">s </w:t>
            </w:r>
            <w:r w:rsidRPr="00103C4C">
              <w:rPr>
                <w:rFonts w:ascii="Calibri Light" w:hAnsi="Calibri Light"/>
                <w:b w:val="0"/>
              </w:rPr>
              <w:t xml:space="preserve">en los municipios de Texcoco y San Salvador Atenco, </w:t>
            </w:r>
            <w:r w:rsidR="00B90050">
              <w:rPr>
                <w:rFonts w:ascii="Calibri Light" w:hAnsi="Calibri Light"/>
                <w:b w:val="0"/>
              </w:rPr>
              <w:t>en el e</w:t>
            </w:r>
            <w:r w:rsidRPr="00103C4C">
              <w:rPr>
                <w:rFonts w:ascii="Calibri Light" w:hAnsi="Calibri Light"/>
                <w:b w:val="0"/>
              </w:rPr>
              <w:t xml:space="preserve">stado de México, </w:t>
            </w:r>
            <w:r w:rsidR="00B90050">
              <w:rPr>
                <w:rFonts w:ascii="Calibri Light" w:hAnsi="Calibri Light"/>
                <w:b w:val="0"/>
              </w:rPr>
              <w:t xml:space="preserve">como respuesta </w:t>
            </w:r>
            <w:r w:rsidR="000F3BC6">
              <w:rPr>
                <w:rFonts w:ascii="Calibri Light" w:hAnsi="Calibri Light"/>
                <w:b w:val="0"/>
              </w:rPr>
              <w:t>a las</w:t>
            </w:r>
            <w:r w:rsidRPr="00103C4C">
              <w:rPr>
                <w:rFonts w:ascii="Calibri Light" w:hAnsi="Calibri Light"/>
                <w:b w:val="0"/>
              </w:rPr>
              <w:t xml:space="preserve"> protestas </w:t>
            </w:r>
            <w:r w:rsidR="00985EE9">
              <w:rPr>
                <w:rFonts w:ascii="Calibri Light" w:hAnsi="Calibri Light"/>
                <w:b w:val="0"/>
              </w:rPr>
              <w:t>organizadas por</w:t>
            </w:r>
            <w:r w:rsidR="00985EE9" w:rsidRPr="00103C4C">
              <w:rPr>
                <w:rFonts w:ascii="Calibri Light" w:hAnsi="Calibri Light"/>
                <w:b w:val="0"/>
              </w:rPr>
              <w:t xml:space="preserve"> </w:t>
            </w:r>
            <w:r w:rsidR="00103C4C" w:rsidRPr="00103C4C">
              <w:rPr>
                <w:rFonts w:ascii="Calibri Light" w:hAnsi="Calibri Light"/>
                <w:b w:val="0"/>
              </w:rPr>
              <w:t xml:space="preserve">miembros de </w:t>
            </w:r>
            <w:r w:rsidR="00985EE9">
              <w:rPr>
                <w:rFonts w:ascii="Calibri Light" w:hAnsi="Calibri Light"/>
                <w:b w:val="0"/>
              </w:rPr>
              <w:t xml:space="preserve">los </w:t>
            </w:r>
            <w:r w:rsidR="00103C4C" w:rsidRPr="00103C4C">
              <w:rPr>
                <w:rFonts w:ascii="Calibri Light" w:hAnsi="Calibri Light"/>
                <w:b w:val="0"/>
              </w:rPr>
              <w:t>Floristas de Texcoco y del Frente de Pueblos en Defensa de la Tierra, entre otras personas</w:t>
            </w:r>
            <w:r w:rsidR="00985EE9">
              <w:rPr>
                <w:rFonts w:ascii="Calibri Light" w:hAnsi="Calibri Light"/>
                <w:b w:val="0"/>
              </w:rPr>
              <w:t xml:space="preserve">, al estar en desacuerdo </w:t>
            </w:r>
            <w:r w:rsidR="0051197B">
              <w:rPr>
                <w:rFonts w:ascii="Calibri Light" w:hAnsi="Calibri Light"/>
                <w:b w:val="0"/>
              </w:rPr>
              <w:t xml:space="preserve">con un convenio </w:t>
            </w:r>
            <w:r w:rsidR="0058678D">
              <w:rPr>
                <w:rFonts w:ascii="Calibri Light" w:hAnsi="Calibri Light"/>
                <w:b w:val="0"/>
              </w:rPr>
              <w:t xml:space="preserve">suscrito </w:t>
            </w:r>
            <w:r w:rsidR="0051197B">
              <w:rPr>
                <w:rFonts w:ascii="Calibri Light" w:hAnsi="Calibri Light"/>
                <w:b w:val="0"/>
              </w:rPr>
              <w:t xml:space="preserve">entre el gobierno y </w:t>
            </w:r>
            <w:r w:rsidR="00985EE9">
              <w:rPr>
                <w:rFonts w:ascii="Calibri Light" w:hAnsi="Calibri Light"/>
                <w:b w:val="0"/>
              </w:rPr>
              <w:t>sus</w:t>
            </w:r>
            <w:r w:rsidR="00673449">
              <w:rPr>
                <w:rFonts w:ascii="Calibri Light" w:hAnsi="Calibri Light"/>
                <w:b w:val="0"/>
              </w:rPr>
              <w:t xml:space="preserve"> </w:t>
            </w:r>
            <w:r w:rsidR="0051197B">
              <w:rPr>
                <w:rFonts w:ascii="Calibri Light" w:hAnsi="Calibri Light"/>
                <w:b w:val="0"/>
              </w:rPr>
              <w:t xml:space="preserve">supuestos representantes, </w:t>
            </w:r>
            <w:r w:rsidR="00985EE9">
              <w:rPr>
                <w:rFonts w:ascii="Calibri Light" w:hAnsi="Calibri Light"/>
                <w:b w:val="0"/>
              </w:rPr>
              <w:t>que</w:t>
            </w:r>
            <w:r w:rsidR="0051197B">
              <w:rPr>
                <w:rFonts w:ascii="Calibri Light" w:hAnsi="Calibri Light"/>
                <w:b w:val="0"/>
              </w:rPr>
              <w:t xml:space="preserve"> los obligaba a reubicarse. </w:t>
            </w:r>
            <w:r w:rsidR="00103C4C" w:rsidRPr="00103C4C">
              <w:rPr>
                <w:rFonts w:ascii="Calibri Light" w:hAnsi="Calibri Light"/>
                <w:b w:val="0"/>
              </w:rPr>
              <w:t xml:space="preserve">Durante los dos días del operativo, se desplegaron en diversas zonas policías estatales </w:t>
            </w:r>
            <w:r w:rsidR="00B90050">
              <w:rPr>
                <w:rFonts w:ascii="Calibri Light" w:hAnsi="Calibri Light"/>
                <w:b w:val="0"/>
              </w:rPr>
              <w:t>y</w:t>
            </w:r>
            <w:r w:rsidR="00B90050" w:rsidRPr="00103C4C">
              <w:rPr>
                <w:rFonts w:ascii="Calibri Light" w:hAnsi="Calibri Light"/>
                <w:b w:val="0"/>
              </w:rPr>
              <w:t xml:space="preserve"> </w:t>
            </w:r>
            <w:r w:rsidR="00103C4C" w:rsidRPr="00103C4C">
              <w:rPr>
                <w:rFonts w:ascii="Calibri Light" w:hAnsi="Calibri Light"/>
                <w:b w:val="0"/>
              </w:rPr>
              <w:t xml:space="preserve">federales, </w:t>
            </w:r>
            <w:r w:rsidR="00BA7DB9">
              <w:rPr>
                <w:rFonts w:ascii="Calibri Light" w:hAnsi="Calibri Light"/>
                <w:b w:val="0"/>
              </w:rPr>
              <w:t>que</w:t>
            </w:r>
            <w:r w:rsidR="00103C4C" w:rsidRPr="00103C4C">
              <w:rPr>
                <w:rFonts w:ascii="Calibri Light" w:hAnsi="Calibri Light"/>
                <w:b w:val="0"/>
              </w:rPr>
              <w:t xml:space="preserve"> detuvieron </w:t>
            </w:r>
            <w:r w:rsidR="00BA7DB9">
              <w:rPr>
                <w:rFonts w:ascii="Calibri Light" w:hAnsi="Calibri Light"/>
                <w:b w:val="0"/>
              </w:rPr>
              <w:t xml:space="preserve">a </w:t>
            </w:r>
            <w:r w:rsidR="00B90050">
              <w:rPr>
                <w:rFonts w:ascii="Calibri Light" w:hAnsi="Calibri Light"/>
                <w:b w:val="0"/>
              </w:rPr>
              <w:t xml:space="preserve">una </w:t>
            </w:r>
            <w:r w:rsidR="00BA7DB9">
              <w:rPr>
                <w:rFonts w:ascii="Calibri Light" w:hAnsi="Calibri Light"/>
                <w:b w:val="0"/>
              </w:rPr>
              <w:t xml:space="preserve">gran cantidad de personas, </w:t>
            </w:r>
            <w:r w:rsidR="006B4F38">
              <w:rPr>
                <w:rFonts w:ascii="Calibri Light" w:hAnsi="Calibri Light"/>
                <w:b w:val="0"/>
              </w:rPr>
              <w:t xml:space="preserve">incluyendo </w:t>
            </w:r>
            <w:r w:rsidR="0051197B">
              <w:rPr>
                <w:rFonts w:ascii="Calibri Light" w:hAnsi="Calibri Light"/>
                <w:b w:val="0"/>
              </w:rPr>
              <w:t xml:space="preserve">algunas </w:t>
            </w:r>
            <w:r w:rsidR="006B4F38">
              <w:rPr>
                <w:rFonts w:ascii="Calibri Light" w:hAnsi="Calibri Light"/>
                <w:b w:val="0"/>
              </w:rPr>
              <w:t xml:space="preserve">que no habían participado de las protestas, como </w:t>
            </w:r>
            <w:r w:rsidR="00103C4C">
              <w:rPr>
                <w:rFonts w:ascii="Calibri Light" w:hAnsi="Calibri Light"/>
                <w:b w:val="0"/>
              </w:rPr>
              <w:t>Mariana Selvas Gómez y otras diez mujeres</w:t>
            </w:r>
            <w:r w:rsidR="004F4491">
              <w:rPr>
                <w:rFonts w:ascii="Calibri Light" w:hAnsi="Calibri Light"/>
                <w:b w:val="0"/>
              </w:rPr>
              <w:t xml:space="preserve">. </w:t>
            </w:r>
            <w:r w:rsidR="006B4F38">
              <w:rPr>
                <w:rFonts w:ascii="Calibri Light" w:hAnsi="Calibri Light"/>
                <w:b w:val="0"/>
              </w:rPr>
              <w:t>Estas</w:t>
            </w:r>
            <w:r w:rsidR="00985EE9">
              <w:rPr>
                <w:rFonts w:ascii="Calibri Light" w:hAnsi="Calibri Light"/>
                <w:b w:val="0"/>
              </w:rPr>
              <w:t xml:space="preserve"> últimas</w:t>
            </w:r>
            <w:r w:rsidR="006B4F38">
              <w:rPr>
                <w:rFonts w:ascii="Calibri Light" w:hAnsi="Calibri Light"/>
                <w:b w:val="0"/>
              </w:rPr>
              <w:t xml:space="preserve"> fueron víctimas de</w:t>
            </w:r>
            <w:r w:rsidR="004F4491">
              <w:rPr>
                <w:rFonts w:ascii="Calibri Light" w:hAnsi="Calibri Light"/>
                <w:b w:val="0"/>
              </w:rPr>
              <w:t xml:space="preserve"> </w:t>
            </w:r>
            <w:r w:rsidR="004F4491" w:rsidRPr="004F4491">
              <w:rPr>
                <w:rFonts w:ascii="Calibri Light" w:hAnsi="Calibri Light"/>
                <w:b w:val="0"/>
              </w:rPr>
              <w:t>diversas formas d</w:t>
            </w:r>
            <w:r w:rsidR="004F4491">
              <w:rPr>
                <w:rFonts w:ascii="Calibri Light" w:hAnsi="Calibri Light"/>
                <w:b w:val="0"/>
              </w:rPr>
              <w:t>e violencia física, psicológica y</w:t>
            </w:r>
            <w:r w:rsidR="004F4491" w:rsidRPr="004F4491">
              <w:rPr>
                <w:rFonts w:ascii="Calibri Light" w:hAnsi="Calibri Light"/>
                <w:b w:val="0"/>
              </w:rPr>
              <w:t xml:space="preserve"> </w:t>
            </w:r>
            <w:r w:rsidR="00B90050">
              <w:rPr>
                <w:rFonts w:ascii="Calibri Light" w:hAnsi="Calibri Light"/>
                <w:b w:val="0"/>
              </w:rPr>
              <w:t>sexual</w:t>
            </w:r>
            <w:r w:rsidR="004F4491">
              <w:rPr>
                <w:rFonts w:ascii="Calibri Light" w:hAnsi="Calibri Light"/>
                <w:b w:val="0"/>
              </w:rPr>
              <w:t xml:space="preserve"> </w:t>
            </w:r>
            <w:r w:rsidR="006B4F38">
              <w:rPr>
                <w:rFonts w:ascii="Calibri Light" w:hAnsi="Calibri Light"/>
                <w:b w:val="0"/>
              </w:rPr>
              <w:t xml:space="preserve"> por parte de los </w:t>
            </w:r>
            <w:r w:rsidR="005C7F1E">
              <w:rPr>
                <w:rFonts w:ascii="Calibri Light" w:hAnsi="Calibri Light"/>
                <w:b w:val="0"/>
              </w:rPr>
              <w:t>efectivos</w:t>
            </w:r>
            <w:r w:rsidR="006B4F38">
              <w:rPr>
                <w:rFonts w:ascii="Calibri Light" w:hAnsi="Calibri Light"/>
                <w:b w:val="0"/>
              </w:rPr>
              <w:t xml:space="preserve"> policiales</w:t>
            </w:r>
            <w:r w:rsidR="004F4491">
              <w:rPr>
                <w:rFonts w:ascii="Calibri Light" w:hAnsi="Calibri Light"/>
                <w:b w:val="0"/>
              </w:rPr>
              <w:t xml:space="preserve">; </w:t>
            </w:r>
            <w:r w:rsidR="00B90050">
              <w:rPr>
                <w:rFonts w:ascii="Calibri Light" w:hAnsi="Calibri Light"/>
                <w:b w:val="0"/>
              </w:rPr>
              <w:t>e incluso</w:t>
            </w:r>
            <w:r w:rsidR="004F4491">
              <w:rPr>
                <w:rFonts w:ascii="Calibri Light" w:hAnsi="Calibri Light"/>
                <w:b w:val="0"/>
              </w:rPr>
              <w:t>,</w:t>
            </w:r>
            <w:r w:rsidR="004F4491" w:rsidRPr="004F4491">
              <w:rPr>
                <w:rFonts w:ascii="Calibri Light" w:hAnsi="Calibri Light"/>
                <w:b w:val="0"/>
              </w:rPr>
              <w:t xml:space="preserve"> en algunos casos, </w:t>
            </w:r>
            <w:r w:rsidR="006B4F38">
              <w:rPr>
                <w:rFonts w:ascii="Calibri Light" w:hAnsi="Calibri Light"/>
                <w:b w:val="0"/>
              </w:rPr>
              <w:t>de</w:t>
            </w:r>
            <w:r w:rsidR="004F4491">
              <w:rPr>
                <w:rFonts w:ascii="Calibri Light" w:hAnsi="Calibri Light"/>
                <w:b w:val="0"/>
              </w:rPr>
              <w:t xml:space="preserve"> violación sexual. </w:t>
            </w:r>
            <w:r w:rsidR="00A125A9">
              <w:rPr>
                <w:rFonts w:ascii="Calibri Light" w:hAnsi="Calibri Light"/>
                <w:b w:val="0"/>
              </w:rPr>
              <w:t>Estos sucesos se cometieron desde que fueron detenidas hasta que fueron trasladas al establecimiento donde permanecieron privadas de libertad durante semanas y, en algunos casos, meses.</w:t>
            </w:r>
            <w:r w:rsidR="00E408F6">
              <w:rPr>
                <w:rFonts w:ascii="Calibri Light" w:hAnsi="Calibri Light"/>
                <w:b w:val="0"/>
              </w:rPr>
              <w:t xml:space="preserve"> </w:t>
            </w:r>
            <w:r w:rsidR="00BF127B">
              <w:rPr>
                <w:rFonts w:ascii="Calibri Light" w:hAnsi="Calibri Light"/>
                <w:b w:val="0"/>
              </w:rPr>
              <w:t>E</w:t>
            </w:r>
            <w:r w:rsidR="00E408F6">
              <w:rPr>
                <w:rFonts w:ascii="Calibri Light" w:hAnsi="Calibri Light"/>
                <w:b w:val="0"/>
              </w:rPr>
              <w:t xml:space="preserve">l nivel de violencia que sufrieron llevó a que, posteriormente, </w:t>
            </w:r>
            <w:r w:rsidR="00CF6C41">
              <w:rPr>
                <w:rFonts w:ascii="Calibri Light" w:hAnsi="Calibri Light"/>
                <w:b w:val="0"/>
              </w:rPr>
              <w:t xml:space="preserve">la Suprema Corte de Justicia de la Nación </w:t>
            </w:r>
            <w:r w:rsidR="00E408F6">
              <w:rPr>
                <w:rFonts w:ascii="Calibri Light" w:hAnsi="Calibri Light"/>
                <w:b w:val="0"/>
              </w:rPr>
              <w:t xml:space="preserve">calificara estos hechos como tortura y malos tratos. </w:t>
            </w:r>
          </w:p>
          <w:p w14:paraId="439318D5" w14:textId="77777777" w:rsidR="00A464B0" w:rsidRDefault="00A464B0" w:rsidP="00732BC0">
            <w:pPr>
              <w:jc w:val="both"/>
              <w:rPr>
                <w:rFonts w:ascii="Calibri Light" w:hAnsi="Calibri Light"/>
                <w:b w:val="0"/>
              </w:rPr>
            </w:pPr>
          </w:p>
          <w:p w14:paraId="27190C1C" w14:textId="3F6C08BE" w:rsidR="004C2E50" w:rsidRDefault="00E408F6" w:rsidP="00732BC0">
            <w:pPr>
              <w:jc w:val="both"/>
              <w:rPr>
                <w:rFonts w:ascii="Calibri Light" w:hAnsi="Calibri Light"/>
                <w:b w:val="0"/>
              </w:rPr>
            </w:pPr>
            <w:r>
              <w:rPr>
                <w:rFonts w:ascii="Calibri Light" w:hAnsi="Calibri Light"/>
                <w:b w:val="0"/>
              </w:rPr>
              <w:t>Durante el período en el que estuvieron privadas de libertad</w:t>
            </w:r>
            <w:r w:rsidR="004F4491">
              <w:rPr>
                <w:rFonts w:ascii="Calibri Light" w:hAnsi="Calibri Light"/>
                <w:b w:val="0"/>
              </w:rPr>
              <w:t>,</w:t>
            </w:r>
            <w:r w:rsidR="005C7F1E">
              <w:rPr>
                <w:rFonts w:ascii="Calibri Light" w:hAnsi="Calibri Light"/>
                <w:b w:val="0"/>
              </w:rPr>
              <w:t xml:space="preserve"> la señora Selva y las otras diez mujeres</w:t>
            </w:r>
            <w:r w:rsidR="004F4491">
              <w:rPr>
                <w:rFonts w:ascii="Calibri Light" w:hAnsi="Calibri Light"/>
                <w:b w:val="0"/>
              </w:rPr>
              <w:t xml:space="preserve"> no </w:t>
            </w:r>
            <w:r w:rsidR="005C7F1E">
              <w:rPr>
                <w:rFonts w:ascii="Calibri Light" w:hAnsi="Calibri Light"/>
                <w:b w:val="0"/>
              </w:rPr>
              <w:t xml:space="preserve">recibieron </w:t>
            </w:r>
            <w:r w:rsidR="004F4491">
              <w:rPr>
                <w:rFonts w:ascii="Calibri Light" w:hAnsi="Calibri Light"/>
                <w:b w:val="0"/>
              </w:rPr>
              <w:t>una debida atención médica general y ginecológica</w:t>
            </w:r>
            <w:r>
              <w:rPr>
                <w:rFonts w:ascii="Calibri Light" w:hAnsi="Calibri Light"/>
                <w:b w:val="0"/>
              </w:rPr>
              <w:t xml:space="preserve"> para atender las secuelas sufridas por l</w:t>
            </w:r>
            <w:r w:rsidR="00985EE9">
              <w:rPr>
                <w:rFonts w:ascii="Calibri Light" w:hAnsi="Calibri Light"/>
                <w:b w:val="0"/>
              </w:rPr>
              <w:t>as agresiones cometidas por</w:t>
            </w:r>
            <w:r>
              <w:rPr>
                <w:rFonts w:ascii="Calibri Light" w:hAnsi="Calibri Light"/>
                <w:b w:val="0"/>
              </w:rPr>
              <w:t xml:space="preserve"> efectivos policiales</w:t>
            </w:r>
            <w:r w:rsidR="00A125A9">
              <w:rPr>
                <w:rFonts w:ascii="Calibri Light" w:hAnsi="Calibri Light"/>
                <w:b w:val="0"/>
              </w:rPr>
              <w:t xml:space="preserve">. </w:t>
            </w:r>
            <w:r w:rsidR="00C778D5">
              <w:rPr>
                <w:rFonts w:ascii="Calibri Light" w:hAnsi="Calibri Light"/>
                <w:b w:val="0"/>
              </w:rPr>
              <w:t>A ello se sumó que los primero</w:t>
            </w:r>
            <w:r w:rsidR="00985EE9">
              <w:rPr>
                <w:rFonts w:ascii="Calibri Light" w:hAnsi="Calibri Light"/>
                <w:b w:val="0"/>
              </w:rPr>
              <w:t>s</w:t>
            </w:r>
            <w:r w:rsidR="00C778D5">
              <w:rPr>
                <w:rFonts w:ascii="Calibri Light" w:hAnsi="Calibri Light"/>
                <w:b w:val="0"/>
              </w:rPr>
              <w:t xml:space="preserve"> análisis médicos que recibieron fueron superficiales y se realizaron </w:t>
            </w:r>
            <w:r w:rsidR="00985EE9">
              <w:rPr>
                <w:rFonts w:ascii="Calibri Light" w:hAnsi="Calibri Light"/>
                <w:b w:val="0"/>
              </w:rPr>
              <w:t>varias</w:t>
            </w:r>
            <w:r w:rsidR="00C778D5">
              <w:rPr>
                <w:rFonts w:ascii="Calibri Light" w:hAnsi="Calibri Light"/>
                <w:b w:val="0"/>
              </w:rPr>
              <w:t xml:space="preserve"> semanas </w:t>
            </w:r>
            <w:r w:rsidR="00985EE9">
              <w:rPr>
                <w:rFonts w:ascii="Calibri Light" w:hAnsi="Calibri Light"/>
                <w:b w:val="0"/>
              </w:rPr>
              <w:t xml:space="preserve">después </w:t>
            </w:r>
            <w:r w:rsidR="00C778D5">
              <w:rPr>
                <w:rFonts w:ascii="Calibri Light" w:hAnsi="Calibri Light"/>
                <w:b w:val="0"/>
              </w:rPr>
              <w:t>de haber sufrido los actos de violencia y violación sexual. Esto significó una dificultad para acreditar posteriormente los hechos ocurridos.</w:t>
            </w:r>
            <w:r w:rsidR="000F3BC6">
              <w:rPr>
                <w:rFonts w:ascii="Calibri Light" w:hAnsi="Calibri Light"/>
                <w:b w:val="0"/>
              </w:rPr>
              <w:t xml:space="preserve"> </w:t>
            </w:r>
            <w:r w:rsidR="005C7F1E">
              <w:rPr>
                <w:rFonts w:ascii="Calibri Light" w:hAnsi="Calibri Light"/>
                <w:b w:val="0"/>
              </w:rPr>
              <w:t>Además</w:t>
            </w:r>
            <w:r w:rsidR="00BA7DB9">
              <w:rPr>
                <w:rFonts w:ascii="Calibri Light" w:hAnsi="Calibri Light"/>
                <w:b w:val="0"/>
              </w:rPr>
              <w:t>,</w:t>
            </w:r>
            <w:r w:rsidR="00A125A9">
              <w:rPr>
                <w:rFonts w:ascii="Calibri Light" w:hAnsi="Calibri Light"/>
                <w:b w:val="0"/>
              </w:rPr>
              <w:t xml:space="preserve"> </w:t>
            </w:r>
            <w:r w:rsidR="005C7F1E">
              <w:rPr>
                <w:rFonts w:ascii="Calibri Light" w:hAnsi="Calibri Light"/>
                <w:b w:val="0"/>
              </w:rPr>
              <w:t>a</w:t>
            </w:r>
            <w:r w:rsidR="00A125A9">
              <w:rPr>
                <w:rFonts w:ascii="Calibri Light" w:hAnsi="Calibri Light"/>
                <w:b w:val="0"/>
              </w:rPr>
              <w:t xml:space="preserve">l momento de realizar sus </w:t>
            </w:r>
            <w:r w:rsidR="00BF127B">
              <w:rPr>
                <w:rFonts w:ascii="Calibri Light" w:hAnsi="Calibri Light"/>
                <w:b w:val="0"/>
              </w:rPr>
              <w:t xml:space="preserve">primeras </w:t>
            </w:r>
            <w:r w:rsidR="00BA7DB9">
              <w:rPr>
                <w:rFonts w:ascii="Calibri Light" w:hAnsi="Calibri Light"/>
                <w:b w:val="0"/>
              </w:rPr>
              <w:t>declaraciones</w:t>
            </w:r>
            <w:r w:rsidR="00C778D5">
              <w:rPr>
                <w:rFonts w:ascii="Calibri Light" w:hAnsi="Calibri Light"/>
                <w:b w:val="0"/>
              </w:rPr>
              <w:t xml:space="preserve"> respecto a los abusos sufridos</w:t>
            </w:r>
            <w:r w:rsidR="00BA7DB9">
              <w:rPr>
                <w:rFonts w:ascii="Calibri Light" w:hAnsi="Calibri Light"/>
                <w:b w:val="0"/>
              </w:rPr>
              <w:t>, se</w:t>
            </w:r>
            <w:r w:rsidR="00A125A9">
              <w:rPr>
                <w:rFonts w:ascii="Calibri Light" w:hAnsi="Calibri Light"/>
                <w:b w:val="0"/>
              </w:rPr>
              <w:t xml:space="preserve"> les negó contar con un abogado o cualquier medio de defensa técnica</w:t>
            </w:r>
            <w:r w:rsidR="00C778D5">
              <w:rPr>
                <w:rFonts w:ascii="Calibri Light" w:hAnsi="Calibri Light"/>
                <w:b w:val="0"/>
              </w:rPr>
              <w:t>. Asimismo,</w:t>
            </w:r>
            <w:r w:rsidR="00DE1F7A">
              <w:rPr>
                <w:rFonts w:ascii="Calibri Light" w:hAnsi="Calibri Light"/>
                <w:b w:val="0"/>
              </w:rPr>
              <w:t xml:space="preserve"> </w:t>
            </w:r>
            <w:r w:rsidR="00893F47">
              <w:rPr>
                <w:rFonts w:ascii="Calibri Light" w:hAnsi="Calibri Light"/>
                <w:b w:val="0"/>
              </w:rPr>
              <w:t>a varias</w:t>
            </w:r>
            <w:r w:rsidR="00DE1F7A">
              <w:rPr>
                <w:rFonts w:ascii="Calibri Light" w:hAnsi="Calibri Light"/>
                <w:b w:val="0"/>
              </w:rPr>
              <w:t xml:space="preserve"> de ellas</w:t>
            </w:r>
            <w:r w:rsidR="00893F47">
              <w:rPr>
                <w:rFonts w:ascii="Calibri Light" w:hAnsi="Calibri Light"/>
                <w:b w:val="0"/>
              </w:rPr>
              <w:t xml:space="preserve"> no se les </w:t>
            </w:r>
            <w:r w:rsidR="00C778D5">
              <w:rPr>
                <w:rFonts w:ascii="Calibri Light" w:hAnsi="Calibri Light"/>
                <w:b w:val="0"/>
              </w:rPr>
              <w:t>brindó</w:t>
            </w:r>
            <w:r w:rsidR="00893F47">
              <w:rPr>
                <w:rFonts w:ascii="Calibri Light" w:hAnsi="Calibri Light"/>
                <w:b w:val="0"/>
              </w:rPr>
              <w:t xml:space="preserve"> información sobre sus cargos e incluso</w:t>
            </w:r>
            <w:r w:rsidR="00BF127B">
              <w:rPr>
                <w:rFonts w:ascii="Calibri Light" w:hAnsi="Calibri Light"/>
                <w:b w:val="0"/>
              </w:rPr>
              <w:t xml:space="preserve"> </w:t>
            </w:r>
            <w:r w:rsidR="00985EE9">
              <w:rPr>
                <w:rFonts w:ascii="Calibri Light" w:hAnsi="Calibri Light"/>
                <w:b w:val="0"/>
              </w:rPr>
              <w:t xml:space="preserve">fueron </w:t>
            </w:r>
            <w:r w:rsidR="00A125A9">
              <w:rPr>
                <w:rFonts w:ascii="Calibri Light" w:hAnsi="Calibri Light"/>
                <w:b w:val="0"/>
              </w:rPr>
              <w:t xml:space="preserve">amenazadas por los </w:t>
            </w:r>
            <w:r w:rsidR="00BF127B">
              <w:rPr>
                <w:rFonts w:ascii="Calibri Light" w:hAnsi="Calibri Light"/>
                <w:b w:val="0"/>
              </w:rPr>
              <w:t>servidores públicos</w:t>
            </w:r>
            <w:r w:rsidR="00A125A9">
              <w:rPr>
                <w:rFonts w:ascii="Calibri Light" w:hAnsi="Calibri Light"/>
                <w:b w:val="0"/>
              </w:rPr>
              <w:t>. Todo lo anterior</w:t>
            </w:r>
            <w:r w:rsidR="004F4491">
              <w:rPr>
                <w:rFonts w:ascii="Calibri Light" w:hAnsi="Calibri Light"/>
                <w:b w:val="0"/>
              </w:rPr>
              <w:t xml:space="preserve"> llevó a que las mujeres </w:t>
            </w:r>
            <w:r w:rsidR="00A125A9">
              <w:rPr>
                <w:rFonts w:ascii="Calibri Light" w:hAnsi="Calibri Light"/>
                <w:b w:val="0"/>
              </w:rPr>
              <w:t xml:space="preserve">detenidas </w:t>
            </w:r>
            <w:r w:rsidR="004F4491">
              <w:rPr>
                <w:rFonts w:ascii="Calibri Light" w:hAnsi="Calibri Light"/>
                <w:b w:val="0"/>
              </w:rPr>
              <w:t>realizaran una huelga de hambre en señal de protesta</w:t>
            </w:r>
            <w:r w:rsidR="00BF127B">
              <w:rPr>
                <w:rFonts w:ascii="Calibri Light" w:hAnsi="Calibri Light"/>
                <w:b w:val="0"/>
              </w:rPr>
              <w:t xml:space="preserve"> tanto por la violencia sufrida por la policía como por la </w:t>
            </w:r>
            <w:r w:rsidR="00C778D5">
              <w:rPr>
                <w:rFonts w:ascii="Calibri Light" w:hAnsi="Calibri Light"/>
                <w:b w:val="0"/>
              </w:rPr>
              <w:t>deficiente</w:t>
            </w:r>
            <w:r w:rsidR="00BF127B">
              <w:rPr>
                <w:rFonts w:ascii="Calibri Light" w:hAnsi="Calibri Light"/>
                <w:b w:val="0"/>
              </w:rPr>
              <w:t xml:space="preserve"> atención médic</w:t>
            </w:r>
            <w:r w:rsidR="00893F47">
              <w:rPr>
                <w:rFonts w:ascii="Calibri Light" w:hAnsi="Calibri Light"/>
                <w:b w:val="0"/>
              </w:rPr>
              <w:t>a</w:t>
            </w:r>
            <w:r w:rsidR="00BF127B">
              <w:rPr>
                <w:rFonts w:ascii="Calibri Light" w:hAnsi="Calibri Light"/>
                <w:b w:val="0"/>
              </w:rPr>
              <w:t xml:space="preserve"> recibida</w:t>
            </w:r>
            <w:r w:rsidR="004F4491">
              <w:rPr>
                <w:rFonts w:ascii="Calibri Light" w:hAnsi="Calibri Light"/>
                <w:b w:val="0"/>
              </w:rPr>
              <w:t>.</w:t>
            </w:r>
          </w:p>
          <w:p w14:paraId="686EFA57" w14:textId="77777777" w:rsidR="004F4491" w:rsidRDefault="004F4491" w:rsidP="00732BC0">
            <w:pPr>
              <w:jc w:val="both"/>
              <w:rPr>
                <w:rFonts w:ascii="Calibri Light" w:hAnsi="Calibri Light"/>
                <w:b w:val="0"/>
              </w:rPr>
            </w:pPr>
          </w:p>
          <w:p w14:paraId="5D7C7681" w14:textId="090C554C" w:rsidR="00803217" w:rsidRDefault="001C4484" w:rsidP="00732BC0">
            <w:pPr>
              <w:jc w:val="both"/>
              <w:rPr>
                <w:rFonts w:ascii="Calibri Light" w:hAnsi="Calibri Light"/>
                <w:b w:val="0"/>
              </w:rPr>
            </w:pPr>
            <w:r>
              <w:rPr>
                <w:rFonts w:ascii="Calibri Light" w:hAnsi="Calibri Light"/>
                <w:b w:val="0"/>
              </w:rPr>
              <w:t xml:space="preserve">Los familiares de las víctimas y organizaciones de derechos humanos denunciaron estos hechos y, en virtud de ello, se iniciaron las </w:t>
            </w:r>
            <w:r w:rsidR="00E30E5C">
              <w:rPr>
                <w:rFonts w:ascii="Calibri Light" w:hAnsi="Calibri Light"/>
                <w:b w:val="0"/>
              </w:rPr>
              <w:t>averiguaciones preliminares</w:t>
            </w:r>
            <w:r>
              <w:rPr>
                <w:rFonts w:ascii="Calibri Light" w:hAnsi="Calibri Light"/>
                <w:b w:val="0"/>
              </w:rPr>
              <w:t xml:space="preserve"> al respecto. Por un lado, la Suprema Corte de Justicia de la Nación emitió una resolución el 12 de febrero de 2009, en la que reconoció que se habían incurrido en “violaciones graves de garantías individuales”</w:t>
            </w:r>
            <w:r w:rsidR="00E30E5C">
              <w:rPr>
                <w:rFonts w:ascii="Calibri Light" w:hAnsi="Calibri Light"/>
                <w:b w:val="0"/>
              </w:rPr>
              <w:t xml:space="preserve"> y </w:t>
            </w:r>
            <w:r w:rsidR="00DA01FE">
              <w:rPr>
                <w:rFonts w:ascii="Calibri Light" w:hAnsi="Calibri Light"/>
                <w:b w:val="0"/>
              </w:rPr>
              <w:t>dispuso</w:t>
            </w:r>
            <w:r w:rsidR="00E30E5C">
              <w:rPr>
                <w:rFonts w:ascii="Calibri Light" w:hAnsi="Calibri Light"/>
                <w:b w:val="0"/>
              </w:rPr>
              <w:t xml:space="preserve"> investigar a todos los responsables</w:t>
            </w:r>
            <w:r>
              <w:rPr>
                <w:rFonts w:ascii="Calibri Light" w:hAnsi="Calibri Light"/>
                <w:b w:val="0"/>
              </w:rPr>
              <w:t xml:space="preserve">. Por otro lado, se condenaron a </w:t>
            </w:r>
            <w:r w:rsidR="00C778D5">
              <w:rPr>
                <w:rFonts w:ascii="Calibri Light" w:hAnsi="Calibri Light"/>
                <w:b w:val="0"/>
              </w:rPr>
              <w:t>algunos</w:t>
            </w:r>
            <w:r>
              <w:rPr>
                <w:rFonts w:ascii="Calibri Light" w:hAnsi="Calibri Light"/>
                <w:b w:val="0"/>
              </w:rPr>
              <w:t xml:space="preserve"> de los policías y médicos implicados; sin embargo, varios de ellos interpusieron amparos o recursos de apelaci</w:t>
            </w:r>
            <w:r w:rsidR="00A464B0">
              <w:rPr>
                <w:rFonts w:ascii="Calibri Light" w:hAnsi="Calibri Light"/>
                <w:b w:val="0"/>
              </w:rPr>
              <w:t xml:space="preserve">ón que </w:t>
            </w:r>
            <w:r w:rsidR="000F3BC6">
              <w:rPr>
                <w:rFonts w:ascii="Calibri Light" w:hAnsi="Calibri Light"/>
                <w:b w:val="0"/>
              </w:rPr>
              <w:t>en</w:t>
            </w:r>
            <w:r w:rsidR="00B42A42">
              <w:rPr>
                <w:rFonts w:ascii="Calibri Light" w:hAnsi="Calibri Light"/>
                <w:b w:val="0"/>
              </w:rPr>
              <w:t xml:space="preserve"> algunos </w:t>
            </w:r>
            <w:r w:rsidR="000F3BC6">
              <w:rPr>
                <w:rFonts w:ascii="Calibri Light" w:hAnsi="Calibri Light"/>
                <w:b w:val="0"/>
              </w:rPr>
              <w:t xml:space="preserve">casos </w:t>
            </w:r>
            <w:r w:rsidR="00B42A42">
              <w:rPr>
                <w:rFonts w:ascii="Calibri Light" w:hAnsi="Calibri Light"/>
                <w:b w:val="0"/>
              </w:rPr>
              <w:t xml:space="preserve">terminaron en </w:t>
            </w:r>
            <w:r w:rsidR="000F3BC6">
              <w:rPr>
                <w:rFonts w:ascii="Calibri Light" w:hAnsi="Calibri Light"/>
                <w:b w:val="0"/>
              </w:rPr>
              <w:t xml:space="preserve">su </w:t>
            </w:r>
            <w:r w:rsidR="00B42A42">
              <w:rPr>
                <w:rFonts w:ascii="Calibri Light" w:hAnsi="Calibri Light"/>
                <w:b w:val="0"/>
              </w:rPr>
              <w:t xml:space="preserve">absolución y </w:t>
            </w:r>
            <w:r w:rsidR="000F3BC6">
              <w:rPr>
                <w:rFonts w:ascii="Calibri Light" w:hAnsi="Calibri Light"/>
                <w:b w:val="0"/>
              </w:rPr>
              <w:t xml:space="preserve">en </w:t>
            </w:r>
            <w:r w:rsidR="00B42A42">
              <w:rPr>
                <w:rFonts w:ascii="Calibri Light" w:hAnsi="Calibri Light"/>
                <w:b w:val="0"/>
              </w:rPr>
              <w:t>otros</w:t>
            </w:r>
            <w:r w:rsidR="000F3BC6">
              <w:rPr>
                <w:rFonts w:ascii="Calibri Light" w:hAnsi="Calibri Light"/>
                <w:b w:val="0"/>
              </w:rPr>
              <w:t>,</w:t>
            </w:r>
            <w:r w:rsidR="00A464B0">
              <w:rPr>
                <w:rFonts w:ascii="Calibri Light" w:hAnsi="Calibri Light"/>
                <w:b w:val="0"/>
              </w:rPr>
              <w:t xml:space="preserve"> </w:t>
            </w:r>
            <w:r w:rsidR="00DA01FE">
              <w:rPr>
                <w:rFonts w:ascii="Calibri Light" w:hAnsi="Calibri Light"/>
                <w:b w:val="0"/>
              </w:rPr>
              <w:t xml:space="preserve">todavía </w:t>
            </w:r>
            <w:r w:rsidR="00A464B0">
              <w:rPr>
                <w:rFonts w:ascii="Calibri Light" w:hAnsi="Calibri Light"/>
                <w:b w:val="0"/>
              </w:rPr>
              <w:t xml:space="preserve">están pendientes de resolución. </w:t>
            </w:r>
            <w:r w:rsidR="000F3BC6">
              <w:rPr>
                <w:rFonts w:ascii="Calibri Light" w:hAnsi="Calibri Light"/>
                <w:b w:val="0"/>
              </w:rPr>
              <w:t>No obstante, n</w:t>
            </w:r>
            <w:r w:rsidR="00A464B0">
              <w:rPr>
                <w:rFonts w:ascii="Calibri Light" w:hAnsi="Calibri Light"/>
                <w:b w:val="0"/>
              </w:rPr>
              <w:t>o todos los responsables fueron considerados en los procesos judiciales.</w:t>
            </w:r>
            <w:r w:rsidR="00C778D5">
              <w:rPr>
                <w:rFonts w:ascii="Calibri Light" w:hAnsi="Calibri Light"/>
                <w:b w:val="0"/>
              </w:rPr>
              <w:t xml:space="preserve"> </w:t>
            </w:r>
          </w:p>
          <w:p w14:paraId="14FE1377" w14:textId="77777777" w:rsidR="00803217" w:rsidRDefault="00803217" w:rsidP="00732BC0">
            <w:pPr>
              <w:jc w:val="both"/>
              <w:rPr>
                <w:rFonts w:ascii="Calibri Light" w:hAnsi="Calibri Light"/>
                <w:b w:val="0"/>
              </w:rPr>
            </w:pPr>
          </w:p>
          <w:p w14:paraId="376392B9" w14:textId="49516A0A" w:rsidR="00985EE9" w:rsidRDefault="000F3BC6" w:rsidP="00732BC0">
            <w:pPr>
              <w:jc w:val="both"/>
              <w:rPr>
                <w:rFonts w:ascii="Calibri Light" w:hAnsi="Calibri Light"/>
                <w:b w:val="0"/>
              </w:rPr>
            </w:pPr>
            <w:r>
              <w:rPr>
                <w:rFonts w:ascii="Calibri Light" w:hAnsi="Calibri Light"/>
                <w:b w:val="0"/>
              </w:rPr>
              <w:t xml:space="preserve">Esto último </w:t>
            </w:r>
            <w:r w:rsidR="00C778D5">
              <w:rPr>
                <w:rFonts w:ascii="Calibri Light" w:hAnsi="Calibri Light"/>
                <w:b w:val="0"/>
              </w:rPr>
              <w:t>respondió principalmente a la supuesta falta de medios probatorios para acreditar los cargos que se les imputaban.</w:t>
            </w:r>
            <w:r w:rsidR="00803217">
              <w:rPr>
                <w:rFonts w:ascii="Calibri Light" w:hAnsi="Calibri Light"/>
                <w:b w:val="0"/>
              </w:rPr>
              <w:t xml:space="preserve"> </w:t>
            </w:r>
            <w:r w:rsidR="00803730">
              <w:rPr>
                <w:rFonts w:ascii="Calibri Light" w:hAnsi="Calibri Light"/>
                <w:b w:val="0"/>
              </w:rPr>
              <w:t>En ese sentido, cabe señalar que s</w:t>
            </w:r>
            <w:r w:rsidR="00803217">
              <w:rPr>
                <w:rFonts w:ascii="Calibri Light" w:hAnsi="Calibri Light"/>
                <w:b w:val="0"/>
              </w:rPr>
              <w:t>i bien las víctimas participaron activamente en los procesos, las omisiones iniciales</w:t>
            </w:r>
            <w:r w:rsidR="00B42A42">
              <w:rPr>
                <w:rFonts w:ascii="Calibri Light" w:hAnsi="Calibri Light"/>
                <w:b w:val="0"/>
              </w:rPr>
              <w:t xml:space="preserve"> por parte de la policía al tomar sus declaraciones y de los médicos que las atendieron</w:t>
            </w:r>
            <w:r w:rsidR="00803217">
              <w:rPr>
                <w:rFonts w:ascii="Calibri Light" w:hAnsi="Calibri Light"/>
                <w:b w:val="0"/>
              </w:rPr>
              <w:t xml:space="preserve"> llevaron a que </w:t>
            </w:r>
            <w:r w:rsidR="006461ED">
              <w:rPr>
                <w:rFonts w:ascii="Calibri Light" w:hAnsi="Calibri Light"/>
                <w:b w:val="0"/>
              </w:rPr>
              <w:t>recién</w:t>
            </w:r>
            <w:r w:rsidR="00E30E5C">
              <w:rPr>
                <w:rFonts w:ascii="Calibri Light" w:hAnsi="Calibri Light"/>
                <w:b w:val="0"/>
              </w:rPr>
              <w:t xml:space="preserve"> tres años </w:t>
            </w:r>
            <w:r w:rsidR="006461ED">
              <w:rPr>
                <w:rFonts w:ascii="Calibri Light" w:hAnsi="Calibri Light"/>
                <w:b w:val="0"/>
              </w:rPr>
              <w:t xml:space="preserve">después de los hechos </w:t>
            </w:r>
            <w:r w:rsidR="00E30E5C">
              <w:rPr>
                <w:rFonts w:ascii="Calibri Light" w:hAnsi="Calibri Light"/>
                <w:b w:val="0"/>
              </w:rPr>
              <w:t xml:space="preserve">se inicien las investigaciones previas y que las causas penales </w:t>
            </w:r>
            <w:r w:rsidR="006461ED">
              <w:rPr>
                <w:rFonts w:ascii="Calibri Light" w:hAnsi="Calibri Light"/>
                <w:b w:val="0"/>
              </w:rPr>
              <w:t xml:space="preserve">tarden </w:t>
            </w:r>
            <w:r w:rsidR="00E30E5C">
              <w:rPr>
                <w:rFonts w:ascii="Calibri Light" w:hAnsi="Calibri Light"/>
                <w:b w:val="0"/>
              </w:rPr>
              <w:t xml:space="preserve">en formalizarse. </w:t>
            </w:r>
            <w:r w:rsidR="0058678D">
              <w:rPr>
                <w:rFonts w:ascii="Calibri Light" w:hAnsi="Calibri Light"/>
                <w:b w:val="0"/>
              </w:rPr>
              <w:t>Así</w:t>
            </w:r>
            <w:r w:rsidR="00E30E5C">
              <w:rPr>
                <w:rFonts w:ascii="Calibri Light" w:hAnsi="Calibri Light"/>
                <w:b w:val="0"/>
              </w:rPr>
              <w:t xml:space="preserve">, </w:t>
            </w:r>
            <w:r w:rsidR="0058678D">
              <w:rPr>
                <w:rFonts w:ascii="Calibri Light" w:hAnsi="Calibri Light"/>
                <w:b w:val="0"/>
              </w:rPr>
              <w:t xml:space="preserve">varias </w:t>
            </w:r>
            <w:r w:rsidR="00E30E5C">
              <w:rPr>
                <w:rFonts w:ascii="Calibri Light" w:hAnsi="Calibri Light"/>
                <w:b w:val="0"/>
              </w:rPr>
              <w:t xml:space="preserve">investigaciones y procesos internos </w:t>
            </w:r>
            <w:r w:rsidR="0058678D">
              <w:rPr>
                <w:rFonts w:ascii="Calibri Light" w:hAnsi="Calibri Light"/>
                <w:b w:val="0"/>
              </w:rPr>
              <w:t>demoraron</w:t>
            </w:r>
            <w:r w:rsidR="00E30E5C">
              <w:rPr>
                <w:rFonts w:ascii="Calibri Light" w:hAnsi="Calibri Light"/>
                <w:b w:val="0"/>
              </w:rPr>
              <w:t xml:space="preserve"> más de nueve años en resolverse.</w:t>
            </w:r>
          </w:p>
          <w:p w14:paraId="6A8D5E70" w14:textId="77777777" w:rsidR="00985EE9" w:rsidRDefault="00985EE9" w:rsidP="00732BC0">
            <w:pPr>
              <w:jc w:val="both"/>
              <w:rPr>
                <w:rFonts w:ascii="Calibri Light" w:hAnsi="Calibri Light"/>
                <w:b w:val="0"/>
              </w:rPr>
            </w:pPr>
          </w:p>
          <w:p w14:paraId="54475656" w14:textId="0B0E1811" w:rsidR="00427524" w:rsidRDefault="00427524" w:rsidP="00732BC0">
            <w:pPr>
              <w:jc w:val="both"/>
              <w:rPr>
                <w:rFonts w:ascii="Calibri Light" w:hAnsi="Calibri Light"/>
                <w:b w:val="0"/>
              </w:rPr>
            </w:pPr>
            <w:r>
              <w:rPr>
                <w:rFonts w:ascii="Calibri Light" w:hAnsi="Calibri Light"/>
                <w:b w:val="0"/>
              </w:rPr>
              <w:t xml:space="preserve">Frente a tales hechos, el Centro de los Derechos Humanos Miguel Agustín Pro Juárez A.C. </w:t>
            </w:r>
            <w:r>
              <w:rPr>
                <w:rFonts w:ascii="Calibri Light" w:hAnsi="Calibri Light"/>
                <w:b w:val="0"/>
              </w:rPr>
              <w:lastRenderedPageBreak/>
              <w:t>(PRODH) y el Centro por la Justicia y el Derecho Internacional (CEJIL) presentaron una petición ante la CIDH, denunciando que el Estado de México había vulnerado los derechos a la integridad personal; a la libertad personal; a la vida privada, dignidad y autonomía; a las garantías judiciales; al derecho a la igualdad y no discriminación; y a la protección judicial reconocidos en la Convención Americana sobre Derechos Humanos (en adelante, CADH)</w:t>
            </w:r>
            <w:r w:rsidR="000F3BC6">
              <w:rPr>
                <w:rFonts w:ascii="Calibri Light" w:hAnsi="Calibri Light"/>
                <w:b w:val="0"/>
              </w:rPr>
              <w:t xml:space="preserve">. </w:t>
            </w:r>
            <w:r w:rsidR="00803730">
              <w:rPr>
                <w:rFonts w:ascii="Calibri Light" w:hAnsi="Calibri Light"/>
                <w:b w:val="0"/>
              </w:rPr>
              <w:t>Asimismo, alegaron que se había violado</w:t>
            </w:r>
            <w:r w:rsidR="00803730" w:rsidRPr="00CF6C41">
              <w:rPr>
                <w:rFonts w:ascii="Calibri Light" w:hAnsi="Calibri Light"/>
                <w:b w:val="0"/>
              </w:rPr>
              <w:t xml:space="preserve"> </w:t>
            </w:r>
            <w:r w:rsidR="00CF6C41">
              <w:rPr>
                <w:rFonts w:ascii="Calibri Light" w:hAnsi="Calibri Light"/>
                <w:b w:val="0"/>
              </w:rPr>
              <w:t xml:space="preserve">el deber de erradicar la violencia contra la mujer por parte de agentes estatales, </w:t>
            </w:r>
            <w:r w:rsidR="000F3BC6">
              <w:rPr>
                <w:rFonts w:ascii="Calibri Light" w:hAnsi="Calibri Light"/>
                <w:b w:val="0"/>
              </w:rPr>
              <w:t>reconocido</w:t>
            </w:r>
            <w:r w:rsidR="00840A09">
              <w:rPr>
                <w:rFonts w:ascii="Calibri Light" w:hAnsi="Calibri Light"/>
                <w:b w:val="0"/>
              </w:rPr>
              <w:t xml:space="preserve"> en la </w:t>
            </w:r>
            <w:r w:rsidR="00840A09" w:rsidRPr="00840A09">
              <w:rPr>
                <w:rFonts w:ascii="Calibri Light" w:hAnsi="Calibri Light"/>
                <w:b w:val="0"/>
              </w:rPr>
              <w:t>Convención Interamericana para Prevenir Sancionar y Erradicar la Violencia contra la Mujer</w:t>
            </w:r>
            <w:r w:rsidR="00840A09">
              <w:rPr>
                <w:rFonts w:ascii="Calibri Light" w:hAnsi="Calibri Light"/>
                <w:b w:val="0"/>
              </w:rPr>
              <w:t xml:space="preserve"> (en adelante,</w:t>
            </w:r>
            <w:r w:rsidR="00D7039D">
              <w:rPr>
                <w:rFonts w:ascii="Calibri Light" w:hAnsi="Calibri Light"/>
                <w:b w:val="0"/>
              </w:rPr>
              <w:t xml:space="preserve"> Convención</w:t>
            </w:r>
            <w:r w:rsidR="00840A09">
              <w:rPr>
                <w:rFonts w:ascii="Calibri Light" w:hAnsi="Calibri Light"/>
                <w:b w:val="0"/>
              </w:rPr>
              <w:t xml:space="preserve"> </w:t>
            </w:r>
            <w:r w:rsidR="00840A09" w:rsidRPr="00840A09">
              <w:rPr>
                <w:rFonts w:ascii="Calibri Light" w:hAnsi="Calibri Light"/>
                <w:b w:val="0"/>
              </w:rPr>
              <w:t>Belem do Pará</w:t>
            </w:r>
            <w:r w:rsidR="00840A09">
              <w:rPr>
                <w:rFonts w:ascii="Calibri Light" w:hAnsi="Calibri Light"/>
                <w:b w:val="0"/>
              </w:rPr>
              <w:t>)</w:t>
            </w:r>
            <w:r w:rsidR="00CF6C41">
              <w:rPr>
                <w:rFonts w:ascii="Calibri Light" w:hAnsi="Calibri Light"/>
                <w:b w:val="0"/>
              </w:rPr>
              <w:t>,</w:t>
            </w:r>
            <w:r w:rsidR="00840A09">
              <w:rPr>
                <w:rFonts w:ascii="Calibri Light" w:hAnsi="Calibri Light"/>
                <w:b w:val="0"/>
              </w:rPr>
              <w:t xml:space="preserve"> y</w:t>
            </w:r>
            <w:r w:rsidR="00CF6C41">
              <w:rPr>
                <w:rFonts w:ascii="Calibri Light" w:hAnsi="Calibri Light"/>
                <w:b w:val="0"/>
              </w:rPr>
              <w:t xml:space="preserve"> el deber de prevenir y sancionar la tortura, reconocido</w:t>
            </w:r>
            <w:r w:rsidR="00840A09">
              <w:rPr>
                <w:rFonts w:ascii="Calibri Light" w:hAnsi="Calibri Light"/>
                <w:b w:val="0"/>
              </w:rPr>
              <w:t xml:space="preserve"> en la </w:t>
            </w:r>
            <w:r w:rsidR="00840A09" w:rsidRPr="00840A09">
              <w:rPr>
                <w:rFonts w:ascii="Calibri Light" w:hAnsi="Calibri Light"/>
                <w:b w:val="0"/>
              </w:rPr>
              <w:t>Convención Interamericana para Prevenir y Sancionar la Tortura</w:t>
            </w:r>
            <w:r w:rsidR="00840A09">
              <w:rPr>
                <w:rFonts w:ascii="Calibri Light" w:hAnsi="Calibri Light"/>
                <w:b w:val="0"/>
              </w:rPr>
              <w:t xml:space="preserve"> (en adelante, </w:t>
            </w:r>
            <w:r w:rsidR="00840A09" w:rsidRPr="00840A09">
              <w:rPr>
                <w:rFonts w:ascii="Calibri Light" w:hAnsi="Calibri Light"/>
                <w:b w:val="0"/>
              </w:rPr>
              <w:t>CIPST</w:t>
            </w:r>
            <w:r w:rsidR="00840A09">
              <w:rPr>
                <w:rFonts w:ascii="Calibri Light" w:hAnsi="Calibri Light"/>
                <w:b w:val="0"/>
              </w:rPr>
              <w:t>)</w:t>
            </w:r>
            <w:r>
              <w:rPr>
                <w:rFonts w:ascii="Calibri Light" w:hAnsi="Calibri Light"/>
                <w:b w:val="0"/>
              </w:rPr>
              <w:t xml:space="preserve">. Por su parte, el Estado reconoció las violaciones de derechos humanos y </w:t>
            </w:r>
            <w:r w:rsidR="003031DA">
              <w:rPr>
                <w:rFonts w:ascii="Calibri Light" w:hAnsi="Calibri Light"/>
                <w:b w:val="0"/>
              </w:rPr>
              <w:t xml:space="preserve">manifestó su interés en llegar </w:t>
            </w:r>
            <w:r>
              <w:rPr>
                <w:rFonts w:ascii="Calibri Light" w:hAnsi="Calibri Light"/>
                <w:b w:val="0"/>
              </w:rPr>
              <w:t xml:space="preserve">a una solución amistosa; no obstante, los peticionarios </w:t>
            </w:r>
            <w:r w:rsidR="006461ED">
              <w:rPr>
                <w:rFonts w:ascii="Calibri Light" w:hAnsi="Calibri Light"/>
                <w:b w:val="0"/>
              </w:rPr>
              <w:t>rechazaron dicho ofrecimiento</w:t>
            </w:r>
            <w:r w:rsidR="003031DA">
              <w:rPr>
                <w:rFonts w:ascii="Calibri Light" w:hAnsi="Calibri Light"/>
                <w:b w:val="0"/>
              </w:rPr>
              <w:t>.</w:t>
            </w:r>
          </w:p>
          <w:p w14:paraId="6543A68A" w14:textId="6025D995" w:rsidR="004F4491" w:rsidRPr="004533E5" w:rsidRDefault="004F4491" w:rsidP="00732BC0">
            <w:pPr>
              <w:jc w:val="both"/>
              <w:rPr>
                <w:rFonts w:ascii="Calibri Light" w:hAnsi="Calibri Light"/>
                <w:b w:val="0"/>
              </w:rPr>
            </w:pPr>
          </w:p>
        </w:tc>
      </w:tr>
      <w:tr w:rsidR="004C2E50" w:rsidRPr="004533E5" w14:paraId="7B81A2F3"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4C2E50" w:rsidRDefault="004C2E50" w:rsidP="00AC6F31">
            <w:pPr>
              <w:pStyle w:val="ListParagraph"/>
              <w:rPr>
                <w:rFonts w:ascii="Calibri Light" w:hAnsi="Calibri Light"/>
              </w:rPr>
            </w:pPr>
          </w:p>
          <w:p w14:paraId="1FB8AB09" w14:textId="77777777" w:rsidR="004C2E50" w:rsidRDefault="004C2E50" w:rsidP="003E6AB8">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4C2E50" w:rsidRPr="004533E5" w:rsidRDefault="004C2E50" w:rsidP="00AC6F31">
            <w:pPr>
              <w:pStyle w:val="ListParagraph"/>
              <w:rPr>
                <w:rFonts w:ascii="Calibri Light" w:hAnsi="Calibri Light"/>
              </w:rPr>
            </w:pPr>
          </w:p>
        </w:tc>
      </w:tr>
      <w:tr w:rsidR="004C2E50" w:rsidRPr="004533E5" w14:paraId="71AB3B44" w14:textId="77777777" w:rsidTr="00A94EE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4B3D2C0F" w:rsidR="004C2E50" w:rsidRPr="00310836" w:rsidRDefault="004C2E50" w:rsidP="00AC6F31">
            <w:pPr>
              <w:pStyle w:val="ListParagraph"/>
              <w:ind w:left="360"/>
              <w:jc w:val="both"/>
              <w:rPr>
                <w:rFonts w:ascii="Calibri Light" w:hAnsi="Calibri Light"/>
                <w:b w:val="0"/>
              </w:rPr>
            </w:pPr>
          </w:p>
          <w:p w14:paraId="1704D256" w14:textId="6FA8F5EF" w:rsidR="004C2E50" w:rsidRPr="00310836" w:rsidRDefault="00310836" w:rsidP="009F6931">
            <w:pPr>
              <w:jc w:val="both"/>
              <w:rPr>
                <w:rFonts w:ascii="Calibri Light" w:hAnsi="Calibri Light"/>
              </w:rPr>
            </w:pPr>
            <w:r w:rsidRPr="00310836">
              <w:rPr>
                <w:rFonts w:ascii="Calibri Light" w:hAnsi="Calibri Light"/>
              </w:rPr>
              <w:t>El d</w:t>
            </w:r>
            <w:r w:rsidR="00310250" w:rsidRPr="00310836">
              <w:rPr>
                <w:rFonts w:ascii="Calibri Light" w:hAnsi="Calibri Light"/>
              </w:rPr>
              <w:t xml:space="preserve">erecho a la libertad personal y </w:t>
            </w:r>
            <w:r w:rsidRPr="00310836">
              <w:rPr>
                <w:rFonts w:ascii="Calibri Light" w:hAnsi="Calibri Light"/>
              </w:rPr>
              <w:t xml:space="preserve">el </w:t>
            </w:r>
            <w:r w:rsidR="00310250" w:rsidRPr="00310836">
              <w:rPr>
                <w:rFonts w:ascii="Calibri Light" w:hAnsi="Calibri Light"/>
              </w:rPr>
              <w:t>derecho a la defensa</w:t>
            </w:r>
            <w:r w:rsidRPr="00310836">
              <w:rPr>
                <w:rFonts w:ascii="Calibri Light" w:hAnsi="Calibri Light"/>
              </w:rPr>
              <w:t xml:space="preserve"> (</w:t>
            </w:r>
            <w:r w:rsidR="00FE3FFE">
              <w:rPr>
                <w:rFonts w:ascii="Calibri Light" w:hAnsi="Calibri Light"/>
              </w:rPr>
              <w:t>artículos 7 y 8 de la CADH</w:t>
            </w:r>
            <w:r w:rsidRPr="00310836">
              <w:rPr>
                <w:rFonts w:ascii="Calibri Light" w:hAnsi="Calibri Light"/>
              </w:rPr>
              <w:t>)</w:t>
            </w:r>
          </w:p>
          <w:p w14:paraId="139875D5" w14:textId="77777777" w:rsidR="004C2E50" w:rsidRPr="00310836" w:rsidRDefault="004C2E50" w:rsidP="009F6931">
            <w:pPr>
              <w:jc w:val="both"/>
              <w:rPr>
                <w:rFonts w:ascii="Calibri Light" w:hAnsi="Calibri Light"/>
              </w:rPr>
            </w:pPr>
          </w:p>
          <w:p w14:paraId="0883BF5B" w14:textId="2183A486" w:rsidR="004C2E50" w:rsidRDefault="00310836" w:rsidP="00EC4E9F">
            <w:pPr>
              <w:pStyle w:val="ListParagraph"/>
              <w:numPr>
                <w:ilvl w:val="0"/>
                <w:numId w:val="7"/>
              </w:numPr>
              <w:jc w:val="both"/>
              <w:rPr>
                <w:rFonts w:ascii="Calibri Light" w:hAnsi="Calibri Light"/>
              </w:rPr>
            </w:pPr>
            <w:r w:rsidRPr="00310836">
              <w:rPr>
                <w:rFonts w:ascii="Calibri Light" w:hAnsi="Calibri Light"/>
              </w:rPr>
              <w:t>En cuanto al derecho a la libertad personal</w:t>
            </w:r>
          </w:p>
          <w:p w14:paraId="3E2721C7" w14:textId="77777777" w:rsidR="001754B7" w:rsidRDefault="001754B7" w:rsidP="001754B7">
            <w:pPr>
              <w:jc w:val="both"/>
              <w:rPr>
                <w:rFonts w:ascii="Calibri Light" w:hAnsi="Calibri Light"/>
                <w:b w:val="0"/>
              </w:rPr>
            </w:pPr>
          </w:p>
          <w:p w14:paraId="36D364F7" w14:textId="25808DCE" w:rsidR="004C2E50" w:rsidRDefault="001754B7" w:rsidP="00EC4E9F">
            <w:pPr>
              <w:jc w:val="both"/>
              <w:rPr>
                <w:rFonts w:ascii="Calibri Light" w:hAnsi="Calibri Light"/>
                <w:b w:val="0"/>
              </w:rPr>
            </w:pPr>
            <w:r>
              <w:rPr>
                <w:rFonts w:ascii="Calibri Light" w:hAnsi="Calibri Light"/>
                <w:b w:val="0"/>
              </w:rPr>
              <w:t>La CID</w:t>
            </w:r>
            <w:r w:rsidR="005631C8">
              <w:rPr>
                <w:rFonts w:ascii="Calibri Light" w:hAnsi="Calibri Light"/>
                <w:b w:val="0"/>
              </w:rPr>
              <w:t xml:space="preserve">H </w:t>
            </w:r>
            <w:r w:rsidR="008652BC">
              <w:rPr>
                <w:rFonts w:ascii="Calibri Light" w:hAnsi="Calibri Light"/>
                <w:b w:val="0"/>
              </w:rPr>
              <w:t xml:space="preserve">se pronunció sobre los siguientes aspectos </w:t>
            </w:r>
            <w:r w:rsidR="00912875">
              <w:rPr>
                <w:rFonts w:ascii="Calibri Light" w:hAnsi="Calibri Light"/>
                <w:b w:val="0"/>
              </w:rPr>
              <w:t xml:space="preserve">relacionados </w:t>
            </w:r>
            <w:r w:rsidR="008652BC">
              <w:rPr>
                <w:rFonts w:ascii="Calibri Light" w:hAnsi="Calibri Light"/>
                <w:b w:val="0"/>
              </w:rPr>
              <w:t xml:space="preserve">a la detención de </w:t>
            </w:r>
            <w:r w:rsidR="00912875">
              <w:rPr>
                <w:rFonts w:ascii="Calibri Light" w:hAnsi="Calibri Light"/>
                <w:b w:val="0"/>
              </w:rPr>
              <w:t>las 11 mujeres</w:t>
            </w:r>
            <w:r w:rsidR="00893F47">
              <w:rPr>
                <w:rFonts w:ascii="Calibri Light" w:hAnsi="Calibri Light"/>
                <w:b w:val="0"/>
              </w:rPr>
              <w:t>: i)</w:t>
            </w:r>
            <w:r w:rsidR="008652BC">
              <w:rPr>
                <w:rFonts w:ascii="Calibri Light" w:hAnsi="Calibri Light"/>
                <w:b w:val="0"/>
              </w:rPr>
              <w:t xml:space="preserve"> la legalidad de </w:t>
            </w:r>
            <w:r w:rsidR="00912875">
              <w:rPr>
                <w:rFonts w:ascii="Calibri Light" w:hAnsi="Calibri Light"/>
                <w:b w:val="0"/>
              </w:rPr>
              <w:t>su</w:t>
            </w:r>
            <w:r w:rsidR="008652BC">
              <w:rPr>
                <w:rFonts w:ascii="Calibri Light" w:hAnsi="Calibri Light"/>
                <w:b w:val="0"/>
              </w:rPr>
              <w:t xml:space="preserve"> detención, ii) la arbitrariedad de </w:t>
            </w:r>
            <w:r w:rsidR="00912875">
              <w:rPr>
                <w:rFonts w:ascii="Calibri Light" w:hAnsi="Calibri Light"/>
                <w:b w:val="0"/>
              </w:rPr>
              <w:t>su</w:t>
            </w:r>
            <w:r w:rsidR="008652BC">
              <w:rPr>
                <w:rFonts w:ascii="Calibri Light" w:hAnsi="Calibri Light"/>
                <w:b w:val="0"/>
              </w:rPr>
              <w:t xml:space="preserve"> detención, </w:t>
            </w:r>
            <w:r w:rsidR="00912875">
              <w:rPr>
                <w:rFonts w:ascii="Calibri Light" w:hAnsi="Calibri Light"/>
                <w:b w:val="0"/>
              </w:rPr>
              <w:t xml:space="preserve">y </w:t>
            </w:r>
            <w:r w:rsidR="008652BC">
              <w:rPr>
                <w:rFonts w:ascii="Calibri Light" w:hAnsi="Calibri Light"/>
                <w:b w:val="0"/>
              </w:rPr>
              <w:t xml:space="preserve">iii) </w:t>
            </w:r>
            <w:r w:rsidR="00912875">
              <w:rPr>
                <w:rFonts w:ascii="Calibri Light" w:hAnsi="Calibri Light"/>
                <w:b w:val="0"/>
              </w:rPr>
              <w:t xml:space="preserve">su </w:t>
            </w:r>
            <w:r w:rsidR="008652BC">
              <w:rPr>
                <w:rFonts w:ascii="Calibri Light" w:hAnsi="Calibri Light"/>
                <w:b w:val="0"/>
              </w:rPr>
              <w:t>derecho a ser informadas de las razones de la detención.</w:t>
            </w:r>
          </w:p>
          <w:p w14:paraId="06709A18" w14:textId="77777777" w:rsidR="008652BC" w:rsidRDefault="008652BC" w:rsidP="00EC4E9F">
            <w:pPr>
              <w:jc w:val="both"/>
              <w:rPr>
                <w:rFonts w:ascii="Calibri Light" w:hAnsi="Calibri Light"/>
                <w:b w:val="0"/>
              </w:rPr>
            </w:pPr>
          </w:p>
          <w:p w14:paraId="28D43069" w14:textId="43A7BF21" w:rsidR="008652BC" w:rsidRDefault="008652BC" w:rsidP="00EC4E9F">
            <w:pPr>
              <w:jc w:val="both"/>
              <w:rPr>
                <w:rFonts w:ascii="Calibri Light" w:hAnsi="Calibri Light"/>
                <w:b w:val="0"/>
              </w:rPr>
            </w:pPr>
            <w:r>
              <w:rPr>
                <w:rFonts w:ascii="Calibri Light" w:hAnsi="Calibri Light"/>
                <w:b w:val="0"/>
              </w:rPr>
              <w:t xml:space="preserve">Sobre el primer aspecto, indicó que únicamente a través de una ley puede afectarse el derecho a la libertad personal, es decir, </w:t>
            </w:r>
            <w:r w:rsidR="0058678D">
              <w:rPr>
                <w:rFonts w:ascii="Calibri Light" w:hAnsi="Calibri Light"/>
                <w:b w:val="0"/>
              </w:rPr>
              <w:t>debe respetarse el principio de</w:t>
            </w:r>
            <w:r>
              <w:rPr>
                <w:rFonts w:ascii="Calibri Light" w:hAnsi="Calibri Light"/>
                <w:b w:val="0"/>
              </w:rPr>
              <w:t xml:space="preserve"> reserva de ley. Est</w:t>
            </w:r>
            <w:r w:rsidR="0058678D">
              <w:rPr>
                <w:rFonts w:ascii="Calibri Light" w:hAnsi="Calibri Light"/>
                <w:b w:val="0"/>
              </w:rPr>
              <w:t>e</w:t>
            </w:r>
            <w:r>
              <w:rPr>
                <w:rFonts w:ascii="Calibri Light" w:hAnsi="Calibri Light"/>
                <w:b w:val="0"/>
              </w:rPr>
              <w:t xml:space="preserve"> debe ir forzosamente acompañad</w:t>
            </w:r>
            <w:r w:rsidR="0058678D">
              <w:rPr>
                <w:rFonts w:ascii="Calibri Light" w:hAnsi="Calibri Light"/>
                <w:b w:val="0"/>
              </w:rPr>
              <w:t>o</w:t>
            </w:r>
            <w:r>
              <w:rPr>
                <w:rFonts w:ascii="Calibri Light" w:hAnsi="Calibri Light"/>
                <w:b w:val="0"/>
              </w:rPr>
              <w:t xml:space="preserve"> del principio de tipicidad, que obliga a los Estados a establecer de forma concreta las causas y condiciones de la privación de libertad física. En el presente caso, la Constitución de México </w:t>
            </w:r>
            <w:r w:rsidR="0065418E">
              <w:rPr>
                <w:rFonts w:ascii="Calibri Light" w:hAnsi="Calibri Light"/>
                <w:b w:val="0"/>
              </w:rPr>
              <w:t>señalaba que las personas podían ser detenidas con orden motivada de autoridad competente o en situación de flagrancia. No obstante, no existió orden alguna para detener a las 11 mujeres y el Estado de México no logró demostrar que alguna de ellas se encontraba en situación de flagrancia.</w:t>
            </w:r>
            <w:r w:rsidR="0005763B">
              <w:rPr>
                <w:rFonts w:ascii="Calibri Light" w:hAnsi="Calibri Light"/>
                <w:b w:val="0"/>
              </w:rPr>
              <w:t xml:space="preserve"> </w:t>
            </w:r>
            <w:r w:rsidR="0005763B" w:rsidRPr="00C132A0">
              <w:rPr>
                <w:rFonts w:ascii="Calibri Light" w:hAnsi="Calibri Light"/>
                <w:b w:val="0"/>
              </w:rPr>
              <w:t>Por lo cual</w:t>
            </w:r>
            <w:r w:rsidR="0058678D" w:rsidRPr="00C132A0">
              <w:rPr>
                <w:rFonts w:ascii="Calibri Light" w:hAnsi="Calibri Light"/>
                <w:b w:val="0"/>
              </w:rPr>
              <w:t>, se trató de una detención ilegal</w:t>
            </w:r>
            <w:r w:rsidR="00D7039D">
              <w:rPr>
                <w:rFonts w:ascii="Calibri Light" w:hAnsi="Calibri Light"/>
                <w:b w:val="0"/>
              </w:rPr>
              <w:t xml:space="preserve"> en </w:t>
            </w:r>
            <w:r w:rsidR="00803730">
              <w:rPr>
                <w:rFonts w:ascii="Calibri Light" w:hAnsi="Calibri Light"/>
                <w:b w:val="0"/>
              </w:rPr>
              <w:t xml:space="preserve">su </w:t>
            </w:r>
            <w:r w:rsidR="00D7039D">
              <w:rPr>
                <w:rFonts w:ascii="Calibri Light" w:hAnsi="Calibri Light"/>
                <w:b w:val="0"/>
              </w:rPr>
              <w:t>contra</w:t>
            </w:r>
            <w:r w:rsidR="00D7039D" w:rsidRPr="00D7039D">
              <w:rPr>
                <w:rFonts w:ascii="Calibri Light" w:hAnsi="Calibri Light"/>
                <w:b w:val="0"/>
              </w:rPr>
              <w:t>.</w:t>
            </w:r>
            <w:r w:rsidR="0005763B">
              <w:rPr>
                <w:rFonts w:ascii="Calibri Light" w:hAnsi="Calibri Light"/>
                <w:b w:val="0"/>
              </w:rPr>
              <w:t xml:space="preserve"> </w:t>
            </w:r>
          </w:p>
          <w:p w14:paraId="25AF2578" w14:textId="77777777" w:rsidR="0065418E" w:rsidRDefault="0065418E" w:rsidP="00EC4E9F">
            <w:pPr>
              <w:jc w:val="both"/>
              <w:rPr>
                <w:rFonts w:ascii="Calibri Light" w:hAnsi="Calibri Light"/>
                <w:b w:val="0"/>
              </w:rPr>
            </w:pPr>
          </w:p>
          <w:p w14:paraId="04D00F86" w14:textId="52638684" w:rsidR="0065418E" w:rsidRDefault="0065418E" w:rsidP="00EC4E9F">
            <w:pPr>
              <w:jc w:val="both"/>
              <w:rPr>
                <w:rFonts w:ascii="Calibri Light" w:hAnsi="Calibri Light"/>
                <w:b w:val="0"/>
              </w:rPr>
            </w:pPr>
            <w:r>
              <w:rPr>
                <w:rFonts w:ascii="Calibri Light" w:hAnsi="Calibri Light"/>
                <w:b w:val="0"/>
              </w:rPr>
              <w:t>Respecto a la arbitrariedad de la detención, la CIDH precisó que nadie p</w:t>
            </w:r>
            <w:r w:rsidR="005701C4">
              <w:rPr>
                <w:rFonts w:ascii="Calibri Light" w:hAnsi="Calibri Light"/>
                <w:b w:val="0"/>
              </w:rPr>
              <w:t>uede</w:t>
            </w:r>
            <w:r>
              <w:rPr>
                <w:rFonts w:ascii="Calibri Light" w:hAnsi="Calibri Light"/>
                <w:b w:val="0"/>
              </w:rPr>
              <w:t xml:space="preserve"> ser sometido a detención o encarcelamiento por causas y métodos que, aún calificados de legales, puedan reputarse como incompatibles con los derechos humanos por ser, entre otras cosas, irrazonables, imprevisibles o faltos de proporcionalidad. Así, la arbitrariedad no significa solo contrario a ley, sino que debe interpretarse de manera más amplia para incluir otros elementos. </w:t>
            </w:r>
            <w:r w:rsidR="00FE036A">
              <w:rPr>
                <w:rFonts w:ascii="Calibri Light" w:hAnsi="Calibri Light"/>
                <w:b w:val="0"/>
              </w:rPr>
              <w:t xml:space="preserve">En el caso en específico, se identificó un uso innecesario de violencia y de diversos actos de violencia sexual contra las 11 mujeres. Esto llevó a </w:t>
            </w:r>
            <w:r w:rsidR="00803730">
              <w:rPr>
                <w:rFonts w:ascii="Calibri Light" w:hAnsi="Calibri Light"/>
                <w:b w:val="0"/>
              </w:rPr>
              <w:t xml:space="preserve">que la CIDH </w:t>
            </w:r>
            <w:r w:rsidR="00FE036A">
              <w:rPr>
                <w:rFonts w:ascii="Calibri Light" w:hAnsi="Calibri Light"/>
                <w:b w:val="0"/>
              </w:rPr>
              <w:t>conclu</w:t>
            </w:r>
            <w:r w:rsidR="00803730">
              <w:rPr>
                <w:rFonts w:ascii="Calibri Light" w:hAnsi="Calibri Light"/>
                <w:b w:val="0"/>
              </w:rPr>
              <w:t>yera</w:t>
            </w:r>
            <w:r w:rsidR="00FE036A">
              <w:rPr>
                <w:rFonts w:ascii="Calibri Light" w:hAnsi="Calibri Light"/>
                <w:b w:val="0"/>
              </w:rPr>
              <w:t xml:space="preserve"> que, además de ilegal, las detenciones fueron también arbitrarias.</w:t>
            </w:r>
          </w:p>
          <w:p w14:paraId="17CE4322" w14:textId="77777777" w:rsidR="00FE036A" w:rsidRDefault="00FE036A" w:rsidP="00EC4E9F">
            <w:pPr>
              <w:jc w:val="both"/>
              <w:rPr>
                <w:rFonts w:ascii="Calibri Light" w:hAnsi="Calibri Light"/>
                <w:b w:val="0"/>
              </w:rPr>
            </w:pPr>
          </w:p>
          <w:p w14:paraId="5EF222D3" w14:textId="52D44559" w:rsidR="00FE036A" w:rsidRDefault="00FE036A" w:rsidP="00EC4E9F">
            <w:pPr>
              <w:jc w:val="both"/>
              <w:rPr>
                <w:rFonts w:ascii="Calibri Light" w:hAnsi="Calibri Light"/>
                <w:b w:val="0"/>
              </w:rPr>
            </w:pPr>
            <w:r>
              <w:rPr>
                <w:rFonts w:ascii="Calibri Light" w:hAnsi="Calibri Light"/>
                <w:b w:val="0"/>
              </w:rPr>
              <w:t xml:space="preserve">En cuanto al derecho a ser informadas de las razones de detención, la CIDH señaló que la información de los motivos y razones de la detención debe darse cuando esta se produce, </w:t>
            </w:r>
            <w:r w:rsidR="00AE6A0B">
              <w:rPr>
                <w:rFonts w:ascii="Calibri Light" w:hAnsi="Calibri Light"/>
                <w:b w:val="0"/>
              </w:rPr>
              <w:t>lo cual constituye un mecanismo para</w:t>
            </w:r>
            <w:r>
              <w:rPr>
                <w:rFonts w:ascii="Calibri Light" w:hAnsi="Calibri Light"/>
                <w:b w:val="0"/>
              </w:rPr>
              <w:t xml:space="preserve"> evitar </w:t>
            </w:r>
            <w:r w:rsidR="00AE6A0B">
              <w:rPr>
                <w:rFonts w:ascii="Calibri Light" w:hAnsi="Calibri Light"/>
                <w:b w:val="0"/>
              </w:rPr>
              <w:t>las detenciones ilegales o arbitrarias desde el primer momento de la privación de libertad. En el caso de las 11 mujeres, estas no fueron debidamente informadas por los cargos respectivos e incluso se les negó expresamente dicha información.</w:t>
            </w:r>
            <w:r w:rsidR="0005763B">
              <w:rPr>
                <w:rFonts w:ascii="Calibri Light" w:hAnsi="Calibri Light"/>
                <w:b w:val="0"/>
              </w:rPr>
              <w:t xml:space="preserve"> En base a todo ello, </w:t>
            </w:r>
            <w:r w:rsidR="00AE6A0B">
              <w:rPr>
                <w:rFonts w:ascii="Calibri Light" w:hAnsi="Calibri Light"/>
                <w:b w:val="0"/>
              </w:rPr>
              <w:t xml:space="preserve">la CIDH consideró que el Estado mexicano había violado </w:t>
            </w:r>
            <w:r w:rsidR="00046A44">
              <w:rPr>
                <w:rFonts w:ascii="Calibri Light" w:hAnsi="Calibri Light"/>
                <w:b w:val="0"/>
              </w:rPr>
              <w:t>los</w:t>
            </w:r>
            <w:r w:rsidR="00AE6A0B">
              <w:rPr>
                <w:rFonts w:ascii="Calibri Light" w:hAnsi="Calibri Light"/>
                <w:b w:val="0"/>
              </w:rPr>
              <w:t xml:space="preserve"> artículo</w:t>
            </w:r>
            <w:r w:rsidR="00046A44">
              <w:rPr>
                <w:rFonts w:ascii="Calibri Light" w:hAnsi="Calibri Light"/>
                <w:b w:val="0"/>
              </w:rPr>
              <w:t>s</w:t>
            </w:r>
            <w:r w:rsidR="00AE6A0B">
              <w:rPr>
                <w:rFonts w:ascii="Calibri Light" w:hAnsi="Calibri Light"/>
                <w:b w:val="0"/>
              </w:rPr>
              <w:t xml:space="preserve"> 7</w:t>
            </w:r>
            <w:r w:rsidR="00046A44">
              <w:rPr>
                <w:rFonts w:ascii="Calibri Light" w:hAnsi="Calibri Light"/>
                <w:b w:val="0"/>
              </w:rPr>
              <w:t>.1, 7.2, 7.3 y 7.4 de la CADH</w:t>
            </w:r>
            <w:r w:rsidR="00AE6A0B">
              <w:rPr>
                <w:rFonts w:ascii="Calibri Light" w:hAnsi="Calibri Light"/>
                <w:b w:val="0"/>
              </w:rPr>
              <w:t xml:space="preserve">, </w:t>
            </w:r>
            <w:r w:rsidR="0005763B">
              <w:rPr>
                <w:rFonts w:ascii="Calibri Light" w:hAnsi="Calibri Light"/>
                <w:b w:val="0"/>
              </w:rPr>
              <w:t xml:space="preserve">en relación al artículo 1.1, </w:t>
            </w:r>
            <w:r w:rsidR="00AE6A0B">
              <w:rPr>
                <w:rFonts w:ascii="Calibri Light" w:hAnsi="Calibri Light"/>
                <w:b w:val="0"/>
              </w:rPr>
              <w:t>en perjuicio de las 11 mujeres.</w:t>
            </w:r>
          </w:p>
          <w:p w14:paraId="28C31534" w14:textId="77777777" w:rsidR="004C2E50" w:rsidRPr="00310836" w:rsidRDefault="004C2E50" w:rsidP="00EC4E9F">
            <w:pPr>
              <w:jc w:val="both"/>
              <w:rPr>
                <w:rFonts w:ascii="Calibri Light" w:hAnsi="Calibri Light"/>
                <w:b w:val="0"/>
              </w:rPr>
            </w:pPr>
          </w:p>
          <w:p w14:paraId="22B4CDC1" w14:textId="42FDD6BF" w:rsidR="004C2E50" w:rsidRPr="00310836" w:rsidRDefault="00310836" w:rsidP="00EC4E9F">
            <w:pPr>
              <w:pStyle w:val="ListParagraph"/>
              <w:numPr>
                <w:ilvl w:val="0"/>
                <w:numId w:val="7"/>
              </w:numPr>
              <w:jc w:val="both"/>
              <w:rPr>
                <w:rFonts w:ascii="Calibri Light" w:hAnsi="Calibri Light"/>
              </w:rPr>
            </w:pPr>
            <w:r w:rsidRPr="00310836">
              <w:rPr>
                <w:rFonts w:ascii="Calibri Light" w:hAnsi="Calibri Light"/>
              </w:rPr>
              <w:t>En cuanto al derecho a las garantías judiciales</w:t>
            </w:r>
          </w:p>
          <w:p w14:paraId="3C089DC6" w14:textId="77777777" w:rsidR="004C2E50" w:rsidRPr="00310836" w:rsidRDefault="004C2E50" w:rsidP="006A3F5E">
            <w:pPr>
              <w:jc w:val="both"/>
              <w:rPr>
                <w:rFonts w:ascii="Calibri Light" w:hAnsi="Calibri Light"/>
              </w:rPr>
            </w:pPr>
          </w:p>
          <w:p w14:paraId="698C49D0" w14:textId="31F48725" w:rsidR="00414F2C" w:rsidRDefault="00414F2C" w:rsidP="009F6931">
            <w:pPr>
              <w:jc w:val="both"/>
              <w:rPr>
                <w:rFonts w:ascii="Calibri Light" w:hAnsi="Calibri Light"/>
                <w:b w:val="0"/>
              </w:rPr>
            </w:pPr>
            <w:r>
              <w:rPr>
                <w:rFonts w:ascii="Calibri Light" w:hAnsi="Calibri Light"/>
                <w:b w:val="0"/>
              </w:rPr>
              <w:t>En virtud de la jurisprudencia de la Corte IDH, la CIDH expresó que el derecho a las garantías judiciales rige incluso antes de que se formule una acusación en sentido estricto</w:t>
            </w:r>
            <w:r w:rsidR="00046A44">
              <w:rPr>
                <w:rFonts w:ascii="Calibri Light" w:hAnsi="Calibri Light"/>
                <w:b w:val="0"/>
              </w:rPr>
              <w:t>. Asimismo, señaló</w:t>
            </w:r>
            <w:r>
              <w:rPr>
                <w:rFonts w:ascii="Calibri Light" w:hAnsi="Calibri Light"/>
                <w:b w:val="0"/>
              </w:rPr>
              <w:t xml:space="preserve"> que el inculpado tiene el derecho a la defensa y, particularmente, a la defensa técnica. Esta última surge desde el momento en que se ordena investigar a una persona, </w:t>
            </w:r>
            <w:r w:rsidR="00912875">
              <w:rPr>
                <w:rFonts w:ascii="Calibri Light" w:hAnsi="Calibri Light"/>
                <w:b w:val="0"/>
              </w:rPr>
              <w:t xml:space="preserve">de lo </w:t>
            </w:r>
            <w:r>
              <w:rPr>
                <w:rFonts w:ascii="Calibri Light" w:hAnsi="Calibri Light"/>
                <w:b w:val="0"/>
              </w:rPr>
              <w:t>contrario, se estaría violando este derecho.</w:t>
            </w:r>
            <w:r w:rsidR="001026DE">
              <w:rPr>
                <w:rFonts w:ascii="Calibri Light" w:hAnsi="Calibri Light"/>
                <w:b w:val="0"/>
              </w:rPr>
              <w:t xml:space="preserve"> </w:t>
            </w:r>
            <w:r>
              <w:rPr>
                <w:rFonts w:ascii="Calibri Light" w:hAnsi="Calibri Light"/>
                <w:b w:val="0"/>
              </w:rPr>
              <w:t xml:space="preserve">En el caso de las </w:t>
            </w:r>
            <w:r w:rsidR="00FE3FFE">
              <w:rPr>
                <w:rFonts w:ascii="Calibri Light" w:hAnsi="Calibri Light"/>
                <w:b w:val="0"/>
              </w:rPr>
              <w:t xml:space="preserve">11 </w:t>
            </w:r>
            <w:r>
              <w:rPr>
                <w:rFonts w:ascii="Calibri Light" w:hAnsi="Calibri Light"/>
                <w:b w:val="0"/>
              </w:rPr>
              <w:t xml:space="preserve">mujeres, estas acudieron a rendir sus declaraciones sin contar con información precisa ni con defensa técnica, mediante </w:t>
            </w:r>
            <w:r w:rsidR="00912875">
              <w:rPr>
                <w:rFonts w:ascii="Calibri Light" w:hAnsi="Calibri Light"/>
                <w:b w:val="0"/>
              </w:rPr>
              <w:t xml:space="preserve">un o una </w:t>
            </w:r>
            <w:r>
              <w:rPr>
                <w:rFonts w:ascii="Calibri Light" w:hAnsi="Calibri Light"/>
                <w:b w:val="0"/>
              </w:rPr>
              <w:t xml:space="preserve">abogado de confianza o de oficio. Por ello, la CIDH consideró que </w:t>
            </w:r>
            <w:r w:rsidR="00046A44">
              <w:rPr>
                <w:rFonts w:ascii="Calibri Light" w:hAnsi="Calibri Light"/>
                <w:b w:val="0"/>
              </w:rPr>
              <w:t>el Estado mexicano</w:t>
            </w:r>
            <w:r>
              <w:rPr>
                <w:rFonts w:ascii="Calibri Light" w:hAnsi="Calibri Light"/>
                <w:b w:val="0"/>
              </w:rPr>
              <w:t xml:space="preserve"> violó</w:t>
            </w:r>
            <w:r w:rsidR="00046A44">
              <w:rPr>
                <w:rFonts w:ascii="Calibri Light" w:hAnsi="Calibri Light"/>
                <w:b w:val="0"/>
              </w:rPr>
              <w:t xml:space="preserve"> los artículos 8.2 b), d) y e) de la CADH, </w:t>
            </w:r>
            <w:r w:rsidR="0005763B">
              <w:rPr>
                <w:rFonts w:ascii="Calibri Light" w:hAnsi="Calibri Light"/>
                <w:b w:val="0"/>
              </w:rPr>
              <w:t xml:space="preserve">en relación al artículo 1.1, </w:t>
            </w:r>
            <w:r w:rsidR="00046A44">
              <w:rPr>
                <w:rFonts w:ascii="Calibri Light" w:hAnsi="Calibri Light"/>
                <w:b w:val="0"/>
              </w:rPr>
              <w:t>en perjuicio de las 11 mujeres</w:t>
            </w:r>
            <w:r>
              <w:rPr>
                <w:rFonts w:ascii="Calibri Light" w:hAnsi="Calibri Light"/>
                <w:b w:val="0"/>
              </w:rPr>
              <w:t>.</w:t>
            </w:r>
          </w:p>
          <w:p w14:paraId="170EC7E3" w14:textId="77777777" w:rsidR="005631C8" w:rsidRPr="005631C8" w:rsidRDefault="005631C8" w:rsidP="009F6931">
            <w:pPr>
              <w:jc w:val="both"/>
              <w:rPr>
                <w:rFonts w:ascii="Calibri Light" w:hAnsi="Calibri Light"/>
                <w:b w:val="0"/>
              </w:rPr>
            </w:pPr>
          </w:p>
          <w:p w14:paraId="3F3D1F84" w14:textId="41861200" w:rsidR="004C2E50" w:rsidRPr="00310836" w:rsidRDefault="00310836" w:rsidP="009F6931">
            <w:pPr>
              <w:jc w:val="both"/>
              <w:rPr>
                <w:rFonts w:ascii="Calibri Light" w:hAnsi="Calibri Light"/>
              </w:rPr>
            </w:pPr>
            <w:r w:rsidRPr="00310836">
              <w:rPr>
                <w:rFonts w:ascii="Calibri Light" w:hAnsi="Calibri Light"/>
              </w:rPr>
              <w:t>Los derechos a la integridad personal, a la vida privada, dignidad y autonomía, a la igualdad y no discriminación, a no ser sujeto a tortura o violencia</w:t>
            </w:r>
            <w:r w:rsidR="004C2E50" w:rsidRPr="00310836">
              <w:rPr>
                <w:rFonts w:ascii="Calibri Light" w:hAnsi="Calibri Light"/>
              </w:rPr>
              <w:t xml:space="preserve"> (</w:t>
            </w:r>
            <w:r w:rsidR="00FE3FFE">
              <w:rPr>
                <w:rFonts w:ascii="Calibri Light" w:hAnsi="Calibri Light"/>
              </w:rPr>
              <w:t>artículos 5, 11 y 24 de</w:t>
            </w:r>
            <w:r w:rsidRPr="00310836">
              <w:rPr>
                <w:rFonts w:ascii="Calibri Light" w:hAnsi="Calibri Light"/>
              </w:rPr>
              <w:t xml:space="preserve"> la CADH; </w:t>
            </w:r>
            <w:r w:rsidR="00762060">
              <w:rPr>
                <w:rFonts w:ascii="Calibri Light" w:hAnsi="Calibri Light"/>
              </w:rPr>
              <w:t xml:space="preserve">artículo </w:t>
            </w:r>
            <w:r w:rsidRPr="00310836">
              <w:rPr>
                <w:rFonts w:ascii="Calibri Light" w:hAnsi="Calibri Light"/>
              </w:rPr>
              <w:t xml:space="preserve">7 de la Convención de Belém Do Pará; y </w:t>
            </w:r>
            <w:r w:rsidR="00762060">
              <w:rPr>
                <w:rFonts w:ascii="Calibri Light" w:hAnsi="Calibri Light"/>
              </w:rPr>
              <w:t xml:space="preserve">artículos </w:t>
            </w:r>
            <w:r w:rsidRPr="00310836">
              <w:rPr>
                <w:rFonts w:ascii="Calibri Light" w:hAnsi="Calibri Light"/>
              </w:rPr>
              <w:t>1 y 6 de la CIPST)</w:t>
            </w:r>
          </w:p>
          <w:p w14:paraId="366A2A4E" w14:textId="77777777" w:rsidR="004C2E50" w:rsidRPr="00310836" w:rsidRDefault="004C2E50" w:rsidP="009F6931">
            <w:pPr>
              <w:jc w:val="both"/>
              <w:rPr>
                <w:rFonts w:ascii="Calibri Light" w:hAnsi="Calibri Light"/>
              </w:rPr>
            </w:pPr>
          </w:p>
          <w:p w14:paraId="13ACF633" w14:textId="28618537" w:rsidR="00310836" w:rsidRDefault="00310836" w:rsidP="00310836">
            <w:pPr>
              <w:pStyle w:val="ListParagraph"/>
              <w:numPr>
                <w:ilvl w:val="0"/>
                <w:numId w:val="11"/>
              </w:numPr>
              <w:jc w:val="both"/>
              <w:rPr>
                <w:rFonts w:ascii="Calibri Light" w:hAnsi="Calibri Light"/>
              </w:rPr>
            </w:pPr>
            <w:r w:rsidRPr="00310836">
              <w:rPr>
                <w:rFonts w:ascii="Calibri Light" w:hAnsi="Calibri Light"/>
              </w:rPr>
              <w:t>Aspectos generales sobre la prohibición absoluta de tortura</w:t>
            </w:r>
            <w:r w:rsidR="00912875">
              <w:rPr>
                <w:rFonts w:ascii="Calibri Light" w:hAnsi="Calibri Light"/>
              </w:rPr>
              <w:t>,</w:t>
            </w:r>
            <w:r w:rsidRPr="00310836">
              <w:rPr>
                <w:rFonts w:ascii="Calibri Light" w:hAnsi="Calibri Light"/>
              </w:rPr>
              <w:t xml:space="preserve"> y tratos y penas crueles, inhumanos y degradantes</w:t>
            </w:r>
          </w:p>
          <w:p w14:paraId="5CA812F6" w14:textId="1DB5BEF2" w:rsidR="001026DE" w:rsidRDefault="00912875" w:rsidP="001026DE">
            <w:pPr>
              <w:jc w:val="both"/>
              <w:rPr>
                <w:rFonts w:ascii="Calibri Light" w:hAnsi="Calibri Light"/>
                <w:b w:val="0"/>
              </w:rPr>
            </w:pPr>
            <w:r>
              <w:rPr>
                <w:rFonts w:ascii="Calibri Light" w:hAnsi="Calibri Light"/>
                <w:b w:val="0"/>
              </w:rPr>
              <w:t xml:space="preserve"> </w:t>
            </w:r>
          </w:p>
          <w:p w14:paraId="4D425586" w14:textId="1638806E" w:rsidR="001026DE" w:rsidRDefault="001026DE" w:rsidP="001026DE">
            <w:pPr>
              <w:jc w:val="both"/>
              <w:rPr>
                <w:rFonts w:ascii="Calibri Light" w:hAnsi="Calibri Light"/>
                <w:b w:val="0"/>
              </w:rPr>
            </w:pPr>
            <w:r>
              <w:rPr>
                <w:rFonts w:ascii="Calibri Light" w:hAnsi="Calibri Light"/>
                <w:b w:val="0"/>
              </w:rPr>
              <w:t xml:space="preserve">La CIDH </w:t>
            </w:r>
            <w:r w:rsidR="00B44EA1">
              <w:rPr>
                <w:rFonts w:ascii="Calibri Light" w:hAnsi="Calibri Light"/>
                <w:b w:val="0"/>
              </w:rPr>
              <w:t>recordó que</w:t>
            </w:r>
            <w:r>
              <w:rPr>
                <w:rFonts w:ascii="Calibri Light" w:hAnsi="Calibri Light"/>
                <w:b w:val="0"/>
              </w:rPr>
              <w:t xml:space="preserve"> un aspecto esencial del derecho a la seguridad personal es la prohibición de la tortura, la cual </w:t>
            </w:r>
            <w:r w:rsidR="00D1732E">
              <w:rPr>
                <w:rFonts w:ascii="Calibri Light" w:hAnsi="Calibri Light"/>
                <w:b w:val="0"/>
              </w:rPr>
              <w:t xml:space="preserve">constituye </w:t>
            </w:r>
            <w:r>
              <w:rPr>
                <w:rFonts w:ascii="Calibri Light" w:hAnsi="Calibri Light"/>
                <w:b w:val="0"/>
              </w:rPr>
              <w:t xml:space="preserve">también una obligación </w:t>
            </w:r>
            <w:r w:rsidRPr="001026DE">
              <w:rPr>
                <w:rFonts w:ascii="Calibri Light" w:hAnsi="Calibri Light"/>
                <w:b w:val="0"/>
                <w:i/>
              </w:rPr>
              <w:t>erga omnes</w:t>
            </w:r>
            <w:r>
              <w:rPr>
                <w:rFonts w:ascii="Calibri Light" w:hAnsi="Calibri Light"/>
                <w:b w:val="0"/>
              </w:rPr>
              <w:t xml:space="preserve"> y una norma de </w:t>
            </w:r>
            <w:r w:rsidRPr="001026DE">
              <w:rPr>
                <w:rFonts w:ascii="Calibri Light" w:hAnsi="Calibri Light"/>
                <w:b w:val="0"/>
                <w:i/>
              </w:rPr>
              <w:t>jus cogens</w:t>
            </w:r>
            <w:r>
              <w:rPr>
                <w:rFonts w:ascii="Calibri Light" w:hAnsi="Calibri Light"/>
                <w:b w:val="0"/>
              </w:rPr>
              <w:t xml:space="preserve">. </w:t>
            </w:r>
          </w:p>
          <w:p w14:paraId="2775909B" w14:textId="77777777" w:rsidR="00F654E4" w:rsidRPr="001026DE" w:rsidRDefault="00F654E4" w:rsidP="001026DE">
            <w:pPr>
              <w:jc w:val="both"/>
              <w:rPr>
                <w:rFonts w:ascii="Calibri Light" w:hAnsi="Calibri Light"/>
                <w:b w:val="0"/>
              </w:rPr>
            </w:pPr>
          </w:p>
          <w:p w14:paraId="6D5634C6" w14:textId="5206D349" w:rsidR="00310836" w:rsidRDefault="00310836" w:rsidP="00310836">
            <w:pPr>
              <w:pStyle w:val="ListParagraph"/>
              <w:numPr>
                <w:ilvl w:val="0"/>
                <w:numId w:val="11"/>
              </w:numPr>
              <w:jc w:val="both"/>
              <w:rPr>
                <w:rFonts w:ascii="Calibri Light" w:hAnsi="Calibri Light"/>
              </w:rPr>
            </w:pPr>
            <w:r w:rsidRPr="00310836">
              <w:rPr>
                <w:rFonts w:ascii="Calibri Light" w:hAnsi="Calibri Light"/>
              </w:rPr>
              <w:t>Consideraciones específicas sobre la violencia y violación sexual a la luz de la CADH, la CIPST y la Convención de Belém Do Pará</w:t>
            </w:r>
          </w:p>
          <w:p w14:paraId="64394D25" w14:textId="77777777" w:rsidR="00F654E4" w:rsidRDefault="00F654E4" w:rsidP="00F654E4">
            <w:pPr>
              <w:jc w:val="both"/>
              <w:rPr>
                <w:rFonts w:ascii="Calibri Light" w:hAnsi="Calibri Light"/>
                <w:b w:val="0"/>
              </w:rPr>
            </w:pPr>
          </w:p>
          <w:p w14:paraId="5143F32B" w14:textId="70AABFAD" w:rsidR="00731C7C" w:rsidRDefault="00B44EA1" w:rsidP="00731C7C">
            <w:pPr>
              <w:jc w:val="both"/>
              <w:rPr>
                <w:rFonts w:ascii="Calibri Light" w:hAnsi="Calibri Light"/>
                <w:b w:val="0"/>
              </w:rPr>
            </w:pPr>
            <w:r>
              <w:rPr>
                <w:rFonts w:ascii="Calibri Light" w:hAnsi="Calibri Light"/>
                <w:b w:val="0"/>
              </w:rPr>
              <w:t xml:space="preserve">La CIDH reiteró que la violación sexual cometida por miembros de las fuerzas de seguridad constituye en todos los casos una grave violación de los derechos humanos protegidos en los artículos 5 y 11 de la CADH. Esta es especialmente grave por dos razones: i) </w:t>
            </w:r>
            <w:r w:rsidR="00731C7C">
              <w:rPr>
                <w:rFonts w:ascii="Calibri Light" w:hAnsi="Calibri Light"/>
                <w:b w:val="0"/>
              </w:rPr>
              <w:t>por las implicancias de la violación sexual, que consiste básicamente</w:t>
            </w:r>
            <w:r w:rsidR="00D1732E">
              <w:rPr>
                <w:rFonts w:ascii="Calibri Light" w:hAnsi="Calibri Light"/>
                <w:b w:val="0"/>
              </w:rPr>
              <w:t xml:space="preserve"> </w:t>
            </w:r>
            <w:r w:rsidR="00D7039D" w:rsidRPr="00D7039D">
              <w:rPr>
                <w:rFonts w:ascii="Calibri Light" w:hAnsi="Calibri Light"/>
                <w:b w:val="0"/>
              </w:rPr>
              <w:t>—</w:t>
            </w:r>
            <w:r w:rsidR="00D1732E">
              <w:rPr>
                <w:rFonts w:ascii="Calibri Light" w:hAnsi="Calibri Light"/>
                <w:b w:val="0"/>
              </w:rPr>
              <w:t>según el Derecho Penal Internacional y el Derecho Penal comparado</w:t>
            </w:r>
            <w:r w:rsidR="00D7039D" w:rsidRPr="00D7039D">
              <w:rPr>
                <w:rFonts w:ascii="Calibri Light" w:hAnsi="Calibri Light"/>
                <w:b w:val="0"/>
              </w:rPr>
              <w:t>—</w:t>
            </w:r>
            <w:r w:rsidR="00D1732E">
              <w:rPr>
                <w:rFonts w:ascii="Calibri Light" w:hAnsi="Calibri Light"/>
                <w:b w:val="0"/>
              </w:rPr>
              <w:t xml:space="preserve"> </w:t>
            </w:r>
            <w:r w:rsidR="00731C7C">
              <w:rPr>
                <w:rFonts w:ascii="Calibri Light" w:hAnsi="Calibri Light"/>
                <w:b w:val="0"/>
              </w:rPr>
              <w:t>en la penetración contra alguien sin su consentimiento</w:t>
            </w:r>
            <w:r>
              <w:rPr>
                <w:rFonts w:ascii="Calibri Light" w:hAnsi="Calibri Light"/>
                <w:b w:val="0"/>
              </w:rPr>
              <w:t>; y, ii) por ser cometida por un agente estatal.</w:t>
            </w:r>
          </w:p>
          <w:p w14:paraId="253C5DBE" w14:textId="77777777" w:rsidR="00912875" w:rsidRDefault="00912875" w:rsidP="00731C7C">
            <w:pPr>
              <w:jc w:val="both"/>
              <w:rPr>
                <w:rFonts w:ascii="Calibri Light" w:hAnsi="Calibri Light"/>
                <w:b w:val="0"/>
              </w:rPr>
            </w:pPr>
          </w:p>
          <w:p w14:paraId="49437311" w14:textId="0A187ADF" w:rsidR="006E3768" w:rsidRDefault="00731C7C" w:rsidP="00F654E4">
            <w:pPr>
              <w:jc w:val="both"/>
              <w:rPr>
                <w:rFonts w:ascii="Calibri Light" w:hAnsi="Calibri Light"/>
                <w:b w:val="0"/>
              </w:rPr>
            </w:pPr>
            <w:r>
              <w:rPr>
                <w:rFonts w:ascii="Calibri Light" w:hAnsi="Calibri Light"/>
                <w:b w:val="0"/>
              </w:rPr>
              <w:t xml:space="preserve">Respecto a las consideraciones </w:t>
            </w:r>
            <w:r w:rsidR="00AC704A">
              <w:rPr>
                <w:rFonts w:ascii="Calibri Light" w:hAnsi="Calibri Light"/>
                <w:b w:val="0"/>
              </w:rPr>
              <w:t>según</w:t>
            </w:r>
            <w:r>
              <w:rPr>
                <w:rFonts w:ascii="Calibri Light" w:hAnsi="Calibri Light"/>
                <w:b w:val="0"/>
              </w:rPr>
              <w:t xml:space="preserve"> otros tratados, la CIDH se pronunció concretamente sobre la violencia sexual bajo la Convención de Belém Do Pará y </w:t>
            </w:r>
            <w:r w:rsidR="009363E6">
              <w:rPr>
                <w:rFonts w:ascii="Calibri Light" w:hAnsi="Calibri Light"/>
                <w:b w:val="0"/>
              </w:rPr>
              <w:t>la</w:t>
            </w:r>
            <w:r>
              <w:rPr>
                <w:rFonts w:ascii="Calibri Light" w:hAnsi="Calibri Light"/>
                <w:b w:val="0"/>
              </w:rPr>
              <w:t xml:space="preserve"> CIPST. Sobre la primera, indicó que la violencia contra la mujer es también una ofensa a la dignidad humana y una manifestación de las relaciones de poder históricamente desiguales. Además, en línea con </w:t>
            </w:r>
            <w:r w:rsidR="00803730">
              <w:rPr>
                <w:rFonts w:ascii="Calibri Light" w:hAnsi="Calibri Light"/>
                <w:b w:val="0"/>
              </w:rPr>
              <w:t xml:space="preserve">lo señalado por </w:t>
            </w:r>
            <w:r>
              <w:rPr>
                <w:rFonts w:ascii="Calibri Light" w:hAnsi="Calibri Light"/>
                <w:b w:val="0"/>
              </w:rPr>
              <w:t xml:space="preserve">el Comité </w:t>
            </w:r>
            <w:r w:rsidR="00803730">
              <w:rPr>
                <w:rFonts w:ascii="Calibri Light" w:hAnsi="Calibri Light"/>
                <w:b w:val="0"/>
              </w:rPr>
              <w:t>para</w:t>
            </w:r>
            <w:r w:rsidR="006E3768" w:rsidRPr="006E3768">
              <w:rPr>
                <w:rFonts w:ascii="Calibri Light" w:hAnsi="Calibri Light"/>
                <w:b w:val="0"/>
              </w:rPr>
              <w:t xml:space="preserve"> la Eliminación de </w:t>
            </w:r>
            <w:r w:rsidR="00803730">
              <w:rPr>
                <w:rFonts w:ascii="Calibri Light" w:hAnsi="Calibri Light"/>
                <w:b w:val="0"/>
              </w:rPr>
              <w:t>la</w:t>
            </w:r>
            <w:r w:rsidR="006E3768" w:rsidRPr="006E3768">
              <w:rPr>
                <w:rFonts w:ascii="Calibri Light" w:hAnsi="Calibri Light"/>
                <w:b w:val="0"/>
              </w:rPr>
              <w:t xml:space="preserve"> Discriminación contra la Mujer</w:t>
            </w:r>
            <w:r>
              <w:rPr>
                <w:rFonts w:ascii="Calibri Light" w:hAnsi="Calibri Light"/>
                <w:b w:val="0"/>
              </w:rPr>
              <w:t xml:space="preserve">, señaló que la violencia basada en el sexo sería </w:t>
            </w:r>
            <w:r w:rsidR="00160260">
              <w:rPr>
                <w:rFonts w:ascii="Calibri Light" w:hAnsi="Calibri Light"/>
                <w:b w:val="0"/>
              </w:rPr>
              <w:t>otra forma de discriminación contra la mujer. Sobre la CIPST, la CIDH y la Corte IDH reconocieron que diversos actos de violencia y violación sexual cometidas por agentes estatales pueden calificar como formas de tortura.</w:t>
            </w:r>
          </w:p>
          <w:p w14:paraId="3BA2303D" w14:textId="77777777" w:rsidR="006E3768" w:rsidRDefault="006E3768" w:rsidP="00F654E4">
            <w:pPr>
              <w:jc w:val="both"/>
              <w:rPr>
                <w:rFonts w:ascii="Calibri Light" w:hAnsi="Calibri Light"/>
                <w:b w:val="0"/>
              </w:rPr>
            </w:pPr>
          </w:p>
          <w:p w14:paraId="6AE48B5B" w14:textId="7557EB48" w:rsidR="00310836" w:rsidRPr="00310836" w:rsidRDefault="00310836" w:rsidP="00310836">
            <w:pPr>
              <w:pStyle w:val="ListParagraph"/>
              <w:numPr>
                <w:ilvl w:val="0"/>
                <w:numId w:val="11"/>
              </w:numPr>
              <w:jc w:val="both"/>
              <w:rPr>
                <w:rFonts w:ascii="Calibri Light" w:hAnsi="Calibri Light"/>
              </w:rPr>
            </w:pPr>
            <w:r w:rsidRPr="00310836">
              <w:rPr>
                <w:rFonts w:ascii="Calibri Light" w:hAnsi="Calibri Light"/>
              </w:rPr>
              <w:t>Valoración de la prueba sobre lo sucedido a las once mujeres y calificación jurídica</w:t>
            </w:r>
          </w:p>
          <w:p w14:paraId="37909DAA" w14:textId="77777777" w:rsidR="00310836" w:rsidRDefault="00310836" w:rsidP="00CB180B">
            <w:pPr>
              <w:jc w:val="both"/>
              <w:rPr>
                <w:rFonts w:ascii="Calibri Light" w:hAnsi="Calibri Light"/>
                <w:b w:val="0"/>
              </w:rPr>
            </w:pPr>
          </w:p>
          <w:p w14:paraId="366E79FE" w14:textId="73195E38" w:rsidR="00E6558E" w:rsidRDefault="00FF713F" w:rsidP="00CB180B">
            <w:pPr>
              <w:jc w:val="both"/>
              <w:rPr>
                <w:rFonts w:ascii="Calibri Light" w:hAnsi="Calibri Light"/>
                <w:b w:val="0"/>
              </w:rPr>
            </w:pPr>
            <w:r>
              <w:rPr>
                <w:rFonts w:ascii="Calibri Light" w:hAnsi="Calibri Light"/>
                <w:b w:val="0"/>
              </w:rPr>
              <w:t xml:space="preserve">La CIDH indicó que en casos de violencia sexual, no se puede esperar la existencia de pruebas gráficas o documentales y, por ello, la declaración de la víctima constituye una prueba fundamental sobre el hecho. Asimismo, en estos casos, la omisión del Estado para recabar pruebas de manera oportuna le otorga peso probatorio a lo alegado por las víctimas, ya que una conclusión distinta implicaría permitir al Estado ampararse en la negligencia e inefectividad de la investigación. </w:t>
            </w:r>
            <w:r w:rsidR="00E6558E">
              <w:rPr>
                <w:rFonts w:ascii="Calibri Light" w:hAnsi="Calibri Light"/>
                <w:b w:val="0"/>
              </w:rPr>
              <w:t>En el caso</w:t>
            </w:r>
            <w:r>
              <w:rPr>
                <w:rFonts w:ascii="Calibri Light" w:hAnsi="Calibri Light"/>
                <w:b w:val="0"/>
              </w:rPr>
              <w:t xml:space="preserve"> en concreto</w:t>
            </w:r>
            <w:r w:rsidR="00E6558E">
              <w:rPr>
                <w:rFonts w:ascii="Calibri Light" w:hAnsi="Calibri Light"/>
                <w:b w:val="0"/>
              </w:rPr>
              <w:t xml:space="preserve">, la CIDH observó que existía consistencia en las declaraciones de las </w:t>
            </w:r>
            <w:r>
              <w:rPr>
                <w:rFonts w:ascii="Calibri Light" w:hAnsi="Calibri Light"/>
                <w:b w:val="0"/>
              </w:rPr>
              <w:t xml:space="preserve">11 </w:t>
            </w:r>
            <w:r w:rsidR="00E6558E">
              <w:rPr>
                <w:rFonts w:ascii="Calibri Light" w:hAnsi="Calibri Light"/>
                <w:b w:val="0"/>
              </w:rPr>
              <w:t>mujeres, en las que había como elemento común los insultos, frases denigrantes y humillantes de las que fueron víctimas.</w:t>
            </w:r>
            <w:r w:rsidR="00423B23">
              <w:rPr>
                <w:rFonts w:ascii="Calibri Light" w:hAnsi="Calibri Light"/>
                <w:b w:val="0"/>
              </w:rPr>
              <w:t xml:space="preserve"> Asimismo, notó que el Estado </w:t>
            </w:r>
            <w:r w:rsidR="00580A2E">
              <w:rPr>
                <w:rFonts w:ascii="Calibri Light" w:hAnsi="Calibri Light"/>
                <w:b w:val="0"/>
              </w:rPr>
              <w:t>omitió dar una</w:t>
            </w:r>
            <w:r w:rsidR="00423B23">
              <w:rPr>
                <w:rFonts w:ascii="Calibri Light" w:hAnsi="Calibri Light"/>
                <w:b w:val="0"/>
              </w:rPr>
              <w:t xml:space="preserve"> respuesta investigativa inmediata, a través de la </w:t>
            </w:r>
            <w:r w:rsidR="009363E6">
              <w:rPr>
                <w:rFonts w:ascii="Calibri Light" w:hAnsi="Calibri Light"/>
                <w:b w:val="0"/>
              </w:rPr>
              <w:t xml:space="preserve">realización </w:t>
            </w:r>
            <w:r w:rsidR="00423B23">
              <w:rPr>
                <w:rFonts w:ascii="Calibri Light" w:hAnsi="Calibri Light"/>
                <w:b w:val="0"/>
              </w:rPr>
              <w:t xml:space="preserve">de </w:t>
            </w:r>
            <w:r>
              <w:rPr>
                <w:rFonts w:ascii="Calibri Light" w:hAnsi="Calibri Light"/>
                <w:b w:val="0"/>
              </w:rPr>
              <w:t xml:space="preserve">exámenes </w:t>
            </w:r>
            <w:r w:rsidR="00423B23">
              <w:rPr>
                <w:rFonts w:ascii="Calibri Light" w:hAnsi="Calibri Light"/>
                <w:b w:val="0"/>
              </w:rPr>
              <w:t>médicos integrales y coherentes con el tipo de violencia sexual descrita por las víctimas.</w:t>
            </w:r>
            <w:r w:rsidR="00F505FB">
              <w:rPr>
                <w:rFonts w:ascii="Calibri Light" w:hAnsi="Calibri Light"/>
                <w:b w:val="0"/>
              </w:rPr>
              <w:t xml:space="preserve"> </w:t>
            </w:r>
            <w:r w:rsidR="00452B4C">
              <w:rPr>
                <w:rFonts w:ascii="Calibri Light" w:hAnsi="Calibri Light"/>
                <w:b w:val="0"/>
              </w:rPr>
              <w:t>En base a estos elementos</w:t>
            </w:r>
            <w:r w:rsidR="00F505FB">
              <w:rPr>
                <w:rFonts w:ascii="Calibri Light" w:hAnsi="Calibri Light"/>
                <w:b w:val="0"/>
              </w:rPr>
              <w:t xml:space="preserve">, consideró que estaba acreditada la violencia sexual y, en algunos casos, la violación </w:t>
            </w:r>
            <w:r w:rsidR="00F505FB">
              <w:rPr>
                <w:rFonts w:ascii="Calibri Light" w:hAnsi="Calibri Light"/>
                <w:b w:val="0"/>
              </w:rPr>
              <w:lastRenderedPageBreak/>
              <w:t>sexual contra las víctimas.</w:t>
            </w:r>
          </w:p>
          <w:p w14:paraId="1E9CA644" w14:textId="77777777" w:rsidR="006E3768" w:rsidRDefault="00580A2E" w:rsidP="00CB180B">
            <w:pPr>
              <w:jc w:val="both"/>
              <w:rPr>
                <w:rFonts w:ascii="Calibri Light" w:hAnsi="Calibri Light"/>
                <w:b w:val="0"/>
              </w:rPr>
            </w:pPr>
            <w:r>
              <w:rPr>
                <w:rFonts w:ascii="Calibri Light" w:hAnsi="Calibri Light"/>
                <w:b w:val="0"/>
              </w:rPr>
              <w:t>Por otra pa</w:t>
            </w:r>
            <w:r w:rsidR="00F505FB">
              <w:rPr>
                <w:rFonts w:ascii="Calibri Light" w:hAnsi="Calibri Light"/>
                <w:b w:val="0"/>
              </w:rPr>
              <w:t xml:space="preserve">rte, la CIDH </w:t>
            </w:r>
            <w:r w:rsidR="00FE259E">
              <w:rPr>
                <w:rFonts w:ascii="Calibri Light" w:hAnsi="Calibri Light"/>
                <w:b w:val="0"/>
              </w:rPr>
              <w:t>reiteró que</w:t>
            </w:r>
            <w:r w:rsidR="006E3768">
              <w:rPr>
                <w:rFonts w:ascii="Calibri Light" w:hAnsi="Calibri Light"/>
                <w:b w:val="0"/>
              </w:rPr>
              <w:t xml:space="preserve"> </w:t>
            </w:r>
            <w:r w:rsidR="00C02067">
              <w:rPr>
                <w:rFonts w:ascii="Calibri Light" w:hAnsi="Calibri Light"/>
                <w:b w:val="0"/>
              </w:rPr>
              <w:t xml:space="preserve">los </w:t>
            </w:r>
            <w:r w:rsidR="00FE259E">
              <w:rPr>
                <w:rFonts w:ascii="Calibri Light" w:hAnsi="Calibri Light"/>
                <w:b w:val="0"/>
              </w:rPr>
              <w:t xml:space="preserve">tres </w:t>
            </w:r>
            <w:r w:rsidR="00C02067">
              <w:rPr>
                <w:rFonts w:ascii="Calibri Light" w:hAnsi="Calibri Light"/>
                <w:b w:val="0"/>
              </w:rPr>
              <w:t>elementos constitutivos de la</w:t>
            </w:r>
            <w:r w:rsidR="00F505FB">
              <w:rPr>
                <w:rFonts w:ascii="Calibri Light" w:hAnsi="Calibri Light"/>
                <w:b w:val="0"/>
              </w:rPr>
              <w:t xml:space="preserve"> tortura</w:t>
            </w:r>
            <w:r w:rsidR="00FE259E">
              <w:rPr>
                <w:rFonts w:ascii="Calibri Light" w:hAnsi="Calibri Light"/>
                <w:b w:val="0"/>
              </w:rPr>
              <w:t xml:space="preserve"> son que</w:t>
            </w:r>
            <w:r w:rsidR="00F505FB">
              <w:rPr>
                <w:rFonts w:ascii="Calibri Light" w:hAnsi="Calibri Light"/>
                <w:b w:val="0"/>
              </w:rPr>
              <w:t>: i) sea un acto intencional,</w:t>
            </w:r>
            <w:r w:rsidR="00C02067">
              <w:rPr>
                <w:rFonts w:ascii="Calibri Light" w:hAnsi="Calibri Light"/>
                <w:b w:val="0"/>
              </w:rPr>
              <w:t xml:space="preserve"> </w:t>
            </w:r>
            <w:r w:rsidR="003F70BF">
              <w:rPr>
                <w:rFonts w:ascii="Calibri Light" w:hAnsi="Calibri Light"/>
                <w:b w:val="0"/>
              </w:rPr>
              <w:t>lo que implica que sea cometido de modo deliberado;</w:t>
            </w:r>
            <w:r w:rsidR="00F505FB">
              <w:rPr>
                <w:rFonts w:ascii="Calibri Light" w:hAnsi="Calibri Light"/>
                <w:b w:val="0"/>
              </w:rPr>
              <w:t xml:space="preserve"> ii) cause un sufrimiento físico o mental, </w:t>
            </w:r>
            <w:r w:rsidR="003F70BF">
              <w:rPr>
                <w:rFonts w:ascii="Calibri Light" w:hAnsi="Calibri Light"/>
                <w:b w:val="0"/>
              </w:rPr>
              <w:t xml:space="preserve">lo que resulta inherente y de forma intensa en todo acto de violación sexual; y, </w:t>
            </w:r>
            <w:r w:rsidR="00F505FB">
              <w:rPr>
                <w:rFonts w:ascii="Calibri Light" w:hAnsi="Calibri Light"/>
                <w:b w:val="0"/>
              </w:rPr>
              <w:t>iii) se cometa con determinado fin o propósito</w:t>
            </w:r>
            <w:r w:rsidR="009A6D5C">
              <w:rPr>
                <w:rFonts w:ascii="Calibri Light" w:hAnsi="Calibri Light"/>
                <w:b w:val="0"/>
              </w:rPr>
              <w:t>, lo que significa en</w:t>
            </w:r>
            <w:r w:rsidR="00FE259E">
              <w:rPr>
                <w:rFonts w:ascii="Calibri Light" w:hAnsi="Calibri Light"/>
                <w:b w:val="0"/>
              </w:rPr>
              <w:t xml:space="preserve"> el caso de</w:t>
            </w:r>
            <w:r w:rsidR="009A6D5C">
              <w:rPr>
                <w:rFonts w:ascii="Calibri Light" w:hAnsi="Calibri Light"/>
                <w:b w:val="0"/>
              </w:rPr>
              <w:t xml:space="preserve"> la violación sexual, entre otras cosas, intimidar, degradar, humillar, castigar o controlar a la persona que la sufre</w:t>
            </w:r>
            <w:r w:rsidR="00F505FB">
              <w:rPr>
                <w:rFonts w:ascii="Calibri Light" w:hAnsi="Calibri Light"/>
                <w:b w:val="0"/>
              </w:rPr>
              <w:t xml:space="preserve">. </w:t>
            </w:r>
          </w:p>
          <w:p w14:paraId="63D6E8B7" w14:textId="77777777" w:rsidR="006E3768" w:rsidRDefault="006E3768" w:rsidP="00CB180B">
            <w:pPr>
              <w:jc w:val="both"/>
              <w:rPr>
                <w:rFonts w:ascii="Calibri Light" w:hAnsi="Calibri Light"/>
                <w:b w:val="0"/>
              </w:rPr>
            </w:pPr>
          </w:p>
          <w:p w14:paraId="00963A41" w14:textId="5BCC1716" w:rsidR="009A6D5C" w:rsidRDefault="009A6D5C" w:rsidP="00CB180B">
            <w:pPr>
              <w:jc w:val="both"/>
              <w:rPr>
                <w:rFonts w:ascii="Calibri Light" w:hAnsi="Calibri Light"/>
                <w:b w:val="0"/>
              </w:rPr>
            </w:pPr>
            <w:r>
              <w:rPr>
                <w:rFonts w:ascii="Calibri Light" w:hAnsi="Calibri Light"/>
                <w:b w:val="0"/>
              </w:rPr>
              <w:t>En el caso en específico, la CIDH consideró que se encontraban acreditados los tres elementos de la tortura</w:t>
            </w:r>
            <w:r w:rsidR="00E74F57">
              <w:rPr>
                <w:rFonts w:ascii="Calibri Light" w:hAnsi="Calibri Light"/>
                <w:b w:val="0"/>
              </w:rPr>
              <w:t xml:space="preserve">. El primero se constituyó al haber violación sexual por parte de agentes estatales de forma deliberada; el segundo, porque la severidad de la afectación es inherente en los actos de violación sexual como del presente caso; y el tercero, debido a que se realizaron con la finalidad de castigar a las 11 detenidas por supuestamente participar en las protestas. </w:t>
            </w:r>
            <w:r>
              <w:rPr>
                <w:rFonts w:ascii="Calibri Light" w:hAnsi="Calibri Light"/>
                <w:b w:val="0"/>
              </w:rPr>
              <w:t>Asimismo, señaló que las consideraciones sobre violenc</w:t>
            </w:r>
            <w:r w:rsidR="00685760">
              <w:rPr>
                <w:rFonts w:ascii="Calibri Light" w:hAnsi="Calibri Light"/>
                <w:b w:val="0"/>
              </w:rPr>
              <w:t>ia y violación sexual contra la mujer eran aplicables al caso</w:t>
            </w:r>
            <w:r w:rsidR="00452B4C">
              <w:rPr>
                <w:rFonts w:ascii="Calibri Light" w:hAnsi="Calibri Light"/>
                <w:b w:val="0"/>
              </w:rPr>
              <w:t>, pues fueron</w:t>
            </w:r>
            <w:r w:rsidR="00685760">
              <w:rPr>
                <w:rFonts w:ascii="Calibri Light" w:hAnsi="Calibri Light"/>
                <w:b w:val="0"/>
              </w:rPr>
              <w:t xml:space="preserve"> justamente un grupo de 11</w:t>
            </w:r>
            <w:r w:rsidR="00FA1753">
              <w:rPr>
                <w:rFonts w:ascii="Calibri Light" w:hAnsi="Calibri Light"/>
                <w:b w:val="0"/>
              </w:rPr>
              <w:t xml:space="preserve"> </w:t>
            </w:r>
            <w:r w:rsidR="00685760">
              <w:rPr>
                <w:rFonts w:ascii="Calibri Light" w:hAnsi="Calibri Light"/>
                <w:b w:val="0"/>
              </w:rPr>
              <w:t>mujeres quienes sufrieron estas afectaciones</w:t>
            </w:r>
            <w:r w:rsidR="00FA1753">
              <w:rPr>
                <w:rFonts w:ascii="Calibri Light" w:hAnsi="Calibri Light"/>
                <w:b w:val="0"/>
              </w:rPr>
              <w:t xml:space="preserve"> basadas en su sexo</w:t>
            </w:r>
            <w:r w:rsidR="00685760">
              <w:rPr>
                <w:rFonts w:ascii="Calibri Light" w:hAnsi="Calibri Light"/>
                <w:b w:val="0"/>
              </w:rPr>
              <w:t>.</w:t>
            </w:r>
            <w:r w:rsidR="00E86DF0" w:rsidDel="00E86DF0">
              <w:rPr>
                <w:rFonts w:ascii="Calibri Light" w:hAnsi="Calibri Light"/>
                <w:b w:val="0"/>
              </w:rPr>
              <w:t xml:space="preserve"> </w:t>
            </w:r>
            <w:r>
              <w:rPr>
                <w:rFonts w:ascii="Calibri Light" w:hAnsi="Calibri Light"/>
                <w:b w:val="0"/>
              </w:rPr>
              <w:t>Por todo ello, consideró que el Estad</w:t>
            </w:r>
            <w:r w:rsidR="00685760">
              <w:rPr>
                <w:rFonts w:ascii="Calibri Light" w:hAnsi="Calibri Light"/>
                <w:b w:val="0"/>
              </w:rPr>
              <w:t xml:space="preserve">o mexicano </w:t>
            </w:r>
            <w:r w:rsidR="00FA1753">
              <w:rPr>
                <w:rFonts w:ascii="Calibri Light" w:hAnsi="Calibri Light"/>
                <w:b w:val="0"/>
              </w:rPr>
              <w:t xml:space="preserve">había violado </w:t>
            </w:r>
            <w:r w:rsidR="00685760">
              <w:rPr>
                <w:rFonts w:ascii="Calibri Light" w:hAnsi="Calibri Light"/>
                <w:b w:val="0"/>
              </w:rPr>
              <w:t xml:space="preserve">los artículos 5.1, 5.2, 11.1, 11.2 y 24 </w:t>
            </w:r>
            <w:r>
              <w:rPr>
                <w:rFonts w:ascii="Calibri Light" w:hAnsi="Calibri Light"/>
                <w:b w:val="0"/>
              </w:rPr>
              <w:t>de la CADH</w:t>
            </w:r>
            <w:r w:rsidR="00DE771F">
              <w:rPr>
                <w:rFonts w:ascii="Calibri Light" w:hAnsi="Calibri Light"/>
                <w:b w:val="0"/>
              </w:rPr>
              <w:t>,</w:t>
            </w:r>
            <w:r w:rsidR="00E74F57">
              <w:rPr>
                <w:rFonts w:ascii="Calibri Light" w:hAnsi="Calibri Light"/>
                <w:b w:val="0"/>
              </w:rPr>
              <w:t xml:space="preserve"> en relación al artículo 1.1</w:t>
            </w:r>
            <w:r w:rsidR="00DE771F">
              <w:rPr>
                <w:rFonts w:ascii="Calibri Light" w:hAnsi="Calibri Light"/>
                <w:b w:val="0"/>
              </w:rPr>
              <w:t>, en perjuicio de las 11 mujeres</w:t>
            </w:r>
            <w:r w:rsidR="00FA1753">
              <w:rPr>
                <w:rFonts w:ascii="Calibri Light" w:hAnsi="Calibri Light"/>
                <w:b w:val="0"/>
              </w:rPr>
              <w:t>. Asimismo, concluyó que había violado</w:t>
            </w:r>
            <w:r w:rsidR="00685760">
              <w:rPr>
                <w:rFonts w:ascii="Calibri Light" w:hAnsi="Calibri Light"/>
                <w:b w:val="0"/>
              </w:rPr>
              <w:t xml:space="preserve"> los artículos 1 y 6 de la CIPST y </w:t>
            </w:r>
            <w:r w:rsidR="00DE771F">
              <w:rPr>
                <w:rFonts w:ascii="Calibri Light" w:hAnsi="Calibri Light"/>
                <w:b w:val="0"/>
              </w:rPr>
              <w:t xml:space="preserve">el </w:t>
            </w:r>
            <w:r w:rsidR="00685760">
              <w:rPr>
                <w:rFonts w:ascii="Calibri Light" w:hAnsi="Calibri Light"/>
                <w:b w:val="0"/>
              </w:rPr>
              <w:t>artículo 7.a) de la Convención de Belém Do Pará,</w:t>
            </w:r>
            <w:r>
              <w:rPr>
                <w:rFonts w:ascii="Calibri Light" w:hAnsi="Calibri Light"/>
                <w:b w:val="0"/>
              </w:rPr>
              <w:t xml:space="preserve"> </w:t>
            </w:r>
            <w:r w:rsidR="00DE771F">
              <w:rPr>
                <w:rFonts w:ascii="Calibri Light" w:hAnsi="Calibri Light"/>
                <w:b w:val="0"/>
              </w:rPr>
              <w:t>que establecen la obligación de prevenir y sancionar la tortura, así como de erradicar la violencia contra la mujer, respectivamente</w:t>
            </w:r>
            <w:r>
              <w:rPr>
                <w:rFonts w:ascii="Calibri Light" w:hAnsi="Calibri Light"/>
                <w:b w:val="0"/>
              </w:rPr>
              <w:t>.</w:t>
            </w:r>
            <w:r w:rsidR="00685760">
              <w:rPr>
                <w:rFonts w:ascii="Calibri Light" w:hAnsi="Calibri Light"/>
                <w:b w:val="0"/>
              </w:rPr>
              <w:t xml:space="preserve"> </w:t>
            </w:r>
          </w:p>
          <w:p w14:paraId="4398753B" w14:textId="77777777" w:rsidR="009A7CED" w:rsidRDefault="009A7CED" w:rsidP="00CB180B">
            <w:pPr>
              <w:jc w:val="both"/>
              <w:rPr>
                <w:rFonts w:ascii="Calibri Light" w:hAnsi="Calibri Light"/>
                <w:b w:val="0"/>
              </w:rPr>
            </w:pPr>
          </w:p>
          <w:p w14:paraId="5C684D51" w14:textId="4AD628C2" w:rsidR="00310836" w:rsidRPr="00310836" w:rsidRDefault="00310836" w:rsidP="00CB180B">
            <w:pPr>
              <w:jc w:val="both"/>
              <w:rPr>
                <w:rFonts w:ascii="Calibri Light" w:hAnsi="Calibri Light"/>
              </w:rPr>
            </w:pPr>
            <w:r w:rsidRPr="00310836">
              <w:rPr>
                <w:rFonts w:ascii="Calibri Light" w:hAnsi="Calibri Light"/>
              </w:rPr>
              <w:t>Los derechos a las garantías judiciales, protección judicial y el deber de investigar actos de tortura y de violencia contra la mujer (</w:t>
            </w:r>
            <w:r w:rsidR="0022426F">
              <w:rPr>
                <w:rFonts w:ascii="Calibri Light" w:hAnsi="Calibri Light"/>
              </w:rPr>
              <w:t>artículos 8 y 25 de la CADH</w:t>
            </w:r>
            <w:r w:rsidRPr="00310836">
              <w:rPr>
                <w:rFonts w:ascii="Calibri Light" w:hAnsi="Calibri Light"/>
              </w:rPr>
              <w:t xml:space="preserve">; </w:t>
            </w:r>
            <w:r w:rsidR="0022426F">
              <w:rPr>
                <w:rFonts w:ascii="Calibri Light" w:hAnsi="Calibri Light"/>
              </w:rPr>
              <w:t xml:space="preserve">artículos </w:t>
            </w:r>
            <w:r w:rsidRPr="00310836">
              <w:rPr>
                <w:rFonts w:ascii="Calibri Light" w:hAnsi="Calibri Light"/>
              </w:rPr>
              <w:t>1, 6 y 8 de la CIPST; y</w:t>
            </w:r>
            <w:r w:rsidR="0022426F">
              <w:rPr>
                <w:rFonts w:ascii="Calibri Light" w:hAnsi="Calibri Light"/>
              </w:rPr>
              <w:t xml:space="preserve"> </w:t>
            </w:r>
            <w:r w:rsidR="00E86DF0">
              <w:rPr>
                <w:rFonts w:ascii="Calibri Light" w:hAnsi="Calibri Light"/>
              </w:rPr>
              <w:t xml:space="preserve">el </w:t>
            </w:r>
            <w:r w:rsidR="0022426F">
              <w:rPr>
                <w:rFonts w:ascii="Calibri Light" w:hAnsi="Calibri Light"/>
              </w:rPr>
              <w:t>artículo</w:t>
            </w:r>
            <w:r w:rsidRPr="00310836">
              <w:rPr>
                <w:rFonts w:ascii="Calibri Light" w:hAnsi="Calibri Light"/>
              </w:rPr>
              <w:t xml:space="preserve"> 7 de la Convención de Belém Do Pará)</w:t>
            </w:r>
          </w:p>
          <w:p w14:paraId="286B0A0C" w14:textId="77777777" w:rsidR="00310836" w:rsidRDefault="00310836" w:rsidP="00CB180B">
            <w:pPr>
              <w:jc w:val="both"/>
              <w:rPr>
                <w:rFonts w:ascii="Calibri Light" w:hAnsi="Calibri Light"/>
                <w:b w:val="0"/>
              </w:rPr>
            </w:pPr>
          </w:p>
          <w:p w14:paraId="78BF7D37" w14:textId="77777777" w:rsidR="008B7A51" w:rsidRDefault="008A0F6C" w:rsidP="00CB180B">
            <w:pPr>
              <w:jc w:val="both"/>
              <w:rPr>
                <w:rFonts w:ascii="Calibri Light" w:hAnsi="Calibri Light"/>
                <w:b w:val="0"/>
              </w:rPr>
            </w:pPr>
            <w:r>
              <w:rPr>
                <w:rFonts w:ascii="Calibri Light" w:hAnsi="Calibri Light"/>
                <w:b w:val="0"/>
              </w:rPr>
              <w:t>La CIDH recordó que el deber de investigar es una obligación de medio y no de resultado, el cual debe ser asumido por el Estado como un deber jurídico propio y no como una simple formalida</w:t>
            </w:r>
            <w:r w:rsidR="002C67E8">
              <w:rPr>
                <w:rFonts w:ascii="Calibri Light" w:hAnsi="Calibri Light"/>
                <w:b w:val="0"/>
              </w:rPr>
              <w:t>d condenada</w:t>
            </w:r>
            <w:r>
              <w:rPr>
                <w:rFonts w:ascii="Calibri Light" w:hAnsi="Calibri Light"/>
                <w:b w:val="0"/>
              </w:rPr>
              <w:t xml:space="preserve"> a ser infructuosa. </w:t>
            </w:r>
            <w:r w:rsidR="002C67E8">
              <w:rPr>
                <w:rFonts w:ascii="Calibri Light" w:hAnsi="Calibri Light"/>
                <w:b w:val="0"/>
              </w:rPr>
              <w:t>Asimismo</w:t>
            </w:r>
            <w:r>
              <w:rPr>
                <w:rFonts w:ascii="Calibri Light" w:hAnsi="Calibri Light"/>
                <w:b w:val="0"/>
              </w:rPr>
              <w:t>, la investigación debe ser seria, imparcial, efectiva, orientada a la determinación de la verdad y a la persecución, captura, enjuiciamiento y eventual castigo de los responsables.</w:t>
            </w:r>
            <w:r w:rsidR="008B7A51">
              <w:rPr>
                <w:rFonts w:ascii="Calibri Light" w:hAnsi="Calibri Light"/>
                <w:b w:val="0"/>
              </w:rPr>
              <w:t xml:space="preserve"> </w:t>
            </w:r>
            <w:r w:rsidR="002C67E8">
              <w:rPr>
                <w:rFonts w:ascii="Calibri Light" w:hAnsi="Calibri Light"/>
                <w:b w:val="0"/>
              </w:rPr>
              <w:t>Este</w:t>
            </w:r>
            <w:r>
              <w:rPr>
                <w:rFonts w:ascii="Calibri Light" w:hAnsi="Calibri Light"/>
                <w:b w:val="0"/>
              </w:rPr>
              <w:t xml:space="preserve"> deber se activa apenas el Estado tiene conocimiento de la existencia del hecho alegado.</w:t>
            </w:r>
            <w:r w:rsidR="00740B6D">
              <w:rPr>
                <w:rFonts w:ascii="Calibri Light" w:hAnsi="Calibri Light"/>
                <w:b w:val="0"/>
              </w:rPr>
              <w:t xml:space="preserve"> </w:t>
            </w:r>
          </w:p>
          <w:p w14:paraId="0862761B" w14:textId="77777777" w:rsidR="008B7A51" w:rsidRDefault="008B7A51" w:rsidP="00CB180B">
            <w:pPr>
              <w:jc w:val="both"/>
              <w:rPr>
                <w:rFonts w:ascii="Calibri Light" w:hAnsi="Calibri Light"/>
                <w:b w:val="0"/>
              </w:rPr>
            </w:pPr>
          </w:p>
          <w:p w14:paraId="62D58FC1" w14:textId="0A5709CD" w:rsidR="00803217" w:rsidRPr="006A6517" w:rsidRDefault="008B7A51" w:rsidP="00CB180B">
            <w:pPr>
              <w:jc w:val="both"/>
              <w:rPr>
                <w:rFonts w:ascii="Calibri Light" w:hAnsi="Calibri Light"/>
                <w:b w:val="0"/>
              </w:rPr>
            </w:pPr>
            <w:r>
              <w:rPr>
                <w:rFonts w:ascii="Calibri Light" w:hAnsi="Calibri Light"/>
                <w:b w:val="0"/>
              </w:rPr>
              <w:t>En casos de violencia contra las mujeres</w:t>
            </w:r>
            <w:r w:rsidR="00740B6D">
              <w:rPr>
                <w:rFonts w:ascii="Calibri Light" w:hAnsi="Calibri Light"/>
                <w:b w:val="0"/>
              </w:rPr>
              <w:t>,</w:t>
            </w:r>
            <w:r w:rsidR="008A0F6C">
              <w:rPr>
                <w:rFonts w:ascii="Calibri Light" w:hAnsi="Calibri Light"/>
                <w:b w:val="0"/>
              </w:rPr>
              <w:t xml:space="preserve"> </w:t>
            </w:r>
            <w:r w:rsidR="00740B6D">
              <w:rPr>
                <w:rFonts w:ascii="Calibri Light" w:hAnsi="Calibri Light"/>
                <w:b w:val="0"/>
              </w:rPr>
              <w:t>l</w:t>
            </w:r>
            <w:r w:rsidR="002C67E8">
              <w:rPr>
                <w:rFonts w:ascii="Calibri Light" w:hAnsi="Calibri Light"/>
                <w:b w:val="0"/>
              </w:rPr>
              <w:t>as</w:t>
            </w:r>
            <w:r w:rsidR="008A0F6C">
              <w:rPr>
                <w:rFonts w:ascii="Calibri Light" w:hAnsi="Calibri Light"/>
                <w:b w:val="0"/>
              </w:rPr>
              <w:t xml:space="preserve"> autoridades </w:t>
            </w:r>
            <w:r w:rsidR="00740B6D">
              <w:rPr>
                <w:rFonts w:ascii="Calibri Light" w:hAnsi="Calibri Light"/>
                <w:b w:val="0"/>
              </w:rPr>
              <w:t xml:space="preserve">a cargo de la investigación </w:t>
            </w:r>
            <w:r w:rsidR="008A0F6C">
              <w:rPr>
                <w:rFonts w:ascii="Calibri Light" w:hAnsi="Calibri Light"/>
                <w:b w:val="0"/>
              </w:rPr>
              <w:t xml:space="preserve">deben llevarla adelante con determinación y eficacia, teniendo en cuenta el deber de la sociedad de rechazar </w:t>
            </w:r>
            <w:r>
              <w:rPr>
                <w:rFonts w:ascii="Calibri Light" w:hAnsi="Calibri Light"/>
                <w:b w:val="0"/>
              </w:rPr>
              <w:t>este tipo de actos</w:t>
            </w:r>
            <w:r w:rsidR="008A0F6C">
              <w:rPr>
                <w:rFonts w:ascii="Calibri Light" w:hAnsi="Calibri Light"/>
                <w:b w:val="0"/>
              </w:rPr>
              <w:t xml:space="preserve"> y las obligaciones del Estado de erradicar</w:t>
            </w:r>
            <w:r>
              <w:rPr>
                <w:rFonts w:ascii="Calibri Light" w:hAnsi="Calibri Light"/>
                <w:b w:val="0"/>
              </w:rPr>
              <w:t xml:space="preserve"> </w:t>
            </w:r>
            <w:r w:rsidR="008A0F6C">
              <w:rPr>
                <w:rFonts w:ascii="Calibri Light" w:hAnsi="Calibri Light"/>
                <w:b w:val="0"/>
              </w:rPr>
              <w:t>la</w:t>
            </w:r>
            <w:r>
              <w:rPr>
                <w:rFonts w:ascii="Calibri Light" w:hAnsi="Calibri Light"/>
                <w:b w:val="0"/>
              </w:rPr>
              <w:t xml:space="preserve"> violencia contra las mujeres</w:t>
            </w:r>
            <w:r w:rsidR="008A0F6C">
              <w:rPr>
                <w:rFonts w:ascii="Calibri Light" w:hAnsi="Calibri Light"/>
                <w:b w:val="0"/>
              </w:rPr>
              <w:t xml:space="preserve"> y de brindar confianza a las víctimas en las instituciones estatales para su protección.</w:t>
            </w:r>
            <w:r w:rsidR="00216A2A">
              <w:rPr>
                <w:rFonts w:ascii="Calibri Light" w:hAnsi="Calibri Light"/>
                <w:b w:val="0"/>
              </w:rPr>
              <w:t xml:space="preserve"> </w:t>
            </w:r>
            <w:r>
              <w:rPr>
                <w:rFonts w:ascii="Calibri Light" w:hAnsi="Calibri Light"/>
                <w:b w:val="0"/>
              </w:rPr>
              <w:t>En ese sentido, e</w:t>
            </w:r>
            <w:r w:rsidR="00216A2A">
              <w:rPr>
                <w:rFonts w:ascii="Calibri Light" w:hAnsi="Calibri Light"/>
                <w:b w:val="0"/>
              </w:rPr>
              <w:t>l Estado debe contar con un adecuado marco jurídico de protección, con una aplicación efectiva del mismo y con políticas de prevención y prácticas que permitan actuar de una manera eficaz</w:t>
            </w:r>
            <w:r w:rsidR="002C67E8">
              <w:rPr>
                <w:rFonts w:ascii="Calibri Light" w:hAnsi="Calibri Light"/>
                <w:b w:val="0"/>
              </w:rPr>
              <w:t xml:space="preserve"> ante denuncias</w:t>
            </w:r>
            <w:r w:rsidR="00216A2A">
              <w:rPr>
                <w:rFonts w:ascii="Calibri Light" w:hAnsi="Calibri Light"/>
                <w:b w:val="0"/>
              </w:rPr>
              <w:t xml:space="preserve">. </w:t>
            </w:r>
            <w:r>
              <w:rPr>
                <w:rFonts w:ascii="Calibri Light" w:hAnsi="Calibri Light"/>
                <w:b w:val="0"/>
              </w:rPr>
              <w:t>Específicamente, e</w:t>
            </w:r>
            <w:r w:rsidR="00216A2A">
              <w:rPr>
                <w:rFonts w:ascii="Calibri Light" w:hAnsi="Calibri Light"/>
                <w:b w:val="0"/>
              </w:rPr>
              <w:t xml:space="preserve">n </w:t>
            </w:r>
            <w:r w:rsidR="002C67E8">
              <w:rPr>
                <w:rFonts w:ascii="Calibri Light" w:hAnsi="Calibri Light"/>
                <w:b w:val="0"/>
              </w:rPr>
              <w:t>casos de violencia sexual</w:t>
            </w:r>
            <w:r w:rsidR="00216A2A">
              <w:rPr>
                <w:rFonts w:ascii="Calibri Light" w:hAnsi="Calibri Light"/>
                <w:b w:val="0"/>
              </w:rPr>
              <w:t>, la investigación debe evitar en lo po</w:t>
            </w:r>
            <w:r w:rsidR="006A6517">
              <w:rPr>
                <w:rFonts w:ascii="Calibri Light" w:hAnsi="Calibri Light"/>
                <w:b w:val="0"/>
              </w:rPr>
              <w:t>sible</w:t>
            </w:r>
            <w:r w:rsidR="00216A2A">
              <w:rPr>
                <w:rFonts w:ascii="Calibri Light" w:hAnsi="Calibri Light"/>
                <w:b w:val="0"/>
              </w:rPr>
              <w:t xml:space="preserve"> la revictimización </w:t>
            </w:r>
            <w:r w:rsidR="002C67E8">
              <w:rPr>
                <w:rFonts w:ascii="Calibri Light" w:hAnsi="Calibri Light"/>
                <w:b w:val="0"/>
              </w:rPr>
              <w:t>y</w:t>
            </w:r>
            <w:r w:rsidR="00216A2A">
              <w:rPr>
                <w:rFonts w:ascii="Calibri Light" w:hAnsi="Calibri Light"/>
                <w:b w:val="0"/>
              </w:rPr>
              <w:t xml:space="preserve"> reexperimentación de la v</w:t>
            </w:r>
            <w:r w:rsidR="002C67E8">
              <w:rPr>
                <w:rFonts w:ascii="Calibri Light" w:hAnsi="Calibri Light"/>
                <w:b w:val="0"/>
              </w:rPr>
              <w:t xml:space="preserve">íctima. </w:t>
            </w:r>
            <w:r w:rsidR="006A6517" w:rsidRPr="006A6517">
              <w:rPr>
                <w:rFonts w:ascii="Calibri Light" w:hAnsi="Calibri Light"/>
                <w:b w:val="0"/>
              </w:rPr>
              <w:t>Adicionalmente, la investigación penal debe incluir una perspectiva de género y realizarse por funcionarios capacitados en casos similares y en atención a víctimas de discriminación y violencia por razón de género.</w:t>
            </w:r>
            <w:r>
              <w:rPr>
                <w:rFonts w:ascii="Calibri Light" w:hAnsi="Calibri Light"/>
                <w:b w:val="0"/>
              </w:rPr>
              <w:t xml:space="preserve"> </w:t>
            </w:r>
            <w:r w:rsidR="00803217">
              <w:rPr>
                <w:rFonts w:ascii="Calibri Light" w:hAnsi="Calibri Light"/>
                <w:b w:val="0"/>
              </w:rPr>
              <w:t>Como se detallará a continuación, en el presente caso el Estado no efectuó una investigación conforme a los estándares señalados.</w:t>
            </w:r>
          </w:p>
          <w:p w14:paraId="68CA2592" w14:textId="77777777" w:rsidR="008A0F6C" w:rsidRPr="006A6517" w:rsidRDefault="008A0F6C" w:rsidP="00CB180B">
            <w:pPr>
              <w:jc w:val="both"/>
              <w:rPr>
                <w:rFonts w:ascii="Calibri Light" w:hAnsi="Calibri Light"/>
                <w:b w:val="0"/>
              </w:rPr>
            </w:pPr>
          </w:p>
          <w:p w14:paraId="3998A259" w14:textId="020A3808" w:rsidR="00310836" w:rsidRDefault="00310836" w:rsidP="00310836">
            <w:pPr>
              <w:pStyle w:val="ListParagraph"/>
              <w:numPr>
                <w:ilvl w:val="0"/>
                <w:numId w:val="10"/>
              </w:numPr>
              <w:jc w:val="both"/>
              <w:rPr>
                <w:rFonts w:ascii="Calibri Light" w:hAnsi="Calibri Light"/>
              </w:rPr>
            </w:pPr>
            <w:r w:rsidRPr="00310836">
              <w:rPr>
                <w:rFonts w:ascii="Calibri Light" w:hAnsi="Calibri Light"/>
              </w:rPr>
              <w:t>Sobre el deber de investigar con debida diligencia</w:t>
            </w:r>
          </w:p>
          <w:p w14:paraId="54B33E22" w14:textId="77777777" w:rsidR="006A6517" w:rsidRDefault="006A6517" w:rsidP="006A6517">
            <w:pPr>
              <w:jc w:val="both"/>
              <w:rPr>
                <w:rFonts w:ascii="Calibri Light" w:hAnsi="Calibri Light"/>
                <w:b w:val="0"/>
              </w:rPr>
            </w:pPr>
          </w:p>
          <w:p w14:paraId="44341A77" w14:textId="6146976A" w:rsidR="006A6517" w:rsidRDefault="002E2486" w:rsidP="00DE771F">
            <w:pPr>
              <w:jc w:val="both"/>
              <w:rPr>
                <w:rFonts w:ascii="Calibri Light" w:hAnsi="Calibri Light"/>
                <w:b w:val="0"/>
              </w:rPr>
            </w:pPr>
            <w:r>
              <w:rPr>
                <w:rFonts w:ascii="Calibri Light" w:hAnsi="Calibri Light"/>
                <w:b w:val="0"/>
              </w:rPr>
              <w:t>La CIDH estableció que, e</w:t>
            </w:r>
            <w:r w:rsidR="006A6517">
              <w:rPr>
                <w:rFonts w:ascii="Calibri Light" w:hAnsi="Calibri Light"/>
                <w:b w:val="0"/>
              </w:rPr>
              <w:t xml:space="preserve">n casos de tortura y violencia sexual, resulta fundamental el inicio inmediato de una investigación para practicar exámenes médicos </w:t>
            </w:r>
            <w:r w:rsidR="002C67E8">
              <w:rPr>
                <w:rFonts w:ascii="Calibri Light" w:hAnsi="Calibri Light"/>
                <w:b w:val="0"/>
              </w:rPr>
              <w:t>(</w:t>
            </w:r>
            <w:r w:rsidR="006A6517">
              <w:rPr>
                <w:rFonts w:ascii="Calibri Light" w:hAnsi="Calibri Light"/>
                <w:b w:val="0"/>
              </w:rPr>
              <w:t>incluyendo ginecológicos</w:t>
            </w:r>
            <w:r w:rsidR="002C67E8">
              <w:rPr>
                <w:rFonts w:ascii="Calibri Light" w:hAnsi="Calibri Light"/>
                <w:b w:val="0"/>
              </w:rPr>
              <w:t>)</w:t>
            </w:r>
            <w:r w:rsidR="006A6517">
              <w:rPr>
                <w:rFonts w:ascii="Calibri Light" w:hAnsi="Calibri Light"/>
                <w:b w:val="0"/>
              </w:rPr>
              <w:t xml:space="preserve">, y psicológicos </w:t>
            </w:r>
            <w:r w:rsidR="007C597B">
              <w:rPr>
                <w:rFonts w:ascii="Calibri Light" w:hAnsi="Calibri Light"/>
                <w:b w:val="0"/>
              </w:rPr>
              <w:t xml:space="preserve">de la manera más pronta posible, a fin de recabar la mayor cantidad de prueba sobre la ocurrencia del hecho y las posibles autorías. Asimismo, </w:t>
            </w:r>
            <w:r w:rsidR="008B7A51">
              <w:rPr>
                <w:rFonts w:ascii="Calibri Light" w:hAnsi="Calibri Light"/>
                <w:b w:val="0"/>
              </w:rPr>
              <w:t>a</w:t>
            </w:r>
            <w:r>
              <w:rPr>
                <w:rFonts w:ascii="Calibri Light" w:hAnsi="Calibri Light"/>
                <w:b w:val="0"/>
              </w:rPr>
              <w:t>claró que</w:t>
            </w:r>
            <w:r w:rsidR="00DE771F">
              <w:rPr>
                <w:rFonts w:ascii="Calibri Light" w:hAnsi="Calibri Light"/>
                <w:b w:val="0"/>
              </w:rPr>
              <w:t xml:space="preserve"> </w:t>
            </w:r>
            <w:r w:rsidR="00DE771F" w:rsidRPr="00DE771F">
              <w:rPr>
                <w:rFonts w:ascii="Calibri Light" w:hAnsi="Calibri Light"/>
                <w:b w:val="0"/>
              </w:rPr>
              <w:t>la</w:t>
            </w:r>
            <w:r w:rsidR="00DE771F">
              <w:rPr>
                <w:rFonts w:ascii="Calibri Light" w:hAnsi="Calibri Light"/>
                <w:b w:val="0"/>
              </w:rPr>
              <w:t xml:space="preserve"> </w:t>
            </w:r>
            <w:r w:rsidR="00DE771F" w:rsidRPr="00DE771F">
              <w:rPr>
                <w:rFonts w:ascii="Calibri Light" w:hAnsi="Calibri Light"/>
                <w:b w:val="0"/>
              </w:rPr>
              <w:t>falta de una denuncia formal no constituye justificación para no desplegar de oficio y de manera inmediata</w:t>
            </w:r>
            <w:r w:rsidR="00DE771F">
              <w:rPr>
                <w:rFonts w:ascii="Calibri Light" w:hAnsi="Calibri Light"/>
                <w:b w:val="0"/>
              </w:rPr>
              <w:t xml:space="preserve"> </w:t>
            </w:r>
            <w:r w:rsidR="00DE771F" w:rsidRPr="00DE771F">
              <w:rPr>
                <w:rFonts w:ascii="Calibri Light" w:hAnsi="Calibri Light"/>
                <w:b w:val="0"/>
              </w:rPr>
              <w:lastRenderedPageBreak/>
              <w:t>todas las diligencias necesarias</w:t>
            </w:r>
            <w:r w:rsidR="00C132A0">
              <w:rPr>
                <w:rFonts w:ascii="Calibri Light" w:hAnsi="Calibri Light"/>
                <w:b w:val="0"/>
              </w:rPr>
              <w:t xml:space="preserve"> </w:t>
            </w:r>
            <w:r w:rsidR="00DE771F" w:rsidRPr="00DE771F">
              <w:rPr>
                <w:rFonts w:ascii="Calibri Light" w:hAnsi="Calibri Light"/>
                <w:b w:val="0"/>
              </w:rPr>
              <w:t>para esclarecer los hechos en conocimiento de las autoridades estatales desde</w:t>
            </w:r>
            <w:r w:rsidR="00DE771F">
              <w:rPr>
                <w:rFonts w:ascii="Calibri Light" w:hAnsi="Calibri Light"/>
                <w:b w:val="0"/>
              </w:rPr>
              <w:t xml:space="preserve"> </w:t>
            </w:r>
            <w:r w:rsidR="00DE771F" w:rsidRPr="00DE771F">
              <w:rPr>
                <w:rFonts w:ascii="Calibri Light" w:hAnsi="Calibri Light"/>
                <w:b w:val="0"/>
              </w:rPr>
              <w:t>el inicio</w:t>
            </w:r>
            <w:r w:rsidR="007C597B">
              <w:rPr>
                <w:rFonts w:ascii="Calibri Light" w:hAnsi="Calibri Light"/>
                <w:b w:val="0"/>
              </w:rPr>
              <w:t xml:space="preserve">. </w:t>
            </w:r>
            <w:r>
              <w:rPr>
                <w:rFonts w:ascii="Calibri Light" w:hAnsi="Calibri Light"/>
                <w:b w:val="0"/>
              </w:rPr>
              <w:t>Por ello, consideró que correspond</w:t>
            </w:r>
            <w:r w:rsidR="00086AB2">
              <w:rPr>
                <w:rFonts w:ascii="Calibri Light" w:hAnsi="Calibri Light"/>
                <w:b w:val="0"/>
              </w:rPr>
              <w:t>ía</w:t>
            </w:r>
            <w:r>
              <w:rPr>
                <w:rFonts w:ascii="Calibri Light" w:hAnsi="Calibri Light"/>
                <w:b w:val="0"/>
              </w:rPr>
              <w:t xml:space="preserve"> al Estado procurar por todos los medios probatorios disponibles, superar la dificultad derivada de los medios usados por los propios agresores para evitar ser identificados y abstraerse de su responsabilidad penal.</w:t>
            </w:r>
          </w:p>
          <w:p w14:paraId="41F86D99" w14:textId="77777777" w:rsidR="00AF08BF" w:rsidRDefault="00AF08BF" w:rsidP="006A6517">
            <w:pPr>
              <w:jc w:val="both"/>
              <w:rPr>
                <w:rFonts w:ascii="Calibri Light" w:hAnsi="Calibri Light"/>
                <w:b w:val="0"/>
              </w:rPr>
            </w:pPr>
          </w:p>
          <w:p w14:paraId="729163CA" w14:textId="6CC91D64" w:rsidR="00AF08BF" w:rsidRDefault="00AF08BF" w:rsidP="006A6517">
            <w:pPr>
              <w:jc w:val="both"/>
              <w:rPr>
                <w:rFonts w:ascii="Calibri Light" w:hAnsi="Calibri Light"/>
                <w:b w:val="0"/>
              </w:rPr>
            </w:pPr>
            <w:r>
              <w:rPr>
                <w:rFonts w:ascii="Calibri Light" w:hAnsi="Calibri Light"/>
                <w:b w:val="0"/>
              </w:rPr>
              <w:t>En el presente caso, la CIDH notó que ni antes del inicio de las averiguaciones previas, ni durante las semanas posteriores, las víctimas contaron con un examen médico integral.</w:t>
            </w:r>
            <w:r w:rsidR="002E2486">
              <w:rPr>
                <w:rFonts w:ascii="Calibri Light" w:hAnsi="Calibri Light"/>
                <w:b w:val="0"/>
              </w:rPr>
              <w:t xml:space="preserve"> A</w:t>
            </w:r>
            <w:r>
              <w:rPr>
                <w:rFonts w:ascii="Calibri Light" w:hAnsi="Calibri Light"/>
                <w:b w:val="0"/>
              </w:rPr>
              <w:t>dvirtió</w:t>
            </w:r>
            <w:r w:rsidR="002E2486">
              <w:rPr>
                <w:rFonts w:ascii="Calibri Light" w:hAnsi="Calibri Light"/>
                <w:b w:val="0"/>
              </w:rPr>
              <w:t xml:space="preserve"> también</w:t>
            </w:r>
            <w:r>
              <w:rPr>
                <w:rFonts w:ascii="Calibri Light" w:hAnsi="Calibri Light"/>
                <w:b w:val="0"/>
              </w:rPr>
              <w:t xml:space="preserve"> que los exámenes médicos iniciales no cumplieron con los estándares descritos para recabar la mayor cantidad de prueba posible sobre los actos bajo análisis. </w:t>
            </w:r>
            <w:r w:rsidR="00F17580">
              <w:rPr>
                <w:rFonts w:ascii="Calibri Light" w:hAnsi="Calibri Light"/>
                <w:b w:val="0"/>
              </w:rPr>
              <w:t>Por ello</w:t>
            </w:r>
            <w:r w:rsidR="002E2486">
              <w:rPr>
                <w:rFonts w:ascii="Calibri Light" w:hAnsi="Calibri Light"/>
                <w:b w:val="0"/>
              </w:rPr>
              <w:t>, consideró que el Estado mexicano no había cumplido con su obligación de investigar con la debida diligencia los actos alegados por las víctimas.</w:t>
            </w:r>
          </w:p>
          <w:p w14:paraId="448552D6" w14:textId="77777777" w:rsidR="007C597B" w:rsidRPr="006A6517" w:rsidRDefault="007C597B" w:rsidP="006A6517">
            <w:pPr>
              <w:jc w:val="both"/>
              <w:rPr>
                <w:rFonts w:ascii="Calibri Light" w:hAnsi="Calibri Light"/>
                <w:b w:val="0"/>
              </w:rPr>
            </w:pPr>
          </w:p>
          <w:p w14:paraId="2F9912F0" w14:textId="7CC5871A" w:rsidR="00310836" w:rsidRDefault="00310836" w:rsidP="00CB180B">
            <w:pPr>
              <w:pStyle w:val="ListParagraph"/>
              <w:numPr>
                <w:ilvl w:val="0"/>
                <w:numId w:val="10"/>
              </w:numPr>
              <w:jc w:val="both"/>
              <w:rPr>
                <w:rFonts w:ascii="Calibri Light" w:hAnsi="Calibri Light"/>
              </w:rPr>
            </w:pPr>
            <w:r w:rsidRPr="00310836">
              <w:rPr>
                <w:rFonts w:ascii="Calibri Light" w:hAnsi="Calibri Light"/>
              </w:rPr>
              <w:t>Sobre el deber de investigar en un plazo razonable</w:t>
            </w:r>
          </w:p>
          <w:p w14:paraId="40DCEF99" w14:textId="77777777" w:rsidR="007C597B" w:rsidRDefault="007C597B" w:rsidP="007C597B">
            <w:pPr>
              <w:jc w:val="both"/>
              <w:rPr>
                <w:rFonts w:ascii="Calibri Light" w:hAnsi="Calibri Light"/>
                <w:b w:val="0"/>
              </w:rPr>
            </w:pPr>
          </w:p>
          <w:p w14:paraId="4B451BD9" w14:textId="30345404" w:rsidR="006B1961" w:rsidRDefault="007C597B" w:rsidP="006B1961">
            <w:pPr>
              <w:jc w:val="both"/>
              <w:rPr>
                <w:rFonts w:ascii="Calibri Light" w:hAnsi="Calibri Light"/>
                <w:b w:val="0"/>
              </w:rPr>
            </w:pPr>
            <w:r>
              <w:rPr>
                <w:rFonts w:ascii="Calibri Light" w:hAnsi="Calibri Light"/>
                <w:b w:val="0"/>
              </w:rPr>
              <w:t xml:space="preserve">La CIDH recordó los cuatro elementos establecidos en la </w:t>
            </w:r>
            <w:r w:rsidR="002D4A90">
              <w:rPr>
                <w:rFonts w:ascii="Calibri Light" w:hAnsi="Calibri Light"/>
                <w:b w:val="0"/>
              </w:rPr>
              <w:t>jurisprudencia</w:t>
            </w:r>
            <w:r>
              <w:rPr>
                <w:rFonts w:ascii="Calibri Light" w:hAnsi="Calibri Light"/>
                <w:b w:val="0"/>
              </w:rPr>
              <w:t xml:space="preserve"> de la Corte IDH sobre la razonabilidad del plazo: i) complejidad del asunto, ii) actividad procesal del interesado, iii) conducta de las autoridades judiciales, iv) afectación generada en la situación jurídica de la persona involucrada. </w:t>
            </w:r>
            <w:r w:rsidR="006B1961">
              <w:rPr>
                <w:rFonts w:ascii="Calibri Light" w:hAnsi="Calibri Light"/>
                <w:b w:val="0"/>
              </w:rPr>
              <w:t xml:space="preserve">Sobre el primer elemento, la CIDH estableció que si bien un caso podría revestir de cierta complejidad, si la demora se ha debido a las acciones y omisiones de las autoridades estatales entonces </w:t>
            </w:r>
            <w:r w:rsidR="00F17580">
              <w:rPr>
                <w:rFonts w:ascii="Calibri Light" w:hAnsi="Calibri Light"/>
                <w:b w:val="0"/>
              </w:rPr>
              <w:t xml:space="preserve">este retraso </w:t>
            </w:r>
            <w:r w:rsidR="006B1961">
              <w:rPr>
                <w:rFonts w:ascii="Calibri Light" w:hAnsi="Calibri Light"/>
                <w:b w:val="0"/>
              </w:rPr>
              <w:t xml:space="preserve">no se debe a características específicas del caso. De este modo, al tardar las investigaciones y procesos internos respecto a las 11 mujeres por el actuar de las autoridades, no se puede señalar que haya complejidad </w:t>
            </w:r>
            <w:r w:rsidR="006B1961" w:rsidRPr="0025702C">
              <w:rPr>
                <w:rFonts w:ascii="Calibri Light" w:hAnsi="Calibri Light"/>
                <w:b w:val="0"/>
                <w:i/>
              </w:rPr>
              <w:t>per s</w:t>
            </w:r>
            <w:r w:rsidR="00086AB2" w:rsidRPr="0025702C">
              <w:rPr>
                <w:rFonts w:ascii="Calibri Light" w:hAnsi="Calibri Light"/>
                <w:b w:val="0"/>
                <w:i/>
              </w:rPr>
              <w:t>e</w:t>
            </w:r>
            <w:r w:rsidR="006B1961">
              <w:rPr>
                <w:rFonts w:ascii="Calibri Light" w:hAnsi="Calibri Light"/>
                <w:b w:val="0"/>
              </w:rPr>
              <w:t>.</w:t>
            </w:r>
          </w:p>
          <w:p w14:paraId="052A4040" w14:textId="77777777" w:rsidR="006B1961" w:rsidRDefault="006B1961" w:rsidP="006B1961">
            <w:pPr>
              <w:jc w:val="both"/>
              <w:rPr>
                <w:rFonts w:ascii="Calibri Light" w:hAnsi="Calibri Light"/>
                <w:b w:val="0"/>
              </w:rPr>
            </w:pPr>
          </w:p>
          <w:p w14:paraId="18480C6E" w14:textId="6C2BA030" w:rsidR="006B1961" w:rsidRPr="00F17580" w:rsidRDefault="006B1961" w:rsidP="006B1961">
            <w:pPr>
              <w:jc w:val="both"/>
              <w:rPr>
                <w:rFonts w:ascii="Calibri Light" w:hAnsi="Calibri Light"/>
                <w:b w:val="0"/>
              </w:rPr>
            </w:pPr>
            <w:r>
              <w:rPr>
                <w:rFonts w:ascii="Calibri Light" w:hAnsi="Calibri Light"/>
                <w:b w:val="0"/>
              </w:rPr>
              <w:t xml:space="preserve">Respecto al segundo y tercer elemento, la CIDH reiteró que </w:t>
            </w:r>
            <w:r w:rsidRPr="006B1961">
              <w:rPr>
                <w:rFonts w:ascii="Calibri Light" w:hAnsi="Calibri Light"/>
                <w:b w:val="0"/>
              </w:rPr>
              <w:t>el Estado debe evitar toda forma de revictimización, lo cual resulta especialmente aplicable en casos de</w:t>
            </w:r>
            <w:r>
              <w:rPr>
                <w:rFonts w:ascii="Calibri Light" w:hAnsi="Calibri Light"/>
                <w:b w:val="0"/>
              </w:rPr>
              <w:t xml:space="preserve"> </w:t>
            </w:r>
            <w:r w:rsidRPr="006B1961">
              <w:rPr>
                <w:rFonts w:ascii="Calibri Light" w:hAnsi="Calibri Light"/>
                <w:b w:val="0"/>
              </w:rPr>
              <w:t xml:space="preserve">violencia y violación sexual, </w:t>
            </w:r>
            <w:r>
              <w:rPr>
                <w:rFonts w:ascii="Calibri Light" w:hAnsi="Calibri Light"/>
                <w:b w:val="0"/>
              </w:rPr>
              <w:t>dado que</w:t>
            </w:r>
            <w:r w:rsidRPr="006B1961">
              <w:rPr>
                <w:rFonts w:ascii="Calibri Light" w:hAnsi="Calibri Light"/>
                <w:b w:val="0"/>
              </w:rPr>
              <w:t xml:space="preserve"> se entiende que la exigencia de repetición de lo sucedido es</w:t>
            </w:r>
            <w:r>
              <w:rPr>
                <w:rFonts w:ascii="Calibri Light" w:hAnsi="Calibri Light"/>
                <w:b w:val="0"/>
              </w:rPr>
              <w:t xml:space="preserve"> </w:t>
            </w:r>
            <w:r w:rsidRPr="006B1961">
              <w:rPr>
                <w:rFonts w:ascii="Calibri Light" w:hAnsi="Calibri Light"/>
                <w:b w:val="0"/>
              </w:rPr>
              <w:t>precisamente una forma de revictimización.</w:t>
            </w:r>
            <w:r>
              <w:rPr>
                <w:rFonts w:ascii="Calibri Light" w:hAnsi="Calibri Light"/>
                <w:b w:val="0"/>
              </w:rPr>
              <w:t xml:space="preserve"> En esa línea, </w:t>
            </w:r>
            <w:r w:rsidRPr="006B1961">
              <w:rPr>
                <w:rFonts w:ascii="Calibri Light" w:hAnsi="Calibri Light"/>
                <w:b w:val="0"/>
              </w:rPr>
              <w:t>la exigencia de declaraciones adicionales debe estar claramente</w:t>
            </w:r>
            <w:r>
              <w:rPr>
                <w:rFonts w:ascii="Calibri Light" w:hAnsi="Calibri Light"/>
                <w:b w:val="0"/>
              </w:rPr>
              <w:t xml:space="preserve"> </w:t>
            </w:r>
            <w:r w:rsidRPr="006B1961">
              <w:rPr>
                <w:rFonts w:ascii="Calibri Light" w:hAnsi="Calibri Light"/>
                <w:b w:val="0"/>
              </w:rPr>
              <w:t>justificada tras una evaluación exhaustiva de las descripciones que reiteradamente han efectuado las víctimas</w:t>
            </w:r>
            <w:r>
              <w:rPr>
                <w:rFonts w:ascii="Calibri Light" w:hAnsi="Calibri Light"/>
                <w:b w:val="0"/>
              </w:rPr>
              <w:t xml:space="preserve"> </w:t>
            </w:r>
            <w:r w:rsidRPr="006B1961">
              <w:rPr>
                <w:rFonts w:ascii="Calibri Light" w:hAnsi="Calibri Light"/>
                <w:b w:val="0"/>
              </w:rPr>
              <w:t>sobre los hechos de tortura en su contra.</w:t>
            </w:r>
            <w:r>
              <w:rPr>
                <w:rFonts w:ascii="Calibri Light" w:hAnsi="Calibri Light"/>
                <w:b w:val="0"/>
              </w:rPr>
              <w:t xml:space="preserve"> En el presente caso, </w:t>
            </w:r>
            <w:r w:rsidR="00803217">
              <w:rPr>
                <w:rFonts w:ascii="Calibri Light" w:hAnsi="Calibri Light"/>
                <w:b w:val="0"/>
              </w:rPr>
              <w:t>las víctimas participaron activamente en los procesos, sin obstaculizar la investigación y fue el Estado el que evidenció graves omisiones en las etapas iniciales del proceso, lo que llevó a que luego las víctimas narraran en varias ocasiones y ante diferentes entidades lo sucedido</w:t>
            </w:r>
            <w:r w:rsidR="00803217" w:rsidRPr="00F17580">
              <w:rPr>
                <w:rFonts w:ascii="Calibri Light" w:hAnsi="Calibri Light"/>
                <w:b w:val="0"/>
              </w:rPr>
              <w:t>.</w:t>
            </w:r>
            <w:r w:rsidR="00086AB2" w:rsidRPr="00F17580">
              <w:rPr>
                <w:rFonts w:ascii="Calibri Light" w:hAnsi="Calibri Light"/>
                <w:b w:val="0"/>
              </w:rPr>
              <w:t xml:space="preserve"> Esto constituyó </w:t>
            </w:r>
            <w:r w:rsidR="00F667E5">
              <w:rPr>
                <w:rFonts w:ascii="Calibri Light" w:hAnsi="Calibri Light"/>
                <w:b w:val="0"/>
              </w:rPr>
              <w:t>en la</w:t>
            </w:r>
            <w:r w:rsidR="00F667E5" w:rsidRPr="00F17580">
              <w:rPr>
                <w:rFonts w:ascii="Calibri Light" w:hAnsi="Calibri Light"/>
                <w:b w:val="0"/>
              </w:rPr>
              <w:t xml:space="preserve"> </w:t>
            </w:r>
            <w:r w:rsidR="00086AB2" w:rsidRPr="00F17580">
              <w:rPr>
                <w:rFonts w:ascii="Calibri Light" w:hAnsi="Calibri Light"/>
                <w:b w:val="0"/>
              </w:rPr>
              <w:t xml:space="preserve">revictimización </w:t>
            </w:r>
            <w:r w:rsidR="00F667E5">
              <w:rPr>
                <w:rFonts w:ascii="Calibri Light" w:hAnsi="Calibri Light"/>
                <w:b w:val="0"/>
              </w:rPr>
              <w:t>de las 11 mujeres</w:t>
            </w:r>
            <w:r w:rsidR="0025702C">
              <w:rPr>
                <w:rFonts w:ascii="Calibri Light" w:hAnsi="Calibri Light"/>
                <w:b w:val="0"/>
              </w:rPr>
              <w:t>,</w:t>
            </w:r>
            <w:r w:rsidR="00F667E5">
              <w:rPr>
                <w:rFonts w:ascii="Calibri Light" w:hAnsi="Calibri Light"/>
                <w:b w:val="0"/>
              </w:rPr>
              <w:t xml:space="preserve"> sin una clara justificación por parte del Estado </w:t>
            </w:r>
            <w:r w:rsidR="00F667E5" w:rsidRPr="00F17580">
              <w:rPr>
                <w:rFonts w:ascii="Calibri Light" w:hAnsi="Calibri Light"/>
                <w:b w:val="0"/>
              </w:rPr>
              <w:t xml:space="preserve"> </w:t>
            </w:r>
            <w:r w:rsidR="00F667E5">
              <w:rPr>
                <w:rFonts w:ascii="Calibri Light" w:hAnsi="Calibri Light"/>
                <w:b w:val="0"/>
              </w:rPr>
              <w:t>para que ellas describan reiteradamente los hechos de tortura que sufrieron.</w:t>
            </w:r>
          </w:p>
          <w:p w14:paraId="00C2C67B" w14:textId="77777777" w:rsidR="006B1961" w:rsidRDefault="006B1961" w:rsidP="006B1961">
            <w:pPr>
              <w:jc w:val="both"/>
              <w:rPr>
                <w:rFonts w:ascii="Calibri Light" w:hAnsi="Calibri Light"/>
                <w:b w:val="0"/>
              </w:rPr>
            </w:pPr>
          </w:p>
          <w:p w14:paraId="526A213F" w14:textId="4B004303" w:rsidR="00310836" w:rsidRDefault="006B1961" w:rsidP="00CB180B">
            <w:pPr>
              <w:jc w:val="both"/>
              <w:rPr>
                <w:rFonts w:ascii="Calibri Light" w:hAnsi="Calibri Light"/>
                <w:b w:val="0"/>
              </w:rPr>
            </w:pPr>
            <w:r>
              <w:rPr>
                <w:rFonts w:ascii="Calibri Light" w:hAnsi="Calibri Light"/>
                <w:b w:val="0"/>
              </w:rPr>
              <w:t>En cuanto al cuarto elemento,</w:t>
            </w:r>
            <w:r w:rsidR="00803217">
              <w:rPr>
                <w:rFonts w:ascii="Calibri Light" w:hAnsi="Calibri Light"/>
                <w:b w:val="0"/>
              </w:rPr>
              <w:t xml:space="preserve"> la CIDH consideró</w:t>
            </w:r>
            <w:r>
              <w:rPr>
                <w:rFonts w:ascii="Calibri Light" w:hAnsi="Calibri Light"/>
                <w:b w:val="0"/>
              </w:rPr>
              <w:t xml:space="preserve"> </w:t>
            </w:r>
            <w:r w:rsidRPr="006B1961">
              <w:rPr>
                <w:rFonts w:ascii="Calibri Light" w:hAnsi="Calibri Light"/>
                <w:b w:val="0"/>
              </w:rPr>
              <w:t>que en casos de tortura y violencia y violación sexual, la realización oportuna de las</w:t>
            </w:r>
            <w:r>
              <w:rPr>
                <w:rFonts w:ascii="Calibri Light" w:hAnsi="Calibri Light"/>
                <w:b w:val="0"/>
              </w:rPr>
              <w:t xml:space="preserve"> </w:t>
            </w:r>
            <w:r w:rsidRPr="006B1961">
              <w:rPr>
                <w:rFonts w:ascii="Calibri Light" w:hAnsi="Calibri Light"/>
                <w:b w:val="0"/>
              </w:rPr>
              <w:t>diligencias de investigación resulta fundamental para el debido esclarecimiento de los hechos. En este tipo de</w:t>
            </w:r>
            <w:r>
              <w:rPr>
                <w:rFonts w:ascii="Calibri Light" w:hAnsi="Calibri Light"/>
                <w:b w:val="0"/>
              </w:rPr>
              <w:t xml:space="preserve"> </w:t>
            </w:r>
            <w:r w:rsidRPr="006B1961">
              <w:rPr>
                <w:rFonts w:ascii="Calibri Light" w:hAnsi="Calibri Light"/>
                <w:b w:val="0"/>
              </w:rPr>
              <w:t>casos, por su propia naturaleza, la demora en las investigaciones impacta no solamente el derecho de las</w:t>
            </w:r>
            <w:r>
              <w:rPr>
                <w:rFonts w:ascii="Calibri Light" w:hAnsi="Calibri Light"/>
                <w:b w:val="0"/>
              </w:rPr>
              <w:t xml:space="preserve"> </w:t>
            </w:r>
            <w:r w:rsidRPr="006B1961">
              <w:rPr>
                <w:rFonts w:ascii="Calibri Light" w:hAnsi="Calibri Light"/>
                <w:b w:val="0"/>
              </w:rPr>
              <w:t>víctimas de obtener justicia sino, específicamente, las perspectivas reales de esclarecimiento, lo cual se</w:t>
            </w:r>
            <w:r>
              <w:rPr>
                <w:rFonts w:ascii="Calibri Light" w:hAnsi="Calibri Light"/>
                <w:b w:val="0"/>
              </w:rPr>
              <w:t xml:space="preserve"> </w:t>
            </w:r>
            <w:r w:rsidRPr="006B1961">
              <w:rPr>
                <w:rFonts w:ascii="Calibri Light" w:hAnsi="Calibri Light"/>
                <w:b w:val="0"/>
              </w:rPr>
              <w:t>constituye en última, en un factor de impunidad.</w:t>
            </w:r>
            <w:r w:rsidR="00803217">
              <w:rPr>
                <w:rFonts w:ascii="Calibri Light" w:hAnsi="Calibri Light"/>
                <w:b w:val="0"/>
              </w:rPr>
              <w:t xml:space="preserve"> En el caso en concreto, el Estado no se esforzó para realizar de forma oportuna las diligencias de investigación, tratándose de </w:t>
            </w:r>
            <w:r w:rsidR="00803217" w:rsidRPr="006B1961">
              <w:rPr>
                <w:rFonts w:ascii="Calibri Light" w:hAnsi="Calibri Light"/>
                <w:b w:val="0"/>
              </w:rPr>
              <w:t>tortura y violencia y violación sexual</w:t>
            </w:r>
            <w:r w:rsidR="00803217">
              <w:rPr>
                <w:rFonts w:ascii="Calibri Light" w:hAnsi="Calibri Light"/>
                <w:b w:val="0"/>
              </w:rPr>
              <w:t>.</w:t>
            </w:r>
            <w:r w:rsidR="008B7A51">
              <w:rPr>
                <w:rFonts w:ascii="Calibri Light" w:hAnsi="Calibri Light"/>
                <w:b w:val="0"/>
              </w:rPr>
              <w:t xml:space="preserve"> </w:t>
            </w:r>
            <w:r w:rsidR="002E2486">
              <w:rPr>
                <w:rFonts w:ascii="Calibri Light" w:hAnsi="Calibri Light"/>
                <w:b w:val="0"/>
              </w:rPr>
              <w:t xml:space="preserve">Por todo ello, la CIDH consideró que el Estado mexicano </w:t>
            </w:r>
            <w:r w:rsidR="0045242B">
              <w:rPr>
                <w:rFonts w:ascii="Calibri Light" w:hAnsi="Calibri Light"/>
                <w:b w:val="0"/>
              </w:rPr>
              <w:t xml:space="preserve">había violado </w:t>
            </w:r>
            <w:r w:rsidR="002E2486">
              <w:rPr>
                <w:rFonts w:ascii="Calibri Light" w:hAnsi="Calibri Light"/>
                <w:b w:val="0"/>
              </w:rPr>
              <w:t>los artículos 8.1 y 25.1 de la CADH</w:t>
            </w:r>
            <w:r w:rsidR="00C132A0">
              <w:rPr>
                <w:rFonts w:ascii="Calibri Light" w:hAnsi="Calibri Light"/>
                <w:b w:val="0"/>
              </w:rPr>
              <w:t>,</w:t>
            </w:r>
            <w:r w:rsidR="002E2486">
              <w:rPr>
                <w:rFonts w:ascii="Calibri Light" w:hAnsi="Calibri Light"/>
                <w:b w:val="0"/>
              </w:rPr>
              <w:t xml:space="preserve"> </w:t>
            </w:r>
            <w:r w:rsidR="00F667E5">
              <w:rPr>
                <w:rFonts w:ascii="Calibri Light" w:hAnsi="Calibri Light"/>
                <w:b w:val="0"/>
              </w:rPr>
              <w:t xml:space="preserve">en relación al artículo 1.1 del mismo instrumento, </w:t>
            </w:r>
            <w:r w:rsidR="00155F42">
              <w:rPr>
                <w:rFonts w:ascii="Calibri Light" w:hAnsi="Calibri Light"/>
                <w:b w:val="0"/>
              </w:rPr>
              <w:t>en perjuicio de las 11 mujeres</w:t>
            </w:r>
            <w:r w:rsidR="0045242B">
              <w:rPr>
                <w:rFonts w:ascii="Calibri Light" w:hAnsi="Calibri Light"/>
                <w:b w:val="0"/>
              </w:rPr>
              <w:t xml:space="preserve">. Asimismo, concluyó que había violado </w:t>
            </w:r>
            <w:r w:rsidR="002E2486">
              <w:rPr>
                <w:rFonts w:ascii="Calibri Light" w:hAnsi="Calibri Light"/>
                <w:b w:val="0"/>
              </w:rPr>
              <w:t xml:space="preserve">los artículos 1, 6 y 8 de la CIPST, y el artículo 7 de la Convención de Belém Do Pará. </w:t>
            </w:r>
          </w:p>
          <w:p w14:paraId="5AA471B6" w14:textId="1ADFB0B0" w:rsidR="00E656FC" w:rsidRPr="00310836" w:rsidRDefault="00E656FC" w:rsidP="00CB180B">
            <w:pPr>
              <w:jc w:val="both"/>
              <w:rPr>
                <w:rFonts w:ascii="Calibri Light" w:hAnsi="Calibri Light"/>
                <w:b w:val="0"/>
              </w:rPr>
            </w:pPr>
          </w:p>
        </w:tc>
      </w:tr>
      <w:tr w:rsidR="004C2E50" w:rsidRPr="004533E5" w14:paraId="0FBFBB6F"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4C2E50" w:rsidRPr="00310836" w:rsidRDefault="004C2E50" w:rsidP="00AC6F31">
            <w:pPr>
              <w:pStyle w:val="ListParagraph"/>
              <w:rPr>
                <w:rFonts w:ascii="Calibri Light" w:hAnsi="Calibri Light"/>
              </w:rPr>
            </w:pPr>
          </w:p>
          <w:p w14:paraId="5CF7BA21" w14:textId="49F4D215" w:rsidR="004C2E50" w:rsidRPr="00310836" w:rsidRDefault="004C2E50" w:rsidP="0029671B">
            <w:pPr>
              <w:pStyle w:val="ListParagraph"/>
              <w:numPr>
                <w:ilvl w:val="0"/>
                <w:numId w:val="2"/>
              </w:numPr>
              <w:jc w:val="center"/>
              <w:rPr>
                <w:rFonts w:ascii="Calibri Light" w:hAnsi="Calibri Light"/>
              </w:rPr>
            </w:pPr>
            <w:r w:rsidRPr="00310836">
              <w:rPr>
                <w:rFonts w:ascii="Calibri Light" w:hAnsi="Calibri Light"/>
              </w:rPr>
              <w:t>Recomendaciones</w:t>
            </w:r>
            <w:r w:rsidR="00E74F57">
              <w:rPr>
                <w:rFonts w:ascii="Calibri Light" w:hAnsi="Calibri Light"/>
              </w:rPr>
              <w:t xml:space="preserve"> de la CIDH al Estado</w:t>
            </w:r>
          </w:p>
          <w:p w14:paraId="510D8BF9" w14:textId="77777777" w:rsidR="004C2E50" w:rsidRPr="00310836" w:rsidRDefault="004C2E50" w:rsidP="00AC6F31">
            <w:pPr>
              <w:pStyle w:val="ListParagraph"/>
              <w:rPr>
                <w:rFonts w:ascii="Calibri Light" w:hAnsi="Calibri Light"/>
              </w:rPr>
            </w:pPr>
          </w:p>
        </w:tc>
      </w:tr>
      <w:tr w:rsidR="004C2E50" w:rsidRPr="004533E5" w14:paraId="3D91AF16"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F086D22" w14:textId="77777777" w:rsidR="004C2E50" w:rsidRPr="00310836" w:rsidRDefault="004C2E50" w:rsidP="004B1311">
            <w:pPr>
              <w:pStyle w:val="ListParagraph"/>
              <w:ind w:left="0"/>
              <w:jc w:val="both"/>
              <w:rPr>
                <w:rFonts w:ascii="Calibri Light" w:hAnsi="Calibri Light"/>
                <w:b w:val="0"/>
              </w:rPr>
            </w:pPr>
          </w:p>
          <w:p w14:paraId="4AC0CF90" w14:textId="355B9C44" w:rsidR="00103C4C" w:rsidRPr="00310836" w:rsidRDefault="00287BBC" w:rsidP="00103C4C">
            <w:pPr>
              <w:pStyle w:val="ListParagraph"/>
              <w:numPr>
                <w:ilvl w:val="0"/>
                <w:numId w:val="4"/>
              </w:numPr>
              <w:jc w:val="both"/>
              <w:rPr>
                <w:rFonts w:ascii="Calibri Light" w:hAnsi="Calibri Light"/>
                <w:b w:val="0"/>
              </w:rPr>
            </w:pPr>
            <w:r w:rsidRPr="00310836">
              <w:rPr>
                <w:rFonts w:ascii="Calibri Light" w:hAnsi="Calibri Light"/>
                <w:b w:val="0"/>
              </w:rPr>
              <w:lastRenderedPageBreak/>
              <w:t xml:space="preserve">Disponer la reparación integral a favor de las once mujeres por las violaciones de derechos humanos declaradas, las cuales deben incluir tanto </w:t>
            </w:r>
            <w:r w:rsidR="002D4A90">
              <w:rPr>
                <w:rFonts w:ascii="Calibri Light" w:hAnsi="Calibri Light"/>
                <w:b w:val="0"/>
              </w:rPr>
              <w:t>un</w:t>
            </w:r>
            <w:r w:rsidRPr="00310836">
              <w:rPr>
                <w:rFonts w:ascii="Calibri Light" w:hAnsi="Calibri Light"/>
                <w:b w:val="0"/>
              </w:rPr>
              <w:t xml:space="preserve"> aspecto material como moral.</w:t>
            </w:r>
          </w:p>
          <w:p w14:paraId="1E6F6312" w14:textId="77777777" w:rsidR="004C2E50" w:rsidRPr="00310836" w:rsidRDefault="004C2E50" w:rsidP="00E70716">
            <w:pPr>
              <w:pStyle w:val="ListParagraph"/>
              <w:ind w:left="360"/>
              <w:jc w:val="both"/>
              <w:rPr>
                <w:rFonts w:ascii="Calibri Light" w:hAnsi="Calibri Light"/>
                <w:b w:val="0"/>
              </w:rPr>
            </w:pPr>
          </w:p>
          <w:p w14:paraId="38CDC32F" w14:textId="450AF2BA" w:rsidR="004C2E50" w:rsidRPr="00310836" w:rsidRDefault="00287BBC" w:rsidP="00243C42">
            <w:pPr>
              <w:pStyle w:val="ListParagraph"/>
              <w:numPr>
                <w:ilvl w:val="0"/>
                <w:numId w:val="4"/>
              </w:numPr>
              <w:jc w:val="both"/>
              <w:rPr>
                <w:rFonts w:ascii="Calibri Light" w:hAnsi="Calibri Light"/>
                <w:b w:val="0"/>
              </w:rPr>
            </w:pPr>
            <w:r w:rsidRPr="00310836">
              <w:rPr>
                <w:rFonts w:ascii="Calibri Light" w:hAnsi="Calibri Light"/>
                <w:b w:val="0"/>
              </w:rPr>
              <w:t xml:space="preserve">Brindar de forma gratuita, inmediata y </w:t>
            </w:r>
            <w:r w:rsidR="002D4A90">
              <w:rPr>
                <w:rFonts w:ascii="Calibri Light" w:hAnsi="Calibri Light"/>
                <w:b w:val="0"/>
              </w:rPr>
              <w:t>por el tiempo que sea necesario</w:t>
            </w:r>
            <w:r w:rsidRPr="00310836">
              <w:rPr>
                <w:rFonts w:ascii="Calibri Light" w:hAnsi="Calibri Light"/>
                <w:b w:val="0"/>
              </w:rPr>
              <w:t xml:space="preserve"> el tratamiento médico y psicológico o psiquiátrico a las víctimas que así lo soliciten y de manera concertada con ellas.</w:t>
            </w:r>
          </w:p>
          <w:p w14:paraId="644B373D" w14:textId="77777777" w:rsidR="004C2E50" w:rsidRPr="00310836" w:rsidRDefault="004C2E50" w:rsidP="00E70716">
            <w:pPr>
              <w:pStyle w:val="ListParagraph"/>
              <w:rPr>
                <w:rFonts w:ascii="Calibri Light" w:hAnsi="Calibri Light"/>
              </w:rPr>
            </w:pPr>
          </w:p>
          <w:p w14:paraId="3AF8DA55" w14:textId="6417ABDF" w:rsidR="004C2E50" w:rsidRPr="00310836" w:rsidRDefault="00287BBC" w:rsidP="00243C42">
            <w:pPr>
              <w:pStyle w:val="ListParagraph"/>
              <w:numPr>
                <w:ilvl w:val="0"/>
                <w:numId w:val="4"/>
              </w:numPr>
              <w:jc w:val="both"/>
              <w:rPr>
                <w:rFonts w:ascii="Calibri Light" w:hAnsi="Calibri Light"/>
                <w:b w:val="0"/>
              </w:rPr>
            </w:pPr>
            <w:r w:rsidRPr="00310836">
              <w:rPr>
                <w:rFonts w:ascii="Calibri Light" w:hAnsi="Calibri Light"/>
                <w:b w:val="0"/>
              </w:rPr>
              <w:t>Continuar investigando de manera efectiva, con la debida diligencia y dentro de un plazo razonable, con el objeto de esclarecer en forma integral los hechos violatorios de los instrumentos interamericanos, así como identificar y sancionar los distintos grados de responsabilidad, desde autoría material hasta posibles autorías intelectuales y otras formas de responsabilidad</w:t>
            </w:r>
            <w:r w:rsidR="00AF0F2A" w:rsidRPr="00310836">
              <w:rPr>
                <w:rFonts w:ascii="Calibri Light" w:hAnsi="Calibri Light"/>
                <w:b w:val="0"/>
              </w:rPr>
              <w:t>, incluyendo aquellas derivadas de la cadena de mando, de las distintas formas de participación de cuerpos de seguridad, así como posibles actos de encubrimiento u omisión</w:t>
            </w:r>
            <w:r w:rsidRPr="00310836">
              <w:rPr>
                <w:rFonts w:ascii="Calibri Light" w:hAnsi="Calibri Light"/>
                <w:b w:val="0"/>
              </w:rPr>
              <w:t xml:space="preserve">. </w:t>
            </w:r>
            <w:r w:rsidR="00AF0F2A" w:rsidRPr="00310836">
              <w:rPr>
                <w:rFonts w:ascii="Calibri Light" w:hAnsi="Calibri Light"/>
                <w:b w:val="0"/>
              </w:rPr>
              <w:t>En este marco, debe e</w:t>
            </w:r>
            <w:r w:rsidRPr="00310836">
              <w:rPr>
                <w:rFonts w:ascii="Calibri Light" w:hAnsi="Calibri Light"/>
                <w:b w:val="0"/>
              </w:rPr>
              <w:t>vitar cualquier forma de revictimización y asegurar que la calificación jurídica de los hechos sea conforme a los estándares descritos.</w:t>
            </w:r>
          </w:p>
          <w:p w14:paraId="69276DE1" w14:textId="77777777" w:rsidR="004C2E50" w:rsidRPr="00310836" w:rsidRDefault="004C2E50" w:rsidP="00E70716">
            <w:pPr>
              <w:pStyle w:val="ListParagraph"/>
              <w:rPr>
                <w:rFonts w:ascii="Calibri Light" w:hAnsi="Calibri Light"/>
              </w:rPr>
            </w:pPr>
          </w:p>
          <w:p w14:paraId="35A6A83A" w14:textId="4C36B6B5" w:rsidR="004C2E50" w:rsidRPr="00310836" w:rsidRDefault="004C2E50" w:rsidP="00243C42">
            <w:pPr>
              <w:pStyle w:val="ListParagraph"/>
              <w:numPr>
                <w:ilvl w:val="0"/>
                <w:numId w:val="4"/>
              </w:numPr>
              <w:jc w:val="both"/>
              <w:rPr>
                <w:rFonts w:ascii="Calibri Light" w:hAnsi="Calibri Light"/>
                <w:b w:val="0"/>
              </w:rPr>
            </w:pPr>
            <w:r w:rsidRPr="00310836">
              <w:rPr>
                <w:rFonts w:ascii="Calibri Light" w:hAnsi="Calibri Light"/>
                <w:b w:val="0"/>
              </w:rPr>
              <w:t xml:space="preserve">Disponer las medidas administrativas, disciplinarias o penales correspondientes frente a las acciones u omisiones de los funcionarios estatales que contribuyeron a la denegación de justicia e impunidad en la que se encuentra el caso. </w:t>
            </w:r>
          </w:p>
          <w:p w14:paraId="313B4757" w14:textId="77777777" w:rsidR="004C2E50" w:rsidRPr="00310836" w:rsidRDefault="004C2E50" w:rsidP="00E70716">
            <w:pPr>
              <w:pStyle w:val="ListParagraph"/>
              <w:rPr>
                <w:rFonts w:ascii="Calibri Light" w:hAnsi="Calibri Light"/>
              </w:rPr>
            </w:pPr>
          </w:p>
          <w:p w14:paraId="1354A499" w14:textId="58549437" w:rsidR="00287BBC" w:rsidRPr="00310836" w:rsidRDefault="00287BBC" w:rsidP="00287BBC">
            <w:pPr>
              <w:pStyle w:val="ListParagraph"/>
              <w:numPr>
                <w:ilvl w:val="0"/>
                <w:numId w:val="4"/>
              </w:numPr>
              <w:jc w:val="both"/>
              <w:rPr>
                <w:rFonts w:ascii="Calibri Light" w:hAnsi="Calibri Light"/>
                <w:bCs w:val="0"/>
              </w:rPr>
            </w:pPr>
            <w:r w:rsidRPr="00310836">
              <w:rPr>
                <w:rFonts w:ascii="Calibri Light" w:hAnsi="Calibri Light"/>
                <w:b w:val="0"/>
              </w:rPr>
              <w:t>Adoptar medidas legislativas, administrativas y de otra índole, para evitar la repetición de violaciones de derechos humanos como las cometidas en el caso. En particular, deberá adoptar medidas de no repetición dirigidas a capacitar a los cuerpos de seguridad tanto a nivel federal como estatal en la prohibición absoluta de la tortura y de la violencia sexual y de otra índole contra la mujer, así como a enviar un claro mensaje de repudio a este tipo de actos. El contenido de esta medida deberá extenderse a personal médico y todo funcionario estatal a cargo de las diferen</w:t>
            </w:r>
            <w:r w:rsidR="002D4A90">
              <w:rPr>
                <w:rFonts w:ascii="Calibri Light" w:hAnsi="Calibri Light"/>
                <w:b w:val="0"/>
              </w:rPr>
              <w:t>tes etapas de una investigación</w:t>
            </w:r>
            <w:r w:rsidRPr="00310836">
              <w:rPr>
                <w:rFonts w:ascii="Calibri Light" w:hAnsi="Calibri Light"/>
                <w:b w:val="0"/>
              </w:rPr>
              <w:t>. Asimismo, deberá fortalecer la capacidad institucional para asegurar que las investigaciones de casos de alegada violencia sexual en general y de tortura sexual por parte de agentes estatales en particular, sean compatibles con los estándares descritos.</w:t>
            </w:r>
          </w:p>
          <w:p w14:paraId="49863AFC" w14:textId="27A6BE90" w:rsidR="004C2E50" w:rsidRPr="00310836" w:rsidRDefault="004C2E50" w:rsidP="00287BBC">
            <w:pPr>
              <w:pStyle w:val="ListParagraph"/>
              <w:ind w:left="360"/>
              <w:jc w:val="both"/>
              <w:rPr>
                <w:rFonts w:ascii="Calibri Light" w:hAnsi="Calibri Light"/>
                <w:b w:val="0"/>
              </w:rPr>
            </w:pPr>
          </w:p>
        </w:tc>
      </w:tr>
      <w:tr w:rsidR="004C2E50" w:rsidRPr="004533E5" w14:paraId="0B7CC98E" w14:textId="77777777" w:rsidTr="00A94EE7">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4C2E50" w:rsidRPr="00310836" w:rsidRDefault="004C2E50" w:rsidP="00F464EC">
            <w:pPr>
              <w:pStyle w:val="ListParagraph"/>
              <w:spacing w:after="200" w:line="276" w:lineRule="auto"/>
              <w:rPr>
                <w:rFonts w:ascii="Calibri Light" w:hAnsi="Calibri Light"/>
              </w:rPr>
            </w:pPr>
          </w:p>
          <w:p w14:paraId="7B045F14" w14:textId="2270E615" w:rsidR="004C2E50" w:rsidRPr="00310836" w:rsidRDefault="004C2E50" w:rsidP="00F464EC">
            <w:pPr>
              <w:pStyle w:val="ListParagraph"/>
              <w:numPr>
                <w:ilvl w:val="0"/>
                <w:numId w:val="2"/>
              </w:numPr>
              <w:spacing w:after="200" w:line="276" w:lineRule="auto"/>
              <w:jc w:val="center"/>
              <w:rPr>
                <w:rFonts w:ascii="Calibri Light" w:hAnsi="Calibri Light"/>
              </w:rPr>
            </w:pPr>
            <w:r w:rsidRPr="00310836">
              <w:rPr>
                <w:rFonts w:ascii="Calibri Light" w:hAnsi="Calibri Light"/>
              </w:rPr>
              <w:t>Análisis de cumplimiento de las recomendaciones</w:t>
            </w:r>
          </w:p>
          <w:p w14:paraId="3C93C1C0" w14:textId="77777777" w:rsidR="004C2E50" w:rsidRPr="00310836" w:rsidRDefault="004C2E50" w:rsidP="00F464EC">
            <w:pPr>
              <w:pStyle w:val="ListParagraph"/>
              <w:ind w:left="0"/>
              <w:jc w:val="center"/>
              <w:rPr>
                <w:rFonts w:ascii="Calibri Light" w:hAnsi="Calibri Light"/>
                <w:b w:val="0"/>
              </w:rPr>
            </w:pPr>
          </w:p>
        </w:tc>
      </w:tr>
      <w:tr w:rsidR="004C2E50" w:rsidRPr="004533E5" w14:paraId="41FA15A1"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4AAFA1A0" w14:textId="77777777" w:rsidR="004C2E50" w:rsidRPr="00310836" w:rsidRDefault="004C2E50" w:rsidP="004B1311">
            <w:pPr>
              <w:pStyle w:val="ListParagraph"/>
              <w:ind w:left="0"/>
              <w:jc w:val="both"/>
              <w:rPr>
                <w:rFonts w:ascii="Calibri Light" w:hAnsi="Calibri Light"/>
                <w:b w:val="0"/>
              </w:rPr>
            </w:pPr>
          </w:p>
          <w:p w14:paraId="59C6DB00" w14:textId="77777777" w:rsidR="004C2E50" w:rsidRPr="00310836" w:rsidRDefault="004C2E50" w:rsidP="00826869">
            <w:pPr>
              <w:pStyle w:val="ListParagraph"/>
              <w:ind w:left="0"/>
              <w:jc w:val="center"/>
              <w:rPr>
                <w:rFonts w:ascii="Calibri Light" w:hAnsi="Calibri Light"/>
                <w:b w:val="0"/>
              </w:rPr>
            </w:pPr>
            <w:r w:rsidRPr="00310836">
              <w:rPr>
                <w:rFonts w:ascii="Calibri Light" w:hAnsi="Calibri Light"/>
                <w:b w:val="0"/>
              </w:rPr>
              <w:t>-</w:t>
            </w:r>
          </w:p>
          <w:p w14:paraId="1F3EA985" w14:textId="4ED84473" w:rsidR="004C2E50" w:rsidRPr="00310836" w:rsidRDefault="004C2E50" w:rsidP="00826869">
            <w:pPr>
              <w:pStyle w:val="ListParagraph"/>
              <w:ind w:left="0"/>
              <w:jc w:val="center"/>
              <w:rPr>
                <w:rFonts w:ascii="Calibri Light" w:hAnsi="Calibri Light"/>
                <w:b w:val="0"/>
              </w:rPr>
            </w:pPr>
          </w:p>
        </w:tc>
      </w:tr>
    </w:tbl>
    <w:p w14:paraId="23A9A3C3" w14:textId="77777777" w:rsidR="00714E42" w:rsidRDefault="00714E42" w:rsidP="00A65231"/>
    <w:sectPr w:rsidR="00714E42"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91152" w14:textId="77777777" w:rsidR="00B34363" w:rsidRDefault="00B34363" w:rsidP="00A65231">
      <w:pPr>
        <w:spacing w:after="0" w:line="240" w:lineRule="auto"/>
      </w:pPr>
      <w:r>
        <w:separator/>
      </w:r>
    </w:p>
  </w:endnote>
  <w:endnote w:type="continuationSeparator" w:id="0">
    <w:p w14:paraId="5A838BEE" w14:textId="77777777" w:rsidR="00B34363" w:rsidRDefault="00B34363"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9A6D5C" w:rsidRDefault="009A6D5C">
        <w:pPr>
          <w:pStyle w:val="Footer"/>
          <w:jc w:val="right"/>
        </w:pPr>
        <w:r>
          <w:fldChar w:fldCharType="begin"/>
        </w:r>
        <w:r>
          <w:instrText>PAGE   \* MERGEFORMAT</w:instrText>
        </w:r>
        <w:r>
          <w:fldChar w:fldCharType="separate"/>
        </w:r>
        <w:r w:rsidR="00B77AC4" w:rsidRPr="00B77AC4">
          <w:rPr>
            <w:noProof/>
            <w:lang w:val="es-ES"/>
          </w:rPr>
          <w:t>7</w:t>
        </w:r>
        <w:r>
          <w:fldChar w:fldCharType="end"/>
        </w:r>
      </w:p>
    </w:sdtContent>
  </w:sdt>
  <w:p w14:paraId="6353BB13" w14:textId="77777777" w:rsidR="009A6D5C" w:rsidRDefault="009A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4AA8C" w14:textId="77777777" w:rsidR="00B34363" w:rsidRDefault="00B34363" w:rsidP="00A65231">
      <w:pPr>
        <w:spacing w:after="0" w:line="240" w:lineRule="auto"/>
      </w:pPr>
      <w:r>
        <w:separator/>
      </w:r>
    </w:p>
  </w:footnote>
  <w:footnote w:type="continuationSeparator" w:id="0">
    <w:p w14:paraId="352ADC4A" w14:textId="77777777" w:rsidR="00B34363" w:rsidRDefault="00B34363"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61234EA"/>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40125F"/>
    <w:multiLevelType w:val="hybridMultilevel"/>
    <w:tmpl w:val="14741F4E"/>
    <w:lvl w:ilvl="0" w:tplc="D794FB3E">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B3C6EF6"/>
    <w:multiLevelType w:val="hybridMultilevel"/>
    <w:tmpl w:val="56C8CD10"/>
    <w:lvl w:ilvl="0" w:tplc="0246725A">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0D38AD"/>
    <w:multiLevelType w:val="hybridMultilevel"/>
    <w:tmpl w:val="C068DABC"/>
    <w:lvl w:ilvl="0" w:tplc="A10A91BE">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4"/>
  </w:num>
  <w:num w:numId="6">
    <w:abstractNumId w:val="9"/>
  </w:num>
  <w:num w:numId="7">
    <w:abstractNumId w:val="6"/>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07989"/>
    <w:rsid w:val="00027257"/>
    <w:rsid w:val="00046A44"/>
    <w:rsid w:val="0005763B"/>
    <w:rsid w:val="00066222"/>
    <w:rsid w:val="0008203A"/>
    <w:rsid w:val="00086AB2"/>
    <w:rsid w:val="000C2ED1"/>
    <w:rsid w:val="000C5A72"/>
    <w:rsid w:val="000D3CF2"/>
    <w:rsid w:val="000E1E0E"/>
    <w:rsid w:val="000F2C70"/>
    <w:rsid w:val="000F3BC6"/>
    <w:rsid w:val="001026DE"/>
    <w:rsid w:val="00103C4C"/>
    <w:rsid w:val="001077C9"/>
    <w:rsid w:val="00155F42"/>
    <w:rsid w:val="00160260"/>
    <w:rsid w:val="001754B7"/>
    <w:rsid w:val="001A14F7"/>
    <w:rsid w:val="001C28EC"/>
    <w:rsid w:val="001C4484"/>
    <w:rsid w:val="00212F62"/>
    <w:rsid w:val="00213757"/>
    <w:rsid w:val="00216A2A"/>
    <w:rsid w:val="00220B75"/>
    <w:rsid w:val="0022426F"/>
    <w:rsid w:val="00237E09"/>
    <w:rsid w:val="00243C42"/>
    <w:rsid w:val="0025702C"/>
    <w:rsid w:val="002720DA"/>
    <w:rsid w:val="00280835"/>
    <w:rsid w:val="00287BBC"/>
    <w:rsid w:val="0029049D"/>
    <w:rsid w:val="00295E72"/>
    <w:rsid w:val="0029671B"/>
    <w:rsid w:val="002B259D"/>
    <w:rsid w:val="002C4CED"/>
    <w:rsid w:val="002C67E8"/>
    <w:rsid w:val="002D1D2F"/>
    <w:rsid w:val="002D4A90"/>
    <w:rsid w:val="002D5158"/>
    <w:rsid w:val="002D7F8F"/>
    <w:rsid w:val="002E00C7"/>
    <w:rsid w:val="002E2486"/>
    <w:rsid w:val="003031DA"/>
    <w:rsid w:val="00310250"/>
    <w:rsid w:val="00310836"/>
    <w:rsid w:val="003111DB"/>
    <w:rsid w:val="00314C0F"/>
    <w:rsid w:val="00314DD9"/>
    <w:rsid w:val="00317EE5"/>
    <w:rsid w:val="003501C8"/>
    <w:rsid w:val="003920AF"/>
    <w:rsid w:val="003A0CC7"/>
    <w:rsid w:val="003B0A2C"/>
    <w:rsid w:val="003C7680"/>
    <w:rsid w:val="003E2B29"/>
    <w:rsid w:val="003E6AB8"/>
    <w:rsid w:val="003F70BF"/>
    <w:rsid w:val="00405DB0"/>
    <w:rsid w:val="00411A74"/>
    <w:rsid w:val="00414F2C"/>
    <w:rsid w:val="00421D6C"/>
    <w:rsid w:val="00422D26"/>
    <w:rsid w:val="00423B23"/>
    <w:rsid w:val="0042581C"/>
    <w:rsid w:val="00427524"/>
    <w:rsid w:val="00441ADC"/>
    <w:rsid w:val="00451809"/>
    <w:rsid w:val="0045242B"/>
    <w:rsid w:val="00452AA6"/>
    <w:rsid w:val="00452B4C"/>
    <w:rsid w:val="004533E5"/>
    <w:rsid w:val="00464CAC"/>
    <w:rsid w:val="00473B64"/>
    <w:rsid w:val="004858A8"/>
    <w:rsid w:val="004861D8"/>
    <w:rsid w:val="004B1311"/>
    <w:rsid w:val="004B2686"/>
    <w:rsid w:val="004C0481"/>
    <w:rsid w:val="004C2E50"/>
    <w:rsid w:val="004D35E0"/>
    <w:rsid w:val="004E58DE"/>
    <w:rsid w:val="004E678F"/>
    <w:rsid w:val="004F061A"/>
    <w:rsid w:val="004F4491"/>
    <w:rsid w:val="005000F5"/>
    <w:rsid w:val="0051197B"/>
    <w:rsid w:val="005173CF"/>
    <w:rsid w:val="00525666"/>
    <w:rsid w:val="00540AFD"/>
    <w:rsid w:val="00557C90"/>
    <w:rsid w:val="00561359"/>
    <w:rsid w:val="005631C8"/>
    <w:rsid w:val="005701C4"/>
    <w:rsid w:val="00580A2E"/>
    <w:rsid w:val="0058678D"/>
    <w:rsid w:val="00587FD1"/>
    <w:rsid w:val="005A1DB6"/>
    <w:rsid w:val="005C3229"/>
    <w:rsid w:val="005C7F1E"/>
    <w:rsid w:val="005D4FDF"/>
    <w:rsid w:val="005F442D"/>
    <w:rsid w:val="006007A4"/>
    <w:rsid w:val="00613D24"/>
    <w:rsid w:val="00640787"/>
    <w:rsid w:val="006407DD"/>
    <w:rsid w:val="006461ED"/>
    <w:rsid w:val="0065418E"/>
    <w:rsid w:val="00673449"/>
    <w:rsid w:val="00676230"/>
    <w:rsid w:val="006853B3"/>
    <w:rsid w:val="00685760"/>
    <w:rsid w:val="00685F04"/>
    <w:rsid w:val="006A3F5E"/>
    <w:rsid w:val="006A4E40"/>
    <w:rsid w:val="006A6517"/>
    <w:rsid w:val="006B1961"/>
    <w:rsid w:val="006B4F38"/>
    <w:rsid w:val="006C6A66"/>
    <w:rsid w:val="006D488A"/>
    <w:rsid w:val="006E1684"/>
    <w:rsid w:val="006E3768"/>
    <w:rsid w:val="0070524A"/>
    <w:rsid w:val="00714E42"/>
    <w:rsid w:val="00731C7C"/>
    <w:rsid w:val="0073272E"/>
    <w:rsid w:val="00732BC0"/>
    <w:rsid w:val="00733E0F"/>
    <w:rsid w:val="00740B6D"/>
    <w:rsid w:val="00747E22"/>
    <w:rsid w:val="007518FD"/>
    <w:rsid w:val="007572E9"/>
    <w:rsid w:val="00762060"/>
    <w:rsid w:val="00790783"/>
    <w:rsid w:val="0079477F"/>
    <w:rsid w:val="007A6C56"/>
    <w:rsid w:val="007B1131"/>
    <w:rsid w:val="007B39E9"/>
    <w:rsid w:val="007B7ED8"/>
    <w:rsid w:val="007C597B"/>
    <w:rsid w:val="007E382B"/>
    <w:rsid w:val="007E3D24"/>
    <w:rsid w:val="00803217"/>
    <w:rsid w:val="008036E7"/>
    <w:rsid w:val="00803730"/>
    <w:rsid w:val="00803879"/>
    <w:rsid w:val="00826869"/>
    <w:rsid w:val="00840A09"/>
    <w:rsid w:val="00841B0E"/>
    <w:rsid w:val="00850A45"/>
    <w:rsid w:val="008652BC"/>
    <w:rsid w:val="00866A4D"/>
    <w:rsid w:val="00871530"/>
    <w:rsid w:val="00893F47"/>
    <w:rsid w:val="008A0F6C"/>
    <w:rsid w:val="008B7A51"/>
    <w:rsid w:val="008D1B19"/>
    <w:rsid w:val="0090367F"/>
    <w:rsid w:val="00912875"/>
    <w:rsid w:val="0092013B"/>
    <w:rsid w:val="009261E2"/>
    <w:rsid w:val="00931244"/>
    <w:rsid w:val="009363AD"/>
    <w:rsid w:val="009363E6"/>
    <w:rsid w:val="00954E20"/>
    <w:rsid w:val="00964C62"/>
    <w:rsid w:val="00970941"/>
    <w:rsid w:val="00975D0F"/>
    <w:rsid w:val="00985EE9"/>
    <w:rsid w:val="00996958"/>
    <w:rsid w:val="009978DE"/>
    <w:rsid w:val="009A6D5C"/>
    <w:rsid w:val="009A7CED"/>
    <w:rsid w:val="009B0A86"/>
    <w:rsid w:val="009C2C05"/>
    <w:rsid w:val="009F6931"/>
    <w:rsid w:val="00A06F98"/>
    <w:rsid w:val="00A125A9"/>
    <w:rsid w:val="00A133CC"/>
    <w:rsid w:val="00A208BC"/>
    <w:rsid w:val="00A271BF"/>
    <w:rsid w:val="00A37092"/>
    <w:rsid w:val="00A423CC"/>
    <w:rsid w:val="00A4435A"/>
    <w:rsid w:val="00A464B0"/>
    <w:rsid w:val="00A5581A"/>
    <w:rsid w:val="00A60087"/>
    <w:rsid w:val="00A65231"/>
    <w:rsid w:val="00A85413"/>
    <w:rsid w:val="00A85DC9"/>
    <w:rsid w:val="00A91B24"/>
    <w:rsid w:val="00A94EE7"/>
    <w:rsid w:val="00AB1AD3"/>
    <w:rsid w:val="00AC0A37"/>
    <w:rsid w:val="00AC5A6A"/>
    <w:rsid w:val="00AC6F31"/>
    <w:rsid w:val="00AC704A"/>
    <w:rsid w:val="00AC74ED"/>
    <w:rsid w:val="00AD36B4"/>
    <w:rsid w:val="00AE31D9"/>
    <w:rsid w:val="00AE6A0B"/>
    <w:rsid w:val="00AF08BF"/>
    <w:rsid w:val="00AF0F2A"/>
    <w:rsid w:val="00B07E72"/>
    <w:rsid w:val="00B34363"/>
    <w:rsid w:val="00B42A42"/>
    <w:rsid w:val="00B44EA1"/>
    <w:rsid w:val="00B6265F"/>
    <w:rsid w:val="00B64F8C"/>
    <w:rsid w:val="00B71B8C"/>
    <w:rsid w:val="00B771B5"/>
    <w:rsid w:val="00B77AC4"/>
    <w:rsid w:val="00B90050"/>
    <w:rsid w:val="00B93CB9"/>
    <w:rsid w:val="00BA7DB9"/>
    <w:rsid w:val="00BB61C6"/>
    <w:rsid w:val="00BC6AC9"/>
    <w:rsid w:val="00BD48E5"/>
    <w:rsid w:val="00BE6FA1"/>
    <w:rsid w:val="00BF127B"/>
    <w:rsid w:val="00BF2A00"/>
    <w:rsid w:val="00C02067"/>
    <w:rsid w:val="00C10BC5"/>
    <w:rsid w:val="00C132A0"/>
    <w:rsid w:val="00C31DFF"/>
    <w:rsid w:val="00C61809"/>
    <w:rsid w:val="00C63B25"/>
    <w:rsid w:val="00C72CF5"/>
    <w:rsid w:val="00C778D5"/>
    <w:rsid w:val="00C86F65"/>
    <w:rsid w:val="00C9455E"/>
    <w:rsid w:val="00CB180B"/>
    <w:rsid w:val="00CB56DA"/>
    <w:rsid w:val="00CC717F"/>
    <w:rsid w:val="00CF2D40"/>
    <w:rsid w:val="00CF6C41"/>
    <w:rsid w:val="00D0696E"/>
    <w:rsid w:val="00D10449"/>
    <w:rsid w:val="00D1732E"/>
    <w:rsid w:val="00D34FAD"/>
    <w:rsid w:val="00D51658"/>
    <w:rsid w:val="00D7039D"/>
    <w:rsid w:val="00DA01FE"/>
    <w:rsid w:val="00DC299D"/>
    <w:rsid w:val="00DD1F56"/>
    <w:rsid w:val="00DD3C7C"/>
    <w:rsid w:val="00DE061F"/>
    <w:rsid w:val="00DE1F7A"/>
    <w:rsid w:val="00DE771F"/>
    <w:rsid w:val="00DF2AFB"/>
    <w:rsid w:val="00DF3C05"/>
    <w:rsid w:val="00E13FCE"/>
    <w:rsid w:val="00E30E5C"/>
    <w:rsid w:val="00E35FF7"/>
    <w:rsid w:val="00E374E5"/>
    <w:rsid w:val="00E408F6"/>
    <w:rsid w:val="00E6558E"/>
    <w:rsid w:val="00E656FC"/>
    <w:rsid w:val="00E70716"/>
    <w:rsid w:val="00E74F57"/>
    <w:rsid w:val="00E82999"/>
    <w:rsid w:val="00E86DF0"/>
    <w:rsid w:val="00EB00E0"/>
    <w:rsid w:val="00EB47E0"/>
    <w:rsid w:val="00EC207D"/>
    <w:rsid w:val="00EC4E9F"/>
    <w:rsid w:val="00ED1B65"/>
    <w:rsid w:val="00EE11C6"/>
    <w:rsid w:val="00EE6130"/>
    <w:rsid w:val="00F06184"/>
    <w:rsid w:val="00F07CF4"/>
    <w:rsid w:val="00F17580"/>
    <w:rsid w:val="00F247C9"/>
    <w:rsid w:val="00F35633"/>
    <w:rsid w:val="00F464EC"/>
    <w:rsid w:val="00F505FB"/>
    <w:rsid w:val="00F53444"/>
    <w:rsid w:val="00F55CD0"/>
    <w:rsid w:val="00F654E4"/>
    <w:rsid w:val="00F667E5"/>
    <w:rsid w:val="00F725A5"/>
    <w:rsid w:val="00F83405"/>
    <w:rsid w:val="00F91B95"/>
    <w:rsid w:val="00FA1753"/>
    <w:rsid w:val="00FB0F60"/>
    <w:rsid w:val="00FB1A15"/>
    <w:rsid w:val="00FB1D17"/>
    <w:rsid w:val="00FE036A"/>
    <w:rsid w:val="00FE259E"/>
    <w:rsid w:val="00FE2BA4"/>
    <w:rsid w:val="00FE3FFE"/>
    <w:rsid w:val="00FF0EB7"/>
    <w:rsid w:val="00FF2931"/>
    <w:rsid w:val="00FF713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2011/MXAD512-08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6/12846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orteidh.or.cr/docs/casos/articulos/seriec_371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C5BE-EF67-4575-8187-CFAE55F2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3462</Words>
  <Characters>19740</Characters>
  <Application>Microsoft Office Word</Application>
  <DocSecurity>0</DocSecurity>
  <Lines>164</Lines>
  <Paragraphs>46</Paragraphs>
  <ScaleCrop>false</ScaleCrop>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2021-02-11T09:46:00Z</dcterms:created>
  <dcterms:modified xsi:type="dcterms:W3CDTF">2021-02-11T09:46:00Z</dcterms:modified>
</cp:coreProperties>
</file>