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31F6F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5FEB5D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52641">
                              <w:rPr>
                                <w:rFonts w:asciiTheme="majorHAnsi" w:hAnsiTheme="majorHAnsi" w:cs="Arial"/>
                                <w:b/>
                                <w:bCs/>
                                <w:color w:val="0D0D0D" w:themeColor="text1" w:themeTint="F2"/>
                                <w:sz w:val="36"/>
                                <w:szCs w:val="22"/>
                                <w:lang w:val="es-ES_tradnl"/>
                              </w:rPr>
                              <w:t>26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7913272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2E09">
                              <w:rPr>
                                <w:rFonts w:asciiTheme="majorHAnsi" w:hAnsiTheme="majorHAnsi" w:cs="Arial"/>
                                <w:b/>
                                <w:color w:val="0D0D0D" w:themeColor="text1" w:themeTint="F2"/>
                                <w:sz w:val="36"/>
                                <w:szCs w:val="22"/>
                                <w:lang w:val="es-ES_tradnl"/>
                              </w:rPr>
                              <w:t>1</w:t>
                            </w:r>
                            <w:r w:rsidR="002B4477">
                              <w:rPr>
                                <w:rFonts w:asciiTheme="majorHAnsi" w:hAnsiTheme="majorHAnsi" w:cs="Arial"/>
                                <w:b/>
                                <w:color w:val="0D0D0D" w:themeColor="text1" w:themeTint="F2"/>
                                <w:sz w:val="36"/>
                                <w:szCs w:val="22"/>
                                <w:lang w:val="es-ES_tradnl"/>
                              </w:rPr>
                              <w:t>787</w:t>
                            </w:r>
                            <w:r w:rsidR="00246D1F" w:rsidRPr="004E2649">
                              <w:rPr>
                                <w:rFonts w:asciiTheme="majorHAnsi" w:hAnsiTheme="majorHAnsi" w:cs="Arial"/>
                                <w:b/>
                                <w:color w:val="0D0D0D" w:themeColor="text1" w:themeTint="F2"/>
                                <w:sz w:val="36"/>
                                <w:szCs w:val="22"/>
                                <w:lang w:val="es-ES_tradnl"/>
                              </w:rPr>
                              <w:t>-</w:t>
                            </w:r>
                            <w:r w:rsidR="002B4477">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34C6EC3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43A610D7" w:rsidR="005B52B0" w:rsidRPr="0010736F" w:rsidRDefault="005A1D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FÉLI</w:t>
                            </w:r>
                            <w:r w:rsidR="004167A8">
                              <w:rPr>
                                <w:rFonts w:asciiTheme="majorHAnsi" w:hAnsiTheme="majorHAnsi" w:cs="Arial"/>
                                <w:color w:val="0D0D0D" w:themeColor="text1" w:themeTint="F2"/>
                                <w:szCs w:val="22"/>
                                <w:lang w:val="es-ES_tradnl"/>
                              </w:rPr>
                              <w:t>X</w:t>
                            </w:r>
                            <w:r>
                              <w:rPr>
                                <w:rFonts w:asciiTheme="majorHAnsi" w:hAnsiTheme="majorHAnsi" w:cs="Arial"/>
                                <w:color w:val="0D0D0D" w:themeColor="text1" w:themeTint="F2"/>
                                <w:szCs w:val="22"/>
                                <w:lang w:val="es-ES_tradnl"/>
                              </w:rPr>
                              <w:t xml:space="preserve"> JULIÁN OLIVARES VALLE</w:t>
                            </w:r>
                          </w:p>
                          <w:bookmarkEnd w:id="0"/>
                          <w:p w14:paraId="35068D0D" w14:textId="5D296CAE" w:rsidR="005B52B0" w:rsidRPr="0010736F" w:rsidRDefault="005A1DD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05FEB5D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752641">
                        <w:rPr>
                          <w:rFonts w:asciiTheme="majorHAnsi" w:hAnsiTheme="majorHAnsi" w:cs="Arial"/>
                          <w:b/>
                          <w:bCs/>
                          <w:color w:val="0D0D0D" w:themeColor="text1" w:themeTint="F2"/>
                          <w:sz w:val="36"/>
                          <w:szCs w:val="22"/>
                          <w:lang w:val="es-ES_tradnl"/>
                        </w:rPr>
                        <w:t>26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401D83">
                        <w:rPr>
                          <w:rFonts w:asciiTheme="majorHAnsi" w:hAnsiTheme="majorHAnsi" w:cs="Arial"/>
                          <w:b/>
                          <w:bCs/>
                          <w:color w:val="0D0D0D" w:themeColor="text1" w:themeTint="F2"/>
                          <w:sz w:val="36"/>
                          <w:szCs w:val="22"/>
                          <w:lang w:val="es-ES_tradnl"/>
                        </w:rPr>
                        <w:t>3</w:t>
                      </w:r>
                    </w:p>
                    <w:p w14:paraId="09C54AB3" w14:textId="79132721"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82E09">
                        <w:rPr>
                          <w:rFonts w:asciiTheme="majorHAnsi" w:hAnsiTheme="majorHAnsi" w:cs="Arial"/>
                          <w:b/>
                          <w:color w:val="0D0D0D" w:themeColor="text1" w:themeTint="F2"/>
                          <w:sz w:val="36"/>
                          <w:szCs w:val="22"/>
                          <w:lang w:val="es-ES_tradnl"/>
                        </w:rPr>
                        <w:t>1</w:t>
                      </w:r>
                      <w:r w:rsidR="002B4477">
                        <w:rPr>
                          <w:rFonts w:asciiTheme="majorHAnsi" w:hAnsiTheme="majorHAnsi" w:cs="Arial"/>
                          <w:b/>
                          <w:color w:val="0D0D0D" w:themeColor="text1" w:themeTint="F2"/>
                          <w:sz w:val="36"/>
                          <w:szCs w:val="22"/>
                          <w:lang w:val="es-ES_tradnl"/>
                        </w:rPr>
                        <w:t>787</w:t>
                      </w:r>
                      <w:r w:rsidR="00246D1F" w:rsidRPr="004E2649">
                        <w:rPr>
                          <w:rFonts w:asciiTheme="majorHAnsi" w:hAnsiTheme="majorHAnsi" w:cs="Arial"/>
                          <w:b/>
                          <w:color w:val="0D0D0D" w:themeColor="text1" w:themeTint="F2"/>
                          <w:sz w:val="36"/>
                          <w:szCs w:val="22"/>
                          <w:lang w:val="es-ES_tradnl"/>
                        </w:rPr>
                        <w:t>-</w:t>
                      </w:r>
                      <w:r w:rsidR="002B4477">
                        <w:rPr>
                          <w:rFonts w:asciiTheme="majorHAnsi" w:hAnsiTheme="majorHAnsi" w:cs="Arial"/>
                          <w:b/>
                          <w:color w:val="0D0D0D" w:themeColor="text1" w:themeTint="F2"/>
                          <w:sz w:val="36"/>
                          <w:szCs w:val="22"/>
                          <w:lang w:val="es-ES_tradnl"/>
                        </w:rPr>
                        <w:t>10</w:t>
                      </w:r>
                      <w:r w:rsidR="00246D1F" w:rsidRPr="004E2649">
                        <w:rPr>
                          <w:rFonts w:asciiTheme="majorHAnsi" w:hAnsiTheme="majorHAnsi" w:cs="Arial"/>
                          <w:b/>
                          <w:color w:val="0D0D0D" w:themeColor="text1" w:themeTint="F2"/>
                          <w:sz w:val="36"/>
                          <w:szCs w:val="22"/>
                          <w:lang w:val="es-ES_tradnl"/>
                        </w:rPr>
                        <w:t xml:space="preserve"> </w:t>
                      </w:r>
                    </w:p>
                    <w:p w14:paraId="70CF6833" w14:textId="34C6EC3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43A610D7" w:rsidR="005B52B0" w:rsidRPr="0010736F" w:rsidRDefault="005A1D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FÉLI</w:t>
                      </w:r>
                      <w:r w:rsidR="004167A8">
                        <w:rPr>
                          <w:rFonts w:asciiTheme="majorHAnsi" w:hAnsiTheme="majorHAnsi" w:cs="Arial"/>
                          <w:color w:val="0D0D0D" w:themeColor="text1" w:themeTint="F2"/>
                          <w:szCs w:val="22"/>
                          <w:lang w:val="es-ES_tradnl"/>
                        </w:rPr>
                        <w:t>X</w:t>
                      </w:r>
                      <w:r>
                        <w:rPr>
                          <w:rFonts w:asciiTheme="majorHAnsi" w:hAnsiTheme="majorHAnsi" w:cs="Arial"/>
                          <w:color w:val="0D0D0D" w:themeColor="text1" w:themeTint="F2"/>
                          <w:szCs w:val="22"/>
                          <w:lang w:val="es-ES_tradnl"/>
                        </w:rPr>
                        <w:t xml:space="preserve"> JULIÁN OLIVARES VALLE</w:t>
                      </w:r>
                    </w:p>
                    <w:bookmarkEnd w:id="1"/>
                    <w:p w14:paraId="35068D0D" w14:textId="5D296CAE" w:rsidR="005B52B0" w:rsidRPr="0010736F" w:rsidRDefault="005A1DD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03359E4" w:rsidR="00627C9F" w:rsidRPr="008B6BD7" w:rsidRDefault="00834D49" w:rsidP="007A5817">
                            <w:pPr>
                              <w:spacing w:line="276" w:lineRule="auto"/>
                              <w:jc w:val="right"/>
                              <w:rPr>
                                <w:rFonts w:asciiTheme="minorHAnsi" w:hAnsiTheme="minorHAnsi"/>
                                <w:color w:val="FFFFFF" w:themeColor="background1"/>
                                <w:sz w:val="22"/>
                                <w:lang w:val="es-ES"/>
                              </w:rPr>
                            </w:pPr>
                            <w:r w:rsidRPr="008B6BD7">
                              <w:rPr>
                                <w:rFonts w:asciiTheme="minorHAnsi" w:hAnsiTheme="minorHAnsi"/>
                                <w:color w:val="FFFFFF" w:themeColor="background1"/>
                                <w:sz w:val="22"/>
                                <w:lang w:val="es-ES"/>
                              </w:rPr>
                              <w:t>OEA/Ser.L/V/II</w:t>
                            </w:r>
                          </w:p>
                          <w:p w14:paraId="6A41611B" w14:textId="18DA7FB9" w:rsidR="00627C9F" w:rsidRPr="008B6BD7" w:rsidRDefault="00627C9F" w:rsidP="007A5817">
                            <w:pPr>
                              <w:spacing w:line="276" w:lineRule="auto"/>
                              <w:jc w:val="right"/>
                              <w:rPr>
                                <w:rFonts w:asciiTheme="minorHAnsi" w:hAnsiTheme="minorHAnsi"/>
                                <w:color w:val="FFFFFF" w:themeColor="background1"/>
                                <w:sz w:val="22"/>
                                <w:lang w:val="es-ES"/>
                              </w:rPr>
                            </w:pPr>
                            <w:r w:rsidRPr="008B6BD7">
                              <w:rPr>
                                <w:rFonts w:asciiTheme="minorHAnsi" w:hAnsiTheme="minorHAnsi"/>
                                <w:color w:val="FFFFFF" w:themeColor="background1"/>
                                <w:sz w:val="22"/>
                                <w:lang w:val="es-ES"/>
                              </w:rPr>
                              <w:t xml:space="preserve">Doc. </w:t>
                            </w:r>
                            <w:r w:rsidR="00752641" w:rsidRPr="008B6BD7">
                              <w:rPr>
                                <w:rFonts w:asciiTheme="minorHAnsi" w:hAnsiTheme="minorHAnsi"/>
                                <w:color w:val="FFFFFF" w:themeColor="background1"/>
                                <w:sz w:val="22"/>
                                <w:lang w:val="es-ES"/>
                              </w:rPr>
                              <w:t>28</w:t>
                            </w:r>
                          </w:p>
                          <w:p w14:paraId="69373ED2" w14:textId="583E98C1" w:rsidR="00627C9F" w:rsidRPr="00C25ADB" w:rsidRDefault="0075264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103359E4" w:rsidR="00627C9F" w:rsidRPr="008B6BD7" w:rsidRDefault="00834D49" w:rsidP="007A5817">
                      <w:pPr>
                        <w:spacing w:line="276" w:lineRule="auto"/>
                        <w:jc w:val="right"/>
                        <w:rPr>
                          <w:rFonts w:asciiTheme="minorHAnsi" w:hAnsiTheme="minorHAnsi"/>
                          <w:color w:val="FFFFFF" w:themeColor="background1"/>
                          <w:sz w:val="22"/>
                          <w:lang w:val="es-ES"/>
                        </w:rPr>
                      </w:pPr>
                      <w:r w:rsidRPr="008B6BD7">
                        <w:rPr>
                          <w:rFonts w:asciiTheme="minorHAnsi" w:hAnsiTheme="minorHAnsi"/>
                          <w:color w:val="FFFFFF" w:themeColor="background1"/>
                          <w:sz w:val="22"/>
                          <w:lang w:val="es-ES"/>
                        </w:rPr>
                        <w:t>OEA/Ser.L/V/II</w:t>
                      </w:r>
                    </w:p>
                    <w:p w14:paraId="6A41611B" w14:textId="18DA7FB9" w:rsidR="00627C9F" w:rsidRPr="008B6BD7" w:rsidRDefault="00627C9F" w:rsidP="007A5817">
                      <w:pPr>
                        <w:spacing w:line="276" w:lineRule="auto"/>
                        <w:jc w:val="right"/>
                        <w:rPr>
                          <w:rFonts w:asciiTheme="minorHAnsi" w:hAnsiTheme="minorHAnsi"/>
                          <w:color w:val="FFFFFF" w:themeColor="background1"/>
                          <w:sz w:val="22"/>
                          <w:lang w:val="es-ES"/>
                        </w:rPr>
                      </w:pPr>
                      <w:r w:rsidRPr="008B6BD7">
                        <w:rPr>
                          <w:rFonts w:asciiTheme="minorHAnsi" w:hAnsiTheme="minorHAnsi"/>
                          <w:color w:val="FFFFFF" w:themeColor="background1"/>
                          <w:sz w:val="22"/>
                          <w:lang w:val="es-ES"/>
                        </w:rPr>
                        <w:t xml:space="preserve">Doc. </w:t>
                      </w:r>
                      <w:r w:rsidR="00752641" w:rsidRPr="008B6BD7">
                        <w:rPr>
                          <w:rFonts w:asciiTheme="minorHAnsi" w:hAnsiTheme="minorHAnsi"/>
                          <w:color w:val="FFFFFF" w:themeColor="background1"/>
                          <w:sz w:val="22"/>
                          <w:lang w:val="es-ES"/>
                        </w:rPr>
                        <w:t>28</w:t>
                      </w:r>
                    </w:p>
                    <w:p w14:paraId="69373ED2" w14:textId="583E98C1" w:rsidR="00627C9F" w:rsidRPr="00C25ADB" w:rsidRDefault="00752641"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febrero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w:t>
                      </w:r>
                      <w:r w:rsidR="00401D83">
                        <w:rPr>
                          <w:rFonts w:asciiTheme="minorHAnsi" w:hAnsiTheme="minorHAnsi"/>
                          <w:color w:val="FFFFFF" w:themeColor="background1"/>
                          <w:sz w:val="22"/>
                          <w:lang w:val="es-PA"/>
                        </w:rPr>
                        <w:t>3</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0247507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517ED">
                              <w:rPr>
                                <w:rFonts w:asciiTheme="majorHAnsi" w:hAnsiTheme="majorHAnsi"/>
                                <w:color w:val="0D0D0D" w:themeColor="text1" w:themeTint="F2"/>
                                <w:sz w:val="18"/>
                                <w:szCs w:val="22"/>
                                <w:lang w:val="es-ES"/>
                              </w:rPr>
                              <w:t>24 de 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C517E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2944B4F7" w14:textId="0247507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517ED">
                        <w:rPr>
                          <w:rFonts w:asciiTheme="majorHAnsi" w:hAnsiTheme="majorHAnsi"/>
                          <w:color w:val="0D0D0D" w:themeColor="text1" w:themeTint="F2"/>
                          <w:sz w:val="18"/>
                          <w:szCs w:val="22"/>
                          <w:lang w:val="es-ES"/>
                        </w:rPr>
                        <w:t>24 de 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01D83">
                        <w:rPr>
                          <w:rFonts w:asciiTheme="majorHAnsi" w:hAnsiTheme="majorHAnsi"/>
                          <w:color w:val="0D0D0D" w:themeColor="text1" w:themeTint="F2"/>
                          <w:sz w:val="18"/>
                          <w:szCs w:val="22"/>
                          <w:lang w:val="es-ES"/>
                        </w:rPr>
                        <w:t>3</w:t>
                      </w:r>
                      <w:r w:rsidR="00C517ED">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D1092" w14:textId="77777777" w:rsidR="00B30F6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31F3D" w:rsidRPr="00C517ED">
                              <w:rPr>
                                <w:rFonts w:asciiTheme="majorHAnsi" w:hAnsiTheme="majorHAnsi"/>
                                <w:color w:val="595959" w:themeColor="text1" w:themeTint="A6"/>
                                <w:sz w:val="18"/>
                                <w:szCs w:val="18"/>
                                <w:lang w:val="pt-BR"/>
                              </w:rPr>
                              <w:t>26</w:t>
                            </w:r>
                            <w:r w:rsidR="007B05C4" w:rsidRPr="00C517ED">
                              <w:rPr>
                                <w:rFonts w:asciiTheme="majorHAnsi" w:hAnsiTheme="majorHAnsi"/>
                                <w:color w:val="595959" w:themeColor="text1" w:themeTint="A6"/>
                                <w:sz w:val="18"/>
                                <w:szCs w:val="18"/>
                                <w:lang w:val="pt-BR"/>
                              </w:rPr>
                              <w:t>/</w:t>
                            </w:r>
                            <w:r w:rsidR="00031F3D" w:rsidRPr="00C517ED">
                              <w:rPr>
                                <w:rFonts w:asciiTheme="majorHAnsi" w:hAnsiTheme="majorHAnsi"/>
                                <w:color w:val="595959" w:themeColor="text1" w:themeTint="A6"/>
                                <w:sz w:val="18"/>
                                <w:szCs w:val="18"/>
                                <w:lang w:val="pt-BR"/>
                              </w:rPr>
                              <w:t>23</w:t>
                            </w:r>
                            <w:r w:rsidRPr="00C517E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167A8">
                              <w:rPr>
                                <w:rFonts w:asciiTheme="majorHAnsi" w:hAnsiTheme="majorHAnsi"/>
                                <w:color w:val="595959" w:themeColor="text1" w:themeTint="A6"/>
                                <w:sz w:val="18"/>
                                <w:szCs w:val="18"/>
                                <w:lang w:val="es-ES"/>
                              </w:rPr>
                              <w:t>1787</w:t>
                            </w:r>
                            <w:r w:rsidR="000433C9">
                              <w:rPr>
                                <w:rFonts w:asciiTheme="majorHAnsi" w:hAnsiTheme="majorHAnsi"/>
                                <w:color w:val="595959" w:themeColor="text1" w:themeTint="A6"/>
                                <w:sz w:val="18"/>
                                <w:szCs w:val="18"/>
                                <w:lang w:val="es-ES"/>
                              </w:rPr>
                              <w:t>-</w:t>
                            </w:r>
                            <w:r w:rsidR="004167A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038E15F5" w:rsidR="00113F73" w:rsidRPr="007B05C4" w:rsidRDefault="004167A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Félix Julián Olivares Valle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7C0236">
                              <w:rPr>
                                <w:rFonts w:asciiTheme="majorHAnsi" w:hAnsiTheme="majorHAnsi"/>
                                <w:color w:val="595959" w:themeColor="text1" w:themeTint="A6"/>
                                <w:sz w:val="18"/>
                                <w:szCs w:val="18"/>
                                <w:lang w:val="es-ES"/>
                              </w:rPr>
                              <w:t>24 de febrero de 2023</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CED1092" w14:textId="77777777" w:rsidR="00B30F63"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31F3D" w:rsidRPr="00C517ED">
                        <w:rPr>
                          <w:rFonts w:asciiTheme="majorHAnsi" w:hAnsiTheme="majorHAnsi"/>
                          <w:color w:val="595959" w:themeColor="text1" w:themeTint="A6"/>
                          <w:sz w:val="18"/>
                          <w:szCs w:val="18"/>
                          <w:lang w:val="pt-BR"/>
                        </w:rPr>
                        <w:t>26</w:t>
                      </w:r>
                      <w:r w:rsidR="007B05C4" w:rsidRPr="00C517ED">
                        <w:rPr>
                          <w:rFonts w:asciiTheme="majorHAnsi" w:hAnsiTheme="majorHAnsi"/>
                          <w:color w:val="595959" w:themeColor="text1" w:themeTint="A6"/>
                          <w:sz w:val="18"/>
                          <w:szCs w:val="18"/>
                          <w:lang w:val="pt-BR"/>
                        </w:rPr>
                        <w:t>/</w:t>
                      </w:r>
                      <w:r w:rsidR="00031F3D" w:rsidRPr="00C517ED">
                        <w:rPr>
                          <w:rFonts w:asciiTheme="majorHAnsi" w:hAnsiTheme="majorHAnsi"/>
                          <w:color w:val="595959" w:themeColor="text1" w:themeTint="A6"/>
                          <w:sz w:val="18"/>
                          <w:szCs w:val="18"/>
                          <w:lang w:val="pt-BR"/>
                        </w:rPr>
                        <w:t>23</w:t>
                      </w:r>
                      <w:r w:rsidRPr="00C517E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167A8">
                        <w:rPr>
                          <w:rFonts w:asciiTheme="majorHAnsi" w:hAnsiTheme="majorHAnsi"/>
                          <w:color w:val="595959" w:themeColor="text1" w:themeTint="A6"/>
                          <w:sz w:val="18"/>
                          <w:szCs w:val="18"/>
                          <w:lang w:val="es-ES"/>
                        </w:rPr>
                        <w:t>1787</w:t>
                      </w:r>
                      <w:r w:rsidR="000433C9">
                        <w:rPr>
                          <w:rFonts w:asciiTheme="majorHAnsi" w:hAnsiTheme="majorHAnsi"/>
                          <w:color w:val="595959" w:themeColor="text1" w:themeTint="A6"/>
                          <w:sz w:val="18"/>
                          <w:szCs w:val="18"/>
                          <w:lang w:val="es-ES"/>
                        </w:rPr>
                        <w:t>-</w:t>
                      </w:r>
                      <w:r w:rsidR="004167A8">
                        <w:rPr>
                          <w:rFonts w:asciiTheme="majorHAnsi" w:hAnsiTheme="majorHAnsi"/>
                          <w:color w:val="595959" w:themeColor="text1" w:themeTint="A6"/>
                          <w:sz w:val="18"/>
                          <w:szCs w:val="18"/>
                          <w:lang w:val="es-ES"/>
                        </w:rPr>
                        <w:t>10</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Inadmisibilidad. </w:t>
                      </w:r>
                    </w:p>
                    <w:p w14:paraId="0D1B22CF" w14:textId="038E15F5" w:rsidR="00113F73" w:rsidRPr="007B05C4" w:rsidRDefault="004167A8"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Félix Julián Olivares Valle</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7C0236">
                        <w:rPr>
                          <w:rFonts w:asciiTheme="majorHAnsi" w:hAnsiTheme="majorHAnsi"/>
                          <w:color w:val="595959" w:themeColor="text1" w:themeTint="A6"/>
                          <w:sz w:val="18"/>
                          <w:szCs w:val="18"/>
                          <w:lang w:val="es-ES"/>
                        </w:rPr>
                        <w:t>24 de febrero de 2023</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lang w:val="es-419" w:eastAsia="es-419"/>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5F48F428" w:rsidR="00D72DC6" w:rsidRPr="00D72DC6" w:rsidRDefault="00B30F63" w:rsidP="00F02AD1">
                            <w:pPr>
                              <w:rPr>
                                <w:color w:val="FFFFFF" w:themeColor="background1"/>
                                <w14:textFill>
                                  <w14:noFill/>
                                </w14:textFill>
                              </w:rPr>
                            </w:pPr>
                            <w:r>
                              <w:rPr>
                                <w:noProof/>
                                <w:color w:val="FFFFFF" w:themeColor="background1"/>
                              </w:rPr>
                              <w:drawing>
                                <wp:inline distT="0" distB="0" distL="0" distR="0" wp14:anchorId="0CCB9A1F" wp14:editId="79E446D7">
                                  <wp:extent cx="1824355" cy="469265"/>
                                  <wp:effectExtent l="0" t="0" r="4445"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A1ECD3C" w14:textId="5F48F428" w:rsidR="00D72DC6" w:rsidRPr="00D72DC6" w:rsidRDefault="00B30F63" w:rsidP="00F02AD1">
                      <w:pPr>
                        <w:rPr>
                          <w:color w:val="FFFFFF" w:themeColor="background1"/>
                          <w14:textFill>
                            <w14:noFill/>
                          </w14:textFill>
                        </w:rPr>
                      </w:pPr>
                      <w:r>
                        <w:rPr>
                          <w:noProof/>
                          <w:color w:val="FFFFFF" w:themeColor="background1"/>
                        </w:rPr>
                        <w:drawing>
                          <wp:inline distT="0" distB="0" distL="0" distR="0" wp14:anchorId="0CCB9A1F" wp14:editId="79E446D7">
                            <wp:extent cx="1824355" cy="469265"/>
                            <wp:effectExtent l="0" t="0" r="4445" b="6985"/>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lang w:val="es-419" w:eastAsia="es-419"/>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5212"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2446A546" w:rsidR="003239B8" w:rsidRPr="006128CC" w:rsidRDefault="006128CC" w:rsidP="008D2290">
            <w:pPr>
              <w:jc w:val="both"/>
              <w:rPr>
                <w:rFonts w:ascii="Cambria" w:hAnsi="Cambria"/>
                <w:bCs/>
                <w:sz w:val="20"/>
                <w:szCs w:val="20"/>
                <w:lang w:val="es-US"/>
              </w:rPr>
            </w:pPr>
            <w:r w:rsidRPr="006128CC">
              <w:rPr>
                <w:rFonts w:ascii="Cambria" w:hAnsi="Cambria"/>
                <w:bCs/>
                <w:sz w:val="20"/>
                <w:szCs w:val="20"/>
                <w:lang w:val="es-US"/>
              </w:rPr>
              <w:t>Aleph Assereto Mundaca, Héctor Williams Olivares Mundaca y Marco</w:t>
            </w:r>
            <w:r>
              <w:rPr>
                <w:rFonts w:ascii="Cambria" w:hAnsi="Cambria"/>
                <w:bCs/>
                <w:sz w:val="20"/>
                <w:szCs w:val="20"/>
                <w:lang w:val="es-US"/>
              </w:rPr>
              <w:t xml:space="preserve"> Ríos</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A45941"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23A52B3F" w:rsidR="003239B8" w:rsidRPr="00684BFC" w:rsidRDefault="006128CC" w:rsidP="00684BFC">
            <w:r>
              <w:rPr>
                <w:rFonts w:ascii="Cambria" w:hAnsi="Cambria"/>
                <w:bCs/>
                <w:sz w:val="20"/>
                <w:szCs w:val="20"/>
              </w:rPr>
              <w:t>Féli</w:t>
            </w:r>
            <w:r w:rsidR="004167A8">
              <w:rPr>
                <w:rFonts w:ascii="Cambria" w:hAnsi="Cambria"/>
                <w:bCs/>
                <w:sz w:val="20"/>
                <w:szCs w:val="20"/>
              </w:rPr>
              <w:t>x</w:t>
            </w:r>
            <w:r>
              <w:rPr>
                <w:rFonts w:ascii="Cambria" w:hAnsi="Cambria"/>
                <w:bCs/>
                <w:sz w:val="20"/>
                <w:szCs w:val="20"/>
              </w:rPr>
              <w:t xml:space="preserve"> Julián Olivares Valle</w:t>
            </w:r>
            <w:r w:rsidR="00684BFC">
              <w:t xml:space="preserve"> </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94ED4A6" w:rsidR="003239B8" w:rsidRPr="000D05CB" w:rsidRDefault="004167A8" w:rsidP="008D2290">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2"/>
            </w:r>
          </w:p>
        </w:tc>
      </w:tr>
      <w:tr w:rsidR="00223A29" w:rsidRPr="00D15212"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21E0349B" w:rsidR="00223A29" w:rsidRPr="00406D7B" w:rsidRDefault="00183459" w:rsidP="008D2290">
            <w:pPr>
              <w:jc w:val="both"/>
              <w:rPr>
                <w:rFonts w:ascii="Cambria" w:hAnsi="Cambria"/>
                <w:bCs/>
                <w:sz w:val="20"/>
                <w:szCs w:val="20"/>
                <w:lang w:val="es-US"/>
              </w:rPr>
            </w:pPr>
            <w:r>
              <w:rPr>
                <w:rFonts w:ascii="Cambria" w:hAnsi="Cambria"/>
                <w:bCs/>
                <w:sz w:val="20"/>
                <w:szCs w:val="20"/>
                <w:lang w:val="es-ES"/>
              </w:rPr>
              <w:t>Artículos 8 (garantías judiciales), 9 (principio de legalidad y retroactividad), 11 (protección de la honr</w:t>
            </w:r>
            <w:r w:rsidR="001B630C">
              <w:rPr>
                <w:rFonts w:ascii="Cambria" w:hAnsi="Cambria"/>
                <w:bCs/>
                <w:sz w:val="20"/>
                <w:szCs w:val="20"/>
                <w:lang w:val="es-ES"/>
              </w:rPr>
              <w:t>a</w:t>
            </w:r>
            <w:r>
              <w:rPr>
                <w:rFonts w:ascii="Cambria" w:hAnsi="Cambria"/>
                <w:bCs/>
                <w:sz w:val="20"/>
                <w:szCs w:val="20"/>
                <w:lang w:val="es-ES"/>
              </w:rPr>
              <w:t xml:space="preserve"> y de la dignidad), 21 (derecho a la propiedad privada) y 24 (igualdad ante la ley) </w:t>
            </w:r>
            <w:r w:rsidR="00406D7B">
              <w:rPr>
                <w:rFonts w:ascii="Cambria" w:hAnsi="Cambria"/>
                <w:bCs/>
                <w:sz w:val="20"/>
                <w:szCs w:val="20"/>
                <w:lang w:val="es-ES"/>
              </w:rPr>
              <w:t>de la Convención Americana sobre Derechos Humanos</w:t>
            </w:r>
            <w:r w:rsidR="006128CC">
              <w:rPr>
                <w:rStyle w:val="FootnoteReference"/>
                <w:rFonts w:ascii="Cambria" w:hAnsi="Cambria"/>
                <w:bCs/>
                <w:sz w:val="20"/>
                <w:szCs w:val="20"/>
                <w:lang w:val="es-ES"/>
              </w:rPr>
              <w:footnoteReference w:id="3"/>
            </w:r>
            <w:r>
              <w:rPr>
                <w:rFonts w:ascii="Cambria" w:hAnsi="Cambria"/>
                <w:bCs/>
                <w:sz w:val="20"/>
                <w:szCs w:val="20"/>
                <w:lang w:val="es-ES"/>
              </w:rPr>
              <w:t>; los artículos 4 y 7 del Protocolo Adicional a la Convención Americana sobre Derechos Humanos en mater</w:t>
            </w:r>
            <w:r w:rsidR="00D15212">
              <w:rPr>
                <w:rFonts w:ascii="Cambria" w:hAnsi="Cambria"/>
                <w:bCs/>
                <w:sz w:val="20"/>
                <w:szCs w:val="20"/>
                <w:lang w:val="es-ES"/>
              </w:rPr>
              <w:t>i</w:t>
            </w:r>
            <w:r>
              <w:rPr>
                <w:rFonts w:ascii="Cambria" w:hAnsi="Cambria"/>
                <w:bCs/>
                <w:sz w:val="20"/>
                <w:szCs w:val="20"/>
                <w:lang w:val="es-ES"/>
              </w:rPr>
              <w:t>a de Derechos Económicos, Sociales y Culturales</w:t>
            </w:r>
            <w:r>
              <w:rPr>
                <w:rStyle w:val="FootnoteReference"/>
                <w:rFonts w:ascii="Cambria" w:hAnsi="Cambria"/>
                <w:bCs/>
                <w:sz w:val="20"/>
                <w:szCs w:val="20"/>
                <w:lang w:val="es-ES"/>
              </w:rPr>
              <w:footnoteReference w:id="4"/>
            </w:r>
            <w:r w:rsidR="00DE7E94">
              <w:rPr>
                <w:rFonts w:ascii="Cambria" w:hAnsi="Cambria"/>
                <w:bCs/>
                <w:sz w:val="20"/>
                <w:szCs w:val="20"/>
                <w:lang w:val="es-ES"/>
              </w:rPr>
              <w:t>; y el artículo 7 del Pacto Internacional de Derechos Económicos Sociales y Culturales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62EE1D2" w:rsidR="004C2312" w:rsidRPr="003239B8" w:rsidRDefault="006128CC" w:rsidP="002625EA">
            <w:pPr>
              <w:jc w:val="both"/>
              <w:rPr>
                <w:rFonts w:ascii="Cambria" w:hAnsi="Cambria"/>
                <w:bCs/>
                <w:sz w:val="20"/>
                <w:szCs w:val="20"/>
                <w:lang w:val="es-ES"/>
              </w:rPr>
            </w:pPr>
            <w:r>
              <w:rPr>
                <w:rFonts w:ascii="Cambria" w:hAnsi="Cambria"/>
                <w:bCs/>
                <w:sz w:val="20"/>
                <w:szCs w:val="20"/>
                <w:lang w:val="es-ES"/>
              </w:rPr>
              <w:t>15 de diciembre de 2010</w:t>
            </w:r>
          </w:p>
        </w:tc>
      </w:tr>
      <w:tr w:rsidR="00131425" w:rsidRPr="00D15212"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10EC318B" w:rsidR="00131425" w:rsidRPr="003239B8" w:rsidRDefault="006128CC" w:rsidP="002625EA">
            <w:pPr>
              <w:jc w:val="both"/>
              <w:rPr>
                <w:rFonts w:ascii="Cambria" w:hAnsi="Cambria"/>
                <w:bCs/>
                <w:sz w:val="20"/>
                <w:szCs w:val="20"/>
                <w:lang w:val="es-ES"/>
              </w:rPr>
            </w:pPr>
            <w:r>
              <w:rPr>
                <w:rFonts w:ascii="Cambria" w:hAnsi="Cambria"/>
                <w:bCs/>
                <w:sz w:val="20"/>
                <w:szCs w:val="20"/>
                <w:lang w:val="es-ES"/>
              </w:rPr>
              <w:t>2 de marzo de 2013, 25 de marzo de 2013</w:t>
            </w:r>
            <w:r w:rsidR="00823440">
              <w:rPr>
                <w:rFonts w:ascii="Cambria" w:hAnsi="Cambria"/>
                <w:bCs/>
                <w:sz w:val="20"/>
                <w:szCs w:val="20"/>
                <w:lang w:val="es-ES"/>
              </w:rPr>
              <w:t xml:space="preserve">, </w:t>
            </w:r>
            <w:r>
              <w:rPr>
                <w:rFonts w:ascii="Cambria" w:hAnsi="Cambria"/>
                <w:bCs/>
                <w:sz w:val="20"/>
                <w:szCs w:val="20"/>
                <w:lang w:val="es-ES"/>
              </w:rPr>
              <w:t>11 de febrero de 2021</w:t>
            </w:r>
            <w:r w:rsidR="00823440">
              <w:rPr>
                <w:rFonts w:ascii="Cambria" w:hAnsi="Cambria"/>
                <w:bCs/>
                <w:sz w:val="20"/>
                <w:szCs w:val="20"/>
                <w:lang w:val="es-ES"/>
              </w:rPr>
              <w:t xml:space="preserve"> y 5 de mayo de 2022</w:t>
            </w:r>
          </w:p>
        </w:tc>
      </w:tr>
      <w:tr w:rsidR="004C2312" w:rsidRPr="005A1DD8"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D98BE1F" w:rsidR="004C2312" w:rsidRPr="003239B8" w:rsidRDefault="006128CC" w:rsidP="008D2290">
            <w:pPr>
              <w:jc w:val="both"/>
              <w:rPr>
                <w:rFonts w:ascii="Cambria" w:hAnsi="Cambria"/>
                <w:bCs/>
                <w:sz w:val="20"/>
                <w:szCs w:val="20"/>
                <w:lang w:val="es-ES"/>
              </w:rPr>
            </w:pPr>
            <w:r>
              <w:rPr>
                <w:rFonts w:ascii="Cambria" w:hAnsi="Cambria"/>
                <w:bCs/>
                <w:sz w:val="20"/>
                <w:szCs w:val="20"/>
                <w:lang w:val="es-ES"/>
              </w:rPr>
              <w:t>22 de abril de 2022</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2DEFF9B4" w:rsidR="004C2312" w:rsidRPr="003239B8" w:rsidRDefault="00823440" w:rsidP="008D2290">
            <w:pPr>
              <w:jc w:val="both"/>
              <w:rPr>
                <w:rFonts w:ascii="Cambria" w:hAnsi="Cambria"/>
                <w:bCs/>
                <w:sz w:val="20"/>
                <w:szCs w:val="20"/>
                <w:lang w:val="es-ES"/>
              </w:rPr>
            </w:pPr>
            <w:r>
              <w:rPr>
                <w:rFonts w:ascii="Cambria" w:hAnsi="Cambria"/>
                <w:bCs/>
                <w:sz w:val="20"/>
                <w:szCs w:val="20"/>
                <w:lang w:val="es-ES"/>
              </w:rPr>
              <w:t>12 de agosto de 2022</w:t>
            </w:r>
          </w:p>
        </w:tc>
      </w:tr>
      <w:tr w:rsidR="004C2312" w:rsidRPr="005A1DD8"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18F08379" w:rsidR="004C2312" w:rsidRPr="003239B8" w:rsidRDefault="00823440" w:rsidP="008D2290">
            <w:pPr>
              <w:jc w:val="both"/>
              <w:rPr>
                <w:rFonts w:ascii="Cambria" w:hAnsi="Cambria"/>
                <w:bCs/>
                <w:sz w:val="20"/>
                <w:szCs w:val="20"/>
                <w:lang w:val="es-ES"/>
              </w:rPr>
            </w:pPr>
            <w:r>
              <w:rPr>
                <w:rFonts w:ascii="Cambria" w:hAnsi="Cambria"/>
                <w:bCs/>
                <w:sz w:val="20"/>
                <w:szCs w:val="20"/>
                <w:lang w:val="es-ES"/>
              </w:rPr>
              <w:t>5 de diciembre de 2022</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308523F0" w:rsidR="004C2312" w:rsidRPr="009111EC" w:rsidRDefault="00823440" w:rsidP="008D2290">
            <w:pPr>
              <w:jc w:val="both"/>
              <w:rPr>
                <w:rFonts w:ascii="Cambria" w:hAnsi="Cambria"/>
                <w:bCs/>
                <w:sz w:val="20"/>
                <w:szCs w:val="20"/>
              </w:rPr>
            </w:pPr>
            <w:r>
              <w:rPr>
                <w:rFonts w:ascii="Cambria" w:hAnsi="Cambria"/>
                <w:bCs/>
                <w:sz w:val="20"/>
                <w:szCs w:val="20"/>
              </w:rPr>
              <w:t>20 de enero de 2023</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D9ED76C" w:rsidR="003239B8" w:rsidRPr="00B3745F" w:rsidRDefault="00823440"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06B6985F" w:rsidR="003239B8" w:rsidRPr="00B3745F" w:rsidRDefault="00823440"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261F74A6" w:rsidR="003239B8" w:rsidRPr="00B3745F" w:rsidRDefault="00823440" w:rsidP="008D2290">
            <w:pPr>
              <w:rPr>
                <w:rFonts w:ascii="Cambria" w:hAnsi="Cambria"/>
                <w:bCs/>
                <w:sz w:val="20"/>
                <w:szCs w:val="20"/>
              </w:rPr>
            </w:pPr>
            <w:r>
              <w:rPr>
                <w:rFonts w:ascii="Cambria" w:hAnsi="Cambria"/>
                <w:bCs/>
                <w:sz w:val="20"/>
                <w:szCs w:val="20"/>
              </w:rPr>
              <w:t>Sí</w:t>
            </w:r>
          </w:p>
        </w:tc>
      </w:tr>
      <w:tr w:rsidR="003239B8" w:rsidRPr="00D15212"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2AA067C" w:rsidR="003239B8" w:rsidRPr="00B3745F" w:rsidRDefault="00823440" w:rsidP="008D2290">
            <w:pPr>
              <w:jc w:val="both"/>
              <w:rPr>
                <w:rFonts w:ascii="Cambria" w:hAnsi="Cambria"/>
                <w:bCs/>
                <w:sz w:val="20"/>
                <w:szCs w:val="20"/>
                <w:lang w:val="es-ES"/>
              </w:rPr>
            </w:pPr>
            <w:r>
              <w:rPr>
                <w:rFonts w:ascii="Cambria" w:hAnsi="Cambria"/>
                <w:bCs/>
                <w:sz w:val="20"/>
                <w:szCs w:val="20"/>
                <w:lang w:val="es-ES"/>
              </w:rPr>
              <w:t xml:space="preserve">Sí, </w:t>
            </w:r>
            <w:r w:rsidRPr="00E17FA2">
              <w:rPr>
                <w:rFonts w:ascii="Cambria" w:hAnsi="Cambria"/>
                <w:bCs/>
                <w:sz w:val="20"/>
                <w:szCs w:val="20"/>
                <w:lang w:val="es-ES"/>
              </w:rPr>
              <w:t>Convención Americana (depósito del instrumento de ratificación realizado el 28 de julio de 1978)</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EE00E9" w:rsidRPr="00BA179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79B2E43" w:rsidR="00EE00E9" w:rsidRPr="00DC24E3" w:rsidRDefault="00A451E3"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295D969B" w:rsidR="003239B8" w:rsidRPr="00A451E3" w:rsidRDefault="00A451E3" w:rsidP="008D2290">
            <w:pPr>
              <w:jc w:val="both"/>
              <w:rPr>
                <w:rFonts w:ascii="Cambria" w:hAnsi="Cambria"/>
                <w:bCs/>
                <w:sz w:val="20"/>
                <w:szCs w:val="20"/>
                <w:lang w:val="es-PE"/>
              </w:rPr>
            </w:pPr>
            <w:r w:rsidRPr="00A451E3">
              <w:rPr>
                <w:rFonts w:ascii="Cambria" w:hAnsi="Cambria"/>
                <w:bCs/>
                <w:sz w:val="20"/>
                <w:szCs w:val="20"/>
                <w:lang w:val="es-PE"/>
              </w:rPr>
              <w:t>Ninguno</w:t>
            </w:r>
          </w:p>
        </w:tc>
      </w:tr>
      <w:tr w:rsidR="003239B8" w:rsidRPr="00D15212"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7CC2583E" w:rsidR="003239B8" w:rsidRPr="00DC24E3" w:rsidRDefault="00A451E3"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D15212"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4A2A4569" w14:textId="0983FCBD" w:rsidR="003239B8" w:rsidRPr="00A451E3" w:rsidRDefault="00A451E3" w:rsidP="008D2290">
            <w:pPr>
              <w:rPr>
                <w:rFonts w:ascii="Cambria" w:hAnsi="Cambria"/>
                <w:bCs/>
                <w:sz w:val="20"/>
                <w:szCs w:val="20"/>
                <w:lang w:val="es-US"/>
              </w:rPr>
            </w:pPr>
            <w:r w:rsidRPr="00A451E3">
              <w:rPr>
                <w:rFonts w:ascii="Cambria" w:hAnsi="Cambria"/>
                <w:bCs/>
                <w:sz w:val="20"/>
                <w:szCs w:val="20"/>
                <w:lang w:val="es-US"/>
              </w:rPr>
              <w:t>Sí, en los términos d</w:t>
            </w:r>
            <w:r>
              <w:rPr>
                <w:rFonts w:ascii="Cambria" w:hAnsi="Cambria"/>
                <w:bCs/>
                <w:sz w:val="20"/>
                <w:szCs w:val="20"/>
                <w:lang w:val="es-US"/>
              </w:rPr>
              <w:t>e la sección VI</w:t>
            </w:r>
          </w:p>
        </w:tc>
      </w:tr>
    </w:tbl>
    <w:p w14:paraId="4DCB1828" w14:textId="77777777" w:rsidR="001B630C" w:rsidRDefault="001B630C" w:rsidP="003239B8">
      <w:pPr>
        <w:spacing w:before="240" w:after="240"/>
        <w:ind w:firstLine="720"/>
        <w:jc w:val="both"/>
        <w:rPr>
          <w:rFonts w:asciiTheme="majorHAnsi" w:hAnsiTheme="majorHAnsi"/>
          <w:b/>
          <w:sz w:val="20"/>
          <w:szCs w:val="20"/>
          <w:lang w:val="es-UY"/>
        </w:rPr>
      </w:pPr>
    </w:p>
    <w:p w14:paraId="18E6423B" w14:textId="1BA616F3"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A2D4F00" w14:textId="3F90C909" w:rsidR="00971808" w:rsidRPr="000656FA" w:rsidRDefault="00971808" w:rsidP="003239B8">
      <w:pPr>
        <w:spacing w:before="240" w:after="240"/>
        <w:ind w:firstLine="720"/>
        <w:jc w:val="both"/>
        <w:rPr>
          <w:rFonts w:asciiTheme="majorHAnsi" w:hAnsiTheme="majorHAnsi"/>
          <w:bCs/>
          <w:i/>
          <w:iCs/>
          <w:sz w:val="20"/>
          <w:szCs w:val="20"/>
          <w:lang w:val="es-UY"/>
        </w:rPr>
      </w:pPr>
      <w:r w:rsidRPr="000656FA">
        <w:rPr>
          <w:rFonts w:asciiTheme="majorHAnsi" w:hAnsiTheme="majorHAnsi"/>
          <w:bCs/>
          <w:i/>
          <w:iCs/>
          <w:sz w:val="20"/>
          <w:szCs w:val="20"/>
          <w:lang w:val="es-UY"/>
        </w:rPr>
        <w:t>Alegatos de la parte peticionaria</w:t>
      </w:r>
    </w:p>
    <w:p w14:paraId="680AB81D" w14:textId="642DE316" w:rsidR="004167A8" w:rsidRPr="004167A8" w:rsidRDefault="00315CE1" w:rsidP="004167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iCs/>
          <w:sz w:val="20"/>
          <w:szCs w:val="20"/>
          <w:lang w:val="es-AR"/>
        </w:rPr>
      </w:pPr>
      <w:r w:rsidRPr="000656FA">
        <w:rPr>
          <w:rFonts w:ascii="Cambria" w:hAnsi="Cambria"/>
          <w:sz w:val="20"/>
          <w:szCs w:val="20"/>
          <w:lang w:val="es-AR"/>
        </w:rPr>
        <w:t>La parte peticionaria denuncia que el Tribunal Constitucional</w:t>
      </w:r>
      <w:r w:rsidR="000656FA">
        <w:rPr>
          <w:rFonts w:ascii="Cambria" w:hAnsi="Cambria"/>
          <w:sz w:val="20"/>
          <w:szCs w:val="20"/>
          <w:lang w:val="es-AR"/>
        </w:rPr>
        <w:t xml:space="preserve"> revocó irregularmente una sentencia con calidad de cosa juzgada que reconocía al señor Olivares un</w:t>
      </w:r>
      <w:r w:rsidR="004167A8">
        <w:rPr>
          <w:rFonts w:ascii="Cambria" w:hAnsi="Cambria"/>
          <w:sz w:val="20"/>
          <w:szCs w:val="20"/>
          <w:lang w:val="es-AR"/>
        </w:rPr>
        <w:t xml:space="preserve">a pensión acorde </w:t>
      </w:r>
      <w:r w:rsidR="003A1CD1">
        <w:rPr>
          <w:rFonts w:ascii="Cambria" w:hAnsi="Cambria"/>
          <w:sz w:val="20"/>
          <w:szCs w:val="20"/>
          <w:lang w:val="es-AR"/>
        </w:rPr>
        <w:t>con</w:t>
      </w:r>
      <w:r w:rsidR="004167A8">
        <w:rPr>
          <w:rFonts w:ascii="Cambria" w:hAnsi="Cambria"/>
          <w:sz w:val="20"/>
          <w:szCs w:val="20"/>
          <w:lang w:val="es-AR"/>
        </w:rPr>
        <w:t xml:space="preserve"> sus servicios y a los perjuicios que le causó su destitución de la Policía Nacional. </w:t>
      </w:r>
      <w:r w:rsidR="004F7BAC">
        <w:rPr>
          <w:rFonts w:ascii="Cambria" w:hAnsi="Cambria"/>
          <w:sz w:val="20"/>
          <w:szCs w:val="20"/>
          <w:lang w:val="es-AR"/>
        </w:rPr>
        <w:t>Aduce</w:t>
      </w:r>
      <w:r w:rsidR="004167A8">
        <w:rPr>
          <w:rFonts w:ascii="Cambria" w:hAnsi="Cambria"/>
          <w:sz w:val="20"/>
          <w:szCs w:val="20"/>
          <w:lang w:val="es-AR"/>
        </w:rPr>
        <w:t xml:space="preserve"> que posteriormente </w:t>
      </w:r>
      <w:r w:rsidR="004F7BAC">
        <w:rPr>
          <w:rFonts w:ascii="Cambria" w:hAnsi="Cambria"/>
          <w:sz w:val="20"/>
          <w:szCs w:val="20"/>
          <w:lang w:val="es-AR"/>
        </w:rPr>
        <w:t>ese</w:t>
      </w:r>
      <w:r w:rsidR="004167A8">
        <w:rPr>
          <w:rFonts w:ascii="Cambria" w:hAnsi="Cambria"/>
          <w:sz w:val="20"/>
          <w:szCs w:val="20"/>
          <w:lang w:val="es-AR"/>
        </w:rPr>
        <w:t xml:space="preserve"> </w:t>
      </w:r>
      <w:r w:rsidR="00EE04E8">
        <w:rPr>
          <w:rFonts w:ascii="Cambria" w:hAnsi="Cambria"/>
          <w:sz w:val="20"/>
          <w:szCs w:val="20"/>
          <w:lang w:val="es-AR"/>
        </w:rPr>
        <w:t>tribunal</w:t>
      </w:r>
      <w:r w:rsidR="004167A8">
        <w:rPr>
          <w:rFonts w:ascii="Cambria" w:hAnsi="Cambria"/>
          <w:sz w:val="20"/>
          <w:szCs w:val="20"/>
          <w:lang w:val="es-AR"/>
        </w:rPr>
        <w:t xml:space="preserve"> resolvió de manera diferente casos sustancialmente similares, lo que significó una afectación al principio de igualdad. </w:t>
      </w:r>
    </w:p>
    <w:p w14:paraId="4ED269A2" w14:textId="30EF5132" w:rsidR="00315CE1" w:rsidRPr="004167A8" w:rsidRDefault="00315CE1" w:rsidP="004F7BA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AR"/>
        </w:rPr>
      </w:pPr>
      <w:r w:rsidRPr="004167A8">
        <w:rPr>
          <w:rFonts w:asciiTheme="majorHAnsi" w:hAnsiTheme="majorHAnsi"/>
          <w:i/>
          <w:iCs/>
          <w:sz w:val="20"/>
          <w:szCs w:val="20"/>
          <w:lang w:val="es-AR"/>
        </w:rPr>
        <w:t>Destitución de la presunta víctima, acción de cumplimiento y reconocimiento de derechos previsionales y laborales</w:t>
      </w:r>
    </w:p>
    <w:p w14:paraId="6C7AC786" w14:textId="36BE1C06" w:rsidR="00315CE1" w:rsidRPr="00315CE1" w:rsidRDefault="004F7BAC" w:rsidP="00315CE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La parte peticionaria a</w:t>
      </w:r>
      <w:r w:rsidR="00315CE1" w:rsidRPr="00315CE1">
        <w:rPr>
          <w:rFonts w:ascii="Cambria" w:hAnsi="Cambria"/>
          <w:sz w:val="20"/>
          <w:szCs w:val="20"/>
          <w:lang w:val="es-AR"/>
        </w:rPr>
        <w:t xml:space="preserve">lega que el 15 de enero de 1987, cuando </w:t>
      </w:r>
      <w:r w:rsidR="0046173B">
        <w:rPr>
          <w:rFonts w:ascii="Cambria" w:hAnsi="Cambria"/>
          <w:sz w:val="20"/>
          <w:szCs w:val="20"/>
          <w:lang w:val="es-AR"/>
        </w:rPr>
        <w:t xml:space="preserve">la presunta víctima </w:t>
      </w:r>
      <w:r w:rsidR="000A3268">
        <w:rPr>
          <w:rFonts w:ascii="Cambria" w:hAnsi="Cambria"/>
          <w:sz w:val="20"/>
          <w:szCs w:val="20"/>
          <w:lang w:val="es-AR"/>
        </w:rPr>
        <w:t>desempeñaba</w:t>
      </w:r>
      <w:r w:rsidR="00315CE1" w:rsidRPr="00315CE1">
        <w:rPr>
          <w:rFonts w:ascii="Cambria" w:hAnsi="Cambria"/>
          <w:sz w:val="20"/>
          <w:szCs w:val="20"/>
          <w:lang w:val="es-AR"/>
        </w:rPr>
        <w:t xml:space="preserve"> el cargo de oficial en la Policía Nacional del Perú </w:t>
      </w:r>
      <w:r w:rsidR="0046173B">
        <w:rPr>
          <w:rFonts w:ascii="Cambria" w:hAnsi="Cambria"/>
          <w:sz w:val="20"/>
          <w:szCs w:val="20"/>
          <w:lang w:val="es-AR"/>
        </w:rPr>
        <w:t xml:space="preserve">y </w:t>
      </w:r>
      <w:r w:rsidR="00315CE1" w:rsidRPr="00315CE1">
        <w:rPr>
          <w:rFonts w:ascii="Cambria" w:hAnsi="Cambria"/>
          <w:sz w:val="20"/>
          <w:szCs w:val="20"/>
          <w:lang w:val="es-AR"/>
        </w:rPr>
        <w:t>catorce años de servicio, el Ministerio del Interior, mediante Resolución Nro. 007-87-IN/DM, destituyó a</w:t>
      </w:r>
      <w:r w:rsidR="0046173B">
        <w:rPr>
          <w:rFonts w:ascii="Cambria" w:hAnsi="Cambria"/>
          <w:sz w:val="20"/>
          <w:szCs w:val="20"/>
          <w:lang w:val="es-AR"/>
        </w:rPr>
        <w:t xml:space="preserve">l señor Olivares </w:t>
      </w:r>
      <w:r w:rsidR="00315CE1" w:rsidRPr="00315CE1">
        <w:rPr>
          <w:rFonts w:ascii="Cambria" w:hAnsi="Cambria"/>
          <w:sz w:val="20"/>
          <w:szCs w:val="20"/>
          <w:lang w:val="es-AR"/>
        </w:rPr>
        <w:t>de forma arbitraria e intempestiva, mediante la figu</w:t>
      </w:r>
      <w:r w:rsidR="001E4563">
        <w:rPr>
          <w:rFonts w:ascii="Cambria" w:hAnsi="Cambria"/>
          <w:sz w:val="20"/>
          <w:szCs w:val="20"/>
          <w:lang w:val="es-AR"/>
        </w:rPr>
        <w:t>r</w:t>
      </w:r>
      <w:r w:rsidR="00315CE1" w:rsidRPr="00315CE1">
        <w:rPr>
          <w:rFonts w:ascii="Cambria" w:hAnsi="Cambria"/>
          <w:sz w:val="20"/>
          <w:szCs w:val="20"/>
          <w:lang w:val="es-AR"/>
        </w:rPr>
        <w:t>a de renovaci</w:t>
      </w:r>
      <w:r w:rsidR="001E4563">
        <w:rPr>
          <w:rFonts w:ascii="Cambria" w:hAnsi="Cambria"/>
          <w:sz w:val="20"/>
          <w:szCs w:val="20"/>
          <w:lang w:val="es-AR"/>
        </w:rPr>
        <w:t>ó</w:t>
      </w:r>
      <w:r w:rsidR="00315CE1" w:rsidRPr="00315CE1">
        <w:rPr>
          <w:rFonts w:ascii="Cambria" w:hAnsi="Cambria"/>
          <w:sz w:val="20"/>
          <w:szCs w:val="20"/>
          <w:lang w:val="es-AR"/>
        </w:rPr>
        <w:t>n de cuadros</w:t>
      </w:r>
      <w:r w:rsidR="00D325C5">
        <w:rPr>
          <w:rFonts w:ascii="Cambria" w:hAnsi="Cambria"/>
          <w:sz w:val="20"/>
          <w:szCs w:val="20"/>
          <w:lang w:val="es-AR"/>
        </w:rPr>
        <w:t>.</w:t>
      </w:r>
    </w:p>
    <w:p w14:paraId="29BCD4EE" w14:textId="26B91C94" w:rsidR="004167A8" w:rsidRDefault="002571A5" w:rsidP="004167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Explica que años más tarde, e</w:t>
      </w:r>
      <w:r w:rsidR="00B0395C">
        <w:rPr>
          <w:rFonts w:ascii="Cambria" w:hAnsi="Cambria"/>
          <w:sz w:val="20"/>
          <w:szCs w:val="20"/>
          <w:lang w:val="es-AR"/>
        </w:rPr>
        <w:t>l 7 de julio de 2003</w:t>
      </w:r>
      <w:r w:rsidR="0046173B">
        <w:rPr>
          <w:rFonts w:ascii="Cambria" w:hAnsi="Cambria"/>
          <w:sz w:val="20"/>
          <w:szCs w:val="20"/>
          <w:lang w:val="es-AR"/>
        </w:rPr>
        <w:t xml:space="preserve">, </w:t>
      </w:r>
      <w:r w:rsidR="00B0395C">
        <w:rPr>
          <w:rFonts w:ascii="Cambria" w:hAnsi="Cambria"/>
          <w:sz w:val="20"/>
          <w:szCs w:val="20"/>
          <w:lang w:val="es-AR"/>
        </w:rPr>
        <w:t xml:space="preserve">la presunta víctima </w:t>
      </w:r>
      <w:r>
        <w:rPr>
          <w:rFonts w:ascii="Cambria" w:hAnsi="Cambria"/>
          <w:sz w:val="20"/>
          <w:szCs w:val="20"/>
          <w:lang w:val="es-AR"/>
        </w:rPr>
        <w:t>solicitó a la Policía Nacional que se le reconozcan los años transcurridos desde su cese irregular como tiempo de servicios reales y efectivos</w:t>
      </w:r>
      <w:r w:rsidR="009A5850">
        <w:rPr>
          <w:rFonts w:ascii="Cambria" w:hAnsi="Cambria"/>
          <w:sz w:val="20"/>
          <w:szCs w:val="20"/>
          <w:lang w:val="es-AR"/>
        </w:rPr>
        <w:t>;</w:t>
      </w:r>
      <w:r>
        <w:rPr>
          <w:rFonts w:ascii="Cambria" w:hAnsi="Cambria"/>
          <w:sz w:val="20"/>
          <w:szCs w:val="20"/>
          <w:lang w:val="es-AR"/>
        </w:rPr>
        <w:t xml:space="preserve"> </w:t>
      </w:r>
      <w:r w:rsidR="000A3268">
        <w:rPr>
          <w:rFonts w:ascii="Cambria" w:hAnsi="Cambria"/>
          <w:sz w:val="20"/>
          <w:szCs w:val="20"/>
          <w:lang w:val="es-AR"/>
        </w:rPr>
        <w:t>y,</w:t>
      </w:r>
      <w:r>
        <w:rPr>
          <w:rFonts w:ascii="Cambria" w:hAnsi="Cambria"/>
          <w:sz w:val="20"/>
          <w:szCs w:val="20"/>
          <w:lang w:val="es-AR"/>
        </w:rPr>
        <w:t xml:space="preserve"> en consecuencia, se le otorgue una pensión por treinta años de servicio</w:t>
      </w:r>
      <w:r w:rsidR="009B5359">
        <w:rPr>
          <w:rFonts w:ascii="Cambria" w:hAnsi="Cambria"/>
          <w:sz w:val="20"/>
          <w:szCs w:val="20"/>
          <w:lang w:val="es-AR"/>
        </w:rPr>
        <w:t>,</w:t>
      </w:r>
      <w:r>
        <w:rPr>
          <w:rFonts w:ascii="Cambria" w:hAnsi="Cambria"/>
          <w:sz w:val="20"/>
          <w:szCs w:val="20"/>
          <w:lang w:val="es-AR"/>
        </w:rPr>
        <w:t xml:space="preserve"> y </w:t>
      </w:r>
      <w:r w:rsidR="0046173B">
        <w:rPr>
          <w:rFonts w:ascii="Cambria" w:hAnsi="Cambria"/>
          <w:sz w:val="20"/>
          <w:szCs w:val="20"/>
          <w:lang w:val="es-AR"/>
        </w:rPr>
        <w:t xml:space="preserve">se le reconozca </w:t>
      </w:r>
      <w:r>
        <w:rPr>
          <w:rFonts w:ascii="Cambria" w:hAnsi="Cambria"/>
          <w:sz w:val="20"/>
          <w:szCs w:val="20"/>
          <w:lang w:val="es-AR"/>
        </w:rPr>
        <w:t xml:space="preserve">el grado de teniente general. Afirma que </w:t>
      </w:r>
      <w:r w:rsidR="009B5359">
        <w:rPr>
          <w:rFonts w:ascii="Cambria" w:hAnsi="Cambria"/>
          <w:sz w:val="20"/>
          <w:szCs w:val="20"/>
          <w:lang w:val="es-AR"/>
        </w:rPr>
        <w:t>como</w:t>
      </w:r>
      <w:r>
        <w:rPr>
          <w:rFonts w:ascii="Cambria" w:hAnsi="Cambria"/>
          <w:sz w:val="20"/>
          <w:szCs w:val="20"/>
          <w:lang w:val="es-AR"/>
        </w:rPr>
        <w:t xml:space="preserve"> no recibió respuesta a su pedido, se configuró un silencio administrativo positivo</w:t>
      </w:r>
      <w:r w:rsidR="00FD6E88">
        <w:rPr>
          <w:rFonts w:ascii="Cambria" w:hAnsi="Cambria"/>
          <w:sz w:val="20"/>
          <w:szCs w:val="20"/>
          <w:lang w:val="es-AR"/>
        </w:rPr>
        <w:t>,</w:t>
      </w:r>
      <w:r>
        <w:rPr>
          <w:rFonts w:ascii="Cambria" w:hAnsi="Cambria"/>
          <w:sz w:val="20"/>
          <w:szCs w:val="20"/>
          <w:lang w:val="es-AR"/>
        </w:rPr>
        <w:t xml:space="preserve"> </w:t>
      </w:r>
      <w:r w:rsidR="00FD6E88">
        <w:rPr>
          <w:rFonts w:ascii="Cambria" w:hAnsi="Cambria"/>
          <w:sz w:val="20"/>
          <w:szCs w:val="20"/>
          <w:lang w:val="es-AR"/>
        </w:rPr>
        <w:t>con lo cual, a su juicio,</w:t>
      </w:r>
      <w:r>
        <w:rPr>
          <w:rFonts w:ascii="Cambria" w:hAnsi="Cambria"/>
          <w:sz w:val="20"/>
          <w:szCs w:val="20"/>
          <w:lang w:val="es-AR"/>
        </w:rPr>
        <w:t xml:space="preserve"> la Policía aceptó su pedido. </w:t>
      </w:r>
    </w:p>
    <w:p w14:paraId="194EBC6A" w14:textId="19F0CDF8" w:rsidR="00E30DFF" w:rsidRPr="004167A8" w:rsidRDefault="00E30DFF" w:rsidP="004167A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4167A8">
        <w:rPr>
          <w:rFonts w:ascii="Cambria" w:hAnsi="Cambria"/>
          <w:sz w:val="20"/>
          <w:szCs w:val="20"/>
          <w:lang w:val="es-AR"/>
        </w:rPr>
        <w:t xml:space="preserve">Con base en </w:t>
      </w:r>
      <w:r w:rsidR="00FD6E88">
        <w:rPr>
          <w:rFonts w:ascii="Cambria" w:hAnsi="Cambria"/>
          <w:sz w:val="20"/>
          <w:szCs w:val="20"/>
          <w:lang w:val="es-AR"/>
        </w:rPr>
        <w:t>esta</w:t>
      </w:r>
      <w:r w:rsidRPr="004167A8">
        <w:rPr>
          <w:rFonts w:ascii="Cambria" w:hAnsi="Cambria"/>
          <w:sz w:val="20"/>
          <w:szCs w:val="20"/>
          <w:lang w:val="es-AR"/>
        </w:rPr>
        <w:t xml:space="preserve"> interpretación</w:t>
      </w:r>
      <w:r w:rsidR="002571A5" w:rsidRPr="004167A8">
        <w:rPr>
          <w:rFonts w:ascii="Cambria" w:hAnsi="Cambria"/>
          <w:sz w:val="20"/>
          <w:szCs w:val="20"/>
          <w:lang w:val="es-AR"/>
        </w:rPr>
        <w:t>, e</w:t>
      </w:r>
      <w:r w:rsidR="00971808" w:rsidRPr="004167A8">
        <w:rPr>
          <w:rFonts w:ascii="Cambria" w:hAnsi="Cambria"/>
          <w:sz w:val="20"/>
          <w:szCs w:val="20"/>
          <w:lang w:val="es-AR"/>
        </w:rPr>
        <w:t xml:space="preserve">l 16 de diciembre de 2003 el señor Olivares presentó una acción de </w:t>
      </w:r>
      <w:r w:rsidR="00B0395C" w:rsidRPr="004167A8">
        <w:rPr>
          <w:rFonts w:ascii="Cambria" w:hAnsi="Cambria"/>
          <w:sz w:val="20"/>
          <w:szCs w:val="20"/>
          <w:lang w:val="es-AR"/>
        </w:rPr>
        <w:t>cumplimiento</w:t>
      </w:r>
      <w:r w:rsidR="00971808" w:rsidRPr="004167A8">
        <w:rPr>
          <w:rFonts w:ascii="Cambria" w:hAnsi="Cambria"/>
          <w:sz w:val="20"/>
          <w:szCs w:val="20"/>
          <w:lang w:val="es-AR"/>
        </w:rPr>
        <w:t xml:space="preserve"> en contra del Ministerio del Interior y la Policía Nacional, con el fin de que se le </w:t>
      </w:r>
      <w:r w:rsidR="002571A5" w:rsidRPr="004167A8">
        <w:rPr>
          <w:rFonts w:ascii="Cambria" w:hAnsi="Cambria"/>
          <w:sz w:val="20"/>
          <w:szCs w:val="20"/>
          <w:lang w:val="es-AR"/>
        </w:rPr>
        <w:t>otorgue la citada pensión</w:t>
      </w:r>
      <w:r w:rsidR="0046173B" w:rsidRPr="004167A8">
        <w:rPr>
          <w:rFonts w:ascii="Cambria" w:hAnsi="Cambria"/>
          <w:sz w:val="20"/>
          <w:szCs w:val="20"/>
          <w:lang w:val="es-AR"/>
        </w:rPr>
        <w:t xml:space="preserve"> y el reconocimiento del referido grado</w:t>
      </w:r>
      <w:r w:rsidR="00971808" w:rsidRPr="004167A8">
        <w:rPr>
          <w:rFonts w:ascii="Cambria" w:hAnsi="Cambria"/>
          <w:sz w:val="20"/>
          <w:szCs w:val="20"/>
          <w:lang w:val="es-AR"/>
        </w:rPr>
        <w:t xml:space="preserve">. </w:t>
      </w:r>
      <w:r w:rsidRPr="004167A8">
        <w:rPr>
          <w:rFonts w:ascii="Cambria" w:hAnsi="Cambria"/>
          <w:sz w:val="20"/>
          <w:szCs w:val="20"/>
          <w:lang w:val="es-AR"/>
        </w:rPr>
        <w:t>De este modo</w:t>
      </w:r>
      <w:r w:rsidR="00971808" w:rsidRPr="004167A8">
        <w:rPr>
          <w:rFonts w:ascii="Cambria" w:hAnsi="Cambria"/>
          <w:sz w:val="20"/>
          <w:szCs w:val="20"/>
          <w:lang w:val="es-AR"/>
        </w:rPr>
        <w:t>, el 30 de enero de 2004 el Juzgado Mixto de Utucabamba, mediante Resolución Nro. 4, declaró fundada la demanda</w:t>
      </w:r>
      <w:r w:rsidRPr="004167A8">
        <w:rPr>
          <w:rFonts w:ascii="Cambria" w:hAnsi="Cambria"/>
          <w:sz w:val="20"/>
          <w:szCs w:val="20"/>
          <w:lang w:val="es-AR"/>
        </w:rPr>
        <w:t xml:space="preserve"> y ordenó </w:t>
      </w:r>
      <w:r w:rsidR="0046173B" w:rsidRPr="004167A8">
        <w:rPr>
          <w:rFonts w:ascii="Cambria" w:hAnsi="Cambria"/>
          <w:sz w:val="20"/>
          <w:szCs w:val="20"/>
          <w:lang w:val="es-AR"/>
        </w:rPr>
        <w:t>a la Policía Nacional que</w:t>
      </w:r>
      <w:r w:rsidRPr="004167A8">
        <w:rPr>
          <w:rFonts w:ascii="Cambria" w:hAnsi="Cambria"/>
          <w:sz w:val="20"/>
          <w:szCs w:val="20"/>
          <w:lang w:val="es-AR"/>
        </w:rPr>
        <w:t xml:space="preserve"> le otorgue al señor Olivares lo siguientes beneficios: i) reconocimiento, por excepción legal, de un tiempo de servicios de treinta años; ii) una pensión ascendente al monto equivalente a las remuneraciones pensionables mensuales de un teniente general de la Policía en actividad; iii) el pago de devengados equivalentes a las remuneraciones pensionables de un teniente general; iv) </w:t>
      </w:r>
      <w:r w:rsidR="0046173B" w:rsidRPr="004167A8">
        <w:rPr>
          <w:rFonts w:ascii="Cambria" w:hAnsi="Cambria"/>
          <w:sz w:val="20"/>
          <w:szCs w:val="20"/>
          <w:lang w:val="es-AR"/>
        </w:rPr>
        <w:t xml:space="preserve">el </w:t>
      </w:r>
      <w:r w:rsidRPr="004167A8">
        <w:rPr>
          <w:rFonts w:ascii="Cambria" w:hAnsi="Cambria"/>
          <w:sz w:val="20"/>
          <w:szCs w:val="20"/>
          <w:lang w:val="es-AR"/>
        </w:rPr>
        <w:t xml:space="preserve">otorgamiento de los demás beneficios, bonificaciones y asignaciones equivalentes a las que se le </w:t>
      </w:r>
      <w:r w:rsidR="0046173B" w:rsidRPr="004167A8">
        <w:rPr>
          <w:rFonts w:ascii="Cambria" w:hAnsi="Cambria"/>
          <w:sz w:val="20"/>
          <w:szCs w:val="20"/>
          <w:lang w:val="es-AR"/>
        </w:rPr>
        <w:t>entrega</w:t>
      </w:r>
      <w:r w:rsidRPr="004167A8">
        <w:rPr>
          <w:rFonts w:ascii="Cambria" w:hAnsi="Cambria"/>
          <w:sz w:val="20"/>
          <w:szCs w:val="20"/>
          <w:lang w:val="es-AR"/>
        </w:rPr>
        <w:t xml:space="preserve"> a un teniente general; y v) el pago de una indemnización de </w:t>
      </w:r>
      <w:r w:rsidR="007F5169">
        <w:rPr>
          <w:rFonts w:ascii="Cambria" w:hAnsi="Cambria"/>
          <w:sz w:val="20"/>
          <w:szCs w:val="20"/>
          <w:lang w:val="es-AR"/>
        </w:rPr>
        <w:t xml:space="preserve">USD$. </w:t>
      </w:r>
      <w:r w:rsidRPr="004167A8">
        <w:rPr>
          <w:rFonts w:ascii="Cambria" w:hAnsi="Cambria"/>
          <w:sz w:val="20"/>
          <w:szCs w:val="20"/>
          <w:lang w:val="es-AR"/>
        </w:rPr>
        <w:t xml:space="preserve">500.00 mensuales desde febrero de 1987 hasta la fecha en que se efectivice su pensión. </w:t>
      </w:r>
    </w:p>
    <w:p w14:paraId="2BD23967" w14:textId="6B16B7BB" w:rsidR="006143B7" w:rsidRDefault="00E30DFF" w:rsidP="00E30D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w:t>
      </w:r>
      <w:r w:rsidR="00971808">
        <w:rPr>
          <w:rFonts w:ascii="Cambria" w:hAnsi="Cambria"/>
          <w:sz w:val="20"/>
          <w:szCs w:val="20"/>
          <w:lang w:val="es-AR"/>
        </w:rPr>
        <w:t>osteriormente,</w:t>
      </w:r>
      <w:r>
        <w:rPr>
          <w:rFonts w:ascii="Cambria" w:hAnsi="Cambria"/>
          <w:sz w:val="20"/>
          <w:szCs w:val="20"/>
          <w:lang w:val="es-AR"/>
        </w:rPr>
        <w:t xml:space="preserve"> </w:t>
      </w:r>
      <w:r w:rsidR="00971808">
        <w:rPr>
          <w:rFonts w:ascii="Cambria" w:hAnsi="Cambria"/>
          <w:sz w:val="20"/>
          <w:szCs w:val="20"/>
          <w:lang w:val="es-AR"/>
        </w:rPr>
        <w:t xml:space="preserve">la Sala Mixta Descentralizada de la Corte Superior de Justicia de Amazonas </w:t>
      </w:r>
      <w:r w:rsidR="002571A5">
        <w:rPr>
          <w:rFonts w:ascii="Cambria" w:hAnsi="Cambria"/>
          <w:sz w:val="20"/>
          <w:szCs w:val="20"/>
          <w:lang w:val="es-AR"/>
        </w:rPr>
        <w:t>confirmó esta decisión</w:t>
      </w:r>
      <w:r w:rsidR="00C00180">
        <w:rPr>
          <w:rFonts w:ascii="Cambria" w:hAnsi="Cambria"/>
          <w:sz w:val="20"/>
          <w:szCs w:val="20"/>
          <w:lang w:val="es-AR"/>
        </w:rPr>
        <w:t>;</w:t>
      </w:r>
      <w:r>
        <w:rPr>
          <w:rFonts w:ascii="Cambria" w:hAnsi="Cambria"/>
          <w:sz w:val="20"/>
          <w:szCs w:val="20"/>
          <w:lang w:val="es-AR"/>
        </w:rPr>
        <w:t xml:space="preserve"> y en razón a ello, </w:t>
      </w:r>
      <w:r w:rsidR="00971808" w:rsidRPr="002571A5">
        <w:rPr>
          <w:rFonts w:ascii="Cambria" w:hAnsi="Cambria"/>
          <w:sz w:val="20"/>
          <w:szCs w:val="20"/>
          <w:lang w:val="es-AR"/>
        </w:rPr>
        <w:t>el 20 de abril de 2005</w:t>
      </w:r>
      <w:r w:rsidR="00315CE1">
        <w:rPr>
          <w:rFonts w:ascii="Cambria" w:hAnsi="Cambria"/>
          <w:sz w:val="20"/>
          <w:szCs w:val="20"/>
          <w:lang w:val="es-AR"/>
        </w:rPr>
        <w:t xml:space="preserve"> la Dirección de Recursos Humanos de la Policía Nacional</w:t>
      </w:r>
      <w:r w:rsidR="00971808" w:rsidRPr="002571A5">
        <w:rPr>
          <w:rFonts w:ascii="Cambria" w:hAnsi="Cambria"/>
          <w:sz w:val="20"/>
          <w:szCs w:val="20"/>
          <w:lang w:val="es-AR"/>
        </w:rPr>
        <w:t xml:space="preserve">, mediante Resolución </w:t>
      </w:r>
      <w:r w:rsidR="00315CE1" w:rsidRPr="002571A5">
        <w:rPr>
          <w:rFonts w:ascii="Cambria" w:hAnsi="Cambria"/>
          <w:sz w:val="20"/>
          <w:szCs w:val="20"/>
          <w:lang w:val="es-AR"/>
        </w:rPr>
        <w:t>Directoral</w:t>
      </w:r>
      <w:r w:rsidR="00971808" w:rsidRPr="002571A5">
        <w:rPr>
          <w:rFonts w:ascii="Cambria" w:hAnsi="Cambria"/>
          <w:sz w:val="20"/>
          <w:szCs w:val="20"/>
          <w:lang w:val="es-AR"/>
        </w:rPr>
        <w:t xml:space="preserve"> Nro. 4700-2005-DIRREHUM</w:t>
      </w:r>
      <w:r>
        <w:rPr>
          <w:rFonts w:ascii="Cambria" w:hAnsi="Cambria"/>
          <w:sz w:val="20"/>
          <w:szCs w:val="20"/>
          <w:lang w:val="es-AR"/>
        </w:rPr>
        <w:t xml:space="preserve">, </w:t>
      </w:r>
      <w:r w:rsidR="00315CE1">
        <w:rPr>
          <w:rFonts w:ascii="Cambria" w:hAnsi="Cambria"/>
          <w:sz w:val="20"/>
          <w:szCs w:val="20"/>
          <w:lang w:val="es-AR"/>
        </w:rPr>
        <w:t>reconoció</w:t>
      </w:r>
      <w:r>
        <w:rPr>
          <w:rFonts w:ascii="Cambria" w:hAnsi="Cambria"/>
          <w:sz w:val="20"/>
          <w:szCs w:val="20"/>
          <w:lang w:val="es-AR"/>
        </w:rPr>
        <w:t xml:space="preserve"> al señor Olivares los </w:t>
      </w:r>
      <w:r w:rsidR="00767746">
        <w:rPr>
          <w:rFonts w:ascii="Cambria" w:hAnsi="Cambria"/>
          <w:sz w:val="20"/>
          <w:szCs w:val="20"/>
          <w:lang w:val="es-AR"/>
        </w:rPr>
        <w:t>mencionados</w:t>
      </w:r>
      <w:r>
        <w:rPr>
          <w:rFonts w:ascii="Cambria" w:hAnsi="Cambria"/>
          <w:sz w:val="20"/>
          <w:szCs w:val="20"/>
          <w:lang w:val="es-AR"/>
        </w:rPr>
        <w:t xml:space="preserve"> beneficios laborales y previsionales. </w:t>
      </w:r>
    </w:p>
    <w:p w14:paraId="231C9E01" w14:textId="73E1D1FB" w:rsidR="00E30DFF" w:rsidRPr="00E30DFF" w:rsidRDefault="00E30DFF" w:rsidP="00E30D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E30DFF">
        <w:rPr>
          <w:rFonts w:ascii="Cambria" w:hAnsi="Cambria"/>
          <w:i/>
          <w:iCs/>
          <w:sz w:val="20"/>
          <w:szCs w:val="20"/>
          <w:lang w:val="es-AR"/>
        </w:rPr>
        <w:t>Acción de amparo interpuesta por el Ministerio del Interior</w:t>
      </w:r>
    </w:p>
    <w:p w14:paraId="66F07B00" w14:textId="08FEA23F" w:rsidR="00971808" w:rsidRDefault="00602200"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Frente a estas decisiones favorables al Sr. Olivares</w:t>
      </w:r>
      <w:r w:rsidR="00B0395C">
        <w:rPr>
          <w:rFonts w:ascii="Cambria" w:hAnsi="Cambria"/>
          <w:sz w:val="20"/>
          <w:szCs w:val="20"/>
          <w:lang w:val="es-AR"/>
        </w:rPr>
        <w:t xml:space="preserve">, el 27 de junio de 2005 la Procuraduría Pública del Ministerio del Interior interpuso </w:t>
      </w:r>
      <w:r w:rsidR="000B6EE6">
        <w:rPr>
          <w:rFonts w:ascii="Cambria" w:hAnsi="Cambria"/>
          <w:sz w:val="20"/>
          <w:szCs w:val="20"/>
          <w:lang w:val="es-AR"/>
        </w:rPr>
        <w:t xml:space="preserve">una </w:t>
      </w:r>
      <w:r w:rsidR="00B0395C">
        <w:rPr>
          <w:rFonts w:ascii="Cambria" w:hAnsi="Cambria"/>
          <w:sz w:val="20"/>
          <w:szCs w:val="20"/>
          <w:lang w:val="es-AR"/>
        </w:rPr>
        <w:t>demanda de amparo, solicitando</w:t>
      </w:r>
      <w:r w:rsidR="00C42754">
        <w:rPr>
          <w:rFonts w:ascii="Cambria" w:hAnsi="Cambria"/>
          <w:sz w:val="20"/>
          <w:szCs w:val="20"/>
          <w:lang w:val="es-AR"/>
        </w:rPr>
        <w:t xml:space="preserve"> que</w:t>
      </w:r>
      <w:r w:rsidR="008729A1">
        <w:rPr>
          <w:rFonts w:ascii="Cambria" w:hAnsi="Cambria"/>
          <w:sz w:val="20"/>
          <w:szCs w:val="20"/>
          <w:lang w:val="es-AR"/>
        </w:rPr>
        <w:t>:</w:t>
      </w:r>
      <w:r w:rsidR="00B0395C">
        <w:rPr>
          <w:rFonts w:ascii="Cambria" w:hAnsi="Cambria"/>
          <w:sz w:val="20"/>
          <w:szCs w:val="20"/>
          <w:lang w:val="es-AR"/>
        </w:rPr>
        <w:t xml:space="preserve"> i) se declare inaplicable el artículo 5, inciso 6, del Código Procesal Constitucional; ii) se declare nulo todo lo actuado en el proceso de cumplimiento incoado por el señor Olivares; y iii) se ordene al Juzgado Mixto de Utcubamba la emisión de una nueva resolución con arreglo a ley. En su demanda, </w:t>
      </w:r>
      <w:r w:rsidR="007C282E">
        <w:rPr>
          <w:rFonts w:ascii="Cambria" w:hAnsi="Cambria"/>
          <w:sz w:val="20"/>
          <w:szCs w:val="20"/>
          <w:lang w:val="es-AR"/>
        </w:rPr>
        <w:t>la</w:t>
      </w:r>
      <w:r w:rsidR="00B0395C">
        <w:rPr>
          <w:rFonts w:ascii="Cambria" w:hAnsi="Cambria"/>
          <w:sz w:val="20"/>
          <w:szCs w:val="20"/>
          <w:lang w:val="es-AR"/>
        </w:rPr>
        <w:t xml:space="preserve"> procuraduría alegó que se había afectado su derecho a la tutela procesal efectiva, y concretamente su derecho contar con una resolución fundada en derecho, toda vez que los órganos de justicia estimaron de manera ilegal que había operado silencio administrativo positivo respecto de la solicitud presentada por la presunta víctima. </w:t>
      </w:r>
    </w:p>
    <w:p w14:paraId="1E3E50A8" w14:textId="60FA3E10" w:rsidR="00B0395C" w:rsidRDefault="00B0395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Tras dos declaratorias de improcedencia de la demanda</w:t>
      </w:r>
      <w:r w:rsidR="00BA1797">
        <w:rPr>
          <w:rFonts w:ascii="Cambria" w:hAnsi="Cambria"/>
          <w:sz w:val="20"/>
          <w:szCs w:val="20"/>
          <w:lang w:val="es-AR"/>
        </w:rPr>
        <w:t xml:space="preserve"> por extemporaneidad</w:t>
      </w:r>
      <w:r>
        <w:rPr>
          <w:rFonts w:ascii="Cambria" w:hAnsi="Cambria"/>
          <w:sz w:val="20"/>
          <w:szCs w:val="20"/>
          <w:lang w:val="es-AR"/>
        </w:rPr>
        <w:t>, la referida procuraduría presentó un recurso de agravio constitucional</w:t>
      </w:r>
      <w:r w:rsidR="007C282E">
        <w:rPr>
          <w:rFonts w:ascii="Cambria" w:hAnsi="Cambria"/>
          <w:sz w:val="20"/>
          <w:szCs w:val="20"/>
          <w:lang w:val="es-AR"/>
        </w:rPr>
        <w:t>;</w:t>
      </w:r>
      <w:r>
        <w:rPr>
          <w:rFonts w:ascii="Cambria" w:hAnsi="Cambria"/>
          <w:sz w:val="20"/>
          <w:szCs w:val="20"/>
          <w:lang w:val="es-AR"/>
        </w:rPr>
        <w:t xml:space="preserve"> </w:t>
      </w:r>
      <w:r w:rsidR="007C282E">
        <w:rPr>
          <w:rFonts w:ascii="Cambria" w:hAnsi="Cambria"/>
          <w:sz w:val="20"/>
          <w:szCs w:val="20"/>
          <w:lang w:val="es-AR"/>
        </w:rPr>
        <w:t>a lo que</w:t>
      </w:r>
      <w:r>
        <w:rPr>
          <w:rFonts w:ascii="Cambria" w:hAnsi="Cambria"/>
          <w:sz w:val="20"/>
          <w:szCs w:val="20"/>
          <w:lang w:val="es-AR"/>
        </w:rPr>
        <w:t xml:space="preserve"> el 10 de junio de 2010 el Tribunal Constitucional, mediante sentencia recaída en el expediente Nro. 05296-2007-PA/TC, declaró fundada la demanda de amparo</w:t>
      </w:r>
      <w:r w:rsidR="007C282E">
        <w:rPr>
          <w:rFonts w:ascii="Cambria" w:hAnsi="Cambria"/>
          <w:sz w:val="20"/>
          <w:szCs w:val="20"/>
          <w:lang w:val="es-AR"/>
        </w:rPr>
        <w:t>,</w:t>
      </w:r>
      <w:r>
        <w:rPr>
          <w:rFonts w:ascii="Cambria" w:hAnsi="Cambria"/>
          <w:sz w:val="20"/>
          <w:szCs w:val="20"/>
          <w:lang w:val="es-AR"/>
        </w:rPr>
        <w:t xml:space="preserve"> y dispuso la nulidad de las resoluciones que dieron la razón a la presunta víctima en el proceso de cumplimiento.</w:t>
      </w:r>
      <w:r w:rsidR="00EA7177">
        <w:rPr>
          <w:rFonts w:ascii="Cambria" w:hAnsi="Cambria"/>
          <w:sz w:val="20"/>
          <w:szCs w:val="20"/>
          <w:lang w:val="es-AR"/>
        </w:rPr>
        <w:t xml:space="preserve"> </w:t>
      </w:r>
      <w:r w:rsidR="0089766F">
        <w:rPr>
          <w:rFonts w:ascii="Cambria" w:hAnsi="Cambria"/>
          <w:sz w:val="20"/>
          <w:szCs w:val="20"/>
          <w:lang w:val="es-AR"/>
        </w:rPr>
        <w:t>La parte peticionaria d</w:t>
      </w:r>
      <w:r w:rsidR="00EA7177">
        <w:rPr>
          <w:rFonts w:ascii="Cambria" w:hAnsi="Cambria"/>
          <w:sz w:val="20"/>
          <w:szCs w:val="20"/>
          <w:lang w:val="es-AR"/>
        </w:rPr>
        <w:t>estaca que</w:t>
      </w:r>
      <w:r w:rsidR="0046173B">
        <w:rPr>
          <w:rFonts w:ascii="Cambria" w:hAnsi="Cambria"/>
          <w:sz w:val="20"/>
          <w:szCs w:val="20"/>
          <w:lang w:val="es-AR"/>
        </w:rPr>
        <w:t>,</w:t>
      </w:r>
      <w:r w:rsidR="00EA7177">
        <w:rPr>
          <w:rFonts w:ascii="Cambria" w:hAnsi="Cambria"/>
          <w:sz w:val="20"/>
          <w:szCs w:val="20"/>
          <w:lang w:val="es-AR"/>
        </w:rPr>
        <w:t xml:space="preserve"> en </w:t>
      </w:r>
      <w:r w:rsidR="0089766F">
        <w:rPr>
          <w:rFonts w:ascii="Cambria" w:hAnsi="Cambria"/>
          <w:sz w:val="20"/>
          <w:szCs w:val="20"/>
          <w:lang w:val="es-AR"/>
        </w:rPr>
        <w:t>esta</w:t>
      </w:r>
      <w:r w:rsidR="00EA7177">
        <w:rPr>
          <w:rFonts w:ascii="Cambria" w:hAnsi="Cambria"/>
          <w:sz w:val="20"/>
          <w:szCs w:val="20"/>
          <w:lang w:val="es-AR"/>
        </w:rPr>
        <w:t xml:space="preserve"> decisión, a pesar de que el Tribunal </w:t>
      </w:r>
      <w:r w:rsidR="00EA7177">
        <w:rPr>
          <w:rFonts w:ascii="Cambria" w:hAnsi="Cambria"/>
          <w:sz w:val="20"/>
          <w:szCs w:val="20"/>
          <w:lang w:val="es-AR"/>
        </w:rPr>
        <w:lastRenderedPageBreak/>
        <w:t>Constitucional reconoció expresamente que la acción de amparo se interpuso de manera extemporánea, de forma arbitraria resolvió el fondo del asunto, alegando injustificadamente que la presunta víctima había cometido un abuso de derecho al momento de requerir su pensión</w:t>
      </w:r>
      <w:r w:rsidR="0046173B">
        <w:rPr>
          <w:rFonts w:ascii="Cambria" w:hAnsi="Cambria"/>
          <w:sz w:val="20"/>
          <w:szCs w:val="20"/>
          <w:lang w:val="es-AR"/>
        </w:rPr>
        <w:t>, el cual no podía ser amparado por el ordenamiento jurídico</w:t>
      </w:r>
      <w:r w:rsidR="00EA7177">
        <w:rPr>
          <w:rFonts w:ascii="Cambria" w:hAnsi="Cambria"/>
          <w:sz w:val="20"/>
          <w:szCs w:val="20"/>
          <w:lang w:val="es-AR"/>
        </w:rPr>
        <w:t xml:space="preserve">. </w:t>
      </w:r>
      <w:r w:rsidR="007E1E0C">
        <w:rPr>
          <w:rFonts w:ascii="Cambria" w:hAnsi="Cambria"/>
          <w:sz w:val="20"/>
          <w:szCs w:val="20"/>
          <w:lang w:val="es-AR"/>
        </w:rPr>
        <w:t>Asimismo, ordenó al Juzgado Mixto de Utcubamba</w:t>
      </w:r>
      <w:r w:rsidR="00B04986">
        <w:rPr>
          <w:rFonts w:ascii="Cambria" w:hAnsi="Cambria"/>
          <w:sz w:val="20"/>
          <w:szCs w:val="20"/>
          <w:lang w:val="es-AR"/>
        </w:rPr>
        <w:t>,</w:t>
      </w:r>
      <w:r w:rsidR="007E1E0C">
        <w:rPr>
          <w:rFonts w:ascii="Cambria" w:hAnsi="Cambria"/>
          <w:sz w:val="20"/>
          <w:szCs w:val="20"/>
          <w:lang w:val="es-AR"/>
        </w:rPr>
        <w:t xml:space="preserve"> y en su caso a la Sala Mixta Descentralizada de Utcubamba</w:t>
      </w:r>
      <w:r w:rsidR="00B04986">
        <w:rPr>
          <w:rFonts w:ascii="Cambria" w:hAnsi="Cambria"/>
          <w:sz w:val="20"/>
          <w:szCs w:val="20"/>
          <w:lang w:val="es-AR"/>
        </w:rPr>
        <w:t>,</w:t>
      </w:r>
      <w:r w:rsidR="007E1E0C">
        <w:rPr>
          <w:rFonts w:ascii="Cambria" w:hAnsi="Cambria"/>
          <w:sz w:val="20"/>
          <w:szCs w:val="20"/>
          <w:lang w:val="es-AR"/>
        </w:rPr>
        <w:t xml:space="preserve"> </w:t>
      </w:r>
      <w:r w:rsidR="00B04986">
        <w:rPr>
          <w:rFonts w:ascii="Cambria" w:hAnsi="Cambria"/>
          <w:sz w:val="20"/>
          <w:szCs w:val="20"/>
          <w:lang w:val="es-AR"/>
        </w:rPr>
        <w:t xml:space="preserve">que </w:t>
      </w:r>
      <w:r w:rsidR="007E1E0C">
        <w:rPr>
          <w:rFonts w:ascii="Cambria" w:hAnsi="Cambria"/>
          <w:sz w:val="20"/>
          <w:szCs w:val="20"/>
          <w:lang w:val="es-AR"/>
        </w:rPr>
        <w:t xml:space="preserve">procedan a resolver el proceso de cumplimiento iniciado por el señor Olivares con expresa vinculación a la doctrina y precedentes establecidos por el Tribunal Constitucional. </w:t>
      </w:r>
    </w:p>
    <w:p w14:paraId="1E421983" w14:textId="70B2B4A5" w:rsidR="00E30DFF" w:rsidRPr="00E30DFF" w:rsidRDefault="00E30DFF" w:rsidP="00E30DF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sidRPr="00E30DFF">
        <w:rPr>
          <w:rFonts w:ascii="Cambria" w:hAnsi="Cambria"/>
          <w:i/>
          <w:iCs/>
          <w:sz w:val="20"/>
          <w:szCs w:val="20"/>
          <w:lang w:val="es-AR"/>
        </w:rPr>
        <w:t>Consideraciones finales</w:t>
      </w:r>
    </w:p>
    <w:p w14:paraId="20A09DEA" w14:textId="3C4E0E5A" w:rsidR="00EA7177" w:rsidRPr="00EA7177" w:rsidRDefault="00EA7177" w:rsidP="00EA71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i/>
          <w:iCs/>
          <w:sz w:val="20"/>
          <w:szCs w:val="20"/>
          <w:lang w:val="es-AR"/>
        </w:rPr>
      </w:pPr>
      <w:r>
        <w:rPr>
          <w:rFonts w:ascii="Cambria" w:hAnsi="Cambria"/>
          <w:sz w:val="20"/>
          <w:szCs w:val="20"/>
          <w:lang w:val="es-AR"/>
        </w:rPr>
        <w:t>Con base en las citadas consideraciones de hecho, la parte peticionaria denuncia que el Estado dej</w:t>
      </w:r>
      <w:r w:rsidR="00B47BAB">
        <w:rPr>
          <w:rFonts w:ascii="Cambria" w:hAnsi="Cambria"/>
          <w:sz w:val="20"/>
          <w:szCs w:val="20"/>
          <w:lang w:val="es-AR"/>
        </w:rPr>
        <w:t>ó</w:t>
      </w:r>
      <w:r>
        <w:rPr>
          <w:rFonts w:ascii="Cambria" w:hAnsi="Cambria"/>
          <w:sz w:val="20"/>
          <w:szCs w:val="20"/>
          <w:lang w:val="es-AR"/>
        </w:rPr>
        <w:t xml:space="preserve"> sin efectos una resolución judicial con carácter </w:t>
      </w:r>
      <w:r w:rsidR="00B47BAB">
        <w:rPr>
          <w:rFonts w:ascii="Cambria" w:hAnsi="Cambria"/>
          <w:sz w:val="20"/>
          <w:szCs w:val="20"/>
          <w:lang w:val="es-AR"/>
        </w:rPr>
        <w:t xml:space="preserve">de </w:t>
      </w:r>
      <w:r>
        <w:rPr>
          <w:rFonts w:ascii="Cambria" w:hAnsi="Cambria"/>
          <w:sz w:val="20"/>
          <w:szCs w:val="20"/>
          <w:lang w:val="es-AR"/>
        </w:rPr>
        <w:t>cosa juzgada, toda vez que ya habían prescrito los plazos previstos por ley para impugnarla en vía constitucional. Arguye que la sentencia del Tribunal Constitucional, además de resultar arbitraria, también real</w:t>
      </w:r>
      <w:r w:rsidR="0046173B">
        <w:rPr>
          <w:rFonts w:ascii="Cambria" w:hAnsi="Cambria"/>
          <w:sz w:val="20"/>
          <w:szCs w:val="20"/>
          <w:lang w:val="es-AR"/>
        </w:rPr>
        <w:t xml:space="preserve">iza </w:t>
      </w:r>
      <w:r>
        <w:rPr>
          <w:rFonts w:ascii="Cambria" w:hAnsi="Cambria"/>
          <w:sz w:val="20"/>
          <w:szCs w:val="20"/>
          <w:lang w:val="es-AR"/>
        </w:rPr>
        <w:t>un trato diferenciado injustificado, ya que en otros casos sustancialmente similares otorgó la razón a otros expolic</w:t>
      </w:r>
      <w:r w:rsidR="00B47BAB">
        <w:rPr>
          <w:rFonts w:ascii="Cambria" w:hAnsi="Cambria"/>
          <w:sz w:val="20"/>
          <w:szCs w:val="20"/>
          <w:lang w:val="es-AR"/>
        </w:rPr>
        <w:t>ías</w:t>
      </w:r>
      <w:r>
        <w:rPr>
          <w:rFonts w:ascii="Cambria" w:hAnsi="Cambria"/>
          <w:sz w:val="20"/>
          <w:szCs w:val="20"/>
          <w:lang w:val="es-AR"/>
        </w:rPr>
        <w:t xml:space="preserve"> que también habían sido destituido de manera injustificada. </w:t>
      </w:r>
    </w:p>
    <w:p w14:paraId="3ED5659F" w14:textId="21BD0315" w:rsidR="00DE7E94" w:rsidRPr="00971808" w:rsidRDefault="00A36D9E" w:rsidP="00EA717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iCs/>
          <w:sz w:val="20"/>
          <w:szCs w:val="20"/>
          <w:lang w:val="es-AR"/>
        </w:rPr>
      </w:pPr>
      <w:r>
        <w:rPr>
          <w:rFonts w:ascii="Cambria" w:hAnsi="Cambria"/>
          <w:i/>
          <w:iCs/>
          <w:sz w:val="20"/>
          <w:szCs w:val="20"/>
          <w:lang w:val="es-AR"/>
        </w:rPr>
        <w:t>Ale</w:t>
      </w:r>
      <w:r w:rsidR="00971808" w:rsidRPr="00971808">
        <w:rPr>
          <w:rFonts w:ascii="Cambria" w:hAnsi="Cambria"/>
          <w:i/>
          <w:iCs/>
          <w:sz w:val="20"/>
          <w:szCs w:val="20"/>
          <w:lang w:val="es-AR"/>
        </w:rPr>
        <w:t>gatos del Estado</w:t>
      </w:r>
      <w:r w:rsidR="00B47BAB">
        <w:rPr>
          <w:rFonts w:ascii="Cambria" w:hAnsi="Cambria"/>
          <w:i/>
          <w:iCs/>
          <w:sz w:val="20"/>
          <w:szCs w:val="20"/>
          <w:lang w:val="es-AR"/>
        </w:rPr>
        <w:t xml:space="preserve"> peruano</w:t>
      </w:r>
    </w:p>
    <w:p w14:paraId="072CC6EC" w14:textId="57F8B8EA" w:rsidR="00DE7E94" w:rsidRDefault="00DE7E94"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Por su parte, e</w:t>
      </w:r>
      <w:r w:rsidR="00183459">
        <w:rPr>
          <w:rFonts w:ascii="Cambria" w:hAnsi="Cambria"/>
          <w:sz w:val="20"/>
          <w:szCs w:val="20"/>
          <w:lang w:val="es-AR"/>
        </w:rPr>
        <w:t>l Estado,</w:t>
      </w:r>
      <w:r>
        <w:rPr>
          <w:rFonts w:ascii="Cambria" w:hAnsi="Cambria"/>
          <w:sz w:val="20"/>
          <w:szCs w:val="20"/>
          <w:lang w:val="es-AR"/>
        </w:rPr>
        <w:t xml:space="preserve"> replica que la CIDH carece de competencia material para pronunciarse sobre presuntos incumplimientos a los artículos 4 y 7 del Protocolo de San Salvador o del Pacto Internacional de Derechos Económicos, Sociales y Culturales. </w:t>
      </w:r>
    </w:p>
    <w:p w14:paraId="5659086F" w14:textId="62036216" w:rsidR="00186918" w:rsidRDefault="0018691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Asimismo, </w:t>
      </w:r>
      <w:r w:rsidR="00D33A39">
        <w:rPr>
          <w:rFonts w:ascii="Cambria" w:hAnsi="Cambria"/>
          <w:sz w:val="20"/>
          <w:szCs w:val="20"/>
          <w:lang w:val="es-AR"/>
        </w:rPr>
        <w:t>controvierte el agotamiento de los recursos internos</w:t>
      </w:r>
      <w:r w:rsidR="0030691C">
        <w:rPr>
          <w:rFonts w:ascii="Cambria" w:hAnsi="Cambria"/>
          <w:sz w:val="20"/>
          <w:szCs w:val="20"/>
          <w:lang w:val="es-AR"/>
        </w:rPr>
        <w:t>,</w:t>
      </w:r>
      <w:r>
        <w:rPr>
          <w:rFonts w:ascii="Cambria" w:hAnsi="Cambria"/>
          <w:sz w:val="20"/>
          <w:szCs w:val="20"/>
          <w:lang w:val="es-AR"/>
        </w:rPr>
        <w:t xml:space="preserve"> </w:t>
      </w:r>
      <w:r w:rsidR="00D33A39">
        <w:rPr>
          <w:rFonts w:ascii="Cambria" w:hAnsi="Cambria"/>
          <w:sz w:val="20"/>
          <w:szCs w:val="20"/>
          <w:lang w:val="es-AR"/>
        </w:rPr>
        <w:t>sostiene</w:t>
      </w:r>
      <w:r>
        <w:rPr>
          <w:rFonts w:ascii="Cambria" w:hAnsi="Cambria"/>
          <w:sz w:val="20"/>
          <w:szCs w:val="20"/>
          <w:lang w:val="es-AR"/>
        </w:rPr>
        <w:t xml:space="preserve"> la presunta víctima debió haber iniciado un proceso administrativo contencioso en contra de la Resolución Nro. 007-87-IN/DM a efectos de cuestionar su cese de la Policía Nacional. Destaca que dicha vía resulta adecuada y eficaz, dado que su función era idónea para proteger la situación jurídica posiblemente infringida y era capaz de producir el resultado para el que ha sido concebido. Además, resalta que existe</w:t>
      </w:r>
      <w:r w:rsidR="000E6C44">
        <w:rPr>
          <w:rFonts w:ascii="Cambria" w:hAnsi="Cambria"/>
          <w:sz w:val="20"/>
          <w:szCs w:val="20"/>
          <w:lang w:val="es-AR"/>
        </w:rPr>
        <w:t>n</w:t>
      </w:r>
      <w:r>
        <w:rPr>
          <w:rFonts w:ascii="Cambria" w:hAnsi="Cambria"/>
          <w:sz w:val="20"/>
          <w:szCs w:val="20"/>
          <w:lang w:val="es-AR"/>
        </w:rPr>
        <w:t xml:space="preserve"> </w:t>
      </w:r>
      <w:r w:rsidR="000E6C44">
        <w:rPr>
          <w:rFonts w:ascii="Cambria" w:hAnsi="Cambria"/>
          <w:sz w:val="20"/>
          <w:szCs w:val="20"/>
          <w:lang w:val="es-AR"/>
        </w:rPr>
        <w:t>precedentes en la jurisprudencia en los que se</w:t>
      </w:r>
      <w:r>
        <w:rPr>
          <w:rFonts w:ascii="Cambria" w:hAnsi="Cambria"/>
          <w:sz w:val="20"/>
          <w:szCs w:val="20"/>
          <w:lang w:val="es-AR"/>
        </w:rPr>
        <w:t xml:space="preserve"> resolvieron favorablemente los intereses de</w:t>
      </w:r>
      <w:r w:rsidR="0046173B">
        <w:rPr>
          <w:rFonts w:ascii="Cambria" w:hAnsi="Cambria"/>
          <w:sz w:val="20"/>
          <w:szCs w:val="20"/>
          <w:lang w:val="es-AR"/>
        </w:rPr>
        <w:t xml:space="preserve"> las partes</w:t>
      </w:r>
      <w:r>
        <w:rPr>
          <w:rFonts w:ascii="Cambria" w:hAnsi="Cambria"/>
          <w:sz w:val="20"/>
          <w:szCs w:val="20"/>
          <w:lang w:val="es-AR"/>
        </w:rPr>
        <w:t xml:space="preserve"> demandante</w:t>
      </w:r>
      <w:r w:rsidR="0046173B">
        <w:rPr>
          <w:rFonts w:ascii="Cambria" w:hAnsi="Cambria"/>
          <w:sz w:val="20"/>
          <w:szCs w:val="20"/>
          <w:lang w:val="es-AR"/>
        </w:rPr>
        <w:t>s</w:t>
      </w:r>
      <w:r>
        <w:rPr>
          <w:rFonts w:ascii="Cambria" w:hAnsi="Cambria"/>
          <w:sz w:val="20"/>
          <w:szCs w:val="20"/>
          <w:lang w:val="es-AR"/>
        </w:rPr>
        <w:t xml:space="preserve"> en casos similares al presente. En consecuencia, solicita a la Comisión que declare inadmisible el presente asunto por no cumplir con el requisito previsto en el artículo 46.1.a) de la Convención Americana. </w:t>
      </w:r>
    </w:p>
    <w:p w14:paraId="433683B4" w14:textId="0F5249D6" w:rsidR="00A36D9E" w:rsidRDefault="0018691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Complementariamente, el Estado arguye que la parte peticionaria </w:t>
      </w:r>
      <w:r w:rsidR="00183459">
        <w:rPr>
          <w:rFonts w:ascii="Cambria" w:hAnsi="Cambria"/>
          <w:sz w:val="20"/>
          <w:szCs w:val="20"/>
          <w:lang w:val="es-AR"/>
        </w:rPr>
        <w:t xml:space="preserve">pretende que la Comisión actúe como un tribunal de alzada, en contravención con su naturaleza complementaria, sin que exista una vulneración de derechos. </w:t>
      </w:r>
      <w:r w:rsidR="00262BDC">
        <w:rPr>
          <w:rFonts w:ascii="Cambria" w:hAnsi="Cambria"/>
          <w:sz w:val="20"/>
          <w:szCs w:val="20"/>
          <w:lang w:val="es-AR"/>
        </w:rPr>
        <w:t xml:space="preserve">Respecto al derecho a las garantías judiciales, sostiene que el hecho de que el resultado del proceso no haya sido satisfactorio para el señor Olivares no significa que los recursos existentes en el ordenamiento jurídico resulten ilusorios. </w:t>
      </w:r>
      <w:r w:rsidR="00BF251B">
        <w:rPr>
          <w:rFonts w:ascii="Cambria" w:hAnsi="Cambria"/>
          <w:sz w:val="20"/>
          <w:szCs w:val="20"/>
          <w:lang w:val="es-AR"/>
        </w:rPr>
        <w:t>Subraya</w:t>
      </w:r>
      <w:r w:rsidR="00262BDC">
        <w:rPr>
          <w:rFonts w:ascii="Cambria" w:hAnsi="Cambria"/>
          <w:sz w:val="20"/>
          <w:szCs w:val="20"/>
          <w:lang w:val="es-AR"/>
        </w:rPr>
        <w:t xml:space="preserve"> que diferentes órganos del Poder Judicial revisaron la causa hasta en cinco oportunidades, dando respuestas razonables y objetivas, por lo que no existió una vulneración al derecho a recurrir el fallo.</w:t>
      </w:r>
    </w:p>
    <w:p w14:paraId="0D0E6848" w14:textId="344CD2E7" w:rsidR="00A36D9E" w:rsidRDefault="00B849E4" w:rsidP="00A36D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Perú alega</w:t>
      </w:r>
      <w:r w:rsidR="00A36D9E">
        <w:rPr>
          <w:rFonts w:ascii="Cambria" w:hAnsi="Cambria"/>
          <w:sz w:val="20"/>
          <w:szCs w:val="20"/>
          <w:lang w:val="es-AR"/>
        </w:rPr>
        <w:t xml:space="preserve"> que la decisión del Tribunal Constitucional estuvo adecuadamente fundamentada, toda vez que constató que el señor Oivares no cumplió con el requisito de quince años de servicios prestados al Estado para obtener el beneficio pr</w:t>
      </w:r>
      <w:r w:rsidR="00D374DF">
        <w:rPr>
          <w:rFonts w:ascii="Cambria" w:hAnsi="Cambria"/>
          <w:sz w:val="20"/>
          <w:szCs w:val="20"/>
          <w:lang w:val="es-AR"/>
        </w:rPr>
        <w:t>e</w:t>
      </w:r>
      <w:r w:rsidR="00A36D9E">
        <w:rPr>
          <w:rFonts w:ascii="Cambria" w:hAnsi="Cambria"/>
          <w:sz w:val="20"/>
          <w:szCs w:val="20"/>
          <w:lang w:val="es-AR"/>
        </w:rPr>
        <w:t>visional reclamado, conforme lo exig</w:t>
      </w:r>
      <w:r w:rsidR="00592FC5">
        <w:rPr>
          <w:rFonts w:ascii="Cambria" w:hAnsi="Cambria"/>
          <w:sz w:val="20"/>
          <w:szCs w:val="20"/>
          <w:lang w:val="es-AR"/>
        </w:rPr>
        <w:t xml:space="preserve">ía </w:t>
      </w:r>
      <w:r w:rsidR="00A36D9E">
        <w:rPr>
          <w:rFonts w:ascii="Cambria" w:hAnsi="Cambria"/>
          <w:sz w:val="20"/>
          <w:szCs w:val="20"/>
          <w:lang w:val="es-AR"/>
        </w:rPr>
        <w:t xml:space="preserve">el Decreto Ley Nro. 19846. Así, tal decisión no transgredió ninguna normativa procesal o material, pues declaró nulas las resoluciones que beneficiaban a la presunta víctima al constatar que eran abiertamente irrazonables y configuraban un abuso de derecho, </w:t>
      </w:r>
      <w:r w:rsidR="0046173B">
        <w:rPr>
          <w:rFonts w:ascii="Cambria" w:hAnsi="Cambria"/>
          <w:sz w:val="20"/>
          <w:szCs w:val="20"/>
          <w:lang w:val="es-AR"/>
        </w:rPr>
        <w:t>en tanto</w:t>
      </w:r>
      <w:r w:rsidR="00A36D9E">
        <w:rPr>
          <w:rFonts w:ascii="Cambria" w:hAnsi="Cambria"/>
          <w:sz w:val="20"/>
          <w:szCs w:val="20"/>
          <w:lang w:val="es-AR"/>
        </w:rPr>
        <w:t xml:space="preserve"> buscaban reconocer</w:t>
      </w:r>
      <w:r w:rsidR="0046173B">
        <w:rPr>
          <w:rFonts w:ascii="Cambria" w:hAnsi="Cambria"/>
          <w:sz w:val="20"/>
          <w:szCs w:val="20"/>
          <w:lang w:val="es-AR"/>
        </w:rPr>
        <w:t>le</w:t>
      </w:r>
      <w:r w:rsidR="00A36D9E">
        <w:rPr>
          <w:rFonts w:ascii="Cambria" w:hAnsi="Cambria"/>
          <w:sz w:val="20"/>
          <w:szCs w:val="20"/>
          <w:lang w:val="es-AR"/>
        </w:rPr>
        <w:t xml:space="preserve"> al señor Olivares un tiempo de servicios prestados a la Policía Nacional</w:t>
      </w:r>
      <w:r w:rsidR="008B461C">
        <w:rPr>
          <w:rFonts w:ascii="Cambria" w:hAnsi="Cambria"/>
          <w:sz w:val="20"/>
          <w:szCs w:val="20"/>
          <w:lang w:val="es-AR"/>
        </w:rPr>
        <w:t xml:space="preserve"> </w:t>
      </w:r>
      <w:r w:rsidR="00A36D9E">
        <w:rPr>
          <w:rFonts w:ascii="Cambria" w:hAnsi="Cambria"/>
          <w:sz w:val="20"/>
          <w:szCs w:val="20"/>
          <w:lang w:val="es-AR"/>
        </w:rPr>
        <w:t xml:space="preserve">de 30 años, así como una pensión equivalente a las remuneraciones pensionales mensuales de un Teniente General en actividad, sin que se reúnan los requisitos para ello. </w:t>
      </w:r>
    </w:p>
    <w:p w14:paraId="61E24975" w14:textId="4FB3CC3D" w:rsidR="00A36D9E" w:rsidRPr="00FB7B59" w:rsidRDefault="00A36D9E" w:rsidP="00A36D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Sin perjuicio de ello, afirma que nunca se materializó un daño en perjuicio del señor Olivares producto de la citada decisión. Al respecto, informa que el 18 de marzo de 2019 el Juzgado Civil Transitorio, tras la decisión del Tribunal Constitucional, volvió a conocer el proceso de cumplimiento iniciado por el señor Olivares y consideró</w:t>
      </w:r>
      <w:r w:rsidRPr="00A36D9E">
        <w:rPr>
          <w:rFonts w:ascii="Cambria" w:hAnsi="Cambria"/>
          <w:sz w:val="20"/>
          <w:szCs w:val="20"/>
          <w:lang w:val="es-AR"/>
        </w:rPr>
        <w:t xml:space="preserve"> </w:t>
      </w:r>
      <w:r>
        <w:rPr>
          <w:rFonts w:ascii="Cambria" w:hAnsi="Cambria"/>
          <w:sz w:val="20"/>
          <w:szCs w:val="20"/>
          <w:lang w:val="es-AR"/>
        </w:rPr>
        <w:t xml:space="preserve">que la </w:t>
      </w:r>
      <w:r w:rsidRPr="002571A5">
        <w:rPr>
          <w:rFonts w:ascii="Cambria" w:hAnsi="Cambria"/>
          <w:sz w:val="20"/>
          <w:szCs w:val="20"/>
          <w:lang w:val="es-AR"/>
        </w:rPr>
        <w:t>Resolución Directoral Nro. 4700-2005-DIRREHUM</w:t>
      </w:r>
      <w:r>
        <w:rPr>
          <w:rFonts w:ascii="Cambria" w:hAnsi="Cambria"/>
          <w:sz w:val="20"/>
          <w:szCs w:val="20"/>
          <w:lang w:val="es-AR"/>
        </w:rPr>
        <w:t xml:space="preserve"> no había perdido su validez durante todo este tiempo, dado que nunca se declaró formalmente su nulidad. Con base en ello, y tras constatar que a finales de 2018 la presunta víctima había fallecido, declaró que había operado la sustracción de la materia</w:t>
      </w:r>
      <w:r w:rsidR="00DC0933">
        <w:rPr>
          <w:rFonts w:ascii="Cambria" w:hAnsi="Cambria"/>
          <w:sz w:val="20"/>
          <w:szCs w:val="20"/>
          <w:lang w:val="es-AR"/>
        </w:rPr>
        <w:t>;</w:t>
      </w:r>
      <w:r>
        <w:rPr>
          <w:rFonts w:ascii="Cambria" w:hAnsi="Cambria"/>
          <w:sz w:val="20"/>
          <w:szCs w:val="20"/>
          <w:lang w:val="es-AR"/>
        </w:rPr>
        <w:t xml:space="preserve"> </w:t>
      </w:r>
      <w:r w:rsidR="000A3268">
        <w:rPr>
          <w:rFonts w:ascii="Cambria" w:hAnsi="Cambria"/>
          <w:sz w:val="20"/>
          <w:szCs w:val="20"/>
          <w:lang w:val="es-AR"/>
        </w:rPr>
        <w:t>y,</w:t>
      </w:r>
      <w:r>
        <w:rPr>
          <w:rFonts w:ascii="Cambria" w:hAnsi="Cambria"/>
          <w:sz w:val="20"/>
          <w:szCs w:val="20"/>
          <w:lang w:val="es-AR"/>
        </w:rPr>
        <w:t xml:space="preserve"> por ende, no correspondía realizar una determinación sobre el fondo del proceso. En esa línea, el juzgado </w:t>
      </w:r>
      <w:r>
        <w:rPr>
          <w:rFonts w:ascii="Cambria" w:hAnsi="Cambria"/>
          <w:sz w:val="20"/>
          <w:szCs w:val="20"/>
          <w:lang w:val="es-AR"/>
        </w:rPr>
        <w:lastRenderedPageBreak/>
        <w:t xml:space="preserve">destacó que correspondía a los herederos legales del señor Olivares utilizar la vía administrativa pertinente en caso quisieran hacer valer sus derechos pensionarios. Posteriormente, ante la falta de impugnaciones, el 13 de agosto de 2019 el </w:t>
      </w:r>
      <w:r w:rsidRPr="00FB7B59">
        <w:rPr>
          <w:rFonts w:ascii="Cambria" w:hAnsi="Cambria"/>
          <w:sz w:val="20"/>
          <w:szCs w:val="20"/>
          <w:lang w:val="es-AR"/>
        </w:rPr>
        <w:t>citado juzgado declaró consentida</w:t>
      </w:r>
      <w:r w:rsidR="004A1322" w:rsidRPr="00FB7B59">
        <w:rPr>
          <w:rFonts w:ascii="Cambria" w:hAnsi="Cambria"/>
          <w:sz w:val="20"/>
          <w:szCs w:val="20"/>
          <w:lang w:val="es-AR"/>
        </w:rPr>
        <w:t xml:space="preserve"> tal resolución.</w:t>
      </w:r>
    </w:p>
    <w:p w14:paraId="22D93151" w14:textId="027BD662" w:rsidR="00A36D9E" w:rsidRPr="00A36D9E" w:rsidRDefault="00A36D9E" w:rsidP="00A36D9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FB7B59">
        <w:rPr>
          <w:rFonts w:ascii="Cambria" w:hAnsi="Cambria"/>
          <w:sz w:val="20"/>
          <w:szCs w:val="20"/>
          <w:lang w:val="es-AR"/>
        </w:rPr>
        <w:t>De este modo, el Estado indica que</w:t>
      </w:r>
      <w:r w:rsidR="00262BDC" w:rsidRPr="00FB7B59">
        <w:rPr>
          <w:rFonts w:ascii="Cambria" w:hAnsi="Cambria"/>
          <w:sz w:val="20"/>
          <w:szCs w:val="20"/>
          <w:lang w:val="es-AR"/>
        </w:rPr>
        <w:t xml:space="preserve"> la última decisión sobre el presente asunto no </w:t>
      </w:r>
      <w:r w:rsidR="00FB7B59" w:rsidRPr="00FB7B59">
        <w:rPr>
          <w:rFonts w:ascii="Cambria" w:hAnsi="Cambria"/>
          <w:sz w:val="20"/>
          <w:szCs w:val="20"/>
          <w:lang w:val="es-AR"/>
        </w:rPr>
        <w:t>limitó los derechos pensionarios de la presunta víctima</w:t>
      </w:r>
      <w:r w:rsidR="00B16ECD">
        <w:rPr>
          <w:rFonts w:ascii="Cambria" w:hAnsi="Cambria"/>
          <w:sz w:val="20"/>
          <w:szCs w:val="20"/>
          <w:lang w:val="es-AR"/>
        </w:rPr>
        <w:t>;</w:t>
      </w:r>
      <w:r w:rsidR="00262BDC" w:rsidRPr="00FB7B59">
        <w:rPr>
          <w:rFonts w:ascii="Cambria" w:hAnsi="Cambria"/>
          <w:sz w:val="20"/>
          <w:szCs w:val="20"/>
          <w:lang w:val="es-AR"/>
        </w:rPr>
        <w:t xml:space="preserve"> </w:t>
      </w:r>
      <w:r w:rsidR="00B16ECD">
        <w:rPr>
          <w:rFonts w:ascii="Cambria" w:hAnsi="Cambria"/>
          <w:sz w:val="20"/>
          <w:szCs w:val="20"/>
          <w:lang w:val="es-AR"/>
        </w:rPr>
        <w:t>sino que</w:t>
      </w:r>
      <w:r w:rsidR="00262BDC" w:rsidRPr="00FB7B59">
        <w:rPr>
          <w:rFonts w:ascii="Cambria" w:hAnsi="Cambria"/>
          <w:sz w:val="20"/>
          <w:szCs w:val="20"/>
          <w:lang w:val="es-AR"/>
        </w:rPr>
        <w:t xml:space="preserve">, por el contrario, corroboró que las pretensiones materializadas en su favor nunca perdieron validez. </w:t>
      </w:r>
      <w:r w:rsidR="00FB7B59">
        <w:rPr>
          <w:rFonts w:ascii="Cambria" w:hAnsi="Cambria"/>
          <w:sz w:val="20"/>
          <w:szCs w:val="20"/>
          <w:lang w:val="es-AR"/>
        </w:rPr>
        <w:t>Así</w:t>
      </w:r>
      <w:r w:rsidR="00DD6DE7" w:rsidRPr="00FB7B59">
        <w:rPr>
          <w:rFonts w:ascii="Cambria" w:hAnsi="Cambria"/>
          <w:sz w:val="20"/>
          <w:szCs w:val="20"/>
          <w:lang w:val="es-AR"/>
        </w:rPr>
        <w:t xml:space="preserve">, destaca que la presunta víctima recibió los derechos que se le reconocieron </w:t>
      </w:r>
      <w:r w:rsidRPr="00FB7B59">
        <w:rPr>
          <w:rFonts w:ascii="Cambria" w:hAnsi="Cambria"/>
          <w:sz w:val="20"/>
          <w:szCs w:val="20"/>
          <w:lang w:val="es-AR"/>
        </w:rPr>
        <w:t>hasta el día</w:t>
      </w:r>
      <w:r>
        <w:rPr>
          <w:rFonts w:ascii="Cambria" w:hAnsi="Cambria"/>
          <w:sz w:val="20"/>
          <w:szCs w:val="20"/>
          <w:lang w:val="es-AR"/>
        </w:rPr>
        <w:t xml:space="preserve"> de su fallecimiento</w:t>
      </w:r>
      <w:r w:rsidR="00DD6DE7" w:rsidRPr="00A36D9E">
        <w:rPr>
          <w:rFonts w:ascii="Cambria" w:hAnsi="Cambria"/>
          <w:sz w:val="20"/>
          <w:szCs w:val="20"/>
          <w:lang w:val="es-AR"/>
        </w:rPr>
        <w:t xml:space="preserve">. </w:t>
      </w:r>
    </w:p>
    <w:p w14:paraId="53AC4F71" w14:textId="2A32F8D1" w:rsidR="00262BDC" w:rsidRDefault="00262BDC"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Sobre la presunta afectación al principio de legalidad y retroactividad, </w:t>
      </w:r>
      <w:r w:rsidR="00B16ECD">
        <w:rPr>
          <w:rFonts w:ascii="Cambria" w:hAnsi="Cambria"/>
          <w:sz w:val="20"/>
          <w:szCs w:val="20"/>
          <w:lang w:val="es-AR"/>
        </w:rPr>
        <w:t>alega</w:t>
      </w:r>
      <w:r>
        <w:rPr>
          <w:rFonts w:ascii="Cambria" w:hAnsi="Cambria"/>
          <w:sz w:val="20"/>
          <w:szCs w:val="20"/>
          <w:lang w:val="es-AR"/>
        </w:rPr>
        <w:t xml:space="preserve"> que el contenido de dicha disposición se aleja de los hechos materia de análisis, ya que el peticionario en ningún momento estuvo inmerso en un proceso de naturaleza penal o sancionadora</w:t>
      </w:r>
      <w:r w:rsidR="0007599D">
        <w:rPr>
          <w:rFonts w:ascii="Cambria" w:hAnsi="Cambria"/>
          <w:sz w:val="20"/>
          <w:szCs w:val="20"/>
          <w:lang w:val="es-AR"/>
        </w:rPr>
        <w:t>. Por lo cual, a juicio del Estado, resulta evidente la manifiesta improcedencia de la citada disposición.</w:t>
      </w:r>
    </w:p>
    <w:p w14:paraId="75DDEA27" w14:textId="5B2440E7" w:rsidR="0007599D" w:rsidRDefault="0007599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Respecto a la alega vulneración a la protección de la honra y dignidad, refiere que el peticionario no demostró cómo se pudo configurar una afectación a dicho derecho. Sin perjuicio de ello, manifiesta que las autoridades nunca cometieron injerencias arbitrarias o abusivas en la vida privada del señor Olivares, pues nunca</w:t>
      </w:r>
      <w:r w:rsidR="00FB7B59">
        <w:rPr>
          <w:rFonts w:ascii="Cambria" w:hAnsi="Cambria"/>
          <w:sz w:val="20"/>
          <w:szCs w:val="20"/>
          <w:lang w:val="es-AR"/>
        </w:rPr>
        <w:t xml:space="preserve"> existió</w:t>
      </w:r>
      <w:r>
        <w:rPr>
          <w:rFonts w:ascii="Cambria" w:hAnsi="Cambria"/>
          <w:sz w:val="20"/>
          <w:szCs w:val="20"/>
          <w:lang w:val="es-AR"/>
        </w:rPr>
        <w:t xml:space="preserve"> algún pronunciamiento, queja o argumentos donde se mencionen asuntos relativos a su vida personal. </w:t>
      </w:r>
    </w:p>
    <w:p w14:paraId="2901F210" w14:textId="434B7C02" w:rsidR="0007599D" w:rsidRDefault="0007599D"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AR"/>
        </w:rPr>
        <w:t xml:space="preserve">En relación con el derecho a la propiedad privada, arguye que en ningún momento hubo una afectación sobre algún concepto pensionario o remunerativo de la presunta víctima, toda vez que estuvo percibiendo una pensión de cesantía hasta su fallecimiento; e incluso tras ello la Oficina Nacional de Normalización Previsional reconoció pensiones de sobrevivencia para su familia. </w:t>
      </w:r>
    </w:p>
    <w:p w14:paraId="1E47C97D" w14:textId="1D9EE433" w:rsidR="00DD6DE7" w:rsidRPr="00C279EB" w:rsidRDefault="0007599D" w:rsidP="00C279E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77710D">
        <w:rPr>
          <w:rFonts w:ascii="Cambria" w:hAnsi="Cambria"/>
          <w:sz w:val="20"/>
          <w:szCs w:val="20"/>
          <w:lang w:val="es-AR"/>
        </w:rPr>
        <w:t>Finalmente, sobre la alegada afectación al derecho a la igualdad ante la ley</w:t>
      </w:r>
      <w:r w:rsidR="00DD6DE7" w:rsidRPr="0077710D">
        <w:rPr>
          <w:rFonts w:ascii="Cambria" w:hAnsi="Cambria"/>
          <w:sz w:val="20"/>
          <w:szCs w:val="20"/>
          <w:lang w:val="es-AR"/>
        </w:rPr>
        <w:t>, resalta que la parte peticionaria no ha señalado cuál sería la norma legal que incumple el citado derecho, ni tampoco ha cuestiona</w:t>
      </w:r>
      <w:r w:rsidR="0077710D" w:rsidRPr="0077710D">
        <w:rPr>
          <w:rFonts w:ascii="Cambria" w:hAnsi="Cambria"/>
          <w:sz w:val="20"/>
          <w:szCs w:val="20"/>
          <w:lang w:val="es-AR"/>
        </w:rPr>
        <w:t xml:space="preserve">do </w:t>
      </w:r>
      <w:r w:rsidR="00DD6DE7" w:rsidRPr="0077710D">
        <w:rPr>
          <w:rFonts w:ascii="Cambria" w:hAnsi="Cambria"/>
          <w:sz w:val="20"/>
          <w:szCs w:val="20"/>
          <w:lang w:val="es-AR"/>
        </w:rPr>
        <w:t xml:space="preserve">una normativa bajo dicho argumento en la jurisdicción interna. </w:t>
      </w:r>
      <w:r w:rsidR="0077710D" w:rsidRPr="0077710D">
        <w:rPr>
          <w:rFonts w:ascii="Cambria" w:hAnsi="Cambria"/>
          <w:sz w:val="20"/>
          <w:szCs w:val="20"/>
          <w:lang w:val="es-AR"/>
        </w:rPr>
        <w:t xml:space="preserve">Argumenta </w:t>
      </w:r>
      <w:r w:rsidR="001F62B5" w:rsidRPr="0077710D">
        <w:rPr>
          <w:rFonts w:ascii="Cambria" w:hAnsi="Cambria"/>
          <w:sz w:val="20"/>
          <w:szCs w:val="20"/>
          <w:lang w:val="es-AR"/>
        </w:rPr>
        <w:t>que,</w:t>
      </w:r>
      <w:r w:rsidR="0077710D" w:rsidRPr="0077710D">
        <w:rPr>
          <w:rFonts w:ascii="Cambria" w:hAnsi="Cambria"/>
          <w:sz w:val="20"/>
          <w:szCs w:val="20"/>
          <w:lang w:val="es-AR"/>
        </w:rPr>
        <w:t xml:space="preserve"> si bien en sus observaciones adicionales la parte peticionaria </w:t>
      </w:r>
      <w:r w:rsidR="00017A07">
        <w:rPr>
          <w:rFonts w:ascii="Cambria" w:hAnsi="Cambria"/>
          <w:sz w:val="20"/>
          <w:szCs w:val="20"/>
          <w:lang w:val="es-AR"/>
        </w:rPr>
        <w:t>se</w:t>
      </w:r>
      <w:r w:rsidR="0077710D">
        <w:rPr>
          <w:rFonts w:ascii="Cambria" w:hAnsi="Cambria"/>
          <w:sz w:val="20"/>
          <w:szCs w:val="20"/>
          <w:lang w:val="es-AR"/>
        </w:rPr>
        <w:t xml:space="preserve"> refiere</w:t>
      </w:r>
      <w:r w:rsidR="00017A07">
        <w:rPr>
          <w:rFonts w:ascii="Cambria" w:hAnsi="Cambria"/>
          <w:sz w:val="20"/>
          <w:szCs w:val="20"/>
          <w:lang w:val="es-AR"/>
        </w:rPr>
        <w:t xml:space="preserve"> a</w:t>
      </w:r>
      <w:r w:rsidR="0077710D" w:rsidRPr="0077710D">
        <w:rPr>
          <w:rFonts w:ascii="Cambria" w:hAnsi="Cambria"/>
          <w:sz w:val="20"/>
          <w:szCs w:val="20"/>
          <w:lang w:val="es-AR"/>
        </w:rPr>
        <w:t xml:space="preserve"> la existencia de dos casos de comandantes </w:t>
      </w:r>
      <w:r w:rsidR="0077710D">
        <w:rPr>
          <w:rFonts w:ascii="Cambria" w:hAnsi="Cambria"/>
          <w:sz w:val="20"/>
          <w:szCs w:val="20"/>
          <w:lang w:val="es-AR"/>
        </w:rPr>
        <w:t>que, a su juicio, estaban en situaciones materialmente similares a la presunta víctima y, a pesar de ello, el Tribunal Constitucional falló de manera diferente, estos alegatos son genéricos y sin detallar el fondo de cada una de las demandas. Así, resalta que la situación de dichas personas difiere sustancialmente del caso del peticionario</w:t>
      </w:r>
      <w:r w:rsidR="001A0469">
        <w:rPr>
          <w:rFonts w:ascii="Cambria" w:hAnsi="Cambria"/>
          <w:sz w:val="20"/>
          <w:szCs w:val="20"/>
          <w:lang w:val="es-AR"/>
        </w:rPr>
        <w:t>;</w:t>
      </w:r>
      <w:r w:rsidR="0077710D">
        <w:rPr>
          <w:rFonts w:ascii="Cambria" w:hAnsi="Cambria"/>
          <w:sz w:val="20"/>
          <w:szCs w:val="20"/>
          <w:lang w:val="es-AR"/>
        </w:rPr>
        <w:t xml:space="preserve"> </w:t>
      </w:r>
      <w:r w:rsidR="000A3268">
        <w:rPr>
          <w:rFonts w:ascii="Cambria" w:hAnsi="Cambria"/>
          <w:sz w:val="20"/>
          <w:szCs w:val="20"/>
          <w:lang w:val="es-AR"/>
        </w:rPr>
        <w:t>y,</w:t>
      </w:r>
      <w:r w:rsidR="0077710D">
        <w:rPr>
          <w:rFonts w:ascii="Cambria" w:hAnsi="Cambria"/>
          <w:sz w:val="20"/>
          <w:szCs w:val="20"/>
          <w:lang w:val="es-AR"/>
        </w:rPr>
        <w:t xml:space="preserve"> por ende, el Tribunal Constitucional resolvió </w:t>
      </w:r>
      <w:r w:rsidR="00FB7B59">
        <w:rPr>
          <w:rFonts w:ascii="Cambria" w:hAnsi="Cambria"/>
          <w:sz w:val="20"/>
          <w:szCs w:val="20"/>
          <w:lang w:val="es-AR"/>
        </w:rPr>
        <w:t xml:space="preserve">válidamente </w:t>
      </w:r>
      <w:r w:rsidR="0077710D">
        <w:rPr>
          <w:rFonts w:ascii="Cambria" w:hAnsi="Cambria"/>
          <w:sz w:val="20"/>
          <w:szCs w:val="20"/>
          <w:lang w:val="es-AR"/>
        </w:rPr>
        <w:t xml:space="preserve">de manera diferente. </w:t>
      </w:r>
      <w:r w:rsidR="00DD6DE7" w:rsidRPr="00C279EB">
        <w:rPr>
          <w:rFonts w:ascii="Cambria" w:hAnsi="Cambria"/>
          <w:sz w:val="20"/>
          <w:szCs w:val="20"/>
          <w:lang w:val="es-AR"/>
        </w:rPr>
        <w:t xml:space="preserve">En consecuencia, el Estado considera que no existen elementos que acrediten una afectación </w:t>
      </w:r>
      <w:r w:rsidR="00E8359C">
        <w:rPr>
          <w:rFonts w:ascii="Cambria" w:hAnsi="Cambria"/>
          <w:sz w:val="20"/>
          <w:szCs w:val="20"/>
          <w:lang w:val="es-AR"/>
        </w:rPr>
        <w:t>a la citada norma</w:t>
      </w:r>
      <w:r w:rsidR="00DD6DE7" w:rsidRPr="00C279EB">
        <w:rPr>
          <w:rFonts w:ascii="Cambria" w:hAnsi="Cambria"/>
          <w:sz w:val="20"/>
          <w:szCs w:val="20"/>
          <w:lang w:val="es-AR"/>
        </w:rPr>
        <w:t xml:space="preserve"> de la Convención. </w:t>
      </w:r>
    </w:p>
    <w:p w14:paraId="6F4D4171" w14:textId="61F41104"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422ABD14" w14:textId="1706CC41" w:rsidR="00AC3711" w:rsidRPr="005C0098" w:rsidRDefault="00FB7B59" w:rsidP="009249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0098">
        <w:rPr>
          <w:rFonts w:ascii="Cambria" w:hAnsi="Cambria"/>
          <w:sz w:val="20"/>
          <w:szCs w:val="20"/>
          <w:lang w:val="es-ES"/>
        </w:rPr>
        <w:t>En el presente caso, la Comisión observa que el reclamo principal de la petición se sustenta en alegada afectación al derecho a la cosa juzgada y a la seguridad social, debido a que el</w:t>
      </w:r>
      <w:r w:rsidRPr="005C0098">
        <w:rPr>
          <w:rFonts w:ascii="Cambria" w:hAnsi="Cambria"/>
          <w:sz w:val="20"/>
          <w:szCs w:val="20"/>
          <w:lang w:val="es-AR"/>
        </w:rPr>
        <w:t xml:space="preserve"> 10 de junio de 2010 el Tribunal Constitucional</w:t>
      </w:r>
      <w:r w:rsidRPr="005C0098">
        <w:rPr>
          <w:rFonts w:ascii="Cambria" w:hAnsi="Cambria"/>
          <w:sz w:val="20"/>
          <w:szCs w:val="20"/>
          <w:lang w:val="es-ES"/>
        </w:rPr>
        <w:t xml:space="preserve"> revocó la sentencia que ordenaba la entrega de una determinada pensión y reconocimiento de grado de teniente a la presunta víctima. Al respecto, </w:t>
      </w:r>
      <w:r w:rsidR="0092492C" w:rsidRPr="005C0098">
        <w:rPr>
          <w:rFonts w:ascii="Cambria" w:hAnsi="Cambria"/>
          <w:sz w:val="20"/>
          <w:szCs w:val="20"/>
          <w:lang w:val="es-ES"/>
        </w:rPr>
        <w:t>la Comisión nota</w:t>
      </w:r>
      <w:r w:rsidRPr="005C0098">
        <w:rPr>
          <w:rFonts w:ascii="Cambria" w:hAnsi="Cambria"/>
          <w:sz w:val="20"/>
          <w:szCs w:val="20"/>
          <w:lang w:val="es-ES"/>
        </w:rPr>
        <w:t xml:space="preserve"> que el Tribunal Constitucional es el máximo órgano de justicia constitucional del país</w:t>
      </w:r>
      <w:r w:rsidR="007D3D38" w:rsidRPr="005C0098">
        <w:rPr>
          <w:rFonts w:ascii="Cambria" w:hAnsi="Cambria"/>
          <w:sz w:val="20"/>
          <w:szCs w:val="20"/>
          <w:lang w:val="es-ES"/>
        </w:rPr>
        <w:t>,</w:t>
      </w:r>
      <w:r w:rsidR="0092492C" w:rsidRPr="005C0098">
        <w:rPr>
          <w:rFonts w:ascii="Cambria" w:hAnsi="Cambria"/>
          <w:sz w:val="20"/>
          <w:szCs w:val="20"/>
          <w:lang w:val="es-ES"/>
        </w:rPr>
        <w:t xml:space="preserve"> </w:t>
      </w:r>
      <w:r w:rsidR="007D3D38" w:rsidRPr="005C0098">
        <w:rPr>
          <w:rFonts w:ascii="Cambria" w:hAnsi="Cambria"/>
          <w:sz w:val="20"/>
          <w:szCs w:val="20"/>
          <w:lang w:val="es-ES"/>
        </w:rPr>
        <w:t>n</w:t>
      </w:r>
      <w:r w:rsidRPr="005C0098">
        <w:rPr>
          <w:rFonts w:ascii="Cambria" w:hAnsi="Cambria"/>
          <w:sz w:val="20"/>
          <w:szCs w:val="20"/>
          <w:lang w:val="es-ES"/>
        </w:rPr>
        <w:t>o exist</w:t>
      </w:r>
      <w:r w:rsidR="007D3D38" w:rsidRPr="005C0098">
        <w:rPr>
          <w:rFonts w:ascii="Cambria" w:hAnsi="Cambria"/>
          <w:sz w:val="20"/>
          <w:szCs w:val="20"/>
          <w:lang w:val="es-ES"/>
        </w:rPr>
        <w:t>iendo</w:t>
      </w:r>
      <w:r w:rsidRPr="005C0098">
        <w:rPr>
          <w:rFonts w:ascii="Cambria" w:hAnsi="Cambria"/>
          <w:sz w:val="20"/>
          <w:szCs w:val="20"/>
          <w:lang w:val="es-ES"/>
        </w:rPr>
        <w:t xml:space="preserve"> en el ordenamiento </w:t>
      </w:r>
      <w:r w:rsidR="0092492C" w:rsidRPr="005C0098">
        <w:rPr>
          <w:rFonts w:ascii="Cambria" w:hAnsi="Cambria"/>
          <w:sz w:val="20"/>
          <w:szCs w:val="20"/>
          <w:lang w:val="es-ES"/>
        </w:rPr>
        <w:t>jurídico peruano</w:t>
      </w:r>
      <w:r w:rsidRPr="005C0098">
        <w:rPr>
          <w:rFonts w:ascii="Cambria" w:hAnsi="Cambria"/>
          <w:sz w:val="20"/>
          <w:szCs w:val="20"/>
          <w:lang w:val="es-ES"/>
        </w:rPr>
        <w:t xml:space="preserve"> un recurso que permita cuestionar sus decisiones. En ese sentido, la Comisión considera que</w:t>
      </w:r>
      <w:r w:rsidR="00145CE9" w:rsidRPr="005C0098">
        <w:rPr>
          <w:rFonts w:ascii="Cambria" w:hAnsi="Cambria"/>
          <w:sz w:val="20"/>
          <w:szCs w:val="20"/>
          <w:lang w:val="es-ES"/>
        </w:rPr>
        <w:t xml:space="preserve"> </w:t>
      </w:r>
      <w:r w:rsidR="0092492C" w:rsidRPr="005C0098">
        <w:rPr>
          <w:rFonts w:ascii="Cambria" w:hAnsi="Cambria"/>
          <w:sz w:val="20"/>
          <w:szCs w:val="20"/>
          <w:lang w:val="es-ES"/>
        </w:rPr>
        <w:t>por medio de la citada sentencia se agotaron los recursos de la jurisdicción interna</w:t>
      </w:r>
      <w:r w:rsidR="00145CE9" w:rsidRPr="005C0098">
        <w:rPr>
          <w:rFonts w:ascii="Cambria" w:hAnsi="Cambria"/>
          <w:sz w:val="20"/>
          <w:szCs w:val="20"/>
          <w:lang w:val="es-ES"/>
        </w:rPr>
        <w:t>;</w:t>
      </w:r>
      <w:r w:rsidR="0092492C" w:rsidRPr="005C0098">
        <w:rPr>
          <w:rFonts w:ascii="Cambria" w:hAnsi="Cambria"/>
          <w:sz w:val="20"/>
          <w:szCs w:val="20"/>
          <w:lang w:val="es-ES"/>
        </w:rPr>
        <w:t xml:space="preserve"> </w:t>
      </w:r>
      <w:r w:rsidR="000A3268" w:rsidRPr="005C0098">
        <w:rPr>
          <w:rFonts w:ascii="Cambria" w:hAnsi="Cambria"/>
          <w:sz w:val="20"/>
          <w:szCs w:val="20"/>
          <w:lang w:val="es-ES"/>
        </w:rPr>
        <w:t>y,</w:t>
      </w:r>
      <w:r w:rsidR="0092492C" w:rsidRPr="005C0098">
        <w:rPr>
          <w:rFonts w:ascii="Cambria" w:hAnsi="Cambria"/>
          <w:sz w:val="20"/>
          <w:szCs w:val="20"/>
          <w:lang w:val="es-ES"/>
        </w:rPr>
        <w:t xml:space="preserve"> por ende, el presente asunto cumple </w:t>
      </w:r>
      <w:r w:rsidR="00145CE9" w:rsidRPr="005C0098">
        <w:rPr>
          <w:rFonts w:ascii="Cambria" w:hAnsi="Cambria"/>
          <w:sz w:val="20"/>
          <w:szCs w:val="20"/>
          <w:lang w:val="es-ES"/>
        </w:rPr>
        <w:t xml:space="preserve">con </w:t>
      </w:r>
      <w:r w:rsidR="0092492C" w:rsidRPr="005C0098">
        <w:rPr>
          <w:rFonts w:ascii="Cambria" w:hAnsi="Cambria"/>
          <w:sz w:val="20"/>
          <w:szCs w:val="20"/>
          <w:lang w:val="es-ES"/>
        </w:rPr>
        <w:t>el requisito previsto en el artículo 46.1.a)</w:t>
      </w:r>
      <w:r w:rsidR="00AC3711" w:rsidRPr="005C0098">
        <w:rPr>
          <w:rFonts w:ascii="Cambria" w:hAnsi="Cambria"/>
          <w:sz w:val="20"/>
          <w:szCs w:val="20"/>
          <w:lang w:val="es-ES"/>
        </w:rPr>
        <w:t xml:space="preserve"> de la Convención Americana</w:t>
      </w:r>
      <w:r w:rsidR="0092492C" w:rsidRPr="005C0098">
        <w:rPr>
          <w:rFonts w:ascii="Cambria" w:hAnsi="Cambria"/>
          <w:sz w:val="20"/>
          <w:szCs w:val="20"/>
          <w:lang w:val="es-ES"/>
        </w:rPr>
        <w:t xml:space="preserve">. </w:t>
      </w:r>
    </w:p>
    <w:p w14:paraId="067D78BC" w14:textId="7C611906" w:rsidR="0092492C" w:rsidRPr="005C0098" w:rsidRDefault="004B4780" w:rsidP="009249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0098">
        <w:rPr>
          <w:rFonts w:ascii="Cambria" w:hAnsi="Cambria"/>
          <w:sz w:val="20"/>
          <w:szCs w:val="20"/>
          <w:lang w:val="es-ES"/>
        </w:rPr>
        <w:t>R</w:t>
      </w:r>
      <w:r w:rsidR="0092492C" w:rsidRPr="005C0098">
        <w:rPr>
          <w:rFonts w:ascii="Cambria" w:hAnsi="Cambria"/>
          <w:sz w:val="20"/>
          <w:szCs w:val="20"/>
          <w:lang w:val="es-ES"/>
        </w:rPr>
        <w:t xml:space="preserve">especto al plazo de presentación, la Comisión </w:t>
      </w:r>
      <w:r w:rsidR="00F73C66" w:rsidRPr="005C0098">
        <w:rPr>
          <w:rFonts w:ascii="Cambria" w:hAnsi="Cambria"/>
          <w:sz w:val="20"/>
          <w:szCs w:val="20"/>
          <w:lang w:val="es-ES"/>
        </w:rPr>
        <w:t xml:space="preserve">observa </w:t>
      </w:r>
      <w:r w:rsidR="0092492C" w:rsidRPr="005C0098">
        <w:rPr>
          <w:rFonts w:ascii="Cambria" w:hAnsi="Cambria"/>
          <w:sz w:val="20"/>
          <w:szCs w:val="20"/>
          <w:lang w:val="es-ES"/>
        </w:rPr>
        <w:t xml:space="preserve">que dicha resolución </w:t>
      </w:r>
      <w:r w:rsidR="00AC3711" w:rsidRPr="005C0098">
        <w:rPr>
          <w:rFonts w:ascii="Cambria" w:hAnsi="Cambria"/>
          <w:sz w:val="20"/>
          <w:szCs w:val="20"/>
          <w:lang w:val="es-ES"/>
        </w:rPr>
        <w:t>se publicó el 10 de junio de 2010</w:t>
      </w:r>
      <w:r w:rsidR="00915A8D" w:rsidRPr="005C0098">
        <w:rPr>
          <w:rFonts w:ascii="Cambria" w:hAnsi="Cambria"/>
          <w:sz w:val="20"/>
          <w:szCs w:val="20"/>
          <w:lang w:val="es-ES"/>
        </w:rPr>
        <w:t>;</w:t>
      </w:r>
      <w:r w:rsidR="00AC3711" w:rsidRPr="005C0098">
        <w:rPr>
          <w:rFonts w:ascii="Cambria" w:hAnsi="Cambria"/>
          <w:sz w:val="20"/>
          <w:szCs w:val="20"/>
          <w:lang w:val="es-ES"/>
        </w:rPr>
        <w:t xml:space="preserve"> y la petición </w:t>
      </w:r>
      <w:r w:rsidR="00915A8D" w:rsidRPr="005C0098">
        <w:rPr>
          <w:rFonts w:ascii="Cambria" w:hAnsi="Cambria"/>
          <w:sz w:val="20"/>
          <w:szCs w:val="20"/>
          <w:lang w:val="es-ES"/>
        </w:rPr>
        <w:t xml:space="preserve">recibida en la CIDH </w:t>
      </w:r>
      <w:r w:rsidR="00AC3711" w:rsidRPr="005C0098">
        <w:rPr>
          <w:rFonts w:ascii="Cambria" w:hAnsi="Cambria"/>
          <w:sz w:val="20"/>
          <w:szCs w:val="20"/>
          <w:lang w:val="es-ES"/>
        </w:rPr>
        <w:t xml:space="preserve">mediante correo postal el </w:t>
      </w:r>
      <w:r w:rsidR="0092492C" w:rsidRPr="005C0098">
        <w:rPr>
          <w:rFonts w:ascii="Cambria" w:hAnsi="Cambria"/>
          <w:bCs/>
          <w:sz w:val="20"/>
          <w:szCs w:val="20"/>
          <w:lang w:val="es-ES"/>
        </w:rPr>
        <w:t>15 de diciembre de 2010</w:t>
      </w:r>
      <w:r w:rsidR="00AB3C4B" w:rsidRPr="005C0098">
        <w:rPr>
          <w:rFonts w:ascii="Cambria" w:hAnsi="Cambria"/>
          <w:bCs/>
          <w:sz w:val="20"/>
          <w:szCs w:val="20"/>
          <w:lang w:val="es-ES"/>
        </w:rPr>
        <w:t xml:space="preserve">; es decir, </w:t>
      </w:r>
      <w:r w:rsidR="00E91ED8" w:rsidRPr="005C0098">
        <w:rPr>
          <w:rFonts w:ascii="Cambria" w:hAnsi="Cambria"/>
          <w:bCs/>
          <w:sz w:val="20"/>
          <w:szCs w:val="20"/>
          <w:lang w:val="es-ES"/>
        </w:rPr>
        <w:t xml:space="preserve">solo </w:t>
      </w:r>
      <w:r w:rsidR="00DD4C6A" w:rsidRPr="005C0098">
        <w:rPr>
          <w:rFonts w:ascii="Cambria" w:hAnsi="Cambria"/>
          <w:bCs/>
          <w:sz w:val="20"/>
          <w:szCs w:val="20"/>
          <w:lang w:val="es-ES"/>
        </w:rPr>
        <w:t xml:space="preserve">cinco días pasados </w:t>
      </w:r>
      <w:r w:rsidR="00E91ED8" w:rsidRPr="005C0098">
        <w:rPr>
          <w:rFonts w:ascii="Cambria" w:hAnsi="Cambria"/>
          <w:bCs/>
          <w:sz w:val="20"/>
          <w:szCs w:val="20"/>
          <w:lang w:val="es-ES"/>
        </w:rPr>
        <w:t>del plazo de seis meses establecido en el artículo 46.1.b) de la Convención Americana.</w:t>
      </w:r>
    </w:p>
    <w:p w14:paraId="1DCD63CC" w14:textId="0D3CE06B" w:rsidR="001A69DE" w:rsidRPr="005C0098" w:rsidRDefault="00E91ED8" w:rsidP="001A69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5C0098">
        <w:rPr>
          <w:rFonts w:asciiTheme="majorHAnsi" w:hAnsiTheme="majorHAnsi"/>
          <w:sz w:val="20"/>
          <w:szCs w:val="20"/>
          <w:lang w:val="es-ES"/>
        </w:rPr>
        <w:t>Así, e</w:t>
      </w:r>
      <w:r w:rsidR="001A69DE" w:rsidRPr="005C0098">
        <w:rPr>
          <w:rFonts w:asciiTheme="majorHAnsi" w:hAnsiTheme="majorHAnsi"/>
          <w:sz w:val="20"/>
          <w:szCs w:val="20"/>
          <w:lang w:val="es-ES_tradnl"/>
        </w:rPr>
        <w:t xml:space="preserve">n casos como el presente en los que la petición fue recibida por correo postal la Comisión ha tenido la práctica consistente, desde sus informes 69/08 y 79/08 de Argentina, aceptar como presentadas en tiempo oportuno peticiones que se recibieron por vía postal algunos días después de los mencionados seis meses. Así, a partir de los precedentes citados del 2008, la CIDH ha </w:t>
      </w:r>
      <w:r w:rsidR="00CD218F" w:rsidRPr="005C0098">
        <w:rPr>
          <w:rFonts w:asciiTheme="majorHAnsi" w:hAnsiTheme="majorHAnsi"/>
          <w:sz w:val="20"/>
          <w:szCs w:val="20"/>
          <w:lang w:val="es-ES_tradnl"/>
        </w:rPr>
        <w:t>aceptado</w:t>
      </w:r>
      <w:r w:rsidR="001A69DE" w:rsidRPr="005C0098">
        <w:rPr>
          <w:rFonts w:asciiTheme="majorHAnsi" w:hAnsiTheme="majorHAnsi"/>
          <w:sz w:val="20"/>
          <w:szCs w:val="20"/>
          <w:lang w:val="es-ES_tradnl"/>
        </w:rPr>
        <w:t xml:space="preserve"> esta ligera flexibilidad de días indicando: “</w:t>
      </w:r>
      <w:r w:rsidR="001A69DE" w:rsidRPr="005C0098">
        <w:rPr>
          <w:rFonts w:asciiTheme="majorHAnsi" w:hAnsiTheme="majorHAnsi"/>
          <w:i/>
          <w:iCs/>
          <w:sz w:val="20"/>
          <w:szCs w:val="20"/>
          <w:lang w:val="es-ES_tradnl"/>
        </w:rPr>
        <w:t xml:space="preserve">presumiendo los días que transcurrieron mientras la petición estuvo en el correo postal, la Comisión </w:t>
      </w:r>
      <w:r w:rsidR="001A69DE" w:rsidRPr="005C0098">
        <w:rPr>
          <w:rFonts w:asciiTheme="majorHAnsi" w:hAnsiTheme="majorHAnsi"/>
          <w:i/>
          <w:iCs/>
          <w:sz w:val="20"/>
          <w:szCs w:val="20"/>
          <w:lang w:val="es-ES_tradnl"/>
        </w:rPr>
        <w:lastRenderedPageBreak/>
        <w:t>considera que la petición fue presentada de forma oportuna</w:t>
      </w:r>
      <w:r w:rsidR="001A69DE" w:rsidRPr="005C0098">
        <w:rPr>
          <w:rFonts w:asciiTheme="majorHAnsi" w:hAnsiTheme="majorHAnsi"/>
          <w:sz w:val="20"/>
          <w:szCs w:val="20"/>
          <w:lang w:val="es-ES_tradnl"/>
        </w:rPr>
        <w:t xml:space="preserve">”. La CIDH reiteró esta práctica, por ejemplo, en los informes: 115/12 de Chile, 60/14 de Paraguay, 173/17 de Argentina, 203/19 de Perú, 175/22 de Colombia y 231/22 de Argentina. En estos casos la Comisión ha aceptado hasta veintiún días en exceso del plazo de seis meses (véase Informe No. 115/12 de Chile). Esta ha sido la práctica predominante de la CIDH al respecto. </w:t>
      </w:r>
    </w:p>
    <w:p w14:paraId="42E6790C" w14:textId="737A1813" w:rsidR="004F3328" w:rsidRPr="005C0098" w:rsidRDefault="001A69DE" w:rsidP="001A69D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C0098">
        <w:rPr>
          <w:rFonts w:asciiTheme="majorHAnsi" w:hAnsiTheme="majorHAnsi"/>
          <w:sz w:val="20"/>
          <w:szCs w:val="20"/>
          <w:lang w:val="es-ES_tradnl"/>
        </w:rPr>
        <w:t xml:space="preserve">La CIDH reconoce, como lo ha señalado en el pasado, uno de </w:t>
      </w:r>
      <w:r w:rsidRPr="005C0098">
        <w:rPr>
          <w:rFonts w:ascii="Cambria" w:hAnsi="Cambria"/>
          <w:sz w:val="20"/>
          <w:szCs w:val="20"/>
          <w:lang w:val="es-ES"/>
        </w:rPr>
        <w:t>los principios sobre los que descansa el sistema interamericano de derechos humanos ciertamente es el de certeza jurídica, que es la base de la regla de los seis meses</w:t>
      </w:r>
      <w:r w:rsidRPr="005C0098">
        <w:rPr>
          <w:rStyle w:val="FootnoteReference"/>
          <w:rFonts w:ascii="Cambria" w:hAnsi="Cambria"/>
          <w:sz w:val="20"/>
          <w:szCs w:val="20"/>
          <w:lang w:val="es-ES"/>
        </w:rPr>
        <w:footnoteReference w:id="6"/>
      </w:r>
      <w:r w:rsidRPr="005C0098">
        <w:rPr>
          <w:rFonts w:ascii="Cambria" w:hAnsi="Cambria"/>
          <w:sz w:val="20"/>
          <w:szCs w:val="20"/>
          <w:lang w:val="es-ES"/>
        </w:rPr>
        <w:t>. Igualmente, recuerda que la propia Corte IDH desde su primera sentencia consideró fundamental aclarar que “</w:t>
      </w:r>
      <w:r w:rsidRPr="005C0098">
        <w:rPr>
          <w:rFonts w:ascii="Cambria" w:hAnsi="Cambria"/>
          <w:i/>
          <w:iCs/>
          <w:sz w:val="20"/>
          <w:szCs w:val="20"/>
          <w:lang w:val="es-ES"/>
        </w:rPr>
        <w:t>en la jurisdicción internacional, la inobservancia de ciertas formalidades no siempre es relevante, pues lo esencial es que se preserven las condiciones necesarias para que los derechos procesales de las partes son sean disminuidos o desequilibrados, y para que se alcancen los fines para los cuales han sido diseñados los distintos procedimientos</w:t>
      </w:r>
      <w:r w:rsidRPr="005C0098">
        <w:rPr>
          <w:rFonts w:ascii="Cambria" w:hAnsi="Cambria"/>
          <w:sz w:val="20"/>
          <w:szCs w:val="20"/>
          <w:lang w:val="es-ES"/>
        </w:rPr>
        <w:t>”</w:t>
      </w:r>
      <w:r w:rsidRPr="005C0098">
        <w:rPr>
          <w:rStyle w:val="FootnoteReference"/>
          <w:rFonts w:ascii="Cambria" w:hAnsi="Cambria"/>
          <w:sz w:val="20"/>
          <w:szCs w:val="20"/>
          <w:lang w:val="es-ES"/>
        </w:rPr>
        <w:footnoteReference w:id="7"/>
      </w:r>
      <w:r w:rsidRPr="005C0098">
        <w:rPr>
          <w:rFonts w:ascii="Cambria" w:hAnsi="Cambria"/>
          <w:sz w:val="20"/>
          <w:szCs w:val="20"/>
          <w:lang w:val="es-ES"/>
        </w:rPr>
        <w:t xml:space="preserve">. En este sentido, y valorando lo que ha sido su práctica, la Comisión Interamericana considera que aceptar una petición presentada por correo postal convencional </w:t>
      </w:r>
      <w:r w:rsidRPr="005C0098">
        <w:rPr>
          <w:rFonts w:asciiTheme="majorHAnsi" w:hAnsiTheme="majorHAnsi"/>
          <w:sz w:val="20"/>
          <w:szCs w:val="20"/>
          <w:lang w:val="es-ES_tradnl"/>
        </w:rPr>
        <w:t xml:space="preserve">que llega a sus oficinas </w:t>
      </w:r>
      <w:r w:rsidRPr="005C0098">
        <w:rPr>
          <w:rFonts w:asciiTheme="majorHAnsi" w:hAnsiTheme="majorHAnsi"/>
          <w:sz w:val="20"/>
          <w:szCs w:val="20"/>
          <w:u w:val="single"/>
          <w:lang w:val="es-ES_tradnl"/>
        </w:rPr>
        <w:t>algunos</w:t>
      </w:r>
      <w:r w:rsidRPr="005C0098">
        <w:rPr>
          <w:rFonts w:asciiTheme="majorHAnsi" w:hAnsiTheme="majorHAnsi"/>
          <w:sz w:val="20"/>
          <w:szCs w:val="20"/>
          <w:lang w:val="es-ES_tradnl"/>
        </w:rPr>
        <w:t xml:space="preserve"> </w:t>
      </w:r>
      <w:r w:rsidRPr="005C0098">
        <w:rPr>
          <w:rFonts w:asciiTheme="majorHAnsi" w:hAnsiTheme="majorHAnsi"/>
          <w:sz w:val="20"/>
          <w:szCs w:val="20"/>
          <w:u w:val="single"/>
          <w:lang w:val="es-ES_tradnl"/>
        </w:rPr>
        <w:t>días</w:t>
      </w:r>
      <w:r w:rsidRPr="005C0098">
        <w:rPr>
          <w:rFonts w:asciiTheme="majorHAnsi" w:hAnsiTheme="majorHAnsi"/>
          <w:sz w:val="20"/>
          <w:szCs w:val="20"/>
          <w:lang w:val="es-ES_tradnl"/>
        </w:rPr>
        <w:t xml:space="preserve"> después del plazo de los seis meses no afecta materialmente el equilibrio procesal de las partes ni genera incerteza jurídica en el Estado demandado. En conclusión, en el presente asunto, la Comisión observa que la petición se recibió </w:t>
      </w:r>
      <w:r w:rsidR="00E12982" w:rsidRPr="005C0098">
        <w:rPr>
          <w:rFonts w:asciiTheme="majorHAnsi" w:hAnsiTheme="majorHAnsi"/>
          <w:sz w:val="20"/>
          <w:szCs w:val="20"/>
          <w:lang w:val="es-ES_tradnl"/>
        </w:rPr>
        <w:t>cinco</w:t>
      </w:r>
      <w:r w:rsidRPr="005C0098">
        <w:rPr>
          <w:rFonts w:asciiTheme="majorHAnsi" w:hAnsiTheme="majorHAnsi"/>
          <w:sz w:val="20"/>
          <w:szCs w:val="20"/>
          <w:lang w:val="es-ES_tradnl"/>
        </w:rPr>
        <w:t xml:space="preserve"> días luego del plazo de los seis meses, estando dentro del límite de los veintiún días reconocido en sus precedentes constantes.</w:t>
      </w:r>
    </w:p>
    <w:p w14:paraId="2DFA7B60" w14:textId="447E8F55" w:rsidR="00E91ED8" w:rsidRPr="00E91ED8" w:rsidRDefault="00E91ED8" w:rsidP="00E91E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bCs/>
          <w:sz w:val="20"/>
          <w:szCs w:val="20"/>
          <w:lang w:val="es-ES"/>
        </w:rPr>
        <w:t>Con base en esta práctica constante de la CIDH; y toda vez que el Estado no cuestiona el plazo de presentación de la petición</w:t>
      </w:r>
      <w:r w:rsidR="00F713F3">
        <w:rPr>
          <w:rFonts w:ascii="Cambria" w:hAnsi="Cambria"/>
          <w:bCs/>
          <w:sz w:val="20"/>
          <w:szCs w:val="20"/>
          <w:lang w:val="es-ES"/>
        </w:rPr>
        <w:t>,</w:t>
      </w:r>
      <w:r>
        <w:rPr>
          <w:rFonts w:ascii="Cambria" w:hAnsi="Cambria"/>
          <w:bCs/>
          <w:sz w:val="20"/>
          <w:szCs w:val="20"/>
          <w:lang w:val="es-ES"/>
        </w:rPr>
        <w:t xml:space="preserve"> la Comisión considera que también se cumple con el requisito previsto en el artículo 46.1.b) de la Convención</w:t>
      </w:r>
      <w:r w:rsidR="00F713F3">
        <w:rPr>
          <w:rFonts w:ascii="Cambria" w:hAnsi="Cambria"/>
          <w:bCs/>
          <w:sz w:val="20"/>
          <w:szCs w:val="20"/>
          <w:lang w:val="es-ES"/>
        </w:rPr>
        <w:t xml:space="preserve"> Americana</w:t>
      </w:r>
      <w:r>
        <w:rPr>
          <w:rFonts w:ascii="Cambria" w:hAnsi="Cambria"/>
          <w:bCs/>
          <w:sz w:val="20"/>
          <w:szCs w:val="20"/>
          <w:lang w:val="es-ES"/>
        </w:rPr>
        <w:t xml:space="preserve">. </w:t>
      </w:r>
    </w:p>
    <w:p w14:paraId="4FFBE378" w14:textId="64322DE9"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14:paraId="46DE2B35" w14:textId="027AAA11" w:rsidR="000656FA" w:rsidRDefault="00167524" w:rsidP="000656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Comisión recuerda que, conforme a lo señalado por la Corte Interamericana, la función contenciosa del sistema interamericano tiene como finalidad proteger los derechos de personas determinadas y no resolver casos abstractos</w:t>
      </w:r>
      <w:r>
        <w:rPr>
          <w:rStyle w:val="FootnoteReference"/>
          <w:rFonts w:ascii="Cambria" w:hAnsi="Cambria"/>
          <w:sz w:val="20"/>
          <w:szCs w:val="20"/>
          <w:lang w:val="es-ES"/>
        </w:rPr>
        <w:footnoteReference w:id="8"/>
      </w:r>
      <w:r>
        <w:rPr>
          <w:rFonts w:ascii="Cambria" w:hAnsi="Cambria"/>
          <w:sz w:val="20"/>
          <w:szCs w:val="20"/>
          <w:lang w:val="es-ES"/>
        </w:rPr>
        <w:t xml:space="preserve">. En tal sentido, a juicio de la Comisión, la parte peticionaria debe demostrar en su petición </w:t>
      </w:r>
      <w:r w:rsidR="000656FA">
        <w:rPr>
          <w:rFonts w:ascii="Cambria" w:hAnsi="Cambria"/>
          <w:sz w:val="20"/>
          <w:szCs w:val="20"/>
          <w:lang w:val="es-ES"/>
        </w:rPr>
        <w:t>que se ha producido una afectación o perjuicio específico en los derechos de las presuntas víctimas y que esta resulta atribuible a un acto u omisión del Estado.</w:t>
      </w:r>
    </w:p>
    <w:p w14:paraId="75291083" w14:textId="7EF1755E" w:rsidR="000656FA" w:rsidRDefault="000656FA" w:rsidP="000656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656FA">
        <w:rPr>
          <w:rFonts w:ascii="Cambria" w:hAnsi="Cambria"/>
          <w:sz w:val="20"/>
          <w:szCs w:val="20"/>
          <w:lang w:val="es-ES"/>
        </w:rPr>
        <w:t>En el presente caso, el Estado arguye que tal perjuicio nunca ocurrió, toda vez que</w:t>
      </w:r>
      <w:r w:rsidR="0024325D">
        <w:rPr>
          <w:rFonts w:ascii="Cambria" w:hAnsi="Cambria"/>
          <w:sz w:val="20"/>
          <w:szCs w:val="20"/>
          <w:lang w:val="es-ES"/>
        </w:rPr>
        <w:t>,</w:t>
      </w:r>
      <w:r w:rsidRPr="000656FA">
        <w:rPr>
          <w:rFonts w:ascii="Cambria" w:hAnsi="Cambria"/>
          <w:sz w:val="20"/>
          <w:szCs w:val="20"/>
          <w:lang w:val="es-ES"/>
        </w:rPr>
        <w:t xml:space="preserve"> si bien el Tribunal Constitucional ordenó que se anule la sentencia que reconocía una determinada pensión en favor del señor Olivares, tal decisión nunca surtió efectos jurídicos. En esa línea, </w:t>
      </w:r>
      <w:r w:rsidR="0024325D">
        <w:rPr>
          <w:rFonts w:ascii="Cambria" w:hAnsi="Cambria"/>
          <w:sz w:val="20"/>
          <w:szCs w:val="20"/>
          <w:lang w:val="es-ES"/>
        </w:rPr>
        <w:t>se aportan</w:t>
      </w:r>
      <w:r>
        <w:rPr>
          <w:rFonts w:ascii="Cambria" w:hAnsi="Cambria"/>
          <w:sz w:val="20"/>
          <w:szCs w:val="20"/>
          <w:lang w:val="es-ES"/>
        </w:rPr>
        <w:t xml:space="preserve"> pruebas que demostrarían que </w:t>
      </w:r>
      <w:r w:rsidRPr="000656FA">
        <w:rPr>
          <w:rFonts w:ascii="Cambria" w:hAnsi="Cambria"/>
          <w:sz w:val="20"/>
          <w:szCs w:val="20"/>
          <w:lang w:val="es-AR"/>
        </w:rPr>
        <w:t xml:space="preserve">el 18 de marzo de 2019 el Juzgado Civil Transitorio, </w:t>
      </w:r>
      <w:r>
        <w:rPr>
          <w:rFonts w:ascii="Cambria" w:hAnsi="Cambria"/>
          <w:sz w:val="20"/>
          <w:szCs w:val="20"/>
          <w:lang w:val="es-AR"/>
        </w:rPr>
        <w:t xml:space="preserve">siguiendo lo resuelto por </w:t>
      </w:r>
      <w:r w:rsidRPr="000656FA">
        <w:rPr>
          <w:rFonts w:ascii="Cambria" w:hAnsi="Cambria"/>
          <w:sz w:val="20"/>
          <w:szCs w:val="20"/>
          <w:lang w:val="es-AR"/>
        </w:rPr>
        <w:t>Tribunal Constitucional, volvió a conocer el proceso de cumplimiento iniciado por el señor Olivares y c</w:t>
      </w:r>
      <w:r>
        <w:rPr>
          <w:rFonts w:ascii="Cambria" w:hAnsi="Cambria"/>
          <w:sz w:val="20"/>
          <w:szCs w:val="20"/>
          <w:lang w:val="es-AR"/>
        </w:rPr>
        <w:t>onstató</w:t>
      </w:r>
      <w:r w:rsidRPr="000656FA">
        <w:rPr>
          <w:rFonts w:ascii="Cambria" w:hAnsi="Cambria"/>
          <w:sz w:val="20"/>
          <w:szCs w:val="20"/>
          <w:lang w:val="es-AR"/>
        </w:rPr>
        <w:t xml:space="preserve"> que la Resolución Directoral Nro. 4700-2005-DIRREHUM n</w:t>
      </w:r>
      <w:r>
        <w:rPr>
          <w:rFonts w:ascii="Cambria" w:hAnsi="Cambria"/>
          <w:sz w:val="20"/>
          <w:szCs w:val="20"/>
          <w:lang w:val="es-AR"/>
        </w:rPr>
        <w:t>o</w:t>
      </w:r>
      <w:r w:rsidRPr="000656FA">
        <w:rPr>
          <w:rFonts w:ascii="Cambria" w:hAnsi="Cambria"/>
          <w:sz w:val="20"/>
          <w:szCs w:val="20"/>
          <w:lang w:val="es-AR"/>
        </w:rPr>
        <w:t xml:space="preserve"> había perdido su validez durante todo este tiempo, dado que nunca se declaró formalmente su nulidad. Con base en ello, y tras constatar que a finales de 2018 la presunta víctima había fallecido, declaró que había operado la sustracción de la materia</w:t>
      </w:r>
      <w:r w:rsidR="00AF01B8">
        <w:rPr>
          <w:rFonts w:ascii="Cambria" w:hAnsi="Cambria"/>
          <w:sz w:val="20"/>
          <w:szCs w:val="20"/>
          <w:lang w:val="es-AR"/>
        </w:rPr>
        <w:t>;</w:t>
      </w:r>
      <w:r w:rsidRPr="000656FA">
        <w:rPr>
          <w:rFonts w:ascii="Cambria" w:hAnsi="Cambria"/>
          <w:sz w:val="20"/>
          <w:szCs w:val="20"/>
          <w:lang w:val="es-AR"/>
        </w:rPr>
        <w:t xml:space="preserve"> </w:t>
      </w:r>
      <w:r w:rsidR="000A3268" w:rsidRPr="000656FA">
        <w:rPr>
          <w:rFonts w:ascii="Cambria" w:hAnsi="Cambria"/>
          <w:sz w:val="20"/>
          <w:szCs w:val="20"/>
          <w:lang w:val="es-AR"/>
        </w:rPr>
        <w:t>y,</w:t>
      </w:r>
      <w:r w:rsidRPr="000656FA">
        <w:rPr>
          <w:rFonts w:ascii="Cambria" w:hAnsi="Cambria"/>
          <w:sz w:val="20"/>
          <w:szCs w:val="20"/>
          <w:lang w:val="es-AR"/>
        </w:rPr>
        <w:t xml:space="preserve"> por ende, no correspondía realizar una determinación sobre el fondo del proceso. </w:t>
      </w:r>
      <w:r>
        <w:rPr>
          <w:rFonts w:ascii="Cambria" w:hAnsi="Cambria"/>
          <w:sz w:val="20"/>
          <w:szCs w:val="20"/>
          <w:lang w:val="es-AR"/>
        </w:rPr>
        <w:t>A</w:t>
      </w:r>
      <w:r w:rsidRPr="000656FA">
        <w:rPr>
          <w:rFonts w:ascii="Cambria" w:hAnsi="Cambria"/>
          <w:sz w:val="20"/>
          <w:szCs w:val="20"/>
          <w:lang w:val="es-AR"/>
        </w:rPr>
        <w:t>nte la falta de impugnaciones, el 13 de agosto de 2019 el citado juzgado</w:t>
      </w:r>
      <w:r>
        <w:rPr>
          <w:rFonts w:ascii="Cambria" w:hAnsi="Cambria"/>
          <w:sz w:val="20"/>
          <w:szCs w:val="20"/>
          <w:lang w:val="es-AR"/>
        </w:rPr>
        <w:t xml:space="preserve"> habría declarado</w:t>
      </w:r>
      <w:r w:rsidRPr="000656FA">
        <w:rPr>
          <w:rFonts w:ascii="Cambria" w:hAnsi="Cambria"/>
          <w:sz w:val="20"/>
          <w:szCs w:val="20"/>
          <w:lang w:val="es-AR"/>
        </w:rPr>
        <w:t xml:space="preserve"> consentida tal resolución.</w:t>
      </w:r>
      <w:r>
        <w:rPr>
          <w:rFonts w:ascii="Cambria" w:hAnsi="Cambria"/>
          <w:sz w:val="20"/>
          <w:szCs w:val="20"/>
          <w:lang w:val="es-AR"/>
        </w:rPr>
        <w:t xml:space="preserve"> Al respecto, la parte peticionaria no aporta argumentos o documentos orientados a </w:t>
      </w:r>
      <w:r w:rsidR="001523F1">
        <w:rPr>
          <w:rFonts w:ascii="Cambria" w:hAnsi="Cambria"/>
          <w:sz w:val="20"/>
          <w:szCs w:val="20"/>
          <w:lang w:val="es-AR"/>
        </w:rPr>
        <w:t>desvirtuar</w:t>
      </w:r>
      <w:r>
        <w:rPr>
          <w:rFonts w:ascii="Cambria" w:hAnsi="Cambria"/>
          <w:sz w:val="20"/>
          <w:szCs w:val="20"/>
          <w:lang w:val="es-AR"/>
        </w:rPr>
        <w:t xml:space="preserve"> lo alegado por el Estado</w:t>
      </w:r>
      <w:r w:rsidR="004167A8">
        <w:rPr>
          <w:rFonts w:ascii="Cambria" w:hAnsi="Cambria"/>
          <w:sz w:val="20"/>
          <w:szCs w:val="20"/>
          <w:lang w:val="es-AR"/>
        </w:rPr>
        <w:t xml:space="preserve">. </w:t>
      </w:r>
    </w:p>
    <w:p w14:paraId="2330ED51" w14:textId="56A7271F" w:rsidR="009663B6" w:rsidRDefault="000656FA" w:rsidP="000656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656FA">
        <w:rPr>
          <w:rFonts w:ascii="Cambria" w:hAnsi="Cambria"/>
          <w:sz w:val="20"/>
          <w:szCs w:val="20"/>
          <w:lang w:val="es-AR"/>
        </w:rPr>
        <w:t xml:space="preserve">En tal sentido, con base en la información presente en el expediente, la Comisión observa que las autoridades no </w:t>
      </w:r>
      <w:r w:rsidR="004167A8">
        <w:rPr>
          <w:rFonts w:ascii="Cambria" w:hAnsi="Cambria"/>
          <w:sz w:val="20"/>
          <w:szCs w:val="20"/>
          <w:lang w:val="es-AR"/>
        </w:rPr>
        <w:t xml:space="preserve">llegaron a ejecutar o dar efectos jurídicos a </w:t>
      </w:r>
      <w:r w:rsidRPr="000656FA">
        <w:rPr>
          <w:rFonts w:ascii="Cambria" w:hAnsi="Cambria"/>
          <w:sz w:val="20"/>
          <w:szCs w:val="20"/>
          <w:lang w:val="es-AR"/>
        </w:rPr>
        <w:t>la decisión del Tribunal Constitucional</w:t>
      </w:r>
      <w:r w:rsidR="001523F1">
        <w:rPr>
          <w:rFonts w:ascii="Cambria" w:hAnsi="Cambria"/>
          <w:sz w:val="20"/>
          <w:szCs w:val="20"/>
          <w:lang w:val="es-AR"/>
        </w:rPr>
        <w:t>;</w:t>
      </w:r>
      <w:r w:rsidRPr="000656FA">
        <w:rPr>
          <w:rFonts w:ascii="Cambria" w:hAnsi="Cambria"/>
          <w:sz w:val="20"/>
          <w:szCs w:val="20"/>
          <w:lang w:val="es-AR"/>
        </w:rPr>
        <w:t xml:space="preserve"> </w:t>
      </w:r>
      <w:r w:rsidR="000A3268" w:rsidRPr="000656FA">
        <w:rPr>
          <w:rFonts w:ascii="Cambria" w:hAnsi="Cambria"/>
          <w:sz w:val="20"/>
          <w:szCs w:val="20"/>
          <w:lang w:val="es-AR"/>
        </w:rPr>
        <w:t>y,</w:t>
      </w:r>
      <w:r w:rsidRPr="000656FA">
        <w:rPr>
          <w:rFonts w:ascii="Cambria" w:hAnsi="Cambria"/>
          <w:sz w:val="20"/>
          <w:szCs w:val="20"/>
          <w:lang w:val="es-AR"/>
        </w:rPr>
        <w:t xml:space="preserve"> por ende, no revocaron la pensión que beneficiaba a la presunta víctima</w:t>
      </w:r>
      <w:r w:rsidR="004167A8">
        <w:rPr>
          <w:rFonts w:ascii="Cambria" w:hAnsi="Cambria"/>
          <w:sz w:val="20"/>
          <w:szCs w:val="20"/>
          <w:lang w:val="es-AR"/>
        </w:rPr>
        <w:t>, o su grado como teniente</w:t>
      </w:r>
      <w:r w:rsidRPr="000656FA">
        <w:rPr>
          <w:rFonts w:ascii="Cambria" w:hAnsi="Cambria"/>
          <w:sz w:val="20"/>
          <w:szCs w:val="20"/>
          <w:lang w:val="es-AR"/>
        </w:rPr>
        <w:t xml:space="preserve">. En tal sentido, considerando que, lamentablemente, el señor Olivares falleció durante el trámite del presente asunto, la Comisión estima que el </w:t>
      </w:r>
      <w:r w:rsidR="009663B6">
        <w:rPr>
          <w:rFonts w:ascii="Cambria" w:hAnsi="Cambria"/>
          <w:sz w:val="20"/>
          <w:szCs w:val="20"/>
          <w:lang w:val="es-AR"/>
        </w:rPr>
        <w:t xml:space="preserve">reclamo fundamental planteado en la presente petición </w:t>
      </w:r>
      <w:r w:rsidRPr="000656FA">
        <w:rPr>
          <w:rFonts w:ascii="Cambria" w:hAnsi="Cambria"/>
          <w:sz w:val="20"/>
          <w:szCs w:val="20"/>
          <w:lang w:val="es-AR"/>
        </w:rPr>
        <w:t>ha devenido en abstracto, toda vez que nunca se materializó la alegada vulneración de derechos en perjuicio de la presunta víctima</w:t>
      </w:r>
      <w:r w:rsidR="009663B6">
        <w:rPr>
          <w:rFonts w:ascii="Cambria" w:hAnsi="Cambria"/>
          <w:sz w:val="20"/>
          <w:szCs w:val="20"/>
          <w:lang w:val="es-AR"/>
        </w:rPr>
        <w:t>;</w:t>
      </w:r>
      <w:r w:rsidRPr="000656FA">
        <w:rPr>
          <w:rFonts w:ascii="Cambria" w:hAnsi="Cambria"/>
          <w:sz w:val="20"/>
          <w:szCs w:val="20"/>
          <w:lang w:val="es-AR"/>
        </w:rPr>
        <w:t xml:space="preserve"> y a la fecha la sentencia cuestionada ha devenido en ineficaz. </w:t>
      </w:r>
      <w:r w:rsidR="009663B6">
        <w:rPr>
          <w:rFonts w:ascii="Cambria" w:hAnsi="Cambria"/>
          <w:sz w:val="20"/>
          <w:szCs w:val="20"/>
          <w:lang w:val="es-AR"/>
        </w:rPr>
        <w:t xml:space="preserve">Asimismo, del análisis detallado del resto de los elementos </w:t>
      </w:r>
      <w:r w:rsidR="009663B6">
        <w:rPr>
          <w:rFonts w:ascii="Cambria" w:hAnsi="Cambria"/>
          <w:sz w:val="20"/>
          <w:szCs w:val="20"/>
          <w:lang w:val="es-AR"/>
        </w:rPr>
        <w:lastRenderedPageBreak/>
        <w:t>de hecho y de derecho aportado por las partes la Comisión Interamericana no observa</w:t>
      </w:r>
      <w:r w:rsidR="000A7CA7">
        <w:rPr>
          <w:rFonts w:ascii="Cambria" w:hAnsi="Cambria"/>
          <w:sz w:val="20"/>
          <w:szCs w:val="20"/>
          <w:lang w:val="es-AR"/>
        </w:rPr>
        <w:t xml:space="preserve"> base suficiente para establecer </w:t>
      </w:r>
      <w:r w:rsidR="000A7CA7" w:rsidRPr="000A7CA7">
        <w:rPr>
          <w:rFonts w:ascii="Cambria" w:hAnsi="Cambria"/>
          <w:i/>
          <w:iCs/>
          <w:sz w:val="20"/>
          <w:szCs w:val="20"/>
          <w:lang w:val="es-AR"/>
        </w:rPr>
        <w:t>prima facie</w:t>
      </w:r>
      <w:r w:rsidR="000A7CA7">
        <w:rPr>
          <w:rFonts w:ascii="Cambria" w:hAnsi="Cambria"/>
          <w:sz w:val="20"/>
          <w:szCs w:val="20"/>
          <w:lang w:val="es-AR"/>
        </w:rPr>
        <w:t xml:space="preserve"> otras posibles violaciones a la Convención Americana, que justifiquen </w:t>
      </w:r>
      <w:r w:rsidR="006240DC">
        <w:rPr>
          <w:rFonts w:ascii="Cambria" w:hAnsi="Cambria"/>
          <w:sz w:val="20"/>
          <w:szCs w:val="20"/>
          <w:lang w:val="es-AR"/>
        </w:rPr>
        <w:t xml:space="preserve">el conocimiento del fondo de la presente petición. </w:t>
      </w:r>
    </w:p>
    <w:p w14:paraId="0BBA0D57" w14:textId="588EE67C" w:rsidR="000656FA" w:rsidRPr="000656FA" w:rsidRDefault="000656FA" w:rsidP="000656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0656FA">
        <w:rPr>
          <w:rFonts w:asciiTheme="majorHAnsi" w:hAnsiTheme="majorHAnsi"/>
          <w:bCs/>
          <w:sz w:val="20"/>
          <w:szCs w:val="20"/>
          <w:lang w:val="es-UY"/>
        </w:rPr>
        <w:t xml:space="preserve">Por las citadas razones, la Comisión </w:t>
      </w:r>
      <w:r w:rsidR="006240DC">
        <w:rPr>
          <w:rFonts w:asciiTheme="majorHAnsi" w:hAnsiTheme="majorHAnsi"/>
          <w:bCs/>
          <w:sz w:val="20"/>
          <w:szCs w:val="20"/>
          <w:lang w:val="es-UY"/>
        </w:rPr>
        <w:t xml:space="preserve">Interamericana concluye que la presente petición es inadmisible en los términos del artículo </w:t>
      </w:r>
      <w:r w:rsidRPr="000656FA">
        <w:rPr>
          <w:rFonts w:asciiTheme="majorHAnsi" w:hAnsiTheme="majorHAnsi"/>
          <w:sz w:val="20"/>
          <w:szCs w:val="20"/>
          <w:lang w:val="es-ES"/>
        </w:rPr>
        <w:t>47.b) de la Convención</w:t>
      </w:r>
      <w:r w:rsidR="006240DC">
        <w:rPr>
          <w:rFonts w:asciiTheme="majorHAnsi" w:hAnsiTheme="majorHAnsi"/>
          <w:sz w:val="20"/>
          <w:szCs w:val="20"/>
          <w:lang w:val="es-ES"/>
        </w:rPr>
        <w:t>.</w:t>
      </w:r>
      <w:r w:rsidRPr="000656FA">
        <w:rPr>
          <w:rFonts w:asciiTheme="majorHAnsi" w:hAnsiTheme="majorHAnsi"/>
          <w:sz w:val="20"/>
          <w:szCs w:val="20"/>
          <w:lang w:val="es-ES"/>
        </w:rPr>
        <w:t xml:space="preserve"> </w:t>
      </w:r>
    </w:p>
    <w:p w14:paraId="29BB41F5" w14:textId="436B7025" w:rsidR="003239B8" w:rsidRPr="000656FA" w:rsidRDefault="003239B8" w:rsidP="000656F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lang w:val="es-AR"/>
        </w:rPr>
      </w:pPr>
      <w:r w:rsidRPr="000656FA">
        <w:rPr>
          <w:rFonts w:asciiTheme="majorHAnsi" w:hAnsiTheme="majorHAnsi"/>
          <w:b/>
          <w:bCs/>
          <w:sz w:val="20"/>
          <w:szCs w:val="20"/>
          <w:lang w:val="es-ES"/>
        </w:rPr>
        <w:t xml:space="preserve">VIII. </w:t>
      </w:r>
      <w:r w:rsidRPr="000656FA">
        <w:rPr>
          <w:rFonts w:asciiTheme="majorHAnsi" w:hAnsiTheme="majorHAnsi"/>
          <w:b/>
          <w:bCs/>
          <w:sz w:val="20"/>
          <w:szCs w:val="20"/>
          <w:lang w:val="es-ES"/>
        </w:rPr>
        <w:tab/>
        <w:t>DECISIÓN</w:t>
      </w:r>
    </w:p>
    <w:p w14:paraId="570DA61C" w14:textId="21620522" w:rsidR="000419AD" w:rsidRPr="006240DC" w:rsidRDefault="000419AD" w:rsidP="000419AD">
      <w:pPr>
        <w:pStyle w:val="ListParagraph"/>
        <w:numPr>
          <w:ilvl w:val="0"/>
          <w:numId w:val="109"/>
        </w:numPr>
        <w:rPr>
          <w:rFonts w:eastAsia="Arial Unicode MS" w:cs="Times New Roman"/>
          <w:color w:val="auto"/>
          <w:sz w:val="20"/>
          <w:szCs w:val="20"/>
          <w:lang w:val="es-ES" w:eastAsia="en-US"/>
        </w:rPr>
      </w:pPr>
      <w:r w:rsidRPr="006240DC">
        <w:rPr>
          <w:rFonts w:eastAsia="Arial Unicode MS" w:cs="Times New Roman"/>
          <w:color w:val="auto"/>
          <w:sz w:val="20"/>
          <w:szCs w:val="20"/>
          <w:lang w:val="es-ES" w:eastAsia="en-US"/>
        </w:rPr>
        <w:t>Declarar inadmisible la presente petición</w:t>
      </w:r>
      <w:r w:rsidR="00A758AA" w:rsidRPr="006240DC">
        <w:rPr>
          <w:rFonts w:eastAsia="Arial Unicode MS" w:cs="Times New Roman"/>
          <w:color w:val="auto"/>
          <w:sz w:val="20"/>
          <w:szCs w:val="20"/>
          <w:lang w:val="es-ES" w:eastAsia="en-US"/>
        </w:rPr>
        <w:t>;</w:t>
      </w:r>
      <w:r w:rsidR="004A6A54" w:rsidRPr="006240DC">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6876E89E"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6AC80CA6" w14:textId="1B4A3BF5" w:rsidR="00722C9F" w:rsidRPr="00D15212" w:rsidRDefault="004761E8" w:rsidP="00D15212">
      <w:pPr>
        <w:pStyle w:val="paragraph"/>
        <w:spacing w:before="0" w:beforeAutospacing="0" w:after="0" w:afterAutospacing="0"/>
        <w:ind w:firstLine="720"/>
        <w:jc w:val="both"/>
        <w:textAlignment w:val="baseline"/>
        <w:rPr>
          <w:rStyle w:val="eop"/>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7E0185">
        <w:rPr>
          <w:rStyle w:val="normaltextrun"/>
          <w:rFonts w:ascii="Cambria" w:hAnsi="Cambria" w:cs="Segoe UI"/>
          <w:sz w:val="20"/>
          <w:szCs w:val="20"/>
          <w:lang w:val="es-CL"/>
        </w:rPr>
        <w:t>24</w:t>
      </w:r>
      <w:r>
        <w:rPr>
          <w:rStyle w:val="normaltextrun"/>
          <w:rFonts w:ascii="Cambria" w:hAnsi="Cambria" w:cs="Segoe UI"/>
          <w:sz w:val="20"/>
          <w:szCs w:val="20"/>
          <w:lang w:val="es-CL"/>
        </w:rPr>
        <w:t xml:space="preserve"> días del mes de </w:t>
      </w:r>
      <w:r w:rsidR="007E0185">
        <w:rPr>
          <w:rStyle w:val="normaltextrun"/>
          <w:rFonts w:ascii="Cambria" w:hAnsi="Cambria" w:cs="Segoe UI"/>
          <w:sz w:val="20"/>
          <w:szCs w:val="20"/>
          <w:lang w:val="es-CL"/>
        </w:rPr>
        <w:t>febrero</w:t>
      </w:r>
      <w:r>
        <w:rPr>
          <w:rStyle w:val="normaltextrun"/>
          <w:rFonts w:ascii="Cambria" w:hAnsi="Cambria" w:cs="Segoe UI"/>
          <w:sz w:val="20"/>
          <w:szCs w:val="20"/>
          <w:lang w:val="es-CL"/>
        </w:rPr>
        <w:t xml:space="preserve"> de 2023.  (Firmado): Stuardo Ralón Orellana, Primer Vicepresidente; Esmeralda Arosemena de Troitiño, Joel Hernández y Carlos Bernal Pulido, </w:t>
      </w:r>
      <w:r w:rsidR="00D15212">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722C9F" w:rsidRPr="00D1521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6015" w14:textId="77777777" w:rsidR="00640F1E" w:rsidRDefault="00640F1E">
      <w:r>
        <w:separator/>
      </w:r>
    </w:p>
  </w:endnote>
  <w:endnote w:type="continuationSeparator" w:id="0">
    <w:p w14:paraId="60B4149B" w14:textId="77777777" w:rsidR="00640F1E" w:rsidRDefault="006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3E5B" w14:textId="77777777" w:rsidR="00640F1E" w:rsidRPr="000F35ED" w:rsidRDefault="00640F1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B9B86BD" w14:textId="77777777" w:rsidR="00640F1E" w:rsidRPr="000F35ED" w:rsidRDefault="00640F1E" w:rsidP="000F35ED">
      <w:pPr>
        <w:rPr>
          <w:rFonts w:asciiTheme="majorHAnsi" w:hAnsiTheme="majorHAnsi"/>
          <w:sz w:val="16"/>
          <w:szCs w:val="16"/>
        </w:rPr>
      </w:pPr>
      <w:r w:rsidRPr="000F35ED">
        <w:rPr>
          <w:rFonts w:asciiTheme="majorHAnsi" w:hAnsiTheme="majorHAnsi"/>
          <w:sz w:val="16"/>
          <w:szCs w:val="16"/>
        </w:rPr>
        <w:separator/>
      </w:r>
    </w:p>
    <w:p w14:paraId="388CB689" w14:textId="77777777" w:rsidR="00640F1E" w:rsidRPr="000F35ED" w:rsidRDefault="00640F1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B360FDA" w14:textId="77777777" w:rsidR="00640F1E" w:rsidRPr="000F35ED" w:rsidRDefault="00640F1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0A0E0F19" w:rsidR="004A6A54" w:rsidRPr="001B630C" w:rsidRDefault="004A6A54" w:rsidP="001B630C">
      <w:pPr>
        <w:pStyle w:val="FootnoteText"/>
        <w:ind w:firstLine="720"/>
        <w:jc w:val="both"/>
        <w:rPr>
          <w:rFonts w:asciiTheme="majorHAnsi" w:hAnsiTheme="majorHAnsi"/>
          <w:sz w:val="16"/>
          <w:szCs w:val="16"/>
          <w:lang w:val="es-ES"/>
        </w:rPr>
      </w:pPr>
      <w:r w:rsidRPr="001B630C">
        <w:rPr>
          <w:rStyle w:val="FootnoteReference"/>
          <w:rFonts w:asciiTheme="majorHAnsi" w:hAnsiTheme="majorHAnsi"/>
          <w:sz w:val="16"/>
          <w:szCs w:val="16"/>
        </w:rPr>
        <w:footnoteRef/>
      </w:r>
      <w:r w:rsidRPr="001B630C">
        <w:rPr>
          <w:rFonts w:asciiTheme="majorHAnsi" w:hAnsiTheme="majorHAnsi"/>
          <w:sz w:val="16"/>
          <w:szCs w:val="16"/>
          <w:lang w:val="es-ES"/>
        </w:rPr>
        <w:t xml:space="preserve"> Conforme a lo dispuesto en el artículo 17.2.a del Reglamento de la Comisión, </w:t>
      </w:r>
      <w:r w:rsidR="006128CC" w:rsidRPr="001B630C">
        <w:rPr>
          <w:rFonts w:asciiTheme="majorHAnsi" w:hAnsiTheme="majorHAnsi"/>
          <w:sz w:val="16"/>
          <w:szCs w:val="16"/>
          <w:lang w:val="es-ES"/>
        </w:rPr>
        <w:t>la</w:t>
      </w:r>
      <w:r w:rsidRPr="001B630C">
        <w:rPr>
          <w:rFonts w:asciiTheme="majorHAnsi" w:hAnsiTheme="majorHAnsi"/>
          <w:sz w:val="16"/>
          <w:szCs w:val="16"/>
          <w:lang w:val="es-ES"/>
        </w:rPr>
        <w:t xml:space="preserve"> Comisionad</w:t>
      </w:r>
      <w:r w:rsidR="006128CC" w:rsidRPr="001B630C">
        <w:rPr>
          <w:rFonts w:asciiTheme="majorHAnsi" w:hAnsiTheme="majorHAnsi"/>
          <w:sz w:val="16"/>
          <w:szCs w:val="16"/>
          <w:lang w:val="es-ES"/>
        </w:rPr>
        <w:t>a</w:t>
      </w:r>
      <w:r w:rsidRPr="001B630C">
        <w:rPr>
          <w:rFonts w:asciiTheme="majorHAnsi" w:hAnsiTheme="majorHAnsi"/>
          <w:sz w:val="16"/>
          <w:szCs w:val="16"/>
          <w:lang w:val="es-ES"/>
        </w:rPr>
        <w:t xml:space="preserve"> </w:t>
      </w:r>
      <w:r w:rsidR="006128CC" w:rsidRPr="001B630C">
        <w:rPr>
          <w:rFonts w:asciiTheme="majorHAnsi" w:hAnsiTheme="majorHAnsi"/>
          <w:sz w:val="16"/>
          <w:szCs w:val="16"/>
          <w:lang w:val="es-ES"/>
        </w:rPr>
        <w:t>Julissa Mantilla Falcón</w:t>
      </w:r>
      <w:r w:rsidRPr="001B630C">
        <w:rPr>
          <w:rFonts w:asciiTheme="majorHAnsi" w:hAnsiTheme="majorHAnsi"/>
          <w:sz w:val="16"/>
          <w:szCs w:val="16"/>
          <w:lang w:val="es-ES"/>
        </w:rPr>
        <w:t xml:space="preserve">, de nacionalidad </w:t>
      </w:r>
      <w:r w:rsidR="006128CC" w:rsidRPr="001B630C">
        <w:rPr>
          <w:rFonts w:asciiTheme="majorHAnsi" w:hAnsiTheme="majorHAnsi"/>
          <w:sz w:val="16"/>
          <w:szCs w:val="16"/>
          <w:lang w:val="es-ES"/>
        </w:rPr>
        <w:t>peruana</w:t>
      </w:r>
      <w:r w:rsidRPr="001B630C">
        <w:rPr>
          <w:rFonts w:asciiTheme="majorHAnsi" w:hAnsiTheme="majorHAnsi"/>
          <w:sz w:val="16"/>
          <w:szCs w:val="16"/>
          <w:lang w:val="es-ES"/>
        </w:rPr>
        <w:t>, no participó en el debate ni en la decisión del presente asunto.</w:t>
      </w:r>
    </w:p>
  </w:footnote>
  <w:footnote w:id="3">
    <w:p w14:paraId="5789379B" w14:textId="0E70E38D" w:rsidR="006128CC" w:rsidRPr="001B630C" w:rsidRDefault="006128CC" w:rsidP="001B630C">
      <w:pPr>
        <w:pStyle w:val="FootnoteText"/>
        <w:ind w:firstLine="720"/>
        <w:jc w:val="both"/>
        <w:rPr>
          <w:rFonts w:asciiTheme="majorHAnsi" w:hAnsiTheme="majorHAnsi"/>
          <w:sz w:val="16"/>
          <w:szCs w:val="16"/>
          <w:lang w:val="es-US"/>
        </w:rPr>
      </w:pPr>
      <w:r w:rsidRPr="001B630C">
        <w:rPr>
          <w:rStyle w:val="FootnoteReference"/>
          <w:rFonts w:asciiTheme="majorHAnsi" w:hAnsiTheme="majorHAnsi"/>
          <w:sz w:val="16"/>
          <w:szCs w:val="16"/>
        </w:rPr>
        <w:footnoteRef/>
      </w:r>
      <w:r w:rsidRPr="001B630C">
        <w:rPr>
          <w:rFonts w:asciiTheme="majorHAnsi" w:hAnsiTheme="majorHAnsi"/>
          <w:sz w:val="16"/>
          <w:szCs w:val="16"/>
          <w:lang w:val="es-US"/>
        </w:rPr>
        <w:t xml:space="preserve"> En adelante, “la Convención” o “la Convención Americana”.</w:t>
      </w:r>
    </w:p>
  </w:footnote>
  <w:footnote w:id="4">
    <w:p w14:paraId="64082CB7" w14:textId="0DCAA8E5" w:rsidR="00183459" w:rsidRPr="001B630C" w:rsidRDefault="00183459" w:rsidP="001B630C">
      <w:pPr>
        <w:pStyle w:val="FootnoteText"/>
        <w:ind w:firstLine="720"/>
        <w:jc w:val="both"/>
        <w:rPr>
          <w:rFonts w:asciiTheme="majorHAnsi" w:hAnsiTheme="majorHAnsi"/>
          <w:sz w:val="16"/>
          <w:szCs w:val="16"/>
          <w:lang w:val="es-US"/>
        </w:rPr>
      </w:pPr>
      <w:r w:rsidRPr="001B630C">
        <w:rPr>
          <w:rStyle w:val="FootnoteReference"/>
          <w:rFonts w:asciiTheme="majorHAnsi" w:hAnsiTheme="majorHAnsi"/>
          <w:sz w:val="16"/>
          <w:szCs w:val="16"/>
        </w:rPr>
        <w:footnoteRef/>
      </w:r>
      <w:r w:rsidRPr="001B630C">
        <w:rPr>
          <w:rFonts w:asciiTheme="majorHAnsi" w:hAnsiTheme="majorHAnsi"/>
          <w:sz w:val="16"/>
          <w:szCs w:val="16"/>
          <w:lang w:val="es-US"/>
        </w:rPr>
        <w:t xml:space="preserve"> </w:t>
      </w:r>
      <w:r w:rsidR="0028711D" w:rsidRPr="001B630C">
        <w:rPr>
          <w:rFonts w:asciiTheme="majorHAnsi" w:hAnsiTheme="majorHAnsi"/>
          <w:sz w:val="16"/>
          <w:szCs w:val="16"/>
          <w:lang w:val="es-US"/>
        </w:rPr>
        <w:t>En adelante, “el Protocolo de San Salvador”</w:t>
      </w:r>
    </w:p>
  </w:footnote>
  <w:footnote w:id="5">
    <w:p w14:paraId="79F07139" w14:textId="77777777" w:rsidR="008E3BFE" w:rsidRPr="001B630C" w:rsidRDefault="008E3BFE" w:rsidP="001B630C">
      <w:pPr>
        <w:pStyle w:val="FootnoteText"/>
        <w:spacing w:after="120"/>
        <w:ind w:firstLine="720"/>
        <w:jc w:val="both"/>
        <w:rPr>
          <w:rFonts w:asciiTheme="majorHAnsi" w:hAnsiTheme="majorHAnsi"/>
          <w:sz w:val="16"/>
          <w:szCs w:val="16"/>
          <w:lang w:val="es-ES"/>
        </w:rPr>
      </w:pPr>
      <w:r w:rsidRPr="001B630C">
        <w:rPr>
          <w:rStyle w:val="FootnoteReference"/>
          <w:rFonts w:asciiTheme="majorHAnsi" w:hAnsiTheme="majorHAnsi"/>
          <w:sz w:val="16"/>
          <w:szCs w:val="16"/>
        </w:rPr>
        <w:footnoteRef/>
      </w:r>
      <w:r w:rsidRPr="001B630C">
        <w:rPr>
          <w:rFonts w:asciiTheme="majorHAnsi" w:hAnsiTheme="majorHAnsi"/>
          <w:sz w:val="16"/>
          <w:szCs w:val="16"/>
          <w:lang w:val="es-ES"/>
        </w:rPr>
        <w:t xml:space="preserve"> Las observaciones de cada parte fueron debidamente trasladadas a la parte contraria.</w:t>
      </w:r>
    </w:p>
  </w:footnote>
  <w:footnote w:id="6">
    <w:p w14:paraId="4C648D4D" w14:textId="77777777" w:rsidR="001A69DE" w:rsidRPr="002138F6" w:rsidRDefault="001A69DE" w:rsidP="001A69DE">
      <w:pPr>
        <w:pStyle w:val="FootnoteText"/>
        <w:ind w:firstLine="720"/>
        <w:jc w:val="both"/>
        <w:rPr>
          <w:rFonts w:asciiTheme="majorHAnsi" w:hAnsiTheme="majorHAnsi"/>
          <w:sz w:val="16"/>
          <w:szCs w:val="16"/>
          <w:lang w:val="es-ES"/>
        </w:rPr>
      </w:pPr>
      <w:r w:rsidRPr="002138F6">
        <w:rPr>
          <w:rStyle w:val="FootnoteReference"/>
          <w:rFonts w:asciiTheme="majorHAnsi" w:hAnsiTheme="majorHAnsi"/>
          <w:sz w:val="16"/>
          <w:szCs w:val="16"/>
        </w:rPr>
        <w:footnoteRef/>
      </w:r>
      <w:r w:rsidRPr="002138F6">
        <w:rPr>
          <w:rFonts w:asciiTheme="majorHAnsi" w:hAnsiTheme="majorHAnsi"/>
          <w:sz w:val="16"/>
          <w:szCs w:val="16"/>
          <w:lang w:val="es-ES"/>
        </w:rPr>
        <w:t xml:space="preserve"> CIDH, Informe Nº 100/06, Petición 943-04, Inadmisibilidad. Gaybor Tapia y Colón Eloy Muñoz, Ecuador, 21 de octubre de 2006, párr. 20.</w:t>
      </w:r>
    </w:p>
  </w:footnote>
  <w:footnote w:id="7">
    <w:p w14:paraId="488D9B9D" w14:textId="77777777" w:rsidR="001A69DE" w:rsidRPr="002138F6" w:rsidRDefault="001A69DE" w:rsidP="001A69DE">
      <w:pPr>
        <w:pStyle w:val="FootnoteText"/>
        <w:ind w:firstLine="720"/>
        <w:jc w:val="both"/>
        <w:rPr>
          <w:rFonts w:asciiTheme="majorHAnsi" w:hAnsiTheme="majorHAnsi"/>
          <w:sz w:val="16"/>
          <w:szCs w:val="16"/>
          <w:lang w:val="es-ES"/>
        </w:rPr>
      </w:pPr>
      <w:r w:rsidRPr="002138F6">
        <w:rPr>
          <w:rStyle w:val="FootnoteReference"/>
          <w:rFonts w:asciiTheme="majorHAnsi" w:hAnsiTheme="majorHAnsi"/>
          <w:sz w:val="16"/>
          <w:szCs w:val="16"/>
        </w:rPr>
        <w:footnoteRef/>
      </w:r>
      <w:r w:rsidRPr="00042494">
        <w:rPr>
          <w:rFonts w:asciiTheme="majorHAnsi" w:hAnsiTheme="majorHAnsi"/>
          <w:sz w:val="16"/>
          <w:szCs w:val="16"/>
          <w:lang w:val="es-ES"/>
        </w:rPr>
        <w:t xml:space="preserve"> Corte IDH. Caso Velásquez Rodríguez v. Honduras, Sentencia de 26 de junio de 1987, Excepciones Preliminares, párr. 33. </w:t>
      </w:r>
    </w:p>
  </w:footnote>
  <w:footnote w:id="8">
    <w:p w14:paraId="17D57091" w14:textId="462D6FF0" w:rsidR="004167A8" w:rsidRPr="001B630C" w:rsidRDefault="00167524" w:rsidP="001B630C">
      <w:pPr>
        <w:ind w:firstLine="720"/>
        <w:jc w:val="both"/>
        <w:rPr>
          <w:rFonts w:asciiTheme="majorHAnsi" w:eastAsia="Times New Roman" w:hAnsiTheme="majorHAnsi"/>
          <w:sz w:val="16"/>
          <w:szCs w:val="16"/>
          <w:bdr w:val="none" w:sz="0" w:space="0" w:color="auto"/>
          <w:lang w:val="es-US"/>
        </w:rPr>
      </w:pPr>
      <w:r w:rsidRPr="001B630C">
        <w:rPr>
          <w:rStyle w:val="FootnoteReference"/>
          <w:rFonts w:asciiTheme="majorHAnsi" w:hAnsiTheme="majorHAnsi"/>
          <w:sz w:val="16"/>
          <w:szCs w:val="16"/>
        </w:rPr>
        <w:footnoteRef/>
      </w:r>
      <w:r w:rsidRPr="001B630C">
        <w:rPr>
          <w:rFonts w:asciiTheme="majorHAnsi" w:hAnsiTheme="majorHAnsi"/>
          <w:sz w:val="16"/>
          <w:szCs w:val="16"/>
          <w:lang w:val="es-US"/>
        </w:rPr>
        <w:t xml:space="preserve"> </w:t>
      </w:r>
      <w:r w:rsidR="004167A8" w:rsidRPr="001B630C">
        <w:rPr>
          <w:rFonts w:asciiTheme="majorHAnsi" w:eastAsia="Times New Roman" w:hAnsiTheme="majorHAnsi" w:cs="Open Sans"/>
          <w:color w:val="494848"/>
          <w:sz w:val="16"/>
          <w:szCs w:val="16"/>
          <w:bdr w:val="none" w:sz="0" w:space="0" w:color="auto"/>
          <w:shd w:val="clear" w:color="auto" w:fill="FFFFFF"/>
          <w:lang w:val="es-US"/>
        </w:rPr>
        <w:t>Corte IDH. Responsabilidad internacional por expedición y aplicación de leyes violatorias de la Convención (Arts. 1 y 2 Convención Americana sobre Derechos Humanos). Opinión Consultiva OC-14/94 de 9 de diciembre de 1994. Serie A No. 14, párr. 49.</w:t>
      </w:r>
    </w:p>
    <w:p w14:paraId="3070E414" w14:textId="724C3A19" w:rsidR="00167524" w:rsidRPr="001B630C" w:rsidRDefault="00167524" w:rsidP="001B630C">
      <w:pPr>
        <w:pStyle w:val="FootnoteText"/>
        <w:jc w:val="both"/>
        <w:rPr>
          <w:rFonts w:asciiTheme="majorHAnsi" w:hAnsiTheme="majorHAnsi"/>
          <w:sz w:val="16"/>
          <w:szCs w:val="16"/>
          <w:lang w:val="es-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A4594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8EBAF736"/>
    <w:lvl w:ilvl="0" w:tplc="9014DF0E">
      <w:start w:val="1"/>
      <w:numFmt w:val="decimal"/>
      <w:lvlText w:val="%1."/>
      <w:lvlJc w:val="left"/>
      <w:pPr>
        <w:tabs>
          <w:tab w:val="num" w:pos="720"/>
        </w:tabs>
        <w:ind w:left="0" w:firstLine="720"/>
      </w:pPr>
      <w:rPr>
        <w:rFonts w:hint="default"/>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D68545A"/>
    <w:multiLevelType w:val="hybridMultilevel"/>
    <w:tmpl w:val="4A82D9E8"/>
    <w:lvl w:ilvl="0" w:tplc="04090001">
      <w:start w:val="1"/>
      <w:numFmt w:val="bullet"/>
      <w:lvlText w:val=""/>
      <w:lvlJc w:val="left"/>
      <w:pPr>
        <w:tabs>
          <w:tab w:val="num" w:pos="720"/>
        </w:tabs>
        <w:ind w:left="0" w:firstLine="72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42290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872813378">
    <w:abstractNumId w:val="5"/>
  </w:num>
  <w:num w:numId="3" w16cid:durableId="401412268">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28860888">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813330237">
    <w:abstractNumId w:val="7"/>
  </w:num>
  <w:num w:numId="6" w16cid:durableId="893662297">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32187907">
    <w:abstractNumId w:val="61"/>
  </w:num>
  <w:num w:numId="8" w16cid:durableId="1933658824">
    <w:abstractNumId w:val="23"/>
  </w:num>
  <w:num w:numId="9" w16cid:durableId="102309653">
    <w:abstractNumId w:val="52"/>
  </w:num>
  <w:num w:numId="10" w16cid:durableId="359858344">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9616561">
    <w:abstractNumId w:val="29"/>
  </w:num>
  <w:num w:numId="12" w16cid:durableId="1031029938">
    <w:abstractNumId w:val="59"/>
  </w:num>
  <w:num w:numId="13" w16cid:durableId="669716046">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714454448">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385763071">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2123501088">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81981762">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5453193">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70269286">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4312286">
    <w:abstractNumId w:val="8"/>
  </w:num>
  <w:num w:numId="21" w16cid:durableId="1760907783">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65501360">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526360857">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768116925">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101949704">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62936320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80383921">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941448981">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6497942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38668464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851480280">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950167288">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4915212">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470943003">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56929234">
    <w:abstractNumId w:val="19"/>
  </w:num>
  <w:num w:numId="36" w16cid:durableId="143513044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67103170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531383334">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2283443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356151706">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1230333">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382481005">
    <w:abstractNumId w:val="41"/>
  </w:num>
  <w:num w:numId="43" w16cid:durableId="101634653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142921111">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865354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47614077">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20088346">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941451639">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90381648">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95574869">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9560326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767651536">
    <w:abstractNumId w:val="46"/>
  </w:num>
  <w:num w:numId="53" w16cid:durableId="993338501">
    <w:abstractNumId w:val="0"/>
  </w:num>
  <w:num w:numId="54" w16cid:durableId="783113306">
    <w:abstractNumId w:val="40"/>
  </w:num>
  <w:num w:numId="55" w16cid:durableId="1627199839">
    <w:abstractNumId w:val="41"/>
  </w:num>
  <w:num w:numId="56" w16cid:durableId="906108081">
    <w:abstractNumId w:val="48"/>
  </w:num>
  <w:num w:numId="57" w16cid:durableId="1662195483">
    <w:abstractNumId w:val="1"/>
  </w:num>
  <w:num w:numId="58" w16cid:durableId="1422067352">
    <w:abstractNumId w:val="2"/>
  </w:num>
  <w:num w:numId="59" w16cid:durableId="728697696">
    <w:abstractNumId w:val="9"/>
  </w:num>
  <w:num w:numId="60" w16cid:durableId="532697137">
    <w:abstractNumId w:val="10"/>
  </w:num>
  <w:num w:numId="61" w16cid:durableId="1882203984">
    <w:abstractNumId w:val="11"/>
  </w:num>
  <w:num w:numId="62" w16cid:durableId="1351371818">
    <w:abstractNumId w:val="12"/>
  </w:num>
  <w:num w:numId="63" w16cid:durableId="1675113195">
    <w:abstractNumId w:val="13"/>
  </w:num>
  <w:num w:numId="64" w16cid:durableId="1955670201">
    <w:abstractNumId w:val="15"/>
  </w:num>
  <w:num w:numId="65" w16cid:durableId="574364452">
    <w:abstractNumId w:val="16"/>
  </w:num>
  <w:num w:numId="66" w16cid:durableId="223028224">
    <w:abstractNumId w:val="17"/>
  </w:num>
  <w:num w:numId="67" w16cid:durableId="839083034">
    <w:abstractNumId w:val="18"/>
  </w:num>
  <w:num w:numId="68" w16cid:durableId="1048453737">
    <w:abstractNumId w:val="20"/>
  </w:num>
  <w:num w:numId="69" w16cid:durableId="1026640194">
    <w:abstractNumId w:val="21"/>
  </w:num>
  <w:num w:numId="70" w16cid:durableId="1329288156">
    <w:abstractNumId w:val="24"/>
  </w:num>
  <w:num w:numId="71" w16cid:durableId="1809085151">
    <w:abstractNumId w:val="25"/>
  </w:num>
  <w:num w:numId="72" w16cid:durableId="1080827732">
    <w:abstractNumId w:val="26"/>
  </w:num>
  <w:num w:numId="73" w16cid:durableId="2036301683">
    <w:abstractNumId w:val="28"/>
  </w:num>
  <w:num w:numId="74" w16cid:durableId="126708259">
    <w:abstractNumId w:val="30"/>
  </w:num>
  <w:num w:numId="75" w16cid:durableId="2058167483">
    <w:abstractNumId w:val="32"/>
  </w:num>
  <w:num w:numId="76" w16cid:durableId="2058311766">
    <w:abstractNumId w:val="33"/>
  </w:num>
  <w:num w:numId="77" w16cid:durableId="410128829">
    <w:abstractNumId w:val="34"/>
  </w:num>
  <w:num w:numId="78" w16cid:durableId="1761218776">
    <w:abstractNumId w:val="35"/>
  </w:num>
  <w:num w:numId="79" w16cid:durableId="1781222947">
    <w:abstractNumId w:val="36"/>
  </w:num>
  <w:num w:numId="80" w16cid:durableId="1311638866">
    <w:abstractNumId w:val="37"/>
  </w:num>
  <w:num w:numId="81" w16cid:durableId="1285455016">
    <w:abstractNumId w:val="38"/>
  </w:num>
  <w:num w:numId="82" w16cid:durableId="1160926393">
    <w:abstractNumId w:val="43"/>
  </w:num>
  <w:num w:numId="83" w16cid:durableId="1364018377">
    <w:abstractNumId w:val="44"/>
  </w:num>
  <w:num w:numId="84" w16cid:durableId="80612354">
    <w:abstractNumId w:val="50"/>
  </w:num>
  <w:num w:numId="85" w16cid:durableId="1691254366">
    <w:abstractNumId w:val="53"/>
  </w:num>
  <w:num w:numId="86" w16cid:durableId="580339032">
    <w:abstractNumId w:val="56"/>
  </w:num>
  <w:num w:numId="87" w16cid:durableId="379717792">
    <w:abstractNumId w:val="58"/>
  </w:num>
  <w:num w:numId="88" w16cid:durableId="1044066421">
    <w:abstractNumId w:val="60"/>
  </w:num>
  <w:num w:numId="89" w16cid:durableId="2091930067">
    <w:abstractNumId w:val="62"/>
  </w:num>
  <w:num w:numId="90" w16cid:durableId="532546517">
    <w:abstractNumId w:val="63"/>
  </w:num>
  <w:num w:numId="91" w16cid:durableId="414666162">
    <w:abstractNumId w:val="64"/>
  </w:num>
  <w:num w:numId="92" w16cid:durableId="1269311212">
    <w:abstractNumId w:val="65"/>
  </w:num>
  <w:num w:numId="93" w16cid:durableId="1631939513">
    <w:abstractNumId w:val="67"/>
  </w:num>
  <w:num w:numId="94" w16cid:durableId="1834564849">
    <w:abstractNumId w:val="22"/>
  </w:num>
  <w:num w:numId="95" w16cid:durableId="205724164">
    <w:abstractNumId w:val="45"/>
  </w:num>
  <w:num w:numId="96" w16cid:durableId="949429864">
    <w:abstractNumId w:val="57"/>
  </w:num>
  <w:num w:numId="97" w16cid:durableId="288970792">
    <w:abstractNumId w:val="54"/>
  </w:num>
  <w:num w:numId="98" w16cid:durableId="952714129">
    <w:abstractNumId w:val="49"/>
  </w:num>
  <w:num w:numId="99" w16cid:durableId="1523976620">
    <w:abstractNumId w:val="39"/>
  </w:num>
  <w:num w:numId="100" w16cid:durableId="156654599">
    <w:abstractNumId w:val="3"/>
  </w:num>
  <w:num w:numId="101" w16cid:durableId="1936327866">
    <w:abstractNumId w:val="27"/>
  </w:num>
  <w:num w:numId="102" w16cid:durableId="1754089481">
    <w:abstractNumId w:val="51"/>
  </w:num>
  <w:num w:numId="103" w16cid:durableId="219633537">
    <w:abstractNumId w:val="6"/>
  </w:num>
  <w:num w:numId="104" w16cid:durableId="195585926">
    <w:abstractNumId w:val="66"/>
  </w:num>
  <w:num w:numId="105" w16cid:durableId="525605381">
    <w:abstractNumId w:val="55"/>
  </w:num>
  <w:num w:numId="106" w16cid:durableId="202910152">
    <w:abstractNumId w:val="4"/>
  </w:num>
  <w:num w:numId="107" w16cid:durableId="1026829289">
    <w:abstractNumId w:val="31"/>
  </w:num>
  <w:num w:numId="108" w16cid:durableId="681589062">
    <w:abstractNumId w:val="14"/>
  </w:num>
  <w:num w:numId="109" w16cid:durableId="546839422">
    <w:abstractNumId w:val="47"/>
  </w:num>
  <w:num w:numId="110" w16cid:durableId="1054697606">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848"/>
    <w:rsid w:val="000030EF"/>
    <w:rsid w:val="00006E1F"/>
    <w:rsid w:val="000070D7"/>
    <w:rsid w:val="000144E6"/>
    <w:rsid w:val="0001788C"/>
    <w:rsid w:val="00017A07"/>
    <w:rsid w:val="00026759"/>
    <w:rsid w:val="00031F3D"/>
    <w:rsid w:val="00032902"/>
    <w:rsid w:val="0003292A"/>
    <w:rsid w:val="000337EF"/>
    <w:rsid w:val="00040C3A"/>
    <w:rsid w:val="000419AD"/>
    <w:rsid w:val="000433C9"/>
    <w:rsid w:val="00051618"/>
    <w:rsid w:val="000656FA"/>
    <w:rsid w:val="000716C5"/>
    <w:rsid w:val="0007599D"/>
    <w:rsid w:val="00075E23"/>
    <w:rsid w:val="0009344A"/>
    <w:rsid w:val="000A3268"/>
    <w:rsid w:val="000A392E"/>
    <w:rsid w:val="000A575F"/>
    <w:rsid w:val="000A7CA7"/>
    <w:rsid w:val="000B6EE6"/>
    <w:rsid w:val="000B764F"/>
    <w:rsid w:val="000D05CB"/>
    <w:rsid w:val="000D10DB"/>
    <w:rsid w:val="000E5EB5"/>
    <w:rsid w:val="000E6C44"/>
    <w:rsid w:val="000F35ED"/>
    <w:rsid w:val="00107131"/>
    <w:rsid w:val="0010736F"/>
    <w:rsid w:val="00111A33"/>
    <w:rsid w:val="0011226C"/>
    <w:rsid w:val="00113F73"/>
    <w:rsid w:val="00121CC2"/>
    <w:rsid w:val="001248AF"/>
    <w:rsid w:val="00130603"/>
    <w:rsid w:val="00131425"/>
    <w:rsid w:val="00133EE5"/>
    <w:rsid w:val="00145CE9"/>
    <w:rsid w:val="001523F1"/>
    <w:rsid w:val="0015372C"/>
    <w:rsid w:val="00167524"/>
    <w:rsid w:val="00167A34"/>
    <w:rsid w:val="00183459"/>
    <w:rsid w:val="00186918"/>
    <w:rsid w:val="0019017E"/>
    <w:rsid w:val="001A0469"/>
    <w:rsid w:val="001A69DE"/>
    <w:rsid w:val="001A7870"/>
    <w:rsid w:val="001B3A00"/>
    <w:rsid w:val="001B630C"/>
    <w:rsid w:val="001C1B41"/>
    <w:rsid w:val="001D65EF"/>
    <w:rsid w:val="001E4563"/>
    <w:rsid w:val="001E49E7"/>
    <w:rsid w:val="001F62B5"/>
    <w:rsid w:val="001F7201"/>
    <w:rsid w:val="00223A29"/>
    <w:rsid w:val="002250A3"/>
    <w:rsid w:val="00235217"/>
    <w:rsid w:val="00237A0D"/>
    <w:rsid w:val="0024325D"/>
    <w:rsid w:val="00246D1F"/>
    <w:rsid w:val="00247403"/>
    <w:rsid w:val="00247542"/>
    <w:rsid w:val="002571A5"/>
    <w:rsid w:val="00262BDC"/>
    <w:rsid w:val="00266B61"/>
    <w:rsid w:val="0026712A"/>
    <w:rsid w:val="002704DB"/>
    <w:rsid w:val="0028711D"/>
    <w:rsid w:val="002A0AAE"/>
    <w:rsid w:val="002A5820"/>
    <w:rsid w:val="002B04CA"/>
    <w:rsid w:val="002B4477"/>
    <w:rsid w:val="002C5880"/>
    <w:rsid w:val="002D0655"/>
    <w:rsid w:val="002D2B26"/>
    <w:rsid w:val="002D4AFE"/>
    <w:rsid w:val="002D7EA2"/>
    <w:rsid w:val="002E187C"/>
    <w:rsid w:val="002F2135"/>
    <w:rsid w:val="00302733"/>
    <w:rsid w:val="00302FC4"/>
    <w:rsid w:val="0030691C"/>
    <w:rsid w:val="00314078"/>
    <w:rsid w:val="0031535D"/>
    <w:rsid w:val="00315CE1"/>
    <w:rsid w:val="003239B8"/>
    <w:rsid w:val="0033169F"/>
    <w:rsid w:val="00344977"/>
    <w:rsid w:val="00346C95"/>
    <w:rsid w:val="00354FA9"/>
    <w:rsid w:val="00356185"/>
    <w:rsid w:val="00360380"/>
    <w:rsid w:val="0037519E"/>
    <w:rsid w:val="00380605"/>
    <w:rsid w:val="003815A9"/>
    <w:rsid w:val="00386CF0"/>
    <w:rsid w:val="003A1CD1"/>
    <w:rsid w:val="003A4E61"/>
    <w:rsid w:val="003B70FB"/>
    <w:rsid w:val="003C676B"/>
    <w:rsid w:val="003D3BC2"/>
    <w:rsid w:val="003D750B"/>
    <w:rsid w:val="003E5CDC"/>
    <w:rsid w:val="003E6CA1"/>
    <w:rsid w:val="00401D83"/>
    <w:rsid w:val="00405F9C"/>
    <w:rsid w:val="004065A8"/>
    <w:rsid w:val="00406D7B"/>
    <w:rsid w:val="00411320"/>
    <w:rsid w:val="004165C2"/>
    <w:rsid w:val="004167A8"/>
    <w:rsid w:val="00430DDA"/>
    <w:rsid w:val="00441ECB"/>
    <w:rsid w:val="00445193"/>
    <w:rsid w:val="00445C2D"/>
    <w:rsid w:val="00453D87"/>
    <w:rsid w:val="0046173B"/>
    <w:rsid w:val="00462C1B"/>
    <w:rsid w:val="00467B7E"/>
    <w:rsid w:val="00473BB4"/>
    <w:rsid w:val="004761E8"/>
    <w:rsid w:val="00477592"/>
    <w:rsid w:val="00486F1C"/>
    <w:rsid w:val="00487BDD"/>
    <w:rsid w:val="0049419D"/>
    <w:rsid w:val="004A1322"/>
    <w:rsid w:val="004A204E"/>
    <w:rsid w:val="004A6A54"/>
    <w:rsid w:val="004B25EC"/>
    <w:rsid w:val="004B4780"/>
    <w:rsid w:val="004C20D2"/>
    <w:rsid w:val="004C2312"/>
    <w:rsid w:val="004C4B62"/>
    <w:rsid w:val="004C54C9"/>
    <w:rsid w:val="004D4ABA"/>
    <w:rsid w:val="004D6025"/>
    <w:rsid w:val="004E2649"/>
    <w:rsid w:val="004E4AA6"/>
    <w:rsid w:val="004F3328"/>
    <w:rsid w:val="004F626F"/>
    <w:rsid w:val="004F7BAC"/>
    <w:rsid w:val="00501399"/>
    <w:rsid w:val="0050633D"/>
    <w:rsid w:val="00507BC4"/>
    <w:rsid w:val="005128E4"/>
    <w:rsid w:val="005133DB"/>
    <w:rsid w:val="00514504"/>
    <w:rsid w:val="00525560"/>
    <w:rsid w:val="00526E9C"/>
    <w:rsid w:val="00544C49"/>
    <w:rsid w:val="00544FA4"/>
    <w:rsid w:val="005516A1"/>
    <w:rsid w:val="005559EF"/>
    <w:rsid w:val="00561409"/>
    <w:rsid w:val="00563557"/>
    <w:rsid w:val="0057402A"/>
    <w:rsid w:val="005771D0"/>
    <w:rsid w:val="00590CCB"/>
    <w:rsid w:val="0059191A"/>
    <w:rsid w:val="005921FF"/>
    <w:rsid w:val="00592FC5"/>
    <w:rsid w:val="0059522D"/>
    <w:rsid w:val="005A1DD8"/>
    <w:rsid w:val="005A24ED"/>
    <w:rsid w:val="005A6D0E"/>
    <w:rsid w:val="005B52B0"/>
    <w:rsid w:val="005B6806"/>
    <w:rsid w:val="005C0098"/>
    <w:rsid w:val="005C4225"/>
    <w:rsid w:val="005D38F9"/>
    <w:rsid w:val="005E09DC"/>
    <w:rsid w:val="005F0DAD"/>
    <w:rsid w:val="005F0F33"/>
    <w:rsid w:val="005F2111"/>
    <w:rsid w:val="00600DEB"/>
    <w:rsid w:val="00602200"/>
    <w:rsid w:val="006128CC"/>
    <w:rsid w:val="006143B7"/>
    <w:rsid w:val="0062198A"/>
    <w:rsid w:val="006240DC"/>
    <w:rsid w:val="0062455E"/>
    <w:rsid w:val="0062781E"/>
    <w:rsid w:val="00627C9F"/>
    <w:rsid w:val="00627D85"/>
    <w:rsid w:val="006311E9"/>
    <w:rsid w:val="00632354"/>
    <w:rsid w:val="00635421"/>
    <w:rsid w:val="00640F1E"/>
    <w:rsid w:val="00642810"/>
    <w:rsid w:val="00652333"/>
    <w:rsid w:val="0068009E"/>
    <w:rsid w:val="006806E1"/>
    <w:rsid w:val="00684BFC"/>
    <w:rsid w:val="00692219"/>
    <w:rsid w:val="006A0FAC"/>
    <w:rsid w:val="006A17D2"/>
    <w:rsid w:val="006A73E6"/>
    <w:rsid w:val="006B2D5C"/>
    <w:rsid w:val="006B57FA"/>
    <w:rsid w:val="006C48E9"/>
    <w:rsid w:val="006C4EB1"/>
    <w:rsid w:val="006E0166"/>
    <w:rsid w:val="006E2FFB"/>
    <w:rsid w:val="006E7B34"/>
    <w:rsid w:val="006F1FE2"/>
    <w:rsid w:val="006F5913"/>
    <w:rsid w:val="0070697F"/>
    <w:rsid w:val="00711543"/>
    <w:rsid w:val="0072199C"/>
    <w:rsid w:val="00722C9F"/>
    <w:rsid w:val="007253B8"/>
    <w:rsid w:val="0073741F"/>
    <w:rsid w:val="0074638B"/>
    <w:rsid w:val="00752641"/>
    <w:rsid w:val="0076643F"/>
    <w:rsid w:val="00767746"/>
    <w:rsid w:val="0077710D"/>
    <w:rsid w:val="00777F63"/>
    <w:rsid w:val="007A20DA"/>
    <w:rsid w:val="007A5817"/>
    <w:rsid w:val="007B05C4"/>
    <w:rsid w:val="007B60E9"/>
    <w:rsid w:val="007B6CC3"/>
    <w:rsid w:val="007B76D3"/>
    <w:rsid w:val="007C0236"/>
    <w:rsid w:val="007C282E"/>
    <w:rsid w:val="007C3334"/>
    <w:rsid w:val="007D2AF4"/>
    <w:rsid w:val="007D2B98"/>
    <w:rsid w:val="007D3D38"/>
    <w:rsid w:val="007D72D1"/>
    <w:rsid w:val="007E0185"/>
    <w:rsid w:val="007E1E0C"/>
    <w:rsid w:val="007E21BC"/>
    <w:rsid w:val="007E7C82"/>
    <w:rsid w:val="007F2AA1"/>
    <w:rsid w:val="007F5169"/>
    <w:rsid w:val="007F588D"/>
    <w:rsid w:val="00801757"/>
    <w:rsid w:val="00803F1C"/>
    <w:rsid w:val="0080600E"/>
    <w:rsid w:val="0081079C"/>
    <w:rsid w:val="00814688"/>
    <w:rsid w:val="00817612"/>
    <w:rsid w:val="00822D97"/>
    <w:rsid w:val="00823440"/>
    <w:rsid w:val="0083189F"/>
    <w:rsid w:val="008338A4"/>
    <w:rsid w:val="00834D49"/>
    <w:rsid w:val="00837C45"/>
    <w:rsid w:val="00844730"/>
    <w:rsid w:val="008457C2"/>
    <w:rsid w:val="00857A82"/>
    <w:rsid w:val="008729A1"/>
    <w:rsid w:val="00873836"/>
    <w:rsid w:val="00885737"/>
    <w:rsid w:val="0088799C"/>
    <w:rsid w:val="00890650"/>
    <w:rsid w:val="0089766F"/>
    <w:rsid w:val="00897E12"/>
    <w:rsid w:val="008A02E4"/>
    <w:rsid w:val="008A6230"/>
    <w:rsid w:val="008A7E0F"/>
    <w:rsid w:val="008B12F5"/>
    <w:rsid w:val="008B2991"/>
    <w:rsid w:val="008B461C"/>
    <w:rsid w:val="008B6BD7"/>
    <w:rsid w:val="008C5E2D"/>
    <w:rsid w:val="008D768D"/>
    <w:rsid w:val="008E3759"/>
    <w:rsid w:val="008E3BFE"/>
    <w:rsid w:val="008F1912"/>
    <w:rsid w:val="0090270B"/>
    <w:rsid w:val="009041DC"/>
    <w:rsid w:val="0091219E"/>
    <w:rsid w:val="00915A8D"/>
    <w:rsid w:val="00917B5A"/>
    <w:rsid w:val="00920A58"/>
    <w:rsid w:val="00920A8C"/>
    <w:rsid w:val="0092492C"/>
    <w:rsid w:val="00934A2C"/>
    <w:rsid w:val="009373EC"/>
    <w:rsid w:val="00951EB1"/>
    <w:rsid w:val="009663B6"/>
    <w:rsid w:val="0096706E"/>
    <w:rsid w:val="00971808"/>
    <w:rsid w:val="00974491"/>
    <w:rsid w:val="00975C4E"/>
    <w:rsid w:val="00981FBA"/>
    <w:rsid w:val="00997BC5"/>
    <w:rsid w:val="009A4F41"/>
    <w:rsid w:val="009A5850"/>
    <w:rsid w:val="009B381B"/>
    <w:rsid w:val="009B5359"/>
    <w:rsid w:val="009D1753"/>
    <w:rsid w:val="009D7611"/>
    <w:rsid w:val="009E0B61"/>
    <w:rsid w:val="009E53DE"/>
    <w:rsid w:val="00A10B58"/>
    <w:rsid w:val="00A11212"/>
    <w:rsid w:val="00A11E44"/>
    <w:rsid w:val="00A25AD6"/>
    <w:rsid w:val="00A30100"/>
    <w:rsid w:val="00A328B3"/>
    <w:rsid w:val="00A36D9E"/>
    <w:rsid w:val="00A451E3"/>
    <w:rsid w:val="00A45941"/>
    <w:rsid w:val="00A50FCF"/>
    <w:rsid w:val="00A528D1"/>
    <w:rsid w:val="00A56D74"/>
    <w:rsid w:val="00A610CD"/>
    <w:rsid w:val="00A74162"/>
    <w:rsid w:val="00A758AA"/>
    <w:rsid w:val="00AA09A2"/>
    <w:rsid w:val="00AA7996"/>
    <w:rsid w:val="00AB3C4B"/>
    <w:rsid w:val="00AC19CB"/>
    <w:rsid w:val="00AC3711"/>
    <w:rsid w:val="00AD16C2"/>
    <w:rsid w:val="00AD597D"/>
    <w:rsid w:val="00AE545A"/>
    <w:rsid w:val="00AE5488"/>
    <w:rsid w:val="00AE6F91"/>
    <w:rsid w:val="00AF01B8"/>
    <w:rsid w:val="00AF5571"/>
    <w:rsid w:val="00B0395C"/>
    <w:rsid w:val="00B04986"/>
    <w:rsid w:val="00B05560"/>
    <w:rsid w:val="00B07341"/>
    <w:rsid w:val="00B0753E"/>
    <w:rsid w:val="00B16ECD"/>
    <w:rsid w:val="00B17BFE"/>
    <w:rsid w:val="00B30539"/>
    <w:rsid w:val="00B30F63"/>
    <w:rsid w:val="00B314DB"/>
    <w:rsid w:val="00B361F2"/>
    <w:rsid w:val="00B3718B"/>
    <w:rsid w:val="00B371F9"/>
    <w:rsid w:val="00B3745F"/>
    <w:rsid w:val="00B4632A"/>
    <w:rsid w:val="00B47BAB"/>
    <w:rsid w:val="00B530F1"/>
    <w:rsid w:val="00B8124B"/>
    <w:rsid w:val="00B82E09"/>
    <w:rsid w:val="00B849E4"/>
    <w:rsid w:val="00BA1797"/>
    <w:rsid w:val="00BA276C"/>
    <w:rsid w:val="00BB306F"/>
    <w:rsid w:val="00BD4B89"/>
    <w:rsid w:val="00BD5922"/>
    <w:rsid w:val="00BE5B61"/>
    <w:rsid w:val="00BF02CB"/>
    <w:rsid w:val="00BF251B"/>
    <w:rsid w:val="00BF6FD8"/>
    <w:rsid w:val="00C00180"/>
    <w:rsid w:val="00C03680"/>
    <w:rsid w:val="00C054DF"/>
    <w:rsid w:val="00C1181A"/>
    <w:rsid w:val="00C21762"/>
    <w:rsid w:val="00C21FEF"/>
    <w:rsid w:val="00C23BA4"/>
    <w:rsid w:val="00C24543"/>
    <w:rsid w:val="00C256A2"/>
    <w:rsid w:val="00C25ADB"/>
    <w:rsid w:val="00C279EB"/>
    <w:rsid w:val="00C41F9D"/>
    <w:rsid w:val="00C42754"/>
    <w:rsid w:val="00C47AB9"/>
    <w:rsid w:val="00C51515"/>
    <w:rsid w:val="00C517ED"/>
    <w:rsid w:val="00C532C5"/>
    <w:rsid w:val="00C5660B"/>
    <w:rsid w:val="00C63C0F"/>
    <w:rsid w:val="00C66B72"/>
    <w:rsid w:val="00C816FD"/>
    <w:rsid w:val="00C852B1"/>
    <w:rsid w:val="00C85798"/>
    <w:rsid w:val="00C87AC4"/>
    <w:rsid w:val="00C9567A"/>
    <w:rsid w:val="00CA0A5A"/>
    <w:rsid w:val="00CA38A5"/>
    <w:rsid w:val="00CB108C"/>
    <w:rsid w:val="00CB212D"/>
    <w:rsid w:val="00CB2660"/>
    <w:rsid w:val="00CC4600"/>
    <w:rsid w:val="00CC5E90"/>
    <w:rsid w:val="00CD046C"/>
    <w:rsid w:val="00CD218F"/>
    <w:rsid w:val="00CE076C"/>
    <w:rsid w:val="00CE5199"/>
    <w:rsid w:val="00CE66D5"/>
    <w:rsid w:val="00CF637A"/>
    <w:rsid w:val="00D059DE"/>
    <w:rsid w:val="00D05ABD"/>
    <w:rsid w:val="00D13FCE"/>
    <w:rsid w:val="00D15212"/>
    <w:rsid w:val="00D306D1"/>
    <w:rsid w:val="00D30800"/>
    <w:rsid w:val="00D325C5"/>
    <w:rsid w:val="00D33A39"/>
    <w:rsid w:val="00D34786"/>
    <w:rsid w:val="00D374DF"/>
    <w:rsid w:val="00D37BFC"/>
    <w:rsid w:val="00D47A8E"/>
    <w:rsid w:val="00D51199"/>
    <w:rsid w:val="00D52D14"/>
    <w:rsid w:val="00D57237"/>
    <w:rsid w:val="00D712D3"/>
    <w:rsid w:val="00D71422"/>
    <w:rsid w:val="00D72DC6"/>
    <w:rsid w:val="00D7321F"/>
    <w:rsid w:val="00D75094"/>
    <w:rsid w:val="00D7558D"/>
    <w:rsid w:val="00D817D3"/>
    <w:rsid w:val="00D81D92"/>
    <w:rsid w:val="00D876F9"/>
    <w:rsid w:val="00D952ED"/>
    <w:rsid w:val="00DA7B5F"/>
    <w:rsid w:val="00DC0933"/>
    <w:rsid w:val="00DC11E7"/>
    <w:rsid w:val="00DC24E3"/>
    <w:rsid w:val="00DC7023"/>
    <w:rsid w:val="00DC769A"/>
    <w:rsid w:val="00DD3C4D"/>
    <w:rsid w:val="00DD3D86"/>
    <w:rsid w:val="00DD4AD2"/>
    <w:rsid w:val="00DD4C6A"/>
    <w:rsid w:val="00DD6DE7"/>
    <w:rsid w:val="00DE7E94"/>
    <w:rsid w:val="00DF1EC4"/>
    <w:rsid w:val="00E0340B"/>
    <w:rsid w:val="00E04A90"/>
    <w:rsid w:val="00E0551F"/>
    <w:rsid w:val="00E12982"/>
    <w:rsid w:val="00E219C7"/>
    <w:rsid w:val="00E30DFF"/>
    <w:rsid w:val="00E4118C"/>
    <w:rsid w:val="00E43157"/>
    <w:rsid w:val="00E461CE"/>
    <w:rsid w:val="00E55115"/>
    <w:rsid w:val="00E573E4"/>
    <w:rsid w:val="00E64C3D"/>
    <w:rsid w:val="00E67004"/>
    <w:rsid w:val="00E720CA"/>
    <w:rsid w:val="00E8359C"/>
    <w:rsid w:val="00E84EB5"/>
    <w:rsid w:val="00E85662"/>
    <w:rsid w:val="00E8789F"/>
    <w:rsid w:val="00E91ED8"/>
    <w:rsid w:val="00E93CBA"/>
    <w:rsid w:val="00E97B71"/>
    <w:rsid w:val="00EA3D34"/>
    <w:rsid w:val="00EA4C29"/>
    <w:rsid w:val="00EA7177"/>
    <w:rsid w:val="00EB454D"/>
    <w:rsid w:val="00ED4154"/>
    <w:rsid w:val="00ED549D"/>
    <w:rsid w:val="00ED76BE"/>
    <w:rsid w:val="00EE00E9"/>
    <w:rsid w:val="00EE04E8"/>
    <w:rsid w:val="00EF1AAA"/>
    <w:rsid w:val="00EF2AAD"/>
    <w:rsid w:val="00EF619B"/>
    <w:rsid w:val="00F00B55"/>
    <w:rsid w:val="00F02AD1"/>
    <w:rsid w:val="00F23639"/>
    <w:rsid w:val="00F253CC"/>
    <w:rsid w:val="00F30AC0"/>
    <w:rsid w:val="00F37106"/>
    <w:rsid w:val="00F44E25"/>
    <w:rsid w:val="00F519CF"/>
    <w:rsid w:val="00F56BA5"/>
    <w:rsid w:val="00F577B3"/>
    <w:rsid w:val="00F60E22"/>
    <w:rsid w:val="00F62C21"/>
    <w:rsid w:val="00F713F3"/>
    <w:rsid w:val="00F73C66"/>
    <w:rsid w:val="00F81395"/>
    <w:rsid w:val="00F81BB8"/>
    <w:rsid w:val="00F90C64"/>
    <w:rsid w:val="00F917D1"/>
    <w:rsid w:val="00F9653B"/>
    <w:rsid w:val="00FA0F56"/>
    <w:rsid w:val="00FB62CF"/>
    <w:rsid w:val="00FB7B59"/>
    <w:rsid w:val="00FC132C"/>
    <w:rsid w:val="00FD3C3B"/>
    <w:rsid w:val="00FD6E88"/>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paragraph" w:customStyle="1" w:styleId="paragraph">
    <w:name w:val="paragraph"/>
    <w:basedOn w:val="Normal"/>
    <w:rsid w:val="004761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2"/>
      </w:numPr>
    </w:pPr>
  </w:style>
  <w:style w:type="character" w:customStyle="1" w:styleId="normaltextrun">
    <w:name w:val="normaltextrun"/>
    <w:basedOn w:val="DefaultParagraphFont"/>
    <w:rsid w:val="004761E8"/>
  </w:style>
  <w:style w:type="numbering" w:customStyle="1" w:styleId="List210">
    <w:name w:val="List 21"/>
    <w:pPr>
      <w:numPr>
        <w:numId w:val="95"/>
      </w:numPr>
    </w:pPr>
  </w:style>
  <w:style w:type="character" w:customStyle="1" w:styleId="eop">
    <w:name w:val="eop"/>
    <w:basedOn w:val="DefaultParagraphFont"/>
    <w:rsid w:val="004761E8"/>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A69D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03546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290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AE"/>
    <w:rsid w:val="00200821"/>
    <w:rsid w:val="0025245B"/>
    <w:rsid w:val="002A3923"/>
    <w:rsid w:val="002F0078"/>
    <w:rsid w:val="00394049"/>
    <w:rsid w:val="004700D5"/>
    <w:rsid w:val="004B5BBB"/>
    <w:rsid w:val="004F2DF8"/>
    <w:rsid w:val="006033C0"/>
    <w:rsid w:val="006F24A1"/>
    <w:rsid w:val="006F3071"/>
    <w:rsid w:val="00886A41"/>
    <w:rsid w:val="009A261B"/>
    <w:rsid w:val="00AA2E17"/>
    <w:rsid w:val="00AC15A4"/>
    <w:rsid w:val="00AC3E5B"/>
    <w:rsid w:val="00AD409E"/>
    <w:rsid w:val="00B0336C"/>
    <w:rsid w:val="00B67DAA"/>
    <w:rsid w:val="00D241E9"/>
    <w:rsid w:val="00D7750D"/>
    <w:rsid w:val="00E22F91"/>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3054</Words>
  <Characters>17413</Characters>
  <Application>Microsoft Office Word</Application>
  <DocSecurity>0</DocSecurity>
  <Lines>145</Lines>
  <Paragraphs>40</Paragraphs>
  <ScaleCrop>false</ScaleCrop>
  <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2023-05-11T14:06:00Z</dcterms:created>
  <dcterms:modified xsi:type="dcterms:W3CDTF">2023-05-11T14:06:00Z</dcterms:modified>
</cp:coreProperties>
</file>