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7B7539" w:rsidRDefault="00D306D1" w:rsidP="00651BB0">
      <w:pPr>
        <w:jc w:val="both"/>
        <w:rPr>
          <w:rFonts w:asciiTheme="majorHAnsi" w:hAnsiTheme="majorHAnsi" w:cs="Univers"/>
          <w:b/>
          <w:bCs/>
          <w:sz w:val="22"/>
          <w:szCs w:val="22"/>
          <w:lang w:val="es-CO"/>
        </w:rPr>
      </w:pPr>
      <w:r w:rsidRPr="007B7539">
        <w:rPr>
          <w:rFonts w:asciiTheme="majorHAnsi" w:hAnsiTheme="majorHAnsi"/>
          <w:noProof/>
          <w:sz w:val="22"/>
          <w:szCs w:val="22"/>
          <w:lang w:val="es-CO" w:eastAsia="es-CO"/>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F63C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7B7539">
        <w:rPr>
          <w:rFonts w:asciiTheme="majorHAnsi" w:hAnsiTheme="majorHAnsi"/>
          <w:noProof/>
          <w:sz w:val="22"/>
          <w:szCs w:val="22"/>
          <w:lang w:val="es-CO" w:eastAsia="es-CO"/>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CO" w:eastAsia="es-CO"/>
                              </w:rPr>
                              <w:drawing>
                                <wp:inline distT="0" distB="0" distL="0" distR="0" wp14:anchorId="7A21157D" wp14:editId="62425977">
                                  <wp:extent cx="2647666" cy="509676"/>
                                  <wp:effectExtent l="0" t="0" r="635" b="508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CO" w:eastAsia="es-CO"/>
                        </w:rPr>
                        <w:drawing>
                          <wp:inline distT="0" distB="0" distL="0" distR="0" wp14:anchorId="7A21157D" wp14:editId="62425977">
                            <wp:extent cx="2647666" cy="509676"/>
                            <wp:effectExtent l="0" t="0" r="635" b="508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5A87E141"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29D95BCC" w14:textId="77777777" w:rsidR="005128E4" w:rsidRPr="007B7539" w:rsidRDefault="005128E4" w:rsidP="00651BB0">
      <w:pPr>
        <w:tabs>
          <w:tab w:val="center" w:pos="5400"/>
        </w:tabs>
        <w:suppressAutoHyphens/>
        <w:jc w:val="both"/>
        <w:rPr>
          <w:rFonts w:asciiTheme="majorHAnsi" w:hAnsiTheme="majorHAnsi"/>
          <w:sz w:val="22"/>
          <w:szCs w:val="22"/>
          <w:lang w:val="es-CO"/>
        </w:rPr>
      </w:pPr>
    </w:p>
    <w:p w14:paraId="12A36B24" w14:textId="77777777" w:rsidR="005128E4" w:rsidRPr="007B7539" w:rsidRDefault="005128E4" w:rsidP="00651BB0">
      <w:pPr>
        <w:tabs>
          <w:tab w:val="center" w:pos="5400"/>
        </w:tabs>
        <w:suppressAutoHyphens/>
        <w:jc w:val="both"/>
        <w:rPr>
          <w:rFonts w:asciiTheme="majorHAnsi" w:hAnsiTheme="majorHAnsi"/>
          <w:sz w:val="22"/>
          <w:szCs w:val="22"/>
          <w:lang w:val="es-CO"/>
        </w:rPr>
      </w:pPr>
    </w:p>
    <w:p w14:paraId="2252093D" w14:textId="77777777" w:rsidR="005128E4" w:rsidRPr="007B7539" w:rsidRDefault="005128E4" w:rsidP="00651BB0">
      <w:pPr>
        <w:tabs>
          <w:tab w:val="center" w:pos="5400"/>
        </w:tabs>
        <w:suppressAutoHyphens/>
        <w:jc w:val="both"/>
        <w:rPr>
          <w:rFonts w:asciiTheme="majorHAnsi" w:hAnsiTheme="majorHAnsi"/>
          <w:sz w:val="22"/>
          <w:szCs w:val="22"/>
          <w:lang w:val="es-CO"/>
        </w:rPr>
      </w:pPr>
    </w:p>
    <w:p w14:paraId="403935BD"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6DCF5F8F"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4791F13A" w14:textId="77777777" w:rsidR="005B52B0" w:rsidRPr="007B7539" w:rsidRDefault="005B52B0" w:rsidP="00651BB0">
      <w:pPr>
        <w:tabs>
          <w:tab w:val="center" w:pos="5400"/>
        </w:tabs>
        <w:suppressAutoHyphens/>
        <w:jc w:val="both"/>
        <w:rPr>
          <w:rFonts w:asciiTheme="majorHAnsi" w:hAnsiTheme="majorHAnsi"/>
          <w:sz w:val="22"/>
          <w:szCs w:val="22"/>
          <w:lang w:val="es-CO"/>
        </w:rPr>
      </w:pPr>
    </w:p>
    <w:p w14:paraId="44E016B6" w14:textId="77777777" w:rsidR="005B52B0" w:rsidRPr="007B7539" w:rsidRDefault="005B52B0" w:rsidP="00651BB0">
      <w:pPr>
        <w:tabs>
          <w:tab w:val="center" w:pos="5400"/>
        </w:tabs>
        <w:suppressAutoHyphens/>
        <w:jc w:val="both"/>
        <w:rPr>
          <w:rFonts w:asciiTheme="majorHAnsi" w:hAnsiTheme="majorHAnsi"/>
          <w:sz w:val="22"/>
          <w:szCs w:val="22"/>
          <w:lang w:val="es-CO"/>
        </w:rPr>
      </w:pPr>
    </w:p>
    <w:p w14:paraId="63D41962" w14:textId="77777777" w:rsidR="005B52B0" w:rsidRPr="007B7539" w:rsidRDefault="005B52B0" w:rsidP="00651BB0">
      <w:pPr>
        <w:tabs>
          <w:tab w:val="center" w:pos="5400"/>
        </w:tabs>
        <w:suppressAutoHyphens/>
        <w:jc w:val="both"/>
        <w:rPr>
          <w:rFonts w:asciiTheme="majorHAnsi" w:hAnsiTheme="majorHAnsi"/>
          <w:sz w:val="22"/>
          <w:szCs w:val="22"/>
          <w:lang w:val="es-CO"/>
        </w:rPr>
      </w:pPr>
    </w:p>
    <w:p w14:paraId="5ADEB990"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2D81B7E8"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64791D04" w14:textId="77777777" w:rsidR="00040C3A" w:rsidRPr="007B7539" w:rsidRDefault="003D3BC2" w:rsidP="00651BB0">
      <w:pPr>
        <w:tabs>
          <w:tab w:val="center" w:pos="5400"/>
        </w:tabs>
        <w:suppressAutoHyphens/>
        <w:jc w:val="both"/>
        <w:rPr>
          <w:rFonts w:asciiTheme="majorHAnsi" w:hAnsiTheme="majorHAnsi"/>
          <w:sz w:val="22"/>
          <w:szCs w:val="22"/>
          <w:lang w:val="es-CO"/>
        </w:rPr>
      </w:pPr>
      <w:r w:rsidRPr="007B7539">
        <w:rPr>
          <w:rFonts w:asciiTheme="majorHAnsi" w:hAnsiTheme="majorHAnsi"/>
          <w:noProof/>
          <w:sz w:val="22"/>
          <w:szCs w:val="22"/>
          <w:lang w:val="es-CO" w:eastAsia="es-CO"/>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FDFB4A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E24EE">
                              <w:rPr>
                                <w:rFonts w:asciiTheme="majorHAnsi" w:hAnsiTheme="majorHAnsi" w:cs="Arial"/>
                                <w:b/>
                                <w:bCs/>
                                <w:color w:val="0D0D0D" w:themeColor="text1" w:themeTint="F2"/>
                                <w:sz w:val="36"/>
                                <w:szCs w:val="22"/>
                                <w:lang w:val="es-ES_tradnl"/>
                              </w:rPr>
                              <w:t>249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A11D34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A254F">
                              <w:rPr>
                                <w:rFonts w:asciiTheme="majorHAnsi" w:hAnsiTheme="majorHAnsi" w:cs="Arial"/>
                                <w:b/>
                                <w:color w:val="0D0D0D" w:themeColor="text1" w:themeTint="F2"/>
                                <w:sz w:val="36"/>
                                <w:szCs w:val="22"/>
                                <w:lang w:val="es-ES_tradnl"/>
                              </w:rPr>
                              <w:t>262</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70CF6833" w14:textId="45B9A12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8061640" w:rsidR="005B52B0" w:rsidRPr="0010736F" w:rsidRDefault="005A254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RENÁN OSWALDO VINDEL CASTELLÓN</w:t>
                            </w:r>
                          </w:p>
                          <w:bookmarkEnd w:id="0"/>
                          <w:p w14:paraId="35068D0D" w14:textId="3C488782" w:rsidR="005B52B0" w:rsidRPr="0010736F" w:rsidRDefault="005A254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FDFB4A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E24EE">
                        <w:rPr>
                          <w:rFonts w:asciiTheme="majorHAnsi" w:hAnsiTheme="majorHAnsi" w:cs="Arial"/>
                          <w:b/>
                          <w:bCs/>
                          <w:color w:val="0D0D0D" w:themeColor="text1" w:themeTint="F2"/>
                          <w:sz w:val="36"/>
                          <w:szCs w:val="22"/>
                          <w:lang w:val="es-ES_tradnl"/>
                        </w:rPr>
                        <w:t>249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A11D34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A254F">
                        <w:rPr>
                          <w:rFonts w:asciiTheme="majorHAnsi" w:hAnsiTheme="majorHAnsi" w:cs="Arial"/>
                          <w:b/>
                          <w:color w:val="0D0D0D" w:themeColor="text1" w:themeTint="F2"/>
                          <w:sz w:val="36"/>
                          <w:szCs w:val="22"/>
                          <w:lang w:val="es-ES_tradnl"/>
                        </w:rPr>
                        <w:t>262</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70CF6833" w14:textId="45B9A12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8061640" w:rsidR="005B52B0" w:rsidRPr="0010736F" w:rsidRDefault="005A254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RENÁN OSWALDO VINDEL CASTELLÓN</w:t>
                      </w:r>
                    </w:p>
                    <w:bookmarkEnd w:id="1"/>
                    <w:p w14:paraId="35068D0D" w14:textId="3C488782" w:rsidR="005B52B0" w:rsidRPr="0010736F" w:rsidRDefault="005A254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7B7539">
        <w:rPr>
          <w:rFonts w:asciiTheme="majorHAnsi" w:hAnsiTheme="majorHAnsi"/>
          <w:noProof/>
          <w:sz w:val="22"/>
          <w:szCs w:val="22"/>
          <w:lang w:val="es-CO" w:eastAsia="es-CO"/>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EF5F0A5" w:rsidR="00627C9F" w:rsidRPr="00DE0F3E" w:rsidRDefault="00834D49" w:rsidP="007A5817">
                            <w:pPr>
                              <w:spacing w:line="276" w:lineRule="auto"/>
                              <w:jc w:val="right"/>
                              <w:rPr>
                                <w:rFonts w:asciiTheme="minorHAnsi" w:hAnsiTheme="minorHAnsi"/>
                                <w:color w:val="FFFFFF" w:themeColor="background1"/>
                                <w:sz w:val="22"/>
                                <w:lang w:val="es-AR"/>
                              </w:rPr>
                            </w:pPr>
                            <w:r w:rsidRPr="00DE0F3E">
                              <w:rPr>
                                <w:rFonts w:asciiTheme="minorHAnsi" w:hAnsiTheme="minorHAnsi"/>
                                <w:color w:val="FFFFFF" w:themeColor="background1"/>
                                <w:sz w:val="22"/>
                                <w:lang w:val="es-AR"/>
                              </w:rPr>
                              <w:t>OEA/Ser.L/V/II</w:t>
                            </w:r>
                          </w:p>
                          <w:p w14:paraId="6A41611B" w14:textId="4C0DFA1F" w:rsidR="00627C9F" w:rsidRPr="00DE0F3E" w:rsidRDefault="00627C9F" w:rsidP="007A5817">
                            <w:pPr>
                              <w:spacing w:line="276" w:lineRule="auto"/>
                              <w:jc w:val="right"/>
                              <w:rPr>
                                <w:rFonts w:asciiTheme="minorHAnsi" w:hAnsiTheme="minorHAnsi"/>
                                <w:color w:val="FFFFFF" w:themeColor="background1"/>
                                <w:sz w:val="22"/>
                                <w:lang w:val="es-AR"/>
                              </w:rPr>
                            </w:pPr>
                            <w:r w:rsidRPr="00DE0F3E">
                              <w:rPr>
                                <w:rFonts w:asciiTheme="minorHAnsi" w:hAnsiTheme="minorHAnsi"/>
                                <w:color w:val="FFFFFF" w:themeColor="background1"/>
                                <w:sz w:val="22"/>
                                <w:lang w:val="es-AR"/>
                              </w:rPr>
                              <w:t xml:space="preserve">Doc. </w:t>
                            </w:r>
                            <w:r w:rsidR="009601B6" w:rsidRPr="00DE0F3E">
                              <w:rPr>
                                <w:rFonts w:asciiTheme="minorHAnsi" w:hAnsiTheme="minorHAnsi"/>
                                <w:color w:val="FFFFFF" w:themeColor="background1"/>
                                <w:sz w:val="22"/>
                                <w:lang w:val="es-AR"/>
                              </w:rPr>
                              <w:t>268</w:t>
                            </w:r>
                          </w:p>
                          <w:p w14:paraId="69373ED2" w14:textId="10AC72D3" w:rsidR="00627C9F" w:rsidRPr="00C25ADB" w:rsidRDefault="009601B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EF5F0A5" w:rsidR="00627C9F" w:rsidRPr="00DE0F3E" w:rsidRDefault="00834D49" w:rsidP="007A5817">
                      <w:pPr>
                        <w:spacing w:line="276" w:lineRule="auto"/>
                        <w:jc w:val="right"/>
                        <w:rPr>
                          <w:rFonts w:asciiTheme="minorHAnsi" w:hAnsiTheme="minorHAnsi"/>
                          <w:color w:val="FFFFFF" w:themeColor="background1"/>
                          <w:sz w:val="22"/>
                          <w:lang w:val="es-AR"/>
                        </w:rPr>
                      </w:pPr>
                      <w:r w:rsidRPr="00DE0F3E">
                        <w:rPr>
                          <w:rFonts w:asciiTheme="minorHAnsi" w:hAnsiTheme="minorHAnsi"/>
                          <w:color w:val="FFFFFF" w:themeColor="background1"/>
                          <w:sz w:val="22"/>
                          <w:lang w:val="es-AR"/>
                        </w:rPr>
                        <w:t>OEA/Ser.L/V/II</w:t>
                      </w:r>
                    </w:p>
                    <w:p w14:paraId="6A41611B" w14:textId="4C0DFA1F" w:rsidR="00627C9F" w:rsidRPr="00DE0F3E" w:rsidRDefault="00627C9F" w:rsidP="007A5817">
                      <w:pPr>
                        <w:spacing w:line="276" w:lineRule="auto"/>
                        <w:jc w:val="right"/>
                        <w:rPr>
                          <w:rFonts w:asciiTheme="minorHAnsi" w:hAnsiTheme="minorHAnsi"/>
                          <w:color w:val="FFFFFF" w:themeColor="background1"/>
                          <w:sz w:val="22"/>
                          <w:lang w:val="es-AR"/>
                        </w:rPr>
                      </w:pPr>
                      <w:r w:rsidRPr="00DE0F3E">
                        <w:rPr>
                          <w:rFonts w:asciiTheme="minorHAnsi" w:hAnsiTheme="minorHAnsi"/>
                          <w:color w:val="FFFFFF" w:themeColor="background1"/>
                          <w:sz w:val="22"/>
                          <w:lang w:val="es-AR"/>
                        </w:rPr>
                        <w:t xml:space="preserve">Doc. </w:t>
                      </w:r>
                      <w:r w:rsidR="009601B6" w:rsidRPr="00DE0F3E">
                        <w:rPr>
                          <w:rFonts w:asciiTheme="minorHAnsi" w:hAnsiTheme="minorHAnsi"/>
                          <w:color w:val="FFFFFF" w:themeColor="background1"/>
                          <w:sz w:val="22"/>
                          <w:lang w:val="es-AR"/>
                        </w:rPr>
                        <w:t>268</w:t>
                      </w:r>
                    </w:p>
                    <w:p w14:paraId="69373ED2" w14:textId="10AC72D3" w:rsidR="00627C9F" w:rsidRPr="00C25ADB" w:rsidRDefault="009601B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5FE3AB87"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3C383BC0" w14:textId="77777777" w:rsidR="00040C3A" w:rsidRPr="007B7539" w:rsidRDefault="00040C3A" w:rsidP="00651BB0">
      <w:pPr>
        <w:tabs>
          <w:tab w:val="center" w:pos="5400"/>
        </w:tabs>
        <w:suppressAutoHyphens/>
        <w:jc w:val="both"/>
        <w:rPr>
          <w:rFonts w:asciiTheme="majorHAnsi" w:hAnsiTheme="majorHAnsi" w:cs="Arial"/>
          <w:sz w:val="22"/>
          <w:szCs w:val="22"/>
          <w:lang w:val="es-CO"/>
        </w:rPr>
      </w:pPr>
    </w:p>
    <w:p w14:paraId="54590931"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76C291D6"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2161B44F"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3C4EEE07"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3B0E4647" w14:textId="77777777" w:rsidR="005128E4" w:rsidRPr="007B7539" w:rsidRDefault="005128E4" w:rsidP="00651BB0">
      <w:pPr>
        <w:tabs>
          <w:tab w:val="center" w:pos="5400"/>
        </w:tabs>
        <w:suppressAutoHyphens/>
        <w:jc w:val="both"/>
        <w:rPr>
          <w:rFonts w:asciiTheme="majorHAnsi" w:hAnsiTheme="majorHAnsi"/>
          <w:sz w:val="22"/>
          <w:szCs w:val="22"/>
          <w:lang w:val="es-CO"/>
        </w:rPr>
      </w:pPr>
    </w:p>
    <w:p w14:paraId="2DAAF36D"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12496A14" w14:textId="77777777" w:rsidR="005128E4" w:rsidRPr="007B7539" w:rsidRDefault="005128E4" w:rsidP="00651BB0">
      <w:pPr>
        <w:tabs>
          <w:tab w:val="center" w:pos="5400"/>
        </w:tabs>
        <w:suppressAutoHyphens/>
        <w:jc w:val="both"/>
        <w:rPr>
          <w:rFonts w:asciiTheme="majorHAnsi" w:hAnsiTheme="majorHAnsi"/>
          <w:sz w:val="22"/>
          <w:szCs w:val="22"/>
          <w:lang w:val="es-CO"/>
        </w:rPr>
      </w:pPr>
    </w:p>
    <w:p w14:paraId="25772DB3" w14:textId="77777777" w:rsidR="005128E4" w:rsidRPr="007B7539" w:rsidRDefault="005128E4" w:rsidP="00651BB0">
      <w:pPr>
        <w:tabs>
          <w:tab w:val="center" w:pos="5400"/>
        </w:tabs>
        <w:suppressAutoHyphens/>
        <w:jc w:val="both"/>
        <w:rPr>
          <w:rFonts w:asciiTheme="majorHAnsi" w:hAnsiTheme="majorHAnsi"/>
          <w:sz w:val="22"/>
          <w:szCs w:val="22"/>
          <w:lang w:val="es-CO"/>
        </w:rPr>
      </w:pPr>
    </w:p>
    <w:p w14:paraId="6820FADA" w14:textId="77777777" w:rsidR="005128E4" w:rsidRPr="007B7539" w:rsidRDefault="005128E4" w:rsidP="00651BB0">
      <w:pPr>
        <w:tabs>
          <w:tab w:val="center" w:pos="5400"/>
        </w:tabs>
        <w:suppressAutoHyphens/>
        <w:jc w:val="both"/>
        <w:rPr>
          <w:rFonts w:asciiTheme="majorHAnsi" w:hAnsiTheme="majorHAnsi"/>
          <w:sz w:val="22"/>
          <w:szCs w:val="22"/>
          <w:lang w:val="es-CO"/>
        </w:rPr>
      </w:pPr>
    </w:p>
    <w:p w14:paraId="54445A55"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5D4A4040" w14:textId="77777777" w:rsidR="00040C3A" w:rsidRPr="007B7539" w:rsidRDefault="00040C3A" w:rsidP="00651BB0">
      <w:pPr>
        <w:tabs>
          <w:tab w:val="center" w:pos="5400"/>
        </w:tabs>
        <w:suppressAutoHyphens/>
        <w:jc w:val="both"/>
        <w:rPr>
          <w:rFonts w:asciiTheme="majorHAnsi" w:hAnsiTheme="majorHAnsi"/>
          <w:sz w:val="22"/>
          <w:szCs w:val="22"/>
          <w:lang w:val="es-CO"/>
        </w:rPr>
      </w:pPr>
    </w:p>
    <w:p w14:paraId="048FBB22"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190ABFB3"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4C690048"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733CA438"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7874DEEB"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3698D0D6"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1F907823"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045D9AC1"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16068EE5"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14A4A430"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0B3B735F"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02C5C441"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7806A2B0"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319C392B"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514A0182" w14:textId="77777777" w:rsidR="00A50FCF" w:rsidRPr="007B7539" w:rsidRDefault="0090270B" w:rsidP="00651BB0">
      <w:pPr>
        <w:tabs>
          <w:tab w:val="center" w:pos="5400"/>
        </w:tabs>
        <w:suppressAutoHyphens/>
        <w:jc w:val="both"/>
        <w:rPr>
          <w:rFonts w:asciiTheme="majorHAnsi" w:hAnsiTheme="majorHAnsi"/>
          <w:sz w:val="18"/>
          <w:szCs w:val="22"/>
          <w:lang w:val="es-CO"/>
        </w:rPr>
      </w:pPr>
      <w:r w:rsidRPr="007B7539">
        <w:rPr>
          <w:rFonts w:asciiTheme="majorHAnsi" w:hAnsiTheme="majorHAnsi"/>
          <w:noProof/>
          <w:sz w:val="22"/>
          <w:szCs w:val="22"/>
          <w:lang w:val="es-CO" w:eastAsia="es-CO"/>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3F15C9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601B6">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9601B6">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9601B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3F15C9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601B6">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9601B6">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9601B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7929D1FD"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5469D0BE"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7A79F059"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330672AE" w14:textId="77777777" w:rsidR="00A50FCF" w:rsidRPr="007B7539" w:rsidRDefault="0090270B" w:rsidP="00651BB0">
      <w:pPr>
        <w:tabs>
          <w:tab w:val="center" w:pos="5400"/>
        </w:tabs>
        <w:suppressAutoHyphens/>
        <w:jc w:val="both"/>
        <w:rPr>
          <w:rFonts w:asciiTheme="majorHAnsi" w:hAnsiTheme="majorHAnsi"/>
          <w:sz w:val="18"/>
          <w:szCs w:val="22"/>
          <w:lang w:val="es-CO"/>
        </w:rPr>
      </w:pPr>
      <w:r w:rsidRPr="007B7539">
        <w:rPr>
          <w:rFonts w:asciiTheme="majorHAnsi" w:hAnsiTheme="majorHAnsi"/>
          <w:noProof/>
          <w:sz w:val="18"/>
          <w:szCs w:val="22"/>
          <w:lang w:val="es-CO" w:eastAsia="es-CO"/>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4F6D99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601B6" w:rsidRPr="009601B6">
                              <w:rPr>
                                <w:rFonts w:asciiTheme="majorHAnsi" w:hAnsiTheme="majorHAnsi"/>
                                <w:color w:val="595959" w:themeColor="text1" w:themeTint="A6"/>
                                <w:sz w:val="18"/>
                                <w:szCs w:val="18"/>
                                <w:lang w:val="pt-BR"/>
                              </w:rPr>
                              <w:t>249</w:t>
                            </w:r>
                            <w:r w:rsidR="007B05C4" w:rsidRPr="009601B6">
                              <w:rPr>
                                <w:rFonts w:asciiTheme="majorHAnsi" w:hAnsiTheme="majorHAnsi"/>
                                <w:color w:val="595959" w:themeColor="text1" w:themeTint="A6"/>
                                <w:sz w:val="18"/>
                                <w:szCs w:val="18"/>
                                <w:lang w:val="pt-BR"/>
                              </w:rPr>
                              <w:t>/</w:t>
                            </w:r>
                            <w:r w:rsidR="009601B6" w:rsidRPr="009601B6">
                              <w:rPr>
                                <w:rFonts w:asciiTheme="majorHAnsi" w:hAnsiTheme="majorHAnsi"/>
                                <w:color w:val="595959" w:themeColor="text1" w:themeTint="A6"/>
                                <w:sz w:val="18"/>
                                <w:szCs w:val="18"/>
                                <w:lang w:val="pt-BR"/>
                              </w:rPr>
                              <w:t>23</w:t>
                            </w:r>
                            <w:r w:rsidRPr="009601B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A254F">
                              <w:rPr>
                                <w:rFonts w:asciiTheme="majorHAnsi" w:hAnsiTheme="majorHAnsi"/>
                                <w:color w:val="595959" w:themeColor="text1" w:themeTint="A6"/>
                                <w:sz w:val="18"/>
                                <w:szCs w:val="18"/>
                                <w:lang w:val="es-ES"/>
                              </w:rPr>
                              <w:t>262</w:t>
                            </w:r>
                            <w:r w:rsidR="000433C9">
                              <w:rPr>
                                <w:rFonts w:asciiTheme="majorHAnsi" w:hAnsiTheme="majorHAnsi"/>
                                <w:color w:val="595959" w:themeColor="text1" w:themeTint="A6"/>
                                <w:sz w:val="18"/>
                                <w:szCs w:val="18"/>
                                <w:lang w:val="es-ES"/>
                              </w:rPr>
                              <w:t>-</w:t>
                            </w:r>
                            <w:r w:rsidR="005A254F">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A254F">
                              <w:rPr>
                                <w:rFonts w:asciiTheme="majorHAnsi" w:hAnsiTheme="majorHAnsi"/>
                                <w:color w:val="595959" w:themeColor="text1" w:themeTint="A6"/>
                                <w:sz w:val="18"/>
                                <w:szCs w:val="18"/>
                                <w:lang w:val="es-ES_tradnl"/>
                              </w:rPr>
                              <w:t>Renán Oswaldo Vindel Castellón</w:t>
                            </w:r>
                            <w:r w:rsidRPr="00890650">
                              <w:rPr>
                                <w:rFonts w:asciiTheme="majorHAnsi" w:hAnsiTheme="majorHAnsi"/>
                                <w:color w:val="595959" w:themeColor="text1" w:themeTint="A6"/>
                                <w:sz w:val="18"/>
                                <w:szCs w:val="18"/>
                                <w:lang w:val="es-ES_tradnl"/>
                              </w:rPr>
                              <w:t xml:space="preserve">. </w:t>
                            </w:r>
                            <w:r w:rsidR="005A254F">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9601B6">
                              <w:rPr>
                                <w:rFonts w:asciiTheme="majorHAnsi" w:hAnsiTheme="majorHAnsi"/>
                                <w:color w:val="595959" w:themeColor="text1" w:themeTint="A6"/>
                                <w:sz w:val="18"/>
                                <w:szCs w:val="18"/>
                                <w:lang w:val="es-ES"/>
                              </w:rPr>
                              <w:t>10 de octubre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54F6D99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601B6" w:rsidRPr="009601B6">
                        <w:rPr>
                          <w:rFonts w:asciiTheme="majorHAnsi" w:hAnsiTheme="majorHAnsi"/>
                          <w:color w:val="595959" w:themeColor="text1" w:themeTint="A6"/>
                          <w:sz w:val="18"/>
                          <w:szCs w:val="18"/>
                          <w:lang w:val="pt-BR"/>
                        </w:rPr>
                        <w:t>249</w:t>
                      </w:r>
                      <w:r w:rsidR="007B05C4" w:rsidRPr="009601B6">
                        <w:rPr>
                          <w:rFonts w:asciiTheme="majorHAnsi" w:hAnsiTheme="majorHAnsi"/>
                          <w:color w:val="595959" w:themeColor="text1" w:themeTint="A6"/>
                          <w:sz w:val="18"/>
                          <w:szCs w:val="18"/>
                          <w:lang w:val="pt-BR"/>
                        </w:rPr>
                        <w:t>/</w:t>
                      </w:r>
                      <w:r w:rsidR="009601B6" w:rsidRPr="009601B6">
                        <w:rPr>
                          <w:rFonts w:asciiTheme="majorHAnsi" w:hAnsiTheme="majorHAnsi"/>
                          <w:color w:val="595959" w:themeColor="text1" w:themeTint="A6"/>
                          <w:sz w:val="18"/>
                          <w:szCs w:val="18"/>
                          <w:lang w:val="pt-BR"/>
                        </w:rPr>
                        <w:t>23</w:t>
                      </w:r>
                      <w:r w:rsidRPr="009601B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A254F">
                        <w:rPr>
                          <w:rFonts w:asciiTheme="majorHAnsi" w:hAnsiTheme="majorHAnsi"/>
                          <w:color w:val="595959" w:themeColor="text1" w:themeTint="A6"/>
                          <w:sz w:val="18"/>
                          <w:szCs w:val="18"/>
                          <w:lang w:val="es-ES"/>
                        </w:rPr>
                        <w:t>262</w:t>
                      </w:r>
                      <w:r w:rsidR="000433C9">
                        <w:rPr>
                          <w:rFonts w:asciiTheme="majorHAnsi" w:hAnsiTheme="majorHAnsi"/>
                          <w:color w:val="595959" w:themeColor="text1" w:themeTint="A6"/>
                          <w:sz w:val="18"/>
                          <w:szCs w:val="18"/>
                          <w:lang w:val="es-ES"/>
                        </w:rPr>
                        <w:t>-</w:t>
                      </w:r>
                      <w:r w:rsidR="005A254F">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A254F">
                        <w:rPr>
                          <w:rFonts w:asciiTheme="majorHAnsi" w:hAnsiTheme="majorHAnsi"/>
                          <w:color w:val="595959" w:themeColor="text1" w:themeTint="A6"/>
                          <w:sz w:val="18"/>
                          <w:szCs w:val="18"/>
                          <w:lang w:val="es-ES_tradnl"/>
                        </w:rPr>
                        <w:t>Renán Oswaldo Vindel Castellón</w:t>
                      </w:r>
                      <w:r w:rsidRPr="00890650">
                        <w:rPr>
                          <w:rFonts w:asciiTheme="majorHAnsi" w:hAnsiTheme="majorHAnsi"/>
                          <w:color w:val="595959" w:themeColor="text1" w:themeTint="A6"/>
                          <w:sz w:val="18"/>
                          <w:szCs w:val="18"/>
                          <w:lang w:val="es-ES_tradnl"/>
                        </w:rPr>
                        <w:t xml:space="preserve">. </w:t>
                      </w:r>
                      <w:r w:rsidR="005A254F">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9601B6">
                        <w:rPr>
                          <w:rFonts w:asciiTheme="majorHAnsi" w:hAnsiTheme="majorHAnsi"/>
                          <w:color w:val="595959" w:themeColor="text1" w:themeTint="A6"/>
                          <w:sz w:val="18"/>
                          <w:szCs w:val="18"/>
                          <w:lang w:val="es-ES"/>
                        </w:rPr>
                        <w:t>10 de octubre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7B7539" w:rsidRDefault="00A50FCF" w:rsidP="00651BB0">
      <w:pPr>
        <w:tabs>
          <w:tab w:val="center" w:pos="5400"/>
        </w:tabs>
        <w:suppressAutoHyphens/>
        <w:jc w:val="both"/>
        <w:rPr>
          <w:rFonts w:asciiTheme="majorHAnsi" w:hAnsiTheme="majorHAnsi"/>
          <w:sz w:val="18"/>
          <w:szCs w:val="22"/>
          <w:lang w:val="es-CO"/>
        </w:rPr>
      </w:pPr>
    </w:p>
    <w:p w14:paraId="1DA07629" w14:textId="5647CA9C" w:rsidR="0090270B" w:rsidRPr="007B7539" w:rsidRDefault="00D306D1" w:rsidP="00651BB0">
      <w:pPr>
        <w:tabs>
          <w:tab w:val="center" w:pos="5400"/>
        </w:tabs>
        <w:suppressAutoHyphens/>
        <w:jc w:val="both"/>
        <w:rPr>
          <w:rFonts w:asciiTheme="majorHAnsi" w:hAnsiTheme="majorHAnsi"/>
          <w:b/>
          <w:sz w:val="20"/>
          <w:lang w:val="es-CO"/>
        </w:rPr>
      </w:pPr>
      <w:r w:rsidRPr="007B7539">
        <w:rPr>
          <w:rFonts w:asciiTheme="majorHAnsi" w:hAnsiTheme="majorHAnsi"/>
          <w:noProof/>
          <w:sz w:val="22"/>
          <w:szCs w:val="22"/>
          <w:lang w:val="es-CO" w:eastAsia="es-CO"/>
        </w:rPr>
        <mc:AlternateContent>
          <mc:Choice Requires="wps">
            <w:drawing>
              <wp:anchor distT="0" distB="0" distL="114300" distR="114300" simplePos="0" relativeHeight="251682816" behindDoc="0" locked="0" layoutInCell="1" allowOverlap="1" wp14:anchorId="02EDA5EE" wp14:editId="4B56EB6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B349578" w:rsidR="0070697F" w:rsidRPr="007B7539" w:rsidRDefault="00C23004" w:rsidP="00651BB0">
      <w:pPr>
        <w:tabs>
          <w:tab w:val="center" w:pos="5400"/>
        </w:tabs>
        <w:suppressAutoHyphens/>
        <w:jc w:val="both"/>
        <w:rPr>
          <w:rFonts w:asciiTheme="majorHAnsi" w:hAnsiTheme="majorHAnsi"/>
          <w:b/>
          <w:sz w:val="20"/>
          <w:lang w:val="es-CO"/>
        </w:rPr>
        <w:sectPr w:rsidR="0070697F" w:rsidRPr="007B7539"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7B7539">
        <w:rPr>
          <w:rFonts w:asciiTheme="majorHAnsi" w:hAnsiTheme="majorHAnsi"/>
          <w:noProof/>
          <w:sz w:val="18"/>
          <w:szCs w:val="22"/>
          <w:lang w:val="es-CO" w:eastAsia="es-CO"/>
        </w:rPr>
        <mc:AlternateContent>
          <mc:Choice Requires="wps">
            <w:drawing>
              <wp:anchor distT="0" distB="0" distL="114300" distR="114300" simplePos="0" relativeHeight="251680768" behindDoc="0" locked="0" layoutInCell="1" allowOverlap="1" wp14:anchorId="50472543" wp14:editId="37DAB4DF">
                <wp:simplePos x="0" y="0"/>
                <wp:positionH relativeFrom="column">
                  <wp:posOffset>1329690</wp:posOffset>
                </wp:positionH>
                <wp:positionV relativeFrom="paragraph">
                  <wp:posOffset>569123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C84C11D" w:rsidR="00D72DC6" w:rsidRPr="00D72DC6" w:rsidRDefault="00C23004" w:rsidP="00F02AD1">
                            <w:pPr>
                              <w:rPr>
                                <w:color w:val="FFFFFF" w:themeColor="background1"/>
                                <w14:textFill>
                                  <w14:noFill/>
                                </w14:textFill>
                              </w:rPr>
                            </w:pPr>
                            <w:r>
                              <w:rPr>
                                <w:noProof/>
                                <w:color w:val="FFFFFF" w:themeColor="background1"/>
                              </w:rPr>
                              <w:drawing>
                                <wp:inline distT="0" distB="0" distL="0" distR="0" wp14:anchorId="4BF15B4A" wp14:editId="0547F2FD">
                                  <wp:extent cx="1824355" cy="469265"/>
                                  <wp:effectExtent l="0" t="0" r="4445" b="698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4.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" fillcolor="white [3201]" stroked="f" strokeweight=".5pt">
                <v:textbox>
                  <w:txbxContent>
                    <w:p w14:paraId="2A1ECD3C" w14:textId="3C84C11D" w:rsidR="00D72DC6" w:rsidRPr="00D72DC6" w:rsidRDefault="00C23004" w:rsidP="00F02AD1">
                      <w:pPr>
                        <w:rPr>
                          <w:color w:val="FFFFFF" w:themeColor="background1"/>
                          <w14:textFill>
                            <w14:noFill/>
                          </w14:textFill>
                        </w:rPr>
                      </w:pPr>
                      <w:r>
                        <w:rPr>
                          <w:noProof/>
                          <w:color w:val="FFFFFF" w:themeColor="background1"/>
                        </w:rPr>
                        <w:drawing>
                          <wp:inline distT="0" distB="0" distL="0" distR="0" wp14:anchorId="4BF15B4A" wp14:editId="0547F2FD">
                            <wp:extent cx="1824355" cy="469265"/>
                            <wp:effectExtent l="0" t="0" r="4445" b="698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7B7539">
        <w:rPr>
          <w:rFonts w:asciiTheme="majorHAnsi" w:hAnsiTheme="majorHAnsi"/>
          <w:b/>
          <w:sz w:val="20"/>
          <w:lang w:val="es-CO"/>
        </w:rPr>
        <w:tab/>
      </w:r>
    </w:p>
    <w:p w14:paraId="376DDC8B" w14:textId="619E22B9" w:rsidR="003239B8" w:rsidRPr="007B7539" w:rsidRDefault="003239B8" w:rsidP="00651BB0">
      <w:pPr>
        <w:spacing w:after="240"/>
        <w:ind w:firstLine="720"/>
        <w:jc w:val="both"/>
        <w:rPr>
          <w:rFonts w:asciiTheme="majorHAnsi" w:hAnsiTheme="majorHAnsi"/>
          <w:b/>
          <w:bCs/>
          <w:sz w:val="20"/>
          <w:szCs w:val="20"/>
          <w:lang w:val="es-CO"/>
        </w:rPr>
      </w:pPr>
      <w:r w:rsidRPr="007B7539">
        <w:rPr>
          <w:rFonts w:asciiTheme="majorHAnsi" w:hAnsiTheme="majorHAnsi"/>
          <w:b/>
          <w:bCs/>
          <w:sz w:val="20"/>
          <w:szCs w:val="20"/>
          <w:lang w:val="es-CO"/>
        </w:rPr>
        <w:lastRenderedPageBreak/>
        <w:t>I.</w:t>
      </w:r>
      <w:r w:rsidRPr="007B7539">
        <w:rPr>
          <w:rFonts w:asciiTheme="majorHAnsi" w:hAnsiTheme="majorHAnsi"/>
          <w:b/>
          <w:bCs/>
          <w:sz w:val="20"/>
          <w:szCs w:val="20"/>
          <w:lang w:val="es-CO"/>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E0F3E"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B7539" w:rsidRDefault="003239B8" w:rsidP="002B7F81">
            <w:pPr>
              <w:jc w:val="center"/>
              <w:rPr>
                <w:rFonts w:ascii="Cambria" w:hAnsi="Cambria"/>
                <w:b/>
                <w:bCs/>
                <w:color w:val="FFFFFF" w:themeColor="background1"/>
                <w:sz w:val="20"/>
                <w:szCs w:val="20"/>
                <w:lang w:val="es-CO"/>
              </w:rPr>
            </w:pPr>
            <w:r w:rsidRPr="007B7539">
              <w:rPr>
                <w:rFonts w:ascii="Cambria" w:hAnsi="Cambria"/>
                <w:b/>
                <w:bCs/>
                <w:color w:val="FFFFFF" w:themeColor="background1"/>
                <w:sz w:val="20"/>
                <w:szCs w:val="20"/>
                <w:lang w:val="es-CO"/>
              </w:rPr>
              <w:t>Parte peticionaria:</w:t>
            </w:r>
          </w:p>
        </w:tc>
        <w:tc>
          <w:tcPr>
            <w:tcW w:w="5760" w:type="dxa"/>
            <w:vAlign w:val="center"/>
          </w:tcPr>
          <w:p w14:paraId="3C5315D8" w14:textId="397FE07D" w:rsidR="003239B8" w:rsidRPr="007B7539" w:rsidRDefault="005A254F" w:rsidP="00651BB0">
            <w:pPr>
              <w:jc w:val="both"/>
              <w:rPr>
                <w:rFonts w:ascii="Cambria" w:hAnsi="Cambria"/>
                <w:bCs/>
                <w:sz w:val="20"/>
                <w:szCs w:val="20"/>
                <w:lang w:val="es-CO"/>
              </w:rPr>
            </w:pPr>
            <w:r w:rsidRPr="007B7539">
              <w:rPr>
                <w:rFonts w:ascii="Cambria" w:hAnsi="Cambria"/>
                <w:bCs/>
                <w:sz w:val="20"/>
                <w:szCs w:val="20"/>
                <w:lang w:val="es-CO"/>
              </w:rPr>
              <w:t xml:space="preserve">Asociación de Jueces por la Democracia </w:t>
            </w:r>
          </w:p>
        </w:tc>
      </w:tr>
      <w:tr w:rsidR="003239B8" w:rsidRPr="007B7539"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B7539" w:rsidRDefault="00091F4A" w:rsidP="002B7F81">
            <w:pPr>
              <w:jc w:val="center"/>
              <w:rPr>
                <w:rFonts w:ascii="Cambria" w:hAnsi="Cambria"/>
                <w:b/>
                <w:bCs/>
                <w:color w:val="FFFFFF" w:themeColor="background1"/>
                <w:sz w:val="20"/>
                <w:szCs w:val="20"/>
                <w:lang w:val="es-CO"/>
              </w:rPr>
            </w:pPr>
            <w:sdt>
              <w:sdtPr>
                <w:rPr>
                  <w:rFonts w:ascii="Cambria" w:hAnsi="Cambria"/>
                  <w:b/>
                  <w:bCs/>
                  <w:color w:val="FFFFFF" w:themeColor="background1"/>
                  <w:sz w:val="20"/>
                  <w:szCs w:val="20"/>
                  <w:lang w:val="es-C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B7539">
                  <w:rPr>
                    <w:rFonts w:ascii="Cambria" w:hAnsi="Cambria"/>
                    <w:b/>
                    <w:bCs/>
                    <w:color w:val="FFFFFF" w:themeColor="background1"/>
                    <w:sz w:val="20"/>
                    <w:szCs w:val="20"/>
                    <w:lang w:val="es-CO"/>
                  </w:rPr>
                  <w:t>Presunta víctima</w:t>
                </w:r>
              </w:sdtContent>
            </w:sdt>
            <w:r w:rsidR="003239B8" w:rsidRPr="007B7539">
              <w:rPr>
                <w:rFonts w:ascii="Cambria" w:hAnsi="Cambria"/>
                <w:b/>
                <w:bCs/>
                <w:color w:val="FFFFFF" w:themeColor="background1"/>
                <w:sz w:val="20"/>
                <w:szCs w:val="20"/>
                <w:lang w:val="es-CO"/>
              </w:rPr>
              <w:t>:</w:t>
            </w:r>
          </w:p>
        </w:tc>
        <w:tc>
          <w:tcPr>
            <w:tcW w:w="5760" w:type="dxa"/>
            <w:vAlign w:val="center"/>
          </w:tcPr>
          <w:p w14:paraId="4AEBF59E" w14:textId="6CFE6168" w:rsidR="003239B8" w:rsidRPr="007B7539" w:rsidRDefault="005564B7" w:rsidP="00651BB0">
            <w:pPr>
              <w:jc w:val="both"/>
              <w:rPr>
                <w:rFonts w:ascii="Cambria" w:hAnsi="Cambria"/>
                <w:bCs/>
                <w:sz w:val="20"/>
                <w:szCs w:val="20"/>
                <w:lang w:val="es-CO"/>
              </w:rPr>
            </w:pPr>
            <w:r w:rsidRPr="007B7539">
              <w:rPr>
                <w:rFonts w:ascii="Cambria" w:hAnsi="Cambria"/>
                <w:bCs/>
                <w:sz w:val="20"/>
                <w:szCs w:val="20"/>
                <w:lang w:val="es-CO"/>
              </w:rPr>
              <w:t>Renán Oswaldo Vindel Castellón</w:t>
            </w:r>
          </w:p>
        </w:tc>
      </w:tr>
      <w:tr w:rsidR="003239B8" w:rsidRPr="007B7539"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B7539" w:rsidRDefault="003239B8" w:rsidP="002B7F81">
            <w:pPr>
              <w:jc w:val="center"/>
              <w:rPr>
                <w:rFonts w:ascii="Cambria" w:hAnsi="Cambria"/>
                <w:b/>
                <w:bCs/>
                <w:color w:val="FFFFFF" w:themeColor="background1"/>
                <w:sz w:val="20"/>
                <w:szCs w:val="20"/>
                <w:lang w:val="es-CO"/>
              </w:rPr>
            </w:pPr>
            <w:r w:rsidRPr="007B7539">
              <w:rPr>
                <w:rFonts w:ascii="Cambria" w:hAnsi="Cambria"/>
                <w:b/>
                <w:bCs/>
                <w:color w:val="FFFFFF" w:themeColor="background1"/>
                <w:sz w:val="20"/>
                <w:szCs w:val="20"/>
                <w:lang w:val="es-CO"/>
              </w:rPr>
              <w:t>Estado denunciado:</w:t>
            </w:r>
          </w:p>
        </w:tc>
        <w:tc>
          <w:tcPr>
            <w:tcW w:w="5760" w:type="dxa"/>
            <w:vAlign w:val="center"/>
          </w:tcPr>
          <w:p w14:paraId="274C8A50" w14:textId="5C6D20B6" w:rsidR="003239B8" w:rsidRPr="007B7539" w:rsidRDefault="005564B7" w:rsidP="00651BB0">
            <w:pPr>
              <w:jc w:val="both"/>
              <w:rPr>
                <w:rFonts w:ascii="Cambria" w:hAnsi="Cambria"/>
                <w:bCs/>
                <w:sz w:val="20"/>
                <w:szCs w:val="20"/>
                <w:lang w:val="es-CO"/>
              </w:rPr>
            </w:pPr>
            <w:r w:rsidRPr="007B7539">
              <w:rPr>
                <w:rFonts w:ascii="Cambria" w:hAnsi="Cambria"/>
                <w:bCs/>
                <w:sz w:val="20"/>
                <w:szCs w:val="20"/>
                <w:lang w:val="es-CO"/>
              </w:rPr>
              <w:t>Honduras</w:t>
            </w:r>
          </w:p>
        </w:tc>
      </w:tr>
      <w:tr w:rsidR="00223A29" w:rsidRPr="00DE0F3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B7539" w:rsidRDefault="001B3A00" w:rsidP="002B7F81">
            <w:pPr>
              <w:jc w:val="center"/>
              <w:rPr>
                <w:rFonts w:ascii="Cambria" w:hAnsi="Cambria"/>
                <w:b/>
                <w:bCs/>
                <w:color w:val="FFFFFF" w:themeColor="background1"/>
                <w:sz w:val="20"/>
                <w:szCs w:val="20"/>
                <w:lang w:val="es-CO"/>
              </w:rPr>
            </w:pPr>
            <w:r w:rsidRPr="007B7539">
              <w:rPr>
                <w:rFonts w:ascii="Cambria" w:hAnsi="Cambria"/>
                <w:b/>
                <w:bCs/>
                <w:color w:val="FFFFFF" w:themeColor="background1"/>
                <w:sz w:val="20"/>
                <w:szCs w:val="20"/>
                <w:lang w:val="es-CO"/>
              </w:rPr>
              <w:t xml:space="preserve">Derechos </w:t>
            </w:r>
            <w:r w:rsidR="00E4118C" w:rsidRPr="007B7539">
              <w:rPr>
                <w:rFonts w:ascii="Cambria" w:hAnsi="Cambria"/>
                <w:b/>
                <w:bCs/>
                <w:color w:val="FFFFFF" w:themeColor="background1"/>
                <w:sz w:val="20"/>
                <w:szCs w:val="20"/>
                <w:lang w:val="es-CO"/>
              </w:rPr>
              <w:t>invocados</w:t>
            </w:r>
            <w:r w:rsidRPr="007B7539">
              <w:rPr>
                <w:rFonts w:ascii="Cambria" w:hAnsi="Cambria"/>
                <w:b/>
                <w:bCs/>
                <w:color w:val="FFFFFF" w:themeColor="background1"/>
                <w:sz w:val="20"/>
                <w:szCs w:val="20"/>
                <w:lang w:val="es-CO"/>
              </w:rPr>
              <w:t>:</w:t>
            </w:r>
          </w:p>
        </w:tc>
        <w:tc>
          <w:tcPr>
            <w:tcW w:w="5760" w:type="dxa"/>
            <w:vAlign w:val="center"/>
          </w:tcPr>
          <w:p w14:paraId="6DEE1EEB" w14:textId="50E49A87" w:rsidR="00223A29" w:rsidRPr="007B7539" w:rsidRDefault="00A573C1" w:rsidP="00651BB0">
            <w:pPr>
              <w:jc w:val="both"/>
              <w:rPr>
                <w:rFonts w:ascii="Cambria" w:hAnsi="Cambria"/>
                <w:bCs/>
                <w:sz w:val="20"/>
                <w:szCs w:val="20"/>
                <w:lang w:val="es-CO"/>
              </w:rPr>
            </w:pPr>
            <w:r w:rsidRPr="007B7539">
              <w:rPr>
                <w:rFonts w:ascii="Cambria" w:hAnsi="Cambria"/>
                <w:bCs/>
                <w:sz w:val="20"/>
                <w:szCs w:val="20"/>
                <w:lang w:val="es-CO"/>
              </w:rPr>
              <w:t>Artículos 5 (integridad personal), 8 (garantías judiciales), 9 (principio de legalidad y de retroactividad), 11 (protección de la honra y de la dignidad), 16 (libertad de asociación), 23 (derechos políticos), 24 (igualdad ante la ley) y 25 (protección judicial) de la Convención Americana sobre Derechos Humanos</w:t>
            </w:r>
            <w:r w:rsidRPr="007B7539">
              <w:rPr>
                <w:rStyle w:val="FootnoteReference"/>
                <w:rFonts w:ascii="Cambria" w:hAnsi="Cambria"/>
                <w:bCs/>
                <w:sz w:val="20"/>
                <w:szCs w:val="20"/>
                <w:lang w:val="es-CO"/>
              </w:rPr>
              <w:footnoteReference w:id="2"/>
            </w:r>
          </w:p>
        </w:tc>
      </w:tr>
    </w:tbl>
    <w:p w14:paraId="20263696" w14:textId="606B0C4D" w:rsidR="003239B8" w:rsidRPr="007B7539" w:rsidRDefault="003239B8" w:rsidP="00651BB0">
      <w:pPr>
        <w:spacing w:before="240" w:after="240"/>
        <w:ind w:firstLine="720"/>
        <w:jc w:val="both"/>
        <w:rPr>
          <w:rFonts w:asciiTheme="majorHAnsi" w:hAnsiTheme="majorHAnsi"/>
          <w:b/>
          <w:bCs/>
          <w:sz w:val="20"/>
          <w:szCs w:val="20"/>
          <w:lang w:val="es-CO"/>
        </w:rPr>
      </w:pPr>
      <w:r w:rsidRPr="007B7539">
        <w:rPr>
          <w:rFonts w:asciiTheme="majorHAnsi" w:hAnsiTheme="majorHAnsi"/>
          <w:b/>
          <w:bCs/>
          <w:sz w:val="20"/>
          <w:szCs w:val="20"/>
          <w:lang w:val="es-CO"/>
        </w:rPr>
        <w:t>II.</w:t>
      </w:r>
      <w:r w:rsidRPr="007B7539">
        <w:rPr>
          <w:rFonts w:asciiTheme="majorHAnsi" w:hAnsiTheme="majorHAnsi"/>
          <w:b/>
          <w:bCs/>
          <w:sz w:val="20"/>
          <w:szCs w:val="20"/>
          <w:lang w:val="es-CO"/>
        </w:rPr>
        <w:tab/>
        <w:t>TRÁMITE ANTE LA CIDH</w:t>
      </w:r>
      <w:r w:rsidR="008E3BFE" w:rsidRPr="007B7539">
        <w:rPr>
          <w:rStyle w:val="FootnoteReference"/>
          <w:rFonts w:ascii="Cambria" w:hAnsi="Cambria"/>
          <w:b/>
          <w:sz w:val="20"/>
          <w:szCs w:val="20"/>
          <w:lang w:val="es-CO"/>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B7539"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7B7539" w:rsidRDefault="004A6A54" w:rsidP="002B7F81">
            <w:pPr>
              <w:jc w:val="center"/>
              <w:rPr>
                <w:rFonts w:ascii="Cambria" w:hAnsi="Cambria"/>
                <w:b/>
                <w:bCs/>
                <w:color w:val="FFFFFF" w:themeColor="background1"/>
                <w:sz w:val="20"/>
                <w:szCs w:val="20"/>
                <w:lang w:val="es-CO"/>
              </w:rPr>
            </w:pPr>
            <w:r w:rsidRPr="007B7539">
              <w:rPr>
                <w:rFonts w:ascii="Cambria" w:hAnsi="Cambria"/>
                <w:b/>
                <w:bCs/>
                <w:color w:val="FFFFFF" w:themeColor="background1"/>
                <w:sz w:val="20"/>
                <w:szCs w:val="20"/>
                <w:lang w:val="es-CO"/>
              </w:rPr>
              <w:t>P</w:t>
            </w:r>
            <w:r w:rsidR="004C2312" w:rsidRPr="007B7539">
              <w:rPr>
                <w:rFonts w:ascii="Cambria" w:hAnsi="Cambria"/>
                <w:b/>
                <w:bCs/>
                <w:color w:val="FFFFFF" w:themeColor="background1"/>
                <w:sz w:val="20"/>
                <w:szCs w:val="20"/>
                <w:lang w:val="es-CO"/>
              </w:rPr>
              <w:t>resentación de la petición:</w:t>
            </w:r>
          </w:p>
        </w:tc>
        <w:tc>
          <w:tcPr>
            <w:tcW w:w="5760" w:type="dxa"/>
            <w:vAlign w:val="center"/>
          </w:tcPr>
          <w:p w14:paraId="6E579153" w14:textId="4AD954A5" w:rsidR="004C2312" w:rsidRPr="007B7539" w:rsidRDefault="00866E07" w:rsidP="00651BB0">
            <w:pPr>
              <w:jc w:val="both"/>
              <w:rPr>
                <w:rFonts w:ascii="Cambria" w:hAnsi="Cambria"/>
                <w:bCs/>
                <w:sz w:val="20"/>
                <w:szCs w:val="20"/>
                <w:lang w:val="es-CO"/>
              </w:rPr>
            </w:pPr>
            <w:r w:rsidRPr="007B7539">
              <w:rPr>
                <w:rFonts w:ascii="Cambria" w:hAnsi="Cambria"/>
                <w:bCs/>
                <w:sz w:val="20"/>
                <w:szCs w:val="20"/>
                <w:lang w:val="es-CO"/>
              </w:rPr>
              <w:t>20 de febrero de 2017</w:t>
            </w:r>
          </w:p>
        </w:tc>
      </w:tr>
      <w:tr w:rsidR="00131425" w:rsidRPr="007B7539"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7B7539" w:rsidRDefault="00131425" w:rsidP="002B7F81">
            <w:pPr>
              <w:jc w:val="center"/>
              <w:rPr>
                <w:rFonts w:ascii="Cambria" w:hAnsi="Cambria"/>
                <w:b/>
                <w:bCs/>
                <w:color w:val="FFFFFF" w:themeColor="background1"/>
                <w:sz w:val="20"/>
                <w:szCs w:val="20"/>
                <w:lang w:val="es-CO"/>
              </w:rPr>
            </w:pPr>
            <w:r w:rsidRPr="007B7539">
              <w:rPr>
                <w:rFonts w:ascii="Cambria" w:hAnsi="Cambria"/>
                <w:b/>
                <w:bCs/>
                <w:color w:val="FFFFFF" w:themeColor="background1"/>
                <w:sz w:val="20"/>
                <w:szCs w:val="20"/>
                <w:lang w:val="es-CO"/>
              </w:rPr>
              <w:t>Información adicional recibida durante la etapa de estudio:</w:t>
            </w:r>
          </w:p>
        </w:tc>
        <w:tc>
          <w:tcPr>
            <w:tcW w:w="5760" w:type="dxa"/>
            <w:vAlign w:val="center"/>
          </w:tcPr>
          <w:p w14:paraId="30151270" w14:textId="5F0E39AB" w:rsidR="00131425" w:rsidRPr="007B7539" w:rsidRDefault="00A573C1" w:rsidP="00651BB0">
            <w:pPr>
              <w:jc w:val="both"/>
              <w:rPr>
                <w:rFonts w:ascii="Cambria" w:hAnsi="Cambria"/>
                <w:bCs/>
                <w:sz w:val="20"/>
                <w:szCs w:val="20"/>
                <w:lang w:val="es-CO"/>
              </w:rPr>
            </w:pPr>
            <w:r w:rsidRPr="007B7539">
              <w:rPr>
                <w:rFonts w:ascii="Cambria" w:hAnsi="Cambria"/>
                <w:bCs/>
                <w:sz w:val="20"/>
                <w:szCs w:val="20"/>
                <w:lang w:val="es-CO"/>
              </w:rPr>
              <w:t>17 de marzo de 2017</w:t>
            </w:r>
          </w:p>
        </w:tc>
      </w:tr>
      <w:tr w:rsidR="004C2312" w:rsidRPr="007B753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7B7539" w:rsidRDefault="004A6A54" w:rsidP="002B7F81">
            <w:pPr>
              <w:jc w:val="center"/>
              <w:rPr>
                <w:rFonts w:ascii="Cambria" w:hAnsi="Cambria"/>
                <w:b/>
                <w:bCs/>
                <w:color w:val="FFFFFF" w:themeColor="background1"/>
                <w:sz w:val="20"/>
                <w:szCs w:val="20"/>
                <w:lang w:val="es-CO"/>
              </w:rPr>
            </w:pPr>
            <w:r w:rsidRPr="007B7539">
              <w:rPr>
                <w:rFonts w:ascii="Cambria" w:hAnsi="Cambria"/>
                <w:b/>
                <w:color w:val="FFFFFF" w:themeColor="background1"/>
                <w:sz w:val="20"/>
                <w:szCs w:val="20"/>
                <w:lang w:val="es-CO"/>
              </w:rPr>
              <w:t>N</w:t>
            </w:r>
            <w:r w:rsidR="004C2312" w:rsidRPr="007B7539">
              <w:rPr>
                <w:rFonts w:ascii="Cambria" w:hAnsi="Cambria"/>
                <w:b/>
                <w:color w:val="FFFFFF" w:themeColor="background1"/>
                <w:sz w:val="20"/>
                <w:szCs w:val="20"/>
                <w:lang w:val="es-CO"/>
              </w:rPr>
              <w:t>otificación de la petición al Estado:</w:t>
            </w:r>
          </w:p>
        </w:tc>
        <w:tc>
          <w:tcPr>
            <w:tcW w:w="5760" w:type="dxa"/>
            <w:vAlign w:val="center"/>
          </w:tcPr>
          <w:p w14:paraId="1519DA6A" w14:textId="7D5CDC7E" w:rsidR="004C2312" w:rsidRPr="007B7539" w:rsidRDefault="00A573C1" w:rsidP="00651BB0">
            <w:pPr>
              <w:jc w:val="both"/>
              <w:rPr>
                <w:rFonts w:ascii="Cambria" w:hAnsi="Cambria"/>
                <w:bCs/>
                <w:sz w:val="20"/>
                <w:szCs w:val="20"/>
                <w:lang w:val="es-CO"/>
              </w:rPr>
            </w:pPr>
            <w:r w:rsidRPr="007B7539">
              <w:rPr>
                <w:rFonts w:ascii="Cambria" w:hAnsi="Cambria"/>
                <w:bCs/>
                <w:sz w:val="20"/>
                <w:szCs w:val="20"/>
                <w:lang w:val="es-CO"/>
              </w:rPr>
              <w:t>27 de mayo de 2022</w:t>
            </w:r>
          </w:p>
        </w:tc>
      </w:tr>
      <w:tr w:rsidR="004C2312" w:rsidRPr="007B7539"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7B7539" w:rsidRDefault="004A6A54" w:rsidP="002B7F81">
            <w:pPr>
              <w:jc w:val="center"/>
              <w:rPr>
                <w:rFonts w:ascii="Cambria" w:hAnsi="Cambria"/>
                <w:b/>
                <w:bCs/>
                <w:color w:val="FFFFFF" w:themeColor="background1"/>
                <w:sz w:val="20"/>
                <w:szCs w:val="20"/>
                <w:lang w:val="es-CO"/>
              </w:rPr>
            </w:pPr>
            <w:r w:rsidRPr="007B7539">
              <w:rPr>
                <w:rFonts w:ascii="Cambria" w:hAnsi="Cambria"/>
                <w:b/>
                <w:color w:val="FFFFFF" w:themeColor="background1"/>
                <w:sz w:val="20"/>
                <w:szCs w:val="20"/>
                <w:lang w:val="es-CO"/>
              </w:rPr>
              <w:t>P</w:t>
            </w:r>
            <w:r w:rsidR="004C2312" w:rsidRPr="007B7539">
              <w:rPr>
                <w:rFonts w:ascii="Cambria" w:hAnsi="Cambria"/>
                <w:b/>
                <w:color w:val="FFFFFF" w:themeColor="background1"/>
                <w:sz w:val="20"/>
                <w:szCs w:val="20"/>
                <w:lang w:val="es-CO"/>
              </w:rPr>
              <w:t>rimera respuesta del Estado:</w:t>
            </w:r>
          </w:p>
        </w:tc>
        <w:tc>
          <w:tcPr>
            <w:tcW w:w="5760" w:type="dxa"/>
            <w:vAlign w:val="center"/>
          </w:tcPr>
          <w:p w14:paraId="1972B99E" w14:textId="33FDE10F" w:rsidR="004C2312" w:rsidRPr="007B7539" w:rsidRDefault="00A573C1" w:rsidP="00651BB0">
            <w:pPr>
              <w:jc w:val="both"/>
              <w:rPr>
                <w:rFonts w:ascii="Cambria" w:hAnsi="Cambria"/>
                <w:bCs/>
                <w:sz w:val="20"/>
                <w:szCs w:val="20"/>
                <w:lang w:val="es-CO"/>
              </w:rPr>
            </w:pPr>
            <w:r w:rsidRPr="007B7539">
              <w:rPr>
                <w:rFonts w:ascii="Cambria" w:hAnsi="Cambria"/>
                <w:bCs/>
                <w:sz w:val="20"/>
                <w:szCs w:val="20"/>
                <w:lang w:val="es-CO"/>
              </w:rPr>
              <w:t>26 de agosto de 2022</w:t>
            </w:r>
          </w:p>
        </w:tc>
      </w:tr>
      <w:tr w:rsidR="001E49E7" w:rsidRPr="007B7539"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7B7539" w:rsidRDefault="004A6A54" w:rsidP="002B7F81">
            <w:pPr>
              <w:jc w:val="center"/>
              <w:rPr>
                <w:rFonts w:ascii="Cambria" w:hAnsi="Cambria"/>
                <w:b/>
                <w:bCs/>
                <w:color w:val="FFFFFF" w:themeColor="background1"/>
                <w:sz w:val="20"/>
                <w:szCs w:val="20"/>
                <w:lang w:val="es-CO"/>
              </w:rPr>
            </w:pPr>
            <w:r w:rsidRPr="007B7539">
              <w:rPr>
                <w:rFonts w:ascii="Cambria" w:hAnsi="Cambria"/>
                <w:b/>
                <w:bCs/>
                <w:color w:val="FFFFFF" w:themeColor="background1"/>
                <w:sz w:val="20"/>
                <w:szCs w:val="20"/>
                <w:lang w:val="es-CO"/>
              </w:rPr>
              <w:t>A</w:t>
            </w:r>
            <w:r w:rsidR="001E49E7" w:rsidRPr="007B7539">
              <w:rPr>
                <w:rFonts w:ascii="Cambria" w:hAnsi="Cambria"/>
                <w:b/>
                <w:bCs/>
                <w:color w:val="FFFFFF" w:themeColor="background1"/>
                <w:sz w:val="20"/>
                <w:szCs w:val="20"/>
                <w:lang w:val="es-CO"/>
              </w:rPr>
              <w:t>dvertencia sobre posible archivo:</w:t>
            </w:r>
          </w:p>
        </w:tc>
        <w:tc>
          <w:tcPr>
            <w:tcW w:w="5760" w:type="dxa"/>
            <w:vAlign w:val="center"/>
          </w:tcPr>
          <w:p w14:paraId="5500808B" w14:textId="0ACE7DB7" w:rsidR="001E49E7" w:rsidRPr="007B7539" w:rsidRDefault="00A573C1" w:rsidP="00651BB0">
            <w:pPr>
              <w:jc w:val="both"/>
              <w:rPr>
                <w:rFonts w:ascii="Cambria" w:hAnsi="Cambria"/>
                <w:bCs/>
                <w:sz w:val="20"/>
                <w:szCs w:val="20"/>
                <w:lang w:val="es-CO"/>
              </w:rPr>
            </w:pPr>
            <w:r w:rsidRPr="007B7539">
              <w:rPr>
                <w:rFonts w:ascii="Cambria" w:hAnsi="Cambria"/>
                <w:bCs/>
                <w:sz w:val="20"/>
                <w:szCs w:val="20"/>
                <w:lang w:val="es-CO"/>
              </w:rPr>
              <w:t>4 de noviembre de 2020</w:t>
            </w:r>
          </w:p>
        </w:tc>
      </w:tr>
      <w:tr w:rsidR="001E49E7" w:rsidRPr="007B7539"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7B7539" w:rsidRDefault="004A6A54" w:rsidP="002B7F81">
            <w:pPr>
              <w:jc w:val="center"/>
              <w:rPr>
                <w:rFonts w:ascii="Cambria" w:hAnsi="Cambria"/>
                <w:b/>
                <w:bCs/>
                <w:color w:val="FFFFFF" w:themeColor="background1"/>
                <w:sz w:val="20"/>
                <w:szCs w:val="20"/>
                <w:lang w:val="es-CO"/>
              </w:rPr>
            </w:pPr>
            <w:r w:rsidRPr="007B7539">
              <w:rPr>
                <w:rFonts w:ascii="Cambria" w:hAnsi="Cambria"/>
                <w:b/>
                <w:bCs/>
                <w:color w:val="FFFFFF" w:themeColor="background1"/>
                <w:sz w:val="20"/>
                <w:szCs w:val="20"/>
                <w:lang w:val="es-CO"/>
              </w:rPr>
              <w:t>R</w:t>
            </w:r>
            <w:r w:rsidR="001E49E7" w:rsidRPr="007B7539">
              <w:rPr>
                <w:rFonts w:ascii="Cambria" w:hAnsi="Cambria"/>
                <w:b/>
                <w:bCs/>
                <w:color w:val="FFFFFF" w:themeColor="background1"/>
                <w:sz w:val="20"/>
                <w:szCs w:val="20"/>
                <w:lang w:val="es-CO"/>
              </w:rPr>
              <w:t xml:space="preserve">espuesta de la parte peticionaria ante advertencia </w:t>
            </w:r>
            <w:r w:rsidR="00DD4AD2" w:rsidRPr="007B7539">
              <w:rPr>
                <w:rFonts w:ascii="Cambria" w:hAnsi="Cambria"/>
                <w:b/>
                <w:bCs/>
                <w:color w:val="FFFFFF" w:themeColor="background1"/>
                <w:sz w:val="20"/>
                <w:szCs w:val="20"/>
                <w:lang w:val="es-CO"/>
              </w:rPr>
              <w:t xml:space="preserve">de </w:t>
            </w:r>
            <w:r w:rsidR="001E49E7" w:rsidRPr="007B7539">
              <w:rPr>
                <w:rFonts w:ascii="Cambria" w:hAnsi="Cambria"/>
                <w:b/>
                <w:bCs/>
                <w:color w:val="FFFFFF" w:themeColor="background1"/>
                <w:sz w:val="20"/>
                <w:szCs w:val="20"/>
                <w:lang w:val="es-CO"/>
              </w:rPr>
              <w:t>posible archivo:</w:t>
            </w:r>
          </w:p>
        </w:tc>
        <w:tc>
          <w:tcPr>
            <w:tcW w:w="5760" w:type="dxa"/>
            <w:vAlign w:val="center"/>
          </w:tcPr>
          <w:p w14:paraId="24E176E2" w14:textId="788C4E4F" w:rsidR="001E49E7" w:rsidRPr="007B7539" w:rsidRDefault="00A573C1" w:rsidP="00651BB0">
            <w:pPr>
              <w:jc w:val="both"/>
              <w:rPr>
                <w:rFonts w:ascii="Cambria" w:hAnsi="Cambria"/>
                <w:bCs/>
                <w:sz w:val="20"/>
                <w:szCs w:val="20"/>
                <w:lang w:val="es-CO"/>
              </w:rPr>
            </w:pPr>
            <w:r w:rsidRPr="007B7539">
              <w:rPr>
                <w:rFonts w:ascii="Cambria" w:hAnsi="Cambria"/>
                <w:bCs/>
                <w:sz w:val="20"/>
                <w:szCs w:val="20"/>
                <w:lang w:val="es-CO"/>
              </w:rPr>
              <w:t>6 de agosto de 2021</w:t>
            </w:r>
          </w:p>
        </w:tc>
      </w:tr>
    </w:tbl>
    <w:p w14:paraId="21DAA666" w14:textId="77777777" w:rsidR="003239B8" w:rsidRPr="007B7539" w:rsidRDefault="003239B8" w:rsidP="00651BB0">
      <w:pPr>
        <w:spacing w:before="240" w:after="240"/>
        <w:ind w:firstLine="720"/>
        <w:jc w:val="both"/>
        <w:rPr>
          <w:rFonts w:asciiTheme="majorHAnsi" w:hAnsiTheme="majorHAnsi"/>
          <w:b/>
          <w:bCs/>
          <w:sz w:val="20"/>
          <w:szCs w:val="20"/>
          <w:lang w:val="es-CO"/>
        </w:rPr>
      </w:pPr>
      <w:r w:rsidRPr="007B7539">
        <w:rPr>
          <w:rFonts w:asciiTheme="majorHAnsi" w:hAnsiTheme="majorHAnsi"/>
          <w:b/>
          <w:bCs/>
          <w:sz w:val="20"/>
          <w:szCs w:val="20"/>
          <w:lang w:val="es-CO"/>
        </w:rPr>
        <w:t xml:space="preserve">III. </w:t>
      </w:r>
      <w:r w:rsidRPr="007B7539">
        <w:rPr>
          <w:rFonts w:asciiTheme="majorHAnsi" w:hAnsiTheme="majorHAnsi"/>
          <w:b/>
          <w:bCs/>
          <w:sz w:val="20"/>
          <w:szCs w:val="20"/>
          <w:lang w:val="es-CO"/>
        </w:rPr>
        <w:tab/>
        <w:t>COMPETENCIA</w:t>
      </w:r>
      <w:r w:rsidR="00EE00E9" w:rsidRPr="007B7539">
        <w:rPr>
          <w:rFonts w:asciiTheme="majorHAnsi" w:hAnsiTheme="majorHAnsi"/>
          <w:b/>
          <w:bCs/>
          <w:sz w:val="20"/>
          <w:szCs w:val="20"/>
          <w:lang w:val="es-CO"/>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B7539"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7B7539" w:rsidRDefault="003239B8" w:rsidP="002B7F81">
            <w:pPr>
              <w:jc w:val="center"/>
              <w:rPr>
                <w:rFonts w:ascii="Cambria" w:hAnsi="Cambria"/>
                <w:b/>
                <w:bCs/>
                <w:i/>
                <w:color w:val="FFFFFF" w:themeColor="background1"/>
                <w:sz w:val="20"/>
                <w:szCs w:val="20"/>
                <w:lang w:val="es-CO"/>
              </w:rPr>
            </w:pPr>
            <w:r w:rsidRPr="007B7539">
              <w:rPr>
                <w:rFonts w:ascii="Cambria" w:hAnsi="Cambria"/>
                <w:b/>
                <w:bCs/>
                <w:color w:val="FFFFFF" w:themeColor="background1"/>
                <w:sz w:val="20"/>
                <w:szCs w:val="20"/>
                <w:lang w:val="es-CO"/>
              </w:rPr>
              <w:t>Competencia</w:t>
            </w:r>
            <w:r w:rsidRPr="007B7539">
              <w:rPr>
                <w:rFonts w:ascii="Cambria" w:hAnsi="Cambria"/>
                <w:b/>
                <w:bCs/>
                <w:i/>
                <w:color w:val="FFFFFF" w:themeColor="background1"/>
                <w:sz w:val="20"/>
                <w:szCs w:val="20"/>
                <w:lang w:val="es-CO"/>
              </w:rPr>
              <w:t xml:space="preserve"> Ratione personae:</w:t>
            </w:r>
          </w:p>
        </w:tc>
        <w:tc>
          <w:tcPr>
            <w:tcW w:w="5760" w:type="dxa"/>
            <w:vAlign w:val="center"/>
          </w:tcPr>
          <w:p w14:paraId="7707F3E9" w14:textId="00AECCBF" w:rsidR="003239B8" w:rsidRPr="007B7539" w:rsidRDefault="00A573C1" w:rsidP="00651BB0">
            <w:pPr>
              <w:jc w:val="both"/>
              <w:rPr>
                <w:rFonts w:ascii="Cambria" w:hAnsi="Cambria"/>
                <w:bCs/>
                <w:sz w:val="20"/>
                <w:szCs w:val="20"/>
                <w:lang w:val="es-CO"/>
              </w:rPr>
            </w:pPr>
            <w:r w:rsidRPr="007B7539">
              <w:rPr>
                <w:rFonts w:ascii="Cambria" w:hAnsi="Cambria"/>
                <w:bCs/>
                <w:sz w:val="20"/>
                <w:szCs w:val="20"/>
                <w:lang w:val="es-CO"/>
              </w:rPr>
              <w:t>Sí</w:t>
            </w:r>
          </w:p>
        </w:tc>
      </w:tr>
      <w:tr w:rsidR="003239B8" w:rsidRPr="007B7539"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B7539" w:rsidRDefault="003239B8" w:rsidP="002B7F81">
            <w:pPr>
              <w:jc w:val="center"/>
              <w:rPr>
                <w:rFonts w:ascii="Cambria" w:hAnsi="Cambria"/>
                <w:b/>
                <w:bCs/>
                <w:color w:val="FFFFFF" w:themeColor="background1"/>
                <w:sz w:val="20"/>
                <w:szCs w:val="20"/>
                <w:lang w:val="es-CO"/>
              </w:rPr>
            </w:pPr>
            <w:r w:rsidRPr="007B7539">
              <w:rPr>
                <w:rFonts w:ascii="Cambria" w:hAnsi="Cambria"/>
                <w:b/>
                <w:bCs/>
                <w:color w:val="FFFFFF" w:themeColor="background1"/>
                <w:sz w:val="20"/>
                <w:szCs w:val="20"/>
                <w:lang w:val="es-CO"/>
              </w:rPr>
              <w:t>Competencia</w:t>
            </w:r>
            <w:r w:rsidRPr="007B7539">
              <w:rPr>
                <w:rFonts w:ascii="Cambria" w:hAnsi="Cambria"/>
                <w:b/>
                <w:bCs/>
                <w:i/>
                <w:color w:val="FFFFFF" w:themeColor="background1"/>
                <w:sz w:val="20"/>
                <w:szCs w:val="20"/>
                <w:lang w:val="es-CO"/>
              </w:rPr>
              <w:t xml:space="preserve"> Ratione loci</w:t>
            </w:r>
            <w:r w:rsidRPr="007B7539">
              <w:rPr>
                <w:rFonts w:ascii="Cambria" w:hAnsi="Cambria"/>
                <w:b/>
                <w:bCs/>
                <w:color w:val="FFFFFF" w:themeColor="background1"/>
                <w:sz w:val="20"/>
                <w:szCs w:val="20"/>
                <w:lang w:val="es-CO"/>
              </w:rPr>
              <w:t>:</w:t>
            </w:r>
          </w:p>
        </w:tc>
        <w:tc>
          <w:tcPr>
            <w:tcW w:w="5760" w:type="dxa"/>
            <w:vAlign w:val="center"/>
          </w:tcPr>
          <w:p w14:paraId="12C931CB" w14:textId="67870B51" w:rsidR="003239B8" w:rsidRPr="007B7539" w:rsidRDefault="00A573C1" w:rsidP="00651BB0">
            <w:pPr>
              <w:jc w:val="both"/>
              <w:rPr>
                <w:rFonts w:ascii="Cambria" w:hAnsi="Cambria"/>
                <w:bCs/>
                <w:sz w:val="20"/>
                <w:szCs w:val="20"/>
                <w:lang w:val="es-CO"/>
              </w:rPr>
            </w:pPr>
            <w:r w:rsidRPr="007B7539">
              <w:rPr>
                <w:rFonts w:ascii="Cambria" w:hAnsi="Cambria"/>
                <w:bCs/>
                <w:sz w:val="20"/>
                <w:szCs w:val="20"/>
                <w:lang w:val="es-CO"/>
              </w:rPr>
              <w:t>Sí</w:t>
            </w:r>
          </w:p>
        </w:tc>
      </w:tr>
      <w:tr w:rsidR="003239B8" w:rsidRPr="007B7539"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B7539" w:rsidRDefault="003239B8" w:rsidP="002B7F81">
            <w:pPr>
              <w:jc w:val="center"/>
              <w:rPr>
                <w:rFonts w:ascii="Cambria" w:hAnsi="Cambria"/>
                <w:b/>
                <w:bCs/>
                <w:color w:val="FFFFFF" w:themeColor="background1"/>
                <w:sz w:val="20"/>
                <w:szCs w:val="20"/>
                <w:lang w:val="es-CO"/>
              </w:rPr>
            </w:pPr>
            <w:r w:rsidRPr="007B7539">
              <w:rPr>
                <w:rFonts w:ascii="Cambria" w:hAnsi="Cambria"/>
                <w:b/>
                <w:bCs/>
                <w:color w:val="FFFFFF" w:themeColor="background1"/>
                <w:sz w:val="20"/>
                <w:szCs w:val="20"/>
                <w:lang w:val="es-CO"/>
              </w:rPr>
              <w:t>Competencia</w:t>
            </w:r>
            <w:r w:rsidRPr="007B7539">
              <w:rPr>
                <w:rFonts w:ascii="Cambria" w:hAnsi="Cambria"/>
                <w:b/>
                <w:bCs/>
                <w:i/>
                <w:color w:val="FFFFFF" w:themeColor="background1"/>
                <w:sz w:val="20"/>
                <w:szCs w:val="20"/>
                <w:lang w:val="es-CO"/>
              </w:rPr>
              <w:t xml:space="preserve"> Ratione temporis</w:t>
            </w:r>
            <w:r w:rsidRPr="007B7539">
              <w:rPr>
                <w:rFonts w:ascii="Cambria" w:hAnsi="Cambria"/>
                <w:b/>
                <w:bCs/>
                <w:color w:val="FFFFFF" w:themeColor="background1"/>
                <w:sz w:val="20"/>
                <w:szCs w:val="20"/>
                <w:lang w:val="es-CO"/>
              </w:rPr>
              <w:t>:</w:t>
            </w:r>
          </w:p>
        </w:tc>
        <w:tc>
          <w:tcPr>
            <w:tcW w:w="5760" w:type="dxa"/>
            <w:vAlign w:val="center"/>
          </w:tcPr>
          <w:p w14:paraId="6F8B059B" w14:textId="5AC863E6" w:rsidR="003239B8" w:rsidRPr="007B7539" w:rsidRDefault="00A573C1" w:rsidP="00651BB0">
            <w:pPr>
              <w:jc w:val="both"/>
              <w:rPr>
                <w:rFonts w:ascii="Cambria" w:hAnsi="Cambria"/>
                <w:bCs/>
                <w:sz w:val="20"/>
                <w:szCs w:val="20"/>
                <w:lang w:val="es-CO"/>
              </w:rPr>
            </w:pPr>
            <w:r w:rsidRPr="007B7539">
              <w:rPr>
                <w:rFonts w:ascii="Cambria" w:hAnsi="Cambria"/>
                <w:bCs/>
                <w:sz w:val="20"/>
                <w:szCs w:val="20"/>
                <w:lang w:val="es-CO"/>
              </w:rPr>
              <w:t>Sí</w:t>
            </w:r>
          </w:p>
        </w:tc>
      </w:tr>
      <w:tr w:rsidR="003239B8" w:rsidRPr="00DE0F3E"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B7539" w:rsidRDefault="003239B8" w:rsidP="002B7F81">
            <w:pPr>
              <w:jc w:val="center"/>
              <w:rPr>
                <w:rFonts w:ascii="Cambria" w:hAnsi="Cambria"/>
                <w:b/>
                <w:bCs/>
                <w:color w:val="FFFFFF" w:themeColor="background1"/>
                <w:sz w:val="20"/>
                <w:szCs w:val="20"/>
                <w:lang w:val="es-CO"/>
              </w:rPr>
            </w:pPr>
            <w:r w:rsidRPr="007B7539">
              <w:rPr>
                <w:rFonts w:ascii="Cambria" w:hAnsi="Cambria"/>
                <w:b/>
                <w:bCs/>
                <w:color w:val="FFFFFF" w:themeColor="background1"/>
                <w:sz w:val="20"/>
                <w:szCs w:val="20"/>
                <w:lang w:val="es-CO"/>
              </w:rPr>
              <w:t>Competencia</w:t>
            </w:r>
            <w:r w:rsidRPr="007B7539">
              <w:rPr>
                <w:rFonts w:ascii="Cambria" w:hAnsi="Cambria"/>
                <w:b/>
                <w:bCs/>
                <w:i/>
                <w:color w:val="FFFFFF" w:themeColor="background1"/>
                <w:sz w:val="20"/>
                <w:szCs w:val="20"/>
                <w:lang w:val="es-CO"/>
              </w:rPr>
              <w:t xml:space="preserve"> Ratione materia</w:t>
            </w:r>
            <w:r w:rsidR="00EE00E9" w:rsidRPr="007B7539">
              <w:rPr>
                <w:rFonts w:ascii="Cambria" w:hAnsi="Cambria"/>
                <w:b/>
                <w:bCs/>
                <w:i/>
                <w:color w:val="FFFFFF" w:themeColor="background1"/>
                <w:sz w:val="20"/>
                <w:szCs w:val="20"/>
                <w:lang w:val="es-CO"/>
              </w:rPr>
              <w:t>e</w:t>
            </w:r>
            <w:r w:rsidRPr="007B7539">
              <w:rPr>
                <w:rFonts w:ascii="Cambria" w:hAnsi="Cambria"/>
                <w:b/>
                <w:bCs/>
                <w:color w:val="FFFFFF" w:themeColor="background1"/>
                <w:sz w:val="20"/>
                <w:szCs w:val="20"/>
                <w:lang w:val="es-CO"/>
              </w:rPr>
              <w:t>:</w:t>
            </w:r>
          </w:p>
        </w:tc>
        <w:tc>
          <w:tcPr>
            <w:tcW w:w="5760" w:type="dxa"/>
            <w:vAlign w:val="center"/>
          </w:tcPr>
          <w:p w14:paraId="0C122F44" w14:textId="7AADA3AB" w:rsidR="003239B8" w:rsidRPr="007B7539" w:rsidRDefault="00A573C1" w:rsidP="00651BB0">
            <w:pPr>
              <w:jc w:val="both"/>
              <w:rPr>
                <w:rFonts w:ascii="Cambria" w:hAnsi="Cambria"/>
                <w:bCs/>
                <w:sz w:val="20"/>
                <w:szCs w:val="20"/>
                <w:lang w:val="es-CO"/>
              </w:rPr>
            </w:pPr>
            <w:r w:rsidRPr="007B7539">
              <w:rPr>
                <w:rFonts w:ascii="Cambria" w:hAnsi="Cambria"/>
                <w:bCs/>
                <w:sz w:val="20"/>
                <w:szCs w:val="20"/>
                <w:lang w:val="es-CO"/>
              </w:rPr>
              <w:t>Sí, Convención Americana (depósito del instrumento de ratificación realizado el 8 de septiembre de 1977)</w:t>
            </w:r>
          </w:p>
        </w:tc>
      </w:tr>
    </w:tbl>
    <w:p w14:paraId="4E92C444" w14:textId="140CB1E7" w:rsidR="003239B8" w:rsidRPr="007B7539" w:rsidRDefault="003239B8" w:rsidP="00651BB0">
      <w:pPr>
        <w:spacing w:before="240" w:after="240"/>
        <w:ind w:firstLine="720"/>
        <w:jc w:val="both"/>
        <w:rPr>
          <w:rFonts w:asciiTheme="majorHAnsi" w:hAnsiTheme="majorHAnsi"/>
          <w:b/>
          <w:bCs/>
          <w:sz w:val="20"/>
          <w:szCs w:val="20"/>
          <w:lang w:val="es-CO"/>
        </w:rPr>
      </w:pPr>
      <w:r w:rsidRPr="007B7539">
        <w:rPr>
          <w:rFonts w:asciiTheme="majorHAnsi" w:hAnsiTheme="majorHAnsi"/>
          <w:b/>
          <w:bCs/>
          <w:sz w:val="20"/>
          <w:szCs w:val="20"/>
          <w:lang w:val="es-CO"/>
        </w:rPr>
        <w:t xml:space="preserve">IV. </w:t>
      </w:r>
      <w:r w:rsidRPr="007B7539">
        <w:rPr>
          <w:rFonts w:asciiTheme="majorHAnsi" w:hAnsiTheme="majorHAnsi"/>
          <w:b/>
          <w:bCs/>
          <w:sz w:val="20"/>
          <w:szCs w:val="20"/>
          <w:lang w:val="es-CO"/>
        </w:rPr>
        <w:tab/>
      </w:r>
      <w:r w:rsidR="00EE00E9" w:rsidRPr="007B7539">
        <w:rPr>
          <w:rFonts w:asciiTheme="majorHAnsi" w:hAnsiTheme="majorHAnsi"/>
          <w:b/>
          <w:bCs/>
          <w:sz w:val="20"/>
          <w:szCs w:val="20"/>
          <w:lang w:val="es-CO"/>
        </w:rPr>
        <w:t>DUPLICACIÓN</w:t>
      </w:r>
      <w:r w:rsidR="00EE00E9" w:rsidRPr="007B7539">
        <w:rPr>
          <w:rFonts w:asciiTheme="majorHAnsi" w:hAnsiTheme="majorHAnsi"/>
          <w:b/>
          <w:bCs/>
          <w:color w:val="FFFFFF" w:themeColor="background1"/>
          <w:sz w:val="20"/>
          <w:szCs w:val="20"/>
          <w:lang w:val="es-CO"/>
        </w:rPr>
        <w:t xml:space="preserve"> </w:t>
      </w:r>
      <w:r w:rsidR="00EE00E9" w:rsidRPr="007B7539">
        <w:rPr>
          <w:rFonts w:asciiTheme="majorHAnsi" w:hAnsiTheme="majorHAnsi"/>
          <w:b/>
          <w:bCs/>
          <w:sz w:val="20"/>
          <w:szCs w:val="20"/>
          <w:lang w:val="es-CO"/>
        </w:rPr>
        <w:t>DE PROCEDIMIENTOS Y COSA JUZGADA</w:t>
      </w:r>
      <w:r w:rsidR="00EE00E9" w:rsidRPr="007B7539">
        <w:rPr>
          <w:rFonts w:asciiTheme="majorHAnsi" w:hAnsiTheme="majorHAnsi"/>
          <w:b/>
          <w:bCs/>
          <w:i/>
          <w:sz w:val="20"/>
          <w:szCs w:val="20"/>
          <w:lang w:val="es-CO"/>
        </w:rPr>
        <w:t xml:space="preserve"> </w:t>
      </w:r>
      <w:r w:rsidR="00EE00E9" w:rsidRPr="007B7539">
        <w:rPr>
          <w:rFonts w:asciiTheme="majorHAnsi" w:hAnsiTheme="majorHAnsi"/>
          <w:b/>
          <w:bCs/>
          <w:sz w:val="20"/>
          <w:szCs w:val="20"/>
          <w:lang w:val="es-CO"/>
        </w:rPr>
        <w:t>INTERNACIONAL</w:t>
      </w:r>
      <w:r w:rsidR="005D38F9" w:rsidRPr="007B7539">
        <w:rPr>
          <w:rFonts w:asciiTheme="majorHAnsi" w:hAnsiTheme="majorHAnsi"/>
          <w:b/>
          <w:bCs/>
          <w:sz w:val="20"/>
          <w:szCs w:val="20"/>
          <w:lang w:val="es-CO"/>
        </w:rPr>
        <w:t>,</w:t>
      </w:r>
      <w:r w:rsidRPr="007B7539">
        <w:rPr>
          <w:rFonts w:asciiTheme="majorHAnsi" w:hAnsiTheme="majorHAnsi"/>
          <w:b/>
          <w:bCs/>
          <w:sz w:val="20"/>
          <w:szCs w:val="20"/>
          <w:lang w:val="es-CO"/>
        </w:rPr>
        <w:t xml:space="preserve"> CARACTERIZACIÓN, </w:t>
      </w:r>
      <w:r w:rsidRPr="007B7539">
        <w:rPr>
          <w:rFonts w:asciiTheme="majorHAnsi" w:hAnsiTheme="majorHAnsi"/>
          <w:b/>
          <w:sz w:val="20"/>
          <w:szCs w:val="20"/>
          <w:lang w:val="es-CO"/>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7B7539"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7B7539" w:rsidRDefault="00EE00E9" w:rsidP="002B7F81">
            <w:pPr>
              <w:jc w:val="center"/>
              <w:rPr>
                <w:rFonts w:ascii="Cambria" w:hAnsi="Cambria"/>
                <w:b/>
                <w:bCs/>
                <w:color w:val="FFFFFF" w:themeColor="background1"/>
                <w:sz w:val="20"/>
                <w:szCs w:val="20"/>
                <w:lang w:val="es-CO"/>
              </w:rPr>
            </w:pPr>
            <w:r w:rsidRPr="007B7539">
              <w:rPr>
                <w:rFonts w:ascii="Cambria" w:hAnsi="Cambria"/>
                <w:b/>
                <w:bCs/>
                <w:color w:val="FFFFFF" w:themeColor="background1"/>
                <w:sz w:val="20"/>
                <w:szCs w:val="20"/>
                <w:lang w:val="es-CO"/>
              </w:rPr>
              <w:t>Duplicación de procedimientos y cosa juzgada internacional:</w:t>
            </w:r>
          </w:p>
        </w:tc>
        <w:tc>
          <w:tcPr>
            <w:tcW w:w="5760" w:type="dxa"/>
            <w:vAlign w:val="center"/>
          </w:tcPr>
          <w:p w14:paraId="240941E6" w14:textId="154EB211" w:rsidR="00EE00E9" w:rsidRPr="007B7539" w:rsidRDefault="00A57B2A" w:rsidP="00651BB0">
            <w:pPr>
              <w:jc w:val="both"/>
              <w:rPr>
                <w:rFonts w:ascii="Cambria" w:hAnsi="Cambria"/>
                <w:bCs/>
                <w:sz w:val="20"/>
                <w:szCs w:val="20"/>
                <w:lang w:val="es-CO"/>
              </w:rPr>
            </w:pPr>
            <w:r w:rsidRPr="007B7539">
              <w:rPr>
                <w:rFonts w:ascii="Cambria" w:hAnsi="Cambria"/>
                <w:bCs/>
                <w:sz w:val="20"/>
                <w:szCs w:val="20"/>
                <w:lang w:val="es-CO"/>
              </w:rPr>
              <w:t>No</w:t>
            </w:r>
          </w:p>
        </w:tc>
      </w:tr>
      <w:tr w:rsidR="003239B8" w:rsidRPr="00DE0F3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7B7539" w:rsidRDefault="003239B8" w:rsidP="002B7F81">
            <w:pPr>
              <w:jc w:val="center"/>
              <w:rPr>
                <w:rFonts w:ascii="Cambria" w:hAnsi="Cambria"/>
                <w:b/>
                <w:bCs/>
                <w:i/>
                <w:color w:val="FFFFFF" w:themeColor="background1"/>
                <w:sz w:val="20"/>
                <w:szCs w:val="20"/>
                <w:lang w:val="es-CO"/>
              </w:rPr>
            </w:pPr>
            <w:r w:rsidRPr="007B7539">
              <w:rPr>
                <w:rFonts w:ascii="Cambria" w:hAnsi="Cambria"/>
                <w:b/>
                <w:bCs/>
                <w:color w:val="FFFFFF" w:themeColor="background1"/>
                <w:sz w:val="20"/>
                <w:szCs w:val="20"/>
                <w:lang w:val="es-CO"/>
              </w:rPr>
              <w:t>Derechos declarados admisibles</w:t>
            </w:r>
            <w:r w:rsidRPr="007B7539">
              <w:rPr>
                <w:rFonts w:ascii="Cambria" w:hAnsi="Cambria"/>
                <w:b/>
                <w:bCs/>
                <w:i/>
                <w:color w:val="FFFFFF" w:themeColor="background1"/>
                <w:sz w:val="20"/>
                <w:szCs w:val="20"/>
                <w:lang w:val="es-CO"/>
              </w:rPr>
              <w:t>:</w:t>
            </w:r>
          </w:p>
        </w:tc>
        <w:tc>
          <w:tcPr>
            <w:tcW w:w="5760" w:type="dxa"/>
            <w:vAlign w:val="center"/>
          </w:tcPr>
          <w:p w14:paraId="6310C8F7" w14:textId="79D3DF97" w:rsidR="003239B8" w:rsidRPr="007B7539" w:rsidRDefault="00A57B2A" w:rsidP="00651BB0">
            <w:pPr>
              <w:jc w:val="both"/>
              <w:rPr>
                <w:rFonts w:ascii="Cambria" w:hAnsi="Cambria"/>
                <w:bCs/>
                <w:sz w:val="20"/>
                <w:szCs w:val="20"/>
                <w:lang w:val="es-CO"/>
              </w:rPr>
            </w:pPr>
            <w:r w:rsidRPr="007B7539">
              <w:rPr>
                <w:rFonts w:ascii="Cambria" w:hAnsi="Cambria"/>
                <w:bCs/>
                <w:sz w:val="20"/>
                <w:szCs w:val="20"/>
                <w:lang w:val="es-CO"/>
              </w:rPr>
              <w:t>Artículos 8 (garantías judiciales), 9 (principio de legalidad y retroactividad)</w:t>
            </w:r>
            <w:r w:rsidR="00A45233" w:rsidRPr="007B7539">
              <w:rPr>
                <w:rFonts w:ascii="Cambria" w:hAnsi="Cambria"/>
                <w:bCs/>
                <w:sz w:val="20"/>
                <w:szCs w:val="20"/>
                <w:lang w:val="es-CO"/>
              </w:rPr>
              <w:t xml:space="preserve">, 23 (derechos políticos), </w:t>
            </w:r>
            <w:r w:rsidRPr="007B7539">
              <w:rPr>
                <w:rFonts w:ascii="Cambria" w:hAnsi="Cambria"/>
                <w:bCs/>
                <w:sz w:val="20"/>
                <w:szCs w:val="20"/>
                <w:lang w:val="es-CO"/>
              </w:rPr>
              <w:t xml:space="preserve">25 (protección judicial) </w:t>
            </w:r>
            <w:r w:rsidR="00A45233" w:rsidRPr="007B7539">
              <w:rPr>
                <w:rFonts w:ascii="Cambria" w:hAnsi="Cambria"/>
                <w:bCs/>
                <w:sz w:val="20"/>
                <w:szCs w:val="20"/>
                <w:lang w:val="es-CO"/>
              </w:rPr>
              <w:t xml:space="preserve">y 26 (desarrollo progresivo) </w:t>
            </w:r>
            <w:r w:rsidRPr="007B7539">
              <w:rPr>
                <w:rFonts w:ascii="Cambria" w:hAnsi="Cambria"/>
                <w:bCs/>
                <w:sz w:val="20"/>
                <w:szCs w:val="20"/>
                <w:lang w:val="es-CO"/>
              </w:rPr>
              <w:t>de la Convención Americana, en relación con sus artículos 1.1 (obligación de respetar y garantizar los derechos) y 2 (deber de adoptar disposiciones de derecho interno)</w:t>
            </w:r>
          </w:p>
        </w:tc>
      </w:tr>
      <w:tr w:rsidR="003239B8" w:rsidRPr="007B7539"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7B7539" w:rsidRDefault="003239B8" w:rsidP="002B7F81">
            <w:pPr>
              <w:jc w:val="center"/>
              <w:rPr>
                <w:rFonts w:ascii="Cambria" w:hAnsi="Cambria"/>
                <w:b/>
                <w:bCs/>
                <w:color w:val="FFFFFF" w:themeColor="background1"/>
                <w:sz w:val="20"/>
                <w:szCs w:val="20"/>
                <w:lang w:val="es-CO"/>
              </w:rPr>
            </w:pPr>
            <w:r w:rsidRPr="007B7539">
              <w:rPr>
                <w:rFonts w:ascii="Cambria" w:hAnsi="Cambria"/>
                <w:b/>
                <w:bCs/>
                <w:color w:val="FFFFFF" w:themeColor="background1"/>
                <w:sz w:val="20"/>
                <w:szCs w:val="20"/>
                <w:lang w:val="es-CO"/>
              </w:rPr>
              <w:t>Agotamiento de recursos internos</w:t>
            </w:r>
            <w:r w:rsidR="00EE00E9" w:rsidRPr="007B7539">
              <w:rPr>
                <w:rFonts w:ascii="Cambria" w:hAnsi="Cambria"/>
                <w:b/>
                <w:bCs/>
                <w:color w:val="FFFFFF" w:themeColor="background1"/>
                <w:sz w:val="20"/>
                <w:szCs w:val="20"/>
                <w:lang w:val="es-CO"/>
              </w:rPr>
              <w:t xml:space="preserve"> o procedencia de una excepción</w:t>
            </w:r>
            <w:r w:rsidRPr="007B7539">
              <w:rPr>
                <w:rFonts w:ascii="Cambria" w:hAnsi="Cambria"/>
                <w:b/>
                <w:bCs/>
                <w:color w:val="FFFFFF" w:themeColor="background1"/>
                <w:sz w:val="20"/>
                <w:szCs w:val="20"/>
                <w:lang w:val="es-CO"/>
              </w:rPr>
              <w:t>:</w:t>
            </w:r>
          </w:p>
        </w:tc>
        <w:tc>
          <w:tcPr>
            <w:tcW w:w="5760" w:type="dxa"/>
            <w:vAlign w:val="center"/>
          </w:tcPr>
          <w:p w14:paraId="69C53E8A" w14:textId="460A5F89" w:rsidR="003239B8" w:rsidRPr="007B7539" w:rsidRDefault="00A57B2A" w:rsidP="00651BB0">
            <w:pPr>
              <w:jc w:val="both"/>
              <w:rPr>
                <w:rFonts w:ascii="Cambria" w:hAnsi="Cambria"/>
                <w:bCs/>
                <w:sz w:val="20"/>
                <w:szCs w:val="20"/>
                <w:lang w:val="es-CO"/>
              </w:rPr>
            </w:pPr>
            <w:r w:rsidRPr="007B7539">
              <w:rPr>
                <w:rFonts w:ascii="Cambria" w:hAnsi="Cambria"/>
                <w:bCs/>
                <w:sz w:val="20"/>
                <w:szCs w:val="20"/>
                <w:lang w:val="es-CO"/>
              </w:rPr>
              <w:t>Sí</w:t>
            </w:r>
          </w:p>
        </w:tc>
      </w:tr>
      <w:tr w:rsidR="003239B8" w:rsidRPr="007B7539"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B7539" w:rsidRDefault="003239B8" w:rsidP="002B7F81">
            <w:pPr>
              <w:jc w:val="center"/>
              <w:rPr>
                <w:rFonts w:ascii="Cambria" w:hAnsi="Cambria"/>
                <w:b/>
                <w:bCs/>
                <w:color w:val="FFFFFF" w:themeColor="background1"/>
                <w:sz w:val="20"/>
                <w:szCs w:val="20"/>
                <w:lang w:val="es-CO"/>
              </w:rPr>
            </w:pPr>
            <w:r w:rsidRPr="007B7539">
              <w:rPr>
                <w:rFonts w:ascii="Cambria" w:hAnsi="Cambria"/>
                <w:b/>
                <w:bCs/>
                <w:color w:val="FFFFFF" w:themeColor="background1"/>
                <w:sz w:val="20"/>
                <w:szCs w:val="20"/>
                <w:lang w:val="es-CO"/>
              </w:rPr>
              <w:t>Presentación dentro de plazo:</w:t>
            </w:r>
          </w:p>
        </w:tc>
        <w:tc>
          <w:tcPr>
            <w:tcW w:w="5760" w:type="dxa"/>
            <w:vAlign w:val="center"/>
          </w:tcPr>
          <w:p w14:paraId="4A2A4569" w14:textId="68EABF68" w:rsidR="003239B8" w:rsidRPr="007B7539" w:rsidRDefault="00A57B2A" w:rsidP="00651BB0">
            <w:pPr>
              <w:jc w:val="both"/>
              <w:rPr>
                <w:rFonts w:ascii="Cambria" w:hAnsi="Cambria"/>
                <w:bCs/>
                <w:sz w:val="20"/>
                <w:szCs w:val="20"/>
                <w:lang w:val="es-CO"/>
              </w:rPr>
            </w:pPr>
            <w:r w:rsidRPr="007B7539">
              <w:rPr>
                <w:rFonts w:ascii="Cambria" w:hAnsi="Cambria"/>
                <w:bCs/>
                <w:sz w:val="20"/>
                <w:szCs w:val="20"/>
                <w:lang w:val="es-CO"/>
              </w:rPr>
              <w:t>Sí</w:t>
            </w:r>
          </w:p>
        </w:tc>
      </w:tr>
    </w:tbl>
    <w:p w14:paraId="53A69B5B" w14:textId="77777777" w:rsidR="00634AF5" w:rsidRPr="007B7539" w:rsidRDefault="00634AF5" w:rsidP="00634AF5">
      <w:pPr>
        <w:spacing w:before="240" w:after="240"/>
        <w:ind w:firstLine="720"/>
        <w:jc w:val="both"/>
        <w:rPr>
          <w:rFonts w:asciiTheme="majorHAnsi" w:hAnsiTheme="majorHAnsi"/>
          <w:b/>
          <w:sz w:val="20"/>
          <w:szCs w:val="20"/>
          <w:lang w:val="es-CO"/>
        </w:rPr>
      </w:pPr>
    </w:p>
    <w:p w14:paraId="348F1293" w14:textId="77777777" w:rsidR="00634AF5" w:rsidRPr="007B7539" w:rsidRDefault="00634AF5" w:rsidP="00634AF5">
      <w:pPr>
        <w:spacing w:before="240" w:after="240"/>
        <w:ind w:firstLine="720"/>
        <w:jc w:val="both"/>
        <w:rPr>
          <w:rFonts w:asciiTheme="majorHAnsi" w:hAnsiTheme="majorHAnsi"/>
          <w:b/>
          <w:sz w:val="20"/>
          <w:szCs w:val="20"/>
          <w:lang w:val="es-CO"/>
        </w:rPr>
      </w:pPr>
    </w:p>
    <w:p w14:paraId="18E6423B" w14:textId="39A2C5E7" w:rsidR="003239B8" w:rsidRPr="007A708F" w:rsidRDefault="00223A29" w:rsidP="00634AF5">
      <w:pPr>
        <w:spacing w:before="240" w:after="240"/>
        <w:ind w:firstLine="720"/>
        <w:jc w:val="both"/>
        <w:rPr>
          <w:rFonts w:asciiTheme="majorHAnsi" w:hAnsiTheme="majorHAnsi"/>
          <w:b/>
          <w:sz w:val="20"/>
          <w:szCs w:val="20"/>
          <w:lang w:val="es-ES_tradnl"/>
        </w:rPr>
      </w:pPr>
      <w:r w:rsidRPr="007B7539">
        <w:rPr>
          <w:rFonts w:asciiTheme="majorHAnsi" w:hAnsiTheme="majorHAnsi"/>
          <w:b/>
          <w:sz w:val="20"/>
          <w:szCs w:val="20"/>
          <w:lang w:val="es-CO"/>
        </w:rPr>
        <w:lastRenderedPageBreak/>
        <w:t xml:space="preserve">V. </w:t>
      </w:r>
      <w:r w:rsidRPr="007B7539">
        <w:rPr>
          <w:rFonts w:asciiTheme="majorHAnsi" w:hAnsiTheme="majorHAnsi"/>
          <w:b/>
          <w:sz w:val="20"/>
          <w:szCs w:val="20"/>
          <w:lang w:val="es-CO"/>
        </w:rPr>
        <w:tab/>
      </w:r>
      <w:r w:rsidR="00867314" w:rsidRPr="007A708F">
        <w:rPr>
          <w:rFonts w:asciiTheme="majorHAnsi" w:hAnsiTheme="majorHAnsi"/>
          <w:b/>
          <w:sz w:val="20"/>
          <w:szCs w:val="20"/>
          <w:lang w:val="es-ES_tradnl"/>
        </w:rPr>
        <w:t>POSICIÓN DE LAS PARTES</w:t>
      </w:r>
    </w:p>
    <w:p w14:paraId="00CBC1A4" w14:textId="12867AF7" w:rsidR="00FE5838" w:rsidRPr="007A708F" w:rsidRDefault="00FE5838" w:rsidP="00651B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A708F">
        <w:rPr>
          <w:rFonts w:asciiTheme="majorHAnsi" w:hAnsiTheme="majorHAnsi"/>
          <w:sz w:val="20"/>
          <w:szCs w:val="20"/>
          <w:lang w:val="es-ES_tradnl"/>
        </w:rPr>
        <w:tab/>
      </w:r>
      <w:r w:rsidRPr="007A708F">
        <w:rPr>
          <w:rFonts w:asciiTheme="majorHAnsi" w:hAnsiTheme="majorHAnsi"/>
          <w:i/>
          <w:iCs/>
          <w:sz w:val="20"/>
          <w:szCs w:val="20"/>
          <w:lang w:val="es-ES_tradnl"/>
        </w:rPr>
        <w:t>Alegatos de la parte peticionaria</w:t>
      </w:r>
    </w:p>
    <w:p w14:paraId="6B01C004" w14:textId="3B6BFA8D" w:rsidR="00330017" w:rsidRPr="007A708F" w:rsidRDefault="00330017" w:rsidP="001F54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bookmarkStart w:id="2" w:name="_Hlk143502293"/>
      <w:r w:rsidRPr="007A708F">
        <w:rPr>
          <w:rFonts w:asciiTheme="majorHAnsi" w:hAnsiTheme="majorHAnsi"/>
          <w:sz w:val="20"/>
          <w:szCs w:val="20"/>
          <w:lang w:val="es-ES_tradnl"/>
        </w:rPr>
        <w:t>La presente petición se refiere a la destitución del S</w:t>
      </w:r>
      <w:r w:rsidR="007B6DC9" w:rsidRPr="007A708F">
        <w:rPr>
          <w:rFonts w:asciiTheme="majorHAnsi" w:hAnsiTheme="majorHAnsi"/>
          <w:sz w:val="20"/>
          <w:szCs w:val="20"/>
          <w:lang w:val="es-ES_tradnl"/>
        </w:rPr>
        <w:t>eñor</w:t>
      </w:r>
      <w:r w:rsidRPr="007A708F">
        <w:rPr>
          <w:rFonts w:asciiTheme="majorHAnsi" w:hAnsiTheme="majorHAnsi"/>
          <w:sz w:val="20"/>
          <w:szCs w:val="20"/>
          <w:lang w:val="es-ES_tradnl"/>
        </w:rPr>
        <w:t xml:space="preserve"> Renán Vindel </w:t>
      </w:r>
      <w:r w:rsidR="007A5352" w:rsidRPr="007A708F">
        <w:rPr>
          <w:rFonts w:asciiTheme="majorHAnsi" w:hAnsiTheme="majorHAnsi"/>
          <w:sz w:val="20"/>
          <w:szCs w:val="20"/>
          <w:lang w:val="es-ES_tradnl"/>
        </w:rPr>
        <w:t xml:space="preserve">(en adelante el </w:t>
      </w:r>
      <w:r w:rsidR="00CB2DD5" w:rsidRPr="007A708F">
        <w:rPr>
          <w:rFonts w:asciiTheme="majorHAnsi" w:hAnsiTheme="majorHAnsi"/>
          <w:sz w:val="20"/>
          <w:szCs w:val="20"/>
          <w:lang w:val="es-ES_tradnl"/>
        </w:rPr>
        <w:t>“</w:t>
      </w:r>
      <w:r w:rsidR="007A5352" w:rsidRPr="007A708F">
        <w:rPr>
          <w:rFonts w:asciiTheme="majorHAnsi" w:hAnsiTheme="majorHAnsi"/>
          <w:sz w:val="20"/>
          <w:szCs w:val="20"/>
          <w:lang w:val="es-ES_tradnl"/>
        </w:rPr>
        <w:t>señor Vindel</w:t>
      </w:r>
      <w:r w:rsidR="00CB2DD5" w:rsidRPr="007A708F">
        <w:rPr>
          <w:rFonts w:asciiTheme="majorHAnsi" w:hAnsiTheme="majorHAnsi"/>
          <w:sz w:val="20"/>
          <w:szCs w:val="20"/>
          <w:lang w:val="es-ES_tradnl"/>
        </w:rPr>
        <w:t>”</w:t>
      </w:r>
      <w:r w:rsidR="00806471" w:rsidRPr="007A708F">
        <w:rPr>
          <w:rFonts w:asciiTheme="majorHAnsi" w:hAnsiTheme="majorHAnsi"/>
          <w:sz w:val="20"/>
          <w:szCs w:val="20"/>
          <w:lang w:val="es-ES_tradnl"/>
        </w:rPr>
        <w:t xml:space="preserve">, </w:t>
      </w:r>
      <w:r w:rsidR="00CB2DD5" w:rsidRPr="007A708F">
        <w:rPr>
          <w:rFonts w:asciiTheme="majorHAnsi" w:hAnsiTheme="majorHAnsi"/>
          <w:sz w:val="20"/>
          <w:szCs w:val="20"/>
          <w:lang w:val="es-ES_tradnl"/>
        </w:rPr>
        <w:t>“</w:t>
      </w:r>
      <w:r w:rsidR="007A5352" w:rsidRPr="007A708F">
        <w:rPr>
          <w:rFonts w:asciiTheme="majorHAnsi" w:hAnsiTheme="majorHAnsi"/>
          <w:sz w:val="20"/>
          <w:szCs w:val="20"/>
          <w:lang w:val="es-ES_tradnl"/>
        </w:rPr>
        <w:t>juez Vindel</w:t>
      </w:r>
      <w:r w:rsidR="00CB2DD5" w:rsidRPr="007A708F">
        <w:rPr>
          <w:rFonts w:asciiTheme="majorHAnsi" w:hAnsiTheme="majorHAnsi"/>
          <w:sz w:val="20"/>
          <w:szCs w:val="20"/>
          <w:lang w:val="es-ES_tradnl"/>
        </w:rPr>
        <w:t>”</w:t>
      </w:r>
      <w:r w:rsidR="00806471" w:rsidRPr="007A708F">
        <w:rPr>
          <w:rFonts w:asciiTheme="majorHAnsi" w:hAnsiTheme="majorHAnsi"/>
          <w:sz w:val="20"/>
          <w:szCs w:val="20"/>
          <w:lang w:val="es-ES_tradnl"/>
        </w:rPr>
        <w:t xml:space="preserve"> o “presunta víctima”</w:t>
      </w:r>
      <w:r w:rsidR="007A5352" w:rsidRPr="007A708F">
        <w:rPr>
          <w:rFonts w:asciiTheme="majorHAnsi" w:hAnsiTheme="majorHAnsi"/>
          <w:sz w:val="20"/>
          <w:szCs w:val="20"/>
          <w:lang w:val="es-ES_tradnl"/>
        </w:rPr>
        <w:t xml:space="preserve">) </w:t>
      </w:r>
      <w:r w:rsidRPr="007A708F">
        <w:rPr>
          <w:rFonts w:asciiTheme="majorHAnsi" w:hAnsiTheme="majorHAnsi"/>
          <w:sz w:val="20"/>
          <w:szCs w:val="20"/>
          <w:lang w:val="es-ES_tradnl"/>
        </w:rPr>
        <w:t xml:space="preserve">como Juez de Ejecución de Penas en la ciudad de Tegucigalpa. Al respecto sostiene </w:t>
      </w:r>
      <w:r w:rsidR="00F90EFE" w:rsidRPr="007A708F">
        <w:rPr>
          <w:rFonts w:asciiTheme="majorHAnsi" w:hAnsiTheme="majorHAnsi"/>
          <w:sz w:val="20"/>
          <w:szCs w:val="20"/>
          <w:lang w:val="es-ES_tradnl"/>
        </w:rPr>
        <w:t xml:space="preserve">la parte peticionaria </w:t>
      </w:r>
      <w:r w:rsidRPr="007A708F">
        <w:rPr>
          <w:rFonts w:asciiTheme="majorHAnsi" w:hAnsiTheme="majorHAnsi"/>
          <w:sz w:val="20"/>
          <w:szCs w:val="20"/>
          <w:lang w:val="es-ES_tradnl"/>
        </w:rPr>
        <w:t>que la sanción fue desproporcionada y no observó el principio de legalidad</w:t>
      </w:r>
      <w:r w:rsidR="00F6619D" w:rsidRPr="007A708F">
        <w:rPr>
          <w:rFonts w:asciiTheme="majorHAnsi" w:hAnsiTheme="majorHAnsi"/>
          <w:sz w:val="20"/>
          <w:szCs w:val="20"/>
          <w:lang w:val="es-ES_tradnl"/>
        </w:rPr>
        <w:t xml:space="preserve">, </w:t>
      </w:r>
      <w:r w:rsidRPr="007A708F">
        <w:rPr>
          <w:rFonts w:asciiTheme="majorHAnsi" w:hAnsiTheme="majorHAnsi"/>
          <w:sz w:val="20"/>
          <w:szCs w:val="20"/>
          <w:lang w:val="es-ES_tradnl"/>
        </w:rPr>
        <w:t xml:space="preserve">sin que la decisión </w:t>
      </w:r>
      <w:r w:rsidR="004D3197" w:rsidRPr="007A708F">
        <w:rPr>
          <w:rFonts w:asciiTheme="majorHAnsi" w:hAnsiTheme="majorHAnsi"/>
          <w:sz w:val="20"/>
          <w:szCs w:val="20"/>
          <w:lang w:val="es-ES_tradnl"/>
        </w:rPr>
        <w:t>fuera</w:t>
      </w:r>
      <w:r w:rsidRPr="007A708F">
        <w:rPr>
          <w:rFonts w:asciiTheme="majorHAnsi" w:hAnsiTheme="majorHAnsi"/>
          <w:sz w:val="20"/>
          <w:szCs w:val="20"/>
          <w:lang w:val="es-ES_tradnl"/>
        </w:rPr>
        <w:t xml:space="preserve"> revisada en segunda instancia ante la supresión del Consejo de la Judicatura y de la Carrera Judicial. </w:t>
      </w:r>
    </w:p>
    <w:p w14:paraId="0F229588" w14:textId="7A6FFB61" w:rsidR="006244A8" w:rsidRPr="007A708F" w:rsidRDefault="006244A8" w:rsidP="006244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7A708F">
        <w:rPr>
          <w:rFonts w:asciiTheme="majorHAnsi" w:hAnsiTheme="majorHAnsi"/>
          <w:i/>
          <w:iCs/>
          <w:sz w:val="20"/>
          <w:szCs w:val="20"/>
          <w:lang w:val="es-ES_tradnl"/>
        </w:rPr>
        <w:t>Hechos previos a la destitución del juez Vindel</w:t>
      </w:r>
    </w:p>
    <w:bookmarkEnd w:id="2"/>
    <w:p w14:paraId="62C9476C" w14:textId="30EBBB15" w:rsidR="006244A8" w:rsidRPr="007A708F" w:rsidRDefault="006244A8" w:rsidP="001F54D8">
      <w:pPr>
        <w:pStyle w:val="ListParagraph"/>
        <w:numPr>
          <w:ilvl w:val="0"/>
          <w:numId w:val="55"/>
        </w:numPr>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 xml:space="preserve">El </w:t>
      </w:r>
      <w:r w:rsidR="00446BF0" w:rsidRPr="007A708F">
        <w:rPr>
          <w:rFonts w:asciiTheme="majorHAnsi" w:hAnsiTheme="majorHAnsi"/>
          <w:bCs/>
          <w:sz w:val="20"/>
          <w:szCs w:val="20"/>
          <w:lang w:val="es-ES_tradnl"/>
        </w:rPr>
        <w:t>Sr. Renán Oswaldo</w:t>
      </w:r>
      <w:r w:rsidRPr="007A708F">
        <w:rPr>
          <w:rFonts w:asciiTheme="majorHAnsi" w:hAnsiTheme="majorHAnsi"/>
          <w:bCs/>
          <w:sz w:val="20"/>
          <w:szCs w:val="20"/>
          <w:lang w:val="es-ES_tradnl"/>
        </w:rPr>
        <w:t xml:space="preserve"> Vindel se desempeñaba como Juez de Ejecución de Penas en la ciudad de Tegucigalpa desde el 2003. </w:t>
      </w:r>
      <w:r w:rsidR="009D3E5D" w:rsidRPr="007A708F">
        <w:rPr>
          <w:rFonts w:asciiTheme="majorHAnsi" w:hAnsiTheme="majorHAnsi"/>
          <w:bCs/>
          <w:sz w:val="20"/>
          <w:szCs w:val="20"/>
          <w:lang w:val="es-ES_tradnl"/>
        </w:rPr>
        <w:t>E</w:t>
      </w:r>
      <w:r w:rsidRPr="007A708F">
        <w:rPr>
          <w:rFonts w:asciiTheme="majorHAnsi" w:hAnsiTheme="majorHAnsi"/>
          <w:bCs/>
          <w:sz w:val="20"/>
          <w:szCs w:val="20"/>
          <w:lang w:val="es-ES_tradnl"/>
        </w:rPr>
        <w:t>l 6 de noviembre de 2007 el juzgado de ejecución de penas recibió la certificación de sentencia del proceso penal seguido contra el señor M.G.V.A</w:t>
      </w:r>
      <w:r w:rsidR="00F1120F" w:rsidRPr="007A708F">
        <w:rPr>
          <w:rFonts w:asciiTheme="majorHAnsi" w:hAnsiTheme="majorHAnsi"/>
          <w:bCs/>
          <w:sz w:val="20"/>
          <w:szCs w:val="20"/>
          <w:lang w:val="es-ES_tradnl"/>
        </w:rPr>
        <w:t xml:space="preserve"> (o “el condenado”)</w:t>
      </w:r>
      <w:r w:rsidRPr="007A708F">
        <w:rPr>
          <w:rFonts w:asciiTheme="majorHAnsi" w:hAnsiTheme="majorHAnsi"/>
          <w:bCs/>
          <w:sz w:val="20"/>
          <w:szCs w:val="20"/>
          <w:lang w:val="es-ES_tradnl"/>
        </w:rPr>
        <w:t>, en el cual se le había impuesto una pena de tres años de reclusión y el otorgamiento del beneficio de suspensión condicional de la pena</w:t>
      </w:r>
      <w:r w:rsidR="00B3767E" w:rsidRPr="007A708F">
        <w:rPr>
          <w:rFonts w:asciiTheme="majorHAnsi" w:hAnsiTheme="majorHAnsi"/>
          <w:bCs/>
          <w:sz w:val="20"/>
          <w:szCs w:val="20"/>
          <w:lang w:val="es-ES_tradnl"/>
        </w:rPr>
        <w:t xml:space="preserve">; luego, </w:t>
      </w:r>
      <w:r w:rsidRPr="007A708F">
        <w:rPr>
          <w:rFonts w:asciiTheme="majorHAnsi" w:hAnsiTheme="majorHAnsi"/>
          <w:bCs/>
          <w:sz w:val="20"/>
          <w:szCs w:val="20"/>
          <w:lang w:val="es-ES_tradnl"/>
        </w:rPr>
        <w:t>el 8 de noviembre de 2007</w:t>
      </w:r>
      <w:r w:rsidR="00B3767E" w:rsidRPr="007A708F">
        <w:rPr>
          <w:rFonts w:asciiTheme="majorHAnsi" w:hAnsiTheme="majorHAnsi"/>
          <w:bCs/>
          <w:sz w:val="20"/>
          <w:szCs w:val="20"/>
          <w:lang w:val="es-ES_tradnl"/>
        </w:rPr>
        <w:t>,</w:t>
      </w:r>
      <w:r w:rsidRPr="007A708F">
        <w:rPr>
          <w:rFonts w:asciiTheme="majorHAnsi" w:hAnsiTheme="majorHAnsi"/>
          <w:bCs/>
          <w:sz w:val="20"/>
          <w:szCs w:val="20"/>
          <w:lang w:val="es-ES_tradnl"/>
        </w:rPr>
        <w:t xml:space="preserve"> a través de </w:t>
      </w:r>
      <w:r w:rsidR="00C56BA9" w:rsidRPr="007A708F">
        <w:rPr>
          <w:rFonts w:asciiTheme="majorHAnsi" w:hAnsiTheme="majorHAnsi"/>
          <w:bCs/>
          <w:sz w:val="20"/>
          <w:szCs w:val="20"/>
          <w:lang w:val="es-ES_tradnl"/>
        </w:rPr>
        <w:t xml:space="preserve">una </w:t>
      </w:r>
      <w:r w:rsidRPr="007A708F">
        <w:rPr>
          <w:rFonts w:asciiTheme="majorHAnsi" w:hAnsiTheme="majorHAnsi"/>
          <w:bCs/>
          <w:sz w:val="20"/>
          <w:szCs w:val="20"/>
          <w:lang w:val="es-ES_tradnl"/>
        </w:rPr>
        <w:t>resolución</w:t>
      </w:r>
      <w:r w:rsidR="00B3767E" w:rsidRPr="007A708F">
        <w:rPr>
          <w:rFonts w:asciiTheme="majorHAnsi" w:hAnsiTheme="majorHAnsi"/>
          <w:bCs/>
          <w:sz w:val="20"/>
          <w:szCs w:val="20"/>
          <w:lang w:val="es-ES_tradnl"/>
        </w:rPr>
        <w:t>,</w:t>
      </w:r>
      <w:r w:rsidRPr="007A708F">
        <w:rPr>
          <w:rFonts w:asciiTheme="majorHAnsi" w:hAnsiTheme="majorHAnsi"/>
          <w:bCs/>
          <w:sz w:val="20"/>
          <w:szCs w:val="20"/>
          <w:lang w:val="es-ES_tradnl"/>
        </w:rPr>
        <w:t xml:space="preserve"> el juez Vindel procedió </w:t>
      </w:r>
      <w:r w:rsidR="00F91E11" w:rsidRPr="007A708F">
        <w:rPr>
          <w:rFonts w:asciiTheme="majorHAnsi" w:hAnsiTheme="majorHAnsi"/>
          <w:bCs/>
          <w:sz w:val="20"/>
          <w:szCs w:val="20"/>
          <w:lang w:val="es-ES_tradnl"/>
        </w:rPr>
        <w:t xml:space="preserve">formalmente </w:t>
      </w:r>
      <w:r w:rsidRPr="007A708F">
        <w:rPr>
          <w:rFonts w:asciiTheme="majorHAnsi" w:hAnsiTheme="majorHAnsi"/>
          <w:bCs/>
          <w:sz w:val="20"/>
          <w:szCs w:val="20"/>
          <w:lang w:val="es-ES_tradnl"/>
        </w:rPr>
        <w:t xml:space="preserve">con la liquidación de la pena. Sin embargo, al no </w:t>
      </w:r>
      <w:r w:rsidR="00AB5C45" w:rsidRPr="007A708F">
        <w:rPr>
          <w:rFonts w:asciiTheme="majorHAnsi" w:hAnsiTheme="majorHAnsi"/>
          <w:bCs/>
          <w:sz w:val="20"/>
          <w:szCs w:val="20"/>
          <w:lang w:val="es-ES_tradnl"/>
        </w:rPr>
        <w:t>hab</w:t>
      </w:r>
      <w:r w:rsidR="00143850" w:rsidRPr="007A708F">
        <w:rPr>
          <w:rFonts w:asciiTheme="majorHAnsi" w:hAnsiTheme="majorHAnsi"/>
          <w:bCs/>
          <w:sz w:val="20"/>
          <w:szCs w:val="20"/>
          <w:lang w:val="es-ES_tradnl"/>
        </w:rPr>
        <w:t>é</w:t>
      </w:r>
      <w:r w:rsidR="00AB5C45" w:rsidRPr="007A708F">
        <w:rPr>
          <w:rFonts w:asciiTheme="majorHAnsi" w:hAnsiTheme="majorHAnsi"/>
          <w:bCs/>
          <w:sz w:val="20"/>
          <w:szCs w:val="20"/>
          <w:lang w:val="es-ES_tradnl"/>
        </w:rPr>
        <w:t>rse</w:t>
      </w:r>
      <w:r w:rsidR="00143850" w:rsidRPr="007A708F">
        <w:rPr>
          <w:rFonts w:asciiTheme="majorHAnsi" w:hAnsiTheme="majorHAnsi"/>
          <w:bCs/>
          <w:sz w:val="20"/>
          <w:szCs w:val="20"/>
          <w:lang w:val="es-ES_tradnl"/>
        </w:rPr>
        <w:t>le</w:t>
      </w:r>
      <w:r w:rsidR="00AB5C45" w:rsidRPr="007A708F">
        <w:rPr>
          <w:rFonts w:asciiTheme="majorHAnsi" w:hAnsiTheme="majorHAnsi"/>
          <w:bCs/>
          <w:sz w:val="20"/>
          <w:szCs w:val="20"/>
          <w:lang w:val="es-ES_tradnl"/>
        </w:rPr>
        <w:t xml:space="preserve"> enviado</w:t>
      </w:r>
      <w:r w:rsidRPr="007A708F">
        <w:rPr>
          <w:rFonts w:asciiTheme="majorHAnsi" w:hAnsiTheme="majorHAnsi"/>
          <w:bCs/>
          <w:sz w:val="20"/>
          <w:szCs w:val="20"/>
          <w:lang w:val="es-ES_tradnl"/>
        </w:rPr>
        <w:t xml:space="preserve"> el expediente del </w:t>
      </w:r>
      <w:r w:rsidR="00AB5C45" w:rsidRPr="007A708F">
        <w:rPr>
          <w:rFonts w:asciiTheme="majorHAnsi" w:hAnsiTheme="majorHAnsi"/>
          <w:bCs/>
          <w:sz w:val="20"/>
          <w:szCs w:val="20"/>
          <w:lang w:val="es-ES_tradnl"/>
        </w:rPr>
        <w:t>condenado</w:t>
      </w:r>
      <w:r w:rsidRPr="007A708F">
        <w:rPr>
          <w:rFonts w:asciiTheme="majorHAnsi" w:hAnsiTheme="majorHAnsi"/>
          <w:bCs/>
          <w:sz w:val="20"/>
          <w:szCs w:val="20"/>
          <w:lang w:val="es-ES_tradnl"/>
        </w:rPr>
        <w:t xml:space="preserve"> por el </w:t>
      </w:r>
      <w:r w:rsidR="000452C4" w:rsidRPr="007A708F">
        <w:rPr>
          <w:rFonts w:asciiTheme="majorHAnsi" w:hAnsiTheme="majorHAnsi"/>
          <w:bCs/>
          <w:sz w:val="20"/>
          <w:szCs w:val="20"/>
          <w:lang w:val="es-ES_tradnl"/>
        </w:rPr>
        <w:t>t</w:t>
      </w:r>
      <w:r w:rsidRPr="007A708F">
        <w:rPr>
          <w:rFonts w:asciiTheme="majorHAnsi" w:hAnsiTheme="majorHAnsi"/>
          <w:bCs/>
          <w:sz w:val="20"/>
          <w:szCs w:val="20"/>
          <w:lang w:val="es-ES_tradnl"/>
        </w:rPr>
        <w:t xml:space="preserve">ribunal de </w:t>
      </w:r>
      <w:r w:rsidR="000452C4" w:rsidRPr="007A708F">
        <w:rPr>
          <w:rFonts w:asciiTheme="majorHAnsi" w:hAnsiTheme="majorHAnsi"/>
          <w:bCs/>
          <w:sz w:val="20"/>
          <w:szCs w:val="20"/>
          <w:lang w:val="es-ES_tradnl"/>
        </w:rPr>
        <w:t>s</w:t>
      </w:r>
      <w:r w:rsidRPr="007A708F">
        <w:rPr>
          <w:rFonts w:asciiTheme="majorHAnsi" w:hAnsiTheme="majorHAnsi"/>
          <w:bCs/>
          <w:sz w:val="20"/>
          <w:szCs w:val="20"/>
          <w:lang w:val="es-ES_tradnl"/>
        </w:rPr>
        <w:t xml:space="preserve">entencia, el juez Vindel no pudo comprobar que esta persona </w:t>
      </w:r>
      <w:r w:rsidR="003A57BC" w:rsidRPr="007A708F">
        <w:rPr>
          <w:rFonts w:asciiTheme="majorHAnsi" w:hAnsiTheme="majorHAnsi"/>
          <w:bCs/>
          <w:sz w:val="20"/>
          <w:szCs w:val="20"/>
          <w:lang w:val="es-ES_tradnl"/>
        </w:rPr>
        <w:t>continuaba</w:t>
      </w:r>
      <w:r w:rsidRPr="007A708F">
        <w:rPr>
          <w:rFonts w:asciiTheme="majorHAnsi" w:hAnsiTheme="majorHAnsi"/>
          <w:bCs/>
          <w:sz w:val="20"/>
          <w:szCs w:val="20"/>
          <w:lang w:val="es-ES_tradnl"/>
        </w:rPr>
        <w:t xml:space="preserve"> en prisión preventiva, </w:t>
      </w:r>
      <w:r w:rsidR="00A76BE7" w:rsidRPr="007A708F">
        <w:rPr>
          <w:rFonts w:asciiTheme="majorHAnsi" w:hAnsiTheme="majorHAnsi"/>
          <w:bCs/>
          <w:sz w:val="20"/>
          <w:szCs w:val="20"/>
          <w:lang w:val="es-ES_tradnl"/>
        </w:rPr>
        <w:t xml:space="preserve">y </w:t>
      </w:r>
      <w:r w:rsidR="008E6C48" w:rsidRPr="007A708F">
        <w:rPr>
          <w:rFonts w:asciiTheme="majorHAnsi" w:hAnsiTheme="majorHAnsi"/>
          <w:bCs/>
          <w:sz w:val="20"/>
          <w:szCs w:val="20"/>
          <w:lang w:val="es-ES_tradnl"/>
        </w:rPr>
        <w:t xml:space="preserve">por lo tanto no se concluyó el trámite correspondiente y el condenado permaneció </w:t>
      </w:r>
      <w:r w:rsidR="00D30F4F" w:rsidRPr="007A708F">
        <w:rPr>
          <w:rFonts w:asciiTheme="majorHAnsi" w:hAnsiTheme="majorHAnsi"/>
          <w:bCs/>
          <w:sz w:val="20"/>
          <w:szCs w:val="20"/>
          <w:lang w:val="es-ES_tradnl"/>
        </w:rPr>
        <w:t xml:space="preserve">recluido tres años más. </w:t>
      </w:r>
    </w:p>
    <w:p w14:paraId="6C21F89D" w14:textId="25A90B23" w:rsidR="006244A8" w:rsidRPr="007A708F" w:rsidRDefault="00B97E9C" w:rsidP="001F54D8">
      <w:pPr>
        <w:pStyle w:val="ListParagraph"/>
        <w:numPr>
          <w:ilvl w:val="0"/>
          <w:numId w:val="55"/>
        </w:numPr>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Por esta razón, e</w:t>
      </w:r>
      <w:r w:rsidR="006244A8" w:rsidRPr="007A708F">
        <w:rPr>
          <w:rFonts w:asciiTheme="majorHAnsi" w:hAnsiTheme="majorHAnsi"/>
          <w:bCs/>
          <w:sz w:val="20"/>
          <w:szCs w:val="20"/>
          <w:lang w:val="es-ES_tradnl"/>
        </w:rPr>
        <w:t>l 31 de agosto de 2010 la Penitenciaria Nacional informó a la Sala Cuarta del Tribunal de Sentencia la condición jurídica del señor M.G.V.A., solicitando su excarcelación inmediata. Dicha solicitud fue trasladada al juez Vindel por haber sido el encargado de la liquidación de la pena del condenado. A</w:t>
      </w:r>
      <w:r w:rsidR="00AA1333" w:rsidRPr="007A708F">
        <w:rPr>
          <w:rFonts w:asciiTheme="majorHAnsi" w:hAnsiTheme="majorHAnsi"/>
          <w:bCs/>
          <w:sz w:val="20"/>
          <w:szCs w:val="20"/>
          <w:lang w:val="es-ES_tradnl"/>
        </w:rPr>
        <w:t>sí, a</w:t>
      </w:r>
      <w:r w:rsidR="006244A8" w:rsidRPr="007A708F">
        <w:rPr>
          <w:rFonts w:asciiTheme="majorHAnsi" w:hAnsiTheme="majorHAnsi"/>
          <w:bCs/>
          <w:sz w:val="20"/>
          <w:szCs w:val="20"/>
          <w:lang w:val="es-ES_tradnl"/>
        </w:rPr>
        <w:t xml:space="preserve"> través de</w:t>
      </w:r>
      <w:r w:rsidR="00FA0A2D" w:rsidRPr="007A708F">
        <w:rPr>
          <w:rFonts w:asciiTheme="majorHAnsi" w:hAnsiTheme="majorHAnsi"/>
          <w:bCs/>
          <w:sz w:val="20"/>
          <w:szCs w:val="20"/>
          <w:lang w:val="es-ES_tradnl"/>
        </w:rPr>
        <w:t xml:space="preserve"> un</w:t>
      </w:r>
      <w:r w:rsidR="006244A8" w:rsidRPr="007A708F">
        <w:rPr>
          <w:rFonts w:asciiTheme="majorHAnsi" w:hAnsiTheme="majorHAnsi"/>
          <w:bCs/>
          <w:sz w:val="20"/>
          <w:szCs w:val="20"/>
          <w:lang w:val="es-ES_tradnl"/>
        </w:rPr>
        <w:t xml:space="preserve"> auto dirigido al Tribunal de Sentencia el juez Vindel sostuvo que en virtud de los artículos 344 del Código de Procedimiento Penal</w:t>
      </w:r>
      <w:r w:rsidR="00125FCA" w:rsidRPr="007A708F">
        <w:rPr>
          <w:rStyle w:val="FootnoteReference"/>
          <w:rFonts w:asciiTheme="majorHAnsi" w:hAnsiTheme="majorHAnsi"/>
          <w:bCs/>
          <w:sz w:val="20"/>
          <w:szCs w:val="20"/>
          <w:lang w:val="es-ES_tradnl"/>
        </w:rPr>
        <w:footnoteReference w:id="4"/>
      </w:r>
      <w:r w:rsidR="006244A8" w:rsidRPr="007A708F">
        <w:rPr>
          <w:rFonts w:asciiTheme="majorHAnsi" w:hAnsiTheme="majorHAnsi"/>
          <w:bCs/>
          <w:sz w:val="20"/>
          <w:szCs w:val="20"/>
          <w:lang w:val="es-ES_tradnl"/>
        </w:rPr>
        <w:t>, 73</w:t>
      </w:r>
      <w:r w:rsidR="00125FCA" w:rsidRPr="007A708F">
        <w:rPr>
          <w:rFonts w:asciiTheme="majorHAnsi" w:hAnsiTheme="majorHAnsi"/>
          <w:bCs/>
          <w:sz w:val="20"/>
          <w:szCs w:val="20"/>
          <w:lang w:val="es-ES_tradnl"/>
        </w:rPr>
        <w:t xml:space="preserve"> </w:t>
      </w:r>
      <w:r w:rsidR="006244A8" w:rsidRPr="007A708F">
        <w:rPr>
          <w:rFonts w:asciiTheme="majorHAnsi" w:hAnsiTheme="majorHAnsi"/>
          <w:bCs/>
          <w:sz w:val="20"/>
          <w:szCs w:val="20"/>
          <w:lang w:val="es-ES_tradnl"/>
        </w:rPr>
        <w:t>y 75 del Código Penal</w:t>
      </w:r>
      <w:r w:rsidR="00125FCA" w:rsidRPr="007A708F">
        <w:rPr>
          <w:rStyle w:val="FootnoteReference"/>
          <w:rFonts w:asciiTheme="majorHAnsi" w:hAnsiTheme="majorHAnsi"/>
          <w:bCs/>
          <w:sz w:val="20"/>
          <w:szCs w:val="20"/>
          <w:lang w:val="es-ES_tradnl"/>
        </w:rPr>
        <w:footnoteReference w:id="5"/>
      </w:r>
      <w:r w:rsidR="006244A8" w:rsidRPr="007A708F">
        <w:rPr>
          <w:rFonts w:asciiTheme="majorHAnsi" w:hAnsiTheme="majorHAnsi"/>
          <w:bCs/>
          <w:sz w:val="20"/>
          <w:szCs w:val="20"/>
          <w:lang w:val="es-ES_tradnl"/>
        </w:rPr>
        <w:t xml:space="preserve"> le correspondía al tribunal sentenciador, en este caso el Tribunal de Sentencia, extender la carta de libertad provisional y pronunciarse en la sentencia sobre las medidas cautelares personales que se encontraban vigentes. </w:t>
      </w:r>
    </w:p>
    <w:p w14:paraId="4E8197C1" w14:textId="4A1F3077" w:rsidR="006244A8" w:rsidRPr="007A708F" w:rsidRDefault="006244A8" w:rsidP="001F54D8">
      <w:pPr>
        <w:pStyle w:val="ListParagraph"/>
        <w:numPr>
          <w:ilvl w:val="0"/>
          <w:numId w:val="55"/>
        </w:numPr>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Por su parte la Sala Cuarta del Tribunal de Sentencia indicó que según lo dispuesto en el artículo 385 del Código Procesal Penal</w:t>
      </w:r>
      <w:r w:rsidR="00125FCA" w:rsidRPr="007A708F">
        <w:rPr>
          <w:rStyle w:val="FootnoteReference"/>
          <w:rFonts w:asciiTheme="majorHAnsi" w:hAnsiTheme="majorHAnsi"/>
          <w:bCs/>
          <w:sz w:val="20"/>
          <w:szCs w:val="20"/>
          <w:lang w:val="es-ES_tradnl"/>
        </w:rPr>
        <w:footnoteReference w:id="6"/>
      </w:r>
      <w:r w:rsidRPr="007A708F">
        <w:rPr>
          <w:rFonts w:asciiTheme="majorHAnsi" w:hAnsiTheme="majorHAnsi"/>
          <w:bCs/>
          <w:sz w:val="20"/>
          <w:szCs w:val="20"/>
          <w:lang w:val="es-ES_tradnl"/>
        </w:rPr>
        <w:t>, el beneficio de suspensión condicional de la ejecución de la pena solo podría aplicarse hasta que la sentencia se encontrara en firme, por lo que a partir de ese momento deb</w:t>
      </w:r>
      <w:r w:rsidR="00AF25F3" w:rsidRPr="007A708F">
        <w:rPr>
          <w:rFonts w:asciiTheme="majorHAnsi" w:hAnsiTheme="majorHAnsi"/>
          <w:bCs/>
          <w:sz w:val="20"/>
          <w:szCs w:val="20"/>
          <w:lang w:val="es-ES_tradnl"/>
        </w:rPr>
        <w:t>ían</w:t>
      </w:r>
      <w:r w:rsidRPr="007A708F">
        <w:rPr>
          <w:rFonts w:asciiTheme="majorHAnsi" w:hAnsiTheme="majorHAnsi"/>
          <w:bCs/>
          <w:sz w:val="20"/>
          <w:szCs w:val="20"/>
          <w:lang w:val="es-ES_tradnl"/>
        </w:rPr>
        <w:t xml:space="preserve"> ser ejecutadas por el juez de ejecución, correspondiéndole a este último la imposición del beneficio. Finalmente, mencionó que con la expedición del Código Procesal Penal algunos artículos o partes de estos fueron derogados tácitamente, por lo que parte del artículo 75 del Código Penal se derogó parcialmente retirándole la competencia de extinguir la pena, como lo sostenía el juez Vindel.  </w:t>
      </w:r>
    </w:p>
    <w:p w14:paraId="5E9C04F6" w14:textId="77777777" w:rsidR="006244A8" w:rsidRPr="007A708F" w:rsidRDefault="006244A8" w:rsidP="001F54D8">
      <w:pPr>
        <w:pStyle w:val="ListParagraph"/>
        <w:numPr>
          <w:ilvl w:val="0"/>
          <w:numId w:val="55"/>
        </w:numPr>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 xml:space="preserve">En virtud de lo anterior el 6 de septiembre de 2010 el juez Vindel dictó auto a través del cual libró los oficios de excarcelación y la carta de libertad del señor M.G.V.A. Posteriormente la Penitenciaria Nacional presentó denuncia ante la Inspectoría General del Juzgados y Tribunales por la detención irregular del condenado, la cual fue admitida el 2 de septiembre de ese mismo año. </w:t>
      </w:r>
    </w:p>
    <w:p w14:paraId="56D58267" w14:textId="77777777" w:rsidR="00D030E3" w:rsidRPr="007A708F" w:rsidRDefault="00D030E3" w:rsidP="006244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p>
    <w:p w14:paraId="37A5AF0C" w14:textId="470646C3" w:rsidR="006244A8" w:rsidRPr="007A708F" w:rsidRDefault="006244A8" w:rsidP="006244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7A708F">
        <w:rPr>
          <w:rFonts w:asciiTheme="majorHAnsi" w:hAnsiTheme="majorHAnsi"/>
          <w:i/>
          <w:iCs/>
          <w:sz w:val="20"/>
          <w:szCs w:val="20"/>
          <w:lang w:val="es-ES_tradnl"/>
        </w:rPr>
        <w:lastRenderedPageBreak/>
        <w:t>Destitución del juez Vindel y recursos posteriores presentados</w:t>
      </w:r>
    </w:p>
    <w:p w14:paraId="41AB4983" w14:textId="48009EA7" w:rsidR="006244A8" w:rsidRPr="007A708F" w:rsidRDefault="006244A8" w:rsidP="001F54D8">
      <w:pPr>
        <w:pStyle w:val="ListParagraph"/>
        <w:numPr>
          <w:ilvl w:val="0"/>
          <w:numId w:val="55"/>
        </w:numPr>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El 18 de octubre de 2011</w:t>
      </w:r>
      <w:r w:rsidR="008A4CBD" w:rsidRPr="007A708F">
        <w:rPr>
          <w:rFonts w:asciiTheme="majorHAnsi" w:hAnsiTheme="majorHAnsi"/>
          <w:bCs/>
          <w:sz w:val="20"/>
          <w:szCs w:val="20"/>
          <w:lang w:val="es-ES_tradnl"/>
        </w:rPr>
        <w:t>,</w:t>
      </w:r>
      <w:r w:rsidRPr="007A708F">
        <w:rPr>
          <w:rFonts w:asciiTheme="majorHAnsi" w:hAnsiTheme="majorHAnsi"/>
          <w:bCs/>
          <w:sz w:val="20"/>
          <w:szCs w:val="20"/>
          <w:lang w:val="es-ES_tradnl"/>
        </w:rPr>
        <w:t xml:space="preserve"> como resultado de la Investigación realizada por la Inspectoría General de Juzgados y Tribunales, la Dirección de Administración Personal de la Carrera Judicial recomendó aplicar la sanción de quince días de salario sin suspensión de labores al secretario y juez de la Sala Cuarta del Tribunal de Sentencia</w:t>
      </w:r>
      <w:r w:rsidR="00B6412A" w:rsidRPr="007A708F">
        <w:rPr>
          <w:rFonts w:asciiTheme="majorHAnsi" w:hAnsiTheme="majorHAnsi"/>
          <w:bCs/>
          <w:sz w:val="20"/>
          <w:szCs w:val="20"/>
          <w:lang w:val="es-ES_tradnl"/>
        </w:rPr>
        <w:t>,</w:t>
      </w:r>
      <w:r w:rsidRPr="007A708F">
        <w:rPr>
          <w:rFonts w:asciiTheme="majorHAnsi" w:hAnsiTheme="majorHAnsi"/>
          <w:bCs/>
          <w:sz w:val="20"/>
          <w:szCs w:val="20"/>
          <w:lang w:val="es-ES_tradnl"/>
        </w:rPr>
        <w:t xml:space="preserve"> al defensor público del condenado y al juez Vindel. Con respecto a este último la Dirección de Administración Personal consideró que no obró con la debida diligencia al liquidar la pena</w:t>
      </w:r>
      <w:r w:rsidR="00780E6F" w:rsidRPr="007A708F">
        <w:rPr>
          <w:rFonts w:asciiTheme="majorHAnsi" w:hAnsiTheme="majorHAnsi"/>
          <w:bCs/>
          <w:sz w:val="20"/>
          <w:szCs w:val="20"/>
          <w:lang w:val="es-ES_tradnl"/>
        </w:rPr>
        <w:t>,</w:t>
      </w:r>
      <w:r w:rsidRPr="007A708F">
        <w:rPr>
          <w:rFonts w:asciiTheme="majorHAnsi" w:hAnsiTheme="majorHAnsi"/>
          <w:bCs/>
          <w:sz w:val="20"/>
          <w:szCs w:val="20"/>
          <w:lang w:val="es-ES_tradnl"/>
        </w:rPr>
        <w:t xml:space="preserve"> pues no investigó la situación jurídica del señor M.G.V.A. Esta recomendación fue remitida al </w:t>
      </w:r>
      <w:r w:rsidR="008B1372" w:rsidRPr="007A708F">
        <w:rPr>
          <w:rFonts w:asciiTheme="majorHAnsi" w:hAnsiTheme="majorHAnsi"/>
          <w:bCs/>
          <w:sz w:val="20"/>
          <w:szCs w:val="20"/>
          <w:lang w:val="es-ES_tradnl"/>
        </w:rPr>
        <w:t>p</w:t>
      </w:r>
      <w:r w:rsidRPr="007A708F">
        <w:rPr>
          <w:rFonts w:asciiTheme="majorHAnsi" w:hAnsiTheme="majorHAnsi"/>
          <w:bCs/>
          <w:sz w:val="20"/>
          <w:szCs w:val="20"/>
          <w:lang w:val="es-ES_tradnl"/>
        </w:rPr>
        <w:t xml:space="preserve">residente de la Corte Suprema de Justicia el 19 de octubre de 2011. </w:t>
      </w:r>
    </w:p>
    <w:p w14:paraId="4EE1D6FB" w14:textId="4808CD30" w:rsidR="006244A8" w:rsidRPr="007A708F" w:rsidRDefault="006244A8" w:rsidP="001F54D8">
      <w:pPr>
        <w:pStyle w:val="ListParagraph"/>
        <w:numPr>
          <w:ilvl w:val="0"/>
          <w:numId w:val="55"/>
        </w:numPr>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 xml:space="preserve">El peticionario </w:t>
      </w:r>
      <w:r w:rsidR="00FA1D36" w:rsidRPr="007A708F">
        <w:rPr>
          <w:rFonts w:asciiTheme="majorHAnsi" w:hAnsiTheme="majorHAnsi"/>
          <w:bCs/>
          <w:sz w:val="20"/>
          <w:szCs w:val="20"/>
          <w:lang w:val="es-ES_tradnl"/>
        </w:rPr>
        <w:t>indica</w:t>
      </w:r>
      <w:r w:rsidRPr="007A708F">
        <w:rPr>
          <w:rFonts w:asciiTheme="majorHAnsi" w:hAnsiTheme="majorHAnsi"/>
          <w:bCs/>
          <w:sz w:val="20"/>
          <w:szCs w:val="20"/>
          <w:lang w:val="es-ES_tradnl"/>
        </w:rPr>
        <w:t xml:space="preserve"> que mediante </w:t>
      </w:r>
      <w:r w:rsidR="00BE6F9D" w:rsidRPr="007A708F">
        <w:rPr>
          <w:rFonts w:asciiTheme="majorHAnsi" w:hAnsiTheme="majorHAnsi"/>
          <w:bCs/>
          <w:sz w:val="20"/>
          <w:szCs w:val="20"/>
          <w:lang w:val="es-ES_tradnl"/>
        </w:rPr>
        <w:t>el Acuerdo</w:t>
      </w:r>
      <w:r w:rsidRPr="007A708F">
        <w:rPr>
          <w:rFonts w:asciiTheme="majorHAnsi" w:hAnsiTheme="majorHAnsi"/>
          <w:bCs/>
          <w:sz w:val="20"/>
          <w:szCs w:val="20"/>
          <w:lang w:val="es-ES_tradnl"/>
        </w:rPr>
        <w:t xml:space="preserve"> </w:t>
      </w:r>
      <w:r w:rsidR="00BE6F9D" w:rsidRPr="007A708F">
        <w:rPr>
          <w:rFonts w:asciiTheme="majorHAnsi" w:hAnsiTheme="majorHAnsi"/>
          <w:bCs/>
          <w:sz w:val="20"/>
          <w:szCs w:val="20"/>
          <w:lang w:val="es-ES_tradnl"/>
        </w:rPr>
        <w:t xml:space="preserve">No. 105 </w:t>
      </w:r>
      <w:r w:rsidRPr="007A708F">
        <w:rPr>
          <w:rFonts w:asciiTheme="majorHAnsi" w:hAnsiTheme="majorHAnsi"/>
          <w:bCs/>
          <w:sz w:val="20"/>
          <w:szCs w:val="20"/>
          <w:lang w:val="es-ES_tradnl"/>
        </w:rPr>
        <w:t xml:space="preserve">de enero de 2012, el presidente de la Corte Suprema de Justicia </w:t>
      </w:r>
      <w:r w:rsidR="00FA1D36" w:rsidRPr="007A708F">
        <w:rPr>
          <w:rFonts w:asciiTheme="majorHAnsi" w:hAnsiTheme="majorHAnsi"/>
          <w:bCs/>
          <w:sz w:val="20"/>
          <w:szCs w:val="20"/>
          <w:lang w:val="es-ES_tradnl"/>
        </w:rPr>
        <w:t>confirmó</w:t>
      </w:r>
      <w:r w:rsidRPr="007A708F">
        <w:rPr>
          <w:rFonts w:asciiTheme="majorHAnsi" w:hAnsiTheme="majorHAnsi"/>
          <w:bCs/>
          <w:sz w:val="20"/>
          <w:szCs w:val="20"/>
          <w:lang w:val="es-ES_tradnl"/>
        </w:rPr>
        <w:t xml:space="preserve"> parcialmente la recomendación hecha por la Dirección de Administración Personal e imponer al juez Vindel la sanción de destitución del cargo por incumplimiento de sus deberes</w:t>
      </w:r>
      <w:r w:rsidR="00FA1D36" w:rsidRPr="007A708F">
        <w:rPr>
          <w:rFonts w:asciiTheme="majorHAnsi" w:hAnsiTheme="majorHAnsi"/>
          <w:bCs/>
          <w:sz w:val="20"/>
          <w:szCs w:val="20"/>
          <w:lang w:val="es-ES_tradnl"/>
        </w:rPr>
        <w:t>,</w:t>
      </w:r>
      <w:r w:rsidRPr="007A708F">
        <w:rPr>
          <w:rFonts w:asciiTheme="majorHAnsi" w:hAnsiTheme="majorHAnsi"/>
          <w:bCs/>
          <w:sz w:val="20"/>
          <w:szCs w:val="20"/>
          <w:lang w:val="es-ES_tradnl"/>
        </w:rPr>
        <w:t xml:space="preserve"> al no obrar con la debida diligencia en el desempeño de sus funciones. </w:t>
      </w:r>
    </w:p>
    <w:p w14:paraId="1ED9F00E" w14:textId="6BAB04AF" w:rsidR="006244A8" w:rsidRPr="007A708F" w:rsidRDefault="006244A8" w:rsidP="001F54D8">
      <w:pPr>
        <w:pStyle w:val="ListParagraph"/>
        <w:numPr>
          <w:ilvl w:val="0"/>
          <w:numId w:val="55"/>
        </w:numPr>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 xml:space="preserve">El 17 de febrero de 2012 el señor Vindel presentó ante el Consejo de la Carrera Judicial la impugnación contra </w:t>
      </w:r>
      <w:r w:rsidR="007435CF" w:rsidRPr="007A708F">
        <w:rPr>
          <w:rFonts w:asciiTheme="majorHAnsi" w:hAnsiTheme="majorHAnsi"/>
          <w:bCs/>
          <w:sz w:val="20"/>
          <w:szCs w:val="20"/>
          <w:lang w:val="es-ES_tradnl"/>
        </w:rPr>
        <w:t>esta</w:t>
      </w:r>
      <w:r w:rsidRPr="007A708F">
        <w:rPr>
          <w:rFonts w:asciiTheme="majorHAnsi" w:hAnsiTheme="majorHAnsi"/>
          <w:bCs/>
          <w:sz w:val="20"/>
          <w:szCs w:val="20"/>
          <w:lang w:val="es-ES_tradnl"/>
        </w:rPr>
        <w:t xml:space="preserve"> decisión</w:t>
      </w:r>
      <w:r w:rsidR="007435CF" w:rsidRPr="007A708F">
        <w:rPr>
          <w:rFonts w:asciiTheme="majorHAnsi" w:hAnsiTheme="majorHAnsi"/>
          <w:bCs/>
          <w:sz w:val="20"/>
          <w:szCs w:val="20"/>
          <w:lang w:val="es-ES_tradnl"/>
        </w:rPr>
        <w:t xml:space="preserve"> de destitución</w:t>
      </w:r>
      <w:r w:rsidRPr="007A708F">
        <w:rPr>
          <w:rFonts w:asciiTheme="majorHAnsi" w:hAnsiTheme="majorHAnsi"/>
          <w:bCs/>
          <w:sz w:val="20"/>
          <w:szCs w:val="20"/>
          <w:lang w:val="es-ES_tradnl"/>
        </w:rPr>
        <w:t xml:space="preserve"> de la Corte Suprema. Sin embargo, ante la entrada en vigor de la ley del Consejo de la Judicatura y de la Carrera Judicial</w:t>
      </w:r>
      <w:r w:rsidR="00A1086F" w:rsidRPr="007A708F">
        <w:rPr>
          <w:rFonts w:asciiTheme="majorHAnsi" w:hAnsiTheme="majorHAnsi"/>
          <w:bCs/>
          <w:sz w:val="20"/>
          <w:szCs w:val="20"/>
          <w:lang w:val="es-ES_tradnl"/>
        </w:rPr>
        <w:t>,</w:t>
      </w:r>
      <w:r w:rsidRPr="007A708F">
        <w:rPr>
          <w:rFonts w:asciiTheme="majorHAnsi" w:hAnsiTheme="majorHAnsi"/>
          <w:bCs/>
          <w:sz w:val="20"/>
          <w:szCs w:val="20"/>
          <w:lang w:val="es-ES_tradnl"/>
        </w:rPr>
        <w:t xml:space="preserve"> el 18 de enero de 2012, se instaló formalmente el nuevo Consejo de la Judicatura y de la Carrera Judicial reemplazando al antiguo Consejo de la Carrera Judicial el 11 de octubre de </w:t>
      </w:r>
      <w:r w:rsidR="00A1086F" w:rsidRPr="007A708F">
        <w:rPr>
          <w:rFonts w:asciiTheme="majorHAnsi" w:hAnsiTheme="majorHAnsi"/>
          <w:bCs/>
          <w:sz w:val="20"/>
          <w:szCs w:val="20"/>
          <w:lang w:val="es-ES_tradnl"/>
        </w:rPr>
        <w:t>ese año</w:t>
      </w:r>
      <w:r w:rsidRPr="007A708F">
        <w:rPr>
          <w:rFonts w:asciiTheme="majorHAnsi" w:hAnsiTheme="majorHAnsi"/>
          <w:bCs/>
          <w:sz w:val="20"/>
          <w:szCs w:val="20"/>
          <w:lang w:val="es-ES_tradnl"/>
        </w:rPr>
        <w:t>. El peticionario alega que esto tuvo como consecuencia que al derogarse al Consejo de la Carrera Judicial esta autoridad nunca llegó a decidir la impugnación presentada por la presunta víctima. Además</w:t>
      </w:r>
      <w:r w:rsidR="00D92266" w:rsidRPr="007A708F">
        <w:rPr>
          <w:rFonts w:asciiTheme="majorHAnsi" w:hAnsiTheme="majorHAnsi"/>
          <w:bCs/>
          <w:sz w:val="20"/>
          <w:szCs w:val="20"/>
          <w:lang w:val="es-ES_tradnl"/>
        </w:rPr>
        <w:t xml:space="preserve">, </w:t>
      </w:r>
      <w:r w:rsidRPr="007A708F">
        <w:rPr>
          <w:rFonts w:asciiTheme="majorHAnsi" w:hAnsiTheme="majorHAnsi"/>
          <w:bCs/>
          <w:sz w:val="20"/>
          <w:szCs w:val="20"/>
          <w:lang w:val="es-ES_tradnl"/>
        </w:rPr>
        <w:t>si bien en noviembre y diciembre de 2013 el nuevo Consejo de la Judicatura y de la Carrera Judicial acus</w:t>
      </w:r>
      <w:r w:rsidR="00A33355" w:rsidRPr="007A708F">
        <w:rPr>
          <w:rFonts w:asciiTheme="majorHAnsi" w:hAnsiTheme="majorHAnsi"/>
          <w:bCs/>
          <w:sz w:val="20"/>
          <w:szCs w:val="20"/>
          <w:lang w:val="es-ES_tradnl"/>
        </w:rPr>
        <w:t>ó</w:t>
      </w:r>
      <w:r w:rsidRPr="007A708F">
        <w:rPr>
          <w:rFonts w:asciiTheme="majorHAnsi" w:hAnsiTheme="majorHAnsi"/>
          <w:bCs/>
          <w:sz w:val="20"/>
          <w:szCs w:val="20"/>
          <w:lang w:val="es-ES_tradnl"/>
        </w:rPr>
        <w:t xml:space="preserve"> recibo de </w:t>
      </w:r>
      <w:r w:rsidR="00BE6F9D" w:rsidRPr="007A708F">
        <w:rPr>
          <w:rFonts w:asciiTheme="majorHAnsi" w:hAnsiTheme="majorHAnsi"/>
          <w:bCs/>
          <w:sz w:val="20"/>
          <w:szCs w:val="20"/>
          <w:lang w:val="es-ES_tradnl"/>
        </w:rPr>
        <w:t>la</w:t>
      </w:r>
      <w:r w:rsidRPr="007A708F">
        <w:rPr>
          <w:rFonts w:asciiTheme="majorHAnsi" w:hAnsiTheme="majorHAnsi"/>
          <w:bCs/>
          <w:sz w:val="20"/>
          <w:szCs w:val="20"/>
          <w:lang w:val="es-ES_tradnl"/>
        </w:rPr>
        <w:t xml:space="preserve"> impugnación, nunca la decidió. </w:t>
      </w:r>
    </w:p>
    <w:p w14:paraId="37EB53C0" w14:textId="77777777" w:rsidR="002C2511" w:rsidRPr="007A708F" w:rsidRDefault="00EF5527" w:rsidP="002C2511">
      <w:pPr>
        <w:pStyle w:val="ListParagraph"/>
        <w:numPr>
          <w:ilvl w:val="0"/>
          <w:numId w:val="55"/>
        </w:numPr>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Así, e</w:t>
      </w:r>
      <w:r w:rsidR="006244A8" w:rsidRPr="007A708F">
        <w:rPr>
          <w:rFonts w:asciiTheme="majorHAnsi" w:hAnsiTheme="majorHAnsi"/>
          <w:bCs/>
          <w:sz w:val="20"/>
          <w:szCs w:val="20"/>
          <w:lang w:val="es-ES_tradnl"/>
        </w:rPr>
        <w:t>n busca de un recurso efectivo</w:t>
      </w:r>
      <w:r w:rsidRPr="007A708F">
        <w:rPr>
          <w:rFonts w:asciiTheme="majorHAnsi" w:hAnsiTheme="majorHAnsi"/>
          <w:bCs/>
          <w:sz w:val="20"/>
          <w:szCs w:val="20"/>
          <w:lang w:val="es-ES_tradnl"/>
        </w:rPr>
        <w:t>,</w:t>
      </w:r>
      <w:r w:rsidR="006244A8" w:rsidRPr="007A708F">
        <w:rPr>
          <w:rFonts w:asciiTheme="majorHAnsi" w:hAnsiTheme="majorHAnsi"/>
          <w:bCs/>
          <w:sz w:val="20"/>
          <w:szCs w:val="20"/>
          <w:lang w:val="es-ES_tradnl"/>
        </w:rPr>
        <w:t xml:space="preserve"> la presunta víctima presentó una denuncia ante el Comisionado Nacional de los Derechos Humanos el 5 de junio de 2014, sin que dicha institución realiza</w:t>
      </w:r>
      <w:r w:rsidR="004E74C1" w:rsidRPr="007A708F">
        <w:rPr>
          <w:rFonts w:asciiTheme="majorHAnsi" w:hAnsiTheme="majorHAnsi"/>
          <w:bCs/>
          <w:sz w:val="20"/>
          <w:szCs w:val="20"/>
          <w:lang w:val="es-ES_tradnl"/>
        </w:rPr>
        <w:t>se</w:t>
      </w:r>
      <w:r w:rsidR="006244A8" w:rsidRPr="007A708F">
        <w:rPr>
          <w:rFonts w:asciiTheme="majorHAnsi" w:hAnsiTheme="majorHAnsi"/>
          <w:bCs/>
          <w:sz w:val="20"/>
          <w:szCs w:val="20"/>
          <w:lang w:val="es-ES_tradnl"/>
        </w:rPr>
        <w:t xml:space="preserve"> alguna acción al respecto.</w:t>
      </w:r>
    </w:p>
    <w:p w14:paraId="6DAC55D6" w14:textId="2F6C9B7C" w:rsidR="006244A8" w:rsidRPr="007A708F" w:rsidRDefault="006244A8" w:rsidP="002C2511">
      <w:pPr>
        <w:pStyle w:val="ListParagraph"/>
        <w:numPr>
          <w:ilvl w:val="0"/>
          <w:numId w:val="55"/>
        </w:numPr>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El peticionario narra que el 14 de marzo de 2016 esta nueva ley del Consejo de Judicatura fue declarada inconstitucional</w:t>
      </w:r>
      <w:r w:rsidR="00AB2BA6" w:rsidRPr="007A708F">
        <w:rPr>
          <w:rStyle w:val="FootnoteReference"/>
          <w:rFonts w:asciiTheme="majorHAnsi" w:hAnsiTheme="majorHAnsi"/>
          <w:bCs/>
          <w:sz w:val="20"/>
          <w:szCs w:val="20"/>
          <w:lang w:val="es-ES_tradnl"/>
        </w:rPr>
        <w:footnoteReference w:id="7"/>
      </w:r>
      <w:r w:rsidR="00222AE3" w:rsidRPr="007A708F">
        <w:rPr>
          <w:rFonts w:asciiTheme="majorHAnsi" w:hAnsiTheme="majorHAnsi"/>
          <w:bCs/>
          <w:sz w:val="20"/>
          <w:szCs w:val="20"/>
          <w:lang w:val="es-ES_tradnl"/>
        </w:rPr>
        <w:t>,</w:t>
      </w:r>
      <w:r w:rsidRPr="007A708F">
        <w:rPr>
          <w:rFonts w:asciiTheme="majorHAnsi" w:hAnsiTheme="majorHAnsi"/>
          <w:bCs/>
          <w:sz w:val="20"/>
          <w:szCs w:val="20"/>
          <w:lang w:val="es-ES_tradnl"/>
        </w:rPr>
        <w:t xml:space="preserve"> sin que para ese momento este órgano hubiese resuelto la impugnación presentada por la presunta víctima en febrero de 2012. Este hecho resulta relevante</w:t>
      </w:r>
      <w:r w:rsidR="0085075F" w:rsidRPr="007A708F">
        <w:rPr>
          <w:rFonts w:asciiTheme="majorHAnsi" w:hAnsiTheme="majorHAnsi"/>
          <w:bCs/>
          <w:sz w:val="20"/>
          <w:szCs w:val="20"/>
          <w:lang w:val="es-ES_tradnl"/>
        </w:rPr>
        <w:t>,</w:t>
      </w:r>
      <w:r w:rsidRPr="007A708F">
        <w:rPr>
          <w:rFonts w:asciiTheme="majorHAnsi" w:hAnsiTheme="majorHAnsi"/>
          <w:bCs/>
          <w:sz w:val="20"/>
          <w:szCs w:val="20"/>
          <w:lang w:val="es-ES_tradnl"/>
        </w:rPr>
        <w:t xml:space="preserve"> pues el 9 de abril de 2015, el señor Vindel presentó una acción de amparo ante la Sala Constitucional de la Corte Suprema en contra el Consejo de la Judicatura y la Carrera Judicial, solicitando que se le ordenara a este último resolver la impugnación que había presentado en el 2012. En el amparo se alegó fundamentalmente que su destitución fue ilegal e injusta</w:t>
      </w:r>
      <w:r w:rsidR="00F71DEE" w:rsidRPr="007A708F">
        <w:rPr>
          <w:rFonts w:asciiTheme="majorHAnsi" w:hAnsiTheme="majorHAnsi"/>
          <w:bCs/>
          <w:sz w:val="20"/>
          <w:szCs w:val="20"/>
          <w:lang w:val="es-ES_tradnl"/>
        </w:rPr>
        <w:t>,</w:t>
      </w:r>
      <w:r w:rsidRPr="007A708F">
        <w:rPr>
          <w:rFonts w:asciiTheme="majorHAnsi" w:hAnsiTheme="majorHAnsi"/>
          <w:bCs/>
          <w:sz w:val="20"/>
          <w:szCs w:val="20"/>
          <w:lang w:val="es-ES_tradnl"/>
        </w:rPr>
        <w:t xml:space="preserve"> pues no existió proporcionalidad entre la falta imputada y la sanción impuesta</w:t>
      </w:r>
      <w:r w:rsidR="00CB104B" w:rsidRPr="007A708F">
        <w:rPr>
          <w:rFonts w:asciiTheme="majorHAnsi" w:hAnsiTheme="majorHAnsi"/>
          <w:bCs/>
          <w:sz w:val="20"/>
          <w:szCs w:val="20"/>
          <w:lang w:val="es-ES_tradnl"/>
        </w:rPr>
        <w:t>;</w:t>
      </w:r>
      <w:r w:rsidR="00CF1964" w:rsidRPr="007A708F">
        <w:rPr>
          <w:rFonts w:asciiTheme="majorHAnsi" w:hAnsiTheme="majorHAnsi"/>
          <w:bCs/>
          <w:sz w:val="20"/>
          <w:szCs w:val="20"/>
          <w:lang w:val="es-ES_tradnl"/>
        </w:rPr>
        <w:t xml:space="preserve"> </w:t>
      </w:r>
      <w:r w:rsidR="001F40F5" w:rsidRPr="007A708F">
        <w:rPr>
          <w:rFonts w:asciiTheme="majorHAnsi" w:hAnsiTheme="majorHAnsi"/>
          <w:bCs/>
          <w:sz w:val="20"/>
          <w:szCs w:val="20"/>
          <w:lang w:val="es-ES_tradnl"/>
        </w:rPr>
        <w:t xml:space="preserve">y </w:t>
      </w:r>
      <w:r w:rsidR="00CF1964" w:rsidRPr="007A708F">
        <w:rPr>
          <w:rFonts w:asciiTheme="majorHAnsi" w:hAnsiTheme="majorHAnsi"/>
          <w:bCs/>
          <w:sz w:val="20"/>
          <w:szCs w:val="20"/>
          <w:lang w:val="es-ES_tradnl"/>
        </w:rPr>
        <w:t xml:space="preserve">que la resolución carecía de motivación pues las </w:t>
      </w:r>
      <w:r w:rsidRPr="007A708F">
        <w:rPr>
          <w:rFonts w:asciiTheme="majorHAnsi" w:hAnsiTheme="majorHAnsi"/>
          <w:bCs/>
          <w:sz w:val="20"/>
          <w:szCs w:val="20"/>
          <w:lang w:val="es-ES_tradnl"/>
        </w:rPr>
        <w:t xml:space="preserve">causales invocadas </w:t>
      </w:r>
      <w:r w:rsidR="00CF1964" w:rsidRPr="007A708F">
        <w:rPr>
          <w:rFonts w:asciiTheme="majorHAnsi" w:hAnsiTheme="majorHAnsi"/>
          <w:bCs/>
          <w:sz w:val="20"/>
          <w:szCs w:val="20"/>
          <w:lang w:val="es-ES_tradnl"/>
        </w:rPr>
        <w:t>de los artículos 54</w:t>
      </w:r>
      <w:r w:rsidR="00831F4C" w:rsidRPr="007A708F">
        <w:rPr>
          <w:rFonts w:asciiTheme="majorHAnsi" w:hAnsiTheme="majorHAnsi"/>
          <w:bCs/>
          <w:sz w:val="20"/>
          <w:szCs w:val="20"/>
          <w:lang w:val="es-ES_tradnl"/>
        </w:rPr>
        <w:t>,</w:t>
      </w:r>
      <w:r w:rsidR="00CF1964" w:rsidRPr="007A708F">
        <w:rPr>
          <w:rFonts w:asciiTheme="majorHAnsi" w:hAnsiTheme="majorHAnsi"/>
          <w:bCs/>
          <w:sz w:val="20"/>
          <w:szCs w:val="20"/>
          <w:lang w:val="es-ES_tradnl"/>
        </w:rPr>
        <w:t xml:space="preserve"> literales a</w:t>
      </w:r>
      <w:r w:rsidR="000D1CE5" w:rsidRPr="007A708F">
        <w:rPr>
          <w:rFonts w:asciiTheme="majorHAnsi" w:hAnsiTheme="majorHAnsi"/>
          <w:bCs/>
          <w:sz w:val="20"/>
          <w:szCs w:val="20"/>
          <w:lang w:val="es-ES_tradnl"/>
        </w:rPr>
        <w:t>)</w:t>
      </w:r>
      <w:r w:rsidR="00CF1964" w:rsidRPr="007A708F">
        <w:rPr>
          <w:rFonts w:asciiTheme="majorHAnsi" w:hAnsiTheme="majorHAnsi"/>
          <w:bCs/>
          <w:sz w:val="20"/>
          <w:szCs w:val="20"/>
          <w:lang w:val="es-ES_tradnl"/>
        </w:rPr>
        <w:t xml:space="preserve"> y g</w:t>
      </w:r>
      <w:r w:rsidR="000D1CE5" w:rsidRPr="007A708F">
        <w:rPr>
          <w:rFonts w:asciiTheme="majorHAnsi" w:hAnsiTheme="majorHAnsi"/>
          <w:bCs/>
          <w:sz w:val="20"/>
          <w:szCs w:val="20"/>
          <w:lang w:val="es-ES_tradnl"/>
        </w:rPr>
        <w:t>),</w:t>
      </w:r>
      <w:r w:rsidR="00CF1964" w:rsidRPr="007A708F">
        <w:rPr>
          <w:rFonts w:asciiTheme="majorHAnsi" w:hAnsiTheme="majorHAnsi"/>
          <w:bCs/>
          <w:sz w:val="20"/>
          <w:szCs w:val="20"/>
          <w:lang w:val="es-ES_tradnl"/>
        </w:rPr>
        <w:t xml:space="preserve"> y 64</w:t>
      </w:r>
      <w:r w:rsidR="00831F4C" w:rsidRPr="007A708F">
        <w:rPr>
          <w:rFonts w:asciiTheme="majorHAnsi" w:hAnsiTheme="majorHAnsi"/>
          <w:bCs/>
          <w:sz w:val="20"/>
          <w:szCs w:val="20"/>
          <w:lang w:val="es-ES_tradnl"/>
        </w:rPr>
        <w:t>,</w:t>
      </w:r>
      <w:r w:rsidR="00CF1964" w:rsidRPr="007A708F">
        <w:rPr>
          <w:rFonts w:asciiTheme="majorHAnsi" w:hAnsiTheme="majorHAnsi"/>
          <w:bCs/>
          <w:sz w:val="20"/>
          <w:szCs w:val="20"/>
          <w:lang w:val="es-ES_tradnl"/>
        </w:rPr>
        <w:t xml:space="preserve"> literales a</w:t>
      </w:r>
      <w:r w:rsidR="00831F4C" w:rsidRPr="007A708F">
        <w:rPr>
          <w:rFonts w:asciiTheme="majorHAnsi" w:hAnsiTheme="majorHAnsi"/>
          <w:bCs/>
          <w:sz w:val="20"/>
          <w:szCs w:val="20"/>
          <w:lang w:val="es-ES_tradnl"/>
        </w:rPr>
        <w:t>)</w:t>
      </w:r>
      <w:r w:rsidR="00CF1964" w:rsidRPr="007A708F">
        <w:rPr>
          <w:rFonts w:asciiTheme="majorHAnsi" w:hAnsiTheme="majorHAnsi"/>
          <w:bCs/>
          <w:sz w:val="20"/>
          <w:szCs w:val="20"/>
          <w:lang w:val="es-ES_tradnl"/>
        </w:rPr>
        <w:t xml:space="preserve"> y c</w:t>
      </w:r>
      <w:r w:rsidR="00831F4C" w:rsidRPr="007A708F">
        <w:rPr>
          <w:rFonts w:asciiTheme="majorHAnsi" w:hAnsiTheme="majorHAnsi"/>
          <w:bCs/>
          <w:sz w:val="20"/>
          <w:szCs w:val="20"/>
          <w:lang w:val="es-ES_tradnl"/>
        </w:rPr>
        <w:t>)</w:t>
      </w:r>
      <w:r w:rsidR="00CF1964" w:rsidRPr="007A708F">
        <w:rPr>
          <w:rFonts w:asciiTheme="majorHAnsi" w:hAnsiTheme="majorHAnsi"/>
          <w:bCs/>
          <w:sz w:val="20"/>
          <w:szCs w:val="20"/>
          <w:lang w:val="es-ES_tradnl"/>
        </w:rPr>
        <w:t xml:space="preserve"> de la Ley de Carrera Judicial eran imprecisas e indeterminadas</w:t>
      </w:r>
      <w:r w:rsidR="001F40F5" w:rsidRPr="007A708F">
        <w:rPr>
          <w:rFonts w:asciiTheme="majorHAnsi" w:hAnsiTheme="majorHAnsi"/>
          <w:bCs/>
          <w:sz w:val="20"/>
          <w:szCs w:val="20"/>
          <w:lang w:val="es-ES_tradnl"/>
        </w:rPr>
        <w:t xml:space="preserve"> </w:t>
      </w:r>
      <w:r w:rsidR="00CF1964" w:rsidRPr="007A708F">
        <w:rPr>
          <w:rFonts w:asciiTheme="majorHAnsi" w:hAnsiTheme="majorHAnsi"/>
          <w:bCs/>
          <w:sz w:val="20"/>
          <w:szCs w:val="20"/>
          <w:lang w:val="es-ES_tradnl"/>
        </w:rPr>
        <w:t>pues se referían a más de una conduct</w:t>
      </w:r>
      <w:r w:rsidR="001F40F5" w:rsidRPr="007A708F">
        <w:rPr>
          <w:rFonts w:asciiTheme="majorHAnsi" w:hAnsiTheme="majorHAnsi"/>
          <w:bCs/>
          <w:sz w:val="20"/>
          <w:szCs w:val="20"/>
          <w:lang w:val="es-ES_tradnl"/>
        </w:rPr>
        <w:t>a</w:t>
      </w:r>
      <w:r w:rsidR="00C63A9A" w:rsidRPr="007A708F">
        <w:rPr>
          <w:rFonts w:asciiTheme="majorHAnsi" w:hAnsiTheme="majorHAnsi"/>
          <w:bCs/>
          <w:sz w:val="20"/>
          <w:szCs w:val="20"/>
          <w:lang w:val="es-ES_tradnl"/>
        </w:rPr>
        <w:t xml:space="preserve">, señalando lo siguiente: </w:t>
      </w:r>
    </w:p>
    <w:p w14:paraId="1284684C" w14:textId="77777777" w:rsidR="00CF1964" w:rsidRPr="007A708F" w:rsidRDefault="00CF1964" w:rsidP="004379ED">
      <w:pPr>
        <w:pStyle w:val="ListParagraph"/>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Artículo 54.- Son contrarios a la eficacia de la administración de justicia, los siguientes actos:</w:t>
      </w:r>
    </w:p>
    <w:p w14:paraId="7CA1E839" w14:textId="77777777" w:rsidR="00CF1964" w:rsidRPr="007A708F" w:rsidRDefault="00CF1964" w:rsidP="004379ED">
      <w:pPr>
        <w:pStyle w:val="ListParagraph"/>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a) Omitir o retardar injustificadamente el despacho de los asuntos a su cargo, el trabajo que les señalen la Ley y los reglamentos de la oficina, o dejar vencer los términos sin la actuación correspondiente;</w:t>
      </w:r>
    </w:p>
    <w:p w14:paraId="6A56D0E2" w14:textId="77777777" w:rsidR="00CF1964" w:rsidRPr="007A708F" w:rsidRDefault="00CF1964" w:rsidP="004379ED">
      <w:pPr>
        <w:pStyle w:val="ListParagraph"/>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w:t>
      </w:r>
    </w:p>
    <w:p w14:paraId="1F9869CF" w14:textId="77777777" w:rsidR="00CF1964" w:rsidRPr="007A708F" w:rsidRDefault="00CF1964" w:rsidP="004379ED">
      <w:pPr>
        <w:pStyle w:val="ListParagraph"/>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g) No sancionar las faltas de los funcionarios y empleados u obrar con lenidad en su sanción;</w:t>
      </w:r>
    </w:p>
    <w:p w14:paraId="351FFFC5" w14:textId="77777777" w:rsidR="00CF1964" w:rsidRPr="007A708F" w:rsidRDefault="00CF1964" w:rsidP="004379ED">
      <w:pPr>
        <w:pStyle w:val="ListParagraph"/>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 xml:space="preserve">Artículo 64.- Los servidores del Poder Judicial, podrán ser despedidos de sus cargos por cualesquiera de las siguientes causas: </w:t>
      </w:r>
    </w:p>
    <w:p w14:paraId="27A3ECAE" w14:textId="77777777" w:rsidR="00CF1964" w:rsidRPr="007A708F" w:rsidRDefault="00CF1964" w:rsidP="004379ED">
      <w:pPr>
        <w:pStyle w:val="ListParagraph"/>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lastRenderedPageBreak/>
        <w:t>a) Incumplimiento o violación grave o reiterado de alguno de los deberes, incompatibilidades y conductas establecidas en los Capítulos X y XI de esta Ley;</w:t>
      </w:r>
    </w:p>
    <w:p w14:paraId="56BB86F5" w14:textId="77777777" w:rsidR="00CF1964" w:rsidRPr="007A708F" w:rsidRDefault="00CF1964" w:rsidP="00CF1964">
      <w:pPr>
        <w:pStyle w:val="ListParagraph"/>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w:t>
      </w:r>
    </w:p>
    <w:p w14:paraId="516FB255" w14:textId="7335443C" w:rsidR="00CF1964" w:rsidRPr="007A708F" w:rsidRDefault="00CF1964" w:rsidP="00CF1964">
      <w:pPr>
        <w:pStyle w:val="ListParagraph"/>
        <w:spacing w:before="240" w:after="240"/>
        <w:jc w:val="both"/>
        <w:rPr>
          <w:rFonts w:asciiTheme="majorHAnsi" w:hAnsiTheme="majorHAnsi"/>
          <w:bCs/>
          <w:sz w:val="20"/>
          <w:szCs w:val="20"/>
          <w:lang w:val="es-ES_tradnl"/>
        </w:rPr>
      </w:pPr>
      <w:r w:rsidRPr="007A708F">
        <w:rPr>
          <w:rFonts w:asciiTheme="majorHAnsi" w:hAnsiTheme="majorHAnsi"/>
          <w:bCs/>
          <w:sz w:val="20"/>
          <w:szCs w:val="20"/>
          <w:lang w:val="es-ES_tradnl"/>
        </w:rPr>
        <w:t>c) Inhabilidad o ineficiencia manifiesta en el desempeño del cargo;</w:t>
      </w:r>
    </w:p>
    <w:p w14:paraId="7B16CDC8" w14:textId="6E0C26D1" w:rsidR="006244A8" w:rsidRPr="007A708F" w:rsidRDefault="006244A8" w:rsidP="001F54D8">
      <w:pPr>
        <w:pStyle w:val="ListParagraph"/>
        <w:numPr>
          <w:ilvl w:val="0"/>
          <w:numId w:val="55"/>
        </w:numPr>
        <w:spacing w:before="240" w:after="240"/>
        <w:jc w:val="both"/>
        <w:rPr>
          <w:rFonts w:asciiTheme="majorHAnsi" w:hAnsiTheme="majorHAnsi"/>
          <w:bCs/>
          <w:sz w:val="20"/>
          <w:szCs w:val="20"/>
          <w:lang w:val="es-ES_tradnl"/>
        </w:rPr>
      </w:pPr>
      <w:r w:rsidRPr="007A708F">
        <w:rPr>
          <w:rFonts w:asciiTheme="majorHAnsi" w:hAnsiTheme="majorHAnsi"/>
          <w:sz w:val="20"/>
          <w:szCs w:val="20"/>
          <w:lang w:val="es-ES_tradnl"/>
        </w:rPr>
        <w:t xml:space="preserve">Dentro del proceso de amparo la Sala Constitucional resolvió el 5 de agosto de 2016 sobreseer la acción, pues a su juicio la omisión del </w:t>
      </w:r>
      <w:bookmarkStart w:id="3" w:name="_Hlk144056077"/>
      <w:r w:rsidRPr="007A708F">
        <w:rPr>
          <w:rFonts w:asciiTheme="majorHAnsi" w:hAnsiTheme="majorHAnsi"/>
          <w:sz w:val="20"/>
          <w:szCs w:val="20"/>
          <w:lang w:val="es-ES_tradnl"/>
        </w:rPr>
        <w:t xml:space="preserve">Consejo de la Judicatura </w:t>
      </w:r>
      <w:r w:rsidR="009849D1" w:rsidRPr="007A708F">
        <w:rPr>
          <w:rFonts w:asciiTheme="majorHAnsi" w:hAnsiTheme="majorHAnsi"/>
          <w:sz w:val="20"/>
          <w:szCs w:val="20"/>
          <w:lang w:val="es-ES_tradnl"/>
        </w:rPr>
        <w:t xml:space="preserve">y de la Carrera Judicial </w:t>
      </w:r>
      <w:bookmarkEnd w:id="3"/>
      <w:r w:rsidRPr="007A708F">
        <w:rPr>
          <w:rFonts w:asciiTheme="majorHAnsi" w:hAnsiTheme="majorHAnsi"/>
          <w:sz w:val="20"/>
          <w:szCs w:val="20"/>
          <w:lang w:val="es-ES_tradnl"/>
        </w:rPr>
        <w:t xml:space="preserve">se había convertido en un acto irreparable en virtud </w:t>
      </w:r>
      <w:r w:rsidR="00BB3795" w:rsidRPr="007A708F">
        <w:rPr>
          <w:rFonts w:asciiTheme="majorHAnsi" w:hAnsiTheme="majorHAnsi"/>
          <w:sz w:val="20"/>
          <w:szCs w:val="20"/>
          <w:lang w:val="es-ES_tradnl"/>
        </w:rPr>
        <w:t xml:space="preserve">del cese de funciones de esta institución. </w:t>
      </w:r>
      <w:r w:rsidR="00CF1964" w:rsidRPr="007A708F">
        <w:rPr>
          <w:rFonts w:asciiTheme="majorHAnsi" w:hAnsiTheme="majorHAnsi"/>
          <w:sz w:val="20"/>
          <w:szCs w:val="20"/>
          <w:lang w:val="es-ES_tradnl"/>
        </w:rPr>
        <w:t xml:space="preserve">Esta decisión fue notificada el 30 de agosto de ese mismo año. </w:t>
      </w:r>
    </w:p>
    <w:p w14:paraId="5073C58D" w14:textId="77777777" w:rsidR="001F40F5" w:rsidRPr="007A708F" w:rsidRDefault="006244A8" w:rsidP="001F40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7A708F">
        <w:rPr>
          <w:rFonts w:asciiTheme="majorHAnsi" w:hAnsiTheme="majorHAnsi"/>
          <w:i/>
          <w:iCs/>
          <w:sz w:val="20"/>
          <w:szCs w:val="20"/>
          <w:lang w:val="es-ES_tradnl"/>
        </w:rPr>
        <w:t>Síntesis de los alegatos jurídicos del peticionario</w:t>
      </w:r>
    </w:p>
    <w:p w14:paraId="55840772" w14:textId="18B3589A" w:rsidR="006F4187" w:rsidRPr="007A708F" w:rsidRDefault="006244A8" w:rsidP="001F40F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sz w:val="20"/>
          <w:szCs w:val="20"/>
          <w:lang w:val="es-ES_tradnl"/>
        </w:rPr>
        <w:t>La parte peticionaria cuestiona la decisión de destituir a la presunta víctima</w:t>
      </w:r>
      <w:r w:rsidR="0063009B" w:rsidRPr="007A708F">
        <w:rPr>
          <w:rFonts w:asciiTheme="majorHAnsi" w:hAnsiTheme="majorHAnsi"/>
          <w:sz w:val="20"/>
          <w:szCs w:val="20"/>
          <w:lang w:val="es-ES_tradnl"/>
        </w:rPr>
        <w:t>,</w:t>
      </w:r>
      <w:r w:rsidRPr="007A708F">
        <w:rPr>
          <w:rFonts w:asciiTheme="majorHAnsi" w:hAnsiTheme="majorHAnsi"/>
          <w:sz w:val="20"/>
          <w:szCs w:val="20"/>
          <w:lang w:val="es-ES_tradnl"/>
        </w:rPr>
        <w:t xml:space="preserve"> pues el señor Vindel: (i) desempeñó su trabajo con honestidad, diligencia y responsabilidad, por lo que hasta ese momento no había recibido ningún tipo de sanción o amonestación;</w:t>
      </w:r>
      <w:r w:rsidR="00CF1964" w:rsidRPr="007A708F">
        <w:rPr>
          <w:rFonts w:asciiTheme="majorHAnsi" w:hAnsiTheme="majorHAnsi"/>
          <w:sz w:val="20"/>
          <w:szCs w:val="20"/>
          <w:lang w:val="es-ES_tradnl"/>
        </w:rPr>
        <w:t xml:space="preserve"> (ii) que las causales de destitución previstas en los artículos 54 literales a y g, y 64 literales a y c de la Ley de Carrera Judicial son imprecisas e indeterminadas; y (iii) la destitución resultó infundada y desproporcionada, pues sancionó de manera leve a quienes tuvieron mayor responsabilidad en los hechos, mientras que la sanción más grave se le impuso al señor Vindel.</w:t>
      </w:r>
      <w:r w:rsidR="00E02F95" w:rsidRPr="007A708F">
        <w:rPr>
          <w:rFonts w:asciiTheme="majorHAnsi" w:hAnsiTheme="majorHAnsi"/>
          <w:sz w:val="20"/>
          <w:szCs w:val="20"/>
          <w:lang w:val="es-ES_tradnl"/>
        </w:rPr>
        <w:t xml:space="preserve"> Adicionalmente sostiene que nunca hubo una revisión de la impugnación contra la destitución de la presunta víctima. </w:t>
      </w:r>
    </w:p>
    <w:p w14:paraId="1478268B" w14:textId="3B1DC011" w:rsidR="00B60156" w:rsidRPr="007A708F" w:rsidRDefault="00B60156" w:rsidP="00C619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7A708F">
        <w:rPr>
          <w:rFonts w:asciiTheme="majorHAnsi" w:hAnsiTheme="majorHAnsi"/>
          <w:i/>
          <w:iCs/>
          <w:sz w:val="20"/>
          <w:szCs w:val="20"/>
          <w:lang w:val="es-ES_tradnl"/>
        </w:rPr>
        <w:t>Alegatos del Estado</w:t>
      </w:r>
      <w:r w:rsidR="004D473E" w:rsidRPr="007A708F">
        <w:rPr>
          <w:rFonts w:asciiTheme="majorHAnsi" w:hAnsiTheme="majorHAnsi"/>
          <w:i/>
          <w:iCs/>
          <w:sz w:val="20"/>
          <w:szCs w:val="20"/>
          <w:lang w:val="es-ES_tradnl"/>
        </w:rPr>
        <w:t xml:space="preserve"> hondureño</w:t>
      </w:r>
    </w:p>
    <w:p w14:paraId="5BBB71FF" w14:textId="1C2738C2" w:rsidR="00B60156" w:rsidRPr="007A708F" w:rsidRDefault="0088767E" w:rsidP="001F54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sz w:val="20"/>
          <w:szCs w:val="20"/>
          <w:lang w:val="es-ES_tradnl"/>
        </w:rPr>
        <w:t xml:space="preserve">Por su parte, </w:t>
      </w:r>
      <w:r w:rsidR="00485BFA" w:rsidRPr="007A708F">
        <w:rPr>
          <w:rFonts w:asciiTheme="majorHAnsi" w:hAnsiTheme="majorHAnsi"/>
          <w:sz w:val="20"/>
          <w:szCs w:val="20"/>
          <w:lang w:val="es-ES_tradnl"/>
        </w:rPr>
        <w:t xml:space="preserve">el Estado alega que la destitución del señor Vindel </w:t>
      </w:r>
      <w:r w:rsidR="0063009B" w:rsidRPr="007A708F">
        <w:rPr>
          <w:rFonts w:asciiTheme="majorHAnsi" w:hAnsiTheme="majorHAnsi"/>
          <w:sz w:val="20"/>
          <w:szCs w:val="20"/>
          <w:lang w:val="es-ES_tradnl"/>
        </w:rPr>
        <w:t>fue el</w:t>
      </w:r>
      <w:r w:rsidR="00034514" w:rsidRPr="007A708F">
        <w:rPr>
          <w:rFonts w:asciiTheme="majorHAnsi" w:hAnsiTheme="majorHAnsi"/>
          <w:sz w:val="20"/>
          <w:szCs w:val="20"/>
          <w:lang w:val="es-ES_tradnl"/>
        </w:rPr>
        <w:t xml:space="preserve"> resultado </w:t>
      </w:r>
      <w:r w:rsidR="00485BFA" w:rsidRPr="007A708F">
        <w:rPr>
          <w:rFonts w:asciiTheme="majorHAnsi" w:hAnsiTheme="majorHAnsi"/>
          <w:sz w:val="20"/>
          <w:szCs w:val="20"/>
          <w:lang w:val="es-ES_tradnl"/>
        </w:rPr>
        <w:t>de un proceso administrativo iniciado con ocasión de una denuncia interpuesta por la Penitenciaria Nacional</w:t>
      </w:r>
      <w:r w:rsidR="009A157E" w:rsidRPr="007A708F">
        <w:rPr>
          <w:rFonts w:asciiTheme="majorHAnsi" w:hAnsiTheme="majorHAnsi"/>
          <w:sz w:val="20"/>
          <w:szCs w:val="20"/>
          <w:lang w:val="es-ES_tradnl"/>
        </w:rPr>
        <w:t>,</w:t>
      </w:r>
      <w:r w:rsidR="00485BFA" w:rsidRPr="007A708F">
        <w:rPr>
          <w:rFonts w:asciiTheme="majorHAnsi" w:hAnsiTheme="majorHAnsi"/>
          <w:sz w:val="20"/>
          <w:szCs w:val="20"/>
          <w:lang w:val="es-ES_tradnl"/>
        </w:rPr>
        <w:t xml:space="preserve"> que tuvo como resultado la adopción del Acuerdo No. 105 de 2012. Concuerda en que el 17 de febrero de 2012 </w:t>
      </w:r>
      <w:r w:rsidR="00BE6F9D" w:rsidRPr="007A708F">
        <w:rPr>
          <w:rFonts w:asciiTheme="majorHAnsi" w:hAnsiTheme="majorHAnsi"/>
          <w:sz w:val="20"/>
          <w:szCs w:val="20"/>
          <w:lang w:val="es-ES_tradnl"/>
        </w:rPr>
        <w:t>la presunta víctima</w:t>
      </w:r>
      <w:r w:rsidR="00C33E8C" w:rsidRPr="007A708F">
        <w:rPr>
          <w:rFonts w:asciiTheme="majorHAnsi" w:hAnsiTheme="majorHAnsi"/>
          <w:sz w:val="20"/>
          <w:szCs w:val="20"/>
          <w:lang w:val="es-ES_tradnl"/>
        </w:rPr>
        <w:t xml:space="preserve"> </w:t>
      </w:r>
      <w:r w:rsidR="00485BFA" w:rsidRPr="007A708F">
        <w:rPr>
          <w:rFonts w:asciiTheme="majorHAnsi" w:hAnsiTheme="majorHAnsi"/>
          <w:sz w:val="20"/>
          <w:szCs w:val="20"/>
          <w:lang w:val="es-ES_tradnl"/>
        </w:rPr>
        <w:t>a través de</w:t>
      </w:r>
      <w:r w:rsidR="00034514" w:rsidRPr="007A708F">
        <w:rPr>
          <w:rFonts w:asciiTheme="majorHAnsi" w:hAnsiTheme="majorHAnsi"/>
          <w:sz w:val="20"/>
          <w:szCs w:val="20"/>
          <w:lang w:val="es-ES_tradnl"/>
        </w:rPr>
        <w:t xml:space="preserve"> un</w:t>
      </w:r>
      <w:r w:rsidR="00485BFA" w:rsidRPr="007A708F">
        <w:rPr>
          <w:rFonts w:asciiTheme="majorHAnsi" w:hAnsiTheme="majorHAnsi"/>
          <w:sz w:val="20"/>
          <w:szCs w:val="20"/>
          <w:lang w:val="es-ES_tradnl"/>
        </w:rPr>
        <w:t xml:space="preserve"> reclamo</w:t>
      </w:r>
      <w:r w:rsidR="00D97D3D" w:rsidRPr="007A708F">
        <w:rPr>
          <w:rFonts w:asciiTheme="majorHAnsi" w:hAnsiTheme="majorHAnsi"/>
          <w:sz w:val="20"/>
          <w:szCs w:val="20"/>
          <w:lang w:val="es-ES_tradnl"/>
        </w:rPr>
        <w:t xml:space="preserve"> </w:t>
      </w:r>
      <w:r w:rsidR="00485BFA" w:rsidRPr="007A708F">
        <w:rPr>
          <w:rFonts w:asciiTheme="majorHAnsi" w:hAnsiTheme="majorHAnsi"/>
          <w:sz w:val="20"/>
          <w:szCs w:val="20"/>
          <w:lang w:val="es-ES_tradnl"/>
        </w:rPr>
        <w:t>solicit</w:t>
      </w:r>
      <w:r w:rsidR="00C33E8C" w:rsidRPr="007A708F">
        <w:rPr>
          <w:rFonts w:asciiTheme="majorHAnsi" w:hAnsiTheme="majorHAnsi"/>
          <w:sz w:val="20"/>
          <w:szCs w:val="20"/>
          <w:lang w:val="es-ES_tradnl"/>
        </w:rPr>
        <w:t>ó</w:t>
      </w:r>
      <w:r w:rsidR="00485BFA" w:rsidRPr="007A708F">
        <w:rPr>
          <w:rFonts w:asciiTheme="majorHAnsi" w:hAnsiTheme="majorHAnsi"/>
          <w:sz w:val="20"/>
          <w:szCs w:val="20"/>
          <w:lang w:val="es-ES_tradnl"/>
        </w:rPr>
        <w:t xml:space="preserve"> el reintegro a su cargo</w:t>
      </w:r>
      <w:r w:rsidR="00BE6F9D" w:rsidRPr="007A708F">
        <w:rPr>
          <w:rFonts w:asciiTheme="majorHAnsi" w:hAnsiTheme="majorHAnsi"/>
          <w:sz w:val="20"/>
          <w:szCs w:val="20"/>
          <w:lang w:val="es-ES_tradnl"/>
        </w:rPr>
        <w:t xml:space="preserve">, y que </w:t>
      </w:r>
      <w:r w:rsidR="00485BFA" w:rsidRPr="007A708F">
        <w:rPr>
          <w:rFonts w:asciiTheme="majorHAnsi" w:hAnsiTheme="majorHAnsi"/>
          <w:sz w:val="20"/>
          <w:szCs w:val="20"/>
          <w:lang w:val="es-ES_tradnl"/>
        </w:rPr>
        <w:t>al no obtener respuesta</w:t>
      </w:r>
      <w:r w:rsidR="00BE6F9D" w:rsidRPr="007A708F">
        <w:rPr>
          <w:rFonts w:asciiTheme="majorHAnsi" w:hAnsiTheme="majorHAnsi"/>
          <w:sz w:val="20"/>
          <w:szCs w:val="20"/>
          <w:lang w:val="es-ES_tradnl"/>
        </w:rPr>
        <w:t xml:space="preserve"> </w:t>
      </w:r>
      <w:r w:rsidR="00485BFA" w:rsidRPr="007A708F">
        <w:rPr>
          <w:rFonts w:asciiTheme="majorHAnsi" w:hAnsiTheme="majorHAnsi"/>
          <w:sz w:val="20"/>
          <w:szCs w:val="20"/>
          <w:lang w:val="es-ES_tradnl"/>
        </w:rPr>
        <w:t>decidió el 9 de abril de 2015</w:t>
      </w:r>
      <w:r w:rsidR="00BE6F9D" w:rsidRPr="007A708F">
        <w:rPr>
          <w:rFonts w:asciiTheme="majorHAnsi" w:hAnsiTheme="majorHAnsi"/>
          <w:sz w:val="20"/>
          <w:szCs w:val="20"/>
          <w:lang w:val="es-ES_tradnl"/>
        </w:rPr>
        <w:t>,</w:t>
      </w:r>
      <w:r w:rsidR="00485BFA" w:rsidRPr="007A708F">
        <w:rPr>
          <w:rFonts w:asciiTheme="majorHAnsi" w:hAnsiTheme="majorHAnsi"/>
          <w:sz w:val="20"/>
          <w:szCs w:val="20"/>
          <w:lang w:val="es-ES_tradnl"/>
        </w:rPr>
        <w:t xml:space="preserve"> interponer</w:t>
      </w:r>
      <w:r w:rsidR="00EC64B4" w:rsidRPr="007A708F">
        <w:rPr>
          <w:rFonts w:asciiTheme="majorHAnsi" w:hAnsiTheme="majorHAnsi"/>
          <w:sz w:val="20"/>
          <w:szCs w:val="20"/>
          <w:lang w:val="es-ES_tradnl"/>
        </w:rPr>
        <w:t xml:space="preserve"> una</w:t>
      </w:r>
      <w:r w:rsidR="00485BFA" w:rsidRPr="007A708F">
        <w:rPr>
          <w:rFonts w:asciiTheme="majorHAnsi" w:hAnsiTheme="majorHAnsi"/>
          <w:sz w:val="20"/>
          <w:szCs w:val="20"/>
          <w:lang w:val="es-ES_tradnl"/>
        </w:rPr>
        <w:t xml:space="preserve"> acción de amparo ante la Sala Constitucional de la Corte Suprema solicitando que se ordenara al Consejo de la Judicatura y de la Carrera Judicial dar respuesta definitiva a su reclamo administrativo.</w:t>
      </w:r>
    </w:p>
    <w:p w14:paraId="2227F1E0" w14:textId="7D44878C" w:rsidR="00B60156" w:rsidRPr="007A708F" w:rsidRDefault="00485BFA" w:rsidP="001F54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sz w:val="20"/>
          <w:szCs w:val="20"/>
          <w:lang w:val="es-ES_tradnl"/>
        </w:rPr>
        <w:t>Sostiene que el proceso administrativo de destitución del señor Vindel como juez de ejecución de penas se realizó de acuerdo al proceso interno establecido dentro del Poder Judicial</w:t>
      </w:r>
      <w:r w:rsidR="00C33E8C" w:rsidRPr="007A708F">
        <w:rPr>
          <w:rFonts w:asciiTheme="majorHAnsi" w:hAnsiTheme="majorHAnsi"/>
          <w:sz w:val="20"/>
          <w:szCs w:val="20"/>
          <w:lang w:val="es-ES_tradnl"/>
        </w:rPr>
        <w:t xml:space="preserve"> y que </w:t>
      </w:r>
      <w:r w:rsidRPr="007A708F">
        <w:rPr>
          <w:rFonts w:asciiTheme="majorHAnsi" w:hAnsiTheme="majorHAnsi"/>
          <w:sz w:val="20"/>
          <w:szCs w:val="20"/>
          <w:lang w:val="es-ES_tradnl"/>
        </w:rPr>
        <w:t>las investigaciones realizadas a cada uno de los involucrados</w:t>
      </w:r>
      <w:r w:rsidR="00C33E8C" w:rsidRPr="007A708F">
        <w:rPr>
          <w:rFonts w:asciiTheme="majorHAnsi" w:hAnsiTheme="majorHAnsi"/>
          <w:sz w:val="20"/>
          <w:szCs w:val="20"/>
          <w:lang w:val="es-ES_tradnl"/>
        </w:rPr>
        <w:t xml:space="preserve"> le </w:t>
      </w:r>
      <w:r w:rsidRPr="007A708F">
        <w:rPr>
          <w:rFonts w:asciiTheme="majorHAnsi" w:hAnsiTheme="majorHAnsi"/>
          <w:sz w:val="20"/>
          <w:szCs w:val="20"/>
          <w:lang w:val="es-ES_tradnl"/>
        </w:rPr>
        <w:t xml:space="preserve">permitió determinar </w:t>
      </w:r>
      <w:r w:rsidR="00C33E8C" w:rsidRPr="007A708F">
        <w:rPr>
          <w:rFonts w:asciiTheme="majorHAnsi" w:hAnsiTheme="majorHAnsi"/>
          <w:sz w:val="20"/>
          <w:szCs w:val="20"/>
          <w:lang w:val="es-ES_tradnl"/>
        </w:rPr>
        <w:t xml:space="preserve">a la Corte Suprema </w:t>
      </w:r>
      <w:r w:rsidRPr="007A708F">
        <w:rPr>
          <w:rFonts w:asciiTheme="majorHAnsi" w:hAnsiTheme="majorHAnsi"/>
          <w:sz w:val="20"/>
          <w:szCs w:val="20"/>
          <w:lang w:val="es-ES_tradnl"/>
        </w:rPr>
        <w:t xml:space="preserve">que la detención irregular del señor </w:t>
      </w:r>
      <w:r w:rsidR="00D97D3D" w:rsidRPr="007A708F">
        <w:rPr>
          <w:rFonts w:asciiTheme="majorHAnsi" w:hAnsiTheme="majorHAnsi"/>
          <w:sz w:val="20"/>
          <w:szCs w:val="20"/>
          <w:lang w:val="es-ES_tradnl"/>
        </w:rPr>
        <w:t>M.G.V.A</w:t>
      </w:r>
      <w:r w:rsidRPr="007A708F">
        <w:rPr>
          <w:rFonts w:asciiTheme="majorHAnsi" w:hAnsiTheme="majorHAnsi"/>
          <w:sz w:val="20"/>
          <w:szCs w:val="20"/>
          <w:lang w:val="es-ES_tradnl"/>
        </w:rPr>
        <w:t xml:space="preserve"> constituyó un incumplimiento a </w:t>
      </w:r>
      <w:r w:rsidR="00C33E8C" w:rsidRPr="007A708F">
        <w:rPr>
          <w:rFonts w:asciiTheme="majorHAnsi" w:hAnsiTheme="majorHAnsi"/>
          <w:sz w:val="20"/>
          <w:szCs w:val="20"/>
          <w:lang w:val="es-ES_tradnl"/>
        </w:rPr>
        <w:t>los</w:t>
      </w:r>
      <w:r w:rsidRPr="007A708F">
        <w:rPr>
          <w:rFonts w:asciiTheme="majorHAnsi" w:hAnsiTheme="majorHAnsi"/>
          <w:sz w:val="20"/>
          <w:szCs w:val="20"/>
          <w:lang w:val="es-ES_tradnl"/>
        </w:rPr>
        <w:t xml:space="preserve"> deberes de obrar con la debida diligencia </w:t>
      </w:r>
      <w:r w:rsidR="00C33E8C" w:rsidRPr="007A708F">
        <w:rPr>
          <w:rFonts w:asciiTheme="majorHAnsi" w:hAnsiTheme="majorHAnsi"/>
          <w:sz w:val="20"/>
          <w:szCs w:val="20"/>
          <w:lang w:val="es-ES_tradnl"/>
        </w:rPr>
        <w:t>por parte</w:t>
      </w:r>
      <w:r w:rsidRPr="007A708F">
        <w:rPr>
          <w:rFonts w:asciiTheme="majorHAnsi" w:hAnsiTheme="majorHAnsi"/>
          <w:sz w:val="20"/>
          <w:szCs w:val="20"/>
          <w:lang w:val="es-ES_tradnl"/>
        </w:rPr>
        <w:t xml:space="preserve"> del señor Vindel</w:t>
      </w:r>
      <w:r w:rsidR="00034514" w:rsidRPr="007A708F">
        <w:rPr>
          <w:rFonts w:asciiTheme="majorHAnsi" w:hAnsiTheme="majorHAnsi"/>
          <w:sz w:val="20"/>
          <w:szCs w:val="20"/>
          <w:lang w:val="es-ES_tradnl"/>
        </w:rPr>
        <w:t>, pues actuó</w:t>
      </w:r>
      <w:r w:rsidRPr="007A708F">
        <w:rPr>
          <w:rFonts w:asciiTheme="majorHAnsi" w:hAnsiTheme="majorHAnsi"/>
          <w:sz w:val="20"/>
          <w:szCs w:val="20"/>
          <w:lang w:val="es-ES_tradnl"/>
        </w:rPr>
        <w:t xml:space="preserve"> con ineficiencia en el desempeño de su cargo</w:t>
      </w:r>
      <w:r w:rsidR="00034514" w:rsidRPr="007A708F">
        <w:rPr>
          <w:rFonts w:asciiTheme="majorHAnsi" w:hAnsiTheme="majorHAnsi"/>
          <w:sz w:val="20"/>
          <w:szCs w:val="20"/>
          <w:lang w:val="es-ES_tradnl"/>
        </w:rPr>
        <w:t xml:space="preserve"> y, por ende, </w:t>
      </w:r>
      <w:r w:rsidRPr="007A708F">
        <w:rPr>
          <w:rFonts w:asciiTheme="majorHAnsi" w:hAnsiTheme="majorHAnsi"/>
          <w:sz w:val="20"/>
          <w:szCs w:val="20"/>
          <w:lang w:val="es-ES_tradnl"/>
        </w:rPr>
        <w:t>si bien la sanción aplicada fue la más severa</w:t>
      </w:r>
      <w:r w:rsidR="00034514" w:rsidRPr="007A708F">
        <w:rPr>
          <w:rFonts w:asciiTheme="majorHAnsi" w:hAnsiTheme="majorHAnsi"/>
          <w:sz w:val="20"/>
          <w:szCs w:val="20"/>
          <w:lang w:val="es-ES_tradnl"/>
        </w:rPr>
        <w:t>,</w:t>
      </w:r>
      <w:r w:rsidRPr="007A708F">
        <w:rPr>
          <w:rFonts w:asciiTheme="majorHAnsi" w:hAnsiTheme="majorHAnsi"/>
          <w:sz w:val="20"/>
          <w:szCs w:val="20"/>
          <w:lang w:val="es-ES_tradnl"/>
        </w:rPr>
        <w:t xml:space="preserve"> esta </w:t>
      </w:r>
      <w:r w:rsidR="00034514" w:rsidRPr="007A708F">
        <w:rPr>
          <w:rFonts w:asciiTheme="majorHAnsi" w:hAnsiTheme="majorHAnsi"/>
          <w:sz w:val="20"/>
          <w:szCs w:val="20"/>
          <w:lang w:val="es-ES_tradnl"/>
        </w:rPr>
        <w:t>decisión resultó proporcional</w:t>
      </w:r>
      <w:r w:rsidR="00C33E8C" w:rsidRPr="007A708F">
        <w:rPr>
          <w:rFonts w:asciiTheme="majorHAnsi" w:hAnsiTheme="majorHAnsi"/>
          <w:sz w:val="20"/>
          <w:szCs w:val="20"/>
          <w:lang w:val="es-ES_tradnl"/>
        </w:rPr>
        <w:t xml:space="preserve"> a la conducta realizada.</w:t>
      </w:r>
      <w:r w:rsidRPr="007A708F">
        <w:rPr>
          <w:rFonts w:asciiTheme="majorHAnsi" w:hAnsiTheme="majorHAnsi"/>
          <w:sz w:val="20"/>
          <w:szCs w:val="20"/>
          <w:lang w:val="es-ES_tradnl"/>
        </w:rPr>
        <w:t xml:space="preserve"> Considera el Estado que la decisión estuvo suficientemente motivada</w:t>
      </w:r>
      <w:r w:rsidR="00B4257D" w:rsidRPr="007A708F">
        <w:rPr>
          <w:rFonts w:asciiTheme="majorHAnsi" w:hAnsiTheme="majorHAnsi"/>
          <w:sz w:val="20"/>
          <w:szCs w:val="20"/>
          <w:lang w:val="es-ES_tradnl"/>
        </w:rPr>
        <w:t>,</w:t>
      </w:r>
      <w:r w:rsidRPr="007A708F">
        <w:rPr>
          <w:rFonts w:asciiTheme="majorHAnsi" w:hAnsiTheme="majorHAnsi"/>
          <w:sz w:val="20"/>
          <w:szCs w:val="20"/>
          <w:lang w:val="es-ES_tradnl"/>
        </w:rPr>
        <w:t xml:space="preserve"> pues tuvo como fundamentos de derecho las normas aplicables consagradas en la Constitución Política, la Ley de Carrera Judicial y su Reglamento. </w:t>
      </w:r>
    </w:p>
    <w:p w14:paraId="01FA9C3E" w14:textId="187EFE63" w:rsidR="00B60156" w:rsidRPr="007A708F" w:rsidRDefault="00485BFA" w:rsidP="001F54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sz w:val="20"/>
          <w:szCs w:val="20"/>
          <w:lang w:val="es-ES_tradnl"/>
        </w:rPr>
        <w:t>En virtud de lo anterior, señala que la destitución del señor Vindel como juez no debe ser considerad</w:t>
      </w:r>
      <w:r w:rsidR="00D97D3D" w:rsidRPr="007A708F">
        <w:rPr>
          <w:rFonts w:asciiTheme="majorHAnsi" w:hAnsiTheme="majorHAnsi"/>
          <w:sz w:val="20"/>
          <w:szCs w:val="20"/>
          <w:lang w:val="es-ES_tradnl"/>
        </w:rPr>
        <w:t>a</w:t>
      </w:r>
      <w:r w:rsidRPr="007A708F">
        <w:rPr>
          <w:rFonts w:asciiTheme="majorHAnsi" w:hAnsiTheme="majorHAnsi"/>
          <w:sz w:val="20"/>
          <w:szCs w:val="20"/>
          <w:lang w:val="es-ES_tradnl"/>
        </w:rPr>
        <w:t xml:space="preserve"> como un ataque ilegal contra su persona ni como una afectación ilegitima a su integridad personal. </w:t>
      </w:r>
      <w:r w:rsidR="00C33E8C" w:rsidRPr="007A708F">
        <w:rPr>
          <w:rFonts w:asciiTheme="majorHAnsi" w:hAnsiTheme="majorHAnsi"/>
          <w:sz w:val="20"/>
          <w:szCs w:val="20"/>
          <w:lang w:val="es-ES_tradnl"/>
        </w:rPr>
        <w:t>Además,</w:t>
      </w:r>
      <w:r w:rsidRPr="007A708F">
        <w:rPr>
          <w:rFonts w:asciiTheme="majorHAnsi" w:hAnsiTheme="majorHAnsi"/>
          <w:sz w:val="20"/>
          <w:szCs w:val="20"/>
          <w:lang w:val="es-ES_tradnl"/>
        </w:rPr>
        <w:t xml:space="preserve"> señala que en ningún momento se le ha prohibido </w:t>
      </w:r>
      <w:r w:rsidR="00D97D3D" w:rsidRPr="007A708F">
        <w:rPr>
          <w:rFonts w:asciiTheme="majorHAnsi" w:hAnsiTheme="majorHAnsi"/>
          <w:sz w:val="20"/>
          <w:szCs w:val="20"/>
          <w:lang w:val="es-ES_tradnl"/>
        </w:rPr>
        <w:t>al peticionario</w:t>
      </w:r>
      <w:r w:rsidRPr="007A708F">
        <w:rPr>
          <w:rFonts w:asciiTheme="majorHAnsi" w:hAnsiTheme="majorHAnsi"/>
          <w:sz w:val="20"/>
          <w:szCs w:val="20"/>
          <w:lang w:val="es-ES_tradnl"/>
        </w:rPr>
        <w:t xml:space="preserve"> pertenecer o no a las asociaciones de su elección ni tampoco se ha restringido su derecho a aspirar u </w:t>
      </w:r>
      <w:r w:rsidR="00621C07" w:rsidRPr="007A708F">
        <w:rPr>
          <w:rFonts w:asciiTheme="majorHAnsi" w:hAnsiTheme="majorHAnsi"/>
          <w:sz w:val="20"/>
          <w:szCs w:val="20"/>
          <w:lang w:val="es-ES_tradnl"/>
        </w:rPr>
        <w:t>ocupar</w:t>
      </w:r>
      <w:r w:rsidRPr="007A708F">
        <w:rPr>
          <w:rFonts w:asciiTheme="majorHAnsi" w:hAnsiTheme="majorHAnsi"/>
          <w:sz w:val="20"/>
          <w:szCs w:val="20"/>
          <w:lang w:val="es-ES_tradnl"/>
        </w:rPr>
        <w:t xml:space="preserve"> algún cargo público.</w:t>
      </w:r>
    </w:p>
    <w:p w14:paraId="303C7ECD" w14:textId="790FE9E8" w:rsidR="00B60156" w:rsidRPr="007A708F" w:rsidRDefault="00B60156" w:rsidP="00651BB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7A708F">
        <w:rPr>
          <w:rFonts w:asciiTheme="majorHAnsi" w:hAnsiTheme="majorHAnsi"/>
          <w:b/>
          <w:bCs/>
          <w:sz w:val="20"/>
          <w:szCs w:val="20"/>
          <w:lang w:val="es-ES_tradnl"/>
        </w:rPr>
        <w:t>VI.</w:t>
      </w:r>
      <w:r w:rsidRPr="007A708F">
        <w:rPr>
          <w:rFonts w:asciiTheme="majorHAnsi" w:hAnsiTheme="majorHAnsi"/>
          <w:b/>
          <w:bCs/>
          <w:sz w:val="20"/>
          <w:szCs w:val="20"/>
          <w:lang w:val="es-ES_tradnl"/>
        </w:rPr>
        <w:tab/>
        <w:t xml:space="preserve">ANÁLISIS DE AGOTAMIENTO DE LOS RECURSOS INTERNOS Y PLAZO DE PRESENTACIÓN </w:t>
      </w:r>
    </w:p>
    <w:p w14:paraId="38BE250C" w14:textId="677FBFB0" w:rsidR="00F40CB2" w:rsidRPr="007A708F" w:rsidRDefault="00F40CB2" w:rsidP="00F40CB2">
      <w:pPr>
        <w:pStyle w:val="ListParagraph"/>
        <w:numPr>
          <w:ilvl w:val="0"/>
          <w:numId w:val="55"/>
        </w:numPr>
        <w:spacing w:before="240" w:after="240"/>
        <w:jc w:val="both"/>
        <w:rPr>
          <w:rFonts w:asciiTheme="majorHAnsi" w:hAnsiTheme="majorHAnsi"/>
          <w:sz w:val="20"/>
          <w:szCs w:val="20"/>
          <w:lang w:val="es-ES_tradnl"/>
        </w:rPr>
      </w:pPr>
      <w:r w:rsidRPr="007A708F">
        <w:rPr>
          <w:rFonts w:asciiTheme="majorHAnsi" w:hAnsiTheme="majorHAnsi"/>
          <w:sz w:val="20"/>
          <w:szCs w:val="20"/>
          <w:lang w:val="es-ES_tradnl"/>
        </w:rPr>
        <w:t xml:space="preserve">Para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w:t>
      </w:r>
      <w:r w:rsidRPr="007A708F">
        <w:rPr>
          <w:rFonts w:asciiTheme="majorHAnsi" w:hAnsiTheme="majorHAnsi"/>
          <w:sz w:val="20"/>
          <w:szCs w:val="20"/>
          <w:lang w:val="es-ES_tradnl"/>
        </w:rPr>
        <w:lastRenderedPageBreak/>
        <w:t>humanos sea remediada y resuelta por las autoridades nacionales antes de que se pueda acudir al Sistema Interamericano de protección.</w:t>
      </w:r>
    </w:p>
    <w:p w14:paraId="4F56F355" w14:textId="2C1EE82F" w:rsidR="00B60156" w:rsidRPr="007A708F" w:rsidRDefault="00942F86" w:rsidP="00942F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sz w:val="20"/>
          <w:szCs w:val="20"/>
          <w:lang w:val="es-ES_tradnl"/>
        </w:rPr>
        <w:t xml:space="preserve">El Estado replica que no se agotaron los recursos internos, pues el peticionario no presentó demanda en la vía contencioso-administrativa. Por su parte, el </w:t>
      </w:r>
      <w:r w:rsidR="00E06F9C" w:rsidRPr="007A708F">
        <w:rPr>
          <w:rFonts w:asciiTheme="majorHAnsi" w:hAnsiTheme="majorHAnsi"/>
          <w:sz w:val="20"/>
          <w:szCs w:val="20"/>
          <w:lang w:val="es-ES_tradnl"/>
        </w:rPr>
        <w:t xml:space="preserve">peticionario señala que </w:t>
      </w:r>
      <w:r w:rsidR="00034514" w:rsidRPr="007A708F">
        <w:rPr>
          <w:rFonts w:asciiTheme="majorHAnsi" w:hAnsiTheme="majorHAnsi"/>
          <w:sz w:val="20"/>
          <w:szCs w:val="20"/>
          <w:lang w:val="es-ES_tradnl"/>
        </w:rPr>
        <w:t xml:space="preserve">identifica como la última decisión adoptada la </w:t>
      </w:r>
      <w:r w:rsidR="005E54CB" w:rsidRPr="007A708F">
        <w:rPr>
          <w:rFonts w:asciiTheme="majorHAnsi" w:hAnsiTheme="majorHAnsi"/>
          <w:sz w:val="20"/>
          <w:szCs w:val="20"/>
          <w:lang w:val="es-ES_tradnl"/>
        </w:rPr>
        <w:t>sentencia</w:t>
      </w:r>
      <w:r w:rsidR="00034514" w:rsidRPr="007A708F">
        <w:rPr>
          <w:rFonts w:asciiTheme="majorHAnsi" w:hAnsiTheme="majorHAnsi"/>
          <w:sz w:val="20"/>
          <w:szCs w:val="20"/>
          <w:lang w:val="es-ES_tradnl"/>
        </w:rPr>
        <w:t xml:space="preserve"> que dispuso</w:t>
      </w:r>
      <w:r w:rsidR="006C2E12" w:rsidRPr="007A708F">
        <w:rPr>
          <w:rFonts w:asciiTheme="majorHAnsi" w:hAnsiTheme="majorHAnsi"/>
          <w:sz w:val="20"/>
          <w:szCs w:val="20"/>
          <w:lang w:val="es-ES_tradnl"/>
        </w:rPr>
        <w:t xml:space="preserve"> </w:t>
      </w:r>
      <w:r w:rsidR="00FD36CC" w:rsidRPr="007A708F">
        <w:rPr>
          <w:rFonts w:asciiTheme="majorHAnsi" w:hAnsiTheme="majorHAnsi"/>
          <w:sz w:val="20"/>
          <w:szCs w:val="20"/>
          <w:lang w:val="es-ES_tradnl"/>
        </w:rPr>
        <w:t xml:space="preserve">sobreseer la </w:t>
      </w:r>
      <w:r w:rsidR="00916140" w:rsidRPr="007A708F">
        <w:rPr>
          <w:rFonts w:asciiTheme="majorHAnsi" w:hAnsiTheme="majorHAnsi"/>
          <w:sz w:val="20"/>
          <w:szCs w:val="20"/>
          <w:lang w:val="es-ES_tradnl"/>
        </w:rPr>
        <w:t>acción de amparo</w:t>
      </w:r>
      <w:r w:rsidR="006F2892" w:rsidRPr="007A708F">
        <w:rPr>
          <w:rFonts w:asciiTheme="majorHAnsi" w:hAnsiTheme="majorHAnsi"/>
          <w:sz w:val="20"/>
          <w:szCs w:val="20"/>
          <w:lang w:val="es-ES_tradnl"/>
        </w:rPr>
        <w:t>, la que fue</w:t>
      </w:r>
      <w:r w:rsidR="00916140" w:rsidRPr="007A708F">
        <w:rPr>
          <w:rFonts w:asciiTheme="majorHAnsi" w:hAnsiTheme="majorHAnsi"/>
          <w:sz w:val="20"/>
          <w:szCs w:val="20"/>
          <w:lang w:val="es-ES_tradnl"/>
        </w:rPr>
        <w:t xml:space="preserve"> dictada el 5 de agosto de 2016 y notificada el 30 de </w:t>
      </w:r>
      <w:r w:rsidR="006F2892" w:rsidRPr="007A708F">
        <w:rPr>
          <w:rFonts w:asciiTheme="majorHAnsi" w:hAnsiTheme="majorHAnsi"/>
          <w:sz w:val="20"/>
          <w:szCs w:val="20"/>
          <w:lang w:val="es-ES_tradnl"/>
        </w:rPr>
        <w:t>ese mes y año</w:t>
      </w:r>
      <w:r w:rsidR="00E06F9C" w:rsidRPr="007A708F">
        <w:rPr>
          <w:rFonts w:asciiTheme="majorHAnsi" w:hAnsiTheme="majorHAnsi"/>
          <w:sz w:val="20"/>
          <w:szCs w:val="20"/>
          <w:lang w:val="es-ES_tradnl"/>
        </w:rPr>
        <w:t xml:space="preserve">. </w:t>
      </w:r>
    </w:p>
    <w:p w14:paraId="0AA8CE5E" w14:textId="5671A253" w:rsidR="00942F86" w:rsidRPr="005C5E25" w:rsidRDefault="00942F86" w:rsidP="00942F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5E25">
        <w:rPr>
          <w:rFonts w:asciiTheme="majorHAnsi" w:hAnsiTheme="majorHAnsi"/>
          <w:sz w:val="20"/>
          <w:szCs w:val="20"/>
          <w:lang w:val="es-ES_tradnl"/>
        </w:rPr>
        <w:t xml:space="preserve">Señala el Estado que el ordenamiento interno cuenta con los mecanismos judiciales adecuados para proteger los derechos de los trabajadores. Concuerda con que los recursos interpuestos por el señor Vindel a nivel interno se han prolongado en el tiempo, no obstante argumenta que ello se debe al proceso interno del Poder Judicial y que en todo momento Honduras ha obrado de buena fe. En razón a ello, señala que el presente asunto es inadmisible, pues no se agotó la vía judicial a través de la demanda contencioso-administrativa en la cual se solicitara su reintegro como juez, la cual se constituía como el recurso adecuado para resolver la situación jurídica denunciada por el señor Vindel. </w:t>
      </w:r>
    </w:p>
    <w:p w14:paraId="2E84297D" w14:textId="11969290" w:rsidR="00E11058" w:rsidRPr="00320BEF" w:rsidRDefault="00A2611C" w:rsidP="00E11058">
      <w:pPr>
        <w:pStyle w:val="ListParagraph"/>
        <w:numPr>
          <w:ilvl w:val="0"/>
          <w:numId w:val="55"/>
        </w:numPr>
        <w:suppressAutoHyphens/>
        <w:spacing w:before="240" w:after="240"/>
        <w:jc w:val="both"/>
        <w:rPr>
          <w:rFonts w:asciiTheme="majorHAnsi" w:hAnsiTheme="majorHAnsi" w:cs="Calibri"/>
          <w:sz w:val="20"/>
          <w:szCs w:val="20"/>
          <w:lang w:val="es-ES_tradnl"/>
        </w:rPr>
      </w:pPr>
      <w:r w:rsidRPr="005C5E25">
        <w:rPr>
          <w:rFonts w:asciiTheme="majorHAnsi" w:hAnsiTheme="majorHAnsi" w:cs="Calibri"/>
          <w:sz w:val="20"/>
          <w:szCs w:val="20"/>
          <w:lang w:val="es-ES_tradnl"/>
        </w:rPr>
        <w:t>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5C5E25">
        <w:rPr>
          <w:rStyle w:val="FootnoteReference"/>
          <w:rFonts w:asciiTheme="majorHAnsi" w:hAnsiTheme="majorHAnsi" w:cs="Calibri"/>
          <w:sz w:val="20"/>
          <w:szCs w:val="20"/>
          <w:lang w:val="es-ES_tradnl"/>
        </w:rPr>
        <w:footnoteReference w:id="8"/>
      </w:r>
      <w:r w:rsidRPr="005C5E25">
        <w:rPr>
          <w:rFonts w:asciiTheme="majorHAnsi" w:hAnsiTheme="majorHAnsi" w:cs="Calibri"/>
          <w:sz w:val="20"/>
          <w:szCs w:val="20"/>
          <w:lang w:val="es-ES_tradnl"/>
        </w:rPr>
        <w:t>. En el mismo sentido, la Corte IDH ha establecido que “no es necesario el agotamiento de la vía interna respecto de todos o cualquiera de los recursos disponibles sino que […] los recursos que deben ser agotados son aquellos que resultan adecuados en la situación particular de la violación de derechos humanos alegada”</w:t>
      </w:r>
      <w:r w:rsidRPr="005C5E25">
        <w:rPr>
          <w:rStyle w:val="FootnoteReference"/>
          <w:rFonts w:asciiTheme="majorHAnsi" w:hAnsiTheme="majorHAnsi" w:cs="Calibri"/>
          <w:sz w:val="20"/>
          <w:szCs w:val="20"/>
          <w:lang w:val="es-ES_tradnl"/>
        </w:rPr>
        <w:footnoteReference w:id="9"/>
      </w:r>
      <w:r w:rsidRPr="005C5E25">
        <w:rPr>
          <w:rFonts w:asciiTheme="majorHAnsi" w:hAnsiTheme="majorHAnsi" w:cs="Calibri"/>
          <w:sz w:val="20"/>
          <w:szCs w:val="20"/>
          <w:lang w:val="es-ES_tradnl"/>
        </w:rPr>
        <w:t xml:space="preserve">. </w:t>
      </w:r>
      <w:r w:rsidR="00B37B29" w:rsidRPr="005C5E25">
        <w:rPr>
          <w:rFonts w:asciiTheme="majorHAnsi" w:hAnsiTheme="majorHAnsi"/>
          <w:sz w:val="20"/>
          <w:szCs w:val="20"/>
          <w:lang w:val="es-ES_tradnl"/>
        </w:rPr>
        <w:t xml:space="preserve">En el presente caso, la Comisión observa que </w:t>
      </w:r>
      <w:r w:rsidR="00BE6F9D" w:rsidRPr="005C5E25">
        <w:rPr>
          <w:rFonts w:asciiTheme="majorHAnsi" w:hAnsiTheme="majorHAnsi"/>
          <w:sz w:val="20"/>
          <w:szCs w:val="20"/>
          <w:lang w:val="es-ES_tradnl"/>
        </w:rPr>
        <w:t>la presunta víctima</w:t>
      </w:r>
      <w:r w:rsidR="0005001C" w:rsidRPr="005C5E25">
        <w:rPr>
          <w:rFonts w:asciiTheme="majorHAnsi" w:hAnsiTheme="majorHAnsi"/>
          <w:sz w:val="20"/>
          <w:szCs w:val="20"/>
          <w:lang w:val="es-ES_tradnl"/>
        </w:rPr>
        <w:t xml:space="preserve"> </w:t>
      </w:r>
      <w:r w:rsidRPr="005C5E25">
        <w:rPr>
          <w:rFonts w:asciiTheme="majorHAnsi" w:hAnsiTheme="majorHAnsi"/>
          <w:sz w:val="20"/>
          <w:szCs w:val="20"/>
          <w:lang w:val="es-ES_tradnl"/>
        </w:rPr>
        <w:t xml:space="preserve">recurrió la decisión de la Corte Suprema de Justicia de destituirlo como juez de ejecución a través del Acuerdo No. 105 del 26 de enero de 2012, </w:t>
      </w:r>
      <w:r w:rsidR="006C2E12" w:rsidRPr="005C5E25">
        <w:rPr>
          <w:rFonts w:asciiTheme="majorHAnsi" w:hAnsiTheme="majorHAnsi"/>
          <w:sz w:val="20"/>
          <w:szCs w:val="20"/>
          <w:lang w:val="es-ES_tradnl"/>
        </w:rPr>
        <w:t xml:space="preserve">presentada </w:t>
      </w:r>
      <w:r w:rsidRPr="005C5E25">
        <w:rPr>
          <w:rFonts w:asciiTheme="majorHAnsi" w:hAnsiTheme="majorHAnsi"/>
          <w:sz w:val="20"/>
          <w:szCs w:val="20"/>
          <w:lang w:val="es-ES_tradnl"/>
        </w:rPr>
        <w:t xml:space="preserve">ante el Consejo de Carrera Judicial. Posteriormente, ante la demora en la adopción de una decisión de fondo frente al recurso interpuesto, el </w:t>
      </w:r>
      <w:r w:rsidR="00BE6F9D" w:rsidRPr="005C5E25">
        <w:rPr>
          <w:rFonts w:asciiTheme="majorHAnsi" w:hAnsiTheme="majorHAnsi"/>
          <w:sz w:val="20"/>
          <w:szCs w:val="20"/>
          <w:lang w:val="es-ES_tradnl"/>
        </w:rPr>
        <w:t>señor Vindel</w:t>
      </w:r>
      <w:r w:rsidRPr="005C5E25">
        <w:rPr>
          <w:rFonts w:asciiTheme="majorHAnsi" w:hAnsiTheme="majorHAnsi"/>
          <w:sz w:val="20"/>
          <w:szCs w:val="20"/>
          <w:lang w:val="es-ES_tradnl"/>
        </w:rPr>
        <w:t xml:space="preserve"> </w:t>
      </w:r>
      <w:r w:rsidR="0005001C" w:rsidRPr="005C5E25">
        <w:rPr>
          <w:rFonts w:asciiTheme="majorHAnsi" w:hAnsiTheme="majorHAnsi"/>
          <w:sz w:val="20"/>
          <w:szCs w:val="20"/>
          <w:lang w:val="es-ES_tradnl"/>
        </w:rPr>
        <w:t>interpuso una acción de amparo el 9 de abril de 201</w:t>
      </w:r>
      <w:r w:rsidR="00A92F58" w:rsidRPr="005C5E25">
        <w:rPr>
          <w:rFonts w:asciiTheme="majorHAnsi" w:hAnsiTheme="majorHAnsi"/>
          <w:sz w:val="20"/>
          <w:szCs w:val="20"/>
          <w:lang w:val="es-ES_tradnl"/>
        </w:rPr>
        <w:t xml:space="preserve">5. No obstante, la Sala Constitucional de la Corte Suprema de Justicia </w:t>
      </w:r>
      <w:r w:rsidR="00201501" w:rsidRPr="005C5E25">
        <w:rPr>
          <w:rFonts w:asciiTheme="majorHAnsi" w:hAnsiTheme="majorHAnsi"/>
          <w:sz w:val="20"/>
          <w:szCs w:val="20"/>
          <w:lang w:val="es-ES_tradnl"/>
        </w:rPr>
        <w:t xml:space="preserve">el 5 de agosto de 2016 </w:t>
      </w:r>
      <w:r w:rsidR="00A92F58" w:rsidRPr="005C5E25">
        <w:rPr>
          <w:rFonts w:asciiTheme="majorHAnsi" w:hAnsiTheme="majorHAnsi"/>
          <w:sz w:val="20"/>
          <w:szCs w:val="20"/>
          <w:lang w:val="es-ES_tradnl"/>
        </w:rPr>
        <w:t xml:space="preserve">decidió </w:t>
      </w:r>
      <w:r w:rsidR="0005001C" w:rsidRPr="005C5E25">
        <w:rPr>
          <w:rFonts w:asciiTheme="majorHAnsi" w:hAnsiTheme="majorHAnsi"/>
          <w:sz w:val="20"/>
          <w:szCs w:val="20"/>
          <w:lang w:val="es-ES_tradnl"/>
        </w:rPr>
        <w:t xml:space="preserve">sobreseer </w:t>
      </w:r>
      <w:r w:rsidR="006C2E12" w:rsidRPr="005C5E25">
        <w:rPr>
          <w:rFonts w:asciiTheme="majorHAnsi" w:hAnsiTheme="majorHAnsi"/>
          <w:sz w:val="20"/>
          <w:szCs w:val="20"/>
          <w:lang w:val="es-ES_tradnl"/>
        </w:rPr>
        <w:t>la acción</w:t>
      </w:r>
      <w:r w:rsidR="00A92F58" w:rsidRPr="005C5E25">
        <w:rPr>
          <w:rFonts w:asciiTheme="majorHAnsi" w:hAnsiTheme="majorHAnsi"/>
          <w:sz w:val="20"/>
          <w:szCs w:val="20"/>
          <w:lang w:val="es-ES_tradnl"/>
        </w:rPr>
        <w:t xml:space="preserve"> argumentando que la petición se había convertido en un acto irreparable.</w:t>
      </w:r>
      <w:r w:rsidR="00A30CDA" w:rsidRPr="005C5E25">
        <w:rPr>
          <w:rFonts w:asciiTheme="majorHAnsi" w:hAnsiTheme="majorHAnsi"/>
          <w:sz w:val="20"/>
          <w:szCs w:val="20"/>
          <w:lang w:val="es-ES_tradnl"/>
        </w:rPr>
        <w:t xml:space="preserve"> En</w:t>
      </w:r>
      <w:r w:rsidR="006A606E" w:rsidRPr="005C5E25">
        <w:rPr>
          <w:rFonts w:asciiTheme="majorHAnsi" w:hAnsiTheme="majorHAnsi"/>
          <w:sz w:val="20"/>
          <w:szCs w:val="20"/>
          <w:lang w:val="es-ES_tradnl"/>
        </w:rPr>
        <w:t xml:space="preserve"> este sentido, la Sala Constitucional admitió y conoció el recurso presentado; en ningún momento</w:t>
      </w:r>
      <w:r w:rsidR="00137BDF" w:rsidRPr="005C5E25">
        <w:rPr>
          <w:rFonts w:asciiTheme="majorHAnsi" w:hAnsiTheme="majorHAnsi"/>
          <w:sz w:val="20"/>
          <w:szCs w:val="20"/>
          <w:lang w:val="es-ES_tradnl"/>
        </w:rPr>
        <w:t xml:space="preserve"> le indicó al </w:t>
      </w:r>
      <w:r w:rsidR="00F40CB2" w:rsidRPr="005C5E25">
        <w:rPr>
          <w:rFonts w:asciiTheme="majorHAnsi" w:hAnsiTheme="majorHAnsi"/>
          <w:sz w:val="20"/>
          <w:szCs w:val="20"/>
          <w:lang w:val="es-ES_tradnl"/>
        </w:rPr>
        <w:t>señor</w:t>
      </w:r>
      <w:r w:rsidR="00137BDF" w:rsidRPr="005C5E25">
        <w:rPr>
          <w:rFonts w:asciiTheme="majorHAnsi" w:hAnsiTheme="majorHAnsi"/>
          <w:sz w:val="20"/>
          <w:szCs w:val="20"/>
          <w:lang w:val="es-ES_tradnl"/>
        </w:rPr>
        <w:t xml:space="preserve"> Vindel que esa </w:t>
      </w:r>
      <w:r w:rsidR="00137BDF" w:rsidRPr="00320BEF">
        <w:rPr>
          <w:rFonts w:asciiTheme="majorHAnsi" w:hAnsiTheme="majorHAnsi"/>
          <w:sz w:val="20"/>
          <w:szCs w:val="20"/>
          <w:lang w:val="es-ES_tradnl"/>
        </w:rPr>
        <w:t xml:space="preserve">vía no era adecuada. Además, </w:t>
      </w:r>
      <w:r w:rsidR="00AD600E" w:rsidRPr="00320BEF">
        <w:rPr>
          <w:rFonts w:asciiTheme="majorHAnsi" w:hAnsiTheme="majorHAnsi"/>
          <w:sz w:val="20"/>
          <w:szCs w:val="20"/>
          <w:lang w:val="es-ES_tradnl"/>
        </w:rPr>
        <w:t>en su momento, el extinto</w:t>
      </w:r>
      <w:r w:rsidR="00005153" w:rsidRPr="00320BEF">
        <w:rPr>
          <w:rFonts w:asciiTheme="majorHAnsi" w:hAnsiTheme="majorHAnsi"/>
          <w:sz w:val="20"/>
          <w:szCs w:val="20"/>
          <w:lang w:val="es-ES_tradnl"/>
        </w:rPr>
        <w:t xml:space="preserve"> Consejo de la Judicatura y de la Carrera Judicial</w:t>
      </w:r>
      <w:r w:rsidR="00AD600E" w:rsidRPr="00320BEF">
        <w:rPr>
          <w:rFonts w:asciiTheme="majorHAnsi" w:hAnsiTheme="majorHAnsi"/>
          <w:sz w:val="20"/>
          <w:szCs w:val="20"/>
          <w:lang w:val="es-ES_tradnl"/>
        </w:rPr>
        <w:t xml:space="preserve">, en efecto </w:t>
      </w:r>
      <w:r w:rsidR="007844E0" w:rsidRPr="00320BEF">
        <w:rPr>
          <w:rFonts w:asciiTheme="majorHAnsi" w:hAnsiTheme="majorHAnsi"/>
          <w:sz w:val="20"/>
          <w:szCs w:val="20"/>
          <w:lang w:val="es-ES_tradnl"/>
        </w:rPr>
        <w:t xml:space="preserve">había </w:t>
      </w:r>
      <w:r w:rsidR="00AD600E" w:rsidRPr="00320BEF">
        <w:rPr>
          <w:rFonts w:asciiTheme="majorHAnsi" w:hAnsiTheme="majorHAnsi"/>
          <w:sz w:val="20"/>
          <w:szCs w:val="20"/>
          <w:lang w:val="es-ES_tradnl"/>
        </w:rPr>
        <w:t>recibi</w:t>
      </w:r>
      <w:r w:rsidR="007844E0" w:rsidRPr="00320BEF">
        <w:rPr>
          <w:rFonts w:asciiTheme="majorHAnsi" w:hAnsiTheme="majorHAnsi"/>
          <w:sz w:val="20"/>
          <w:szCs w:val="20"/>
          <w:lang w:val="es-ES_tradnl"/>
        </w:rPr>
        <w:t>do</w:t>
      </w:r>
      <w:r w:rsidR="00AD600E" w:rsidRPr="00320BEF">
        <w:rPr>
          <w:rFonts w:asciiTheme="majorHAnsi" w:hAnsiTheme="majorHAnsi"/>
          <w:sz w:val="20"/>
          <w:szCs w:val="20"/>
          <w:lang w:val="es-ES_tradnl"/>
        </w:rPr>
        <w:t xml:space="preserve"> </w:t>
      </w:r>
      <w:r w:rsidR="007E7572" w:rsidRPr="00320BEF">
        <w:rPr>
          <w:rFonts w:asciiTheme="majorHAnsi" w:hAnsiTheme="majorHAnsi"/>
          <w:sz w:val="20"/>
          <w:szCs w:val="20"/>
          <w:lang w:val="es-ES_tradnl"/>
        </w:rPr>
        <w:t>la impugnación presentada por la presunta víctima</w:t>
      </w:r>
      <w:r w:rsidR="00F97113" w:rsidRPr="00320BEF">
        <w:rPr>
          <w:rFonts w:asciiTheme="majorHAnsi" w:hAnsiTheme="majorHAnsi"/>
          <w:sz w:val="20"/>
          <w:szCs w:val="20"/>
          <w:lang w:val="es-ES_tradnl"/>
        </w:rPr>
        <w:t xml:space="preserve">, </w:t>
      </w:r>
      <w:r w:rsidR="007844E0" w:rsidRPr="00320BEF">
        <w:rPr>
          <w:rFonts w:asciiTheme="majorHAnsi" w:hAnsiTheme="majorHAnsi"/>
          <w:sz w:val="20"/>
          <w:szCs w:val="20"/>
          <w:lang w:val="es-ES_tradnl"/>
        </w:rPr>
        <w:t>quedando pendiente de resolverla de fondo.</w:t>
      </w:r>
      <w:r w:rsidR="007E7572" w:rsidRPr="00320BEF">
        <w:rPr>
          <w:rFonts w:asciiTheme="majorHAnsi" w:hAnsiTheme="majorHAnsi"/>
          <w:sz w:val="20"/>
          <w:szCs w:val="20"/>
          <w:lang w:val="es-ES_tradnl"/>
        </w:rPr>
        <w:t xml:space="preserve"> </w:t>
      </w:r>
      <w:r w:rsidR="008B7645" w:rsidRPr="00320BEF">
        <w:rPr>
          <w:rFonts w:asciiTheme="majorHAnsi" w:hAnsiTheme="majorHAnsi"/>
          <w:sz w:val="20"/>
          <w:szCs w:val="20"/>
          <w:lang w:val="es-ES_tradnl"/>
        </w:rPr>
        <w:t>En virtud de lo anterior, la</w:t>
      </w:r>
      <w:r w:rsidR="00E11058" w:rsidRPr="00320BEF">
        <w:rPr>
          <w:rFonts w:asciiTheme="majorHAnsi" w:hAnsiTheme="majorHAnsi"/>
          <w:sz w:val="20"/>
          <w:szCs w:val="20"/>
          <w:lang w:val="es-ES_tradnl"/>
        </w:rPr>
        <w:t xml:space="preserve"> Comisión observa </w:t>
      </w:r>
      <w:r w:rsidR="00DE0F3E" w:rsidRPr="00320BEF">
        <w:rPr>
          <w:rFonts w:asciiTheme="majorHAnsi" w:hAnsiTheme="majorHAnsi"/>
          <w:sz w:val="20"/>
          <w:szCs w:val="20"/>
          <w:lang w:val="es-ES_tradnl"/>
        </w:rPr>
        <w:t>que,</w:t>
      </w:r>
      <w:r w:rsidR="00E11058" w:rsidRPr="00320BEF">
        <w:rPr>
          <w:rFonts w:asciiTheme="majorHAnsi" w:hAnsiTheme="majorHAnsi"/>
          <w:sz w:val="20"/>
          <w:szCs w:val="20"/>
          <w:lang w:val="es-ES_tradnl"/>
        </w:rPr>
        <w:t xml:space="preserve"> aunque la presunta víctima interpuso diferentes recursos</w:t>
      </w:r>
      <w:r w:rsidR="005C5E25" w:rsidRPr="00320BEF">
        <w:rPr>
          <w:rFonts w:asciiTheme="majorHAnsi" w:hAnsiTheme="majorHAnsi"/>
          <w:sz w:val="20"/>
          <w:szCs w:val="20"/>
          <w:lang w:val="es-ES_tradnl"/>
        </w:rPr>
        <w:t xml:space="preserve"> válidos en el ordenamiento interno para que la sanción de destitución fuera revisada en segunda instancia, esto no </w:t>
      </w:r>
      <w:r w:rsidR="00320BEF">
        <w:rPr>
          <w:rFonts w:asciiTheme="majorHAnsi" w:hAnsiTheme="majorHAnsi"/>
          <w:sz w:val="20"/>
          <w:szCs w:val="20"/>
          <w:lang w:val="es-ES_tradnl"/>
        </w:rPr>
        <w:t>nunca ocurrió</w:t>
      </w:r>
      <w:r w:rsidR="005C5E25" w:rsidRPr="00320BEF">
        <w:rPr>
          <w:rFonts w:asciiTheme="majorHAnsi" w:hAnsiTheme="majorHAnsi"/>
          <w:sz w:val="20"/>
          <w:szCs w:val="20"/>
          <w:lang w:val="es-ES_tradnl"/>
        </w:rPr>
        <w:t xml:space="preserve">. </w:t>
      </w:r>
    </w:p>
    <w:p w14:paraId="1FEAD1E4" w14:textId="512783EB" w:rsidR="00B60156" w:rsidRPr="00E11058" w:rsidRDefault="00E11058" w:rsidP="00E11058">
      <w:pPr>
        <w:pStyle w:val="ListParagraph"/>
        <w:numPr>
          <w:ilvl w:val="0"/>
          <w:numId w:val="55"/>
        </w:numPr>
        <w:suppressAutoHyphens/>
        <w:spacing w:before="240" w:after="240"/>
        <w:jc w:val="both"/>
        <w:rPr>
          <w:rFonts w:asciiTheme="majorHAnsi" w:hAnsiTheme="majorHAnsi" w:cs="Calibri"/>
          <w:sz w:val="20"/>
          <w:szCs w:val="20"/>
          <w:lang w:val="es-ES_tradnl"/>
        </w:rPr>
      </w:pPr>
      <w:r w:rsidRPr="00320BEF">
        <w:rPr>
          <w:rFonts w:asciiTheme="majorHAnsi" w:hAnsiTheme="majorHAnsi"/>
          <w:sz w:val="20"/>
          <w:szCs w:val="20"/>
          <w:lang w:val="es-ES_tradnl"/>
        </w:rPr>
        <w:t>L</w:t>
      </w:r>
      <w:r w:rsidR="00201501" w:rsidRPr="00320BEF">
        <w:rPr>
          <w:rFonts w:asciiTheme="majorHAnsi" w:hAnsiTheme="majorHAnsi"/>
          <w:sz w:val="20"/>
          <w:szCs w:val="20"/>
          <w:lang w:val="es-ES_tradnl"/>
        </w:rPr>
        <w:t xml:space="preserve">a CIDH recuerda que cuando un </w:t>
      </w:r>
      <w:r w:rsidR="009D3185" w:rsidRPr="00320BEF">
        <w:rPr>
          <w:rFonts w:asciiTheme="majorHAnsi" w:hAnsiTheme="majorHAnsi"/>
          <w:sz w:val="20"/>
          <w:szCs w:val="20"/>
          <w:lang w:val="es-ES_tradnl"/>
        </w:rPr>
        <w:t>E</w:t>
      </w:r>
      <w:r w:rsidR="00201501" w:rsidRPr="00320BEF">
        <w:rPr>
          <w:rFonts w:asciiTheme="majorHAnsi" w:hAnsiTheme="majorHAnsi"/>
          <w:sz w:val="20"/>
          <w:szCs w:val="20"/>
          <w:lang w:val="es-ES_tradnl"/>
        </w:rPr>
        <w:t>stado alega la falta de agotamiento de los recursos internos por parte de los peticionarios, tiene la carga de identificar cuáles serían los recursos</w:t>
      </w:r>
      <w:r w:rsidR="00201501" w:rsidRPr="00E11058">
        <w:rPr>
          <w:rFonts w:asciiTheme="majorHAnsi" w:hAnsiTheme="majorHAnsi"/>
          <w:sz w:val="20"/>
          <w:szCs w:val="20"/>
          <w:lang w:val="es-ES_tradnl"/>
        </w:rPr>
        <w:t xml:space="preserve"> que deben agotarse y demostrar que los medios que no han sido agotados resultan ‘adecuados’ para subsanar la violación alegada</w:t>
      </w:r>
      <w:r w:rsidR="00201501" w:rsidRPr="007A708F">
        <w:rPr>
          <w:rStyle w:val="FootnoteReference"/>
          <w:rFonts w:asciiTheme="majorHAnsi" w:hAnsiTheme="majorHAnsi"/>
          <w:sz w:val="20"/>
          <w:szCs w:val="20"/>
          <w:lang w:val="es-ES_tradnl"/>
        </w:rPr>
        <w:footnoteReference w:id="10"/>
      </w:r>
      <w:r w:rsidR="00201501" w:rsidRPr="00E11058">
        <w:rPr>
          <w:rFonts w:asciiTheme="majorHAnsi" w:hAnsiTheme="majorHAnsi"/>
          <w:sz w:val="20"/>
          <w:szCs w:val="20"/>
          <w:lang w:val="es-ES_tradnl"/>
        </w:rPr>
        <w:t>. En el presente caso, el Estado alega la falta de agotamiento de la demanda en la vía contencioso-administrativa</w:t>
      </w:r>
      <w:r w:rsidR="00A978D6" w:rsidRPr="00E11058">
        <w:rPr>
          <w:rFonts w:asciiTheme="majorHAnsi" w:hAnsiTheme="majorHAnsi"/>
          <w:sz w:val="20"/>
          <w:szCs w:val="20"/>
          <w:lang w:val="es-ES_tradnl"/>
        </w:rPr>
        <w:t>,</w:t>
      </w:r>
      <w:r w:rsidR="00201501" w:rsidRPr="00E11058">
        <w:rPr>
          <w:rFonts w:asciiTheme="majorHAnsi" w:hAnsiTheme="majorHAnsi"/>
          <w:sz w:val="20"/>
          <w:szCs w:val="20"/>
          <w:lang w:val="es-ES_tradnl"/>
        </w:rPr>
        <w:t xml:space="preserve"> pero no indica porque este medio resulta ser el adecuado para subsanar la violación.</w:t>
      </w:r>
    </w:p>
    <w:p w14:paraId="7B2DF7BA" w14:textId="76664293" w:rsidR="007844E0" w:rsidRPr="008B7645" w:rsidRDefault="007844E0" w:rsidP="008B76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sz w:val="20"/>
          <w:szCs w:val="20"/>
          <w:lang w:val="es-ES_tradnl"/>
        </w:rPr>
        <w:t>En conclusión, la C</w:t>
      </w:r>
      <w:r w:rsidR="00C665C5" w:rsidRPr="007A708F">
        <w:rPr>
          <w:rFonts w:asciiTheme="majorHAnsi" w:hAnsiTheme="majorHAnsi"/>
          <w:sz w:val="20"/>
          <w:szCs w:val="20"/>
          <w:lang w:val="es-ES_tradnl"/>
        </w:rPr>
        <w:t>omisión</w:t>
      </w:r>
      <w:r w:rsidRPr="007A708F">
        <w:rPr>
          <w:rFonts w:asciiTheme="majorHAnsi" w:hAnsiTheme="majorHAnsi"/>
          <w:sz w:val="20"/>
          <w:szCs w:val="20"/>
          <w:lang w:val="es-ES_tradnl"/>
        </w:rPr>
        <w:t xml:space="preserve"> observa que la última decisión judicial recaída en la jurisdicción interna con respecto al objeto de la presente petición es la decisión emitida el 5 de agosto de 2016 por la Sala Constitucional de la Corte Suprema de Justicia. </w:t>
      </w:r>
      <w:r w:rsidRPr="008B7645">
        <w:rPr>
          <w:rFonts w:asciiTheme="majorHAnsi" w:hAnsiTheme="majorHAnsi"/>
          <w:sz w:val="20"/>
          <w:szCs w:val="20"/>
          <w:lang w:val="es-ES_tradnl"/>
        </w:rPr>
        <w:t>En este sentido y sin prejuzgar sobre la convencionalidad de los recursos internos, cuestión que será debatida en la etapa de fondo del presente caso, la Comisión considera que la presente petición cumple formalmente con el requisito establecido en el artículo 46.1.a</w:t>
      </w:r>
      <w:r w:rsidR="009D3185" w:rsidRPr="008B7645">
        <w:rPr>
          <w:rFonts w:asciiTheme="majorHAnsi" w:hAnsiTheme="majorHAnsi"/>
          <w:sz w:val="20"/>
          <w:szCs w:val="20"/>
          <w:lang w:val="es-ES_tradnl"/>
        </w:rPr>
        <w:t>)</w:t>
      </w:r>
      <w:r w:rsidRPr="008B7645">
        <w:rPr>
          <w:rFonts w:asciiTheme="majorHAnsi" w:hAnsiTheme="majorHAnsi"/>
          <w:sz w:val="20"/>
          <w:szCs w:val="20"/>
          <w:lang w:val="es-ES_tradnl"/>
        </w:rPr>
        <w:t xml:space="preserve"> de la Convención </w:t>
      </w:r>
      <w:r w:rsidRPr="008B7645">
        <w:rPr>
          <w:rFonts w:asciiTheme="majorHAnsi" w:hAnsiTheme="majorHAnsi"/>
          <w:sz w:val="20"/>
          <w:szCs w:val="20"/>
          <w:lang w:val="es-ES_tradnl"/>
        </w:rPr>
        <w:lastRenderedPageBreak/>
        <w:t>Americana. Asimismo, tomando en cuenta que esta decisión fue notificad</w:t>
      </w:r>
      <w:r w:rsidR="00C665C5" w:rsidRPr="008B7645">
        <w:rPr>
          <w:rFonts w:asciiTheme="majorHAnsi" w:hAnsiTheme="majorHAnsi"/>
          <w:sz w:val="20"/>
          <w:szCs w:val="20"/>
          <w:lang w:val="es-ES_tradnl"/>
        </w:rPr>
        <w:t>a</w:t>
      </w:r>
      <w:r w:rsidRPr="008B7645">
        <w:rPr>
          <w:rFonts w:asciiTheme="majorHAnsi" w:hAnsiTheme="majorHAnsi"/>
          <w:sz w:val="20"/>
          <w:szCs w:val="20"/>
          <w:lang w:val="es-ES_tradnl"/>
        </w:rPr>
        <w:t xml:space="preserve"> al señor Vindel el 30 de agosto de ese mismo año y que la presente petición fue recibida en la CIDH el 2</w:t>
      </w:r>
      <w:r w:rsidR="00C665C5" w:rsidRPr="008B7645">
        <w:rPr>
          <w:rFonts w:asciiTheme="majorHAnsi" w:hAnsiTheme="majorHAnsi"/>
          <w:sz w:val="20"/>
          <w:szCs w:val="20"/>
          <w:lang w:val="es-ES_tradnl"/>
        </w:rPr>
        <w:t xml:space="preserve">0 </w:t>
      </w:r>
      <w:r w:rsidRPr="008B7645">
        <w:rPr>
          <w:rFonts w:asciiTheme="majorHAnsi" w:hAnsiTheme="majorHAnsi"/>
          <w:sz w:val="20"/>
          <w:szCs w:val="20"/>
          <w:lang w:val="es-ES_tradnl"/>
        </w:rPr>
        <w:t>de febrero de 2017, esta cumple con el requisito de plazo de presentación establecido en el artículo 46.1.b</w:t>
      </w:r>
      <w:r w:rsidR="009D3185" w:rsidRPr="008B7645">
        <w:rPr>
          <w:rFonts w:asciiTheme="majorHAnsi" w:hAnsiTheme="majorHAnsi"/>
          <w:sz w:val="20"/>
          <w:szCs w:val="20"/>
          <w:lang w:val="es-ES_tradnl"/>
        </w:rPr>
        <w:t>)</w:t>
      </w:r>
      <w:r w:rsidRPr="008B7645">
        <w:rPr>
          <w:rFonts w:asciiTheme="majorHAnsi" w:hAnsiTheme="majorHAnsi"/>
          <w:sz w:val="20"/>
          <w:szCs w:val="20"/>
          <w:lang w:val="es-ES_tradnl"/>
        </w:rPr>
        <w:t xml:space="preserve"> de la Convención. </w:t>
      </w:r>
    </w:p>
    <w:p w14:paraId="56A79E4F" w14:textId="541FFBE5" w:rsidR="00B60156" w:rsidRPr="007A708F" w:rsidRDefault="00B60156" w:rsidP="00651BB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b/>
          <w:bCs/>
          <w:sz w:val="20"/>
          <w:szCs w:val="20"/>
          <w:lang w:val="es-ES_tradnl"/>
        </w:rPr>
        <w:t>VII.</w:t>
      </w:r>
      <w:r w:rsidRPr="007A708F">
        <w:rPr>
          <w:rFonts w:asciiTheme="majorHAnsi" w:hAnsiTheme="majorHAnsi"/>
          <w:b/>
          <w:bCs/>
          <w:sz w:val="20"/>
          <w:szCs w:val="20"/>
          <w:lang w:val="es-ES_tradnl"/>
        </w:rPr>
        <w:tab/>
        <w:t>ANÁLISIS DE CARACTERIZACIÓN DE LOS HECHOS ALEGADOS</w:t>
      </w:r>
      <w:r w:rsidRPr="007A708F">
        <w:rPr>
          <w:rFonts w:asciiTheme="majorHAnsi" w:hAnsiTheme="majorHAnsi"/>
          <w:sz w:val="20"/>
          <w:szCs w:val="20"/>
          <w:lang w:val="es-ES_tradnl"/>
        </w:rPr>
        <w:t xml:space="preserve"> </w:t>
      </w:r>
    </w:p>
    <w:p w14:paraId="5F56C21A" w14:textId="1BE179A7" w:rsidR="00B60156" w:rsidRPr="007A708F" w:rsidRDefault="00A53FE2" w:rsidP="001F54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sz w:val="20"/>
          <w:szCs w:val="20"/>
          <w:lang w:val="es-ES_tradnl"/>
        </w:rPr>
        <w:t xml:space="preserve">La parte peticionaria alega la vulneración de los derechos del señor Vindel en razón a su destitución como Juez de Ejecución de Penas en virtud de la aplicación de una sanción disciplinaria y la falta revisión de la sanción impuesta como consecuencia de las modificaciones legislativas de la Ley de Carrera Judicial. </w:t>
      </w:r>
    </w:p>
    <w:p w14:paraId="6B9034F0" w14:textId="4B64F9F2" w:rsidR="00B60156" w:rsidRPr="007A708F" w:rsidRDefault="001E1708" w:rsidP="001F54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sz w:val="20"/>
          <w:szCs w:val="20"/>
          <w:lang w:val="es-ES_tradnl"/>
        </w:rPr>
        <w:t xml:space="preserve">La Corte Interamericana en la sentencia del caso </w:t>
      </w:r>
      <w:r w:rsidRPr="007A708F">
        <w:rPr>
          <w:rFonts w:asciiTheme="majorHAnsi" w:hAnsiTheme="majorHAnsi"/>
          <w:i/>
          <w:iCs/>
          <w:sz w:val="20"/>
          <w:szCs w:val="20"/>
          <w:lang w:val="es-ES_tradnl"/>
        </w:rPr>
        <w:t xml:space="preserve">López Lone y </w:t>
      </w:r>
      <w:r w:rsidR="004A712C" w:rsidRPr="007A708F">
        <w:rPr>
          <w:rFonts w:asciiTheme="majorHAnsi" w:hAnsiTheme="majorHAnsi"/>
          <w:i/>
          <w:iCs/>
          <w:sz w:val="20"/>
          <w:szCs w:val="20"/>
          <w:lang w:val="es-ES_tradnl"/>
        </w:rPr>
        <w:t>o</w:t>
      </w:r>
      <w:r w:rsidRPr="007A708F">
        <w:rPr>
          <w:rFonts w:asciiTheme="majorHAnsi" w:hAnsiTheme="majorHAnsi"/>
          <w:i/>
          <w:iCs/>
          <w:sz w:val="20"/>
          <w:szCs w:val="20"/>
          <w:lang w:val="es-ES_tradnl"/>
        </w:rPr>
        <w:t xml:space="preserve">tros </w:t>
      </w:r>
      <w:r w:rsidR="004A712C" w:rsidRPr="007A708F">
        <w:rPr>
          <w:rFonts w:asciiTheme="majorHAnsi" w:hAnsiTheme="majorHAnsi"/>
          <w:i/>
          <w:iCs/>
          <w:sz w:val="20"/>
          <w:szCs w:val="20"/>
          <w:lang w:val="es-ES_tradnl"/>
        </w:rPr>
        <w:t xml:space="preserve">vs. Honduras </w:t>
      </w:r>
      <w:r w:rsidRPr="007A708F">
        <w:rPr>
          <w:rFonts w:asciiTheme="majorHAnsi" w:hAnsiTheme="majorHAnsi"/>
          <w:sz w:val="20"/>
          <w:szCs w:val="20"/>
          <w:lang w:val="es-ES_tradnl"/>
        </w:rPr>
        <w:t>indicó que el artículo 64.a y las demás disposiciones de la Ley de Carrera Judicial de 1980 y el Reglamento establecían un sistema de graduación de las sanciones que afectaba la previsibilidad de la sanción, pues la destitución de jueces y juezas por el incumplimiento de cualquiera de sus deberes o incompatibilidades era bastante ambigua y concedía excesiva discrecionalidad al órgano encargado de la aplicación de la sanción</w:t>
      </w:r>
      <w:r w:rsidRPr="007A708F">
        <w:rPr>
          <w:rStyle w:val="FootnoteReference"/>
          <w:rFonts w:asciiTheme="majorHAnsi" w:hAnsiTheme="majorHAnsi"/>
          <w:sz w:val="20"/>
          <w:szCs w:val="20"/>
          <w:lang w:val="es-ES_tradnl"/>
        </w:rPr>
        <w:footnoteReference w:id="11"/>
      </w:r>
      <w:r w:rsidRPr="007A708F">
        <w:rPr>
          <w:rFonts w:asciiTheme="majorHAnsi" w:hAnsiTheme="majorHAnsi"/>
          <w:sz w:val="20"/>
          <w:szCs w:val="20"/>
          <w:lang w:val="es-ES_tradnl"/>
        </w:rPr>
        <w:t>.  La Comisión nota que</w:t>
      </w:r>
      <w:r w:rsidR="00365CD5" w:rsidRPr="007A708F">
        <w:rPr>
          <w:rFonts w:asciiTheme="majorHAnsi" w:hAnsiTheme="majorHAnsi"/>
          <w:sz w:val="20"/>
          <w:szCs w:val="20"/>
          <w:lang w:val="es-ES_tradnl"/>
        </w:rPr>
        <w:t xml:space="preserve"> </w:t>
      </w:r>
      <w:r w:rsidRPr="007A708F">
        <w:rPr>
          <w:rFonts w:asciiTheme="majorHAnsi" w:hAnsiTheme="majorHAnsi"/>
          <w:sz w:val="20"/>
          <w:szCs w:val="20"/>
          <w:lang w:val="es-ES_tradnl"/>
        </w:rPr>
        <w:t xml:space="preserve">en el caso en concreto, el artículo 64.a fue uno de los artículos utilizados para la destitución del señor Vindel. </w:t>
      </w:r>
    </w:p>
    <w:p w14:paraId="6D6BA43A" w14:textId="4847642F" w:rsidR="00B60156" w:rsidRPr="007A708F" w:rsidRDefault="001E1708" w:rsidP="001F54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sz w:val="20"/>
          <w:szCs w:val="20"/>
          <w:lang w:val="es-ES_tradnl"/>
        </w:rPr>
        <w:t>En igual sentido, l</w:t>
      </w:r>
      <w:r w:rsidR="00A77357" w:rsidRPr="007A708F">
        <w:rPr>
          <w:rFonts w:asciiTheme="majorHAnsi" w:hAnsiTheme="majorHAnsi"/>
          <w:sz w:val="20"/>
          <w:szCs w:val="20"/>
          <w:lang w:val="es-ES_tradnl"/>
        </w:rPr>
        <w:t xml:space="preserve">a Comisión </w:t>
      </w:r>
      <w:r w:rsidR="000E0C97" w:rsidRPr="007A708F">
        <w:rPr>
          <w:rFonts w:asciiTheme="majorHAnsi" w:hAnsiTheme="majorHAnsi"/>
          <w:sz w:val="20"/>
          <w:szCs w:val="20"/>
          <w:lang w:val="es-ES_tradnl"/>
        </w:rPr>
        <w:t xml:space="preserve">indicó </w:t>
      </w:r>
      <w:r w:rsidR="004A712C" w:rsidRPr="007A708F">
        <w:rPr>
          <w:rFonts w:asciiTheme="majorHAnsi" w:hAnsiTheme="majorHAnsi"/>
          <w:sz w:val="20"/>
          <w:szCs w:val="20"/>
          <w:lang w:val="es-ES_tradnl"/>
        </w:rPr>
        <w:t xml:space="preserve">lo siguiente </w:t>
      </w:r>
      <w:r w:rsidR="00A77357" w:rsidRPr="007A708F">
        <w:rPr>
          <w:rFonts w:asciiTheme="majorHAnsi" w:hAnsiTheme="majorHAnsi"/>
          <w:sz w:val="20"/>
          <w:szCs w:val="20"/>
          <w:lang w:val="es-ES_tradnl"/>
        </w:rPr>
        <w:t>en el informe anual del 2016 respecto de la derogación de la Ley del Consejo de la Judicatura y de la Carrera Judicial:</w:t>
      </w:r>
    </w:p>
    <w:p w14:paraId="66946EA9" w14:textId="1DB29BFF" w:rsidR="00B60156" w:rsidRPr="007A708F" w:rsidRDefault="00B60156" w:rsidP="00444CF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ES_tradnl"/>
        </w:rPr>
      </w:pPr>
      <w:r w:rsidRPr="007A708F">
        <w:rPr>
          <w:rFonts w:asciiTheme="majorHAnsi" w:hAnsiTheme="majorHAnsi"/>
          <w:sz w:val="20"/>
          <w:szCs w:val="20"/>
          <w:lang w:val="es-ES_tradnl"/>
        </w:rPr>
        <w:t>En efecto, con la derogación de la Ley del Consejo de la Judicatura y de la Carrera Judicial, el marco legal aplicable de forma temporal es el de la Ley de Carrera Judicial de 1980, el cual fue cuestionado por la Corte Interamericana en la sentencia del caso López Lone y Otros. La Corte en su sentencia señaló que el Consejo de la Carrera Judicial al amparo de la Ley de 1980 no constituía un órgano autónomo e independiente en virtud de su carácter como órgano auxiliar y dependiente de la Corte Suprema</w:t>
      </w:r>
      <w:r w:rsidRPr="007A708F">
        <w:rPr>
          <w:rStyle w:val="FootnoteReference"/>
          <w:rFonts w:asciiTheme="majorHAnsi" w:hAnsiTheme="majorHAnsi"/>
          <w:sz w:val="20"/>
          <w:szCs w:val="20"/>
          <w:lang w:val="es-ES_tradnl"/>
        </w:rPr>
        <w:footnoteReference w:id="12"/>
      </w:r>
      <w:r w:rsidRPr="007A708F">
        <w:rPr>
          <w:rFonts w:asciiTheme="majorHAnsi" w:hAnsiTheme="majorHAnsi"/>
          <w:sz w:val="20"/>
          <w:szCs w:val="20"/>
          <w:lang w:val="es-ES_tradnl"/>
        </w:rPr>
        <w:t>.</w:t>
      </w:r>
    </w:p>
    <w:p w14:paraId="5AA6ABDA" w14:textId="4B609AA8" w:rsidR="00AC522F" w:rsidRPr="007A708F" w:rsidRDefault="007025DD" w:rsidP="001F54D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sz w:val="20"/>
          <w:szCs w:val="20"/>
          <w:lang w:val="es-ES_tradnl"/>
        </w:rPr>
        <w:t>La Comisión ha indicado que las decisiones que se adopten tanto en los procedimientos disciplinarios respecto de jueces, como en los de suspensión o separación del cargo deben estar sujetos a una revisión independiente. Asimismo, tanto en los procesos disciplinarios como en los penales que hayan concluido en la destitución de un juez o jueza, los Estados deben ofrecer un recurso adecuado y efectivo que permita obtener la restitución en su cargo tras no haberse comprobado su responsabilidad, o bien, en el caso de que su destitución haya sido arbitraria. En ese sentido, la garantía de inamovilidad debe operar para permitir el reintegro a la condición de magistrado de quien fue arbitrariamente privado de ella, puesto</w:t>
      </w:r>
      <w:r w:rsidR="009D7793" w:rsidRPr="007A708F">
        <w:rPr>
          <w:rFonts w:asciiTheme="majorHAnsi" w:hAnsiTheme="majorHAnsi"/>
          <w:sz w:val="20"/>
          <w:szCs w:val="20"/>
          <w:lang w:val="es-ES_tradnl"/>
        </w:rPr>
        <w:t xml:space="preserve"> </w:t>
      </w:r>
      <w:r w:rsidRPr="007A708F">
        <w:rPr>
          <w:rFonts w:asciiTheme="majorHAnsi" w:hAnsiTheme="majorHAnsi"/>
          <w:sz w:val="20"/>
          <w:szCs w:val="20"/>
          <w:lang w:val="es-ES_tradnl"/>
        </w:rPr>
        <w:t>que de lo contrario, los Estados podrían remover a los jueces e intervenir de ese modo en el Poder Judicial sin mayores costos o control, lo cual podría generar un temor en los demás jueces que observan que sus colegas son destituidos y luego no reincorporados, aun cuando se habría determinado que la destitución fue arbitraria</w:t>
      </w:r>
      <w:r w:rsidRPr="007A708F">
        <w:rPr>
          <w:rStyle w:val="FootnoteReference"/>
          <w:rFonts w:asciiTheme="majorHAnsi" w:hAnsiTheme="majorHAnsi"/>
          <w:sz w:val="20"/>
          <w:szCs w:val="20"/>
          <w:lang w:val="es-ES_tradnl"/>
        </w:rPr>
        <w:footnoteReference w:id="13"/>
      </w:r>
      <w:r w:rsidRPr="007A708F">
        <w:rPr>
          <w:rFonts w:asciiTheme="majorHAnsi" w:hAnsiTheme="majorHAnsi"/>
          <w:sz w:val="20"/>
          <w:szCs w:val="20"/>
          <w:lang w:val="es-ES_tradnl"/>
        </w:rPr>
        <w:t xml:space="preserve">. </w:t>
      </w:r>
      <w:r w:rsidR="00AC522F" w:rsidRPr="007A708F">
        <w:rPr>
          <w:rFonts w:asciiTheme="majorHAnsi" w:hAnsiTheme="majorHAnsi"/>
          <w:sz w:val="20"/>
          <w:szCs w:val="20"/>
          <w:lang w:val="es-ES_tradnl"/>
        </w:rPr>
        <w:t xml:space="preserve">Por otro </w:t>
      </w:r>
      <w:r w:rsidR="008046F0" w:rsidRPr="007A708F">
        <w:rPr>
          <w:rFonts w:asciiTheme="majorHAnsi" w:hAnsiTheme="majorHAnsi"/>
          <w:sz w:val="20"/>
          <w:szCs w:val="20"/>
          <w:lang w:val="es-ES_tradnl"/>
        </w:rPr>
        <w:t>lado,</w:t>
      </w:r>
      <w:r w:rsidR="00AC522F" w:rsidRPr="007A708F">
        <w:rPr>
          <w:rFonts w:asciiTheme="majorHAnsi" w:hAnsiTheme="majorHAnsi"/>
          <w:sz w:val="20"/>
          <w:szCs w:val="20"/>
          <w:lang w:val="es-ES_tradnl"/>
        </w:rPr>
        <w:t xml:space="preserve"> la CIDH recuerda que el artículo 26 (desarrollo progresivo) de la Convención Americana protege el derecho al trabajo tanto en el ámbito público como en el privado</w:t>
      </w:r>
      <w:r w:rsidRPr="007A708F">
        <w:rPr>
          <w:rStyle w:val="FootnoteReference"/>
          <w:rFonts w:asciiTheme="majorHAnsi" w:hAnsiTheme="majorHAnsi"/>
          <w:sz w:val="20"/>
          <w:szCs w:val="20"/>
          <w:lang w:val="es-ES_tradnl"/>
        </w:rPr>
        <w:footnoteReference w:id="14"/>
      </w:r>
      <w:r w:rsidR="00AC522F" w:rsidRPr="007A708F">
        <w:rPr>
          <w:rFonts w:asciiTheme="majorHAnsi" w:hAnsiTheme="majorHAnsi"/>
          <w:sz w:val="20"/>
          <w:szCs w:val="20"/>
          <w:lang w:val="es-ES_tradnl"/>
        </w:rPr>
        <w:t>.</w:t>
      </w:r>
    </w:p>
    <w:p w14:paraId="0EFC93AE" w14:textId="6D5FA6B9" w:rsidR="00B60156" w:rsidRPr="007A708F" w:rsidRDefault="00E06F9C" w:rsidP="001F54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relativas a la destitución de la presunta víctima de su cargo de juez y la consecuente falta de recursos efectivos no resultan manifiestamente infundadas y requieren un estudio de fondo pues los hechos alegados, de corroborarse como ciertos podrían caracterizar violaciones a los artículos 8 (garantías judiciales), 9 (principio de legalidad y no retroactividad)</w:t>
      </w:r>
      <w:r w:rsidR="00AC522F" w:rsidRPr="007A708F">
        <w:rPr>
          <w:rFonts w:asciiTheme="majorHAnsi" w:hAnsiTheme="majorHAnsi"/>
          <w:sz w:val="20"/>
          <w:szCs w:val="20"/>
          <w:lang w:val="es-ES_tradnl"/>
        </w:rPr>
        <w:t xml:space="preserve">, 23 (derechos políticos), </w:t>
      </w:r>
      <w:r w:rsidRPr="007A708F">
        <w:rPr>
          <w:rFonts w:asciiTheme="majorHAnsi" w:hAnsiTheme="majorHAnsi"/>
          <w:sz w:val="20"/>
          <w:szCs w:val="20"/>
          <w:lang w:val="es-ES_tradnl"/>
        </w:rPr>
        <w:t xml:space="preserve">25 (protección judicial) </w:t>
      </w:r>
      <w:r w:rsidR="004A712C" w:rsidRPr="007A708F">
        <w:rPr>
          <w:rFonts w:asciiTheme="majorHAnsi" w:hAnsiTheme="majorHAnsi"/>
          <w:sz w:val="20"/>
          <w:szCs w:val="20"/>
          <w:lang w:val="es-ES_tradnl"/>
        </w:rPr>
        <w:t xml:space="preserve"> </w:t>
      </w:r>
      <w:r w:rsidR="00AC522F" w:rsidRPr="007A708F">
        <w:rPr>
          <w:rFonts w:asciiTheme="majorHAnsi" w:hAnsiTheme="majorHAnsi"/>
          <w:sz w:val="20"/>
          <w:szCs w:val="20"/>
          <w:lang w:val="es-ES_tradnl"/>
        </w:rPr>
        <w:t xml:space="preserve">y 26 (desarrollo progresivo) </w:t>
      </w:r>
      <w:r w:rsidRPr="007A708F">
        <w:rPr>
          <w:rFonts w:asciiTheme="majorHAnsi" w:hAnsiTheme="majorHAnsi"/>
          <w:sz w:val="20"/>
          <w:szCs w:val="20"/>
          <w:lang w:val="es-ES_tradnl"/>
        </w:rPr>
        <w:t xml:space="preserve">de la Convención </w:t>
      </w:r>
      <w:r w:rsidRPr="007A708F">
        <w:rPr>
          <w:rFonts w:asciiTheme="majorHAnsi" w:hAnsiTheme="majorHAnsi"/>
          <w:sz w:val="20"/>
          <w:szCs w:val="20"/>
          <w:lang w:val="es-ES_tradnl"/>
        </w:rPr>
        <w:lastRenderedPageBreak/>
        <w:t>Americana, en relación con sus artículo</w:t>
      </w:r>
      <w:r w:rsidR="004719C4" w:rsidRPr="007A708F">
        <w:rPr>
          <w:rFonts w:asciiTheme="majorHAnsi" w:hAnsiTheme="majorHAnsi"/>
          <w:sz w:val="20"/>
          <w:szCs w:val="20"/>
          <w:lang w:val="es-ES_tradnl"/>
        </w:rPr>
        <w:t>s</w:t>
      </w:r>
      <w:r w:rsidRPr="007A708F">
        <w:rPr>
          <w:rFonts w:asciiTheme="majorHAnsi" w:hAnsiTheme="majorHAnsi"/>
          <w:sz w:val="20"/>
          <w:szCs w:val="20"/>
          <w:lang w:val="es-ES_tradnl"/>
        </w:rPr>
        <w:t xml:space="preserve"> 1.1. (obligación de respetar y garantizar los derechos) y 2 (deber de adoptar disposiciones de derecho interno), en perjuicio </w:t>
      </w:r>
      <w:r w:rsidR="00115AC6" w:rsidRPr="007A708F">
        <w:rPr>
          <w:rFonts w:asciiTheme="majorHAnsi" w:hAnsiTheme="majorHAnsi"/>
          <w:sz w:val="20"/>
          <w:szCs w:val="20"/>
          <w:lang w:val="es-ES_tradnl"/>
        </w:rPr>
        <w:t xml:space="preserve">del señor Renán </w:t>
      </w:r>
      <w:r w:rsidR="008A233A" w:rsidRPr="007A708F">
        <w:rPr>
          <w:rFonts w:asciiTheme="majorHAnsi" w:hAnsiTheme="majorHAnsi"/>
          <w:sz w:val="20"/>
          <w:szCs w:val="20"/>
          <w:lang w:val="es-ES_tradnl"/>
        </w:rPr>
        <w:t>Oswaldo V</w:t>
      </w:r>
      <w:r w:rsidR="00115AC6" w:rsidRPr="007A708F">
        <w:rPr>
          <w:rFonts w:asciiTheme="majorHAnsi" w:hAnsiTheme="majorHAnsi"/>
          <w:sz w:val="20"/>
          <w:szCs w:val="20"/>
          <w:lang w:val="es-ES_tradnl"/>
        </w:rPr>
        <w:t>indel</w:t>
      </w:r>
      <w:r w:rsidRPr="007A708F">
        <w:rPr>
          <w:rFonts w:asciiTheme="majorHAnsi" w:hAnsiTheme="majorHAnsi"/>
          <w:sz w:val="20"/>
          <w:szCs w:val="20"/>
          <w:lang w:val="es-ES_tradnl"/>
        </w:rPr>
        <w:t>.</w:t>
      </w:r>
    </w:p>
    <w:p w14:paraId="7ED28F0E" w14:textId="79709A4B" w:rsidR="00E06F9C" w:rsidRPr="007A708F" w:rsidRDefault="00E06F9C" w:rsidP="001F54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sz w:val="20"/>
          <w:szCs w:val="20"/>
          <w:lang w:val="es-ES_tradnl"/>
        </w:rPr>
        <w:t>En cuanto al reclamo sobre la presunta violación de los artículos 5 (derecho a la integridad personal), 11 (protección a la honra y dignidad)</w:t>
      </w:r>
      <w:r w:rsidR="00E41804" w:rsidRPr="007A708F">
        <w:rPr>
          <w:rFonts w:asciiTheme="majorHAnsi" w:hAnsiTheme="majorHAnsi"/>
          <w:sz w:val="20"/>
          <w:szCs w:val="20"/>
          <w:lang w:val="es-ES_tradnl"/>
        </w:rPr>
        <w:t xml:space="preserve">, 16 (libertad de asociación) </w:t>
      </w:r>
      <w:r w:rsidRPr="007A708F">
        <w:rPr>
          <w:rFonts w:asciiTheme="majorHAnsi" w:hAnsiTheme="majorHAnsi"/>
          <w:sz w:val="20"/>
          <w:szCs w:val="20"/>
          <w:lang w:val="es-ES_tradnl"/>
        </w:rPr>
        <w:t xml:space="preserve">y 24 (igualdad ante la ley) de la Convención Americana; la Comisión observa que el peticionario no ha ofrecido alegatos o sustento suficiente que permita considerar </w:t>
      </w:r>
      <w:r w:rsidRPr="007A708F">
        <w:rPr>
          <w:rFonts w:asciiTheme="majorHAnsi" w:hAnsiTheme="majorHAnsi"/>
          <w:i/>
          <w:sz w:val="20"/>
          <w:szCs w:val="20"/>
          <w:lang w:val="es-ES_tradnl"/>
        </w:rPr>
        <w:t>prima facie</w:t>
      </w:r>
      <w:r w:rsidRPr="007A708F">
        <w:rPr>
          <w:rFonts w:asciiTheme="majorHAnsi" w:hAnsiTheme="majorHAnsi"/>
          <w:sz w:val="20"/>
          <w:szCs w:val="20"/>
          <w:lang w:val="es-ES_tradnl"/>
        </w:rPr>
        <w:t xml:space="preserve"> su posible violación.</w:t>
      </w:r>
    </w:p>
    <w:p w14:paraId="29BB41F5" w14:textId="01D2194E" w:rsidR="003239B8" w:rsidRPr="007A708F" w:rsidRDefault="003239B8" w:rsidP="00651BB0">
      <w:pPr>
        <w:pStyle w:val="ListParagraph"/>
        <w:spacing w:before="240" w:after="240"/>
        <w:jc w:val="both"/>
        <w:rPr>
          <w:rFonts w:asciiTheme="majorHAnsi" w:hAnsiTheme="majorHAnsi"/>
          <w:b/>
          <w:bCs/>
          <w:sz w:val="20"/>
          <w:szCs w:val="20"/>
          <w:lang w:val="es-ES_tradnl"/>
        </w:rPr>
      </w:pPr>
      <w:r w:rsidRPr="007A708F">
        <w:rPr>
          <w:rFonts w:asciiTheme="majorHAnsi" w:hAnsiTheme="majorHAnsi"/>
          <w:b/>
          <w:bCs/>
          <w:sz w:val="20"/>
          <w:szCs w:val="20"/>
          <w:lang w:val="es-ES_tradnl"/>
        </w:rPr>
        <w:t xml:space="preserve">VIII. </w:t>
      </w:r>
      <w:r w:rsidRPr="007A708F">
        <w:rPr>
          <w:rFonts w:asciiTheme="majorHAnsi" w:hAnsiTheme="majorHAnsi"/>
          <w:b/>
          <w:bCs/>
          <w:sz w:val="20"/>
          <w:szCs w:val="20"/>
          <w:lang w:val="es-ES_tradnl"/>
        </w:rPr>
        <w:tab/>
        <w:t>DECISIÓN</w:t>
      </w:r>
      <w:r w:rsidR="004A712C" w:rsidRPr="007A708F">
        <w:rPr>
          <w:rFonts w:asciiTheme="majorHAnsi" w:hAnsiTheme="majorHAnsi"/>
          <w:b/>
          <w:bCs/>
          <w:sz w:val="20"/>
          <w:szCs w:val="20"/>
          <w:lang w:val="es-ES_tradnl"/>
        </w:rPr>
        <w:t xml:space="preserve"> </w:t>
      </w:r>
    </w:p>
    <w:p w14:paraId="0FDE1D10" w14:textId="007BCA85" w:rsidR="003239B8" w:rsidRPr="007A708F" w:rsidRDefault="003239B8" w:rsidP="001F54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A708F">
        <w:rPr>
          <w:rFonts w:asciiTheme="majorHAnsi" w:hAnsiTheme="majorHAnsi"/>
          <w:sz w:val="20"/>
          <w:szCs w:val="20"/>
          <w:lang w:val="es-ES_tradnl"/>
        </w:rPr>
        <w:t xml:space="preserve">Declarar admisible la presente petición en relación con </w:t>
      </w:r>
      <w:r w:rsidR="00C36908" w:rsidRPr="007A708F">
        <w:rPr>
          <w:rFonts w:asciiTheme="majorHAnsi" w:hAnsiTheme="majorHAnsi"/>
          <w:sz w:val="20"/>
          <w:szCs w:val="20"/>
          <w:lang w:val="es-ES_tradnl"/>
        </w:rPr>
        <w:t xml:space="preserve">los artículos </w:t>
      </w:r>
      <w:r w:rsidR="00C55885" w:rsidRPr="007A708F">
        <w:rPr>
          <w:rFonts w:asciiTheme="majorHAnsi" w:hAnsiTheme="majorHAnsi"/>
          <w:sz w:val="20"/>
          <w:szCs w:val="20"/>
          <w:lang w:val="es-ES_tradnl"/>
        </w:rPr>
        <w:t>8, 9, 23, 25 y 26 de la Convención Americana en concordancia con sus artículos 1 y 2</w:t>
      </w:r>
      <w:r w:rsidR="008F6852">
        <w:rPr>
          <w:rFonts w:asciiTheme="majorHAnsi" w:hAnsiTheme="majorHAnsi"/>
          <w:sz w:val="20"/>
          <w:szCs w:val="20"/>
          <w:lang w:val="es-ES_tradnl"/>
        </w:rPr>
        <w:t>;</w:t>
      </w:r>
    </w:p>
    <w:p w14:paraId="2D77017C" w14:textId="701ADA32" w:rsidR="008150E8" w:rsidRPr="007A708F" w:rsidRDefault="000419AD" w:rsidP="001F54D8">
      <w:pPr>
        <w:pStyle w:val="ListParagraph"/>
        <w:numPr>
          <w:ilvl w:val="0"/>
          <w:numId w:val="56"/>
        </w:numPr>
        <w:spacing w:after="240"/>
        <w:jc w:val="both"/>
        <w:rPr>
          <w:rFonts w:asciiTheme="majorHAnsi" w:eastAsia="Arial Unicode MS" w:hAnsiTheme="majorHAnsi" w:cs="Times New Roman"/>
          <w:color w:val="auto"/>
          <w:sz w:val="20"/>
          <w:szCs w:val="20"/>
          <w:lang w:val="es-ES_tradnl" w:eastAsia="en-US"/>
        </w:rPr>
      </w:pPr>
      <w:r w:rsidRPr="007A708F">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C36908" w:rsidRPr="007A708F">
        <w:rPr>
          <w:rFonts w:asciiTheme="majorHAnsi" w:eastAsia="Arial Unicode MS" w:hAnsiTheme="majorHAnsi" w:cs="Times New Roman"/>
          <w:color w:val="auto"/>
          <w:sz w:val="20"/>
          <w:szCs w:val="20"/>
          <w:lang w:val="es-ES_tradnl" w:eastAsia="en-US"/>
        </w:rPr>
        <w:t xml:space="preserve">los artículos </w:t>
      </w:r>
      <w:r w:rsidR="00C55885" w:rsidRPr="007A708F">
        <w:rPr>
          <w:rFonts w:asciiTheme="majorHAnsi" w:eastAsia="Arial Unicode MS" w:hAnsiTheme="majorHAnsi" w:cs="Times New Roman"/>
          <w:color w:val="auto"/>
          <w:sz w:val="20"/>
          <w:szCs w:val="20"/>
          <w:lang w:val="es-ES_tradnl" w:eastAsia="en-US"/>
        </w:rPr>
        <w:t>5, 11</w:t>
      </w:r>
      <w:r w:rsidR="00BE6F9D" w:rsidRPr="007A708F">
        <w:rPr>
          <w:rFonts w:asciiTheme="majorHAnsi" w:eastAsia="Arial Unicode MS" w:hAnsiTheme="majorHAnsi" w:cs="Times New Roman"/>
          <w:color w:val="auto"/>
          <w:sz w:val="20"/>
          <w:szCs w:val="20"/>
          <w:lang w:val="es-ES_tradnl" w:eastAsia="en-US"/>
        </w:rPr>
        <w:t xml:space="preserve">, 16 </w:t>
      </w:r>
      <w:r w:rsidR="00C55885" w:rsidRPr="007A708F">
        <w:rPr>
          <w:rFonts w:asciiTheme="majorHAnsi" w:eastAsia="Arial Unicode MS" w:hAnsiTheme="majorHAnsi" w:cs="Times New Roman"/>
          <w:color w:val="auto"/>
          <w:sz w:val="20"/>
          <w:szCs w:val="20"/>
          <w:lang w:val="es-ES_tradnl" w:eastAsia="en-US"/>
        </w:rPr>
        <w:t>y 24 de la Convención Americana</w:t>
      </w:r>
      <w:r w:rsidR="00877759">
        <w:rPr>
          <w:rFonts w:asciiTheme="majorHAnsi" w:eastAsia="Arial Unicode MS" w:hAnsiTheme="majorHAnsi" w:cs="Times New Roman"/>
          <w:color w:val="auto"/>
          <w:sz w:val="20"/>
          <w:szCs w:val="20"/>
          <w:lang w:val="es-ES_tradnl" w:eastAsia="en-US"/>
        </w:rPr>
        <w:t>, y;</w:t>
      </w:r>
    </w:p>
    <w:p w14:paraId="12A7002C" w14:textId="7D2FCA76" w:rsidR="004A6A54" w:rsidRPr="00877759" w:rsidRDefault="004A6A54" w:rsidP="001F54D8">
      <w:pPr>
        <w:pStyle w:val="ListParagraph"/>
        <w:numPr>
          <w:ilvl w:val="0"/>
          <w:numId w:val="56"/>
        </w:numPr>
        <w:spacing w:after="240"/>
        <w:jc w:val="both"/>
        <w:rPr>
          <w:rFonts w:asciiTheme="majorHAnsi" w:eastAsia="Arial Unicode MS" w:hAnsiTheme="majorHAnsi" w:cs="Times New Roman"/>
          <w:color w:val="auto"/>
          <w:sz w:val="20"/>
          <w:szCs w:val="20"/>
          <w:lang w:val="es-ES_tradnl" w:eastAsia="en-US"/>
        </w:rPr>
      </w:pPr>
      <w:r w:rsidRPr="007A708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2053788" w14:textId="3EBE7A1E" w:rsidR="00444C1C" w:rsidRPr="00DE0F3E" w:rsidRDefault="00877759" w:rsidP="00DE0F3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10 días del mes de octubre de 2023.  (Firmado): Esmeralda Arosemena de Troitiño, Primera Vicepresidenta; Julissa Mantilla Falcón, Stuardo Ralón Orellana y Carlos Bernal Pulido, </w:t>
      </w:r>
      <w:r w:rsidR="00DE0F3E">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369BD060" w14:textId="77777777" w:rsidR="00444C1C" w:rsidRPr="007A708F" w:rsidRDefault="00444C1C" w:rsidP="00444C1C">
      <w:pPr>
        <w:spacing w:after="240"/>
        <w:jc w:val="both"/>
        <w:rPr>
          <w:rFonts w:asciiTheme="majorHAnsi" w:hAnsiTheme="majorHAnsi"/>
          <w:sz w:val="20"/>
          <w:szCs w:val="20"/>
          <w:lang w:val="es-ES_tradnl"/>
        </w:rPr>
      </w:pPr>
    </w:p>
    <w:sectPr w:rsidR="00444C1C" w:rsidRPr="007A708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16D5" w14:textId="77777777" w:rsidR="00F71285" w:rsidRDefault="00F71285">
      <w:r>
        <w:separator/>
      </w:r>
    </w:p>
  </w:endnote>
  <w:endnote w:type="continuationSeparator" w:id="0">
    <w:p w14:paraId="2849C576" w14:textId="77777777" w:rsidR="00F71285" w:rsidRDefault="00F7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4D60EF2"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06CF3">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BE96" w14:textId="77777777" w:rsidR="00F71285" w:rsidRPr="000F35ED" w:rsidRDefault="00F7128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EB046A6" w14:textId="77777777" w:rsidR="00F71285" w:rsidRPr="000F35ED" w:rsidRDefault="00F71285" w:rsidP="000F35ED">
      <w:pPr>
        <w:rPr>
          <w:rFonts w:asciiTheme="majorHAnsi" w:hAnsiTheme="majorHAnsi"/>
          <w:sz w:val="16"/>
          <w:szCs w:val="16"/>
        </w:rPr>
      </w:pPr>
      <w:r w:rsidRPr="000F35ED">
        <w:rPr>
          <w:rFonts w:asciiTheme="majorHAnsi" w:hAnsiTheme="majorHAnsi"/>
          <w:sz w:val="16"/>
          <w:szCs w:val="16"/>
        </w:rPr>
        <w:separator/>
      </w:r>
    </w:p>
    <w:p w14:paraId="3B9309E0" w14:textId="77777777" w:rsidR="00F71285" w:rsidRPr="000F35ED" w:rsidRDefault="00F7128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67E4718" w14:textId="77777777" w:rsidR="00F71285" w:rsidRPr="000F35ED" w:rsidRDefault="00F7128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C4B8A63" w14:textId="6A237A5E" w:rsidR="00A573C1" w:rsidRPr="000D1CE5" w:rsidRDefault="00A573C1" w:rsidP="00C71F51">
      <w:pPr>
        <w:pStyle w:val="FootnoteText"/>
        <w:ind w:firstLine="720"/>
        <w:jc w:val="both"/>
        <w:rPr>
          <w:rFonts w:asciiTheme="majorHAnsi" w:hAnsiTheme="majorHAnsi"/>
          <w:sz w:val="16"/>
          <w:szCs w:val="16"/>
          <w:lang w:val="es-CO"/>
        </w:rPr>
      </w:pPr>
      <w:r w:rsidRPr="000D1CE5">
        <w:rPr>
          <w:rStyle w:val="FootnoteReference"/>
          <w:rFonts w:asciiTheme="majorHAnsi" w:hAnsiTheme="majorHAnsi"/>
          <w:sz w:val="16"/>
          <w:szCs w:val="16"/>
          <w:lang w:val="es-CO"/>
        </w:rPr>
        <w:footnoteRef/>
      </w:r>
      <w:r w:rsidRPr="000D1CE5">
        <w:rPr>
          <w:rFonts w:asciiTheme="majorHAnsi" w:hAnsiTheme="majorHAnsi"/>
          <w:sz w:val="16"/>
          <w:szCs w:val="16"/>
          <w:lang w:val="es-CO"/>
        </w:rPr>
        <w:t xml:space="preserve"> En adelante “</w:t>
      </w:r>
      <w:r w:rsidR="0096675C" w:rsidRPr="000D1CE5">
        <w:rPr>
          <w:rFonts w:asciiTheme="majorHAnsi" w:hAnsiTheme="majorHAnsi"/>
          <w:sz w:val="16"/>
          <w:szCs w:val="16"/>
          <w:lang w:val="es-CO"/>
        </w:rPr>
        <w:t>l</w:t>
      </w:r>
      <w:r w:rsidRPr="000D1CE5">
        <w:rPr>
          <w:rFonts w:asciiTheme="majorHAnsi" w:hAnsiTheme="majorHAnsi"/>
          <w:sz w:val="16"/>
          <w:szCs w:val="16"/>
          <w:lang w:val="es-CO"/>
        </w:rPr>
        <w:t>a Convención” o “</w:t>
      </w:r>
      <w:r w:rsidR="0096675C" w:rsidRPr="000D1CE5">
        <w:rPr>
          <w:rFonts w:asciiTheme="majorHAnsi" w:hAnsiTheme="majorHAnsi"/>
          <w:sz w:val="16"/>
          <w:szCs w:val="16"/>
          <w:lang w:val="es-CO"/>
        </w:rPr>
        <w:t xml:space="preserve">la </w:t>
      </w:r>
      <w:r w:rsidRPr="000D1CE5">
        <w:rPr>
          <w:rFonts w:asciiTheme="majorHAnsi" w:hAnsiTheme="majorHAnsi"/>
          <w:sz w:val="16"/>
          <w:szCs w:val="16"/>
          <w:lang w:val="es-CO"/>
        </w:rPr>
        <w:t>Convención Americana”.</w:t>
      </w:r>
    </w:p>
  </w:footnote>
  <w:footnote w:id="3">
    <w:p w14:paraId="79F07139" w14:textId="77777777" w:rsidR="008E3BFE" w:rsidRPr="000D1CE5" w:rsidRDefault="008E3BFE" w:rsidP="00C71F51">
      <w:pPr>
        <w:pStyle w:val="FootnoteText"/>
        <w:spacing w:after="120"/>
        <w:ind w:firstLine="720"/>
        <w:jc w:val="both"/>
        <w:rPr>
          <w:rFonts w:ascii="Cambria" w:hAnsi="Cambria"/>
          <w:sz w:val="16"/>
          <w:szCs w:val="16"/>
          <w:lang w:val="es-CO"/>
        </w:rPr>
      </w:pPr>
      <w:r w:rsidRPr="000D1CE5">
        <w:rPr>
          <w:rStyle w:val="FootnoteReference"/>
          <w:rFonts w:ascii="Cambria" w:hAnsi="Cambria"/>
          <w:sz w:val="16"/>
          <w:szCs w:val="16"/>
          <w:lang w:val="es-CO"/>
        </w:rPr>
        <w:footnoteRef/>
      </w:r>
      <w:r w:rsidRPr="000D1CE5">
        <w:rPr>
          <w:rFonts w:ascii="Cambria" w:hAnsi="Cambria"/>
          <w:sz w:val="16"/>
          <w:szCs w:val="16"/>
          <w:lang w:val="es-CO"/>
        </w:rPr>
        <w:t xml:space="preserve"> Las observaciones de cada parte fueron debidamente trasladadas a la parte contraria.</w:t>
      </w:r>
    </w:p>
  </w:footnote>
  <w:footnote w:id="4">
    <w:p w14:paraId="611D0A71" w14:textId="39501C5F" w:rsidR="00125FCA" w:rsidRPr="000D1CE5" w:rsidRDefault="00125FCA" w:rsidP="00C71F51">
      <w:pPr>
        <w:pStyle w:val="FootnoteText"/>
        <w:ind w:firstLine="720"/>
        <w:jc w:val="both"/>
        <w:rPr>
          <w:lang w:val="es-CO"/>
        </w:rPr>
      </w:pPr>
      <w:r w:rsidRPr="000D1CE5">
        <w:rPr>
          <w:rStyle w:val="FootnoteReference"/>
          <w:rFonts w:asciiTheme="majorHAnsi" w:hAnsiTheme="majorHAnsi"/>
          <w:sz w:val="16"/>
          <w:szCs w:val="16"/>
        </w:rPr>
        <w:footnoteRef/>
      </w:r>
      <w:r w:rsidRPr="000D1CE5">
        <w:rPr>
          <w:rFonts w:asciiTheme="majorHAnsi" w:hAnsiTheme="majorHAnsi"/>
          <w:sz w:val="16"/>
          <w:szCs w:val="16"/>
          <w:lang w:val="es-CO"/>
        </w:rPr>
        <w:t xml:space="preserve"> Artículo 344. DE LA SENTENCIA CONDENATORIA. La sentencia condenatoria fijará con precisión las penas y las medidas de seguridad a que quedará sujeto el reo y, cuando corresponda, otorgará la suspensión condicional de la ejecución de la pena. La sentencia contendrá, en su caso, el pronunciamiento correspondiente en materia de costas. Se dispondrá, además, lo que proceda acerca del destino de las piezas de convicción, instrumentos y efectos del delito</w:t>
      </w:r>
    </w:p>
  </w:footnote>
  <w:footnote w:id="5">
    <w:p w14:paraId="381FF2EC" w14:textId="51A83FD7" w:rsidR="00125FCA" w:rsidRPr="000D1CE5" w:rsidRDefault="00125FCA" w:rsidP="00C71F51">
      <w:pPr>
        <w:pStyle w:val="FootnoteText"/>
        <w:ind w:firstLine="720"/>
        <w:jc w:val="both"/>
        <w:rPr>
          <w:rFonts w:asciiTheme="majorHAnsi" w:hAnsiTheme="majorHAnsi"/>
          <w:sz w:val="16"/>
          <w:szCs w:val="16"/>
          <w:lang w:val="es-CO"/>
        </w:rPr>
      </w:pPr>
      <w:r w:rsidRPr="000D1CE5">
        <w:rPr>
          <w:rStyle w:val="FootnoteReference"/>
          <w:rFonts w:asciiTheme="majorHAnsi" w:hAnsiTheme="majorHAnsi"/>
          <w:sz w:val="16"/>
          <w:szCs w:val="16"/>
        </w:rPr>
        <w:footnoteRef/>
      </w:r>
      <w:r w:rsidRPr="000D1CE5">
        <w:rPr>
          <w:rFonts w:asciiTheme="majorHAnsi" w:hAnsiTheme="majorHAnsi"/>
          <w:sz w:val="16"/>
          <w:szCs w:val="16"/>
          <w:lang w:val="es-CO"/>
        </w:rPr>
        <w:t xml:space="preserve"> Artículo 73. El juez de la causa hará al reo, personalmente, las advertencias necesarias acerca de la naturaleza del beneficio otorgado y de los motivos que pueden producir su cesación, lo que hará constar en el expediente por acta.</w:t>
      </w:r>
    </w:p>
    <w:p w14:paraId="3F1DB96C" w14:textId="0A32D380" w:rsidR="00125FCA" w:rsidRPr="000D1CE5" w:rsidRDefault="00125FCA" w:rsidP="00C71F51">
      <w:pPr>
        <w:pStyle w:val="FootnoteText"/>
        <w:jc w:val="both"/>
        <w:rPr>
          <w:lang w:val="es-CO"/>
        </w:rPr>
      </w:pPr>
      <w:r w:rsidRPr="000D1CE5">
        <w:rPr>
          <w:rFonts w:asciiTheme="majorHAnsi" w:hAnsiTheme="majorHAnsi"/>
          <w:sz w:val="16"/>
          <w:szCs w:val="16"/>
          <w:lang w:val="es-CO"/>
        </w:rPr>
        <w:t>Artículo 75. Si durante el período de prueba, el delincuente no incurriera en los hechos de que trata el artículo anterior, se tendrá por extinguida la condena mediante resolución del Tribunal sentenciador.</w:t>
      </w:r>
    </w:p>
  </w:footnote>
  <w:footnote w:id="6">
    <w:p w14:paraId="299315B5" w14:textId="3FBC5FDE" w:rsidR="00125FCA" w:rsidRPr="000D1CE5" w:rsidRDefault="00125FCA" w:rsidP="00C71F51">
      <w:pPr>
        <w:pStyle w:val="FootnoteText"/>
        <w:ind w:firstLine="720"/>
        <w:jc w:val="both"/>
        <w:rPr>
          <w:rFonts w:asciiTheme="majorHAnsi" w:hAnsiTheme="majorHAnsi"/>
          <w:sz w:val="16"/>
          <w:szCs w:val="16"/>
          <w:lang w:val="es-CO"/>
        </w:rPr>
      </w:pPr>
      <w:r w:rsidRPr="000D1CE5">
        <w:rPr>
          <w:rStyle w:val="FootnoteReference"/>
          <w:rFonts w:asciiTheme="majorHAnsi" w:hAnsiTheme="majorHAnsi"/>
          <w:sz w:val="16"/>
          <w:szCs w:val="16"/>
        </w:rPr>
        <w:footnoteRef/>
      </w:r>
      <w:r w:rsidRPr="000D1CE5">
        <w:rPr>
          <w:rFonts w:asciiTheme="majorHAnsi" w:hAnsiTheme="majorHAnsi"/>
          <w:sz w:val="16"/>
          <w:szCs w:val="16"/>
          <w:lang w:val="es-CO"/>
        </w:rPr>
        <w:t xml:space="preserve"> Artículo 385. SENTENCIAS QUE PUEDEN SER EJECUTADAS. Sólo las sentencias condenatorias que hayan adquirido el carácter de firmes, podrán ser ejecutadas. El órgano jurisdiccional competente enviará dentro de los tres (3) días hábiles siguientes, certificación de las sentencias que hayan adquirido aquel carácter, al Juez de ejecución y al director del respectivo centro penal.</w:t>
      </w:r>
    </w:p>
  </w:footnote>
  <w:footnote w:id="7">
    <w:p w14:paraId="46E456E4" w14:textId="60FA1EDA" w:rsidR="00AB2BA6" w:rsidRPr="000D1CE5" w:rsidRDefault="00AB2BA6" w:rsidP="00C71F51">
      <w:pPr>
        <w:pStyle w:val="FootnoteText"/>
        <w:ind w:firstLine="720"/>
        <w:jc w:val="both"/>
        <w:rPr>
          <w:rFonts w:asciiTheme="majorHAnsi" w:hAnsiTheme="majorHAnsi"/>
          <w:sz w:val="16"/>
          <w:szCs w:val="16"/>
          <w:lang w:val="es-MX"/>
        </w:rPr>
      </w:pPr>
      <w:r w:rsidRPr="000D1CE5">
        <w:rPr>
          <w:rStyle w:val="FootnoteReference"/>
          <w:rFonts w:asciiTheme="majorHAnsi" w:hAnsiTheme="majorHAnsi"/>
          <w:sz w:val="16"/>
          <w:szCs w:val="16"/>
        </w:rPr>
        <w:footnoteRef/>
      </w:r>
      <w:r w:rsidRPr="000D1CE5">
        <w:rPr>
          <w:rFonts w:asciiTheme="majorHAnsi" w:hAnsiTheme="majorHAnsi"/>
          <w:sz w:val="16"/>
          <w:szCs w:val="16"/>
          <w:lang w:val="es-CO"/>
        </w:rPr>
        <w:t xml:space="preserve"> </w:t>
      </w:r>
      <w:r w:rsidRPr="000D1CE5">
        <w:rPr>
          <w:rFonts w:asciiTheme="majorHAnsi" w:hAnsiTheme="majorHAnsi"/>
          <w:sz w:val="16"/>
          <w:szCs w:val="16"/>
          <w:lang w:val="es-MX"/>
        </w:rPr>
        <w:t>De</w:t>
      </w:r>
      <w:r w:rsidR="00121E0F" w:rsidRPr="000D1CE5">
        <w:rPr>
          <w:rFonts w:asciiTheme="majorHAnsi" w:hAnsiTheme="majorHAnsi"/>
          <w:sz w:val="16"/>
          <w:szCs w:val="16"/>
          <w:lang w:val="es-MX"/>
        </w:rPr>
        <w:t xml:space="preserve"> </w:t>
      </w:r>
      <w:r w:rsidRPr="000D1CE5">
        <w:rPr>
          <w:rFonts w:asciiTheme="majorHAnsi" w:hAnsiTheme="majorHAnsi"/>
          <w:sz w:val="16"/>
          <w:szCs w:val="16"/>
          <w:lang w:val="es-MX"/>
        </w:rPr>
        <w:t xml:space="preserve">acuerdo a la sentencia </w:t>
      </w:r>
      <w:r w:rsidR="00280981" w:rsidRPr="000D1CE5">
        <w:rPr>
          <w:rFonts w:asciiTheme="majorHAnsi" w:hAnsiTheme="majorHAnsi"/>
          <w:sz w:val="16"/>
          <w:szCs w:val="16"/>
          <w:lang w:val="es-MX"/>
        </w:rPr>
        <w:t>del</w:t>
      </w:r>
      <w:r w:rsidRPr="000D1CE5">
        <w:rPr>
          <w:rFonts w:asciiTheme="majorHAnsi" w:hAnsiTheme="majorHAnsi"/>
          <w:sz w:val="16"/>
          <w:szCs w:val="16"/>
          <w:lang w:val="es-MX"/>
        </w:rPr>
        <w:t xml:space="preserve"> 14 de marzo de 2016 </w:t>
      </w:r>
      <w:r w:rsidR="00280981" w:rsidRPr="000D1CE5">
        <w:rPr>
          <w:rFonts w:asciiTheme="majorHAnsi" w:hAnsiTheme="majorHAnsi"/>
          <w:sz w:val="16"/>
          <w:szCs w:val="16"/>
          <w:lang w:val="es-MX"/>
        </w:rPr>
        <w:t xml:space="preserve">proferida por la Corte Suprema de Justicia, </w:t>
      </w:r>
      <w:r w:rsidRPr="000D1CE5">
        <w:rPr>
          <w:rFonts w:asciiTheme="majorHAnsi" w:hAnsiTheme="majorHAnsi"/>
          <w:sz w:val="16"/>
          <w:szCs w:val="16"/>
          <w:lang w:val="es-MX"/>
        </w:rPr>
        <w:t>esta ley fue declarada inconstitucional</w:t>
      </w:r>
      <w:r w:rsidR="00280981" w:rsidRPr="000D1CE5">
        <w:rPr>
          <w:rFonts w:asciiTheme="majorHAnsi" w:hAnsiTheme="majorHAnsi"/>
          <w:sz w:val="16"/>
          <w:szCs w:val="16"/>
          <w:lang w:val="es-MX"/>
        </w:rPr>
        <w:t xml:space="preserve"> pues se consideró que el Consejo de la Judicatura y de la Carrera Judicial al ser un órgano del Poder Judicial</w:t>
      </w:r>
      <w:r w:rsidR="0057346E" w:rsidRPr="000D1CE5">
        <w:rPr>
          <w:rFonts w:asciiTheme="majorHAnsi" w:hAnsiTheme="majorHAnsi"/>
          <w:sz w:val="16"/>
          <w:szCs w:val="16"/>
          <w:lang w:val="es-MX"/>
        </w:rPr>
        <w:t xml:space="preserve"> sus miembros</w:t>
      </w:r>
      <w:r w:rsidR="00280981" w:rsidRPr="000D1CE5">
        <w:rPr>
          <w:rFonts w:asciiTheme="majorHAnsi" w:hAnsiTheme="majorHAnsi"/>
          <w:sz w:val="16"/>
          <w:szCs w:val="16"/>
          <w:lang w:val="es-MX"/>
        </w:rPr>
        <w:t xml:space="preserve"> debía</w:t>
      </w:r>
      <w:r w:rsidR="0057346E" w:rsidRPr="000D1CE5">
        <w:rPr>
          <w:rFonts w:asciiTheme="majorHAnsi" w:hAnsiTheme="majorHAnsi"/>
          <w:sz w:val="16"/>
          <w:szCs w:val="16"/>
          <w:lang w:val="es-MX"/>
        </w:rPr>
        <w:t>n</w:t>
      </w:r>
      <w:r w:rsidR="00280981" w:rsidRPr="000D1CE5">
        <w:rPr>
          <w:rFonts w:asciiTheme="majorHAnsi" w:hAnsiTheme="majorHAnsi"/>
          <w:sz w:val="16"/>
          <w:szCs w:val="16"/>
          <w:lang w:val="es-MX"/>
        </w:rPr>
        <w:t xml:space="preserve"> ser nombrado</w:t>
      </w:r>
      <w:r w:rsidR="0057346E" w:rsidRPr="000D1CE5">
        <w:rPr>
          <w:rFonts w:asciiTheme="majorHAnsi" w:hAnsiTheme="majorHAnsi"/>
          <w:sz w:val="16"/>
          <w:szCs w:val="16"/>
          <w:lang w:val="es-MX"/>
        </w:rPr>
        <w:t>s</w:t>
      </w:r>
      <w:r w:rsidR="00280981" w:rsidRPr="000D1CE5">
        <w:rPr>
          <w:rFonts w:asciiTheme="majorHAnsi" w:hAnsiTheme="majorHAnsi"/>
          <w:sz w:val="16"/>
          <w:szCs w:val="16"/>
          <w:lang w:val="es-MX"/>
        </w:rPr>
        <w:t xml:space="preserve"> por la Corte Suprema de Justicia sin interferencia de otros poderes. </w:t>
      </w:r>
      <w:r w:rsidRPr="000D1CE5">
        <w:rPr>
          <w:rFonts w:asciiTheme="majorHAnsi" w:hAnsiTheme="majorHAnsi"/>
          <w:sz w:val="16"/>
          <w:szCs w:val="16"/>
          <w:lang w:val="es-MX"/>
        </w:rPr>
        <w:t xml:space="preserve"> </w:t>
      </w:r>
    </w:p>
  </w:footnote>
  <w:footnote w:id="8">
    <w:p w14:paraId="7EB8AFB4" w14:textId="556F001B" w:rsidR="00A2611C" w:rsidRPr="000D1CE5" w:rsidRDefault="00A2611C" w:rsidP="00DA0B78">
      <w:pPr>
        <w:pStyle w:val="FootnoteText"/>
        <w:ind w:firstLine="720"/>
        <w:jc w:val="both"/>
        <w:rPr>
          <w:rFonts w:ascii="Cambria" w:hAnsi="Cambria"/>
          <w:sz w:val="16"/>
          <w:szCs w:val="16"/>
          <w:lang w:val="es-CO"/>
        </w:rPr>
      </w:pPr>
      <w:r w:rsidRPr="000D1CE5">
        <w:rPr>
          <w:rStyle w:val="FootnoteReference"/>
          <w:rFonts w:ascii="Cambria" w:hAnsi="Cambria"/>
          <w:sz w:val="16"/>
          <w:szCs w:val="16"/>
          <w:lang w:val="es-CO"/>
        </w:rPr>
        <w:footnoteRef/>
      </w:r>
      <w:r w:rsidRPr="000D1CE5">
        <w:rPr>
          <w:rFonts w:ascii="Cambria" w:hAnsi="Cambria"/>
          <w:sz w:val="16"/>
          <w:szCs w:val="16"/>
          <w:lang w:val="es-CO"/>
        </w:rPr>
        <w:t xml:space="preserve"> CIDH, Informe No. 16/18, Petición 884-07. Admisibilidad. Victoria Piedad Palacios Tejada de Saavedra. Perú. 24 de febrero de 2018, párr. 12.</w:t>
      </w:r>
    </w:p>
  </w:footnote>
  <w:footnote w:id="9">
    <w:p w14:paraId="0E398D45" w14:textId="77777777" w:rsidR="00A2611C" w:rsidRPr="000D1CE5" w:rsidRDefault="00A2611C" w:rsidP="00DA0B78">
      <w:pPr>
        <w:pStyle w:val="FootnoteText"/>
        <w:ind w:firstLine="720"/>
        <w:jc w:val="both"/>
        <w:rPr>
          <w:rFonts w:ascii="Cambria" w:hAnsi="Cambria"/>
          <w:color w:val="auto"/>
          <w:sz w:val="16"/>
          <w:szCs w:val="16"/>
          <w:lang w:val="es-CO"/>
        </w:rPr>
      </w:pPr>
      <w:r w:rsidRPr="000D1CE5">
        <w:rPr>
          <w:rStyle w:val="FootnoteReference"/>
          <w:rFonts w:ascii="Cambria" w:hAnsi="Cambria"/>
          <w:color w:val="auto"/>
          <w:sz w:val="16"/>
          <w:szCs w:val="16"/>
          <w:lang w:val="es-CO"/>
        </w:rPr>
        <w:footnoteRef/>
      </w:r>
      <w:r w:rsidRPr="004E24EE">
        <w:rPr>
          <w:rFonts w:ascii="Cambria" w:hAnsi="Cambria"/>
          <w:color w:val="auto"/>
          <w:sz w:val="16"/>
          <w:szCs w:val="16"/>
          <w:lang w:val="pt-BR"/>
        </w:rPr>
        <w:t xml:space="preserve"> Corte IDH. Caso Olivera Fuentes Vs. </w:t>
      </w:r>
      <w:r w:rsidRPr="000D1CE5">
        <w:rPr>
          <w:rFonts w:ascii="Cambria" w:hAnsi="Cambria"/>
          <w:color w:val="auto"/>
          <w:sz w:val="16"/>
          <w:szCs w:val="16"/>
          <w:lang w:val="es-CO"/>
        </w:rPr>
        <w:t xml:space="preserve">Perú. Excepciones Preliminares, Fondo, Reparaciones y Costas. Sentencia de 4 de febrero de 2023. Serie C No. 484, párr. 25; </w:t>
      </w:r>
      <w:r w:rsidRPr="000D1CE5">
        <w:rPr>
          <w:rFonts w:ascii="Cambria" w:hAnsi="Cambria" w:cs="Open Sans"/>
          <w:color w:val="auto"/>
          <w:sz w:val="16"/>
          <w:szCs w:val="16"/>
          <w:shd w:val="clear" w:color="auto" w:fill="FFFFFF"/>
          <w:lang w:val="es-CO"/>
        </w:rPr>
        <w:t>Corte IDH. Caso Cortez Espinoza Vs. Ecuador. Excepciones Preliminares, Fondo, Reparaciones y Costas. Sentencia de 18 de octubre de 2022. Serie C No. 468, párr. 24; y</w:t>
      </w:r>
      <w:r w:rsidRPr="000D1CE5">
        <w:rPr>
          <w:rFonts w:ascii="Cambria" w:hAnsi="Cambria"/>
          <w:color w:val="auto"/>
          <w:sz w:val="16"/>
          <w:szCs w:val="16"/>
          <w:lang w:val="es-CO"/>
        </w:rPr>
        <w:t xml:space="preserve"> Corte IDH. Caso Escher y otros Vs. Brasil. Excepciones Preliminares, Fondo, Reparaciones y Costas. Sentencia de 6 de julio de 2009. Serie C No. 200, párr. 38.</w:t>
      </w:r>
    </w:p>
  </w:footnote>
  <w:footnote w:id="10">
    <w:p w14:paraId="26433FFA" w14:textId="77777777" w:rsidR="00201501" w:rsidRPr="000D1CE5" w:rsidRDefault="00201501" w:rsidP="00DA0B78">
      <w:pPr>
        <w:pStyle w:val="FootnoteText"/>
        <w:ind w:firstLine="720"/>
        <w:jc w:val="both"/>
        <w:rPr>
          <w:rFonts w:asciiTheme="majorHAnsi" w:hAnsiTheme="majorHAnsi"/>
          <w:sz w:val="16"/>
          <w:szCs w:val="16"/>
          <w:lang w:val="es-CO"/>
        </w:rPr>
      </w:pPr>
      <w:r w:rsidRPr="000D1CE5">
        <w:rPr>
          <w:rStyle w:val="FootnoteReference"/>
          <w:rFonts w:asciiTheme="majorHAnsi" w:hAnsiTheme="majorHAnsi"/>
          <w:color w:val="auto"/>
          <w:sz w:val="16"/>
          <w:szCs w:val="16"/>
          <w:lang w:val="es-CO"/>
        </w:rPr>
        <w:footnoteRef/>
      </w:r>
      <w:r w:rsidRPr="000D1CE5">
        <w:rPr>
          <w:rFonts w:asciiTheme="majorHAnsi" w:hAnsiTheme="majorHAnsi"/>
          <w:color w:val="auto"/>
          <w:sz w:val="16"/>
          <w:szCs w:val="16"/>
          <w:lang w:val="es-CO"/>
        </w:rPr>
        <w:t xml:space="preserve"> CIDH, Informe No. 26/16, Petición 932-03. Inadmisibilidad. Rómulo Jonás Ponce Santamaría. Perú. 15 de abril de 2016, párr. 25. </w:t>
      </w:r>
    </w:p>
  </w:footnote>
  <w:footnote w:id="11">
    <w:p w14:paraId="13756825" w14:textId="1D3DB7C7" w:rsidR="001E1708" w:rsidRPr="000D1CE5" w:rsidRDefault="001E1708" w:rsidP="00B0535C">
      <w:pPr>
        <w:pStyle w:val="FootnoteText"/>
        <w:ind w:firstLine="720"/>
        <w:jc w:val="both"/>
        <w:rPr>
          <w:rFonts w:asciiTheme="majorHAnsi" w:hAnsiTheme="majorHAnsi"/>
          <w:sz w:val="16"/>
          <w:szCs w:val="16"/>
          <w:lang w:val="es-CO"/>
        </w:rPr>
      </w:pPr>
      <w:r w:rsidRPr="000D1CE5">
        <w:rPr>
          <w:rStyle w:val="FootnoteReference"/>
          <w:rFonts w:asciiTheme="majorHAnsi" w:hAnsiTheme="majorHAnsi"/>
          <w:sz w:val="16"/>
          <w:szCs w:val="16"/>
          <w:lang w:val="es-CO"/>
        </w:rPr>
        <w:footnoteRef/>
      </w:r>
      <w:r w:rsidRPr="000D1CE5">
        <w:rPr>
          <w:rFonts w:asciiTheme="majorHAnsi" w:hAnsiTheme="majorHAnsi"/>
          <w:sz w:val="16"/>
          <w:szCs w:val="16"/>
          <w:lang w:val="es-CO"/>
        </w:rPr>
        <w:t xml:space="preserve"> Corte IDH. Caso López Lone y Otros vs. Honduras, Excepción Preliminar, Fondo, Reparaciones y Costas. Sentencia de 5 de octubre de 2015, párr. 264. </w:t>
      </w:r>
    </w:p>
  </w:footnote>
  <w:footnote w:id="12">
    <w:p w14:paraId="558A9926" w14:textId="64D9BD77" w:rsidR="00B60156" w:rsidRPr="000D1CE5" w:rsidRDefault="00B60156" w:rsidP="00B0535C">
      <w:pPr>
        <w:pStyle w:val="FootnoteText"/>
        <w:ind w:firstLine="720"/>
        <w:jc w:val="both"/>
        <w:rPr>
          <w:lang w:val="es-CO"/>
        </w:rPr>
      </w:pPr>
      <w:r w:rsidRPr="000D1CE5">
        <w:rPr>
          <w:rStyle w:val="FootnoteReference"/>
          <w:rFonts w:asciiTheme="majorHAnsi" w:hAnsiTheme="majorHAnsi"/>
          <w:sz w:val="16"/>
          <w:szCs w:val="16"/>
          <w:lang w:val="es-CO"/>
        </w:rPr>
        <w:footnoteRef/>
      </w:r>
      <w:r w:rsidRPr="000D1CE5">
        <w:rPr>
          <w:rFonts w:asciiTheme="majorHAnsi" w:hAnsiTheme="majorHAnsi"/>
          <w:sz w:val="16"/>
          <w:szCs w:val="16"/>
          <w:lang w:val="es-CO"/>
        </w:rPr>
        <w:t xml:space="preserve"> CIDH. Informe Anual 2016. Seguimiento de las Recomendaciones Formuladas por la CIDH en el Informe sobre la </w:t>
      </w:r>
      <w:r w:rsidR="00A56430" w:rsidRPr="000D1CE5">
        <w:rPr>
          <w:rFonts w:asciiTheme="majorHAnsi" w:hAnsiTheme="majorHAnsi"/>
          <w:sz w:val="16"/>
          <w:szCs w:val="16"/>
          <w:lang w:val="es-CO"/>
        </w:rPr>
        <w:t>Situación</w:t>
      </w:r>
      <w:r w:rsidRPr="000D1CE5">
        <w:rPr>
          <w:rFonts w:asciiTheme="majorHAnsi" w:hAnsiTheme="majorHAnsi"/>
          <w:sz w:val="16"/>
          <w:szCs w:val="16"/>
          <w:lang w:val="es-CO"/>
        </w:rPr>
        <w:t xml:space="preserve"> de Derechos Humanos en Honduras. Capitulo V. OEA/Ser.L/V/II. Doc. 22. 15 de marzo de 2017, párr. 76.  </w:t>
      </w:r>
    </w:p>
  </w:footnote>
  <w:footnote w:id="13">
    <w:p w14:paraId="7B30F262" w14:textId="10467CDD" w:rsidR="007025DD" w:rsidRPr="000D1CE5" w:rsidRDefault="007025DD" w:rsidP="00B0535C">
      <w:pPr>
        <w:pStyle w:val="FootnoteText"/>
        <w:ind w:firstLine="720"/>
        <w:jc w:val="both"/>
        <w:rPr>
          <w:rFonts w:asciiTheme="majorHAnsi" w:hAnsiTheme="majorHAnsi"/>
          <w:sz w:val="16"/>
          <w:szCs w:val="16"/>
          <w:lang w:val="es-CO"/>
        </w:rPr>
      </w:pPr>
      <w:r w:rsidRPr="000D1CE5">
        <w:rPr>
          <w:rStyle w:val="FootnoteReference"/>
          <w:rFonts w:asciiTheme="majorHAnsi" w:hAnsiTheme="majorHAnsi"/>
          <w:sz w:val="16"/>
          <w:szCs w:val="16"/>
          <w:lang w:val="es-CO"/>
        </w:rPr>
        <w:footnoteRef/>
      </w:r>
      <w:r w:rsidRPr="000D1CE5">
        <w:rPr>
          <w:rFonts w:asciiTheme="majorHAnsi" w:hAnsiTheme="majorHAnsi"/>
          <w:sz w:val="16"/>
          <w:szCs w:val="16"/>
          <w:lang w:val="es-CO"/>
        </w:rPr>
        <w:t xml:space="preserve"> CIDH, Informe</w:t>
      </w:r>
      <w:r w:rsidR="00A56430" w:rsidRPr="000D1CE5">
        <w:rPr>
          <w:rFonts w:asciiTheme="majorHAnsi" w:hAnsiTheme="majorHAnsi"/>
          <w:sz w:val="16"/>
          <w:szCs w:val="16"/>
          <w:lang w:val="es-CO"/>
        </w:rPr>
        <w:t xml:space="preserve"> </w:t>
      </w:r>
      <w:r w:rsidRPr="000D1CE5">
        <w:rPr>
          <w:rFonts w:asciiTheme="majorHAnsi" w:hAnsiTheme="majorHAnsi"/>
          <w:sz w:val="16"/>
          <w:szCs w:val="16"/>
          <w:lang w:val="es-CO"/>
        </w:rPr>
        <w:t>No. 43/15, Caso 12.632. Fondo (Publicación). Adriana Beatriz Gallo, Ana María Careaga y Silvia Maluf de Christin, Argentina, 28 de julio de 2015, párr. 148</w:t>
      </w:r>
    </w:p>
  </w:footnote>
  <w:footnote w:id="14">
    <w:p w14:paraId="19E4C3CE" w14:textId="6A85FD7A" w:rsidR="007025DD" w:rsidRPr="00A56430" w:rsidRDefault="007025DD" w:rsidP="00B0535C">
      <w:pPr>
        <w:pStyle w:val="FootnoteText"/>
        <w:ind w:firstLine="720"/>
        <w:jc w:val="both"/>
        <w:rPr>
          <w:rFonts w:asciiTheme="majorHAnsi" w:hAnsiTheme="majorHAnsi"/>
          <w:sz w:val="16"/>
          <w:szCs w:val="16"/>
          <w:lang w:val="es-CO"/>
        </w:rPr>
      </w:pPr>
      <w:r w:rsidRPr="000D1CE5">
        <w:rPr>
          <w:rStyle w:val="FootnoteReference"/>
          <w:rFonts w:asciiTheme="majorHAnsi" w:hAnsiTheme="majorHAnsi"/>
          <w:sz w:val="16"/>
          <w:szCs w:val="16"/>
          <w:lang w:val="es-CO"/>
        </w:rPr>
        <w:footnoteRef/>
      </w:r>
      <w:r w:rsidRPr="000D1CE5">
        <w:rPr>
          <w:rFonts w:asciiTheme="majorHAnsi" w:hAnsiTheme="majorHAnsi"/>
          <w:sz w:val="16"/>
          <w:szCs w:val="16"/>
          <w:lang w:val="es-CO"/>
        </w:rPr>
        <w:t xml:space="preserve"> CIDH. Informe No. 169/19. Caso 12.396 Fondo. Leonidas Bendezú Tuncar. Perú. 9 de noviembre de 2019, párr. 70.</w:t>
      </w:r>
      <w:r w:rsidRPr="00A56430">
        <w:rPr>
          <w:rFonts w:asciiTheme="majorHAnsi" w:hAnsiTheme="majorHAnsi"/>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CO" w:eastAsia="es-CO"/>
      </w:rPr>
      <w:drawing>
        <wp:inline distT="0" distB="0" distL="0" distR="0" wp14:anchorId="49B70CC6" wp14:editId="0E71EB96">
          <wp:extent cx="1972237" cy="104775"/>
          <wp:effectExtent l="0" t="0" r="9525" b="0"/>
          <wp:docPr id="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91F4A" w:rsidP="00A50FCF">
    <w:pPr>
      <w:pStyle w:val="Header"/>
      <w:tabs>
        <w:tab w:val="clear" w:pos="4320"/>
        <w:tab w:val="clear" w:pos="8640"/>
      </w:tabs>
      <w:jc w:val="center"/>
      <w:rPr>
        <w:sz w:val="22"/>
        <w:szCs w:val="22"/>
      </w:rPr>
    </w:pPr>
    <w:r>
      <w:rPr>
        <w:noProof/>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59706333">
    <w:abstractNumId w:val="3"/>
  </w:num>
  <w:num w:numId="2" w16cid:durableId="221715019">
    <w:abstractNumId w:val="5"/>
  </w:num>
  <w:num w:numId="3" w16cid:durableId="178592460">
    <w:abstractNumId w:val="50"/>
  </w:num>
  <w:num w:numId="4" w16cid:durableId="1560478377">
    <w:abstractNumId w:val="20"/>
  </w:num>
  <w:num w:numId="5" w16cid:durableId="473327594">
    <w:abstractNumId w:val="44"/>
  </w:num>
  <w:num w:numId="6" w16cid:durableId="552233456">
    <w:abstractNumId w:val="25"/>
  </w:num>
  <w:num w:numId="7" w16cid:durableId="76557330">
    <w:abstractNumId w:val="6"/>
  </w:num>
  <w:num w:numId="8" w16cid:durableId="749083219">
    <w:abstractNumId w:val="16"/>
  </w:num>
  <w:num w:numId="9" w16cid:durableId="1919048714">
    <w:abstractNumId w:val="35"/>
  </w:num>
  <w:num w:numId="10" w16cid:durableId="164907624">
    <w:abstractNumId w:val="39"/>
  </w:num>
  <w:num w:numId="11" w16cid:durableId="17894181">
    <w:abstractNumId w:val="0"/>
  </w:num>
  <w:num w:numId="12" w16cid:durableId="330909659">
    <w:abstractNumId w:val="34"/>
  </w:num>
  <w:num w:numId="13" w16cid:durableId="241717331">
    <w:abstractNumId w:val="41"/>
  </w:num>
  <w:num w:numId="14" w16cid:durableId="1986351634">
    <w:abstractNumId w:val="1"/>
  </w:num>
  <w:num w:numId="15" w16cid:durableId="1444421335">
    <w:abstractNumId w:val="2"/>
  </w:num>
  <w:num w:numId="16" w16cid:durableId="867180697">
    <w:abstractNumId w:val="7"/>
  </w:num>
  <w:num w:numId="17" w16cid:durableId="1542204802">
    <w:abstractNumId w:val="8"/>
  </w:num>
  <w:num w:numId="18" w16cid:durableId="177089671">
    <w:abstractNumId w:val="9"/>
  </w:num>
  <w:num w:numId="19" w16cid:durableId="1661887434">
    <w:abstractNumId w:val="10"/>
  </w:num>
  <w:num w:numId="20" w16cid:durableId="705179605">
    <w:abstractNumId w:val="11"/>
  </w:num>
  <w:num w:numId="21" w16cid:durableId="214435143">
    <w:abstractNumId w:val="12"/>
  </w:num>
  <w:num w:numId="22" w16cid:durableId="361521865">
    <w:abstractNumId w:val="13"/>
  </w:num>
  <w:num w:numId="23" w16cid:durableId="1514763233">
    <w:abstractNumId w:val="14"/>
  </w:num>
  <w:num w:numId="24" w16cid:durableId="1290236963">
    <w:abstractNumId w:val="15"/>
  </w:num>
  <w:num w:numId="25" w16cid:durableId="625502332">
    <w:abstractNumId w:val="17"/>
  </w:num>
  <w:num w:numId="26" w16cid:durableId="2134252947">
    <w:abstractNumId w:val="18"/>
  </w:num>
  <w:num w:numId="27" w16cid:durableId="1357586654">
    <w:abstractNumId w:val="21"/>
  </w:num>
  <w:num w:numId="28" w16cid:durableId="289088859">
    <w:abstractNumId w:val="22"/>
  </w:num>
  <w:num w:numId="29" w16cid:durableId="458694005">
    <w:abstractNumId w:val="23"/>
  </w:num>
  <w:num w:numId="30" w16cid:durableId="573012670">
    <w:abstractNumId w:val="24"/>
  </w:num>
  <w:num w:numId="31" w16cid:durableId="333383254">
    <w:abstractNumId w:val="26"/>
  </w:num>
  <w:num w:numId="32" w16cid:durableId="1432504308">
    <w:abstractNumId w:val="27"/>
  </w:num>
  <w:num w:numId="33" w16cid:durableId="582450268">
    <w:abstractNumId w:val="28"/>
  </w:num>
  <w:num w:numId="34" w16cid:durableId="1903368261">
    <w:abstractNumId w:val="29"/>
  </w:num>
  <w:num w:numId="35" w16cid:durableId="1614480209">
    <w:abstractNumId w:val="30"/>
  </w:num>
  <w:num w:numId="36" w16cid:durableId="1070543677">
    <w:abstractNumId w:val="31"/>
  </w:num>
  <w:num w:numId="37" w16cid:durableId="1847478049">
    <w:abstractNumId w:val="32"/>
  </w:num>
  <w:num w:numId="38" w16cid:durableId="1402561435">
    <w:abstractNumId w:val="33"/>
  </w:num>
  <w:num w:numId="39" w16cid:durableId="74715223">
    <w:abstractNumId w:val="36"/>
  </w:num>
  <w:num w:numId="40" w16cid:durableId="278728654">
    <w:abstractNumId w:val="37"/>
  </w:num>
  <w:num w:numId="41" w16cid:durableId="1420369788">
    <w:abstractNumId w:val="43"/>
  </w:num>
  <w:num w:numId="42" w16cid:durableId="810488972">
    <w:abstractNumId w:val="45"/>
  </w:num>
  <w:num w:numId="43" w16cid:durableId="1464731267">
    <w:abstractNumId w:val="46"/>
  </w:num>
  <w:num w:numId="44" w16cid:durableId="1640766476">
    <w:abstractNumId w:val="48"/>
  </w:num>
  <w:num w:numId="45" w16cid:durableId="340360035">
    <w:abstractNumId w:val="49"/>
  </w:num>
  <w:num w:numId="46" w16cid:durableId="634333914">
    <w:abstractNumId w:val="51"/>
  </w:num>
  <w:num w:numId="47" w16cid:durableId="156774682">
    <w:abstractNumId w:val="52"/>
  </w:num>
  <w:num w:numId="48" w16cid:durableId="1462923148">
    <w:abstractNumId w:val="53"/>
  </w:num>
  <w:num w:numId="49" w16cid:durableId="519780788">
    <w:abstractNumId w:val="54"/>
  </w:num>
  <w:num w:numId="50" w16cid:durableId="40331970">
    <w:abstractNumId w:val="55"/>
  </w:num>
  <w:num w:numId="51" w16cid:durableId="919948706">
    <w:abstractNumId w:val="19"/>
  </w:num>
  <w:num w:numId="52" w16cid:durableId="2086873216">
    <w:abstractNumId w:val="38"/>
  </w:num>
  <w:num w:numId="53" w16cid:durableId="267592527">
    <w:abstractNumId w:val="47"/>
  </w:num>
  <w:num w:numId="54" w16cid:durableId="1366561648">
    <w:abstractNumId w:val="42"/>
  </w:num>
  <w:num w:numId="55" w16cid:durableId="30418427">
    <w:abstractNumId w:val="4"/>
  </w:num>
  <w:num w:numId="56" w16cid:durableId="493448190">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4ADF"/>
    <w:rsid w:val="00005153"/>
    <w:rsid w:val="00006E1F"/>
    <w:rsid w:val="00006FD9"/>
    <w:rsid w:val="000070D7"/>
    <w:rsid w:val="0001788C"/>
    <w:rsid w:val="000337EF"/>
    <w:rsid w:val="00034514"/>
    <w:rsid w:val="00040C3A"/>
    <w:rsid w:val="000419AD"/>
    <w:rsid w:val="000433C9"/>
    <w:rsid w:val="00044181"/>
    <w:rsid w:val="000452C4"/>
    <w:rsid w:val="0005001C"/>
    <w:rsid w:val="00054BA8"/>
    <w:rsid w:val="00056D67"/>
    <w:rsid w:val="00065915"/>
    <w:rsid w:val="000716C5"/>
    <w:rsid w:val="00071D44"/>
    <w:rsid w:val="00073C3C"/>
    <w:rsid w:val="00075E23"/>
    <w:rsid w:val="00077642"/>
    <w:rsid w:val="0009138D"/>
    <w:rsid w:val="00091F4A"/>
    <w:rsid w:val="0009267B"/>
    <w:rsid w:val="0009344A"/>
    <w:rsid w:val="000A392E"/>
    <w:rsid w:val="000A575F"/>
    <w:rsid w:val="000D05CB"/>
    <w:rsid w:val="000D10DB"/>
    <w:rsid w:val="000D1CE5"/>
    <w:rsid w:val="000E08D1"/>
    <w:rsid w:val="000E0C97"/>
    <w:rsid w:val="000E5EB5"/>
    <w:rsid w:val="000F35ED"/>
    <w:rsid w:val="00100D44"/>
    <w:rsid w:val="00101378"/>
    <w:rsid w:val="00104888"/>
    <w:rsid w:val="00107131"/>
    <w:rsid w:val="0010736F"/>
    <w:rsid w:val="00107608"/>
    <w:rsid w:val="00113F73"/>
    <w:rsid w:val="00115AC6"/>
    <w:rsid w:val="001204A9"/>
    <w:rsid w:val="00121CC2"/>
    <w:rsid w:val="00121E0F"/>
    <w:rsid w:val="00125FCA"/>
    <w:rsid w:val="00131425"/>
    <w:rsid w:val="00133EE5"/>
    <w:rsid w:val="00137BDF"/>
    <w:rsid w:val="00143850"/>
    <w:rsid w:val="0016486D"/>
    <w:rsid w:val="00167A34"/>
    <w:rsid w:val="00176556"/>
    <w:rsid w:val="0018695B"/>
    <w:rsid w:val="00193DED"/>
    <w:rsid w:val="0019476B"/>
    <w:rsid w:val="001A0707"/>
    <w:rsid w:val="001A0D76"/>
    <w:rsid w:val="001A5054"/>
    <w:rsid w:val="001A5195"/>
    <w:rsid w:val="001A7870"/>
    <w:rsid w:val="001B3A00"/>
    <w:rsid w:val="001B5C31"/>
    <w:rsid w:val="001C1B41"/>
    <w:rsid w:val="001D65EF"/>
    <w:rsid w:val="001D7571"/>
    <w:rsid w:val="001E1708"/>
    <w:rsid w:val="001E49E7"/>
    <w:rsid w:val="001F40F5"/>
    <w:rsid w:val="001F54D8"/>
    <w:rsid w:val="001F7201"/>
    <w:rsid w:val="00201501"/>
    <w:rsid w:val="00222AE3"/>
    <w:rsid w:val="00223A29"/>
    <w:rsid w:val="002250A3"/>
    <w:rsid w:val="002265C3"/>
    <w:rsid w:val="00231E9D"/>
    <w:rsid w:val="00235217"/>
    <w:rsid w:val="002441A7"/>
    <w:rsid w:val="00244DFB"/>
    <w:rsid w:val="002455F0"/>
    <w:rsid w:val="002469DE"/>
    <w:rsid w:val="00246D1F"/>
    <w:rsid w:val="00247403"/>
    <w:rsid w:val="00247542"/>
    <w:rsid w:val="00252FCA"/>
    <w:rsid w:val="00254007"/>
    <w:rsid w:val="0025724C"/>
    <w:rsid w:val="002613A8"/>
    <w:rsid w:val="00266B61"/>
    <w:rsid w:val="0026712A"/>
    <w:rsid w:val="002704DB"/>
    <w:rsid w:val="00270D38"/>
    <w:rsid w:val="002715E2"/>
    <w:rsid w:val="00271A6A"/>
    <w:rsid w:val="0027435F"/>
    <w:rsid w:val="00280981"/>
    <w:rsid w:val="002A0AAE"/>
    <w:rsid w:val="002A5820"/>
    <w:rsid w:val="002A7B2A"/>
    <w:rsid w:val="002B0DD1"/>
    <w:rsid w:val="002B7F81"/>
    <w:rsid w:val="002C2511"/>
    <w:rsid w:val="002C71EF"/>
    <w:rsid w:val="002D2B26"/>
    <w:rsid w:val="002D7EA2"/>
    <w:rsid w:val="002E187C"/>
    <w:rsid w:val="002E3718"/>
    <w:rsid w:val="002E52AA"/>
    <w:rsid w:val="002E5815"/>
    <w:rsid w:val="002F02C0"/>
    <w:rsid w:val="00302733"/>
    <w:rsid w:val="00314078"/>
    <w:rsid w:val="0031535D"/>
    <w:rsid w:val="00320BEF"/>
    <w:rsid w:val="00320C36"/>
    <w:rsid w:val="003239B8"/>
    <w:rsid w:val="003264EC"/>
    <w:rsid w:val="00330017"/>
    <w:rsid w:val="0033169F"/>
    <w:rsid w:val="003340BB"/>
    <w:rsid w:val="00344977"/>
    <w:rsid w:val="00346C95"/>
    <w:rsid w:val="00356185"/>
    <w:rsid w:val="00360380"/>
    <w:rsid w:val="00365CD5"/>
    <w:rsid w:val="0037519E"/>
    <w:rsid w:val="00384CB0"/>
    <w:rsid w:val="00386CF0"/>
    <w:rsid w:val="003902B4"/>
    <w:rsid w:val="003A4226"/>
    <w:rsid w:val="003A4974"/>
    <w:rsid w:val="003A57BC"/>
    <w:rsid w:val="003A60E3"/>
    <w:rsid w:val="003B70FB"/>
    <w:rsid w:val="003C2F82"/>
    <w:rsid w:val="003C676B"/>
    <w:rsid w:val="003C7A7E"/>
    <w:rsid w:val="003D3BC2"/>
    <w:rsid w:val="003D47DE"/>
    <w:rsid w:val="003E1463"/>
    <w:rsid w:val="003E4A8D"/>
    <w:rsid w:val="003E6CA1"/>
    <w:rsid w:val="00405F9C"/>
    <w:rsid w:val="004065A8"/>
    <w:rsid w:val="00413AC1"/>
    <w:rsid w:val="004165C2"/>
    <w:rsid w:val="00420768"/>
    <w:rsid w:val="00421127"/>
    <w:rsid w:val="00430FEC"/>
    <w:rsid w:val="00437712"/>
    <w:rsid w:val="004379ED"/>
    <w:rsid w:val="00440FAA"/>
    <w:rsid w:val="0044128B"/>
    <w:rsid w:val="00441524"/>
    <w:rsid w:val="00441ECB"/>
    <w:rsid w:val="00442889"/>
    <w:rsid w:val="00444C1C"/>
    <w:rsid w:val="00444CF0"/>
    <w:rsid w:val="00445193"/>
    <w:rsid w:val="00446BF0"/>
    <w:rsid w:val="00460938"/>
    <w:rsid w:val="00462C1B"/>
    <w:rsid w:val="00467B7E"/>
    <w:rsid w:val="00470DAE"/>
    <w:rsid w:val="004719C4"/>
    <w:rsid w:val="00473BB4"/>
    <w:rsid w:val="0047460F"/>
    <w:rsid w:val="00477592"/>
    <w:rsid w:val="00483C3D"/>
    <w:rsid w:val="00485BFA"/>
    <w:rsid w:val="00486F1C"/>
    <w:rsid w:val="0048729C"/>
    <w:rsid w:val="0049419D"/>
    <w:rsid w:val="004A6A54"/>
    <w:rsid w:val="004A6C9D"/>
    <w:rsid w:val="004A712C"/>
    <w:rsid w:val="004C20D2"/>
    <w:rsid w:val="004C2312"/>
    <w:rsid w:val="004C4B62"/>
    <w:rsid w:val="004C54C9"/>
    <w:rsid w:val="004D0355"/>
    <w:rsid w:val="004D03F5"/>
    <w:rsid w:val="004D3197"/>
    <w:rsid w:val="004D473E"/>
    <w:rsid w:val="004D4ABA"/>
    <w:rsid w:val="004D6025"/>
    <w:rsid w:val="004E14DD"/>
    <w:rsid w:val="004E24EE"/>
    <w:rsid w:val="004E2649"/>
    <w:rsid w:val="004E74C1"/>
    <w:rsid w:val="004F626F"/>
    <w:rsid w:val="00501399"/>
    <w:rsid w:val="0050633D"/>
    <w:rsid w:val="00507BC4"/>
    <w:rsid w:val="00510C6E"/>
    <w:rsid w:val="005128E4"/>
    <w:rsid w:val="005133DB"/>
    <w:rsid w:val="00514504"/>
    <w:rsid w:val="00525560"/>
    <w:rsid w:val="00536292"/>
    <w:rsid w:val="00542C59"/>
    <w:rsid w:val="00543685"/>
    <w:rsid w:val="00544C49"/>
    <w:rsid w:val="0055129D"/>
    <w:rsid w:val="005516A1"/>
    <w:rsid w:val="005559EF"/>
    <w:rsid w:val="005564B7"/>
    <w:rsid w:val="00563557"/>
    <w:rsid w:val="0056429A"/>
    <w:rsid w:val="0057346E"/>
    <w:rsid w:val="0057402A"/>
    <w:rsid w:val="00574508"/>
    <w:rsid w:val="0057485C"/>
    <w:rsid w:val="0057590F"/>
    <w:rsid w:val="005771D0"/>
    <w:rsid w:val="00577437"/>
    <w:rsid w:val="005856CC"/>
    <w:rsid w:val="0059191A"/>
    <w:rsid w:val="005921FF"/>
    <w:rsid w:val="00592953"/>
    <w:rsid w:val="005975CC"/>
    <w:rsid w:val="00597B65"/>
    <w:rsid w:val="005A24ED"/>
    <w:rsid w:val="005A254F"/>
    <w:rsid w:val="005A6D0E"/>
    <w:rsid w:val="005B336B"/>
    <w:rsid w:val="005B52B0"/>
    <w:rsid w:val="005B6806"/>
    <w:rsid w:val="005C2CBB"/>
    <w:rsid w:val="005C4225"/>
    <w:rsid w:val="005C5E25"/>
    <w:rsid w:val="005C630D"/>
    <w:rsid w:val="005D38F9"/>
    <w:rsid w:val="005D6880"/>
    <w:rsid w:val="005E54CB"/>
    <w:rsid w:val="005E6350"/>
    <w:rsid w:val="005F0DAD"/>
    <w:rsid w:val="005F0F33"/>
    <w:rsid w:val="005F683D"/>
    <w:rsid w:val="00600DEB"/>
    <w:rsid w:val="006210A9"/>
    <w:rsid w:val="00621C07"/>
    <w:rsid w:val="006244A8"/>
    <w:rsid w:val="00627C9F"/>
    <w:rsid w:val="0063009B"/>
    <w:rsid w:val="006311E9"/>
    <w:rsid w:val="00632354"/>
    <w:rsid w:val="00634AF5"/>
    <w:rsid w:val="00635421"/>
    <w:rsid w:val="00642810"/>
    <w:rsid w:val="00651BB0"/>
    <w:rsid w:val="00652333"/>
    <w:rsid w:val="00656345"/>
    <w:rsid w:val="0067536F"/>
    <w:rsid w:val="0068009E"/>
    <w:rsid w:val="00692219"/>
    <w:rsid w:val="006A009B"/>
    <w:rsid w:val="006A17D2"/>
    <w:rsid w:val="006A606E"/>
    <w:rsid w:val="006A73E6"/>
    <w:rsid w:val="006B2D5C"/>
    <w:rsid w:val="006B654C"/>
    <w:rsid w:val="006C2E12"/>
    <w:rsid w:val="006C4EB1"/>
    <w:rsid w:val="006D518B"/>
    <w:rsid w:val="006D6BCD"/>
    <w:rsid w:val="006E0166"/>
    <w:rsid w:val="006E0519"/>
    <w:rsid w:val="006E2FFB"/>
    <w:rsid w:val="006E7595"/>
    <w:rsid w:val="006E7B34"/>
    <w:rsid w:val="006F0AE9"/>
    <w:rsid w:val="006F2892"/>
    <w:rsid w:val="006F4187"/>
    <w:rsid w:val="007025DD"/>
    <w:rsid w:val="00705861"/>
    <w:rsid w:val="0070697F"/>
    <w:rsid w:val="00706CF3"/>
    <w:rsid w:val="00707951"/>
    <w:rsid w:val="007133FC"/>
    <w:rsid w:val="00721228"/>
    <w:rsid w:val="0072199C"/>
    <w:rsid w:val="00722C9F"/>
    <w:rsid w:val="007253B8"/>
    <w:rsid w:val="00733D27"/>
    <w:rsid w:val="00736543"/>
    <w:rsid w:val="0073741F"/>
    <w:rsid w:val="007435CF"/>
    <w:rsid w:val="00754422"/>
    <w:rsid w:val="00755804"/>
    <w:rsid w:val="0076643F"/>
    <w:rsid w:val="00777F63"/>
    <w:rsid w:val="00780E6F"/>
    <w:rsid w:val="007838A8"/>
    <w:rsid w:val="007844E0"/>
    <w:rsid w:val="00787A99"/>
    <w:rsid w:val="00790DF6"/>
    <w:rsid w:val="007A2864"/>
    <w:rsid w:val="007A5352"/>
    <w:rsid w:val="007A5817"/>
    <w:rsid w:val="007A708F"/>
    <w:rsid w:val="007B05C4"/>
    <w:rsid w:val="007B60E9"/>
    <w:rsid w:val="007B6CC3"/>
    <w:rsid w:val="007B6DC9"/>
    <w:rsid w:val="007B7539"/>
    <w:rsid w:val="007B76D3"/>
    <w:rsid w:val="007C1163"/>
    <w:rsid w:val="007C3334"/>
    <w:rsid w:val="007C76E7"/>
    <w:rsid w:val="007D2B98"/>
    <w:rsid w:val="007D32B7"/>
    <w:rsid w:val="007E21BC"/>
    <w:rsid w:val="007E7572"/>
    <w:rsid w:val="007E7C82"/>
    <w:rsid w:val="007F2AA1"/>
    <w:rsid w:val="007F588D"/>
    <w:rsid w:val="0080226E"/>
    <w:rsid w:val="00802BD6"/>
    <w:rsid w:val="00803F1C"/>
    <w:rsid w:val="008046F0"/>
    <w:rsid w:val="008055BB"/>
    <w:rsid w:val="0080600E"/>
    <w:rsid w:val="00806471"/>
    <w:rsid w:val="008108D0"/>
    <w:rsid w:val="00814688"/>
    <w:rsid w:val="008150E8"/>
    <w:rsid w:val="00817612"/>
    <w:rsid w:val="008177A0"/>
    <w:rsid w:val="00820AB0"/>
    <w:rsid w:val="00820CEA"/>
    <w:rsid w:val="00824A64"/>
    <w:rsid w:val="00831F4C"/>
    <w:rsid w:val="008338A4"/>
    <w:rsid w:val="00834D49"/>
    <w:rsid w:val="00837C45"/>
    <w:rsid w:val="00840D16"/>
    <w:rsid w:val="00844730"/>
    <w:rsid w:val="008457C2"/>
    <w:rsid w:val="00846F01"/>
    <w:rsid w:val="0085075F"/>
    <w:rsid w:val="0085728E"/>
    <w:rsid w:val="00857A82"/>
    <w:rsid w:val="008666ED"/>
    <w:rsid w:val="00866E07"/>
    <w:rsid w:val="00867314"/>
    <w:rsid w:val="00873836"/>
    <w:rsid w:val="00877759"/>
    <w:rsid w:val="00880AF5"/>
    <w:rsid w:val="0088271E"/>
    <w:rsid w:val="00885737"/>
    <w:rsid w:val="0088767E"/>
    <w:rsid w:val="00890650"/>
    <w:rsid w:val="008947AD"/>
    <w:rsid w:val="00897E12"/>
    <w:rsid w:val="008A0C42"/>
    <w:rsid w:val="008A233A"/>
    <w:rsid w:val="008A4CBD"/>
    <w:rsid w:val="008A7E0F"/>
    <w:rsid w:val="008B12F5"/>
    <w:rsid w:val="008B1372"/>
    <w:rsid w:val="008B4F79"/>
    <w:rsid w:val="008B7645"/>
    <w:rsid w:val="008C28C3"/>
    <w:rsid w:val="008C5E2D"/>
    <w:rsid w:val="008D011E"/>
    <w:rsid w:val="008D768D"/>
    <w:rsid w:val="008E3759"/>
    <w:rsid w:val="008E3BFE"/>
    <w:rsid w:val="008E573B"/>
    <w:rsid w:val="008E6C48"/>
    <w:rsid w:val="008F1912"/>
    <w:rsid w:val="008F6852"/>
    <w:rsid w:val="0090270B"/>
    <w:rsid w:val="009041DC"/>
    <w:rsid w:val="00916140"/>
    <w:rsid w:val="00917B5A"/>
    <w:rsid w:val="00920A58"/>
    <w:rsid w:val="00920A8C"/>
    <w:rsid w:val="00932361"/>
    <w:rsid w:val="00934A2C"/>
    <w:rsid w:val="00942F86"/>
    <w:rsid w:val="00946B95"/>
    <w:rsid w:val="009601B6"/>
    <w:rsid w:val="00960D89"/>
    <w:rsid w:val="00965401"/>
    <w:rsid w:val="0096675C"/>
    <w:rsid w:val="0096706E"/>
    <w:rsid w:val="00974491"/>
    <w:rsid w:val="00975C4E"/>
    <w:rsid w:val="00981FBA"/>
    <w:rsid w:val="009849D1"/>
    <w:rsid w:val="009956A9"/>
    <w:rsid w:val="009977C7"/>
    <w:rsid w:val="00997BC5"/>
    <w:rsid w:val="009A0313"/>
    <w:rsid w:val="009A12F2"/>
    <w:rsid w:val="009A157E"/>
    <w:rsid w:val="009A4F41"/>
    <w:rsid w:val="009B106D"/>
    <w:rsid w:val="009B381B"/>
    <w:rsid w:val="009C789F"/>
    <w:rsid w:val="009D1753"/>
    <w:rsid w:val="009D2D4A"/>
    <w:rsid w:val="009D3185"/>
    <w:rsid w:val="009D3E5D"/>
    <w:rsid w:val="009D7611"/>
    <w:rsid w:val="009D7793"/>
    <w:rsid w:val="009E0B61"/>
    <w:rsid w:val="009E3963"/>
    <w:rsid w:val="009E53DE"/>
    <w:rsid w:val="009E79DF"/>
    <w:rsid w:val="00A021AB"/>
    <w:rsid w:val="00A1086F"/>
    <w:rsid w:val="00A11212"/>
    <w:rsid w:val="00A11E44"/>
    <w:rsid w:val="00A201C8"/>
    <w:rsid w:val="00A242AA"/>
    <w:rsid w:val="00A2611C"/>
    <w:rsid w:val="00A30100"/>
    <w:rsid w:val="00A30CDA"/>
    <w:rsid w:val="00A328B3"/>
    <w:rsid w:val="00A33355"/>
    <w:rsid w:val="00A436E0"/>
    <w:rsid w:val="00A44541"/>
    <w:rsid w:val="00A45233"/>
    <w:rsid w:val="00A50FCF"/>
    <w:rsid w:val="00A528D1"/>
    <w:rsid w:val="00A53FE2"/>
    <w:rsid w:val="00A54391"/>
    <w:rsid w:val="00A56430"/>
    <w:rsid w:val="00A573C1"/>
    <w:rsid w:val="00A57B2A"/>
    <w:rsid w:val="00A610CD"/>
    <w:rsid w:val="00A66168"/>
    <w:rsid w:val="00A6700A"/>
    <w:rsid w:val="00A758AA"/>
    <w:rsid w:val="00A76BE7"/>
    <w:rsid w:val="00A77357"/>
    <w:rsid w:val="00A868A5"/>
    <w:rsid w:val="00A92F58"/>
    <w:rsid w:val="00A978D6"/>
    <w:rsid w:val="00AA09A2"/>
    <w:rsid w:val="00AA1333"/>
    <w:rsid w:val="00AA7996"/>
    <w:rsid w:val="00AB2BA6"/>
    <w:rsid w:val="00AB5714"/>
    <w:rsid w:val="00AB5C45"/>
    <w:rsid w:val="00AB7B67"/>
    <w:rsid w:val="00AC063B"/>
    <w:rsid w:val="00AC19CB"/>
    <w:rsid w:val="00AC21AD"/>
    <w:rsid w:val="00AC222F"/>
    <w:rsid w:val="00AC522F"/>
    <w:rsid w:val="00AD600E"/>
    <w:rsid w:val="00AD74DC"/>
    <w:rsid w:val="00AE175C"/>
    <w:rsid w:val="00AE1F79"/>
    <w:rsid w:val="00AE5488"/>
    <w:rsid w:val="00AE6F91"/>
    <w:rsid w:val="00AF25F3"/>
    <w:rsid w:val="00AF5571"/>
    <w:rsid w:val="00B02875"/>
    <w:rsid w:val="00B02AE8"/>
    <w:rsid w:val="00B0535C"/>
    <w:rsid w:val="00B07341"/>
    <w:rsid w:val="00B17903"/>
    <w:rsid w:val="00B20316"/>
    <w:rsid w:val="00B30539"/>
    <w:rsid w:val="00B314DB"/>
    <w:rsid w:val="00B361F2"/>
    <w:rsid w:val="00B3718B"/>
    <w:rsid w:val="00B3745F"/>
    <w:rsid w:val="00B3767E"/>
    <w:rsid w:val="00B37B29"/>
    <w:rsid w:val="00B4257D"/>
    <w:rsid w:val="00B4632A"/>
    <w:rsid w:val="00B530F1"/>
    <w:rsid w:val="00B57B14"/>
    <w:rsid w:val="00B60156"/>
    <w:rsid w:val="00B6412A"/>
    <w:rsid w:val="00B7136F"/>
    <w:rsid w:val="00B97E1F"/>
    <w:rsid w:val="00B97E9C"/>
    <w:rsid w:val="00BA2656"/>
    <w:rsid w:val="00BA276C"/>
    <w:rsid w:val="00BA6839"/>
    <w:rsid w:val="00BB306F"/>
    <w:rsid w:val="00BB3795"/>
    <w:rsid w:val="00BB4518"/>
    <w:rsid w:val="00BB58B9"/>
    <w:rsid w:val="00BB7529"/>
    <w:rsid w:val="00BC0A22"/>
    <w:rsid w:val="00BC396D"/>
    <w:rsid w:val="00BD427E"/>
    <w:rsid w:val="00BD4B89"/>
    <w:rsid w:val="00BD5922"/>
    <w:rsid w:val="00BE3F38"/>
    <w:rsid w:val="00BE5FBD"/>
    <w:rsid w:val="00BE6F9D"/>
    <w:rsid w:val="00BF02CB"/>
    <w:rsid w:val="00BF67EF"/>
    <w:rsid w:val="00BF6FD8"/>
    <w:rsid w:val="00C03680"/>
    <w:rsid w:val="00C03BA1"/>
    <w:rsid w:val="00C054DF"/>
    <w:rsid w:val="00C21762"/>
    <w:rsid w:val="00C21FEF"/>
    <w:rsid w:val="00C23004"/>
    <w:rsid w:val="00C23BA4"/>
    <w:rsid w:val="00C24543"/>
    <w:rsid w:val="00C256A2"/>
    <w:rsid w:val="00C25ADB"/>
    <w:rsid w:val="00C26A72"/>
    <w:rsid w:val="00C314AA"/>
    <w:rsid w:val="00C33E8C"/>
    <w:rsid w:val="00C35CD3"/>
    <w:rsid w:val="00C36908"/>
    <w:rsid w:val="00C41F34"/>
    <w:rsid w:val="00C51515"/>
    <w:rsid w:val="00C545A0"/>
    <w:rsid w:val="00C55885"/>
    <w:rsid w:val="00C5660B"/>
    <w:rsid w:val="00C56BA9"/>
    <w:rsid w:val="00C61972"/>
    <w:rsid w:val="00C63A9A"/>
    <w:rsid w:val="00C665C5"/>
    <w:rsid w:val="00C66B72"/>
    <w:rsid w:val="00C71F51"/>
    <w:rsid w:val="00C87AC4"/>
    <w:rsid w:val="00C9567A"/>
    <w:rsid w:val="00C95AEA"/>
    <w:rsid w:val="00CA2AD6"/>
    <w:rsid w:val="00CB104B"/>
    <w:rsid w:val="00CB212D"/>
    <w:rsid w:val="00CB2660"/>
    <w:rsid w:val="00CB2DD5"/>
    <w:rsid w:val="00CC344D"/>
    <w:rsid w:val="00CC5E90"/>
    <w:rsid w:val="00CD046C"/>
    <w:rsid w:val="00CD5086"/>
    <w:rsid w:val="00CE076C"/>
    <w:rsid w:val="00CE1A1A"/>
    <w:rsid w:val="00CE5199"/>
    <w:rsid w:val="00CE66D5"/>
    <w:rsid w:val="00CE6F74"/>
    <w:rsid w:val="00CF0CF3"/>
    <w:rsid w:val="00CF1964"/>
    <w:rsid w:val="00CF637A"/>
    <w:rsid w:val="00D030E3"/>
    <w:rsid w:val="00D0323B"/>
    <w:rsid w:val="00D059DE"/>
    <w:rsid w:val="00D05ABD"/>
    <w:rsid w:val="00D13FCE"/>
    <w:rsid w:val="00D14051"/>
    <w:rsid w:val="00D16821"/>
    <w:rsid w:val="00D176C4"/>
    <w:rsid w:val="00D25274"/>
    <w:rsid w:val="00D306D1"/>
    <w:rsid w:val="00D30800"/>
    <w:rsid w:val="00D30F4F"/>
    <w:rsid w:val="00D34786"/>
    <w:rsid w:val="00D37BFC"/>
    <w:rsid w:val="00D37D20"/>
    <w:rsid w:val="00D43BCF"/>
    <w:rsid w:val="00D47024"/>
    <w:rsid w:val="00D47A8E"/>
    <w:rsid w:val="00D52CA2"/>
    <w:rsid w:val="00D52D14"/>
    <w:rsid w:val="00D5692E"/>
    <w:rsid w:val="00D611B3"/>
    <w:rsid w:val="00D712D3"/>
    <w:rsid w:val="00D71422"/>
    <w:rsid w:val="00D72DC6"/>
    <w:rsid w:val="00D7558D"/>
    <w:rsid w:val="00D81D92"/>
    <w:rsid w:val="00D86006"/>
    <w:rsid w:val="00D876F9"/>
    <w:rsid w:val="00D92266"/>
    <w:rsid w:val="00D97D3D"/>
    <w:rsid w:val="00DA0B78"/>
    <w:rsid w:val="00DA1D7B"/>
    <w:rsid w:val="00DA24AE"/>
    <w:rsid w:val="00DA7B5F"/>
    <w:rsid w:val="00DB0062"/>
    <w:rsid w:val="00DB4A56"/>
    <w:rsid w:val="00DC11E7"/>
    <w:rsid w:val="00DC24E3"/>
    <w:rsid w:val="00DC7023"/>
    <w:rsid w:val="00DC70A0"/>
    <w:rsid w:val="00DC769A"/>
    <w:rsid w:val="00DD0B89"/>
    <w:rsid w:val="00DD3D86"/>
    <w:rsid w:val="00DD4AD2"/>
    <w:rsid w:val="00DE0F3E"/>
    <w:rsid w:val="00DE52E3"/>
    <w:rsid w:val="00DF1EC4"/>
    <w:rsid w:val="00E02F95"/>
    <w:rsid w:val="00E0340B"/>
    <w:rsid w:val="00E04A90"/>
    <w:rsid w:val="00E0504C"/>
    <w:rsid w:val="00E0551F"/>
    <w:rsid w:val="00E06F9C"/>
    <w:rsid w:val="00E11058"/>
    <w:rsid w:val="00E17A37"/>
    <w:rsid w:val="00E20861"/>
    <w:rsid w:val="00E219C7"/>
    <w:rsid w:val="00E25962"/>
    <w:rsid w:val="00E3408B"/>
    <w:rsid w:val="00E3641F"/>
    <w:rsid w:val="00E4118C"/>
    <w:rsid w:val="00E41804"/>
    <w:rsid w:val="00E43157"/>
    <w:rsid w:val="00E461CE"/>
    <w:rsid w:val="00E573E4"/>
    <w:rsid w:val="00E619F2"/>
    <w:rsid w:val="00E64C3D"/>
    <w:rsid w:val="00E70045"/>
    <w:rsid w:val="00E71419"/>
    <w:rsid w:val="00E720CA"/>
    <w:rsid w:val="00E764E8"/>
    <w:rsid w:val="00E81231"/>
    <w:rsid w:val="00E82DDC"/>
    <w:rsid w:val="00E8447D"/>
    <w:rsid w:val="00E84EB5"/>
    <w:rsid w:val="00E85662"/>
    <w:rsid w:val="00E8789F"/>
    <w:rsid w:val="00E9222F"/>
    <w:rsid w:val="00E97B71"/>
    <w:rsid w:val="00EA3D34"/>
    <w:rsid w:val="00EB454D"/>
    <w:rsid w:val="00EC64B4"/>
    <w:rsid w:val="00ED549D"/>
    <w:rsid w:val="00ED76BE"/>
    <w:rsid w:val="00EE00E9"/>
    <w:rsid w:val="00EF1AAA"/>
    <w:rsid w:val="00EF5527"/>
    <w:rsid w:val="00EF619B"/>
    <w:rsid w:val="00F00B55"/>
    <w:rsid w:val="00F01327"/>
    <w:rsid w:val="00F02AD1"/>
    <w:rsid w:val="00F073C5"/>
    <w:rsid w:val="00F1120F"/>
    <w:rsid w:val="00F253CC"/>
    <w:rsid w:val="00F37106"/>
    <w:rsid w:val="00F40CB2"/>
    <w:rsid w:val="00F44E25"/>
    <w:rsid w:val="00F519CF"/>
    <w:rsid w:val="00F56BA5"/>
    <w:rsid w:val="00F60E22"/>
    <w:rsid w:val="00F65FE6"/>
    <w:rsid w:val="00F6619D"/>
    <w:rsid w:val="00F71285"/>
    <w:rsid w:val="00F71DEE"/>
    <w:rsid w:val="00F7359C"/>
    <w:rsid w:val="00F81395"/>
    <w:rsid w:val="00F81BB8"/>
    <w:rsid w:val="00F90C64"/>
    <w:rsid w:val="00F90EFE"/>
    <w:rsid w:val="00F917D1"/>
    <w:rsid w:val="00F91E11"/>
    <w:rsid w:val="00F9653B"/>
    <w:rsid w:val="00F97113"/>
    <w:rsid w:val="00FA0A2D"/>
    <w:rsid w:val="00FA1D36"/>
    <w:rsid w:val="00FA2A4A"/>
    <w:rsid w:val="00FA791B"/>
    <w:rsid w:val="00FB62CF"/>
    <w:rsid w:val="00FB73C0"/>
    <w:rsid w:val="00FB76BC"/>
    <w:rsid w:val="00FC06FD"/>
    <w:rsid w:val="00FC3DA5"/>
    <w:rsid w:val="00FC6D3D"/>
    <w:rsid w:val="00FD36CC"/>
    <w:rsid w:val="00FD3C3B"/>
    <w:rsid w:val="00FD6172"/>
    <w:rsid w:val="00FE07DD"/>
    <w:rsid w:val="00FE5838"/>
    <w:rsid w:val="00FE6B45"/>
    <w:rsid w:val="00FF55F3"/>
    <w:rsid w:val="00FF5851"/>
    <w:rsid w:val="00FF6B0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Ha"/>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D2527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B601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B60156"/>
    <w:rPr>
      <w:sz w:val="16"/>
      <w:szCs w:val="16"/>
    </w:rPr>
  </w:style>
  <w:style w:type="paragraph" w:styleId="CommentText">
    <w:name w:val="annotation text"/>
    <w:basedOn w:val="Normal"/>
    <w:link w:val="CommentTextChar"/>
    <w:uiPriority w:val="99"/>
    <w:unhideWhenUsed/>
    <w:rsid w:val="00B60156"/>
    <w:rPr>
      <w:sz w:val="20"/>
      <w:szCs w:val="20"/>
    </w:rPr>
  </w:style>
  <w:style w:type="character" w:customStyle="1" w:styleId="CommentTextChar">
    <w:name w:val="Comment Text Char"/>
    <w:basedOn w:val="DefaultParagraphFont"/>
    <w:link w:val="CommentText"/>
    <w:uiPriority w:val="99"/>
    <w:rsid w:val="00B60156"/>
    <w:rPr>
      <w:lang w:val="en-US" w:eastAsia="en-US"/>
    </w:rPr>
  </w:style>
  <w:style w:type="paragraph" w:styleId="CommentSubject">
    <w:name w:val="annotation subject"/>
    <w:basedOn w:val="CommentText"/>
    <w:next w:val="CommentText"/>
    <w:link w:val="CommentSubjectChar"/>
    <w:uiPriority w:val="99"/>
    <w:semiHidden/>
    <w:unhideWhenUsed/>
    <w:rsid w:val="00B60156"/>
    <w:rPr>
      <w:b/>
      <w:bCs/>
    </w:rPr>
  </w:style>
  <w:style w:type="character" w:customStyle="1" w:styleId="CommentSubjectChar">
    <w:name w:val="Comment Subject Char"/>
    <w:basedOn w:val="CommentTextChar"/>
    <w:link w:val="CommentSubject"/>
    <w:uiPriority w:val="99"/>
    <w:semiHidden/>
    <w:rsid w:val="00B60156"/>
    <w:rPr>
      <w:b/>
      <w:bCs/>
      <w:lang w:val="en-US" w:eastAsia="en-US"/>
    </w:rPr>
  </w:style>
  <w:style w:type="character" w:styleId="UnresolvedMention">
    <w:name w:val="Unresolved Mention"/>
    <w:basedOn w:val="DefaultParagraphFont"/>
    <w:uiPriority w:val="99"/>
    <w:semiHidden/>
    <w:unhideWhenUsed/>
    <w:rsid w:val="004A712C"/>
    <w:rPr>
      <w:color w:val="605E5C"/>
      <w:shd w:val="clear" w:color="auto" w:fill="E1DFDD"/>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877759"/>
    <w:rPr>
      <w:rFonts w:ascii="Cambria" w:eastAsia="Cambria" w:hAnsi="Cambria" w:cs="Cambria"/>
      <w:color w:val="000000"/>
      <w:sz w:val="24"/>
      <w:szCs w:val="24"/>
      <w:u w:color="000000"/>
      <w:lang w:val="en-US"/>
    </w:rPr>
  </w:style>
  <w:style w:type="paragraph" w:customStyle="1" w:styleId="paragraph">
    <w:name w:val="paragraph"/>
    <w:basedOn w:val="Normal"/>
    <w:rsid w:val="008777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77759"/>
  </w:style>
  <w:style w:type="character" w:customStyle="1" w:styleId="eop">
    <w:name w:val="eop"/>
    <w:basedOn w:val="DefaultParagraphFont"/>
    <w:rsid w:val="0087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3ED5"/>
    <w:rsid w:val="000D3890"/>
    <w:rsid w:val="00200821"/>
    <w:rsid w:val="00217AED"/>
    <w:rsid w:val="0025245B"/>
    <w:rsid w:val="00275417"/>
    <w:rsid w:val="002A3923"/>
    <w:rsid w:val="002C5255"/>
    <w:rsid w:val="00313F2C"/>
    <w:rsid w:val="00394049"/>
    <w:rsid w:val="003A3FCB"/>
    <w:rsid w:val="004117F3"/>
    <w:rsid w:val="0044024B"/>
    <w:rsid w:val="004B5BBB"/>
    <w:rsid w:val="004F2DF8"/>
    <w:rsid w:val="005206FE"/>
    <w:rsid w:val="005A3ADE"/>
    <w:rsid w:val="005A5F6D"/>
    <w:rsid w:val="005D6E6A"/>
    <w:rsid w:val="006F24A1"/>
    <w:rsid w:val="007258EB"/>
    <w:rsid w:val="007E2AF3"/>
    <w:rsid w:val="008D155B"/>
    <w:rsid w:val="009A261B"/>
    <w:rsid w:val="009D2223"/>
    <w:rsid w:val="00AA2E17"/>
    <w:rsid w:val="00AC15A4"/>
    <w:rsid w:val="00AD0743"/>
    <w:rsid w:val="00B0336C"/>
    <w:rsid w:val="00B9257A"/>
    <w:rsid w:val="00BA0999"/>
    <w:rsid w:val="00C20388"/>
    <w:rsid w:val="00D241E9"/>
    <w:rsid w:val="00D7750D"/>
    <w:rsid w:val="00DE3418"/>
    <w:rsid w:val="00ED60ED"/>
    <w:rsid w:val="00EF52C9"/>
    <w:rsid w:val="00F00D2F"/>
    <w:rsid w:val="00F128DF"/>
    <w:rsid w:val="00F51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C5D9-B167-4520-95EF-EBFF104F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2024-01-02T20:11:00Z</dcterms:created>
  <dcterms:modified xsi:type="dcterms:W3CDTF">2024-01-02T20:11:00Z</dcterms:modified>
</cp:coreProperties>
</file>