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D2E32" w:rsidRDefault="00D306D1" w:rsidP="00627C9F">
      <w:pPr>
        <w:jc w:val="both"/>
        <w:rPr>
          <w:rFonts w:asciiTheme="majorHAnsi" w:hAnsiTheme="majorHAnsi" w:cs="Univers"/>
          <w:b/>
          <w:bCs/>
          <w:sz w:val="20"/>
          <w:szCs w:val="20"/>
          <w:lang w:val="es-ES_tradnl"/>
        </w:rPr>
      </w:pPr>
      <w:r w:rsidRPr="00CD2E32">
        <w:rPr>
          <w:rFonts w:asciiTheme="majorHAnsi" w:hAnsiTheme="majorHAnsi"/>
          <w:noProof/>
          <w:sz w:val="20"/>
          <w:szCs w:val="20"/>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36CF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D2E32">
        <w:rPr>
          <w:rFonts w:asciiTheme="majorHAnsi" w:hAnsiTheme="majorHAnsi"/>
          <w:noProof/>
          <w:sz w:val="20"/>
          <w:szCs w:val="20"/>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CD2E32"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CD2E32"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CD2E32"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CD2E32"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CD2E32"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CD2E32"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CD2E32"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CD2E32"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CD2E32"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CD2E32"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CD2E32" w:rsidRDefault="003D3BC2" w:rsidP="00040C3A">
      <w:pPr>
        <w:tabs>
          <w:tab w:val="center" w:pos="5400"/>
        </w:tabs>
        <w:suppressAutoHyphens/>
        <w:jc w:val="center"/>
        <w:rPr>
          <w:rFonts w:asciiTheme="majorHAnsi" w:hAnsiTheme="majorHAnsi"/>
          <w:sz w:val="20"/>
          <w:szCs w:val="20"/>
          <w:lang w:val="es-ES_tradnl"/>
        </w:rPr>
      </w:pPr>
      <w:r w:rsidRPr="00CD2E32">
        <w:rPr>
          <w:rFonts w:asciiTheme="majorHAnsi" w:hAnsiTheme="majorHAnsi"/>
          <w:noProof/>
          <w:sz w:val="20"/>
          <w:szCs w:val="20"/>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A6F93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400ED">
                              <w:rPr>
                                <w:rFonts w:asciiTheme="majorHAnsi" w:hAnsiTheme="majorHAnsi" w:cs="Arial"/>
                                <w:b/>
                                <w:bCs/>
                                <w:color w:val="0D0D0D" w:themeColor="text1" w:themeTint="F2"/>
                                <w:sz w:val="36"/>
                                <w:szCs w:val="22"/>
                                <w:lang w:val="es-ES_tradnl"/>
                              </w:rPr>
                              <w:t>354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33D6E1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79E8">
                              <w:rPr>
                                <w:rFonts w:asciiTheme="majorHAnsi" w:hAnsiTheme="majorHAnsi" w:cs="Arial"/>
                                <w:b/>
                                <w:color w:val="0D0D0D" w:themeColor="text1" w:themeTint="F2"/>
                                <w:sz w:val="36"/>
                                <w:szCs w:val="22"/>
                                <w:lang w:val="es-ES_tradnl"/>
                              </w:rPr>
                              <w:t>2</w:t>
                            </w:r>
                            <w:r w:rsidR="00374066">
                              <w:rPr>
                                <w:rFonts w:asciiTheme="majorHAnsi" w:hAnsiTheme="majorHAnsi" w:cs="Arial"/>
                                <w:b/>
                                <w:color w:val="0D0D0D" w:themeColor="text1" w:themeTint="F2"/>
                                <w:sz w:val="36"/>
                                <w:szCs w:val="22"/>
                                <w:lang w:val="es-ES_tradnl"/>
                              </w:rPr>
                              <w:t>416</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1DF324E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0DED7FA" w:rsidR="005B52B0" w:rsidRPr="0010736F" w:rsidRDefault="00CD37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YOS GONZÁLEZ</w:t>
                            </w:r>
                            <w:r w:rsidR="00374066">
                              <w:rPr>
                                <w:rFonts w:asciiTheme="majorHAnsi" w:hAnsiTheme="majorHAnsi" w:cs="Arial"/>
                                <w:color w:val="0D0D0D" w:themeColor="text1" w:themeTint="F2"/>
                                <w:szCs w:val="22"/>
                                <w:lang w:val="es-ES_tradnl"/>
                              </w:rPr>
                              <w:t xml:space="preserve"> Y OTROS</w:t>
                            </w:r>
                          </w:p>
                          <w:bookmarkEnd w:id="0"/>
                          <w:p w14:paraId="575DFD52" w14:textId="19682D8C" w:rsidR="005B52B0" w:rsidRPr="00AE5488" w:rsidRDefault="00374066" w:rsidP="007A5817">
                            <w:pPr>
                              <w:rPr>
                                <w:color w:val="0D0D0D" w:themeColor="text1" w:themeTint="F2"/>
                                <w:lang w:val="es-ES_tradnl"/>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A6F93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400ED">
                        <w:rPr>
                          <w:rFonts w:asciiTheme="majorHAnsi" w:hAnsiTheme="majorHAnsi" w:cs="Arial"/>
                          <w:b/>
                          <w:bCs/>
                          <w:color w:val="0D0D0D" w:themeColor="text1" w:themeTint="F2"/>
                          <w:sz w:val="36"/>
                          <w:szCs w:val="22"/>
                          <w:lang w:val="es-ES_tradnl"/>
                        </w:rPr>
                        <w:t>354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33D6E1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79E8">
                        <w:rPr>
                          <w:rFonts w:asciiTheme="majorHAnsi" w:hAnsiTheme="majorHAnsi" w:cs="Arial"/>
                          <w:b/>
                          <w:color w:val="0D0D0D" w:themeColor="text1" w:themeTint="F2"/>
                          <w:sz w:val="36"/>
                          <w:szCs w:val="22"/>
                          <w:lang w:val="es-ES_tradnl"/>
                        </w:rPr>
                        <w:t>2</w:t>
                      </w:r>
                      <w:r w:rsidR="00374066">
                        <w:rPr>
                          <w:rFonts w:asciiTheme="majorHAnsi" w:hAnsiTheme="majorHAnsi" w:cs="Arial"/>
                          <w:b/>
                          <w:color w:val="0D0D0D" w:themeColor="text1" w:themeTint="F2"/>
                          <w:sz w:val="36"/>
                          <w:szCs w:val="22"/>
                          <w:lang w:val="es-ES_tradnl"/>
                        </w:rPr>
                        <w:t>416</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1DF324E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0DED7FA" w:rsidR="005B52B0" w:rsidRPr="0010736F" w:rsidRDefault="00CD37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YOS GONZÁLEZ</w:t>
                      </w:r>
                      <w:r w:rsidR="00374066">
                        <w:rPr>
                          <w:rFonts w:asciiTheme="majorHAnsi" w:hAnsiTheme="majorHAnsi" w:cs="Arial"/>
                          <w:color w:val="0D0D0D" w:themeColor="text1" w:themeTint="F2"/>
                          <w:szCs w:val="22"/>
                          <w:lang w:val="es-ES_tradnl"/>
                        </w:rPr>
                        <w:t xml:space="preserve"> Y OTROS</w:t>
                      </w:r>
                    </w:p>
                    <w:bookmarkEnd w:id="1"/>
                    <w:p w14:paraId="575DFD52" w14:textId="19682D8C" w:rsidR="005B52B0" w:rsidRPr="00AE5488" w:rsidRDefault="00374066" w:rsidP="007A5817">
                      <w:pPr>
                        <w:rPr>
                          <w:color w:val="0D0D0D" w:themeColor="text1" w:themeTint="F2"/>
                          <w:lang w:val="es-ES_tradnl"/>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CD2E32">
        <w:rPr>
          <w:rFonts w:asciiTheme="majorHAnsi" w:hAnsiTheme="majorHAnsi"/>
          <w:noProof/>
          <w:sz w:val="20"/>
          <w:szCs w:val="20"/>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45535A9" w:rsidR="00627C9F" w:rsidRPr="001D46DA" w:rsidRDefault="00834D49" w:rsidP="007A5817">
                            <w:pPr>
                              <w:spacing w:line="276" w:lineRule="auto"/>
                              <w:jc w:val="right"/>
                              <w:rPr>
                                <w:rFonts w:asciiTheme="minorHAnsi" w:hAnsiTheme="minorHAnsi"/>
                                <w:color w:val="FFFFFF" w:themeColor="background1"/>
                                <w:sz w:val="22"/>
                                <w:lang w:val="es-ES"/>
                              </w:rPr>
                            </w:pPr>
                            <w:r w:rsidRPr="001D46DA">
                              <w:rPr>
                                <w:rFonts w:asciiTheme="minorHAnsi" w:hAnsiTheme="minorHAnsi"/>
                                <w:color w:val="FFFFFF" w:themeColor="background1"/>
                                <w:sz w:val="22"/>
                                <w:lang w:val="es-ES"/>
                              </w:rPr>
                              <w:t>OEA/Ser.L/V/II</w:t>
                            </w:r>
                          </w:p>
                          <w:p w14:paraId="6A41611B" w14:textId="1EE40641" w:rsidR="00627C9F" w:rsidRPr="001D46DA" w:rsidRDefault="00627C9F" w:rsidP="007A5817">
                            <w:pPr>
                              <w:spacing w:line="276" w:lineRule="auto"/>
                              <w:jc w:val="right"/>
                              <w:rPr>
                                <w:rFonts w:asciiTheme="minorHAnsi" w:hAnsiTheme="minorHAnsi"/>
                                <w:color w:val="FFFFFF" w:themeColor="background1"/>
                                <w:sz w:val="22"/>
                                <w:lang w:val="es-ES"/>
                              </w:rPr>
                            </w:pPr>
                            <w:r w:rsidRPr="001D46DA">
                              <w:rPr>
                                <w:rFonts w:asciiTheme="minorHAnsi" w:hAnsiTheme="minorHAnsi"/>
                                <w:color w:val="FFFFFF" w:themeColor="background1"/>
                                <w:sz w:val="22"/>
                                <w:lang w:val="es-ES"/>
                              </w:rPr>
                              <w:t xml:space="preserve">Doc. </w:t>
                            </w:r>
                            <w:r w:rsidR="0080232C" w:rsidRPr="001D46DA">
                              <w:rPr>
                                <w:rFonts w:asciiTheme="minorHAnsi" w:hAnsiTheme="minorHAnsi"/>
                                <w:color w:val="FFFFFF" w:themeColor="background1"/>
                                <w:sz w:val="22"/>
                                <w:lang w:val="es-ES"/>
                              </w:rPr>
                              <w:t>381</w:t>
                            </w:r>
                          </w:p>
                          <w:p w14:paraId="69373ED2" w14:textId="672D2E2B" w:rsidR="00627C9F" w:rsidRPr="00C25ADB" w:rsidRDefault="0080232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45535A9" w:rsidR="00627C9F" w:rsidRPr="001D46DA" w:rsidRDefault="00834D49" w:rsidP="007A5817">
                      <w:pPr>
                        <w:spacing w:line="276" w:lineRule="auto"/>
                        <w:jc w:val="right"/>
                        <w:rPr>
                          <w:rFonts w:asciiTheme="minorHAnsi" w:hAnsiTheme="minorHAnsi"/>
                          <w:color w:val="FFFFFF" w:themeColor="background1"/>
                          <w:sz w:val="22"/>
                          <w:lang w:val="es-ES"/>
                        </w:rPr>
                      </w:pPr>
                      <w:r w:rsidRPr="001D46DA">
                        <w:rPr>
                          <w:rFonts w:asciiTheme="minorHAnsi" w:hAnsiTheme="minorHAnsi"/>
                          <w:color w:val="FFFFFF" w:themeColor="background1"/>
                          <w:sz w:val="22"/>
                          <w:lang w:val="es-ES"/>
                        </w:rPr>
                        <w:t>OEA/Ser.L/V/II</w:t>
                      </w:r>
                    </w:p>
                    <w:p w14:paraId="6A41611B" w14:textId="1EE40641" w:rsidR="00627C9F" w:rsidRPr="001D46DA" w:rsidRDefault="00627C9F" w:rsidP="007A5817">
                      <w:pPr>
                        <w:spacing w:line="276" w:lineRule="auto"/>
                        <w:jc w:val="right"/>
                        <w:rPr>
                          <w:rFonts w:asciiTheme="minorHAnsi" w:hAnsiTheme="minorHAnsi"/>
                          <w:color w:val="FFFFFF" w:themeColor="background1"/>
                          <w:sz w:val="22"/>
                          <w:lang w:val="es-ES"/>
                        </w:rPr>
                      </w:pPr>
                      <w:r w:rsidRPr="001D46DA">
                        <w:rPr>
                          <w:rFonts w:asciiTheme="minorHAnsi" w:hAnsiTheme="minorHAnsi"/>
                          <w:color w:val="FFFFFF" w:themeColor="background1"/>
                          <w:sz w:val="22"/>
                          <w:lang w:val="es-ES"/>
                        </w:rPr>
                        <w:t xml:space="preserve">Doc. </w:t>
                      </w:r>
                      <w:r w:rsidR="0080232C" w:rsidRPr="001D46DA">
                        <w:rPr>
                          <w:rFonts w:asciiTheme="minorHAnsi" w:hAnsiTheme="minorHAnsi"/>
                          <w:color w:val="FFFFFF" w:themeColor="background1"/>
                          <w:sz w:val="22"/>
                          <w:lang w:val="es-ES"/>
                        </w:rPr>
                        <w:t>381</w:t>
                      </w:r>
                    </w:p>
                    <w:p w14:paraId="69373ED2" w14:textId="672D2E2B" w:rsidR="00627C9F" w:rsidRPr="00C25ADB" w:rsidRDefault="0080232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CD2E32"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CD2E32"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CD2E32"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CD2E32"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CD2E32"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CD2E32"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CD2E32" w:rsidRDefault="0090270B" w:rsidP="00040C3A">
      <w:pPr>
        <w:tabs>
          <w:tab w:val="center" w:pos="5400"/>
        </w:tabs>
        <w:suppressAutoHyphens/>
        <w:jc w:val="center"/>
        <w:rPr>
          <w:rFonts w:asciiTheme="majorHAnsi" w:hAnsiTheme="majorHAnsi"/>
          <w:sz w:val="20"/>
          <w:szCs w:val="20"/>
          <w:lang w:val="es-ES_tradnl"/>
        </w:rPr>
      </w:pPr>
      <w:r w:rsidRPr="00CD2E32">
        <w:rPr>
          <w:rFonts w:asciiTheme="majorHAnsi" w:hAnsiTheme="majorHAnsi"/>
          <w:noProof/>
          <w:sz w:val="20"/>
          <w:szCs w:val="20"/>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856AB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1F1">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BE01F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1B0B3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856AB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1F1">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BE01F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1B0B3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CD2E32" w:rsidRDefault="0090270B" w:rsidP="00040C3A">
      <w:pPr>
        <w:tabs>
          <w:tab w:val="center" w:pos="5400"/>
        </w:tabs>
        <w:suppressAutoHyphens/>
        <w:jc w:val="center"/>
        <w:rPr>
          <w:rFonts w:asciiTheme="majorHAnsi" w:hAnsiTheme="majorHAnsi"/>
          <w:sz w:val="20"/>
          <w:szCs w:val="20"/>
          <w:lang w:val="es-ES_tradnl"/>
        </w:rPr>
      </w:pPr>
      <w:r w:rsidRPr="00CD2E32">
        <w:rPr>
          <w:rFonts w:asciiTheme="majorHAnsi" w:hAnsiTheme="majorHAnsi"/>
          <w:noProof/>
          <w:sz w:val="20"/>
          <w:szCs w:val="20"/>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7E5F1C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01F1" w:rsidRPr="00BE01F1">
                              <w:rPr>
                                <w:rFonts w:asciiTheme="majorHAnsi" w:hAnsiTheme="majorHAnsi"/>
                                <w:color w:val="595959" w:themeColor="text1" w:themeTint="A6"/>
                                <w:sz w:val="18"/>
                                <w:szCs w:val="18"/>
                                <w:lang w:val="pt-BR"/>
                              </w:rPr>
                              <w:t>354</w:t>
                            </w:r>
                            <w:r w:rsidR="007B05C4" w:rsidRPr="00BE01F1">
                              <w:rPr>
                                <w:rFonts w:asciiTheme="majorHAnsi" w:hAnsiTheme="majorHAnsi"/>
                                <w:color w:val="595959" w:themeColor="text1" w:themeTint="A6"/>
                                <w:sz w:val="18"/>
                                <w:szCs w:val="18"/>
                                <w:lang w:val="pt-BR"/>
                              </w:rPr>
                              <w:t>/</w:t>
                            </w:r>
                            <w:r w:rsidR="00BE01F1" w:rsidRPr="00BE01F1">
                              <w:rPr>
                                <w:rFonts w:asciiTheme="majorHAnsi" w:hAnsiTheme="majorHAnsi"/>
                                <w:color w:val="595959" w:themeColor="text1" w:themeTint="A6"/>
                                <w:sz w:val="18"/>
                                <w:szCs w:val="18"/>
                                <w:lang w:val="pt-BR"/>
                              </w:rPr>
                              <w:t>23</w:t>
                            </w:r>
                            <w:r w:rsidRPr="00BE01F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79E8">
                              <w:rPr>
                                <w:rFonts w:asciiTheme="majorHAnsi" w:hAnsiTheme="majorHAnsi"/>
                                <w:color w:val="595959" w:themeColor="text1" w:themeTint="A6"/>
                                <w:sz w:val="18"/>
                                <w:szCs w:val="18"/>
                                <w:lang w:val="es-ES"/>
                              </w:rPr>
                              <w:t>24</w:t>
                            </w:r>
                            <w:r w:rsidR="00374066">
                              <w:rPr>
                                <w:rFonts w:asciiTheme="majorHAnsi" w:hAnsiTheme="majorHAnsi"/>
                                <w:color w:val="595959" w:themeColor="text1" w:themeTint="A6"/>
                                <w:sz w:val="18"/>
                                <w:szCs w:val="18"/>
                                <w:lang w:val="es-ES"/>
                              </w:rPr>
                              <w:t>16</w:t>
                            </w:r>
                            <w:r w:rsidR="002A104F">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E01F1">
                              <w:rPr>
                                <w:rFonts w:asciiTheme="majorHAnsi" w:hAnsiTheme="majorHAnsi"/>
                                <w:color w:val="595959" w:themeColor="text1" w:themeTint="A6"/>
                                <w:sz w:val="18"/>
                                <w:szCs w:val="18"/>
                                <w:lang w:val="es-ES_tradnl"/>
                              </w:rPr>
                              <w:t>José Yos González y otros</w:t>
                            </w:r>
                            <w:r w:rsidRPr="00890650">
                              <w:rPr>
                                <w:rFonts w:asciiTheme="majorHAnsi" w:hAnsiTheme="majorHAnsi"/>
                                <w:color w:val="595959" w:themeColor="text1" w:themeTint="A6"/>
                                <w:sz w:val="18"/>
                                <w:szCs w:val="18"/>
                                <w:lang w:val="es-ES_tradnl"/>
                              </w:rPr>
                              <w:t xml:space="preserve">. </w:t>
                            </w:r>
                            <w:r w:rsidR="00374066">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BE01F1">
                              <w:rPr>
                                <w:rFonts w:asciiTheme="majorHAnsi" w:hAnsiTheme="majorHAnsi"/>
                                <w:color w:val="595959" w:themeColor="text1" w:themeTint="A6"/>
                                <w:sz w:val="18"/>
                                <w:szCs w:val="18"/>
                                <w:lang w:val="es-ES"/>
                              </w:rPr>
                              <w:t>29 de diciembre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7E5F1C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01F1" w:rsidRPr="00BE01F1">
                        <w:rPr>
                          <w:rFonts w:asciiTheme="majorHAnsi" w:hAnsiTheme="majorHAnsi"/>
                          <w:color w:val="595959" w:themeColor="text1" w:themeTint="A6"/>
                          <w:sz w:val="18"/>
                          <w:szCs w:val="18"/>
                          <w:lang w:val="pt-BR"/>
                        </w:rPr>
                        <w:t>354</w:t>
                      </w:r>
                      <w:r w:rsidR="007B05C4" w:rsidRPr="00BE01F1">
                        <w:rPr>
                          <w:rFonts w:asciiTheme="majorHAnsi" w:hAnsiTheme="majorHAnsi"/>
                          <w:color w:val="595959" w:themeColor="text1" w:themeTint="A6"/>
                          <w:sz w:val="18"/>
                          <w:szCs w:val="18"/>
                          <w:lang w:val="pt-BR"/>
                        </w:rPr>
                        <w:t>/</w:t>
                      </w:r>
                      <w:r w:rsidR="00BE01F1" w:rsidRPr="00BE01F1">
                        <w:rPr>
                          <w:rFonts w:asciiTheme="majorHAnsi" w:hAnsiTheme="majorHAnsi"/>
                          <w:color w:val="595959" w:themeColor="text1" w:themeTint="A6"/>
                          <w:sz w:val="18"/>
                          <w:szCs w:val="18"/>
                          <w:lang w:val="pt-BR"/>
                        </w:rPr>
                        <w:t>23</w:t>
                      </w:r>
                      <w:r w:rsidRPr="00BE01F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79E8">
                        <w:rPr>
                          <w:rFonts w:asciiTheme="majorHAnsi" w:hAnsiTheme="majorHAnsi"/>
                          <w:color w:val="595959" w:themeColor="text1" w:themeTint="A6"/>
                          <w:sz w:val="18"/>
                          <w:szCs w:val="18"/>
                          <w:lang w:val="es-ES"/>
                        </w:rPr>
                        <w:t>24</w:t>
                      </w:r>
                      <w:r w:rsidR="00374066">
                        <w:rPr>
                          <w:rFonts w:asciiTheme="majorHAnsi" w:hAnsiTheme="majorHAnsi"/>
                          <w:color w:val="595959" w:themeColor="text1" w:themeTint="A6"/>
                          <w:sz w:val="18"/>
                          <w:szCs w:val="18"/>
                          <w:lang w:val="es-ES"/>
                        </w:rPr>
                        <w:t>16</w:t>
                      </w:r>
                      <w:r w:rsidR="002A104F">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E01F1">
                        <w:rPr>
                          <w:rFonts w:asciiTheme="majorHAnsi" w:hAnsiTheme="majorHAnsi"/>
                          <w:color w:val="595959" w:themeColor="text1" w:themeTint="A6"/>
                          <w:sz w:val="18"/>
                          <w:szCs w:val="18"/>
                          <w:lang w:val="es-ES_tradnl"/>
                        </w:rPr>
                        <w:t>José Yos González y otros</w:t>
                      </w:r>
                      <w:r w:rsidRPr="00890650">
                        <w:rPr>
                          <w:rFonts w:asciiTheme="majorHAnsi" w:hAnsiTheme="majorHAnsi"/>
                          <w:color w:val="595959" w:themeColor="text1" w:themeTint="A6"/>
                          <w:sz w:val="18"/>
                          <w:szCs w:val="18"/>
                          <w:lang w:val="es-ES_tradnl"/>
                        </w:rPr>
                        <w:t xml:space="preserve">. </w:t>
                      </w:r>
                      <w:r w:rsidR="00374066">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BE01F1">
                        <w:rPr>
                          <w:rFonts w:asciiTheme="majorHAnsi" w:hAnsiTheme="majorHAnsi"/>
                          <w:color w:val="595959" w:themeColor="text1" w:themeTint="A6"/>
                          <w:sz w:val="18"/>
                          <w:szCs w:val="18"/>
                          <w:lang w:val="es-ES"/>
                        </w:rPr>
                        <w:t>29 de diciembre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CD2E32"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CD2E32" w:rsidRDefault="00D306D1" w:rsidP="005516A1">
      <w:pPr>
        <w:tabs>
          <w:tab w:val="center" w:pos="5400"/>
        </w:tabs>
        <w:suppressAutoHyphens/>
        <w:jc w:val="center"/>
        <w:rPr>
          <w:rFonts w:asciiTheme="majorHAnsi" w:hAnsiTheme="majorHAnsi"/>
          <w:b/>
          <w:sz w:val="20"/>
          <w:szCs w:val="20"/>
          <w:lang w:val="es-ES_tradnl"/>
        </w:rPr>
      </w:pPr>
      <w:r w:rsidRPr="00CD2E32">
        <w:rPr>
          <w:rFonts w:asciiTheme="majorHAnsi" w:hAnsiTheme="majorHAnsi"/>
          <w:noProof/>
          <w:sz w:val="20"/>
          <w:szCs w:val="20"/>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5F827A9" w:rsidR="00D72DC6" w:rsidRPr="00D72DC6" w:rsidRDefault="001B0B38" w:rsidP="00F02AD1">
                            <w:pPr>
                              <w:rPr>
                                <w:color w:val="FFFFFF" w:themeColor="background1"/>
                                <w14:textFill>
                                  <w14:noFill/>
                                </w14:textFill>
                              </w:rPr>
                            </w:pPr>
                            <w:r>
                              <w:rPr>
                                <w:noProof/>
                                <w:color w:val="FFFFFF" w:themeColor="background1"/>
                              </w:rPr>
                              <w:drawing>
                                <wp:inline distT="0" distB="0" distL="0" distR="0" wp14:anchorId="7C165981" wp14:editId="0074A54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5F827A9" w:rsidR="00D72DC6" w:rsidRPr="00D72DC6" w:rsidRDefault="001B0B38" w:rsidP="00F02AD1">
                      <w:pPr>
                        <w:rPr>
                          <w:color w:val="FFFFFF" w:themeColor="background1"/>
                          <w14:textFill>
                            <w14:noFill/>
                          </w14:textFill>
                        </w:rPr>
                      </w:pPr>
                      <w:r>
                        <w:rPr>
                          <w:noProof/>
                          <w:color w:val="FFFFFF" w:themeColor="background1"/>
                        </w:rPr>
                        <w:drawing>
                          <wp:inline distT="0" distB="0" distL="0" distR="0" wp14:anchorId="7C165981" wp14:editId="0074A54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D2E32">
        <w:rPr>
          <w:rFonts w:asciiTheme="majorHAnsi" w:hAnsiTheme="majorHAnsi"/>
          <w:noProof/>
          <w:sz w:val="20"/>
          <w:szCs w:val="20"/>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CD2E32" w:rsidRDefault="004A6A54" w:rsidP="005516A1">
      <w:pPr>
        <w:tabs>
          <w:tab w:val="center" w:pos="5400"/>
        </w:tabs>
        <w:suppressAutoHyphens/>
        <w:jc w:val="center"/>
        <w:rPr>
          <w:rFonts w:asciiTheme="majorHAnsi" w:hAnsiTheme="majorHAnsi"/>
          <w:b/>
          <w:sz w:val="20"/>
          <w:szCs w:val="20"/>
          <w:lang w:val="es-ES_tradnl"/>
        </w:rPr>
        <w:sectPr w:rsidR="0070697F" w:rsidRPr="00CD2E32"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D2E32">
        <w:rPr>
          <w:rFonts w:asciiTheme="majorHAnsi" w:hAnsiTheme="majorHAnsi"/>
          <w:b/>
          <w:sz w:val="20"/>
          <w:szCs w:val="20"/>
          <w:lang w:val="es-ES_tradnl"/>
        </w:rPr>
        <w:tab/>
      </w:r>
    </w:p>
    <w:p w14:paraId="376DDC8B" w14:textId="77777777" w:rsidR="003239B8" w:rsidRPr="00CD2E32" w:rsidRDefault="003239B8" w:rsidP="004A6A54">
      <w:pPr>
        <w:spacing w:after="240"/>
        <w:ind w:firstLine="720"/>
        <w:jc w:val="both"/>
        <w:rPr>
          <w:rFonts w:asciiTheme="majorHAnsi" w:hAnsiTheme="majorHAnsi"/>
          <w:b/>
          <w:bCs/>
          <w:sz w:val="20"/>
          <w:szCs w:val="20"/>
          <w:lang w:val="es-ES"/>
        </w:rPr>
      </w:pPr>
      <w:r w:rsidRPr="00CD2E32">
        <w:rPr>
          <w:rFonts w:asciiTheme="majorHAnsi" w:hAnsiTheme="majorHAnsi"/>
          <w:b/>
          <w:bCs/>
          <w:sz w:val="20"/>
          <w:szCs w:val="20"/>
          <w:lang w:val="es-ES"/>
        </w:rPr>
        <w:lastRenderedPageBreak/>
        <w:t>I.</w:t>
      </w:r>
      <w:r w:rsidRPr="00CD2E3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2249C"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CD2E32" w:rsidRDefault="003239B8" w:rsidP="008D2290">
            <w:pPr>
              <w:jc w:val="center"/>
              <w:rPr>
                <w:rFonts w:asciiTheme="majorHAnsi" w:hAnsiTheme="majorHAnsi"/>
                <w:b/>
                <w:bCs/>
                <w:color w:val="FFFFFF" w:themeColor="background1"/>
                <w:sz w:val="20"/>
                <w:szCs w:val="20"/>
              </w:rPr>
            </w:pPr>
            <w:r w:rsidRPr="00CD2E32">
              <w:rPr>
                <w:rFonts w:asciiTheme="majorHAnsi" w:hAnsiTheme="majorHAnsi"/>
                <w:b/>
                <w:bCs/>
                <w:color w:val="FFFFFF" w:themeColor="background1"/>
                <w:sz w:val="20"/>
                <w:szCs w:val="20"/>
              </w:rPr>
              <w:t>Parte peticionaria:</w:t>
            </w:r>
          </w:p>
        </w:tc>
        <w:tc>
          <w:tcPr>
            <w:tcW w:w="5760" w:type="dxa"/>
            <w:vAlign w:val="center"/>
          </w:tcPr>
          <w:p w14:paraId="3C5315D8" w14:textId="0997BE6A" w:rsidR="003239B8" w:rsidRPr="00CD2E32" w:rsidRDefault="005C73C9" w:rsidP="000C3A72">
            <w:pPr>
              <w:jc w:val="both"/>
              <w:rPr>
                <w:rFonts w:asciiTheme="majorHAnsi" w:hAnsiTheme="majorHAnsi"/>
                <w:bCs/>
                <w:sz w:val="20"/>
                <w:szCs w:val="20"/>
                <w:lang w:val="es-PE"/>
              </w:rPr>
            </w:pPr>
            <w:r w:rsidRPr="00CD2E32">
              <w:rPr>
                <w:rFonts w:asciiTheme="majorHAnsi" w:hAnsiTheme="majorHAnsi"/>
                <w:bCs/>
                <w:sz w:val="20"/>
                <w:szCs w:val="20"/>
                <w:lang w:val="es-ES"/>
              </w:rPr>
              <w:t xml:space="preserve">Asociación Memoria Dignificación y Esperanza (AMDE) </w:t>
            </w:r>
            <w:r w:rsidR="006B2002" w:rsidRPr="00CD2E32">
              <w:rPr>
                <w:rFonts w:asciiTheme="majorHAnsi" w:hAnsiTheme="majorHAnsi"/>
                <w:bCs/>
                <w:sz w:val="20"/>
                <w:szCs w:val="20"/>
                <w:lang w:val="es-ES"/>
              </w:rPr>
              <w:t xml:space="preserve">y </w:t>
            </w:r>
            <w:r w:rsidRPr="00CD2E32">
              <w:rPr>
                <w:rFonts w:asciiTheme="majorHAnsi" w:hAnsiTheme="majorHAnsi"/>
                <w:bCs/>
                <w:sz w:val="20"/>
                <w:szCs w:val="20"/>
                <w:lang w:val="es-ES"/>
              </w:rPr>
              <w:t>Asociación Consejo de Unidad Campesina de Guatemala</w:t>
            </w:r>
          </w:p>
        </w:tc>
      </w:tr>
      <w:tr w:rsidR="003239B8" w:rsidRPr="0002249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CD2E32" w:rsidRDefault="00835DBD"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D2E32">
                  <w:rPr>
                    <w:rFonts w:asciiTheme="majorHAnsi" w:hAnsiTheme="majorHAnsi"/>
                    <w:b/>
                    <w:bCs/>
                    <w:color w:val="FFFFFF" w:themeColor="background1"/>
                    <w:sz w:val="20"/>
                    <w:szCs w:val="20"/>
                  </w:rPr>
                  <w:t>Presunta víctima</w:t>
                </w:r>
              </w:sdtContent>
            </w:sdt>
            <w:r w:rsidR="003239B8" w:rsidRPr="00CD2E32">
              <w:rPr>
                <w:rFonts w:asciiTheme="majorHAnsi" w:hAnsiTheme="majorHAnsi"/>
                <w:b/>
                <w:bCs/>
                <w:color w:val="FFFFFF" w:themeColor="background1"/>
                <w:sz w:val="20"/>
                <w:szCs w:val="20"/>
              </w:rPr>
              <w:t>:</w:t>
            </w:r>
          </w:p>
        </w:tc>
        <w:tc>
          <w:tcPr>
            <w:tcW w:w="5760" w:type="dxa"/>
            <w:vAlign w:val="center"/>
          </w:tcPr>
          <w:p w14:paraId="4AEBF59E" w14:textId="232C2822" w:rsidR="003239B8" w:rsidRPr="00CD2E32" w:rsidRDefault="00B54829" w:rsidP="008D2290">
            <w:pPr>
              <w:jc w:val="both"/>
              <w:rPr>
                <w:rFonts w:asciiTheme="majorHAnsi" w:hAnsiTheme="majorHAnsi"/>
                <w:bCs/>
                <w:sz w:val="20"/>
                <w:szCs w:val="20"/>
                <w:lang w:val="es-ES"/>
              </w:rPr>
            </w:pPr>
            <w:r>
              <w:rPr>
                <w:rFonts w:asciiTheme="majorHAnsi" w:hAnsiTheme="majorHAnsi"/>
                <w:bCs/>
                <w:sz w:val="20"/>
                <w:szCs w:val="20"/>
                <w:lang w:val="es-ES"/>
              </w:rPr>
              <w:t>José Yos González y</w:t>
            </w:r>
            <w:r w:rsidR="00374066" w:rsidRPr="00CD2E32">
              <w:rPr>
                <w:rFonts w:asciiTheme="majorHAnsi" w:hAnsiTheme="majorHAnsi"/>
                <w:bCs/>
                <w:sz w:val="20"/>
                <w:szCs w:val="20"/>
                <w:lang w:val="es-ES"/>
              </w:rPr>
              <w:t xml:space="preserve"> otros</w:t>
            </w:r>
            <w:r w:rsidR="00CE7C2D" w:rsidRPr="00CD2E32">
              <w:rPr>
                <w:rFonts w:asciiTheme="majorHAnsi" w:hAnsiTheme="majorHAnsi"/>
                <w:bCs/>
                <w:sz w:val="20"/>
                <w:szCs w:val="20"/>
                <w:lang w:val="es-ES"/>
              </w:rPr>
              <w:t xml:space="preserve"> (identificados en lista anexa)</w:t>
            </w:r>
          </w:p>
        </w:tc>
      </w:tr>
      <w:tr w:rsidR="003239B8" w:rsidRPr="00CD2E32"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CD2E32" w:rsidRDefault="003239B8" w:rsidP="008D2290">
            <w:pPr>
              <w:jc w:val="center"/>
              <w:rPr>
                <w:rFonts w:asciiTheme="majorHAnsi" w:hAnsiTheme="majorHAnsi"/>
                <w:b/>
                <w:bCs/>
                <w:color w:val="FFFFFF" w:themeColor="background1"/>
                <w:sz w:val="20"/>
                <w:szCs w:val="20"/>
              </w:rPr>
            </w:pPr>
            <w:r w:rsidRPr="00CD2E32">
              <w:rPr>
                <w:rFonts w:asciiTheme="majorHAnsi" w:hAnsiTheme="majorHAnsi"/>
                <w:b/>
                <w:bCs/>
                <w:color w:val="FFFFFF" w:themeColor="background1"/>
                <w:sz w:val="20"/>
                <w:szCs w:val="20"/>
              </w:rPr>
              <w:t>Estado denunciado:</w:t>
            </w:r>
          </w:p>
        </w:tc>
        <w:tc>
          <w:tcPr>
            <w:tcW w:w="5760" w:type="dxa"/>
            <w:vAlign w:val="center"/>
          </w:tcPr>
          <w:p w14:paraId="274C8A50" w14:textId="42711C79" w:rsidR="003239B8" w:rsidRPr="00CD2E32" w:rsidRDefault="00374066" w:rsidP="008D2290">
            <w:pPr>
              <w:jc w:val="both"/>
              <w:rPr>
                <w:rFonts w:asciiTheme="majorHAnsi" w:hAnsiTheme="majorHAnsi"/>
                <w:bCs/>
                <w:sz w:val="20"/>
                <w:szCs w:val="20"/>
              </w:rPr>
            </w:pPr>
            <w:r w:rsidRPr="00CD2E32">
              <w:rPr>
                <w:rFonts w:asciiTheme="majorHAnsi" w:hAnsiTheme="majorHAnsi"/>
                <w:bCs/>
                <w:sz w:val="20"/>
                <w:szCs w:val="20"/>
              </w:rPr>
              <w:t>Guatemala</w:t>
            </w:r>
            <w:r w:rsidR="00482FF9">
              <w:rPr>
                <w:rStyle w:val="FootnoteReference"/>
                <w:rFonts w:asciiTheme="majorHAnsi" w:hAnsiTheme="majorHAnsi"/>
                <w:bCs/>
                <w:sz w:val="20"/>
                <w:szCs w:val="20"/>
              </w:rPr>
              <w:footnoteReference w:id="2"/>
            </w:r>
          </w:p>
        </w:tc>
      </w:tr>
      <w:tr w:rsidR="00223A29" w:rsidRPr="0002249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CD2E32" w:rsidRDefault="001B3A00" w:rsidP="00E4118C">
            <w:pPr>
              <w:jc w:val="center"/>
              <w:rPr>
                <w:rFonts w:asciiTheme="majorHAnsi" w:hAnsiTheme="majorHAnsi"/>
                <w:b/>
                <w:bCs/>
                <w:color w:val="FFFFFF" w:themeColor="background1"/>
                <w:sz w:val="20"/>
                <w:szCs w:val="20"/>
              </w:rPr>
            </w:pPr>
            <w:r w:rsidRPr="00CD2E32">
              <w:rPr>
                <w:rFonts w:asciiTheme="majorHAnsi" w:hAnsiTheme="majorHAnsi"/>
                <w:b/>
                <w:bCs/>
                <w:color w:val="FFFFFF" w:themeColor="background1"/>
                <w:sz w:val="20"/>
                <w:szCs w:val="20"/>
              </w:rPr>
              <w:t xml:space="preserve">Derechos </w:t>
            </w:r>
            <w:r w:rsidR="00E4118C" w:rsidRPr="00CD2E32">
              <w:rPr>
                <w:rFonts w:asciiTheme="majorHAnsi" w:hAnsiTheme="majorHAnsi"/>
                <w:b/>
                <w:bCs/>
                <w:color w:val="FFFFFF" w:themeColor="background1"/>
                <w:sz w:val="20"/>
                <w:szCs w:val="20"/>
              </w:rPr>
              <w:t>invocados</w:t>
            </w:r>
            <w:r w:rsidRPr="00CD2E32">
              <w:rPr>
                <w:rFonts w:asciiTheme="majorHAnsi" w:hAnsiTheme="majorHAnsi"/>
                <w:b/>
                <w:bCs/>
                <w:color w:val="FFFFFF" w:themeColor="background1"/>
                <w:sz w:val="20"/>
                <w:szCs w:val="20"/>
              </w:rPr>
              <w:t>:</w:t>
            </w:r>
          </w:p>
        </w:tc>
        <w:tc>
          <w:tcPr>
            <w:tcW w:w="5760" w:type="dxa"/>
            <w:vAlign w:val="center"/>
          </w:tcPr>
          <w:p w14:paraId="6DEE1EEB" w14:textId="50337B5E" w:rsidR="00223A29" w:rsidRPr="00CD2E32" w:rsidRDefault="007C7056" w:rsidP="008D2290">
            <w:pPr>
              <w:jc w:val="both"/>
              <w:rPr>
                <w:rFonts w:asciiTheme="majorHAnsi" w:hAnsiTheme="majorHAnsi"/>
                <w:bCs/>
                <w:sz w:val="20"/>
                <w:szCs w:val="20"/>
                <w:lang w:val="es-US"/>
              </w:rPr>
            </w:pPr>
            <w:r w:rsidRPr="00CD2E32">
              <w:rPr>
                <w:rFonts w:asciiTheme="majorHAnsi" w:hAnsiTheme="majorHAnsi"/>
                <w:bCs/>
                <w:sz w:val="20"/>
                <w:szCs w:val="20"/>
                <w:lang w:val="es-CO"/>
              </w:rPr>
              <w:t xml:space="preserve">Artículos </w:t>
            </w:r>
            <w:r w:rsidR="00BF3FBB" w:rsidRPr="00CD2E32">
              <w:rPr>
                <w:rFonts w:asciiTheme="majorHAnsi" w:hAnsiTheme="majorHAnsi"/>
                <w:sz w:val="20"/>
                <w:szCs w:val="20"/>
                <w:lang w:val="es-ES"/>
              </w:rPr>
              <w:t xml:space="preserve">3 (personalidad jurídica), 4 (vida), 5 (integridad personal), 7 (libertad), 8 (garantías judiciales), 12 (libertad de religión), 13 (libertad de expresión), 16 (asociación), 17 (familia), 19 (derechos del niño), 21 (propiedad privada), 22 (circulación y residencia), 23 (derechos políticos), 25 (protección judicial), y 26 (desarrollo progresivo) </w:t>
            </w:r>
            <w:r w:rsidR="007C27E5" w:rsidRPr="00CD2E32">
              <w:rPr>
                <w:rFonts w:asciiTheme="majorHAnsi" w:hAnsiTheme="majorHAnsi"/>
                <w:bCs/>
                <w:sz w:val="20"/>
                <w:szCs w:val="20"/>
                <w:lang w:val="es-CO"/>
              </w:rPr>
              <w:t>de la Convención Americana sobre Derechos Humanos</w:t>
            </w:r>
            <w:r w:rsidR="007C27E5" w:rsidRPr="00CD2E32">
              <w:rPr>
                <w:rStyle w:val="FootnoteReference"/>
                <w:rFonts w:asciiTheme="majorHAnsi" w:hAnsiTheme="majorHAnsi"/>
                <w:bCs/>
                <w:sz w:val="20"/>
                <w:szCs w:val="20"/>
                <w:lang w:val="es-CO"/>
              </w:rPr>
              <w:footnoteReference w:id="3"/>
            </w:r>
            <w:r w:rsidR="00BF3FBB" w:rsidRPr="00CD2E32">
              <w:rPr>
                <w:rFonts w:asciiTheme="majorHAnsi" w:hAnsiTheme="majorHAnsi"/>
                <w:bCs/>
                <w:sz w:val="20"/>
                <w:szCs w:val="20"/>
                <w:lang w:val="es-CO"/>
              </w:rPr>
              <w:t>; artículos 3, 4 y 7 de la Convención de Belém do Pará; artículos 6, 7 y 8 del Protocolo de San Salvador; Convención Interamericana para Prevenir y Sancionar la Tortura</w:t>
            </w:r>
            <w:r w:rsidR="00E80CE9" w:rsidRPr="00CD2E32">
              <w:rPr>
                <w:rFonts w:asciiTheme="majorHAnsi" w:hAnsiTheme="majorHAnsi"/>
                <w:bCs/>
                <w:sz w:val="20"/>
                <w:szCs w:val="20"/>
                <w:lang w:val="es-CO"/>
              </w:rPr>
              <w:t>,</w:t>
            </w:r>
            <w:r w:rsidR="00BF3FBB" w:rsidRPr="00CD2E32">
              <w:rPr>
                <w:rFonts w:asciiTheme="majorHAnsi" w:hAnsiTheme="majorHAnsi"/>
                <w:bCs/>
                <w:sz w:val="20"/>
                <w:szCs w:val="20"/>
                <w:lang w:val="es-CO"/>
              </w:rPr>
              <w:t xml:space="preserve"> y Convención Interamericana sobre Desaparición Forzada de Personas</w:t>
            </w:r>
          </w:p>
        </w:tc>
      </w:tr>
    </w:tbl>
    <w:p w14:paraId="20263696" w14:textId="77777777" w:rsidR="003239B8" w:rsidRPr="00CD2E32" w:rsidRDefault="003239B8" w:rsidP="003239B8">
      <w:pPr>
        <w:spacing w:before="240" w:after="240"/>
        <w:ind w:firstLine="720"/>
        <w:jc w:val="both"/>
        <w:rPr>
          <w:rFonts w:asciiTheme="majorHAnsi" w:hAnsiTheme="majorHAnsi"/>
          <w:b/>
          <w:bCs/>
          <w:sz w:val="20"/>
          <w:szCs w:val="20"/>
          <w:lang w:val="es-PE"/>
        </w:rPr>
      </w:pPr>
      <w:r w:rsidRPr="00CD2E32">
        <w:rPr>
          <w:rFonts w:asciiTheme="majorHAnsi" w:hAnsiTheme="majorHAnsi"/>
          <w:b/>
          <w:bCs/>
          <w:sz w:val="20"/>
          <w:szCs w:val="20"/>
          <w:lang w:val="es-ES"/>
        </w:rPr>
        <w:t>II.</w:t>
      </w:r>
      <w:r w:rsidRPr="00CD2E32">
        <w:rPr>
          <w:rFonts w:asciiTheme="majorHAnsi" w:hAnsiTheme="majorHAnsi"/>
          <w:b/>
          <w:bCs/>
          <w:sz w:val="20"/>
          <w:szCs w:val="20"/>
          <w:lang w:val="es-ES"/>
        </w:rPr>
        <w:tab/>
        <w:t>TRÁMITE ANTE LA CIDH</w:t>
      </w:r>
      <w:r w:rsidR="008E3BFE" w:rsidRPr="00CD2E32">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D2E32"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CD2E32" w:rsidRDefault="004A6A54" w:rsidP="004A6A54">
            <w:pPr>
              <w:jc w:val="center"/>
              <w:rPr>
                <w:rFonts w:asciiTheme="majorHAnsi" w:hAnsiTheme="majorHAnsi"/>
                <w:b/>
                <w:bCs/>
                <w:color w:val="FFFFFF" w:themeColor="background1"/>
                <w:sz w:val="20"/>
                <w:szCs w:val="20"/>
                <w:lang w:val="es-ES"/>
              </w:rPr>
            </w:pPr>
            <w:r w:rsidRPr="00CD2E32">
              <w:rPr>
                <w:rFonts w:asciiTheme="majorHAnsi" w:hAnsiTheme="majorHAnsi"/>
                <w:b/>
                <w:bCs/>
                <w:color w:val="FFFFFF" w:themeColor="background1"/>
                <w:sz w:val="20"/>
                <w:szCs w:val="20"/>
                <w:lang w:val="es-ES"/>
              </w:rPr>
              <w:t>P</w:t>
            </w:r>
            <w:r w:rsidR="004C2312" w:rsidRPr="00CD2E32">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18A14536" w:rsidR="004C2312" w:rsidRPr="00CD2E32" w:rsidRDefault="005F7967" w:rsidP="002625EA">
            <w:pPr>
              <w:jc w:val="both"/>
              <w:rPr>
                <w:rFonts w:asciiTheme="majorHAnsi" w:hAnsiTheme="majorHAnsi"/>
                <w:bCs/>
                <w:sz w:val="20"/>
                <w:szCs w:val="20"/>
                <w:lang w:val="es-ES"/>
              </w:rPr>
            </w:pPr>
            <w:r w:rsidRPr="00CD2E32">
              <w:rPr>
                <w:rFonts w:asciiTheme="majorHAnsi" w:hAnsiTheme="majorHAnsi"/>
                <w:bCs/>
                <w:sz w:val="20"/>
                <w:szCs w:val="20"/>
                <w:lang w:val="es-ES"/>
              </w:rPr>
              <w:t>1 de octubre de 2018</w:t>
            </w:r>
          </w:p>
        </w:tc>
      </w:tr>
      <w:tr w:rsidR="008A3C34" w:rsidRPr="0002249C" w14:paraId="51A46188" w14:textId="77777777" w:rsidTr="004A6A54">
        <w:tc>
          <w:tcPr>
            <w:tcW w:w="3600" w:type="dxa"/>
            <w:tcBorders>
              <w:top w:val="single" w:sz="6" w:space="0" w:color="auto"/>
              <w:bottom w:val="single" w:sz="6" w:space="0" w:color="auto"/>
            </w:tcBorders>
            <w:shd w:val="clear" w:color="auto" w:fill="386294"/>
            <w:vAlign w:val="center"/>
          </w:tcPr>
          <w:p w14:paraId="119D69CD" w14:textId="4F27AEE8" w:rsidR="008A3C34" w:rsidRPr="00CD2E32" w:rsidRDefault="00067CA6" w:rsidP="004A6A54">
            <w:pPr>
              <w:jc w:val="center"/>
              <w:rPr>
                <w:rFonts w:asciiTheme="majorHAnsi" w:hAnsiTheme="majorHAnsi"/>
                <w:b/>
                <w:bCs/>
                <w:color w:val="FFFFFF" w:themeColor="background1"/>
                <w:sz w:val="20"/>
                <w:szCs w:val="20"/>
                <w:lang w:val="es-ES"/>
              </w:rPr>
            </w:pPr>
            <w:r w:rsidRPr="00CD2E32">
              <w:rPr>
                <w:rFonts w:asciiTheme="majorHAnsi" w:hAnsiTheme="majorHAnsi"/>
                <w:b/>
                <w:bCs/>
                <w:color w:val="FFFFFF" w:themeColor="background1"/>
                <w:sz w:val="20"/>
                <w:szCs w:val="20"/>
                <w:lang w:val="es-PE"/>
              </w:rPr>
              <w:t>Información adicional recibida durante la etapa de estudio:</w:t>
            </w:r>
          </w:p>
        </w:tc>
        <w:tc>
          <w:tcPr>
            <w:tcW w:w="5760" w:type="dxa"/>
            <w:vAlign w:val="center"/>
          </w:tcPr>
          <w:p w14:paraId="5EF0A986" w14:textId="4824085A" w:rsidR="008A3C34" w:rsidRPr="00CD2E32" w:rsidRDefault="00D6241A" w:rsidP="002625EA">
            <w:pPr>
              <w:jc w:val="both"/>
              <w:rPr>
                <w:rFonts w:asciiTheme="majorHAnsi" w:hAnsiTheme="majorHAnsi"/>
                <w:bCs/>
                <w:sz w:val="20"/>
                <w:szCs w:val="20"/>
                <w:lang w:val="es-ES"/>
              </w:rPr>
            </w:pPr>
            <w:r w:rsidRPr="00CD2E32">
              <w:rPr>
                <w:rFonts w:asciiTheme="majorHAnsi" w:hAnsiTheme="majorHAnsi"/>
                <w:bCs/>
                <w:sz w:val="20"/>
                <w:szCs w:val="20"/>
                <w:lang w:val="es-ES"/>
              </w:rPr>
              <w:t>31 de enero de 2019, 12 de noviembre de 2019</w:t>
            </w:r>
            <w:r w:rsidR="009837CF" w:rsidRPr="00CD2E32">
              <w:rPr>
                <w:rFonts w:asciiTheme="majorHAnsi" w:hAnsiTheme="majorHAnsi"/>
                <w:bCs/>
                <w:sz w:val="20"/>
                <w:szCs w:val="20"/>
                <w:lang w:val="es-ES"/>
              </w:rPr>
              <w:t>, 28 de septiembre de 2020, 22 de octubre de 2020</w:t>
            </w:r>
            <w:r w:rsidR="00E23328" w:rsidRPr="00CD2E32">
              <w:rPr>
                <w:rFonts w:asciiTheme="majorHAnsi" w:hAnsiTheme="majorHAnsi"/>
                <w:bCs/>
                <w:sz w:val="20"/>
                <w:szCs w:val="20"/>
                <w:lang w:val="es-ES"/>
              </w:rPr>
              <w:t>, 19 de agosto de 2021, 31 de agosto de 2021</w:t>
            </w:r>
            <w:r w:rsidR="00391F5C" w:rsidRPr="00CD2E32">
              <w:rPr>
                <w:rFonts w:asciiTheme="majorHAnsi" w:hAnsiTheme="majorHAnsi"/>
                <w:bCs/>
                <w:sz w:val="20"/>
                <w:szCs w:val="20"/>
                <w:lang w:val="es-ES"/>
              </w:rPr>
              <w:t>, 1 de septiembre de 2021, 16 de septiembre de 2021, 2 de noviembre de 2021</w:t>
            </w:r>
            <w:r w:rsidR="00FA4373" w:rsidRPr="00CD2E32">
              <w:rPr>
                <w:rFonts w:asciiTheme="majorHAnsi" w:hAnsiTheme="majorHAnsi"/>
                <w:bCs/>
                <w:sz w:val="20"/>
                <w:szCs w:val="20"/>
                <w:lang w:val="es-ES"/>
              </w:rPr>
              <w:t>, 16 de noviembre de 2021, 29 de noviembre de 2021</w:t>
            </w:r>
            <w:r w:rsidR="003B110D" w:rsidRPr="00CD2E32">
              <w:rPr>
                <w:rFonts w:asciiTheme="majorHAnsi" w:hAnsiTheme="majorHAnsi"/>
                <w:bCs/>
                <w:sz w:val="20"/>
                <w:szCs w:val="20"/>
                <w:lang w:val="es-ES"/>
              </w:rPr>
              <w:t>, 22 de agosto de 2022</w:t>
            </w:r>
            <w:r w:rsidR="00BB735E" w:rsidRPr="00CD2E32">
              <w:rPr>
                <w:rFonts w:asciiTheme="majorHAnsi" w:hAnsiTheme="majorHAnsi"/>
                <w:bCs/>
                <w:sz w:val="20"/>
                <w:szCs w:val="20"/>
                <w:lang w:val="es-ES"/>
              </w:rPr>
              <w:t xml:space="preserve"> y</w:t>
            </w:r>
            <w:r w:rsidR="003B110D" w:rsidRPr="00CD2E32">
              <w:rPr>
                <w:rFonts w:asciiTheme="majorHAnsi" w:hAnsiTheme="majorHAnsi"/>
                <w:bCs/>
                <w:sz w:val="20"/>
                <w:szCs w:val="20"/>
                <w:lang w:val="es-ES"/>
              </w:rPr>
              <w:t xml:space="preserve"> 24 de enero de 2023</w:t>
            </w:r>
          </w:p>
        </w:tc>
      </w:tr>
      <w:tr w:rsidR="004C2312" w:rsidRPr="00CD2E3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CD2E32" w:rsidRDefault="004A6A54" w:rsidP="004A6A54">
            <w:pPr>
              <w:jc w:val="center"/>
              <w:rPr>
                <w:rFonts w:asciiTheme="majorHAnsi" w:hAnsiTheme="majorHAnsi"/>
                <w:b/>
                <w:bCs/>
                <w:color w:val="FFFFFF" w:themeColor="background1"/>
                <w:sz w:val="20"/>
                <w:szCs w:val="20"/>
                <w:lang w:val="es-ES"/>
              </w:rPr>
            </w:pPr>
            <w:r w:rsidRPr="00CD2E32">
              <w:rPr>
                <w:rFonts w:asciiTheme="majorHAnsi" w:hAnsiTheme="majorHAnsi"/>
                <w:b/>
                <w:color w:val="FFFFFF" w:themeColor="background1"/>
                <w:sz w:val="20"/>
                <w:szCs w:val="20"/>
                <w:lang w:val="es-ES"/>
              </w:rPr>
              <w:t>N</w:t>
            </w:r>
            <w:r w:rsidR="004C2312" w:rsidRPr="00CD2E32">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4ED2E930" w:rsidR="004C2312" w:rsidRPr="00CD2E32" w:rsidRDefault="00BB735E" w:rsidP="008D2290">
            <w:pPr>
              <w:jc w:val="both"/>
              <w:rPr>
                <w:rFonts w:asciiTheme="majorHAnsi" w:hAnsiTheme="majorHAnsi"/>
                <w:bCs/>
                <w:sz w:val="20"/>
                <w:szCs w:val="20"/>
                <w:lang w:val="es-ES"/>
              </w:rPr>
            </w:pPr>
            <w:r w:rsidRPr="00CD2E32">
              <w:rPr>
                <w:rFonts w:asciiTheme="majorHAnsi" w:hAnsiTheme="majorHAnsi"/>
                <w:bCs/>
                <w:sz w:val="20"/>
                <w:szCs w:val="20"/>
                <w:lang w:val="es-ES"/>
              </w:rPr>
              <w:t>21 de marzo de 2023</w:t>
            </w:r>
          </w:p>
        </w:tc>
      </w:tr>
      <w:tr w:rsidR="004C2312" w:rsidRPr="00CD2E32"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CD2E32" w:rsidRDefault="004A6A54" w:rsidP="004A6A54">
            <w:pPr>
              <w:jc w:val="center"/>
              <w:rPr>
                <w:rFonts w:asciiTheme="majorHAnsi" w:hAnsiTheme="majorHAnsi"/>
                <w:b/>
                <w:bCs/>
                <w:color w:val="FFFFFF" w:themeColor="background1"/>
                <w:sz w:val="20"/>
                <w:szCs w:val="20"/>
                <w:lang w:val="es-ES"/>
              </w:rPr>
            </w:pPr>
            <w:r w:rsidRPr="00CD2E32">
              <w:rPr>
                <w:rFonts w:asciiTheme="majorHAnsi" w:hAnsiTheme="majorHAnsi"/>
                <w:b/>
                <w:color w:val="FFFFFF" w:themeColor="background1"/>
                <w:sz w:val="20"/>
                <w:szCs w:val="20"/>
                <w:lang w:val="es-ES"/>
              </w:rPr>
              <w:t>P</w:t>
            </w:r>
            <w:r w:rsidR="004C2312" w:rsidRPr="00CD2E32">
              <w:rPr>
                <w:rFonts w:asciiTheme="majorHAnsi" w:hAnsiTheme="majorHAnsi"/>
                <w:b/>
                <w:color w:val="FFFFFF" w:themeColor="background1"/>
                <w:sz w:val="20"/>
                <w:szCs w:val="20"/>
                <w:lang w:val="es-ES"/>
              </w:rPr>
              <w:t>rimera respuesta del Estado:</w:t>
            </w:r>
          </w:p>
        </w:tc>
        <w:tc>
          <w:tcPr>
            <w:tcW w:w="5760" w:type="dxa"/>
            <w:vAlign w:val="center"/>
          </w:tcPr>
          <w:p w14:paraId="1972B99E" w14:textId="2DE4F5BB" w:rsidR="004C2312" w:rsidRPr="00CD2E32" w:rsidRDefault="00D14589" w:rsidP="008D2290">
            <w:pPr>
              <w:jc w:val="both"/>
              <w:rPr>
                <w:rFonts w:asciiTheme="majorHAnsi" w:hAnsiTheme="majorHAnsi"/>
                <w:bCs/>
                <w:sz w:val="20"/>
                <w:szCs w:val="20"/>
                <w:lang w:val="es-ES"/>
              </w:rPr>
            </w:pPr>
            <w:r w:rsidRPr="00CD2E32">
              <w:rPr>
                <w:rFonts w:asciiTheme="majorHAnsi" w:hAnsiTheme="majorHAnsi"/>
                <w:bCs/>
                <w:sz w:val="20"/>
                <w:szCs w:val="20"/>
                <w:lang w:val="es-ES"/>
              </w:rPr>
              <w:t>24</w:t>
            </w:r>
            <w:r w:rsidR="009B5C8C" w:rsidRPr="00CD2E32">
              <w:rPr>
                <w:rFonts w:asciiTheme="majorHAnsi" w:hAnsiTheme="majorHAnsi"/>
                <w:bCs/>
                <w:sz w:val="20"/>
                <w:szCs w:val="20"/>
                <w:lang w:val="es-ES"/>
              </w:rPr>
              <w:t xml:space="preserve"> de </w:t>
            </w:r>
            <w:r w:rsidRPr="00CD2E32">
              <w:rPr>
                <w:rFonts w:asciiTheme="majorHAnsi" w:hAnsiTheme="majorHAnsi"/>
                <w:bCs/>
                <w:sz w:val="20"/>
                <w:szCs w:val="20"/>
                <w:lang w:val="es-ES"/>
              </w:rPr>
              <w:t>julio</w:t>
            </w:r>
            <w:r w:rsidR="009B5C8C" w:rsidRPr="00CD2E32">
              <w:rPr>
                <w:rFonts w:asciiTheme="majorHAnsi" w:hAnsiTheme="majorHAnsi"/>
                <w:bCs/>
                <w:sz w:val="20"/>
                <w:szCs w:val="20"/>
                <w:lang w:val="es-ES"/>
              </w:rPr>
              <w:t xml:space="preserve"> de 202</w:t>
            </w:r>
            <w:r w:rsidRPr="00CD2E32">
              <w:rPr>
                <w:rFonts w:asciiTheme="majorHAnsi" w:hAnsiTheme="majorHAnsi"/>
                <w:bCs/>
                <w:sz w:val="20"/>
                <w:szCs w:val="20"/>
                <w:lang w:val="es-ES"/>
              </w:rPr>
              <w:t>3</w:t>
            </w:r>
          </w:p>
        </w:tc>
      </w:tr>
      <w:tr w:rsidR="008C78B9" w:rsidRPr="00CD2E32" w14:paraId="257E1326" w14:textId="77777777" w:rsidTr="004A6A54">
        <w:tc>
          <w:tcPr>
            <w:tcW w:w="3600" w:type="dxa"/>
            <w:tcBorders>
              <w:top w:val="single" w:sz="6" w:space="0" w:color="auto"/>
              <w:bottom w:val="single" w:sz="6" w:space="0" w:color="auto"/>
            </w:tcBorders>
            <w:shd w:val="clear" w:color="auto" w:fill="386294"/>
            <w:vAlign w:val="center"/>
          </w:tcPr>
          <w:p w14:paraId="0CDADF91" w14:textId="6516EFD5" w:rsidR="008C78B9" w:rsidRPr="00CD2E32" w:rsidRDefault="008C78B9" w:rsidP="008C78B9">
            <w:pPr>
              <w:jc w:val="center"/>
              <w:rPr>
                <w:rFonts w:asciiTheme="majorHAnsi" w:hAnsiTheme="majorHAnsi"/>
                <w:b/>
                <w:color w:val="FFFFFF" w:themeColor="background1"/>
                <w:sz w:val="20"/>
                <w:szCs w:val="20"/>
                <w:lang w:val="es-ES"/>
              </w:rPr>
            </w:pPr>
            <w:r w:rsidRPr="00CD2E32">
              <w:rPr>
                <w:rFonts w:asciiTheme="majorHAnsi" w:hAnsiTheme="majorHAnsi"/>
                <w:b/>
                <w:bCs/>
                <w:color w:val="FFFFFF" w:themeColor="background1"/>
                <w:sz w:val="20"/>
                <w:szCs w:val="20"/>
                <w:lang w:val="es-ES"/>
              </w:rPr>
              <w:t>Advertencia sobre posible archivo:</w:t>
            </w:r>
          </w:p>
        </w:tc>
        <w:tc>
          <w:tcPr>
            <w:tcW w:w="5760" w:type="dxa"/>
            <w:vAlign w:val="center"/>
          </w:tcPr>
          <w:p w14:paraId="43BF85D5" w14:textId="5708B8E1" w:rsidR="008C78B9" w:rsidRPr="00CD2E32" w:rsidRDefault="008C78B9" w:rsidP="008C78B9">
            <w:pPr>
              <w:jc w:val="both"/>
              <w:rPr>
                <w:rFonts w:asciiTheme="majorHAnsi" w:hAnsiTheme="majorHAnsi"/>
                <w:bCs/>
                <w:sz w:val="20"/>
                <w:szCs w:val="20"/>
                <w:lang w:val="es-ES"/>
              </w:rPr>
            </w:pPr>
            <w:r w:rsidRPr="00CD2E32">
              <w:rPr>
                <w:rFonts w:asciiTheme="majorHAnsi" w:hAnsiTheme="majorHAnsi"/>
                <w:bCs/>
                <w:sz w:val="20"/>
                <w:szCs w:val="20"/>
                <w:lang w:val="es-ES"/>
              </w:rPr>
              <w:t>26 de enero de 2022</w:t>
            </w:r>
          </w:p>
        </w:tc>
      </w:tr>
      <w:tr w:rsidR="008C78B9" w:rsidRPr="00CD2E32" w14:paraId="6F44D45D" w14:textId="77777777" w:rsidTr="004A6A54">
        <w:tc>
          <w:tcPr>
            <w:tcW w:w="3600" w:type="dxa"/>
            <w:tcBorders>
              <w:top w:val="single" w:sz="6" w:space="0" w:color="auto"/>
              <w:bottom w:val="single" w:sz="6" w:space="0" w:color="auto"/>
            </w:tcBorders>
            <w:shd w:val="clear" w:color="auto" w:fill="386294"/>
            <w:vAlign w:val="center"/>
          </w:tcPr>
          <w:p w14:paraId="0645D057" w14:textId="3E93EBBF" w:rsidR="008C78B9" w:rsidRPr="00CD2E32" w:rsidRDefault="008C78B9" w:rsidP="008C78B9">
            <w:pPr>
              <w:jc w:val="center"/>
              <w:rPr>
                <w:rFonts w:asciiTheme="majorHAnsi" w:hAnsiTheme="majorHAnsi"/>
                <w:b/>
                <w:bCs/>
                <w:color w:val="FFFFFF" w:themeColor="background1"/>
                <w:sz w:val="20"/>
                <w:szCs w:val="20"/>
                <w:lang w:val="es-ES"/>
              </w:rPr>
            </w:pPr>
            <w:r w:rsidRPr="00CD2E32">
              <w:rPr>
                <w:rFonts w:asciiTheme="majorHAnsi" w:hAnsiTheme="majorHAnsi"/>
                <w:b/>
                <w:bCs/>
                <w:color w:val="FFFFFF" w:themeColor="background1"/>
                <w:sz w:val="20"/>
                <w:szCs w:val="20"/>
                <w:lang w:val="es-ES"/>
              </w:rPr>
              <w:t>Respuesta de la parte peticionaria ante advertencia de posible archivo:</w:t>
            </w:r>
          </w:p>
        </w:tc>
        <w:tc>
          <w:tcPr>
            <w:tcW w:w="5760" w:type="dxa"/>
            <w:vAlign w:val="center"/>
          </w:tcPr>
          <w:p w14:paraId="3F565D44" w14:textId="3E23A55B" w:rsidR="008C78B9" w:rsidRPr="00CD2E32" w:rsidRDefault="008C78B9" w:rsidP="008C78B9">
            <w:pPr>
              <w:jc w:val="both"/>
              <w:rPr>
                <w:rFonts w:asciiTheme="majorHAnsi" w:hAnsiTheme="majorHAnsi"/>
                <w:bCs/>
                <w:sz w:val="20"/>
                <w:szCs w:val="20"/>
                <w:lang w:val="es-ES"/>
              </w:rPr>
            </w:pPr>
            <w:r w:rsidRPr="00CD2E32">
              <w:rPr>
                <w:rFonts w:asciiTheme="majorHAnsi" w:hAnsiTheme="majorHAnsi"/>
                <w:bCs/>
                <w:sz w:val="20"/>
                <w:szCs w:val="20"/>
                <w:lang w:val="es-ES"/>
              </w:rPr>
              <w:t>8 de febrero de 2022</w:t>
            </w:r>
          </w:p>
        </w:tc>
      </w:tr>
    </w:tbl>
    <w:p w14:paraId="21DAA666" w14:textId="77777777" w:rsidR="003239B8" w:rsidRPr="00CD2E32" w:rsidRDefault="003239B8" w:rsidP="003239B8">
      <w:pPr>
        <w:spacing w:before="240" w:after="240"/>
        <w:ind w:firstLine="720"/>
        <w:jc w:val="both"/>
        <w:rPr>
          <w:rFonts w:asciiTheme="majorHAnsi" w:hAnsiTheme="majorHAnsi"/>
          <w:b/>
          <w:bCs/>
          <w:sz w:val="20"/>
          <w:szCs w:val="20"/>
          <w:lang w:val="es-ES"/>
        </w:rPr>
      </w:pPr>
      <w:r w:rsidRPr="00CD2E32">
        <w:rPr>
          <w:rFonts w:asciiTheme="majorHAnsi" w:hAnsiTheme="majorHAnsi"/>
          <w:b/>
          <w:bCs/>
          <w:sz w:val="20"/>
          <w:szCs w:val="20"/>
          <w:lang w:val="es-ES"/>
        </w:rPr>
        <w:t xml:space="preserve">III. </w:t>
      </w:r>
      <w:r w:rsidRPr="00CD2E32">
        <w:rPr>
          <w:rFonts w:asciiTheme="majorHAnsi" w:hAnsiTheme="majorHAnsi"/>
          <w:b/>
          <w:bCs/>
          <w:sz w:val="20"/>
          <w:szCs w:val="20"/>
          <w:lang w:val="es-ES"/>
        </w:rPr>
        <w:tab/>
        <w:t>COMPETENCIA</w:t>
      </w:r>
      <w:r w:rsidR="00EE00E9" w:rsidRPr="00CD2E32">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CD2E32" w14:paraId="072532AD" w14:textId="77777777" w:rsidTr="00913AB7">
        <w:trPr>
          <w:cantSplit/>
        </w:trPr>
        <w:tc>
          <w:tcPr>
            <w:tcW w:w="3560" w:type="dxa"/>
            <w:tcBorders>
              <w:top w:val="single" w:sz="4" w:space="0" w:color="auto"/>
              <w:bottom w:val="single" w:sz="6" w:space="0" w:color="auto"/>
            </w:tcBorders>
            <w:shd w:val="clear" w:color="auto" w:fill="386294"/>
            <w:vAlign w:val="center"/>
          </w:tcPr>
          <w:p w14:paraId="5C2E4B34" w14:textId="77777777" w:rsidR="003239B8" w:rsidRPr="00CD2E32" w:rsidRDefault="003239B8" w:rsidP="008D2290">
            <w:pPr>
              <w:jc w:val="center"/>
              <w:rPr>
                <w:rFonts w:asciiTheme="majorHAnsi" w:hAnsiTheme="majorHAnsi"/>
                <w:b/>
                <w:bCs/>
                <w:i/>
                <w:color w:val="FFFFFF" w:themeColor="background1"/>
                <w:sz w:val="20"/>
                <w:szCs w:val="20"/>
              </w:rPr>
            </w:pPr>
            <w:r w:rsidRPr="00CD2E32">
              <w:rPr>
                <w:rFonts w:asciiTheme="majorHAnsi" w:hAnsiTheme="majorHAnsi"/>
                <w:b/>
                <w:bCs/>
                <w:color w:val="FFFFFF" w:themeColor="background1"/>
                <w:sz w:val="20"/>
                <w:szCs w:val="20"/>
              </w:rPr>
              <w:t>Competencia</w:t>
            </w:r>
            <w:r w:rsidRPr="00CD2E32">
              <w:rPr>
                <w:rFonts w:asciiTheme="majorHAnsi" w:hAnsiTheme="majorHAnsi"/>
                <w:b/>
                <w:bCs/>
                <w:i/>
                <w:color w:val="FFFFFF" w:themeColor="background1"/>
                <w:sz w:val="20"/>
                <w:szCs w:val="20"/>
              </w:rPr>
              <w:t xml:space="preserve"> Ratione personae:</w:t>
            </w:r>
          </w:p>
        </w:tc>
        <w:tc>
          <w:tcPr>
            <w:tcW w:w="5777" w:type="dxa"/>
            <w:vAlign w:val="center"/>
          </w:tcPr>
          <w:p w14:paraId="7707F3E9" w14:textId="018D5870" w:rsidR="003239B8" w:rsidRPr="00CD2E32" w:rsidRDefault="003467A3" w:rsidP="008D2290">
            <w:pPr>
              <w:rPr>
                <w:rFonts w:asciiTheme="majorHAnsi" w:hAnsiTheme="majorHAnsi"/>
                <w:bCs/>
                <w:sz w:val="20"/>
                <w:szCs w:val="20"/>
              </w:rPr>
            </w:pPr>
            <w:r w:rsidRPr="00CD2E32">
              <w:rPr>
                <w:rFonts w:asciiTheme="majorHAnsi" w:hAnsiTheme="majorHAnsi"/>
                <w:bCs/>
                <w:sz w:val="20"/>
                <w:szCs w:val="20"/>
                <w:lang w:val="es-CO"/>
              </w:rPr>
              <w:t>Sí</w:t>
            </w:r>
          </w:p>
        </w:tc>
      </w:tr>
      <w:tr w:rsidR="003239B8" w:rsidRPr="00CD2E32" w14:paraId="4B8802DA" w14:textId="77777777" w:rsidTr="00913AB7">
        <w:trPr>
          <w:cantSplit/>
        </w:trPr>
        <w:tc>
          <w:tcPr>
            <w:tcW w:w="3560" w:type="dxa"/>
            <w:tcBorders>
              <w:top w:val="single" w:sz="6" w:space="0" w:color="auto"/>
              <w:bottom w:val="single" w:sz="6" w:space="0" w:color="auto"/>
            </w:tcBorders>
            <w:shd w:val="clear" w:color="auto" w:fill="386294"/>
            <w:vAlign w:val="center"/>
          </w:tcPr>
          <w:p w14:paraId="3915C23B" w14:textId="77777777" w:rsidR="003239B8" w:rsidRPr="00CD2E32" w:rsidRDefault="003239B8" w:rsidP="008D2290">
            <w:pPr>
              <w:jc w:val="center"/>
              <w:rPr>
                <w:rFonts w:asciiTheme="majorHAnsi" w:hAnsiTheme="majorHAnsi"/>
                <w:b/>
                <w:bCs/>
                <w:color w:val="FFFFFF" w:themeColor="background1"/>
                <w:sz w:val="20"/>
                <w:szCs w:val="20"/>
              </w:rPr>
            </w:pPr>
            <w:r w:rsidRPr="00CD2E32">
              <w:rPr>
                <w:rFonts w:asciiTheme="majorHAnsi" w:hAnsiTheme="majorHAnsi"/>
                <w:b/>
                <w:bCs/>
                <w:color w:val="FFFFFF" w:themeColor="background1"/>
                <w:sz w:val="20"/>
                <w:szCs w:val="20"/>
              </w:rPr>
              <w:t>Competencia</w:t>
            </w:r>
            <w:r w:rsidRPr="00CD2E32">
              <w:rPr>
                <w:rFonts w:asciiTheme="majorHAnsi" w:hAnsiTheme="majorHAnsi"/>
                <w:b/>
                <w:bCs/>
                <w:i/>
                <w:color w:val="FFFFFF" w:themeColor="background1"/>
                <w:sz w:val="20"/>
                <w:szCs w:val="20"/>
              </w:rPr>
              <w:t xml:space="preserve"> Ratione loci</w:t>
            </w:r>
            <w:r w:rsidRPr="00CD2E32">
              <w:rPr>
                <w:rFonts w:asciiTheme="majorHAnsi" w:hAnsiTheme="majorHAnsi"/>
                <w:b/>
                <w:bCs/>
                <w:color w:val="FFFFFF" w:themeColor="background1"/>
                <w:sz w:val="20"/>
                <w:szCs w:val="20"/>
              </w:rPr>
              <w:t>:</w:t>
            </w:r>
          </w:p>
        </w:tc>
        <w:tc>
          <w:tcPr>
            <w:tcW w:w="5777" w:type="dxa"/>
            <w:vAlign w:val="center"/>
          </w:tcPr>
          <w:p w14:paraId="12C931CB" w14:textId="268684B9" w:rsidR="003239B8" w:rsidRPr="00CD2E32" w:rsidRDefault="003467A3" w:rsidP="008D2290">
            <w:pPr>
              <w:rPr>
                <w:rFonts w:asciiTheme="majorHAnsi" w:hAnsiTheme="majorHAnsi"/>
                <w:bCs/>
                <w:sz w:val="20"/>
                <w:szCs w:val="20"/>
              </w:rPr>
            </w:pPr>
            <w:r w:rsidRPr="00CD2E32">
              <w:rPr>
                <w:rFonts w:asciiTheme="majorHAnsi" w:hAnsiTheme="majorHAnsi"/>
                <w:bCs/>
                <w:sz w:val="20"/>
                <w:szCs w:val="20"/>
                <w:lang w:val="es-CO"/>
              </w:rPr>
              <w:t>Sí</w:t>
            </w:r>
          </w:p>
        </w:tc>
      </w:tr>
      <w:tr w:rsidR="003239B8" w:rsidRPr="00CD2E32" w14:paraId="4362FDF3" w14:textId="77777777" w:rsidTr="00913AB7">
        <w:trPr>
          <w:cantSplit/>
        </w:trPr>
        <w:tc>
          <w:tcPr>
            <w:tcW w:w="3560" w:type="dxa"/>
            <w:tcBorders>
              <w:top w:val="single" w:sz="6" w:space="0" w:color="auto"/>
              <w:bottom w:val="single" w:sz="6" w:space="0" w:color="auto"/>
            </w:tcBorders>
            <w:shd w:val="clear" w:color="auto" w:fill="386294"/>
            <w:vAlign w:val="center"/>
          </w:tcPr>
          <w:p w14:paraId="3BE23153" w14:textId="77777777" w:rsidR="003239B8" w:rsidRPr="00CD2E32" w:rsidRDefault="003239B8" w:rsidP="008D2290">
            <w:pPr>
              <w:jc w:val="center"/>
              <w:rPr>
                <w:rFonts w:asciiTheme="majorHAnsi" w:hAnsiTheme="majorHAnsi"/>
                <w:b/>
                <w:bCs/>
                <w:color w:val="FFFFFF" w:themeColor="background1"/>
                <w:sz w:val="20"/>
                <w:szCs w:val="20"/>
              </w:rPr>
            </w:pPr>
            <w:r w:rsidRPr="00CD2E32">
              <w:rPr>
                <w:rFonts w:asciiTheme="majorHAnsi" w:hAnsiTheme="majorHAnsi"/>
                <w:b/>
                <w:bCs/>
                <w:color w:val="FFFFFF" w:themeColor="background1"/>
                <w:sz w:val="20"/>
                <w:szCs w:val="20"/>
              </w:rPr>
              <w:t>Competencia</w:t>
            </w:r>
            <w:r w:rsidRPr="00CD2E32">
              <w:rPr>
                <w:rFonts w:asciiTheme="majorHAnsi" w:hAnsiTheme="majorHAnsi"/>
                <w:b/>
                <w:bCs/>
                <w:i/>
                <w:color w:val="FFFFFF" w:themeColor="background1"/>
                <w:sz w:val="20"/>
                <w:szCs w:val="20"/>
              </w:rPr>
              <w:t xml:space="preserve"> Ratione temporis</w:t>
            </w:r>
            <w:r w:rsidRPr="00CD2E32">
              <w:rPr>
                <w:rFonts w:asciiTheme="majorHAnsi" w:hAnsiTheme="majorHAnsi"/>
                <w:b/>
                <w:bCs/>
                <w:color w:val="FFFFFF" w:themeColor="background1"/>
                <w:sz w:val="20"/>
                <w:szCs w:val="20"/>
              </w:rPr>
              <w:t>:</w:t>
            </w:r>
          </w:p>
        </w:tc>
        <w:tc>
          <w:tcPr>
            <w:tcW w:w="5777" w:type="dxa"/>
            <w:vAlign w:val="center"/>
          </w:tcPr>
          <w:p w14:paraId="6F8B059B" w14:textId="4E0F5275" w:rsidR="003239B8" w:rsidRPr="00CD2E32" w:rsidRDefault="007C27E5" w:rsidP="008D2290">
            <w:pPr>
              <w:rPr>
                <w:rFonts w:asciiTheme="majorHAnsi" w:hAnsiTheme="majorHAnsi"/>
                <w:bCs/>
                <w:sz w:val="20"/>
                <w:szCs w:val="20"/>
              </w:rPr>
            </w:pPr>
            <w:r w:rsidRPr="00CD2E32">
              <w:rPr>
                <w:rFonts w:asciiTheme="majorHAnsi" w:hAnsiTheme="majorHAnsi"/>
                <w:bCs/>
                <w:sz w:val="20"/>
                <w:szCs w:val="20"/>
              </w:rPr>
              <w:t>Sí</w:t>
            </w:r>
          </w:p>
        </w:tc>
      </w:tr>
      <w:tr w:rsidR="003239B8" w:rsidRPr="0002249C" w14:paraId="30ABEC3E" w14:textId="77777777" w:rsidTr="00913AB7">
        <w:trPr>
          <w:cantSplit/>
        </w:trPr>
        <w:tc>
          <w:tcPr>
            <w:tcW w:w="3560" w:type="dxa"/>
            <w:tcBorders>
              <w:top w:val="single" w:sz="6" w:space="0" w:color="auto"/>
              <w:bottom w:val="single" w:sz="6" w:space="0" w:color="auto"/>
            </w:tcBorders>
            <w:shd w:val="clear" w:color="auto" w:fill="386294"/>
            <w:vAlign w:val="center"/>
          </w:tcPr>
          <w:p w14:paraId="47B529D2" w14:textId="77777777" w:rsidR="003239B8" w:rsidRPr="00CD2E32" w:rsidRDefault="003239B8" w:rsidP="008D2290">
            <w:pPr>
              <w:jc w:val="center"/>
              <w:rPr>
                <w:rFonts w:asciiTheme="majorHAnsi" w:hAnsiTheme="majorHAnsi"/>
                <w:b/>
                <w:bCs/>
                <w:color w:val="FFFFFF" w:themeColor="background1"/>
                <w:sz w:val="20"/>
                <w:szCs w:val="20"/>
              </w:rPr>
            </w:pPr>
            <w:r w:rsidRPr="00CD2E32">
              <w:rPr>
                <w:rFonts w:asciiTheme="majorHAnsi" w:hAnsiTheme="majorHAnsi"/>
                <w:b/>
                <w:bCs/>
                <w:color w:val="FFFFFF" w:themeColor="background1"/>
                <w:sz w:val="20"/>
                <w:szCs w:val="20"/>
              </w:rPr>
              <w:t>Competencia</w:t>
            </w:r>
            <w:r w:rsidRPr="00CD2E32">
              <w:rPr>
                <w:rFonts w:asciiTheme="majorHAnsi" w:hAnsiTheme="majorHAnsi"/>
                <w:b/>
                <w:bCs/>
                <w:i/>
                <w:color w:val="FFFFFF" w:themeColor="background1"/>
                <w:sz w:val="20"/>
                <w:szCs w:val="20"/>
              </w:rPr>
              <w:t xml:space="preserve"> Ratione materia</w:t>
            </w:r>
            <w:r w:rsidR="00EE00E9" w:rsidRPr="00CD2E32">
              <w:rPr>
                <w:rFonts w:asciiTheme="majorHAnsi" w:hAnsiTheme="majorHAnsi"/>
                <w:b/>
                <w:bCs/>
                <w:i/>
                <w:color w:val="FFFFFF" w:themeColor="background1"/>
                <w:sz w:val="20"/>
                <w:szCs w:val="20"/>
              </w:rPr>
              <w:t>e</w:t>
            </w:r>
            <w:r w:rsidRPr="00CD2E32">
              <w:rPr>
                <w:rFonts w:asciiTheme="majorHAnsi" w:hAnsiTheme="majorHAnsi"/>
                <w:b/>
                <w:bCs/>
                <w:color w:val="FFFFFF" w:themeColor="background1"/>
                <w:sz w:val="20"/>
                <w:szCs w:val="20"/>
              </w:rPr>
              <w:t>:</w:t>
            </w:r>
          </w:p>
        </w:tc>
        <w:tc>
          <w:tcPr>
            <w:tcW w:w="5777" w:type="dxa"/>
            <w:vAlign w:val="center"/>
          </w:tcPr>
          <w:p w14:paraId="690BCC45" w14:textId="77777777" w:rsidR="00D510B2" w:rsidRPr="00CD2E32" w:rsidRDefault="003467A3" w:rsidP="00A5711B">
            <w:pPr>
              <w:jc w:val="both"/>
              <w:rPr>
                <w:rFonts w:asciiTheme="majorHAnsi" w:hAnsiTheme="majorHAnsi"/>
                <w:bCs/>
                <w:sz w:val="20"/>
                <w:szCs w:val="20"/>
                <w:lang w:val="es-CO"/>
              </w:rPr>
            </w:pPr>
            <w:r w:rsidRPr="00CD2E32">
              <w:rPr>
                <w:rFonts w:asciiTheme="majorHAnsi" w:hAnsiTheme="majorHAnsi"/>
                <w:bCs/>
                <w:sz w:val="20"/>
                <w:szCs w:val="20"/>
                <w:lang w:val="es-CO"/>
              </w:rPr>
              <w:t xml:space="preserve">Sí, </w:t>
            </w:r>
          </w:p>
          <w:p w14:paraId="0C122F44" w14:textId="4C8D9FBC" w:rsidR="003239B8" w:rsidRPr="00CD2E32" w:rsidRDefault="003467A3" w:rsidP="00B54829">
            <w:pPr>
              <w:jc w:val="both"/>
              <w:rPr>
                <w:rFonts w:asciiTheme="majorHAnsi" w:hAnsiTheme="majorHAnsi"/>
                <w:bCs/>
                <w:sz w:val="20"/>
                <w:szCs w:val="20"/>
                <w:lang w:val="es-ES"/>
              </w:rPr>
            </w:pPr>
            <w:r w:rsidRPr="00CD2E32">
              <w:rPr>
                <w:rFonts w:asciiTheme="majorHAnsi" w:hAnsiTheme="majorHAnsi"/>
                <w:bCs/>
                <w:sz w:val="20"/>
                <w:szCs w:val="20"/>
                <w:lang w:val="es-CO"/>
              </w:rPr>
              <w:t xml:space="preserve">Convención Americana (depósito del instrumento de ratificación realizado el </w:t>
            </w:r>
            <w:r w:rsidR="003F41BD" w:rsidRPr="00CD2E32">
              <w:rPr>
                <w:rFonts w:asciiTheme="majorHAnsi" w:hAnsiTheme="majorHAnsi"/>
                <w:bCs/>
                <w:sz w:val="20"/>
                <w:szCs w:val="20"/>
                <w:lang w:val="es-CO"/>
              </w:rPr>
              <w:t>25</w:t>
            </w:r>
            <w:r w:rsidRPr="00CD2E32">
              <w:rPr>
                <w:rFonts w:asciiTheme="majorHAnsi" w:hAnsiTheme="majorHAnsi"/>
                <w:bCs/>
                <w:sz w:val="20"/>
                <w:szCs w:val="20"/>
                <w:lang w:val="es-CO"/>
              </w:rPr>
              <w:t xml:space="preserve"> de </w:t>
            </w:r>
            <w:r w:rsidR="003F41BD" w:rsidRPr="00CD2E32">
              <w:rPr>
                <w:rFonts w:asciiTheme="majorHAnsi" w:hAnsiTheme="majorHAnsi"/>
                <w:bCs/>
                <w:sz w:val="20"/>
                <w:szCs w:val="20"/>
                <w:lang w:val="es-CO"/>
              </w:rPr>
              <w:t>mayo</w:t>
            </w:r>
            <w:r w:rsidRPr="00CD2E32">
              <w:rPr>
                <w:rFonts w:asciiTheme="majorHAnsi" w:hAnsiTheme="majorHAnsi"/>
                <w:bCs/>
                <w:sz w:val="20"/>
                <w:szCs w:val="20"/>
                <w:lang w:val="es-CO"/>
              </w:rPr>
              <w:t xml:space="preserve"> de 197</w:t>
            </w:r>
            <w:r w:rsidR="003F41BD" w:rsidRPr="00CD2E32">
              <w:rPr>
                <w:rFonts w:asciiTheme="majorHAnsi" w:hAnsiTheme="majorHAnsi"/>
                <w:bCs/>
                <w:sz w:val="20"/>
                <w:szCs w:val="20"/>
                <w:lang w:val="es-CO"/>
              </w:rPr>
              <w:t>8</w:t>
            </w:r>
            <w:r w:rsidRPr="00CD2E32">
              <w:rPr>
                <w:rFonts w:asciiTheme="majorHAnsi" w:hAnsiTheme="majorHAnsi"/>
                <w:bCs/>
                <w:sz w:val="20"/>
                <w:szCs w:val="20"/>
                <w:lang w:val="es-CO"/>
              </w:rPr>
              <w:t>)</w:t>
            </w:r>
            <w:r w:rsidR="00343AFF" w:rsidRPr="00CD2E32">
              <w:rPr>
                <w:rFonts w:asciiTheme="majorHAnsi" w:hAnsiTheme="majorHAnsi"/>
                <w:bCs/>
                <w:sz w:val="20"/>
                <w:szCs w:val="20"/>
                <w:lang w:val="es-CO"/>
              </w:rPr>
              <w:t xml:space="preserve">, </w:t>
            </w:r>
            <w:r w:rsidR="00343AFF" w:rsidRPr="00CD2E32">
              <w:rPr>
                <w:rFonts w:asciiTheme="majorHAnsi" w:hAnsiTheme="majorHAnsi"/>
                <w:bCs/>
                <w:sz w:val="20"/>
                <w:szCs w:val="20"/>
                <w:lang w:val="es-ES"/>
              </w:rPr>
              <w:t>Convención de Belém do Pará (depósito de instrumento de ratificación realizado el 4 de abril de 1995)</w:t>
            </w:r>
            <w:r w:rsidR="00D510B2" w:rsidRPr="00CD2E32">
              <w:rPr>
                <w:rFonts w:asciiTheme="majorHAnsi" w:hAnsiTheme="majorHAnsi"/>
                <w:bCs/>
                <w:sz w:val="20"/>
                <w:szCs w:val="20"/>
                <w:lang w:val="es-ES"/>
              </w:rPr>
              <w:t>,</w:t>
            </w:r>
            <w:r w:rsidR="00B54829">
              <w:rPr>
                <w:rFonts w:asciiTheme="majorHAnsi" w:hAnsiTheme="majorHAnsi"/>
                <w:bCs/>
                <w:sz w:val="20"/>
                <w:szCs w:val="20"/>
                <w:lang w:val="es-ES"/>
              </w:rPr>
              <w:t xml:space="preserve"> </w:t>
            </w:r>
            <w:r w:rsidR="00343AFF" w:rsidRPr="00CD2E32">
              <w:rPr>
                <w:rFonts w:asciiTheme="majorHAnsi" w:hAnsiTheme="majorHAnsi"/>
                <w:bCs/>
                <w:sz w:val="20"/>
                <w:szCs w:val="20"/>
                <w:lang w:val="es-CO"/>
              </w:rPr>
              <w:t xml:space="preserve">Convención Interamericana para Prevenir y Sancionar la Tortura </w:t>
            </w:r>
            <w:r w:rsidR="00BF3FBB" w:rsidRPr="00CD2E32">
              <w:rPr>
                <w:rFonts w:asciiTheme="majorHAnsi" w:hAnsiTheme="majorHAnsi"/>
                <w:bCs/>
                <w:sz w:val="20"/>
                <w:szCs w:val="20"/>
                <w:lang w:val="es-CO"/>
              </w:rPr>
              <w:t>(</w:t>
            </w:r>
            <w:r w:rsidR="00BF3FBB" w:rsidRPr="00CD2E32">
              <w:rPr>
                <w:rFonts w:asciiTheme="majorHAnsi" w:hAnsiTheme="majorHAnsi"/>
                <w:bCs/>
                <w:sz w:val="20"/>
                <w:szCs w:val="20"/>
                <w:lang w:val="es-ES"/>
              </w:rPr>
              <w:t>depósito de instrumento de ratificación realizado el 29 de enero de 1987)</w:t>
            </w:r>
            <w:r w:rsidR="00D510B2" w:rsidRPr="00CD2E32">
              <w:rPr>
                <w:rFonts w:asciiTheme="majorHAnsi" w:hAnsiTheme="majorHAnsi"/>
                <w:bCs/>
                <w:sz w:val="20"/>
                <w:szCs w:val="20"/>
                <w:lang w:val="es-ES"/>
              </w:rPr>
              <w:t>,</w:t>
            </w:r>
            <w:r w:rsidR="00BF3FBB" w:rsidRPr="00CD2E32">
              <w:rPr>
                <w:rFonts w:asciiTheme="majorHAnsi" w:hAnsiTheme="majorHAnsi"/>
                <w:bCs/>
                <w:sz w:val="20"/>
                <w:szCs w:val="20"/>
                <w:lang w:val="es-ES"/>
              </w:rPr>
              <w:t xml:space="preserve"> </w:t>
            </w:r>
            <w:r w:rsidR="00343AFF" w:rsidRPr="00CD2E32">
              <w:rPr>
                <w:rFonts w:asciiTheme="majorHAnsi" w:hAnsiTheme="majorHAnsi"/>
                <w:bCs/>
                <w:sz w:val="20"/>
                <w:szCs w:val="20"/>
                <w:lang w:val="es-CO"/>
              </w:rPr>
              <w:t>y Convención Interamericana sobre Desaparición Forzada de Personas (</w:t>
            </w:r>
            <w:r w:rsidR="00BF3FBB" w:rsidRPr="00CD2E32">
              <w:rPr>
                <w:rFonts w:asciiTheme="majorHAnsi" w:hAnsiTheme="majorHAnsi"/>
                <w:bCs/>
                <w:sz w:val="20"/>
                <w:szCs w:val="20"/>
                <w:lang w:val="es-ES"/>
              </w:rPr>
              <w:t xml:space="preserve">depósito de instrumento de ratificación realizado </w:t>
            </w:r>
            <w:r w:rsidR="00343AFF" w:rsidRPr="00CD2E32">
              <w:rPr>
                <w:rFonts w:asciiTheme="majorHAnsi" w:hAnsiTheme="majorHAnsi"/>
                <w:bCs/>
                <w:sz w:val="20"/>
                <w:szCs w:val="20"/>
                <w:lang w:val="es-CO"/>
              </w:rPr>
              <w:t>25 de febrero de 2000)</w:t>
            </w:r>
          </w:p>
        </w:tc>
      </w:tr>
    </w:tbl>
    <w:p w14:paraId="0F597E2E" w14:textId="77777777" w:rsidR="00E247FD" w:rsidRDefault="00E247FD" w:rsidP="003239B8">
      <w:pPr>
        <w:spacing w:before="240" w:after="240"/>
        <w:ind w:firstLine="720"/>
        <w:jc w:val="both"/>
        <w:rPr>
          <w:rFonts w:asciiTheme="majorHAnsi" w:hAnsiTheme="majorHAnsi"/>
          <w:b/>
          <w:bCs/>
          <w:sz w:val="20"/>
          <w:szCs w:val="20"/>
          <w:lang w:val="es-ES"/>
        </w:rPr>
      </w:pPr>
    </w:p>
    <w:p w14:paraId="4E92C444" w14:textId="6D23BEBE" w:rsidR="003239B8" w:rsidRPr="00CD2E32" w:rsidRDefault="003239B8" w:rsidP="003239B8">
      <w:pPr>
        <w:spacing w:before="240" w:after="240"/>
        <w:ind w:firstLine="720"/>
        <w:jc w:val="both"/>
        <w:rPr>
          <w:rFonts w:asciiTheme="majorHAnsi" w:hAnsiTheme="majorHAnsi"/>
          <w:b/>
          <w:bCs/>
          <w:sz w:val="20"/>
          <w:szCs w:val="20"/>
          <w:lang w:val="es-ES"/>
        </w:rPr>
      </w:pPr>
      <w:r w:rsidRPr="00CD2E32">
        <w:rPr>
          <w:rFonts w:asciiTheme="majorHAnsi" w:hAnsiTheme="majorHAnsi"/>
          <w:b/>
          <w:bCs/>
          <w:sz w:val="20"/>
          <w:szCs w:val="20"/>
          <w:lang w:val="es-ES"/>
        </w:rPr>
        <w:lastRenderedPageBreak/>
        <w:t xml:space="preserve">IV. </w:t>
      </w:r>
      <w:r w:rsidRPr="00CD2E32">
        <w:rPr>
          <w:rFonts w:asciiTheme="majorHAnsi" w:hAnsiTheme="majorHAnsi"/>
          <w:b/>
          <w:bCs/>
          <w:sz w:val="20"/>
          <w:szCs w:val="20"/>
          <w:lang w:val="es-ES"/>
        </w:rPr>
        <w:tab/>
      </w:r>
      <w:r w:rsidR="00EE00E9" w:rsidRPr="00CD2E32">
        <w:rPr>
          <w:rFonts w:asciiTheme="majorHAnsi" w:hAnsiTheme="majorHAnsi"/>
          <w:b/>
          <w:bCs/>
          <w:sz w:val="20"/>
          <w:szCs w:val="20"/>
          <w:lang w:val="es-ES"/>
        </w:rPr>
        <w:t>DUPLICACIÓN</w:t>
      </w:r>
      <w:r w:rsidR="00EE00E9" w:rsidRPr="00CD2E32">
        <w:rPr>
          <w:rFonts w:asciiTheme="majorHAnsi" w:hAnsiTheme="majorHAnsi"/>
          <w:b/>
          <w:bCs/>
          <w:color w:val="FFFFFF" w:themeColor="background1"/>
          <w:sz w:val="20"/>
          <w:szCs w:val="20"/>
          <w:lang w:val="es-ES"/>
        </w:rPr>
        <w:t xml:space="preserve"> </w:t>
      </w:r>
      <w:r w:rsidR="00EE00E9" w:rsidRPr="00CD2E32">
        <w:rPr>
          <w:rFonts w:asciiTheme="majorHAnsi" w:hAnsiTheme="majorHAnsi"/>
          <w:b/>
          <w:bCs/>
          <w:sz w:val="20"/>
          <w:szCs w:val="20"/>
          <w:lang w:val="es-ES"/>
        </w:rPr>
        <w:t>DE PROCEDIMIENTOS Y COSA JUZGADA</w:t>
      </w:r>
      <w:r w:rsidR="00EE00E9" w:rsidRPr="00CD2E32">
        <w:rPr>
          <w:rFonts w:asciiTheme="majorHAnsi" w:hAnsiTheme="majorHAnsi"/>
          <w:b/>
          <w:bCs/>
          <w:i/>
          <w:sz w:val="20"/>
          <w:szCs w:val="20"/>
          <w:lang w:val="es-ES"/>
        </w:rPr>
        <w:t xml:space="preserve"> </w:t>
      </w:r>
      <w:r w:rsidR="00EE00E9" w:rsidRPr="00CD2E32">
        <w:rPr>
          <w:rFonts w:asciiTheme="majorHAnsi" w:hAnsiTheme="majorHAnsi"/>
          <w:b/>
          <w:bCs/>
          <w:sz w:val="20"/>
          <w:szCs w:val="20"/>
          <w:lang w:val="es-ES"/>
        </w:rPr>
        <w:t>INTERNACIONAL</w:t>
      </w:r>
      <w:r w:rsidR="005D38F9" w:rsidRPr="00CD2E32">
        <w:rPr>
          <w:rFonts w:asciiTheme="majorHAnsi" w:hAnsiTheme="majorHAnsi"/>
          <w:b/>
          <w:bCs/>
          <w:sz w:val="20"/>
          <w:szCs w:val="20"/>
          <w:lang w:val="es-ES"/>
        </w:rPr>
        <w:t>,</w:t>
      </w:r>
      <w:r w:rsidRPr="00CD2E32">
        <w:rPr>
          <w:rFonts w:asciiTheme="majorHAnsi" w:hAnsiTheme="majorHAnsi"/>
          <w:b/>
          <w:bCs/>
          <w:sz w:val="20"/>
          <w:szCs w:val="20"/>
          <w:lang w:val="es-ES"/>
        </w:rPr>
        <w:t xml:space="preserve"> CARACTERIZACIÓN, </w:t>
      </w:r>
      <w:r w:rsidRPr="00CD2E32">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CD2E32" w14:paraId="1231C988" w14:textId="77777777" w:rsidTr="00913AB7">
        <w:trPr>
          <w:cantSplit/>
        </w:trPr>
        <w:tc>
          <w:tcPr>
            <w:tcW w:w="3563" w:type="dxa"/>
            <w:tcBorders>
              <w:top w:val="single" w:sz="4" w:space="0" w:color="auto"/>
              <w:bottom w:val="single" w:sz="6" w:space="0" w:color="auto"/>
            </w:tcBorders>
            <w:shd w:val="clear" w:color="auto" w:fill="386294"/>
            <w:vAlign w:val="center"/>
          </w:tcPr>
          <w:p w14:paraId="6F8031F4" w14:textId="77777777" w:rsidR="00EE00E9" w:rsidRPr="00CD2E32" w:rsidRDefault="00EE00E9" w:rsidP="008D2290">
            <w:pPr>
              <w:jc w:val="center"/>
              <w:rPr>
                <w:rFonts w:asciiTheme="majorHAnsi" w:hAnsiTheme="majorHAnsi"/>
                <w:b/>
                <w:bCs/>
                <w:color w:val="FFFFFF" w:themeColor="background1"/>
                <w:sz w:val="20"/>
                <w:szCs w:val="20"/>
                <w:lang w:val="es-ES"/>
              </w:rPr>
            </w:pPr>
            <w:r w:rsidRPr="00CD2E32">
              <w:rPr>
                <w:rFonts w:asciiTheme="majorHAnsi" w:hAnsiTheme="majorHAnsi"/>
                <w:b/>
                <w:bCs/>
                <w:color w:val="FFFFFF" w:themeColor="background1"/>
                <w:sz w:val="20"/>
                <w:szCs w:val="20"/>
                <w:lang w:val="es-ES"/>
              </w:rPr>
              <w:t>Duplicación de procedimientos y cosa juzgada internacional:</w:t>
            </w:r>
          </w:p>
        </w:tc>
        <w:tc>
          <w:tcPr>
            <w:tcW w:w="5774" w:type="dxa"/>
            <w:vAlign w:val="center"/>
          </w:tcPr>
          <w:p w14:paraId="240941E6" w14:textId="6BDBBF00" w:rsidR="00EE00E9" w:rsidRPr="00CD2E32" w:rsidRDefault="00BF3FBB" w:rsidP="008D2290">
            <w:pPr>
              <w:jc w:val="both"/>
              <w:rPr>
                <w:rFonts w:asciiTheme="majorHAnsi" w:hAnsiTheme="majorHAnsi"/>
                <w:bCs/>
                <w:sz w:val="20"/>
                <w:szCs w:val="20"/>
                <w:lang w:val="es-ES"/>
              </w:rPr>
            </w:pPr>
            <w:r w:rsidRPr="00CD2E32">
              <w:rPr>
                <w:rFonts w:asciiTheme="majorHAnsi" w:hAnsiTheme="majorHAnsi"/>
                <w:bCs/>
                <w:sz w:val="20"/>
                <w:szCs w:val="20"/>
                <w:lang w:val="es-ES"/>
              </w:rPr>
              <w:t>No</w:t>
            </w:r>
          </w:p>
        </w:tc>
      </w:tr>
      <w:tr w:rsidR="003239B8" w:rsidRPr="0002249C" w14:paraId="15FAA7D1" w14:textId="77777777" w:rsidTr="00913AB7">
        <w:trPr>
          <w:cantSplit/>
        </w:trPr>
        <w:tc>
          <w:tcPr>
            <w:tcW w:w="3563" w:type="dxa"/>
            <w:tcBorders>
              <w:top w:val="single" w:sz="4" w:space="0" w:color="auto"/>
              <w:bottom w:val="single" w:sz="6" w:space="0" w:color="auto"/>
            </w:tcBorders>
            <w:shd w:val="clear" w:color="auto" w:fill="386294"/>
            <w:vAlign w:val="center"/>
          </w:tcPr>
          <w:p w14:paraId="1B0D29FF" w14:textId="77777777" w:rsidR="003239B8" w:rsidRPr="00CD2E32" w:rsidRDefault="003239B8" w:rsidP="008D2290">
            <w:pPr>
              <w:jc w:val="center"/>
              <w:rPr>
                <w:rFonts w:asciiTheme="majorHAnsi" w:hAnsiTheme="majorHAnsi"/>
                <w:b/>
                <w:bCs/>
                <w:i/>
                <w:color w:val="FFFFFF" w:themeColor="background1"/>
                <w:sz w:val="20"/>
                <w:szCs w:val="20"/>
              </w:rPr>
            </w:pPr>
            <w:r w:rsidRPr="00CD2E32">
              <w:rPr>
                <w:rFonts w:asciiTheme="majorHAnsi" w:hAnsiTheme="majorHAnsi"/>
                <w:b/>
                <w:bCs/>
                <w:color w:val="FFFFFF" w:themeColor="background1"/>
                <w:sz w:val="20"/>
                <w:szCs w:val="20"/>
              </w:rPr>
              <w:t>Derechos declarados admisibles</w:t>
            </w:r>
            <w:r w:rsidRPr="00CD2E32">
              <w:rPr>
                <w:rFonts w:asciiTheme="majorHAnsi" w:hAnsiTheme="majorHAnsi"/>
                <w:b/>
                <w:bCs/>
                <w:i/>
                <w:color w:val="FFFFFF" w:themeColor="background1"/>
                <w:sz w:val="20"/>
                <w:szCs w:val="20"/>
              </w:rPr>
              <w:t>:</w:t>
            </w:r>
          </w:p>
        </w:tc>
        <w:tc>
          <w:tcPr>
            <w:tcW w:w="5774" w:type="dxa"/>
            <w:vAlign w:val="center"/>
          </w:tcPr>
          <w:p w14:paraId="6310C8F7" w14:textId="174EBC83" w:rsidR="003239B8" w:rsidRPr="00CD2E32" w:rsidRDefault="00BF3FBB" w:rsidP="008D2290">
            <w:pPr>
              <w:jc w:val="both"/>
              <w:rPr>
                <w:rFonts w:asciiTheme="majorHAnsi" w:hAnsiTheme="majorHAnsi"/>
                <w:bCs/>
                <w:sz w:val="20"/>
                <w:szCs w:val="20"/>
                <w:lang w:val="es-CO"/>
              </w:rPr>
            </w:pPr>
            <w:r w:rsidRPr="00CD2E32">
              <w:rPr>
                <w:rFonts w:asciiTheme="majorHAnsi" w:hAnsiTheme="majorHAnsi"/>
                <w:bCs/>
                <w:sz w:val="20"/>
                <w:szCs w:val="20"/>
                <w:lang w:val="es-CO"/>
              </w:rPr>
              <w:t xml:space="preserve">Artículos </w:t>
            </w:r>
            <w:r w:rsidRPr="00CD2E32">
              <w:rPr>
                <w:rFonts w:asciiTheme="majorHAnsi" w:hAnsiTheme="majorHAnsi"/>
                <w:sz w:val="20"/>
                <w:szCs w:val="20"/>
                <w:lang w:val="es-ES"/>
              </w:rPr>
              <w:t xml:space="preserve">3 (personalidad jurídica), 4 (vida), 5 (integridad personal), 7 (libertad), 8 (garantías judiciales), 12 (libertad de religión), 13 (libertad de expresión), 16 (asociación), 17 (familia), 19 (derechos del niño), 21 (propiedad privada), 22 (circulación y residencia), 23 (derechos políticos), 25 (protección judicial), y 26 (desarrollo progresivo) </w:t>
            </w:r>
            <w:r w:rsidRPr="00CD2E32">
              <w:rPr>
                <w:rFonts w:asciiTheme="majorHAnsi" w:hAnsiTheme="majorHAnsi"/>
                <w:bCs/>
                <w:sz w:val="20"/>
                <w:szCs w:val="20"/>
                <w:lang w:val="es-CO"/>
              </w:rPr>
              <w:t>de la Convención Americana; artículo 7 de la Convención de Belém do Pará;</w:t>
            </w:r>
            <w:r w:rsidR="00B54829">
              <w:rPr>
                <w:rFonts w:asciiTheme="majorHAnsi" w:hAnsiTheme="majorHAnsi"/>
                <w:bCs/>
                <w:sz w:val="20"/>
                <w:szCs w:val="20"/>
                <w:lang w:val="es-CO"/>
              </w:rPr>
              <w:t xml:space="preserve"> </w:t>
            </w:r>
            <w:r w:rsidR="00E65BB6" w:rsidRPr="00CD2E32">
              <w:rPr>
                <w:rFonts w:asciiTheme="majorHAnsi" w:hAnsiTheme="majorHAnsi"/>
                <w:bCs/>
                <w:sz w:val="20"/>
                <w:szCs w:val="20"/>
                <w:lang w:val="es-CO"/>
              </w:rPr>
              <w:t xml:space="preserve">artículos 1, 6 y 8 de la </w:t>
            </w:r>
            <w:r w:rsidRPr="00CD2E32">
              <w:rPr>
                <w:rFonts w:asciiTheme="majorHAnsi" w:hAnsiTheme="majorHAnsi"/>
                <w:bCs/>
                <w:sz w:val="20"/>
                <w:szCs w:val="20"/>
                <w:lang w:val="es-CO"/>
              </w:rPr>
              <w:t>Convención Interamericana para Prevenir y Sancionar la Tortura</w:t>
            </w:r>
            <w:r w:rsidR="00E65BB6" w:rsidRPr="00CD2E32">
              <w:rPr>
                <w:rFonts w:asciiTheme="majorHAnsi" w:hAnsiTheme="majorHAnsi"/>
                <w:bCs/>
                <w:sz w:val="20"/>
                <w:szCs w:val="20"/>
                <w:lang w:val="es-CO"/>
              </w:rPr>
              <w:t>;</w:t>
            </w:r>
            <w:r w:rsidRPr="00CD2E32">
              <w:rPr>
                <w:rFonts w:asciiTheme="majorHAnsi" w:hAnsiTheme="majorHAnsi"/>
                <w:bCs/>
                <w:sz w:val="20"/>
                <w:szCs w:val="20"/>
                <w:lang w:val="es-CO"/>
              </w:rPr>
              <w:t xml:space="preserve"> y </w:t>
            </w:r>
            <w:r w:rsidR="00BE5CF5" w:rsidRPr="00CD2E32">
              <w:rPr>
                <w:rFonts w:asciiTheme="majorHAnsi" w:hAnsiTheme="majorHAnsi"/>
                <w:bCs/>
                <w:sz w:val="20"/>
                <w:szCs w:val="20"/>
                <w:lang w:val="es-CO"/>
              </w:rPr>
              <w:t xml:space="preserve">el artículo I de </w:t>
            </w:r>
            <w:r w:rsidR="00E65BB6" w:rsidRPr="00CD2E32">
              <w:rPr>
                <w:rFonts w:asciiTheme="majorHAnsi" w:hAnsiTheme="majorHAnsi"/>
                <w:bCs/>
                <w:sz w:val="20"/>
                <w:szCs w:val="20"/>
                <w:lang w:val="es-CO"/>
              </w:rPr>
              <w:t xml:space="preserve">la </w:t>
            </w:r>
            <w:r w:rsidRPr="00CD2E32">
              <w:rPr>
                <w:rFonts w:asciiTheme="majorHAnsi" w:hAnsiTheme="majorHAnsi"/>
                <w:bCs/>
                <w:sz w:val="20"/>
                <w:szCs w:val="20"/>
                <w:lang w:val="es-CO"/>
              </w:rPr>
              <w:t>Convención Interamericana sobre Desaparición Forzada de Personas</w:t>
            </w:r>
            <w:r w:rsidR="00E65BB6" w:rsidRPr="00CD2E32">
              <w:rPr>
                <w:rFonts w:asciiTheme="majorHAnsi" w:hAnsiTheme="majorHAnsi"/>
                <w:bCs/>
                <w:sz w:val="20"/>
                <w:szCs w:val="20"/>
                <w:lang w:val="es-CO"/>
              </w:rPr>
              <w:t xml:space="preserve"> </w:t>
            </w:r>
          </w:p>
        </w:tc>
      </w:tr>
      <w:tr w:rsidR="003239B8" w:rsidRPr="0002249C" w14:paraId="4EFD141E" w14:textId="77777777" w:rsidTr="00913AB7">
        <w:trPr>
          <w:cantSplit/>
        </w:trPr>
        <w:tc>
          <w:tcPr>
            <w:tcW w:w="3563" w:type="dxa"/>
            <w:tcBorders>
              <w:top w:val="single" w:sz="6" w:space="0" w:color="auto"/>
              <w:bottom w:val="single" w:sz="6" w:space="0" w:color="auto"/>
            </w:tcBorders>
            <w:shd w:val="clear" w:color="auto" w:fill="386294"/>
            <w:vAlign w:val="center"/>
          </w:tcPr>
          <w:p w14:paraId="4C04A89C" w14:textId="77777777" w:rsidR="003239B8" w:rsidRPr="00CD2E32" w:rsidRDefault="003239B8" w:rsidP="008D2290">
            <w:pPr>
              <w:jc w:val="center"/>
              <w:rPr>
                <w:rFonts w:asciiTheme="majorHAnsi" w:hAnsiTheme="majorHAnsi"/>
                <w:b/>
                <w:bCs/>
                <w:color w:val="FFFFFF" w:themeColor="background1"/>
                <w:sz w:val="20"/>
                <w:szCs w:val="20"/>
                <w:lang w:val="es-ES"/>
              </w:rPr>
            </w:pPr>
            <w:r w:rsidRPr="00CD2E32">
              <w:rPr>
                <w:rFonts w:asciiTheme="majorHAnsi" w:hAnsiTheme="majorHAnsi"/>
                <w:b/>
                <w:bCs/>
                <w:color w:val="FFFFFF" w:themeColor="background1"/>
                <w:sz w:val="20"/>
                <w:szCs w:val="20"/>
                <w:lang w:val="es-ES"/>
              </w:rPr>
              <w:t>Agotamiento de recursos internos</w:t>
            </w:r>
            <w:r w:rsidR="00EE00E9" w:rsidRPr="00CD2E32">
              <w:rPr>
                <w:rFonts w:asciiTheme="majorHAnsi" w:hAnsiTheme="majorHAnsi"/>
                <w:b/>
                <w:bCs/>
                <w:color w:val="FFFFFF" w:themeColor="background1"/>
                <w:sz w:val="20"/>
                <w:szCs w:val="20"/>
                <w:lang w:val="es-ES"/>
              </w:rPr>
              <w:t xml:space="preserve"> o procedencia de una excepción</w:t>
            </w:r>
            <w:r w:rsidRPr="00CD2E32">
              <w:rPr>
                <w:rFonts w:asciiTheme="majorHAnsi" w:hAnsiTheme="majorHAnsi"/>
                <w:b/>
                <w:bCs/>
                <w:color w:val="FFFFFF" w:themeColor="background1"/>
                <w:sz w:val="20"/>
                <w:szCs w:val="20"/>
                <w:lang w:val="es-ES"/>
              </w:rPr>
              <w:t>:</w:t>
            </w:r>
          </w:p>
        </w:tc>
        <w:tc>
          <w:tcPr>
            <w:tcW w:w="5774" w:type="dxa"/>
            <w:vAlign w:val="center"/>
          </w:tcPr>
          <w:p w14:paraId="69C53E8A" w14:textId="4F4EDBE6" w:rsidR="003239B8" w:rsidRPr="00CD2E32" w:rsidRDefault="00BF3FBB" w:rsidP="008D2290">
            <w:pPr>
              <w:rPr>
                <w:rFonts w:asciiTheme="majorHAnsi" w:hAnsiTheme="majorHAnsi"/>
                <w:bCs/>
                <w:sz w:val="20"/>
                <w:szCs w:val="20"/>
                <w:lang w:val="es-ES"/>
              </w:rPr>
            </w:pPr>
            <w:r w:rsidRPr="00CD2E32">
              <w:rPr>
                <w:rFonts w:asciiTheme="majorHAnsi" w:hAnsiTheme="majorHAnsi"/>
                <w:bCs/>
                <w:sz w:val="20"/>
                <w:szCs w:val="20"/>
                <w:lang w:val="es-ES"/>
              </w:rPr>
              <w:t>Sí, en los términos de la Sección VI</w:t>
            </w:r>
          </w:p>
        </w:tc>
      </w:tr>
      <w:tr w:rsidR="003239B8" w:rsidRPr="0002249C" w14:paraId="52B5BA17" w14:textId="77777777" w:rsidTr="00913AB7">
        <w:trPr>
          <w:cantSplit/>
        </w:trPr>
        <w:tc>
          <w:tcPr>
            <w:tcW w:w="3563" w:type="dxa"/>
            <w:tcBorders>
              <w:top w:val="single" w:sz="6" w:space="0" w:color="auto"/>
              <w:bottom w:val="single" w:sz="6" w:space="0" w:color="auto"/>
            </w:tcBorders>
            <w:shd w:val="clear" w:color="auto" w:fill="386294"/>
            <w:vAlign w:val="center"/>
          </w:tcPr>
          <w:p w14:paraId="5DF99086" w14:textId="77777777" w:rsidR="003239B8" w:rsidRPr="00CD2E32" w:rsidRDefault="003239B8" w:rsidP="008D2290">
            <w:pPr>
              <w:jc w:val="center"/>
              <w:rPr>
                <w:rFonts w:asciiTheme="majorHAnsi" w:hAnsiTheme="majorHAnsi"/>
                <w:b/>
                <w:bCs/>
                <w:color w:val="FFFFFF" w:themeColor="background1"/>
                <w:sz w:val="20"/>
                <w:szCs w:val="20"/>
              </w:rPr>
            </w:pPr>
            <w:r w:rsidRPr="00CD2E32">
              <w:rPr>
                <w:rFonts w:asciiTheme="majorHAnsi" w:hAnsiTheme="majorHAnsi"/>
                <w:b/>
                <w:bCs/>
                <w:color w:val="FFFFFF" w:themeColor="background1"/>
                <w:sz w:val="20"/>
                <w:szCs w:val="20"/>
              </w:rPr>
              <w:t>Presentación dentro de plazo:</w:t>
            </w:r>
          </w:p>
        </w:tc>
        <w:tc>
          <w:tcPr>
            <w:tcW w:w="5774" w:type="dxa"/>
            <w:vAlign w:val="center"/>
          </w:tcPr>
          <w:p w14:paraId="4A2A4569" w14:textId="4AB06F0E" w:rsidR="003239B8" w:rsidRPr="00CD2E32" w:rsidRDefault="00BF3FBB" w:rsidP="008D2290">
            <w:pPr>
              <w:rPr>
                <w:rFonts w:asciiTheme="majorHAnsi" w:hAnsiTheme="majorHAnsi"/>
                <w:bCs/>
                <w:sz w:val="20"/>
                <w:szCs w:val="20"/>
                <w:lang w:val="es-CO"/>
              </w:rPr>
            </w:pPr>
            <w:r w:rsidRPr="00CD2E32">
              <w:rPr>
                <w:rFonts w:asciiTheme="majorHAnsi" w:hAnsiTheme="majorHAnsi"/>
                <w:bCs/>
                <w:sz w:val="20"/>
                <w:szCs w:val="20"/>
                <w:lang w:val="es-CO"/>
              </w:rPr>
              <w:t xml:space="preserve">Sí, </w:t>
            </w:r>
            <w:r w:rsidRPr="00CD2E32">
              <w:rPr>
                <w:rFonts w:asciiTheme="majorHAnsi" w:hAnsiTheme="majorHAnsi"/>
                <w:bCs/>
                <w:sz w:val="20"/>
                <w:szCs w:val="20"/>
                <w:lang w:val="es-ES"/>
              </w:rPr>
              <w:t>en los términos de la Sección VI</w:t>
            </w:r>
          </w:p>
        </w:tc>
      </w:tr>
    </w:tbl>
    <w:p w14:paraId="18E6423B" w14:textId="0107F3A7" w:rsidR="003239B8" w:rsidRPr="00CD2E32" w:rsidRDefault="00223A29" w:rsidP="00681804">
      <w:pPr>
        <w:spacing w:before="240" w:after="240"/>
        <w:ind w:firstLine="720"/>
        <w:jc w:val="both"/>
        <w:rPr>
          <w:rFonts w:asciiTheme="majorHAnsi" w:hAnsiTheme="majorHAnsi"/>
          <w:b/>
          <w:sz w:val="20"/>
          <w:szCs w:val="20"/>
          <w:lang w:val="es-UY"/>
        </w:rPr>
      </w:pPr>
      <w:r w:rsidRPr="00CD2E32">
        <w:rPr>
          <w:rFonts w:asciiTheme="majorHAnsi" w:hAnsiTheme="majorHAnsi"/>
          <w:b/>
          <w:sz w:val="20"/>
          <w:szCs w:val="20"/>
          <w:lang w:val="es-UY"/>
        </w:rPr>
        <w:t xml:space="preserve">V. </w:t>
      </w:r>
      <w:r w:rsidRPr="00CD2E32">
        <w:rPr>
          <w:rFonts w:asciiTheme="majorHAnsi" w:hAnsiTheme="majorHAnsi"/>
          <w:b/>
          <w:sz w:val="20"/>
          <w:szCs w:val="20"/>
          <w:lang w:val="es-UY"/>
        </w:rPr>
        <w:tab/>
      </w:r>
      <w:r w:rsidR="00867314" w:rsidRPr="00CD2E32">
        <w:rPr>
          <w:rFonts w:asciiTheme="majorHAnsi" w:hAnsiTheme="majorHAnsi"/>
          <w:b/>
          <w:sz w:val="20"/>
          <w:szCs w:val="20"/>
          <w:lang w:val="es-UY"/>
        </w:rPr>
        <w:t>POSICIÓN DE LAS PARTES</w:t>
      </w:r>
    </w:p>
    <w:p w14:paraId="1DB359DB" w14:textId="1027F984" w:rsidR="00823B62" w:rsidRPr="00CD2E32" w:rsidRDefault="00171629"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La</w:t>
      </w:r>
      <w:r w:rsidR="00BF3FBB" w:rsidRPr="00CD2E32">
        <w:rPr>
          <w:rFonts w:asciiTheme="majorHAnsi" w:hAnsiTheme="majorHAnsi"/>
          <w:sz w:val="20"/>
          <w:szCs w:val="20"/>
          <w:lang w:val="es-AR"/>
        </w:rPr>
        <w:t xml:space="preserve"> presente petición </w:t>
      </w:r>
      <w:r w:rsidRPr="00CD2E32">
        <w:rPr>
          <w:rFonts w:asciiTheme="majorHAnsi" w:hAnsiTheme="majorHAnsi"/>
          <w:sz w:val="20"/>
          <w:szCs w:val="20"/>
          <w:lang w:val="es-AR"/>
        </w:rPr>
        <w:t xml:space="preserve">se refiere a </w:t>
      </w:r>
      <w:r w:rsidR="00BF3FBB" w:rsidRPr="00CD2E32">
        <w:rPr>
          <w:rFonts w:asciiTheme="majorHAnsi" w:hAnsiTheme="majorHAnsi"/>
          <w:sz w:val="20"/>
          <w:szCs w:val="20"/>
          <w:lang w:val="es-AR"/>
        </w:rPr>
        <w:t>la</w:t>
      </w:r>
      <w:r w:rsidR="00370E1D">
        <w:rPr>
          <w:rFonts w:asciiTheme="majorHAnsi" w:hAnsiTheme="majorHAnsi"/>
          <w:sz w:val="20"/>
          <w:szCs w:val="20"/>
          <w:lang w:val="es-AR"/>
        </w:rPr>
        <w:t xml:space="preserve"> alegada tortura y malos tratos,</w:t>
      </w:r>
      <w:r w:rsidR="00BF3FBB" w:rsidRPr="00CD2E32">
        <w:rPr>
          <w:rFonts w:asciiTheme="majorHAnsi" w:hAnsiTheme="majorHAnsi"/>
          <w:sz w:val="20"/>
          <w:szCs w:val="20"/>
          <w:lang w:val="es-AR"/>
        </w:rPr>
        <w:t xml:space="preserve"> ejecución extrajudicial, </w:t>
      </w:r>
      <w:r w:rsidR="00CF40F5" w:rsidRPr="00CD2E32">
        <w:rPr>
          <w:rFonts w:asciiTheme="majorHAnsi" w:hAnsiTheme="majorHAnsi"/>
          <w:sz w:val="20"/>
          <w:szCs w:val="20"/>
          <w:lang w:val="es-AR"/>
        </w:rPr>
        <w:t>y posterior</w:t>
      </w:r>
      <w:r w:rsidR="00BF3FBB" w:rsidRPr="00CD2E32">
        <w:rPr>
          <w:rFonts w:asciiTheme="majorHAnsi" w:hAnsiTheme="majorHAnsi"/>
          <w:sz w:val="20"/>
          <w:szCs w:val="20"/>
          <w:lang w:val="es-AR"/>
        </w:rPr>
        <w:t xml:space="preserve"> desaparición forzada de las presuntas víctimas</w:t>
      </w:r>
      <w:r w:rsidR="00370E1D">
        <w:rPr>
          <w:rFonts w:asciiTheme="majorHAnsi" w:hAnsiTheme="majorHAnsi"/>
          <w:sz w:val="20"/>
          <w:szCs w:val="20"/>
          <w:lang w:val="es-AR"/>
        </w:rPr>
        <w:t>,</w:t>
      </w:r>
      <w:r w:rsidR="00BF3FBB" w:rsidRPr="00CD2E32">
        <w:rPr>
          <w:rFonts w:asciiTheme="majorHAnsi" w:hAnsiTheme="majorHAnsi"/>
          <w:sz w:val="20"/>
          <w:szCs w:val="20"/>
          <w:lang w:val="es-AR"/>
        </w:rPr>
        <w:t xml:space="preserve"> en razón a su pertenencia a</w:t>
      </w:r>
      <w:r w:rsidR="00743E86" w:rsidRPr="00CD2E32">
        <w:rPr>
          <w:rFonts w:asciiTheme="majorHAnsi" w:hAnsiTheme="majorHAnsi"/>
          <w:sz w:val="20"/>
          <w:szCs w:val="20"/>
          <w:lang w:val="es-AR"/>
        </w:rPr>
        <w:t xml:space="preserve"> </w:t>
      </w:r>
      <w:r w:rsidR="00E46BE8" w:rsidRPr="00CD2E32">
        <w:rPr>
          <w:rFonts w:asciiTheme="majorHAnsi" w:hAnsiTheme="majorHAnsi"/>
          <w:sz w:val="20"/>
          <w:szCs w:val="20"/>
          <w:lang w:val="es-AR"/>
        </w:rPr>
        <w:t>determinadas</w:t>
      </w:r>
      <w:r w:rsidR="00BF3FBB" w:rsidRPr="00CD2E32">
        <w:rPr>
          <w:rFonts w:asciiTheme="majorHAnsi" w:hAnsiTheme="majorHAnsi"/>
          <w:sz w:val="20"/>
          <w:szCs w:val="20"/>
          <w:lang w:val="es-AR"/>
        </w:rPr>
        <w:t xml:space="preserve"> asociaci</w:t>
      </w:r>
      <w:r w:rsidR="002F3733" w:rsidRPr="00CD2E32">
        <w:rPr>
          <w:rFonts w:asciiTheme="majorHAnsi" w:hAnsiTheme="majorHAnsi"/>
          <w:sz w:val="20"/>
          <w:szCs w:val="20"/>
          <w:lang w:val="es-AR"/>
        </w:rPr>
        <w:t>ones</w:t>
      </w:r>
      <w:r w:rsidR="00BF3FBB" w:rsidRPr="00CD2E32">
        <w:rPr>
          <w:rFonts w:asciiTheme="majorHAnsi" w:hAnsiTheme="majorHAnsi"/>
          <w:sz w:val="20"/>
          <w:szCs w:val="20"/>
          <w:lang w:val="es-AR"/>
        </w:rPr>
        <w:t xml:space="preserve"> sindicales y/o religiosas</w:t>
      </w:r>
      <w:r w:rsidR="00E46BE8" w:rsidRPr="00CD2E32">
        <w:rPr>
          <w:rStyle w:val="FootnoteReference"/>
          <w:rFonts w:asciiTheme="majorHAnsi" w:hAnsiTheme="majorHAnsi"/>
          <w:sz w:val="20"/>
          <w:szCs w:val="20"/>
          <w:lang w:val="es-AR"/>
        </w:rPr>
        <w:footnoteReference w:id="5"/>
      </w:r>
      <w:r w:rsidR="0043517E" w:rsidRPr="00CD2E32">
        <w:rPr>
          <w:rFonts w:asciiTheme="majorHAnsi" w:hAnsiTheme="majorHAnsi"/>
          <w:sz w:val="20"/>
          <w:szCs w:val="20"/>
          <w:lang w:val="es-AR"/>
        </w:rPr>
        <w:t xml:space="preserve">. </w:t>
      </w:r>
      <w:r w:rsidR="00E46BE8" w:rsidRPr="00CD2E32">
        <w:rPr>
          <w:rFonts w:asciiTheme="majorHAnsi" w:hAnsiTheme="majorHAnsi"/>
          <w:sz w:val="20"/>
          <w:szCs w:val="20"/>
          <w:lang w:val="es-AR"/>
        </w:rPr>
        <w:t xml:space="preserve">Asimismo, se denuncia </w:t>
      </w:r>
      <w:r w:rsidR="00D2383F" w:rsidRPr="00CD2E32">
        <w:rPr>
          <w:rFonts w:asciiTheme="majorHAnsi" w:hAnsiTheme="majorHAnsi"/>
          <w:sz w:val="20"/>
          <w:szCs w:val="20"/>
          <w:lang w:val="es-AR"/>
        </w:rPr>
        <w:t>la comisión de malos tratos, amenazas y persecución sufridos por sus familiares.</w:t>
      </w:r>
    </w:p>
    <w:p w14:paraId="28F43EDC" w14:textId="56B75E12" w:rsidR="0007605A" w:rsidRPr="00CD2E32" w:rsidRDefault="0007605A" w:rsidP="006818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CD2E32">
        <w:rPr>
          <w:rFonts w:asciiTheme="majorHAnsi" w:hAnsiTheme="majorHAnsi"/>
          <w:i/>
          <w:iCs/>
          <w:sz w:val="20"/>
          <w:szCs w:val="20"/>
          <w:lang w:val="es-AR"/>
        </w:rPr>
        <w:t xml:space="preserve">Posición de </w:t>
      </w:r>
      <w:r w:rsidR="0069749E" w:rsidRPr="00CD2E32">
        <w:rPr>
          <w:rFonts w:asciiTheme="majorHAnsi" w:hAnsiTheme="majorHAnsi"/>
          <w:i/>
          <w:iCs/>
          <w:sz w:val="20"/>
          <w:szCs w:val="20"/>
          <w:lang w:val="es-AR"/>
        </w:rPr>
        <w:t>la parte peticionaria</w:t>
      </w:r>
    </w:p>
    <w:p w14:paraId="39A024FB" w14:textId="1AC5BDD0" w:rsidR="00E0767B" w:rsidRPr="00CD2E32" w:rsidRDefault="00E0767B"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 xml:space="preserve">Los peticionarios narran que </w:t>
      </w:r>
      <w:r w:rsidR="00ED28C4" w:rsidRPr="00CD2E32">
        <w:rPr>
          <w:rFonts w:asciiTheme="majorHAnsi" w:hAnsiTheme="majorHAnsi"/>
          <w:sz w:val="20"/>
          <w:szCs w:val="20"/>
          <w:lang w:val="es-AR"/>
        </w:rPr>
        <w:t>en los 70s</w:t>
      </w:r>
      <w:r w:rsidR="00480149" w:rsidRPr="00CD2E32">
        <w:rPr>
          <w:rFonts w:asciiTheme="majorHAnsi" w:hAnsiTheme="majorHAnsi"/>
          <w:sz w:val="20"/>
          <w:szCs w:val="20"/>
          <w:lang w:val="es-AR"/>
        </w:rPr>
        <w:t xml:space="preserve"> se fundaron diversas organizaciones campesinas, religiosas y sindicales con el objeto de reclamar mejores </w:t>
      </w:r>
      <w:r w:rsidR="006D5844" w:rsidRPr="00CD2E32">
        <w:rPr>
          <w:rFonts w:asciiTheme="majorHAnsi" w:hAnsiTheme="majorHAnsi"/>
          <w:sz w:val="20"/>
          <w:szCs w:val="20"/>
          <w:lang w:val="es-AR"/>
        </w:rPr>
        <w:t>condiciones laborales en los ingenios ubicados en la Costa Sur de Guatemala, especialmente el municipio de Sa</w:t>
      </w:r>
      <w:r w:rsidR="00292C04" w:rsidRPr="00CD2E32">
        <w:rPr>
          <w:rFonts w:asciiTheme="majorHAnsi" w:hAnsiTheme="majorHAnsi"/>
          <w:sz w:val="20"/>
          <w:szCs w:val="20"/>
          <w:lang w:val="es-AR"/>
        </w:rPr>
        <w:t xml:space="preserve">nta Lucía Cotzumalguapa. Las presuntas víctimas integraban dichas organizaciones y, según alegan, fueron objeto de desaparición forzada </w:t>
      </w:r>
      <w:r w:rsidR="003E685C" w:rsidRPr="00CD2E32">
        <w:rPr>
          <w:rFonts w:asciiTheme="majorHAnsi" w:hAnsiTheme="majorHAnsi"/>
          <w:sz w:val="20"/>
          <w:szCs w:val="20"/>
          <w:lang w:val="es-AR"/>
        </w:rPr>
        <w:t>por su participación en dichas agrupaciones.</w:t>
      </w:r>
    </w:p>
    <w:p w14:paraId="3A1F2BDC" w14:textId="0ADD5370" w:rsidR="00E8692C" w:rsidRDefault="00823B62"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 xml:space="preserve">Los peticionarios </w:t>
      </w:r>
      <w:r w:rsidR="00ED28C4" w:rsidRPr="00CD2E32">
        <w:rPr>
          <w:rFonts w:asciiTheme="majorHAnsi" w:hAnsiTheme="majorHAnsi"/>
          <w:sz w:val="20"/>
          <w:szCs w:val="20"/>
          <w:lang w:val="es-AR"/>
        </w:rPr>
        <w:t>presentan</w:t>
      </w:r>
      <w:r w:rsidR="00431F62" w:rsidRPr="00CD2E32">
        <w:rPr>
          <w:rFonts w:asciiTheme="majorHAnsi" w:hAnsiTheme="majorHAnsi"/>
          <w:sz w:val="20"/>
          <w:szCs w:val="20"/>
          <w:lang w:val="es-AR"/>
        </w:rPr>
        <w:t xml:space="preserve"> en treinta y un casos, agrupados por núcleos familiares, los hechos de persecución sistemática de las</w:t>
      </w:r>
      <w:r w:rsidR="0043517E" w:rsidRPr="00CD2E32">
        <w:rPr>
          <w:rFonts w:asciiTheme="majorHAnsi" w:hAnsiTheme="majorHAnsi"/>
          <w:sz w:val="20"/>
          <w:szCs w:val="20"/>
          <w:lang w:val="es-AR"/>
        </w:rPr>
        <w:t xml:space="preserve"> </w:t>
      </w:r>
      <w:r w:rsidR="00431F62" w:rsidRPr="00CD2E32">
        <w:rPr>
          <w:rFonts w:asciiTheme="majorHAnsi" w:hAnsiTheme="majorHAnsi"/>
          <w:sz w:val="20"/>
          <w:szCs w:val="20"/>
          <w:lang w:val="es-AR"/>
        </w:rPr>
        <w:t>presuntas víctimas</w:t>
      </w:r>
      <w:r w:rsidR="003446EF" w:rsidRPr="00CD2E32">
        <w:rPr>
          <w:rFonts w:asciiTheme="majorHAnsi" w:hAnsiTheme="majorHAnsi"/>
          <w:sz w:val="20"/>
          <w:szCs w:val="20"/>
          <w:lang w:val="es-AR"/>
        </w:rPr>
        <w:t>;</w:t>
      </w:r>
      <w:r w:rsidR="00431F62" w:rsidRPr="00CD2E32">
        <w:rPr>
          <w:rFonts w:asciiTheme="majorHAnsi" w:hAnsiTheme="majorHAnsi"/>
          <w:sz w:val="20"/>
          <w:szCs w:val="20"/>
          <w:lang w:val="es-AR"/>
        </w:rPr>
        <w:t xml:space="preserve"> que se </w:t>
      </w:r>
      <w:r w:rsidR="00FA67EC" w:rsidRPr="00CD2E32">
        <w:rPr>
          <w:rFonts w:asciiTheme="majorHAnsi" w:hAnsiTheme="majorHAnsi"/>
          <w:sz w:val="20"/>
          <w:szCs w:val="20"/>
          <w:lang w:val="es-AR"/>
        </w:rPr>
        <w:t>materializan</w:t>
      </w:r>
      <w:r w:rsidR="00431F62" w:rsidRPr="00CD2E32">
        <w:rPr>
          <w:rFonts w:asciiTheme="majorHAnsi" w:hAnsiTheme="majorHAnsi"/>
          <w:sz w:val="20"/>
          <w:szCs w:val="20"/>
          <w:lang w:val="es-AR"/>
        </w:rPr>
        <w:t xml:space="preserve"> en actos de ejecuciones extrajudiciales, desapariciones forzadas, torturas y tratos crueles</w:t>
      </w:r>
      <w:r w:rsidR="00D83FE4" w:rsidRPr="00CD2E32">
        <w:rPr>
          <w:rFonts w:asciiTheme="majorHAnsi" w:hAnsiTheme="majorHAnsi"/>
          <w:sz w:val="20"/>
          <w:szCs w:val="20"/>
          <w:lang w:val="es-AR"/>
        </w:rPr>
        <w:t>,</w:t>
      </w:r>
      <w:r w:rsidR="00BE09C4" w:rsidRPr="00CD2E32">
        <w:rPr>
          <w:rFonts w:asciiTheme="majorHAnsi" w:hAnsiTheme="majorHAnsi"/>
          <w:sz w:val="20"/>
          <w:szCs w:val="20"/>
          <w:lang w:val="es-AR"/>
        </w:rPr>
        <w:t xml:space="preserve"> </w:t>
      </w:r>
      <w:r w:rsidR="00431F62" w:rsidRPr="00CD2E32">
        <w:rPr>
          <w:rFonts w:asciiTheme="majorHAnsi" w:hAnsiTheme="majorHAnsi"/>
          <w:sz w:val="20"/>
          <w:szCs w:val="20"/>
          <w:lang w:val="es-AR"/>
        </w:rPr>
        <w:t>amenazas, desplazamiento y hechos de violencia sexual cometid</w:t>
      </w:r>
      <w:r w:rsidR="00D83FE4" w:rsidRPr="00CD2E32">
        <w:rPr>
          <w:rFonts w:asciiTheme="majorHAnsi" w:hAnsiTheme="majorHAnsi"/>
          <w:sz w:val="20"/>
          <w:szCs w:val="20"/>
          <w:lang w:val="es-AR"/>
        </w:rPr>
        <w:t>o</w:t>
      </w:r>
      <w:r w:rsidR="00431F62" w:rsidRPr="00CD2E32">
        <w:rPr>
          <w:rFonts w:asciiTheme="majorHAnsi" w:hAnsiTheme="majorHAnsi"/>
          <w:sz w:val="20"/>
          <w:szCs w:val="20"/>
          <w:lang w:val="es-AR"/>
        </w:rPr>
        <w:t>s contra las mujeres</w:t>
      </w:r>
      <w:r w:rsidR="00D83FE4" w:rsidRPr="00CD2E32">
        <w:rPr>
          <w:rFonts w:asciiTheme="majorHAnsi" w:hAnsiTheme="majorHAnsi"/>
          <w:sz w:val="20"/>
          <w:szCs w:val="20"/>
          <w:lang w:val="es-AR"/>
        </w:rPr>
        <w:t>,</w:t>
      </w:r>
      <w:r w:rsidR="00431F62" w:rsidRPr="00CD2E32">
        <w:rPr>
          <w:rFonts w:asciiTheme="majorHAnsi" w:hAnsiTheme="majorHAnsi"/>
          <w:sz w:val="20"/>
          <w:szCs w:val="20"/>
          <w:lang w:val="es-AR"/>
        </w:rPr>
        <w:t xml:space="preserve"> </w:t>
      </w:r>
      <w:r w:rsidR="00BE09C4" w:rsidRPr="00CD2E32">
        <w:rPr>
          <w:rFonts w:asciiTheme="majorHAnsi" w:hAnsiTheme="majorHAnsi"/>
          <w:sz w:val="20"/>
          <w:szCs w:val="20"/>
          <w:lang w:val="es-AR"/>
        </w:rPr>
        <w:t xml:space="preserve">quienes eran familiares directos </w:t>
      </w:r>
      <w:r w:rsidR="00431F62" w:rsidRPr="00CD2E32">
        <w:rPr>
          <w:rFonts w:asciiTheme="majorHAnsi" w:hAnsiTheme="majorHAnsi"/>
          <w:sz w:val="20"/>
          <w:szCs w:val="20"/>
          <w:lang w:val="es-AR"/>
        </w:rPr>
        <w:t>de las presuntas víctimas</w:t>
      </w:r>
      <w:r w:rsidR="00BE09C4" w:rsidRPr="00CD2E32">
        <w:rPr>
          <w:rFonts w:asciiTheme="majorHAnsi" w:hAnsiTheme="majorHAnsi"/>
          <w:sz w:val="20"/>
          <w:szCs w:val="20"/>
          <w:lang w:val="es-AR"/>
        </w:rPr>
        <w:t>, en</w:t>
      </w:r>
      <w:r w:rsidR="00A02A04" w:rsidRPr="00CD2E32">
        <w:rPr>
          <w:rFonts w:asciiTheme="majorHAnsi" w:hAnsiTheme="majorHAnsi"/>
          <w:sz w:val="20"/>
          <w:szCs w:val="20"/>
          <w:lang w:val="es-AR"/>
        </w:rPr>
        <w:t xml:space="preserve">tre 1976 </w:t>
      </w:r>
      <w:r w:rsidR="003446EF" w:rsidRPr="00CD2E32">
        <w:rPr>
          <w:rFonts w:asciiTheme="majorHAnsi" w:hAnsiTheme="majorHAnsi"/>
          <w:sz w:val="20"/>
          <w:szCs w:val="20"/>
          <w:lang w:val="es-AR"/>
        </w:rPr>
        <w:t>y</w:t>
      </w:r>
      <w:r w:rsidR="00A02A04" w:rsidRPr="00CD2E32">
        <w:rPr>
          <w:rFonts w:asciiTheme="majorHAnsi" w:hAnsiTheme="majorHAnsi"/>
          <w:sz w:val="20"/>
          <w:szCs w:val="20"/>
          <w:lang w:val="es-AR"/>
        </w:rPr>
        <w:t xml:space="preserve"> 1988</w:t>
      </w:r>
      <w:r w:rsidR="00BE09C4" w:rsidRPr="00CD2E32">
        <w:rPr>
          <w:rFonts w:asciiTheme="majorHAnsi" w:hAnsiTheme="majorHAnsi"/>
          <w:sz w:val="20"/>
          <w:szCs w:val="20"/>
          <w:lang w:val="es-AR"/>
        </w:rPr>
        <w:t xml:space="preserve">. </w:t>
      </w:r>
      <w:r w:rsidR="00431F62" w:rsidRPr="00CD2E32">
        <w:rPr>
          <w:rFonts w:asciiTheme="majorHAnsi" w:hAnsiTheme="majorHAnsi"/>
          <w:sz w:val="20"/>
          <w:szCs w:val="20"/>
          <w:lang w:val="es-AR"/>
        </w:rPr>
        <w:t xml:space="preserve"> Afirman que </w:t>
      </w:r>
      <w:r w:rsidR="00BE09C4" w:rsidRPr="00CD2E32">
        <w:rPr>
          <w:rFonts w:asciiTheme="majorHAnsi" w:hAnsiTheme="majorHAnsi"/>
          <w:sz w:val="20"/>
          <w:szCs w:val="20"/>
          <w:lang w:val="es-AR"/>
        </w:rPr>
        <w:t xml:space="preserve">el objeto de todas estas acciones era la represión y eliminación de todos los sindicatos de la zona, así como de organizaciones políticas, sociales y religiosas. </w:t>
      </w:r>
      <w:r w:rsidR="00354B80" w:rsidRPr="00B54829">
        <w:rPr>
          <w:rFonts w:asciiTheme="majorHAnsi" w:hAnsiTheme="majorHAnsi"/>
          <w:sz w:val="20"/>
          <w:szCs w:val="20"/>
          <w:lang w:val="es-AR"/>
        </w:rPr>
        <w:t>Para ello</w:t>
      </w:r>
      <w:r w:rsidR="00E13B1D">
        <w:rPr>
          <w:rFonts w:asciiTheme="majorHAnsi" w:hAnsiTheme="majorHAnsi"/>
          <w:sz w:val="20"/>
          <w:szCs w:val="20"/>
          <w:lang w:val="es-AR"/>
        </w:rPr>
        <w:t>,</w:t>
      </w:r>
      <w:r w:rsidR="00354B80" w:rsidRPr="00B54829">
        <w:rPr>
          <w:rFonts w:asciiTheme="majorHAnsi" w:hAnsiTheme="majorHAnsi"/>
          <w:sz w:val="20"/>
          <w:szCs w:val="20"/>
          <w:lang w:val="es-AR"/>
        </w:rPr>
        <w:t xml:space="preserve"> los peticionarios</w:t>
      </w:r>
    </w:p>
    <w:p w14:paraId="49EFA0F2" w14:textId="322CBDB0" w:rsidR="00823B62" w:rsidRPr="00CD2E32" w:rsidRDefault="0039723E" w:rsidP="006818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lastRenderedPageBreak/>
        <w:t>b</w:t>
      </w:r>
      <w:r w:rsidR="00354B80" w:rsidRPr="00B54829">
        <w:rPr>
          <w:rFonts w:asciiTheme="majorHAnsi" w:hAnsiTheme="majorHAnsi"/>
          <w:sz w:val="20"/>
          <w:szCs w:val="20"/>
          <w:lang w:val="es-AR"/>
        </w:rPr>
        <w:t>rindan una descripción detallada de</w:t>
      </w:r>
      <w:r w:rsidR="00370E1D">
        <w:rPr>
          <w:rFonts w:asciiTheme="majorHAnsi" w:hAnsiTheme="majorHAnsi"/>
          <w:sz w:val="20"/>
          <w:szCs w:val="20"/>
          <w:lang w:val="es-AR"/>
        </w:rPr>
        <w:t xml:space="preserve"> qui</w:t>
      </w:r>
      <w:r w:rsidR="00E13B1D">
        <w:rPr>
          <w:rFonts w:asciiTheme="majorHAnsi" w:hAnsiTheme="majorHAnsi"/>
          <w:sz w:val="20"/>
          <w:szCs w:val="20"/>
          <w:lang w:val="es-AR"/>
        </w:rPr>
        <w:t>é</w:t>
      </w:r>
      <w:r w:rsidR="00370E1D">
        <w:rPr>
          <w:rFonts w:asciiTheme="majorHAnsi" w:hAnsiTheme="majorHAnsi"/>
          <w:sz w:val="20"/>
          <w:szCs w:val="20"/>
          <w:lang w:val="es-AR"/>
        </w:rPr>
        <w:t>nes sufrieron desaparición forzada</w:t>
      </w:r>
      <w:r w:rsidR="00A0091B" w:rsidRPr="00B54829">
        <w:rPr>
          <w:rStyle w:val="FootnoteReference"/>
          <w:rFonts w:asciiTheme="majorHAnsi" w:hAnsiTheme="majorHAnsi"/>
          <w:sz w:val="20"/>
          <w:szCs w:val="20"/>
          <w:lang w:val="es-AR"/>
        </w:rPr>
        <w:footnoteReference w:id="6"/>
      </w:r>
      <w:r w:rsidR="00370E1D">
        <w:rPr>
          <w:rFonts w:asciiTheme="majorHAnsi" w:hAnsiTheme="majorHAnsi"/>
          <w:sz w:val="20"/>
          <w:szCs w:val="20"/>
          <w:lang w:val="es-AR"/>
        </w:rPr>
        <w:t>, desplazamiento forzado</w:t>
      </w:r>
      <w:r w:rsidR="00370E1D">
        <w:rPr>
          <w:rStyle w:val="FootnoteReference"/>
          <w:rFonts w:asciiTheme="majorHAnsi" w:hAnsiTheme="majorHAnsi"/>
          <w:sz w:val="20"/>
          <w:szCs w:val="20"/>
          <w:lang w:val="es-AR"/>
        </w:rPr>
        <w:footnoteReference w:id="7"/>
      </w:r>
      <w:r w:rsidR="00370E1D">
        <w:rPr>
          <w:rFonts w:asciiTheme="majorHAnsi" w:hAnsiTheme="majorHAnsi"/>
          <w:sz w:val="20"/>
          <w:szCs w:val="20"/>
          <w:lang w:val="es-AR"/>
        </w:rPr>
        <w:t>, torturas</w:t>
      </w:r>
      <w:r w:rsidR="00370E1D">
        <w:rPr>
          <w:rStyle w:val="FootnoteReference"/>
          <w:rFonts w:asciiTheme="majorHAnsi" w:hAnsiTheme="majorHAnsi"/>
          <w:sz w:val="20"/>
          <w:szCs w:val="20"/>
          <w:lang w:val="es-AR"/>
        </w:rPr>
        <w:footnoteReference w:id="8"/>
      </w:r>
      <w:r w:rsidR="00370E1D">
        <w:rPr>
          <w:rFonts w:asciiTheme="majorHAnsi" w:hAnsiTheme="majorHAnsi"/>
          <w:sz w:val="20"/>
          <w:szCs w:val="20"/>
          <w:lang w:val="es-AR"/>
        </w:rPr>
        <w:t xml:space="preserve"> y violencia sexual</w:t>
      </w:r>
      <w:r w:rsidR="00370E1D">
        <w:rPr>
          <w:rStyle w:val="FootnoteReference"/>
          <w:rFonts w:asciiTheme="majorHAnsi" w:hAnsiTheme="majorHAnsi"/>
          <w:sz w:val="20"/>
          <w:szCs w:val="20"/>
          <w:lang w:val="es-AR"/>
        </w:rPr>
        <w:footnoteReference w:id="9"/>
      </w:r>
      <w:r w:rsidR="00354B80" w:rsidRPr="00B54829">
        <w:rPr>
          <w:rFonts w:asciiTheme="majorHAnsi" w:hAnsiTheme="majorHAnsi"/>
          <w:sz w:val="20"/>
          <w:szCs w:val="20"/>
          <w:lang w:val="es-AR"/>
        </w:rPr>
        <w:t xml:space="preserve">. </w:t>
      </w:r>
    </w:p>
    <w:p w14:paraId="293D6C83" w14:textId="68016C3F" w:rsidR="00893262" w:rsidRPr="00CD2E32" w:rsidRDefault="00034198"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Alegan</w:t>
      </w:r>
      <w:r w:rsidR="00A02A04" w:rsidRPr="00CD2E32">
        <w:rPr>
          <w:rFonts w:asciiTheme="majorHAnsi" w:hAnsiTheme="majorHAnsi"/>
          <w:sz w:val="20"/>
          <w:szCs w:val="20"/>
          <w:lang w:val="es-AR"/>
        </w:rPr>
        <w:t xml:space="preserve"> que la detención de las </w:t>
      </w:r>
      <w:r w:rsidR="0043517E" w:rsidRPr="00CD2E32">
        <w:rPr>
          <w:rFonts w:asciiTheme="majorHAnsi" w:hAnsiTheme="majorHAnsi"/>
          <w:sz w:val="20"/>
          <w:szCs w:val="20"/>
          <w:lang w:val="es-AR"/>
        </w:rPr>
        <w:t xml:space="preserve">presuntas víctimas </w:t>
      </w:r>
      <w:r w:rsidR="00A02A04" w:rsidRPr="00CD2E32">
        <w:rPr>
          <w:rFonts w:asciiTheme="majorHAnsi" w:hAnsiTheme="majorHAnsi"/>
          <w:sz w:val="20"/>
          <w:szCs w:val="20"/>
          <w:lang w:val="es-AR"/>
        </w:rPr>
        <w:t xml:space="preserve">se realizó de manera </w:t>
      </w:r>
      <w:r w:rsidR="00E46BE8" w:rsidRPr="00CD2E32">
        <w:rPr>
          <w:rFonts w:asciiTheme="majorHAnsi" w:hAnsiTheme="majorHAnsi"/>
          <w:sz w:val="20"/>
          <w:szCs w:val="20"/>
          <w:lang w:val="es-AR"/>
        </w:rPr>
        <w:t>i</w:t>
      </w:r>
      <w:r w:rsidR="00A02A04" w:rsidRPr="00CD2E32">
        <w:rPr>
          <w:rFonts w:asciiTheme="majorHAnsi" w:hAnsiTheme="majorHAnsi"/>
          <w:sz w:val="20"/>
          <w:szCs w:val="20"/>
          <w:lang w:val="es-AR"/>
        </w:rPr>
        <w:t xml:space="preserve">legal y arbitraria, pues según los testimonios de amigos y familiares </w:t>
      </w:r>
      <w:r w:rsidR="00C13C08" w:rsidRPr="00CD2E32">
        <w:rPr>
          <w:rFonts w:asciiTheme="majorHAnsi" w:hAnsiTheme="majorHAnsi"/>
          <w:sz w:val="20"/>
          <w:szCs w:val="20"/>
          <w:lang w:val="es-AR"/>
        </w:rPr>
        <w:t>aquellas</w:t>
      </w:r>
      <w:r w:rsidR="00A02A04" w:rsidRPr="00CD2E32">
        <w:rPr>
          <w:rFonts w:asciiTheme="majorHAnsi" w:hAnsiTheme="majorHAnsi"/>
          <w:sz w:val="20"/>
          <w:szCs w:val="20"/>
          <w:lang w:val="es-AR"/>
        </w:rPr>
        <w:t xml:space="preserve"> fueron capturadas a través de allanamientos ilegales en sus residencias o interceptadas al llegar a estas</w:t>
      </w:r>
      <w:r w:rsidR="00702849" w:rsidRPr="00CD2E32">
        <w:rPr>
          <w:rFonts w:asciiTheme="majorHAnsi" w:hAnsiTheme="majorHAnsi"/>
          <w:sz w:val="20"/>
          <w:szCs w:val="20"/>
          <w:lang w:val="es-AR"/>
        </w:rPr>
        <w:t>;</w:t>
      </w:r>
      <w:r w:rsidR="00A02A04" w:rsidRPr="00CD2E32">
        <w:rPr>
          <w:rFonts w:asciiTheme="majorHAnsi" w:hAnsiTheme="majorHAnsi"/>
          <w:sz w:val="20"/>
          <w:szCs w:val="20"/>
          <w:lang w:val="es-AR"/>
        </w:rPr>
        <w:t xml:space="preserve"> o fueron señaladas en puestos de registro o en vehículos de transporte por miembros del </w:t>
      </w:r>
      <w:r w:rsidR="00E46BE8" w:rsidRPr="00CD2E32">
        <w:rPr>
          <w:rFonts w:asciiTheme="majorHAnsi" w:hAnsiTheme="majorHAnsi"/>
          <w:sz w:val="20"/>
          <w:szCs w:val="20"/>
          <w:lang w:val="es-AR"/>
        </w:rPr>
        <w:t>E</w:t>
      </w:r>
      <w:r w:rsidR="00A02A04" w:rsidRPr="00CD2E32">
        <w:rPr>
          <w:rFonts w:asciiTheme="majorHAnsi" w:hAnsiTheme="majorHAnsi"/>
          <w:sz w:val="20"/>
          <w:szCs w:val="20"/>
          <w:lang w:val="es-AR"/>
        </w:rPr>
        <w:t xml:space="preserve">jército, </w:t>
      </w:r>
      <w:r w:rsidR="00E46BE8" w:rsidRPr="00CD2E32">
        <w:rPr>
          <w:rFonts w:asciiTheme="majorHAnsi" w:hAnsiTheme="majorHAnsi"/>
          <w:sz w:val="20"/>
          <w:szCs w:val="20"/>
          <w:lang w:val="es-AR"/>
        </w:rPr>
        <w:t>la P</w:t>
      </w:r>
      <w:r w:rsidR="00A02A04" w:rsidRPr="00CD2E32">
        <w:rPr>
          <w:rFonts w:asciiTheme="majorHAnsi" w:hAnsiTheme="majorHAnsi"/>
          <w:sz w:val="20"/>
          <w:szCs w:val="20"/>
          <w:lang w:val="es-AR"/>
        </w:rPr>
        <w:t>olicía o de</w:t>
      </w:r>
      <w:r w:rsidR="00185698">
        <w:rPr>
          <w:rFonts w:asciiTheme="majorHAnsi" w:hAnsiTheme="majorHAnsi"/>
          <w:sz w:val="20"/>
          <w:szCs w:val="20"/>
          <w:lang w:val="es-AR"/>
        </w:rPr>
        <w:t xml:space="preserve"> la</w:t>
      </w:r>
      <w:r w:rsidR="00A02A04" w:rsidRPr="00CD2E32">
        <w:rPr>
          <w:rFonts w:asciiTheme="majorHAnsi" w:hAnsiTheme="majorHAnsi"/>
          <w:sz w:val="20"/>
          <w:szCs w:val="20"/>
          <w:lang w:val="es-AR"/>
        </w:rPr>
        <w:t xml:space="preserve"> inteligencia militar vestidos de civiles</w:t>
      </w:r>
      <w:r w:rsidR="00702849" w:rsidRPr="00CD2E32">
        <w:rPr>
          <w:rFonts w:asciiTheme="majorHAnsi" w:hAnsiTheme="majorHAnsi"/>
          <w:sz w:val="20"/>
          <w:szCs w:val="20"/>
          <w:lang w:val="es-AR"/>
        </w:rPr>
        <w:t>.</w:t>
      </w:r>
      <w:r w:rsidR="00A02A04" w:rsidRPr="00CD2E32">
        <w:rPr>
          <w:rFonts w:asciiTheme="majorHAnsi" w:hAnsiTheme="majorHAnsi"/>
          <w:sz w:val="20"/>
          <w:szCs w:val="20"/>
          <w:lang w:val="es-AR"/>
        </w:rPr>
        <w:t xml:space="preserve"> </w:t>
      </w:r>
      <w:r w:rsidR="00702849" w:rsidRPr="00CD2E32">
        <w:rPr>
          <w:rFonts w:asciiTheme="majorHAnsi" w:hAnsiTheme="majorHAnsi"/>
          <w:sz w:val="20"/>
          <w:szCs w:val="20"/>
          <w:lang w:val="es-AR"/>
        </w:rPr>
        <w:t>T</w:t>
      </w:r>
      <w:r w:rsidR="00A02A04" w:rsidRPr="00CD2E32">
        <w:rPr>
          <w:rFonts w:asciiTheme="majorHAnsi" w:hAnsiTheme="majorHAnsi"/>
          <w:sz w:val="20"/>
          <w:szCs w:val="20"/>
          <w:lang w:val="es-AR"/>
        </w:rPr>
        <w:t xml:space="preserve">odo esto con el objeto de </w:t>
      </w:r>
      <w:r w:rsidR="00E069FC" w:rsidRPr="00CD2E32">
        <w:rPr>
          <w:rFonts w:asciiTheme="majorHAnsi" w:hAnsiTheme="majorHAnsi"/>
          <w:sz w:val="20"/>
          <w:szCs w:val="20"/>
          <w:lang w:val="es-AR"/>
        </w:rPr>
        <w:t>torturarlas</w:t>
      </w:r>
      <w:r w:rsidR="00A02A04" w:rsidRPr="00CD2E32">
        <w:rPr>
          <w:rFonts w:asciiTheme="majorHAnsi" w:hAnsiTheme="majorHAnsi"/>
          <w:sz w:val="20"/>
          <w:szCs w:val="20"/>
          <w:lang w:val="es-AR"/>
        </w:rPr>
        <w:t xml:space="preserve"> y </w:t>
      </w:r>
      <w:r w:rsidR="00E069FC" w:rsidRPr="00CD2E32">
        <w:rPr>
          <w:rFonts w:asciiTheme="majorHAnsi" w:hAnsiTheme="majorHAnsi"/>
          <w:sz w:val="20"/>
          <w:szCs w:val="20"/>
          <w:lang w:val="es-AR"/>
        </w:rPr>
        <w:t>desaparecerlas</w:t>
      </w:r>
      <w:r w:rsidR="0086015D" w:rsidRPr="00CD2E32">
        <w:rPr>
          <w:rFonts w:asciiTheme="majorHAnsi" w:hAnsiTheme="majorHAnsi"/>
          <w:sz w:val="20"/>
          <w:szCs w:val="20"/>
          <w:lang w:val="es-AR"/>
        </w:rPr>
        <w:t xml:space="preserve">. </w:t>
      </w:r>
      <w:r w:rsidR="00ED2561" w:rsidRPr="00CD2E32">
        <w:rPr>
          <w:rFonts w:asciiTheme="majorHAnsi" w:hAnsiTheme="majorHAnsi"/>
          <w:sz w:val="20"/>
          <w:szCs w:val="20"/>
          <w:lang w:val="es-AR"/>
        </w:rPr>
        <w:t>En este sentido</w:t>
      </w:r>
      <w:r w:rsidR="00DE0257" w:rsidRPr="00CD2E32">
        <w:rPr>
          <w:rFonts w:asciiTheme="majorHAnsi" w:hAnsiTheme="majorHAnsi"/>
          <w:sz w:val="20"/>
          <w:szCs w:val="20"/>
          <w:lang w:val="es-AR"/>
        </w:rPr>
        <w:t>,</w:t>
      </w:r>
      <w:r w:rsidR="00ED2561" w:rsidRPr="00CD2E32">
        <w:rPr>
          <w:rFonts w:asciiTheme="majorHAnsi" w:hAnsiTheme="majorHAnsi"/>
          <w:sz w:val="20"/>
          <w:szCs w:val="20"/>
          <w:lang w:val="es-AR"/>
        </w:rPr>
        <w:t xml:space="preserve"> ni las presuntas víctimas ni sus familiares </w:t>
      </w:r>
      <w:r w:rsidR="005B5DB4" w:rsidRPr="00CD2E32">
        <w:rPr>
          <w:rFonts w:asciiTheme="majorHAnsi" w:hAnsiTheme="majorHAnsi"/>
          <w:sz w:val="20"/>
          <w:szCs w:val="20"/>
          <w:lang w:val="es-AR"/>
        </w:rPr>
        <w:t>habrían tenido</w:t>
      </w:r>
      <w:r w:rsidR="00ED2561" w:rsidRPr="00CD2E32">
        <w:rPr>
          <w:rFonts w:asciiTheme="majorHAnsi" w:hAnsiTheme="majorHAnsi"/>
          <w:sz w:val="20"/>
          <w:szCs w:val="20"/>
          <w:lang w:val="es-AR"/>
        </w:rPr>
        <w:t xml:space="preserve"> la oportunidad de interponer recursos judiciales</w:t>
      </w:r>
      <w:r w:rsidR="005B5DB4" w:rsidRPr="00CD2E32">
        <w:rPr>
          <w:rFonts w:asciiTheme="majorHAnsi" w:hAnsiTheme="majorHAnsi"/>
          <w:sz w:val="20"/>
          <w:szCs w:val="20"/>
          <w:lang w:val="es-AR"/>
        </w:rPr>
        <w:t>,</w:t>
      </w:r>
      <w:r w:rsidR="00ED2561" w:rsidRPr="00CD2E32">
        <w:rPr>
          <w:rFonts w:asciiTheme="majorHAnsi" w:hAnsiTheme="majorHAnsi"/>
          <w:sz w:val="20"/>
          <w:szCs w:val="20"/>
          <w:lang w:val="es-AR"/>
        </w:rPr>
        <w:t xml:space="preserve"> </w:t>
      </w:r>
      <w:r w:rsidR="00DE0257" w:rsidRPr="00CD2E32">
        <w:rPr>
          <w:rFonts w:asciiTheme="majorHAnsi" w:hAnsiTheme="majorHAnsi"/>
          <w:sz w:val="20"/>
          <w:szCs w:val="20"/>
          <w:lang w:val="es-AR"/>
        </w:rPr>
        <w:t xml:space="preserve">ya </w:t>
      </w:r>
      <w:r w:rsidR="00ED2561" w:rsidRPr="00CD2E32">
        <w:rPr>
          <w:rFonts w:asciiTheme="majorHAnsi" w:hAnsiTheme="majorHAnsi"/>
          <w:sz w:val="20"/>
          <w:szCs w:val="20"/>
          <w:lang w:val="es-AR"/>
        </w:rPr>
        <w:t xml:space="preserve">que </w:t>
      </w:r>
      <w:r w:rsidR="005B5DB4" w:rsidRPr="00CD2E32">
        <w:rPr>
          <w:rFonts w:asciiTheme="majorHAnsi" w:hAnsiTheme="majorHAnsi"/>
          <w:sz w:val="20"/>
          <w:szCs w:val="20"/>
          <w:lang w:val="es-AR"/>
        </w:rPr>
        <w:t>en</w:t>
      </w:r>
      <w:r w:rsidR="00ED2561" w:rsidRPr="00CD2E32">
        <w:rPr>
          <w:rFonts w:asciiTheme="majorHAnsi" w:hAnsiTheme="majorHAnsi"/>
          <w:sz w:val="20"/>
          <w:szCs w:val="20"/>
          <w:lang w:val="es-AR"/>
        </w:rPr>
        <w:t xml:space="preserve"> la época de los hechos no existía</w:t>
      </w:r>
      <w:r w:rsidR="00E41D7B" w:rsidRPr="00CD2E32">
        <w:rPr>
          <w:rFonts w:asciiTheme="majorHAnsi" w:hAnsiTheme="majorHAnsi"/>
          <w:sz w:val="20"/>
          <w:szCs w:val="20"/>
          <w:lang w:val="es-AR"/>
        </w:rPr>
        <w:t>n</w:t>
      </w:r>
      <w:r w:rsidR="00ED2561" w:rsidRPr="00CD2E32">
        <w:rPr>
          <w:rFonts w:asciiTheme="majorHAnsi" w:hAnsiTheme="majorHAnsi"/>
          <w:sz w:val="20"/>
          <w:szCs w:val="20"/>
          <w:lang w:val="es-AR"/>
        </w:rPr>
        <w:t xml:space="preserve"> autoridades independientes e imparciales que pudieran garantizar una investigación real y exhaustiva. </w:t>
      </w:r>
      <w:r w:rsidR="003D57CC" w:rsidRPr="00CD2E32">
        <w:rPr>
          <w:rFonts w:asciiTheme="majorHAnsi" w:hAnsiTheme="majorHAnsi"/>
          <w:sz w:val="20"/>
          <w:szCs w:val="20"/>
          <w:lang w:val="es-AR"/>
        </w:rPr>
        <w:t>Actualmente, l</w:t>
      </w:r>
      <w:r w:rsidR="00E41D7B" w:rsidRPr="00CD2E32">
        <w:rPr>
          <w:rFonts w:asciiTheme="majorHAnsi" w:hAnsiTheme="majorHAnsi"/>
          <w:sz w:val="20"/>
          <w:szCs w:val="20"/>
          <w:lang w:val="es-AR"/>
        </w:rPr>
        <w:t>uego de</w:t>
      </w:r>
      <w:r w:rsidR="00ED2561" w:rsidRPr="00CD2E32">
        <w:rPr>
          <w:rFonts w:asciiTheme="majorHAnsi" w:hAnsiTheme="majorHAnsi"/>
          <w:sz w:val="20"/>
          <w:szCs w:val="20"/>
          <w:lang w:val="es-AR"/>
        </w:rPr>
        <w:t xml:space="preserve"> casi cuarenta años</w:t>
      </w:r>
      <w:r w:rsidR="003D57CC" w:rsidRPr="00CD2E32">
        <w:rPr>
          <w:rFonts w:asciiTheme="majorHAnsi" w:hAnsiTheme="majorHAnsi"/>
          <w:sz w:val="20"/>
          <w:szCs w:val="20"/>
          <w:lang w:val="es-AR"/>
        </w:rPr>
        <w:t>,</w:t>
      </w:r>
      <w:r w:rsidR="00ED2561" w:rsidRPr="00CD2E32">
        <w:rPr>
          <w:rFonts w:asciiTheme="majorHAnsi" w:hAnsiTheme="majorHAnsi"/>
          <w:sz w:val="20"/>
          <w:szCs w:val="20"/>
          <w:lang w:val="es-AR"/>
        </w:rPr>
        <w:t xml:space="preserve"> </w:t>
      </w:r>
      <w:r w:rsidR="00E41D7B" w:rsidRPr="00CD2E32">
        <w:rPr>
          <w:rFonts w:asciiTheme="majorHAnsi" w:hAnsiTheme="majorHAnsi"/>
          <w:sz w:val="20"/>
          <w:szCs w:val="20"/>
          <w:lang w:val="es-AR"/>
        </w:rPr>
        <w:t xml:space="preserve">aún </w:t>
      </w:r>
      <w:r w:rsidR="00ED2561" w:rsidRPr="00CD2E32">
        <w:rPr>
          <w:rFonts w:asciiTheme="majorHAnsi" w:hAnsiTheme="majorHAnsi"/>
          <w:sz w:val="20"/>
          <w:szCs w:val="20"/>
          <w:lang w:val="es-AR"/>
        </w:rPr>
        <w:t xml:space="preserve">no se han desarrollado investigaciones serias. </w:t>
      </w:r>
    </w:p>
    <w:p w14:paraId="6707F8DF" w14:textId="0C83E630" w:rsidR="00AF5350" w:rsidRPr="00CD2E32" w:rsidRDefault="00370E1D"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t>Asimismo, i</w:t>
      </w:r>
      <w:r w:rsidR="005A2861" w:rsidRPr="00CD2E32">
        <w:rPr>
          <w:rFonts w:asciiTheme="majorHAnsi" w:hAnsiTheme="majorHAnsi"/>
          <w:sz w:val="20"/>
          <w:szCs w:val="20"/>
          <w:lang w:val="es-AR"/>
        </w:rPr>
        <w:t>ndican</w:t>
      </w:r>
      <w:r w:rsidR="0086015D" w:rsidRPr="00CD2E32">
        <w:rPr>
          <w:rFonts w:asciiTheme="majorHAnsi" w:hAnsiTheme="majorHAnsi"/>
          <w:sz w:val="20"/>
          <w:szCs w:val="20"/>
          <w:lang w:val="es-AR"/>
        </w:rPr>
        <w:t xml:space="preserve"> que los hechos de la petición ocurrieron en un contexto </w:t>
      </w:r>
      <w:r w:rsidR="004E3071" w:rsidRPr="00CD2E32">
        <w:rPr>
          <w:rFonts w:asciiTheme="majorHAnsi" w:hAnsiTheme="majorHAnsi"/>
          <w:sz w:val="20"/>
          <w:szCs w:val="20"/>
          <w:lang w:val="es-AR"/>
        </w:rPr>
        <w:t>en el que</w:t>
      </w:r>
      <w:r w:rsidR="0086015D" w:rsidRPr="00CD2E32">
        <w:rPr>
          <w:rFonts w:asciiTheme="majorHAnsi" w:hAnsiTheme="majorHAnsi"/>
          <w:sz w:val="20"/>
          <w:szCs w:val="20"/>
          <w:lang w:val="es-AR"/>
        </w:rPr>
        <w:t xml:space="preserve"> se restringió la libertad de expresión y asociación, pues un gran número de las presuntas víctimas eran miembros de comunidades religiosas y sindicales, lo que constituyó motivo suficiente para que fueran perseguidos y/o desaparecidos. Esto también trajo consigo la imposibilidad de que ejercieran cualquier difusión de ideas o pensamientos</w:t>
      </w:r>
      <w:r w:rsidR="00AF66F5" w:rsidRPr="00CD2E32">
        <w:rPr>
          <w:rFonts w:asciiTheme="majorHAnsi" w:hAnsiTheme="majorHAnsi"/>
          <w:sz w:val="20"/>
          <w:szCs w:val="20"/>
          <w:lang w:val="es-AR"/>
        </w:rPr>
        <w:t>,</w:t>
      </w:r>
      <w:r w:rsidR="0086015D" w:rsidRPr="00CD2E32">
        <w:rPr>
          <w:rFonts w:asciiTheme="majorHAnsi" w:hAnsiTheme="majorHAnsi"/>
          <w:sz w:val="20"/>
          <w:szCs w:val="20"/>
          <w:lang w:val="es-AR"/>
        </w:rPr>
        <w:t xml:space="preserve"> al punto de proscribir periódicos y revistas que habían sido creados por estas organizaciones. En este sentido</w:t>
      </w:r>
      <w:r w:rsidR="00762957" w:rsidRPr="00CD2E32">
        <w:rPr>
          <w:rFonts w:asciiTheme="majorHAnsi" w:hAnsiTheme="majorHAnsi"/>
          <w:sz w:val="20"/>
          <w:szCs w:val="20"/>
          <w:lang w:val="es-AR"/>
        </w:rPr>
        <w:t>,</w:t>
      </w:r>
      <w:r w:rsidR="0086015D" w:rsidRPr="00CD2E32">
        <w:rPr>
          <w:rFonts w:asciiTheme="majorHAnsi" w:hAnsiTheme="majorHAnsi"/>
          <w:sz w:val="20"/>
          <w:szCs w:val="20"/>
          <w:lang w:val="es-AR"/>
        </w:rPr>
        <w:t xml:space="preserve"> esta represión tuvo como objetivo privarlos del ejercicio absoluto de toda participación política de la que formaran parte</w:t>
      </w:r>
      <w:r w:rsidR="00AF5350" w:rsidRPr="00CD2E32">
        <w:rPr>
          <w:rFonts w:asciiTheme="majorHAnsi" w:hAnsiTheme="majorHAnsi"/>
          <w:sz w:val="20"/>
          <w:szCs w:val="20"/>
          <w:lang w:val="es-AR"/>
        </w:rPr>
        <w:t xml:space="preserve">. En igual sentido, señalan la vulneración de </w:t>
      </w:r>
      <w:r w:rsidR="00762957" w:rsidRPr="00CD2E32">
        <w:rPr>
          <w:rFonts w:asciiTheme="majorHAnsi" w:hAnsiTheme="majorHAnsi"/>
          <w:sz w:val="20"/>
          <w:szCs w:val="20"/>
          <w:lang w:val="es-AR"/>
        </w:rPr>
        <w:t>sus</w:t>
      </w:r>
      <w:r w:rsidR="00AF5350" w:rsidRPr="00CD2E32">
        <w:rPr>
          <w:rFonts w:asciiTheme="majorHAnsi" w:hAnsiTheme="majorHAnsi"/>
          <w:sz w:val="20"/>
          <w:szCs w:val="20"/>
          <w:lang w:val="es-AR"/>
        </w:rPr>
        <w:t xml:space="preserve"> derechos económicos, sociales y culturales, en relación con los derechos a las condiciones justas, equitativas y satisfactorias de trabajo, y derechos sindicales dispuestos en el Protocolo de San Salvador, pues la mayoría de las presuntas víctimas eran dirigentes de sindicatos o grupos sociales que buscaban organizar a los trabajadores de las fincas agrícolas e ingenios de la Costa Sur para la defensa de sus derechos laborales y sociales.  </w:t>
      </w:r>
    </w:p>
    <w:p w14:paraId="7F9AA305" w14:textId="14B0BD53" w:rsidR="00AF5350" w:rsidRPr="00CD2E32" w:rsidRDefault="00AF5350"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Sostienen que muchas de las familias se desintegraron como consecuencia de las amenazas y persecuciones sufridas antes, durante y después de las desapariciones forzadas o ejecuciones extrajudiciales, donde también eran vistas como un blanco de represión. También la persecución ejercida contra las familias de las personas desaparecidas continu</w:t>
      </w:r>
      <w:r w:rsidR="00895F79" w:rsidRPr="00CD2E32">
        <w:rPr>
          <w:rFonts w:asciiTheme="majorHAnsi" w:hAnsiTheme="majorHAnsi"/>
          <w:sz w:val="20"/>
          <w:szCs w:val="20"/>
          <w:lang w:val="es-AR"/>
        </w:rPr>
        <w:t>ó</w:t>
      </w:r>
      <w:r w:rsidRPr="00CD2E32">
        <w:rPr>
          <w:rFonts w:asciiTheme="majorHAnsi" w:hAnsiTheme="majorHAnsi"/>
          <w:sz w:val="20"/>
          <w:szCs w:val="20"/>
          <w:lang w:val="es-AR"/>
        </w:rPr>
        <w:t xml:space="preserve"> por años, incluso cuando estas se encontraban residiendo en otro lugar, lo que ha dificultado el retorno al lugar que habitaban por temor a las represalias. </w:t>
      </w:r>
      <w:r w:rsidR="006D4E5A" w:rsidRPr="00CD2E32">
        <w:rPr>
          <w:rFonts w:asciiTheme="majorHAnsi" w:hAnsiTheme="majorHAnsi"/>
          <w:sz w:val="20"/>
          <w:szCs w:val="20"/>
          <w:lang w:val="es-AR"/>
        </w:rPr>
        <w:t xml:space="preserve">Finalmente, esto ha tenido un impacto devastador en aquellos niños que perdieron a uno o a ambos padres, lo que trajo consigo la destrucción de su proyecto de vida. De este modo consideran que esto vulnera los derechos a la familia, </w:t>
      </w:r>
      <w:r w:rsidR="00E46BE8" w:rsidRPr="00CD2E32">
        <w:rPr>
          <w:rFonts w:asciiTheme="majorHAnsi" w:hAnsiTheme="majorHAnsi"/>
          <w:sz w:val="20"/>
          <w:szCs w:val="20"/>
          <w:lang w:val="es-AR"/>
        </w:rPr>
        <w:t xml:space="preserve">a la </w:t>
      </w:r>
      <w:r w:rsidR="006D4E5A" w:rsidRPr="00CD2E32">
        <w:rPr>
          <w:rFonts w:asciiTheme="majorHAnsi" w:hAnsiTheme="majorHAnsi"/>
          <w:sz w:val="20"/>
          <w:szCs w:val="20"/>
          <w:lang w:val="es-AR"/>
        </w:rPr>
        <w:t xml:space="preserve">circulación y </w:t>
      </w:r>
      <w:r w:rsidR="00E46BE8" w:rsidRPr="00CD2E32">
        <w:rPr>
          <w:rFonts w:asciiTheme="majorHAnsi" w:hAnsiTheme="majorHAnsi"/>
          <w:sz w:val="20"/>
          <w:szCs w:val="20"/>
          <w:lang w:val="es-AR"/>
        </w:rPr>
        <w:t xml:space="preserve">los </w:t>
      </w:r>
      <w:r w:rsidR="006D4E5A" w:rsidRPr="00CD2E32">
        <w:rPr>
          <w:rFonts w:asciiTheme="majorHAnsi" w:hAnsiTheme="majorHAnsi"/>
          <w:sz w:val="20"/>
          <w:szCs w:val="20"/>
          <w:lang w:val="es-AR"/>
        </w:rPr>
        <w:t xml:space="preserve">derechos de los niños. </w:t>
      </w:r>
    </w:p>
    <w:p w14:paraId="21574A0A" w14:textId="49BFA6CD" w:rsidR="006D4E5A" w:rsidRDefault="006D4E5A"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Finalmente, señalan una vulneración a los artículos 3, 4 y 7 de la Convención de Belém do Pará</w:t>
      </w:r>
      <w:r w:rsidR="00092C17" w:rsidRPr="00CD2E32">
        <w:rPr>
          <w:rFonts w:asciiTheme="majorHAnsi" w:hAnsiTheme="majorHAnsi"/>
          <w:sz w:val="20"/>
          <w:szCs w:val="20"/>
          <w:lang w:val="es-AR"/>
        </w:rPr>
        <w:t>,</w:t>
      </w:r>
      <w:r w:rsidRPr="00CD2E32">
        <w:rPr>
          <w:rFonts w:asciiTheme="majorHAnsi" w:hAnsiTheme="majorHAnsi"/>
          <w:sz w:val="20"/>
          <w:szCs w:val="20"/>
          <w:lang w:val="es-AR"/>
        </w:rPr>
        <w:t xml:space="preserve"> pues sostienen que la violencia fue utilizada como una </w:t>
      </w:r>
      <w:r w:rsidR="00ED2561" w:rsidRPr="00CD2E32">
        <w:rPr>
          <w:rFonts w:asciiTheme="majorHAnsi" w:hAnsiTheme="majorHAnsi"/>
          <w:sz w:val="20"/>
          <w:szCs w:val="20"/>
          <w:lang w:val="es-AR"/>
        </w:rPr>
        <w:t>práctica</w:t>
      </w:r>
      <w:r w:rsidRPr="00CD2E32">
        <w:rPr>
          <w:rFonts w:asciiTheme="majorHAnsi" w:hAnsiTheme="majorHAnsi"/>
          <w:sz w:val="20"/>
          <w:szCs w:val="20"/>
          <w:lang w:val="es-AR"/>
        </w:rPr>
        <w:t xml:space="preserve"> común de las fuerzas de seguridad para denigrar, humillar y torturar a las mujeres de los grupos familiares</w:t>
      </w:r>
      <w:r w:rsidR="00ED2561" w:rsidRPr="00CD2E32">
        <w:rPr>
          <w:rFonts w:asciiTheme="majorHAnsi" w:hAnsiTheme="majorHAnsi"/>
          <w:sz w:val="20"/>
          <w:szCs w:val="20"/>
          <w:lang w:val="es-AR"/>
        </w:rPr>
        <w:t xml:space="preserve"> de las presuntas víctimas</w:t>
      </w:r>
      <w:r w:rsidR="0082350F" w:rsidRPr="00CD2E32">
        <w:rPr>
          <w:rFonts w:asciiTheme="majorHAnsi" w:hAnsiTheme="majorHAnsi"/>
          <w:sz w:val="20"/>
          <w:szCs w:val="20"/>
          <w:lang w:val="es-AR"/>
        </w:rPr>
        <w:t xml:space="preserve">, en concreto a </w:t>
      </w:r>
      <w:r w:rsidR="0082350F" w:rsidRPr="00CD2E32">
        <w:rPr>
          <w:rFonts w:asciiTheme="majorHAnsi" w:hAnsiTheme="majorHAnsi"/>
          <w:sz w:val="20"/>
          <w:szCs w:val="20"/>
          <w:lang w:val="es-AR"/>
        </w:rPr>
        <w:lastRenderedPageBreak/>
        <w:t xml:space="preserve">Manuela de Jesús Aguilar Santos, Marcelina Catalán Yoché, María Alicia Juárez Catalán, Aida Juárez Catalán, María del Socorro Barrientos, Marina Esquit Barrientos, Virgilia Esquit Barrientos, Alberta Bautista Escobar, Isabel Batres Estrada, Maximiliana Roca Estrada, Marcela Bautista Escobar, Dolores Bautista Escobar, Miriam del Cid Sián, María Victoria Loch Velásquez.  </w:t>
      </w:r>
    </w:p>
    <w:p w14:paraId="1417ECEF" w14:textId="0AADDA9B" w:rsidR="006D060B" w:rsidRPr="00CD2E32" w:rsidRDefault="006D060B"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Los peticionarios manifiestan que para la época de los hechos los recursos resultaban inoperantes, además que en la mayoría de los casos los familiares de las presuntas víctimas se abstenían de interponer alguna acción judicial, pues temían ser víctimas de persecución por las fuerzas de seguridad</w:t>
      </w:r>
      <w:r w:rsidR="00735B82">
        <w:rPr>
          <w:rFonts w:asciiTheme="majorHAnsi" w:hAnsiTheme="majorHAnsi"/>
          <w:sz w:val="20"/>
          <w:szCs w:val="20"/>
          <w:lang w:val="es-AR"/>
        </w:rPr>
        <w:t>, como sucedió con los familiares de una de las presuntas víctimas quienes se acercaron a la Policía Nacional a denunciar y terminaron huyendo ante la persecución de los miembros de las fuerzas de seguridad</w:t>
      </w:r>
      <w:r w:rsidR="00735B82">
        <w:rPr>
          <w:rStyle w:val="FootnoteReference"/>
          <w:rFonts w:asciiTheme="majorHAnsi" w:hAnsiTheme="majorHAnsi"/>
          <w:sz w:val="20"/>
          <w:szCs w:val="20"/>
          <w:lang w:val="es-AR"/>
        </w:rPr>
        <w:footnoteReference w:id="10"/>
      </w:r>
      <w:r w:rsidR="00735B82">
        <w:rPr>
          <w:rFonts w:asciiTheme="majorHAnsi" w:hAnsiTheme="majorHAnsi"/>
          <w:sz w:val="20"/>
          <w:szCs w:val="20"/>
          <w:lang w:val="es-AR"/>
        </w:rPr>
        <w:t xml:space="preserve">; o </w:t>
      </w:r>
      <w:r w:rsidRPr="00CD2E32">
        <w:rPr>
          <w:rFonts w:asciiTheme="majorHAnsi" w:hAnsiTheme="majorHAnsi"/>
          <w:sz w:val="20"/>
          <w:szCs w:val="20"/>
          <w:lang w:val="es-AR"/>
        </w:rPr>
        <w:t>ya habían sido amenazados para que no denunciaran los hechos</w:t>
      </w:r>
      <w:r w:rsidR="00735B82">
        <w:rPr>
          <w:rFonts w:asciiTheme="majorHAnsi" w:hAnsiTheme="majorHAnsi"/>
          <w:sz w:val="20"/>
          <w:szCs w:val="20"/>
          <w:lang w:val="es-AR"/>
        </w:rPr>
        <w:t xml:space="preserve">. </w:t>
      </w:r>
      <w:r w:rsidRPr="00CD2E32">
        <w:rPr>
          <w:rFonts w:asciiTheme="majorHAnsi" w:hAnsiTheme="majorHAnsi"/>
          <w:sz w:val="20"/>
          <w:szCs w:val="20"/>
          <w:lang w:val="es-AR"/>
        </w:rPr>
        <w:t>A esto se sumaba que algunos familiares de las presuntas víctimas fueron desplazados forzosa</w:t>
      </w:r>
      <w:r>
        <w:rPr>
          <w:rFonts w:asciiTheme="majorHAnsi" w:hAnsiTheme="majorHAnsi"/>
          <w:sz w:val="20"/>
          <w:szCs w:val="20"/>
          <w:lang w:val="es-AR"/>
        </w:rPr>
        <w:t>mente,</w:t>
      </w:r>
      <w:r w:rsidRPr="00CD2E32">
        <w:rPr>
          <w:rFonts w:asciiTheme="majorHAnsi" w:hAnsiTheme="majorHAnsi"/>
          <w:sz w:val="20"/>
          <w:szCs w:val="20"/>
          <w:lang w:val="es-AR"/>
        </w:rPr>
        <w:t xml:space="preserve"> y continuamente huían de los lugares donde lograban establecerse, situación que dificultaba la interposición de recursos. Aquellas personas que se organizaron en grupos de apoyo para poder denunciar la desaparición de sus familiares</w:t>
      </w:r>
      <w:r w:rsidR="0017668E">
        <w:rPr>
          <w:rFonts w:asciiTheme="majorHAnsi" w:hAnsiTheme="majorHAnsi"/>
          <w:sz w:val="20"/>
          <w:szCs w:val="20"/>
          <w:lang w:val="es-AR"/>
        </w:rPr>
        <w:t>, y</w:t>
      </w:r>
      <w:r w:rsidRPr="00CD2E32">
        <w:rPr>
          <w:rFonts w:asciiTheme="majorHAnsi" w:hAnsiTheme="majorHAnsi"/>
          <w:sz w:val="20"/>
          <w:szCs w:val="20"/>
          <w:lang w:val="es-AR"/>
        </w:rPr>
        <w:t xml:space="preserve"> se les estigmatizó con ser miembros de la guerrilla.</w:t>
      </w:r>
    </w:p>
    <w:p w14:paraId="0D8825B0" w14:textId="2D20518A" w:rsidR="006D060B" w:rsidRPr="00735B82" w:rsidRDefault="006D060B"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Relatan que solo respecto de dos de las presuntas víctimas</w:t>
      </w:r>
      <w:r w:rsidR="0068198B">
        <w:rPr>
          <w:rStyle w:val="FootnoteReference"/>
          <w:rFonts w:asciiTheme="majorHAnsi" w:hAnsiTheme="majorHAnsi"/>
          <w:sz w:val="20"/>
          <w:szCs w:val="20"/>
          <w:lang w:val="es-AR"/>
        </w:rPr>
        <w:footnoteReference w:id="11"/>
      </w:r>
      <w:r w:rsidRPr="00CD2E32">
        <w:rPr>
          <w:rFonts w:asciiTheme="majorHAnsi" w:hAnsiTheme="majorHAnsi"/>
          <w:sz w:val="20"/>
          <w:szCs w:val="20"/>
          <w:lang w:val="es-AR"/>
        </w:rPr>
        <w:t xml:space="preserve"> se interpuso el recurso de hábeas corpus; no obstante, estos </w:t>
      </w:r>
      <w:r w:rsidR="00AF31BC">
        <w:rPr>
          <w:rFonts w:asciiTheme="majorHAnsi" w:hAnsiTheme="majorHAnsi"/>
          <w:sz w:val="20"/>
          <w:szCs w:val="20"/>
          <w:lang w:val="es-AR"/>
        </w:rPr>
        <w:t>habrían</w:t>
      </w:r>
      <w:r w:rsidRPr="00CD2E32">
        <w:rPr>
          <w:rFonts w:asciiTheme="majorHAnsi" w:hAnsiTheme="majorHAnsi"/>
          <w:sz w:val="20"/>
          <w:szCs w:val="20"/>
          <w:lang w:val="es-AR"/>
        </w:rPr>
        <w:t xml:space="preserve"> </w:t>
      </w:r>
      <w:r w:rsidR="00A726B6">
        <w:rPr>
          <w:rFonts w:asciiTheme="majorHAnsi" w:hAnsiTheme="majorHAnsi"/>
          <w:sz w:val="20"/>
          <w:szCs w:val="20"/>
          <w:lang w:val="es-AR"/>
        </w:rPr>
        <w:t xml:space="preserve">sido </w:t>
      </w:r>
      <w:r w:rsidRPr="00CD2E32">
        <w:rPr>
          <w:rFonts w:asciiTheme="majorHAnsi" w:hAnsiTheme="majorHAnsi"/>
          <w:sz w:val="20"/>
          <w:szCs w:val="20"/>
          <w:lang w:val="es-AR"/>
        </w:rPr>
        <w:t xml:space="preserve">inoperantes, ya que no dieron con su liberación ni </w:t>
      </w:r>
      <w:r w:rsidR="00AF31BC">
        <w:rPr>
          <w:rFonts w:asciiTheme="majorHAnsi" w:hAnsiTheme="majorHAnsi"/>
          <w:sz w:val="20"/>
          <w:szCs w:val="20"/>
          <w:lang w:val="es-AR"/>
        </w:rPr>
        <w:t xml:space="preserve">con </w:t>
      </w:r>
      <w:r w:rsidRPr="00CD2E32">
        <w:rPr>
          <w:rFonts w:asciiTheme="majorHAnsi" w:hAnsiTheme="majorHAnsi"/>
          <w:sz w:val="20"/>
          <w:szCs w:val="20"/>
          <w:lang w:val="es-AR"/>
        </w:rPr>
        <w:t xml:space="preserve">que se investigara a los presuntos responsables de los actos de tortura. Finalmente, en el 2011 se interpuso una denuncia ante el Ministerio Público para que se realizara la exhumación de los cadáveres de Mario de Jesús Segura Tagual, </w:t>
      </w:r>
      <w:r w:rsidR="00BE0B3D">
        <w:rPr>
          <w:rFonts w:asciiTheme="majorHAnsi" w:hAnsiTheme="majorHAnsi"/>
          <w:sz w:val="20"/>
          <w:szCs w:val="20"/>
          <w:lang w:val="es-AR"/>
        </w:rPr>
        <w:t>Á</w:t>
      </w:r>
      <w:r w:rsidRPr="00CD2E32">
        <w:rPr>
          <w:rFonts w:asciiTheme="majorHAnsi" w:hAnsiTheme="majorHAnsi"/>
          <w:sz w:val="20"/>
          <w:szCs w:val="20"/>
          <w:lang w:val="es-AR"/>
        </w:rPr>
        <w:t xml:space="preserve">ngela Miriam del Cid Sian, Pablo Almira y Almira, Marcelina Catalán Yoche, </w:t>
      </w:r>
      <w:r w:rsidR="004B16D7" w:rsidRPr="00CD2E32">
        <w:rPr>
          <w:rFonts w:asciiTheme="majorHAnsi" w:hAnsiTheme="majorHAnsi"/>
          <w:sz w:val="20"/>
          <w:szCs w:val="20"/>
          <w:lang w:val="es-AR"/>
        </w:rPr>
        <w:t>Héctor</w:t>
      </w:r>
      <w:r w:rsidRPr="00CD2E32">
        <w:rPr>
          <w:rFonts w:asciiTheme="majorHAnsi" w:hAnsiTheme="majorHAnsi"/>
          <w:sz w:val="20"/>
          <w:szCs w:val="20"/>
          <w:lang w:val="es-AR"/>
        </w:rPr>
        <w:t xml:space="preserve"> Macabeo Aguilar Gutiérrez, Cesar Augusto N</w:t>
      </w:r>
      <w:r w:rsidR="00BE0B3D">
        <w:rPr>
          <w:rFonts w:asciiTheme="majorHAnsi" w:hAnsiTheme="majorHAnsi"/>
          <w:sz w:val="20"/>
          <w:szCs w:val="20"/>
          <w:lang w:val="es-AR"/>
        </w:rPr>
        <w:t>á</w:t>
      </w:r>
      <w:r w:rsidRPr="00CD2E32">
        <w:rPr>
          <w:rFonts w:asciiTheme="majorHAnsi" w:hAnsiTheme="majorHAnsi"/>
          <w:sz w:val="20"/>
          <w:szCs w:val="20"/>
          <w:lang w:val="es-AR"/>
        </w:rPr>
        <w:t xml:space="preserve">jera Galicia, David Arrion Sag, Francisca Guerra Catalán, Romero Guerra Catalán, Edmundo Guerra Catalán, María del Socorro Barrientos del Cid, </w:t>
      </w:r>
      <w:r w:rsidR="00896A27" w:rsidRPr="00CD2E32">
        <w:rPr>
          <w:rFonts w:asciiTheme="majorHAnsi" w:hAnsiTheme="majorHAnsi"/>
          <w:sz w:val="20"/>
          <w:szCs w:val="20"/>
          <w:lang w:val="es-AR"/>
        </w:rPr>
        <w:t>Félix</w:t>
      </w:r>
      <w:r w:rsidRPr="00CD2E32">
        <w:rPr>
          <w:rFonts w:asciiTheme="majorHAnsi" w:hAnsiTheme="majorHAnsi"/>
          <w:sz w:val="20"/>
          <w:szCs w:val="20"/>
          <w:lang w:val="es-AR"/>
        </w:rPr>
        <w:t xml:space="preserve"> Gabriel Esquit, Jesús Cujul de León, Elgido Roquel Chali, José Julio Herrera Pérez, José del Pilar Aguilar Santos</w:t>
      </w:r>
      <w:r>
        <w:rPr>
          <w:rFonts w:asciiTheme="majorHAnsi" w:hAnsiTheme="majorHAnsi"/>
          <w:sz w:val="20"/>
          <w:szCs w:val="20"/>
          <w:lang w:val="es-AR"/>
        </w:rPr>
        <w:t xml:space="preserve"> y</w:t>
      </w:r>
      <w:r w:rsidRPr="00CD2E32">
        <w:rPr>
          <w:rFonts w:asciiTheme="majorHAnsi" w:hAnsiTheme="majorHAnsi"/>
          <w:sz w:val="20"/>
          <w:szCs w:val="20"/>
          <w:lang w:val="es-AR"/>
        </w:rPr>
        <w:t xml:space="preserve"> José Luis Alberto Aguilar Santos del cementerio de Escuintla. La investigación se consignó bajo el número MP001/2011/57649; y en esta se logró consignar la declaración de testigos y familiares; no obstante, alegan que estas investigaciones se encuentran en sus primeras etapas y que no se cuenta con un plan exhaustivo de los hechos denunciados que permita dar con los responsables</w:t>
      </w:r>
      <w:r w:rsidR="002C1303">
        <w:rPr>
          <w:rFonts w:asciiTheme="majorHAnsi" w:hAnsiTheme="majorHAnsi"/>
          <w:sz w:val="20"/>
          <w:szCs w:val="20"/>
          <w:lang w:val="es-AR"/>
        </w:rPr>
        <w:t>, por lo que aún las presuntas víctimas de desaparición forzada aún no han sido restituidas y se desconoce su paradero</w:t>
      </w:r>
      <w:r w:rsidRPr="00CD2E32">
        <w:rPr>
          <w:rFonts w:asciiTheme="majorHAnsi" w:hAnsiTheme="majorHAnsi"/>
          <w:sz w:val="20"/>
          <w:szCs w:val="20"/>
          <w:lang w:val="es-AR"/>
        </w:rPr>
        <w:t xml:space="preserve">. Por esto, sostienen que resulta aplicable la excepción del artículo 46.2.c) de la Convención Americana. </w:t>
      </w:r>
    </w:p>
    <w:p w14:paraId="3DB8A7AA" w14:textId="50249EC8" w:rsidR="006259DB" w:rsidRPr="00CD2E32" w:rsidRDefault="006259DB" w:rsidP="006818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CD2E32">
        <w:rPr>
          <w:rFonts w:asciiTheme="majorHAnsi" w:hAnsiTheme="majorHAnsi"/>
          <w:i/>
          <w:iCs/>
          <w:sz w:val="20"/>
          <w:szCs w:val="20"/>
          <w:lang w:val="es-AR"/>
        </w:rPr>
        <w:t xml:space="preserve">Posición </w:t>
      </w:r>
      <w:r w:rsidR="00F03EDC" w:rsidRPr="00CD2E32">
        <w:rPr>
          <w:rFonts w:asciiTheme="majorHAnsi" w:hAnsiTheme="majorHAnsi"/>
          <w:i/>
          <w:iCs/>
          <w:sz w:val="20"/>
          <w:szCs w:val="20"/>
          <w:lang w:val="es-AR"/>
        </w:rPr>
        <w:t>de Guatemala</w:t>
      </w:r>
    </w:p>
    <w:p w14:paraId="71EAB592" w14:textId="50B7213E" w:rsidR="00D055D0" w:rsidRPr="00CD2E32" w:rsidRDefault="00D055D0"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 xml:space="preserve">Por su parte el </w:t>
      </w:r>
      <w:r w:rsidR="00B06896">
        <w:rPr>
          <w:rFonts w:asciiTheme="majorHAnsi" w:hAnsiTheme="majorHAnsi"/>
          <w:sz w:val="20"/>
          <w:szCs w:val="20"/>
          <w:lang w:val="es-AR"/>
        </w:rPr>
        <w:t>E</w:t>
      </w:r>
      <w:r w:rsidRPr="00CD2E32">
        <w:rPr>
          <w:rFonts w:asciiTheme="majorHAnsi" w:hAnsiTheme="majorHAnsi"/>
          <w:sz w:val="20"/>
          <w:szCs w:val="20"/>
          <w:lang w:val="es-AR"/>
        </w:rPr>
        <w:t xml:space="preserve">stado solicita que la Comisión se declare incompetente para conocer de la petición </w:t>
      </w:r>
      <w:r w:rsidR="00EB45C3">
        <w:rPr>
          <w:rFonts w:asciiTheme="majorHAnsi" w:hAnsiTheme="majorHAnsi"/>
          <w:sz w:val="20"/>
          <w:szCs w:val="20"/>
          <w:lang w:val="es-AR"/>
        </w:rPr>
        <w:t>por</w:t>
      </w:r>
      <w:r w:rsidRPr="00CD2E32">
        <w:rPr>
          <w:rFonts w:asciiTheme="majorHAnsi" w:hAnsiTheme="majorHAnsi"/>
          <w:sz w:val="20"/>
          <w:szCs w:val="20"/>
          <w:lang w:val="es-AR"/>
        </w:rPr>
        <w:t xml:space="preserve"> falta de competencia </w:t>
      </w:r>
      <w:r w:rsidRPr="00CD2E32">
        <w:rPr>
          <w:rFonts w:asciiTheme="majorHAnsi" w:hAnsiTheme="majorHAnsi"/>
          <w:i/>
          <w:iCs/>
          <w:sz w:val="20"/>
          <w:szCs w:val="20"/>
          <w:lang w:val="es-AR"/>
        </w:rPr>
        <w:t>ratione personae</w:t>
      </w:r>
      <w:r w:rsidR="00C958D8">
        <w:rPr>
          <w:rFonts w:asciiTheme="majorHAnsi" w:hAnsiTheme="majorHAnsi"/>
          <w:sz w:val="20"/>
          <w:szCs w:val="20"/>
          <w:lang w:val="es-AR"/>
        </w:rPr>
        <w:t>;</w:t>
      </w:r>
      <w:r w:rsidRPr="00CD2E32">
        <w:rPr>
          <w:rFonts w:asciiTheme="majorHAnsi" w:hAnsiTheme="majorHAnsi"/>
          <w:sz w:val="20"/>
          <w:szCs w:val="20"/>
          <w:lang w:val="es-AR"/>
        </w:rPr>
        <w:t xml:space="preserve"> y en virtud de que los peticionarios (i) no </w:t>
      </w:r>
      <w:r w:rsidR="00FB6A80">
        <w:rPr>
          <w:rFonts w:asciiTheme="majorHAnsi" w:hAnsiTheme="majorHAnsi"/>
          <w:sz w:val="20"/>
          <w:szCs w:val="20"/>
          <w:lang w:val="es-AR"/>
        </w:rPr>
        <w:t>habrían individualizado</w:t>
      </w:r>
      <w:r w:rsidRPr="00CD2E32">
        <w:rPr>
          <w:rFonts w:asciiTheme="majorHAnsi" w:hAnsiTheme="majorHAnsi"/>
          <w:sz w:val="20"/>
          <w:szCs w:val="20"/>
          <w:lang w:val="es-AR"/>
        </w:rPr>
        <w:t xml:space="preserve"> correctamente a cada una de las presuntas víctimas</w:t>
      </w:r>
      <w:r w:rsidR="00FB6A80">
        <w:rPr>
          <w:rFonts w:asciiTheme="majorHAnsi" w:hAnsiTheme="majorHAnsi"/>
          <w:sz w:val="20"/>
          <w:szCs w:val="20"/>
          <w:lang w:val="es-AR"/>
        </w:rPr>
        <w:t>;</w:t>
      </w:r>
      <w:r w:rsidRPr="00CD2E32">
        <w:rPr>
          <w:rFonts w:asciiTheme="majorHAnsi" w:hAnsiTheme="majorHAnsi"/>
          <w:sz w:val="20"/>
          <w:szCs w:val="20"/>
          <w:lang w:val="es-AR"/>
        </w:rPr>
        <w:t xml:space="preserve"> (ii) no se cumpl</w:t>
      </w:r>
      <w:r w:rsidR="00FB6A80">
        <w:rPr>
          <w:rFonts w:asciiTheme="majorHAnsi" w:hAnsiTheme="majorHAnsi"/>
          <w:sz w:val="20"/>
          <w:szCs w:val="20"/>
          <w:lang w:val="es-AR"/>
        </w:rPr>
        <w:t>iría</w:t>
      </w:r>
      <w:r w:rsidRPr="00CD2E32">
        <w:rPr>
          <w:rFonts w:asciiTheme="majorHAnsi" w:hAnsiTheme="majorHAnsi"/>
          <w:sz w:val="20"/>
          <w:szCs w:val="20"/>
          <w:lang w:val="es-AR"/>
        </w:rPr>
        <w:t xml:space="preserve"> con el requisito de plazo de presentación</w:t>
      </w:r>
      <w:r w:rsidR="003B416A">
        <w:rPr>
          <w:rFonts w:asciiTheme="majorHAnsi" w:hAnsiTheme="majorHAnsi"/>
          <w:sz w:val="20"/>
          <w:szCs w:val="20"/>
          <w:lang w:val="es-AR"/>
        </w:rPr>
        <w:t>;</w:t>
      </w:r>
      <w:r w:rsidRPr="00CD2E32">
        <w:rPr>
          <w:rFonts w:asciiTheme="majorHAnsi" w:hAnsiTheme="majorHAnsi"/>
          <w:sz w:val="20"/>
          <w:szCs w:val="20"/>
          <w:lang w:val="es-AR"/>
        </w:rPr>
        <w:t xml:space="preserve"> y (iii) no se cumpl</w:t>
      </w:r>
      <w:r w:rsidR="003B416A">
        <w:rPr>
          <w:rFonts w:asciiTheme="majorHAnsi" w:hAnsiTheme="majorHAnsi"/>
          <w:sz w:val="20"/>
          <w:szCs w:val="20"/>
          <w:lang w:val="es-AR"/>
        </w:rPr>
        <w:t>iría</w:t>
      </w:r>
      <w:r w:rsidRPr="00CD2E32">
        <w:rPr>
          <w:rFonts w:asciiTheme="majorHAnsi" w:hAnsiTheme="majorHAnsi"/>
          <w:sz w:val="20"/>
          <w:szCs w:val="20"/>
          <w:lang w:val="es-AR"/>
        </w:rPr>
        <w:t xml:space="preserve"> con el requisito de agotamiento de los recursos internos. </w:t>
      </w:r>
    </w:p>
    <w:p w14:paraId="4EA980AF" w14:textId="420BF67A" w:rsidR="00ED2561" w:rsidRPr="00CD2E32" w:rsidRDefault="00A238E8"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t>Guatemala c</w:t>
      </w:r>
      <w:r w:rsidR="004B6153" w:rsidRPr="00CD2E32">
        <w:rPr>
          <w:rFonts w:asciiTheme="majorHAnsi" w:hAnsiTheme="majorHAnsi"/>
          <w:sz w:val="20"/>
          <w:szCs w:val="20"/>
          <w:lang w:val="es-AR"/>
        </w:rPr>
        <w:t>onfirma</w:t>
      </w:r>
      <w:r w:rsidR="002E1464" w:rsidRPr="00CD2E32">
        <w:rPr>
          <w:rFonts w:asciiTheme="majorHAnsi" w:hAnsiTheme="majorHAnsi"/>
          <w:sz w:val="20"/>
          <w:szCs w:val="20"/>
          <w:lang w:val="es-AR"/>
        </w:rPr>
        <w:t xml:space="preserve"> que la petición se encuentra fundamentada en los hechos ocurridos en Santa Luc</w:t>
      </w:r>
      <w:r w:rsidR="00122B83">
        <w:rPr>
          <w:rFonts w:asciiTheme="majorHAnsi" w:hAnsiTheme="majorHAnsi"/>
          <w:sz w:val="20"/>
          <w:szCs w:val="20"/>
          <w:lang w:val="es-AR"/>
        </w:rPr>
        <w:t>í</w:t>
      </w:r>
      <w:r w:rsidR="002E1464" w:rsidRPr="00CD2E32">
        <w:rPr>
          <w:rFonts w:asciiTheme="majorHAnsi" w:hAnsiTheme="majorHAnsi"/>
          <w:sz w:val="20"/>
          <w:szCs w:val="20"/>
          <w:lang w:val="es-AR"/>
        </w:rPr>
        <w:t xml:space="preserve">a Cotzumalguapa, región de la costa sur de Guatemala, durante </w:t>
      </w:r>
      <w:r w:rsidR="00AE4D0E" w:rsidRPr="00CD2E32">
        <w:rPr>
          <w:rFonts w:asciiTheme="majorHAnsi" w:hAnsiTheme="majorHAnsi"/>
          <w:sz w:val="20"/>
          <w:szCs w:val="20"/>
          <w:lang w:val="es-AR"/>
        </w:rPr>
        <w:t xml:space="preserve">el periodo que va de </w:t>
      </w:r>
      <w:r w:rsidR="002E1464" w:rsidRPr="00CD2E32">
        <w:rPr>
          <w:rFonts w:asciiTheme="majorHAnsi" w:hAnsiTheme="majorHAnsi"/>
          <w:sz w:val="20"/>
          <w:szCs w:val="20"/>
          <w:lang w:val="es-AR"/>
        </w:rPr>
        <w:t>1976 a 1986.</w:t>
      </w:r>
      <w:r w:rsidR="001E6F29" w:rsidRPr="00CD2E32">
        <w:rPr>
          <w:rFonts w:asciiTheme="majorHAnsi" w:hAnsiTheme="majorHAnsi"/>
          <w:sz w:val="20"/>
          <w:szCs w:val="20"/>
          <w:lang w:val="es-AR"/>
        </w:rPr>
        <w:t xml:space="preserve"> Señala que de los hechos narrados por los peticionarios se evidencia que las presuntas víctimas fueron detenidas ilegalmente por personas que pertenecían o tenían algún vínculo con el ejército, pero que siendo consideradas en su conjunto no representan un hecho de vulneraciones masivas, sino que para cada una de las personas descritas se presentaron circunstancias diferentes, medios y móviles particulares, donde el único elemento común era el que residieran en el mismo municipio y el que los testigos identificaron que los hechos pudieron haber sido cometidos por miembros del aparato de seguridad pública. </w:t>
      </w:r>
    </w:p>
    <w:p w14:paraId="0B89D131" w14:textId="596C2FCE" w:rsidR="001E6F29" w:rsidRPr="00CD2E32" w:rsidRDefault="001E6F29"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 xml:space="preserve">Alega que no se promovió ninguna denuncia o investigación de los hechos debido a que los familiares tomaron la decisión de no acceder al sistema de justicia aduciendo que se encontraban intimidados por la situación o que los recursos eran insuficientes. No obstante, muchos familiares se acercaron a la municipalidad de Santa Lucía de Cotzumalguapa para solicitar la muerte presunta de sus familiares y </w:t>
      </w:r>
      <w:r w:rsidRPr="00CD2E32">
        <w:rPr>
          <w:rFonts w:asciiTheme="majorHAnsi" w:hAnsiTheme="majorHAnsi"/>
          <w:sz w:val="20"/>
          <w:szCs w:val="20"/>
          <w:lang w:val="es-AR"/>
        </w:rPr>
        <w:lastRenderedPageBreak/>
        <w:t xml:space="preserve">posteriormente algunos se acercaron para presentar declaración testimonial ante el Ministerio Público en los años 2008, 2011, 2016 y 2017. </w:t>
      </w:r>
      <w:r w:rsidR="004F4F9F" w:rsidRPr="00CD2E32">
        <w:rPr>
          <w:rFonts w:asciiTheme="majorHAnsi" w:hAnsiTheme="majorHAnsi"/>
          <w:sz w:val="20"/>
          <w:szCs w:val="20"/>
          <w:lang w:val="es-AR"/>
        </w:rPr>
        <w:t>Asimismo,</w:t>
      </w:r>
      <w:r w:rsidRPr="00CD2E32">
        <w:rPr>
          <w:rFonts w:asciiTheme="majorHAnsi" w:hAnsiTheme="majorHAnsi"/>
          <w:sz w:val="20"/>
          <w:szCs w:val="20"/>
          <w:lang w:val="es-AR"/>
        </w:rPr>
        <w:t xml:space="preserve"> se acercaron a la Fundación de Antropología Forense para prestar muestras de ADN para solicitar la posible identificación de osamentas y restos mortales que pudieran corresponder a las presuntas víctimas</w:t>
      </w:r>
      <w:r w:rsidR="002C1303">
        <w:rPr>
          <w:rFonts w:asciiTheme="majorHAnsi" w:hAnsiTheme="majorHAnsi"/>
          <w:sz w:val="20"/>
          <w:szCs w:val="20"/>
          <w:lang w:val="es-AR"/>
        </w:rPr>
        <w:t xml:space="preserve">, sin que de este proceso haya sido posible la identificación de los restos de las presuntas víctimas. </w:t>
      </w:r>
      <w:r w:rsidR="00D86FA3" w:rsidRPr="00CD2E32">
        <w:rPr>
          <w:rFonts w:asciiTheme="majorHAnsi" w:hAnsiTheme="majorHAnsi"/>
          <w:sz w:val="20"/>
          <w:szCs w:val="20"/>
          <w:lang w:val="es-AR"/>
        </w:rPr>
        <w:t>Finalmente,</w:t>
      </w:r>
      <w:r w:rsidR="00655775" w:rsidRPr="00CD2E32">
        <w:rPr>
          <w:rFonts w:asciiTheme="majorHAnsi" w:hAnsiTheme="majorHAnsi"/>
          <w:sz w:val="20"/>
          <w:szCs w:val="20"/>
          <w:lang w:val="es-AR"/>
        </w:rPr>
        <w:t xml:space="preserve"> algunas de las presuntas víctimas ingresaron al programa Nacional de Resarcimiento durante</w:t>
      </w:r>
      <w:r w:rsidR="005E47ED">
        <w:rPr>
          <w:rFonts w:asciiTheme="majorHAnsi" w:hAnsiTheme="majorHAnsi"/>
          <w:sz w:val="20"/>
          <w:szCs w:val="20"/>
          <w:lang w:val="es-AR"/>
        </w:rPr>
        <w:t xml:space="preserve"> los años</w:t>
      </w:r>
      <w:r w:rsidR="00655775" w:rsidRPr="00CD2E32">
        <w:rPr>
          <w:rFonts w:asciiTheme="majorHAnsi" w:hAnsiTheme="majorHAnsi"/>
          <w:sz w:val="20"/>
          <w:szCs w:val="20"/>
          <w:lang w:val="es-AR"/>
        </w:rPr>
        <w:t xml:space="preserve"> 2004, 2005, 2006 y 2012, donde fueron reconocidas como víctimas y fueron resarcidas económicamente por concepto de daño inmaterial. </w:t>
      </w:r>
    </w:p>
    <w:p w14:paraId="5E0FFE5D" w14:textId="4C01A92A" w:rsidR="00655775" w:rsidRPr="00CD2E32" w:rsidRDefault="00655775"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 xml:space="preserve">Indica que para el periodo de 1970 </w:t>
      </w:r>
      <w:r w:rsidR="00D7191B" w:rsidRPr="00CD2E32">
        <w:rPr>
          <w:rFonts w:asciiTheme="majorHAnsi" w:hAnsiTheme="majorHAnsi"/>
          <w:sz w:val="20"/>
          <w:szCs w:val="20"/>
          <w:lang w:val="es-AR"/>
        </w:rPr>
        <w:t>a</w:t>
      </w:r>
      <w:r w:rsidRPr="00CD2E32">
        <w:rPr>
          <w:rFonts w:asciiTheme="majorHAnsi" w:hAnsiTheme="majorHAnsi"/>
          <w:sz w:val="20"/>
          <w:szCs w:val="20"/>
          <w:lang w:val="es-AR"/>
        </w:rPr>
        <w:t xml:space="preserve"> 1980 s</w:t>
      </w:r>
      <w:r w:rsidR="00D7191B" w:rsidRPr="00CD2E32">
        <w:rPr>
          <w:rFonts w:asciiTheme="majorHAnsi" w:hAnsiTheme="majorHAnsi"/>
          <w:sz w:val="20"/>
          <w:szCs w:val="20"/>
          <w:lang w:val="es-AR"/>
        </w:rPr>
        <w:t>í</w:t>
      </w:r>
      <w:r w:rsidRPr="00CD2E32">
        <w:rPr>
          <w:rFonts w:asciiTheme="majorHAnsi" w:hAnsiTheme="majorHAnsi"/>
          <w:sz w:val="20"/>
          <w:szCs w:val="20"/>
          <w:lang w:val="es-AR"/>
        </w:rPr>
        <w:t xml:space="preserve"> existía un marco jurídico de protección a detenidos y personas de las que se tuviera conocimiento que se encontraban privadas de su libertad de manera ilegal, o que siendo legal se encontraban sufriendo de torturas. De este modo se encontraban disponibles el h</w:t>
      </w:r>
      <w:r w:rsidR="00D7191B" w:rsidRPr="00CD2E32">
        <w:rPr>
          <w:rFonts w:asciiTheme="majorHAnsi" w:hAnsiTheme="majorHAnsi"/>
          <w:sz w:val="20"/>
          <w:szCs w:val="20"/>
          <w:lang w:val="es-AR"/>
        </w:rPr>
        <w:t>á</w:t>
      </w:r>
      <w:r w:rsidRPr="00CD2E32">
        <w:rPr>
          <w:rFonts w:asciiTheme="majorHAnsi" w:hAnsiTheme="majorHAnsi"/>
          <w:sz w:val="20"/>
          <w:szCs w:val="20"/>
          <w:lang w:val="es-AR"/>
        </w:rPr>
        <w:t>beas corpus y la exhibición personal, siendo mecanismos sencillos y de acción inmediata. A esto se suma el procedimiento de averiguación especial</w:t>
      </w:r>
      <w:r w:rsidR="006742B8" w:rsidRPr="00CD2E32">
        <w:rPr>
          <w:rFonts w:asciiTheme="majorHAnsi" w:hAnsiTheme="majorHAnsi"/>
          <w:sz w:val="20"/>
          <w:szCs w:val="20"/>
          <w:lang w:val="es-AR"/>
        </w:rPr>
        <w:t>,</w:t>
      </w:r>
      <w:r w:rsidRPr="00CD2E32">
        <w:rPr>
          <w:rFonts w:asciiTheme="majorHAnsi" w:hAnsiTheme="majorHAnsi"/>
          <w:sz w:val="20"/>
          <w:szCs w:val="20"/>
          <w:lang w:val="es-AR"/>
        </w:rPr>
        <w:t xml:space="preserve"> </w:t>
      </w:r>
      <w:r w:rsidR="006742B8" w:rsidRPr="00CD2E32">
        <w:rPr>
          <w:rFonts w:asciiTheme="majorHAnsi" w:hAnsiTheme="majorHAnsi"/>
          <w:sz w:val="20"/>
          <w:szCs w:val="20"/>
          <w:lang w:val="es-AR"/>
        </w:rPr>
        <w:t>cuyo objeto es</w:t>
      </w:r>
      <w:r w:rsidR="00D86FA3" w:rsidRPr="00CD2E32">
        <w:rPr>
          <w:rFonts w:asciiTheme="majorHAnsi" w:hAnsiTheme="majorHAnsi"/>
          <w:sz w:val="20"/>
          <w:szCs w:val="20"/>
          <w:lang w:val="es-AR"/>
        </w:rPr>
        <w:t xml:space="preserve"> </w:t>
      </w:r>
      <w:r w:rsidRPr="00CD2E32">
        <w:rPr>
          <w:rFonts w:asciiTheme="majorHAnsi" w:hAnsiTheme="majorHAnsi"/>
          <w:sz w:val="20"/>
          <w:szCs w:val="20"/>
          <w:lang w:val="es-AR"/>
        </w:rPr>
        <w:t xml:space="preserve">dar continuidad a los hallazgos que pudieron haber sido determinados en una exhibición </w:t>
      </w:r>
      <w:r w:rsidR="00D86FA3" w:rsidRPr="00CD2E32">
        <w:rPr>
          <w:rFonts w:asciiTheme="majorHAnsi" w:hAnsiTheme="majorHAnsi"/>
          <w:sz w:val="20"/>
          <w:szCs w:val="20"/>
          <w:lang w:val="es-AR"/>
        </w:rPr>
        <w:t>personal, así como ser un</w:t>
      </w:r>
      <w:r w:rsidRPr="00CD2E32">
        <w:rPr>
          <w:rFonts w:asciiTheme="majorHAnsi" w:hAnsiTheme="majorHAnsi"/>
          <w:sz w:val="20"/>
          <w:szCs w:val="20"/>
          <w:lang w:val="es-AR"/>
        </w:rPr>
        <w:t xml:space="preserve"> mecanismo complementario </w:t>
      </w:r>
      <w:r w:rsidR="00D86FA3" w:rsidRPr="00CD2E32">
        <w:rPr>
          <w:rFonts w:asciiTheme="majorHAnsi" w:hAnsiTheme="majorHAnsi"/>
          <w:sz w:val="20"/>
          <w:szCs w:val="20"/>
          <w:lang w:val="es-AR"/>
        </w:rPr>
        <w:t xml:space="preserve">que garantice la protección de una persona que fue </w:t>
      </w:r>
      <w:r w:rsidR="00370E1D" w:rsidRPr="00CD2E32">
        <w:rPr>
          <w:rFonts w:asciiTheme="majorHAnsi" w:hAnsiTheme="majorHAnsi"/>
          <w:sz w:val="20"/>
          <w:szCs w:val="20"/>
          <w:lang w:val="es-AR"/>
        </w:rPr>
        <w:t>detenida,</w:t>
      </w:r>
      <w:r w:rsidR="00D86FA3" w:rsidRPr="00CD2E32">
        <w:rPr>
          <w:rFonts w:asciiTheme="majorHAnsi" w:hAnsiTheme="majorHAnsi"/>
          <w:sz w:val="20"/>
          <w:szCs w:val="20"/>
          <w:lang w:val="es-AR"/>
        </w:rPr>
        <w:t xml:space="preserve"> pero se ignora su paradero, y donde su efectividad recae en que sea impulsado desde el momento en que se conozca que una persona podría encontrarse desaparecida. </w:t>
      </w:r>
    </w:p>
    <w:p w14:paraId="1BFEC707" w14:textId="703C79A8" w:rsidR="00D86FA3" w:rsidRDefault="00CA3615"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t xml:space="preserve">Arguye </w:t>
      </w:r>
      <w:r w:rsidR="00D86FA3" w:rsidRPr="00CD2E32">
        <w:rPr>
          <w:rFonts w:asciiTheme="majorHAnsi" w:hAnsiTheme="majorHAnsi"/>
          <w:sz w:val="20"/>
          <w:szCs w:val="20"/>
          <w:lang w:val="es-AR"/>
        </w:rPr>
        <w:t xml:space="preserve">que </w:t>
      </w:r>
      <w:r>
        <w:rPr>
          <w:rFonts w:asciiTheme="majorHAnsi" w:hAnsiTheme="majorHAnsi"/>
          <w:sz w:val="20"/>
          <w:szCs w:val="20"/>
          <w:lang w:val="es-AR"/>
        </w:rPr>
        <w:t xml:space="preserve">se </w:t>
      </w:r>
      <w:r w:rsidR="00D86FA3" w:rsidRPr="00CD2E32">
        <w:rPr>
          <w:rFonts w:asciiTheme="majorHAnsi" w:hAnsiTheme="majorHAnsi"/>
          <w:sz w:val="20"/>
          <w:szCs w:val="20"/>
          <w:lang w:val="es-AR"/>
        </w:rPr>
        <w:t>ha</w:t>
      </w:r>
      <w:r>
        <w:rPr>
          <w:rFonts w:asciiTheme="majorHAnsi" w:hAnsiTheme="majorHAnsi"/>
          <w:sz w:val="20"/>
          <w:szCs w:val="20"/>
          <w:lang w:val="es-AR"/>
        </w:rPr>
        <w:t>n</w:t>
      </w:r>
      <w:r w:rsidR="00D86FA3" w:rsidRPr="00CD2E32">
        <w:rPr>
          <w:rFonts w:asciiTheme="majorHAnsi" w:hAnsiTheme="majorHAnsi"/>
          <w:sz w:val="20"/>
          <w:szCs w:val="20"/>
          <w:lang w:val="es-AR"/>
        </w:rPr>
        <w:t xml:space="preserve"> alcanzado logros satisfactorios en materia de justicia en aquellos casos relacionados </w:t>
      </w:r>
      <w:r w:rsidR="001E78D1" w:rsidRPr="00CD2E32">
        <w:rPr>
          <w:rFonts w:asciiTheme="majorHAnsi" w:hAnsiTheme="majorHAnsi"/>
          <w:sz w:val="20"/>
          <w:szCs w:val="20"/>
          <w:lang w:val="es-AR"/>
        </w:rPr>
        <w:t>con</w:t>
      </w:r>
      <w:r w:rsidR="00D86FA3" w:rsidRPr="00CD2E32">
        <w:rPr>
          <w:rFonts w:asciiTheme="majorHAnsi" w:hAnsiTheme="majorHAnsi"/>
          <w:sz w:val="20"/>
          <w:szCs w:val="20"/>
          <w:lang w:val="es-AR"/>
        </w:rPr>
        <w:t xml:space="preserve"> la violación de derechos humanos durante el conflicto armado, es por ello </w:t>
      </w:r>
      <w:r w:rsidR="006D414A" w:rsidRPr="00CD2E32">
        <w:rPr>
          <w:rFonts w:asciiTheme="majorHAnsi" w:hAnsiTheme="majorHAnsi"/>
          <w:sz w:val="20"/>
          <w:szCs w:val="20"/>
          <w:lang w:val="es-AR"/>
        </w:rPr>
        <w:t>por lo que</w:t>
      </w:r>
      <w:r w:rsidR="00D86FA3" w:rsidRPr="00CD2E32">
        <w:rPr>
          <w:rFonts w:asciiTheme="majorHAnsi" w:hAnsiTheme="majorHAnsi"/>
          <w:sz w:val="20"/>
          <w:szCs w:val="20"/>
          <w:lang w:val="es-AR"/>
        </w:rPr>
        <w:t xml:space="preserve"> en el proceso de justicia transicional se creó el programa Nacional de Resarcimiento </w:t>
      </w:r>
      <w:r w:rsidR="00C03511" w:rsidRPr="00CD2E32">
        <w:rPr>
          <w:rFonts w:asciiTheme="majorHAnsi" w:hAnsiTheme="majorHAnsi"/>
          <w:sz w:val="20"/>
          <w:szCs w:val="20"/>
          <w:lang w:val="es-AR"/>
        </w:rPr>
        <w:t>en el que</w:t>
      </w:r>
      <w:r w:rsidR="00D86FA3" w:rsidRPr="00CD2E32">
        <w:rPr>
          <w:rFonts w:asciiTheme="majorHAnsi" w:hAnsiTheme="majorHAnsi"/>
          <w:sz w:val="20"/>
          <w:szCs w:val="20"/>
          <w:lang w:val="es-AR"/>
        </w:rPr>
        <w:t xml:space="preserve"> trece de las presuntas víctimas tienen un proceso abierto</w:t>
      </w:r>
      <w:r w:rsidR="00973F10" w:rsidRPr="00CD2E32">
        <w:rPr>
          <w:rFonts w:asciiTheme="majorHAnsi" w:hAnsiTheme="majorHAnsi"/>
          <w:sz w:val="20"/>
          <w:szCs w:val="20"/>
          <w:lang w:val="es-AR"/>
        </w:rPr>
        <w:t>,</w:t>
      </w:r>
      <w:r w:rsidR="00D86FA3" w:rsidRPr="00CD2E32">
        <w:rPr>
          <w:rFonts w:asciiTheme="majorHAnsi" w:hAnsiTheme="majorHAnsi"/>
          <w:sz w:val="20"/>
          <w:szCs w:val="20"/>
          <w:lang w:val="es-AR"/>
        </w:rPr>
        <w:t xml:space="preserve"> y algunos ya fueron resarcidos económicamente</w:t>
      </w:r>
      <w:r w:rsidR="00F97AF7" w:rsidRPr="00CD2E32">
        <w:rPr>
          <w:rStyle w:val="FootnoteReference"/>
          <w:rFonts w:asciiTheme="majorHAnsi" w:hAnsiTheme="majorHAnsi"/>
          <w:sz w:val="20"/>
          <w:szCs w:val="20"/>
          <w:lang w:val="es-AR"/>
        </w:rPr>
        <w:footnoteReference w:id="12"/>
      </w:r>
      <w:r w:rsidR="00D86FA3" w:rsidRPr="00CD2E32">
        <w:rPr>
          <w:rFonts w:asciiTheme="majorHAnsi" w:hAnsiTheme="majorHAnsi"/>
          <w:sz w:val="20"/>
          <w:szCs w:val="20"/>
          <w:lang w:val="es-AR"/>
        </w:rPr>
        <w:t xml:space="preserve">. </w:t>
      </w:r>
    </w:p>
    <w:p w14:paraId="4D7EA0DC" w14:textId="4814348D" w:rsidR="00CA3615" w:rsidRPr="00CD2E32" w:rsidRDefault="00CA3615"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t>Sostiene</w:t>
      </w:r>
      <w:r w:rsidRPr="00CD2E32">
        <w:rPr>
          <w:rFonts w:asciiTheme="majorHAnsi" w:hAnsiTheme="majorHAnsi"/>
          <w:sz w:val="20"/>
          <w:szCs w:val="20"/>
          <w:lang w:val="es-AR"/>
        </w:rPr>
        <w:t xml:space="preserve"> que no se agotaron los recursos internos, puesto que lo argumentado por los peticionarios no encaja en ninguna de las excepciones descritas en el Reglamento de la CIDH, debido a que no se agotó el recurso de exhibición personal, excepto por dos de las presuntas víctimas. Considera incongruente el que en la petición se indique que las presuntas víctimas sentían temor de las autoridades policiales, pero que en el mismo escrito se narre que se presentaron de manera informal ante agentes de seguridad a pedir información. En este sentido considera que se encontraban disponibles los recursos de exhibición personal, el procedimiento especial de averiguación y finalmente, el recurso de amparo. </w:t>
      </w:r>
    </w:p>
    <w:p w14:paraId="0DEE08C4" w14:textId="3465E51B" w:rsidR="00CA3615" w:rsidRPr="00CD2E32" w:rsidRDefault="00CA3615"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Tampoco se habría agotado el proceso penal por tortura, pues el Ministerio Público recibió declaración testimonial de algun</w:t>
      </w:r>
      <w:r w:rsidR="003448B4">
        <w:rPr>
          <w:rFonts w:asciiTheme="majorHAnsi" w:hAnsiTheme="majorHAnsi"/>
          <w:sz w:val="20"/>
          <w:szCs w:val="20"/>
          <w:lang w:val="es-AR"/>
        </w:rPr>
        <w:t>a</w:t>
      </w:r>
      <w:r w:rsidRPr="00CD2E32">
        <w:rPr>
          <w:rFonts w:asciiTheme="majorHAnsi" w:hAnsiTheme="majorHAnsi"/>
          <w:sz w:val="20"/>
          <w:szCs w:val="20"/>
          <w:lang w:val="es-AR"/>
        </w:rPr>
        <w:t>s de las presuntas víctimas y sus familiares, encontrándose en etapa de investigación. Asimismo, continúa Guatemala, no se agotó el proceso penal por ejecución extrajudicial, puesto que no se han denunciado los hechos, y por ende, no se ha abierto una investigación. Con respecto a los casos de desaparición forzada no se ha</w:t>
      </w:r>
      <w:r w:rsidR="00941498">
        <w:rPr>
          <w:rFonts w:asciiTheme="majorHAnsi" w:hAnsiTheme="majorHAnsi"/>
          <w:sz w:val="20"/>
          <w:szCs w:val="20"/>
          <w:lang w:val="es-AR"/>
        </w:rPr>
        <w:t>bría</w:t>
      </w:r>
      <w:r w:rsidRPr="00CD2E32">
        <w:rPr>
          <w:rFonts w:asciiTheme="majorHAnsi" w:hAnsiTheme="majorHAnsi"/>
          <w:sz w:val="20"/>
          <w:szCs w:val="20"/>
          <w:lang w:val="es-AR"/>
        </w:rPr>
        <w:t xml:space="preserve"> agotado el proceso penal, pues la Fiscalía de Derechos Humanos </w:t>
      </w:r>
      <w:r w:rsidR="00D036A0">
        <w:rPr>
          <w:rFonts w:asciiTheme="majorHAnsi" w:hAnsiTheme="majorHAnsi"/>
          <w:sz w:val="20"/>
          <w:szCs w:val="20"/>
          <w:lang w:val="es-AR"/>
        </w:rPr>
        <w:t>aún estaría</w:t>
      </w:r>
      <w:r w:rsidRPr="00CD2E32">
        <w:rPr>
          <w:rFonts w:asciiTheme="majorHAnsi" w:hAnsiTheme="majorHAnsi"/>
          <w:sz w:val="20"/>
          <w:szCs w:val="20"/>
          <w:lang w:val="es-AR"/>
        </w:rPr>
        <w:t xml:space="preserve"> conociendo de la desaparición forzada de </w:t>
      </w:r>
      <w:r w:rsidR="00D036A0">
        <w:rPr>
          <w:rFonts w:asciiTheme="majorHAnsi" w:hAnsiTheme="majorHAnsi"/>
          <w:sz w:val="20"/>
          <w:szCs w:val="20"/>
          <w:lang w:val="es-AR"/>
        </w:rPr>
        <w:t>treinta y un</w:t>
      </w:r>
      <w:r w:rsidRPr="00CD2E32">
        <w:rPr>
          <w:rFonts w:asciiTheme="majorHAnsi" w:hAnsiTheme="majorHAnsi"/>
          <w:sz w:val="20"/>
          <w:szCs w:val="20"/>
          <w:lang w:val="es-AR"/>
        </w:rPr>
        <w:t xml:space="preserve"> personas mediante el expediente MP001-2011-57649, el cual se encuentra en el Juzgado de Primera Instancia Penal, Narcoactividad y Delitos contra el ambiente de Escuintla; y a través de las denuncias presentadas ante el Programa Nacional de Resarcimiento se han abierto los casos MP60-2010-1954 y MP60-2010-334, por delito de desaparición forzada de José Canahui Salvador y Mario de Jesús Segura, respectivamente. Finalmente, Guatemala alega que no se agotó el proceso penal en los casos de violencia sexual, pues hasta el momento no se cuenta con declaración testimonial de las presuntas víctimas.</w:t>
      </w:r>
    </w:p>
    <w:p w14:paraId="468CF973" w14:textId="43300A6F" w:rsidR="00CA3615" w:rsidRPr="00CA3615" w:rsidRDefault="00CA3615"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t xml:space="preserve">El Estado aduce de manera complementaria, la falta de cumplimiento del requisito de plazo de presentación, establecido en el artículo 46.1.b) debido a que los hechos ocurrieron entre 1976 a 1982, y la petición fue presentada a la Comisión en el 2018. </w:t>
      </w:r>
    </w:p>
    <w:p w14:paraId="197CCF75" w14:textId="77777777" w:rsidR="00CA080B" w:rsidRDefault="00CA080B" w:rsidP="00681804">
      <w:pPr>
        <w:spacing w:before="240" w:after="240"/>
        <w:ind w:firstLine="720"/>
        <w:jc w:val="both"/>
        <w:rPr>
          <w:rFonts w:asciiTheme="majorHAnsi" w:eastAsia="Cambria" w:hAnsiTheme="majorHAnsi" w:cs="Cambria"/>
          <w:b/>
          <w:bCs/>
          <w:color w:val="000000"/>
          <w:sz w:val="20"/>
          <w:szCs w:val="20"/>
          <w:u w:color="000000"/>
          <w:lang w:val="es-ES" w:eastAsia="es-ES"/>
        </w:rPr>
      </w:pPr>
    </w:p>
    <w:p w14:paraId="6F4D4171" w14:textId="3706C33D" w:rsidR="003239B8" w:rsidRPr="00CD2E32" w:rsidRDefault="003239B8" w:rsidP="00681804">
      <w:pPr>
        <w:spacing w:before="240" w:after="240"/>
        <w:ind w:firstLine="720"/>
        <w:jc w:val="both"/>
        <w:rPr>
          <w:rFonts w:asciiTheme="majorHAnsi" w:hAnsiTheme="majorHAnsi"/>
          <w:sz w:val="20"/>
          <w:szCs w:val="20"/>
          <w:lang w:val="es-UY"/>
        </w:rPr>
      </w:pPr>
      <w:r w:rsidRPr="00CD2E32">
        <w:rPr>
          <w:rFonts w:asciiTheme="majorHAnsi" w:eastAsia="Cambria" w:hAnsiTheme="majorHAnsi" w:cs="Cambria"/>
          <w:b/>
          <w:bCs/>
          <w:color w:val="000000"/>
          <w:sz w:val="20"/>
          <w:szCs w:val="20"/>
          <w:u w:color="000000"/>
          <w:lang w:val="es-ES" w:eastAsia="es-ES"/>
        </w:rPr>
        <w:lastRenderedPageBreak/>
        <w:t>VI.</w:t>
      </w:r>
      <w:r w:rsidRPr="00CD2E32">
        <w:rPr>
          <w:rFonts w:asciiTheme="majorHAnsi" w:eastAsia="Cambria" w:hAnsiTheme="majorHAnsi" w:cs="Cambria"/>
          <w:b/>
          <w:bCs/>
          <w:color w:val="000000"/>
          <w:sz w:val="20"/>
          <w:szCs w:val="20"/>
          <w:u w:color="000000"/>
          <w:lang w:val="es-ES" w:eastAsia="es-ES"/>
        </w:rPr>
        <w:tab/>
      </w:r>
      <w:r w:rsidR="004A6A54" w:rsidRPr="00CD2E32">
        <w:rPr>
          <w:rFonts w:asciiTheme="majorHAnsi" w:hAnsiTheme="majorHAnsi"/>
          <w:b/>
          <w:bCs/>
          <w:sz w:val="20"/>
          <w:szCs w:val="20"/>
          <w:lang w:val="es-ES_tradnl"/>
        </w:rPr>
        <w:t xml:space="preserve">ANÁLISIS DE </w:t>
      </w:r>
      <w:r w:rsidR="00C21FEF" w:rsidRPr="00CD2E32">
        <w:rPr>
          <w:rFonts w:asciiTheme="majorHAnsi" w:hAnsiTheme="majorHAnsi"/>
          <w:b/>
          <w:sz w:val="20"/>
          <w:szCs w:val="20"/>
          <w:lang w:val="es-ES"/>
        </w:rPr>
        <w:t>AGOTAMIENTO DE LOS RECURSOS INTERNOS Y PLAZO DE PRESENTACIÓN</w:t>
      </w:r>
      <w:r w:rsidR="00C21FEF" w:rsidRPr="00CD2E32">
        <w:rPr>
          <w:rFonts w:asciiTheme="majorHAnsi" w:eastAsia="Cambria" w:hAnsiTheme="majorHAnsi" w:cs="Cambria"/>
          <w:b/>
          <w:bCs/>
          <w:color w:val="000000"/>
          <w:sz w:val="20"/>
          <w:szCs w:val="20"/>
          <w:u w:color="000000"/>
          <w:lang w:val="es-ES" w:eastAsia="es-ES"/>
        </w:rPr>
        <w:t xml:space="preserve"> </w:t>
      </w:r>
    </w:p>
    <w:p w14:paraId="7C491277" w14:textId="76C2EB6C" w:rsidR="006D060B" w:rsidRDefault="006D060B"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t>Los peticionarios manifiestan que para la época de los hechos los recursos resultaban inoperantes debido a que los familiares de las presuntas víctimas se abstenían de presentar alguna denuncia</w:t>
      </w:r>
      <w:r w:rsidR="00FB75A2">
        <w:rPr>
          <w:rFonts w:asciiTheme="majorHAnsi" w:hAnsiTheme="majorHAnsi"/>
          <w:sz w:val="20"/>
          <w:szCs w:val="20"/>
          <w:lang w:val="es-AR"/>
        </w:rPr>
        <w:t>,</w:t>
      </w:r>
      <w:r>
        <w:rPr>
          <w:rFonts w:asciiTheme="majorHAnsi" w:hAnsiTheme="majorHAnsi"/>
          <w:sz w:val="20"/>
          <w:szCs w:val="20"/>
          <w:lang w:val="es-AR"/>
        </w:rPr>
        <w:t xml:space="preserve"> pues temían ser víctimas de persecución por las autoridades policiales, ya </w:t>
      </w:r>
      <w:r w:rsidR="00FB75A2">
        <w:rPr>
          <w:rFonts w:asciiTheme="majorHAnsi" w:hAnsiTheme="majorHAnsi"/>
          <w:sz w:val="20"/>
          <w:szCs w:val="20"/>
          <w:lang w:val="es-AR"/>
        </w:rPr>
        <w:t xml:space="preserve">que </w:t>
      </w:r>
      <w:r>
        <w:rPr>
          <w:rFonts w:asciiTheme="majorHAnsi" w:hAnsiTheme="majorHAnsi"/>
          <w:sz w:val="20"/>
          <w:szCs w:val="20"/>
          <w:lang w:val="es-AR"/>
        </w:rPr>
        <w:t>habían sido amenazados para que no denunciaran los hechos o fueron desplazados forzosamente, lo que dificultaba la interposición de recursos. Solo respecto de dos de las presuntas víctimas se interpuso el recurso de hábeas corpus</w:t>
      </w:r>
      <w:r w:rsidR="00CA3615">
        <w:rPr>
          <w:rFonts w:asciiTheme="majorHAnsi" w:hAnsiTheme="majorHAnsi"/>
          <w:sz w:val="20"/>
          <w:szCs w:val="20"/>
          <w:lang w:val="es-AR"/>
        </w:rPr>
        <w:t xml:space="preserve"> y exhibición personal, y respecto de otro grupo de presuntas víctimas se inició una investigación la cual aún sigue en curso. En virtud de lo anterior es que sostienen que resulta aplicable la excepción del artículo 42.2.c) de la Convención Americana.</w:t>
      </w:r>
    </w:p>
    <w:p w14:paraId="77382788" w14:textId="0E47788B" w:rsidR="00CA3615" w:rsidRDefault="00CA3615"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t xml:space="preserve">Por su parte, </w:t>
      </w:r>
      <w:r w:rsidR="00C444FF">
        <w:rPr>
          <w:rFonts w:asciiTheme="majorHAnsi" w:hAnsiTheme="majorHAnsi"/>
          <w:sz w:val="20"/>
          <w:szCs w:val="20"/>
          <w:lang w:val="es-AR"/>
        </w:rPr>
        <w:t xml:space="preserve">como ya se anotó en este informe, </w:t>
      </w:r>
      <w:r>
        <w:rPr>
          <w:rFonts w:asciiTheme="majorHAnsi" w:hAnsiTheme="majorHAnsi"/>
          <w:sz w:val="20"/>
          <w:szCs w:val="20"/>
          <w:lang w:val="es-AR"/>
        </w:rPr>
        <w:t xml:space="preserve">el Estado sostiene que no se han agotado los recursos internos, bien sea porque no se denunciaron los hechos, no se presentó ninguna acción o porque las investigaciones iniciadas aún no han culminado. </w:t>
      </w:r>
    </w:p>
    <w:p w14:paraId="68C47E1D" w14:textId="5CE88BEA" w:rsidR="00AA427C" w:rsidRDefault="00811606" w:rsidP="00681804">
      <w:pPr>
        <w:pStyle w:val="ListParagraph"/>
        <w:numPr>
          <w:ilvl w:val="0"/>
          <w:numId w:val="103"/>
        </w:numPr>
        <w:spacing w:before="240" w:after="240"/>
        <w:jc w:val="both"/>
        <w:rPr>
          <w:rFonts w:asciiTheme="majorHAnsi" w:hAnsiTheme="majorHAnsi"/>
          <w:sz w:val="20"/>
          <w:szCs w:val="20"/>
          <w:lang w:val="es-ES"/>
        </w:rPr>
      </w:pPr>
      <w:r w:rsidRPr="00CD2E32">
        <w:rPr>
          <w:rFonts w:asciiTheme="majorHAnsi" w:hAnsiTheme="majorHAnsi"/>
          <w:sz w:val="20"/>
          <w:szCs w:val="20"/>
          <w:lang w:val="es-ES"/>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00512DFA">
        <w:rPr>
          <w:rStyle w:val="FootnoteReference"/>
          <w:rFonts w:asciiTheme="majorHAnsi" w:hAnsiTheme="majorHAnsi"/>
          <w:sz w:val="20"/>
          <w:szCs w:val="20"/>
          <w:lang w:val="es-ES"/>
        </w:rPr>
        <w:footnoteReference w:id="13"/>
      </w:r>
      <w:r w:rsidRPr="00CD2E32">
        <w:rPr>
          <w:rFonts w:asciiTheme="majorHAnsi" w:hAnsiTheme="majorHAnsi"/>
          <w:sz w:val="20"/>
          <w:szCs w:val="20"/>
          <w:lang w:val="es-ES"/>
        </w:rPr>
        <w:t xml:space="preserve">. </w:t>
      </w:r>
    </w:p>
    <w:p w14:paraId="7EB12B63" w14:textId="252E6F66" w:rsidR="00C517CC" w:rsidRPr="00C517CC" w:rsidRDefault="00811606" w:rsidP="0068180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517CC">
        <w:rPr>
          <w:rFonts w:asciiTheme="majorHAnsi" w:hAnsiTheme="majorHAnsi"/>
          <w:sz w:val="20"/>
          <w:szCs w:val="20"/>
          <w:lang w:val="es-ES"/>
        </w:rPr>
        <w:t>En esta línea, en el presente procedimiento la CIDH observa que respecto del cumplimiento del requisito de agotamiento de los recursos internos se presentaron tres escenarios donde es posible agrupar a las presuntas víctimas</w:t>
      </w:r>
      <w:r w:rsidR="003A3204">
        <w:rPr>
          <w:rFonts w:asciiTheme="majorHAnsi" w:hAnsiTheme="majorHAnsi"/>
          <w:sz w:val="20"/>
          <w:szCs w:val="20"/>
          <w:lang w:val="es-ES"/>
        </w:rPr>
        <w:t>,</w:t>
      </w:r>
      <w:r w:rsidRPr="00C517CC">
        <w:rPr>
          <w:rFonts w:asciiTheme="majorHAnsi" w:hAnsiTheme="majorHAnsi"/>
          <w:sz w:val="20"/>
          <w:szCs w:val="20"/>
          <w:lang w:val="es-ES"/>
        </w:rPr>
        <w:t xml:space="preserve"> así</w:t>
      </w:r>
      <w:r w:rsidR="00C517CC" w:rsidRPr="00C517CC">
        <w:rPr>
          <w:sz w:val="20"/>
          <w:szCs w:val="20"/>
          <w:lang w:val="es-ES"/>
        </w:rPr>
        <w:t xml:space="preserve">: </w:t>
      </w:r>
      <w:r w:rsidR="00C517CC" w:rsidRPr="00C517CC">
        <w:rPr>
          <w:rFonts w:asciiTheme="majorHAnsi" w:hAnsiTheme="majorHAnsi"/>
          <w:sz w:val="20"/>
          <w:szCs w:val="20"/>
          <w:lang w:val="es-ES"/>
        </w:rPr>
        <w:t>(a) aquellos que denunciaron los hechos ante las autoridades o interpusieron algún recurso, (b) aquellos que, si bien no denunciaron, sí pusieron en conocimiento de las autoridades los hechos materia del presente reclamo</w:t>
      </w:r>
      <w:r w:rsidR="005C6955">
        <w:rPr>
          <w:rFonts w:asciiTheme="majorHAnsi" w:hAnsiTheme="majorHAnsi"/>
          <w:sz w:val="20"/>
          <w:szCs w:val="20"/>
          <w:lang w:val="es-ES"/>
        </w:rPr>
        <w:t>;</w:t>
      </w:r>
      <w:r w:rsidR="00C517CC" w:rsidRPr="00C517CC">
        <w:rPr>
          <w:rFonts w:asciiTheme="majorHAnsi" w:hAnsiTheme="majorHAnsi"/>
          <w:sz w:val="20"/>
          <w:szCs w:val="20"/>
          <w:lang w:val="es-ES"/>
        </w:rPr>
        <w:t xml:space="preserve"> y (c) aquellos que no interpusieron alguna denuncia ni comunicaron la comisión de estos acontecimientos a las autoridades.</w:t>
      </w:r>
    </w:p>
    <w:p w14:paraId="17F1941F" w14:textId="3398BA1C" w:rsidR="00811606" w:rsidRPr="00C517CC" w:rsidRDefault="00811606" w:rsidP="0068180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517CC">
        <w:rPr>
          <w:rFonts w:asciiTheme="majorHAnsi" w:hAnsiTheme="majorHAnsi"/>
          <w:sz w:val="20"/>
          <w:szCs w:val="20"/>
          <w:lang w:val="es-AR"/>
        </w:rPr>
        <w:t>Respecto del grupo de víctimas</w:t>
      </w:r>
      <w:r w:rsidR="00C517CC" w:rsidRPr="00C517CC">
        <w:rPr>
          <w:rFonts w:asciiTheme="majorHAnsi" w:hAnsiTheme="majorHAnsi"/>
          <w:sz w:val="20"/>
          <w:szCs w:val="20"/>
          <w:lang w:val="es-AR"/>
        </w:rPr>
        <w:t xml:space="preserve"> (a) referente a aquellas presuntas víctimas que denunciaron los hechos ante las autoridades o interpusieron algún recurso</w:t>
      </w:r>
      <w:r w:rsidR="005C6955">
        <w:rPr>
          <w:rFonts w:asciiTheme="majorHAnsi" w:hAnsiTheme="majorHAnsi"/>
          <w:sz w:val="20"/>
          <w:szCs w:val="20"/>
          <w:lang w:val="es-AR"/>
        </w:rPr>
        <w:t>;</w:t>
      </w:r>
      <w:r w:rsidR="00C517CC" w:rsidRPr="00C517CC">
        <w:rPr>
          <w:rFonts w:asciiTheme="majorHAnsi" w:hAnsiTheme="majorHAnsi"/>
          <w:sz w:val="20"/>
          <w:szCs w:val="20"/>
          <w:lang w:val="es-AR"/>
        </w:rPr>
        <w:t xml:space="preserve"> y (b) aquellas que no denunciaron los hechos pero s</w:t>
      </w:r>
      <w:r w:rsidR="00DC4D3E">
        <w:rPr>
          <w:rFonts w:asciiTheme="majorHAnsi" w:hAnsiTheme="majorHAnsi"/>
          <w:sz w:val="20"/>
          <w:szCs w:val="20"/>
          <w:lang w:val="es-AR"/>
        </w:rPr>
        <w:t>í</w:t>
      </w:r>
      <w:r w:rsidR="00C517CC" w:rsidRPr="00C517CC">
        <w:rPr>
          <w:rFonts w:asciiTheme="majorHAnsi" w:hAnsiTheme="majorHAnsi"/>
          <w:sz w:val="20"/>
          <w:szCs w:val="20"/>
          <w:lang w:val="es-AR"/>
        </w:rPr>
        <w:t xml:space="preserve"> los comunicaron a las autoridad</w:t>
      </w:r>
      <w:r w:rsidR="00DC4D3E">
        <w:rPr>
          <w:rFonts w:asciiTheme="majorHAnsi" w:hAnsiTheme="majorHAnsi"/>
          <w:sz w:val="20"/>
          <w:szCs w:val="20"/>
          <w:lang w:val="es-AR"/>
        </w:rPr>
        <w:t>es</w:t>
      </w:r>
      <w:r w:rsidR="00B52862">
        <w:rPr>
          <w:rFonts w:asciiTheme="majorHAnsi" w:hAnsiTheme="majorHAnsi"/>
          <w:sz w:val="20"/>
          <w:szCs w:val="20"/>
          <w:lang w:val="es-AR"/>
        </w:rPr>
        <w:t xml:space="preserve">; </w:t>
      </w:r>
      <w:r w:rsidR="000B5825" w:rsidRPr="00C517CC">
        <w:rPr>
          <w:rFonts w:asciiTheme="majorHAnsi" w:hAnsiTheme="majorHAnsi"/>
          <w:iCs/>
          <w:sz w:val="20"/>
          <w:szCs w:val="20"/>
          <w:lang w:val="es-ES"/>
        </w:rPr>
        <w:t>l</w:t>
      </w:r>
      <w:r w:rsidR="000B5825" w:rsidRPr="00C517CC">
        <w:rPr>
          <w:rFonts w:asciiTheme="majorHAnsi" w:hAnsiTheme="majorHAnsi"/>
          <w:sz w:val="20"/>
          <w:szCs w:val="20"/>
          <w:lang w:val="es-ES"/>
        </w:rPr>
        <w:t>a Comisión recuerda que toda vez que se cometan hechos que impliquen la violación del derecho a la vida y la integridad personal, el recurso idóneo que se debe agotar a nivel doméstico es la vía penal, mediante la realización oficiosa y diligente de investigaciones que permita</w:t>
      </w:r>
      <w:r w:rsidR="00DC4D3E">
        <w:rPr>
          <w:rFonts w:asciiTheme="majorHAnsi" w:hAnsiTheme="majorHAnsi"/>
          <w:sz w:val="20"/>
          <w:szCs w:val="20"/>
          <w:lang w:val="es-ES"/>
        </w:rPr>
        <w:t>n</w:t>
      </w:r>
      <w:r w:rsidR="000B5825" w:rsidRPr="00C517CC">
        <w:rPr>
          <w:rFonts w:asciiTheme="majorHAnsi" w:hAnsiTheme="majorHAnsi"/>
          <w:sz w:val="20"/>
          <w:szCs w:val="20"/>
          <w:lang w:val="es-ES"/>
        </w:rPr>
        <w:t xml:space="preserve"> esclarecer los hechos, juzgar a los responsables y establecer las sanciones penales correspondiente</w:t>
      </w:r>
      <w:r w:rsidR="000B5825" w:rsidRPr="00CD2E32">
        <w:rPr>
          <w:rStyle w:val="FootnoteReference"/>
          <w:rFonts w:asciiTheme="majorHAnsi" w:hAnsiTheme="majorHAnsi"/>
          <w:sz w:val="20"/>
          <w:szCs w:val="20"/>
          <w:lang w:val="es-ES"/>
        </w:rPr>
        <w:footnoteReference w:id="14"/>
      </w:r>
      <w:r w:rsidR="000B5825" w:rsidRPr="00C517CC">
        <w:rPr>
          <w:rFonts w:asciiTheme="majorHAnsi" w:hAnsiTheme="majorHAnsi"/>
          <w:sz w:val="20"/>
          <w:szCs w:val="20"/>
          <w:lang w:val="es-ES"/>
        </w:rPr>
        <w:t>. Asimismo, enfatiza que tales tipos de crímenes resultan perseguibles de oficio</w:t>
      </w:r>
      <w:r w:rsidR="002C479D">
        <w:rPr>
          <w:rFonts w:asciiTheme="majorHAnsi" w:hAnsiTheme="majorHAnsi"/>
          <w:sz w:val="20"/>
          <w:szCs w:val="20"/>
          <w:lang w:val="es-ES"/>
        </w:rPr>
        <w:t>,</w:t>
      </w:r>
      <w:r w:rsidR="000B5825" w:rsidRPr="00C517CC">
        <w:rPr>
          <w:rFonts w:asciiTheme="majorHAnsi" w:hAnsiTheme="majorHAnsi"/>
          <w:sz w:val="20"/>
          <w:szCs w:val="20"/>
          <w:lang w:val="es-ES"/>
        </w:rPr>
        <w:t xml:space="preserve"> y que, como regla general, una investigación penal debe realizarse para proteger los intereses de las víctimas, preservar la prueba e incluso salvaguardar los derechos de toda persona que en el contexto de la investigación sea considerada sospechosa</w:t>
      </w:r>
      <w:r w:rsidR="000B5825" w:rsidRPr="00CD2E32">
        <w:rPr>
          <w:rStyle w:val="FootnoteReference"/>
          <w:rFonts w:asciiTheme="majorHAnsi" w:hAnsiTheme="majorHAnsi"/>
          <w:sz w:val="20"/>
          <w:szCs w:val="20"/>
          <w:lang w:val="es-ES"/>
        </w:rPr>
        <w:footnoteReference w:id="15"/>
      </w:r>
      <w:r w:rsidR="000B5825" w:rsidRPr="00C517CC">
        <w:rPr>
          <w:rFonts w:asciiTheme="majorHAnsi" w:hAnsiTheme="majorHAnsi"/>
          <w:sz w:val="20"/>
          <w:szCs w:val="20"/>
          <w:lang w:val="es-ES"/>
        </w:rPr>
        <w:t xml:space="preserve">. En este sentido la Comisión advierte que </w:t>
      </w:r>
      <w:r w:rsidR="00B52862">
        <w:rPr>
          <w:rFonts w:asciiTheme="majorHAnsi" w:hAnsiTheme="majorHAnsi"/>
          <w:sz w:val="20"/>
          <w:szCs w:val="20"/>
          <w:lang w:val="es-ES"/>
        </w:rPr>
        <w:t xml:space="preserve">respecto del grupo (a) </w:t>
      </w:r>
      <w:r w:rsidR="000B5825" w:rsidRPr="00C517CC">
        <w:rPr>
          <w:rFonts w:asciiTheme="majorHAnsi" w:hAnsiTheme="majorHAnsi"/>
          <w:sz w:val="20"/>
          <w:szCs w:val="20"/>
          <w:lang w:val="es-ES"/>
        </w:rPr>
        <w:t xml:space="preserve">los procesos penales por los delitos de tortura y desaparición forzada iniciados por algunos de los familiares de las presuntas víctimas, y que se encuentran </w:t>
      </w:r>
      <w:r w:rsidR="004F5BF1" w:rsidRPr="00C517CC">
        <w:rPr>
          <w:rFonts w:asciiTheme="majorHAnsi" w:hAnsiTheme="majorHAnsi"/>
          <w:sz w:val="20"/>
          <w:szCs w:val="20"/>
          <w:lang w:val="es-ES"/>
        </w:rPr>
        <w:t>consignados</w:t>
      </w:r>
      <w:r w:rsidR="000B5825" w:rsidRPr="00C517CC">
        <w:rPr>
          <w:rFonts w:asciiTheme="majorHAnsi" w:hAnsiTheme="majorHAnsi"/>
          <w:sz w:val="20"/>
          <w:szCs w:val="20"/>
          <w:lang w:val="es-ES"/>
        </w:rPr>
        <w:t xml:space="preserve"> </w:t>
      </w:r>
      <w:r w:rsidR="004F5BF1" w:rsidRPr="00C517CC">
        <w:rPr>
          <w:rFonts w:asciiTheme="majorHAnsi" w:hAnsiTheme="majorHAnsi"/>
          <w:sz w:val="20"/>
          <w:szCs w:val="20"/>
          <w:lang w:val="es-ES"/>
        </w:rPr>
        <w:t>bajo</w:t>
      </w:r>
      <w:r w:rsidR="000B5825" w:rsidRPr="00C517CC">
        <w:rPr>
          <w:rFonts w:asciiTheme="majorHAnsi" w:hAnsiTheme="majorHAnsi"/>
          <w:sz w:val="20"/>
          <w:szCs w:val="20"/>
          <w:lang w:val="es-ES"/>
        </w:rPr>
        <w:t xml:space="preserve"> los expedientes </w:t>
      </w:r>
      <w:r w:rsidR="000B5825" w:rsidRPr="00C517CC">
        <w:rPr>
          <w:rFonts w:asciiTheme="majorHAnsi" w:hAnsiTheme="majorHAnsi"/>
          <w:sz w:val="20"/>
          <w:szCs w:val="20"/>
          <w:lang w:val="es-AR"/>
        </w:rPr>
        <w:t>MP001-2011-57649, MP60-2010-1954 y MP60-2010-334</w:t>
      </w:r>
      <w:r w:rsidR="004F5BF1" w:rsidRPr="00C517CC">
        <w:rPr>
          <w:rFonts w:asciiTheme="majorHAnsi" w:hAnsiTheme="majorHAnsi"/>
          <w:sz w:val="20"/>
          <w:szCs w:val="20"/>
          <w:lang w:val="es-AR"/>
        </w:rPr>
        <w:t xml:space="preserve">, continúan después de diez años en etapa de investigación. </w:t>
      </w:r>
      <w:r w:rsidR="00B52862">
        <w:rPr>
          <w:rFonts w:asciiTheme="majorHAnsi" w:hAnsiTheme="majorHAnsi"/>
          <w:sz w:val="20"/>
          <w:szCs w:val="20"/>
          <w:lang w:val="es-AR"/>
        </w:rPr>
        <w:t>En relación al grupo (b) se observa que a la fecha las autoridades no han iniciado una investigación por los hechos, a pesar de que los familiares de unas de las presuntas víctimas pusieron en su conocimiento la desaparición forzada</w:t>
      </w:r>
      <w:r w:rsidR="00843DAC">
        <w:rPr>
          <w:rFonts w:asciiTheme="majorHAnsi" w:hAnsiTheme="majorHAnsi"/>
          <w:sz w:val="20"/>
          <w:szCs w:val="20"/>
          <w:lang w:val="es-AR"/>
        </w:rPr>
        <w:t xml:space="preserve"> (José Luis Alberto Aguilar Santos)</w:t>
      </w:r>
      <w:r w:rsidR="00B52862">
        <w:rPr>
          <w:rFonts w:asciiTheme="majorHAnsi" w:hAnsiTheme="majorHAnsi"/>
          <w:sz w:val="20"/>
          <w:szCs w:val="20"/>
          <w:lang w:val="es-AR"/>
        </w:rPr>
        <w:t xml:space="preserve">. </w:t>
      </w:r>
      <w:r w:rsidR="00B75A39" w:rsidRPr="00C517CC">
        <w:rPr>
          <w:rFonts w:asciiTheme="majorHAnsi" w:hAnsiTheme="majorHAnsi"/>
          <w:sz w:val="20"/>
          <w:szCs w:val="20"/>
          <w:lang w:val="es-AR"/>
        </w:rPr>
        <w:t>En consecuencia, la CIDH concluye que aplica la excepción al agotamiento de los recursos internos prevista en el artículo 42.2.c</w:t>
      </w:r>
      <w:r w:rsidR="00562DD2">
        <w:rPr>
          <w:rFonts w:asciiTheme="majorHAnsi" w:hAnsiTheme="majorHAnsi"/>
          <w:sz w:val="20"/>
          <w:szCs w:val="20"/>
          <w:lang w:val="es-AR"/>
        </w:rPr>
        <w:t>)</w:t>
      </w:r>
      <w:r w:rsidR="00B75A39" w:rsidRPr="00C517CC">
        <w:rPr>
          <w:rFonts w:asciiTheme="majorHAnsi" w:hAnsiTheme="majorHAnsi"/>
          <w:sz w:val="20"/>
          <w:szCs w:val="20"/>
          <w:lang w:val="es-AR"/>
        </w:rPr>
        <w:t xml:space="preserve"> de la Convención. </w:t>
      </w:r>
    </w:p>
    <w:p w14:paraId="783172EF" w14:textId="1E372420" w:rsidR="00C077E7" w:rsidRPr="00CD2E32" w:rsidRDefault="00370E1D"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AR"/>
        </w:rPr>
        <w:lastRenderedPageBreak/>
        <w:t>En relación con el</w:t>
      </w:r>
      <w:r w:rsidR="00243C72" w:rsidRPr="00CD2E32">
        <w:rPr>
          <w:rFonts w:asciiTheme="majorHAnsi" w:hAnsiTheme="majorHAnsi"/>
          <w:sz w:val="20"/>
          <w:szCs w:val="20"/>
          <w:lang w:val="es-AR"/>
        </w:rPr>
        <w:t xml:space="preserve"> grupo de presuntas víctimas (</w:t>
      </w:r>
      <w:r w:rsidR="00512DFA">
        <w:rPr>
          <w:rFonts w:asciiTheme="majorHAnsi" w:hAnsiTheme="majorHAnsi"/>
          <w:sz w:val="20"/>
          <w:szCs w:val="20"/>
          <w:lang w:val="es-AR"/>
        </w:rPr>
        <w:t>b</w:t>
      </w:r>
      <w:r w:rsidR="00243C72" w:rsidRPr="00CD2E32">
        <w:rPr>
          <w:rFonts w:asciiTheme="majorHAnsi" w:hAnsiTheme="majorHAnsi"/>
          <w:sz w:val="20"/>
          <w:szCs w:val="20"/>
          <w:lang w:val="es-AR"/>
        </w:rPr>
        <w:t>)</w:t>
      </w:r>
      <w:r w:rsidR="00562DD2">
        <w:rPr>
          <w:rFonts w:asciiTheme="majorHAnsi" w:hAnsiTheme="majorHAnsi"/>
          <w:sz w:val="20"/>
          <w:szCs w:val="20"/>
          <w:lang w:val="es-AR"/>
        </w:rPr>
        <w:t>,</w:t>
      </w:r>
      <w:r w:rsidR="00243C72" w:rsidRPr="00CD2E32">
        <w:rPr>
          <w:rFonts w:asciiTheme="majorHAnsi" w:hAnsiTheme="majorHAnsi"/>
          <w:sz w:val="20"/>
          <w:szCs w:val="20"/>
          <w:lang w:val="es-AR"/>
        </w:rPr>
        <w:t xml:space="preserve"> relativo a aquellas que no interpusieron denuncia alguna ni comunicaron la comisión de los hechos a las autoridades, la CIDH observa que la parte peticionaria ha aportado suficientes alegatos e indicios que, considerados en su conjunto, y sin prejuzgar sobre eventuales aspectos de fondo, demuestran que los recursos judiciales internos resultaban inefectivos</w:t>
      </w:r>
      <w:r w:rsidR="00701D4A" w:rsidRPr="00CD2E32">
        <w:rPr>
          <w:rFonts w:asciiTheme="majorHAnsi" w:hAnsiTheme="majorHAnsi"/>
          <w:sz w:val="20"/>
          <w:szCs w:val="20"/>
          <w:lang w:val="es-AR"/>
        </w:rPr>
        <w:t>, debido a los obstáculos f</w:t>
      </w:r>
      <w:r w:rsidR="00523A2C">
        <w:rPr>
          <w:rFonts w:asciiTheme="majorHAnsi" w:hAnsiTheme="majorHAnsi"/>
          <w:sz w:val="20"/>
          <w:szCs w:val="20"/>
          <w:lang w:val="es-AR"/>
        </w:rPr>
        <w:t>á</w:t>
      </w:r>
      <w:r w:rsidR="00701D4A" w:rsidRPr="00CD2E32">
        <w:rPr>
          <w:rFonts w:asciiTheme="majorHAnsi" w:hAnsiTheme="majorHAnsi"/>
          <w:sz w:val="20"/>
          <w:szCs w:val="20"/>
          <w:lang w:val="es-AR"/>
        </w:rPr>
        <w:t xml:space="preserve">cticos y jurídicos. Conforme a la información aportada, se puede apreciar que </w:t>
      </w:r>
      <w:r w:rsidR="00936613">
        <w:rPr>
          <w:rFonts w:asciiTheme="majorHAnsi" w:hAnsiTheme="majorHAnsi"/>
          <w:sz w:val="20"/>
          <w:szCs w:val="20"/>
          <w:lang w:val="es-AR"/>
        </w:rPr>
        <w:t xml:space="preserve">(i) </w:t>
      </w:r>
      <w:r w:rsidR="00701D4A" w:rsidRPr="00CD2E32">
        <w:rPr>
          <w:rFonts w:asciiTheme="majorHAnsi" w:hAnsiTheme="majorHAnsi"/>
          <w:sz w:val="20"/>
          <w:szCs w:val="20"/>
          <w:lang w:val="es-AR"/>
        </w:rPr>
        <w:t>algunas de las presuntas víctimas fueron desplazadas forzosamente</w:t>
      </w:r>
      <w:r w:rsidR="00936613">
        <w:rPr>
          <w:rFonts w:asciiTheme="majorHAnsi" w:hAnsiTheme="majorHAnsi"/>
          <w:sz w:val="20"/>
          <w:szCs w:val="20"/>
          <w:lang w:val="es-AR"/>
        </w:rPr>
        <w:t xml:space="preserve"> o (ii)</w:t>
      </w:r>
      <w:r w:rsidR="00701D4A" w:rsidRPr="00CD2E32">
        <w:rPr>
          <w:rFonts w:asciiTheme="majorHAnsi" w:hAnsiTheme="majorHAnsi"/>
          <w:sz w:val="20"/>
          <w:szCs w:val="20"/>
          <w:lang w:val="es-AR"/>
        </w:rPr>
        <w:t xml:space="preserve"> amenazadas para que no denunciaran los hechos. </w:t>
      </w:r>
    </w:p>
    <w:p w14:paraId="6F4163D7" w14:textId="21E37704" w:rsidR="00701D4A" w:rsidRPr="00CD2E32" w:rsidRDefault="00701D4A" w:rsidP="00681804">
      <w:pPr>
        <w:pStyle w:val="ListParagraph"/>
        <w:numPr>
          <w:ilvl w:val="0"/>
          <w:numId w:val="103"/>
        </w:numPr>
        <w:suppressAutoHyphens/>
        <w:spacing w:before="240" w:after="240"/>
        <w:jc w:val="both"/>
        <w:rPr>
          <w:rFonts w:asciiTheme="majorHAnsi" w:hAnsiTheme="majorHAnsi"/>
          <w:bCs/>
          <w:sz w:val="20"/>
          <w:szCs w:val="20"/>
          <w:lang w:val="es-UY"/>
        </w:rPr>
      </w:pPr>
      <w:r w:rsidRPr="00CD2E32">
        <w:rPr>
          <w:rFonts w:asciiTheme="majorHAnsi" w:hAnsiTheme="majorHAnsi"/>
          <w:bCs/>
          <w:sz w:val="20"/>
          <w:szCs w:val="20"/>
          <w:lang w:val="es-UY"/>
        </w:rPr>
        <w:t>En relación con la excepción prevista artículo 46.2.b) de la Convención, la Comisión considera que dicha disposición resulta aplicable cuando a pesar de que existe una vía jurídica adecuada, esta no resultaría efectiva debido a la presencia de obstáculos fácticos o jurídicos. De este modo, la Comisión ha aplicado la citada excepción en supuestos en los que consideró que la conducta de una autoridad no permitió a la presunta víctima acceder o agotar la vía judicial idónea para atender su situación</w:t>
      </w:r>
      <w:r w:rsidRPr="00CD2E32">
        <w:rPr>
          <w:rStyle w:val="FootnoteReference"/>
          <w:rFonts w:asciiTheme="majorHAnsi" w:hAnsiTheme="majorHAnsi"/>
          <w:bCs/>
          <w:sz w:val="20"/>
          <w:szCs w:val="20"/>
          <w:lang w:val="es-UY"/>
        </w:rPr>
        <w:footnoteReference w:id="16"/>
      </w:r>
      <w:r w:rsidRPr="00CD2E32">
        <w:rPr>
          <w:rFonts w:asciiTheme="majorHAnsi" w:hAnsiTheme="majorHAnsi"/>
          <w:bCs/>
          <w:sz w:val="20"/>
          <w:szCs w:val="20"/>
          <w:lang w:val="es-UY"/>
        </w:rPr>
        <w:t>, así como en situaciones en las que identificó que la presencia de una determinada figura jurídica provocó que dicho recurso devenga en ineficaz</w:t>
      </w:r>
      <w:r w:rsidRPr="00CD2E32">
        <w:rPr>
          <w:rStyle w:val="FootnoteReference"/>
          <w:rFonts w:asciiTheme="majorHAnsi" w:hAnsiTheme="majorHAnsi"/>
          <w:bCs/>
          <w:sz w:val="20"/>
          <w:szCs w:val="20"/>
          <w:lang w:val="es-UY"/>
        </w:rPr>
        <w:footnoteReference w:id="17"/>
      </w:r>
      <w:r w:rsidRPr="00CD2E32">
        <w:rPr>
          <w:rFonts w:asciiTheme="majorHAnsi" w:hAnsiTheme="majorHAnsi"/>
          <w:bCs/>
          <w:sz w:val="20"/>
          <w:szCs w:val="20"/>
          <w:lang w:val="es-UY"/>
        </w:rPr>
        <w:t>. Incluso, la Comisión ha considerado en algunos asuntos se configuraron ambos supuestos, en tanto existieron obstáculos fácticos como jurídicos</w:t>
      </w:r>
      <w:r w:rsidRPr="00CD2E32">
        <w:rPr>
          <w:rStyle w:val="FootnoteReference"/>
          <w:rFonts w:asciiTheme="majorHAnsi" w:hAnsiTheme="majorHAnsi"/>
          <w:bCs/>
          <w:sz w:val="20"/>
          <w:szCs w:val="20"/>
          <w:lang w:val="es-UY"/>
        </w:rPr>
        <w:footnoteReference w:id="18"/>
      </w:r>
      <w:r w:rsidRPr="00CD2E32">
        <w:rPr>
          <w:rFonts w:asciiTheme="majorHAnsi" w:hAnsiTheme="majorHAnsi"/>
          <w:bCs/>
          <w:sz w:val="20"/>
          <w:szCs w:val="20"/>
          <w:lang w:val="es-UY"/>
        </w:rPr>
        <w:t xml:space="preserve">. </w:t>
      </w:r>
      <w:r w:rsidRPr="00CD2E32">
        <w:rPr>
          <w:rFonts w:asciiTheme="majorHAnsi" w:hAnsiTheme="majorHAnsi"/>
          <w:sz w:val="20"/>
          <w:szCs w:val="20"/>
          <w:lang w:val="es-AR"/>
        </w:rPr>
        <w:t>En consecuencia, la CIDH concluye que aplica la excepción al agotamiento de los recursos internos prevista en el artículo 4</w:t>
      </w:r>
      <w:r w:rsidR="0032162E">
        <w:rPr>
          <w:rFonts w:asciiTheme="majorHAnsi" w:hAnsiTheme="majorHAnsi"/>
          <w:sz w:val="20"/>
          <w:szCs w:val="20"/>
          <w:lang w:val="es-AR"/>
        </w:rPr>
        <w:t>6</w:t>
      </w:r>
      <w:r w:rsidRPr="00CD2E32">
        <w:rPr>
          <w:rFonts w:asciiTheme="majorHAnsi" w:hAnsiTheme="majorHAnsi"/>
          <w:sz w:val="20"/>
          <w:szCs w:val="20"/>
          <w:lang w:val="es-AR"/>
        </w:rPr>
        <w:t>.2.b</w:t>
      </w:r>
      <w:r w:rsidR="0032162E">
        <w:rPr>
          <w:rFonts w:asciiTheme="majorHAnsi" w:hAnsiTheme="majorHAnsi"/>
          <w:sz w:val="20"/>
          <w:szCs w:val="20"/>
          <w:lang w:val="es-AR"/>
        </w:rPr>
        <w:t>)</w:t>
      </w:r>
      <w:r w:rsidRPr="00CD2E32">
        <w:rPr>
          <w:rFonts w:asciiTheme="majorHAnsi" w:hAnsiTheme="majorHAnsi"/>
          <w:sz w:val="20"/>
          <w:szCs w:val="20"/>
          <w:lang w:val="es-AR"/>
        </w:rPr>
        <w:t xml:space="preserve"> de la Convención.</w:t>
      </w:r>
    </w:p>
    <w:p w14:paraId="78FEE958" w14:textId="552D0AA0" w:rsidR="00701D4A" w:rsidRPr="00703A8D" w:rsidRDefault="001305E8" w:rsidP="00681804">
      <w:pPr>
        <w:pStyle w:val="ListParagraph"/>
        <w:numPr>
          <w:ilvl w:val="0"/>
          <w:numId w:val="103"/>
        </w:numPr>
        <w:spacing w:before="240" w:after="240"/>
        <w:jc w:val="both"/>
        <w:rPr>
          <w:iCs/>
          <w:sz w:val="20"/>
          <w:szCs w:val="20"/>
          <w:lang w:val="es-ES"/>
        </w:rPr>
      </w:pPr>
      <w:r w:rsidRPr="001305E8">
        <w:rPr>
          <w:iCs/>
          <w:sz w:val="20"/>
          <w:szCs w:val="20"/>
          <w:lang w:val="es-ES"/>
        </w:rPr>
        <w:t>Con respecto al requisito del plazo razonable, de acuerdo con el artículo 46.2 de la Convención Americana el requisito específico del artículo 46.1.b)</w:t>
      </w:r>
      <w:r w:rsidRPr="00A11B3B">
        <w:rPr>
          <w:rStyle w:val="FootnoteReference"/>
          <w:iCs/>
          <w:sz w:val="20"/>
          <w:szCs w:val="20"/>
          <w:lang w:val="es-ES"/>
        </w:rPr>
        <w:footnoteReference w:id="19"/>
      </w:r>
      <w:r w:rsidRPr="001305E8">
        <w:rPr>
          <w:iCs/>
          <w:sz w:val="20"/>
          <w:szCs w:val="20"/>
          <w:lang w:val="es-ES"/>
        </w:rPr>
        <w:t xml:space="preserve"> de ese tratado no se aplicará cuando sean procedentes alguna de las excepciones a la regla del agotamiento de los recursos internos dispuestas en ese mismo artículo. A este respecto, resulta aplicable el artículo 32.2 del Reglamento de la CIDH que dispone que en estos casos: “</w:t>
      </w:r>
      <w:r w:rsidR="00781F42" w:rsidRPr="00781F42">
        <w:rPr>
          <w:i/>
          <w:sz w:val="20"/>
          <w:szCs w:val="20"/>
          <w:lang w:val="es-ES"/>
        </w:rPr>
        <w:t>l</w:t>
      </w:r>
      <w:r w:rsidRPr="001305E8">
        <w:rPr>
          <w:i/>
          <w:sz w:val="20"/>
          <w:szCs w:val="20"/>
          <w:lang w:val="es-ES"/>
        </w:rPr>
        <w:t>a petición deberá presentarse dentro de un plazo razonable, a criterio de la Comisión. A tal efecto, la Comisión considerará la fecha en que haya ocurrido la presunta violación de los derechos y las circunstancias de cada caso</w:t>
      </w:r>
      <w:r w:rsidRPr="001305E8">
        <w:rPr>
          <w:iCs/>
          <w:sz w:val="20"/>
          <w:szCs w:val="20"/>
          <w:lang w:val="es-ES"/>
        </w:rPr>
        <w:t>”.</w:t>
      </w:r>
      <w:r>
        <w:rPr>
          <w:iCs/>
          <w:sz w:val="20"/>
          <w:szCs w:val="20"/>
          <w:lang w:val="es-ES"/>
        </w:rPr>
        <w:t xml:space="preserve"> </w:t>
      </w:r>
      <w:r w:rsidR="00701D4A" w:rsidRPr="001305E8">
        <w:rPr>
          <w:rFonts w:asciiTheme="majorHAnsi" w:hAnsiTheme="majorHAnsi"/>
          <w:iCs/>
          <w:sz w:val="20"/>
          <w:szCs w:val="20"/>
          <w:lang w:val="es-ES"/>
        </w:rPr>
        <w:t>En el presente caso, la Comisión observa que</w:t>
      </w:r>
      <w:r>
        <w:rPr>
          <w:rFonts w:asciiTheme="majorHAnsi" w:hAnsiTheme="majorHAnsi"/>
          <w:iCs/>
          <w:sz w:val="20"/>
          <w:szCs w:val="20"/>
          <w:lang w:val="es-ES"/>
        </w:rPr>
        <w:t xml:space="preserve"> los hechos denunciados empezaron a ocurrir en 197</w:t>
      </w:r>
      <w:r w:rsidR="00A115D1">
        <w:rPr>
          <w:rFonts w:asciiTheme="majorHAnsi" w:hAnsiTheme="majorHAnsi"/>
          <w:iCs/>
          <w:sz w:val="20"/>
          <w:szCs w:val="20"/>
          <w:lang w:val="es-ES"/>
        </w:rPr>
        <w:t>6;</w:t>
      </w:r>
      <w:r>
        <w:rPr>
          <w:rFonts w:asciiTheme="majorHAnsi" w:hAnsiTheme="majorHAnsi"/>
          <w:iCs/>
          <w:sz w:val="20"/>
          <w:szCs w:val="20"/>
          <w:lang w:val="es-ES"/>
        </w:rPr>
        <w:t xml:space="preserve"> en los años posteriores los familiares de las presuntas víctimas </w:t>
      </w:r>
      <w:r w:rsidR="00A115D1">
        <w:rPr>
          <w:rFonts w:asciiTheme="majorHAnsi" w:hAnsiTheme="majorHAnsi"/>
          <w:iCs/>
          <w:sz w:val="20"/>
          <w:szCs w:val="20"/>
          <w:lang w:val="es-ES"/>
        </w:rPr>
        <w:t xml:space="preserve">se enfrentaron a un contexto que dificultó la presentación de recursos, no obstante a partir del 2008 y hasta el 2017 se han presentado a rendir declaraciones testimoniales dentro de los procesos investigativos iniciados; la presente petición se presentó en 2018 </w:t>
      </w:r>
      <w:r w:rsidR="00701D4A" w:rsidRPr="001305E8">
        <w:rPr>
          <w:rFonts w:asciiTheme="majorHAnsi" w:hAnsiTheme="majorHAnsi"/>
          <w:iCs/>
          <w:sz w:val="20"/>
          <w:szCs w:val="20"/>
          <w:lang w:val="es-ES"/>
        </w:rPr>
        <w:t xml:space="preserve">y que las consecuencias de estos se extenderían hasta el presente, por lo que en atención a todas estas consideraciones la CIDH considera que la presente petición fue presentada dentro de un plazo razonable en los términos del artículo 46.1.b) de la Convención Americana. </w:t>
      </w:r>
    </w:p>
    <w:p w14:paraId="1359DEFC" w14:textId="180433B2" w:rsidR="00703A8D" w:rsidRPr="001305E8" w:rsidRDefault="008B02FE" w:rsidP="00681804">
      <w:pPr>
        <w:pStyle w:val="ListParagraph"/>
        <w:numPr>
          <w:ilvl w:val="0"/>
          <w:numId w:val="103"/>
        </w:numPr>
        <w:spacing w:before="240" w:after="240"/>
        <w:jc w:val="both"/>
        <w:rPr>
          <w:iCs/>
          <w:sz w:val="20"/>
          <w:szCs w:val="20"/>
          <w:lang w:val="es-ES"/>
        </w:rPr>
      </w:pPr>
      <w:r w:rsidRPr="008B02FE">
        <w:rPr>
          <w:iCs/>
          <w:sz w:val="20"/>
          <w:szCs w:val="20"/>
          <w:lang w:val="es-ES"/>
        </w:rPr>
        <w:t>En atención a estas consideraciones,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p>
    <w:p w14:paraId="4FFBE378" w14:textId="540406ED" w:rsidR="003239B8" w:rsidRPr="00CD2E32" w:rsidRDefault="003239B8" w:rsidP="00681804">
      <w:pPr>
        <w:pStyle w:val="ListParagraph"/>
        <w:spacing w:before="240" w:after="240"/>
        <w:jc w:val="both"/>
        <w:rPr>
          <w:rFonts w:asciiTheme="majorHAnsi" w:hAnsiTheme="majorHAnsi"/>
          <w:b/>
          <w:sz w:val="20"/>
          <w:szCs w:val="20"/>
          <w:lang w:val="es-ES"/>
        </w:rPr>
      </w:pPr>
      <w:r w:rsidRPr="00CD2E32">
        <w:rPr>
          <w:rFonts w:asciiTheme="majorHAnsi" w:hAnsiTheme="majorHAnsi"/>
          <w:b/>
          <w:bCs/>
          <w:sz w:val="20"/>
          <w:szCs w:val="20"/>
          <w:lang w:val="es-ES"/>
        </w:rPr>
        <w:t>VII.</w:t>
      </w:r>
      <w:r w:rsidRPr="00CD2E32">
        <w:rPr>
          <w:rFonts w:asciiTheme="majorHAnsi" w:hAnsiTheme="majorHAnsi"/>
          <w:b/>
          <w:bCs/>
          <w:sz w:val="20"/>
          <w:szCs w:val="20"/>
          <w:lang w:val="es-ES"/>
        </w:rPr>
        <w:tab/>
      </w:r>
      <w:r w:rsidR="004A6A54" w:rsidRPr="00CD2E32">
        <w:rPr>
          <w:rFonts w:asciiTheme="majorHAnsi" w:hAnsiTheme="majorHAnsi"/>
          <w:b/>
          <w:bCs/>
          <w:sz w:val="20"/>
          <w:szCs w:val="20"/>
          <w:lang w:val="es-ES_tradnl"/>
        </w:rPr>
        <w:t xml:space="preserve">ANÁLISIS DE </w:t>
      </w:r>
      <w:r w:rsidR="00C21FEF" w:rsidRPr="00CD2E32">
        <w:rPr>
          <w:rFonts w:asciiTheme="majorHAnsi" w:hAnsiTheme="majorHAnsi"/>
          <w:b/>
          <w:bCs/>
          <w:sz w:val="20"/>
          <w:szCs w:val="20"/>
          <w:lang w:val="es-ES"/>
        </w:rPr>
        <w:t xml:space="preserve">CARACTERIZACIÓN </w:t>
      </w:r>
      <w:r w:rsidR="00C21FEF" w:rsidRPr="00CD2E32">
        <w:rPr>
          <w:rFonts w:asciiTheme="majorHAnsi" w:hAnsiTheme="majorHAnsi"/>
          <w:b/>
          <w:bCs/>
          <w:sz w:val="20"/>
          <w:szCs w:val="20"/>
          <w:lang w:val="es-UY"/>
        </w:rPr>
        <w:t>DE LOS HECHOS ALEGADOS</w:t>
      </w:r>
    </w:p>
    <w:p w14:paraId="3647B6BE" w14:textId="7B8154AD" w:rsidR="004C3B08" w:rsidRPr="00CD2E32" w:rsidRDefault="0050387B" w:rsidP="00681804">
      <w:pPr>
        <w:pStyle w:val="ListParagraph"/>
        <w:numPr>
          <w:ilvl w:val="0"/>
          <w:numId w:val="103"/>
        </w:numPr>
        <w:suppressAutoHyphens/>
        <w:spacing w:before="240" w:after="240"/>
        <w:jc w:val="both"/>
        <w:rPr>
          <w:rFonts w:asciiTheme="majorHAnsi" w:hAnsiTheme="majorHAnsi" w:cs="Calibri"/>
          <w:sz w:val="20"/>
          <w:szCs w:val="20"/>
          <w:lang w:val="es-ES"/>
        </w:rPr>
      </w:pPr>
      <w:r>
        <w:rPr>
          <w:rFonts w:asciiTheme="majorHAnsi" w:hAnsiTheme="majorHAnsi"/>
          <w:sz w:val="20"/>
          <w:szCs w:val="20"/>
          <w:lang w:val="es-ES"/>
        </w:rPr>
        <w:t>L</w:t>
      </w:r>
      <w:r w:rsidR="004C3B08" w:rsidRPr="00CD2E32">
        <w:rPr>
          <w:rFonts w:asciiTheme="majorHAnsi" w:hAnsiTheme="majorHAnsi"/>
          <w:sz w:val="20"/>
          <w:szCs w:val="20"/>
          <w:lang w:val="es-ES"/>
        </w:rPr>
        <w:t xml:space="preserve">a Comisión recuerda que </w:t>
      </w:r>
      <w:r w:rsidR="004C3B08" w:rsidRPr="00CD2E32">
        <w:rPr>
          <w:rFonts w:asciiTheme="majorHAnsi" w:hAnsiTheme="majorHAnsi" w:cs="Calibri"/>
          <w:sz w:val="20"/>
          <w:szCs w:val="20"/>
          <w:lang w:val="es-ES"/>
        </w:rPr>
        <w:t>el criterio de evaluación de la fase de admisibilidad difiere del que se utiliza para pronunciarse sobre el fondo de una petición</w:t>
      </w:r>
      <w:r w:rsidR="000F6E0F">
        <w:rPr>
          <w:rFonts w:asciiTheme="majorHAnsi" w:hAnsiTheme="majorHAnsi" w:cs="Calibri"/>
          <w:sz w:val="20"/>
          <w:szCs w:val="20"/>
          <w:lang w:val="es-ES"/>
        </w:rPr>
        <w:t>, dado que s</w:t>
      </w:r>
      <w:r w:rsidR="002330D5">
        <w:rPr>
          <w:rFonts w:asciiTheme="majorHAnsi" w:hAnsiTheme="majorHAnsi" w:cs="Calibri"/>
          <w:sz w:val="20"/>
          <w:szCs w:val="20"/>
          <w:lang w:val="es-ES"/>
        </w:rPr>
        <w:t>ó</w:t>
      </w:r>
      <w:r w:rsidR="000F6E0F">
        <w:rPr>
          <w:rFonts w:asciiTheme="majorHAnsi" w:hAnsiTheme="majorHAnsi" w:cs="Calibri"/>
          <w:sz w:val="20"/>
          <w:szCs w:val="20"/>
          <w:lang w:val="es-ES"/>
        </w:rPr>
        <w:t xml:space="preserve">lo </w:t>
      </w:r>
      <w:r w:rsidR="004C3B08" w:rsidRPr="00CD2E32">
        <w:rPr>
          <w:rFonts w:asciiTheme="majorHAnsi" w:hAnsiTheme="majorHAnsi" w:cs="Calibri"/>
          <w:sz w:val="20"/>
          <w:szCs w:val="20"/>
          <w:lang w:val="es-ES"/>
        </w:rPr>
        <w:t xml:space="preserve">debe realizar una evaluación </w:t>
      </w:r>
      <w:r w:rsidR="004C3B08" w:rsidRPr="00CD2E32">
        <w:rPr>
          <w:rFonts w:asciiTheme="majorHAnsi" w:hAnsiTheme="majorHAnsi" w:cs="Calibri"/>
          <w:i/>
          <w:iCs/>
          <w:sz w:val="20"/>
          <w:szCs w:val="20"/>
          <w:lang w:val="es-ES"/>
        </w:rPr>
        <w:t>prima facie</w:t>
      </w:r>
      <w:r w:rsidR="004C3B08" w:rsidRPr="00CD2E32">
        <w:rPr>
          <w:rFonts w:asciiTheme="majorHAnsi" w:hAnsiTheme="majorHAnsi" w:cs="Calibri"/>
          <w:sz w:val="20"/>
          <w:szCs w:val="20"/>
          <w:lang w:val="es-ES"/>
        </w:rPr>
        <w:t xml:space="preserve"> para determinar si la petición establece el fundamento de la violación, posible o potencial, de un derecho garantizado por la Convención, </w:t>
      </w:r>
      <w:r w:rsidR="000F6E0F">
        <w:rPr>
          <w:rFonts w:asciiTheme="majorHAnsi" w:hAnsiTheme="majorHAnsi" w:cs="Calibri"/>
          <w:sz w:val="20"/>
          <w:szCs w:val="20"/>
          <w:lang w:val="es-ES"/>
        </w:rPr>
        <w:t>sin</w:t>
      </w:r>
      <w:r w:rsidR="004C3B08" w:rsidRPr="00CD2E32">
        <w:rPr>
          <w:rFonts w:asciiTheme="majorHAnsi" w:hAnsiTheme="majorHAnsi" w:cs="Calibri"/>
          <w:sz w:val="20"/>
          <w:szCs w:val="20"/>
          <w:lang w:val="es-ES"/>
        </w:rPr>
        <w:t xml:space="preserve"> establecer la existencia de una violación de derechos. Esta determinación </w:t>
      </w:r>
      <w:r w:rsidR="004C3B08" w:rsidRPr="00CD2E32">
        <w:rPr>
          <w:rFonts w:asciiTheme="majorHAnsi" w:hAnsiTheme="majorHAnsi" w:cs="Calibri"/>
          <w:sz w:val="20"/>
          <w:szCs w:val="20"/>
          <w:lang w:val="es-ES"/>
        </w:rPr>
        <w:lastRenderedPageBreak/>
        <w:t>sobre la caracterización de violaciones de la Convención Americana constituye un análisis primario, que no implica prejuzgar sobre el fondo del asunto</w:t>
      </w:r>
      <w:r w:rsidR="004C3B08" w:rsidRPr="00CD2E32">
        <w:rPr>
          <w:rStyle w:val="FootnoteReference"/>
          <w:rFonts w:asciiTheme="majorHAnsi" w:hAnsiTheme="majorHAnsi" w:cs="Calibri"/>
          <w:sz w:val="20"/>
          <w:szCs w:val="20"/>
          <w:lang w:val="es-ES"/>
        </w:rPr>
        <w:footnoteReference w:id="20"/>
      </w:r>
      <w:r w:rsidR="004C3B08" w:rsidRPr="00CD2E32">
        <w:rPr>
          <w:rFonts w:asciiTheme="majorHAnsi" w:hAnsiTheme="majorHAnsi" w:cs="Calibri"/>
          <w:sz w:val="20"/>
          <w:szCs w:val="20"/>
          <w:lang w:val="es-ES"/>
        </w:rPr>
        <w:t xml:space="preserve">. </w:t>
      </w:r>
    </w:p>
    <w:p w14:paraId="6D50F950" w14:textId="097A9B61" w:rsidR="004C3B08" w:rsidRPr="00C517CC" w:rsidRDefault="004C3B08"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517CC">
        <w:rPr>
          <w:rFonts w:asciiTheme="majorHAnsi" w:hAnsiTheme="majorHAnsi"/>
          <w:sz w:val="20"/>
          <w:szCs w:val="20"/>
          <w:lang w:val="es-ES"/>
        </w:rPr>
        <w:t>La Comisión recuerda que el derecho a la vida es prerrequisito del disfrute de todos los demás derechos humanos y sin cuyo respeto todos los demás carecen de sentido</w:t>
      </w:r>
      <w:r w:rsidRPr="00CD2E32">
        <w:rPr>
          <w:rStyle w:val="FootnoteReference"/>
          <w:rFonts w:asciiTheme="majorHAnsi" w:hAnsiTheme="majorHAnsi"/>
          <w:sz w:val="20"/>
          <w:szCs w:val="20"/>
          <w:lang w:val="es-ES"/>
        </w:rPr>
        <w:footnoteReference w:id="21"/>
      </w:r>
      <w:r w:rsidRPr="00C517CC">
        <w:rPr>
          <w:rFonts w:asciiTheme="majorHAnsi" w:hAnsiTheme="majorHAnsi"/>
          <w:sz w:val="20"/>
          <w:szCs w:val="20"/>
          <w:lang w:val="es-ES"/>
        </w:rPr>
        <w:t>. En ese sentido,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CD2E32">
        <w:rPr>
          <w:rStyle w:val="FootnoteReference"/>
          <w:rFonts w:asciiTheme="majorHAnsi" w:hAnsiTheme="majorHAnsi"/>
          <w:sz w:val="20"/>
          <w:szCs w:val="20"/>
          <w:lang w:val="es-ES"/>
        </w:rPr>
        <w:footnoteReference w:id="22"/>
      </w:r>
      <w:r w:rsidRPr="00C517CC">
        <w:rPr>
          <w:rFonts w:asciiTheme="majorHAnsi" w:hAnsiTheme="majorHAnsi"/>
          <w:sz w:val="20"/>
          <w:szCs w:val="20"/>
          <w:lang w:val="es-ES"/>
        </w:rPr>
        <w:t>.</w:t>
      </w:r>
      <w:r w:rsidR="00C517CC" w:rsidRPr="00C517CC">
        <w:rPr>
          <w:rFonts w:asciiTheme="majorHAnsi" w:hAnsiTheme="majorHAnsi"/>
          <w:sz w:val="20"/>
          <w:szCs w:val="20"/>
          <w:lang w:val="es-ES"/>
        </w:rPr>
        <w:t xml:space="preserve"> Igualmente, la jurisprudencia constante</w:t>
      </w:r>
      <w:r w:rsidR="00C517CC">
        <w:rPr>
          <w:rFonts w:asciiTheme="majorHAnsi" w:hAnsiTheme="majorHAnsi"/>
          <w:sz w:val="20"/>
          <w:szCs w:val="20"/>
          <w:lang w:val="es-CO"/>
        </w:rPr>
        <w:t xml:space="preserve"> </w:t>
      </w:r>
      <w:r w:rsidRPr="00C517CC">
        <w:rPr>
          <w:rFonts w:asciiTheme="majorHAnsi" w:hAnsiTheme="majorHAnsi"/>
          <w:sz w:val="20"/>
          <w:szCs w:val="20"/>
          <w:lang w:val="es-CO"/>
        </w:rPr>
        <w:t xml:space="preserve">constante del sistema interamericano en casos de desaparición forzada de </w:t>
      </w:r>
      <w:r w:rsidR="0039723E" w:rsidRPr="00C517CC">
        <w:rPr>
          <w:rFonts w:asciiTheme="majorHAnsi" w:hAnsiTheme="majorHAnsi"/>
          <w:sz w:val="20"/>
          <w:szCs w:val="20"/>
          <w:lang w:val="es-CO"/>
        </w:rPr>
        <w:t>personas</w:t>
      </w:r>
      <w:r w:rsidRPr="00C517CC">
        <w:rPr>
          <w:rFonts w:asciiTheme="majorHAnsi" w:hAnsiTheme="majorHAnsi"/>
          <w:sz w:val="20"/>
          <w:szCs w:val="20"/>
          <w:lang w:val="es-CO"/>
        </w:rPr>
        <w:t xml:space="preserve"> ha indicado que constituye un hecho ilícito que genera una violación múltiple y continuada de varios derechos protegidos por la Convención Americana y coloca a la víctima en un estado de completa indefensión, acarreando otros delitos conexos. </w:t>
      </w:r>
    </w:p>
    <w:p w14:paraId="2CBEDEE1" w14:textId="5DE08ABA" w:rsidR="0050387B" w:rsidRPr="00211A2B" w:rsidRDefault="008C5E2D"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D2E32">
        <w:rPr>
          <w:rFonts w:asciiTheme="majorHAnsi" w:hAnsiTheme="majorHAnsi"/>
          <w:sz w:val="20"/>
          <w:szCs w:val="20"/>
          <w:lang w:val="es-ES"/>
        </w:rPr>
        <w:t>En aten</w:t>
      </w:r>
      <w:r w:rsidR="00C25ADB" w:rsidRPr="00CD2E32">
        <w:rPr>
          <w:rFonts w:asciiTheme="majorHAnsi" w:hAnsiTheme="majorHAnsi"/>
          <w:sz w:val="20"/>
          <w:szCs w:val="20"/>
          <w:lang w:val="es-ES"/>
        </w:rPr>
        <w:t xml:space="preserve">ción a estas consideraciones y </w:t>
      </w:r>
      <w:r w:rsidR="00C517CC">
        <w:rPr>
          <w:rFonts w:asciiTheme="majorHAnsi" w:hAnsiTheme="majorHAnsi"/>
          <w:sz w:val="20"/>
          <w:szCs w:val="20"/>
          <w:lang w:val="es-ES"/>
        </w:rPr>
        <w:t xml:space="preserve">dada la gravedad de los hechos alegados y la presunta situación de impunidad en que se encuentran, la Comisión considera </w:t>
      </w:r>
      <w:r w:rsidRPr="00CD2E32">
        <w:rPr>
          <w:rFonts w:asciiTheme="majorHAnsi" w:hAnsiTheme="majorHAnsi"/>
          <w:sz w:val="20"/>
          <w:szCs w:val="20"/>
          <w:lang w:val="es-ES"/>
        </w:rPr>
        <w:t>que las alegaciones de la parte peticionaria no resultan manifiestamente infundadas y requieren un estudio de fondo</w:t>
      </w:r>
      <w:r w:rsidR="009D23B5">
        <w:rPr>
          <w:rFonts w:asciiTheme="majorHAnsi" w:hAnsiTheme="majorHAnsi"/>
          <w:sz w:val="20"/>
          <w:szCs w:val="20"/>
          <w:lang w:val="es-ES"/>
        </w:rPr>
        <w:t>,</w:t>
      </w:r>
      <w:r w:rsidRPr="00CD2E32">
        <w:rPr>
          <w:rFonts w:asciiTheme="majorHAnsi" w:hAnsiTheme="majorHAnsi"/>
          <w:sz w:val="20"/>
          <w:szCs w:val="20"/>
          <w:lang w:val="es-ES"/>
        </w:rPr>
        <w:t xml:space="preserve"> pues los hechos alegados, de corroborarse como ciertos podrían caracterizar violaciones a los artículos </w:t>
      </w:r>
      <w:r w:rsidR="00A22457" w:rsidRPr="00CD2E32">
        <w:rPr>
          <w:rFonts w:asciiTheme="majorHAnsi" w:hAnsiTheme="majorHAnsi"/>
          <w:sz w:val="20"/>
          <w:szCs w:val="20"/>
          <w:lang w:val="es-ES"/>
        </w:rPr>
        <w:t>3 (personalidad jurídica), 4 (vida), 5 (integridad personal), 7 (libertad), 8 (garantías judiciales), 12 (libertad de religión), 13 (libertad de expresión), 16 (asociación), 17 (familia), 19 (derechos del niño), 21 (propiedad privada), 22 (circulación y residencia), 23 (derechos políticos), 25 (protección judicial), y 26 (desarrollo progresivo) de la Convención American</w:t>
      </w:r>
      <w:r w:rsidR="00FD6D00" w:rsidRPr="00CD2E32">
        <w:rPr>
          <w:rFonts w:asciiTheme="majorHAnsi" w:hAnsiTheme="majorHAnsi"/>
          <w:sz w:val="20"/>
          <w:szCs w:val="20"/>
          <w:lang w:val="es-ES"/>
        </w:rPr>
        <w:t>a</w:t>
      </w:r>
      <w:r w:rsidR="009D23B5">
        <w:rPr>
          <w:rFonts w:asciiTheme="majorHAnsi" w:hAnsiTheme="majorHAnsi"/>
          <w:sz w:val="20"/>
          <w:szCs w:val="20"/>
          <w:lang w:val="es-ES"/>
        </w:rPr>
        <w:t>,</w:t>
      </w:r>
      <w:r w:rsidR="00FD6D00" w:rsidRPr="00CD2E32">
        <w:rPr>
          <w:rFonts w:asciiTheme="majorHAnsi" w:hAnsiTheme="majorHAnsi"/>
          <w:sz w:val="20"/>
          <w:szCs w:val="20"/>
          <w:lang w:val="es-ES"/>
        </w:rPr>
        <w:t xml:space="preserve"> en relación con </w:t>
      </w:r>
      <w:r w:rsidR="0050387B">
        <w:rPr>
          <w:rFonts w:asciiTheme="majorHAnsi" w:hAnsiTheme="majorHAnsi"/>
          <w:sz w:val="20"/>
          <w:szCs w:val="20"/>
          <w:lang w:val="es-ES"/>
        </w:rPr>
        <w:t xml:space="preserve"> su</w:t>
      </w:r>
      <w:r w:rsidR="00FD6D00" w:rsidRPr="00CD2E32">
        <w:rPr>
          <w:rFonts w:asciiTheme="majorHAnsi" w:hAnsiTheme="majorHAnsi"/>
          <w:sz w:val="20"/>
          <w:szCs w:val="20"/>
          <w:lang w:val="es-ES"/>
        </w:rPr>
        <w:t xml:space="preserve"> artículo 1.1 (obligación de respetar los derechos)</w:t>
      </w:r>
      <w:r w:rsidR="0050387B">
        <w:rPr>
          <w:rFonts w:asciiTheme="majorHAnsi" w:hAnsiTheme="majorHAnsi"/>
          <w:sz w:val="20"/>
          <w:szCs w:val="20"/>
          <w:lang w:val="es-ES"/>
        </w:rPr>
        <w:t>.</w:t>
      </w:r>
      <w:r w:rsidR="000C0D8B">
        <w:rPr>
          <w:rFonts w:asciiTheme="majorHAnsi" w:hAnsiTheme="majorHAnsi"/>
          <w:sz w:val="20"/>
          <w:szCs w:val="20"/>
          <w:lang w:val="es-ES"/>
        </w:rPr>
        <w:t xml:space="preserve"> </w:t>
      </w:r>
      <w:r w:rsidR="0050387B" w:rsidRPr="00B52862">
        <w:rPr>
          <w:rFonts w:asciiTheme="majorHAnsi" w:eastAsia="Times New Roman" w:hAnsiTheme="majorHAnsi"/>
          <w:sz w:val="20"/>
          <w:szCs w:val="20"/>
          <w:bdr w:val="none" w:sz="0" w:space="0" w:color="auto"/>
          <w:lang w:val="es-US"/>
        </w:rPr>
        <w:t>Asimismo, considerando que</w:t>
      </w:r>
      <w:r w:rsidR="000C0D8B" w:rsidRPr="00B52862">
        <w:rPr>
          <w:rFonts w:asciiTheme="majorHAnsi" w:eastAsia="Times New Roman" w:hAnsiTheme="majorHAnsi"/>
          <w:sz w:val="20"/>
          <w:szCs w:val="20"/>
          <w:bdr w:val="none" w:sz="0" w:space="0" w:color="auto"/>
          <w:lang w:val="es-US"/>
        </w:rPr>
        <w:t xml:space="preserve"> hasta la fecha se desconoce el paradero de las presuntas víctimas, la CIDH</w:t>
      </w:r>
      <w:r w:rsidR="000C0D8B">
        <w:rPr>
          <w:rFonts w:asciiTheme="majorHAnsi" w:eastAsia="Times New Roman" w:hAnsiTheme="majorHAnsi"/>
          <w:sz w:val="20"/>
          <w:szCs w:val="20"/>
          <w:bdr w:val="none" w:sz="0" w:space="0" w:color="auto"/>
          <w:lang w:val="es-US"/>
        </w:rPr>
        <w:t xml:space="preserve"> también analizará en etapa de fondo el posible incumplimiento de</w:t>
      </w:r>
      <w:r w:rsidR="00211A2B">
        <w:rPr>
          <w:rFonts w:asciiTheme="majorHAnsi" w:eastAsia="Times New Roman" w:hAnsiTheme="majorHAnsi"/>
          <w:sz w:val="20"/>
          <w:szCs w:val="20"/>
          <w:bdr w:val="none" w:sz="0" w:space="0" w:color="auto"/>
          <w:lang w:val="es-US"/>
        </w:rPr>
        <w:t xml:space="preserve"> </w:t>
      </w:r>
      <w:r w:rsidR="000C0D8B">
        <w:rPr>
          <w:rFonts w:asciiTheme="majorHAnsi" w:eastAsia="Times New Roman" w:hAnsiTheme="majorHAnsi"/>
          <w:sz w:val="20"/>
          <w:szCs w:val="20"/>
          <w:bdr w:val="none" w:sz="0" w:space="0" w:color="auto"/>
          <w:lang w:val="es-US"/>
        </w:rPr>
        <w:t>l</w:t>
      </w:r>
      <w:r w:rsidR="006B1317">
        <w:rPr>
          <w:rFonts w:asciiTheme="majorHAnsi" w:eastAsia="Times New Roman" w:hAnsiTheme="majorHAnsi"/>
          <w:sz w:val="20"/>
          <w:szCs w:val="20"/>
          <w:bdr w:val="none" w:sz="0" w:space="0" w:color="auto"/>
          <w:lang w:val="es-US"/>
        </w:rPr>
        <w:t>os</w:t>
      </w:r>
      <w:r w:rsidR="000C0D8B">
        <w:rPr>
          <w:rFonts w:asciiTheme="majorHAnsi" w:eastAsia="Times New Roman" w:hAnsiTheme="majorHAnsi"/>
          <w:sz w:val="20"/>
          <w:szCs w:val="20"/>
          <w:bdr w:val="none" w:sz="0" w:space="0" w:color="auto"/>
          <w:lang w:val="es-US"/>
        </w:rPr>
        <w:t xml:space="preserve"> artículo</w:t>
      </w:r>
      <w:r w:rsidR="006B1317">
        <w:rPr>
          <w:rFonts w:asciiTheme="majorHAnsi" w:eastAsia="Times New Roman" w:hAnsiTheme="majorHAnsi"/>
          <w:sz w:val="20"/>
          <w:szCs w:val="20"/>
          <w:bdr w:val="none" w:sz="0" w:space="0" w:color="auto"/>
          <w:lang w:val="es-US"/>
        </w:rPr>
        <w:t>s</w:t>
      </w:r>
      <w:r w:rsidR="000C0D8B">
        <w:rPr>
          <w:rFonts w:asciiTheme="majorHAnsi" w:eastAsia="Times New Roman" w:hAnsiTheme="majorHAnsi"/>
          <w:sz w:val="20"/>
          <w:szCs w:val="20"/>
          <w:bdr w:val="none" w:sz="0" w:space="0" w:color="auto"/>
          <w:lang w:val="es-US"/>
        </w:rPr>
        <w:t xml:space="preserve"> I.a)</w:t>
      </w:r>
      <w:r w:rsidR="006B1317">
        <w:rPr>
          <w:rFonts w:asciiTheme="majorHAnsi" w:eastAsia="Times New Roman" w:hAnsiTheme="majorHAnsi"/>
          <w:sz w:val="20"/>
          <w:szCs w:val="20"/>
          <w:bdr w:val="none" w:sz="0" w:space="0" w:color="auto"/>
          <w:lang w:val="es-US"/>
        </w:rPr>
        <w:t xml:space="preserve"> y b)</w:t>
      </w:r>
      <w:r w:rsidR="000C0D8B">
        <w:rPr>
          <w:rFonts w:asciiTheme="majorHAnsi" w:eastAsia="Times New Roman" w:hAnsiTheme="majorHAnsi"/>
          <w:sz w:val="20"/>
          <w:szCs w:val="20"/>
          <w:bdr w:val="none" w:sz="0" w:space="0" w:color="auto"/>
          <w:lang w:val="es-US"/>
        </w:rPr>
        <w:t xml:space="preserve"> de la Convención Interamericana sobre Desaparición Forzada de Personas. </w:t>
      </w:r>
    </w:p>
    <w:p w14:paraId="79350727" w14:textId="7670275B" w:rsidR="00211A2B" w:rsidRPr="00211A2B" w:rsidRDefault="00211A2B"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lang w:val="es-ES"/>
        </w:rPr>
      </w:pPr>
      <w:r>
        <w:rPr>
          <w:rFonts w:asciiTheme="majorHAnsi" w:hAnsiTheme="majorHAnsi"/>
          <w:sz w:val="20"/>
          <w:szCs w:val="20"/>
          <w:lang w:val="es-ES"/>
        </w:rPr>
        <w:t xml:space="preserve">Adicionalmente, toda vez que aún no se habrían iniciado investigaciones orientadas a esclarecer la presunta comisión de prácticas de tortura y de violación sexual en perjuicio de mujeres, la Comisión también analizará en etapa de fondo el posible incumplimiento de los artículos 1, 6 y 8 de la Convención Interamericana para Prevenir y Sancionar la Tortura, así como el artículo 7 de la Convención Belém Do Pará. </w:t>
      </w:r>
    </w:p>
    <w:p w14:paraId="1A5CD502" w14:textId="139B5288" w:rsidR="0039723E" w:rsidRPr="0039723E" w:rsidRDefault="00286B94"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CD2E32">
        <w:rPr>
          <w:rFonts w:asciiTheme="majorHAnsi" w:hAnsiTheme="majorHAnsi"/>
          <w:sz w:val="20"/>
          <w:szCs w:val="20"/>
          <w:lang w:val="es-ES"/>
        </w:rPr>
        <w:t>Respecto de</w:t>
      </w:r>
      <w:r w:rsidR="00A22457" w:rsidRPr="00CD2E32">
        <w:rPr>
          <w:rFonts w:asciiTheme="majorHAnsi" w:hAnsiTheme="majorHAnsi"/>
          <w:sz w:val="20"/>
          <w:szCs w:val="20"/>
          <w:lang w:val="es-ES"/>
        </w:rPr>
        <w:t xml:space="preserve"> los alegatos relacionados con </w:t>
      </w:r>
      <w:r w:rsidRPr="00CD2E32">
        <w:rPr>
          <w:rFonts w:asciiTheme="majorHAnsi" w:hAnsiTheme="majorHAnsi"/>
          <w:sz w:val="20"/>
          <w:szCs w:val="20"/>
          <w:lang w:val="es-ES"/>
        </w:rPr>
        <w:t>la vulneración a los derechos sindicales sufridos por las presuntas víctimas</w:t>
      </w:r>
      <w:r w:rsidR="00CD2E32">
        <w:rPr>
          <w:rFonts w:asciiTheme="majorHAnsi" w:hAnsiTheme="majorHAnsi"/>
          <w:sz w:val="20"/>
          <w:szCs w:val="20"/>
          <w:lang w:val="es-ES"/>
        </w:rPr>
        <w:t xml:space="preserve">, </w:t>
      </w:r>
      <w:r w:rsidR="00CD2E32" w:rsidRPr="00CD2E32">
        <w:rPr>
          <w:rFonts w:asciiTheme="majorHAnsi" w:hAnsiTheme="majorHAnsi"/>
          <w:bCs/>
          <w:sz w:val="20"/>
          <w:szCs w:val="20"/>
          <w:lang w:val="es-ES_tradnl"/>
        </w:rPr>
        <w:t xml:space="preserve">la Comisión reconoce que carece de competencia, en el contexto de la presente petición, para pronunciarse sobre posibles violaciones al Protocolo de San Salvador, puesto que </w:t>
      </w:r>
      <w:r w:rsidR="00CD2E32">
        <w:rPr>
          <w:rFonts w:asciiTheme="majorHAnsi" w:hAnsiTheme="majorHAnsi"/>
          <w:bCs/>
          <w:sz w:val="20"/>
          <w:szCs w:val="20"/>
          <w:lang w:val="es-ES_tradnl"/>
        </w:rPr>
        <w:t xml:space="preserve">para el momento de la ocurrencia de los hechos </w:t>
      </w:r>
      <w:r w:rsidR="00CD2E32" w:rsidRPr="00CD2E32">
        <w:rPr>
          <w:rFonts w:asciiTheme="majorHAnsi" w:hAnsiTheme="majorHAnsi"/>
          <w:bCs/>
          <w:sz w:val="20"/>
          <w:szCs w:val="20"/>
          <w:lang w:val="es-ES_tradnl"/>
        </w:rPr>
        <w:t xml:space="preserve">este instrumento no </w:t>
      </w:r>
      <w:r w:rsidR="00CD2E32">
        <w:rPr>
          <w:rFonts w:asciiTheme="majorHAnsi" w:hAnsiTheme="majorHAnsi"/>
          <w:bCs/>
          <w:sz w:val="20"/>
          <w:szCs w:val="20"/>
          <w:lang w:val="es-ES_tradnl"/>
        </w:rPr>
        <w:t>había sido</w:t>
      </w:r>
      <w:r w:rsidR="00CD2E32" w:rsidRPr="00CD2E32">
        <w:rPr>
          <w:rFonts w:asciiTheme="majorHAnsi" w:hAnsiTheme="majorHAnsi"/>
          <w:bCs/>
          <w:sz w:val="20"/>
          <w:szCs w:val="20"/>
          <w:lang w:val="es-ES_tradnl"/>
        </w:rPr>
        <w:t xml:space="preserve"> ratificado po</w:t>
      </w:r>
      <w:r w:rsidR="00CD2E32">
        <w:rPr>
          <w:rFonts w:asciiTheme="majorHAnsi" w:hAnsiTheme="majorHAnsi"/>
          <w:bCs/>
          <w:sz w:val="20"/>
          <w:szCs w:val="20"/>
          <w:lang w:val="es-ES_tradnl"/>
        </w:rPr>
        <w:t>r Guatemala</w:t>
      </w:r>
      <w:r w:rsidR="00CD2E32" w:rsidRPr="00CD2E32">
        <w:rPr>
          <w:rFonts w:asciiTheme="majorHAnsi" w:hAnsiTheme="majorHAnsi"/>
          <w:bCs/>
          <w:sz w:val="20"/>
          <w:szCs w:val="20"/>
          <w:lang w:val="es-ES_tradnl"/>
        </w:rPr>
        <w:t xml:space="preserve">. Sin embargo, esto no </w:t>
      </w:r>
      <w:r w:rsidR="00E64E17">
        <w:rPr>
          <w:rFonts w:asciiTheme="majorHAnsi" w:hAnsiTheme="majorHAnsi"/>
          <w:bCs/>
          <w:sz w:val="20"/>
          <w:szCs w:val="20"/>
          <w:lang w:val="es-ES_tradnl"/>
        </w:rPr>
        <w:t>tiene incidencia</w:t>
      </w:r>
      <w:r w:rsidR="00CD2E32" w:rsidRPr="00CD2E32">
        <w:rPr>
          <w:rFonts w:asciiTheme="majorHAnsi" w:hAnsiTheme="majorHAnsi"/>
          <w:bCs/>
          <w:sz w:val="20"/>
          <w:szCs w:val="20"/>
          <w:lang w:val="es-ES_tradnl"/>
        </w:rPr>
        <w:t xml:space="preserve"> sobre la competencia de la Comisión para conocer la petición en lo que pudiera estar relacionado con el artículo 26 de la Convención Americana. Tal y como ha sido señalado por la Corte IDH, el artículo 26 de la Convención “</w:t>
      </w:r>
      <w:r w:rsidR="00CD2E32" w:rsidRPr="00CD2E32">
        <w:rPr>
          <w:rFonts w:asciiTheme="majorHAnsi" w:hAnsiTheme="majorHAnsi"/>
          <w:i/>
          <w:iCs/>
          <w:sz w:val="20"/>
          <w:szCs w:val="20"/>
          <w:lang w:val="es-ES_tradnl"/>
        </w:rPr>
        <w:t>está sujeto a las obligaciones generales contenidas en los artículos 1.1 y 2 señalados en el capítulo I (titulado ‘Enumeración de Deberes’), así como lo están los artículos 3 al 25 señalados en el capítulo II (titulado ‘Derechos Civiles y Políticos’)</w:t>
      </w:r>
      <w:r w:rsidR="00CD2E32" w:rsidRPr="00CD2E32">
        <w:rPr>
          <w:rFonts w:asciiTheme="majorHAnsi" w:hAnsiTheme="majorHAnsi"/>
          <w:sz w:val="20"/>
          <w:szCs w:val="20"/>
          <w:lang w:val="es-ES_tradnl"/>
        </w:rPr>
        <w:t>”</w:t>
      </w:r>
      <w:r w:rsidR="00CD2E32" w:rsidRPr="00CD2E32">
        <w:rPr>
          <w:rStyle w:val="FootnoteReference"/>
          <w:rFonts w:asciiTheme="majorHAnsi" w:hAnsiTheme="majorHAnsi"/>
          <w:sz w:val="20"/>
          <w:szCs w:val="20"/>
          <w:lang w:val="es-ES_tradnl"/>
        </w:rPr>
        <w:footnoteReference w:id="23"/>
      </w:r>
      <w:r w:rsidR="00CD2E32" w:rsidRPr="00CD2E32">
        <w:rPr>
          <w:rFonts w:asciiTheme="majorHAnsi" w:hAnsiTheme="majorHAnsi"/>
          <w:sz w:val="20"/>
          <w:szCs w:val="20"/>
          <w:lang w:val="es-ES_tradnl"/>
        </w:rPr>
        <w:t>.</w:t>
      </w:r>
    </w:p>
    <w:p w14:paraId="6A88F0B7" w14:textId="6BDE551D" w:rsidR="00C14B58" w:rsidRPr="00211A2B" w:rsidRDefault="00211A2B" w:rsidP="00681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Pr>
          <w:rFonts w:asciiTheme="majorHAnsi" w:hAnsiTheme="majorHAnsi"/>
          <w:sz w:val="20"/>
          <w:szCs w:val="20"/>
          <w:lang w:val="es-AR"/>
        </w:rPr>
        <w:t>Finalmente, la Comisión nota que e</w:t>
      </w:r>
      <w:r w:rsidR="00B8714A" w:rsidRPr="00CD2E32">
        <w:rPr>
          <w:rFonts w:asciiTheme="majorHAnsi" w:hAnsiTheme="majorHAnsi"/>
          <w:sz w:val="20"/>
          <w:szCs w:val="20"/>
          <w:lang w:val="es-AR"/>
        </w:rPr>
        <w:t>l Estado alega la falta de competencia de la Comisión en razón a la persona por dos motivos</w:t>
      </w:r>
      <w:r>
        <w:rPr>
          <w:rFonts w:asciiTheme="majorHAnsi" w:hAnsiTheme="majorHAnsi"/>
          <w:sz w:val="20"/>
          <w:szCs w:val="20"/>
          <w:lang w:val="es-AR"/>
        </w:rPr>
        <w:t>:</w:t>
      </w:r>
      <w:r w:rsidR="00B8714A" w:rsidRPr="00CD2E32">
        <w:rPr>
          <w:rFonts w:asciiTheme="majorHAnsi" w:hAnsiTheme="majorHAnsi"/>
          <w:sz w:val="20"/>
          <w:szCs w:val="20"/>
          <w:lang w:val="es-AR"/>
        </w:rPr>
        <w:t xml:space="preserve"> (i) algunas de las personas que se indican como presuntas víctimas solo son detalladas por sus nombres sin que se hayan aportado documentos oficiales o no oficiales, o los que se aportan son ilegibles, lo que dificulta la identificación e individualizarlas certera, impidiendo determinar si efectivamente el Estado es responsables de la violación de sus derechos; y (ii) algunas de las presuntas víctimas </w:t>
      </w:r>
      <w:r w:rsidR="00B8714A" w:rsidRPr="00CD2E32">
        <w:rPr>
          <w:rFonts w:asciiTheme="majorHAnsi" w:hAnsiTheme="majorHAnsi"/>
          <w:sz w:val="20"/>
          <w:szCs w:val="20"/>
          <w:lang w:val="es-AR"/>
        </w:rPr>
        <w:lastRenderedPageBreak/>
        <w:t>adjuntan documento de identificación más no se evidencia cuál es su relación con los hechos denunciados pues no son escritas o enunciadas en la petición.</w:t>
      </w:r>
      <w:r>
        <w:rPr>
          <w:rFonts w:asciiTheme="majorHAnsi" w:hAnsiTheme="majorHAnsi"/>
          <w:sz w:val="20"/>
          <w:szCs w:val="20"/>
          <w:lang w:val="es-AR"/>
        </w:rPr>
        <w:t xml:space="preserve"> </w:t>
      </w:r>
      <w:r>
        <w:rPr>
          <w:rFonts w:asciiTheme="majorHAnsi" w:hAnsiTheme="majorHAnsi"/>
          <w:sz w:val="20"/>
          <w:szCs w:val="20"/>
          <w:lang w:val="es-ES_tradnl"/>
        </w:rPr>
        <w:t>Al respecto</w:t>
      </w:r>
      <w:r w:rsidR="00B8714A" w:rsidRPr="00211A2B">
        <w:rPr>
          <w:rFonts w:asciiTheme="majorHAnsi" w:hAnsiTheme="majorHAnsi"/>
          <w:sz w:val="20"/>
          <w:szCs w:val="20"/>
          <w:lang w:val="es-ES_tradnl"/>
        </w:rPr>
        <w:t xml:space="preserve">, </w:t>
      </w:r>
      <w:r>
        <w:rPr>
          <w:rFonts w:asciiTheme="majorHAnsi" w:hAnsiTheme="majorHAnsi"/>
          <w:sz w:val="20"/>
          <w:szCs w:val="20"/>
          <w:lang w:val="es-ES_tradnl"/>
        </w:rPr>
        <w:t xml:space="preserve">la Comisión recuerda que, </w:t>
      </w:r>
      <w:r w:rsidR="00B8714A" w:rsidRPr="00211A2B">
        <w:rPr>
          <w:rFonts w:asciiTheme="majorHAnsi" w:hAnsiTheme="majorHAnsi"/>
          <w:sz w:val="20"/>
          <w:szCs w:val="20"/>
          <w:lang w:val="es-ES_tradnl"/>
        </w:rPr>
        <w:t>como ha aclarado la Corte IDH, en el procedimiento de casos contenciosos ante el Sistema Interamericano, como regla general, la individualización final de las presuntas víctimas debe realizarse en la etapa de fondo ante la CIDH, lo cual debe establecerse en el informe que esta emita en los términos del artículo 50 de la Convención Americana</w:t>
      </w:r>
      <w:r w:rsidR="00B8714A" w:rsidRPr="00CD2E32">
        <w:rPr>
          <w:rStyle w:val="FootnoteReference"/>
          <w:rFonts w:asciiTheme="majorHAnsi" w:hAnsiTheme="majorHAnsi"/>
          <w:sz w:val="20"/>
          <w:szCs w:val="20"/>
          <w:lang w:val="es-ES_tradnl"/>
        </w:rPr>
        <w:footnoteReference w:id="24"/>
      </w:r>
      <w:r w:rsidR="00B8714A" w:rsidRPr="00211A2B">
        <w:rPr>
          <w:rFonts w:asciiTheme="majorHAnsi" w:hAnsiTheme="majorHAnsi"/>
          <w:sz w:val="20"/>
          <w:szCs w:val="20"/>
          <w:lang w:val="es-ES_tradnl"/>
        </w:rPr>
        <w:t xml:space="preserve">. </w:t>
      </w:r>
      <w:r w:rsidR="00823734">
        <w:rPr>
          <w:rFonts w:asciiTheme="majorHAnsi" w:hAnsiTheme="majorHAnsi"/>
          <w:sz w:val="20"/>
          <w:szCs w:val="20"/>
          <w:lang w:val="es-ES_tradnl"/>
        </w:rPr>
        <w:t xml:space="preserve">Más allá de esta consideración, </w:t>
      </w:r>
      <w:r w:rsidR="00A07C9D">
        <w:rPr>
          <w:rFonts w:asciiTheme="majorHAnsi" w:hAnsiTheme="majorHAnsi"/>
          <w:sz w:val="20"/>
          <w:szCs w:val="20"/>
          <w:lang w:val="es-ES_tradnl"/>
        </w:rPr>
        <w:t xml:space="preserve">la Comisión considera que el presente informe de admisibilidad sí contiene un grado importante de individualización </w:t>
      </w:r>
      <w:r w:rsidR="00895406">
        <w:rPr>
          <w:rFonts w:asciiTheme="majorHAnsi" w:hAnsiTheme="majorHAnsi"/>
          <w:sz w:val="20"/>
          <w:szCs w:val="20"/>
          <w:lang w:val="es-ES_tradnl"/>
        </w:rPr>
        <w:t>de las presuntas víctimas, suficiente para analizar la entidad y caracterización de las violaciones alegadas, y para determinar el marco fáctico del presente caso.</w:t>
      </w:r>
      <w:r w:rsidR="00A4448F">
        <w:rPr>
          <w:rFonts w:asciiTheme="majorHAnsi" w:hAnsiTheme="majorHAnsi"/>
          <w:sz w:val="20"/>
          <w:szCs w:val="20"/>
          <w:lang w:val="es-ES_tradnl"/>
        </w:rPr>
        <w:t xml:space="preserve"> Finalmente, la Comisión reitera igualmente que una eventual decisión sobre el fondo se tomará con base en la información aportada por ambas partes al proceso, </w:t>
      </w:r>
      <w:r w:rsidR="0040215B">
        <w:rPr>
          <w:rFonts w:asciiTheme="majorHAnsi" w:hAnsiTheme="majorHAnsi"/>
          <w:sz w:val="20"/>
          <w:szCs w:val="20"/>
          <w:lang w:val="es-ES_tradnl"/>
        </w:rPr>
        <w:t xml:space="preserve">con lo cual resulta fundamental la </w:t>
      </w:r>
      <w:r w:rsidR="00563B2C">
        <w:rPr>
          <w:rFonts w:asciiTheme="majorHAnsi" w:hAnsiTheme="majorHAnsi"/>
          <w:sz w:val="20"/>
          <w:szCs w:val="20"/>
          <w:lang w:val="es-ES_tradnl"/>
        </w:rPr>
        <w:t>mayor claridad que en este sentido aporte la parte peticionaria.</w:t>
      </w:r>
    </w:p>
    <w:p w14:paraId="29BB41F5" w14:textId="0DF9A559" w:rsidR="003239B8" w:rsidRPr="00CD2E32" w:rsidRDefault="003239B8" w:rsidP="00681804">
      <w:pPr>
        <w:pStyle w:val="ListParagraph"/>
        <w:spacing w:before="240" w:after="240"/>
        <w:jc w:val="both"/>
        <w:rPr>
          <w:rFonts w:asciiTheme="majorHAnsi" w:hAnsiTheme="majorHAnsi"/>
          <w:b/>
          <w:bCs/>
          <w:sz w:val="20"/>
          <w:szCs w:val="20"/>
          <w:lang w:val="es-ES"/>
        </w:rPr>
      </w:pPr>
      <w:r w:rsidRPr="00CD2E32">
        <w:rPr>
          <w:rFonts w:asciiTheme="majorHAnsi" w:hAnsiTheme="majorHAnsi"/>
          <w:b/>
          <w:bCs/>
          <w:sz w:val="20"/>
          <w:szCs w:val="20"/>
          <w:lang w:val="es-ES"/>
        </w:rPr>
        <w:t xml:space="preserve">VIII. </w:t>
      </w:r>
      <w:r w:rsidRPr="00CD2E32">
        <w:rPr>
          <w:rFonts w:asciiTheme="majorHAnsi" w:hAnsiTheme="majorHAnsi"/>
          <w:b/>
          <w:bCs/>
          <w:sz w:val="20"/>
          <w:szCs w:val="20"/>
          <w:lang w:val="es-ES"/>
        </w:rPr>
        <w:tab/>
        <w:t>DECISIÓN</w:t>
      </w:r>
    </w:p>
    <w:p w14:paraId="41AA5BF6" w14:textId="4D28BBA2" w:rsidR="000419AD" w:rsidRPr="00CD2E32" w:rsidRDefault="003239B8" w:rsidP="00681804">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Arial Unicode MS" w:hAnsiTheme="majorHAnsi" w:cs="Times New Roman"/>
          <w:color w:val="auto"/>
          <w:sz w:val="20"/>
          <w:szCs w:val="20"/>
          <w:lang w:val="es-ES" w:eastAsia="en-US"/>
        </w:rPr>
      </w:pPr>
      <w:r w:rsidRPr="00CD2E32">
        <w:rPr>
          <w:rFonts w:asciiTheme="majorHAnsi" w:hAnsiTheme="majorHAnsi"/>
          <w:sz w:val="20"/>
          <w:szCs w:val="20"/>
          <w:lang w:val="es-ES"/>
        </w:rPr>
        <w:t xml:space="preserve">Declarar admisible la presente petición en relación con </w:t>
      </w:r>
      <w:r w:rsidR="00B8714A" w:rsidRPr="00CD2E32">
        <w:rPr>
          <w:rFonts w:asciiTheme="majorHAnsi" w:hAnsiTheme="majorHAnsi"/>
          <w:sz w:val="20"/>
          <w:szCs w:val="20"/>
          <w:lang w:val="es-ES"/>
        </w:rPr>
        <w:t>los artículos 3 (personalidad jurídica), 4 (vida), 5 (integridad personal), 7 (libertad), 8 (garantías judiciales), 12 (libertad de religión), 13 (libertad de expresión), 16 (asociación), 17 (familia), 19 (derechos del niño), 21 (propiedad privada), 22 (circulación y residencia), 23 (derechos políticos), 25 (protección judicial), y 26 (desarrollo progresivo) de la Convención Americana en relación con el artículo 1.1 (obligación de respetar los derechos); y</w:t>
      </w:r>
    </w:p>
    <w:p w14:paraId="21A2F6FB" w14:textId="74FDD40A" w:rsidR="00370E1D" w:rsidRDefault="004A6A54" w:rsidP="0068180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D2E3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536AAF4" w14:textId="29EBE5B3" w:rsidR="00177CAC" w:rsidRPr="0002249C" w:rsidRDefault="008F6742" w:rsidP="0002249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01140">
        <w:rPr>
          <w:rStyle w:val="normaltextrun"/>
          <w:rFonts w:ascii="Cambria" w:hAnsi="Cambria" w:cs="Segoe UI"/>
          <w:sz w:val="20"/>
          <w:szCs w:val="20"/>
          <w:lang w:val="es-CL"/>
        </w:rPr>
        <w:t>29</w:t>
      </w:r>
      <w:r>
        <w:rPr>
          <w:rStyle w:val="normaltextrun"/>
          <w:rFonts w:ascii="Cambria" w:hAnsi="Cambria" w:cs="Segoe UI"/>
          <w:sz w:val="20"/>
          <w:szCs w:val="20"/>
          <w:lang w:val="es-CL"/>
        </w:rPr>
        <w:t xml:space="preserve"> días del mes de </w:t>
      </w:r>
      <w:r w:rsidR="00C01140">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2023.  (Firmado): Esmeralda Arosemena de Troitiño, Primera Vicepresidenta; Julissa Mantilla Falcón,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02249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71264749" w14:textId="77777777" w:rsidR="0039723E" w:rsidRPr="0002249C" w:rsidRDefault="0039723E" w:rsidP="00177CAC">
      <w:pPr>
        <w:jc w:val="center"/>
        <w:rPr>
          <w:rFonts w:asciiTheme="majorHAnsi" w:hAnsiTheme="majorHAnsi"/>
          <w:sz w:val="20"/>
          <w:szCs w:val="20"/>
          <w:lang w:val="es-AR"/>
        </w:rPr>
      </w:pPr>
    </w:p>
    <w:p w14:paraId="77822334" w14:textId="77777777" w:rsidR="0002249C" w:rsidRPr="0002249C" w:rsidRDefault="0002249C" w:rsidP="000325E7">
      <w:pPr>
        <w:jc w:val="center"/>
        <w:rPr>
          <w:rFonts w:asciiTheme="majorHAnsi" w:hAnsiTheme="majorHAnsi"/>
          <w:b/>
          <w:bCs/>
          <w:sz w:val="20"/>
          <w:szCs w:val="20"/>
          <w:lang w:val="es-AR"/>
        </w:rPr>
      </w:pPr>
    </w:p>
    <w:p w14:paraId="0C4655BF" w14:textId="77777777" w:rsidR="0002249C" w:rsidRPr="0002249C" w:rsidRDefault="0002249C" w:rsidP="000325E7">
      <w:pPr>
        <w:jc w:val="center"/>
        <w:rPr>
          <w:rFonts w:asciiTheme="majorHAnsi" w:hAnsiTheme="majorHAnsi"/>
          <w:b/>
          <w:bCs/>
          <w:sz w:val="20"/>
          <w:szCs w:val="20"/>
          <w:lang w:val="es-AR"/>
        </w:rPr>
      </w:pPr>
    </w:p>
    <w:p w14:paraId="1442AEE3" w14:textId="77777777" w:rsidR="0002249C" w:rsidRPr="0002249C" w:rsidRDefault="0002249C" w:rsidP="000325E7">
      <w:pPr>
        <w:jc w:val="center"/>
        <w:rPr>
          <w:rFonts w:asciiTheme="majorHAnsi" w:hAnsiTheme="majorHAnsi"/>
          <w:b/>
          <w:bCs/>
          <w:sz w:val="20"/>
          <w:szCs w:val="20"/>
          <w:lang w:val="es-AR"/>
        </w:rPr>
      </w:pPr>
    </w:p>
    <w:p w14:paraId="5E57FCE8" w14:textId="77777777" w:rsidR="0002249C" w:rsidRPr="0002249C" w:rsidRDefault="0002249C" w:rsidP="000325E7">
      <w:pPr>
        <w:jc w:val="center"/>
        <w:rPr>
          <w:rFonts w:asciiTheme="majorHAnsi" w:hAnsiTheme="majorHAnsi"/>
          <w:b/>
          <w:bCs/>
          <w:sz w:val="20"/>
          <w:szCs w:val="20"/>
          <w:lang w:val="es-AR"/>
        </w:rPr>
      </w:pPr>
    </w:p>
    <w:p w14:paraId="18EFD911" w14:textId="77777777" w:rsidR="0002249C" w:rsidRPr="0002249C" w:rsidRDefault="0002249C" w:rsidP="000325E7">
      <w:pPr>
        <w:jc w:val="center"/>
        <w:rPr>
          <w:rFonts w:asciiTheme="majorHAnsi" w:hAnsiTheme="majorHAnsi"/>
          <w:b/>
          <w:bCs/>
          <w:sz w:val="20"/>
          <w:szCs w:val="20"/>
          <w:lang w:val="es-AR"/>
        </w:rPr>
      </w:pPr>
    </w:p>
    <w:p w14:paraId="421FD5E0" w14:textId="77777777" w:rsidR="0002249C" w:rsidRPr="0002249C" w:rsidRDefault="0002249C" w:rsidP="000325E7">
      <w:pPr>
        <w:jc w:val="center"/>
        <w:rPr>
          <w:rFonts w:asciiTheme="majorHAnsi" w:hAnsiTheme="majorHAnsi"/>
          <w:b/>
          <w:bCs/>
          <w:sz w:val="20"/>
          <w:szCs w:val="20"/>
          <w:lang w:val="es-AR"/>
        </w:rPr>
      </w:pPr>
    </w:p>
    <w:p w14:paraId="32DFC500" w14:textId="77777777" w:rsidR="0002249C" w:rsidRPr="0002249C" w:rsidRDefault="0002249C" w:rsidP="000325E7">
      <w:pPr>
        <w:jc w:val="center"/>
        <w:rPr>
          <w:rFonts w:asciiTheme="majorHAnsi" w:hAnsiTheme="majorHAnsi"/>
          <w:b/>
          <w:bCs/>
          <w:sz w:val="20"/>
          <w:szCs w:val="20"/>
          <w:lang w:val="es-AR"/>
        </w:rPr>
      </w:pPr>
    </w:p>
    <w:p w14:paraId="786FC8EE" w14:textId="77777777" w:rsidR="0002249C" w:rsidRPr="0002249C" w:rsidRDefault="0002249C" w:rsidP="000325E7">
      <w:pPr>
        <w:jc w:val="center"/>
        <w:rPr>
          <w:rFonts w:asciiTheme="majorHAnsi" w:hAnsiTheme="majorHAnsi"/>
          <w:b/>
          <w:bCs/>
          <w:sz w:val="20"/>
          <w:szCs w:val="20"/>
          <w:lang w:val="es-AR"/>
        </w:rPr>
      </w:pPr>
    </w:p>
    <w:p w14:paraId="01542E57" w14:textId="77777777" w:rsidR="0002249C" w:rsidRPr="0002249C" w:rsidRDefault="0002249C" w:rsidP="000325E7">
      <w:pPr>
        <w:jc w:val="center"/>
        <w:rPr>
          <w:rFonts w:asciiTheme="majorHAnsi" w:hAnsiTheme="majorHAnsi"/>
          <w:b/>
          <w:bCs/>
          <w:sz w:val="20"/>
          <w:szCs w:val="20"/>
          <w:lang w:val="es-AR"/>
        </w:rPr>
      </w:pPr>
    </w:p>
    <w:p w14:paraId="475ACBC0" w14:textId="77777777" w:rsidR="0002249C" w:rsidRPr="0002249C" w:rsidRDefault="0002249C" w:rsidP="000325E7">
      <w:pPr>
        <w:jc w:val="center"/>
        <w:rPr>
          <w:rFonts w:asciiTheme="majorHAnsi" w:hAnsiTheme="majorHAnsi"/>
          <w:b/>
          <w:bCs/>
          <w:sz w:val="20"/>
          <w:szCs w:val="20"/>
          <w:lang w:val="es-AR"/>
        </w:rPr>
      </w:pPr>
    </w:p>
    <w:p w14:paraId="2CA98A1C" w14:textId="77777777" w:rsidR="0002249C" w:rsidRPr="0002249C" w:rsidRDefault="0002249C" w:rsidP="000325E7">
      <w:pPr>
        <w:jc w:val="center"/>
        <w:rPr>
          <w:rFonts w:asciiTheme="majorHAnsi" w:hAnsiTheme="majorHAnsi"/>
          <w:b/>
          <w:bCs/>
          <w:sz w:val="20"/>
          <w:szCs w:val="20"/>
          <w:lang w:val="es-AR"/>
        </w:rPr>
      </w:pPr>
    </w:p>
    <w:p w14:paraId="28C414C0" w14:textId="77777777" w:rsidR="0002249C" w:rsidRPr="0002249C" w:rsidRDefault="0002249C" w:rsidP="000325E7">
      <w:pPr>
        <w:jc w:val="center"/>
        <w:rPr>
          <w:rFonts w:asciiTheme="majorHAnsi" w:hAnsiTheme="majorHAnsi"/>
          <w:b/>
          <w:bCs/>
          <w:sz w:val="20"/>
          <w:szCs w:val="20"/>
          <w:lang w:val="es-AR"/>
        </w:rPr>
      </w:pPr>
    </w:p>
    <w:p w14:paraId="5424511A" w14:textId="77777777" w:rsidR="0002249C" w:rsidRPr="0002249C" w:rsidRDefault="0002249C" w:rsidP="000325E7">
      <w:pPr>
        <w:jc w:val="center"/>
        <w:rPr>
          <w:rFonts w:asciiTheme="majorHAnsi" w:hAnsiTheme="majorHAnsi"/>
          <w:b/>
          <w:bCs/>
          <w:sz w:val="20"/>
          <w:szCs w:val="20"/>
          <w:lang w:val="es-AR"/>
        </w:rPr>
      </w:pPr>
    </w:p>
    <w:p w14:paraId="3B08C781" w14:textId="77777777" w:rsidR="0002249C" w:rsidRPr="0002249C" w:rsidRDefault="0002249C" w:rsidP="000325E7">
      <w:pPr>
        <w:jc w:val="center"/>
        <w:rPr>
          <w:rFonts w:asciiTheme="majorHAnsi" w:hAnsiTheme="majorHAnsi"/>
          <w:b/>
          <w:bCs/>
          <w:sz w:val="20"/>
          <w:szCs w:val="20"/>
          <w:lang w:val="es-AR"/>
        </w:rPr>
      </w:pPr>
    </w:p>
    <w:p w14:paraId="08E3926E" w14:textId="77777777" w:rsidR="0002249C" w:rsidRPr="0002249C" w:rsidRDefault="0002249C" w:rsidP="000325E7">
      <w:pPr>
        <w:jc w:val="center"/>
        <w:rPr>
          <w:rFonts w:asciiTheme="majorHAnsi" w:hAnsiTheme="majorHAnsi"/>
          <w:b/>
          <w:bCs/>
          <w:sz w:val="20"/>
          <w:szCs w:val="20"/>
          <w:lang w:val="es-AR"/>
        </w:rPr>
      </w:pPr>
    </w:p>
    <w:p w14:paraId="368DBF53" w14:textId="77777777" w:rsidR="0002249C" w:rsidRPr="0002249C" w:rsidRDefault="0002249C" w:rsidP="000325E7">
      <w:pPr>
        <w:jc w:val="center"/>
        <w:rPr>
          <w:rFonts w:asciiTheme="majorHAnsi" w:hAnsiTheme="majorHAnsi"/>
          <w:b/>
          <w:bCs/>
          <w:sz w:val="20"/>
          <w:szCs w:val="20"/>
          <w:lang w:val="es-AR"/>
        </w:rPr>
      </w:pPr>
    </w:p>
    <w:p w14:paraId="2E9DB3EF" w14:textId="77777777" w:rsidR="0002249C" w:rsidRPr="0002249C" w:rsidRDefault="0002249C" w:rsidP="000325E7">
      <w:pPr>
        <w:jc w:val="center"/>
        <w:rPr>
          <w:rFonts w:asciiTheme="majorHAnsi" w:hAnsiTheme="majorHAnsi"/>
          <w:b/>
          <w:bCs/>
          <w:sz w:val="20"/>
          <w:szCs w:val="20"/>
          <w:lang w:val="es-AR"/>
        </w:rPr>
      </w:pPr>
    </w:p>
    <w:p w14:paraId="44B8CA17" w14:textId="77777777" w:rsidR="0002249C" w:rsidRPr="0002249C" w:rsidRDefault="0002249C" w:rsidP="000325E7">
      <w:pPr>
        <w:jc w:val="center"/>
        <w:rPr>
          <w:rFonts w:asciiTheme="majorHAnsi" w:hAnsiTheme="majorHAnsi"/>
          <w:b/>
          <w:bCs/>
          <w:sz w:val="20"/>
          <w:szCs w:val="20"/>
          <w:lang w:val="es-AR"/>
        </w:rPr>
      </w:pPr>
    </w:p>
    <w:p w14:paraId="74E4F5CC" w14:textId="77777777" w:rsidR="0002249C" w:rsidRPr="0002249C" w:rsidRDefault="0002249C" w:rsidP="000325E7">
      <w:pPr>
        <w:jc w:val="center"/>
        <w:rPr>
          <w:rFonts w:asciiTheme="majorHAnsi" w:hAnsiTheme="majorHAnsi"/>
          <w:b/>
          <w:bCs/>
          <w:sz w:val="20"/>
          <w:szCs w:val="20"/>
          <w:lang w:val="es-AR"/>
        </w:rPr>
      </w:pPr>
    </w:p>
    <w:p w14:paraId="0B559A2F" w14:textId="77777777" w:rsidR="0002249C" w:rsidRPr="0002249C" w:rsidRDefault="0002249C" w:rsidP="000325E7">
      <w:pPr>
        <w:jc w:val="center"/>
        <w:rPr>
          <w:rFonts w:asciiTheme="majorHAnsi" w:hAnsiTheme="majorHAnsi"/>
          <w:b/>
          <w:bCs/>
          <w:sz w:val="20"/>
          <w:szCs w:val="20"/>
          <w:lang w:val="es-AR"/>
        </w:rPr>
      </w:pPr>
    </w:p>
    <w:p w14:paraId="602D2E97" w14:textId="77777777" w:rsidR="0002249C" w:rsidRPr="0002249C" w:rsidRDefault="0002249C" w:rsidP="000325E7">
      <w:pPr>
        <w:jc w:val="center"/>
        <w:rPr>
          <w:rFonts w:asciiTheme="majorHAnsi" w:hAnsiTheme="majorHAnsi"/>
          <w:b/>
          <w:bCs/>
          <w:sz w:val="20"/>
          <w:szCs w:val="20"/>
          <w:lang w:val="es-AR"/>
        </w:rPr>
      </w:pPr>
    </w:p>
    <w:p w14:paraId="6C4DE60F" w14:textId="77777777" w:rsidR="0002249C" w:rsidRPr="0002249C" w:rsidRDefault="0002249C" w:rsidP="000325E7">
      <w:pPr>
        <w:jc w:val="center"/>
        <w:rPr>
          <w:rFonts w:asciiTheme="majorHAnsi" w:hAnsiTheme="majorHAnsi"/>
          <w:b/>
          <w:bCs/>
          <w:sz w:val="20"/>
          <w:szCs w:val="20"/>
          <w:lang w:val="es-AR"/>
        </w:rPr>
      </w:pPr>
    </w:p>
    <w:p w14:paraId="53E84C21" w14:textId="77777777" w:rsidR="0002249C" w:rsidRPr="0002249C" w:rsidRDefault="0002249C" w:rsidP="000325E7">
      <w:pPr>
        <w:jc w:val="center"/>
        <w:rPr>
          <w:rFonts w:asciiTheme="majorHAnsi" w:hAnsiTheme="majorHAnsi"/>
          <w:b/>
          <w:bCs/>
          <w:sz w:val="20"/>
          <w:szCs w:val="20"/>
          <w:lang w:val="es-AR"/>
        </w:rPr>
      </w:pPr>
    </w:p>
    <w:p w14:paraId="6F584844" w14:textId="037FABA3" w:rsidR="00116620" w:rsidRPr="001D46DA" w:rsidRDefault="00116620" w:rsidP="000325E7">
      <w:pPr>
        <w:jc w:val="center"/>
        <w:rPr>
          <w:rFonts w:asciiTheme="majorHAnsi" w:hAnsiTheme="majorHAnsi"/>
          <w:b/>
          <w:bCs/>
          <w:sz w:val="20"/>
          <w:szCs w:val="20"/>
          <w:lang w:val="pt-BR"/>
        </w:rPr>
      </w:pPr>
      <w:r w:rsidRPr="001D46DA">
        <w:rPr>
          <w:rFonts w:asciiTheme="majorHAnsi" w:hAnsiTheme="majorHAnsi"/>
          <w:b/>
          <w:bCs/>
          <w:sz w:val="20"/>
          <w:szCs w:val="20"/>
          <w:lang w:val="pt-BR"/>
        </w:rPr>
        <w:lastRenderedPageBreak/>
        <w:t>ANEXO</w:t>
      </w:r>
    </w:p>
    <w:p w14:paraId="2F8E6DC3" w14:textId="77777777" w:rsidR="00C040C9" w:rsidRPr="001D46DA" w:rsidRDefault="00C040C9" w:rsidP="000325E7">
      <w:pPr>
        <w:jc w:val="center"/>
        <w:rPr>
          <w:rFonts w:asciiTheme="majorHAnsi" w:hAnsiTheme="majorHAnsi"/>
          <w:b/>
          <w:bCs/>
          <w:sz w:val="20"/>
          <w:szCs w:val="20"/>
          <w:lang w:val="pt-BR"/>
        </w:rPr>
      </w:pPr>
    </w:p>
    <w:p w14:paraId="32EDFEE4" w14:textId="509EBB55" w:rsidR="00116620" w:rsidRDefault="00116620" w:rsidP="00C040C9">
      <w:pPr>
        <w:jc w:val="center"/>
        <w:rPr>
          <w:rFonts w:asciiTheme="majorHAnsi" w:hAnsiTheme="majorHAnsi"/>
          <w:b/>
          <w:bCs/>
          <w:sz w:val="20"/>
          <w:szCs w:val="20"/>
          <w:lang w:val="es-ES"/>
        </w:rPr>
      </w:pPr>
      <w:r w:rsidRPr="00CD2E32">
        <w:rPr>
          <w:rFonts w:asciiTheme="majorHAnsi" w:hAnsiTheme="majorHAnsi"/>
          <w:b/>
          <w:bCs/>
          <w:sz w:val="20"/>
          <w:szCs w:val="20"/>
          <w:lang w:val="es-ES"/>
        </w:rPr>
        <w:t>LISTADO DE PRESUNTAS VÍCTIMAS INDIVIDUALIZADAS EN LA PETICIÓN</w:t>
      </w:r>
    </w:p>
    <w:p w14:paraId="2F815EF1" w14:textId="77777777" w:rsidR="00C040C9" w:rsidRPr="00C040C9" w:rsidRDefault="00C040C9" w:rsidP="00C040C9">
      <w:pPr>
        <w:jc w:val="center"/>
        <w:rPr>
          <w:rFonts w:asciiTheme="majorHAnsi" w:hAnsiTheme="majorHAnsi"/>
          <w:b/>
          <w:bCs/>
          <w:sz w:val="20"/>
          <w:szCs w:val="20"/>
          <w:lang w:val="es-ES"/>
        </w:rPr>
      </w:pPr>
    </w:p>
    <w:p w14:paraId="4F8D5F79" w14:textId="5E0A078E"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Eduardo Aguilar Marroquin</w:t>
      </w:r>
    </w:p>
    <w:p w14:paraId="7FE64713" w14:textId="4BC98263"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Mart</w:t>
      </w:r>
      <w:r w:rsidR="005C6054">
        <w:rPr>
          <w:rFonts w:asciiTheme="majorHAnsi" w:hAnsiTheme="majorHAnsi"/>
          <w:sz w:val="20"/>
          <w:szCs w:val="20"/>
          <w:lang w:val="es-ES"/>
        </w:rPr>
        <w:t>h</w:t>
      </w:r>
      <w:r w:rsidRPr="00CD2E32">
        <w:rPr>
          <w:rFonts w:asciiTheme="majorHAnsi" w:hAnsiTheme="majorHAnsi"/>
          <w:sz w:val="20"/>
          <w:szCs w:val="20"/>
          <w:lang w:val="es-ES"/>
        </w:rPr>
        <w:t>a Julia Santos</w:t>
      </w:r>
    </w:p>
    <w:p w14:paraId="07B6D306" w14:textId="39345C17"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José Luis Alberto Aguilar Santos</w:t>
      </w:r>
    </w:p>
    <w:p w14:paraId="0E3C8B46" w14:textId="7270E37C"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José del Pilar Aguilar Santos</w:t>
      </w:r>
    </w:p>
    <w:p w14:paraId="335FD696" w14:textId="5AB25475"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 xml:space="preserve">Manuela de Jesús Aguilar Santos </w:t>
      </w:r>
    </w:p>
    <w:p w14:paraId="03BA187F" w14:textId="450A06C2"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Oneida Magaly Ramirez Aguilar</w:t>
      </w:r>
    </w:p>
    <w:p w14:paraId="472FAC87" w14:textId="6C71ECA5"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Fidel Acencio Palma</w:t>
      </w:r>
    </w:p>
    <w:p w14:paraId="63343C17" w14:textId="72406286"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Juan Lionel Acencio Ochoa</w:t>
      </w:r>
    </w:p>
    <w:p w14:paraId="38D89405" w14:textId="420D935F"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Albino Ajú Cumar</w:t>
      </w:r>
    </w:p>
    <w:p w14:paraId="05C9D560" w14:textId="6380C7B3"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Victor Ajú Esquit</w:t>
      </w:r>
    </w:p>
    <w:p w14:paraId="7A760446" w14:textId="2002681B"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Alejandro Bautista</w:t>
      </w:r>
    </w:p>
    <w:p w14:paraId="711E000E" w14:textId="1C5BCE27"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Pablo Bautista Escobar</w:t>
      </w:r>
    </w:p>
    <w:p w14:paraId="72328022" w14:textId="3876596B"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Ricardo Bautista Escobar</w:t>
      </w:r>
    </w:p>
    <w:p w14:paraId="57B98AF9" w14:textId="1AC5185D"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Alberta Bautista Escobar</w:t>
      </w:r>
    </w:p>
    <w:p w14:paraId="5AF76246" w14:textId="2C80D5AB"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Isabel Batres Estrada</w:t>
      </w:r>
    </w:p>
    <w:p w14:paraId="25D4F4B3" w14:textId="3380F518"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Maximiliana Roca Estrada</w:t>
      </w:r>
    </w:p>
    <w:p w14:paraId="4F3AB3DE" w14:textId="7FA8BF25"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Benigno Ambrosio Colorado</w:t>
      </w:r>
    </w:p>
    <w:p w14:paraId="03F676D4" w14:textId="10C41179"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Fermin Ambrosio</w:t>
      </w:r>
    </w:p>
    <w:p w14:paraId="236462E0" w14:textId="4CAD7FFF"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Dolores Bautista Escobar</w:t>
      </w:r>
    </w:p>
    <w:p w14:paraId="1B97B18C" w14:textId="73A45629"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Marcela Bautista Escobar</w:t>
      </w:r>
    </w:p>
    <w:p w14:paraId="11592FCC" w14:textId="2C63CA4F"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Juan Gordon</w:t>
      </w:r>
    </w:p>
    <w:p w14:paraId="549644C7" w14:textId="49109636"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Alfonso Bautista Escobar</w:t>
      </w:r>
    </w:p>
    <w:p w14:paraId="135DB786" w14:textId="4693B27A"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Apolinario Can</w:t>
      </w:r>
      <w:r w:rsidR="007D7189">
        <w:rPr>
          <w:rFonts w:asciiTheme="majorHAnsi" w:hAnsiTheme="majorHAnsi"/>
          <w:sz w:val="20"/>
          <w:szCs w:val="20"/>
          <w:lang w:val="es-ES"/>
        </w:rPr>
        <w:t>a</w:t>
      </w:r>
      <w:r w:rsidRPr="00CD2E32">
        <w:rPr>
          <w:rFonts w:asciiTheme="majorHAnsi" w:hAnsiTheme="majorHAnsi"/>
          <w:sz w:val="20"/>
          <w:szCs w:val="20"/>
          <w:lang w:val="es-ES"/>
        </w:rPr>
        <w:t xml:space="preserve"> Machán</w:t>
      </w:r>
    </w:p>
    <w:p w14:paraId="57673032" w14:textId="606CF00A"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Juan Caná Alqui</w:t>
      </w:r>
      <w:r w:rsidR="007D7189">
        <w:rPr>
          <w:rFonts w:asciiTheme="majorHAnsi" w:hAnsiTheme="majorHAnsi"/>
          <w:sz w:val="20"/>
          <w:szCs w:val="20"/>
          <w:lang w:val="es-ES"/>
        </w:rPr>
        <w:t>j</w:t>
      </w:r>
      <w:r w:rsidRPr="00CD2E32">
        <w:rPr>
          <w:rFonts w:asciiTheme="majorHAnsi" w:hAnsiTheme="majorHAnsi"/>
          <w:sz w:val="20"/>
          <w:szCs w:val="20"/>
          <w:lang w:val="es-ES"/>
        </w:rPr>
        <w:t>ay</w:t>
      </w:r>
    </w:p>
    <w:p w14:paraId="6E5F883A" w14:textId="0112EAA6"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Felipe Chutá</w:t>
      </w:r>
    </w:p>
    <w:p w14:paraId="7169DDE0" w14:textId="569E294E"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lastRenderedPageBreak/>
        <w:t>Anan</w:t>
      </w:r>
      <w:r w:rsidR="00463BCB">
        <w:rPr>
          <w:rFonts w:asciiTheme="majorHAnsi" w:hAnsiTheme="majorHAnsi"/>
          <w:sz w:val="20"/>
          <w:szCs w:val="20"/>
          <w:lang w:val="es-ES"/>
        </w:rPr>
        <w:t>n</w:t>
      </w:r>
      <w:r w:rsidRPr="00CD2E32">
        <w:rPr>
          <w:rFonts w:asciiTheme="majorHAnsi" w:hAnsiTheme="majorHAnsi"/>
          <w:sz w:val="20"/>
          <w:szCs w:val="20"/>
          <w:lang w:val="es-ES"/>
        </w:rPr>
        <w:t>ías Bernardo Chutá</w:t>
      </w:r>
    </w:p>
    <w:p w14:paraId="5AA9A332" w14:textId="604073FF"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Israel Moxó Chutá</w:t>
      </w:r>
    </w:p>
    <w:p w14:paraId="09B7A504" w14:textId="4C1D5835" w:rsidR="00116620"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Jesús</w:t>
      </w:r>
      <w:r w:rsidR="00116620" w:rsidRPr="00CD2E32">
        <w:rPr>
          <w:rFonts w:asciiTheme="majorHAnsi" w:hAnsiTheme="majorHAnsi"/>
          <w:sz w:val="20"/>
          <w:szCs w:val="20"/>
          <w:lang w:val="es-ES"/>
        </w:rPr>
        <w:t xml:space="preserve"> Curcuj de León</w:t>
      </w:r>
    </w:p>
    <w:p w14:paraId="1AF8A47A" w14:textId="6D3CB11D"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 xml:space="preserve">Manuel de </w:t>
      </w:r>
      <w:r w:rsidR="00537F16" w:rsidRPr="00CD2E32">
        <w:rPr>
          <w:rFonts w:asciiTheme="majorHAnsi" w:hAnsiTheme="majorHAnsi"/>
          <w:sz w:val="20"/>
          <w:szCs w:val="20"/>
          <w:lang w:val="es-ES"/>
        </w:rPr>
        <w:t>Jesús</w:t>
      </w:r>
      <w:r w:rsidRPr="00CD2E32">
        <w:rPr>
          <w:rFonts w:asciiTheme="majorHAnsi" w:hAnsiTheme="majorHAnsi"/>
          <w:sz w:val="20"/>
          <w:szCs w:val="20"/>
          <w:lang w:val="es-ES"/>
        </w:rPr>
        <w:t xml:space="preserve"> </w:t>
      </w:r>
      <w:r w:rsidR="00537F16" w:rsidRPr="00CD2E32">
        <w:rPr>
          <w:rFonts w:asciiTheme="majorHAnsi" w:hAnsiTheme="majorHAnsi"/>
          <w:sz w:val="20"/>
          <w:szCs w:val="20"/>
          <w:lang w:val="es-ES"/>
        </w:rPr>
        <w:t>Marroquín</w:t>
      </w:r>
      <w:r w:rsidRPr="00CD2E32">
        <w:rPr>
          <w:rFonts w:asciiTheme="majorHAnsi" w:hAnsiTheme="majorHAnsi"/>
          <w:sz w:val="20"/>
          <w:szCs w:val="20"/>
          <w:lang w:val="es-ES"/>
        </w:rPr>
        <w:t xml:space="preserve"> Yol</w:t>
      </w:r>
    </w:p>
    <w:p w14:paraId="636B2449" w14:textId="665A2778"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Ramon Cordero Yol</w:t>
      </w:r>
    </w:p>
    <w:p w14:paraId="10C12EA0" w14:textId="480421CE"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F</w:t>
      </w:r>
      <w:r w:rsidR="000771DB">
        <w:rPr>
          <w:rFonts w:asciiTheme="majorHAnsi" w:hAnsiTheme="majorHAnsi"/>
          <w:sz w:val="20"/>
          <w:szCs w:val="20"/>
          <w:lang w:val="es-ES"/>
        </w:rPr>
        <w:t>élix</w:t>
      </w:r>
      <w:r w:rsidRPr="00CD2E32">
        <w:rPr>
          <w:rFonts w:asciiTheme="majorHAnsi" w:hAnsiTheme="majorHAnsi"/>
          <w:sz w:val="20"/>
          <w:szCs w:val="20"/>
          <w:lang w:val="es-ES"/>
        </w:rPr>
        <w:t xml:space="preserve"> Gabriel Esquit</w:t>
      </w:r>
    </w:p>
    <w:p w14:paraId="3FC88421" w14:textId="1D06A777"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María Socorro Barrientos</w:t>
      </w:r>
    </w:p>
    <w:p w14:paraId="2ED939A7" w14:textId="48DE1519"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Vi</w:t>
      </w:r>
      <w:r w:rsidR="00537F16" w:rsidRPr="00CD2E32">
        <w:rPr>
          <w:rFonts w:asciiTheme="majorHAnsi" w:hAnsiTheme="majorHAnsi"/>
          <w:sz w:val="20"/>
          <w:szCs w:val="20"/>
          <w:lang w:val="es-ES"/>
        </w:rPr>
        <w:t>r</w:t>
      </w:r>
      <w:r w:rsidRPr="00CD2E32">
        <w:rPr>
          <w:rFonts w:asciiTheme="majorHAnsi" w:hAnsiTheme="majorHAnsi"/>
          <w:sz w:val="20"/>
          <w:szCs w:val="20"/>
          <w:lang w:val="es-ES"/>
        </w:rPr>
        <w:t>gilia Esqu</w:t>
      </w:r>
      <w:r w:rsidR="00C44A9B">
        <w:rPr>
          <w:rFonts w:asciiTheme="majorHAnsi" w:hAnsiTheme="majorHAnsi"/>
          <w:sz w:val="20"/>
          <w:szCs w:val="20"/>
          <w:lang w:val="es-ES"/>
        </w:rPr>
        <w:t>i</w:t>
      </w:r>
      <w:r w:rsidRPr="00CD2E32">
        <w:rPr>
          <w:rFonts w:asciiTheme="majorHAnsi" w:hAnsiTheme="majorHAnsi"/>
          <w:sz w:val="20"/>
          <w:szCs w:val="20"/>
          <w:lang w:val="es-ES"/>
        </w:rPr>
        <w:t>t Barrientos</w:t>
      </w:r>
    </w:p>
    <w:p w14:paraId="48AAD186" w14:textId="1A124207"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Marina Esquit Barrientos</w:t>
      </w:r>
    </w:p>
    <w:p w14:paraId="73F68CBB" w14:textId="6A5355DF" w:rsidR="00116620" w:rsidRPr="00CD2E32" w:rsidRDefault="00C44A9B"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Margarito</w:t>
      </w:r>
      <w:r w:rsidR="00116620" w:rsidRPr="00CD2E32">
        <w:rPr>
          <w:rFonts w:asciiTheme="majorHAnsi" w:hAnsiTheme="majorHAnsi"/>
          <w:sz w:val="20"/>
          <w:szCs w:val="20"/>
          <w:lang w:val="es-ES"/>
        </w:rPr>
        <w:t xml:space="preserve"> Álvarez</w:t>
      </w:r>
    </w:p>
    <w:p w14:paraId="2EB709D9" w14:textId="6AC632D0"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Felipa Jacobo</w:t>
      </w:r>
      <w:r w:rsidR="000F2C5A">
        <w:rPr>
          <w:rFonts w:asciiTheme="majorHAnsi" w:hAnsiTheme="majorHAnsi"/>
          <w:sz w:val="20"/>
          <w:szCs w:val="20"/>
          <w:lang w:val="es-ES"/>
        </w:rPr>
        <w:t xml:space="preserve">no </w:t>
      </w:r>
      <w:r w:rsidRPr="00CD2E32">
        <w:rPr>
          <w:rFonts w:asciiTheme="majorHAnsi" w:hAnsiTheme="majorHAnsi"/>
          <w:sz w:val="20"/>
          <w:szCs w:val="20"/>
          <w:lang w:val="es-ES"/>
        </w:rPr>
        <w:t xml:space="preserve"> Alonso</w:t>
      </w:r>
    </w:p>
    <w:p w14:paraId="4FF2FA47" w14:textId="581F50C3" w:rsidR="00116620" w:rsidRPr="00CD2E32" w:rsidRDefault="00116620"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 xml:space="preserve">Carlos Enrique </w:t>
      </w:r>
      <w:r w:rsidR="00537F16" w:rsidRPr="00CD2E32">
        <w:rPr>
          <w:rFonts w:asciiTheme="majorHAnsi" w:hAnsiTheme="majorHAnsi"/>
          <w:sz w:val="20"/>
          <w:szCs w:val="20"/>
          <w:lang w:val="es-ES"/>
        </w:rPr>
        <w:t>González</w:t>
      </w:r>
      <w:r w:rsidRPr="00CD2E32">
        <w:rPr>
          <w:rFonts w:asciiTheme="majorHAnsi" w:hAnsiTheme="majorHAnsi"/>
          <w:sz w:val="20"/>
          <w:szCs w:val="20"/>
          <w:lang w:val="es-ES"/>
        </w:rPr>
        <w:t xml:space="preserve"> Godoy</w:t>
      </w:r>
    </w:p>
    <w:p w14:paraId="7F31B691" w14:textId="665A0903" w:rsidR="00116620"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René Juárez Pérez</w:t>
      </w:r>
    </w:p>
    <w:p w14:paraId="529C1FFB" w14:textId="2FB3F74B"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w:t>
      </w:r>
      <w:r w:rsidR="00BD222E">
        <w:rPr>
          <w:rFonts w:asciiTheme="majorHAnsi" w:hAnsiTheme="majorHAnsi"/>
          <w:sz w:val="20"/>
          <w:szCs w:val="20"/>
          <w:lang w:val="es-ES"/>
        </w:rPr>
        <w:t>rce</w:t>
      </w:r>
      <w:r w:rsidRPr="00CD2E32">
        <w:rPr>
          <w:rFonts w:asciiTheme="majorHAnsi" w:hAnsiTheme="majorHAnsi"/>
          <w:sz w:val="20"/>
          <w:szCs w:val="20"/>
          <w:lang w:val="es-ES"/>
        </w:rPr>
        <w:t>lina Catalán Yoché</w:t>
      </w:r>
    </w:p>
    <w:p w14:paraId="2B073790" w14:textId="79B1E560"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María Alicia Juárez Catalán de Arias</w:t>
      </w:r>
    </w:p>
    <w:p w14:paraId="6697E8C8" w14:textId="15DD03C0"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Aida Juárez Catalán</w:t>
      </w:r>
    </w:p>
    <w:p w14:paraId="4530341B" w14:textId="1AF5D574"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Angel Juárez Catalán</w:t>
      </w:r>
    </w:p>
    <w:p w14:paraId="123E913B" w14:textId="7427CC58"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Manuel Juárez Catalán</w:t>
      </w:r>
    </w:p>
    <w:p w14:paraId="71B78773" w14:textId="68396E31"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Rubén Juárez Catalán</w:t>
      </w:r>
    </w:p>
    <w:p w14:paraId="431F0D41" w14:textId="60C93AEF"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Cesar Augusto Najera Galicia</w:t>
      </w:r>
    </w:p>
    <w:p w14:paraId="2E294CCA" w14:textId="7777777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Elgido Roquel Chalí</w:t>
      </w:r>
    </w:p>
    <w:p w14:paraId="5FCD0CC1" w14:textId="7777777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Roman Reyes Elias</w:t>
      </w:r>
    </w:p>
    <w:p w14:paraId="5CDC6D30" w14:textId="7777777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Teodoro Osorio Saquil</w:t>
      </w:r>
    </w:p>
    <w:p w14:paraId="7E9480B9" w14:textId="7777777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Anselmo Ordoñez Ajcá</w:t>
      </w:r>
    </w:p>
    <w:p w14:paraId="7E248339" w14:textId="7777777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Elvi Francisco Martinez Palala</w:t>
      </w:r>
    </w:p>
    <w:p w14:paraId="1D6C0BCD" w14:textId="7777777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Dominga Alvarado Vásquez</w:t>
      </w:r>
    </w:p>
    <w:p w14:paraId="102174CC" w14:textId="3CEB1295"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Gorg</w:t>
      </w:r>
      <w:r w:rsidR="00433E4A">
        <w:rPr>
          <w:rFonts w:asciiTheme="majorHAnsi" w:hAnsiTheme="majorHAnsi"/>
          <w:sz w:val="20"/>
          <w:szCs w:val="20"/>
          <w:lang w:val="es-ES"/>
        </w:rPr>
        <w:t>o</w:t>
      </w:r>
      <w:r w:rsidRPr="00CD2E32">
        <w:rPr>
          <w:rFonts w:asciiTheme="majorHAnsi" w:hAnsiTheme="majorHAnsi"/>
          <w:sz w:val="20"/>
          <w:szCs w:val="20"/>
          <w:lang w:val="es-ES"/>
        </w:rPr>
        <w:t>n</w:t>
      </w:r>
      <w:r w:rsidR="00433E4A">
        <w:rPr>
          <w:rFonts w:asciiTheme="majorHAnsi" w:hAnsiTheme="majorHAnsi"/>
          <w:sz w:val="20"/>
          <w:szCs w:val="20"/>
          <w:lang w:val="es-ES"/>
        </w:rPr>
        <w:t>i</w:t>
      </w:r>
      <w:r w:rsidRPr="00CD2E32">
        <w:rPr>
          <w:rFonts w:asciiTheme="majorHAnsi" w:hAnsiTheme="majorHAnsi"/>
          <w:sz w:val="20"/>
          <w:szCs w:val="20"/>
          <w:lang w:val="es-ES"/>
        </w:rPr>
        <w:t>o Cabrera Lemus</w:t>
      </w:r>
    </w:p>
    <w:p w14:paraId="0BC07653" w14:textId="6989BB6D"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lastRenderedPageBreak/>
        <w:t xml:space="preserve"> Estela Oré Osorio</w:t>
      </w:r>
    </w:p>
    <w:p w14:paraId="5E70D77E" w14:textId="3D233389"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José Julio Herrera Pérez</w:t>
      </w:r>
    </w:p>
    <w:p w14:paraId="71934145" w14:textId="4784CA02"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Calixto García Tun</w:t>
      </w:r>
    </w:p>
    <w:p w14:paraId="499B8CB8" w14:textId="3AD9AFA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Victoria Romero</w:t>
      </w:r>
    </w:p>
    <w:p w14:paraId="110F8D1F" w14:textId="72E83D98"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José Emilio Galindo Merlos</w:t>
      </w:r>
    </w:p>
    <w:p w14:paraId="73EDD4AC" w14:textId="1893D1F3"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José Can</w:t>
      </w:r>
      <w:r w:rsidR="00A23C71">
        <w:rPr>
          <w:rFonts w:asciiTheme="majorHAnsi" w:hAnsiTheme="majorHAnsi"/>
          <w:sz w:val="20"/>
          <w:szCs w:val="20"/>
          <w:lang w:val="es-ES"/>
        </w:rPr>
        <w:t>guí</w:t>
      </w:r>
      <w:r w:rsidRPr="00CD2E32">
        <w:rPr>
          <w:rFonts w:asciiTheme="majorHAnsi" w:hAnsiTheme="majorHAnsi"/>
          <w:sz w:val="20"/>
          <w:szCs w:val="20"/>
          <w:lang w:val="es-ES"/>
        </w:rPr>
        <w:t xml:space="preserve"> Salvador</w:t>
      </w:r>
    </w:p>
    <w:p w14:paraId="013244C6" w14:textId="3AB6AFE7"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 xml:space="preserve">Julia Hernández García </w:t>
      </w:r>
    </w:p>
    <w:p w14:paraId="67B44CE9" w14:textId="2352715F"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Lorenzo Batz López</w:t>
      </w:r>
    </w:p>
    <w:p w14:paraId="5E188B00" w14:textId="63AE90FD"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Julián Back Quiej</w:t>
      </w:r>
    </w:p>
    <w:p w14:paraId="00723664" w14:textId="08D50B5F"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Eulogio Ajqui Jimón</w:t>
      </w:r>
    </w:p>
    <w:p w14:paraId="1F384162" w14:textId="32CCC0BD"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Hector Macabeo Aguilar Gutierrez</w:t>
      </w:r>
    </w:p>
    <w:p w14:paraId="6261D932" w14:textId="39369CBB"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Rafael Gonzalez Yoc</w:t>
      </w:r>
    </w:p>
    <w:p w14:paraId="2A4406F3" w14:textId="2CFB888A"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Jose Yos</w:t>
      </w:r>
    </w:p>
    <w:p w14:paraId="6A98546C" w14:textId="47EB11EA"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Gama</w:t>
      </w:r>
      <w:r w:rsidR="001D46DA">
        <w:rPr>
          <w:rFonts w:asciiTheme="majorHAnsi" w:hAnsiTheme="majorHAnsi"/>
          <w:sz w:val="20"/>
          <w:szCs w:val="20"/>
          <w:lang w:val="es-ES"/>
        </w:rPr>
        <w:t>l</w:t>
      </w:r>
      <w:r w:rsidRPr="00CD2E32">
        <w:rPr>
          <w:rFonts w:asciiTheme="majorHAnsi" w:hAnsiTheme="majorHAnsi"/>
          <w:sz w:val="20"/>
          <w:szCs w:val="20"/>
          <w:lang w:val="es-ES"/>
        </w:rPr>
        <w:t>iel Peralta Méndez</w:t>
      </w:r>
    </w:p>
    <w:p w14:paraId="7DD9D00C" w14:textId="7DA6CACB"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María Teresa de Jesús Osorio</w:t>
      </w:r>
    </w:p>
    <w:p w14:paraId="6EC2CFF8" w14:textId="1D07421A"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Arnulfo Vargas Armira</w:t>
      </w:r>
    </w:p>
    <w:p w14:paraId="69BD44DA" w14:textId="29D93BA0"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Urbano Vargas Osorio</w:t>
      </w:r>
    </w:p>
    <w:p w14:paraId="2D98CB35" w14:textId="212089F1"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José Vargas Osorio</w:t>
      </w:r>
    </w:p>
    <w:p w14:paraId="7DF588DE" w14:textId="79ABDF31"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Mario Humberto Aroche Sián</w:t>
      </w:r>
    </w:p>
    <w:p w14:paraId="409DA390" w14:textId="5D521EBC"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Tomasa Sián Pichilla</w:t>
      </w:r>
    </w:p>
    <w:p w14:paraId="5AF7E44B" w14:textId="61FFDD84"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Buenaventura del Cid Barrientos</w:t>
      </w:r>
    </w:p>
    <w:p w14:paraId="0A636F20" w14:textId="151281E6"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Jacoba Sián</w:t>
      </w:r>
    </w:p>
    <w:p w14:paraId="7122D7E2" w14:textId="3EF336FD"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Pedro Odilio Cid Sián</w:t>
      </w:r>
    </w:p>
    <w:p w14:paraId="48DBF164" w14:textId="3F0D2C48" w:rsidR="00537F16" w:rsidRPr="00CD2E32" w:rsidRDefault="00537F16"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Miriam del Cid Sián</w:t>
      </w:r>
    </w:p>
    <w:p w14:paraId="0233BDCE" w14:textId="5A86BA5E" w:rsidR="00537F16" w:rsidRPr="00CD2E32" w:rsidRDefault="00343AFF"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Rafael Segura Tagual</w:t>
      </w:r>
    </w:p>
    <w:p w14:paraId="6B80DE0B" w14:textId="6747693B" w:rsidR="00343AFF" w:rsidRPr="00CD2E32" w:rsidRDefault="00343AFF"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Mario de Jesús Segura Tagual</w:t>
      </w:r>
    </w:p>
    <w:p w14:paraId="533391D0" w14:textId="5A49A021" w:rsidR="00343AFF" w:rsidRPr="00CD2E32" w:rsidRDefault="00343AFF"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t>María Victoria Loch Velásquez</w:t>
      </w:r>
    </w:p>
    <w:p w14:paraId="42703849" w14:textId="5667FB48" w:rsidR="00343AFF" w:rsidRPr="00CD2E32" w:rsidRDefault="00343AFF" w:rsidP="0011662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E32">
        <w:rPr>
          <w:rFonts w:asciiTheme="majorHAnsi" w:hAnsiTheme="majorHAnsi"/>
          <w:sz w:val="20"/>
          <w:szCs w:val="20"/>
          <w:lang w:val="es-ES"/>
        </w:rPr>
        <w:lastRenderedPageBreak/>
        <w:t>Isidro Loch Poron</w:t>
      </w:r>
    </w:p>
    <w:p w14:paraId="7CD4DFBD" w14:textId="77777777" w:rsidR="003239B8" w:rsidRPr="00CD2E32"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CD2E32"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CD2E32"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CD2E32" w:rsidRDefault="00722C9F" w:rsidP="00974491">
      <w:pPr>
        <w:rPr>
          <w:rFonts w:asciiTheme="majorHAnsi" w:hAnsiTheme="majorHAnsi" w:cs="Calibri"/>
          <w:sz w:val="20"/>
          <w:szCs w:val="20"/>
          <w:lang w:val="es-ES"/>
        </w:rPr>
      </w:pPr>
    </w:p>
    <w:sectPr w:rsidR="00722C9F" w:rsidRPr="00CD2E3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78F8" w14:textId="77777777" w:rsidR="001B6B69" w:rsidRDefault="001B6B69">
      <w:r>
        <w:separator/>
      </w:r>
    </w:p>
  </w:endnote>
  <w:endnote w:type="continuationSeparator" w:id="0">
    <w:p w14:paraId="671E7406" w14:textId="77777777" w:rsidR="001B6B69" w:rsidRDefault="001B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F2F5" w14:textId="77777777" w:rsidR="001B6B69" w:rsidRPr="000F35ED" w:rsidRDefault="001B6B6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489B29" w14:textId="77777777" w:rsidR="001B6B69" w:rsidRPr="000F35ED" w:rsidRDefault="001B6B69" w:rsidP="000F35ED">
      <w:pPr>
        <w:rPr>
          <w:rFonts w:asciiTheme="majorHAnsi" w:hAnsiTheme="majorHAnsi"/>
          <w:sz w:val="16"/>
          <w:szCs w:val="16"/>
        </w:rPr>
      </w:pPr>
      <w:r w:rsidRPr="000F35ED">
        <w:rPr>
          <w:rFonts w:asciiTheme="majorHAnsi" w:hAnsiTheme="majorHAnsi"/>
          <w:sz w:val="16"/>
          <w:szCs w:val="16"/>
        </w:rPr>
        <w:separator/>
      </w:r>
    </w:p>
    <w:p w14:paraId="34754352" w14:textId="77777777" w:rsidR="001B6B69" w:rsidRPr="000F35ED" w:rsidRDefault="001B6B6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5AE2AE" w14:textId="77777777" w:rsidR="001B6B69" w:rsidRPr="000F35ED" w:rsidRDefault="001B6B6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5E2E3E" w14:textId="07E25407" w:rsidR="00482FF9" w:rsidRPr="00482FF9" w:rsidRDefault="00482FF9" w:rsidP="00482FF9">
      <w:pPr>
        <w:pStyle w:val="FootnoteText"/>
        <w:ind w:firstLine="720"/>
        <w:jc w:val="both"/>
        <w:rPr>
          <w:lang w:val="es-ES"/>
        </w:rPr>
      </w:pPr>
      <w:r w:rsidRPr="00482FF9">
        <w:rPr>
          <w:rStyle w:val="FootnoteReference"/>
          <w:rFonts w:asciiTheme="majorHAnsi" w:hAnsiTheme="majorHAnsi"/>
          <w:sz w:val="16"/>
          <w:szCs w:val="16"/>
          <w:lang w:val="es-ES"/>
        </w:rPr>
        <w:footnoteRef/>
      </w:r>
      <w:r w:rsidRPr="00482FF9">
        <w:rPr>
          <w:lang w:val="es-ES"/>
        </w:rPr>
        <w:t xml:space="preserve"> </w:t>
      </w:r>
      <w:r w:rsidRPr="00A2333D">
        <w:rPr>
          <w:rFonts w:asciiTheme="majorHAnsi" w:hAnsiTheme="majorHAnsi"/>
          <w:color w:val="auto"/>
          <w:sz w:val="16"/>
          <w:szCs w:val="16"/>
          <w:lang w:val="es-US"/>
        </w:rPr>
        <w:t>Conforme a lo dispuesto en el artículo 17.2.a del Reglamento de la Comisión, el Comisionado Edgar Stuardo Ralón Orellana, de nacionalidad guatemalteca, no participó en el debate ni en la decisión del presente asunto.</w:t>
      </w:r>
    </w:p>
  </w:footnote>
  <w:footnote w:id="3">
    <w:p w14:paraId="4B005167" w14:textId="7E993F85" w:rsidR="007C27E5" w:rsidRPr="00F97AF7" w:rsidRDefault="007C27E5"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En adelante “</w:t>
      </w:r>
      <w:r w:rsidR="002C608D" w:rsidRPr="00F97AF7">
        <w:rPr>
          <w:rFonts w:asciiTheme="majorHAnsi" w:hAnsiTheme="majorHAnsi"/>
          <w:sz w:val="16"/>
          <w:szCs w:val="16"/>
          <w:lang w:val="es-ES"/>
        </w:rPr>
        <w:t>l</w:t>
      </w:r>
      <w:r w:rsidRPr="00F97AF7">
        <w:rPr>
          <w:rFonts w:asciiTheme="majorHAnsi" w:hAnsiTheme="majorHAnsi"/>
          <w:sz w:val="16"/>
          <w:szCs w:val="16"/>
          <w:lang w:val="es-ES"/>
        </w:rPr>
        <w:t>a Convención” o “</w:t>
      </w:r>
      <w:r w:rsidR="002C608D" w:rsidRPr="00F97AF7">
        <w:rPr>
          <w:rFonts w:asciiTheme="majorHAnsi" w:hAnsiTheme="majorHAnsi"/>
          <w:sz w:val="16"/>
          <w:szCs w:val="16"/>
          <w:lang w:val="es-ES"/>
        </w:rPr>
        <w:t xml:space="preserve">la </w:t>
      </w:r>
      <w:r w:rsidRPr="00F97AF7">
        <w:rPr>
          <w:rFonts w:asciiTheme="majorHAnsi" w:hAnsiTheme="majorHAnsi"/>
          <w:sz w:val="16"/>
          <w:szCs w:val="16"/>
          <w:lang w:val="es-ES"/>
        </w:rPr>
        <w:t>Convención Americana”.</w:t>
      </w:r>
    </w:p>
  </w:footnote>
  <w:footnote w:id="4">
    <w:p w14:paraId="79F07139" w14:textId="77777777" w:rsidR="008E3BFE" w:rsidRPr="00F97AF7" w:rsidRDefault="008E3BFE"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Las observaciones de cada parte fueron debidamente trasladadas a la parte contraria.</w:t>
      </w:r>
    </w:p>
  </w:footnote>
  <w:footnote w:id="5">
    <w:p w14:paraId="5A2C3E9E" w14:textId="3D58A47D" w:rsidR="00E46BE8" w:rsidRPr="00F97AF7" w:rsidRDefault="00E46BE8"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En concreto: Inmaculado Corazón de María; Comité de Unidad Campesina; Escuela de Formación Sindical y de Derechos Humanos EMAÚS; Sindicato Ingenio Pantaleón; Comité Nacional de Unidad Sindical; Central Nacional de Trabajadores; y Federación Autónoma Sindical de Guatemala</w:t>
      </w:r>
    </w:p>
  </w:footnote>
  <w:footnote w:id="6">
    <w:p w14:paraId="50B8920E" w14:textId="4AC8CDE4" w:rsidR="00A0091B" w:rsidRPr="00370E1D" w:rsidRDefault="00A0091B"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Indican que las personas que sufrieron de desaparición forzada fueron: José Luis Alberto Aguilar Santos, José del Pilar Aguilar Santos, Fidel Ascencio Palma, Juan Lionel Acencio Ochoa, Albino Ajú Cumar, Víctor Ajú Esquit, Alejandro Bautista Cristales, Pablo Bautista Escobar, Ricardo Bautista Escobar, Alberta Bautista Escobar, Isabel Batres Estrada, Maximiliana Roca Estrada, Juan Gordon, Apolinario Caná Marchan, Juan Caná Alquijay, Ananías Bernando Blanco Chutá, Israel Moxó Chutá, Jesús Curcuj de León, Manuel de Jesús Marroquín Yol, Felix Gabriel Esquilt, María del Socorro Barr</w:t>
      </w:r>
      <w:r w:rsidRPr="00370E1D">
        <w:rPr>
          <w:rFonts w:asciiTheme="majorHAnsi" w:hAnsiTheme="majorHAnsi"/>
          <w:sz w:val="16"/>
          <w:szCs w:val="16"/>
          <w:lang w:val="es-ES"/>
        </w:rPr>
        <w:t>ientos, Margarito Álvarez Morales, Carlos Enrique Gonzalez Godoy, Marcelina Catalán Yoché, Isidro Loch Porón</w:t>
      </w:r>
      <w:r w:rsidR="000220ED" w:rsidRPr="00370E1D">
        <w:rPr>
          <w:rFonts w:asciiTheme="majorHAnsi" w:hAnsiTheme="majorHAnsi"/>
          <w:sz w:val="16"/>
          <w:szCs w:val="16"/>
          <w:lang w:val="es-ES"/>
        </w:rPr>
        <w:t xml:space="preserve">, María Victoria Loch Velásquez, Mario Jesús Segura Tagual, Ángela Miriam del Cid Sián, Urbano Vargas Osorio, Gamaliel Peralta Méndez, Héctor Macabeo Aguilar Gutierrez, Julian Bac Quiej, José Canagüí Salvador, José Emilio Galindo Merlos, Calixto García Tun, José Julio Herrera Pérez, Elvi Francisco Martínez Palala, Anselmo Ordoñez Ajcá, Teodoro Ososrio Saquil, Rigoberto Ramos Lorenzo, Román Reyes Elías, Elgido Roquel Chalí y Cesar Agusto Nájera Galicia. </w:t>
      </w:r>
    </w:p>
    <w:p w14:paraId="65FC73BE" w14:textId="440657B8" w:rsidR="00720642" w:rsidRPr="00370E1D" w:rsidRDefault="000220ED" w:rsidP="00370E1D">
      <w:pPr>
        <w:pStyle w:val="FootnoteText"/>
        <w:jc w:val="both"/>
        <w:rPr>
          <w:rFonts w:asciiTheme="majorHAnsi" w:hAnsiTheme="majorHAnsi"/>
          <w:sz w:val="16"/>
          <w:szCs w:val="16"/>
          <w:lang w:val="es-ES"/>
        </w:rPr>
      </w:pPr>
      <w:r w:rsidRPr="00370E1D">
        <w:rPr>
          <w:rFonts w:asciiTheme="majorHAnsi" w:hAnsiTheme="majorHAnsi"/>
          <w:sz w:val="16"/>
          <w:szCs w:val="16"/>
          <w:lang w:val="es-ES"/>
        </w:rPr>
        <w:t xml:space="preserve">Las personas que sufrieron de desaparición forzada fueron: Benigno Ambrosio Colorado, Fermín Ambrosio, Felipe Chutá, Ramón Cordero Yol, José Yos, Eulogio Ajqui Jimón, Lorenzo Batz López y Georgino Cabrera Lemus. </w:t>
      </w:r>
    </w:p>
  </w:footnote>
  <w:footnote w:id="7">
    <w:p w14:paraId="691BC601" w14:textId="228D9D2D" w:rsidR="00370E1D" w:rsidRPr="00370E1D" w:rsidRDefault="00370E1D" w:rsidP="00370E1D">
      <w:pPr>
        <w:pStyle w:val="FootnoteText"/>
        <w:ind w:firstLine="720"/>
        <w:jc w:val="both"/>
        <w:rPr>
          <w:rFonts w:asciiTheme="majorHAnsi" w:hAnsiTheme="majorHAnsi"/>
          <w:sz w:val="16"/>
          <w:szCs w:val="16"/>
          <w:lang w:val="es-ES"/>
        </w:rPr>
      </w:pPr>
      <w:r w:rsidRPr="00370E1D">
        <w:rPr>
          <w:rStyle w:val="FootnoteReference"/>
          <w:rFonts w:asciiTheme="majorHAnsi" w:hAnsiTheme="majorHAnsi"/>
          <w:sz w:val="16"/>
          <w:szCs w:val="16"/>
        </w:rPr>
        <w:footnoteRef/>
      </w:r>
      <w:r w:rsidRPr="00370E1D">
        <w:rPr>
          <w:rFonts w:asciiTheme="majorHAnsi" w:hAnsiTheme="majorHAnsi"/>
          <w:sz w:val="16"/>
          <w:szCs w:val="16"/>
          <w:lang w:val="es-ES"/>
        </w:rPr>
        <w:t xml:space="preserve"> Las personas que sufrieron de desplazamiento forzado fueron: Marta Julia Santos, Manuela de Jesús Aguilar Santos, Oneida Magaly Ramírez Aguilar, Alfonso Bautista Escobar, Marina Esquilt Barrientos, Felipa Jacobo Alonso, Laura Nohemí Álvarez, René Juárez Pérez, María Alicia Juárez Catalán de Arias, Rafaela Segura Tegual, Jacoba Sián, Buenaventura del Cid Barrientos, Tomasa Sián Pichilla, Mario Humberto Aroche Sián, Maria Teresa de Jesús Osorio, Arnulfo Vargas Armira, Julia Hernández García, Victoria Romero, Estela Oré Osorio y Dominga Alvarado.</w:t>
      </w:r>
    </w:p>
  </w:footnote>
  <w:footnote w:id="8">
    <w:p w14:paraId="7CF93412" w14:textId="07676CF9" w:rsidR="00370E1D" w:rsidRPr="00370E1D" w:rsidRDefault="00370E1D" w:rsidP="00370E1D">
      <w:pPr>
        <w:pStyle w:val="FootnoteText"/>
        <w:ind w:firstLine="720"/>
        <w:rPr>
          <w:rFonts w:asciiTheme="majorHAnsi" w:hAnsiTheme="majorHAnsi"/>
          <w:sz w:val="16"/>
          <w:szCs w:val="16"/>
          <w:lang w:val="es-ES"/>
        </w:rPr>
      </w:pPr>
      <w:r w:rsidRPr="00370E1D">
        <w:rPr>
          <w:rStyle w:val="FootnoteReference"/>
          <w:rFonts w:asciiTheme="majorHAnsi" w:hAnsiTheme="majorHAnsi"/>
          <w:sz w:val="16"/>
          <w:szCs w:val="16"/>
        </w:rPr>
        <w:footnoteRef/>
      </w:r>
      <w:r w:rsidRPr="00370E1D">
        <w:rPr>
          <w:rFonts w:asciiTheme="majorHAnsi" w:hAnsiTheme="majorHAnsi"/>
          <w:sz w:val="16"/>
          <w:szCs w:val="16"/>
          <w:lang w:val="es-ES"/>
        </w:rPr>
        <w:t xml:space="preserve"> Las personas que sufrieron de torturas fueron: Eduardo Aguilar Marroquín, Marta Julia Santos, Dolores Bautista Escobar, Marcela Bautista Escobar, Isabel Batres Estrada, Alberta Bautista Escobar, Virgilia Esquit Barrientos, María Alicia Juárez Catalán de Arias, Aida Juárez Catalán, Manuel Juárez Catalán, Rubén Juárez Catalán, Pedro Odilio del Cid Sián, José Vargas Osorio, Rafael González Yoc, Lorenzo Batz López y Julia Hernández García.  </w:t>
      </w:r>
    </w:p>
  </w:footnote>
  <w:footnote w:id="9">
    <w:p w14:paraId="43B617DB" w14:textId="68ABD494" w:rsidR="00370E1D" w:rsidRPr="00370E1D" w:rsidRDefault="00370E1D" w:rsidP="00370E1D">
      <w:pPr>
        <w:pStyle w:val="FootnoteText"/>
        <w:ind w:firstLine="720"/>
        <w:rPr>
          <w:lang w:val="es-ES"/>
        </w:rPr>
      </w:pPr>
      <w:r w:rsidRPr="00370E1D">
        <w:rPr>
          <w:rStyle w:val="FootnoteReference"/>
          <w:rFonts w:asciiTheme="majorHAnsi" w:hAnsiTheme="majorHAnsi"/>
          <w:sz w:val="16"/>
          <w:szCs w:val="16"/>
        </w:rPr>
        <w:footnoteRef/>
      </w:r>
      <w:r w:rsidRPr="00370E1D">
        <w:rPr>
          <w:rFonts w:asciiTheme="majorHAnsi" w:hAnsiTheme="majorHAnsi"/>
          <w:sz w:val="16"/>
          <w:szCs w:val="16"/>
          <w:lang w:val="es-ES"/>
        </w:rPr>
        <w:t xml:space="preserve"> Las mujeres víctimas de violencia sexual fueron: María Alicia Juárez Catalán, Aida Juárez Catalán, Marcela Bautista Escobar y Dolores Bautista Escobar.</w:t>
      </w:r>
    </w:p>
  </w:footnote>
  <w:footnote w:id="10">
    <w:p w14:paraId="59572681" w14:textId="55EFB553" w:rsidR="00735B82" w:rsidRPr="00735B82" w:rsidRDefault="00735B82" w:rsidP="00735B82">
      <w:pPr>
        <w:pStyle w:val="FootnoteText"/>
        <w:ind w:firstLine="720"/>
        <w:jc w:val="both"/>
        <w:rPr>
          <w:rFonts w:asciiTheme="majorHAnsi" w:hAnsiTheme="majorHAnsi"/>
          <w:sz w:val="16"/>
          <w:szCs w:val="16"/>
          <w:lang w:val="es-CO"/>
        </w:rPr>
      </w:pPr>
      <w:r w:rsidRPr="00735B82">
        <w:rPr>
          <w:rStyle w:val="FootnoteReference"/>
          <w:rFonts w:asciiTheme="majorHAnsi" w:hAnsiTheme="majorHAnsi"/>
          <w:sz w:val="16"/>
          <w:szCs w:val="16"/>
        </w:rPr>
        <w:footnoteRef/>
      </w:r>
      <w:r w:rsidRPr="00735B82">
        <w:rPr>
          <w:rFonts w:asciiTheme="majorHAnsi" w:hAnsiTheme="majorHAnsi"/>
          <w:sz w:val="16"/>
          <w:szCs w:val="16"/>
          <w:lang w:val="es-CO"/>
        </w:rPr>
        <w:t xml:space="preserve"> </w:t>
      </w:r>
      <w:r w:rsidR="00FA355F">
        <w:rPr>
          <w:rFonts w:asciiTheme="majorHAnsi" w:hAnsiTheme="majorHAnsi"/>
          <w:sz w:val="16"/>
          <w:szCs w:val="16"/>
          <w:lang w:val="es-CO"/>
        </w:rPr>
        <w:t xml:space="preserve">Entre marzo y abril de 1980 </w:t>
      </w:r>
      <w:r w:rsidRPr="00735B82">
        <w:rPr>
          <w:rFonts w:asciiTheme="majorHAnsi" w:hAnsiTheme="majorHAnsi"/>
          <w:sz w:val="16"/>
          <w:szCs w:val="16"/>
          <w:lang w:val="es-CO"/>
        </w:rPr>
        <w:t>María Julia Santos y Manuela de Jesús Aguilar</w:t>
      </w:r>
      <w:r w:rsidR="00FA355F">
        <w:rPr>
          <w:rFonts w:asciiTheme="majorHAnsi" w:hAnsiTheme="majorHAnsi"/>
          <w:sz w:val="16"/>
          <w:szCs w:val="16"/>
          <w:lang w:val="es-CO"/>
        </w:rPr>
        <w:t xml:space="preserve"> pusieron en conocimiento de las autoridades la desaparición de José Luis Alberto Aguilar Santos.</w:t>
      </w:r>
    </w:p>
  </w:footnote>
  <w:footnote w:id="11">
    <w:p w14:paraId="0C803916" w14:textId="0040787C" w:rsidR="0068198B" w:rsidRPr="0068198B" w:rsidRDefault="0068198B" w:rsidP="0068198B">
      <w:pPr>
        <w:pStyle w:val="FootnoteText"/>
        <w:ind w:firstLine="720"/>
        <w:rPr>
          <w:rFonts w:asciiTheme="majorHAnsi" w:hAnsiTheme="majorHAnsi"/>
          <w:sz w:val="16"/>
          <w:szCs w:val="16"/>
          <w:lang w:val="es-CO"/>
        </w:rPr>
      </w:pPr>
      <w:r w:rsidRPr="0068198B">
        <w:rPr>
          <w:rStyle w:val="FootnoteReference"/>
          <w:rFonts w:asciiTheme="majorHAnsi" w:hAnsiTheme="majorHAnsi"/>
          <w:sz w:val="16"/>
          <w:szCs w:val="16"/>
        </w:rPr>
        <w:footnoteRef/>
      </w:r>
      <w:r w:rsidRPr="0068198B">
        <w:rPr>
          <w:rFonts w:asciiTheme="majorHAnsi" w:hAnsiTheme="majorHAnsi"/>
          <w:sz w:val="16"/>
          <w:szCs w:val="16"/>
          <w:lang w:val="es-CO"/>
        </w:rPr>
        <w:t xml:space="preserve"> Rafael González Yos y Julián Back Quiej.</w:t>
      </w:r>
    </w:p>
  </w:footnote>
  <w:footnote w:id="12">
    <w:p w14:paraId="3C1290C9" w14:textId="31D14074" w:rsidR="00F97AF7" w:rsidRPr="00F97AF7" w:rsidRDefault="00F97AF7"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En concreto quienes ya fueron resarcidos económicamente fueron: Ángela Herlinda Ajú Esquilt, Luz Inés Ajú Esquilt, María Candelaria Ajú Esquilt, María Ezequiela Ajú Esquilt, Victoria Campos, Ignacio Osorio, Reyna Isabel Gómez, Flora Elizabeth Sobochol Pérez, Luisa Canú Pérez, Alejandra Ramírez, Estela Oré Osorio, Jacoba Sián Pichilla, Buenaventura del Cid Barrientos, Ruth Concepción Aguilar Gutiérrez de Torres, Felicita de Jesús Aguilar Gutiérrez, Juana Antonia Aguilar Gutiérrez, Jo</w:t>
      </w:r>
      <w:r>
        <w:rPr>
          <w:rFonts w:asciiTheme="majorHAnsi" w:hAnsiTheme="majorHAnsi"/>
          <w:sz w:val="16"/>
          <w:szCs w:val="16"/>
          <w:lang w:val="es-ES"/>
        </w:rPr>
        <w:t>sé</w:t>
      </w:r>
      <w:r w:rsidRPr="00F97AF7">
        <w:rPr>
          <w:rFonts w:asciiTheme="majorHAnsi" w:hAnsiTheme="majorHAnsi"/>
          <w:sz w:val="16"/>
          <w:szCs w:val="16"/>
          <w:lang w:val="es-ES"/>
        </w:rPr>
        <w:t xml:space="preserve"> Rubén Aguilar Gutiérrez y Leandro Elías Aguilar Gutiérrez. </w:t>
      </w:r>
    </w:p>
  </w:footnote>
  <w:footnote w:id="13">
    <w:p w14:paraId="604C7F93" w14:textId="01716214" w:rsidR="00512DFA" w:rsidRPr="00512DFA" w:rsidRDefault="00512DFA" w:rsidP="00512DFA">
      <w:pPr>
        <w:pStyle w:val="FootnoteText"/>
        <w:ind w:firstLine="720"/>
        <w:jc w:val="both"/>
        <w:rPr>
          <w:rFonts w:ascii="Cambria" w:hAnsi="Cambria"/>
          <w:lang w:val="es-CO"/>
        </w:rPr>
      </w:pPr>
      <w:r>
        <w:rPr>
          <w:rStyle w:val="FootnoteReference"/>
        </w:rPr>
        <w:footnoteRef/>
      </w:r>
      <w:r w:rsidRPr="00512DFA">
        <w:rPr>
          <w:lang w:val="es-CO"/>
        </w:rPr>
        <w:t xml:space="preserve"> </w:t>
      </w:r>
      <w:r w:rsidRPr="00442B26">
        <w:rPr>
          <w:rFonts w:ascii="Cambria" w:hAnsi="Cambria"/>
          <w:sz w:val="16"/>
          <w:szCs w:val="16"/>
          <w:lang w:val="es-CO"/>
        </w:rPr>
        <w:t>CIDH</w:t>
      </w:r>
      <w:r>
        <w:rPr>
          <w:rFonts w:ascii="Cambria" w:hAnsi="Cambria"/>
          <w:sz w:val="16"/>
          <w:szCs w:val="16"/>
          <w:lang w:val="es-CO"/>
        </w:rPr>
        <w:t>,</w:t>
      </w:r>
      <w:r w:rsidRPr="00442B26">
        <w:rPr>
          <w:rFonts w:ascii="Cambria" w:hAnsi="Cambria"/>
          <w:sz w:val="16"/>
          <w:szCs w:val="16"/>
          <w:lang w:val="es-CO"/>
        </w:rPr>
        <w:t xml:space="preserve"> Informe No. Informe No. 89/21, Petición 5-12, Trabajadores Mineros de Cananea y sus familiares</w:t>
      </w:r>
      <w:r>
        <w:rPr>
          <w:rFonts w:ascii="Cambria" w:hAnsi="Cambria"/>
          <w:sz w:val="16"/>
          <w:szCs w:val="16"/>
          <w:lang w:val="es-CO"/>
        </w:rPr>
        <w:t xml:space="preserve">. </w:t>
      </w:r>
      <w:r w:rsidRPr="007219EC">
        <w:rPr>
          <w:rFonts w:ascii="Cambria" w:hAnsi="Cambria"/>
          <w:sz w:val="16"/>
          <w:szCs w:val="16"/>
          <w:lang w:val="es-CO"/>
        </w:rPr>
        <w:t>México. 28 de marzo de 2021, párr. 32.</w:t>
      </w:r>
    </w:p>
  </w:footnote>
  <w:footnote w:id="14">
    <w:p w14:paraId="2CE11765" w14:textId="77777777" w:rsidR="000B5825" w:rsidRPr="00F97AF7" w:rsidRDefault="000B5825"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15">
    <w:p w14:paraId="77BCF45B" w14:textId="77777777" w:rsidR="000B5825" w:rsidRPr="00F97AF7" w:rsidRDefault="000B5825"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CIDH, Informe No. 235/22. Petición. 991-10. Admisibilidad. Fabián Andrés Cáceres Palencia. Colombia. 15 de septiembre de 2022, párr. 23.</w:t>
      </w:r>
    </w:p>
  </w:footnote>
  <w:footnote w:id="16">
    <w:p w14:paraId="3AA020FF" w14:textId="60937E96" w:rsidR="00701D4A" w:rsidRPr="00F97AF7" w:rsidRDefault="00701D4A"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CIDH, Informe 214/22, Admisibilidad, Petición 867-09, Aberlardo </w:t>
      </w:r>
      <w:r w:rsidR="002330D5" w:rsidRPr="00F97AF7">
        <w:rPr>
          <w:rFonts w:asciiTheme="majorHAnsi" w:hAnsiTheme="majorHAnsi"/>
          <w:sz w:val="16"/>
          <w:szCs w:val="16"/>
          <w:lang w:val="es-ES"/>
        </w:rPr>
        <w:t>Arévalo</w:t>
      </w:r>
      <w:r w:rsidRPr="00F97AF7">
        <w:rPr>
          <w:rFonts w:asciiTheme="majorHAnsi" w:hAnsiTheme="majorHAnsi"/>
          <w:sz w:val="16"/>
          <w:szCs w:val="16"/>
          <w:lang w:val="es-ES"/>
        </w:rPr>
        <w:t xml:space="preserve"> Choque y otros, Bolivia, 13 de agosto de 2022; Informe 303/22, Admisibilidad, Petición 958-15, John Sotomayor Pinuer, Chile, 8 de noviembre de 2022; e Informe 378/21, Admisibilidad, Petición 1835-14, Juan Antonio Miralles Fernández y E.L.M.F., Ecuador, 1 de diciembre de 2021. </w:t>
      </w:r>
    </w:p>
  </w:footnote>
  <w:footnote w:id="17">
    <w:p w14:paraId="2C1EB413" w14:textId="77777777" w:rsidR="00701D4A" w:rsidRPr="00F97AF7" w:rsidRDefault="00701D4A"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CIDH, Informe 403/20, Admisibilidad, Petición 1295-12, Familiares de Domingo Bartolomé Tarrés, Chile, 10 de diciembre de 2020; e Informe 57/21, Admisibilidad, Petición 2185-12, Celia de los Ángeles Martínez Chao y Priscila de las Nieves Guido Martínez, Argentina, 17 de marzo de 2021. </w:t>
      </w:r>
    </w:p>
  </w:footnote>
  <w:footnote w:id="18">
    <w:p w14:paraId="30EF03C9" w14:textId="77777777" w:rsidR="00701D4A" w:rsidRPr="00F97AF7" w:rsidRDefault="00701D4A" w:rsidP="00F97AF7">
      <w:pPr>
        <w:pStyle w:val="FootnoteText"/>
        <w:ind w:firstLine="720"/>
        <w:jc w:val="both"/>
        <w:rPr>
          <w:rFonts w:asciiTheme="majorHAnsi" w:hAnsiTheme="majorHAnsi"/>
          <w:color w:val="auto"/>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CIDH, Informe 420/21, Admisibilidad, Petición 1564-14, J.Z y S.Z, Brasil, 31 de diciembre de 2021; e Informe 46/22, Admisibilidad, Petición 1009-13, Silvestre González Pedrotti</w:t>
      </w:r>
      <w:r w:rsidRPr="00F97AF7">
        <w:rPr>
          <w:rFonts w:asciiTheme="majorHAnsi" w:hAnsiTheme="majorHAnsi"/>
          <w:color w:val="auto"/>
          <w:sz w:val="16"/>
          <w:szCs w:val="16"/>
          <w:lang w:val="es-ES"/>
        </w:rPr>
        <w:t xml:space="preserve">, México, 9 de marzo de 2022. </w:t>
      </w:r>
    </w:p>
  </w:footnote>
  <w:footnote w:id="19">
    <w:p w14:paraId="7567BDED" w14:textId="77777777" w:rsidR="001305E8" w:rsidRPr="00A11B3B" w:rsidRDefault="001305E8" w:rsidP="001305E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46.1.b) de la Convención Americana dispone: 1. Para que una petición o comunicación presentada conforme a los artículos 44 ó 45 sea admitida por la Comisión, se requerirá: b) que sea presentada dentro del plazo de seis meses, a partir de la fecha en que el presunto lesionado en sus derechos haya sido notificado de la decisión definitiva.</w:t>
      </w:r>
    </w:p>
  </w:footnote>
  <w:footnote w:id="20">
    <w:p w14:paraId="783A69F7" w14:textId="77777777" w:rsidR="004C3B08" w:rsidRPr="00F97AF7" w:rsidRDefault="004C3B08"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CIDH, Informe No. 69/08, Petición 681-00. Admisibilidad. Guillermo Patricio Lynn. Argentina. 16 de octubre de 2008, párr. 48.</w:t>
      </w:r>
    </w:p>
  </w:footnote>
  <w:footnote w:id="21">
    <w:p w14:paraId="7B158D47" w14:textId="5CA8A554" w:rsidR="004C3B08" w:rsidRPr="00F97AF7" w:rsidRDefault="004C3B08"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CIDH, Caso 12.270, Informe No. 2/15, Fondo, Johan Alexis Ortiz Hernández, Venezuela, 29 de enero de 2015, párr. 185.</w:t>
      </w:r>
    </w:p>
  </w:footnote>
  <w:footnote w:id="22">
    <w:p w14:paraId="5AA1615D" w14:textId="5BD4AC6C" w:rsidR="004C3B08" w:rsidRPr="00F97AF7" w:rsidRDefault="004C3B08"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Caso 12.270, Informe No. 2/15, Fondo, Johan Alexis Ortiz Hernández, Venezuela, 29 de enero de 2015, párr. 186. </w:t>
      </w:r>
      <w:r w:rsidR="0002249C" w:rsidRPr="00F97AF7">
        <w:rPr>
          <w:rFonts w:asciiTheme="majorHAnsi" w:hAnsiTheme="majorHAnsi"/>
          <w:sz w:val="16"/>
          <w:szCs w:val="16"/>
          <w:lang w:val="es-ES"/>
        </w:rPr>
        <w:t>Asimismo,</w:t>
      </w:r>
      <w:r w:rsidRPr="00F97AF7">
        <w:rPr>
          <w:rFonts w:asciiTheme="majorHAnsi" w:hAnsiTheme="majorHAnsi"/>
          <w:sz w:val="16"/>
          <w:szCs w:val="16"/>
          <w:lang w:val="es-ES"/>
        </w:rPr>
        <w:t xml:space="preserve"> véase: Corte IDH. Caso Zambrano Vélez y otros Vs. Ecuador. Fondo, Reparaciones y Costas. Sentencia de 4 de julio de 2007. Serie C No. 166, párr. 80.</w:t>
      </w:r>
    </w:p>
  </w:footnote>
  <w:footnote w:id="23">
    <w:p w14:paraId="40351CE0" w14:textId="77777777" w:rsidR="00CD2E32" w:rsidRPr="00A11B3B" w:rsidRDefault="00CD2E32" w:rsidP="00CD2E32">
      <w:pPr>
        <w:pStyle w:val="FootnoteText"/>
        <w:ind w:firstLine="720"/>
        <w:jc w:val="both"/>
        <w:rPr>
          <w:rFonts w:ascii="Cambria" w:hAnsi="Cambria"/>
          <w:sz w:val="16"/>
          <w:szCs w:val="16"/>
          <w:lang w:val="es-PA"/>
        </w:rPr>
      </w:pPr>
      <w:r w:rsidRPr="00A11B3B">
        <w:rPr>
          <w:rStyle w:val="FootnoteReference"/>
          <w:rFonts w:ascii="Cambria" w:hAnsi="Cambria"/>
          <w:sz w:val="16"/>
          <w:szCs w:val="16"/>
        </w:rPr>
        <w:footnoteRef/>
      </w:r>
      <w:r w:rsidRPr="00A11B3B">
        <w:rPr>
          <w:rFonts w:ascii="Cambria" w:hAnsi="Cambria"/>
          <w:sz w:val="16"/>
          <w:szCs w:val="16"/>
          <w:lang w:val="es-PA"/>
        </w:rPr>
        <w:t xml:space="preserve"> Corte IDH, Caso Acevedo Buendía y Otros (“Cesantes y Jubilados de la Contraloría”) vs. Perú. Excepción Preliminar, Fondo, Reparaciones y Costas. Sentencia del 1 de julio de 2009, párr. 100. </w:t>
      </w:r>
    </w:p>
  </w:footnote>
  <w:footnote w:id="24">
    <w:p w14:paraId="225C2795" w14:textId="77777777" w:rsidR="00B8714A" w:rsidRPr="00F97AF7" w:rsidRDefault="00B8714A" w:rsidP="00F97AF7">
      <w:pPr>
        <w:pStyle w:val="FootnoteText"/>
        <w:ind w:firstLine="720"/>
        <w:jc w:val="both"/>
        <w:rPr>
          <w:rFonts w:asciiTheme="majorHAnsi" w:hAnsiTheme="majorHAnsi"/>
          <w:sz w:val="16"/>
          <w:szCs w:val="16"/>
          <w:lang w:val="es-ES"/>
        </w:rPr>
      </w:pPr>
      <w:r w:rsidRPr="00F97AF7">
        <w:rPr>
          <w:rStyle w:val="FootnoteReference"/>
          <w:rFonts w:asciiTheme="majorHAnsi" w:hAnsiTheme="majorHAnsi"/>
          <w:sz w:val="16"/>
          <w:szCs w:val="16"/>
          <w:lang w:val="es-ES"/>
        </w:rPr>
        <w:footnoteRef/>
      </w:r>
      <w:r w:rsidRPr="00F97AF7">
        <w:rPr>
          <w:rFonts w:asciiTheme="majorHAnsi" w:hAnsiTheme="majorHAnsi"/>
          <w:sz w:val="16"/>
          <w:szCs w:val="16"/>
          <w:lang w:val="es-ES"/>
        </w:rPr>
        <w:t xml:space="preserve"> Corte IDH, Caso Habbal y otros vs. Argentina. Excepciones Preliminares y Fondo. Sentencia de 31 de agosto de 2022. Serie C No. 463, párr. 23; Corte IDH. Caso Vereda La Esperanza Vs. Colombia. Interpretación de la Sentencia de Excepción Preliminar, Fondo, Reparaciones y Costas. Sentencia de 21 de noviembre de 2018. Serie C No. 367, párr 32. Este criterio está en definitiva establecido en el artículo 35 del Reglamento de la Corte IDH.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35DB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8C6C916"/>
    <w:lvl w:ilvl="0" w:tplc="EEA48E54">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FB50F07"/>
    <w:multiLevelType w:val="hybridMultilevel"/>
    <w:tmpl w:val="151AE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2AF6A83E"/>
    <w:lvl w:ilvl="0" w:tplc="DC3807DC">
      <w:start w:val="1"/>
      <w:numFmt w:val="decimal"/>
      <w:pStyle w:val="parrafos"/>
      <w:lvlText w:val="%1."/>
      <w:lvlJc w:val="left"/>
      <w:pPr>
        <w:ind w:left="2769" w:hanging="360"/>
      </w:pPr>
      <w:rPr>
        <w:rFonts w:ascii="Cambria" w:hAnsi="Cambria" w:hint="default"/>
        <w:b w:val="0"/>
        <w:i w:val="0"/>
        <w:iCs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03648595">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00200519">
    <w:abstractNumId w:val="5"/>
  </w:num>
  <w:num w:numId="3" w16cid:durableId="1723942762">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701852237">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38494860">
    <w:abstractNumId w:val="7"/>
  </w:num>
  <w:num w:numId="6" w16cid:durableId="813529275">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41263461">
    <w:abstractNumId w:val="62"/>
  </w:num>
  <w:num w:numId="8" w16cid:durableId="2075353451">
    <w:abstractNumId w:val="23"/>
  </w:num>
  <w:num w:numId="9" w16cid:durableId="714038723">
    <w:abstractNumId w:val="53"/>
  </w:num>
  <w:num w:numId="10" w16cid:durableId="1886138903">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113234522">
    <w:abstractNumId w:val="29"/>
  </w:num>
  <w:num w:numId="12" w16cid:durableId="489366447">
    <w:abstractNumId w:val="60"/>
  </w:num>
  <w:num w:numId="13" w16cid:durableId="1470937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2191333">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5066807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97663968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996567648">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25089232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1156327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96518657">
    <w:abstractNumId w:val="8"/>
  </w:num>
  <w:num w:numId="21" w16cid:durableId="92291627">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301158114">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16486012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933054292">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969479781">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49031501">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973053488">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103988767">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96943247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14627042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205272467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6955432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501434701">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983343936">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522864615">
    <w:abstractNumId w:val="19"/>
  </w:num>
  <w:num w:numId="36" w16cid:durableId="80558326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50286321">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08410906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57064434">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80996404">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666445233">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58246990">
    <w:abstractNumId w:val="41"/>
  </w:num>
  <w:num w:numId="43" w16cid:durableId="214534159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85102153">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441412151">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62654740">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6464712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453252411">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462043945">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702168016">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71909173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05536890">
    <w:abstractNumId w:val="46"/>
  </w:num>
  <w:num w:numId="53" w16cid:durableId="508059939">
    <w:abstractNumId w:val="0"/>
  </w:num>
  <w:num w:numId="54" w16cid:durableId="153450428">
    <w:abstractNumId w:val="40"/>
  </w:num>
  <w:num w:numId="55" w16cid:durableId="878512683">
    <w:abstractNumId w:val="41"/>
  </w:num>
  <w:num w:numId="56" w16cid:durableId="1571767513">
    <w:abstractNumId w:val="48"/>
  </w:num>
  <w:num w:numId="57" w16cid:durableId="657610618">
    <w:abstractNumId w:val="1"/>
  </w:num>
  <w:num w:numId="58" w16cid:durableId="1127506022">
    <w:abstractNumId w:val="2"/>
  </w:num>
  <w:num w:numId="59" w16cid:durableId="41910225">
    <w:abstractNumId w:val="9"/>
  </w:num>
  <w:num w:numId="60" w16cid:durableId="1969237464">
    <w:abstractNumId w:val="10"/>
  </w:num>
  <w:num w:numId="61" w16cid:durableId="853030283">
    <w:abstractNumId w:val="11"/>
  </w:num>
  <w:num w:numId="62" w16cid:durableId="346106774">
    <w:abstractNumId w:val="12"/>
  </w:num>
  <w:num w:numId="63" w16cid:durableId="1309747390">
    <w:abstractNumId w:val="13"/>
  </w:num>
  <w:num w:numId="64" w16cid:durableId="766654466">
    <w:abstractNumId w:val="15"/>
  </w:num>
  <w:num w:numId="65" w16cid:durableId="2029941307">
    <w:abstractNumId w:val="16"/>
  </w:num>
  <w:num w:numId="66" w16cid:durableId="963996503">
    <w:abstractNumId w:val="17"/>
  </w:num>
  <w:num w:numId="67" w16cid:durableId="85274928">
    <w:abstractNumId w:val="18"/>
  </w:num>
  <w:num w:numId="68" w16cid:durableId="1329555305">
    <w:abstractNumId w:val="20"/>
  </w:num>
  <w:num w:numId="69" w16cid:durableId="1819301109">
    <w:abstractNumId w:val="21"/>
  </w:num>
  <w:num w:numId="70" w16cid:durableId="1679499858">
    <w:abstractNumId w:val="24"/>
  </w:num>
  <w:num w:numId="71" w16cid:durableId="1491100915">
    <w:abstractNumId w:val="25"/>
  </w:num>
  <w:num w:numId="72" w16cid:durableId="1277758100">
    <w:abstractNumId w:val="26"/>
  </w:num>
  <w:num w:numId="73" w16cid:durableId="1263805316">
    <w:abstractNumId w:val="28"/>
  </w:num>
  <w:num w:numId="74" w16cid:durableId="528958045">
    <w:abstractNumId w:val="30"/>
  </w:num>
  <w:num w:numId="75" w16cid:durableId="127936107">
    <w:abstractNumId w:val="32"/>
  </w:num>
  <w:num w:numId="76" w16cid:durableId="1058280980">
    <w:abstractNumId w:val="33"/>
  </w:num>
  <w:num w:numId="77" w16cid:durableId="867527659">
    <w:abstractNumId w:val="34"/>
  </w:num>
  <w:num w:numId="78" w16cid:durableId="702677482">
    <w:abstractNumId w:val="35"/>
  </w:num>
  <w:num w:numId="79" w16cid:durableId="724372527">
    <w:abstractNumId w:val="36"/>
  </w:num>
  <w:num w:numId="80" w16cid:durableId="1464931074">
    <w:abstractNumId w:val="37"/>
  </w:num>
  <w:num w:numId="81" w16cid:durableId="1270770561">
    <w:abstractNumId w:val="38"/>
  </w:num>
  <w:num w:numId="82" w16cid:durableId="175121731">
    <w:abstractNumId w:val="42"/>
  </w:num>
  <w:num w:numId="83" w16cid:durableId="108594514">
    <w:abstractNumId w:val="44"/>
  </w:num>
  <w:num w:numId="84" w16cid:durableId="178159503">
    <w:abstractNumId w:val="51"/>
  </w:num>
  <w:num w:numId="85" w16cid:durableId="1833450623">
    <w:abstractNumId w:val="54"/>
  </w:num>
  <w:num w:numId="86" w16cid:durableId="2130464665">
    <w:abstractNumId w:val="57"/>
  </w:num>
  <w:num w:numId="87" w16cid:durableId="1832673853">
    <w:abstractNumId w:val="59"/>
  </w:num>
  <w:num w:numId="88" w16cid:durableId="513227749">
    <w:abstractNumId w:val="61"/>
  </w:num>
  <w:num w:numId="89" w16cid:durableId="359936776">
    <w:abstractNumId w:val="63"/>
  </w:num>
  <w:num w:numId="90" w16cid:durableId="636103839">
    <w:abstractNumId w:val="64"/>
  </w:num>
  <w:num w:numId="91" w16cid:durableId="1445728864">
    <w:abstractNumId w:val="65"/>
  </w:num>
  <w:num w:numId="92" w16cid:durableId="1105034271">
    <w:abstractNumId w:val="66"/>
  </w:num>
  <w:num w:numId="93" w16cid:durableId="494686181">
    <w:abstractNumId w:val="68"/>
  </w:num>
  <w:num w:numId="94" w16cid:durableId="1300039272">
    <w:abstractNumId w:val="22"/>
  </w:num>
  <w:num w:numId="95" w16cid:durableId="1542980946">
    <w:abstractNumId w:val="45"/>
  </w:num>
  <w:num w:numId="96" w16cid:durableId="1980720269">
    <w:abstractNumId w:val="58"/>
  </w:num>
  <w:num w:numId="97" w16cid:durableId="776488248">
    <w:abstractNumId w:val="55"/>
  </w:num>
  <w:num w:numId="98" w16cid:durableId="300966577">
    <w:abstractNumId w:val="49"/>
  </w:num>
  <w:num w:numId="99" w16cid:durableId="58556011">
    <w:abstractNumId w:val="39"/>
  </w:num>
  <w:num w:numId="100" w16cid:durableId="90586865">
    <w:abstractNumId w:val="3"/>
  </w:num>
  <w:num w:numId="101" w16cid:durableId="1541165231">
    <w:abstractNumId w:val="27"/>
  </w:num>
  <w:num w:numId="102" w16cid:durableId="1998536343">
    <w:abstractNumId w:val="52"/>
  </w:num>
  <w:num w:numId="103" w16cid:durableId="1632203495">
    <w:abstractNumId w:val="6"/>
  </w:num>
  <w:num w:numId="104" w16cid:durableId="1542327106">
    <w:abstractNumId w:val="67"/>
  </w:num>
  <w:num w:numId="105" w16cid:durableId="957108310">
    <w:abstractNumId w:val="56"/>
  </w:num>
  <w:num w:numId="106" w16cid:durableId="2035230949">
    <w:abstractNumId w:val="4"/>
  </w:num>
  <w:num w:numId="107" w16cid:durableId="258415924">
    <w:abstractNumId w:val="31"/>
  </w:num>
  <w:num w:numId="108" w16cid:durableId="669601599">
    <w:abstractNumId w:val="14"/>
  </w:num>
  <w:num w:numId="109" w16cid:durableId="501507158">
    <w:abstractNumId w:val="47"/>
  </w:num>
  <w:num w:numId="110" w16cid:durableId="42170305">
    <w:abstractNumId w:val="43"/>
  </w:num>
  <w:num w:numId="111" w16cid:durableId="810244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0325657">
    <w:abstractNumId w:val="5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9EA"/>
    <w:rsid w:val="00006E1F"/>
    <w:rsid w:val="000070D7"/>
    <w:rsid w:val="0001788C"/>
    <w:rsid w:val="00020D5C"/>
    <w:rsid w:val="000220ED"/>
    <w:rsid w:val="0002249C"/>
    <w:rsid w:val="000325E7"/>
    <w:rsid w:val="000337EF"/>
    <w:rsid w:val="00034198"/>
    <w:rsid w:val="000361A5"/>
    <w:rsid w:val="00040C3A"/>
    <w:rsid w:val="000419AD"/>
    <w:rsid w:val="00042E89"/>
    <w:rsid w:val="000433C9"/>
    <w:rsid w:val="00067CA6"/>
    <w:rsid w:val="000716C5"/>
    <w:rsid w:val="00075E23"/>
    <w:rsid w:val="0007605A"/>
    <w:rsid w:val="000771DB"/>
    <w:rsid w:val="00092C17"/>
    <w:rsid w:val="0009344A"/>
    <w:rsid w:val="000A392E"/>
    <w:rsid w:val="000A575F"/>
    <w:rsid w:val="000B062C"/>
    <w:rsid w:val="000B3734"/>
    <w:rsid w:val="000B5825"/>
    <w:rsid w:val="000B6713"/>
    <w:rsid w:val="000C0D8B"/>
    <w:rsid w:val="000C3659"/>
    <w:rsid w:val="000C3A72"/>
    <w:rsid w:val="000D05CB"/>
    <w:rsid w:val="000D0BAE"/>
    <w:rsid w:val="000D10DB"/>
    <w:rsid w:val="000E3A36"/>
    <w:rsid w:val="000E5EB5"/>
    <w:rsid w:val="000F2C5A"/>
    <w:rsid w:val="000F35ED"/>
    <w:rsid w:val="000F62B5"/>
    <w:rsid w:val="000F6E0F"/>
    <w:rsid w:val="00107131"/>
    <w:rsid w:val="0010736F"/>
    <w:rsid w:val="00112231"/>
    <w:rsid w:val="00113F73"/>
    <w:rsid w:val="00116620"/>
    <w:rsid w:val="00121CC2"/>
    <w:rsid w:val="00122B83"/>
    <w:rsid w:val="001305E8"/>
    <w:rsid w:val="00131425"/>
    <w:rsid w:val="00132844"/>
    <w:rsid w:val="00133EE5"/>
    <w:rsid w:val="00144C69"/>
    <w:rsid w:val="00151799"/>
    <w:rsid w:val="00167A34"/>
    <w:rsid w:val="00171629"/>
    <w:rsid w:val="0017668E"/>
    <w:rsid w:val="00177CAC"/>
    <w:rsid w:val="00185698"/>
    <w:rsid w:val="001A7870"/>
    <w:rsid w:val="001B0B38"/>
    <w:rsid w:val="001B3A00"/>
    <w:rsid w:val="001B6B69"/>
    <w:rsid w:val="001C1B41"/>
    <w:rsid w:val="001C392B"/>
    <w:rsid w:val="001D46DA"/>
    <w:rsid w:val="001D65EF"/>
    <w:rsid w:val="001D7945"/>
    <w:rsid w:val="001E49E7"/>
    <w:rsid w:val="001E6F29"/>
    <w:rsid w:val="001E78D1"/>
    <w:rsid w:val="001F7201"/>
    <w:rsid w:val="0020412E"/>
    <w:rsid w:val="00211A2B"/>
    <w:rsid w:val="00223A29"/>
    <w:rsid w:val="002250A3"/>
    <w:rsid w:val="00232E32"/>
    <w:rsid w:val="002330D5"/>
    <w:rsid w:val="00235217"/>
    <w:rsid w:val="00243C72"/>
    <w:rsid w:val="002469D2"/>
    <w:rsid w:val="00246D1F"/>
    <w:rsid w:val="00247403"/>
    <w:rsid w:val="00247542"/>
    <w:rsid w:val="0026020D"/>
    <w:rsid w:val="00266B61"/>
    <w:rsid w:val="0026712A"/>
    <w:rsid w:val="00267B4D"/>
    <w:rsid w:val="002704DB"/>
    <w:rsid w:val="00277DCE"/>
    <w:rsid w:val="00286873"/>
    <w:rsid w:val="00286B94"/>
    <w:rsid w:val="00292C04"/>
    <w:rsid w:val="002A0AAE"/>
    <w:rsid w:val="002A104F"/>
    <w:rsid w:val="002A5820"/>
    <w:rsid w:val="002C1303"/>
    <w:rsid w:val="002C24D4"/>
    <w:rsid w:val="002C479D"/>
    <w:rsid w:val="002C608D"/>
    <w:rsid w:val="002C7144"/>
    <w:rsid w:val="002D2B26"/>
    <w:rsid w:val="002D7EA2"/>
    <w:rsid w:val="002E1464"/>
    <w:rsid w:val="002E187C"/>
    <w:rsid w:val="002F3733"/>
    <w:rsid w:val="00302733"/>
    <w:rsid w:val="003033D2"/>
    <w:rsid w:val="00314078"/>
    <w:rsid w:val="0031535D"/>
    <w:rsid w:val="0032162E"/>
    <w:rsid w:val="003239B8"/>
    <w:rsid w:val="0033169F"/>
    <w:rsid w:val="0034070D"/>
    <w:rsid w:val="00343AFF"/>
    <w:rsid w:val="003446EF"/>
    <w:rsid w:val="003448B4"/>
    <w:rsid w:val="00344977"/>
    <w:rsid w:val="003467A3"/>
    <w:rsid w:val="00346C95"/>
    <w:rsid w:val="00354B80"/>
    <w:rsid w:val="00356185"/>
    <w:rsid w:val="003579E8"/>
    <w:rsid w:val="00360380"/>
    <w:rsid w:val="003676C3"/>
    <w:rsid w:val="00370E1D"/>
    <w:rsid w:val="00374066"/>
    <w:rsid w:val="0037519E"/>
    <w:rsid w:val="003752FB"/>
    <w:rsid w:val="0038041F"/>
    <w:rsid w:val="00386CF0"/>
    <w:rsid w:val="00390E17"/>
    <w:rsid w:val="00391F5C"/>
    <w:rsid w:val="0039723E"/>
    <w:rsid w:val="003A31E2"/>
    <w:rsid w:val="003A3204"/>
    <w:rsid w:val="003B110D"/>
    <w:rsid w:val="003B279E"/>
    <w:rsid w:val="003B416A"/>
    <w:rsid w:val="003B70FB"/>
    <w:rsid w:val="003B7572"/>
    <w:rsid w:val="003C4978"/>
    <w:rsid w:val="003C4DDE"/>
    <w:rsid w:val="003C676B"/>
    <w:rsid w:val="003D3BC2"/>
    <w:rsid w:val="003D57CC"/>
    <w:rsid w:val="003E685C"/>
    <w:rsid w:val="003E6CA1"/>
    <w:rsid w:val="003F41BD"/>
    <w:rsid w:val="0040215B"/>
    <w:rsid w:val="00405F9C"/>
    <w:rsid w:val="004065A8"/>
    <w:rsid w:val="004165C2"/>
    <w:rsid w:val="00431F62"/>
    <w:rsid w:val="0043222B"/>
    <w:rsid w:val="00433E4A"/>
    <w:rsid w:val="0043517E"/>
    <w:rsid w:val="00436D74"/>
    <w:rsid w:val="00441524"/>
    <w:rsid w:val="00441ECB"/>
    <w:rsid w:val="00445193"/>
    <w:rsid w:val="00462C1B"/>
    <w:rsid w:val="00463BCB"/>
    <w:rsid w:val="00467B7E"/>
    <w:rsid w:val="00473BB4"/>
    <w:rsid w:val="00477592"/>
    <w:rsid w:val="00480011"/>
    <w:rsid w:val="00480149"/>
    <w:rsid w:val="00482FF9"/>
    <w:rsid w:val="00486F1C"/>
    <w:rsid w:val="0049419D"/>
    <w:rsid w:val="004A6A54"/>
    <w:rsid w:val="004B16D7"/>
    <w:rsid w:val="004B6153"/>
    <w:rsid w:val="004C1797"/>
    <w:rsid w:val="004C20D2"/>
    <w:rsid w:val="004C2312"/>
    <w:rsid w:val="004C3B08"/>
    <w:rsid w:val="004C4B62"/>
    <w:rsid w:val="004C54C9"/>
    <w:rsid w:val="004D4ABA"/>
    <w:rsid w:val="004D6025"/>
    <w:rsid w:val="004E2649"/>
    <w:rsid w:val="004E3071"/>
    <w:rsid w:val="004F0FBE"/>
    <w:rsid w:val="004F4F9F"/>
    <w:rsid w:val="004F5BF1"/>
    <w:rsid w:val="004F626F"/>
    <w:rsid w:val="00501399"/>
    <w:rsid w:val="0050387B"/>
    <w:rsid w:val="0050633D"/>
    <w:rsid w:val="00507BC4"/>
    <w:rsid w:val="005128E4"/>
    <w:rsid w:val="00512DFA"/>
    <w:rsid w:val="005133DB"/>
    <w:rsid w:val="00514504"/>
    <w:rsid w:val="00522277"/>
    <w:rsid w:val="00522EA2"/>
    <w:rsid w:val="00523A2C"/>
    <w:rsid w:val="00525560"/>
    <w:rsid w:val="00527FD0"/>
    <w:rsid w:val="00537F16"/>
    <w:rsid w:val="005439D9"/>
    <w:rsid w:val="00544C49"/>
    <w:rsid w:val="005516A1"/>
    <w:rsid w:val="00553789"/>
    <w:rsid w:val="005559EF"/>
    <w:rsid w:val="00556041"/>
    <w:rsid w:val="005564B7"/>
    <w:rsid w:val="00562DD2"/>
    <w:rsid w:val="00563557"/>
    <w:rsid w:val="005636CA"/>
    <w:rsid w:val="00563B2C"/>
    <w:rsid w:val="0057402A"/>
    <w:rsid w:val="005771D0"/>
    <w:rsid w:val="00584BD9"/>
    <w:rsid w:val="0059191A"/>
    <w:rsid w:val="005921FF"/>
    <w:rsid w:val="005A09E9"/>
    <w:rsid w:val="005A24ED"/>
    <w:rsid w:val="005A254F"/>
    <w:rsid w:val="005A2861"/>
    <w:rsid w:val="005A6D0E"/>
    <w:rsid w:val="005A7A6A"/>
    <w:rsid w:val="005B52B0"/>
    <w:rsid w:val="005B5DB4"/>
    <w:rsid w:val="005B6806"/>
    <w:rsid w:val="005C29EE"/>
    <w:rsid w:val="005C4225"/>
    <w:rsid w:val="005C6054"/>
    <w:rsid w:val="005C6955"/>
    <w:rsid w:val="005C73C9"/>
    <w:rsid w:val="005D0FC6"/>
    <w:rsid w:val="005D38F9"/>
    <w:rsid w:val="005E47ED"/>
    <w:rsid w:val="005F0DAD"/>
    <w:rsid w:val="005F0F33"/>
    <w:rsid w:val="005F7967"/>
    <w:rsid w:val="00600DEB"/>
    <w:rsid w:val="0061274B"/>
    <w:rsid w:val="006259DB"/>
    <w:rsid w:val="00627C9F"/>
    <w:rsid w:val="00630D18"/>
    <w:rsid w:val="006311E9"/>
    <w:rsid w:val="00632354"/>
    <w:rsid w:val="00632CEB"/>
    <w:rsid w:val="00635421"/>
    <w:rsid w:val="00642810"/>
    <w:rsid w:val="006462DF"/>
    <w:rsid w:val="00652333"/>
    <w:rsid w:val="00655775"/>
    <w:rsid w:val="00666184"/>
    <w:rsid w:val="006742B8"/>
    <w:rsid w:val="0068009E"/>
    <w:rsid w:val="00681804"/>
    <w:rsid w:val="0068198B"/>
    <w:rsid w:val="00692219"/>
    <w:rsid w:val="00694AB4"/>
    <w:rsid w:val="0069749E"/>
    <w:rsid w:val="006A17D2"/>
    <w:rsid w:val="006A73E6"/>
    <w:rsid w:val="006B1317"/>
    <w:rsid w:val="006B2002"/>
    <w:rsid w:val="006B2D5C"/>
    <w:rsid w:val="006C4EB1"/>
    <w:rsid w:val="006D060B"/>
    <w:rsid w:val="006D2CFA"/>
    <w:rsid w:val="006D414A"/>
    <w:rsid w:val="006D4E5A"/>
    <w:rsid w:val="006D5844"/>
    <w:rsid w:val="006D5B19"/>
    <w:rsid w:val="006E0166"/>
    <w:rsid w:val="006E2FFB"/>
    <w:rsid w:val="006E7B34"/>
    <w:rsid w:val="006F3C61"/>
    <w:rsid w:val="00701D4A"/>
    <w:rsid w:val="0070253E"/>
    <w:rsid w:val="00702849"/>
    <w:rsid w:val="00703A8D"/>
    <w:rsid w:val="0070697F"/>
    <w:rsid w:val="00707726"/>
    <w:rsid w:val="00714E29"/>
    <w:rsid w:val="00720642"/>
    <w:rsid w:val="0072199C"/>
    <w:rsid w:val="00722C9F"/>
    <w:rsid w:val="00724C6D"/>
    <w:rsid w:val="007253B8"/>
    <w:rsid w:val="00735B82"/>
    <w:rsid w:val="0073741F"/>
    <w:rsid w:val="00743E86"/>
    <w:rsid w:val="007573D0"/>
    <w:rsid w:val="007601C4"/>
    <w:rsid w:val="00762957"/>
    <w:rsid w:val="0076643F"/>
    <w:rsid w:val="00777F63"/>
    <w:rsid w:val="00781F42"/>
    <w:rsid w:val="0079603A"/>
    <w:rsid w:val="007A5817"/>
    <w:rsid w:val="007A7221"/>
    <w:rsid w:val="007B05C4"/>
    <w:rsid w:val="007B60E9"/>
    <w:rsid w:val="007B6CC3"/>
    <w:rsid w:val="007B76D3"/>
    <w:rsid w:val="007C27E5"/>
    <w:rsid w:val="007C2999"/>
    <w:rsid w:val="007C3334"/>
    <w:rsid w:val="007C7056"/>
    <w:rsid w:val="007D2B98"/>
    <w:rsid w:val="007D7189"/>
    <w:rsid w:val="007E21BC"/>
    <w:rsid w:val="007E7ADB"/>
    <w:rsid w:val="007E7C82"/>
    <w:rsid w:val="007F2AA1"/>
    <w:rsid w:val="007F588D"/>
    <w:rsid w:val="0080232C"/>
    <w:rsid w:val="00803F1C"/>
    <w:rsid w:val="0080600E"/>
    <w:rsid w:val="00810D77"/>
    <w:rsid w:val="00810FE9"/>
    <w:rsid w:val="00811606"/>
    <w:rsid w:val="00814688"/>
    <w:rsid w:val="00817612"/>
    <w:rsid w:val="00823059"/>
    <w:rsid w:val="0082350F"/>
    <w:rsid w:val="00823734"/>
    <w:rsid w:val="00823B62"/>
    <w:rsid w:val="008338A4"/>
    <w:rsid w:val="00834D49"/>
    <w:rsid w:val="00835DBD"/>
    <w:rsid w:val="008362F6"/>
    <w:rsid w:val="00837C45"/>
    <w:rsid w:val="00843DAC"/>
    <w:rsid w:val="00844730"/>
    <w:rsid w:val="008457C2"/>
    <w:rsid w:val="00847CB9"/>
    <w:rsid w:val="00857A82"/>
    <w:rsid w:val="0086015D"/>
    <w:rsid w:val="00867314"/>
    <w:rsid w:val="00873836"/>
    <w:rsid w:val="00885737"/>
    <w:rsid w:val="00890650"/>
    <w:rsid w:val="00893262"/>
    <w:rsid w:val="00895406"/>
    <w:rsid w:val="00895F79"/>
    <w:rsid w:val="00896A27"/>
    <w:rsid w:val="00897E12"/>
    <w:rsid w:val="008A38C0"/>
    <w:rsid w:val="008A3C34"/>
    <w:rsid w:val="008A7E0F"/>
    <w:rsid w:val="008B02FE"/>
    <w:rsid w:val="008B12F5"/>
    <w:rsid w:val="008B631C"/>
    <w:rsid w:val="008C3DE2"/>
    <w:rsid w:val="008C4384"/>
    <w:rsid w:val="008C5E2D"/>
    <w:rsid w:val="008C78B9"/>
    <w:rsid w:val="008D768D"/>
    <w:rsid w:val="008E3759"/>
    <w:rsid w:val="008E3BFE"/>
    <w:rsid w:val="008F1912"/>
    <w:rsid w:val="008F6742"/>
    <w:rsid w:val="0090270B"/>
    <w:rsid w:val="009041DC"/>
    <w:rsid w:val="009063D1"/>
    <w:rsid w:val="009065AD"/>
    <w:rsid w:val="00913AB7"/>
    <w:rsid w:val="009149B7"/>
    <w:rsid w:val="00917B5A"/>
    <w:rsid w:val="00920A58"/>
    <w:rsid w:val="00920A8C"/>
    <w:rsid w:val="00934A2C"/>
    <w:rsid w:val="00936613"/>
    <w:rsid w:val="00941498"/>
    <w:rsid w:val="009564DB"/>
    <w:rsid w:val="009610D3"/>
    <w:rsid w:val="0096706E"/>
    <w:rsid w:val="00973F10"/>
    <w:rsid w:val="00974491"/>
    <w:rsid w:val="00975C4E"/>
    <w:rsid w:val="00981FBA"/>
    <w:rsid w:val="009837CF"/>
    <w:rsid w:val="00997BC5"/>
    <w:rsid w:val="009A4405"/>
    <w:rsid w:val="009A4F41"/>
    <w:rsid w:val="009B381B"/>
    <w:rsid w:val="009B4921"/>
    <w:rsid w:val="009B5C8C"/>
    <w:rsid w:val="009D1753"/>
    <w:rsid w:val="009D23B5"/>
    <w:rsid w:val="009D51FD"/>
    <w:rsid w:val="009D7611"/>
    <w:rsid w:val="009E0B61"/>
    <w:rsid w:val="009E53DE"/>
    <w:rsid w:val="00A0091B"/>
    <w:rsid w:val="00A02A04"/>
    <w:rsid w:val="00A07C9D"/>
    <w:rsid w:val="00A11212"/>
    <w:rsid w:val="00A115D1"/>
    <w:rsid w:val="00A11E44"/>
    <w:rsid w:val="00A1337E"/>
    <w:rsid w:val="00A150A0"/>
    <w:rsid w:val="00A22457"/>
    <w:rsid w:val="00A238E8"/>
    <w:rsid w:val="00A23C71"/>
    <w:rsid w:val="00A27E1F"/>
    <w:rsid w:val="00A30100"/>
    <w:rsid w:val="00A328B3"/>
    <w:rsid w:val="00A4448F"/>
    <w:rsid w:val="00A50FCF"/>
    <w:rsid w:val="00A528D1"/>
    <w:rsid w:val="00A5711B"/>
    <w:rsid w:val="00A610CD"/>
    <w:rsid w:val="00A61602"/>
    <w:rsid w:val="00A726B6"/>
    <w:rsid w:val="00A758AA"/>
    <w:rsid w:val="00A800DD"/>
    <w:rsid w:val="00A86B98"/>
    <w:rsid w:val="00A92A79"/>
    <w:rsid w:val="00A92B00"/>
    <w:rsid w:val="00A93B09"/>
    <w:rsid w:val="00A9750A"/>
    <w:rsid w:val="00AA09A2"/>
    <w:rsid w:val="00AA0FA8"/>
    <w:rsid w:val="00AA427C"/>
    <w:rsid w:val="00AA6726"/>
    <w:rsid w:val="00AA7996"/>
    <w:rsid w:val="00AB15A1"/>
    <w:rsid w:val="00AB46EF"/>
    <w:rsid w:val="00AB6E45"/>
    <w:rsid w:val="00AC19CB"/>
    <w:rsid w:val="00AC31BD"/>
    <w:rsid w:val="00AC693C"/>
    <w:rsid w:val="00AE4D0E"/>
    <w:rsid w:val="00AE5488"/>
    <w:rsid w:val="00AE6F91"/>
    <w:rsid w:val="00AF31BC"/>
    <w:rsid w:val="00AF5350"/>
    <w:rsid w:val="00AF5571"/>
    <w:rsid w:val="00AF66F5"/>
    <w:rsid w:val="00AF7AE2"/>
    <w:rsid w:val="00B06516"/>
    <w:rsid w:val="00B06896"/>
    <w:rsid w:val="00B07341"/>
    <w:rsid w:val="00B30539"/>
    <w:rsid w:val="00B314DB"/>
    <w:rsid w:val="00B361F2"/>
    <w:rsid w:val="00B3718B"/>
    <w:rsid w:val="00B3745F"/>
    <w:rsid w:val="00B4632A"/>
    <w:rsid w:val="00B52862"/>
    <w:rsid w:val="00B530F1"/>
    <w:rsid w:val="00B54829"/>
    <w:rsid w:val="00B75A39"/>
    <w:rsid w:val="00B8167B"/>
    <w:rsid w:val="00B8714A"/>
    <w:rsid w:val="00B93DF0"/>
    <w:rsid w:val="00BA276C"/>
    <w:rsid w:val="00BB2672"/>
    <w:rsid w:val="00BB306F"/>
    <w:rsid w:val="00BB608F"/>
    <w:rsid w:val="00BB735E"/>
    <w:rsid w:val="00BD222E"/>
    <w:rsid w:val="00BD4B89"/>
    <w:rsid w:val="00BD5922"/>
    <w:rsid w:val="00BE01F1"/>
    <w:rsid w:val="00BE09C4"/>
    <w:rsid w:val="00BE0B3D"/>
    <w:rsid w:val="00BE5CF5"/>
    <w:rsid w:val="00BF02CB"/>
    <w:rsid w:val="00BF3FBB"/>
    <w:rsid w:val="00BF6FD8"/>
    <w:rsid w:val="00C0093B"/>
    <w:rsid w:val="00C01140"/>
    <w:rsid w:val="00C03511"/>
    <w:rsid w:val="00C03680"/>
    <w:rsid w:val="00C040C9"/>
    <w:rsid w:val="00C054DF"/>
    <w:rsid w:val="00C077E7"/>
    <w:rsid w:val="00C13C08"/>
    <w:rsid w:val="00C14B58"/>
    <w:rsid w:val="00C167E6"/>
    <w:rsid w:val="00C21762"/>
    <w:rsid w:val="00C21FEF"/>
    <w:rsid w:val="00C23BA4"/>
    <w:rsid w:val="00C24543"/>
    <w:rsid w:val="00C252CC"/>
    <w:rsid w:val="00C256A2"/>
    <w:rsid w:val="00C25ADB"/>
    <w:rsid w:val="00C26EFD"/>
    <w:rsid w:val="00C400ED"/>
    <w:rsid w:val="00C444FF"/>
    <w:rsid w:val="00C44A9B"/>
    <w:rsid w:val="00C51515"/>
    <w:rsid w:val="00C517CC"/>
    <w:rsid w:val="00C5660B"/>
    <w:rsid w:val="00C66B72"/>
    <w:rsid w:val="00C75A95"/>
    <w:rsid w:val="00C87AC4"/>
    <w:rsid w:val="00C91D59"/>
    <w:rsid w:val="00C9567A"/>
    <w:rsid w:val="00C958D8"/>
    <w:rsid w:val="00CA080B"/>
    <w:rsid w:val="00CA3615"/>
    <w:rsid w:val="00CA75F5"/>
    <w:rsid w:val="00CB212D"/>
    <w:rsid w:val="00CB2660"/>
    <w:rsid w:val="00CC5E90"/>
    <w:rsid w:val="00CD046C"/>
    <w:rsid w:val="00CD177C"/>
    <w:rsid w:val="00CD2E32"/>
    <w:rsid w:val="00CD3739"/>
    <w:rsid w:val="00CD7B82"/>
    <w:rsid w:val="00CE076C"/>
    <w:rsid w:val="00CE13B3"/>
    <w:rsid w:val="00CE1795"/>
    <w:rsid w:val="00CE5199"/>
    <w:rsid w:val="00CE66D5"/>
    <w:rsid w:val="00CE7C2D"/>
    <w:rsid w:val="00CE7D14"/>
    <w:rsid w:val="00CF40F5"/>
    <w:rsid w:val="00CF637A"/>
    <w:rsid w:val="00D036A0"/>
    <w:rsid w:val="00D055D0"/>
    <w:rsid w:val="00D059DE"/>
    <w:rsid w:val="00D05ABD"/>
    <w:rsid w:val="00D13FCE"/>
    <w:rsid w:val="00D14589"/>
    <w:rsid w:val="00D2383F"/>
    <w:rsid w:val="00D306D1"/>
    <w:rsid w:val="00D30800"/>
    <w:rsid w:val="00D34786"/>
    <w:rsid w:val="00D37BFC"/>
    <w:rsid w:val="00D47A8E"/>
    <w:rsid w:val="00D510B2"/>
    <w:rsid w:val="00D5198B"/>
    <w:rsid w:val="00D52D14"/>
    <w:rsid w:val="00D57FD1"/>
    <w:rsid w:val="00D6241A"/>
    <w:rsid w:val="00D712D3"/>
    <w:rsid w:val="00D71422"/>
    <w:rsid w:val="00D7191B"/>
    <w:rsid w:val="00D72DC6"/>
    <w:rsid w:val="00D7558D"/>
    <w:rsid w:val="00D80EEF"/>
    <w:rsid w:val="00D81D92"/>
    <w:rsid w:val="00D83FE4"/>
    <w:rsid w:val="00D848B7"/>
    <w:rsid w:val="00D86FA3"/>
    <w:rsid w:val="00D876F9"/>
    <w:rsid w:val="00DA7B5F"/>
    <w:rsid w:val="00DC11E7"/>
    <w:rsid w:val="00DC24E3"/>
    <w:rsid w:val="00DC4D3E"/>
    <w:rsid w:val="00DC7023"/>
    <w:rsid w:val="00DC769A"/>
    <w:rsid w:val="00DD3D86"/>
    <w:rsid w:val="00DD4AD2"/>
    <w:rsid w:val="00DD5E1C"/>
    <w:rsid w:val="00DE0257"/>
    <w:rsid w:val="00DF1EC4"/>
    <w:rsid w:val="00E0340B"/>
    <w:rsid w:val="00E04A90"/>
    <w:rsid w:val="00E0551F"/>
    <w:rsid w:val="00E069FC"/>
    <w:rsid w:val="00E0767B"/>
    <w:rsid w:val="00E13B1D"/>
    <w:rsid w:val="00E219C7"/>
    <w:rsid w:val="00E23328"/>
    <w:rsid w:val="00E247FD"/>
    <w:rsid w:val="00E25A35"/>
    <w:rsid w:val="00E3143C"/>
    <w:rsid w:val="00E31495"/>
    <w:rsid w:val="00E33A6F"/>
    <w:rsid w:val="00E4118C"/>
    <w:rsid w:val="00E41D7B"/>
    <w:rsid w:val="00E43157"/>
    <w:rsid w:val="00E461CE"/>
    <w:rsid w:val="00E46BE8"/>
    <w:rsid w:val="00E4705D"/>
    <w:rsid w:val="00E573E4"/>
    <w:rsid w:val="00E64C3D"/>
    <w:rsid w:val="00E64E17"/>
    <w:rsid w:val="00E65BB6"/>
    <w:rsid w:val="00E720CA"/>
    <w:rsid w:val="00E80CE9"/>
    <w:rsid w:val="00E827F8"/>
    <w:rsid w:val="00E82DDC"/>
    <w:rsid w:val="00E84EB5"/>
    <w:rsid w:val="00E85662"/>
    <w:rsid w:val="00E8692C"/>
    <w:rsid w:val="00E8789F"/>
    <w:rsid w:val="00E97B71"/>
    <w:rsid w:val="00EA3D34"/>
    <w:rsid w:val="00EB454D"/>
    <w:rsid w:val="00EB45C3"/>
    <w:rsid w:val="00ED15DD"/>
    <w:rsid w:val="00ED2561"/>
    <w:rsid w:val="00ED28C4"/>
    <w:rsid w:val="00ED549D"/>
    <w:rsid w:val="00ED76BE"/>
    <w:rsid w:val="00EE00E9"/>
    <w:rsid w:val="00EF1AAA"/>
    <w:rsid w:val="00EF619B"/>
    <w:rsid w:val="00F00B55"/>
    <w:rsid w:val="00F02AD1"/>
    <w:rsid w:val="00F03EDC"/>
    <w:rsid w:val="00F134CE"/>
    <w:rsid w:val="00F253CC"/>
    <w:rsid w:val="00F37106"/>
    <w:rsid w:val="00F44E25"/>
    <w:rsid w:val="00F519CF"/>
    <w:rsid w:val="00F53C85"/>
    <w:rsid w:val="00F56BA5"/>
    <w:rsid w:val="00F60E22"/>
    <w:rsid w:val="00F6121F"/>
    <w:rsid w:val="00F81395"/>
    <w:rsid w:val="00F81BB8"/>
    <w:rsid w:val="00F836B7"/>
    <w:rsid w:val="00F86721"/>
    <w:rsid w:val="00F90C64"/>
    <w:rsid w:val="00F917D1"/>
    <w:rsid w:val="00F9653B"/>
    <w:rsid w:val="00F97AF7"/>
    <w:rsid w:val="00FA355F"/>
    <w:rsid w:val="00FA4373"/>
    <w:rsid w:val="00FA67EC"/>
    <w:rsid w:val="00FB62CF"/>
    <w:rsid w:val="00FB6A80"/>
    <w:rsid w:val="00FB75A2"/>
    <w:rsid w:val="00FD3C3B"/>
    <w:rsid w:val="00FD6D00"/>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C27E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0B6713"/>
    <w:rPr>
      <w:sz w:val="16"/>
      <w:szCs w:val="16"/>
    </w:rPr>
  </w:style>
  <w:style w:type="paragraph" w:styleId="CommentText">
    <w:name w:val="annotation text"/>
    <w:basedOn w:val="Normal"/>
    <w:link w:val="CommentTextChar"/>
    <w:uiPriority w:val="99"/>
    <w:unhideWhenUsed/>
    <w:rsid w:val="000B6713"/>
    <w:rPr>
      <w:sz w:val="20"/>
      <w:szCs w:val="20"/>
    </w:rPr>
  </w:style>
  <w:style w:type="character" w:customStyle="1" w:styleId="CommentTextChar">
    <w:name w:val="Comment Text Char"/>
    <w:basedOn w:val="DefaultParagraphFont"/>
    <w:link w:val="CommentText"/>
    <w:uiPriority w:val="99"/>
    <w:rsid w:val="000B6713"/>
    <w:rPr>
      <w:lang w:val="en-US" w:eastAsia="en-US"/>
    </w:rPr>
  </w:style>
  <w:style w:type="paragraph" w:styleId="CommentSubject">
    <w:name w:val="annotation subject"/>
    <w:basedOn w:val="CommentText"/>
    <w:next w:val="CommentText"/>
    <w:link w:val="CommentSubjectChar"/>
    <w:uiPriority w:val="99"/>
    <w:semiHidden/>
    <w:unhideWhenUsed/>
    <w:rsid w:val="000B6713"/>
    <w:rPr>
      <w:b/>
      <w:bCs/>
    </w:rPr>
  </w:style>
  <w:style w:type="character" w:customStyle="1" w:styleId="CommentSubjectChar">
    <w:name w:val="Comment Subject Char"/>
    <w:basedOn w:val="CommentTextChar"/>
    <w:link w:val="CommentSubject"/>
    <w:uiPriority w:val="99"/>
    <w:semiHidden/>
    <w:rsid w:val="000B6713"/>
    <w:rPr>
      <w:b/>
      <w:bCs/>
      <w:lang w:val="en-US" w:eastAsia="en-US"/>
    </w:rPr>
  </w:style>
  <w:style w:type="paragraph" w:styleId="Revision">
    <w:name w:val="Revision"/>
    <w:hidden/>
    <w:uiPriority w:val="99"/>
    <w:semiHidden/>
    <w:rsid w:val="00E46B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50387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50387B"/>
    <w:pPr>
      <w:numPr>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50387B"/>
    <w:rPr>
      <w:rFonts w:asciiTheme="majorHAnsi" w:hAnsiTheme="majorHAnsi"/>
      <w:color w:val="000000" w:themeColor="text1"/>
      <w:lang w:val="es-VE" w:eastAsia="en-US"/>
    </w:rPr>
  </w:style>
  <w:style w:type="paragraph" w:customStyle="1" w:styleId="paragraph">
    <w:name w:val="paragraph"/>
    <w:basedOn w:val="Normal"/>
    <w:rsid w:val="008F67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F6742"/>
  </w:style>
  <w:style w:type="character" w:customStyle="1" w:styleId="eop">
    <w:name w:val="eop"/>
    <w:basedOn w:val="DefaultParagraphFont"/>
    <w:rsid w:val="008F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4104">
      <w:bodyDiv w:val="1"/>
      <w:marLeft w:val="0"/>
      <w:marRight w:val="0"/>
      <w:marTop w:val="0"/>
      <w:marBottom w:val="0"/>
      <w:divBdr>
        <w:top w:val="none" w:sz="0" w:space="0" w:color="auto"/>
        <w:left w:val="none" w:sz="0" w:space="0" w:color="auto"/>
        <w:bottom w:val="none" w:sz="0" w:space="0" w:color="auto"/>
        <w:right w:val="none" w:sz="0" w:space="0" w:color="auto"/>
      </w:divBdr>
      <w:divsChild>
        <w:div w:id="766265597">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39520728">
      <w:bodyDiv w:val="1"/>
      <w:marLeft w:val="0"/>
      <w:marRight w:val="0"/>
      <w:marTop w:val="0"/>
      <w:marBottom w:val="0"/>
      <w:divBdr>
        <w:top w:val="none" w:sz="0" w:space="0" w:color="auto"/>
        <w:left w:val="none" w:sz="0" w:space="0" w:color="auto"/>
        <w:bottom w:val="none" w:sz="0" w:space="0" w:color="auto"/>
        <w:right w:val="none" w:sz="0" w:space="0" w:color="auto"/>
      </w:divBdr>
      <w:divsChild>
        <w:div w:id="1555896209">
          <w:marLeft w:val="-225"/>
          <w:marRight w:val="-225"/>
          <w:marTop w:val="0"/>
          <w:marBottom w:val="0"/>
          <w:divBdr>
            <w:top w:val="none" w:sz="0" w:space="0" w:color="auto"/>
            <w:left w:val="none" w:sz="0" w:space="0" w:color="auto"/>
            <w:bottom w:val="single" w:sz="6" w:space="0" w:color="DEE2E6"/>
            <w:right w:val="none" w:sz="0" w:space="0" w:color="auto"/>
          </w:divBdr>
          <w:divsChild>
            <w:div w:id="1954628942">
              <w:marLeft w:val="0"/>
              <w:marRight w:val="0"/>
              <w:marTop w:val="0"/>
              <w:marBottom w:val="0"/>
              <w:divBdr>
                <w:top w:val="none" w:sz="0" w:space="0" w:color="auto"/>
                <w:left w:val="none" w:sz="0" w:space="0" w:color="auto"/>
                <w:bottom w:val="none" w:sz="0" w:space="0" w:color="auto"/>
                <w:right w:val="none" w:sz="0" w:space="0" w:color="auto"/>
              </w:divBdr>
              <w:divsChild>
                <w:div w:id="12070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824D7"/>
    <w:rsid w:val="00200821"/>
    <w:rsid w:val="00201CE6"/>
    <w:rsid w:val="0025245B"/>
    <w:rsid w:val="002A3923"/>
    <w:rsid w:val="00394049"/>
    <w:rsid w:val="00402ECC"/>
    <w:rsid w:val="004B5BBB"/>
    <w:rsid w:val="004F2DF8"/>
    <w:rsid w:val="005B76F9"/>
    <w:rsid w:val="005D7260"/>
    <w:rsid w:val="00671B51"/>
    <w:rsid w:val="006F24A1"/>
    <w:rsid w:val="00772B4B"/>
    <w:rsid w:val="00794FF8"/>
    <w:rsid w:val="0093402D"/>
    <w:rsid w:val="009A261B"/>
    <w:rsid w:val="00AA2E17"/>
    <w:rsid w:val="00AC15A4"/>
    <w:rsid w:val="00AC7B47"/>
    <w:rsid w:val="00AE775C"/>
    <w:rsid w:val="00AE788E"/>
    <w:rsid w:val="00B0336C"/>
    <w:rsid w:val="00B30277"/>
    <w:rsid w:val="00BA359C"/>
    <w:rsid w:val="00BD5A98"/>
    <w:rsid w:val="00D241E9"/>
    <w:rsid w:val="00D248CC"/>
    <w:rsid w:val="00D7750D"/>
    <w:rsid w:val="00F00D2F"/>
    <w:rsid w:val="00F128DF"/>
    <w:rsid w:val="00F17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4881</Words>
  <Characters>27824</Characters>
  <Application>Microsoft Office Word</Application>
  <DocSecurity>0</DocSecurity>
  <Lines>231</Lines>
  <Paragraphs>65</Paragraphs>
  <ScaleCrop>false</ScaleCrop>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2024-01-26T18:00:00Z</dcterms:created>
  <dcterms:modified xsi:type="dcterms:W3CDTF">2024-01-26T18:00:00Z</dcterms:modified>
</cp:coreProperties>
</file>