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F97F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0D576A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261F0">
                              <w:rPr>
                                <w:rFonts w:asciiTheme="majorHAnsi" w:hAnsiTheme="majorHAnsi" w:cs="Arial"/>
                                <w:b/>
                                <w:bCs/>
                                <w:color w:val="0D0D0D" w:themeColor="text1" w:themeTint="F2"/>
                                <w:sz w:val="36"/>
                                <w:szCs w:val="22"/>
                                <w:lang w:val="es-ES_tradnl"/>
                              </w:rPr>
                              <w:t>239</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577D3BE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D21C7">
                              <w:rPr>
                                <w:rFonts w:asciiTheme="majorHAnsi" w:hAnsiTheme="majorHAnsi" w:cs="Arial"/>
                                <w:b/>
                                <w:color w:val="0D0D0D" w:themeColor="text1" w:themeTint="F2"/>
                                <w:sz w:val="36"/>
                                <w:szCs w:val="22"/>
                                <w:lang w:val="es-ES_tradnl"/>
                              </w:rPr>
                              <w:t>467-12</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224D170C" w:rsidR="005B52B0" w:rsidRPr="0010736F" w:rsidRDefault="001D21C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ERNESTO CRUZ GUEVARA</w:t>
                            </w:r>
                            <w:r w:rsidR="003A4D4D">
                              <w:rPr>
                                <w:rFonts w:asciiTheme="majorHAnsi" w:hAnsiTheme="majorHAnsi" w:cs="Arial"/>
                                <w:color w:val="0D0D0D" w:themeColor="text1" w:themeTint="F2"/>
                                <w:szCs w:val="22"/>
                                <w:lang w:val="es-ES_tradnl"/>
                              </w:rPr>
                              <w:t xml:space="preserve"> 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0D576A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261F0">
                        <w:rPr>
                          <w:rFonts w:asciiTheme="majorHAnsi" w:hAnsiTheme="majorHAnsi" w:cs="Arial"/>
                          <w:b/>
                          <w:bCs/>
                          <w:color w:val="0D0D0D" w:themeColor="text1" w:themeTint="F2"/>
                          <w:sz w:val="36"/>
                          <w:szCs w:val="22"/>
                          <w:lang w:val="es-ES_tradnl"/>
                        </w:rPr>
                        <w:t>239</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577D3BE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D21C7">
                        <w:rPr>
                          <w:rFonts w:asciiTheme="majorHAnsi" w:hAnsiTheme="majorHAnsi" w:cs="Arial"/>
                          <w:b/>
                          <w:color w:val="0D0D0D" w:themeColor="text1" w:themeTint="F2"/>
                          <w:sz w:val="36"/>
                          <w:szCs w:val="22"/>
                          <w:lang w:val="es-ES_tradnl"/>
                        </w:rPr>
                        <w:t>467-12</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224D170C" w:rsidR="005B52B0" w:rsidRPr="0010736F" w:rsidRDefault="001D21C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ERNESTO CRUZ GUEVARA</w:t>
                      </w:r>
                      <w:r w:rsidR="003A4D4D">
                        <w:rPr>
                          <w:rFonts w:asciiTheme="majorHAnsi" w:hAnsiTheme="majorHAnsi" w:cs="Arial"/>
                          <w:color w:val="0D0D0D" w:themeColor="text1" w:themeTint="F2"/>
                          <w:szCs w:val="22"/>
                          <w:lang w:val="es-ES_tradnl"/>
                        </w:rPr>
                        <w:t xml:space="preserve"> 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D2E84E6" w:rsidR="00627C9F" w:rsidRPr="00CF759D" w:rsidRDefault="00834D49" w:rsidP="007A5817">
                            <w:pPr>
                              <w:spacing w:line="276" w:lineRule="auto"/>
                              <w:jc w:val="right"/>
                              <w:rPr>
                                <w:rFonts w:asciiTheme="minorHAnsi" w:hAnsiTheme="minorHAnsi"/>
                                <w:color w:val="FFFFFF" w:themeColor="background1"/>
                                <w:sz w:val="22"/>
                                <w:lang w:val="es-AR"/>
                              </w:rPr>
                            </w:pPr>
                            <w:r w:rsidRPr="00CF759D">
                              <w:rPr>
                                <w:rFonts w:asciiTheme="minorHAnsi" w:hAnsiTheme="minorHAnsi"/>
                                <w:color w:val="FFFFFF" w:themeColor="background1"/>
                                <w:sz w:val="22"/>
                                <w:lang w:val="es-AR"/>
                              </w:rPr>
                              <w:t>OEA/Ser.L/V/II</w:t>
                            </w:r>
                          </w:p>
                          <w:p w14:paraId="71D2D5D2" w14:textId="04C997E2" w:rsidR="00627C9F" w:rsidRPr="00CF759D" w:rsidRDefault="00627C9F" w:rsidP="007A5817">
                            <w:pPr>
                              <w:spacing w:line="276" w:lineRule="auto"/>
                              <w:jc w:val="right"/>
                              <w:rPr>
                                <w:rFonts w:asciiTheme="minorHAnsi" w:hAnsiTheme="minorHAnsi"/>
                                <w:color w:val="FFFFFF" w:themeColor="background1"/>
                                <w:sz w:val="22"/>
                                <w:lang w:val="es-AR"/>
                              </w:rPr>
                            </w:pPr>
                            <w:r w:rsidRPr="00CF759D">
                              <w:rPr>
                                <w:rFonts w:asciiTheme="minorHAnsi" w:hAnsiTheme="minorHAnsi"/>
                                <w:color w:val="FFFFFF" w:themeColor="background1"/>
                                <w:sz w:val="22"/>
                                <w:lang w:val="es-AR"/>
                              </w:rPr>
                              <w:t xml:space="preserve">Doc. </w:t>
                            </w:r>
                            <w:r w:rsidR="00523B64" w:rsidRPr="00CF759D">
                              <w:rPr>
                                <w:rFonts w:asciiTheme="minorHAnsi" w:hAnsiTheme="minorHAnsi"/>
                                <w:color w:val="FFFFFF" w:themeColor="background1"/>
                                <w:sz w:val="22"/>
                                <w:lang w:val="es-AR"/>
                              </w:rPr>
                              <w:t>258</w:t>
                            </w:r>
                          </w:p>
                          <w:p w14:paraId="4061DBBD" w14:textId="72A647F4" w:rsidR="00627C9F" w:rsidRPr="00C25ADB" w:rsidRDefault="00523B6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D2E84E6" w:rsidR="00627C9F" w:rsidRPr="00CF759D" w:rsidRDefault="00834D49" w:rsidP="007A5817">
                      <w:pPr>
                        <w:spacing w:line="276" w:lineRule="auto"/>
                        <w:jc w:val="right"/>
                        <w:rPr>
                          <w:rFonts w:asciiTheme="minorHAnsi" w:hAnsiTheme="minorHAnsi"/>
                          <w:color w:val="FFFFFF" w:themeColor="background1"/>
                          <w:sz w:val="22"/>
                          <w:lang w:val="es-AR"/>
                        </w:rPr>
                      </w:pPr>
                      <w:r w:rsidRPr="00CF759D">
                        <w:rPr>
                          <w:rFonts w:asciiTheme="minorHAnsi" w:hAnsiTheme="minorHAnsi"/>
                          <w:color w:val="FFFFFF" w:themeColor="background1"/>
                          <w:sz w:val="22"/>
                          <w:lang w:val="es-AR"/>
                        </w:rPr>
                        <w:t>OEA/Ser.L/V/II</w:t>
                      </w:r>
                    </w:p>
                    <w:p w14:paraId="71D2D5D2" w14:textId="04C997E2" w:rsidR="00627C9F" w:rsidRPr="00CF759D" w:rsidRDefault="00627C9F" w:rsidP="007A5817">
                      <w:pPr>
                        <w:spacing w:line="276" w:lineRule="auto"/>
                        <w:jc w:val="right"/>
                        <w:rPr>
                          <w:rFonts w:asciiTheme="minorHAnsi" w:hAnsiTheme="minorHAnsi"/>
                          <w:color w:val="FFFFFF" w:themeColor="background1"/>
                          <w:sz w:val="22"/>
                          <w:lang w:val="es-AR"/>
                        </w:rPr>
                      </w:pPr>
                      <w:r w:rsidRPr="00CF759D">
                        <w:rPr>
                          <w:rFonts w:asciiTheme="minorHAnsi" w:hAnsiTheme="minorHAnsi"/>
                          <w:color w:val="FFFFFF" w:themeColor="background1"/>
                          <w:sz w:val="22"/>
                          <w:lang w:val="es-AR"/>
                        </w:rPr>
                        <w:t xml:space="preserve">Doc. </w:t>
                      </w:r>
                      <w:r w:rsidR="00523B64" w:rsidRPr="00CF759D">
                        <w:rPr>
                          <w:rFonts w:asciiTheme="minorHAnsi" w:hAnsiTheme="minorHAnsi"/>
                          <w:color w:val="FFFFFF" w:themeColor="background1"/>
                          <w:sz w:val="22"/>
                          <w:lang w:val="es-AR"/>
                        </w:rPr>
                        <w:t>258</w:t>
                      </w:r>
                    </w:p>
                    <w:p w14:paraId="4061DBBD" w14:textId="72A647F4" w:rsidR="00627C9F" w:rsidRPr="00C25ADB" w:rsidRDefault="00523B6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656D64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23B64">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523B64">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523B6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656D64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23B64">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523B64">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523B6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24B04" w14:textId="77777777" w:rsidR="00523B6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23B64" w:rsidRPr="00523B64">
                              <w:rPr>
                                <w:rFonts w:asciiTheme="majorHAnsi" w:hAnsiTheme="majorHAnsi"/>
                                <w:color w:val="595959" w:themeColor="text1" w:themeTint="A6"/>
                                <w:sz w:val="18"/>
                                <w:szCs w:val="18"/>
                                <w:lang w:val="pt-BR"/>
                              </w:rPr>
                              <w:t>239</w:t>
                            </w:r>
                            <w:r w:rsidR="007B05C4" w:rsidRPr="00523B64">
                              <w:rPr>
                                <w:rFonts w:asciiTheme="majorHAnsi" w:hAnsiTheme="majorHAnsi"/>
                                <w:color w:val="595959" w:themeColor="text1" w:themeTint="A6"/>
                                <w:sz w:val="18"/>
                                <w:szCs w:val="18"/>
                                <w:lang w:val="pt-BR"/>
                              </w:rPr>
                              <w:t>/</w:t>
                            </w:r>
                            <w:r w:rsidR="00523B64" w:rsidRPr="00523B64">
                              <w:rPr>
                                <w:rFonts w:asciiTheme="majorHAnsi" w:hAnsiTheme="majorHAnsi"/>
                                <w:color w:val="595959" w:themeColor="text1" w:themeTint="A6"/>
                                <w:sz w:val="18"/>
                                <w:szCs w:val="18"/>
                                <w:lang w:val="pt-BR"/>
                              </w:rPr>
                              <w:t>23</w:t>
                            </w:r>
                            <w:r w:rsidRPr="00523B6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D21C7">
                              <w:rPr>
                                <w:rFonts w:asciiTheme="majorHAnsi" w:hAnsiTheme="majorHAnsi"/>
                                <w:color w:val="595959" w:themeColor="text1" w:themeTint="A6"/>
                                <w:sz w:val="18"/>
                                <w:szCs w:val="18"/>
                                <w:lang w:val="es-ES"/>
                              </w:rPr>
                              <w:t>467-12</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7183A2A6" w:rsidR="00113F73" w:rsidRPr="007B05C4" w:rsidRDefault="001D21C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Ernesto Cruz Guevara</w:t>
                            </w:r>
                            <w:r w:rsidR="003A4D4D">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523B64">
                              <w:rPr>
                                <w:rFonts w:asciiTheme="majorHAnsi" w:hAnsiTheme="majorHAnsi"/>
                                <w:color w:val="595959" w:themeColor="text1" w:themeTint="A6"/>
                                <w:sz w:val="18"/>
                                <w:szCs w:val="18"/>
                                <w:lang w:val="es-ES"/>
                              </w:rPr>
                              <w:t>20 de octubre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AA24B04" w14:textId="77777777" w:rsidR="00523B6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23B64" w:rsidRPr="00523B64">
                        <w:rPr>
                          <w:rFonts w:asciiTheme="majorHAnsi" w:hAnsiTheme="majorHAnsi"/>
                          <w:color w:val="595959" w:themeColor="text1" w:themeTint="A6"/>
                          <w:sz w:val="18"/>
                          <w:szCs w:val="18"/>
                          <w:lang w:val="pt-BR"/>
                        </w:rPr>
                        <w:t>239</w:t>
                      </w:r>
                      <w:r w:rsidR="007B05C4" w:rsidRPr="00523B64">
                        <w:rPr>
                          <w:rFonts w:asciiTheme="majorHAnsi" w:hAnsiTheme="majorHAnsi"/>
                          <w:color w:val="595959" w:themeColor="text1" w:themeTint="A6"/>
                          <w:sz w:val="18"/>
                          <w:szCs w:val="18"/>
                          <w:lang w:val="pt-BR"/>
                        </w:rPr>
                        <w:t>/</w:t>
                      </w:r>
                      <w:r w:rsidR="00523B64" w:rsidRPr="00523B64">
                        <w:rPr>
                          <w:rFonts w:asciiTheme="majorHAnsi" w:hAnsiTheme="majorHAnsi"/>
                          <w:color w:val="595959" w:themeColor="text1" w:themeTint="A6"/>
                          <w:sz w:val="18"/>
                          <w:szCs w:val="18"/>
                          <w:lang w:val="pt-BR"/>
                        </w:rPr>
                        <w:t>23</w:t>
                      </w:r>
                      <w:r w:rsidRPr="00523B6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D21C7">
                        <w:rPr>
                          <w:rFonts w:asciiTheme="majorHAnsi" w:hAnsiTheme="majorHAnsi"/>
                          <w:color w:val="595959" w:themeColor="text1" w:themeTint="A6"/>
                          <w:sz w:val="18"/>
                          <w:szCs w:val="18"/>
                          <w:lang w:val="es-ES"/>
                        </w:rPr>
                        <w:t>467-12</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7183A2A6" w:rsidR="00113F73" w:rsidRPr="007B05C4" w:rsidRDefault="001D21C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Ernesto Cruz Guevara</w:t>
                      </w:r>
                      <w:r w:rsidR="003A4D4D">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523B64">
                        <w:rPr>
                          <w:rFonts w:asciiTheme="majorHAnsi" w:hAnsiTheme="majorHAnsi"/>
                          <w:color w:val="595959" w:themeColor="text1" w:themeTint="A6"/>
                          <w:sz w:val="18"/>
                          <w:szCs w:val="18"/>
                          <w:lang w:val="es-ES"/>
                        </w:rPr>
                        <w:t>20 de octubre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EBECEF4" w:rsidR="00D72DC6" w:rsidRPr="00D72DC6" w:rsidRDefault="00626DE8" w:rsidP="00F02AD1">
                            <w:pPr>
                              <w:rPr>
                                <w:color w:val="FFFFFF" w:themeColor="background1"/>
                                <w14:textFill>
                                  <w14:noFill/>
                                </w14:textFill>
                              </w:rPr>
                            </w:pPr>
                            <w:r>
                              <w:rPr>
                                <w:noProof/>
                                <w:color w:val="FFFFFF" w:themeColor="background1"/>
                              </w:rPr>
                              <w:drawing>
                                <wp:inline distT="0" distB="0" distL="0" distR="0" wp14:anchorId="29166B91" wp14:editId="5C295624">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6EBECEF4" w:rsidR="00D72DC6" w:rsidRPr="00D72DC6" w:rsidRDefault="00626DE8" w:rsidP="00F02AD1">
                      <w:pPr>
                        <w:rPr>
                          <w:color w:val="FFFFFF" w:themeColor="background1"/>
                          <w14:textFill>
                            <w14:noFill/>
                          </w14:textFill>
                        </w:rPr>
                      </w:pPr>
                      <w:r>
                        <w:rPr>
                          <w:noProof/>
                          <w:color w:val="FFFFFF" w:themeColor="background1"/>
                        </w:rPr>
                        <w:drawing>
                          <wp:inline distT="0" distB="0" distL="0" distR="0" wp14:anchorId="29166B91" wp14:editId="5C295624">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1075B" w:rsidRDefault="004A6A54" w:rsidP="005516A1">
      <w:pPr>
        <w:tabs>
          <w:tab w:val="center" w:pos="5400"/>
        </w:tabs>
        <w:suppressAutoHyphens/>
        <w:jc w:val="center"/>
        <w:rPr>
          <w:rFonts w:asciiTheme="majorHAnsi" w:hAnsiTheme="majorHAnsi"/>
          <w:b/>
          <w:sz w:val="20"/>
          <w:lang w:val="es-419"/>
        </w:rPr>
        <w:sectPr w:rsidR="0070697F" w:rsidRPr="0011075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10C49A16" w:rsidR="003239B8" w:rsidRPr="005403A2" w:rsidRDefault="0073487D" w:rsidP="008D2290">
            <w:pPr>
              <w:jc w:val="both"/>
              <w:rPr>
                <w:rFonts w:ascii="Cambria" w:hAnsi="Cambria"/>
                <w:bCs/>
                <w:sz w:val="20"/>
                <w:szCs w:val="20"/>
                <w:lang w:val="es-419"/>
              </w:rPr>
            </w:pPr>
            <w:r w:rsidRPr="005403A2">
              <w:rPr>
                <w:rFonts w:ascii="Cambria" w:hAnsi="Cambria"/>
                <w:bCs/>
                <w:sz w:val="20"/>
                <w:szCs w:val="20"/>
                <w:lang w:val="es-419"/>
              </w:rPr>
              <w:t>Centro Jurídico de Derechos Humanos (“CJDH”)</w:t>
            </w:r>
            <w:r w:rsidRPr="005403A2">
              <w:rPr>
                <w:rStyle w:val="FootnoteReference"/>
                <w:rFonts w:ascii="Cambria" w:hAnsi="Cambria"/>
                <w:bCs/>
                <w:sz w:val="20"/>
                <w:szCs w:val="20"/>
                <w:lang w:val="es-419"/>
              </w:rPr>
              <w:footnoteReference w:id="2"/>
            </w:r>
          </w:p>
        </w:tc>
      </w:tr>
      <w:tr w:rsidR="003239B8" w:rsidRPr="00F711C3"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D83983"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29E7EF0C" w:rsidR="001D21C7" w:rsidRPr="0011075B" w:rsidRDefault="001D21C7" w:rsidP="00FC6219">
            <w:pPr>
              <w:jc w:val="both"/>
              <w:rPr>
                <w:rFonts w:ascii="Cambria" w:hAnsi="Cambria"/>
                <w:bCs/>
                <w:sz w:val="20"/>
                <w:szCs w:val="20"/>
                <w:lang w:val="es-419"/>
              </w:rPr>
            </w:pPr>
            <w:r w:rsidRPr="0011075B">
              <w:rPr>
                <w:rFonts w:ascii="Cambria" w:hAnsi="Cambria"/>
                <w:bCs/>
                <w:sz w:val="20"/>
                <w:szCs w:val="20"/>
                <w:lang w:val="es-419"/>
              </w:rPr>
              <w:t>Ernesto Cruz Guevara y familiares</w:t>
            </w:r>
            <w:r w:rsidR="0026174C" w:rsidRPr="0011075B">
              <w:rPr>
                <w:rStyle w:val="FootnoteReference"/>
                <w:rFonts w:ascii="Cambria" w:hAnsi="Cambria"/>
                <w:bCs/>
                <w:sz w:val="20"/>
                <w:szCs w:val="20"/>
                <w:lang w:val="es-419"/>
              </w:rPr>
              <w:footnoteReference w:id="3"/>
            </w:r>
            <w:r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4"/>
            </w:r>
          </w:p>
        </w:tc>
      </w:tr>
      <w:tr w:rsidR="00223A29" w:rsidRPr="00CF759D"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376363A0" w:rsidR="00223A29" w:rsidRPr="0011075B" w:rsidRDefault="00A34797" w:rsidP="008D2290">
            <w:pPr>
              <w:jc w:val="both"/>
              <w:rPr>
                <w:rFonts w:ascii="Cambria" w:hAnsi="Cambria"/>
                <w:bCs/>
                <w:sz w:val="20"/>
                <w:szCs w:val="20"/>
                <w:lang w:val="es-419"/>
              </w:rPr>
            </w:pPr>
            <w:r w:rsidRPr="0011075B">
              <w:rPr>
                <w:rFonts w:ascii="Cambria" w:hAnsi="Cambria"/>
                <w:bCs/>
                <w:sz w:val="20"/>
                <w:szCs w:val="20"/>
                <w:lang w:val="es-419" w:bidi="es-ES"/>
              </w:rPr>
              <w:t xml:space="preserve">Artículos 4 (vida), 5 (integridad </w:t>
            </w:r>
            <w:r w:rsidRPr="005403A2">
              <w:rPr>
                <w:rFonts w:ascii="Cambria" w:hAnsi="Cambria"/>
                <w:bCs/>
                <w:sz w:val="20"/>
                <w:szCs w:val="20"/>
                <w:lang w:val="es-419" w:bidi="es-ES"/>
              </w:rPr>
              <w:t xml:space="preserve">personal), </w:t>
            </w:r>
            <w:r w:rsidR="00FF2079" w:rsidRPr="005403A2">
              <w:rPr>
                <w:rFonts w:ascii="Cambria" w:hAnsi="Cambria"/>
                <w:bCs/>
                <w:sz w:val="20"/>
                <w:szCs w:val="20"/>
                <w:lang w:val="es-419" w:bidi="es-ES"/>
              </w:rPr>
              <w:t xml:space="preserve">7 (libertad personal), </w:t>
            </w:r>
            <w:r w:rsidR="001D21C7" w:rsidRPr="005403A2">
              <w:rPr>
                <w:rFonts w:ascii="Cambria" w:hAnsi="Cambria"/>
                <w:bCs/>
                <w:sz w:val="20"/>
                <w:szCs w:val="20"/>
                <w:lang w:val="es-419" w:bidi="es-ES"/>
              </w:rPr>
              <w:t>8 (garantías judiciales)</w:t>
            </w:r>
            <w:r w:rsidR="00FF2079" w:rsidRPr="005403A2">
              <w:rPr>
                <w:rFonts w:ascii="Cambria" w:hAnsi="Cambria"/>
                <w:bCs/>
                <w:sz w:val="20"/>
                <w:szCs w:val="20"/>
                <w:lang w:val="es-419" w:bidi="es-ES"/>
              </w:rPr>
              <w:t>, 11 (</w:t>
            </w:r>
            <w:r w:rsidR="00304171" w:rsidRPr="005403A2">
              <w:rPr>
                <w:rFonts w:ascii="Cambria" w:hAnsi="Cambria"/>
                <w:bCs/>
                <w:sz w:val="20"/>
                <w:szCs w:val="20"/>
                <w:lang w:val="es-419" w:bidi="es-ES"/>
              </w:rPr>
              <w:t>protección a la honra y dignidad)</w:t>
            </w:r>
            <w:r w:rsidR="001D21C7" w:rsidRPr="005403A2">
              <w:rPr>
                <w:rFonts w:ascii="Cambria" w:hAnsi="Cambria"/>
                <w:bCs/>
                <w:sz w:val="20"/>
                <w:szCs w:val="20"/>
                <w:lang w:val="es-419" w:bidi="es-ES"/>
              </w:rPr>
              <w:t xml:space="preserve"> y 25 (protección judicial)</w:t>
            </w:r>
            <w:r w:rsidRPr="005403A2">
              <w:rPr>
                <w:rFonts w:ascii="Cambria" w:hAnsi="Cambria"/>
                <w:bCs/>
                <w:sz w:val="20"/>
                <w:szCs w:val="20"/>
                <w:lang w:val="es-419" w:bidi="es-ES"/>
              </w:rPr>
              <w:t xml:space="preserve"> de la Convención Americana sobre Derechos</w:t>
            </w:r>
            <w:r w:rsidRPr="0011075B">
              <w:rPr>
                <w:rFonts w:ascii="Cambria" w:hAnsi="Cambria"/>
                <w:bCs/>
                <w:sz w:val="20"/>
                <w:szCs w:val="20"/>
                <w:lang w:val="es-419" w:bidi="es-ES"/>
              </w:rPr>
              <w:t xml:space="preserve"> Humanos</w:t>
            </w:r>
            <w:r w:rsidR="00785B6C" w:rsidRPr="0011075B">
              <w:rPr>
                <w:rFonts w:ascii="Cambria" w:hAnsi="Cambria"/>
                <w:bCs/>
                <w:sz w:val="20"/>
                <w:szCs w:val="20"/>
                <w:vertAlign w:val="superscript"/>
                <w:lang w:val="es-419" w:bidi="es-ES"/>
              </w:rPr>
              <w:footnoteReference w:id="5"/>
            </w:r>
            <w:r w:rsidRPr="0011075B">
              <w:rPr>
                <w:rFonts w:ascii="Cambria" w:hAnsi="Cambria"/>
                <w:bCs/>
                <w:sz w:val="20"/>
                <w:szCs w:val="20"/>
                <w:lang w:val="es-419" w:bidi="es-ES"/>
              </w:rPr>
              <w:t>, en relación con su artículo 1.1</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11075B" w:rsidRDefault="004A6A54" w:rsidP="004A6A54">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w:t>
            </w:r>
            <w:r w:rsidR="004C2312" w:rsidRPr="0011075B">
              <w:rPr>
                <w:rFonts w:ascii="Cambria" w:hAnsi="Cambria"/>
                <w:b/>
                <w:bCs/>
                <w:color w:val="FFFFFF" w:themeColor="background1"/>
                <w:sz w:val="20"/>
                <w:szCs w:val="20"/>
                <w:lang w:val="es-419"/>
              </w:rPr>
              <w:t>resentación de la petición:</w:t>
            </w:r>
          </w:p>
        </w:tc>
        <w:tc>
          <w:tcPr>
            <w:tcW w:w="5760" w:type="dxa"/>
            <w:vAlign w:val="center"/>
          </w:tcPr>
          <w:p w14:paraId="6883A5F8" w14:textId="08B3ABED" w:rsidR="004C2312" w:rsidRPr="0011075B" w:rsidRDefault="001D21C7" w:rsidP="002625EA">
            <w:pPr>
              <w:jc w:val="both"/>
              <w:rPr>
                <w:rFonts w:ascii="Cambria" w:hAnsi="Cambria"/>
                <w:bCs/>
                <w:sz w:val="20"/>
                <w:szCs w:val="20"/>
                <w:lang w:val="es-419"/>
              </w:rPr>
            </w:pPr>
            <w:r w:rsidRPr="0011075B">
              <w:rPr>
                <w:rFonts w:ascii="Cambria" w:hAnsi="Cambria"/>
                <w:bCs/>
                <w:sz w:val="20"/>
                <w:szCs w:val="20"/>
                <w:lang w:val="es-419"/>
              </w:rPr>
              <w:t>22 de marzo de 2012</w:t>
            </w:r>
          </w:p>
        </w:tc>
      </w:tr>
      <w:tr w:rsidR="001D21C7" w:rsidRPr="0011075B" w14:paraId="54F62341" w14:textId="77777777" w:rsidTr="004A6A54">
        <w:tc>
          <w:tcPr>
            <w:tcW w:w="3600" w:type="dxa"/>
            <w:tcBorders>
              <w:top w:val="single" w:sz="6" w:space="0" w:color="auto"/>
              <w:bottom w:val="single" w:sz="6" w:space="0" w:color="auto"/>
            </w:tcBorders>
            <w:shd w:val="clear" w:color="auto" w:fill="386294"/>
            <w:vAlign w:val="center"/>
          </w:tcPr>
          <w:p w14:paraId="48CC6F04" w14:textId="77777777" w:rsidR="001D21C7" w:rsidRPr="0011075B" w:rsidRDefault="001D21C7" w:rsidP="001D21C7">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Información adicional recibida durante la etapa de estudio:</w:t>
            </w:r>
          </w:p>
        </w:tc>
        <w:tc>
          <w:tcPr>
            <w:tcW w:w="5760" w:type="dxa"/>
            <w:vAlign w:val="center"/>
          </w:tcPr>
          <w:p w14:paraId="65CBC29E" w14:textId="1898B33C" w:rsidR="001D21C7" w:rsidRPr="0011075B" w:rsidRDefault="000444E7" w:rsidP="001D21C7">
            <w:pPr>
              <w:jc w:val="both"/>
              <w:rPr>
                <w:rFonts w:ascii="Cambria" w:hAnsi="Cambria"/>
                <w:bCs/>
                <w:sz w:val="20"/>
                <w:szCs w:val="20"/>
                <w:lang w:val="es-419"/>
              </w:rPr>
            </w:pPr>
            <w:r w:rsidRPr="0011075B">
              <w:rPr>
                <w:rFonts w:ascii="Cambria" w:hAnsi="Cambria"/>
                <w:bCs/>
                <w:sz w:val="20"/>
                <w:szCs w:val="20"/>
                <w:lang w:val="es-419"/>
              </w:rPr>
              <w:t>15 de mayo de 2017</w:t>
            </w:r>
          </w:p>
        </w:tc>
      </w:tr>
      <w:tr w:rsidR="001D21C7" w:rsidRPr="0011075B"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1D21C7" w:rsidRPr="0011075B" w:rsidRDefault="00974312" w:rsidP="001D21C7">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w:t>
            </w:r>
            <w:r w:rsidR="001D21C7" w:rsidRPr="0011075B">
              <w:rPr>
                <w:rFonts w:ascii="Cambria" w:hAnsi="Cambria"/>
                <w:b/>
                <w:color w:val="FFFFFF" w:themeColor="background1"/>
                <w:sz w:val="20"/>
                <w:szCs w:val="20"/>
                <w:lang w:val="es-419"/>
              </w:rPr>
              <w:t>otificación de la petición al Estado:</w:t>
            </w:r>
          </w:p>
        </w:tc>
        <w:tc>
          <w:tcPr>
            <w:tcW w:w="5760" w:type="dxa"/>
            <w:vAlign w:val="center"/>
          </w:tcPr>
          <w:p w14:paraId="58485921" w14:textId="72BB6130" w:rsidR="001D21C7" w:rsidRPr="0011075B" w:rsidRDefault="00974312" w:rsidP="001D21C7">
            <w:pPr>
              <w:jc w:val="both"/>
              <w:rPr>
                <w:rFonts w:ascii="Cambria" w:hAnsi="Cambria"/>
                <w:bCs/>
                <w:sz w:val="20"/>
                <w:szCs w:val="20"/>
                <w:lang w:val="es-419"/>
              </w:rPr>
            </w:pPr>
            <w:r w:rsidRPr="0011075B">
              <w:rPr>
                <w:rFonts w:ascii="Cambria" w:hAnsi="Cambria"/>
                <w:bCs/>
                <w:sz w:val="20"/>
                <w:szCs w:val="20"/>
                <w:lang w:val="es-419"/>
              </w:rPr>
              <w:t>5 de julio de 2017</w:t>
            </w:r>
          </w:p>
        </w:tc>
      </w:tr>
      <w:tr w:rsidR="001D21C7"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1D21C7" w:rsidRPr="0011075B" w:rsidRDefault="001D21C7" w:rsidP="001D21C7">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r w:rsidR="00974312" w:rsidRPr="0011075B">
              <w:rPr>
                <w:rFonts w:ascii="Cambria" w:hAnsi="Cambria"/>
                <w:b/>
                <w:color w:val="FFFFFF" w:themeColor="background1"/>
                <w:sz w:val="20"/>
                <w:szCs w:val="20"/>
                <w:lang w:val="es-419"/>
              </w:rPr>
              <w:t>:</w:t>
            </w:r>
          </w:p>
        </w:tc>
        <w:tc>
          <w:tcPr>
            <w:tcW w:w="5760" w:type="dxa"/>
            <w:vAlign w:val="center"/>
          </w:tcPr>
          <w:p w14:paraId="6B47064C" w14:textId="1BF44294" w:rsidR="001D21C7" w:rsidRPr="0011075B" w:rsidRDefault="000444E7" w:rsidP="001D21C7">
            <w:pPr>
              <w:jc w:val="both"/>
              <w:rPr>
                <w:rFonts w:ascii="Cambria" w:hAnsi="Cambria"/>
                <w:bCs/>
                <w:sz w:val="20"/>
                <w:szCs w:val="20"/>
                <w:lang w:val="es-419"/>
              </w:rPr>
            </w:pPr>
            <w:r w:rsidRPr="0011075B">
              <w:rPr>
                <w:rFonts w:ascii="Cambria" w:hAnsi="Cambria"/>
                <w:bCs/>
                <w:sz w:val="20"/>
                <w:szCs w:val="20"/>
                <w:lang w:val="es-419"/>
              </w:rPr>
              <w:t>27 de octubre de 2017</w:t>
            </w:r>
          </w:p>
        </w:tc>
      </w:tr>
      <w:tr w:rsidR="00974312" w:rsidRPr="00CF759D"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974312" w:rsidRPr="0011075B" w:rsidRDefault="00974312" w:rsidP="001D21C7">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Observaciones adicionales de la parte peticionaria:</w:t>
            </w:r>
          </w:p>
        </w:tc>
        <w:tc>
          <w:tcPr>
            <w:tcW w:w="5760" w:type="dxa"/>
            <w:vAlign w:val="center"/>
          </w:tcPr>
          <w:p w14:paraId="2A5185E2" w14:textId="60DE9746" w:rsidR="00974312" w:rsidRPr="0011075B" w:rsidRDefault="000444E7" w:rsidP="001D21C7">
            <w:pPr>
              <w:jc w:val="both"/>
              <w:rPr>
                <w:rFonts w:ascii="Cambria" w:hAnsi="Cambria"/>
                <w:bCs/>
                <w:sz w:val="20"/>
                <w:szCs w:val="20"/>
                <w:lang w:val="es-419"/>
              </w:rPr>
            </w:pPr>
            <w:r w:rsidRPr="0011075B">
              <w:rPr>
                <w:rFonts w:ascii="Cambria" w:hAnsi="Cambria"/>
                <w:bCs/>
                <w:sz w:val="20"/>
                <w:szCs w:val="20"/>
                <w:lang w:val="es-419"/>
              </w:rPr>
              <w:t>7 de mayo de 2021</w:t>
            </w:r>
            <w:r w:rsidR="00260F27">
              <w:rPr>
                <w:rFonts w:ascii="Cambria" w:hAnsi="Cambria"/>
                <w:bCs/>
                <w:sz w:val="20"/>
                <w:szCs w:val="20"/>
                <w:lang w:val="es-419"/>
              </w:rPr>
              <w:t xml:space="preserve"> y </w:t>
            </w:r>
            <w:r w:rsidR="00260F27" w:rsidRPr="0055319A">
              <w:rPr>
                <w:rFonts w:ascii="Cambria" w:hAnsi="Cambria"/>
                <w:bCs/>
                <w:sz w:val="20"/>
                <w:szCs w:val="20"/>
                <w:lang w:val="es-419"/>
              </w:rPr>
              <w:t>13 de junio de 2023</w:t>
            </w:r>
          </w:p>
        </w:tc>
      </w:tr>
      <w:tr w:rsidR="001D21C7" w:rsidRPr="0011075B" w14:paraId="0E6DF2CB" w14:textId="77777777" w:rsidTr="004A6A54">
        <w:tc>
          <w:tcPr>
            <w:tcW w:w="3600" w:type="dxa"/>
            <w:tcBorders>
              <w:top w:val="single" w:sz="6" w:space="0" w:color="auto"/>
              <w:bottom w:val="single" w:sz="6" w:space="0" w:color="auto"/>
            </w:tcBorders>
            <w:shd w:val="clear" w:color="auto" w:fill="386294"/>
            <w:vAlign w:val="center"/>
          </w:tcPr>
          <w:p w14:paraId="5B37A8CF" w14:textId="4E7C1909" w:rsidR="001D21C7" w:rsidRPr="0011075B" w:rsidRDefault="001D21C7" w:rsidP="001D21C7">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Observaciones adicionales del Estado</w:t>
            </w:r>
            <w:r w:rsidR="00974312" w:rsidRPr="0011075B">
              <w:rPr>
                <w:rFonts w:ascii="Cambria" w:hAnsi="Cambria"/>
                <w:b/>
                <w:color w:val="FFFFFF" w:themeColor="background1"/>
                <w:sz w:val="20"/>
                <w:szCs w:val="20"/>
                <w:lang w:val="es-419"/>
              </w:rPr>
              <w:t>:</w:t>
            </w:r>
          </w:p>
        </w:tc>
        <w:tc>
          <w:tcPr>
            <w:tcW w:w="5760" w:type="dxa"/>
            <w:vAlign w:val="center"/>
          </w:tcPr>
          <w:p w14:paraId="0153FF18" w14:textId="7F429141" w:rsidR="001D21C7" w:rsidRPr="0011075B" w:rsidRDefault="000444E7" w:rsidP="001D21C7">
            <w:pPr>
              <w:jc w:val="both"/>
              <w:rPr>
                <w:rFonts w:ascii="Cambria" w:hAnsi="Cambria"/>
                <w:bCs/>
                <w:sz w:val="20"/>
                <w:szCs w:val="20"/>
                <w:lang w:val="es-419"/>
              </w:rPr>
            </w:pPr>
            <w:r w:rsidRPr="0011075B">
              <w:rPr>
                <w:rFonts w:ascii="Cambria" w:hAnsi="Cambria"/>
                <w:bCs/>
                <w:sz w:val="20"/>
                <w:szCs w:val="20"/>
                <w:lang w:val="es-419"/>
              </w:rPr>
              <w:t>24 de septiembre de 2018</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CF759D"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7EC5A48D" w:rsidR="003239B8" w:rsidRPr="0011075B" w:rsidRDefault="00A004BB" w:rsidP="008D2290">
            <w:pPr>
              <w:jc w:val="both"/>
              <w:rPr>
                <w:rFonts w:ascii="Cambria" w:hAnsi="Cambria"/>
                <w:bCs/>
                <w:sz w:val="20"/>
                <w:szCs w:val="20"/>
                <w:lang w:val="es-419"/>
              </w:rPr>
            </w:pPr>
            <w:r w:rsidRPr="0011075B">
              <w:rPr>
                <w:rFonts w:ascii="Cambria" w:hAnsi="Cambria"/>
                <w:bCs/>
                <w:sz w:val="20"/>
                <w:szCs w:val="20"/>
                <w:lang w:val="es-419" w:bidi="es-ES"/>
              </w:rPr>
              <w:t>Sí, Convención Americana (depósito de instrumento realizado el 31 de julio de 1973)</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CF759D"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44B73E2F" w:rsidR="0026174C" w:rsidRPr="0011075B" w:rsidRDefault="00094203" w:rsidP="008D2290">
            <w:pPr>
              <w:jc w:val="both"/>
              <w:rPr>
                <w:rFonts w:ascii="Cambria" w:hAnsi="Cambria"/>
                <w:bCs/>
                <w:sz w:val="20"/>
                <w:szCs w:val="20"/>
                <w:lang w:val="es-419"/>
              </w:rPr>
            </w:pPr>
            <w:r w:rsidRPr="005403A2">
              <w:rPr>
                <w:rFonts w:ascii="Cambria" w:hAnsi="Cambria"/>
                <w:bCs/>
                <w:sz w:val="20"/>
                <w:szCs w:val="20"/>
                <w:lang w:val="es-419" w:bidi="es-ES"/>
              </w:rPr>
              <w:t xml:space="preserve">Artículos 4 (vida), 5 (integridad personal), </w:t>
            </w:r>
            <w:r w:rsidR="00304171" w:rsidRPr="005403A2">
              <w:rPr>
                <w:rFonts w:ascii="Cambria" w:hAnsi="Cambria"/>
                <w:bCs/>
                <w:sz w:val="20"/>
                <w:szCs w:val="20"/>
                <w:lang w:val="es-419" w:bidi="es-ES"/>
              </w:rPr>
              <w:t>7</w:t>
            </w:r>
            <w:r w:rsidR="00B909C7" w:rsidRPr="005403A2">
              <w:rPr>
                <w:rFonts w:ascii="Cambria" w:hAnsi="Cambria"/>
                <w:bCs/>
                <w:sz w:val="20"/>
                <w:szCs w:val="20"/>
                <w:lang w:val="es-419" w:bidi="es-ES"/>
              </w:rPr>
              <w:t xml:space="preserve"> (libertad personal), </w:t>
            </w:r>
            <w:r w:rsidRPr="005403A2">
              <w:rPr>
                <w:rFonts w:ascii="Cambria" w:hAnsi="Cambria"/>
                <w:bCs/>
                <w:sz w:val="20"/>
                <w:szCs w:val="20"/>
                <w:lang w:val="es-419" w:bidi="es-ES"/>
              </w:rPr>
              <w:t>8 (garantías judiciales)</w:t>
            </w:r>
            <w:r w:rsidR="00B909C7" w:rsidRPr="005403A2">
              <w:rPr>
                <w:rFonts w:ascii="Cambria" w:hAnsi="Cambria"/>
                <w:bCs/>
                <w:sz w:val="20"/>
                <w:szCs w:val="20"/>
                <w:lang w:val="es-419" w:bidi="es-ES"/>
              </w:rPr>
              <w:t>, 11 (protección a la honra y dignidad)</w:t>
            </w:r>
            <w:r w:rsidRPr="005403A2">
              <w:rPr>
                <w:rFonts w:ascii="Cambria" w:hAnsi="Cambria"/>
                <w:bCs/>
                <w:sz w:val="20"/>
                <w:szCs w:val="20"/>
                <w:lang w:val="es-419" w:bidi="es-ES"/>
              </w:rPr>
              <w:t xml:space="preserve"> y 25 (protección judicial) de la Convención Americana en relación con su artículo 1.1</w:t>
            </w:r>
          </w:p>
        </w:tc>
      </w:tr>
      <w:tr w:rsidR="003239B8" w:rsidRPr="00CF759D"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5E38E42A" w:rsidR="003239B8" w:rsidRPr="0011075B" w:rsidRDefault="00A004BB" w:rsidP="008D2290">
            <w:pPr>
              <w:rPr>
                <w:rFonts w:ascii="Cambria" w:hAnsi="Cambria"/>
                <w:bCs/>
                <w:sz w:val="20"/>
                <w:szCs w:val="20"/>
                <w:lang w:val="es-419"/>
              </w:rPr>
            </w:pPr>
            <w:r w:rsidRPr="0011075B">
              <w:rPr>
                <w:rFonts w:ascii="Cambria" w:hAnsi="Cambria"/>
                <w:bCs/>
                <w:sz w:val="20"/>
                <w:szCs w:val="20"/>
                <w:lang w:val="es-419" w:bidi="es-ES"/>
              </w:rPr>
              <w:t xml:space="preserve">Sí, </w:t>
            </w:r>
            <w:r w:rsidR="003D337C">
              <w:rPr>
                <w:rFonts w:ascii="Cambria" w:hAnsi="Cambria"/>
                <w:bCs/>
                <w:sz w:val="20"/>
                <w:szCs w:val="20"/>
                <w:lang w:val="es-419" w:bidi="es-ES"/>
              </w:rPr>
              <w:t>e</w:t>
            </w:r>
            <w:r w:rsidR="00094203">
              <w:rPr>
                <w:rFonts w:ascii="Cambria" w:hAnsi="Cambria"/>
                <w:bCs/>
                <w:sz w:val="20"/>
                <w:szCs w:val="20"/>
                <w:lang w:val="es-419" w:bidi="es-ES"/>
              </w:rPr>
              <w:t>n los términos de la Sección VI</w:t>
            </w:r>
          </w:p>
        </w:tc>
      </w:tr>
      <w:tr w:rsidR="003239B8" w:rsidRPr="00CF759D"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491ABBA" w:rsidR="003239B8" w:rsidRPr="0011075B" w:rsidRDefault="00A004BB" w:rsidP="008D2290">
            <w:pPr>
              <w:rPr>
                <w:rFonts w:ascii="Cambria" w:hAnsi="Cambria"/>
                <w:bCs/>
                <w:sz w:val="20"/>
                <w:szCs w:val="20"/>
                <w:lang w:val="es-419"/>
              </w:rPr>
            </w:pPr>
            <w:r w:rsidRPr="0011075B">
              <w:rPr>
                <w:rFonts w:ascii="Cambria" w:hAnsi="Cambria"/>
                <w:bCs/>
                <w:sz w:val="20"/>
                <w:szCs w:val="20"/>
                <w:lang w:val="es-419" w:bidi="es-ES"/>
              </w:rPr>
              <w:t xml:space="preserve">Sí, </w:t>
            </w:r>
            <w:r w:rsidR="00094203">
              <w:rPr>
                <w:rFonts w:ascii="Cambria" w:hAnsi="Cambria"/>
                <w:bCs/>
                <w:sz w:val="20"/>
                <w:szCs w:val="20"/>
                <w:lang w:val="es-419" w:bidi="es-ES"/>
              </w:rPr>
              <w:t>en los términos de la Sección VI</w:t>
            </w:r>
          </w:p>
        </w:tc>
      </w:tr>
    </w:tbl>
    <w:p w14:paraId="56FD5D57" w14:textId="2F45A79B" w:rsidR="003239B8" w:rsidRPr="000630CE" w:rsidRDefault="00223A29" w:rsidP="003A4D4D">
      <w:pPr>
        <w:spacing w:before="240" w:after="240"/>
        <w:ind w:firstLine="720"/>
        <w:jc w:val="both"/>
        <w:rPr>
          <w:rFonts w:asciiTheme="majorHAnsi" w:hAnsiTheme="majorHAnsi"/>
          <w:b/>
          <w:sz w:val="20"/>
          <w:szCs w:val="20"/>
          <w:lang w:val="es-419"/>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004241A0" w:rsidRPr="000630CE">
        <w:rPr>
          <w:rFonts w:asciiTheme="majorHAnsi" w:hAnsiTheme="majorHAnsi"/>
          <w:b/>
          <w:sz w:val="20"/>
          <w:szCs w:val="20"/>
          <w:lang w:val="es-419"/>
        </w:rPr>
        <w:t>POSICIÓN DE LAS PARTES</w:t>
      </w:r>
      <w:r w:rsidR="003239B8" w:rsidRPr="000630CE">
        <w:rPr>
          <w:rFonts w:asciiTheme="majorHAnsi" w:hAnsiTheme="majorHAnsi"/>
          <w:b/>
          <w:sz w:val="20"/>
          <w:szCs w:val="20"/>
          <w:lang w:val="es-419"/>
        </w:rPr>
        <w:t xml:space="preserve"> </w:t>
      </w:r>
    </w:p>
    <w:p w14:paraId="4EA306E2" w14:textId="32145351" w:rsidR="00785B6C" w:rsidRPr="000630CE" w:rsidRDefault="00785B6C" w:rsidP="003A4D4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419"/>
        </w:rPr>
      </w:pPr>
      <w:r w:rsidRPr="000630CE">
        <w:rPr>
          <w:i/>
          <w:iCs/>
          <w:sz w:val="20"/>
          <w:szCs w:val="20"/>
          <w:lang w:val="es-419"/>
        </w:rPr>
        <w:t>Posición de la parte peticionaria</w:t>
      </w:r>
    </w:p>
    <w:p w14:paraId="141315ED" w14:textId="0DADA940" w:rsidR="008E2546" w:rsidRPr="000630CE" w:rsidRDefault="008E2546" w:rsidP="003A4D4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 xml:space="preserve">La parte peticionaria afirma que el Estado es responsable </w:t>
      </w:r>
      <w:r w:rsidRPr="000630CE">
        <w:rPr>
          <w:color w:val="auto"/>
          <w:sz w:val="20"/>
          <w:szCs w:val="20"/>
          <w:lang w:val="es-ES_tradnl"/>
        </w:rPr>
        <w:t xml:space="preserve">por </w:t>
      </w:r>
      <w:r w:rsidR="00A004BB" w:rsidRPr="000630CE">
        <w:rPr>
          <w:color w:val="auto"/>
          <w:sz w:val="20"/>
          <w:szCs w:val="20"/>
          <w:lang w:val="es-ES_tradnl"/>
        </w:rPr>
        <w:t xml:space="preserve">el secuestro y </w:t>
      </w:r>
      <w:r w:rsidR="00E64E86" w:rsidRPr="000630CE">
        <w:rPr>
          <w:color w:val="auto"/>
          <w:sz w:val="20"/>
          <w:szCs w:val="20"/>
          <w:lang w:val="es-ES_tradnl"/>
        </w:rPr>
        <w:t>ejecución extrajudicial</w:t>
      </w:r>
      <w:r w:rsidR="00A004BB" w:rsidRPr="000630CE">
        <w:rPr>
          <w:color w:val="auto"/>
          <w:sz w:val="20"/>
          <w:szCs w:val="20"/>
          <w:lang w:val="es-ES_tradnl"/>
        </w:rPr>
        <w:t xml:space="preserve"> de</w:t>
      </w:r>
      <w:r w:rsidRPr="000630CE">
        <w:rPr>
          <w:color w:val="auto"/>
          <w:sz w:val="20"/>
          <w:szCs w:val="20"/>
          <w:lang w:val="es-ES_tradnl"/>
        </w:rPr>
        <w:t xml:space="preserve"> </w:t>
      </w:r>
      <w:r w:rsidR="005627DD" w:rsidRPr="000630CE">
        <w:rPr>
          <w:color w:val="auto"/>
          <w:sz w:val="20"/>
          <w:szCs w:val="20"/>
          <w:lang w:val="es-ES_tradnl"/>
        </w:rPr>
        <w:t>Ernesto Cruz Guevara</w:t>
      </w:r>
      <w:r w:rsidR="00A004BB" w:rsidRPr="000630CE">
        <w:rPr>
          <w:color w:val="auto"/>
          <w:sz w:val="20"/>
          <w:szCs w:val="20"/>
          <w:lang w:val="es-ES_tradnl"/>
        </w:rPr>
        <w:t>,</w:t>
      </w:r>
      <w:r w:rsidRPr="000630CE">
        <w:rPr>
          <w:color w:val="auto"/>
          <w:sz w:val="20"/>
          <w:szCs w:val="20"/>
          <w:lang w:val="es-ES_tradnl"/>
        </w:rPr>
        <w:t xml:space="preserve"> la </w:t>
      </w:r>
      <w:r w:rsidR="00B06FF5" w:rsidRPr="000630CE">
        <w:rPr>
          <w:color w:val="auto"/>
          <w:sz w:val="20"/>
          <w:szCs w:val="20"/>
          <w:lang w:val="es-ES_tradnl"/>
        </w:rPr>
        <w:t xml:space="preserve">falta de investigación y </w:t>
      </w:r>
      <w:r w:rsidR="0017734D" w:rsidRPr="000630CE">
        <w:rPr>
          <w:color w:val="auto"/>
          <w:sz w:val="20"/>
          <w:szCs w:val="20"/>
          <w:lang w:val="es-ES_tradnl"/>
        </w:rPr>
        <w:t>castigo</w:t>
      </w:r>
      <w:r w:rsidR="00B06FF5" w:rsidRPr="000630CE">
        <w:rPr>
          <w:color w:val="auto"/>
          <w:sz w:val="20"/>
          <w:szCs w:val="20"/>
          <w:lang w:val="es-ES_tradnl"/>
        </w:rPr>
        <w:t xml:space="preserve"> de los responsables y el consecuente sufrimiento de sus familiares</w:t>
      </w:r>
      <w:r w:rsidR="00C813A3" w:rsidRPr="000630CE">
        <w:rPr>
          <w:color w:val="auto"/>
          <w:sz w:val="20"/>
          <w:szCs w:val="20"/>
          <w:lang w:val="es-ES_tradnl"/>
        </w:rPr>
        <w:t xml:space="preserve">, </w:t>
      </w:r>
      <w:r w:rsidR="005403A2" w:rsidRPr="000630CE">
        <w:rPr>
          <w:color w:val="auto"/>
          <w:sz w:val="20"/>
          <w:szCs w:val="20"/>
          <w:lang w:val="es-ES_tradnl"/>
        </w:rPr>
        <w:t xml:space="preserve">en </w:t>
      </w:r>
      <w:r w:rsidR="00C813A3" w:rsidRPr="000630CE">
        <w:rPr>
          <w:color w:val="auto"/>
          <w:sz w:val="20"/>
          <w:szCs w:val="20"/>
          <w:lang w:val="es-ES_tradnl"/>
        </w:rPr>
        <w:t>el contexto de los denominados ‘falsos positivos</w:t>
      </w:r>
      <w:r w:rsidR="00913A84" w:rsidRPr="000630CE">
        <w:rPr>
          <w:rStyle w:val="FootnoteReference"/>
          <w:color w:val="auto"/>
          <w:sz w:val="20"/>
          <w:szCs w:val="20"/>
          <w:lang w:val="es-ES_tradnl"/>
        </w:rPr>
        <w:footnoteReference w:id="7"/>
      </w:r>
      <w:r w:rsidR="00B06FF5" w:rsidRPr="000630CE">
        <w:rPr>
          <w:color w:val="auto"/>
          <w:sz w:val="20"/>
          <w:szCs w:val="20"/>
          <w:lang w:val="es-ES_tradnl"/>
        </w:rPr>
        <w:t>.</w:t>
      </w:r>
    </w:p>
    <w:p w14:paraId="27A7698B" w14:textId="08DDB969" w:rsidR="002F3F8C" w:rsidRPr="000630CE" w:rsidRDefault="007C6835" w:rsidP="003A4D4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La</w:t>
      </w:r>
      <w:r w:rsidR="00427B38" w:rsidRPr="000630CE">
        <w:rPr>
          <w:sz w:val="20"/>
          <w:szCs w:val="20"/>
          <w:lang w:val="es-ES_tradnl"/>
        </w:rPr>
        <w:t xml:space="preserve"> parte peticionaria</w:t>
      </w:r>
      <w:r w:rsidRPr="000630CE">
        <w:rPr>
          <w:sz w:val="20"/>
          <w:szCs w:val="20"/>
          <w:lang w:val="es-ES_tradnl"/>
        </w:rPr>
        <w:t xml:space="preserve"> narra que</w:t>
      </w:r>
      <w:r w:rsidR="00427B38" w:rsidRPr="000630CE">
        <w:rPr>
          <w:sz w:val="20"/>
          <w:szCs w:val="20"/>
          <w:lang w:val="es-ES_tradnl"/>
        </w:rPr>
        <w:t xml:space="preserve"> el 16 de julio de 2006, miembros de la Fuerza Pública detuvieron el Sr. Ernesto Cruz Guevara de manera arbitraria y lo amenazaron de muerte, así como a su grupo familiar. El 29 de octubre de 2006, el Sr. Cruz Guevara presentó queja disciplinaria contra integrantes del Ejército Nacional pertenecientes al Batallón 29, adscrito a la Brigada 16, con sede en Yopal (Casanare), por la referida detención arbitraria y amenazas de muerte</w:t>
      </w:r>
      <w:r w:rsidR="008778B7" w:rsidRPr="000630CE">
        <w:rPr>
          <w:sz w:val="20"/>
          <w:szCs w:val="20"/>
          <w:lang w:val="es-ES_tradnl"/>
        </w:rPr>
        <w:t>.</w:t>
      </w:r>
      <w:r w:rsidR="009773CC" w:rsidRPr="000630CE">
        <w:rPr>
          <w:sz w:val="20"/>
          <w:szCs w:val="20"/>
          <w:lang w:val="es-ES_tradnl"/>
        </w:rPr>
        <w:t xml:space="preserve"> </w:t>
      </w:r>
      <w:r w:rsidR="00DF4D42" w:rsidRPr="000630CE">
        <w:rPr>
          <w:sz w:val="20"/>
          <w:szCs w:val="20"/>
          <w:lang w:val="es-ES_tradnl"/>
        </w:rPr>
        <w:t xml:space="preserve">La parte peticionaria </w:t>
      </w:r>
      <w:r w:rsidR="00221AD9" w:rsidRPr="000630CE">
        <w:rPr>
          <w:sz w:val="20"/>
          <w:szCs w:val="20"/>
          <w:lang w:val="es-ES_tradnl"/>
        </w:rPr>
        <w:t>no informa ante qué autoridad el Sr. Cruz Guevara presentó esta queja</w:t>
      </w:r>
      <w:r w:rsidR="00427B38" w:rsidRPr="000630CE">
        <w:rPr>
          <w:sz w:val="20"/>
          <w:szCs w:val="20"/>
          <w:lang w:val="es-ES_tradnl"/>
        </w:rPr>
        <w:t>.</w:t>
      </w:r>
    </w:p>
    <w:p w14:paraId="62A45B10" w14:textId="1239A60C" w:rsidR="002F3F8C" w:rsidRPr="000630CE" w:rsidRDefault="00427B38" w:rsidP="003A4D4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E</w:t>
      </w:r>
      <w:r w:rsidR="00007E23" w:rsidRPr="000630CE">
        <w:rPr>
          <w:sz w:val="20"/>
          <w:szCs w:val="20"/>
          <w:lang w:val="es-ES_tradnl"/>
        </w:rPr>
        <w:t>n la mañana del</w:t>
      </w:r>
      <w:r w:rsidRPr="000630CE">
        <w:rPr>
          <w:sz w:val="20"/>
          <w:szCs w:val="20"/>
          <w:lang w:val="es-ES_tradnl"/>
        </w:rPr>
        <w:t xml:space="preserve"> 22 de abril de 2007, tropas del Ejército Nacional pertenecientes a la Brigada 16</w:t>
      </w:r>
      <w:r w:rsidR="008778B7" w:rsidRPr="000630CE">
        <w:rPr>
          <w:sz w:val="20"/>
          <w:szCs w:val="20"/>
          <w:lang w:val="es-ES_tradnl"/>
        </w:rPr>
        <w:t>,</w:t>
      </w:r>
      <w:r w:rsidRPr="000630CE">
        <w:rPr>
          <w:sz w:val="20"/>
          <w:szCs w:val="20"/>
          <w:lang w:val="es-ES_tradnl"/>
        </w:rPr>
        <w:t xml:space="preserve"> </w:t>
      </w:r>
      <w:r w:rsidR="008778B7" w:rsidRPr="000630CE">
        <w:rPr>
          <w:sz w:val="20"/>
          <w:szCs w:val="20"/>
          <w:lang w:val="es-ES_tradnl"/>
        </w:rPr>
        <w:t>U</w:t>
      </w:r>
      <w:r w:rsidRPr="000630CE">
        <w:rPr>
          <w:sz w:val="20"/>
          <w:szCs w:val="20"/>
          <w:lang w:val="es-ES_tradnl"/>
        </w:rPr>
        <w:t xml:space="preserve">nidad </w:t>
      </w:r>
      <w:r w:rsidR="008778B7" w:rsidRPr="000630CE">
        <w:rPr>
          <w:sz w:val="20"/>
          <w:szCs w:val="20"/>
          <w:lang w:val="es-ES_tradnl"/>
        </w:rPr>
        <w:t>T</w:t>
      </w:r>
      <w:r w:rsidRPr="000630CE">
        <w:rPr>
          <w:sz w:val="20"/>
          <w:szCs w:val="20"/>
          <w:lang w:val="es-ES_tradnl"/>
        </w:rPr>
        <w:t xml:space="preserve">áctica </w:t>
      </w:r>
      <w:r w:rsidR="008778B7" w:rsidRPr="000630CE">
        <w:rPr>
          <w:sz w:val="20"/>
          <w:szCs w:val="20"/>
          <w:lang w:val="es-ES_tradnl"/>
        </w:rPr>
        <w:t>P</w:t>
      </w:r>
      <w:r w:rsidRPr="000630CE">
        <w:rPr>
          <w:sz w:val="20"/>
          <w:szCs w:val="20"/>
          <w:lang w:val="es-ES_tradnl"/>
        </w:rPr>
        <w:t xml:space="preserve">elotón “Huracán 1” se desplazaban por la vereda “Retiro-milagro” del Municipio de Aguazul (Casanare) a fin de establecer veracidad de la versión dada por un reinsertado respecto a la presencia de caletas </w:t>
      </w:r>
      <w:r w:rsidR="00F90926" w:rsidRPr="000630CE">
        <w:rPr>
          <w:sz w:val="20"/>
          <w:szCs w:val="20"/>
          <w:lang w:val="es-ES_tradnl"/>
        </w:rPr>
        <w:t xml:space="preserve">(o escondites) </w:t>
      </w:r>
      <w:r w:rsidRPr="000630CE">
        <w:rPr>
          <w:sz w:val="20"/>
          <w:szCs w:val="20"/>
          <w:lang w:val="es-ES_tradnl"/>
        </w:rPr>
        <w:t xml:space="preserve">con </w:t>
      </w:r>
      <w:r w:rsidR="00F90926" w:rsidRPr="000630CE">
        <w:rPr>
          <w:sz w:val="20"/>
          <w:szCs w:val="20"/>
          <w:lang w:val="es-ES_tradnl"/>
        </w:rPr>
        <w:t>armas</w:t>
      </w:r>
      <w:r w:rsidR="00007E23" w:rsidRPr="000630CE">
        <w:rPr>
          <w:sz w:val="20"/>
          <w:szCs w:val="20"/>
          <w:lang w:val="es-ES_tradnl"/>
        </w:rPr>
        <w:t xml:space="preserve">. Dichas tropas, sin embargo, fueron </w:t>
      </w:r>
      <w:r w:rsidR="00C720E8" w:rsidRPr="000630CE">
        <w:rPr>
          <w:sz w:val="20"/>
          <w:szCs w:val="20"/>
          <w:lang w:val="es-ES_tradnl"/>
        </w:rPr>
        <w:t xml:space="preserve">atacadas por un </w:t>
      </w:r>
      <w:r w:rsidR="00007E23" w:rsidRPr="000630CE">
        <w:rPr>
          <w:sz w:val="20"/>
          <w:szCs w:val="20"/>
          <w:lang w:val="es-ES_tradnl"/>
        </w:rPr>
        <w:t xml:space="preserve">grupo armado ilegal que les </w:t>
      </w:r>
      <w:r w:rsidR="00C720E8" w:rsidRPr="000630CE">
        <w:rPr>
          <w:sz w:val="20"/>
          <w:szCs w:val="20"/>
          <w:lang w:val="es-ES_tradnl"/>
        </w:rPr>
        <w:t>disparó</w:t>
      </w:r>
      <w:r w:rsidR="00007E23" w:rsidRPr="000630CE">
        <w:rPr>
          <w:sz w:val="20"/>
          <w:szCs w:val="20"/>
          <w:lang w:val="es-ES_tradnl"/>
        </w:rPr>
        <w:t xml:space="preserve"> desde </w:t>
      </w:r>
      <w:r w:rsidR="00C720E8" w:rsidRPr="000630CE">
        <w:rPr>
          <w:sz w:val="20"/>
          <w:szCs w:val="20"/>
          <w:lang w:val="es-ES_tradnl"/>
        </w:rPr>
        <w:t>lo alto de una</w:t>
      </w:r>
      <w:r w:rsidRPr="000630CE">
        <w:rPr>
          <w:sz w:val="20"/>
          <w:szCs w:val="20"/>
          <w:lang w:val="es-ES_tradnl"/>
        </w:rPr>
        <w:t xml:space="preserve"> montaña.</w:t>
      </w:r>
      <w:r w:rsidR="00BA27E4" w:rsidRPr="000630CE">
        <w:rPr>
          <w:sz w:val="20"/>
          <w:szCs w:val="20"/>
          <w:lang w:val="es-ES_tradnl"/>
        </w:rPr>
        <w:t xml:space="preserve"> </w:t>
      </w:r>
    </w:p>
    <w:p w14:paraId="5AE8FC53" w14:textId="4DBC8A20" w:rsidR="00427B38" w:rsidRPr="000630CE" w:rsidRDefault="00BA27E4" w:rsidP="003A4D4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E</w:t>
      </w:r>
      <w:r w:rsidR="00C720E8" w:rsidRPr="000630CE">
        <w:rPr>
          <w:sz w:val="20"/>
          <w:szCs w:val="20"/>
          <w:lang w:val="es-ES_tradnl"/>
        </w:rPr>
        <w:t>se</w:t>
      </w:r>
      <w:r w:rsidRPr="000630CE">
        <w:rPr>
          <w:sz w:val="20"/>
          <w:szCs w:val="20"/>
          <w:lang w:val="es-ES_tradnl"/>
        </w:rPr>
        <w:t xml:space="preserve"> mismo día</w:t>
      </w:r>
      <w:r w:rsidR="00C720E8" w:rsidRPr="000630CE">
        <w:rPr>
          <w:sz w:val="20"/>
          <w:szCs w:val="20"/>
          <w:lang w:val="es-ES_tradnl"/>
        </w:rPr>
        <w:t>,</w:t>
      </w:r>
      <w:r w:rsidRPr="000630CE">
        <w:rPr>
          <w:sz w:val="20"/>
          <w:szCs w:val="20"/>
          <w:lang w:val="es-ES_tradnl"/>
        </w:rPr>
        <w:t xml:space="preserve"> 22 de abril</w:t>
      </w:r>
      <w:r w:rsidR="00C720E8" w:rsidRPr="000630CE">
        <w:rPr>
          <w:sz w:val="20"/>
          <w:szCs w:val="20"/>
          <w:lang w:val="es-ES_tradnl"/>
        </w:rPr>
        <w:t>,</w:t>
      </w:r>
      <w:r w:rsidRPr="000630CE">
        <w:rPr>
          <w:sz w:val="20"/>
          <w:szCs w:val="20"/>
          <w:lang w:val="es-ES_tradnl"/>
        </w:rPr>
        <w:t xml:space="preserve"> el Sr. Cruz Guevara se encontraba en su casa en compañía de sus familiares cuando escucharon disparos muy cerca y se resguardaron tirándose al piso. </w:t>
      </w:r>
      <w:r w:rsidR="00CE0C66" w:rsidRPr="000630CE">
        <w:rPr>
          <w:sz w:val="20"/>
          <w:szCs w:val="20"/>
          <w:lang w:val="es-ES_tradnl"/>
        </w:rPr>
        <w:t>En ese momento miembros</w:t>
      </w:r>
      <w:r w:rsidRPr="000630CE">
        <w:rPr>
          <w:sz w:val="20"/>
          <w:szCs w:val="20"/>
          <w:lang w:val="es-ES_tradnl"/>
        </w:rPr>
        <w:t xml:space="preserve"> del Ejército Nacional </w:t>
      </w:r>
      <w:r w:rsidR="00CE0C66" w:rsidRPr="000630CE">
        <w:rPr>
          <w:sz w:val="20"/>
          <w:szCs w:val="20"/>
          <w:lang w:val="es-ES_tradnl"/>
        </w:rPr>
        <w:t>entraron</w:t>
      </w:r>
      <w:r w:rsidRPr="000630CE">
        <w:rPr>
          <w:sz w:val="20"/>
          <w:szCs w:val="20"/>
          <w:lang w:val="es-ES_tradnl"/>
        </w:rPr>
        <w:t xml:space="preserve"> a su casa y </w:t>
      </w:r>
      <w:r w:rsidR="002F3F8C" w:rsidRPr="000630CE">
        <w:rPr>
          <w:sz w:val="20"/>
          <w:szCs w:val="20"/>
          <w:lang w:val="es-ES_tradnl"/>
        </w:rPr>
        <w:t xml:space="preserve">solicitaron al Sr. Cruz Guevara que los acompañara; él se negó, y los agentes lo obligaron a irse vestido de </w:t>
      </w:r>
      <w:r w:rsidR="00FF6FAE" w:rsidRPr="000630CE">
        <w:rPr>
          <w:sz w:val="20"/>
          <w:szCs w:val="20"/>
          <w:lang w:val="es-ES_tradnl"/>
        </w:rPr>
        <w:t>camuflaje</w:t>
      </w:r>
      <w:r w:rsidR="002F3F8C" w:rsidRPr="000630CE">
        <w:rPr>
          <w:sz w:val="20"/>
          <w:szCs w:val="20"/>
          <w:lang w:val="es-ES_tradnl"/>
        </w:rPr>
        <w:t xml:space="preserve">. Posteriormente, el Sr. Cruz Guevara apareció muerto, </w:t>
      </w:r>
      <w:r w:rsidR="00427B38" w:rsidRPr="000630CE">
        <w:rPr>
          <w:sz w:val="20"/>
          <w:szCs w:val="20"/>
          <w:lang w:val="es-ES_tradnl"/>
        </w:rPr>
        <w:t>vestido de camufla</w:t>
      </w:r>
      <w:r w:rsidR="00AF7199" w:rsidRPr="000630CE">
        <w:rPr>
          <w:sz w:val="20"/>
          <w:szCs w:val="20"/>
          <w:lang w:val="es-ES_tradnl"/>
        </w:rPr>
        <w:t>je</w:t>
      </w:r>
      <w:r w:rsidR="00427B38" w:rsidRPr="000630CE">
        <w:rPr>
          <w:sz w:val="20"/>
          <w:szCs w:val="20"/>
          <w:lang w:val="es-ES_tradnl"/>
        </w:rPr>
        <w:t xml:space="preserve"> y </w:t>
      </w:r>
      <w:r w:rsidR="007D1789" w:rsidRPr="000630CE">
        <w:rPr>
          <w:sz w:val="20"/>
          <w:szCs w:val="20"/>
          <w:lang w:val="es-ES_tradnl"/>
        </w:rPr>
        <w:t xml:space="preserve">calzando </w:t>
      </w:r>
      <w:r w:rsidR="00427B38" w:rsidRPr="000630CE">
        <w:rPr>
          <w:sz w:val="20"/>
          <w:szCs w:val="20"/>
          <w:lang w:val="es-ES_tradnl"/>
        </w:rPr>
        <w:t xml:space="preserve">botas de caucho, </w:t>
      </w:r>
      <w:r w:rsidR="007D1789" w:rsidRPr="000630CE">
        <w:rPr>
          <w:sz w:val="20"/>
          <w:szCs w:val="20"/>
          <w:lang w:val="es-ES_tradnl"/>
        </w:rPr>
        <w:t xml:space="preserve">con </w:t>
      </w:r>
      <w:r w:rsidR="00427B38" w:rsidRPr="000630CE">
        <w:rPr>
          <w:sz w:val="20"/>
          <w:szCs w:val="20"/>
          <w:lang w:val="es-ES_tradnl"/>
        </w:rPr>
        <w:t xml:space="preserve">un fusil, un chaleco y </w:t>
      </w:r>
      <w:r w:rsidR="007D1789" w:rsidRPr="000630CE">
        <w:rPr>
          <w:sz w:val="20"/>
          <w:szCs w:val="20"/>
          <w:lang w:val="es-ES_tradnl"/>
        </w:rPr>
        <w:t>mochila</w:t>
      </w:r>
      <w:r w:rsidR="00427B38" w:rsidRPr="000630CE">
        <w:rPr>
          <w:sz w:val="20"/>
          <w:szCs w:val="20"/>
          <w:lang w:val="es-ES_tradnl"/>
        </w:rPr>
        <w:t xml:space="preserve">, </w:t>
      </w:r>
      <w:r w:rsidR="007D1789" w:rsidRPr="000630CE">
        <w:rPr>
          <w:sz w:val="20"/>
          <w:szCs w:val="20"/>
          <w:lang w:val="es-ES_tradnl"/>
        </w:rPr>
        <w:t xml:space="preserve">y </w:t>
      </w:r>
      <w:r w:rsidR="00427B38" w:rsidRPr="000630CE">
        <w:rPr>
          <w:sz w:val="20"/>
          <w:szCs w:val="20"/>
          <w:lang w:val="es-ES_tradnl"/>
        </w:rPr>
        <w:t>siendo reportado por los militares como dado de baja en desarrollo de la misión táctica “Andrómeda”.</w:t>
      </w:r>
    </w:p>
    <w:p w14:paraId="1C29F5E7" w14:textId="1A094DEE" w:rsidR="00427B38" w:rsidRPr="000630CE" w:rsidRDefault="00427B38" w:rsidP="003A4D4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 xml:space="preserve">El 23 de </w:t>
      </w:r>
      <w:r w:rsidR="00F8227D" w:rsidRPr="000630CE">
        <w:rPr>
          <w:sz w:val="20"/>
          <w:szCs w:val="20"/>
          <w:lang w:val="es-ES_tradnl"/>
        </w:rPr>
        <w:t>a</w:t>
      </w:r>
      <w:r w:rsidRPr="000630CE">
        <w:rPr>
          <w:sz w:val="20"/>
          <w:szCs w:val="20"/>
          <w:lang w:val="es-ES_tradnl"/>
        </w:rPr>
        <w:t xml:space="preserve">bril de 2007 la </w:t>
      </w:r>
      <w:r w:rsidR="00F8227D" w:rsidRPr="000630CE">
        <w:rPr>
          <w:sz w:val="20"/>
          <w:szCs w:val="20"/>
          <w:lang w:val="es-ES_tradnl"/>
        </w:rPr>
        <w:t>Sra.</w:t>
      </w:r>
      <w:r w:rsidRPr="000630CE">
        <w:rPr>
          <w:sz w:val="20"/>
          <w:szCs w:val="20"/>
          <w:lang w:val="es-ES_tradnl"/>
        </w:rPr>
        <w:t xml:space="preserve"> Luz Mary Cruz Guevara</w:t>
      </w:r>
      <w:r w:rsidR="00F8227D" w:rsidRPr="000630CE">
        <w:rPr>
          <w:sz w:val="20"/>
          <w:szCs w:val="20"/>
          <w:lang w:val="es-ES_tradnl"/>
        </w:rPr>
        <w:t>, hermana del Sr. Cruz Guevara,</w:t>
      </w:r>
      <w:r w:rsidRPr="000630CE">
        <w:rPr>
          <w:sz w:val="20"/>
          <w:szCs w:val="20"/>
          <w:lang w:val="es-ES_tradnl"/>
        </w:rPr>
        <w:t xml:space="preserve"> reconoc</w:t>
      </w:r>
      <w:r w:rsidR="00F8227D" w:rsidRPr="000630CE">
        <w:rPr>
          <w:sz w:val="20"/>
          <w:szCs w:val="20"/>
          <w:lang w:val="es-ES_tradnl"/>
        </w:rPr>
        <w:t>ió</w:t>
      </w:r>
      <w:r w:rsidRPr="000630CE">
        <w:rPr>
          <w:sz w:val="20"/>
          <w:szCs w:val="20"/>
          <w:lang w:val="es-ES_tradnl"/>
        </w:rPr>
        <w:t xml:space="preserve"> el cuerpo.</w:t>
      </w:r>
      <w:r w:rsidR="00F8227D" w:rsidRPr="000630CE">
        <w:rPr>
          <w:sz w:val="20"/>
          <w:szCs w:val="20"/>
          <w:lang w:val="es-ES_tradnl"/>
        </w:rPr>
        <w:t xml:space="preserve"> </w:t>
      </w:r>
      <w:r w:rsidRPr="000630CE">
        <w:rPr>
          <w:sz w:val="20"/>
          <w:szCs w:val="20"/>
          <w:lang w:val="es-ES_tradnl"/>
        </w:rPr>
        <w:t xml:space="preserve">El 30 de abril de 2007, la </w:t>
      </w:r>
      <w:r w:rsidR="00F8227D" w:rsidRPr="000630CE">
        <w:rPr>
          <w:sz w:val="20"/>
          <w:szCs w:val="20"/>
          <w:lang w:val="es-ES_tradnl"/>
        </w:rPr>
        <w:t>Sra.</w:t>
      </w:r>
      <w:r w:rsidRPr="000630CE">
        <w:rPr>
          <w:sz w:val="20"/>
          <w:szCs w:val="20"/>
          <w:lang w:val="es-ES_tradnl"/>
        </w:rPr>
        <w:t xml:space="preserve"> Carmen Elisa Bernal Gil, Fiscal 30 seccional URI Yopal (Casanare), mediante oficio 0244 dirigido al médico legista Jhony Currea Angarita, certificó que el occiso descrito en Acta de reconocimiento de cadáver No. 061 pertenec</w:t>
      </w:r>
      <w:r w:rsidR="007C6179" w:rsidRPr="000630CE">
        <w:rPr>
          <w:sz w:val="20"/>
          <w:szCs w:val="20"/>
          <w:lang w:val="es-ES_tradnl"/>
        </w:rPr>
        <w:t>ía</w:t>
      </w:r>
      <w:r w:rsidRPr="000630CE">
        <w:rPr>
          <w:sz w:val="20"/>
          <w:szCs w:val="20"/>
          <w:lang w:val="es-ES_tradnl"/>
        </w:rPr>
        <w:t xml:space="preserve"> al cuerpo de </w:t>
      </w:r>
      <w:r w:rsidR="00F8227D" w:rsidRPr="000630CE">
        <w:rPr>
          <w:sz w:val="20"/>
          <w:szCs w:val="20"/>
          <w:lang w:val="es-ES_tradnl"/>
        </w:rPr>
        <w:t>Ernesto Cruz Guevara</w:t>
      </w:r>
      <w:r w:rsidRPr="000630CE">
        <w:rPr>
          <w:sz w:val="20"/>
          <w:szCs w:val="20"/>
          <w:lang w:val="es-ES_tradnl"/>
        </w:rPr>
        <w:t>.</w:t>
      </w:r>
    </w:p>
    <w:p w14:paraId="655F2C68" w14:textId="59C38138" w:rsidR="005627DD" w:rsidRPr="000630CE" w:rsidRDefault="005627DD" w:rsidP="003A4D4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 xml:space="preserve">El Juzgado 44 de Instrucción Penal Militar, con sede en Yopal, </w:t>
      </w:r>
      <w:r w:rsidR="007C6179" w:rsidRPr="000630CE">
        <w:rPr>
          <w:sz w:val="20"/>
          <w:szCs w:val="20"/>
          <w:lang w:val="es-ES_tradnl"/>
        </w:rPr>
        <w:t>inició una</w:t>
      </w:r>
      <w:r w:rsidRPr="000630CE">
        <w:rPr>
          <w:sz w:val="20"/>
          <w:szCs w:val="20"/>
          <w:lang w:val="es-ES_tradnl"/>
        </w:rPr>
        <w:t xml:space="preserve"> investigación</w:t>
      </w:r>
      <w:r w:rsidR="00F95C17" w:rsidRPr="000630CE">
        <w:rPr>
          <w:sz w:val="20"/>
          <w:szCs w:val="20"/>
          <w:lang w:val="es-ES_tradnl"/>
        </w:rPr>
        <w:t xml:space="preserve"> </w:t>
      </w:r>
      <w:r w:rsidR="00637275" w:rsidRPr="000630CE">
        <w:rPr>
          <w:sz w:val="20"/>
          <w:szCs w:val="20"/>
          <w:lang w:val="es-ES_tradnl"/>
        </w:rPr>
        <w:t>–el peticionario no indica la fecha de inicio de la investigación–</w:t>
      </w:r>
      <w:r w:rsidRPr="000630CE">
        <w:rPr>
          <w:sz w:val="20"/>
          <w:szCs w:val="20"/>
          <w:lang w:val="es-ES_tradnl"/>
        </w:rPr>
        <w:t xml:space="preserve">, en donde se indica que </w:t>
      </w:r>
      <w:r w:rsidR="00FC66E2" w:rsidRPr="000630CE">
        <w:rPr>
          <w:sz w:val="20"/>
          <w:szCs w:val="20"/>
          <w:lang w:val="es-ES_tradnl"/>
        </w:rPr>
        <w:t>miembros</w:t>
      </w:r>
      <w:r w:rsidRPr="000630CE">
        <w:rPr>
          <w:sz w:val="20"/>
          <w:szCs w:val="20"/>
          <w:lang w:val="es-ES_tradnl"/>
        </w:rPr>
        <w:t xml:space="preserve"> del Ejército Nacional en desarrollo de</w:t>
      </w:r>
      <w:r w:rsidR="00785B6C" w:rsidRPr="000630CE">
        <w:rPr>
          <w:sz w:val="20"/>
          <w:szCs w:val="20"/>
          <w:lang w:val="es-ES_tradnl"/>
        </w:rPr>
        <w:t xml:space="preserve"> </w:t>
      </w:r>
      <w:r w:rsidRPr="000630CE">
        <w:rPr>
          <w:sz w:val="20"/>
          <w:szCs w:val="20"/>
          <w:lang w:val="es-ES_tradnl"/>
        </w:rPr>
        <w:t xml:space="preserve">la misión táctica “Andrómeda” dieron de baja a </w:t>
      </w:r>
      <w:r w:rsidR="00785B6C" w:rsidRPr="000630CE">
        <w:rPr>
          <w:sz w:val="20"/>
          <w:szCs w:val="20"/>
          <w:lang w:val="es-ES_tradnl"/>
        </w:rPr>
        <w:t xml:space="preserve">alguien </w:t>
      </w:r>
      <w:r w:rsidRPr="000630CE">
        <w:rPr>
          <w:sz w:val="20"/>
          <w:szCs w:val="20"/>
          <w:lang w:val="es-ES_tradnl"/>
        </w:rPr>
        <w:t xml:space="preserve">que después fue identificado como Ernesto Cruz Guevara. </w:t>
      </w:r>
      <w:r w:rsidR="00F8227D" w:rsidRPr="000630CE">
        <w:rPr>
          <w:sz w:val="20"/>
          <w:szCs w:val="20"/>
          <w:lang w:val="es-ES_tradnl"/>
        </w:rPr>
        <w:t xml:space="preserve">El Juzgado 44 </w:t>
      </w:r>
      <w:r w:rsidR="004205D0" w:rsidRPr="000630CE">
        <w:rPr>
          <w:sz w:val="20"/>
          <w:szCs w:val="20"/>
          <w:lang w:val="es-ES_tradnl"/>
        </w:rPr>
        <w:t xml:space="preserve">inició la investigación penal y buscó escuchar a los militares que participaron en el operativo a nivel de investigación preliminar. Sin embargo, el Juzgado Penal de conocimiento se abstuvo de dictar medida en contra de los militares involucrados. </w:t>
      </w:r>
    </w:p>
    <w:p w14:paraId="630D284A" w14:textId="2E07FAD7" w:rsidR="00091A11" w:rsidRPr="000630CE" w:rsidRDefault="00C92925" w:rsidP="005C6E5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E</w:t>
      </w:r>
      <w:r w:rsidR="004205D0" w:rsidRPr="000630CE">
        <w:rPr>
          <w:sz w:val="20"/>
          <w:szCs w:val="20"/>
          <w:lang w:val="es-ES_tradnl"/>
        </w:rPr>
        <w:t xml:space="preserve">n noviembre de 2007 la investigación penal fue asumida por la Fiscalía 61 de la Unidad Nacional de Derechos Humanos, con sede en Villavicencio, y adelantada bajo el radicado proceso no. 4191. En </w:t>
      </w:r>
      <w:r w:rsidR="002E39F7" w:rsidRPr="000630CE">
        <w:rPr>
          <w:sz w:val="20"/>
          <w:szCs w:val="20"/>
          <w:lang w:val="es-ES_tradnl"/>
        </w:rPr>
        <w:t xml:space="preserve">su petición a la CIDH, presentada en </w:t>
      </w:r>
      <w:r w:rsidR="004205D0" w:rsidRPr="000630CE">
        <w:rPr>
          <w:sz w:val="20"/>
          <w:szCs w:val="20"/>
          <w:lang w:val="es-ES_tradnl"/>
        </w:rPr>
        <w:t xml:space="preserve">marzo de 2012, la parte peticionaria </w:t>
      </w:r>
      <w:r w:rsidR="00DD227E" w:rsidRPr="000630CE">
        <w:rPr>
          <w:sz w:val="20"/>
          <w:szCs w:val="20"/>
          <w:lang w:val="es-ES_tradnl"/>
        </w:rPr>
        <w:t>informó</w:t>
      </w:r>
      <w:r w:rsidR="004205D0" w:rsidRPr="000630CE">
        <w:rPr>
          <w:sz w:val="20"/>
          <w:szCs w:val="20"/>
          <w:lang w:val="es-ES_tradnl"/>
        </w:rPr>
        <w:t xml:space="preserve"> que al escuchar a algunos de los indiciados en etapa indagatoria, la Fiscalía 61 les profirió medida de aseguramiento consistente en detención preventiva sin beneficio de excarcelación. </w:t>
      </w:r>
    </w:p>
    <w:p w14:paraId="24702D1E" w14:textId="0DFAB4B3" w:rsidR="00F8227D" w:rsidRPr="000630CE" w:rsidRDefault="005627DD" w:rsidP="003A4D4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 xml:space="preserve">En </w:t>
      </w:r>
      <w:r w:rsidR="006A2CE3" w:rsidRPr="000630CE">
        <w:rPr>
          <w:sz w:val="20"/>
          <w:szCs w:val="20"/>
          <w:lang w:val="es-ES_tradnl"/>
        </w:rPr>
        <w:t xml:space="preserve">su escrito de </w:t>
      </w:r>
      <w:r w:rsidRPr="000630CE">
        <w:rPr>
          <w:sz w:val="20"/>
          <w:szCs w:val="20"/>
          <w:lang w:val="es-ES_tradnl"/>
        </w:rPr>
        <w:t xml:space="preserve">mayo de 2021 la parte peticionaria </w:t>
      </w:r>
      <w:r w:rsidR="006A2CE3" w:rsidRPr="000630CE">
        <w:rPr>
          <w:sz w:val="20"/>
          <w:szCs w:val="20"/>
          <w:lang w:val="es-ES_tradnl"/>
        </w:rPr>
        <w:t>agrega</w:t>
      </w:r>
      <w:r w:rsidRPr="000630CE">
        <w:rPr>
          <w:sz w:val="20"/>
          <w:szCs w:val="20"/>
          <w:lang w:val="es-ES_tradnl"/>
        </w:rPr>
        <w:t xml:space="preserve"> que la Fiscalía 61 logró recaudar material probatorio </w:t>
      </w:r>
      <w:r w:rsidR="00147696" w:rsidRPr="000630CE">
        <w:rPr>
          <w:sz w:val="20"/>
          <w:szCs w:val="20"/>
          <w:lang w:val="es-ES_tradnl"/>
        </w:rPr>
        <w:t>respecto de</w:t>
      </w:r>
      <w:r w:rsidRPr="000630CE">
        <w:rPr>
          <w:sz w:val="20"/>
          <w:szCs w:val="20"/>
          <w:lang w:val="es-ES_tradnl"/>
        </w:rPr>
        <w:t xml:space="preserve"> uno de los militares involucrados, llevado a jui</w:t>
      </w:r>
      <w:r w:rsidR="00164460" w:rsidRPr="000630CE">
        <w:rPr>
          <w:sz w:val="20"/>
          <w:szCs w:val="20"/>
          <w:lang w:val="es-ES_tradnl"/>
        </w:rPr>
        <w:t xml:space="preserve">cio </w:t>
      </w:r>
      <w:r w:rsidRPr="000630CE">
        <w:rPr>
          <w:sz w:val="20"/>
          <w:szCs w:val="20"/>
          <w:lang w:val="es-ES_tradnl"/>
        </w:rPr>
        <w:t>ante el Juzgado Penal Especializado de Yopal (Casanare), bajo el radicado no. 2011-0013</w:t>
      </w:r>
      <w:r w:rsidR="00E40E47" w:rsidRPr="000630CE">
        <w:rPr>
          <w:sz w:val="20"/>
          <w:szCs w:val="20"/>
          <w:lang w:val="es-ES_tradnl"/>
        </w:rPr>
        <w:t xml:space="preserve">, </w:t>
      </w:r>
      <w:r w:rsidR="00164460" w:rsidRPr="000630CE">
        <w:rPr>
          <w:sz w:val="20"/>
          <w:szCs w:val="20"/>
          <w:lang w:val="es-ES_tradnl"/>
        </w:rPr>
        <w:t xml:space="preserve">en el </w:t>
      </w:r>
      <w:r w:rsidR="00E40E47" w:rsidRPr="000630CE">
        <w:rPr>
          <w:sz w:val="20"/>
          <w:szCs w:val="20"/>
          <w:lang w:val="es-ES_tradnl"/>
        </w:rPr>
        <w:t xml:space="preserve">cual se profirió sentencia </w:t>
      </w:r>
      <w:r w:rsidR="00164460" w:rsidRPr="000630CE">
        <w:rPr>
          <w:sz w:val="20"/>
          <w:szCs w:val="20"/>
          <w:lang w:val="es-ES_tradnl"/>
        </w:rPr>
        <w:t>condenatoria</w:t>
      </w:r>
      <w:r w:rsidR="00E40E47" w:rsidRPr="000630CE">
        <w:rPr>
          <w:sz w:val="20"/>
          <w:szCs w:val="20"/>
          <w:lang w:val="es-ES_tradnl"/>
        </w:rPr>
        <w:t>.</w:t>
      </w:r>
    </w:p>
    <w:p w14:paraId="6CEC90F5" w14:textId="7F11FE2A" w:rsidR="00895F48" w:rsidRPr="000630CE" w:rsidRDefault="004205D0" w:rsidP="003A4D4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lastRenderedPageBreak/>
        <w:t>La parte peticionaria también se refiere a la acción de reparación directa iniciada por los familiares del Sr. Cruz Guevara. Dicha acción</w:t>
      </w:r>
      <w:r w:rsidR="00895F48" w:rsidRPr="000630CE">
        <w:rPr>
          <w:sz w:val="20"/>
          <w:szCs w:val="20"/>
          <w:lang w:val="es-ES_tradnl"/>
        </w:rPr>
        <w:t xml:space="preserve"> fue</w:t>
      </w:r>
      <w:r w:rsidRPr="000630CE">
        <w:rPr>
          <w:sz w:val="20"/>
          <w:szCs w:val="20"/>
          <w:lang w:val="es-ES_tradnl"/>
        </w:rPr>
        <w:t xml:space="preserve"> tramitada </w:t>
      </w:r>
      <w:r w:rsidR="00BA2401" w:rsidRPr="000630CE">
        <w:rPr>
          <w:sz w:val="20"/>
          <w:szCs w:val="20"/>
          <w:lang w:val="es-ES_tradnl"/>
        </w:rPr>
        <w:t>ante la jurisdicción administrativa con sede en el Juzgado Segundo Administrativo del Circuito de</w:t>
      </w:r>
      <w:r w:rsidRPr="000630CE">
        <w:rPr>
          <w:sz w:val="20"/>
          <w:szCs w:val="20"/>
          <w:lang w:val="es-ES_tradnl"/>
        </w:rPr>
        <w:t xml:space="preserve"> </w:t>
      </w:r>
      <w:r w:rsidR="00BA2401" w:rsidRPr="000630CE">
        <w:rPr>
          <w:sz w:val="20"/>
          <w:szCs w:val="20"/>
          <w:lang w:val="es-ES_tradnl"/>
        </w:rPr>
        <w:t>Yopal (Casanare) bajo el radicado 850013331002-2009-00130-00</w:t>
      </w:r>
      <w:r w:rsidR="00895F48" w:rsidRPr="000630CE">
        <w:rPr>
          <w:sz w:val="20"/>
          <w:szCs w:val="20"/>
          <w:lang w:val="es-ES_tradnl"/>
        </w:rPr>
        <w:t xml:space="preserve">. El 15 de junio de 2011, el citado Juzgado Administrativo dictó sentencia </w:t>
      </w:r>
      <w:r w:rsidR="00E04A29" w:rsidRPr="000630CE">
        <w:rPr>
          <w:sz w:val="20"/>
          <w:szCs w:val="20"/>
          <w:lang w:val="es-ES_tradnl"/>
        </w:rPr>
        <w:t>favorable a los familiares del fallecido; la cual</w:t>
      </w:r>
      <w:r w:rsidR="00895F48" w:rsidRPr="000630CE">
        <w:rPr>
          <w:sz w:val="20"/>
          <w:szCs w:val="20"/>
          <w:lang w:val="es-ES_tradnl"/>
        </w:rPr>
        <w:t xml:space="preserve">, apelada por el Ministerio de Defensa, fue confirmada en lo esencial </w:t>
      </w:r>
      <w:r w:rsidR="007E778E" w:rsidRPr="000630CE">
        <w:rPr>
          <w:sz w:val="20"/>
          <w:szCs w:val="20"/>
          <w:lang w:val="es-ES_tradnl"/>
        </w:rPr>
        <w:t>en</w:t>
      </w:r>
      <w:r w:rsidR="00895F48" w:rsidRPr="000630CE">
        <w:rPr>
          <w:sz w:val="20"/>
          <w:szCs w:val="20"/>
          <w:lang w:val="es-ES_tradnl"/>
        </w:rPr>
        <w:t xml:space="preserve"> segunda instancia </w:t>
      </w:r>
      <w:r w:rsidR="007E778E" w:rsidRPr="000630CE">
        <w:rPr>
          <w:sz w:val="20"/>
          <w:szCs w:val="20"/>
          <w:lang w:val="es-ES_tradnl"/>
        </w:rPr>
        <w:t>el</w:t>
      </w:r>
      <w:r w:rsidR="00895F48" w:rsidRPr="000630CE">
        <w:rPr>
          <w:sz w:val="20"/>
          <w:szCs w:val="20"/>
          <w:lang w:val="es-ES_tradnl"/>
        </w:rPr>
        <w:t xml:space="preserve"> 16 de febrero de 2012, </w:t>
      </w:r>
      <w:r w:rsidR="007E778E" w:rsidRPr="000630CE">
        <w:rPr>
          <w:sz w:val="20"/>
          <w:szCs w:val="20"/>
          <w:lang w:val="es-ES_tradnl"/>
        </w:rPr>
        <w:t xml:space="preserve">mediante fallo </w:t>
      </w:r>
      <w:r w:rsidR="00895F48" w:rsidRPr="000630CE">
        <w:rPr>
          <w:sz w:val="20"/>
          <w:szCs w:val="20"/>
          <w:lang w:val="es-ES_tradnl"/>
        </w:rPr>
        <w:t>proferido por el Tribunal Administrativo de Casanare.</w:t>
      </w:r>
      <w:r w:rsidR="007E778E" w:rsidRPr="000630CE">
        <w:rPr>
          <w:sz w:val="20"/>
          <w:szCs w:val="20"/>
          <w:lang w:val="es-ES_tradnl"/>
        </w:rPr>
        <w:t xml:space="preserve"> </w:t>
      </w:r>
      <w:r w:rsidR="009674E4" w:rsidRPr="000630CE">
        <w:rPr>
          <w:sz w:val="20"/>
          <w:szCs w:val="20"/>
          <w:lang w:val="es-ES_tradnl"/>
        </w:rPr>
        <w:t>–En general el peticionario presenta poca información sobre los procesos judiciales internos–.</w:t>
      </w:r>
    </w:p>
    <w:p w14:paraId="2BB92D25" w14:textId="157397AA" w:rsidR="00EC3C33" w:rsidRPr="000630CE" w:rsidRDefault="00E01C97" w:rsidP="003A4D4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Ahora bien, e</w:t>
      </w:r>
      <w:r w:rsidR="00973A6E" w:rsidRPr="000630CE">
        <w:rPr>
          <w:sz w:val="20"/>
          <w:szCs w:val="20"/>
          <w:lang w:val="es-ES_tradnl"/>
        </w:rPr>
        <w:t xml:space="preserve">n </w:t>
      </w:r>
      <w:r w:rsidR="00C70619" w:rsidRPr="000630CE">
        <w:rPr>
          <w:sz w:val="20"/>
          <w:szCs w:val="20"/>
          <w:lang w:val="es-ES_tradnl"/>
        </w:rPr>
        <w:t>su comunicación de junio de 2023, la parte peticionaria informa que</w:t>
      </w:r>
      <w:r w:rsidR="00706596" w:rsidRPr="000630CE">
        <w:rPr>
          <w:sz w:val="20"/>
          <w:szCs w:val="20"/>
          <w:lang w:val="es-ES_tradnl"/>
        </w:rPr>
        <w:t xml:space="preserve">, a pesar de que existían </w:t>
      </w:r>
      <w:r w:rsidR="00EB0D15" w:rsidRPr="000630CE">
        <w:rPr>
          <w:sz w:val="20"/>
          <w:szCs w:val="20"/>
          <w:lang w:val="es-ES_tradnl"/>
        </w:rPr>
        <w:t>tre</w:t>
      </w:r>
      <w:r w:rsidR="00706596" w:rsidRPr="000630CE">
        <w:rPr>
          <w:sz w:val="20"/>
          <w:szCs w:val="20"/>
          <w:lang w:val="es-ES_tradnl"/>
        </w:rPr>
        <w:t xml:space="preserve">s condenas </w:t>
      </w:r>
      <w:r w:rsidR="004B2C41" w:rsidRPr="000630CE">
        <w:rPr>
          <w:sz w:val="20"/>
          <w:szCs w:val="20"/>
          <w:lang w:val="es-ES_tradnl"/>
        </w:rPr>
        <w:t xml:space="preserve">contra los responsables de la ejecución del señor Cruz Guevara, </w:t>
      </w:r>
      <w:r w:rsidR="00066C33" w:rsidRPr="000630CE">
        <w:rPr>
          <w:sz w:val="20"/>
          <w:szCs w:val="20"/>
          <w:lang w:val="es-ES_tradnl"/>
        </w:rPr>
        <w:t>la Jurisdicción Especial para la Paz (en adelante “JEP”) asumió la competencia de</w:t>
      </w:r>
      <w:r w:rsidR="00BC31F2" w:rsidRPr="000630CE">
        <w:rPr>
          <w:sz w:val="20"/>
          <w:szCs w:val="20"/>
          <w:lang w:val="es-ES_tradnl"/>
        </w:rPr>
        <w:t xml:space="preserve"> este</w:t>
      </w:r>
      <w:r w:rsidR="00066C33" w:rsidRPr="000630CE">
        <w:rPr>
          <w:sz w:val="20"/>
          <w:szCs w:val="20"/>
          <w:lang w:val="es-ES_tradnl"/>
        </w:rPr>
        <w:t xml:space="preserve"> caso </w:t>
      </w:r>
      <w:r w:rsidR="006051A0" w:rsidRPr="000630CE">
        <w:rPr>
          <w:sz w:val="20"/>
          <w:szCs w:val="20"/>
          <w:lang w:val="es-ES_tradnl"/>
        </w:rPr>
        <w:t>y, desde entonces, el proceso se encuentra suspendido.</w:t>
      </w:r>
      <w:r w:rsidR="00FF2079" w:rsidRPr="000630CE">
        <w:rPr>
          <w:sz w:val="20"/>
          <w:szCs w:val="20"/>
          <w:lang w:val="es-ES_tradnl"/>
        </w:rPr>
        <w:t xml:space="preserve"> Asegura</w:t>
      </w:r>
      <w:r w:rsidR="00750BAB" w:rsidRPr="000630CE">
        <w:rPr>
          <w:sz w:val="20"/>
          <w:szCs w:val="20"/>
          <w:lang w:val="es-ES_tradnl"/>
        </w:rPr>
        <w:t>n</w:t>
      </w:r>
      <w:r w:rsidR="00FF2079" w:rsidRPr="000630CE">
        <w:rPr>
          <w:sz w:val="20"/>
          <w:szCs w:val="20"/>
          <w:lang w:val="es-ES_tradnl"/>
        </w:rPr>
        <w:t xml:space="preserve"> que </w:t>
      </w:r>
      <w:r w:rsidR="00E31E56" w:rsidRPr="000630CE">
        <w:rPr>
          <w:sz w:val="20"/>
          <w:szCs w:val="20"/>
          <w:lang w:val="es-ES_tradnl"/>
        </w:rPr>
        <w:t xml:space="preserve">los agentes estatales que fueron condenados quedaron en libertad bajo el beneficio de libertad condicional por </w:t>
      </w:r>
      <w:r w:rsidR="00F54C18" w:rsidRPr="000630CE">
        <w:rPr>
          <w:sz w:val="20"/>
          <w:szCs w:val="20"/>
          <w:lang w:val="es-ES_tradnl"/>
        </w:rPr>
        <w:t>su</w:t>
      </w:r>
      <w:r w:rsidR="00E31E56" w:rsidRPr="000630CE">
        <w:rPr>
          <w:sz w:val="20"/>
          <w:szCs w:val="20"/>
          <w:lang w:val="es-ES_tradnl"/>
        </w:rPr>
        <w:t xml:space="preserve"> sometimiento a</w:t>
      </w:r>
      <w:r w:rsidR="00955D72" w:rsidRPr="000630CE">
        <w:rPr>
          <w:sz w:val="20"/>
          <w:szCs w:val="20"/>
          <w:lang w:val="es-ES_tradnl"/>
        </w:rPr>
        <w:t>nte</w:t>
      </w:r>
      <w:r w:rsidR="00E31E56" w:rsidRPr="000630CE">
        <w:rPr>
          <w:sz w:val="20"/>
          <w:szCs w:val="20"/>
          <w:lang w:val="es-ES_tradnl"/>
        </w:rPr>
        <w:t xml:space="preserve"> la JEP, y sus condenas </w:t>
      </w:r>
      <w:r w:rsidR="00032246" w:rsidRPr="000630CE">
        <w:rPr>
          <w:sz w:val="20"/>
          <w:szCs w:val="20"/>
          <w:lang w:val="es-ES_tradnl"/>
        </w:rPr>
        <w:t>serían revisadas por dicha jurisdicción, con lo cual dejaron de causar ejecutoria</w:t>
      </w:r>
      <w:r w:rsidR="00B12D92" w:rsidRPr="000630CE">
        <w:rPr>
          <w:sz w:val="20"/>
          <w:szCs w:val="20"/>
          <w:lang w:val="es-ES_tradnl"/>
        </w:rPr>
        <w:t xml:space="preserve">. </w:t>
      </w:r>
      <w:r w:rsidR="009D30CA" w:rsidRPr="000630CE">
        <w:rPr>
          <w:sz w:val="20"/>
          <w:szCs w:val="20"/>
          <w:lang w:val="es-ES_tradnl"/>
        </w:rPr>
        <w:t xml:space="preserve">Así, </w:t>
      </w:r>
      <w:r w:rsidR="00861490" w:rsidRPr="000630CE">
        <w:rPr>
          <w:sz w:val="20"/>
          <w:szCs w:val="20"/>
          <w:lang w:val="es-ES_tradnl"/>
        </w:rPr>
        <w:t>r</w:t>
      </w:r>
      <w:r w:rsidR="00B12D92" w:rsidRPr="000630CE">
        <w:rPr>
          <w:sz w:val="20"/>
          <w:szCs w:val="20"/>
          <w:lang w:val="es-ES_tradnl"/>
        </w:rPr>
        <w:t>elata</w:t>
      </w:r>
      <w:r w:rsidR="009D30CA" w:rsidRPr="000630CE">
        <w:rPr>
          <w:sz w:val="20"/>
          <w:szCs w:val="20"/>
          <w:lang w:val="es-ES_tradnl"/>
        </w:rPr>
        <w:t>n</w:t>
      </w:r>
      <w:r w:rsidR="00B12D92" w:rsidRPr="000630CE">
        <w:rPr>
          <w:sz w:val="20"/>
          <w:szCs w:val="20"/>
          <w:lang w:val="es-ES_tradnl"/>
        </w:rPr>
        <w:t xml:space="preserve"> que el </w:t>
      </w:r>
      <w:r w:rsidR="00906AA1" w:rsidRPr="000630CE">
        <w:rPr>
          <w:sz w:val="20"/>
          <w:szCs w:val="20"/>
          <w:lang w:val="es-ES_tradnl"/>
        </w:rPr>
        <w:t>14 de julio de 2022</w:t>
      </w:r>
      <w:r w:rsidR="00B12D92" w:rsidRPr="000630CE">
        <w:rPr>
          <w:sz w:val="20"/>
          <w:szCs w:val="20"/>
          <w:lang w:val="es-ES_tradnl"/>
        </w:rPr>
        <w:t xml:space="preserve"> </w:t>
      </w:r>
      <w:r w:rsidR="00EA5E51" w:rsidRPr="000630CE">
        <w:rPr>
          <w:sz w:val="20"/>
          <w:szCs w:val="20"/>
          <w:lang w:val="es-ES_tradnl"/>
        </w:rPr>
        <w:t xml:space="preserve">la JEP emitió un auto de selección de la Sala de Reconocimiento mediante el </w:t>
      </w:r>
      <w:r w:rsidR="003523F5" w:rsidRPr="000630CE">
        <w:rPr>
          <w:sz w:val="20"/>
          <w:szCs w:val="20"/>
          <w:lang w:val="es-ES_tradnl"/>
        </w:rPr>
        <w:t xml:space="preserve">cual asumió la competencia de </w:t>
      </w:r>
      <w:r w:rsidR="00686178" w:rsidRPr="000630CE">
        <w:rPr>
          <w:sz w:val="20"/>
          <w:szCs w:val="20"/>
          <w:lang w:val="es-ES_tradnl"/>
        </w:rPr>
        <w:t xml:space="preserve">hechos respecto de 296 víctimas de </w:t>
      </w:r>
      <w:r w:rsidR="00E811FD" w:rsidRPr="000630CE">
        <w:rPr>
          <w:sz w:val="20"/>
          <w:szCs w:val="20"/>
          <w:lang w:val="es-ES_tradnl"/>
        </w:rPr>
        <w:t>los de</w:t>
      </w:r>
      <w:r w:rsidR="00906AA1" w:rsidRPr="000630CE">
        <w:rPr>
          <w:sz w:val="20"/>
          <w:szCs w:val="20"/>
          <w:lang w:val="es-ES_tradnl"/>
        </w:rPr>
        <w:t>n</w:t>
      </w:r>
      <w:r w:rsidR="00E811FD" w:rsidRPr="000630CE">
        <w:rPr>
          <w:sz w:val="20"/>
          <w:szCs w:val="20"/>
          <w:lang w:val="es-ES_tradnl"/>
        </w:rPr>
        <w:t>ominados ‘falsos positivos’ en el departamento de Casanare entre 2005 y 2008.</w:t>
      </w:r>
      <w:r w:rsidR="00906AA1" w:rsidRPr="000630CE">
        <w:rPr>
          <w:sz w:val="20"/>
          <w:szCs w:val="20"/>
          <w:lang w:val="es-ES_tradnl"/>
        </w:rPr>
        <w:t xml:space="preserve"> Afirman que dicho proceso se encuentra pendiente de </w:t>
      </w:r>
      <w:r w:rsidR="00DE10D7" w:rsidRPr="000630CE">
        <w:rPr>
          <w:sz w:val="20"/>
          <w:szCs w:val="20"/>
          <w:lang w:val="es-ES_tradnl"/>
        </w:rPr>
        <w:t xml:space="preserve">celebración de la audiencia pública de reconocimiento de verdad y de responsabilidad de los máximos responsables vinculados al Caso 003 de la JEP </w:t>
      </w:r>
      <w:r w:rsidR="009B0226" w:rsidRPr="000630CE">
        <w:rPr>
          <w:sz w:val="20"/>
          <w:szCs w:val="20"/>
          <w:lang w:val="es-ES_tradnl"/>
        </w:rPr>
        <w:t xml:space="preserve">– </w:t>
      </w:r>
      <w:r w:rsidR="00DE10D7" w:rsidRPr="000630CE">
        <w:rPr>
          <w:sz w:val="20"/>
          <w:szCs w:val="20"/>
          <w:lang w:val="es-ES_tradnl"/>
        </w:rPr>
        <w:t>subcaso</w:t>
      </w:r>
      <w:r w:rsidR="009B0226" w:rsidRPr="000630CE">
        <w:rPr>
          <w:sz w:val="20"/>
          <w:szCs w:val="20"/>
          <w:lang w:val="es-ES_tradnl"/>
        </w:rPr>
        <w:t xml:space="preserve"> </w:t>
      </w:r>
      <w:r w:rsidR="00DE10D7" w:rsidRPr="000630CE">
        <w:rPr>
          <w:sz w:val="20"/>
          <w:szCs w:val="20"/>
          <w:lang w:val="es-ES_tradnl"/>
        </w:rPr>
        <w:t>Casanare.</w:t>
      </w:r>
    </w:p>
    <w:p w14:paraId="6534885E" w14:textId="30041480" w:rsidR="007B79D5" w:rsidRPr="000630CE" w:rsidRDefault="00D13321" w:rsidP="003A4D4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 xml:space="preserve">En vista de ello, la parte peticionaria invoca </w:t>
      </w:r>
      <w:r w:rsidR="000E73F0" w:rsidRPr="000630CE">
        <w:rPr>
          <w:sz w:val="20"/>
          <w:szCs w:val="20"/>
          <w:lang w:val="es-ES_tradnl"/>
        </w:rPr>
        <w:t>la</w:t>
      </w:r>
      <w:r w:rsidRPr="000630CE">
        <w:rPr>
          <w:sz w:val="20"/>
          <w:szCs w:val="20"/>
          <w:lang w:val="es-ES_tradnl"/>
        </w:rPr>
        <w:t xml:space="preserve"> excepci</w:t>
      </w:r>
      <w:r w:rsidR="00A734DC" w:rsidRPr="000630CE">
        <w:rPr>
          <w:sz w:val="20"/>
          <w:szCs w:val="20"/>
          <w:lang w:val="es-ES_tradnl"/>
        </w:rPr>
        <w:t>ón</w:t>
      </w:r>
      <w:r w:rsidRPr="000630CE">
        <w:rPr>
          <w:sz w:val="20"/>
          <w:szCs w:val="20"/>
          <w:lang w:val="es-ES_tradnl"/>
        </w:rPr>
        <w:t xml:space="preserve"> al agotamiento de los recursos internos</w:t>
      </w:r>
      <w:r w:rsidR="00A734DC" w:rsidRPr="000630CE">
        <w:rPr>
          <w:sz w:val="20"/>
          <w:szCs w:val="20"/>
          <w:lang w:val="es-ES_tradnl"/>
        </w:rPr>
        <w:t xml:space="preserve"> prevista en el artículo 46.2.a) de la Convención</w:t>
      </w:r>
      <w:r w:rsidRPr="000630CE">
        <w:rPr>
          <w:sz w:val="20"/>
          <w:szCs w:val="20"/>
          <w:lang w:val="es-ES_tradnl"/>
        </w:rPr>
        <w:t>,</w:t>
      </w:r>
      <w:r w:rsidR="00A734DC" w:rsidRPr="000630CE">
        <w:rPr>
          <w:sz w:val="20"/>
          <w:szCs w:val="20"/>
          <w:lang w:val="es-ES_tradnl"/>
        </w:rPr>
        <w:t xml:space="preserve"> pues</w:t>
      </w:r>
      <w:r w:rsidRPr="000630CE">
        <w:rPr>
          <w:sz w:val="20"/>
          <w:szCs w:val="20"/>
          <w:lang w:val="es-ES_tradnl"/>
        </w:rPr>
        <w:t xml:space="preserve"> sostiene que </w:t>
      </w:r>
      <w:r w:rsidR="00E91BCA" w:rsidRPr="000630CE">
        <w:rPr>
          <w:sz w:val="20"/>
          <w:szCs w:val="20"/>
          <w:lang w:val="es-ES_tradnl"/>
        </w:rPr>
        <w:t xml:space="preserve">el proceso ante </w:t>
      </w:r>
      <w:r w:rsidRPr="000630CE">
        <w:rPr>
          <w:sz w:val="20"/>
          <w:szCs w:val="20"/>
          <w:lang w:val="es-ES_tradnl"/>
        </w:rPr>
        <w:t xml:space="preserve">la JEP es </w:t>
      </w:r>
      <w:r w:rsidR="00E91BCA" w:rsidRPr="000630CE">
        <w:rPr>
          <w:sz w:val="20"/>
          <w:szCs w:val="20"/>
          <w:lang w:val="es-ES_tradnl"/>
        </w:rPr>
        <w:t xml:space="preserve">incompatible con los estándares internacionales de acceso a la justicia </w:t>
      </w:r>
      <w:r w:rsidR="00DB27E3" w:rsidRPr="000630CE">
        <w:rPr>
          <w:sz w:val="20"/>
          <w:szCs w:val="20"/>
          <w:lang w:val="es-ES_tradnl"/>
        </w:rPr>
        <w:t xml:space="preserve">y, por ende, </w:t>
      </w:r>
      <w:r w:rsidR="00A734DC" w:rsidRPr="000630CE">
        <w:rPr>
          <w:sz w:val="20"/>
          <w:szCs w:val="20"/>
          <w:lang w:val="es-ES_tradnl"/>
        </w:rPr>
        <w:t xml:space="preserve">se torna en </w:t>
      </w:r>
      <w:r w:rsidR="00DB27E3" w:rsidRPr="000630CE">
        <w:rPr>
          <w:sz w:val="20"/>
          <w:szCs w:val="20"/>
          <w:lang w:val="es-ES_tradnl"/>
        </w:rPr>
        <w:t>un recurso inadecuado</w:t>
      </w:r>
      <w:r w:rsidR="0084236E" w:rsidRPr="000630CE">
        <w:rPr>
          <w:sz w:val="20"/>
          <w:szCs w:val="20"/>
          <w:lang w:val="es-ES_tradnl"/>
        </w:rPr>
        <w:t>.</w:t>
      </w:r>
      <w:r w:rsidR="009F74EF" w:rsidRPr="000630CE">
        <w:rPr>
          <w:sz w:val="20"/>
          <w:szCs w:val="20"/>
          <w:lang w:val="es-ES_tradnl"/>
        </w:rPr>
        <w:t xml:space="preserve"> Replica, además, a las observaciones del Estado argumentando que la presente petición no se enmarca en la doctrina de la cuarta instancia, en la medida en que present</w:t>
      </w:r>
      <w:r w:rsidR="002C533A" w:rsidRPr="000630CE">
        <w:rPr>
          <w:sz w:val="20"/>
          <w:szCs w:val="20"/>
          <w:lang w:val="es-ES_tradnl"/>
        </w:rPr>
        <w:t>a</w:t>
      </w:r>
      <w:r w:rsidR="009F74EF" w:rsidRPr="000630CE">
        <w:rPr>
          <w:sz w:val="20"/>
          <w:szCs w:val="20"/>
          <w:lang w:val="es-ES_tradnl"/>
        </w:rPr>
        <w:t xml:space="preserve"> alegatos específicos sobre la </w:t>
      </w:r>
      <w:r w:rsidR="004666EB" w:rsidRPr="000630CE">
        <w:rPr>
          <w:sz w:val="20"/>
          <w:szCs w:val="20"/>
          <w:lang w:val="es-ES_tradnl"/>
        </w:rPr>
        <w:t>inexistencia de un recurso efectivo para</w:t>
      </w:r>
      <w:r w:rsidR="00B8367C" w:rsidRPr="000630CE">
        <w:rPr>
          <w:sz w:val="20"/>
          <w:szCs w:val="20"/>
          <w:lang w:val="es-ES_tradnl"/>
        </w:rPr>
        <w:t xml:space="preserve"> remediar la situación denunciada, y sobre la impunidad que rodea la ejecución extrajudicial del Sr</w:t>
      </w:r>
      <w:r w:rsidR="009F74EF" w:rsidRPr="000630CE">
        <w:rPr>
          <w:sz w:val="20"/>
          <w:szCs w:val="20"/>
          <w:lang w:val="es-ES_tradnl"/>
        </w:rPr>
        <w:t>.</w:t>
      </w:r>
      <w:r w:rsidR="00B8367C" w:rsidRPr="000630CE">
        <w:rPr>
          <w:sz w:val="20"/>
          <w:szCs w:val="20"/>
          <w:lang w:val="es-ES_tradnl"/>
        </w:rPr>
        <w:t xml:space="preserve"> Cruz Guevara después de 16 años, pues el Estado no ha individualizado, ni sancionado a todos los responsables del hecho.</w:t>
      </w:r>
    </w:p>
    <w:p w14:paraId="69B88D94" w14:textId="5C135546" w:rsidR="00785B6C" w:rsidRPr="000630CE" w:rsidRDefault="00785B6C" w:rsidP="003A4D4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_tradnl"/>
        </w:rPr>
      </w:pPr>
      <w:r w:rsidRPr="000630CE">
        <w:rPr>
          <w:i/>
          <w:iCs/>
          <w:sz w:val="20"/>
          <w:szCs w:val="20"/>
          <w:lang w:val="es-ES_tradnl"/>
        </w:rPr>
        <w:t>Posición del Estado</w:t>
      </w:r>
      <w:r w:rsidR="00A2648A" w:rsidRPr="000630CE">
        <w:rPr>
          <w:i/>
          <w:iCs/>
          <w:sz w:val="20"/>
          <w:szCs w:val="20"/>
          <w:lang w:val="es-ES_tradnl"/>
        </w:rPr>
        <w:t xml:space="preserve"> </w:t>
      </w:r>
      <w:r w:rsidR="009674E4" w:rsidRPr="000630CE">
        <w:rPr>
          <w:i/>
          <w:iCs/>
          <w:sz w:val="20"/>
          <w:szCs w:val="20"/>
          <w:lang w:val="es-ES_tradnl"/>
        </w:rPr>
        <w:t>colombiano</w:t>
      </w:r>
    </w:p>
    <w:p w14:paraId="1859F1F1" w14:textId="1773021F" w:rsidR="00C56831" w:rsidRPr="000630CE" w:rsidRDefault="005B039F" w:rsidP="003A4D4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El Estado, de su parte, se refiere a los hechos denunciados por la parte peticionaria y aporta información adicional sobre los procesos internos</w:t>
      </w:r>
      <w:r w:rsidR="00673C7E" w:rsidRPr="000630CE">
        <w:rPr>
          <w:sz w:val="20"/>
          <w:szCs w:val="20"/>
          <w:lang w:val="es-ES_tradnl"/>
        </w:rPr>
        <w:t xml:space="preserve"> de carácter </w:t>
      </w:r>
      <w:r w:rsidR="0037725C" w:rsidRPr="000630CE">
        <w:rPr>
          <w:sz w:val="20"/>
          <w:szCs w:val="20"/>
          <w:lang w:val="es-ES_tradnl"/>
        </w:rPr>
        <w:t>penal y administrativo.</w:t>
      </w:r>
      <w:r w:rsidRPr="000630CE">
        <w:rPr>
          <w:sz w:val="20"/>
          <w:szCs w:val="20"/>
          <w:lang w:val="es-ES_tradnl"/>
        </w:rPr>
        <w:t xml:space="preserve"> </w:t>
      </w:r>
    </w:p>
    <w:p w14:paraId="7DCB4BC6" w14:textId="137517F2" w:rsidR="00C56831" w:rsidRPr="000630CE" w:rsidRDefault="00785B6C" w:rsidP="003A4D4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En relación con la investigación penal, e</w:t>
      </w:r>
      <w:r w:rsidR="00C56831" w:rsidRPr="000630CE">
        <w:rPr>
          <w:sz w:val="20"/>
          <w:szCs w:val="20"/>
          <w:lang w:val="es-ES_tradnl"/>
        </w:rPr>
        <w:t>l Estado indica que la Fiscalía 30 de la URI de Yopal inició la respectiva investigación. Posteriormente, el proceso fue remitido a la jurisdicción penal militar</w:t>
      </w:r>
      <w:r w:rsidR="003C0D9B" w:rsidRPr="000630CE">
        <w:rPr>
          <w:sz w:val="20"/>
          <w:szCs w:val="20"/>
          <w:lang w:val="es-ES_tradnl"/>
        </w:rPr>
        <w:t xml:space="preserve">, </w:t>
      </w:r>
      <w:r w:rsidR="00E300D7" w:rsidRPr="000630CE">
        <w:rPr>
          <w:sz w:val="20"/>
          <w:szCs w:val="20"/>
          <w:lang w:val="es-ES_tradnl"/>
        </w:rPr>
        <w:t>al Juzgado</w:t>
      </w:r>
      <w:r w:rsidR="00C56831" w:rsidRPr="000630CE">
        <w:rPr>
          <w:sz w:val="20"/>
          <w:szCs w:val="20"/>
          <w:lang w:val="es-ES_tradnl"/>
        </w:rPr>
        <w:t xml:space="preserve"> 44 de Instrucción Penal Militar. Pasados siete meses, fue nuevamente remitido a la </w:t>
      </w:r>
      <w:r w:rsidR="00E300D7" w:rsidRPr="000630CE">
        <w:rPr>
          <w:sz w:val="20"/>
          <w:szCs w:val="20"/>
          <w:lang w:val="es-ES_tradnl"/>
        </w:rPr>
        <w:t>F</w:t>
      </w:r>
      <w:r w:rsidRPr="000630CE">
        <w:rPr>
          <w:sz w:val="20"/>
          <w:szCs w:val="20"/>
          <w:lang w:val="es-ES_tradnl"/>
        </w:rPr>
        <w:t xml:space="preserve">iscalía </w:t>
      </w:r>
      <w:r w:rsidR="00E300D7" w:rsidRPr="000630CE">
        <w:rPr>
          <w:sz w:val="20"/>
          <w:szCs w:val="20"/>
          <w:lang w:val="es-ES_tradnl"/>
        </w:rPr>
        <w:t>G</w:t>
      </w:r>
      <w:r w:rsidRPr="000630CE">
        <w:rPr>
          <w:sz w:val="20"/>
          <w:szCs w:val="20"/>
          <w:lang w:val="es-ES_tradnl"/>
        </w:rPr>
        <w:t>eneral</w:t>
      </w:r>
      <w:r w:rsidR="00C56831" w:rsidRPr="000630CE">
        <w:rPr>
          <w:sz w:val="20"/>
          <w:szCs w:val="20"/>
          <w:lang w:val="es-ES_tradnl"/>
        </w:rPr>
        <w:t xml:space="preserve"> de la Nación -</w:t>
      </w:r>
      <w:r w:rsidR="00E300D7" w:rsidRPr="000630CE">
        <w:rPr>
          <w:sz w:val="20"/>
          <w:szCs w:val="20"/>
          <w:lang w:val="es-ES_tradnl"/>
        </w:rPr>
        <w:t xml:space="preserve"> </w:t>
      </w:r>
      <w:r w:rsidR="00C56831" w:rsidRPr="000630CE">
        <w:rPr>
          <w:sz w:val="20"/>
          <w:szCs w:val="20"/>
          <w:lang w:val="es-ES_tradnl"/>
        </w:rPr>
        <w:t xml:space="preserve">Unidad Nacional de Derechos Humanos y Derecho Internacional Humanitario. </w:t>
      </w:r>
    </w:p>
    <w:p w14:paraId="4A665F58" w14:textId="77777777" w:rsidR="00291B41" w:rsidRPr="000630CE" w:rsidRDefault="00C56831" w:rsidP="003A4D4D">
      <w:pPr>
        <w:pStyle w:val="ListParagraph"/>
        <w:widowControl w:val="0"/>
        <w:numPr>
          <w:ilvl w:val="0"/>
          <w:numId w:val="59"/>
        </w:numPr>
        <w:spacing w:before="240" w:after="240"/>
        <w:ind w:left="0" w:firstLine="720"/>
        <w:jc w:val="both"/>
        <w:rPr>
          <w:sz w:val="20"/>
          <w:szCs w:val="20"/>
          <w:lang w:val="es-ES_tradnl"/>
        </w:rPr>
      </w:pPr>
      <w:r w:rsidRPr="000630CE">
        <w:rPr>
          <w:sz w:val="20"/>
          <w:szCs w:val="20"/>
          <w:lang w:val="es-ES_tradnl"/>
        </w:rPr>
        <w:t>El 15 de febrero de 2011 la investigación fue remitida ante el Juzgado Penal del Circuito Especializado de Yopal; autoridad que adelantó la investigación bajo el Radicado 4779.</w:t>
      </w:r>
      <w:r w:rsidR="000B7730" w:rsidRPr="000630CE">
        <w:rPr>
          <w:sz w:val="20"/>
          <w:szCs w:val="20"/>
          <w:lang w:val="es-ES_tradnl"/>
        </w:rPr>
        <w:t xml:space="preserve"> El 20 de septiembre de 2013 se emitió sentencia condenatoria contra: </w:t>
      </w:r>
    </w:p>
    <w:p w14:paraId="445E20D1" w14:textId="25C12381" w:rsidR="00291B41" w:rsidRPr="000630CE" w:rsidRDefault="000B7730" w:rsidP="00291B41">
      <w:pPr>
        <w:widowControl w:val="0"/>
        <w:spacing w:before="240" w:after="240"/>
        <w:ind w:firstLine="720"/>
        <w:jc w:val="both"/>
        <w:rPr>
          <w:rFonts w:asciiTheme="majorHAnsi" w:hAnsiTheme="majorHAnsi"/>
          <w:sz w:val="20"/>
          <w:szCs w:val="20"/>
          <w:lang w:val="es-ES_tradnl"/>
        </w:rPr>
      </w:pPr>
      <w:r w:rsidRPr="000630CE">
        <w:rPr>
          <w:rFonts w:asciiTheme="majorHAnsi" w:hAnsiTheme="majorHAnsi"/>
          <w:sz w:val="20"/>
          <w:szCs w:val="20"/>
          <w:lang w:val="es-ES_tradnl"/>
        </w:rPr>
        <w:t>i) Nelson Bladimir Hernández, condenado a 540 meses de prisión y multa de 2000 salarios mínimos legales mensuales (en adelante “smlm”)</w:t>
      </w:r>
      <w:r w:rsidR="0037725C" w:rsidRPr="000630CE">
        <w:rPr>
          <w:rFonts w:asciiTheme="majorHAnsi" w:hAnsiTheme="majorHAnsi"/>
          <w:sz w:val="20"/>
          <w:szCs w:val="20"/>
          <w:lang w:val="es-ES_tradnl"/>
        </w:rPr>
        <w:t xml:space="preserve"> (aproximadamente </w:t>
      </w:r>
      <w:r w:rsidR="003744E8" w:rsidRPr="000630CE">
        <w:rPr>
          <w:rFonts w:asciiTheme="majorHAnsi" w:hAnsiTheme="majorHAnsi"/>
          <w:sz w:val="20"/>
          <w:szCs w:val="20"/>
          <w:lang w:val="es-ES_tradnl"/>
        </w:rPr>
        <w:t xml:space="preserve">USD$. </w:t>
      </w:r>
      <w:r w:rsidR="00BB66C8" w:rsidRPr="000630CE">
        <w:rPr>
          <w:rFonts w:asciiTheme="majorHAnsi" w:hAnsiTheme="majorHAnsi"/>
          <w:sz w:val="20"/>
          <w:szCs w:val="20"/>
          <w:lang w:val="es-ES_tradnl"/>
        </w:rPr>
        <w:t>624.700,00</w:t>
      </w:r>
      <w:r w:rsidR="0037725C" w:rsidRPr="000630CE">
        <w:rPr>
          <w:rFonts w:asciiTheme="majorHAnsi" w:hAnsiTheme="majorHAnsi"/>
          <w:bCs/>
          <w:sz w:val="20"/>
          <w:szCs w:val="20"/>
          <w:vertAlign w:val="superscript"/>
          <w:lang w:val="es-ES_tradnl"/>
        </w:rPr>
        <w:footnoteReference w:id="8"/>
      </w:r>
      <w:r w:rsidR="0037725C" w:rsidRPr="000630CE">
        <w:rPr>
          <w:rFonts w:asciiTheme="majorHAnsi" w:hAnsiTheme="majorHAnsi"/>
          <w:sz w:val="20"/>
          <w:szCs w:val="20"/>
          <w:lang w:val="es-ES_tradnl"/>
        </w:rPr>
        <w:t>)</w:t>
      </w:r>
      <w:r w:rsidRPr="000630CE">
        <w:rPr>
          <w:rFonts w:asciiTheme="majorHAnsi" w:hAnsiTheme="majorHAnsi"/>
          <w:sz w:val="20"/>
          <w:szCs w:val="20"/>
          <w:lang w:val="es-ES_tradnl"/>
        </w:rPr>
        <w:t>, por homicidio en persona protegida en concurso con secuestro simple agravado, falsedad ideológica en documento público y fraude procesal</w:t>
      </w:r>
      <w:r w:rsidR="00291B41" w:rsidRPr="000630CE">
        <w:rPr>
          <w:rFonts w:asciiTheme="majorHAnsi" w:hAnsiTheme="majorHAnsi"/>
          <w:sz w:val="20"/>
          <w:szCs w:val="20"/>
          <w:lang w:val="es-ES_tradnl"/>
        </w:rPr>
        <w:t xml:space="preserve">; además al pago de 50 smlm (aproximadamente </w:t>
      </w:r>
      <w:r w:rsidR="00100CDB" w:rsidRPr="000630CE">
        <w:rPr>
          <w:rFonts w:asciiTheme="majorHAnsi" w:hAnsiTheme="majorHAnsi"/>
          <w:sz w:val="20"/>
          <w:szCs w:val="20"/>
          <w:lang w:val="es-ES_tradnl"/>
        </w:rPr>
        <w:t xml:space="preserve">USD$. </w:t>
      </w:r>
      <w:r w:rsidR="00291B41" w:rsidRPr="000630CE">
        <w:rPr>
          <w:rFonts w:asciiTheme="majorHAnsi" w:hAnsiTheme="majorHAnsi"/>
          <w:sz w:val="20"/>
          <w:szCs w:val="20"/>
          <w:lang w:val="es-ES_tradnl"/>
        </w:rPr>
        <w:t>15,617.50</w:t>
      </w:r>
      <w:r w:rsidR="00291B41" w:rsidRPr="000630CE">
        <w:rPr>
          <w:rFonts w:asciiTheme="majorHAnsi" w:hAnsiTheme="majorHAnsi"/>
          <w:bCs/>
          <w:sz w:val="20"/>
          <w:szCs w:val="20"/>
          <w:vertAlign w:val="superscript"/>
          <w:lang w:val="es-ES_tradnl"/>
        </w:rPr>
        <w:footnoteReference w:id="9"/>
      </w:r>
      <w:r w:rsidR="00291B41" w:rsidRPr="000630CE">
        <w:rPr>
          <w:rFonts w:asciiTheme="majorHAnsi" w:hAnsiTheme="majorHAnsi"/>
          <w:sz w:val="20"/>
          <w:szCs w:val="20"/>
          <w:lang w:val="es-ES_tradnl"/>
        </w:rPr>
        <w:t>) como indemnización por daños morales a favor de los padres y herederos de la víctima.</w:t>
      </w:r>
      <w:r w:rsidRPr="000630CE">
        <w:rPr>
          <w:rFonts w:asciiTheme="majorHAnsi" w:hAnsiTheme="majorHAnsi"/>
          <w:sz w:val="20"/>
          <w:szCs w:val="20"/>
          <w:lang w:val="es-ES_tradnl"/>
        </w:rPr>
        <w:t xml:space="preserve"> </w:t>
      </w:r>
    </w:p>
    <w:p w14:paraId="7FB119B4" w14:textId="3B51B6CA" w:rsidR="00F60C89" w:rsidRPr="000630CE" w:rsidRDefault="000B7730" w:rsidP="00291B41">
      <w:pPr>
        <w:widowControl w:val="0"/>
        <w:spacing w:before="240" w:after="240"/>
        <w:ind w:firstLine="720"/>
        <w:jc w:val="both"/>
        <w:rPr>
          <w:rFonts w:asciiTheme="majorHAnsi" w:hAnsiTheme="majorHAnsi"/>
          <w:sz w:val="20"/>
          <w:szCs w:val="20"/>
          <w:lang w:val="es-ES_tradnl"/>
        </w:rPr>
      </w:pPr>
      <w:r w:rsidRPr="000630CE">
        <w:rPr>
          <w:rFonts w:asciiTheme="majorHAnsi" w:hAnsiTheme="majorHAnsi"/>
          <w:sz w:val="20"/>
          <w:szCs w:val="20"/>
          <w:lang w:val="es-ES_tradnl"/>
        </w:rPr>
        <w:t>ii) Jaime Alexander Romero Vargas y Pedro Antonio Sarmiento Becerra, detectives del Departamento Administrativo de Seguridad (en adelante “DAS”), a 240 meses de prisión y multa de 600 smlm</w:t>
      </w:r>
      <w:r w:rsidR="0037725C" w:rsidRPr="000630CE">
        <w:rPr>
          <w:rFonts w:asciiTheme="majorHAnsi" w:hAnsiTheme="majorHAnsi"/>
          <w:sz w:val="20"/>
          <w:szCs w:val="20"/>
          <w:lang w:val="es-ES_tradnl"/>
        </w:rPr>
        <w:t xml:space="preserve"> </w:t>
      </w:r>
      <w:r w:rsidR="0037725C" w:rsidRPr="000630CE">
        <w:rPr>
          <w:rFonts w:asciiTheme="majorHAnsi" w:hAnsiTheme="majorHAnsi"/>
          <w:sz w:val="20"/>
          <w:szCs w:val="20"/>
          <w:lang w:val="es-ES_tradnl"/>
        </w:rPr>
        <w:lastRenderedPageBreak/>
        <w:t xml:space="preserve">(aproximadamente </w:t>
      </w:r>
      <w:r w:rsidR="00100CDB" w:rsidRPr="000630CE">
        <w:rPr>
          <w:rFonts w:asciiTheme="majorHAnsi" w:hAnsiTheme="majorHAnsi"/>
          <w:sz w:val="20"/>
          <w:szCs w:val="20"/>
          <w:lang w:val="es-ES_tradnl"/>
        </w:rPr>
        <w:t xml:space="preserve">USD$. </w:t>
      </w:r>
      <w:r w:rsidR="00BB66C8" w:rsidRPr="000630CE">
        <w:rPr>
          <w:rFonts w:asciiTheme="majorHAnsi" w:hAnsiTheme="majorHAnsi"/>
          <w:sz w:val="20"/>
          <w:szCs w:val="20"/>
          <w:lang w:val="es-ES_tradnl"/>
        </w:rPr>
        <w:t>187,410.00</w:t>
      </w:r>
      <w:r w:rsidR="0037725C" w:rsidRPr="000630CE">
        <w:rPr>
          <w:rFonts w:asciiTheme="majorHAnsi" w:hAnsiTheme="majorHAnsi"/>
          <w:bCs/>
          <w:sz w:val="20"/>
          <w:szCs w:val="20"/>
          <w:vertAlign w:val="superscript"/>
          <w:lang w:val="es-ES_tradnl"/>
        </w:rPr>
        <w:footnoteReference w:id="10"/>
      </w:r>
      <w:r w:rsidR="0037725C" w:rsidRPr="000630CE">
        <w:rPr>
          <w:rFonts w:asciiTheme="majorHAnsi" w:hAnsiTheme="majorHAnsi"/>
          <w:sz w:val="20"/>
          <w:szCs w:val="20"/>
          <w:lang w:val="es-ES_tradnl"/>
        </w:rPr>
        <w:t>)</w:t>
      </w:r>
      <w:r w:rsidRPr="000630CE">
        <w:rPr>
          <w:rFonts w:asciiTheme="majorHAnsi" w:hAnsiTheme="majorHAnsi"/>
          <w:sz w:val="20"/>
          <w:szCs w:val="20"/>
          <w:lang w:val="es-ES_tradnl"/>
        </w:rPr>
        <w:t xml:space="preserve"> por secuestro simple agravado, falsedad ideológica en documento público y fraude procesal</w:t>
      </w:r>
      <w:r w:rsidR="00F60C89" w:rsidRPr="000630CE">
        <w:rPr>
          <w:rFonts w:asciiTheme="majorHAnsi" w:hAnsiTheme="majorHAnsi"/>
          <w:sz w:val="20"/>
          <w:szCs w:val="20"/>
          <w:lang w:val="es-ES_tradnl"/>
        </w:rPr>
        <w:t>,</w:t>
      </w:r>
      <w:r w:rsidRPr="000630CE">
        <w:rPr>
          <w:rFonts w:asciiTheme="majorHAnsi" w:hAnsiTheme="majorHAnsi"/>
          <w:sz w:val="20"/>
          <w:szCs w:val="20"/>
          <w:lang w:val="es-ES_tradnl"/>
        </w:rPr>
        <w:t xml:space="preserve"> </w:t>
      </w:r>
      <w:r w:rsidR="00F60C89" w:rsidRPr="000630CE">
        <w:rPr>
          <w:rFonts w:asciiTheme="majorHAnsi" w:hAnsiTheme="majorHAnsi"/>
          <w:sz w:val="20"/>
          <w:szCs w:val="20"/>
          <w:lang w:val="es-ES_tradnl"/>
        </w:rPr>
        <w:t>a</w:t>
      </w:r>
      <w:r w:rsidRPr="000630CE">
        <w:rPr>
          <w:rFonts w:asciiTheme="majorHAnsi" w:hAnsiTheme="majorHAnsi"/>
          <w:sz w:val="20"/>
          <w:szCs w:val="20"/>
          <w:lang w:val="es-ES_tradnl"/>
        </w:rPr>
        <w:t>sí como inhabilidad por 20 años</w:t>
      </w:r>
      <w:r w:rsidR="00F60C89" w:rsidRPr="000630CE">
        <w:rPr>
          <w:rFonts w:asciiTheme="majorHAnsi" w:hAnsiTheme="majorHAnsi"/>
          <w:sz w:val="20"/>
          <w:szCs w:val="20"/>
          <w:lang w:val="es-ES_tradnl"/>
        </w:rPr>
        <w:t>;</w:t>
      </w:r>
      <w:r w:rsidRPr="000630CE">
        <w:rPr>
          <w:rFonts w:asciiTheme="majorHAnsi" w:hAnsiTheme="majorHAnsi"/>
          <w:sz w:val="20"/>
          <w:szCs w:val="20"/>
          <w:lang w:val="es-ES_tradnl"/>
        </w:rPr>
        <w:t xml:space="preserve"> </w:t>
      </w:r>
      <w:r w:rsidR="00BD4655" w:rsidRPr="000630CE">
        <w:rPr>
          <w:rFonts w:asciiTheme="majorHAnsi" w:hAnsiTheme="majorHAnsi"/>
          <w:sz w:val="20"/>
          <w:szCs w:val="20"/>
          <w:lang w:val="es-ES_tradnl"/>
        </w:rPr>
        <w:t xml:space="preserve">además, al pago de 20 smlm (aproximadamente </w:t>
      </w:r>
      <w:r w:rsidR="00F94136" w:rsidRPr="000630CE">
        <w:rPr>
          <w:rFonts w:asciiTheme="majorHAnsi" w:hAnsiTheme="majorHAnsi"/>
          <w:sz w:val="20"/>
          <w:szCs w:val="20"/>
          <w:lang w:val="es-ES_tradnl"/>
        </w:rPr>
        <w:t xml:space="preserve">USD$. </w:t>
      </w:r>
      <w:r w:rsidR="00BD4655" w:rsidRPr="000630CE">
        <w:rPr>
          <w:rFonts w:asciiTheme="majorHAnsi" w:hAnsiTheme="majorHAnsi"/>
          <w:sz w:val="20"/>
          <w:szCs w:val="20"/>
          <w:lang w:val="es-ES_tradnl"/>
        </w:rPr>
        <w:t>6,247.00</w:t>
      </w:r>
      <w:r w:rsidR="00BD4655" w:rsidRPr="000630CE">
        <w:rPr>
          <w:rFonts w:asciiTheme="majorHAnsi" w:hAnsiTheme="majorHAnsi"/>
          <w:bCs/>
          <w:sz w:val="20"/>
          <w:szCs w:val="20"/>
          <w:vertAlign w:val="superscript"/>
          <w:lang w:val="es-ES_tradnl"/>
        </w:rPr>
        <w:footnoteReference w:id="11"/>
      </w:r>
      <w:r w:rsidR="00BD4655" w:rsidRPr="000630CE">
        <w:rPr>
          <w:rFonts w:asciiTheme="majorHAnsi" w:hAnsiTheme="majorHAnsi"/>
          <w:sz w:val="20"/>
          <w:szCs w:val="20"/>
          <w:lang w:val="es-ES_tradnl"/>
        </w:rPr>
        <w:t>) por daños morales a favor de los padres y herederos de la víctima</w:t>
      </w:r>
      <w:r w:rsidR="00291B41" w:rsidRPr="000630CE">
        <w:rPr>
          <w:rFonts w:asciiTheme="majorHAnsi" w:hAnsiTheme="majorHAnsi"/>
          <w:sz w:val="20"/>
          <w:szCs w:val="20"/>
          <w:lang w:val="es-ES_tradnl"/>
        </w:rPr>
        <w:t>,</w:t>
      </w:r>
      <w:r w:rsidR="00BD4655" w:rsidRPr="000630CE">
        <w:rPr>
          <w:rFonts w:asciiTheme="majorHAnsi" w:hAnsiTheme="majorHAnsi"/>
          <w:sz w:val="20"/>
          <w:szCs w:val="20"/>
          <w:lang w:val="es-ES_tradnl"/>
        </w:rPr>
        <w:t xml:space="preserve"> </w:t>
      </w:r>
      <w:r w:rsidR="00F60C89" w:rsidRPr="000630CE">
        <w:rPr>
          <w:rFonts w:asciiTheme="majorHAnsi" w:hAnsiTheme="majorHAnsi"/>
          <w:sz w:val="20"/>
          <w:szCs w:val="20"/>
          <w:lang w:val="es-ES_tradnl"/>
        </w:rPr>
        <w:t>los citados f</w:t>
      </w:r>
      <w:r w:rsidRPr="000630CE">
        <w:rPr>
          <w:rFonts w:asciiTheme="majorHAnsi" w:hAnsiTheme="majorHAnsi"/>
          <w:sz w:val="20"/>
          <w:szCs w:val="20"/>
          <w:lang w:val="es-ES_tradnl"/>
        </w:rPr>
        <w:t>ueron absueltos por homicidio en persona protegida</w:t>
      </w:r>
      <w:r w:rsidR="00E313D1" w:rsidRPr="000630CE">
        <w:rPr>
          <w:rFonts w:asciiTheme="majorHAnsi" w:hAnsiTheme="majorHAnsi"/>
          <w:sz w:val="20"/>
          <w:szCs w:val="20"/>
          <w:lang w:val="es-ES_tradnl"/>
        </w:rPr>
        <w:t xml:space="preserve">. </w:t>
      </w:r>
    </w:p>
    <w:p w14:paraId="09EB6EE7" w14:textId="77777777" w:rsidR="00A42CE5" w:rsidRPr="000630CE" w:rsidRDefault="00F60C89" w:rsidP="008E154C">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0630CE">
        <w:rPr>
          <w:rFonts w:asciiTheme="majorHAnsi" w:hAnsiTheme="majorHAnsi"/>
          <w:sz w:val="20"/>
          <w:szCs w:val="20"/>
          <w:lang w:val="es-ES_tradnl"/>
        </w:rPr>
        <w:t xml:space="preserve">El 3 de diciembre de 2013, se envió el proceso al Tribunal Superior de </w:t>
      </w:r>
      <w:r w:rsidR="00057379" w:rsidRPr="000630CE">
        <w:rPr>
          <w:rFonts w:asciiTheme="majorHAnsi" w:hAnsiTheme="majorHAnsi"/>
          <w:sz w:val="20"/>
          <w:szCs w:val="20"/>
          <w:lang w:val="es-ES_tradnl"/>
        </w:rPr>
        <w:t>Yopal (</w:t>
      </w:r>
      <w:r w:rsidRPr="000630CE">
        <w:rPr>
          <w:rFonts w:asciiTheme="majorHAnsi" w:hAnsiTheme="majorHAnsi"/>
          <w:sz w:val="20"/>
          <w:szCs w:val="20"/>
          <w:lang w:val="es-ES_tradnl"/>
        </w:rPr>
        <w:t>Casanare</w:t>
      </w:r>
      <w:r w:rsidR="00057379" w:rsidRPr="000630CE">
        <w:rPr>
          <w:rFonts w:asciiTheme="majorHAnsi" w:hAnsiTheme="majorHAnsi"/>
          <w:sz w:val="20"/>
          <w:szCs w:val="20"/>
          <w:lang w:val="es-ES_tradnl"/>
        </w:rPr>
        <w:t>)</w:t>
      </w:r>
      <w:r w:rsidRPr="000630CE">
        <w:rPr>
          <w:rFonts w:asciiTheme="majorHAnsi" w:hAnsiTheme="majorHAnsi"/>
          <w:sz w:val="20"/>
          <w:szCs w:val="20"/>
          <w:lang w:val="es-ES_tradnl"/>
        </w:rPr>
        <w:t xml:space="preserve"> en apelación a la sentencia. El 21 de enero de 2014, el Tribunal resolvió: </w:t>
      </w:r>
    </w:p>
    <w:p w14:paraId="041D315D" w14:textId="77777777" w:rsidR="00030ED7" w:rsidRPr="000630CE" w:rsidRDefault="00F60C89" w:rsidP="00A42CE5">
      <w:pPr>
        <w:widowControl w:val="0"/>
        <w:spacing w:before="240" w:after="240"/>
        <w:ind w:firstLine="720"/>
        <w:jc w:val="both"/>
        <w:rPr>
          <w:rFonts w:asciiTheme="majorHAnsi" w:hAnsiTheme="majorHAnsi"/>
          <w:sz w:val="20"/>
          <w:szCs w:val="20"/>
          <w:lang w:val="es-ES_tradnl"/>
        </w:rPr>
      </w:pPr>
      <w:r w:rsidRPr="000630CE">
        <w:rPr>
          <w:rFonts w:asciiTheme="majorHAnsi" w:hAnsiTheme="majorHAnsi"/>
          <w:sz w:val="20"/>
          <w:szCs w:val="20"/>
          <w:lang w:val="es-ES_tradnl"/>
        </w:rPr>
        <w:t xml:space="preserve">i) revocar el numeral 2 de la sentencia, y absolver a los señores Jaime Alexander Romero Vargas y Pedro Antonio Sarmiento, por el delito de secuestro agravado que les fuera imputado; </w:t>
      </w:r>
    </w:p>
    <w:p w14:paraId="7123DA87" w14:textId="77777777" w:rsidR="00030ED7" w:rsidRPr="000630CE" w:rsidRDefault="00F60C89" w:rsidP="00A42CE5">
      <w:pPr>
        <w:widowControl w:val="0"/>
        <w:spacing w:before="240" w:after="240"/>
        <w:ind w:firstLine="720"/>
        <w:jc w:val="both"/>
        <w:rPr>
          <w:rFonts w:asciiTheme="majorHAnsi" w:hAnsiTheme="majorHAnsi"/>
          <w:sz w:val="20"/>
          <w:szCs w:val="20"/>
          <w:lang w:val="es-ES_tradnl"/>
        </w:rPr>
      </w:pPr>
      <w:r w:rsidRPr="000630CE">
        <w:rPr>
          <w:rFonts w:asciiTheme="majorHAnsi" w:hAnsiTheme="majorHAnsi"/>
          <w:sz w:val="20"/>
          <w:szCs w:val="20"/>
          <w:lang w:val="es-ES_tradnl"/>
        </w:rPr>
        <w:t xml:space="preserve">ii) revocar el numeral 5 de la sentencia para, en su lugar, condenar a Jaime Alexander Romero Vargas y Pedro Antonio Sarmiento, a 408 meses de </w:t>
      </w:r>
      <w:r w:rsidR="00E017C5" w:rsidRPr="000630CE">
        <w:rPr>
          <w:rFonts w:asciiTheme="majorHAnsi" w:hAnsiTheme="majorHAnsi"/>
          <w:sz w:val="20"/>
          <w:szCs w:val="20"/>
          <w:lang w:val="es-ES_tradnl"/>
        </w:rPr>
        <w:t>prisión</w:t>
      </w:r>
      <w:r w:rsidRPr="000630CE">
        <w:rPr>
          <w:rFonts w:asciiTheme="majorHAnsi" w:hAnsiTheme="majorHAnsi"/>
          <w:sz w:val="20"/>
          <w:szCs w:val="20"/>
          <w:lang w:val="es-ES_tradnl"/>
        </w:rPr>
        <w:t xml:space="preserve"> y 2001 smlm</w:t>
      </w:r>
      <w:r w:rsidR="0037725C" w:rsidRPr="000630CE">
        <w:rPr>
          <w:rFonts w:asciiTheme="majorHAnsi" w:hAnsiTheme="majorHAnsi"/>
          <w:sz w:val="20"/>
          <w:szCs w:val="20"/>
          <w:lang w:val="es-ES_tradnl"/>
        </w:rPr>
        <w:t xml:space="preserve"> (aproximadamente </w:t>
      </w:r>
      <w:r w:rsidR="005B2E0D" w:rsidRPr="000630CE">
        <w:rPr>
          <w:rFonts w:asciiTheme="majorHAnsi" w:hAnsiTheme="majorHAnsi"/>
          <w:sz w:val="20"/>
          <w:szCs w:val="20"/>
          <w:lang w:val="es-ES_tradnl"/>
        </w:rPr>
        <w:t xml:space="preserve">USD$. </w:t>
      </w:r>
      <w:r w:rsidR="00BB66C8" w:rsidRPr="000630CE">
        <w:rPr>
          <w:rFonts w:asciiTheme="majorHAnsi" w:hAnsiTheme="majorHAnsi"/>
          <w:sz w:val="20"/>
          <w:szCs w:val="20"/>
          <w:lang w:val="es-ES_tradnl"/>
        </w:rPr>
        <w:t>609,864.78</w:t>
      </w:r>
      <w:r w:rsidR="0037725C" w:rsidRPr="000630CE">
        <w:rPr>
          <w:rFonts w:asciiTheme="majorHAnsi" w:hAnsiTheme="majorHAnsi"/>
          <w:bCs/>
          <w:sz w:val="20"/>
          <w:szCs w:val="20"/>
          <w:vertAlign w:val="superscript"/>
          <w:lang w:val="es-ES_tradnl"/>
        </w:rPr>
        <w:footnoteReference w:id="12"/>
      </w:r>
      <w:r w:rsidR="0037725C" w:rsidRPr="000630CE">
        <w:rPr>
          <w:rFonts w:asciiTheme="majorHAnsi" w:hAnsiTheme="majorHAnsi"/>
          <w:sz w:val="20"/>
          <w:szCs w:val="20"/>
          <w:lang w:val="es-ES_tradnl"/>
        </w:rPr>
        <w:t>)</w:t>
      </w:r>
      <w:r w:rsidRPr="000630CE">
        <w:rPr>
          <w:rFonts w:asciiTheme="majorHAnsi" w:hAnsiTheme="majorHAnsi"/>
          <w:sz w:val="20"/>
          <w:szCs w:val="20"/>
          <w:lang w:val="es-ES_tradnl"/>
        </w:rPr>
        <w:t xml:space="preserve"> como autores de homicidio en persona protegida, fraude procesal, y falsedad ideológica en documento público; </w:t>
      </w:r>
    </w:p>
    <w:p w14:paraId="5522FCBD" w14:textId="3364A6B1" w:rsidR="00030ED7" w:rsidRPr="000630CE" w:rsidRDefault="00F60C89" w:rsidP="00A42CE5">
      <w:pPr>
        <w:widowControl w:val="0"/>
        <w:spacing w:before="240" w:after="240"/>
        <w:ind w:firstLine="720"/>
        <w:jc w:val="both"/>
        <w:rPr>
          <w:rFonts w:asciiTheme="majorHAnsi" w:hAnsiTheme="majorHAnsi"/>
          <w:sz w:val="20"/>
          <w:szCs w:val="20"/>
          <w:lang w:val="es-ES_tradnl"/>
        </w:rPr>
      </w:pPr>
      <w:r w:rsidRPr="000630CE">
        <w:rPr>
          <w:rFonts w:asciiTheme="majorHAnsi" w:hAnsiTheme="majorHAnsi"/>
          <w:sz w:val="20"/>
          <w:szCs w:val="20"/>
          <w:lang w:val="es-ES_tradnl"/>
        </w:rPr>
        <w:t>iii) revocar parcialmente el numeral 6, para condenar a Jaime Alexander Romero Vargas, Oficial Superior de grado Mayor, como determinador de homicidio en persona protegida a la pena de 360 meses</w:t>
      </w:r>
      <w:r w:rsidR="00E017C5" w:rsidRPr="000630CE">
        <w:rPr>
          <w:rFonts w:asciiTheme="majorHAnsi" w:hAnsiTheme="majorHAnsi"/>
          <w:sz w:val="20"/>
          <w:szCs w:val="20"/>
          <w:lang w:val="es-ES_tradnl"/>
        </w:rPr>
        <w:t xml:space="preserve"> de prisión</w:t>
      </w:r>
      <w:r w:rsidRPr="000630CE">
        <w:rPr>
          <w:rFonts w:asciiTheme="majorHAnsi" w:hAnsiTheme="majorHAnsi"/>
          <w:sz w:val="20"/>
          <w:szCs w:val="20"/>
          <w:lang w:val="es-ES_tradnl"/>
        </w:rPr>
        <w:t xml:space="preserve"> y 2000 smlm de multa</w:t>
      </w:r>
      <w:r w:rsidR="0037725C" w:rsidRPr="000630CE">
        <w:rPr>
          <w:rFonts w:asciiTheme="majorHAnsi" w:hAnsiTheme="majorHAnsi"/>
          <w:sz w:val="20"/>
          <w:szCs w:val="20"/>
          <w:lang w:val="es-ES_tradnl"/>
        </w:rPr>
        <w:t xml:space="preserve"> (aproximadamente</w:t>
      </w:r>
      <w:r w:rsidR="00AE62FC" w:rsidRPr="000630CE">
        <w:rPr>
          <w:rFonts w:asciiTheme="majorHAnsi" w:hAnsiTheme="majorHAnsi"/>
          <w:sz w:val="20"/>
          <w:szCs w:val="20"/>
          <w:lang w:val="es-ES_tradnl"/>
        </w:rPr>
        <w:t xml:space="preserve"> </w:t>
      </w:r>
      <w:r w:rsidR="003B7105" w:rsidRPr="000630CE">
        <w:rPr>
          <w:rFonts w:asciiTheme="majorHAnsi" w:hAnsiTheme="majorHAnsi"/>
          <w:sz w:val="20"/>
          <w:szCs w:val="20"/>
          <w:lang w:val="es-ES_tradnl"/>
        </w:rPr>
        <w:t xml:space="preserve">USD$. </w:t>
      </w:r>
      <w:r w:rsidR="00AE62FC" w:rsidRPr="000630CE">
        <w:rPr>
          <w:rFonts w:asciiTheme="majorHAnsi" w:hAnsiTheme="majorHAnsi"/>
          <w:sz w:val="20"/>
          <w:szCs w:val="20"/>
          <w:lang w:val="es-ES_tradnl"/>
        </w:rPr>
        <w:t>609,560.00</w:t>
      </w:r>
      <w:r w:rsidR="0037725C" w:rsidRPr="000630CE">
        <w:rPr>
          <w:rFonts w:asciiTheme="majorHAnsi" w:hAnsiTheme="majorHAnsi"/>
          <w:bCs/>
          <w:sz w:val="20"/>
          <w:szCs w:val="20"/>
          <w:vertAlign w:val="superscript"/>
          <w:lang w:val="es-ES_tradnl"/>
        </w:rPr>
        <w:footnoteReference w:id="13"/>
      </w:r>
      <w:r w:rsidR="0037725C" w:rsidRPr="000630CE">
        <w:rPr>
          <w:rFonts w:asciiTheme="majorHAnsi" w:hAnsiTheme="majorHAnsi"/>
          <w:sz w:val="20"/>
          <w:szCs w:val="20"/>
          <w:lang w:val="es-ES_tradnl"/>
        </w:rPr>
        <w:t>)</w:t>
      </w:r>
      <w:r w:rsidR="00057379" w:rsidRPr="000630CE">
        <w:rPr>
          <w:rFonts w:asciiTheme="majorHAnsi" w:hAnsiTheme="majorHAnsi"/>
          <w:sz w:val="20"/>
          <w:szCs w:val="20"/>
          <w:lang w:val="es-ES_tradnl"/>
        </w:rPr>
        <w:t xml:space="preserve">; </w:t>
      </w:r>
      <w:r w:rsidR="00030ED7" w:rsidRPr="000630CE">
        <w:rPr>
          <w:rFonts w:asciiTheme="majorHAnsi" w:hAnsiTheme="majorHAnsi"/>
          <w:sz w:val="20"/>
          <w:szCs w:val="20"/>
          <w:lang w:val="es-ES_tradnl"/>
        </w:rPr>
        <w:t>y</w:t>
      </w:r>
    </w:p>
    <w:p w14:paraId="6691DE48" w14:textId="6FE4A107" w:rsidR="00057379" w:rsidRPr="000630CE" w:rsidRDefault="00030ED7" w:rsidP="00A42CE5">
      <w:pPr>
        <w:widowControl w:val="0"/>
        <w:spacing w:before="240" w:after="240"/>
        <w:ind w:firstLine="720"/>
        <w:jc w:val="both"/>
        <w:rPr>
          <w:rFonts w:asciiTheme="majorHAnsi" w:hAnsiTheme="majorHAnsi"/>
          <w:sz w:val="20"/>
          <w:szCs w:val="20"/>
          <w:lang w:val="es-ES_tradnl"/>
        </w:rPr>
      </w:pPr>
      <w:r w:rsidRPr="000630CE">
        <w:rPr>
          <w:rFonts w:asciiTheme="majorHAnsi" w:hAnsiTheme="majorHAnsi"/>
          <w:sz w:val="20"/>
          <w:szCs w:val="20"/>
          <w:lang w:val="es-ES_tradnl"/>
        </w:rPr>
        <w:t xml:space="preserve">iv) </w:t>
      </w:r>
      <w:r w:rsidR="00057379" w:rsidRPr="000630CE">
        <w:rPr>
          <w:rFonts w:asciiTheme="majorHAnsi" w:hAnsiTheme="majorHAnsi"/>
          <w:sz w:val="20"/>
          <w:szCs w:val="20"/>
          <w:lang w:val="es-ES_tradnl"/>
        </w:rPr>
        <w:t>condenar a Jorge Alexander Gómez Bernal, como determinador del delito de homicidio en persona protegida, a las penas de 360 meses de prisión y 2000 sml</w:t>
      </w:r>
      <w:r w:rsidR="00BB66C8" w:rsidRPr="000630CE">
        <w:rPr>
          <w:rFonts w:asciiTheme="majorHAnsi" w:hAnsiTheme="majorHAnsi"/>
          <w:sz w:val="20"/>
          <w:szCs w:val="20"/>
          <w:lang w:val="es-ES_tradnl"/>
        </w:rPr>
        <w:t>m</w:t>
      </w:r>
      <w:r w:rsidR="00057379" w:rsidRPr="000630CE">
        <w:rPr>
          <w:rFonts w:asciiTheme="majorHAnsi" w:hAnsiTheme="majorHAnsi"/>
          <w:sz w:val="20"/>
          <w:szCs w:val="20"/>
          <w:lang w:val="es-ES_tradnl"/>
        </w:rPr>
        <w:t xml:space="preserve"> de multa (aproximadamente </w:t>
      </w:r>
      <w:r w:rsidR="000E361A" w:rsidRPr="000630CE">
        <w:rPr>
          <w:rFonts w:asciiTheme="majorHAnsi" w:hAnsiTheme="majorHAnsi"/>
          <w:sz w:val="20"/>
          <w:szCs w:val="20"/>
          <w:lang w:val="es-ES_tradnl"/>
        </w:rPr>
        <w:t xml:space="preserve">USD$. </w:t>
      </w:r>
      <w:r w:rsidR="00AE62FC" w:rsidRPr="000630CE">
        <w:rPr>
          <w:rFonts w:asciiTheme="majorHAnsi" w:hAnsiTheme="majorHAnsi"/>
          <w:sz w:val="20"/>
          <w:szCs w:val="20"/>
          <w:lang w:val="es-ES_tradnl"/>
        </w:rPr>
        <w:t>609,560.00</w:t>
      </w:r>
      <w:r w:rsidR="00057379" w:rsidRPr="000630CE">
        <w:rPr>
          <w:rFonts w:asciiTheme="majorHAnsi" w:hAnsiTheme="majorHAnsi"/>
          <w:bCs/>
          <w:sz w:val="20"/>
          <w:szCs w:val="20"/>
          <w:vertAlign w:val="superscript"/>
          <w:lang w:val="es-ES_tradnl"/>
        </w:rPr>
        <w:footnoteReference w:id="14"/>
      </w:r>
      <w:r w:rsidR="00057379" w:rsidRPr="000630CE">
        <w:rPr>
          <w:rFonts w:asciiTheme="majorHAnsi" w:hAnsiTheme="majorHAnsi"/>
          <w:sz w:val="20"/>
          <w:szCs w:val="20"/>
          <w:lang w:val="es-ES_tradnl"/>
        </w:rPr>
        <w:t>).</w:t>
      </w:r>
    </w:p>
    <w:p w14:paraId="6E1F8CF0" w14:textId="3102822E" w:rsidR="00057379" w:rsidRPr="000630CE" w:rsidRDefault="00F60C89" w:rsidP="0029782A">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0630CE">
        <w:rPr>
          <w:rFonts w:asciiTheme="majorHAnsi" w:hAnsiTheme="majorHAnsi"/>
          <w:sz w:val="20"/>
          <w:szCs w:val="20"/>
          <w:lang w:val="es-ES_tradnl"/>
        </w:rPr>
        <w:t xml:space="preserve">El 24 de mayo de 2017 el expediente fue remitido para resolver </w:t>
      </w:r>
      <w:r w:rsidR="001A5FEE" w:rsidRPr="000630CE">
        <w:rPr>
          <w:rFonts w:asciiTheme="majorHAnsi" w:hAnsiTheme="majorHAnsi"/>
          <w:sz w:val="20"/>
          <w:szCs w:val="20"/>
          <w:lang w:val="es-ES_tradnl"/>
        </w:rPr>
        <w:t>las demandas de casación presentadas en favor de Jaime Alexander Romero Vargas y</w:t>
      </w:r>
      <w:r w:rsidRPr="000630CE">
        <w:rPr>
          <w:rFonts w:asciiTheme="majorHAnsi" w:hAnsiTheme="majorHAnsi"/>
          <w:sz w:val="20"/>
          <w:szCs w:val="20"/>
          <w:lang w:val="es-ES_tradnl"/>
        </w:rPr>
        <w:t xml:space="preserve"> Jorge Alexander Gómez Bernal. El 31 de mayo de 2017, la Sala de Casación Penal inadmitió la demanda de casación. En consecuencia, el fallo</w:t>
      </w:r>
      <w:r w:rsidR="00057379" w:rsidRPr="000630CE">
        <w:rPr>
          <w:rFonts w:asciiTheme="majorHAnsi" w:hAnsiTheme="majorHAnsi"/>
          <w:sz w:val="20"/>
          <w:szCs w:val="20"/>
          <w:lang w:val="es-ES_tradnl"/>
        </w:rPr>
        <w:t xml:space="preserve"> apelado</w:t>
      </w:r>
      <w:r w:rsidRPr="000630CE">
        <w:rPr>
          <w:rFonts w:asciiTheme="majorHAnsi" w:hAnsiTheme="majorHAnsi"/>
          <w:sz w:val="20"/>
          <w:szCs w:val="20"/>
          <w:lang w:val="es-ES_tradnl"/>
        </w:rPr>
        <w:t xml:space="preserve"> cobró ejecutoria formal y material</w:t>
      </w:r>
      <w:r w:rsidR="001A5FEE" w:rsidRPr="000630CE">
        <w:rPr>
          <w:rFonts w:asciiTheme="majorHAnsi" w:hAnsiTheme="majorHAnsi"/>
          <w:sz w:val="20"/>
          <w:szCs w:val="20"/>
          <w:lang w:val="es-ES_tradnl"/>
        </w:rPr>
        <w:t xml:space="preserve"> frente a todos los imputados.</w:t>
      </w:r>
    </w:p>
    <w:p w14:paraId="66426524" w14:textId="4719598E" w:rsidR="001E15E7" w:rsidRPr="000630CE" w:rsidRDefault="00F60C89" w:rsidP="0029782A">
      <w:pPr>
        <w:pStyle w:val="ListParagraph"/>
        <w:widowControl w:val="0"/>
        <w:numPr>
          <w:ilvl w:val="0"/>
          <w:numId w:val="59"/>
        </w:numPr>
        <w:spacing w:before="240" w:after="240"/>
        <w:ind w:left="0" w:firstLine="720"/>
        <w:jc w:val="both"/>
        <w:rPr>
          <w:sz w:val="20"/>
          <w:szCs w:val="20"/>
          <w:lang w:val="es-ES_tradnl"/>
        </w:rPr>
      </w:pPr>
      <w:r w:rsidRPr="000630CE">
        <w:rPr>
          <w:sz w:val="20"/>
          <w:szCs w:val="20"/>
          <w:lang w:val="es-ES_tradnl"/>
        </w:rPr>
        <w:t xml:space="preserve">El 17 de julio de 2017, el expediente de Jaime Alexander Romero Vargas y Pedro Antonio Sarmiento fue enviado al Juzgado de Ejecución de Penas de Yopal, para vigilancia y control de su pena. El 26 de julio de 2017, el expediente de Jorge Alexander Gómez Bernal fue enviado al Juzgado de Ejecución de Penas de Bogotá, para vigilancia y control de su pena. El mismo día 26 de julio de 2017, el expediente de Nelson Bladimir </w:t>
      </w:r>
      <w:r w:rsidR="00D27519" w:rsidRPr="000630CE">
        <w:rPr>
          <w:sz w:val="20"/>
          <w:szCs w:val="20"/>
          <w:lang w:val="es-ES_tradnl"/>
        </w:rPr>
        <w:t>Hernández</w:t>
      </w:r>
      <w:r w:rsidRPr="000630CE">
        <w:rPr>
          <w:sz w:val="20"/>
          <w:szCs w:val="20"/>
          <w:lang w:val="es-ES_tradnl"/>
        </w:rPr>
        <w:t xml:space="preserve"> fue enviado al Juzgado de Ejecución de Penas de Cúcuta, Norte de Santander, para vigilancia y control de su pena.</w:t>
      </w:r>
    </w:p>
    <w:p w14:paraId="38D5CAFA" w14:textId="5ABA3442" w:rsidR="00363074" w:rsidRPr="000630CE" w:rsidRDefault="0037725C" w:rsidP="008731C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 xml:space="preserve">Con respecto al proceso contencioso administrativo, </w:t>
      </w:r>
      <w:r w:rsidR="00A63DCF" w:rsidRPr="000630CE">
        <w:rPr>
          <w:sz w:val="20"/>
          <w:szCs w:val="20"/>
          <w:lang w:val="es-ES_tradnl"/>
        </w:rPr>
        <w:t xml:space="preserve">Colombia </w:t>
      </w:r>
      <w:r w:rsidRPr="000630CE">
        <w:rPr>
          <w:sz w:val="20"/>
          <w:szCs w:val="20"/>
          <w:lang w:val="es-ES_tradnl"/>
        </w:rPr>
        <w:t xml:space="preserve">informa que el 26 de junio de 2009 el representante de las presuntas víctimas, Sr. Juan Carlos Nifio Camargo, presentó demanda contra la Nación por los hechos denunciados. La demanda fue admitida el 30 de julio de 2009. El Juzgado Segundo Administrativo del Circuito de Yopal, Casanare, tomó conocimiento del caso bajo el radicado 850013331002-2009-00130-00. </w:t>
      </w:r>
    </w:p>
    <w:p w14:paraId="08199459" w14:textId="7572C2E2" w:rsidR="0037725C" w:rsidRPr="000630CE" w:rsidRDefault="0037725C" w:rsidP="0037725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 xml:space="preserve">El 15 de junio de 2011, el Juzgado emitió sentencia de primera instancia y condenó a la Nación-Ministerio de Defensa -Ejército Nacional, por la muerte de Ernesto Cruz Guevara. La referida sentencia afirmó que se comprobó en el proceso que el Sr. Cruz Guevara fue sacado de su casa con vida, maltratado delante de su familia y llevado por los militares para darle muerte más adelante y presentarlo como delincuente dado de baja en combate. </w:t>
      </w:r>
      <w:r w:rsidR="00D27519" w:rsidRPr="000630CE">
        <w:rPr>
          <w:sz w:val="20"/>
          <w:szCs w:val="20"/>
          <w:lang w:val="es-ES_tradnl"/>
        </w:rPr>
        <w:t>Debido a</w:t>
      </w:r>
      <w:r w:rsidRPr="000630CE">
        <w:rPr>
          <w:sz w:val="20"/>
          <w:szCs w:val="20"/>
          <w:lang w:val="es-ES_tradnl"/>
        </w:rPr>
        <w:t xml:space="preserve"> lo anterior, estaría caracterizado el nexo de causalidad entre el daño y la conducta irregular de los miembros del Ejército Nacional que participaron el 22 de abril de 2007 en el operativo "Andrómeda", pelotón "Huracán 1", de la decimosexta brigada del ejército. </w:t>
      </w:r>
    </w:p>
    <w:p w14:paraId="56940891" w14:textId="68DF89DB" w:rsidR="0037725C" w:rsidRPr="000630CE" w:rsidRDefault="0037725C" w:rsidP="00FF3E3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lastRenderedPageBreak/>
        <w:t xml:space="preserve">Conforme a lo anterior, la sentencia ordenó la indemnización de los familiares del Sr. Cruz Guevara por perjuicios morales, daño a la vida y daño material, en los siguientes términos: la cantidad de </w:t>
      </w:r>
      <w:r w:rsidR="005458E4" w:rsidRPr="000630CE">
        <w:rPr>
          <w:sz w:val="20"/>
          <w:szCs w:val="20"/>
          <w:lang w:val="es-ES_tradnl"/>
        </w:rPr>
        <w:t>10 smlm</w:t>
      </w:r>
      <w:r w:rsidRPr="000630CE">
        <w:rPr>
          <w:sz w:val="20"/>
          <w:szCs w:val="20"/>
          <w:lang w:val="es-ES_tradnl"/>
        </w:rPr>
        <w:t xml:space="preserve"> </w:t>
      </w:r>
      <w:r w:rsidR="005458E4" w:rsidRPr="000630CE">
        <w:rPr>
          <w:sz w:val="20"/>
          <w:szCs w:val="20"/>
          <w:lang w:val="es-ES_tradnl"/>
        </w:rPr>
        <w:t>USD$.</w:t>
      </w:r>
      <w:r w:rsidR="00CD443B" w:rsidRPr="000630CE">
        <w:rPr>
          <w:sz w:val="20"/>
          <w:szCs w:val="20"/>
          <w:lang w:val="es-ES_tradnl"/>
        </w:rPr>
        <w:t xml:space="preserve"> 30,187</w:t>
      </w:r>
      <w:r w:rsidRPr="000630CE">
        <w:rPr>
          <w:bCs/>
          <w:sz w:val="20"/>
          <w:szCs w:val="20"/>
          <w:vertAlign w:val="superscript"/>
          <w:lang w:val="es-ES_tradnl"/>
        </w:rPr>
        <w:footnoteReference w:id="15"/>
      </w:r>
      <w:r w:rsidRPr="000630CE">
        <w:rPr>
          <w:sz w:val="20"/>
          <w:szCs w:val="20"/>
          <w:lang w:val="es-ES_tradnl"/>
        </w:rPr>
        <w:t>) a favor de Maria del Tr</w:t>
      </w:r>
      <w:r w:rsidR="00C81094" w:rsidRPr="000630CE">
        <w:rPr>
          <w:sz w:val="20"/>
          <w:szCs w:val="20"/>
          <w:lang w:val="es-ES_tradnl"/>
        </w:rPr>
        <w:t>á</w:t>
      </w:r>
      <w:r w:rsidRPr="000630CE">
        <w:rPr>
          <w:sz w:val="20"/>
          <w:szCs w:val="20"/>
          <w:lang w:val="es-ES_tradnl"/>
        </w:rPr>
        <w:t xml:space="preserve">nsito Guevara (madre), Lucenia Alfonso Cruz (compañera permanente), y Angie Carolina Cruz Alfonso y Brayhan Fabián Cruz Alfonso (hijos); la cantidad de </w:t>
      </w:r>
      <w:r w:rsidR="00C81094" w:rsidRPr="000630CE">
        <w:rPr>
          <w:sz w:val="20"/>
          <w:szCs w:val="20"/>
          <w:lang w:val="es-ES_tradnl"/>
        </w:rPr>
        <w:t>50</w:t>
      </w:r>
      <w:r w:rsidRPr="000630CE">
        <w:rPr>
          <w:sz w:val="20"/>
          <w:szCs w:val="20"/>
          <w:lang w:val="es-ES_tradnl"/>
        </w:rPr>
        <w:t xml:space="preserve"> </w:t>
      </w:r>
      <w:r w:rsidR="00C81094" w:rsidRPr="000630CE">
        <w:rPr>
          <w:sz w:val="20"/>
          <w:szCs w:val="20"/>
          <w:lang w:val="es-ES_tradnl"/>
        </w:rPr>
        <w:t>smlm</w:t>
      </w:r>
      <w:r w:rsidRPr="000630CE">
        <w:rPr>
          <w:sz w:val="20"/>
          <w:szCs w:val="20"/>
          <w:lang w:val="es-ES_tradnl"/>
        </w:rPr>
        <w:t xml:space="preserve"> (aproximadamente </w:t>
      </w:r>
      <w:r w:rsidR="00C81094" w:rsidRPr="000630CE">
        <w:rPr>
          <w:sz w:val="20"/>
          <w:szCs w:val="20"/>
          <w:lang w:val="es-ES_tradnl"/>
        </w:rPr>
        <w:t xml:space="preserve">USD$. </w:t>
      </w:r>
      <w:r w:rsidR="00CD443B" w:rsidRPr="000630CE">
        <w:rPr>
          <w:sz w:val="20"/>
          <w:szCs w:val="20"/>
          <w:lang w:val="es-ES_tradnl"/>
        </w:rPr>
        <w:t>15,093.50</w:t>
      </w:r>
      <w:r w:rsidRPr="000630CE">
        <w:rPr>
          <w:bCs/>
          <w:sz w:val="20"/>
          <w:szCs w:val="20"/>
          <w:vertAlign w:val="superscript"/>
          <w:lang w:val="es-ES_tradnl"/>
        </w:rPr>
        <w:footnoteReference w:id="16"/>
      </w:r>
      <w:r w:rsidRPr="000630CE">
        <w:rPr>
          <w:sz w:val="20"/>
          <w:szCs w:val="20"/>
          <w:lang w:val="es-ES_tradnl"/>
        </w:rPr>
        <w:t>) a favor de Ana Milena Cruz Guevara, Luz Mary Cruz Guevara y Mar</w:t>
      </w:r>
      <w:r w:rsidR="00747819" w:rsidRPr="000630CE">
        <w:rPr>
          <w:sz w:val="20"/>
          <w:szCs w:val="20"/>
          <w:lang w:val="es-ES_tradnl"/>
        </w:rPr>
        <w:t>í</w:t>
      </w:r>
      <w:r w:rsidRPr="000630CE">
        <w:rPr>
          <w:sz w:val="20"/>
          <w:szCs w:val="20"/>
          <w:lang w:val="es-ES_tradnl"/>
        </w:rPr>
        <w:t>a Isabel Cruz Guevara (hermanas).</w:t>
      </w:r>
      <w:r w:rsidR="00E27DF3" w:rsidRPr="000630CE">
        <w:rPr>
          <w:sz w:val="20"/>
          <w:szCs w:val="20"/>
          <w:lang w:val="es-ES_tradnl"/>
        </w:rPr>
        <w:t xml:space="preserve"> </w:t>
      </w:r>
      <w:r w:rsidRPr="000630CE">
        <w:rPr>
          <w:sz w:val="20"/>
          <w:szCs w:val="20"/>
          <w:lang w:val="es-ES_tradnl"/>
        </w:rPr>
        <w:t>El Ministerio de Defensa apeló la decisión</w:t>
      </w:r>
      <w:r w:rsidR="00747819" w:rsidRPr="000630CE">
        <w:rPr>
          <w:sz w:val="20"/>
          <w:szCs w:val="20"/>
          <w:lang w:val="es-ES_tradnl"/>
        </w:rPr>
        <w:t xml:space="preserve">; pero </w:t>
      </w:r>
      <w:r w:rsidRPr="000630CE">
        <w:rPr>
          <w:sz w:val="20"/>
          <w:szCs w:val="20"/>
          <w:lang w:val="es-ES_tradnl"/>
        </w:rPr>
        <w:t>16 de febrero de 2012 el Tribunal Administrativo de Casanare confirmó el fallo de primera instancia</w:t>
      </w:r>
      <w:r w:rsidR="00E15774" w:rsidRPr="000630CE">
        <w:rPr>
          <w:sz w:val="20"/>
          <w:szCs w:val="20"/>
          <w:lang w:val="es-ES_tradnl"/>
        </w:rPr>
        <w:t xml:space="preserve"> favorable a los familiares del Sr. Cruz Guevara</w:t>
      </w:r>
      <w:r w:rsidRPr="000630CE">
        <w:rPr>
          <w:sz w:val="20"/>
          <w:szCs w:val="20"/>
          <w:lang w:val="es-ES_tradnl"/>
        </w:rPr>
        <w:t>.</w:t>
      </w:r>
    </w:p>
    <w:p w14:paraId="5B9F897D" w14:textId="398739B9" w:rsidR="00E27DF3" w:rsidRPr="000630CE" w:rsidRDefault="00E27DF3" w:rsidP="00FF3E3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Respecto a la admi</w:t>
      </w:r>
      <w:r w:rsidR="00B8394D" w:rsidRPr="000630CE">
        <w:rPr>
          <w:sz w:val="20"/>
          <w:szCs w:val="20"/>
          <w:lang w:val="es-ES_tradnl"/>
        </w:rPr>
        <w:t xml:space="preserve">sibilidad de la petición, el Estado </w:t>
      </w:r>
      <w:r w:rsidR="00EF4ED0" w:rsidRPr="000630CE">
        <w:rPr>
          <w:sz w:val="20"/>
          <w:szCs w:val="20"/>
          <w:lang w:val="es-ES_tradnl"/>
        </w:rPr>
        <w:t>aduce que la petición incurre en la denominada ‘fórmula de la cuarta instancia internacional’, y, por consiguiente, se torna inadmisible a la luz de lo dispuesto en el artículo 47.b de la Convención Americana.</w:t>
      </w:r>
      <w:r w:rsidR="007E64CF" w:rsidRPr="000630CE">
        <w:rPr>
          <w:sz w:val="20"/>
          <w:szCs w:val="20"/>
          <w:lang w:val="es-ES_tradnl"/>
        </w:rPr>
        <w:t xml:space="preserve"> El Estado sostiene que cuando una violación de derechos humanos es resuelta y reparada a nivel interno, </w:t>
      </w:r>
      <w:r w:rsidR="00DA647E" w:rsidRPr="000630CE">
        <w:rPr>
          <w:sz w:val="20"/>
          <w:szCs w:val="20"/>
          <w:lang w:val="es-ES_tradnl"/>
        </w:rPr>
        <w:t xml:space="preserve">no es necesario elevarla ante la jurisdicción internacional, ya que ello infringiría el carácter subsidiario y complementario del Sistema Interamericano de Protección de Derechos Humanos. Así, Colombia entiende que, en el presente caso, </w:t>
      </w:r>
      <w:r w:rsidR="00DF2FFA" w:rsidRPr="000630CE">
        <w:rPr>
          <w:sz w:val="20"/>
          <w:szCs w:val="20"/>
          <w:lang w:val="es-ES_tradnl"/>
        </w:rPr>
        <w:t>la alegada violación fue reparada mediante las condenas emitidas en el proceso penal y el otorgamiento de la indemnización a los familiares de la presunta víctima en el ámbito contencioso-administrativo.</w:t>
      </w:r>
      <w:r w:rsidR="002678E1" w:rsidRPr="000630CE">
        <w:rPr>
          <w:sz w:val="20"/>
          <w:szCs w:val="20"/>
          <w:lang w:val="es-ES_tradnl"/>
        </w:rPr>
        <w:t xml:space="preserve"> En consecuencia, solicita la declaratoria de inadmisibilidad de la presente petición.</w:t>
      </w:r>
    </w:p>
    <w:p w14:paraId="6B466593" w14:textId="6A8D7588" w:rsidR="00B83158" w:rsidRPr="000630CE" w:rsidRDefault="00C3243D" w:rsidP="003A4D4D">
      <w:pPr>
        <w:spacing w:before="240" w:after="240"/>
        <w:ind w:firstLine="720"/>
        <w:jc w:val="both"/>
        <w:rPr>
          <w:rFonts w:ascii="Cambria" w:hAnsi="Cambria"/>
          <w:sz w:val="20"/>
          <w:szCs w:val="20"/>
          <w:lang w:val="es-ES_tradnl"/>
        </w:rPr>
      </w:pPr>
      <w:r w:rsidRPr="000630CE">
        <w:rPr>
          <w:rFonts w:asciiTheme="majorHAnsi" w:hAnsiTheme="majorHAnsi"/>
          <w:b/>
          <w:sz w:val="20"/>
          <w:szCs w:val="20"/>
          <w:lang w:val="es-ES_tradnl"/>
        </w:rPr>
        <w:t xml:space="preserve"> </w:t>
      </w:r>
      <w:r w:rsidR="00B83158" w:rsidRPr="000630CE">
        <w:rPr>
          <w:rFonts w:asciiTheme="majorHAnsi" w:hAnsiTheme="majorHAnsi"/>
          <w:b/>
          <w:sz w:val="20"/>
          <w:szCs w:val="20"/>
          <w:lang w:val="es-ES_tradnl"/>
        </w:rPr>
        <w:t xml:space="preserve">VI. </w:t>
      </w:r>
      <w:r w:rsidR="00B83158" w:rsidRPr="000630CE">
        <w:rPr>
          <w:rFonts w:asciiTheme="majorHAnsi" w:hAnsiTheme="majorHAnsi"/>
          <w:b/>
          <w:sz w:val="20"/>
          <w:szCs w:val="20"/>
          <w:lang w:val="es-ES_tradnl"/>
        </w:rPr>
        <w:tab/>
      </w:r>
      <w:r w:rsidR="00B83158" w:rsidRPr="000630CE">
        <w:rPr>
          <w:rFonts w:asciiTheme="majorHAnsi" w:hAnsiTheme="majorHAnsi"/>
          <w:b/>
          <w:bCs/>
          <w:sz w:val="20"/>
          <w:szCs w:val="20"/>
          <w:lang w:val="es-ES_tradnl"/>
        </w:rPr>
        <w:t xml:space="preserve">ANÁLISIS DE </w:t>
      </w:r>
      <w:r w:rsidR="00B83158" w:rsidRPr="000630CE">
        <w:rPr>
          <w:rFonts w:asciiTheme="majorHAnsi" w:hAnsiTheme="majorHAnsi"/>
          <w:b/>
          <w:sz w:val="20"/>
          <w:szCs w:val="20"/>
          <w:lang w:val="es-ES_tradnl"/>
        </w:rPr>
        <w:t>AGOTAMIENTO DE LOS RECURSOS INTERNOS Y PLAZO DE PRESENTACIÓN</w:t>
      </w:r>
      <w:r w:rsidR="00B83158" w:rsidRPr="000630CE">
        <w:rPr>
          <w:rFonts w:asciiTheme="majorHAnsi" w:eastAsia="Cambria" w:hAnsiTheme="majorHAnsi" w:cs="Cambria"/>
          <w:b/>
          <w:bCs/>
          <w:color w:val="000000"/>
          <w:sz w:val="20"/>
          <w:szCs w:val="20"/>
          <w:u w:color="000000"/>
          <w:lang w:val="es-ES_tradnl" w:eastAsia="es-ES"/>
        </w:rPr>
        <w:t xml:space="preserve"> </w:t>
      </w:r>
    </w:p>
    <w:p w14:paraId="65E1D335" w14:textId="668A0CB2" w:rsidR="00673C7E" w:rsidRPr="000630CE" w:rsidRDefault="006A2CE3" w:rsidP="0039099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Para el análisis del agotamiento de los recursos domésticos en el presente asunto la CIDH recuerda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Pr="000630CE">
        <w:rPr>
          <w:bCs/>
          <w:sz w:val="20"/>
          <w:szCs w:val="20"/>
          <w:vertAlign w:val="superscript"/>
          <w:lang w:val="es-ES_tradnl"/>
        </w:rPr>
        <w:footnoteReference w:id="17"/>
      </w:r>
      <w:r w:rsidRPr="000630CE">
        <w:rPr>
          <w:sz w:val="20"/>
          <w:szCs w:val="20"/>
          <w:lang w:val="es-ES_tradnl"/>
        </w:rPr>
        <w:t>;</w:t>
      </w:r>
      <w:r w:rsidR="00274B08" w:rsidRPr="000630CE">
        <w:rPr>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0630CE">
        <w:rPr>
          <w:bCs/>
          <w:sz w:val="20"/>
          <w:szCs w:val="20"/>
          <w:vertAlign w:val="superscript"/>
          <w:lang w:val="es-ES_tradnl"/>
        </w:rPr>
        <w:footnoteReference w:id="18"/>
      </w:r>
      <w:r w:rsidR="00274B08" w:rsidRPr="000630CE">
        <w:rPr>
          <w:sz w:val="20"/>
          <w:szCs w:val="20"/>
          <w:lang w:val="es-ES_tradnl"/>
        </w:rPr>
        <w:t xml:space="preserve">. </w:t>
      </w:r>
    </w:p>
    <w:p w14:paraId="25CE3ADA" w14:textId="73A919BB" w:rsidR="00253A4F" w:rsidRPr="000630CE" w:rsidRDefault="00F17870" w:rsidP="00253A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630CE">
        <w:rPr>
          <w:sz w:val="20"/>
          <w:szCs w:val="20"/>
          <w:lang w:val="es-ES_tradnl"/>
        </w:rPr>
        <w:t>En el presente caso, de acuerdo a la información proporcionada por las partes, la Comisión observa que</w:t>
      </w:r>
      <w:r w:rsidR="00253A4F" w:rsidRPr="000630CE">
        <w:rPr>
          <w:sz w:val="20"/>
          <w:szCs w:val="20"/>
          <w:lang w:val="es-ES_tradnl"/>
        </w:rPr>
        <w:t>: i)</w:t>
      </w:r>
      <w:r w:rsidRPr="000630CE">
        <w:rPr>
          <w:sz w:val="20"/>
          <w:szCs w:val="20"/>
          <w:lang w:val="es-ES_tradnl"/>
        </w:rPr>
        <w:t xml:space="preserve"> tras la muerte de la presunta víctima en </w:t>
      </w:r>
      <w:r w:rsidR="00673C7E" w:rsidRPr="000630CE">
        <w:rPr>
          <w:sz w:val="20"/>
          <w:szCs w:val="20"/>
          <w:lang w:val="es-ES_tradnl"/>
        </w:rPr>
        <w:t>abril de 2007</w:t>
      </w:r>
      <w:r w:rsidRPr="000630CE">
        <w:rPr>
          <w:sz w:val="20"/>
          <w:szCs w:val="20"/>
          <w:lang w:val="es-ES_tradnl"/>
        </w:rPr>
        <w:t xml:space="preserve">, </w:t>
      </w:r>
      <w:r w:rsidR="00253A4F" w:rsidRPr="000630CE">
        <w:rPr>
          <w:sz w:val="20"/>
          <w:szCs w:val="20"/>
          <w:lang w:val="es-ES_tradnl"/>
        </w:rPr>
        <w:t>la Fiscalía 30 de la URI de Yopal inició la respectiva investigación; posteriormente, el proceso fue remitido a la jurisdicción penal militar</w:t>
      </w:r>
      <w:r w:rsidR="00857919" w:rsidRPr="000630CE">
        <w:rPr>
          <w:sz w:val="20"/>
          <w:szCs w:val="20"/>
          <w:lang w:val="es-ES_tradnl"/>
        </w:rPr>
        <w:t>,</w:t>
      </w:r>
      <w:r w:rsidR="00253A4F" w:rsidRPr="000630CE">
        <w:rPr>
          <w:sz w:val="20"/>
          <w:szCs w:val="20"/>
          <w:lang w:val="es-ES_tradnl"/>
        </w:rPr>
        <w:t xml:space="preserve"> y pasados siete meses, </w:t>
      </w:r>
      <w:r w:rsidR="00857919" w:rsidRPr="000630CE">
        <w:rPr>
          <w:sz w:val="20"/>
          <w:szCs w:val="20"/>
          <w:lang w:val="es-ES_tradnl"/>
        </w:rPr>
        <w:t xml:space="preserve">pasó </w:t>
      </w:r>
      <w:r w:rsidR="00253A4F" w:rsidRPr="000630CE">
        <w:rPr>
          <w:sz w:val="20"/>
          <w:szCs w:val="20"/>
          <w:lang w:val="es-ES_tradnl"/>
        </w:rPr>
        <w:t xml:space="preserve">a la Unidad Nacional de Derechos Humanos y Derecho Internacional Humanitario de la Fiscalía General de la Nación; ii) el 20 de septiembre de 2013, el Juzgado Penal del Circuito Especializado de Yopal emitió sentencia condenatoria contra seis personas, con sanciones de carácter privativo de libertad y pecuniario; iii) el 21 de enero de 2014 el Tribunal Superior de Yopal decidió los recursos de apelación interpuestos contra el fallo de primera instancia y mantuvo penas de privación de libertad y pecuniarias a cuatro personas; dos de ellas fueron consideradas determinadoras del delito de homicidio en persona protegida y condenadas a sanciones de 30 años de privación de libertad, además de multas de alto monto; iv) </w:t>
      </w:r>
      <w:r w:rsidR="0084454F" w:rsidRPr="000630CE">
        <w:rPr>
          <w:sz w:val="20"/>
          <w:szCs w:val="20"/>
          <w:lang w:val="es-ES_tradnl"/>
        </w:rPr>
        <w:t xml:space="preserve">el </w:t>
      </w:r>
      <w:r w:rsidR="003D337C" w:rsidRPr="000630CE">
        <w:rPr>
          <w:sz w:val="20"/>
          <w:szCs w:val="20"/>
          <w:lang w:val="es-ES_tradnl"/>
        </w:rPr>
        <w:t>31</w:t>
      </w:r>
      <w:r w:rsidR="0084454F" w:rsidRPr="000630CE">
        <w:rPr>
          <w:sz w:val="20"/>
          <w:szCs w:val="20"/>
          <w:lang w:val="es-ES_tradnl"/>
        </w:rPr>
        <w:t xml:space="preserve"> de mayo de 2017, la Sala de Casación Penal inadmitió las demandas de casación interpuestas en contra del fallo del Tribunal Superior de Yopal, lo que generó condena firme a todos los imputados</w:t>
      </w:r>
      <w:r w:rsidR="00847767" w:rsidRPr="000630CE">
        <w:rPr>
          <w:sz w:val="20"/>
          <w:szCs w:val="20"/>
          <w:lang w:val="es-ES_tradnl"/>
        </w:rPr>
        <w:t xml:space="preserve"> en la jurisdicción ordinaria</w:t>
      </w:r>
      <w:r w:rsidR="0084454F" w:rsidRPr="000630CE">
        <w:rPr>
          <w:sz w:val="20"/>
          <w:szCs w:val="20"/>
          <w:lang w:val="es-ES_tradnl"/>
        </w:rPr>
        <w:t xml:space="preserve">; </w:t>
      </w:r>
      <w:r w:rsidR="001D2F0F" w:rsidRPr="000630CE">
        <w:rPr>
          <w:sz w:val="20"/>
          <w:szCs w:val="20"/>
          <w:lang w:val="es-ES_tradnl"/>
        </w:rPr>
        <w:t xml:space="preserve">y, </w:t>
      </w:r>
      <w:r w:rsidR="0084454F" w:rsidRPr="000630CE">
        <w:rPr>
          <w:sz w:val="20"/>
          <w:szCs w:val="20"/>
          <w:lang w:val="es-ES_tradnl"/>
        </w:rPr>
        <w:t>v) en julio de 20</w:t>
      </w:r>
      <w:r w:rsidR="00847767" w:rsidRPr="000630CE">
        <w:rPr>
          <w:sz w:val="20"/>
          <w:szCs w:val="20"/>
          <w:lang w:val="es-ES_tradnl"/>
        </w:rPr>
        <w:t>22</w:t>
      </w:r>
      <w:r w:rsidR="0084454F" w:rsidRPr="000630CE">
        <w:rPr>
          <w:sz w:val="20"/>
          <w:szCs w:val="20"/>
          <w:lang w:val="es-ES_tradnl"/>
        </w:rPr>
        <w:t>, l</w:t>
      </w:r>
      <w:r w:rsidR="00847767" w:rsidRPr="000630CE">
        <w:rPr>
          <w:sz w:val="20"/>
          <w:szCs w:val="20"/>
          <w:lang w:val="es-ES_tradnl"/>
        </w:rPr>
        <w:t xml:space="preserve">a JEP asumió la competencia </w:t>
      </w:r>
      <w:r w:rsidR="00737314" w:rsidRPr="000630CE">
        <w:rPr>
          <w:sz w:val="20"/>
          <w:szCs w:val="20"/>
          <w:lang w:val="es-ES_tradnl"/>
        </w:rPr>
        <w:t xml:space="preserve">sobre el caso, quedando en suspenso las condenas emitidas, y, según lo alega la parte peticionaria, los tres condenados por este hecho fueron </w:t>
      </w:r>
      <w:r w:rsidR="00C3243D" w:rsidRPr="000630CE">
        <w:rPr>
          <w:sz w:val="20"/>
          <w:szCs w:val="20"/>
          <w:lang w:val="es-ES_tradnl"/>
        </w:rPr>
        <w:t>beneficiados</w:t>
      </w:r>
      <w:r w:rsidR="00737314" w:rsidRPr="000630CE">
        <w:rPr>
          <w:sz w:val="20"/>
          <w:szCs w:val="20"/>
          <w:lang w:val="es-ES_tradnl"/>
        </w:rPr>
        <w:t xml:space="preserve"> con </w:t>
      </w:r>
      <w:r w:rsidR="00737314" w:rsidRPr="000630CE">
        <w:rPr>
          <w:sz w:val="20"/>
          <w:szCs w:val="20"/>
          <w:lang w:val="es-ES_tradnl"/>
        </w:rPr>
        <w:lastRenderedPageBreak/>
        <w:t>una medida de libertad condicional</w:t>
      </w:r>
      <w:r w:rsidR="0084454F" w:rsidRPr="000630CE">
        <w:rPr>
          <w:sz w:val="20"/>
          <w:szCs w:val="20"/>
          <w:lang w:val="es-ES_tradnl"/>
        </w:rPr>
        <w:t>.</w:t>
      </w:r>
    </w:p>
    <w:p w14:paraId="57E10837" w14:textId="4E064846" w:rsidR="00CB7424" w:rsidRPr="000630CE" w:rsidRDefault="00673C7E" w:rsidP="00CB7424">
      <w:pPr>
        <w:pStyle w:val="ListParagraph"/>
        <w:widowControl w:val="0"/>
        <w:numPr>
          <w:ilvl w:val="0"/>
          <w:numId w:val="59"/>
        </w:numPr>
        <w:spacing w:before="240" w:after="240"/>
        <w:ind w:left="0" w:firstLine="720"/>
        <w:jc w:val="both"/>
        <w:rPr>
          <w:sz w:val="20"/>
          <w:szCs w:val="20"/>
          <w:lang w:val="es-ES_tradnl"/>
        </w:rPr>
      </w:pPr>
      <w:r w:rsidRPr="000630CE">
        <w:rPr>
          <w:sz w:val="20"/>
          <w:szCs w:val="20"/>
          <w:lang w:val="es-ES_tradnl"/>
        </w:rPr>
        <w:t>E</w:t>
      </w:r>
      <w:r w:rsidR="00F17870" w:rsidRPr="000630CE">
        <w:rPr>
          <w:sz w:val="20"/>
          <w:szCs w:val="20"/>
          <w:lang w:val="es-ES_tradnl"/>
        </w:rPr>
        <w:t xml:space="preserve">l Estado considera que </w:t>
      </w:r>
      <w:r w:rsidR="0084454F" w:rsidRPr="000630CE">
        <w:rPr>
          <w:sz w:val="20"/>
          <w:szCs w:val="20"/>
          <w:lang w:val="es-ES_tradnl"/>
        </w:rPr>
        <w:t>el</w:t>
      </w:r>
      <w:r w:rsidR="00F17870" w:rsidRPr="000630CE">
        <w:rPr>
          <w:sz w:val="20"/>
          <w:szCs w:val="20"/>
          <w:lang w:val="es-ES_tradnl"/>
        </w:rPr>
        <w:t xml:space="preserve"> fallo</w:t>
      </w:r>
      <w:r w:rsidR="0084454F" w:rsidRPr="000630CE">
        <w:rPr>
          <w:sz w:val="20"/>
          <w:szCs w:val="20"/>
          <w:lang w:val="es-ES_tradnl"/>
        </w:rPr>
        <w:t xml:space="preserve"> de </w:t>
      </w:r>
      <w:r w:rsidR="003D337C" w:rsidRPr="000630CE">
        <w:rPr>
          <w:sz w:val="20"/>
          <w:szCs w:val="20"/>
          <w:lang w:val="es-ES_tradnl"/>
        </w:rPr>
        <w:t>31</w:t>
      </w:r>
      <w:r w:rsidR="0084454F" w:rsidRPr="000630CE">
        <w:rPr>
          <w:sz w:val="20"/>
          <w:szCs w:val="20"/>
          <w:lang w:val="es-ES_tradnl"/>
        </w:rPr>
        <w:t xml:space="preserve"> de mayo de 2017</w:t>
      </w:r>
      <w:r w:rsidR="00F17870" w:rsidRPr="000630CE">
        <w:rPr>
          <w:sz w:val="20"/>
          <w:szCs w:val="20"/>
          <w:lang w:val="es-ES_tradnl"/>
        </w:rPr>
        <w:t xml:space="preserve"> </w:t>
      </w:r>
      <w:r w:rsidR="000336E7" w:rsidRPr="000630CE">
        <w:rPr>
          <w:sz w:val="20"/>
          <w:szCs w:val="20"/>
          <w:lang w:val="es-ES_tradnl"/>
        </w:rPr>
        <w:t>decidió</w:t>
      </w:r>
      <w:r w:rsidR="00F17870" w:rsidRPr="000630CE">
        <w:rPr>
          <w:sz w:val="20"/>
          <w:szCs w:val="20"/>
          <w:lang w:val="es-ES_tradnl"/>
        </w:rPr>
        <w:t xml:space="preserve"> la investigación penal y sanción de los responsables por la muerte de Ernesto Cruz Guevara</w:t>
      </w:r>
      <w:r w:rsidR="00091A11" w:rsidRPr="000630CE">
        <w:rPr>
          <w:sz w:val="20"/>
          <w:szCs w:val="20"/>
          <w:lang w:val="es-ES_tradnl"/>
        </w:rPr>
        <w:t>.</w:t>
      </w:r>
      <w:r w:rsidR="000B66F4" w:rsidRPr="000630CE">
        <w:rPr>
          <w:sz w:val="20"/>
          <w:szCs w:val="20"/>
          <w:lang w:val="es-ES_tradnl"/>
        </w:rPr>
        <w:t xml:space="preserve"> </w:t>
      </w:r>
      <w:r w:rsidR="00091A11" w:rsidRPr="000630CE">
        <w:rPr>
          <w:sz w:val="20"/>
          <w:szCs w:val="20"/>
          <w:lang w:val="es-ES_tradnl"/>
        </w:rPr>
        <w:t>L</w:t>
      </w:r>
      <w:r w:rsidR="00F17870" w:rsidRPr="000630CE">
        <w:rPr>
          <w:sz w:val="20"/>
          <w:szCs w:val="20"/>
          <w:lang w:val="es-ES_tradnl"/>
        </w:rPr>
        <w:t xml:space="preserve">a parte peticionaria, a su turno, </w:t>
      </w:r>
      <w:r w:rsidR="00660E83" w:rsidRPr="000630CE">
        <w:rPr>
          <w:sz w:val="20"/>
          <w:szCs w:val="20"/>
          <w:lang w:val="es-ES_tradnl"/>
        </w:rPr>
        <w:t>invoca la excepción al agotamiento de recursos internos de inexistencia del debido proceso legal, por cuanto considera que el sometimiento del caso a la JEP constituye un recurso incompatible con los estándares internacionales, y, por tanto, inadecuado.</w:t>
      </w:r>
    </w:p>
    <w:p w14:paraId="4AACABD4" w14:textId="5355133F" w:rsidR="0084454F" w:rsidRPr="000630CE" w:rsidRDefault="00660E83" w:rsidP="00CB7424">
      <w:pPr>
        <w:pStyle w:val="ListParagraph"/>
        <w:widowControl w:val="0"/>
        <w:numPr>
          <w:ilvl w:val="0"/>
          <w:numId w:val="59"/>
        </w:numPr>
        <w:spacing w:before="240" w:after="240"/>
        <w:ind w:left="0" w:firstLine="720"/>
        <w:jc w:val="both"/>
        <w:rPr>
          <w:sz w:val="20"/>
          <w:szCs w:val="20"/>
          <w:lang w:val="es-ES_tradnl"/>
        </w:rPr>
      </w:pPr>
      <w:r w:rsidRPr="000630CE">
        <w:rPr>
          <w:sz w:val="20"/>
          <w:szCs w:val="20"/>
          <w:lang w:val="es-ES_tradnl"/>
        </w:rPr>
        <w:t>A este respecto</w:t>
      </w:r>
      <w:r w:rsidR="0084454F" w:rsidRPr="000630CE">
        <w:rPr>
          <w:sz w:val="20"/>
          <w:szCs w:val="20"/>
          <w:lang w:val="es-ES_tradnl"/>
        </w:rPr>
        <w:t>, la Comisión Interamericana de Derechos Humanos</w:t>
      </w:r>
      <w:r w:rsidR="002B15B4" w:rsidRPr="000630CE">
        <w:rPr>
          <w:sz w:val="20"/>
          <w:szCs w:val="20"/>
          <w:lang w:val="es-ES_tradnl"/>
        </w:rPr>
        <w:t xml:space="preserve"> </w:t>
      </w:r>
      <w:r w:rsidR="00192BE2" w:rsidRPr="000630CE">
        <w:rPr>
          <w:sz w:val="20"/>
          <w:szCs w:val="20"/>
          <w:lang w:val="es-ES_tradnl"/>
        </w:rPr>
        <w:t xml:space="preserve">estima que el recurso interno tramitado ante la JEP, esto es, el proceso penal de </w:t>
      </w:r>
      <w:r w:rsidR="00FA6AEF" w:rsidRPr="000630CE">
        <w:rPr>
          <w:sz w:val="20"/>
          <w:szCs w:val="20"/>
          <w:lang w:val="es-ES_tradnl"/>
        </w:rPr>
        <w:t xml:space="preserve">reconocimiento de verdad y </w:t>
      </w:r>
      <w:r w:rsidR="002261E0" w:rsidRPr="000630CE">
        <w:rPr>
          <w:sz w:val="20"/>
          <w:szCs w:val="20"/>
          <w:lang w:val="es-ES_tradnl"/>
        </w:rPr>
        <w:t>responsabilidad</w:t>
      </w:r>
      <w:r w:rsidR="00FA6AEF" w:rsidRPr="000630CE">
        <w:rPr>
          <w:sz w:val="20"/>
          <w:szCs w:val="20"/>
          <w:lang w:val="es-ES_tradnl"/>
        </w:rPr>
        <w:t xml:space="preserve"> </w:t>
      </w:r>
      <w:r w:rsidR="00092479" w:rsidRPr="000630CE">
        <w:rPr>
          <w:sz w:val="20"/>
          <w:szCs w:val="20"/>
          <w:lang w:val="es-ES_tradnl"/>
        </w:rPr>
        <w:t xml:space="preserve">no ha sido agotado, y ha prevenido que las decisiones adoptadas en la justicia ordinaria cobren ejecutoria. </w:t>
      </w:r>
      <w:r w:rsidR="002261E0" w:rsidRPr="000630CE">
        <w:rPr>
          <w:sz w:val="20"/>
          <w:szCs w:val="20"/>
          <w:lang w:val="es-ES_tradnl"/>
        </w:rPr>
        <w:t>Así las cosas, la Comisión entiende que el recurso interno</w:t>
      </w:r>
      <w:r w:rsidR="009C009E" w:rsidRPr="000630CE">
        <w:rPr>
          <w:sz w:val="20"/>
          <w:szCs w:val="20"/>
          <w:lang w:val="es-ES_tradnl"/>
        </w:rPr>
        <w:t xml:space="preserve"> indicado para</w:t>
      </w:r>
      <w:r w:rsidR="002261E0" w:rsidRPr="000630CE">
        <w:rPr>
          <w:sz w:val="20"/>
          <w:szCs w:val="20"/>
          <w:lang w:val="es-ES_tradnl"/>
        </w:rPr>
        <w:t xml:space="preserve"> caso</w:t>
      </w:r>
      <w:r w:rsidR="009C009E" w:rsidRPr="000630CE">
        <w:rPr>
          <w:sz w:val="20"/>
          <w:szCs w:val="20"/>
          <w:lang w:val="es-ES_tradnl"/>
        </w:rPr>
        <w:t>s de graves violaciones de derechos humanos es el proceso penal, y ést</w:t>
      </w:r>
      <w:r w:rsidR="00F046D0" w:rsidRPr="000630CE">
        <w:rPr>
          <w:sz w:val="20"/>
          <w:szCs w:val="20"/>
          <w:lang w:val="es-ES_tradnl"/>
        </w:rPr>
        <w:t>e</w:t>
      </w:r>
      <w:r w:rsidR="009C009E" w:rsidRPr="000630CE">
        <w:rPr>
          <w:sz w:val="20"/>
          <w:szCs w:val="20"/>
          <w:lang w:val="es-ES_tradnl"/>
        </w:rPr>
        <w:t xml:space="preserve"> no ha sido agotado debido al inicio de un nuevo proceso ante la JEP.</w:t>
      </w:r>
      <w:r w:rsidR="00F046D0" w:rsidRPr="000630CE">
        <w:rPr>
          <w:sz w:val="20"/>
          <w:szCs w:val="20"/>
          <w:lang w:val="es-ES_tradnl"/>
        </w:rPr>
        <w:t xml:space="preserve"> En vista de que han transcurrido 16 años desde el suceso que dio inicio a la investigación penal, y el proceso aún permanece abierto, tomando </w:t>
      </w:r>
      <w:r w:rsidR="00062E15" w:rsidRPr="000630CE">
        <w:rPr>
          <w:sz w:val="20"/>
          <w:szCs w:val="20"/>
          <w:lang w:val="es-ES_tradnl"/>
        </w:rPr>
        <w:t xml:space="preserve">el proceso penal ante la jurisdicción ordinaria y ante la JEP como un todo, la CIDH concluye que existe un retardo injustificado en </w:t>
      </w:r>
      <w:r w:rsidR="00334BF5" w:rsidRPr="000630CE">
        <w:rPr>
          <w:sz w:val="20"/>
          <w:szCs w:val="20"/>
          <w:lang w:val="es-ES_tradnl"/>
        </w:rPr>
        <w:t>la adopción de una decisión final</w:t>
      </w:r>
      <w:r w:rsidR="00A96DAD" w:rsidRPr="000630CE">
        <w:rPr>
          <w:sz w:val="20"/>
          <w:szCs w:val="20"/>
          <w:lang w:val="es-ES_tradnl"/>
        </w:rPr>
        <w:t xml:space="preserve"> a nivel interno, por lo que resulta aplicable la excepción prevista en el artículo 46.2.c) de la Convención Americana.</w:t>
      </w:r>
    </w:p>
    <w:p w14:paraId="2CF8CC3F" w14:textId="198E3D9B" w:rsidR="00A96DAD" w:rsidRPr="000630CE" w:rsidRDefault="00F33C9E" w:rsidP="00CB7424">
      <w:pPr>
        <w:pStyle w:val="ListParagraph"/>
        <w:widowControl w:val="0"/>
        <w:numPr>
          <w:ilvl w:val="0"/>
          <w:numId w:val="59"/>
        </w:numPr>
        <w:spacing w:before="240" w:after="240"/>
        <w:ind w:left="0" w:firstLine="720"/>
        <w:jc w:val="both"/>
        <w:rPr>
          <w:sz w:val="20"/>
          <w:szCs w:val="20"/>
          <w:lang w:val="es-ES_tradnl"/>
        </w:rPr>
      </w:pPr>
      <w:r w:rsidRPr="000630CE">
        <w:rPr>
          <w:sz w:val="20"/>
          <w:szCs w:val="20"/>
          <w:lang w:val="es-ES_tradnl"/>
        </w:rPr>
        <w:t xml:space="preserve">En cuanto a la alegada inexistencia de un recurso judicial idóneo y efectivo, la Comisión considera que </w:t>
      </w:r>
      <w:r w:rsidR="00737ED2" w:rsidRPr="000630CE">
        <w:rPr>
          <w:sz w:val="20"/>
          <w:szCs w:val="20"/>
          <w:lang w:val="es-ES_tradnl"/>
        </w:rPr>
        <w:t xml:space="preserve">dicha alegación </w:t>
      </w:r>
      <w:r w:rsidR="00FD0F47" w:rsidRPr="000630CE">
        <w:rPr>
          <w:sz w:val="20"/>
          <w:szCs w:val="20"/>
          <w:lang w:val="es-ES_tradnl"/>
        </w:rPr>
        <w:t xml:space="preserve">está inextricablemente vinculada con las determinaciones jurídicas de fondo sobre posibles violaciones de derechos humanos en el marco del </w:t>
      </w:r>
      <w:r w:rsidR="0045796E" w:rsidRPr="000630CE">
        <w:rPr>
          <w:sz w:val="20"/>
          <w:szCs w:val="20"/>
          <w:lang w:val="es-ES_tradnl"/>
        </w:rPr>
        <w:t xml:space="preserve">proceso penal adelantado por la ejecución del Sr. Cruz Guevara; y, por consiguiente, no corresponde </w:t>
      </w:r>
      <w:r w:rsidR="00F71A7B" w:rsidRPr="000630CE">
        <w:rPr>
          <w:sz w:val="20"/>
          <w:szCs w:val="20"/>
          <w:lang w:val="es-ES_tradnl"/>
        </w:rPr>
        <w:t>realizar un pronunciamiento a este respecto en la presente etapa.</w:t>
      </w:r>
    </w:p>
    <w:p w14:paraId="64A0FD3B" w14:textId="543FAF35" w:rsidR="00F71A7B" w:rsidRPr="000630CE" w:rsidRDefault="00F71A7B" w:rsidP="00CB7424">
      <w:pPr>
        <w:pStyle w:val="ListParagraph"/>
        <w:widowControl w:val="0"/>
        <w:numPr>
          <w:ilvl w:val="0"/>
          <w:numId w:val="59"/>
        </w:numPr>
        <w:spacing w:before="240" w:after="240"/>
        <w:ind w:left="0" w:firstLine="720"/>
        <w:jc w:val="both"/>
        <w:rPr>
          <w:sz w:val="20"/>
          <w:szCs w:val="20"/>
          <w:lang w:val="es-ES_tradnl"/>
        </w:rPr>
      </w:pPr>
      <w:r w:rsidRPr="000630CE">
        <w:rPr>
          <w:sz w:val="20"/>
          <w:szCs w:val="20"/>
          <w:lang w:val="es-ES_tradnl"/>
        </w:rPr>
        <w:t xml:space="preserve">Acerca de la razonabilidad del plazo en el cual fue presentada la presente petición, conforme al artículo 32.2 de su Reglamento Interno, la CIDH concluye que </w:t>
      </w:r>
      <w:r w:rsidR="00DB2530" w:rsidRPr="000630CE">
        <w:rPr>
          <w:sz w:val="20"/>
          <w:szCs w:val="20"/>
          <w:lang w:val="es-ES_tradnl"/>
        </w:rPr>
        <w:t xml:space="preserve">ésta </w:t>
      </w:r>
      <w:r w:rsidR="0011794D" w:rsidRPr="000630CE">
        <w:rPr>
          <w:sz w:val="20"/>
          <w:szCs w:val="20"/>
          <w:lang w:val="es-ES_tradnl"/>
        </w:rPr>
        <w:t xml:space="preserve">cumple con </w:t>
      </w:r>
      <w:r w:rsidR="00DB2530" w:rsidRPr="000630CE">
        <w:rPr>
          <w:sz w:val="20"/>
          <w:szCs w:val="20"/>
          <w:lang w:val="es-ES_tradnl"/>
        </w:rPr>
        <w:t xml:space="preserve">dicho </w:t>
      </w:r>
      <w:r w:rsidR="0011794D" w:rsidRPr="000630CE">
        <w:rPr>
          <w:sz w:val="20"/>
          <w:szCs w:val="20"/>
          <w:lang w:val="es-ES_tradnl"/>
        </w:rPr>
        <w:t xml:space="preserve">requisito, ya que fue presentada el 22 de marzo de 2012 cuando </w:t>
      </w:r>
      <w:r w:rsidR="00AC01A2" w:rsidRPr="000630CE">
        <w:rPr>
          <w:sz w:val="20"/>
          <w:szCs w:val="20"/>
          <w:lang w:val="es-ES_tradnl"/>
        </w:rPr>
        <w:t>el proceso penal en la justicia ordinaria permanecía abierto.</w:t>
      </w:r>
    </w:p>
    <w:p w14:paraId="2C613E54" w14:textId="77777777" w:rsidR="00C9124E" w:rsidRPr="000630CE" w:rsidRDefault="00C9124E" w:rsidP="003A4D4D">
      <w:pPr>
        <w:pStyle w:val="ListParagraph"/>
        <w:spacing w:before="240" w:after="240"/>
        <w:ind w:left="758"/>
        <w:jc w:val="both"/>
        <w:rPr>
          <w:rFonts w:asciiTheme="majorHAnsi" w:hAnsiTheme="majorHAnsi"/>
          <w:b/>
          <w:sz w:val="20"/>
          <w:szCs w:val="20"/>
          <w:lang w:val="es-ES_tradnl"/>
        </w:rPr>
      </w:pPr>
      <w:r w:rsidRPr="000630CE">
        <w:rPr>
          <w:rFonts w:asciiTheme="majorHAnsi" w:hAnsiTheme="majorHAnsi"/>
          <w:b/>
          <w:sz w:val="20"/>
          <w:szCs w:val="20"/>
          <w:lang w:val="es-ES_tradnl"/>
        </w:rPr>
        <w:t xml:space="preserve">VII. </w:t>
      </w:r>
      <w:r w:rsidRPr="000630CE">
        <w:rPr>
          <w:rFonts w:asciiTheme="majorHAnsi" w:hAnsiTheme="majorHAnsi"/>
          <w:b/>
          <w:sz w:val="20"/>
          <w:szCs w:val="20"/>
          <w:lang w:val="es-ES_tradnl"/>
        </w:rPr>
        <w:tab/>
      </w:r>
      <w:r w:rsidRPr="000630CE">
        <w:rPr>
          <w:rFonts w:asciiTheme="majorHAnsi" w:hAnsiTheme="majorHAnsi"/>
          <w:b/>
          <w:bCs/>
          <w:sz w:val="20"/>
          <w:szCs w:val="20"/>
          <w:lang w:val="es-ES_tradnl"/>
        </w:rPr>
        <w:t>ANÁLISIS DE CARACTERIZACIÓN DE LOS HECHOS ALEGADOS</w:t>
      </w:r>
    </w:p>
    <w:p w14:paraId="34B5F224" w14:textId="005C8F80" w:rsidR="00A654BB" w:rsidRPr="000630CE" w:rsidRDefault="00A654BB" w:rsidP="00A654B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0630CE">
        <w:rPr>
          <w:sz w:val="20"/>
          <w:szCs w:val="20"/>
          <w:lang w:val="es-ES_tradnl"/>
        </w:rPr>
        <w:t xml:space="preserve">El Estado </w:t>
      </w:r>
      <w:r w:rsidR="00BB27F4" w:rsidRPr="000630CE">
        <w:rPr>
          <w:sz w:val="20"/>
          <w:szCs w:val="20"/>
          <w:lang w:val="es-ES_tradnl"/>
        </w:rPr>
        <w:t xml:space="preserve">afirma </w:t>
      </w:r>
      <w:r w:rsidRPr="000630CE">
        <w:rPr>
          <w:sz w:val="20"/>
          <w:szCs w:val="20"/>
          <w:lang w:val="es-ES_tradnl"/>
        </w:rPr>
        <w:t xml:space="preserve">que la petición es inadmisible conforme con lo dispuesto en el artículo 47.b de la Convención Americana, por configuración de la fórmula de la cuarta instancia. Para el Estado, los hechos fueron conocidos y resueltos en sede interna, de manera definitiva, tanto por la jurisdicción penal ordinaria, como la jurisdicción </w:t>
      </w:r>
      <w:r w:rsidR="00D27519" w:rsidRPr="000630CE">
        <w:rPr>
          <w:sz w:val="20"/>
          <w:szCs w:val="20"/>
          <w:lang w:val="es-ES_tradnl"/>
        </w:rPr>
        <w:t>contencioso-administrativa</w:t>
      </w:r>
      <w:r w:rsidRPr="000630CE">
        <w:rPr>
          <w:sz w:val="20"/>
          <w:szCs w:val="20"/>
          <w:lang w:val="es-ES_tradnl"/>
        </w:rPr>
        <w:t xml:space="preserve">. En este sentido, señala que el Tribunal Administrativo de Casanare condenó a la Nación por los hechos del presente caso, y ordenó indemnización a sus familiares a título de reparación; y que el Tribunal Superior de Casanare condenó a los responsables de los hechos homicidio en persona protegida, fraude procesal, y falsedad ideológica en documento público, y ordenó la entrega de una indemnización a la familia, por daños morales. </w:t>
      </w:r>
      <w:r w:rsidR="00E56336" w:rsidRPr="000630CE">
        <w:rPr>
          <w:sz w:val="20"/>
          <w:szCs w:val="20"/>
          <w:lang w:val="es-ES_tradnl"/>
        </w:rPr>
        <w:t>La parte peticionaria replica que no se configura la fórmula de la cuarta instancia porque se alegan violaciones dentro del proceso penal ante la JEP.</w:t>
      </w:r>
    </w:p>
    <w:p w14:paraId="1DA599D5" w14:textId="6D4E488C" w:rsidR="00EB0BBE" w:rsidRPr="000630CE" w:rsidRDefault="00EB0BBE" w:rsidP="00104421">
      <w:pPr>
        <w:pStyle w:val="ListParagraph"/>
        <w:widowControl w:val="0"/>
        <w:numPr>
          <w:ilvl w:val="0"/>
          <w:numId w:val="59"/>
        </w:numPr>
        <w:spacing w:before="240" w:after="240"/>
        <w:ind w:left="0" w:firstLine="720"/>
        <w:jc w:val="both"/>
        <w:rPr>
          <w:sz w:val="20"/>
          <w:szCs w:val="20"/>
          <w:lang w:val="es-ES_tradnl"/>
        </w:rPr>
      </w:pPr>
      <w:r w:rsidRPr="000630CE">
        <w:rPr>
          <w:sz w:val="20"/>
          <w:szCs w:val="20"/>
          <w:lang w:val="es-ES_tradnl"/>
        </w:rPr>
        <w:t>A los efectos de la admisibilidad, la Comisión debe decidir si los hechos alegados pueden caracterizar una violación de derechos, según lo estipulado en el artículo 47</w:t>
      </w:r>
      <w:r w:rsidR="003D337C" w:rsidRPr="000630CE">
        <w:rPr>
          <w:sz w:val="20"/>
          <w:szCs w:val="20"/>
          <w:lang w:val="es-ES_tradnl"/>
        </w:rPr>
        <w:t>.</w:t>
      </w:r>
      <w:r w:rsidRPr="000630CE">
        <w:rPr>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0630CE">
        <w:rPr>
          <w:i/>
          <w:iCs/>
          <w:sz w:val="20"/>
          <w:szCs w:val="20"/>
          <w:lang w:val="es-ES_tradnl"/>
        </w:rPr>
        <w:t>prima facie</w:t>
      </w:r>
      <w:r w:rsidRPr="000630CE">
        <w:rPr>
          <w:sz w:val="20"/>
          <w:szCs w:val="20"/>
          <w:lang w:val="es-ES_tradnl"/>
        </w:rPr>
        <w:t xml:space="preserve"> violaciones a la Convención Americana”.</w:t>
      </w:r>
    </w:p>
    <w:p w14:paraId="6DA63A20" w14:textId="4BCDB2FE" w:rsidR="00EB0BBE" w:rsidRPr="000630CE" w:rsidRDefault="00EB0BBE" w:rsidP="00104421">
      <w:pPr>
        <w:pStyle w:val="ListParagraph"/>
        <w:widowControl w:val="0"/>
        <w:numPr>
          <w:ilvl w:val="0"/>
          <w:numId w:val="59"/>
        </w:numPr>
        <w:spacing w:before="240" w:after="240"/>
        <w:ind w:left="0" w:firstLine="720"/>
        <w:jc w:val="both"/>
        <w:rPr>
          <w:sz w:val="20"/>
          <w:szCs w:val="20"/>
          <w:lang w:val="es-ES_tradnl"/>
        </w:rPr>
      </w:pPr>
      <w:r w:rsidRPr="000630CE">
        <w:rPr>
          <w:sz w:val="20"/>
          <w:szCs w:val="20"/>
          <w:lang w:val="es-ES_tradnl"/>
        </w:rPr>
        <w:t xml:space="preserve">En el presente asunto, la Comisión observa que el reclamo principal de la parte peticionaria se centra en cuestionar la falta de investigación y punición frente al secuestro y asesinato de Ernesto Cruz Guevara, así como de reparación a sus familiares por los daños asociados. Al respecto, teniendo en cuenta la información </w:t>
      </w:r>
      <w:r w:rsidR="00284E46" w:rsidRPr="000630CE">
        <w:rPr>
          <w:sz w:val="20"/>
          <w:szCs w:val="20"/>
          <w:lang w:val="es-ES_tradnl"/>
        </w:rPr>
        <w:t>allegada</w:t>
      </w:r>
      <w:r w:rsidRPr="000630CE">
        <w:rPr>
          <w:sz w:val="20"/>
          <w:szCs w:val="20"/>
          <w:lang w:val="es-ES_tradnl"/>
        </w:rPr>
        <w:t xml:space="preserve"> por ambas las partes, </w:t>
      </w:r>
      <w:r w:rsidR="00E54FF5" w:rsidRPr="000630CE">
        <w:rPr>
          <w:sz w:val="20"/>
          <w:szCs w:val="20"/>
          <w:lang w:val="es-ES_tradnl"/>
        </w:rPr>
        <w:t>la CIDH nota que subsiste un</w:t>
      </w:r>
      <w:r w:rsidR="002F5D52" w:rsidRPr="000630CE">
        <w:rPr>
          <w:sz w:val="20"/>
          <w:szCs w:val="20"/>
          <w:lang w:val="es-ES_tradnl"/>
        </w:rPr>
        <w:t>a</w:t>
      </w:r>
      <w:r w:rsidR="00E54FF5" w:rsidRPr="000630CE">
        <w:rPr>
          <w:sz w:val="20"/>
          <w:szCs w:val="20"/>
          <w:lang w:val="es-ES_tradnl"/>
        </w:rPr>
        <w:t xml:space="preserve"> </w:t>
      </w:r>
      <w:r w:rsidR="002F5D52" w:rsidRPr="000630CE">
        <w:rPr>
          <w:sz w:val="20"/>
          <w:szCs w:val="20"/>
          <w:lang w:val="es-ES_tradnl"/>
        </w:rPr>
        <w:t>controversia</w:t>
      </w:r>
      <w:r w:rsidR="003F48E9" w:rsidRPr="000630CE">
        <w:rPr>
          <w:sz w:val="20"/>
          <w:szCs w:val="20"/>
          <w:lang w:val="es-ES_tradnl"/>
        </w:rPr>
        <w:t xml:space="preserve"> </w:t>
      </w:r>
      <w:r w:rsidR="00E54FF5" w:rsidRPr="000630CE">
        <w:rPr>
          <w:sz w:val="20"/>
          <w:szCs w:val="20"/>
          <w:lang w:val="es-ES_tradnl"/>
        </w:rPr>
        <w:t xml:space="preserve">respecto del </w:t>
      </w:r>
      <w:r w:rsidR="00E54FF5" w:rsidRPr="000630CE">
        <w:rPr>
          <w:sz w:val="20"/>
          <w:szCs w:val="20"/>
          <w:lang w:val="es-ES_tradnl"/>
        </w:rPr>
        <w:lastRenderedPageBreak/>
        <w:t xml:space="preserve">sometimiento del caso ante la JEP y si dicha jurisdicción puede proporcionar un recurso idóneo y efectivo para investigar y reparar las violaciones de derechos humanos derivadas de la presunta ejecución extrajudicial del Sr. Cruz Guevara, de conformidad con los estándares internacionales del derecho de acceso a la justicia y de </w:t>
      </w:r>
      <w:r w:rsidR="00D8769D" w:rsidRPr="000630CE">
        <w:rPr>
          <w:sz w:val="20"/>
          <w:szCs w:val="20"/>
          <w:lang w:val="es-ES_tradnl"/>
        </w:rPr>
        <w:t>sanción de crímenes internacionales</w:t>
      </w:r>
      <w:r w:rsidR="00E54FF5" w:rsidRPr="000630CE">
        <w:rPr>
          <w:sz w:val="20"/>
          <w:szCs w:val="20"/>
          <w:lang w:val="es-ES_tradnl"/>
        </w:rPr>
        <w:t>.</w:t>
      </w:r>
    </w:p>
    <w:p w14:paraId="7ED7E0D2" w14:textId="3526B934" w:rsidR="00FF4C1E" w:rsidRPr="000630CE" w:rsidRDefault="00A955F6" w:rsidP="00FF4C1E">
      <w:pPr>
        <w:pStyle w:val="ListParagraph"/>
        <w:widowControl w:val="0"/>
        <w:numPr>
          <w:ilvl w:val="0"/>
          <w:numId w:val="59"/>
        </w:numPr>
        <w:spacing w:before="240"/>
        <w:ind w:left="0" w:firstLine="720"/>
        <w:jc w:val="both"/>
        <w:rPr>
          <w:sz w:val="20"/>
          <w:szCs w:val="20"/>
          <w:lang w:val="es-ES"/>
        </w:rPr>
      </w:pPr>
      <w:r w:rsidRPr="000630CE">
        <w:rPr>
          <w:sz w:val="20"/>
          <w:szCs w:val="20"/>
          <w:lang w:val="es-ES_tradnl"/>
        </w:rPr>
        <w:t xml:space="preserve">En </w:t>
      </w:r>
      <w:r w:rsidR="00FF4C1E" w:rsidRPr="000630CE">
        <w:rPr>
          <w:sz w:val="20"/>
          <w:szCs w:val="20"/>
          <w:lang w:val="es-ES_tradnl"/>
        </w:rPr>
        <w:t>ese sentido, l</w:t>
      </w:r>
      <w:r w:rsidR="00FF4C1E" w:rsidRPr="000630CE">
        <w:rPr>
          <w:sz w:val="20"/>
          <w:szCs w:val="20"/>
          <w:lang w:val="es-CO"/>
        </w:rPr>
        <w:t xml:space="preserve">a Comisión considera que no corresponde analizar los argumentos planteados por la parte peticionaria en esta etapa, por ello, diferirá su análisis a la etapa de fondo y admitirá los artículos invocados </w:t>
      </w:r>
      <w:r w:rsidR="002470A6" w:rsidRPr="000630CE">
        <w:rPr>
          <w:sz w:val="20"/>
          <w:szCs w:val="20"/>
          <w:lang w:val="es-CO"/>
        </w:rPr>
        <w:t>con ocasión de la ejecución extrajudicial y la tramitación del proceso penal adelantado por la ejecución del señor Ernesto Cruz Guevara</w:t>
      </w:r>
      <w:r w:rsidR="000769B9" w:rsidRPr="000630CE">
        <w:rPr>
          <w:sz w:val="20"/>
          <w:szCs w:val="20"/>
          <w:lang w:val="es-CO"/>
        </w:rPr>
        <w:t xml:space="preserve"> acaecida el 22 de abril de 2007</w:t>
      </w:r>
      <w:r w:rsidR="00FF4C1E" w:rsidRPr="000630CE">
        <w:rPr>
          <w:sz w:val="20"/>
          <w:szCs w:val="20"/>
          <w:lang w:val="es-CO"/>
        </w:rPr>
        <w:t>.</w:t>
      </w:r>
    </w:p>
    <w:p w14:paraId="2381BAD1" w14:textId="0CC495AC" w:rsidR="00A955F6" w:rsidRPr="000630CE" w:rsidRDefault="00FF4C1E" w:rsidP="00FF4C1E">
      <w:pPr>
        <w:pStyle w:val="ListParagraph"/>
        <w:widowControl w:val="0"/>
        <w:numPr>
          <w:ilvl w:val="0"/>
          <w:numId w:val="59"/>
        </w:numPr>
        <w:spacing w:before="240"/>
        <w:ind w:left="0" w:firstLine="720"/>
        <w:jc w:val="both"/>
        <w:rPr>
          <w:sz w:val="20"/>
          <w:szCs w:val="20"/>
          <w:lang w:val="es-ES"/>
        </w:rPr>
      </w:pPr>
      <w:r w:rsidRPr="000630CE">
        <w:rPr>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4 (vida), 5 (integridad personal), </w:t>
      </w:r>
      <w:r w:rsidR="002A6870" w:rsidRPr="000630CE">
        <w:rPr>
          <w:sz w:val="20"/>
          <w:szCs w:val="20"/>
          <w:lang w:val="es-ES"/>
        </w:rPr>
        <w:t xml:space="preserve">7 (libertad personal), </w:t>
      </w:r>
      <w:r w:rsidRPr="000630CE">
        <w:rPr>
          <w:sz w:val="20"/>
          <w:szCs w:val="20"/>
          <w:lang w:val="es-ES"/>
        </w:rPr>
        <w:t>8 (garantías judiciales), 1</w:t>
      </w:r>
      <w:r w:rsidR="002A6870" w:rsidRPr="000630CE">
        <w:rPr>
          <w:sz w:val="20"/>
          <w:szCs w:val="20"/>
          <w:lang w:val="es-ES"/>
        </w:rPr>
        <w:t>1</w:t>
      </w:r>
      <w:r w:rsidRPr="000630CE">
        <w:rPr>
          <w:sz w:val="20"/>
          <w:szCs w:val="20"/>
          <w:lang w:val="es-ES"/>
        </w:rPr>
        <w:t xml:space="preserve"> (</w:t>
      </w:r>
      <w:r w:rsidR="002A6870" w:rsidRPr="000630CE">
        <w:rPr>
          <w:sz w:val="20"/>
          <w:szCs w:val="20"/>
          <w:lang w:val="es-ES"/>
        </w:rPr>
        <w:t>protección a la honra y dignidad</w:t>
      </w:r>
      <w:r w:rsidRPr="000630CE">
        <w:rPr>
          <w:sz w:val="20"/>
          <w:szCs w:val="20"/>
          <w:lang w:val="es-ES"/>
        </w:rPr>
        <w:t>) y 25 (protección judicial) de la Convención Americana.</w:t>
      </w:r>
    </w:p>
    <w:p w14:paraId="40DABB4D" w14:textId="7F69AE0C" w:rsidR="006E3BAD" w:rsidRPr="000630CE" w:rsidRDefault="006E3BAD" w:rsidP="003A4D4D">
      <w:pPr>
        <w:pStyle w:val="ListParagraph"/>
        <w:spacing w:before="240" w:after="240"/>
        <w:ind w:left="0" w:firstLine="709"/>
        <w:jc w:val="both"/>
        <w:rPr>
          <w:rFonts w:asciiTheme="majorHAnsi" w:hAnsiTheme="majorHAnsi"/>
          <w:b/>
          <w:sz w:val="20"/>
          <w:szCs w:val="20"/>
          <w:lang w:val="es-ES_tradnl"/>
        </w:rPr>
      </w:pPr>
      <w:r w:rsidRPr="000630CE">
        <w:rPr>
          <w:rFonts w:asciiTheme="majorHAnsi" w:hAnsiTheme="majorHAnsi"/>
          <w:b/>
          <w:sz w:val="20"/>
          <w:szCs w:val="20"/>
          <w:lang w:val="es-ES_tradnl"/>
        </w:rPr>
        <w:t xml:space="preserve">VIII. </w:t>
      </w:r>
      <w:r w:rsidRPr="000630CE">
        <w:rPr>
          <w:rFonts w:asciiTheme="majorHAnsi" w:hAnsiTheme="majorHAnsi"/>
          <w:b/>
          <w:sz w:val="20"/>
          <w:szCs w:val="20"/>
          <w:lang w:val="es-ES_tradnl"/>
        </w:rPr>
        <w:tab/>
      </w:r>
      <w:r w:rsidRPr="000630CE">
        <w:rPr>
          <w:rFonts w:asciiTheme="majorHAnsi" w:hAnsiTheme="majorHAnsi"/>
          <w:b/>
          <w:bCs/>
          <w:sz w:val="20"/>
          <w:szCs w:val="20"/>
          <w:lang w:val="es-ES_tradnl"/>
        </w:rPr>
        <w:t>DECISIÓN</w:t>
      </w:r>
    </w:p>
    <w:p w14:paraId="15C58DEE" w14:textId="60F02D16" w:rsidR="00E9667E" w:rsidRPr="000630CE" w:rsidRDefault="00E9667E" w:rsidP="00873872">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sz w:val="20"/>
          <w:szCs w:val="20"/>
          <w:lang w:val="es-419"/>
        </w:rPr>
      </w:pPr>
      <w:r w:rsidRPr="000630CE">
        <w:rPr>
          <w:rFonts w:asciiTheme="majorHAnsi" w:hAnsiTheme="majorHAnsi"/>
          <w:sz w:val="20"/>
          <w:szCs w:val="20"/>
          <w:lang w:val="es-ES"/>
        </w:rPr>
        <w:t>Declarar admisible la presente petición en relación con los artículos 4, 5, 7, 8, 11 y 25 de la Convención Americana en conexión con su artículo 1.1;</w:t>
      </w:r>
      <w:r w:rsidR="008E605B">
        <w:rPr>
          <w:rFonts w:asciiTheme="majorHAnsi" w:hAnsiTheme="majorHAnsi"/>
          <w:sz w:val="20"/>
          <w:szCs w:val="20"/>
          <w:lang w:val="es-ES"/>
        </w:rPr>
        <w:t xml:space="preserve"> y</w:t>
      </w:r>
    </w:p>
    <w:p w14:paraId="245C05A6" w14:textId="72BB47FC" w:rsidR="006E3BAD" w:rsidRPr="008E605B" w:rsidRDefault="00E9667E" w:rsidP="00873872">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sz w:val="20"/>
          <w:szCs w:val="20"/>
          <w:lang w:val="es-419"/>
        </w:rPr>
      </w:pPr>
      <w:r w:rsidRPr="000630CE">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8376D53" w14:textId="708DD2D3" w:rsidR="008E605B" w:rsidRPr="00CF759D" w:rsidRDefault="008E605B" w:rsidP="00CF759D">
      <w:pPr>
        <w:pStyle w:val="paragraph"/>
        <w:spacing w:before="0" w:beforeAutospacing="0" w:after="0" w:afterAutospacing="0"/>
        <w:ind w:firstLine="720"/>
        <w:jc w:val="both"/>
        <w:textAlignment w:val="baseline"/>
        <w:rPr>
          <w:rFonts w:ascii="Cambria" w:hAnsi="Cambria" w:cs="Segoe UI"/>
          <w:sz w:val="20"/>
          <w:szCs w:val="20"/>
          <w:lang w:val="es-CL"/>
        </w:rPr>
      </w:pPr>
      <w:r>
        <w:rPr>
          <w:rStyle w:val="normaltextrun"/>
          <w:rFonts w:ascii="Cambria" w:hAnsi="Cambria" w:cs="Segoe UI"/>
          <w:sz w:val="20"/>
          <w:szCs w:val="20"/>
          <w:lang w:val="es-CL"/>
        </w:rPr>
        <w:t xml:space="preserve">Aprobado por la Comisión Interamericana de Derechos Humanos a los </w:t>
      </w:r>
      <w:r w:rsidR="007752BE">
        <w:rPr>
          <w:rStyle w:val="normaltextrun"/>
          <w:rFonts w:ascii="Cambria" w:hAnsi="Cambria" w:cs="Segoe UI"/>
          <w:sz w:val="20"/>
          <w:szCs w:val="20"/>
          <w:lang w:val="es-CL"/>
        </w:rPr>
        <w:t>20</w:t>
      </w:r>
      <w:r>
        <w:rPr>
          <w:rStyle w:val="normaltextrun"/>
          <w:rFonts w:ascii="Cambria" w:hAnsi="Cambria" w:cs="Segoe UI"/>
          <w:sz w:val="20"/>
          <w:szCs w:val="20"/>
          <w:lang w:val="es-CL"/>
        </w:rPr>
        <w:t xml:space="preserve"> días del mes de </w:t>
      </w:r>
      <w:r w:rsidR="007752BE">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2023.  (Firmado): Margarette May Macaulay, Presidenta; Esmeralda Arosemena de Troitiño, Primera Vicepresidenta; Roberta Clarke, Segunda Vicepresidenta; Julissa Mantilla Falcón</w:t>
      </w:r>
      <w:r w:rsidR="007752BE">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w:t>
      </w:r>
      <w:r w:rsidR="00C669D6">
        <w:rPr>
          <w:rStyle w:val="normaltextrun"/>
          <w:rFonts w:ascii="Cambria" w:hAnsi="Cambria" w:cs="Segoe UI"/>
          <w:sz w:val="20"/>
          <w:szCs w:val="20"/>
          <w:lang w:val="es-CL"/>
        </w:rPr>
        <w:t xml:space="preserve"> </w:t>
      </w:r>
      <w:r w:rsidR="00CF759D">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8E605B" w:rsidRPr="00CF759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3057" w14:textId="77777777" w:rsidR="00DA2A42" w:rsidRDefault="00DA2A42">
      <w:r>
        <w:separator/>
      </w:r>
    </w:p>
  </w:endnote>
  <w:endnote w:type="continuationSeparator" w:id="0">
    <w:p w14:paraId="5926BA3A" w14:textId="77777777" w:rsidR="00DA2A42" w:rsidRDefault="00DA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2BD7" w14:textId="77777777" w:rsidR="00DA2A42" w:rsidRPr="000F35ED" w:rsidRDefault="00DA2A4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849A533" w14:textId="77777777" w:rsidR="00DA2A42" w:rsidRPr="000F35ED" w:rsidRDefault="00DA2A42" w:rsidP="000F35ED">
      <w:pPr>
        <w:rPr>
          <w:rFonts w:asciiTheme="majorHAnsi" w:hAnsiTheme="majorHAnsi"/>
          <w:sz w:val="16"/>
          <w:szCs w:val="16"/>
        </w:rPr>
      </w:pPr>
      <w:r w:rsidRPr="000F35ED">
        <w:rPr>
          <w:rFonts w:asciiTheme="majorHAnsi" w:hAnsiTheme="majorHAnsi"/>
          <w:sz w:val="16"/>
          <w:szCs w:val="16"/>
        </w:rPr>
        <w:separator/>
      </w:r>
    </w:p>
    <w:p w14:paraId="2C53628E" w14:textId="77777777" w:rsidR="00DA2A42" w:rsidRPr="000F35ED" w:rsidRDefault="00DA2A4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0A8A861" w14:textId="77777777" w:rsidR="00DA2A42" w:rsidRPr="000F35ED" w:rsidRDefault="00DA2A4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157F06B" w14:textId="580999B9" w:rsidR="0073487D" w:rsidRPr="0073487D" w:rsidRDefault="0073487D" w:rsidP="0073487D">
      <w:pPr>
        <w:pStyle w:val="FootnoteText"/>
        <w:ind w:firstLine="720"/>
        <w:jc w:val="both"/>
        <w:rPr>
          <w:rFonts w:asciiTheme="majorHAnsi" w:hAnsiTheme="majorHAnsi"/>
          <w:sz w:val="16"/>
          <w:szCs w:val="16"/>
          <w:lang w:val="es-CO"/>
        </w:rPr>
      </w:pPr>
      <w:r w:rsidRPr="0073487D">
        <w:rPr>
          <w:rStyle w:val="FootnoteReference"/>
          <w:rFonts w:asciiTheme="majorHAnsi" w:hAnsiTheme="majorHAnsi"/>
          <w:sz w:val="16"/>
          <w:szCs w:val="16"/>
        </w:rPr>
        <w:footnoteRef/>
      </w:r>
      <w:r w:rsidRPr="0073487D">
        <w:rPr>
          <w:rFonts w:asciiTheme="majorHAnsi" w:hAnsiTheme="majorHAnsi"/>
          <w:sz w:val="16"/>
          <w:szCs w:val="16"/>
          <w:lang w:val="es-CO"/>
        </w:rPr>
        <w:t xml:space="preserve"> </w:t>
      </w:r>
      <w:r>
        <w:rPr>
          <w:rFonts w:asciiTheme="majorHAnsi" w:hAnsiTheme="majorHAnsi"/>
          <w:sz w:val="16"/>
          <w:szCs w:val="16"/>
          <w:lang w:val="es-CO"/>
        </w:rPr>
        <w:t xml:space="preserve">La petición inicial fue presentada por el señor </w:t>
      </w:r>
      <w:r w:rsidRPr="0073487D">
        <w:rPr>
          <w:rFonts w:asciiTheme="majorHAnsi" w:hAnsiTheme="majorHAnsi"/>
          <w:bCs/>
          <w:sz w:val="16"/>
          <w:szCs w:val="16"/>
          <w:lang w:val="es-419"/>
        </w:rPr>
        <w:t>Rafael Alberto Gaitán Gómez</w:t>
      </w:r>
      <w:r>
        <w:rPr>
          <w:rFonts w:asciiTheme="majorHAnsi" w:hAnsiTheme="majorHAnsi"/>
          <w:bCs/>
          <w:sz w:val="16"/>
          <w:szCs w:val="16"/>
          <w:lang w:val="es-419"/>
        </w:rPr>
        <w:t xml:space="preserve"> de</w:t>
      </w:r>
      <w:r w:rsidRPr="0073487D">
        <w:rPr>
          <w:rFonts w:asciiTheme="majorHAnsi" w:hAnsiTheme="majorHAnsi"/>
          <w:bCs/>
          <w:sz w:val="16"/>
          <w:szCs w:val="16"/>
          <w:lang w:val="es-419"/>
        </w:rPr>
        <w:t xml:space="preserve"> Gaitán Gómez &amp; Asociados</w:t>
      </w:r>
      <w:r>
        <w:rPr>
          <w:rFonts w:asciiTheme="majorHAnsi" w:hAnsiTheme="majorHAnsi"/>
          <w:bCs/>
          <w:sz w:val="16"/>
          <w:szCs w:val="16"/>
          <w:lang w:val="es-419"/>
        </w:rPr>
        <w:t>.</w:t>
      </w:r>
      <w:r w:rsidR="000A16D0">
        <w:rPr>
          <w:rFonts w:asciiTheme="majorHAnsi" w:hAnsiTheme="majorHAnsi"/>
          <w:bCs/>
          <w:sz w:val="16"/>
          <w:szCs w:val="16"/>
          <w:lang w:val="es-419"/>
        </w:rPr>
        <w:t xml:space="preserve"> Sin embargo, e</w:t>
      </w:r>
      <w:r>
        <w:rPr>
          <w:rFonts w:asciiTheme="majorHAnsi" w:hAnsiTheme="majorHAnsi"/>
          <w:sz w:val="16"/>
          <w:szCs w:val="16"/>
          <w:lang w:val="es-CO"/>
        </w:rPr>
        <w:t xml:space="preserve">l 6 de septiembre de 2022 el </w:t>
      </w:r>
      <w:r w:rsidR="0004514E">
        <w:rPr>
          <w:rFonts w:asciiTheme="majorHAnsi" w:hAnsiTheme="majorHAnsi"/>
          <w:sz w:val="16"/>
          <w:szCs w:val="16"/>
          <w:lang w:val="es-CO"/>
        </w:rPr>
        <w:t xml:space="preserve">señor Gaitán Gómez y el </w:t>
      </w:r>
      <w:r>
        <w:rPr>
          <w:rFonts w:asciiTheme="majorHAnsi" w:hAnsiTheme="majorHAnsi"/>
          <w:sz w:val="16"/>
          <w:szCs w:val="16"/>
          <w:lang w:val="es-CO"/>
        </w:rPr>
        <w:t>CJDH inform</w:t>
      </w:r>
      <w:r w:rsidR="0004514E">
        <w:rPr>
          <w:rFonts w:asciiTheme="majorHAnsi" w:hAnsiTheme="majorHAnsi"/>
          <w:sz w:val="16"/>
          <w:szCs w:val="16"/>
          <w:lang w:val="es-CO"/>
        </w:rPr>
        <w:t>aron</w:t>
      </w:r>
      <w:r>
        <w:rPr>
          <w:rFonts w:asciiTheme="majorHAnsi" w:hAnsiTheme="majorHAnsi"/>
          <w:sz w:val="16"/>
          <w:szCs w:val="16"/>
          <w:lang w:val="es-CO"/>
        </w:rPr>
        <w:t xml:space="preserve"> </w:t>
      </w:r>
      <w:r w:rsidR="00357269">
        <w:rPr>
          <w:rFonts w:asciiTheme="majorHAnsi" w:hAnsiTheme="majorHAnsi"/>
          <w:sz w:val="16"/>
          <w:szCs w:val="16"/>
          <w:lang w:val="es-CO"/>
        </w:rPr>
        <w:t xml:space="preserve">a la CIDH </w:t>
      </w:r>
      <w:r w:rsidR="0004514E">
        <w:rPr>
          <w:rFonts w:asciiTheme="majorHAnsi" w:hAnsiTheme="majorHAnsi"/>
          <w:sz w:val="16"/>
          <w:szCs w:val="16"/>
          <w:lang w:val="es-CO"/>
        </w:rPr>
        <w:t xml:space="preserve">que éste último asumiría </w:t>
      </w:r>
      <w:r w:rsidR="00A95FC1">
        <w:rPr>
          <w:rFonts w:asciiTheme="majorHAnsi" w:hAnsiTheme="majorHAnsi"/>
          <w:sz w:val="16"/>
          <w:szCs w:val="16"/>
          <w:lang w:val="es-CO"/>
        </w:rPr>
        <w:t xml:space="preserve">la representación de las presuntas víctimas </w:t>
      </w:r>
      <w:r w:rsidR="00BE2FF6">
        <w:rPr>
          <w:rFonts w:asciiTheme="majorHAnsi" w:hAnsiTheme="majorHAnsi"/>
          <w:sz w:val="16"/>
          <w:szCs w:val="16"/>
          <w:lang w:val="es-CO"/>
        </w:rPr>
        <w:t>en el presente trámite.</w:t>
      </w:r>
    </w:p>
  </w:footnote>
  <w:footnote w:id="3">
    <w:p w14:paraId="09D0470E" w14:textId="2C7EEEB2" w:rsidR="0026174C" w:rsidRPr="00982364" w:rsidRDefault="0026174C" w:rsidP="0026174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F711C3">
        <w:rPr>
          <w:rFonts w:asciiTheme="majorHAnsi" w:hAnsiTheme="majorHAnsi"/>
          <w:bCs/>
          <w:sz w:val="16"/>
          <w:szCs w:val="16"/>
          <w:lang w:val="es-CO"/>
        </w:rPr>
        <w:t xml:space="preserve">María Del Tránsito Guevara (madre), </w:t>
      </w:r>
      <w:r w:rsidR="00652938" w:rsidRPr="00F711C3">
        <w:rPr>
          <w:rFonts w:asciiTheme="majorHAnsi" w:hAnsiTheme="majorHAnsi"/>
          <w:bCs/>
          <w:sz w:val="16"/>
          <w:szCs w:val="16"/>
          <w:lang w:val="es-CO"/>
        </w:rPr>
        <w:t>Tobías</w:t>
      </w:r>
      <w:r w:rsidRPr="00F711C3">
        <w:rPr>
          <w:rFonts w:asciiTheme="majorHAnsi" w:hAnsiTheme="majorHAnsi"/>
          <w:bCs/>
          <w:sz w:val="16"/>
          <w:szCs w:val="16"/>
          <w:lang w:val="es-CO"/>
        </w:rPr>
        <w:t xml:space="preserve"> Cruz Castro (padre), Lucenia Alfonso Cruz (compañera permanente); Angie Carolina Cruz Alfonso, Brayhan Fabian Cruz Alfonso (hijos); Ana Milena Cruz Guevara, Briceida Cruz Guevara, Luz Mary Cruz Guevara, María Isabel Cruz Guevara, José </w:t>
      </w:r>
      <w:r w:rsidR="00652938" w:rsidRPr="00F711C3">
        <w:rPr>
          <w:rFonts w:asciiTheme="majorHAnsi" w:hAnsiTheme="majorHAnsi"/>
          <w:bCs/>
          <w:sz w:val="16"/>
          <w:szCs w:val="16"/>
          <w:lang w:val="es-CO"/>
        </w:rPr>
        <w:t>Tobías</w:t>
      </w:r>
      <w:r w:rsidRPr="00F711C3">
        <w:rPr>
          <w:rFonts w:asciiTheme="majorHAnsi" w:hAnsiTheme="majorHAnsi"/>
          <w:bCs/>
          <w:sz w:val="16"/>
          <w:szCs w:val="16"/>
          <w:lang w:val="es-CO"/>
        </w:rPr>
        <w:t xml:space="preserve"> Cruz Guevara, Mery Liliana Cruz Guevara (hermanos); Nelson Vega Sánchez, Milton Barrera Cuta, Adelfo Alfonso Cruz, Héctor Pérez (cuñados), Diana Patiño (esposa de José </w:t>
      </w:r>
      <w:r w:rsidR="00652938" w:rsidRPr="00F711C3">
        <w:rPr>
          <w:rFonts w:asciiTheme="majorHAnsi" w:hAnsiTheme="majorHAnsi"/>
          <w:bCs/>
          <w:sz w:val="16"/>
          <w:szCs w:val="16"/>
          <w:lang w:val="es-CO"/>
        </w:rPr>
        <w:t>Tobías</w:t>
      </w:r>
      <w:r w:rsidRPr="00F711C3">
        <w:rPr>
          <w:rFonts w:asciiTheme="majorHAnsi" w:hAnsiTheme="majorHAnsi"/>
          <w:bCs/>
          <w:sz w:val="16"/>
          <w:szCs w:val="16"/>
          <w:lang w:val="es-CO"/>
        </w:rPr>
        <w:t xml:space="preserve"> Cruz Guevara).</w:t>
      </w:r>
    </w:p>
  </w:footnote>
  <w:footnote w:id="4">
    <w:p w14:paraId="66E930B8" w14:textId="0F8D0D77" w:rsidR="004A6A54" w:rsidRPr="00982364" w:rsidRDefault="004A6A54"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5">
    <w:p w14:paraId="606B6CC7" w14:textId="77777777" w:rsidR="00785B6C" w:rsidRPr="00343CD2" w:rsidRDefault="00785B6C" w:rsidP="00785B6C">
      <w:pPr>
        <w:pStyle w:val="FootnoteText"/>
        <w:ind w:firstLine="720"/>
        <w:jc w:val="both"/>
        <w:rPr>
          <w:rFonts w:asciiTheme="majorHAnsi" w:hAnsiTheme="majorHAnsi"/>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Convención Americana” o “la Convención”.</w:t>
      </w:r>
    </w:p>
  </w:footnote>
  <w:footnote w:id="6">
    <w:p w14:paraId="1AFEF3B0" w14:textId="77777777" w:rsidR="008E3BFE" w:rsidRPr="00982364" w:rsidRDefault="008E3BFE"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trasladadas a la parte contraria.</w:t>
      </w:r>
    </w:p>
  </w:footnote>
  <w:footnote w:id="7">
    <w:p w14:paraId="53E42F74" w14:textId="28C2A832" w:rsidR="00913A84" w:rsidRPr="009840C7" w:rsidRDefault="00913A84" w:rsidP="00913A84">
      <w:pPr>
        <w:pStyle w:val="FootnoteText"/>
        <w:ind w:firstLine="720"/>
        <w:jc w:val="both"/>
        <w:rPr>
          <w:rFonts w:asciiTheme="majorHAnsi" w:hAnsiTheme="majorHAnsi"/>
          <w:sz w:val="16"/>
          <w:szCs w:val="16"/>
          <w:lang w:val="es-CO"/>
        </w:rPr>
      </w:pPr>
      <w:r w:rsidRPr="00D440AC">
        <w:rPr>
          <w:rStyle w:val="FootnoteReference"/>
          <w:rFonts w:asciiTheme="majorHAnsi" w:hAnsiTheme="majorHAnsi"/>
          <w:sz w:val="16"/>
          <w:szCs w:val="16"/>
        </w:rPr>
        <w:footnoteRef/>
      </w:r>
      <w:r w:rsidRPr="00D440AC">
        <w:rPr>
          <w:rFonts w:asciiTheme="majorHAnsi" w:hAnsiTheme="majorHAnsi"/>
          <w:sz w:val="16"/>
          <w:szCs w:val="16"/>
          <w:lang w:val="es-CO"/>
        </w:rPr>
        <w:t xml:space="preserve"> En Colombia, se </w:t>
      </w:r>
      <w:r w:rsidR="00676B28" w:rsidRPr="00D440AC">
        <w:rPr>
          <w:rFonts w:asciiTheme="majorHAnsi" w:hAnsiTheme="majorHAnsi"/>
          <w:sz w:val="16"/>
          <w:szCs w:val="16"/>
          <w:lang w:val="es-CO"/>
        </w:rPr>
        <w:t>conoce como</w:t>
      </w:r>
      <w:r w:rsidRPr="00D440AC">
        <w:rPr>
          <w:rFonts w:asciiTheme="majorHAnsi" w:hAnsiTheme="majorHAnsi"/>
          <w:sz w:val="16"/>
          <w:szCs w:val="16"/>
          <w:lang w:val="es-CO"/>
        </w:rPr>
        <w:t xml:space="preserve"> ‘falsos positivos’ a una serie de ejecuciones extrajudiciales </w:t>
      </w:r>
      <w:r w:rsidR="00676B28" w:rsidRPr="00D440AC">
        <w:rPr>
          <w:rFonts w:asciiTheme="majorHAnsi" w:hAnsiTheme="majorHAnsi"/>
          <w:sz w:val="16"/>
          <w:szCs w:val="16"/>
          <w:lang w:val="es-CO"/>
        </w:rPr>
        <w:t>de civiles cometidas por la</w:t>
      </w:r>
      <w:r w:rsidR="00535BE0" w:rsidRPr="00D440AC">
        <w:rPr>
          <w:rFonts w:asciiTheme="majorHAnsi" w:hAnsiTheme="majorHAnsi"/>
          <w:sz w:val="16"/>
          <w:szCs w:val="16"/>
          <w:lang w:val="es-CO"/>
        </w:rPr>
        <w:t>s</w:t>
      </w:r>
      <w:r w:rsidR="00676B28" w:rsidRPr="00D440AC">
        <w:rPr>
          <w:rFonts w:asciiTheme="majorHAnsi" w:hAnsiTheme="majorHAnsi"/>
          <w:sz w:val="16"/>
          <w:szCs w:val="16"/>
          <w:lang w:val="es-CO"/>
        </w:rPr>
        <w:t xml:space="preserve"> fuerza</w:t>
      </w:r>
      <w:r w:rsidR="00535BE0" w:rsidRPr="00D440AC">
        <w:rPr>
          <w:rFonts w:asciiTheme="majorHAnsi" w:hAnsiTheme="majorHAnsi"/>
          <w:sz w:val="16"/>
          <w:szCs w:val="16"/>
          <w:lang w:val="es-CO"/>
        </w:rPr>
        <w:t>s de seguridad del Estado</w:t>
      </w:r>
      <w:r w:rsidR="00676B28" w:rsidRPr="00D440AC">
        <w:rPr>
          <w:rFonts w:asciiTheme="majorHAnsi" w:hAnsiTheme="majorHAnsi"/>
          <w:sz w:val="16"/>
          <w:szCs w:val="16"/>
          <w:lang w:val="es-CO"/>
        </w:rPr>
        <w:t xml:space="preserve"> para luego ser presentados como bajas en combate. Al respecto ver: CIDH, </w:t>
      </w:r>
      <w:r w:rsidR="009840C7" w:rsidRPr="00D440AC">
        <w:rPr>
          <w:rFonts w:asciiTheme="majorHAnsi" w:hAnsiTheme="majorHAnsi"/>
          <w:sz w:val="16"/>
          <w:szCs w:val="16"/>
          <w:lang w:val="es-CO"/>
        </w:rPr>
        <w:t>Verdad, justicia y reparación: Cuarto informe sobre la situación de derechos humanos en Colombia, 31 de diciembre de 2013, párr 21</w:t>
      </w:r>
      <w:r w:rsidR="00337472" w:rsidRPr="00D440AC">
        <w:rPr>
          <w:rFonts w:asciiTheme="majorHAnsi" w:hAnsiTheme="majorHAnsi"/>
          <w:sz w:val="16"/>
          <w:szCs w:val="16"/>
          <w:lang w:val="es-CO"/>
        </w:rPr>
        <w:t>, y párrs. 122 y ss.</w:t>
      </w:r>
    </w:p>
  </w:footnote>
  <w:footnote w:id="8">
    <w:p w14:paraId="3F54FAE1" w14:textId="52902399" w:rsidR="0037725C" w:rsidRPr="001A5FEE" w:rsidRDefault="0037725C" w:rsidP="0037725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1A5FEE">
        <w:rPr>
          <w:rFonts w:asciiTheme="majorHAnsi" w:hAnsiTheme="majorHAnsi"/>
          <w:sz w:val="16"/>
          <w:szCs w:val="16"/>
          <w:lang w:val="es-ES"/>
        </w:rPr>
        <w:t xml:space="preserve"> </w:t>
      </w:r>
      <w:r w:rsidR="001A5FEE" w:rsidRPr="001A5FEE">
        <w:rPr>
          <w:rFonts w:asciiTheme="majorHAnsi" w:hAnsiTheme="majorHAnsi"/>
          <w:sz w:val="16"/>
          <w:szCs w:val="16"/>
          <w:lang w:val="es-ES"/>
        </w:rPr>
        <w:t>A la fecha</w:t>
      </w:r>
      <w:r w:rsidR="00BB66C8">
        <w:rPr>
          <w:rFonts w:asciiTheme="majorHAnsi" w:hAnsiTheme="majorHAnsi"/>
          <w:sz w:val="16"/>
          <w:szCs w:val="16"/>
          <w:lang w:val="es-ES"/>
        </w:rPr>
        <w:t xml:space="preserve"> de la sentencia</w:t>
      </w:r>
      <w:r w:rsidR="001A5FEE" w:rsidRPr="001A5FEE">
        <w:rPr>
          <w:rFonts w:asciiTheme="majorHAnsi" w:hAnsiTheme="majorHAnsi"/>
          <w:sz w:val="16"/>
          <w:szCs w:val="16"/>
          <w:lang w:val="es-ES"/>
        </w:rPr>
        <w:t>, según i</w:t>
      </w:r>
      <w:r w:rsidR="001A5FEE">
        <w:rPr>
          <w:rFonts w:asciiTheme="majorHAnsi" w:hAnsiTheme="majorHAnsi"/>
          <w:sz w:val="16"/>
          <w:szCs w:val="16"/>
          <w:lang w:val="es-ES"/>
        </w:rPr>
        <w:t xml:space="preserve">nformación pública, el salario mínimo mensual legal era equivalente a </w:t>
      </w:r>
      <w:r w:rsidR="001A5FEE" w:rsidRPr="001A5FEE">
        <w:rPr>
          <w:rFonts w:asciiTheme="majorHAnsi" w:hAnsiTheme="majorHAnsi"/>
          <w:sz w:val="16"/>
          <w:szCs w:val="16"/>
          <w:lang w:val="es-ES"/>
        </w:rPr>
        <w:t>589</w:t>
      </w:r>
      <w:r w:rsidR="001A5FEE">
        <w:rPr>
          <w:rFonts w:asciiTheme="majorHAnsi" w:hAnsiTheme="majorHAnsi"/>
          <w:sz w:val="16"/>
          <w:szCs w:val="16"/>
          <w:lang w:val="es-ES"/>
        </w:rPr>
        <w:t>,</w:t>
      </w:r>
      <w:r w:rsidR="001A5FEE" w:rsidRPr="001A5FEE">
        <w:rPr>
          <w:rFonts w:asciiTheme="majorHAnsi" w:hAnsiTheme="majorHAnsi"/>
          <w:sz w:val="16"/>
          <w:szCs w:val="16"/>
          <w:lang w:val="es-ES"/>
        </w:rPr>
        <w:t>500.00</w:t>
      </w:r>
      <w:r w:rsidR="001A5FEE">
        <w:rPr>
          <w:rFonts w:asciiTheme="majorHAnsi" w:hAnsiTheme="majorHAnsi"/>
          <w:sz w:val="16"/>
          <w:szCs w:val="16"/>
          <w:lang w:val="es-ES"/>
        </w:rPr>
        <w:t xml:space="preserve"> pesos colombianos (</w:t>
      </w:r>
      <w:hyperlink r:id="rId1" w:history="1">
        <w:r w:rsidR="001A5FEE" w:rsidRPr="009C10E5">
          <w:rPr>
            <w:rStyle w:val="Hyperlink"/>
            <w:rFonts w:asciiTheme="majorHAnsi" w:hAnsiTheme="majorHAnsi"/>
            <w:sz w:val="16"/>
            <w:szCs w:val="16"/>
            <w:lang w:val="es-ES"/>
          </w:rPr>
          <w:t>https://www.funcionpublica.gov.co/eva/gestornormativo/norma.php?i=51035</w:t>
        </w:r>
      </w:hyperlink>
      <w:r w:rsidR="001A5FEE">
        <w:rPr>
          <w:rFonts w:asciiTheme="majorHAnsi" w:hAnsiTheme="majorHAnsi"/>
          <w:sz w:val="16"/>
          <w:szCs w:val="16"/>
          <w:lang w:val="es-ES"/>
        </w:rPr>
        <w:t xml:space="preserve">). A su vez, el dólar estadunidense equivalía a </w:t>
      </w:r>
      <w:r w:rsidR="001A5FEE" w:rsidRPr="001A5FEE">
        <w:rPr>
          <w:rFonts w:asciiTheme="majorHAnsi" w:hAnsiTheme="majorHAnsi"/>
          <w:sz w:val="16"/>
          <w:szCs w:val="16"/>
          <w:lang w:val="es-ES"/>
        </w:rPr>
        <w:t>1</w:t>
      </w:r>
      <w:r w:rsidR="001A5FEE">
        <w:rPr>
          <w:rFonts w:asciiTheme="majorHAnsi" w:hAnsiTheme="majorHAnsi"/>
          <w:sz w:val="16"/>
          <w:szCs w:val="16"/>
          <w:lang w:val="es-ES"/>
        </w:rPr>
        <w:t>,</w:t>
      </w:r>
      <w:r w:rsidR="001A5FEE" w:rsidRPr="001A5FEE">
        <w:rPr>
          <w:rFonts w:asciiTheme="majorHAnsi" w:hAnsiTheme="majorHAnsi"/>
          <w:sz w:val="16"/>
          <w:szCs w:val="16"/>
          <w:lang w:val="es-ES"/>
        </w:rPr>
        <w:t>887</w:t>
      </w:r>
      <w:r w:rsidR="001A5FEE">
        <w:rPr>
          <w:rFonts w:asciiTheme="majorHAnsi" w:hAnsiTheme="majorHAnsi"/>
          <w:sz w:val="16"/>
          <w:szCs w:val="16"/>
          <w:lang w:val="es-ES"/>
        </w:rPr>
        <w:t>.</w:t>
      </w:r>
      <w:r w:rsidR="001A5FEE" w:rsidRPr="001A5FEE">
        <w:rPr>
          <w:rFonts w:asciiTheme="majorHAnsi" w:hAnsiTheme="majorHAnsi"/>
          <w:sz w:val="16"/>
          <w:szCs w:val="16"/>
          <w:lang w:val="es-ES"/>
        </w:rPr>
        <w:t>30</w:t>
      </w:r>
      <w:r w:rsidR="001A5FEE">
        <w:rPr>
          <w:rFonts w:asciiTheme="majorHAnsi" w:hAnsiTheme="majorHAnsi"/>
          <w:sz w:val="16"/>
          <w:szCs w:val="16"/>
          <w:lang w:val="es-ES"/>
        </w:rPr>
        <w:t xml:space="preserve"> pesos colombianos (</w:t>
      </w:r>
      <w:hyperlink r:id="rId2" w:history="1">
        <w:r w:rsidR="001A5FEE" w:rsidRPr="009C10E5">
          <w:rPr>
            <w:rStyle w:val="Hyperlink"/>
            <w:rFonts w:asciiTheme="majorHAnsi" w:hAnsiTheme="majorHAnsi"/>
            <w:sz w:val="16"/>
            <w:szCs w:val="16"/>
            <w:lang w:val="es-ES"/>
          </w:rPr>
          <w:t>https://www.banrep.gov.co/es/estadisticas/trm</w:t>
        </w:r>
      </w:hyperlink>
      <w:r w:rsidR="001A5FEE">
        <w:rPr>
          <w:rFonts w:asciiTheme="majorHAnsi" w:hAnsiTheme="majorHAnsi"/>
          <w:sz w:val="16"/>
          <w:szCs w:val="16"/>
          <w:lang w:val="es-ES"/>
        </w:rPr>
        <w:t>).</w:t>
      </w:r>
    </w:p>
  </w:footnote>
  <w:footnote w:id="9">
    <w:p w14:paraId="30934A92" w14:textId="77777777" w:rsidR="00291B41" w:rsidRPr="00BB66C8" w:rsidRDefault="00291B41" w:rsidP="00291B41">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BB66C8">
        <w:rPr>
          <w:rFonts w:asciiTheme="majorHAnsi" w:hAnsiTheme="majorHAnsi"/>
          <w:sz w:val="16"/>
          <w:szCs w:val="16"/>
          <w:lang w:val="es-ES"/>
        </w:rPr>
        <w:t xml:space="preserve"> Idem.</w:t>
      </w:r>
    </w:p>
  </w:footnote>
  <w:footnote w:id="10">
    <w:p w14:paraId="30774F34" w14:textId="29E6017E" w:rsidR="0037725C" w:rsidRPr="001A5FEE" w:rsidRDefault="0037725C" w:rsidP="0037725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1A5FEE">
        <w:rPr>
          <w:rFonts w:asciiTheme="majorHAnsi" w:hAnsiTheme="majorHAnsi"/>
          <w:sz w:val="16"/>
          <w:szCs w:val="16"/>
          <w:lang w:val="es-ES"/>
        </w:rPr>
        <w:t xml:space="preserve"> </w:t>
      </w:r>
      <w:r w:rsidR="001A5FEE">
        <w:rPr>
          <w:rFonts w:asciiTheme="majorHAnsi" w:hAnsiTheme="majorHAnsi"/>
          <w:sz w:val="16"/>
          <w:szCs w:val="16"/>
          <w:lang w:val="es-ES"/>
        </w:rPr>
        <w:t>Idem.</w:t>
      </w:r>
    </w:p>
  </w:footnote>
  <w:footnote w:id="11">
    <w:p w14:paraId="493D0A57" w14:textId="77777777" w:rsidR="00BD4655" w:rsidRPr="00BB66C8" w:rsidRDefault="00BD4655" w:rsidP="00BD4655">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BB66C8">
        <w:rPr>
          <w:rFonts w:asciiTheme="majorHAnsi" w:hAnsiTheme="majorHAnsi"/>
          <w:sz w:val="16"/>
          <w:szCs w:val="16"/>
          <w:lang w:val="es-ES"/>
        </w:rPr>
        <w:t xml:space="preserve"> Idem.</w:t>
      </w:r>
    </w:p>
  </w:footnote>
  <w:footnote w:id="12">
    <w:p w14:paraId="7DD68EA2" w14:textId="5C60F0DB" w:rsidR="0037725C" w:rsidRPr="00BB66C8" w:rsidRDefault="0037725C" w:rsidP="0037725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BB66C8">
        <w:rPr>
          <w:rFonts w:asciiTheme="majorHAnsi" w:hAnsiTheme="majorHAnsi"/>
          <w:sz w:val="16"/>
          <w:szCs w:val="16"/>
          <w:lang w:val="es-ES"/>
        </w:rPr>
        <w:t xml:space="preserve"> </w:t>
      </w:r>
      <w:r w:rsidR="00BB66C8" w:rsidRPr="001A5FEE">
        <w:rPr>
          <w:rFonts w:asciiTheme="majorHAnsi" w:hAnsiTheme="majorHAnsi"/>
          <w:sz w:val="16"/>
          <w:szCs w:val="16"/>
          <w:lang w:val="es-ES"/>
        </w:rPr>
        <w:t>A la fecha</w:t>
      </w:r>
      <w:r w:rsidR="00BB66C8">
        <w:rPr>
          <w:rFonts w:asciiTheme="majorHAnsi" w:hAnsiTheme="majorHAnsi"/>
          <w:sz w:val="16"/>
          <w:szCs w:val="16"/>
          <w:lang w:val="es-ES"/>
        </w:rPr>
        <w:t xml:space="preserve"> de la sentencia</w:t>
      </w:r>
      <w:r w:rsidR="00BB66C8" w:rsidRPr="001A5FEE">
        <w:rPr>
          <w:rFonts w:asciiTheme="majorHAnsi" w:hAnsiTheme="majorHAnsi"/>
          <w:sz w:val="16"/>
          <w:szCs w:val="16"/>
          <w:lang w:val="es-ES"/>
        </w:rPr>
        <w:t>, según i</w:t>
      </w:r>
      <w:r w:rsidR="00BB66C8">
        <w:rPr>
          <w:rFonts w:asciiTheme="majorHAnsi" w:hAnsiTheme="majorHAnsi"/>
          <w:sz w:val="16"/>
          <w:szCs w:val="16"/>
          <w:lang w:val="es-ES"/>
        </w:rPr>
        <w:t xml:space="preserve">nformación pública, el salario mínimo mensual legal era equivalente a </w:t>
      </w:r>
      <w:r w:rsidR="00BB66C8" w:rsidRPr="001A5FEE">
        <w:rPr>
          <w:rFonts w:asciiTheme="majorHAnsi" w:hAnsiTheme="majorHAnsi"/>
          <w:sz w:val="16"/>
          <w:szCs w:val="16"/>
          <w:lang w:val="es-ES"/>
        </w:rPr>
        <w:t>589</w:t>
      </w:r>
      <w:r w:rsidR="00BB66C8">
        <w:rPr>
          <w:rFonts w:asciiTheme="majorHAnsi" w:hAnsiTheme="majorHAnsi"/>
          <w:sz w:val="16"/>
          <w:szCs w:val="16"/>
          <w:lang w:val="es-ES"/>
        </w:rPr>
        <w:t>,</w:t>
      </w:r>
      <w:r w:rsidR="00BB66C8" w:rsidRPr="001A5FEE">
        <w:rPr>
          <w:rFonts w:asciiTheme="majorHAnsi" w:hAnsiTheme="majorHAnsi"/>
          <w:sz w:val="16"/>
          <w:szCs w:val="16"/>
          <w:lang w:val="es-ES"/>
        </w:rPr>
        <w:t>500.00</w:t>
      </w:r>
      <w:r w:rsidR="00BB66C8">
        <w:rPr>
          <w:rFonts w:asciiTheme="majorHAnsi" w:hAnsiTheme="majorHAnsi"/>
          <w:sz w:val="16"/>
          <w:szCs w:val="16"/>
          <w:lang w:val="es-ES"/>
        </w:rPr>
        <w:t xml:space="preserve"> pesos colombianos (</w:t>
      </w:r>
      <w:hyperlink r:id="rId3" w:history="1">
        <w:r w:rsidR="00BB66C8" w:rsidRPr="009C10E5">
          <w:rPr>
            <w:rStyle w:val="Hyperlink"/>
            <w:rFonts w:asciiTheme="majorHAnsi" w:hAnsiTheme="majorHAnsi"/>
            <w:sz w:val="16"/>
            <w:szCs w:val="16"/>
            <w:lang w:val="es-ES"/>
          </w:rPr>
          <w:t>https://www.funcionpublica.gov.co/eva/gestornormativo/norma.php?i=51035</w:t>
        </w:r>
      </w:hyperlink>
      <w:r w:rsidR="00BB66C8">
        <w:rPr>
          <w:rFonts w:asciiTheme="majorHAnsi" w:hAnsiTheme="majorHAnsi"/>
          <w:sz w:val="16"/>
          <w:szCs w:val="16"/>
          <w:lang w:val="es-ES"/>
        </w:rPr>
        <w:t xml:space="preserve">). A su vez, el dólar estadunidense equivalía a </w:t>
      </w:r>
      <w:r w:rsidR="00BB66C8" w:rsidRPr="00BB66C8">
        <w:rPr>
          <w:rFonts w:asciiTheme="majorHAnsi" w:hAnsiTheme="majorHAnsi"/>
          <w:sz w:val="16"/>
          <w:szCs w:val="16"/>
          <w:lang w:val="es-ES"/>
        </w:rPr>
        <w:t>1</w:t>
      </w:r>
      <w:r w:rsidR="00BB66C8">
        <w:rPr>
          <w:rFonts w:asciiTheme="majorHAnsi" w:hAnsiTheme="majorHAnsi"/>
          <w:sz w:val="16"/>
          <w:szCs w:val="16"/>
          <w:lang w:val="es-ES"/>
        </w:rPr>
        <w:t>,</w:t>
      </w:r>
      <w:r w:rsidR="00BB66C8" w:rsidRPr="00BB66C8">
        <w:rPr>
          <w:rFonts w:asciiTheme="majorHAnsi" w:hAnsiTheme="majorHAnsi"/>
          <w:sz w:val="16"/>
          <w:szCs w:val="16"/>
          <w:lang w:val="es-ES"/>
        </w:rPr>
        <w:t>934</w:t>
      </w:r>
      <w:r w:rsidR="00BB66C8">
        <w:rPr>
          <w:rFonts w:asciiTheme="majorHAnsi" w:hAnsiTheme="majorHAnsi"/>
          <w:sz w:val="16"/>
          <w:szCs w:val="16"/>
          <w:lang w:val="es-ES"/>
        </w:rPr>
        <w:t>.</w:t>
      </w:r>
      <w:r w:rsidR="00BB66C8" w:rsidRPr="00BB66C8">
        <w:rPr>
          <w:rFonts w:asciiTheme="majorHAnsi" w:hAnsiTheme="majorHAnsi"/>
          <w:sz w:val="16"/>
          <w:szCs w:val="16"/>
          <w:lang w:val="es-ES"/>
        </w:rPr>
        <w:t>16</w:t>
      </w:r>
      <w:r w:rsidR="00BB66C8">
        <w:rPr>
          <w:rFonts w:asciiTheme="majorHAnsi" w:hAnsiTheme="majorHAnsi"/>
          <w:sz w:val="16"/>
          <w:szCs w:val="16"/>
          <w:lang w:val="es-ES"/>
        </w:rPr>
        <w:t xml:space="preserve"> pesos colombianos (</w:t>
      </w:r>
      <w:hyperlink r:id="rId4" w:history="1">
        <w:r w:rsidR="00BB66C8" w:rsidRPr="009C10E5">
          <w:rPr>
            <w:rStyle w:val="Hyperlink"/>
            <w:rFonts w:asciiTheme="majorHAnsi" w:hAnsiTheme="majorHAnsi"/>
            <w:sz w:val="16"/>
            <w:szCs w:val="16"/>
            <w:lang w:val="es-ES"/>
          </w:rPr>
          <w:t>https://www.banrep.gov.co/es/estadisticas/trm</w:t>
        </w:r>
      </w:hyperlink>
      <w:r w:rsidR="00BB66C8">
        <w:rPr>
          <w:rFonts w:asciiTheme="majorHAnsi" w:hAnsiTheme="majorHAnsi"/>
          <w:sz w:val="16"/>
          <w:szCs w:val="16"/>
          <w:lang w:val="es-ES"/>
        </w:rPr>
        <w:t>).</w:t>
      </w:r>
    </w:p>
  </w:footnote>
  <w:footnote w:id="13">
    <w:p w14:paraId="7D7DD764" w14:textId="634B8AE2" w:rsidR="0037725C" w:rsidRPr="003D337C" w:rsidRDefault="0037725C" w:rsidP="0037725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001112E6">
        <w:rPr>
          <w:rFonts w:asciiTheme="majorHAnsi" w:hAnsiTheme="majorHAnsi"/>
          <w:sz w:val="16"/>
          <w:szCs w:val="16"/>
          <w:lang w:val="es-ES"/>
        </w:rPr>
        <w:t xml:space="preserve"> </w:t>
      </w:r>
      <w:r w:rsidR="001112E6" w:rsidRPr="00BB66C8">
        <w:rPr>
          <w:rFonts w:asciiTheme="majorHAnsi" w:hAnsiTheme="majorHAnsi"/>
          <w:sz w:val="16"/>
          <w:szCs w:val="16"/>
          <w:lang w:val="es-ES"/>
        </w:rPr>
        <w:t>Idem.</w:t>
      </w:r>
    </w:p>
  </w:footnote>
  <w:footnote w:id="14">
    <w:p w14:paraId="145E610A" w14:textId="3EFA5484" w:rsidR="00057379" w:rsidRPr="003D337C" w:rsidRDefault="00057379" w:rsidP="00057379">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3D337C">
        <w:rPr>
          <w:rFonts w:asciiTheme="majorHAnsi" w:hAnsiTheme="majorHAnsi"/>
          <w:sz w:val="16"/>
          <w:szCs w:val="16"/>
          <w:lang w:val="es-ES"/>
        </w:rPr>
        <w:t xml:space="preserve"> </w:t>
      </w:r>
      <w:r w:rsidR="001112E6" w:rsidRPr="00BB66C8">
        <w:rPr>
          <w:rFonts w:asciiTheme="majorHAnsi" w:hAnsiTheme="majorHAnsi"/>
          <w:sz w:val="16"/>
          <w:szCs w:val="16"/>
          <w:lang w:val="es-ES"/>
        </w:rPr>
        <w:t>Idem.</w:t>
      </w:r>
    </w:p>
  </w:footnote>
  <w:footnote w:id="15">
    <w:p w14:paraId="6C8799F4" w14:textId="5697F030" w:rsidR="0037725C" w:rsidRPr="00CD443B" w:rsidRDefault="0037725C" w:rsidP="0037725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CD443B">
        <w:rPr>
          <w:rFonts w:asciiTheme="majorHAnsi" w:hAnsiTheme="majorHAnsi"/>
          <w:sz w:val="16"/>
          <w:szCs w:val="16"/>
          <w:lang w:val="es-ES"/>
        </w:rPr>
        <w:t xml:space="preserve"> </w:t>
      </w:r>
      <w:r w:rsidR="00CD443B" w:rsidRPr="001A5FEE">
        <w:rPr>
          <w:rFonts w:asciiTheme="majorHAnsi" w:hAnsiTheme="majorHAnsi"/>
          <w:sz w:val="16"/>
          <w:szCs w:val="16"/>
          <w:lang w:val="es-ES"/>
        </w:rPr>
        <w:t>A la fecha</w:t>
      </w:r>
      <w:r w:rsidR="00CD443B">
        <w:rPr>
          <w:rFonts w:asciiTheme="majorHAnsi" w:hAnsiTheme="majorHAnsi"/>
          <w:sz w:val="16"/>
          <w:szCs w:val="16"/>
          <w:lang w:val="es-ES"/>
        </w:rPr>
        <w:t xml:space="preserve"> de la sentencia</w:t>
      </w:r>
      <w:r w:rsidR="00CD443B" w:rsidRPr="001A5FEE">
        <w:rPr>
          <w:rFonts w:asciiTheme="majorHAnsi" w:hAnsiTheme="majorHAnsi"/>
          <w:sz w:val="16"/>
          <w:szCs w:val="16"/>
          <w:lang w:val="es-ES"/>
        </w:rPr>
        <w:t>, según i</w:t>
      </w:r>
      <w:r w:rsidR="00CD443B">
        <w:rPr>
          <w:rFonts w:asciiTheme="majorHAnsi" w:hAnsiTheme="majorHAnsi"/>
          <w:sz w:val="16"/>
          <w:szCs w:val="16"/>
          <w:lang w:val="es-ES"/>
        </w:rPr>
        <w:t xml:space="preserve">nformación pública, el salario mínimo mensual legal era equivalente a </w:t>
      </w:r>
      <w:r w:rsidR="00CD443B" w:rsidRPr="00CD443B">
        <w:rPr>
          <w:rFonts w:asciiTheme="majorHAnsi" w:hAnsiTheme="majorHAnsi"/>
          <w:sz w:val="16"/>
          <w:szCs w:val="16"/>
          <w:lang w:val="es-ES"/>
        </w:rPr>
        <w:t>535</w:t>
      </w:r>
      <w:r w:rsidR="00CD443B">
        <w:rPr>
          <w:rFonts w:asciiTheme="majorHAnsi" w:hAnsiTheme="majorHAnsi"/>
          <w:sz w:val="16"/>
          <w:szCs w:val="16"/>
          <w:lang w:val="es-ES"/>
        </w:rPr>
        <w:t>,</w:t>
      </w:r>
      <w:r w:rsidR="00CD443B" w:rsidRPr="00CD443B">
        <w:rPr>
          <w:rFonts w:asciiTheme="majorHAnsi" w:hAnsiTheme="majorHAnsi"/>
          <w:sz w:val="16"/>
          <w:szCs w:val="16"/>
          <w:lang w:val="es-ES"/>
        </w:rPr>
        <w:t>600</w:t>
      </w:r>
      <w:r w:rsidR="00CD443B">
        <w:rPr>
          <w:rFonts w:asciiTheme="majorHAnsi" w:hAnsiTheme="majorHAnsi"/>
          <w:sz w:val="16"/>
          <w:szCs w:val="16"/>
          <w:lang w:val="es-ES"/>
        </w:rPr>
        <w:t>.</w:t>
      </w:r>
      <w:r w:rsidR="00CD443B" w:rsidRPr="00CD443B">
        <w:rPr>
          <w:rFonts w:asciiTheme="majorHAnsi" w:hAnsiTheme="majorHAnsi"/>
          <w:sz w:val="16"/>
          <w:szCs w:val="16"/>
          <w:lang w:val="es-ES"/>
        </w:rPr>
        <w:t>00</w:t>
      </w:r>
      <w:r w:rsidR="00CD443B">
        <w:rPr>
          <w:rFonts w:asciiTheme="majorHAnsi" w:hAnsiTheme="majorHAnsi"/>
          <w:sz w:val="16"/>
          <w:szCs w:val="16"/>
          <w:lang w:val="es-ES"/>
        </w:rPr>
        <w:t xml:space="preserve"> pesos colombianos (</w:t>
      </w:r>
      <w:hyperlink r:id="rId5" w:anchor="1" w:history="1">
        <w:r w:rsidR="00DC7950" w:rsidRPr="009C10E5">
          <w:rPr>
            <w:rStyle w:val="Hyperlink"/>
            <w:rFonts w:asciiTheme="majorHAnsi" w:hAnsiTheme="majorHAnsi"/>
            <w:sz w:val="16"/>
            <w:szCs w:val="16"/>
            <w:lang w:val="es-ES"/>
          </w:rPr>
          <w:t>https://www.funcionpublica.gov.co/eva/gestornormativo/norma.php?i=41276#1</w:t>
        </w:r>
      </w:hyperlink>
      <w:r w:rsidR="00CD443B">
        <w:rPr>
          <w:rFonts w:asciiTheme="majorHAnsi" w:hAnsiTheme="majorHAnsi"/>
          <w:sz w:val="16"/>
          <w:szCs w:val="16"/>
          <w:lang w:val="es-ES"/>
        </w:rPr>
        <w:t xml:space="preserve">). A su vez, el dólar estadunidense equivalía a </w:t>
      </w:r>
      <w:r w:rsidR="00CD443B" w:rsidRPr="00BB66C8">
        <w:rPr>
          <w:rFonts w:asciiTheme="majorHAnsi" w:hAnsiTheme="majorHAnsi"/>
          <w:sz w:val="16"/>
          <w:szCs w:val="16"/>
          <w:lang w:val="es-ES"/>
        </w:rPr>
        <w:t>1</w:t>
      </w:r>
      <w:r w:rsidR="00CD443B">
        <w:rPr>
          <w:rFonts w:asciiTheme="majorHAnsi" w:hAnsiTheme="majorHAnsi"/>
          <w:sz w:val="16"/>
          <w:szCs w:val="16"/>
          <w:lang w:val="es-ES"/>
        </w:rPr>
        <w:t>,774.24 pesos colombianos (</w:t>
      </w:r>
      <w:hyperlink r:id="rId6" w:history="1">
        <w:r w:rsidR="00CD443B" w:rsidRPr="009C10E5">
          <w:rPr>
            <w:rStyle w:val="Hyperlink"/>
            <w:rFonts w:asciiTheme="majorHAnsi" w:hAnsiTheme="majorHAnsi"/>
            <w:sz w:val="16"/>
            <w:szCs w:val="16"/>
            <w:lang w:val="es-ES"/>
          </w:rPr>
          <w:t>https://www.banrep.gov.co/es/estadisticas/trm</w:t>
        </w:r>
      </w:hyperlink>
      <w:r w:rsidR="00CD443B">
        <w:rPr>
          <w:rFonts w:asciiTheme="majorHAnsi" w:hAnsiTheme="majorHAnsi"/>
          <w:sz w:val="16"/>
          <w:szCs w:val="16"/>
          <w:lang w:val="es-ES"/>
        </w:rPr>
        <w:t>).</w:t>
      </w:r>
    </w:p>
  </w:footnote>
  <w:footnote w:id="16">
    <w:p w14:paraId="292A0733" w14:textId="5B5D4EDE" w:rsidR="0037725C" w:rsidRPr="001A5FEE" w:rsidRDefault="0037725C" w:rsidP="0037725C">
      <w:pPr>
        <w:pStyle w:val="FootnoteText"/>
        <w:ind w:firstLine="720"/>
        <w:jc w:val="both"/>
        <w:rPr>
          <w:rFonts w:asciiTheme="majorHAnsi" w:hAnsiTheme="majorHAnsi"/>
          <w:sz w:val="16"/>
          <w:szCs w:val="16"/>
          <w:lang w:val="pt-BR"/>
        </w:rPr>
      </w:pPr>
      <w:r w:rsidRPr="00982364">
        <w:rPr>
          <w:rStyle w:val="FootnoteReference"/>
          <w:rFonts w:asciiTheme="majorHAnsi" w:hAnsiTheme="majorHAnsi"/>
          <w:sz w:val="16"/>
          <w:szCs w:val="16"/>
        </w:rPr>
        <w:footnoteRef/>
      </w:r>
      <w:r w:rsidRPr="001A5FEE">
        <w:rPr>
          <w:rFonts w:asciiTheme="majorHAnsi" w:hAnsiTheme="majorHAnsi"/>
          <w:sz w:val="16"/>
          <w:szCs w:val="16"/>
          <w:lang w:val="pt-BR"/>
        </w:rPr>
        <w:t xml:space="preserve"> </w:t>
      </w:r>
      <w:r w:rsidR="00CD443B">
        <w:rPr>
          <w:rFonts w:asciiTheme="majorHAnsi" w:hAnsiTheme="majorHAnsi"/>
          <w:sz w:val="16"/>
          <w:szCs w:val="16"/>
          <w:lang w:val="pt-BR"/>
        </w:rPr>
        <w:t>Idem.</w:t>
      </w:r>
    </w:p>
  </w:footnote>
  <w:footnote w:id="17">
    <w:p w14:paraId="5C120274" w14:textId="70A7B87D" w:rsidR="006A2CE3" w:rsidRPr="00982364" w:rsidRDefault="006A2CE3" w:rsidP="006A2CE3">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3D337C">
        <w:rPr>
          <w:rFonts w:asciiTheme="majorHAnsi" w:hAnsiTheme="majorHAnsi"/>
          <w:sz w:val="16"/>
          <w:szCs w:val="16"/>
          <w:lang w:val="pt-BR"/>
        </w:rPr>
        <w:t xml:space="preserve"> CIDH, Informe No. 13/22. Petición 1332-11. </w:t>
      </w:r>
      <w:r w:rsidRPr="006A2CE3">
        <w:rPr>
          <w:rFonts w:asciiTheme="majorHAnsi" w:hAnsiTheme="majorHAnsi"/>
          <w:sz w:val="16"/>
          <w:szCs w:val="16"/>
          <w:lang w:val="es-ES"/>
        </w:rPr>
        <w:t xml:space="preserve">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6A2CE3">
        <w:rPr>
          <w:rFonts w:asciiTheme="majorHAnsi" w:hAnsiTheme="majorHAnsi"/>
          <w:sz w:val="16"/>
          <w:szCs w:val="16"/>
          <w:lang w:val="es-ES"/>
        </w:rPr>
        <w:t xml:space="preserve">CIDH, Informe No. 72/18, Petición 1131-08. Admisibilidad. Moisés de Jesús Hernández Pinto y familia. Guatemala.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Pr>
          <w:rFonts w:asciiTheme="majorHAnsi" w:hAnsiTheme="majorHAnsi"/>
          <w:sz w:val="16"/>
          <w:szCs w:val="16"/>
          <w:lang w:val="es-ES"/>
        </w:rPr>
        <w:t>;</w:t>
      </w:r>
      <w:r w:rsidRPr="006A2CE3">
        <w:rPr>
          <w:rFonts w:asciiTheme="majorHAnsi" w:hAnsiTheme="majorHAnsi"/>
          <w:sz w:val="16"/>
          <w:szCs w:val="16"/>
          <w:lang w:val="es-ES"/>
        </w:rPr>
        <w:t xml:space="preserve"> CIDH, Informe Nº 70/14. Petición 1453-06. Admisibilidad. </w:t>
      </w:r>
      <w:r w:rsidRPr="00B9716F">
        <w:rPr>
          <w:rFonts w:asciiTheme="majorHAnsi" w:hAnsiTheme="majorHAnsi"/>
          <w:sz w:val="16"/>
          <w:szCs w:val="16"/>
          <w:lang w:val="es-ES"/>
        </w:rPr>
        <w:t xml:space="preserve">Maicon de Souza Silva. Renato da Silva Paixão y otros. </w:t>
      </w:r>
      <w:r w:rsidRPr="006A2CE3">
        <w:rPr>
          <w:rFonts w:asciiTheme="majorHAnsi" w:hAnsiTheme="majorHAnsi"/>
          <w:sz w:val="16"/>
          <w:szCs w:val="16"/>
          <w:lang w:val="es-ES"/>
        </w:rPr>
        <w:t xml:space="preserve">25 de julio de 2014,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18; Informe No. 3/12, Petición 12.224, Admisibilidad, Santiago Antezana Cueto y otros, Perú, 27 de enero de 2012,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24; Informe No. 124/17, Petición 21-08, Admisibilidad, Fernanda López Medina y otros, Perú, 7 de septiembre de 2017, </w:t>
      </w:r>
      <w:r w:rsidRPr="00982364">
        <w:rPr>
          <w:rFonts w:asciiTheme="majorHAnsi" w:hAnsiTheme="majorHAnsi"/>
          <w:sz w:val="16"/>
          <w:szCs w:val="16"/>
          <w:lang w:val="es-ES"/>
        </w:rPr>
        <w:t>párrafo</w:t>
      </w:r>
      <w:r>
        <w:rPr>
          <w:rFonts w:asciiTheme="majorHAnsi" w:hAnsiTheme="majorHAnsi"/>
          <w:sz w:val="16"/>
          <w:szCs w:val="16"/>
          <w:lang w:val="es-ES"/>
        </w:rPr>
        <w:t>s</w:t>
      </w:r>
      <w:r w:rsidRPr="006A2CE3">
        <w:rPr>
          <w:rFonts w:asciiTheme="majorHAnsi" w:hAnsiTheme="majorHAnsi"/>
          <w:sz w:val="16"/>
          <w:szCs w:val="16"/>
          <w:lang w:val="es-ES"/>
        </w:rPr>
        <w:t xml:space="preserve"> 3, 9-11.</w:t>
      </w:r>
    </w:p>
  </w:footnote>
  <w:footnote w:id="18">
    <w:p w14:paraId="09CDCE09" w14:textId="7F2023CC" w:rsidR="00274B08" w:rsidRPr="00982364" w:rsidRDefault="00274B08" w:rsidP="00274B08">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 xml:space="preserve">CIDH, Informe No. 13/22. Petición 1332-11. 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274B08">
        <w:rPr>
          <w:rFonts w:asciiTheme="majorHAnsi" w:hAnsiTheme="majorHAnsi"/>
          <w:sz w:val="16"/>
          <w:szCs w:val="16"/>
          <w:lang w:val="es-ES"/>
        </w:rPr>
        <w:t xml:space="preserve">CIDH, Informe No. 159/17, Petición 712-08. Admisibilidad. Sebastián Larroza Velázquez y familia. </w:t>
      </w:r>
      <w:r w:rsidRPr="00B9716F">
        <w:rPr>
          <w:rFonts w:asciiTheme="majorHAnsi" w:hAnsiTheme="majorHAnsi"/>
          <w:sz w:val="16"/>
          <w:szCs w:val="16"/>
          <w:lang w:val="es-ES"/>
        </w:rPr>
        <w:t>Paraguay. 30 de noviembre de 2017, párrafo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D83983"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788C"/>
    <w:rsid w:val="00030ED7"/>
    <w:rsid w:val="00032246"/>
    <w:rsid w:val="000336E7"/>
    <w:rsid w:val="000337EF"/>
    <w:rsid w:val="00040C3A"/>
    <w:rsid w:val="000419AD"/>
    <w:rsid w:val="000433C9"/>
    <w:rsid w:val="000444E7"/>
    <w:rsid w:val="0004514E"/>
    <w:rsid w:val="000472C6"/>
    <w:rsid w:val="00057379"/>
    <w:rsid w:val="00062E15"/>
    <w:rsid w:val="000630CE"/>
    <w:rsid w:val="00066C33"/>
    <w:rsid w:val="00071174"/>
    <w:rsid w:val="000716C5"/>
    <w:rsid w:val="00075E23"/>
    <w:rsid w:val="000769B9"/>
    <w:rsid w:val="00091A11"/>
    <w:rsid w:val="00092479"/>
    <w:rsid w:val="0009344A"/>
    <w:rsid w:val="00094203"/>
    <w:rsid w:val="000970F4"/>
    <w:rsid w:val="000A16D0"/>
    <w:rsid w:val="000A392E"/>
    <w:rsid w:val="000A575F"/>
    <w:rsid w:val="000B66F4"/>
    <w:rsid w:val="000B7730"/>
    <w:rsid w:val="000D05CB"/>
    <w:rsid w:val="000D10DB"/>
    <w:rsid w:val="000D5CBC"/>
    <w:rsid w:val="000E361A"/>
    <w:rsid w:val="000E5EB5"/>
    <w:rsid w:val="000E73F0"/>
    <w:rsid w:val="000F35ED"/>
    <w:rsid w:val="00100CDB"/>
    <w:rsid w:val="0010550C"/>
    <w:rsid w:val="00107131"/>
    <w:rsid w:val="0010736F"/>
    <w:rsid w:val="0011075B"/>
    <w:rsid w:val="001112E6"/>
    <w:rsid w:val="00113F73"/>
    <w:rsid w:val="0011794D"/>
    <w:rsid w:val="00121CC2"/>
    <w:rsid w:val="00131425"/>
    <w:rsid w:val="00133EE5"/>
    <w:rsid w:val="00147696"/>
    <w:rsid w:val="00164460"/>
    <w:rsid w:val="00165562"/>
    <w:rsid w:val="00165CC7"/>
    <w:rsid w:val="00167A34"/>
    <w:rsid w:val="00172C07"/>
    <w:rsid w:val="0017734D"/>
    <w:rsid w:val="00192BE2"/>
    <w:rsid w:val="001A520D"/>
    <w:rsid w:val="001A5FEE"/>
    <w:rsid w:val="001A7870"/>
    <w:rsid w:val="001A7CC7"/>
    <w:rsid w:val="001A7D7B"/>
    <w:rsid w:val="001B3A00"/>
    <w:rsid w:val="001B3E22"/>
    <w:rsid w:val="001C1B41"/>
    <w:rsid w:val="001D21C7"/>
    <w:rsid w:val="001D2F0F"/>
    <w:rsid w:val="001D65EF"/>
    <w:rsid w:val="001E15E7"/>
    <w:rsid w:val="001E49E7"/>
    <w:rsid w:val="001F44BF"/>
    <w:rsid w:val="001F7201"/>
    <w:rsid w:val="00221AD9"/>
    <w:rsid w:val="00223A29"/>
    <w:rsid w:val="002249E7"/>
    <w:rsid w:val="002250A3"/>
    <w:rsid w:val="0022545A"/>
    <w:rsid w:val="002261E0"/>
    <w:rsid w:val="00234F71"/>
    <w:rsid w:val="00235217"/>
    <w:rsid w:val="00237C68"/>
    <w:rsid w:val="00246D1F"/>
    <w:rsid w:val="002470A6"/>
    <w:rsid w:val="00247403"/>
    <w:rsid w:val="00247542"/>
    <w:rsid w:val="00253A4F"/>
    <w:rsid w:val="00260F27"/>
    <w:rsid w:val="0026174C"/>
    <w:rsid w:val="00266B61"/>
    <w:rsid w:val="0026712A"/>
    <w:rsid w:val="002678E1"/>
    <w:rsid w:val="002704DB"/>
    <w:rsid w:val="00274B08"/>
    <w:rsid w:val="00280B37"/>
    <w:rsid w:val="00284E46"/>
    <w:rsid w:val="002878D8"/>
    <w:rsid w:val="00291B41"/>
    <w:rsid w:val="002A0AAE"/>
    <w:rsid w:val="002A5820"/>
    <w:rsid w:val="002A6870"/>
    <w:rsid w:val="002B1533"/>
    <w:rsid w:val="002B15B4"/>
    <w:rsid w:val="002C533A"/>
    <w:rsid w:val="002D2B26"/>
    <w:rsid w:val="002D7EA2"/>
    <w:rsid w:val="002E187C"/>
    <w:rsid w:val="002E39F7"/>
    <w:rsid w:val="002E5103"/>
    <w:rsid w:val="002F3F8C"/>
    <w:rsid w:val="002F5D52"/>
    <w:rsid w:val="00302733"/>
    <w:rsid w:val="003040AB"/>
    <w:rsid w:val="00304171"/>
    <w:rsid w:val="00305835"/>
    <w:rsid w:val="00306F33"/>
    <w:rsid w:val="00314078"/>
    <w:rsid w:val="0031535D"/>
    <w:rsid w:val="003239B8"/>
    <w:rsid w:val="003261F0"/>
    <w:rsid w:val="0033169F"/>
    <w:rsid w:val="00334BF5"/>
    <w:rsid w:val="00337472"/>
    <w:rsid w:val="00344977"/>
    <w:rsid w:val="003459D0"/>
    <w:rsid w:val="00346C95"/>
    <w:rsid w:val="003523F5"/>
    <w:rsid w:val="00356185"/>
    <w:rsid w:val="00357269"/>
    <w:rsid w:val="00360380"/>
    <w:rsid w:val="00363074"/>
    <w:rsid w:val="003744E8"/>
    <w:rsid w:val="0037519E"/>
    <w:rsid w:val="0037725C"/>
    <w:rsid w:val="00380295"/>
    <w:rsid w:val="00386CF0"/>
    <w:rsid w:val="0039052A"/>
    <w:rsid w:val="003A4D4D"/>
    <w:rsid w:val="003B70FB"/>
    <w:rsid w:val="003B7105"/>
    <w:rsid w:val="003C0D9B"/>
    <w:rsid w:val="003C676B"/>
    <w:rsid w:val="003D31E7"/>
    <w:rsid w:val="003D337C"/>
    <w:rsid w:val="003D3BC2"/>
    <w:rsid w:val="003D67A9"/>
    <w:rsid w:val="003E51E9"/>
    <w:rsid w:val="003E6CA1"/>
    <w:rsid w:val="003F48E9"/>
    <w:rsid w:val="003F5154"/>
    <w:rsid w:val="00405F9C"/>
    <w:rsid w:val="004065A8"/>
    <w:rsid w:val="004165C2"/>
    <w:rsid w:val="00416A6D"/>
    <w:rsid w:val="004205D0"/>
    <w:rsid w:val="004241A0"/>
    <w:rsid w:val="00427B38"/>
    <w:rsid w:val="00441ECB"/>
    <w:rsid w:val="00445193"/>
    <w:rsid w:val="0045796E"/>
    <w:rsid w:val="00461C5E"/>
    <w:rsid w:val="00462C1B"/>
    <w:rsid w:val="004666EB"/>
    <w:rsid w:val="00467B7E"/>
    <w:rsid w:val="00473BB4"/>
    <w:rsid w:val="00477592"/>
    <w:rsid w:val="004803DE"/>
    <w:rsid w:val="00486F1C"/>
    <w:rsid w:val="0049419D"/>
    <w:rsid w:val="004A057B"/>
    <w:rsid w:val="004A6A54"/>
    <w:rsid w:val="004B2C41"/>
    <w:rsid w:val="004B421C"/>
    <w:rsid w:val="004B5553"/>
    <w:rsid w:val="004C20D2"/>
    <w:rsid w:val="004C2312"/>
    <w:rsid w:val="004C4B62"/>
    <w:rsid w:val="004C54C9"/>
    <w:rsid w:val="004D4ABA"/>
    <w:rsid w:val="004D6025"/>
    <w:rsid w:val="004E013A"/>
    <w:rsid w:val="004E2649"/>
    <w:rsid w:val="004F1840"/>
    <w:rsid w:val="004F1B17"/>
    <w:rsid w:val="004F626F"/>
    <w:rsid w:val="00501399"/>
    <w:rsid w:val="005040B1"/>
    <w:rsid w:val="005047ED"/>
    <w:rsid w:val="0050633D"/>
    <w:rsid w:val="00507BC4"/>
    <w:rsid w:val="005128E4"/>
    <w:rsid w:val="005133DB"/>
    <w:rsid w:val="00514504"/>
    <w:rsid w:val="00521E1F"/>
    <w:rsid w:val="00523B64"/>
    <w:rsid w:val="00525560"/>
    <w:rsid w:val="00535856"/>
    <w:rsid w:val="00535BE0"/>
    <w:rsid w:val="005403A2"/>
    <w:rsid w:val="00544C49"/>
    <w:rsid w:val="005458E4"/>
    <w:rsid w:val="005516A1"/>
    <w:rsid w:val="0055319A"/>
    <w:rsid w:val="005559EF"/>
    <w:rsid w:val="005627DD"/>
    <w:rsid w:val="00563557"/>
    <w:rsid w:val="0057402A"/>
    <w:rsid w:val="005771D0"/>
    <w:rsid w:val="0059191A"/>
    <w:rsid w:val="005921FF"/>
    <w:rsid w:val="005A24ED"/>
    <w:rsid w:val="005A6D0E"/>
    <w:rsid w:val="005B039F"/>
    <w:rsid w:val="005B2E0D"/>
    <w:rsid w:val="005B4630"/>
    <w:rsid w:val="005B52B0"/>
    <w:rsid w:val="005B6806"/>
    <w:rsid w:val="005C4225"/>
    <w:rsid w:val="005F0DAD"/>
    <w:rsid w:val="005F0F33"/>
    <w:rsid w:val="00600DEB"/>
    <w:rsid w:val="006051A0"/>
    <w:rsid w:val="006114A0"/>
    <w:rsid w:val="00626DE8"/>
    <w:rsid w:val="00627562"/>
    <w:rsid w:val="00627C9F"/>
    <w:rsid w:val="006311E9"/>
    <w:rsid w:val="00632354"/>
    <w:rsid w:val="00635421"/>
    <w:rsid w:val="00635B94"/>
    <w:rsid w:val="00637275"/>
    <w:rsid w:val="00642810"/>
    <w:rsid w:val="00652333"/>
    <w:rsid w:val="00652938"/>
    <w:rsid w:val="00660E83"/>
    <w:rsid w:val="00673C7E"/>
    <w:rsid w:val="00676B28"/>
    <w:rsid w:val="0068009E"/>
    <w:rsid w:val="00686178"/>
    <w:rsid w:val="00692219"/>
    <w:rsid w:val="00693EB9"/>
    <w:rsid w:val="006A17D2"/>
    <w:rsid w:val="006A2CE3"/>
    <w:rsid w:val="006A73E6"/>
    <w:rsid w:val="006B2D5C"/>
    <w:rsid w:val="006C0ECF"/>
    <w:rsid w:val="006C1C8C"/>
    <w:rsid w:val="006C4EB1"/>
    <w:rsid w:val="006E0166"/>
    <w:rsid w:val="006E2FFB"/>
    <w:rsid w:val="006E3BAD"/>
    <w:rsid w:val="006E7B34"/>
    <w:rsid w:val="00706596"/>
    <w:rsid w:val="0070697F"/>
    <w:rsid w:val="007103C4"/>
    <w:rsid w:val="0072199C"/>
    <w:rsid w:val="00722C9F"/>
    <w:rsid w:val="00723817"/>
    <w:rsid w:val="007253B8"/>
    <w:rsid w:val="0073487D"/>
    <w:rsid w:val="00737314"/>
    <w:rsid w:val="0073741F"/>
    <w:rsid w:val="00737ED2"/>
    <w:rsid w:val="00747819"/>
    <w:rsid w:val="00750BAB"/>
    <w:rsid w:val="0076643F"/>
    <w:rsid w:val="007752BE"/>
    <w:rsid w:val="00777F63"/>
    <w:rsid w:val="00785B6C"/>
    <w:rsid w:val="00793F1C"/>
    <w:rsid w:val="007A5817"/>
    <w:rsid w:val="007B05C4"/>
    <w:rsid w:val="007B44CC"/>
    <w:rsid w:val="007B60E9"/>
    <w:rsid w:val="007B6595"/>
    <w:rsid w:val="007B6CC3"/>
    <w:rsid w:val="007B76D3"/>
    <w:rsid w:val="007B79D5"/>
    <w:rsid w:val="007C3334"/>
    <w:rsid w:val="007C6179"/>
    <w:rsid w:val="007C6835"/>
    <w:rsid w:val="007D1789"/>
    <w:rsid w:val="007D2B98"/>
    <w:rsid w:val="007E21BC"/>
    <w:rsid w:val="007E64CF"/>
    <w:rsid w:val="007E6888"/>
    <w:rsid w:val="007E778E"/>
    <w:rsid w:val="007E7C82"/>
    <w:rsid w:val="007F2AA1"/>
    <w:rsid w:val="007F588D"/>
    <w:rsid w:val="00803F1C"/>
    <w:rsid w:val="0080600E"/>
    <w:rsid w:val="00814688"/>
    <w:rsid w:val="00817612"/>
    <w:rsid w:val="008338A4"/>
    <w:rsid w:val="00834D49"/>
    <w:rsid w:val="00837C45"/>
    <w:rsid w:val="00841CD0"/>
    <w:rsid w:val="0084236E"/>
    <w:rsid w:val="0084454F"/>
    <w:rsid w:val="00844730"/>
    <w:rsid w:val="008457C2"/>
    <w:rsid w:val="00847767"/>
    <w:rsid w:val="00857919"/>
    <w:rsid w:val="00857A82"/>
    <w:rsid w:val="00861490"/>
    <w:rsid w:val="00872CBE"/>
    <w:rsid w:val="00873836"/>
    <w:rsid w:val="008778B7"/>
    <w:rsid w:val="00885737"/>
    <w:rsid w:val="00890650"/>
    <w:rsid w:val="008944DC"/>
    <w:rsid w:val="00895F48"/>
    <w:rsid w:val="00897E12"/>
    <w:rsid w:val="008A7E0F"/>
    <w:rsid w:val="008B12F5"/>
    <w:rsid w:val="008C5E2D"/>
    <w:rsid w:val="008D768D"/>
    <w:rsid w:val="008E2546"/>
    <w:rsid w:val="008E3759"/>
    <w:rsid w:val="008E3BFE"/>
    <w:rsid w:val="008E605B"/>
    <w:rsid w:val="008E66C5"/>
    <w:rsid w:val="008F1912"/>
    <w:rsid w:val="0090270B"/>
    <w:rsid w:val="009041DC"/>
    <w:rsid w:val="00906AA1"/>
    <w:rsid w:val="00913A84"/>
    <w:rsid w:val="00917B5A"/>
    <w:rsid w:val="00920A58"/>
    <w:rsid w:val="00920A8C"/>
    <w:rsid w:val="009330B1"/>
    <w:rsid w:val="00934A2C"/>
    <w:rsid w:val="00955D72"/>
    <w:rsid w:val="00957C0E"/>
    <w:rsid w:val="0096706E"/>
    <w:rsid w:val="009674E4"/>
    <w:rsid w:val="00973A6E"/>
    <w:rsid w:val="00974312"/>
    <w:rsid w:val="00974491"/>
    <w:rsid w:val="00975C4E"/>
    <w:rsid w:val="009773CC"/>
    <w:rsid w:val="00981FBA"/>
    <w:rsid w:val="00982364"/>
    <w:rsid w:val="009840C7"/>
    <w:rsid w:val="00997BC5"/>
    <w:rsid w:val="009A4F41"/>
    <w:rsid w:val="009B0226"/>
    <w:rsid w:val="009B381B"/>
    <w:rsid w:val="009C009E"/>
    <w:rsid w:val="009D1753"/>
    <w:rsid w:val="009D2D7C"/>
    <w:rsid w:val="009D30CA"/>
    <w:rsid w:val="009D7611"/>
    <w:rsid w:val="009E0B61"/>
    <w:rsid w:val="009E53DE"/>
    <w:rsid w:val="009E7F46"/>
    <w:rsid w:val="009F74EF"/>
    <w:rsid w:val="00A004BB"/>
    <w:rsid w:val="00A04DF9"/>
    <w:rsid w:val="00A11212"/>
    <w:rsid w:val="00A11E44"/>
    <w:rsid w:val="00A1740A"/>
    <w:rsid w:val="00A21438"/>
    <w:rsid w:val="00A2648A"/>
    <w:rsid w:val="00A30100"/>
    <w:rsid w:val="00A328B3"/>
    <w:rsid w:val="00A34797"/>
    <w:rsid w:val="00A42CE5"/>
    <w:rsid w:val="00A50FCF"/>
    <w:rsid w:val="00A528D1"/>
    <w:rsid w:val="00A53688"/>
    <w:rsid w:val="00A610CD"/>
    <w:rsid w:val="00A63DCF"/>
    <w:rsid w:val="00A654BB"/>
    <w:rsid w:val="00A734DC"/>
    <w:rsid w:val="00A758AA"/>
    <w:rsid w:val="00A955F6"/>
    <w:rsid w:val="00A95FC1"/>
    <w:rsid w:val="00A96DAD"/>
    <w:rsid w:val="00AA09A2"/>
    <w:rsid w:val="00AA7996"/>
    <w:rsid w:val="00AB3141"/>
    <w:rsid w:val="00AC01A2"/>
    <w:rsid w:val="00AC19CB"/>
    <w:rsid w:val="00AE5488"/>
    <w:rsid w:val="00AE62FC"/>
    <w:rsid w:val="00AE6F91"/>
    <w:rsid w:val="00AF1AF9"/>
    <w:rsid w:val="00AF5571"/>
    <w:rsid w:val="00AF7199"/>
    <w:rsid w:val="00B0247A"/>
    <w:rsid w:val="00B050D2"/>
    <w:rsid w:val="00B06FF5"/>
    <w:rsid w:val="00B07341"/>
    <w:rsid w:val="00B12D92"/>
    <w:rsid w:val="00B30539"/>
    <w:rsid w:val="00B314DB"/>
    <w:rsid w:val="00B361F2"/>
    <w:rsid w:val="00B3718B"/>
    <w:rsid w:val="00B3745F"/>
    <w:rsid w:val="00B4632A"/>
    <w:rsid w:val="00B530F1"/>
    <w:rsid w:val="00B83158"/>
    <w:rsid w:val="00B8367C"/>
    <w:rsid w:val="00B8394D"/>
    <w:rsid w:val="00B909C7"/>
    <w:rsid w:val="00B93D7F"/>
    <w:rsid w:val="00B959FD"/>
    <w:rsid w:val="00B9716F"/>
    <w:rsid w:val="00BA2401"/>
    <w:rsid w:val="00BA276C"/>
    <w:rsid w:val="00BA27E4"/>
    <w:rsid w:val="00BB019D"/>
    <w:rsid w:val="00BB27F4"/>
    <w:rsid w:val="00BB306F"/>
    <w:rsid w:val="00BB66C8"/>
    <w:rsid w:val="00BB6B26"/>
    <w:rsid w:val="00BC31F2"/>
    <w:rsid w:val="00BD0FF5"/>
    <w:rsid w:val="00BD4655"/>
    <w:rsid w:val="00BD4B89"/>
    <w:rsid w:val="00BD5922"/>
    <w:rsid w:val="00BE2FF6"/>
    <w:rsid w:val="00BF02CB"/>
    <w:rsid w:val="00BF6FD8"/>
    <w:rsid w:val="00C03680"/>
    <w:rsid w:val="00C054DF"/>
    <w:rsid w:val="00C21762"/>
    <w:rsid w:val="00C21FEF"/>
    <w:rsid w:val="00C23BA4"/>
    <w:rsid w:val="00C24543"/>
    <w:rsid w:val="00C256A2"/>
    <w:rsid w:val="00C25ADB"/>
    <w:rsid w:val="00C3243D"/>
    <w:rsid w:val="00C51515"/>
    <w:rsid w:val="00C5660B"/>
    <w:rsid w:val="00C56831"/>
    <w:rsid w:val="00C64F8D"/>
    <w:rsid w:val="00C669D6"/>
    <w:rsid w:val="00C66B72"/>
    <w:rsid w:val="00C70619"/>
    <w:rsid w:val="00C720E8"/>
    <w:rsid w:val="00C721DB"/>
    <w:rsid w:val="00C76CAA"/>
    <w:rsid w:val="00C81094"/>
    <w:rsid w:val="00C813A3"/>
    <w:rsid w:val="00C866C7"/>
    <w:rsid w:val="00C87AC4"/>
    <w:rsid w:val="00C9124E"/>
    <w:rsid w:val="00C92925"/>
    <w:rsid w:val="00C9567A"/>
    <w:rsid w:val="00CB212D"/>
    <w:rsid w:val="00CB2660"/>
    <w:rsid w:val="00CB7424"/>
    <w:rsid w:val="00CC5E90"/>
    <w:rsid w:val="00CD046C"/>
    <w:rsid w:val="00CD443B"/>
    <w:rsid w:val="00CE076C"/>
    <w:rsid w:val="00CE0C66"/>
    <w:rsid w:val="00CE5199"/>
    <w:rsid w:val="00CE66D5"/>
    <w:rsid w:val="00CF637A"/>
    <w:rsid w:val="00CF759D"/>
    <w:rsid w:val="00D02C81"/>
    <w:rsid w:val="00D059DE"/>
    <w:rsid w:val="00D05ABD"/>
    <w:rsid w:val="00D13321"/>
    <w:rsid w:val="00D13FCE"/>
    <w:rsid w:val="00D27519"/>
    <w:rsid w:val="00D306D1"/>
    <w:rsid w:val="00D30800"/>
    <w:rsid w:val="00D34786"/>
    <w:rsid w:val="00D37BFC"/>
    <w:rsid w:val="00D440AC"/>
    <w:rsid w:val="00D471A2"/>
    <w:rsid w:val="00D47A8E"/>
    <w:rsid w:val="00D52D14"/>
    <w:rsid w:val="00D712D3"/>
    <w:rsid w:val="00D71422"/>
    <w:rsid w:val="00D72DC6"/>
    <w:rsid w:val="00D7558D"/>
    <w:rsid w:val="00D81D92"/>
    <w:rsid w:val="00D83983"/>
    <w:rsid w:val="00D8769D"/>
    <w:rsid w:val="00D876F9"/>
    <w:rsid w:val="00D92F63"/>
    <w:rsid w:val="00D9403D"/>
    <w:rsid w:val="00DA2A42"/>
    <w:rsid w:val="00DA647E"/>
    <w:rsid w:val="00DA7B5F"/>
    <w:rsid w:val="00DB2530"/>
    <w:rsid w:val="00DB27E3"/>
    <w:rsid w:val="00DC11E7"/>
    <w:rsid w:val="00DC24E3"/>
    <w:rsid w:val="00DC7023"/>
    <w:rsid w:val="00DC769A"/>
    <w:rsid w:val="00DC7950"/>
    <w:rsid w:val="00DD227E"/>
    <w:rsid w:val="00DD3D86"/>
    <w:rsid w:val="00DD4AD2"/>
    <w:rsid w:val="00DE0A58"/>
    <w:rsid w:val="00DE10D7"/>
    <w:rsid w:val="00DE2862"/>
    <w:rsid w:val="00DF1EC4"/>
    <w:rsid w:val="00DF2FFA"/>
    <w:rsid w:val="00DF4D42"/>
    <w:rsid w:val="00E017C5"/>
    <w:rsid w:val="00E01C97"/>
    <w:rsid w:val="00E0340B"/>
    <w:rsid w:val="00E0371E"/>
    <w:rsid w:val="00E04A29"/>
    <w:rsid w:val="00E04A90"/>
    <w:rsid w:val="00E0551F"/>
    <w:rsid w:val="00E15774"/>
    <w:rsid w:val="00E219C7"/>
    <w:rsid w:val="00E21ED9"/>
    <w:rsid w:val="00E2321A"/>
    <w:rsid w:val="00E247AD"/>
    <w:rsid w:val="00E265E3"/>
    <w:rsid w:val="00E27DF3"/>
    <w:rsid w:val="00E300D7"/>
    <w:rsid w:val="00E313D1"/>
    <w:rsid w:val="00E31E56"/>
    <w:rsid w:val="00E375DF"/>
    <w:rsid w:val="00E40CE4"/>
    <w:rsid w:val="00E40E47"/>
    <w:rsid w:val="00E4118C"/>
    <w:rsid w:val="00E43157"/>
    <w:rsid w:val="00E461CE"/>
    <w:rsid w:val="00E54FF5"/>
    <w:rsid w:val="00E56336"/>
    <w:rsid w:val="00E573E4"/>
    <w:rsid w:val="00E64C3D"/>
    <w:rsid w:val="00E64E86"/>
    <w:rsid w:val="00E720CA"/>
    <w:rsid w:val="00E811FD"/>
    <w:rsid w:val="00E84EB5"/>
    <w:rsid w:val="00E85662"/>
    <w:rsid w:val="00E8789F"/>
    <w:rsid w:val="00E91BCA"/>
    <w:rsid w:val="00E9667E"/>
    <w:rsid w:val="00E97B71"/>
    <w:rsid w:val="00EA26F0"/>
    <w:rsid w:val="00EA3D34"/>
    <w:rsid w:val="00EA5E51"/>
    <w:rsid w:val="00EB0BBE"/>
    <w:rsid w:val="00EB0D15"/>
    <w:rsid w:val="00EB454D"/>
    <w:rsid w:val="00EB77C7"/>
    <w:rsid w:val="00EC3C33"/>
    <w:rsid w:val="00ED0D11"/>
    <w:rsid w:val="00ED549D"/>
    <w:rsid w:val="00ED5E10"/>
    <w:rsid w:val="00ED76BE"/>
    <w:rsid w:val="00EE00E9"/>
    <w:rsid w:val="00EE36C0"/>
    <w:rsid w:val="00EF1AAA"/>
    <w:rsid w:val="00EF4ED0"/>
    <w:rsid w:val="00EF619B"/>
    <w:rsid w:val="00F00B55"/>
    <w:rsid w:val="00F02AD1"/>
    <w:rsid w:val="00F046D0"/>
    <w:rsid w:val="00F17870"/>
    <w:rsid w:val="00F253CC"/>
    <w:rsid w:val="00F33C9E"/>
    <w:rsid w:val="00F37106"/>
    <w:rsid w:val="00F44E25"/>
    <w:rsid w:val="00F519CF"/>
    <w:rsid w:val="00F54C18"/>
    <w:rsid w:val="00F56BA5"/>
    <w:rsid w:val="00F60C89"/>
    <w:rsid w:val="00F60E22"/>
    <w:rsid w:val="00F711C3"/>
    <w:rsid w:val="00F71A7B"/>
    <w:rsid w:val="00F80D59"/>
    <w:rsid w:val="00F81395"/>
    <w:rsid w:val="00F81BB8"/>
    <w:rsid w:val="00F8227D"/>
    <w:rsid w:val="00F90926"/>
    <w:rsid w:val="00F90C64"/>
    <w:rsid w:val="00F917D1"/>
    <w:rsid w:val="00F94136"/>
    <w:rsid w:val="00F95C17"/>
    <w:rsid w:val="00F9653B"/>
    <w:rsid w:val="00FA6AEF"/>
    <w:rsid w:val="00FB62CF"/>
    <w:rsid w:val="00FC6219"/>
    <w:rsid w:val="00FC66E2"/>
    <w:rsid w:val="00FD0F47"/>
    <w:rsid w:val="00FD3C3B"/>
    <w:rsid w:val="00FD4A99"/>
    <w:rsid w:val="00FE07DD"/>
    <w:rsid w:val="00FE6B45"/>
    <w:rsid w:val="00FF2079"/>
    <w:rsid w:val="00FF4C1E"/>
    <w:rsid w:val="00FF55F3"/>
    <w:rsid w:val="00FF5851"/>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paragraph">
    <w:name w:val="paragraph"/>
    <w:basedOn w:val="Normal"/>
    <w:rsid w:val="008E60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E605B"/>
  </w:style>
  <w:style w:type="character" w:customStyle="1" w:styleId="eop">
    <w:name w:val="eop"/>
    <w:basedOn w:val="DefaultParagraphFont"/>
    <w:rsid w:val="008E6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51035" TargetMode="External"/><Relationship Id="rId2" Type="http://schemas.openxmlformats.org/officeDocument/2006/relationships/hyperlink" Target="https://www.banrep.gov.co/es/estadisticas/trm" TargetMode="External"/><Relationship Id="rId1" Type="http://schemas.openxmlformats.org/officeDocument/2006/relationships/hyperlink" Target="https://www.funcionpublica.gov.co/eva/gestornormativo/norma.php?i=51035" TargetMode="External"/><Relationship Id="rId6" Type="http://schemas.openxmlformats.org/officeDocument/2006/relationships/hyperlink" Target="https://www.banrep.gov.co/es/estadisticas/trm" TargetMode="External"/><Relationship Id="rId5" Type="http://schemas.openxmlformats.org/officeDocument/2006/relationships/hyperlink" Target="https://www.funcionpublica.gov.co/eva/gestornormativo/norma.php?i=41276" TargetMode="External"/><Relationship Id="rId4" Type="http://schemas.openxmlformats.org/officeDocument/2006/relationships/hyperlink" Target="https://www.banrep.gov.co/es/estadisticas/tr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200821"/>
    <w:rsid w:val="0025245B"/>
    <w:rsid w:val="002A3923"/>
    <w:rsid w:val="00394049"/>
    <w:rsid w:val="003B0C71"/>
    <w:rsid w:val="004B5BBB"/>
    <w:rsid w:val="004F2DF8"/>
    <w:rsid w:val="00517E2A"/>
    <w:rsid w:val="006D12AA"/>
    <w:rsid w:val="006F24A1"/>
    <w:rsid w:val="00875B8A"/>
    <w:rsid w:val="009A261B"/>
    <w:rsid w:val="00AA2E17"/>
    <w:rsid w:val="00AC15A4"/>
    <w:rsid w:val="00B0336C"/>
    <w:rsid w:val="00BD73DB"/>
    <w:rsid w:val="00CE6EC1"/>
    <w:rsid w:val="00D241E9"/>
    <w:rsid w:val="00D42533"/>
    <w:rsid w:val="00D7750D"/>
    <w:rsid w:val="00F00D2F"/>
    <w:rsid w:val="00F124B2"/>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3522</Words>
  <Characters>20080</Characters>
  <Application>Microsoft Office Word</Application>
  <DocSecurity>0</DocSecurity>
  <Lines>167</Lines>
  <Paragraphs>47</Paragraphs>
  <ScaleCrop>false</ScaleCrop>
  <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2024-01-02T20:10:00Z</dcterms:created>
  <dcterms:modified xsi:type="dcterms:W3CDTF">2024-01-02T20:10:00Z</dcterms:modified>
</cp:coreProperties>
</file>