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9CC7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166FBC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8326F">
                              <w:rPr>
                                <w:rFonts w:asciiTheme="majorHAnsi" w:hAnsiTheme="majorHAnsi" w:cs="Arial"/>
                                <w:b/>
                                <w:bCs/>
                                <w:color w:val="0D0D0D" w:themeColor="text1" w:themeTint="F2"/>
                                <w:sz w:val="36"/>
                                <w:szCs w:val="22"/>
                                <w:lang w:val="es-ES_tradnl"/>
                              </w:rPr>
                              <w:t>245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7A38">
                              <w:rPr>
                                <w:rFonts w:asciiTheme="majorHAnsi" w:hAnsiTheme="majorHAnsi" w:cs="Arial"/>
                                <w:b/>
                                <w:bCs/>
                                <w:color w:val="0D0D0D" w:themeColor="text1" w:themeTint="F2"/>
                                <w:sz w:val="36"/>
                                <w:szCs w:val="22"/>
                                <w:lang w:val="es-ES_tradnl"/>
                              </w:rPr>
                              <w:t>3</w:t>
                            </w:r>
                          </w:p>
                          <w:p w14:paraId="45F30ECA" w14:textId="2CC9AEF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253E2">
                              <w:rPr>
                                <w:rFonts w:asciiTheme="majorHAnsi" w:hAnsiTheme="majorHAnsi" w:cs="Arial"/>
                                <w:b/>
                                <w:color w:val="0D0D0D" w:themeColor="text1" w:themeTint="F2"/>
                                <w:sz w:val="36"/>
                                <w:szCs w:val="22"/>
                                <w:lang w:val="es-ES_tradnl"/>
                              </w:rPr>
                              <w:t>1</w:t>
                            </w:r>
                            <w:r w:rsidR="009B7154">
                              <w:rPr>
                                <w:rFonts w:asciiTheme="majorHAnsi" w:hAnsiTheme="majorHAnsi" w:cs="Arial"/>
                                <w:b/>
                                <w:color w:val="0D0D0D" w:themeColor="text1" w:themeTint="F2"/>
                                <w:sz w:val="36"/>
                                <w:szCs w:val="22"/>
                                <w:lang w:val="es-ES_tradnl"/>
                              </w:rPr>
                              <w:t>3</w:t>
                            </w:r>
                            <w:r w:rsidR="00531BE4">
                              <w:rPr>
                                <w:rFonts w:asciiTheme="majorHAnsi" w:hAnsiTheme="majorHAnsi" w:cs="Arial"/>
                                <w:b/>
                                <w:color w:val="0D0D0D" w:themeColor="text1" w:themeTint="F2"/>
                                <w:sz w:val="36"/>
                                <w:szCs w:val="22"/>
                                <w:lang w:val="es-ES_tradnl"/>
                              </w:rPr>
                              <w:t>59</w:t>
                            </w:r>
                            <w:r w:rsidR="00F253E2">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0E648DA" w14:textId="16736122" w:rsidR="002253F2" w:rsidRDefault="00DD309B"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NELIDA MANOPELLA Y GUILLERMO PUY</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166FBC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8326F">
                        <w:rPr>
                          <w:rFonts w:asciiTheme="majorHAnsi" w:hAnsiTheme="majorHAnsi" w:cs="Arial"/>
                          <w:b/>
                          <w:bCs/>
                          <w:color w:val="0D0D0D" w:themeColor="text1" w:themeTint="F2"/>
                          <w:sz w:val="36"/>
                          <w:szCs w:val="22"/>
                          <w:lang w:val="es-ES_tradnl"/>
                        </w:rPr>
                        <w:t>245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7A38">
                        <w:rPr>
                          <w:rFonts w:asciiTheme="majorHAnsi" w:hAnsiTheme="majorHAnsi" w:cs="Arial"/>
                          <w:b/>
                          <w:bCs/>
                          <w:color w:val="0D0D0D" w:themeColor="text1" w:themeTint="F2"/>
                          <w:sz w:val="36"/>
                          <w:szCs w:val="22"/>
                          <w:lang w:val="es-ES_tradnl"/>
                        </w:rPr>
                        <w:t>3</w:t>
                      </w:r>
                    </w:p>
                    <w:p w14:paraId="45F30ECA" w14:textId="2CC9AEF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253E2">
                        <w:rPr>
                          <w:rFonts w:asciiTheme="majorHAnsi" w:hAnsiTheme="majorHAnsi" w:cs="Arial"/>
                          <w:b/>
                          <w:color w:val="0D0D0D" w:themeColor="text1" w:themeTint="F2"/>
                          <w:sz w:val="36"/>
                          <w:szCs w:val="22"/>
                          <w:lang w:val="es-ES_tradnl"/>
                        </w:rPr>
                        <w:t>1</w:t>
                      </w:r>
                      <w:r w:rsidR="009B7154">
                        <w:rPr>
                          <w:rFonts w:asciiTheme="majorHAnsi" w:hAnsiTheme="majorHAnsi" w:cs="Arial"/>
                          <w:b/>
                          <w:color w:val="0D0D0D" w:themeColor="text1" w:themeTint="F2"/>
                          <w:sz w:val="36"/>
                          <w:szCs w:val="22"/>
                          <w:lang w:val="es-ES_tradnl"/>
                        </w:rPr>
                        <w:t>3</w:t>
                      </w:r>
                      <w:r w:rsidR="00531BE4">
                        <w:rPr>
                          <w:rFonts w:asciiTheme="majorHAnsi" w:hAnsiTheme="majorHAnsi" w:cs="Arial"/>
                          <w:b/>
                          <w:color w:val="0D0D0D" w:themeColor="text1" w:themeTint="F2"/>
                          <w:sz w:val="36"/>
                          <w:szCs w:val="22"/>
                          <w:lang w:val="es-ES_tradnl"/>
                        </w:rPr>
                        <w:t>59</w:t>
                      </w:r>
                      <w:r w:rsidR="00F253E2">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0E648DA" w14:textId="16736122" w:rsidR="002253F2" w:rsidRDefault="00DD309B"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NELIDA MANOPELLA Y GUILLERMO PUY</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3898EB4" w:rsidR="00627C9F" w:rsidRPr="005C6331" w:rsidRDefault="00834D49" w:rsidP="007A5817">
                            <w:pPr>
                              <w:spacing w:line="276" w:lineRule="auto"/>
                              <w:jc w:val="right"/>
                              <w:rPr>
                                <w:rFonts w:asciiTheme="minorHAnsi" w:hAnsiTheme="minorHAnsi"/>
                                <w:color w:val="FFFFFF" w:themeColor="background1"/>
                                <w:sz w:val="22"/>
                                <w:lang w:val="es-ES"/>
                              </w:rPr>
                            </w:pPr>
                            <w:r w:rsidRPr="005C6331">
                              <w:rPr>
                                <w:rFonts w:asciiTheme="minorHAnsi" w:hAnsiTheme="minorHAnsi"/>
                                <w:color w:val="FFFFFF" w:themeColor="background1"/>
                                <w:sz w:val="22"/>
                                <w:lang w:val="es-ES"/>
                              </w:rPr>
                              <w:t>OEA/Ser.L/V/II</w:t>
                            </w:r>
                          </w:p>
                          <w:p w14:paraId="71D2D5D2" w14:textId="1D4AD2AF" w:rsidR="00627C9F" w:rsidRPr="005C6331" w:rsidRDefault="00627C9F" w:rsidP="007A5817">
                            <w:pPr>
                              <w:spacing w:line="276" w:lineRule="auto"/>
                              <w:jc w:val="right"/>
                              <w:rPr>
                                <w:rFonts w:asciiTheme="minorHAnsi" w:hAnsiTheme="minorHAnsi"/>
                                <w:color w:val="FFFFFF" w:themeColor="background1"/>
                                <w:sz w:val="22"/>
                                <w:lang w:val="es-ES"/>
                              </w:rPr>
                            </w:pPr>
                            <w:r w:rsidRPr="005C6331">
                              <w:rPr>
                                <w:rFonts w:asciiTheme="minorHAnsi" w:hAnsiTheme="minorHAnsi"/>
                                <w:color w:val="FFFFFF" w:themeColor="background1"/>
                                <w:sz w:val="22"/>
                                <w:lang w:val="es-ES"/>
                              </w:rPr>
                              <w:t>Doc.</w:t>
                            </w:r>
                            <w:r w:rsidR="0068326F" w:rsidRPr="005C6331">
                              <w:rPr>
                                <w:rFonts w:asciiTheme="minorHAnsi" w:hAnsiTheme="minorHAnsi"/>
                                <w:color w:val="FFFFFF" w:themeColor="background1"/>
                                <w:sz w:val="22"/>
                                <w:lang w:val="es-ES"/>
                              </w:rPr>
                              <w:t xml:space="preserve"> 264</w:t>
                            </w:r>
                            <w:r w:rsidRPr="005C6331">
                              <w:rPr>
                                <w:rFonts w:asciiTheme="minorHAnsi" w:hAnsiTheme="minorHAnsi"/>
                                <w:color w:val="FFFFFF" w:themeColor="background1"/>
                                <w:sz w:val="22"/>
                                <w:lang w:val="es-ES"/>
                              </w:rPr>
                              <w:t xml:space="preserve"> </w:t>
                            </w:r>
                          </w:p>
                          <w:p w14:paraId="4061DBBD" w14:textId="61D9E41C" w:rsidR="00627C9F" w:rsidRPr="00C25ADB" w:rsidRDefault="00C1771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A7A38">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3898EB4" w:rsidR="00627C9F" w:rsidRPr="005C6331" w:rsidRDefault="00834D49" w:rsidP="007A5817">
                      <w:pPr>
                        <w:spacing w:line="276" w:lineRule="auto"/>
                        <w:jc w:val="right"/>
                        <w:rPr>
                          <w:rFonts w:asciiTheme="minorHAnsi" w:hAnsiTheme="minorHAnsi"/>
                          <w:color w:val="FFFFFF" w:themeColor="background1"/>
                          <w:sz w:val="22"/>
                          <w:lang w:val="es-ES"/>
                        </w:rPr>
                      </w:pPr>
                      <w:r w:rsidRPr="005C6331">
                        <w:rPr>
                          <w:rFonts w:asciiTheme="minorHAnsi" w:hAnsiTheme="minorHAnsi"/>
                          <w:color w:val="FFFFFF" w:themeColor="background1"/>
                          <w:sz w:val="22"/>
                          <w:lang w:val="es-ES"/>
                        </w:rPr>
                        <w:t>OEA/Ser.L/V/II</w:t>
                      </w:r>
                    </w:p>
                    <w:p w14:paraId="71D2D5D2" w14:textId="1D4AD2AF" w:rsidR="00627C9F" w:rsidRPr="005C6331" w:rsidRDefault="00627C9F" w:rsidP="007A5817">
                      <w:pPr>
                        <w:spacing w:line="276" w:lineRule="auto"/>
                        <w:jc w:val="right"/>
                        <w:rPr>
                          <w:rFonts w:asciiTheme="minorHAnsi" w:hAnsiTheme="minorHAnsi"/>
                          <w:color w:val="FFFFFF" w:themeColor="background1"/>
                          <w:sz w:val="22"/>
                          <w:lang w:val="es-ES"/>
                        </w:rPr>
                      </w:pPr>
                      <w:r w:rsidRPr="005C6331">
                        <w:rPr>
                          <w:rFonts w:asciiTheme="minorHAnsi" w:hAnsiTheme="minorHAnsi"/>
                          <w:color w:val="FFFFFF" w:themeColor="background1"/>
                          <w:sz w:val="22"/>
                          <w:lang w:val="es-ES"/>
                        </w:rPr>
                        <w:t>Doc.</w:t>
                      </w:r>
                      <w:r w:rsidR="0068326F" w:rsidRPr="005C6331">
                        <w:rPr>
                          <w:rFonts w:asciiTheme="minorHAnsi" w:hAnsiTheme="minorHAnsi"/>
                          <w:color w:val="FFFFFF" w:themeColor="background1"/>
                          <w:sz w:val="22"/>
                          <w:lang w:val="es-ES"/>
                        </w:rPr>
                        <w:t xml:space="preserve"> 264</w:t>
                      </w:r>
                      <w:r w:rsidRPr="005C6331">
                        <w:rPr>
                          <w:rFonts w:asciiTheme="minorHAnsi" w:hAnsiTheme="minorHAnsi"/>
                          <w:color w:val="FFFFFF" w:themeColor="background1"/>
                          <w:sz w:val="22"/>
                          <w:lang w:val="es-ES"/>
                        </w:rPr>
                        <w:t xml:space="preserve"> </w:t>
                      </w:r>
                    </w:p>
                    <w:p w14:paraId="4061DBBD" w14:textId="61D9E41C" w:rsidR="00627C9F" w:rsidRPr="00C25ADB" w:rsidRDefault="00C1771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A7A38">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729DE4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938E5">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D938E5">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A7A38">
                              <w:rPr>
                                <w:rFonts w:asciiTheme="majorHAnsi" w:hAnsiTheme="majorHAnsi"/>
                                <w:color w:val="0D0D0D" w:themeColor="text1" w:themeTint="F2"/>
                                <w:sz w:val="18"/>
                                <w:szCs w:val="22"/>
                                <w:lang w:val="es-ES"/>
                              </w:rPr>
                              <w:t>3</w:t>
                            </w:r>
                            <w:r w:rsidR="00D938E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2729DE4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938E5">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D938E5">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A7A38">
                        <w:rPr>
                          <w:rFonts w:asciiTheme="majorHAnsi" w:hAnsiTheme="majorHAnsi"/>
                          <w:color w:val="0D0D0D" w:themeColor="text1" w:themeTint="F2"/>
                          <w:sz w:val="18"/>
                          <w:szCs w:val="22"/>
                          <w:lang w:val="es-ES"/>
                        </w:rPr>
                        <w:t>3</w:t>
                      </w:r>
                      <w:r w:rsidR="00D938E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67B1347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CIDH, Inform</w:t>
                            </w:r>
                            <w:r w:rsidR="002253F2" w:rsidRPr="00412631">
                              <w:rPr>
                                <w:rFonts w:asciiTheme="majorHAnsi" w:hAnsiTheme="majorHAnsi"/>
                                <w:color w:val="595959" w:themeColor="text1" w:themeTint="A6"/>
                                <w:sz w:val="18"/>
                                <w:szCs w:val="18"/>
                                <w:lang w:val="pt-BR"/>
                              </w:rPr>
                              <w:t xml:space="preserve">e No. </w:t>
                            </w:r>
                            <w:r w:rsidR="00800C52" w:rsidRPr="00800C52">
                              <w:rPr>
                                <w:rFonts w:asciiTheme="majorHAnsi" w:hAnsiTheme="majorHAnsi"/>
                                <w:color w:val="595959" w:themeColor="text1" w:themeTint="A6"/>
                                <w:sz w:val="18"/>
                                <w:szCs w:val="18"/>
                                <w:lang w:val="pt-BR" w:bidi="es-ES"/>
                              </w:rPr>
                              <w:t>245</w:t>
                            </w:r>
                            <w:r w:rsidR="002253F2" w:rsidRPr="00800C52">
                              <w:rPr>
                                <w:rFonts w:asciiTheme="majorHAnsi" w:hAnsiTheme="majorHAnsi"/>
                                <w:color w:val="595959" w:themeColor="text1" w:themeTint="A6"/>
                                <w:sz w:val="18"/>
                                <w:szCs w:val="18"/>
                                <w:lang w:val="pt-BR" w:bidi="es-ES"/>
                              </w:rPr>
                              <w:t>/2</w:t>
                            </w:r>
                            <w:r w:rsidR="00CA7A38" w:rsidRPr="00800C52">
                              <w:rPr>
                                <w:rFonts w:asciiTheme="majorHAnsi" w:hAnsiTheme="majorHAnsi"/>
                                <w:color w:val="595959" w:themeColor="text1" w:themeTint="A6"/>
                                <w:sz w:val="18"/>
                                <w:szCs w:val="18"/>
                                <w:lang w:val="pt-BR" w:bidi="es-ES"/>
                              </w:rPr>
                              <w:t>3</w:t>
                            </w:r>
                            <w:r w:rsidR="002253F2" w:rsidRPr="00800C52">
                              <w:rPr>
                                <w:rFonts w:asciiTheme="majorHAnsi" w:hAnsiTheme="majorHAnsi"/>
                                <w:color w:val="595959" w:themeColor="text1" w:themeTint="A6"/>
                                <w:sz w:val="18"/>
                                <w:szCs w:val="18"/>
                                <w:lang w:val="pt-BR" w:bidi="es-ES"/>
                              </w:rPr>
                              <w:t xml:space="preserve">. </w:t>
                            </w:r>
                            <w:r w:rsidR="002253F2" w:rsidRPr="00412631">
                              <w:rPr>
                                <w:rFonts w:asciiTheme="majorHAnsi" w:hAnsiTheme="majorHAnsi"/>
                                <w:color w:val="595959" w:themeColor="text1" w:themeTint="A6"/>
                                <w:sz w:val="18"/>
                                <w:szCs w:val="18"/>
                                <w:lang w:val="es-ES" w:bidi="es-ES"/>
                              </w:rPr>
                              <w:t>Petición P-</w:t>
                            </w:r>
                            <w:r w:rsidR="009B7154" w:rsidRPr="00412631">
                              <w:rPr>
                                <w:rFonts w:asciiTheme="majorHAnsi" w:hAnsiTheme="majorHAnsi"/>
                                <w:color w:val="595959" w:themeColor="text1" w:themeTint="A6"/>
                                <w:sz w:val="18"/>
                                <w:szCs w:val="18"/>
                                <w:lang w:val="es-ES" w:bidi="es-ES"/>
                              </w:rPr>
                              <w:t>13</w:t>
                            </w:r>
                            <w:r w:rsidR="005C6331">
                              <w:rPr>
                                <w:rFonts w:asciiTheme="majorHAnsi" w:hAnsiTheme="majorHAnsi"/>
                                <w:color w:val="595959" w:themeColor="text1" w:themeTint="A6"/>
                                <w:sz w:val="18"/>
                                <w:szCs w:val="18"/>
                                <w:lang w:val="es-ES" w:bidi="es-ES"/>
                              </w:rPr>
                              <w:t>59</w:t>
                            </w:r>
                            <w:r w:rsidR="00363A08" w:rsidRPr="00412631">
                              <w:rPr>
                                <w:rFonts w:asciiTheme="majorHAnsi" w:hAnsiTheme="majorHAnsi"/>
                                <w:color w:val="595959" w:themeColor="text1" w:themeTint="A6"/>
                                <w:sz w:val="18"/>
                                <w:szCs w:val="18"/>
                                <w:lang w:val="es-ES" w:bidi="es-ES"/>
                              </w:rPr>
                              <w:t>-11</w:t>
                            </w:r>
                            <w:r w:rsidR="002253F2" w:rsidRPr="00412631">
                              <w:rPr>
                                <w:rFonts w:asciiTheme="majorHAnsi" w:hAnsiTheme="majorHAnsi"/>
                                <w:color w:val="595959" w:themeColor="text1" w:themeTint="A6"/>
                                <w:sz w:val="18"/>
                                <w:szCs w:val="18"/>
                                <w:lang w:val="es-ES" w:bidi="es-ES"/>
                              </w:rPr>
                              <w:t xml:space="preserve">. Admisibilidad. </w:t>
                            </w:r>
                            <w:r w:rsidR="00DD309B" w:rsidRPr="00412631">
                              <w:rPr>
                                <w:rFonts w:asciiTheme="majorHAnsi" w:hAnsiTheme="majorHAnsi"/>
                                <w:color w:val="595959" w:themeColor="text1" w:themeTint="A6"/>
                                <w:sz w:val="18"/>
                                <w:szCs w:val="18"/>
                                <w:lang w:val="es-ES" w:bidi="es-ES"/>
                              </w:rPr>
                              <w:t>Nelida Manopella y Guillermo Puy</w:t>
                            </w:r>
                            <w:r w:rsidR="002253F2" w:rsidRPr="00412631">
                              <w:rPr>
                                <w:rFonts w:asciiTheme="majorHAnsi" w:hAnsiTheme="majorHAnsi"/>
                                <w:color w:val="595959" w:themeColor="text1" w:themeTint="A6"/>
                                <w:sz w:val="18"/>
                                <w:szCs w:val="18"/>
                                <w:lang w:val="es-ES" w:bidi="es-ES"/>
                              </w:rPr>
                              <w:t xml:space="preserve">. Argentina. </w:t>
                            </w:r>
                            <w:r w:rsidR="00800C52">
                              <w:rPr>
                                <w:rFonts w:asciiTheme="majorHAnsi" w:hAnsiTheme="majorHAnsi"/>
                                <w:color w:val="595959" w:themeColor="text1" w:themeTint="A6"/>
                                <w:sz w:val="18"/>
                                <w:szCs w:val="18"/>
                                <w:lang w:val="es-ES" w:bidi="es-ES"/>
                              </w:rPr>
                              <w:t>7</w:t>
                            </w:r>
                            <w:r w:rsidR="002253F2" w:rsidRPr="00412631">
                              <w:rPr>
                                <w:rFonts w:asciiTheme="majorHAnsi" w:hAnsiTheme="majorHAnsi"/>
                                <w:color w:val="595959" w:themeColor="text1" w:themeTint="A6"/>
                                <w:sz w:val="18"/>
                                <w:szCs w:val="18"/>
                                <w:lang w:val="es-ES" w:bidi="es-ES"/>
                              </w:rPr>
                              <w:t xml:space="preserve"> de </w:t>
                            </w:r>
                            <w:r w:rsidR="00800C52">
                              <w:rPr>
                                <w:rFonts w:asciiTheme="majorHAnsi" w:hAnsiTheme="majorHAnsi"/>
                                <w:color w:val="595959" w:themeColor="text1" w:themeTint="A6"/>
                                <w:sz w:val="18"/>
                                <w:szCs w:val="18"/>
                                <w:lang w:val="es-ES" w:bidi="es-ES"/>
                              </w:rPr>
                              <w:t>octubre</w:t>
                            </w:r>
                            <w:r w:rsidR="002253F2" w:rsidRPr="00412631">
                              <w:rPr>
                                <w:rFonts w:asciiTheme="majorHAnsi" w:hAnsiTheme="majorHAnsi"/>
                                <w:color w:val="595959" w:themeColor="text1" w:themeTint="A6"/>
                                <w:sz w:val="18"/>
                                <w:szCs w:val="18"/>
                                <w:lang w:val="es-ES" w:bidi="es-ES"/>
                              </w:rPr>
                              <w:t xml:space="preserve"> de 202</w:t>
                            </w:r>
                            <w:r w:rsidR="00CA7A38" w:rsidRPr="00412631">
                              <w:rPr>
                                <w:rFonts w:asciiTheme="majorHAnsi" w:hAnsiTheme="majorHAnsi"/>
                                <w:color w:val="595959" w:themeColor="text1" w:themeTint="A6"/>
                                <w:sz w:val="18"/>
                                <w:szCs w:val="18"/>
                                <w:lang w:val="es-ES" w:bidi="es-ES"/>
                              </w:rPr>
                              <w:t>3</w:t>
                            </w:r>
                            <w:r w:rsidR="002253F2" w:rsidRPr="00412631">
                              <w:rPr>
                                <w:rFonts w:asciiTheme="majorHAnsi" w:hAnsiTheme="majorHAnsi"/>
                                <w:color w:val="595959" w:themeColor="text1" w:themeTint="A6"/>
                                <w:sz w:val="18"/>
                                <w:szCs w:val="18"/>
                                <w:lang w:val="es-ES" w:bidi="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67B1347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CIDH, Inform</w:t>
                      </w:r>
                      <w:r w:rsidR="002253F2" w:rsidRPr="00412631">
                        <w:rPr>
                          <w:rFonts w:asciiTheme="majorHAnsi" w:hAnsiTheme="majorHAnsi"/>
                          <w:color w:val="595959" w:themeColor="text1" w:themeTint="A6"/>
                          <w:sz w:val="18"/>
                          <w:szCs w:val="18"/>
                          <w:lang w:val="pt-BR"/>
                        </w:rPr>
                        <w:t xml:space="preserve">e No. </w:t>
                      </w:r>
                      <w:r w:rsidR="00800C52" w:rsidRPr="00800C52">
                        <w:rPr>
                          <w:rFonts w:asciiTheme="majorHAnsi" w:hAnsiTheme="majorHAnsi"/>
                          <w:color w:val="595959" w:themeColor="text1" w:themeTint="A6"/>
                          <w:sz w:val="18"/>
                          <w:szCs w:val="18"/>
                          <w:lang w:val="pt-BR" w:bidi="es-ES"/>
                        </w:rPr>
                        <w:t>245</w:t>
                      </w:r>
                      <w:r w:rsidR="002253F2" w:rsidRPr="00800C52">
                        <w:rPr>
                          <w:rFonts w:asciiTheme="majorHAnsi" w:hAnsiTheme="majorHAnsi"/>
                          <w:color w:val="595959" w:themeColor="text1" w:themeTint="A6"/>
                          <w:sz w:val="18"/>
                          <w:szCs w:val="18"/>
                          <w:lang w:val="pt-BR" w:bidi="es-ES"/>
                        </w:rPr>
                        <w:t>/2</w:t>
                      </w:r>
                      <w:r w:rsidR="00CA7A38" w:rsidRPr="00800C52">
                        <w:rPr>
                          <w:rFonts w:asciiTheme="majorHAnsi" w:hAnsiTheme="majorHAnsi"/>
                          <w:color w:val="595959" w:themeColor="text1" w:themeTint="A6"/>
                          <w:sz w:val="18"/>
                          <w:szCs w:val="18"/>
                          <w:lang w:val="pt-BR" w:bidi="es-ES"/>
                        </w:rPr>
                        <w:t>3</w:t>
                      </w:r>
                      <w:r w:rsidR="002253F2" w:rsidRPr="00800C52">
                        <w:rPr>
                          <w:rFonts w:asciiTheme="majorHAnsi" w:hAnsiTheme="majorHAnsi"/>
                          <w:color w:val="595959" w:themeColor="text1" w:themeTint="A6"/>
                          <w:sz w:val="18"/>
                          <w:szCs w:val="18"/>
                          <w:lang w:val="pt-BR" w:bidi="es-ES"/>
                        </w:rPr>
                        <w:t xml:space="preserve">. </w:t>
                      </w:r>
                      <w:r w:rsidR="002253F2" w:rsidRPr="00412631">
                        <w:rPr>
                          <w:rFonts w:asciiTheme="majorHAnsi" w:hAnsiTheme="majorHAnsi"/>
                          <w:color w:val="595959" w:themeColor="text1" w:themeTint="A6"/>
                          <w:sz w:val="18"/>
                          <w:szCs w:val="18"/>
                          <w:lang w:val="es-ES" w:bidi="es-ES"/>
                        </w:rPr>
                        <w:t>Petición P-</w:t>
                      </w:r>
                      <w:r w:rsidR="009B7154" w:rsidRPr="00412631">
                        <w:rPr>
                          <w:rFonts w:asciiTheme="majorHAnsi" w:hAnsiTheme="majorHAnsi"/>
                          <w:color w:val="595959" w:themeColor="text1" w:themeTint="A6"/>
                          <w:sz w:val="18"/>
                          <w:szCs w:val="18"/>
                          <w:lang w:val="es-ES" w:bidi="es-ES"/>
                        </w:rPr>
                        <w:t>13</w:t>
                      </w:r>
                      <w:r w:rsidR="005C6331">
                        <w:rPr>
                          <w:rFonts w:asciiTheme="majorHAnsi" w:hAnsiTheme="majorHAnsi"/>
                          <w:color w:val="595959" w:themeColor="text1" w:themeTint="A6"/>
                          <w:sz w:val="18"/>
                          <w:szCs w:val="18"/>
                          <w:lang w:val="es-ES" w:bidi="es-ES"/>
                        </w:rPr>
                        <w:t>59</w:t>
                      </w:r>
                      <w:r w:rsidR="00363A08" w:rsidRPr="00412631">
                        <w:rPr>
                          <w:rFonts w:asciiTheme="majorHAnsi" w:hAnsiTheme="majorHAnsi"/>
                          <w:color w:val="595959" w:themeColor="text1" w:themeTint="A6"/>
                          <w:sz w:val="18"/>
                          <w:szCs w:val="18"/>
                          <w:lang w:val="es-ES" w:bidi="es-ES"/>
                        </w:rPr>
                        <w:t>-11</w:t>
                      </w:r>
                      <w:r w:rsidR="002253F2" w:rsidRPr="00412631">
                        <w:rPr>
                          <w:rFonts w:asciiTheme="majorHAnsi" w:hAnsiTheme="majorHAnsi"/>
                          <w:color w:val="595959" w:themeColor="text1" w:themeTint="A6"/>
                          <w:sz w:val="18"/>
                          <w:szCs w:val="18"/>
                          <w:lang w:val="es-ES" w:bidi="es-ES"/>
                        </w:rPr>
                        <w:t xml:space="preserve">. Admisibilidad. </w:t>
                      </w:r>
                      <w:r w:rsidR="00DD309B" w:rsidRPr="00412631">
                        <w:rPr>
                          <w:rFonts w:asciiTheme="majorHAnsi" w:hAnsiTheme="majorHAnsi"/>
                          <w:color w:val="595959" w:themeColor="text1" w:themeTint="A6"/>
                          <w:sz w:val="18"/>
                          <w:szCs w:val="18"/>
                          <w:lang w:val="es-ES" w:bidi="es-ES"/>
                        </w:rPr>
                        <w:t>Nelida Manopella y Guillermo Puy</w:t>
                      </w:r>
                      <w:r w:rsidR="002253F2" w:rsidRPr="00412631">
                        <w:rPr>
                          <w:rFonts w:asciiTheme="majorHAnsi" w:hAnsiTheme="majorHAnsi"/>
                          <w:color w:val="595959" w:themeColor="text1" w:themeTint="A6"/>
                          <w:sz w:val="18"/>
                          <w:szCs w:val="18"/>
                          <w:lang w:val="es-ES" w:bidi="es-ES"/>
                        </w:rPr>
                        <w:t xml:space="preserve">. Argentina. </w:t>
                      </w:r>
                      <w:r w:rsidR="00800C52">
                        <w:rPr>
                          <w:rFonts w:asciiTheme="majorHAnsi" w:hAnsiTheme="majorHAnsi"/>
                          <w:color w:val="595959" w:themeColor="text1" w:themeTint="A6"/>
                          <w:sz w:val="18"/>
                          <w:szCs w:val="18"/>
                          <w:lang w:val="es-ES" w:bidi="es-ES"/>
                        </w:rPr>
                        <w:t>7</w:t>
                      </w:r>
                      <w:r w:rsidR="002253F2" w:rsidRPr="00412631">
                        <w:rPr>
                          <w:rFonts w:asciiTheme="majorHAnsi" w:hAnsiTheme="majorHAnsi"/>
                          <w:color w:val="595959" w:themeColor="text1" w:themeTint="A6"/>
                          <w:sz w:val="18"/>
                          <w:szCs w:val="18"/>
                          <w:lang w:val="es-ES" w:bidi="es-ES"/>
                        </w:rPr>
                        <w:t xml:space="preserve"> de </w:t>
                      </w:r>
                      <w:r w:rsidR="00800C52">
                        <w:rPr>
                          <w:rFonts w:asciiTheme="majorHAnsi" w:hAnsiTheme="majorHAnsi"/>
                          <w:color w:val="595959" w:themeColor="text1" w:themeTint="A6"/>
                          <w:sz w:val="18"/>
                          <w:szCs w:val="18"/>
                          <w:lang w:val="es-ES" w:bidi="es-ES"/>
                        </w:rPr>
                        <w:t>octubre</w:t>
                      </w:r>
                      <w:r w:rsidR="002253F2" w:rsidRPr="00412631">
                        <w:rPr>
                          <w:rFonts w:asciiTheme="majorHAnsi" w:hAnsiTheme="majorHAnsi"/>
                          <w:color w:val="595959" w:themeColor="text1" w:themeTint="A6"/>
                          <w:sz w:val="18"/>
                          <w:szCs w:val="18"/>
                          <w:lang w:val="es-ES" w:bidi="es-ES"/>
                        </w:rPr>
                        <w:t xml:space="preserve"> de 202</w:t>
                      </w:r>
                      <w:r w:rsidR="00CA7A38" w:rsidRPr="00412631">
                        <w:rPr>
                          <w:rFonts w:asciiTheme="majorHAnsi" w:hAnsiTheme="majorHAnsi"/>
                          <w:color w:val="595959" w:themeColor="text1" w:themeTint="A6"/>
                          <w:sz w:val="18"/>
                          <w:szCs w:val="18"/>
                          <w:lang w:val="es-ES" w:bidi="es-ES"/>
                        </w:rPr>
                        <w:t>3</w:t>
                      </w:r>
                      <w:r w:rsidR="002253F2" w:rsidRPr="00412631">
                        <w:rPr>
                          <w:rFonts w:asciiTheme="majorHAnsi" w:hAnsiTheme="majorHAnsi"/>
                          <w:color w:val="595959" w:themeColor="text1" w:themeTint="A6"/>
                          <w:sz w:val="18"/>
                          <w:szCs w:val="18"/>
                          <w:lang w:val="es-ES" w:bidi="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110DD303" w:rsidR="00D72DC6" w:rsidRPr="00D72DC6" w:rsidRDefault="00412631" w:rsidP="00F02AD1">
                            <w:pPr>
                              <w:rPr>
                                <w:color w:val="FFFFFF" w:themeColor="background1"/>
                                <w14:textFill>
                                  <w14:noFill/>
                                </w14:textFill>
                              </w:rPr>
                            </w:pPr>
                            <w:r>
                              <w:rPr>
                                <w:noProof/>
                                <w:color w:val="FFFFFF" w:themeColor="background1"/>
                              </w:rPr>
                              <w:drawing>
                                <wp:inline distT="0" distB="0" distL="0" distR="0" wp14:anchorId="5A64E205" wp14:editId="6B3FC20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110DD303" w:rsidR="00D72DC6" w:rsidRPr="00D72DC6" w:rsidRDefault="00412631" w:rsidP="00F02AD1">
                      <w:pPr>
                        <w:rPr>
                          <w:color w:val="FFFFFF" w:themeColor="background1"/>
                          <w14:textFill>
                            <w14:noFill/>
                          </w14:textFill>
                        </w:rPr>
                      </w:pPr>
                      <w:r>
                        <w:rPr>
                          <w:noProof/>
                          <w:color w:val="FFFFFF" w:themeColor="background1"/>
                        </w:rPr>
                        <w:drawing>
                          <wp:inline distT="0" distB="0" distL="0" distR="0" wp14:anchorId="5A64E205" wp14:editId="6B3FC20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B7154"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48EA3ECB" w:rsidR="003239B8" w:rsidRPr="000D05CB" w:rsidRDefault="00F51E99"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239B8" w:rsidRPr="000D05CB">
              <w:rPr>
                <w:rFonts w:ascii="Cambria" w:hAnsi="Cambria"/>
                <w:b/>
                <w:bCs/>
                <w:color w:val="FFFFFF" w:themeColor="background1"/>
                <w:sz w:val="20"/>
                <w:szCs w:val="20"/>
              </w:rPr>
              <w:t>eticionaria:</w:t>
            </w:r>
          </w:p>
        </w:tc>
        <w:tc>
          <w:tcPr>
            <w:tcW w:w="5760" w:type="dxa"/>
            <w:vAlign w:val="center"/>
          </w:tcPr>
          <w:p w14:paraId="07DAAE2E" w14:textId="2090EA09"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US"/>
              </w:rPr>
              <w:t>Myriam Carsen</w:t>
            </w:r>
          </w:p>
        </w:tc>
      </w:tr>
      <w:tr w:rsidR="003239B8" w:rsidRPr="00A92C3A"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6EF6D8E6" w:rsidR="003239B8" w:rsidRPr="000D05CB" w:rsidRDefault="002F36D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D35FA5">
                  <w:rPr>
                    <w:rFonts w:ascii="Cambria" w:hAnsi="Cambria"/>
                    <w:b/>
                    <w:bCs/>
                    <w:color w:val="FFFFFF" w:themeColor="background1"/>
                    <w:sz w:val="20"/>
                    <w:szCs w:val="20"/>
                  </w:rPr>
                  <w:t>Presuntas víctimas</w:t>
                </w:r>
              </w:sdtContent>
            </w:sdt>
            <w:r w:rsidR="003239B8" w:rsidRPr="000D05CB">
              <w:rPr>
                <w:rFonts w:ascii="Cambria" w:hAnsi="Cambria"/>
                <w:b/>
                <w:bCs/>
                <w:color w:val="FFFFFF" w:themeColor="background1"/>
                <w:sz w:val="20"/>
                <w:szCs w:val="20"/>
              </w:rPr>
              <w:t>:</w:t>
            </w:r>
          </w:p>
        </w:tc>
        <w:tc>
          <w:tcPr>
            <w:tcW w:w="5760" w:type="dxa"/>
            <w:vAlign w:val="center"/>
          </w:tcPr>
          <w:p w14:paraId="143D44A8" w14:textId="0A78E2E9" w:rsidR="003239B8" w:rsidRPr="00DD309B" w:rsidRDefault="00DD309B" w:rsidP="008D2290">
            <w:pPr>
              <w:jc w:val="both"/>
              <w:rPr>
                <w:rFonts w:ascii="Cambria" w:hAnsi="Cambria"/>
                <w:bCs/>
                <w:sz w:val="20"/>
                <w:szCs w:val="20"/>
                <w:lang w:val="es-ES"/>
              </w:rPr>
            </w:pPr>
            <w:r w:rsidRPr="00DD309B">
              <w:rPr>
                <w:rFonts w:ascii="Cambria" w:hAnsi="Cambria"/>
                <w:bCs/>
                <w:sz w:val="20"/>
                <w:szCs w:val="20"/>
                <w:lang w:val="es-ES" w:bidi="es-ES"/>
              </w:rPr>
              <w:t>Nelida Ida Manopella y Guillermo Joaquín Puy</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5D0EC05D" w14:textId="4D787848" w:rsidR="003239B8" w:rsidRPr="000D05CB" w:rsidRDefault="002253F2" w:rsidP="008D2290">
            <w:pPr>
              <w:jc w:val="both"/>
              <w:rPr>
                <w:rFonts w:ascii="Cambria" w:hAnsi="Cambria"/>
                <w:bCs/>
                <w:sz w:val="20"/>
                <w:szCs w:val="20"/>
              </w:rPr>
            </w:pPr>
            <w:r w:rsidRPr="002253F2">
              <w:rPr>
                <w:rFonts w:ascii="Cambria" w:hAnsi="Cambria"/>
                <w:bCs/>
                <w:sz w:val="20"/>
                <w:szCs w:val="20"/>
                <w:lang w:bidi="es-ES"/>
              </w:rPr>
              <w:t>Argentina</w:t>
            </w:r>
          </w:p>
        </w:tc>
      </w:tr>
      <w:tr w:rsidR="00223A29" w:rsidRPr="00A92C3A"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52B28392" w14:textId="781310C4" w:rsidR="00223A29"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 xml:space="preserve">Artículos 8 (garantías judiciales), 24 (igualdad ante la ley) y 25 (protección judicial) de la Convención Americana </w:t>
            </w:r>
            <w:r w:rsidR="00F253E2">
              <w:rPr>
                <w:rFonts w:ascii="Cambria" w:hAnsi="Cambria"/>
                <w:bCs/>
                <w:sz w:val="20"/>
                <w:szCs w:val="20"/>
                <w:lang w:val="es-ES" w:bidi="es-ES"/>
              </w:rPr>
              <w:t>sobre</w:t>
            </w:r>
            <w:r w:rsidRPr="002253F2">
              <w:rPr>
                <w:rFonts w:ascii="Cambria" w:hAnsi="Cambria"/>
                <w:bCs/>
                <w:sz w:val="20"/>
                <w:szCs w:val="20"/>
                <w:lang w:val="es-ES" w:bidi="es-ES"/>
              </w:rPr>
              <w:t xml:space="preserve"> Derechos Humanos</w:t>
            </w:r>
            <w:r w:rsidRPr="002253F2">
              <w:rPr>
                <w:rFonts w:ascii="Cambria" w:hAnsi="Cambria"/>
                <w:bCs/>
                <w:sz w:val="20"/>
                <w:szCs w:val="20"/>
                <w:vertAlign w:val="superscript"/>
                <w:lang w:val="es-ES" w:bidi="es-ES"/>
              </w:rPr>
              <w:footnoteReference w:id="2"/>
            </w:r>
            <w:r w:rsidRPr="002253F2">
              <w:rPr>
                <w:rFonts w:ascii="Cambria" w:hAnsi="Cambria"/>
                <w:bCs/>
                <w:sz w:val="20"/>
                <w:szCs w:val="20"/>
                <w:lang w:val="es-ES" w:bidi="es-ES"/>
              </w:rPr>
              <w:t>, en relación con su artículo 1.1 (obligación de respetar los derechos)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883A5F8" w14:textId="33568853" w:rsidR="004C2312" w:rsidRPr="003239B8" w:rsidRDefault="00DD309B" w:rsidP="002625EA">
            <w:pPr>
              <w:jc w:val="both"/>
              <w:rPr>
                <w:rFonts w:ascii="Cambria" w:hAnsi="Cambria"/>
                <w:bCs/>
                <w:sz w:val="20"/>
                <w:szCs w:val="20"/>
                <w:lang w:val="es-ES"/>
              </w:rPr>
            </w:pPr>
            <w:r w:rsidRPr="00DD309B">
              <w:rPr>
                <w:rFonts w:ascii="Cambria" w:hAnsi="Cambria"/>
                <w:bCs/>
                <w:sz w:val="20"/>
                <w:szCs w:val="20"/>
                <w:lang w:val="es-ES" w:bidi="es-ES"/>
              </w:rPr>
              <w:t>6 de octubre de 2011</w:t>
            </w:r>
          </w:p>
        </w:tc>
      </w:tr>
      <w:tr w:rsidR="00DD309B" w:rsidRPr="00DD309B" w14:paraId="76F56532" w14:textId="77777777" w:rsidTr="004A6A54">
        <w:tc>
          <w:tcPr>
            <w:tcW w:w="3600" w:type="dxa"/>
            <w:tcBorders>
              <w:top w:val="single" w:sz="6" w:space="0" w:color="auto"/>
              <w:bottom w:val="single" w:sz="6" w:space="0" w:color="auto"/>
            </w:tcBorders>
            <w:shd w:val="clear" w:color="auto" w:fill="386294"/>
            <w:vAlign w:val="center"/>
          </w:tcPr>
          <w:p w14:paraId="138AD511" w14:textId="5BB2A40E" w:rsidR="00DD309B" w:rsidRDefault="00DD309B" w:rsidP="004A6A54">
            <w:pPr>
              <w:jc w:val="center"/>
              <w:rPr>
                <w:rFonts w:ascii="Cambria" w:hAnsi="Cambria"/>
                <w:b/>
                <w:bCs/>
                <w:color w:val="FFFFFF" w:themeColor="background1"/>
                <w:sz w:val="20"/>
                <w:szCs w:val="20"/>
                <w:lang w:val="es-ES"/>
              </w:rPr>
            </w:pPr>
            <w:r w:rsidRPr="00DD309B">
              <w:rPr>
                <w:rFonts w:ascii="Cambria" w:hAnsi="Cambria"/>
                <w:b/>
                <w:bCs/>
                <w:color w:val="FFFFFF" w:themeColor="background1"/>
                <w:sz w:val="20"/>
                <w:szCs w:val="20"/>
                <w:lang w:val="es-ES"/>
              </w:rPr>
              <w:t>Información adicional recibida durante la etapa de estudio:</w:t>
            </w:r>
          </w:p>
        </w:tc>
        <w:tc>
          <w:tcPr>
            <w:tcW w:w="5760" w:type="dxa"/>
            <w:vAlign w:val="center"/>
          </w:tcPr>
          <w:p w14:paraId="501CABBE" w14:textId="42088707" w:rsidR="00DD309B" w:rsidRPr="00DD309B" w:rsidRDefault="00DD309B" w:rsidP="002625EA">
            <w:pPr>
              <w:jc w:val="both"/>
              <w:rPr>
                <w:rFonts w:ascii="Cambria" w:hAnsi="Cambria"/>
                <w:bCs/>
                <w:sz w:val="20"/>
                <w:szCs w:val="20"/>
                <w:lang w:val="es-ES" w:bidi="es-ES"/>
              </w:rPr>
            </w:pPr>
            <w:r w:rsidRPr="00DD309B">
              <w:rPr>
                <w:rFonts w:ascii="Cambria" w:hAnsi="Cambria"/>
                <w:bCs/>
                <w:sz w:val="20"/>
                <w:szCs w:val="20"/>
                <w:lang w:val="es-ES" w:bidi="es-ES"/>
              </w:rPr>
              <w:t xml:space="preserve">24 de mayo de 2017 </w:t>
            </w:r>
          </w:p>
        </w:tc>
      </w:tr>
      <w:tr w:rsidR="004C2312" w:rsidRPr="002253F2"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8485921" w14:textId="60EEB083" w:rsidR="004C2312" w:rsidRPr="003239B8" w:rsidRDefault="00DD309B" w:rsidP="008D2290">
            <w:pPr>
              <w:jc w:val="both"/>
              <w:rPr>
                <w:rFonts w:ascii="Cambria" w:hAnsi="Cambria"/>
                <w:bCs/>
                <w:sz w:val="20"/>
                <w:szCs w:val="20"/>
                <w:lang w:val="es-ES"/>
              </w:rPr>
            </w:pPr>
            <w:r w:rsidRPr="00DD309B">
              <w:rPr>
                <w:rFonts w:ascii="Cambria" w:hAnsi="Cambria"/>
                <w:bCs/>
                <w:sz w:val="20"/>
                <w:szCs w:val="20"/>
                <w:lang w:val="es-ES" w:bidi="es-ES"/>
              </w:rPr>
              <w:t>12 de junio de 2017</w:t>
            </w:r>
          </w:p>
        </w:tc>
      </w:tr>
      <w:tr w:rsidR="004C2312" w:rsidRPr="004A6A54"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B47064C" w14:textId="065AF216" w:rsidR="004C2312" w:rsidRPr="003239B8" w:rsidRDefault="00DD309B" w:rsidP="008D2290">
            <w:pPr>
              <w:jc w:val="both"/>
              <w:rPr>
                <w:rFonts w:ascii="Cambria" w:hAnsi="Cambria"/>
                <w:bCs/>
                <w:sz w:val="20"/>
                <w:szCs w:val="20"/>
                <w:lang w:val="es-ES"/>
              </w:rPr>
            </w:pPr>
            <w:r w:rsidRPr="00DD309B">
              <w:rPr>
                <w:rFonts w:ascii="Cambria" w:hAnsi="Cambria"/>
                <w:bCs/>
                <w:sz w:val="20"/>
                <w:szCs w:val="20"/>
                <w:lang w:val="es-ES" w:bidi="es-ES"/>
              </w:rPr>
              <w:t>30 de enero de 2018</w:t>
            </w:r>
          </w:p>
        </w:tc>
      </w:tr>
      <w:tr w:rsidR="00DD309B" w:rsidRPr="00A92C3A" w14:paraId="5B81BA41" w14:textId="77777777" w:rsidTr="004A6A54">
        <w:tc>
          <w:tcPr>
            <w:tcW w:w="3600" w:type="dxa"/>
            <w:tcBorders>
              <w:top w:val="single" w:sz="6" w:space="0" w:color="auto"/>
              <w:bottom w:val="single" w:sz="6" w:space="0" w:color="auto"/>
            </w:tcBorders>
            <w:shd w:val="clear" w:color="auto" w:fill="386294"/>
            <w:vAlign w:val="center"/>
          </w:tcPr>
          <w:p w14:paraId="0F5ED6A9" w14:textId="1F81A492" w:rsidR="00DD309B" w:rsidRDefault="00DD309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445DBF53" w14:textId="3623D5BA" w:rsidR="00DD309B" w:rsidRPr="00DD309B" w:rsidRDefault="00DD309B" w:rsidP="008D2290">
            <w:pPr>
              <w:jc w:val="both"/>
              <w:rPr>
                <w:rFonts w:ascii="Cambria" w:hAnsi="Cambria"/>
                <w:bCs/>
                <w:sz w:val="20"/>
                <w:szCs w:val="20"/>
                <w:lang w:val="es-ES" w:bidi="es-ES"/>
              </w:rPr>
            </w:pPr>
            <w:r w:rsidRPr="00DD309B">
              <w:rPr>
                <w:rFonts w:ascii="Cambria" w:hAnsi="Cambria"/>
                <w:bCs/>
                <w:sz w:val="20"/>
                <w:szCs w:val="20"/>
                <w:lang w:val="es-ES" w:bidi="es-ES"/>
              </w:rPr>
              <w:t>12 de junio de 2017, 27 de agosto de 2017</w:t>
            </w:r>
            <w:r w:rsidR="00992982">
              <w:rPr>
                <w:rFonts w:ascii="Cambria" w:hAnsi="Cambria"/>
                <w:bCs/>
                <w:sz w:val="20"/>
                <w:szCs w:val="20"/>
                <w:lang w:val="es-ES" w:bidi="es-ES"/>
              </w:rPr>
              <w:t xml:space="preserve"> y</w:t>
            </w:r>
            <w:r w:rsidRPr="00DD309B">
              <w:rPr>
                <w:rFonts w:ascii="Cambria" w:hAnsi="Cambria"/>
                <w:bCs/>
                <w:sz w:val="20"/>
                <w:szCs w:val="20"/>
                <w:lang w:val="es-ES" w:bidi="es-ES"/>
              </w:rPr>
              <w:t xml:space="preserve"> 6 de diciembre de 2017</w:t>
            </w:r>
          </w:p>
        </w:tc>
      </w:tr>
      <w:tr w:rsidR="00F937D6" w:rsidRPr="00F937D6" w14:paraId="3A69D65D" w14:textId="77777777" w:rsidTr="004A6A54">
        <w:tc>
          <w:tcPr>
            <w:tcW w:w="3600" w:type="dxa"/>
            <w:tcBorders>
              <w:top w:val="single" w:sz="6" w:space="0" w:color="auto"/>
              <w:bottom w:val="single" w:sz="6" w:space="0" w:color="auto"/>
            </w:tcBorders>
            <w:shd w:val="clear" w:color="auto" w:fill="386294"/>
            <w:vAlign w:val="center"/>
          </w:tcPr>
          <w:p w14:paraId="2756568A" w14:textId="483D4D4B" w:rsidR="00F937D6" w:rsidRDefault="00F937D6"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Advertencia de archivo</w:t>
            </w:r>
          </w:p>
        </w:tc>
        <w:tc>
          <w:tcPr>
            <w:tcW w:w="5760" w:type="dxa"/>
            <w:vAlign w:val="center"/>
          </w:tcPr>
          <w:p w14:paraId="3642C419" w14:textId="1967EF26" w:rsidR="00F937D6" w:rsidRPr="00DD309B" w:rsidRDefault="00EC2706" w:rsidP="008D2290">
            <w:pPr>
              <w:jc w:val="both"/>
              <w:rPr>
                <w:rFonts w:ascii="Cambria" w:hAnsi="Cambria"/>
                <w:bCs/>
                <w:sz w:val="20"/>
                <w:szCs w:val="20"/>
                <w:lang w:val="es-ES" w:bidi="es-ES"/>
              </w:rPr>
            </w:pPr>
            <w:r>
              <w:rPr>
                <w:rFonts w:ascii="Cambria" w:hAnsi="Cambria"/>
                <w:bCs/>
                <w:sz w:val="20"/>
                <w:szCs w:val="20"/>
                <w:lang w:val="es-ES" w:bidi="es-ES"/>
              </w:rPr>
              <w:t>9 de noviembre de 2021</w:t>
            </w:r>
          </w:p>
        </w:tc>
      </w:tr>
      <w:tr w:rsidR="00EC2706" w:rsidRPr="00F937D6" w14:paraId="383EA311" w14:textId="77777777" w:rsidTr="004A6A54">
        <w:tc>
          <w:tcPr>
            <w:tcW w:w="3600" w:type="dxa"/>
            <w:tcBorders>
              <w:top w:val="single" w:sz="6" w:space="0" w:color="auto"/>
              <w:bottom w:val="single" w:sz="6" w:space="0" w:color="auto"/>
            </w:tcBorders>
            <w:shd w:val="clear" w:color="auto" w:fill="386294"/>
            <w:vAlign w:val="center"/>
          </w:tcPr>
          <w:p w14:paraId="6DB1D5E0" w14:textId="043764BF" w:rsidR="00EC2706" w:rsidRDefault="00EC2706"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Manifestación de interés del peticionario</w:t>
            </w:r>
          </w:p>
        </w:tc>
        <w:tc>
          <w:tcPr>
            <w:tcW w:w="5760" w:type="dxa"/>
            <w:vAlign w:val="center"/>
          </w:tcPr>
          <w:p w14:paraId="5A66E3D1" w14:textId="59BE3C9F" w:rsidR="00EC2706" w:rsidRDefault="00CA1C82" w:rsidP="008D2290">
            <w:pPr>
              <w:jc w:val="both"/>
              <w:rPr>
                <w:rFonts w:ascii="Cambria" w:hAnsi="Cambria"/>
                <w:bCs/>
                <w:sz w:val="20"/>
                <w:szCs w:val="20"/>
                <w:lang w:val="es-ES" w:bidi="es-ES"/>
              </w:rPr>
            </w:pPr>
            <w:r>
              <w:rPr>
                <w:rFonts w:ascii="Cambria" w:hAnsi="Cambria"/>
                <w:bCs/>
                <w:sz w:val="20"/>
                <w:szCs w:val="20"/>
                <w:lang w:val="es-ES" w:bidi="es-ES"/>
              </w:rPr>
              <w:t>10 de diciembre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7D299FC7" w14:textId="77777777" w:rsidTr="00992982">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1E494D5D" w14:textId="0A722FC4"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540F17" w14:paraId="54503A4F" w14:textId="77777777" w:rsidTr="00992982">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77C8256A" w14:textId="3F8F8053"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540F17" w14:paraId="6618D96A" w14:textId="77777777" w:rsidTr="00992982">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523F6BD6" w14:textId="2FA2DEF9"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A92C3A" w14:paraId="34C2A0A9" w14:textId="77777777" w:rsidTr="00992982">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257C8337" w14:textId="2E83BF03" w:rsidR="003239B8" w:rsidRPr="00B3745F" w:rsidRDefault="002253F2" w:rsidP="002253F2">
            <w:pPr>
              <w:jc w:val="both"/>
              <w:rPr>
                <w:rFonts w:ascii="Cambria" w:hAnsi="Cambria"/>
                <w:bCs/>
                <w:sz w:val="20"/>
                <w:szCs w:val="20"/>
                <w:lang w:val="es-ES"/>
              </w:rPr>
            </w:pPr>
            <w:r w:rsidRPr="002253F2">
              <w:rPr>
                <w:rFonts w:ascii="Cambria" w:hAnsi="Cambria"/>
                <w:bCs/>
                <w:sz w:val="20"/>
                <w:szCs w:val="20"/>
                <w:lang w:val="es-ES" w:bidi="es-ES"/>
              </w:rPr>
              <w:t>Sí,</w:t>
            </w:r>
            <w:r>
              <w:rPr>
                <w:rFonts w:ascii="Cambria" w:hAnsi="Cambria"/>
                <w:bCs/>
                <w:sz w:val="20"/>
                <w:szCs w:val="20"/>
                <w:lang w:val="es-ES" w:bidi="es-ES"/>
              </w:rPr>
              <w:t xml:space="preserve"> </w:t>
            </w:r>
            <w:r w:rsidRPr="002253F2">
              <w:rPr>
                <w:rFonts w:ascii="Cambria" w:hAnsi="Cambria"/>
                <w:bCs/>
                <w:sz w:val="20"/>
                <w:szCs w:val="20"/>
                <w:lang w:val="es-ES" w:bidi="es-ES"/>
              </w:rPr>
              <w:t>Convención Americana (depósito del instrumento de ratificación realizado</w:t>
            </w:r>
            <w:r>
              <w:rPr>
                <w:rFonts w:ascii="Cambria" w:hAnsi="Cambria"/>
                <w:bCs/>
                <w:sz w:val="20"/>
                <w:szCs w:val="20"/>
                <w:lang w:val="es-ES" w:bidi="es-ES"/>
              </w:rPr>
              <w:t xml:space="preserve"> </w:t>
            </w:r>
            <w:r w:rsidRPr="002253F2">
              <w:rPr>
                <w:rFonts w:ascii="Cambria" w:hAnsi="Cambria"/>
                <w:bCs/>
                <w:sz w:val="20"/>
                <w:szCs w:val="20"/>
                <w:lang w:val="es-ES" w:bidi="es-ES"/>
              </w:rPr>
              <w:t>el 5 de setiembre de 1984)</w:t>
            </w:r>
          </w:p>
        </w:tc>
      </w:tr>
    </w:tbl>
    <w:p w14:paraId="299A3868" w14:textId="3D4E306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DB653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2253F2" w14:paraId="161C8568" w14:textId="77777777" w:rsidTr="00992982">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3" w:type="dxa"/>
            <w:vAlign w:val="center"/>
          </w:tcPr>
          <w:p w14:paraId="764D7F60" w14:textId="58A06F62" w:rsidR="00EE00E9" w:rsidRPr="00DC24E3" w:rsidRDefault="002253F2" w:rsidP="008D2290">
            <w:pPr>
              <w:jc w:val="both"/>
              <w:rPr>
                <w:rFonts w:ascii="Cambria" w:hAnsi="Cambria"/>
                <w:bCs/>
                <w:sz w:val="20"/>
                <w:szCs w:val="20"/>
                <w:lang w:val="es-ES"/>
              </w:rPr>
            </w:pPr>
            <w:r w:rsidRPr="002253F2">
              <w:rPr>
                <w:rFonts w:ascii="Cambria" w:hAnsi="Cambria"/>
                <w:bCs/>
                <w:sz w:val="20"/>
                <w:szCs w:val="20"/>
                <w:lang w:val="es-ES" w:bidi="es-ES"/>
              </w:rPr>
              <w:t>No</w:t>
            </w:r>
          </w:p>
        </w:tc>
      </w:tr>
      <w:tr w:rsidR="003239B8" w:rsidRPr="00A92C3A" w14:paraId="3ED57BF3" w14:textId="77777777" w:rsidTr="00992982">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3" w:type="dxa"/>
            <w:vAlign w:val="center"/>
          </w:tcPr>
          <w:p w14:paraId="4DAE9D4D" w14:textId="239D80D1"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Artículos 8 (garantías judiciales), 24 (igualdad ante la ley), 25 (protección judicial) de la Convención Americana, en conexión con sus artículos 1.1 (obligación de respetar los derechos) y 2 (deber de adoptar disposiciones de derecho interno)</w:t>
            </w:r>
          </w:p>
        </w:tc>
      </w:tr>
      <w:tr w:rsidR="003239B8" w:rsidRPr="00A92C3A" w14:paraId="5702249F" w14:textId="77777777" w:rsidTr="00992982">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3" w:type="dxa"/>
            <w:vAlign w:val="center"/>
          </w:tcPr>
          <w:p w14:paraId="7F7C1A19" w14:textId="0478476C"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r w:rsidR="003239B8" w:rsidRPr="00A92C3A" w14:paraId="7A101B89" w14:textId="77777777" w:rsidTr="00992982">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3" w:type="dxa"/>
            <w:vAlign w:val="center"/>
          </w:tcPr>
          <w:p w14:paraId="2AF0FC69" w14:textId="5E71786F"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bl>
    <w:p w14:paraId="185134C3" w14:textId="77777777" w:rsidR="00E3525A" w:rsidRDefault="00E3525A" w:rsidP="00541E7B">
      <w:pPr>
        <w:pStyle w:val="ListParagraph"/>
        <w:spacing w:before="240" w:after="240"/>
        <w:ind w:left="0" w:firstLine="720"/>
        <w:rPr>
          <w:rFonts w:asciiTheme="majorHAnsi" w:hAnsiTheme="majorHAnsi"/>
          <w:b/>
          <w:sz w:val="20"/>
          <w:szCs w:val="20"/>
          <w:lang w:val="es-ES_tradnl"/>
        </w:rPr>
      </w:pPr>
    </w:p>
    <w:p w14:paraId="0BAF2C03" w14:textId="77777777" w:rsidR="00E3525A" w:rsidRDefault="00E3525A" w:rsidP="00541E7B">
      <w:pPr>
        <w:pStyle w:val="ListParagraph"/>
        <w:spacing w:before="240" w:after="240"/>
        <w:ind w:left="0" w:firstLine="720"/>
        <w:rPr>
          <w:rFonts w:asciiTheme="majorHAnsi" w:hAnsiTheme="majorHAnsi"/>
          <w:b/>
          <w:sz w:val="20"/>
          <w:szCs w:val="20"/>
          <w:lang w:val="es-ES_tradnl"/>
        </w:rPr>
      </w:pPr>
    </w:p>
    <w:p w14:paraId="376D5C85" w14:textId="77777777" w:rsidR="00E3525A" w:rsidRDefault="00E3525A" w:rsidP="00541E7B">
      <w:pPr>
        <w:pStyle w:val="ListParagraph"/>
        <w:spacing w:before="240" w:after="240"/>
        <w:ind w:left="0" w:firstLine="720"/>
        <w:rPr>
          <w:rFonts w:asciiTheme="majorHAnsi" w:hAnsiTheme="majorHAnsi"/>
          <w:b/>
          <w:sz w:val="20"/>
          <w:szCs w:val="20"/>
          <w:lang w:val="es-ES_tradnl"/>
        </w:rPr>
      </w:pPr>
    </w:p>
    <w:p w14:paraId="277DEF15" w14:textId="5A382842" w:rsidR="005D330F" w:rsidRPr="00D6036E" w:rsidRDefault="005D330F" w:rsidP="00541E7B">
      <w:pPr>
        <w:pStyle w:val="ListParagraph"/>
        <w:spacing w:before="240" w:after="240"/>
        <w:ind w:left="0" w:firstLine="720"/>
        <w:rPr>
          <w:rFonts w:asciiTheme="majorHAnsi" w:hAnsiTheme="majorHAnsi"/>
          <w:b/>
          <w:sz w:val="20"/>
          <w:szCs w:val="20"/>
          <w:lang w:val="es-ES_tradnl"/>
        </w:rPr>
      </w:pPr>
      <w:r w:rsidRPr="00D6036E">
        <w:rPr>
          <w:rFonts w:asciiTheme="majorHAnsi" w:hAnsiTheme="majorHAnsi"/>
          <w:b/>
          <w:sz w:val="20"/>
          <w:szCs w:val="20"/>
          <w:lang w:val="es-ES_tradnl"/>
        </w:rPr>
        <w:lastRenderedPageBreak/>
        <w:t xml:space="preserve">V. </w:t>
      </w:r>
      <w:r w:rsidRPr="00D6036E">
        <w:rPr>
          <w:rFonts w:asciiTheme="majorHAnsi" w:hAnsiTheme="majorHAnsi"/>
          <w:b/>
          <w:sz w:val="20"/>
          <w:szCs w:val="20"/>
          <w:lang w:val="es-ES_tradnl"/>
        </w:rPr>
        <w:tab/>
      </w:r>
      <w:r w:rsidR="00FD5759" w:rsidRPr="00D87281">
        <w:rPr>
          <w:rFonts w:asciiTheme="majorHAnsi" w:hAnsiTheme="majorHAnsi"/>
          <w:b/>
          <w:color w:val="000000" w:themeColor="text1"/>
          <w:sz w:val="20"/>
          <w:szCs w:val="20"/>
          <w:lang w:val="es-ES"/>
        </w:rPr>
        <w:t>POSI</w:t>
      </w:r>
      <w:r w:rsidR="00FD5759">
        <w:rPr>
          <w:rFonts w:asciiTheme="majorHAnsi" w:hAnsiTheme="majorHAnsi"/>
          <w:b/>
          <w:color w:val="000000" w:themeColor="text1"/>
          <w:sz w:val="20"/>
          <w:szCs w:val="20"/>
          <w:lang w:val="es-ES"/>
        </w:rPr>
        <w:t xml:space="preserve">CIÓN DE LAS </w:t>
      </w:r>
      <w:r w:rsidR="00FD5759" w:rsidRPr="00D87281">
        <w:rPr>
          <w:rFonts w:asciiTheme="majorHAnsi" w:hAnsiTheme="majorHAnsi"/>
          <w:b/>
          <w:color w:val="000000" w:themeColor="text1"/>
          <w:sz w:val="20"/>
          <w:szCs w:val="20"/>
          <w:lang w:val="es-ES"/>
        </w:rPr>
        <w:t>PARTES</w:t>
      </w:r>
    </w:p>
    <w:p w14:paraId="5287BA5E" w14:textId="1977E1E0" w:rsidR="006D3F31" w:rsidRPr="006D3F31" w:rsidRDefault="006D3F31" w:rsidP="006D3F3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6D3F31">
        <w:rPr>
          <w:rFonts w:asciiTheme="majorHAnsi" w:hAnsiTheme="majorHAnsi"/>
          <w:i/>
          <w:iCs/>
          <w:sz w:val="20"/>
          <w:szCs w:val="20"/>
          <w:lang w:val="es-ES_tradnl"/>
        </w:rPr>
        <w:t>Posición de la parte peticionaria</w:t>
      </w:r>
    </w:p>
    <w:p w14:paraId="2549B0AD" w14:textId="3E23BED6" w:rsidR="005D330F" w:rsidRPr="00156525" w:rsidRDefault="00EE0636" w:rsidP="00AC529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156525">
        <w:rPr>
          <w:rFonts w:asciiTheme="majorHAnsi" w:hAnsiTheme="majorHAnsi"/>
          <w:sz w:val="20"/>
          <w:szCs w:val="20"/>
          <w:lang w:val="es-ES_tradnl"/>
        </w:rPr>
        <w:t xml:space="preserve">La parte peticionaria denuncia </w:t>
      </w:r>
      <w:r w:rsidR="00D40467" w:rsidRPr="00156525">
        <w:rPr>
          <w:rFonts w:asciiTheme="majorHAnsi" w:hAnsiTheme="majorHAnsi"/>
          <w:sz w:val="20"/>
          <w:szCs w:val="20"/>
          <w:lang w:val="es-ES_tradnl"/>
        </w:rPr>
        <w:t xml:space="preserve">que la Sra. </w:t>
      </w:r>
      <w:r w:rsidR="00AC7C38" w:rsidRPr="00156525">
        <w:rPr>
          <w:rFonts w:asciiTheme="majorHAnsi" w:hAnsiTheme="majorHAnsi"/>
          <w:sz w:val="20"/>
          <w:szCs w:val="20"/>
          <w:lang w:val="es-ES_tradnl"/>
        </w:rPr>
        <w:t>Nélida</w:t>
      </w:r>
      <w:r w:rsidR="00D40467" w:rsidRPr="00156525">
        <w:rPr>
          <w:rFonts w:asciiTheme="majorHAnsi" w:hAnsiTheme="majorHAnsi"/>
          <w:sz w:val="20"/>
          <w:szCs w:val="20"/>
          <w:lang w:val="es-ES_tradnl"/>
        </w:rPr>
        <w:t xml:space="preserve"> Manopella y el Sr. Guillermo Puy sufrieron persecución política y exilio forzoso durante la dictadura, con perjuicios a todo su núcleo familiar, sin que a ellos se les otorgara la debida reparación en el marco de la</w:t>
      </w:r>
      <w:r w:rsidRPr="00156525">
        <w:rPr>
          <w:rFonts w:asciiTheme="majorHAnsi" w:hAnsiTheme="majorHAnsi"/>
          <w:sz w:val="20"/>
          <w:szCs w:val="20"/>
          <w:lang w:val="es-ES_tradnl"/>
        </w:rPr>
        <w:t xml:space="preserve"> Ley No. 24.043.</w:t>
      </w:r>
    </w:p>
    <w:p w14:paraId="489D2FB7" w14:textId="2A229EF4" w:rsidR="007265E1" w:rsidRPr="00156525" w:rsidRDefault="008D283F" w:rsidP="00541E7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bidi="es-ES"/>
        </w:rPr>
      </w:pPr>
      <w:r w:rsidRPr="00156525">
        <w:rPr>
          <w:rFonts w:asciiTheme="majorHAnsi" w:hAnsiTheme="majorHAnsi"/>
          <w:sz w:val="20"/>
          <w:szCs w:val="20"/>
          <w:lang w:val="es-ES_tradnl"/>
        </w:rPr>
        <w:t>La parte peticionaria</w:t>
      </w:r>
      <w:r w:rsidRPr="00156525">
        <w:rPr>
          <w:color w:val="auto"/>
          <w:sz w:val="20"/>
          <w:szCs w:val="20"/>
          <w:bdr w:val="none" w:sz="0" w:space="0" w:color="auto"/>
          <w:lang w:val="es-ES_tradnl" w:bidi="es-ES"/>
        </w:rPr>
        <w:t xml:space="preserve"> </w:t>
      </w:r>
      <w:r w:rsidR="007265E1" w:rsidRPr="00156525">
        <w:rPr>
          <w:rFonts w:asciiTheme="majorHAnsi" w:hAnsiTheme="majorHAnsi"/>
          <w:sz w:val="20"/>
          <w:szCs w:val="20"/>
          <w:lang w:val="es-ES_tradnl" w:bidi="es-ES"/>
        </w:rPr>
        <w:t xml:space="preserve">expone que Guillermo Joaquín Puy, casado con Nélida Ida Manoppella, trabajaba como arquitecto en la Gerencia de Arquitectura del Automóvil Club Argentino en el año de 1976. Al 24 de marzo de dicho año, Puy tuvo que renunciar su actividad laboral por participar en el Sindicato </w:t>
      </w:r>
      <w:r w:rsidR="00AC7C38" w:rsidRPr="00156525">
        <w:rPr>
          <w:rFonts w:asciiTheme="majorHAnsi" w:hAnsiTheme="majorHAnsi"/>
          <w:sz w:val="20"/>
          <w:szCs w:val="20"/>
          <w:lang w:val="es-ES_tradnl" w:bidi="es-ES"/>
        </w:rPr>
        <w:t>Único</w:t>
      </w:r>
      <w:r w:rsidR="007265E1" w:rsidRPr="00156525">
        <w:rPr>
          <w:rFonts w:asciiTheme="majorHAnsi" w:hAnsiTheme="majorHAnsi"/>
          <w:sz w:val="20"/>
          <w:szCs w:val="20"/>
          <w:lang w:val="es-ES_tradnl" w:bidi="es-ES"/>
        </w:rPr>
        <w:t xml:space="preserve"> de Trabajadores del </w:t>
      </w:r>
      <w:r w:rsidR="00A6289F" w:rsidRPr="00156525">
        <w:rPr>
          <w:rFonts w:asciiTheme="majorHAnsi" w:hAnsiTheme="majorHAnsi"/>
          <w:sz w:val="20"/>
          <w:szCs w:val="20"/>
          <w:lang w:val="es-ES_tradnl" w:bidi="es-ES"/>
        </w:rPr>
        <w:t>Automóvil</w:t>
      </w:r>
      <w:r w:rsidR="007265E1" w:rsidRPr="00156525">
        <w:rPr>
          <w:rFonts w:asciiTheme="majorHAnsi" w:hAnsiTheme="majorHAnsi"/>
          <w:sz w:val="20"/>
          <w:szCs w:val="20"/>
          <w:lang w:val="es-ES_tradnl" w:bidi="es-ES"/>
        </w:rPr>
        <w:t xml:space="preserve"> Club Argentino, donde era representante ante la </w:t>
      </w:r>
      <w:r w:rsidR="00A6289F" w:rsidRPr="00156525">
        <w:rPr>
          <w:rFonts w:asciiTheme="majorHAnsi" w:hAnsiTheme="majorHAnsi"/>
          <w:sz w:val="20"/>
          <w:szCs w:val="20"/>
          <w:lang w:val="es-ES_tradnl" w:bidi="es-ES"/>
        </w:rPr>
        <w:t>Comisión</w:t>
      </w:r>
      <w:r w:rsidR="007265E1" w:rsidRPr="00156525">
        <w:rPr>
          <w:rFonts w:asciiTheme="majorHAnsi" w:hAnsiTheme="majorHAnsi"/>
          <w:sz w:val="20"/>
          <w:szCs w:val="20"/>
          <w:lang w:val="es-ES_tradnl" w:bidi="es-ES"/>
        </w:rPr>
        <w:t xml:space="preserve"> Paritaria. </w:t>
      </w:r>
      <w:r w:rsidR="008639E2" w:rsidRPr="00156525">
        <w:rPr>
          <w:rFonts w:asciiTheme="majorHAnsi" w:hAnsiTheme="majorHAnsi"/>
          <w:sz w:val="20"/>
          <w:szCs w:val="20"/>
          <w:lang w:val="es-ES_tradnl" w:bidi="es-ES"/>
        </w:rPr>
        <w:t>En</w:t>
      </w:r>
      <w:r w:rsidR="007265E1" w:rsidRPr="00156525">
        <w:rPr>
          <w:rFonts w:asciiTheme="majorHAnsi" w:hAnsiTheme="majorHAnsi"/>
          <w:sz w:val="20"/>
          <w:szCs w:val="20"/>
          <w:lang w:val="es-ES_tradnl" w:bidi="es-ES"/>
        </w:rPr>
        <w:t xml:space="preserve"> consecuencia, se volvió a la docencia en la Universidad de Buenos Aires. </w:t>
      </w:r>
      <w:r w:rsidR="00D35FA5" w:rsidRPr="00156525">
        <w:rPr>
          <w:rFonts w:asciiTheme="majorHAnsi" w:hAnsiTheme="majorHAnsi"/>
          <w:sz w:val="20"/>
          <w:szCs w:val="20"/>
          <w:lang w:val="es-ES_tradnl" w:bidi="es-ES"/>
        </w:rPr>
        <w:t>Entre 1976 y 1978</w:t>
      </w:r>
      <w:r w:rsidR="007265E1" w:rsidRPr="00156525">
        <w:rPr>
          <w:rFonts w:asciiTheme="majorHAnsi" w:hAnsiTheme="majorHAnsi"/>
          <w:sz w:val="20"/>
          <w:szCs w:val="20"/>
          <w:lang w:val="es-ES_tradnl" w:bidi="es-ES"/>
        </w:rPr>
        <w:t>, muchos compañeros de trabajo y de militancia de Puy desaparecieron</w:t>
      </w:r>
      <w:r w:rsidR="00D35FA5" w:rsidRPr="00156525">
        <w:rPr>
          <w:rFonts w:asciiTheme="majorHAnsi" w:hAnsiTheme="majorHAnsi"/>
          <w:sz w:val="20"/>
          <w:szCs w:val="20"/>
          <w:lang w:val="es-ES_tradnl" w:bidi="es-ES"/>
        </w:rPr>
        <w:t xml:space="preserve">. En este contexto, con miedo, </w:t>
      </w:r>
      <w:r w:rsidR="007265E1" w:rsidRPr="00156525">
        <w:rPr>
          <w:rFonts w:asciiTheme="majorHAnsi" w:hAnsiTheme="majorHAnsi"/>
          <w:sz w:val="20"/>
          <w:szCs w:val="20"/>
          <w:lang w:val="es-ES_tradnl" w:bidi="es-ES"/>
        </w:rPr>
        <w:t>Puy y su esposa buscar</w:t>
      </w:r>
      <w:r w:rsidR="00D35FA5" w:rsidRPr="00156525">
        <w:rPr>
          <w:rFonts w:asciiTheme="majorHAnsi" w:hAnsiTheme="majorHAnsi"/>
          <w:sz w:val="20"/>
          <w:szCs w:val="20"/>
          <w:lang w:val="es-ES_tradnl" w:bidi="es-ES"/>
        </w:rPr>
        <w:t>on</w:t>
      </w:r>
      <w:r w:rsidR="007265E1" w:rsidRPr="00156525">
        <w:rPr>
          <w:rFonts w:asciiTheme="majorHAnsi" w:hAnsiTheme="majorHAnsi"/>
          <w:sz w:val="20"/>
          <w:szCs w:val="20"/>
          <w:lang w:val="es-ES_tradnl" w:bidi="es-ES"/>
        </w:rPr>
        <w:t xml:space="preserve"> refugio el 6 agosto del 1977</w:t>
      </w:r>
      <w:r w:rsidR="00D53213" w:rsidRPr="00156525">
        <w:rPr>
          <w:rFonts w:asciiTheme="majorHAnsi" w:hAnsiTheme="majorHAnsi"/>
          <w:sz w:val="20"/>
          <w:szCs w:val="20"/>
          <w:lang w:val="es-ES_tradnl" w:bidi="es-ES"/>
        </w:rPr>
        <w:t xml:space="preserve"> en</w:t>
      </w:r>
      <w:r w:rsidR="007265E1" w:rsidRPr="00156525">
        <w:rPr>
          <w:rFonts w:asciiTheme="majorHAnsi" w:hAnsiTheme="majorHAnsi"/>
          <w:sz w:val="20"/>
          <w:szCs w:val="20"/>
          <w:lang w:val="es-ES_tradnl" w:bidi="es-ES"/>
        </w:rPr>
        <w:t xml:space="preserve"> Brasil, quedando sus cuatro hijas</w:t>
      </w:r>
      <w:r w:rsidR="0055244C" w:rsidRPr="00156525">
        <w:rPr>
          <w:rFonts w:asciiTheme="majorHAnsi" w:hAnsiTheme="majorHAnsi"/>
          <w:sz w:val="20"/>
          <w:szCs w:val="20"/>
          <w:lang w:val="es-ES_tradnl" w:bidi="es-ES"/>
        </w:rPr>
        <w:t>:</w:t>
      </w:r>
      <w:r w:rsidR="007265E1" w:rsidRPr="00156525">
        <w:rPr>
          <w:rFonts w:asciiTheme="majorHAnsi" w:hAnsiTheme="majorHAnsi"/>
          <w:sz w:val="20"/>
          <w:szCs w:val="20"/>
          <w:lang w:val="es-ES_tradnl" w:bidi="es-ES"/>
        </w:rPr>
        <w:t xml:space="preserve"> Alejandra, Mariana, Paula y Gabriela Puy</w:t>
      </w:r>
      <w:r w:rsidR="0055244C" w:rsidRPr="00156525">
        <w:rPr>
          <w:rFonts w:asciiTheme="majorHAnsi" w:hAnsiTheme="majorHAnsi"/>
          <w:sz w:val="20"/>
          <w:szCs w:val="20"/>
          <w:lang w:val="es-ES_tradnl" w:bidi="es-ES"/>
        </w:rPr>
        <w:t>,</w:t>
      </w:r>
      <w:r w:rsidR="007265E1" w:rsidRPr="00156525">
        <w:rPr>
          <w:rFonts w:asciiTheme="majorHAnsi" w:hAnsiTheme="majorHAnsi"/>
          <w:sz w:val="20"/>
          <w:szCs w:val="20"/>
          <w:lang w:val="es-ES_tradnl" w:bidi="es-ES"/>
        </w:rPr>
        <w:t xml:space="preserve"> al cuidado de sus tías. Estando en Brasil, no obtuvieron visa para residir permanentemente allí. Ante la imposibilidad de volver a Argentina sin correr un riesgo de muerte o </w:t>
      </w:r>
      <w:r w:rsidR="00D35FA5" w:rsidRPr="00156525">
        <w:rPr>
          <w:rFonts w:asciiTheme="majorHAnsi" w:hAnsiTheme="majorHAnsi"/>
          <w:sz w:val="20"/>
          <w:szCs w:val="20"/>
          <w:lang w:val="es-ES_tradnl" w:bidi="es-ES"/>
        </w:rPr>
        <w:t>pérdida</w:t>
      </w:r>
      <w:r w:rsidR="007265E1" w:rsidRPr="00156525">
        <w:rPr>
          <w:rFonts w:asciiTheme="majorHAnsi" w:hAnsiTheme="majorHAnsi"/>
          <w:sz w:val="20"/>
          <w:szCs w:val="20"/>
          <w:lang w:val="es-ES_tradnl" w:bidi="es-ES"/>
        </w:rPr>
        <w:t xml:space="preserve"> de la libertad, solicitaron refugio al Alto Comisionado de las Naciones Unidas para los Refugiados</w:t>
      </w:r>
      <w:r w:rsidR="00D35FA5" w:rsidRPr="00156525">
        <w:rPr>
          <w:rFonts w:asciiTheme="majorHAnsi" w:hAnsiTheme="majorHAnsi"/>
          <w:sz w:val="20"/>
          <w:szCs w:val="20"/>
          <w:lang w:val="es-ES_tradnl" w:bidi="es-ES"/>
        </w:rPr>
        <w:t xml:space="preserve">. </w:t>
      </w:r>
      <w:r w:rsidR="00952CAF" w:rsidRPr="00156525">
        <w:rPr>
          <w:rFonts w:asciiTheme="majorHAnsi" w:hAnsiTheme="majorHAnsi"/>
          <w:sz w:val="20"/>
          <w:szCs w:val="20"/>
          <w:lang w:val="es-ES_tradnl" w:bidi="es-ES"/>
        </w:rPr>
        <w:t>Este</w:t>
      </w:r>
      <w:r w:rsidR="00D35FA5" w:rsidRPr="00156525">
        <w:rPr>
          <w:rFonts w:asciiTheme="majorHAnsi" w:hAnsiTheme="majorHAnsi"/>
          <w:sz w:val="20"/>
          <w:szCs w:val="20"/>
          <w:lang w:val="es-ES_tradnl" w:bidi="es-ES"/>
        </w:rPr>
        <w:t xml:space="preserve">, </w:t>
      </w:r>
      <w:r w:rsidR="007265E1" w:rsidRPr="00156525">
        <w:rPr>
          <w:rFonts w:asciiTheme="majorHAnsi" w:hAnsiTheme="majorHAnsi"/>
          <w:sz w:val="20"/>
          <w:szCs w:val="20"/>
          <w:lang w:val="es-ES_tradnl" w:bidi="es-ES"/>
        </w:rPr>
        <w:t xml:space="preserve">una vez corroborada la </w:t>
      </w:r>
      <w:r w:rsidR="00A6289F" w:rsidRPr="00156525">
        <w:rPr>
          <w:rFonts w:asciiTheme="majorHAnsi" w:hAnsiTheme="majorHAnsi"/>
          <w:sz w:val="20"/>
          <w:szCs w:val="20"/>
          <w:lang w:val="es-ES_tradnl" w:bidi="es-ES"/>
        </w:rPr>
        <w:t>situación</w:t>
      </w:r>
      <w:r w:rsidR="007265E1" w:rsidRPr="00156525">
        <w:rPr>
          <w:rFonts w:asciiTheme="majorHAnsi" w:hAnsiTheme="majorHAnsi"/>
          <w:sz w:val="20"/>
          <w:szCs w:val="20"/>
          <w:lang w:val="es-ES_tradnl" w:bidi="es-ES"/>
        </w:rPr>
        <w:t xml:space="preserve"> en que se encontraban, hizo lugar a la solicitud</w:t>
      </w:r>
      <w:r w:rsidR="00952CAF" w:rsidRPr="00156525">
        <w:rPr>
          <w:rFonts w:asciiTheme="majorHAnsi" w:hAnsiTheme="majorHAnsi"/>
          <w:sz w:val="20"/>
          <w:szCs w:val="20"/>
          <w:lang w:val="es-ES_tradnl" w:bidi="es-ES"/>
        </w:rPr>
        <w:t xml:space="preserve"> de refugio</w:t>
      </w:r>
      <w:r w:rsidR="007265E1" w:rsidRPr="00156525">
        <w:rPr>
          <w:rFonts w:asciiTheme="majorHAnsi" w:hAnsiTheme="majorHAnsi"/>
          <w:sz w:val="20"/>
          <w:szCs w:val="20"/>
          <w:lang w:val="es-ES_tradnl" w:bidi="es-ES"/>
        </w:rPr>
        <w:t xml:space="preserve"> el 11 de enero de 1978. Los dos partieron juntos rumbo a Suecia</w:t>
      </w:r>
      <w:r w:rsidR="00D35FA5" w:rsidRPr="00156525">
        <w:rPr>
          <w:rFonts w:asciiTheme="majorHAnsi" w:hAnsiTheme="majorHAnsi"/>
          <w:sz w:val="20"/>
          <w:szCs w:val="20"/>
          <w:lang w:val="es-ES_tradnl" w:bidi="es-ES"/>
        </w:rPr>
        <w:t>,</w:t>
      </w:r>
      <w:r w:rsidR="007265E1" w:rsidRPr="00156525">
        <w:rPr>
          <w:rFonts w:asciiTheme="majorHAnsi" w:hAnsiTheme="majorHAnsi"/>
          <w:sz w:val="20"/>
          <w:szCs w:val="20"/>
          <w:lang w:val="es-ES_tradnl" w:bidi="es-ES"/>
        </w:rPr>
        <w:t xml:space="preserve"> desde Rio de Janeiro</w:t>
      </w:r>
      <w:r w:rsidR="00D35FA5" w:rsidRPr="00156525">
        <w:rPr>
          <w:rFonts w:asciiTheme="majorHAnsi" w:hAnsiTheme="majorHAnsi"/>
          <w:sz w:val="20"/>
          <w:szCs w:val="20"/>
          <w:lang w:val="es-ES_tradnl" w:bidi="es-ES"/>
        </w:rPr>
        <w:t>,</w:t>
      </w:r>
      <w:r w:rsidR="007265E1" w:rsidRPr="00156525">
        <w:rPr>
          <w:rFonts w:asciiTheme="majorHAnsi" w:hAnsiTheme="majorHAnsi"/>
          <w:sz w:val="20"/>
          <w:szCs w:val="20"/>
          <w:lang w:val="es-ES_tradnl" w:bidi="es-ES"/>
        </w:rPr>
        <w:t xml:space="preserve"> el 24 de marzo de 1978</w:t>
      </w:r>
      <w:r w:rsidR="00D35FA5" w:rsidRPr="00156525">
        <w:rPr>
          <w:rFonts w:asciiTheme="majorHAnsi" w:hAnsiTheme="majorHAnsi"/>
          <w:sz w:val="20"/>
          <w:szCs w:val="20"/>
          <w:lang w:val="es-ES_tradnl" w:bidi="es-ES"/>
        </w:rPr>
        <w:t>;</w:t>
      </w:r>
      <w:r w:rsidR="007265E1" w:rsidRPr="00156525">
        <w:rPr>
          <w:rFonts w:asciiTheme="majorHAnsi" w:hAnsiTheme="majorHAnsi"/>
          <w:sz w:val="20"/>
          <w:szCs w:val="20"/>
          <w:lang w:val="es-ES_tradnl" w:bidi="es-ES"/>
        </w:rPr>
        <w:t xml:space="preserve"> allí vivieron hasta el 27 de febrero de 1985, fecha en que regresaron a Argentina.</w:t>
      </w:r>
    </w:p>
    <w:p w14:paraId="513C66CF" w14:textId="765B0451" w:rsidR="007265E1" w:rsidRPr="00156525" w:rsidRDefault="002F36DA" w:rsidP="00972D3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bidi="es-ES"/>
        </w:rPr>
      </w:pPr>
      <w:hyperlink w:anchor="_bookmark0" w:history="1">
        <w:r w:rsidR="00D35FA5" w:rsidRPr="00156525">
          <w:rPr>
            <w:spacing w:val="-1"/>
            <w:sz w:val="20"/>
            <w:lang w:val="es-ES_tradnl"/>
          </w:rPr>
          <w:t>A</w:t>
        </w:r>
      </w:hyperlink>
      <w:r w:rsidR="00D35FA5" w:rsidRPr="00156525">
        <w:rPr>
          <w:spacing w:val="-1"/>
          <w:sz w:val="20"/>
          <w:lang w:val="es-ES_tradnl"/>
        </w:rPr>
        <w:t>ños</w:t>
      </w:r>
      <w:r w:rsidR="00D35FA5" w:rsidRPr="00156525">
        <w:rPr>
          <w:spacing w:val="-10"/>
          <w:sz w:val="20"/>
          <w:lang w:val="es-ES_tradnl"/>
        </w:rPr>
        <w:t xml:space="preserve"> </w:t>
      </w:r>
      <w:r w:rsidR="00D35FA5" w:rsidRPr="00156525">
        <w:rPr>
          <w:spacing w:val="-1"/>
          <w:sz w:val="20"/>
          <w:lang w:val="es-ES_tradnl"/>
        </w:rPr>
        <w:t xml:space="preserve">después, las presuntas víctimas presentaron </w:t>
      </w:r>
      <w:r w:rsidR="007265E1" w:rsidRPr="00156525">
        <w:rPr>
          <w:rFonts w:asciiTheme="majorHAnsi" w:hAnsiTheme="majorHAnsi"/>
          <w:sz w:val="20"/>
          <w:szCs w:val="20"/>
          <w:lang w:val="es-ES_tradnl" w:bidi="es-ES"/>
        </w:rPr>
        <w:t>solicitudes para incluir a la familia dentro de las políticas reparatorias que lleva adelante la República Argentina en el marco de la Ley 24.043.</w:t>
      </w:r>
      <w:r w:rsidR="00042C72">
        <w:rPr>
          <w:rFonts w:asciiTheme="majorHAnsi" w:hAnsiTheme="majorHAnsi"/>
          <w:sz w:val="20"/>
          <w:szCs w:val="20"/>
          <w:lang w:val="es-ES_tradnl" w:bidi="es-ES"/>
        </w:rPr>
        <w:t xml:space="preserve"> Sin embargo,</w:t>
      </w:r>
      <w:r w:rsidR="007265E1" w:rsidRPr="00156525">
        <w:rPr>
          <w:rFonts w:asciiTheme="majorHAnsi" w:hAnsiTheme="majorHAnsi"/>
          <w:sz w:val="20"/>
          <w:szCs w:val="20"/>
          <w:lang w:val="es-ES_tradnl" w:bidi="es-ES"/>
        </w:rPr>
        <w:t xml:space="preserve"> </w:t>
      </w:r>
      <w:r w:rsidR="00042C72">
        <w:rPr>
          <w:rFonts w:asciiTheme="majorHAnsi" w:hAnsiTheme="majorHAnsi"/>
          <w:sz w:val="20"/>
          <w:szCs w:val="20"/>
          <w:lang w:val="es-ES_tradnl" w:bidi="es-ES"/>
        </w:rPr>
        <w:t>l</w:t>
      </w:r>
      <w:r w:rsidR="007265E1" w:rsidRPr="00156525">
        <w:rPr>
          <w:rFonts w:asciiTheme="majorHAnsi" w:hAnsiTheme="majorHAnsi"/>
          <w:sz w:val="20"/>
          <w:szCs w:val="20"/>
          <w:lang w:val="es-ES_tradnl" w:bidi="es-ES"/>
        </w:rPr>
        <w:t xml:space="preserve">as solicitudes </w:t>
      </w:r>
      <w:r w:rsidR="00D35FA5" w:rsidRPr="00156525">
        <w:rPr>
          <w:rFonts w:asciiTheme="majorHAnsi" w:hAnsiTheme="majorHAnsi"/>
          <w:sz w:val="20"/>
          <w:szCs w:val="20"/>
          <w:lang w:val="es-ES_tradnl" w:bidi="es-ES"/>
        </w:rPr>
        <w:t>(procesos administrativos</w:t>
      </w:r>
      <w:r w:rsidR="007265E1" w:rsidRPr="00156525">
        <w:rPr>
          <w:rFonts w:asciiTheme="majorHAnsi" w:hAnsiTheme="majorHAnsi"/>
          <w:sz w:val="20"/>
          <w:szCs w:val="20"/>
          <w:lang w:val="es-ES_tradnl" w:bidi="es-ES"/>
        </w:rPr>
        <w:t xml:space="preserve"> 145.359/2004 y 145.357/2004</w:t>
      </w:r>
      <w:r w:rsidR="00D35FA5" w:rsidRPr="00156525">
        <w:rPr>
          <w:rFonts w:asciiTheme="majorHAnsi" w:hAnsiTheme="majorHAnsi"/>
          <w:sz w:val="20"/>
          <w:szCs w:val="20"/>
          <w:lang w:val="es-ES_tradnl" w:bidi="es-ES"/>
        </w:rPr>
        <w:t>)</w:t>
      </w:r>
      <w:r w:rsidR="007265E1" w:rsidRPr="00156525">
        <w:rPr>
          <w:rFonts w:asciiTheme="majorHAnsi" w:hAnsiTheme="majorHAnsi"/>
          <w:sz w:val="20"/>
          <w:szCs w:val="20"/>
          <w:lang w:val="es-ES_tradnl" w:bidi="es-ES"/>
        </w:rPr>
        <w:t xml:space="preserve"> fueron rechazadas mediante resoluciones dictadas por el Ministerio de Justicia y Derechos Humanos dependiente del Poder Ejecutivo Nacional (</w:t>
      </w:r>
      <w:r w:rsidR="00D35FA5" w:rsidRPr="00156525">
        <w:rPr>
          <w:rFonts w:asciiTheme="majorHAnsi" w:hAnsiTheme="majorHAnsi"/>
          <w:sz w:val="20"/>
          <w:szCs w:val="20"/>
          <w:lang w:val="es-ES_tradnl" w:bidi="es-ES"/>
        </w:rPr>
        <w:t>r</w:t>
      </w:r>
      <w:r w:rsidR="007265E1" w:rsidRPr="00156525">
        <w:rPr>
          <w:rFonts w:asciiTheme="majorHAnsi" w:hAnsiTheme="majorHAnsi"/>
          <w:sz w:val="20"/>
          <w:szCs w:val="20"/>
          <w:lang w:val="es-ES_tradnl" w:bidi="es-ES"/>
        </w:rPr>
        <w:t>esoluciones 866/09, de 31 de marzo de 2009; y 1323/09, de 29 de abril de 2009). El rechazo se fundó en que</w:t>
      </w:r>
      <w:r w:rsidR="00972D39">
        <w:rPr>
          <w:rFonts w:asciiTheme="majorHAnsi" w:hAnsiTheme="majorHAnsi"/>
          <w:sz w:val="20"/>
          <w:szCs w:val="20"/>
          <w:lang w:val="es-ES_tradnl" w:bidi="es-ES"/>
        </w:rPr>
        <w:t xml:space="preserve"> los casos de exilio sin detención previa ni expulsión no se encuentran contemplados en la citada Ley.</w:t>
      </w:r>
    </w:p>
    <w:p w14:paraId="195A1BEB" w14:textId="311975B5" w:rsidR="00972D39" w:rsidRDefault="007265E1" w:rsidP="00977EE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bidi="es-ES"/>
        </w:rPr>
      </w:pPr>
      <w:r w:rsidRPr="00972D39">
        <w:rPr>
          <w:rFonts w:asciiTheme="majorHAnsi" w:hAnsiTheme="majorHAnsi"/>
          <w:sz w:val="20"/>
          <w:szCs w:val="20"/>
          <w:lang w:val="es-ES_tradnl" w:bidi="es-ES"/>
        </w:rPr>
        <w:t xml:space="preserve">La peticionaria </w:t>
      </w:r>
      <w:r w:rsidR="006232DA" w:rsidRPr="00972D39">
        <w:rPr>
          <w:rFonts w:asciiTheme="majorHAnsi" w:hAnsiTheme="majorHAnsi"/>
          <w:sz w:val="20"/>
          <w:szCs w:val="20"/>
          <w:lang w:val="es-ES_tradnl" w:bidi="es-ES"/>
        </w:rPr>
        <w:t>argumenta</w:t>
      </w:r>
      <w:r w:rsidRPr="00972D39">
        <w:rPr>
          <w:rFonts w:asciiTheme="majorHAnsi" w:hAnsiTheme="majorHAnsi"/>
          <w:sz w:val="20"/>
          <w:szCs w:val="20"/>
          <w:lang w:val="es-ES_tradnl" w:bidi="es-ES"/>
        </w:rPr>
        <w:t xml:space="preserve"> que la citada interpretación sería contradictoria con lo dispuesto en muchos otros casos. </w:t>
      </w:r>
      <w:r w:rsidR="00972D39" w:rsidRPr="00972D39">
        <w:rPr>
          <w:rFonts w:asciiTheme="majorHAnsi" w:hAnsiTheme="majorHAnsi"/>
          <w:sz w:val="20"/>
          <w:szCs w:val="20"/>
          <w:lang w:val="es-ES_tradnl" w:bidi="es-ES"/>
        </w:rPr>
        <w:t>En este sentido, menciona el fallo Yofré de Vaca Narvaja, que otorgaba resarcimiento económico a quienes debieron salir del país a efectos de salvaguardar su vida o libertad, y argumenta que el mismo criterio jurídico de este fallo ha sido aplicado por el Estado de Argentina en relación con una gran cantidad de ciudadanos</w:t>
      </w:r>
      <w:r w:rsidR="00972D39">
        <w:rPr>
          <w:rFonts w:asciiTheme="majorHAnsi" w:hAnsiTheme="majorHAnsi"/>
          <w:sz w:val="20"/>
          <w:szCs w:val="20"/>
          <w:lang w:val="es-ES_tradnl" w:bidi="es-ES"/>
        </w:rPr>
        <w:t>,</w:t>
      </w:r>
      <w:r w:rsidR="00972D39" w:rsidRPr="00972D39">
        <w:rPr>
          <w:rFonts w:asciiTheme="majorHAnsi" w:hAnsiTheme="majorHAnsi"/>
          <w:sz w:val="20"/>
          <w:szCs w:val="20"/>
          <w:lang w:val="es-ES_tradnl" w:bidi="es-ES"/>
        </w:rPr>
        <w:t xml:space="preserve"> entre ellos Pennette, Bossarelli, Masramón</w:t>
      </w:r>
      <w:r w:rsidR="00972D39">
        <w:rPr>
          <w:rFonts w:asciiTheme="majorHAnsi" w:hAnsiTheme="majorHAnsi"/>
          <w:sz w:val="20"/>
          <w:szCs w:val="20"/>
          <w:lang w:val="es-ES_tradnl" w:bidi="es-ES"/>
        </w:rPr>
        <w:t xml:space="preserve"> y</w:t>
      </w:r>
      <w:r w:rsidR="00972D39" w:rsidRPr="00972D39">
        <w:rPr>
          <w:rFonts w:asciiTheme="majorHAnsi" w:hAnsiTheme="majorHAnsi"/>
          <w:sz w:val="20"/>
          <w:szCs w:val="20"/>
          <w:lang w:val="es-ES_tradnl" w:bidi="es-ES"/>
        </w:rPr>
        <w:t xml:space="preserve"> Sabini</w:t>
      </w:r>
      <w:r w:rsidR="00972D39">
        <w:rPr>
          <w:rFonts w:asciiTheme="majorHAnsi" w:hAnsiTheme="majorHAnsi"/>
          <w:sz w:val="20"/>
          <w:szCs w:val="20"/>
          <w:lang w:val="es-ES_tradnl" w:bidi="es-ES"/>
        </w:rPr>
        <w:t>. Señala que los citados ciudadanos han presentado pruebas similares y su derecho a la reparación fue reconocido, mientras las presuntas víctimas tuvieron el mismo derecho rechazado durante sus procesos internos.</w:t>
      </w:r>
    </w:p>
    <w:p w14:paraId="486B942A" w14:textId="6A78CB32" w:rsidR="00810648" w:rsidRDefault="00972D39" w:rsidP="00972D3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bidi="es-ES"/>
        </w:rPr>
      </w:pPr>
      <w:r>
        <w:rPr>
          <w:rFonts w:asciiTheme="majorHAnsi" w:hAnsiTheme="majorHAnsi"/>
          <w:sz w:val="20"/>
          <w:szCs w:val="20"/>
          <w:lang w:val="es-ES_tradnl" w:bidi="es-ES"/>
        </w:rPr>
        <w:t>La parte peticionaria i</w:t>
      </w:r>
      <w:r w:rsidR="007265E1" w:rsidRPr="00156525">
        <w:rPr>
          <w:rFonts w:asciiTheme="majorHAnsi" w:hAnsiTheme="majorHAnsi"/>
          <w:sz w:val="20"/>
          <w:szCs w:val="20"/>
          <w:lang w:val="es-ES_tradnl" w:bidi="es-ES"/>
        </w:rPr>
        <w:t>nforma</w:t>
      </w:r>
      <w:r w:rsidR="006232DA" w:rsidRPr="00156525">
        <w:rPr>
          <w:rFonts w:asciiTheme="majorHAnsi" w:hAnsiTheme="majorHAnsi"/>
          <w:sz w:val="20"/>
          <w:szCs w:val="20"/>
          <w:lang w:val="es-ES_tradnl" w:bidi="es-ES"/>
        </w:rPr>
        <w:t xml:space="preserve">, asimismo, que las presuntas víctimas interpusieron recursos contra las resoluciones, ambos rechazados por decisiones de las Salas IV y V de la Cámara Nacional de Apelaciones en lo Contencioso Administrativo Federal. </w:t>
      </w:r>
      <w:r w:rsidR="007265E1" w:rsidRPr="00156525">
        <w:rPr>
          <w:rFonts w:asciiTheme="majorHAnsi" w:hAnsiTheme="majorHAnsi"/>
          <w:sz w:val="20"/>
          <w:szCs w:val="20"/>
          <w:lang w:val="es-ES_tradnl" w:bidi="es-ES"/>
        </w:rPr>
        <w:t xml:space="preserve">El rechazo se basó </w:t>
      </w:r>
      <w:r w:rsidR="006232DA" w:rsidRPr="00156525">
        <w:rPr>
          <w:rFonts w:asciiTheme="majorHAnsi" w:hAnsiTheme="majorHAnsi"/>
          <w:sz w:val="20"/>
          <w:szCs w:val="20"/>
          <w:lang w:val="es-ES_tradnl" w:bidi="es-ES"/>
        </w:rPr>
        <w:t xml:space="preserve">igualmente </w:t>
      </w:r>
      <w:r w:rsidR="007265E1" w:rsidRPr="00156525">
        <w:rPr>
          <w:rFonts w:asciiTheme="majorHAnsi" w:hAnsiTheme="majorHAnsi"/>
          <w:sz w:val="20"/>
          <w:szCs w:val="20"/>
          <w:lang w:val="es-ES_tradnl" w:bidi="es-ES"/>
        </w:rPr>
        <w:t xml:space="preserve">en que no estaría demostrada la situación de exilio denunciada. </w:t>
      </w:r>
    </w:p>
    <w:p w14:paraId="2D998E70" w14:textId="17C3AA5E" w:rsidR="006232DA" w:rsidRPr="00156525" w:rsidRDefault="006232DA" w:rsidP="00942C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bidi="es-ES"/>
        </w:rPr>
      </w:pPr>
      <w:r w:rsidRPr="00156525">
        <w:rPr>
          <w:rFonts w:asciiTheme="majorHAnsi" w:hAnsiTheme="majorHAnsi"/>
          <w:sz w:val="20"/>
          <w:szCs w:val="20"/>
          <w:lang w:val="es-ES_tradnl" w:bidi="es-ES"/>
        </w:rPr>
        <w:t>A continuación, interpusieron recursos extraordinarios federales a la Corte Suprema de Justicia, rechazados porque excedieron el número de renglones por página. En conclusión, presentaron un recurso revocatorio que fue igualmente rechazado por la Corte Suprema.</w:t>
      </w:r>
    </w:p>
    <w:p w14:paraId="6D1BE104" w14:textId="7A255E40" w:rsidR="00D35FA5" w:rsidRPr="00156525" w:rsidRDefault="00D35FA5" w:rsidP="00D35FA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bidi="es-ES"/>
        </w:rPr>
      </w:pPr>
      <w:r w:rsidRPr="00156525">
        <w:rPr>
          <w:rFonts w:asciiTheme="majorHAnsi" w:hAnsiTheme="majorHAnsi"/>
          <w:i/>
          <w:iCs/>
          <w:sz w:val="20"/>
          <w:szCs w:val="20"/>
          <w:lang w:val="es-ES_tradnl" w:bidi="es-ES"/>
        </w:rPr>
        <w:t>Posición del Estado de Argentina</w:t>
      </w:r>
    </w:p>
    <w:p w14:paraId="7EC60EF3" w14:textId="2EB2EA55" w:rsidR="00C070B8" w:rsidRPr="00156525" w:rsidRDefault="00D35FA5" w:rsidP="00473E1A">
      <w:pPr>
        <w:pStyle w:val="ListParagraph"/>
        <w:numPr>
          <w:ilvl w:val="0"/>
          <w:numId w:val="60"/>
        </w:numPr>
        <w:suppressAutoHyphens/>
        <w:spacing w:before="240" w:after="240"/>
        <w:ind w:left="0" w:firstLine="720"/>
        <w:jc w:val="both"/>
        <w:rPr>
          <w:rFonts w:asciiTheme="majorHAnsi" w:hAnsiTheme="majorHAnsi"/>
          <w:sz w:val="20"/>
          <w:szCs w:val="20"/>
          <w:lang w:val="es-ES_tradnl" w:bidi="es-ES"/>
        </w:rPr>
      </w:pPr>
      <w:r w:rsidRPr="00156525">
        <w:rPr>
          <w:rFonts w:asciiTheme="majorHAnsi" w:hAnsiTheme="majorHAnsi"/>
          <w:sz w:val="20"/>
          <w:szCs w:val="20"/>
          <w:lang w:val="es-ES_tradnl" w:bidi="es-ES"/>
        </w:rPr>
        <w:t>E</w:t>
      </w:r>
      <w:r w:rsidR="009B7154" w:rsidRPr="00156525">
        <w:rPr>
          <w:rFonts w:asciiTheme="majorHAnsi" w:hAnsiTheme="majorHAnsi"/>
          <w:sz w:val="20"/>
          <w:szCs w:val="20"/>
          <w:lang w:val="es-ES_tradnl" w:bidi="es-ES"/>
        </w:rPr>
        <w:t xml:space="preserve">l Estado </w:t>
      </w:r>
      <w:r w:rsidR="00473E1A" w:rsidRPr="00156525">
        <w:rPr>
          <w:sz w:val="20"/>
          <w:szCs w:val="20"/>
          <w:lang w:val="es-ES_tradnl"/>
        </w:rPr>
        <w:t xml:space="preserve">considera que la CIDH no tiene competencia </w:t>
      </w:r>
      <w:r w:rsidR="00473E1A" w:rsidRPr="00156525">
        <w:rPr>
          <w:i/>
          <w:iCs/>
          <w:sz w:val="20"/>
          <w:szCs w:val="20"/>
          <w:lang w:val="es-ES_tradnl"/>
        </w:rPr>
        <w:t>ratione temporis</w:t>
      </w:r>
      <w:r w:rsidR="00473E1A" w:rsidRPr="00156525">
        <w:rPr>
          <w:sz w:val="20"/>
          <w:szCs w:val="20"/>
          <w:lang w:val="es-ES_tradnl"/>
        </w:rPr>
        <w:t xml:space="preserve"> respecto de todo hecho ocurrido con anterioridad a la ratificación de la Convención Americana. Con respecto </w:t>
      </w:r>
      <w:r w:rsidR="005C6069">
        <w:rPr>
          <w:sz w:val="20"/>
          <w:szCs w:val="20"/>
          <w:lang w:val="es-ES_tradnl"/>
        </w:rPr>
        <w:t xml:space="preserve">a </w:t>
      </w:r>
      <w:r w:rsidR="00473E1A" w:rsidRPr="00156525">
        <w:rPr>
          <w:sz w:val="20"/>
          <w:szCs w:val="20"/>
          <w:lang w:val="es-ES_tradnl"/>
        </w:rPr>
        <w:t xml:space="preserve">las reparaciones, posterior a dicha ratificación, brinda información sobre </w:t>
      </w:r>
      <w:r w:rsidR="00473E1A" w:rsidRPr="00156525">
        <w:rPr>
          <w:rFonts w:asciiTheme="majorHAnsi" w:hAnsiTheme="majorHAnsi"/>
          <w:sz w:val="20"/>
          <w:szCs w:val="20"/>
          <w:lang w:val="es-ES_tradnl" w:bidi="es-ES"/>
        </w:rPr>
        <w:t xml:space="preserve">los procesos internos mencionados por la parte peticionaria, particularmente sobre lo sucedido en </w:t>
      </w:r>
      <w:r w:rsidR="00C070B8" w:rsidRPr="00156525">
        <w:rPr>
          <w:rFonts w:asciiTheme="majorHAnsi" w:hAnsiTheme="majorHAnsi"/>
          <w:sz w:val="20"/>
          <w:szCs w:val="20"/>
          <w:lang w:val="es-ES_tradnl" w:bidi="es-ES"/>
        </w:rPr>
        <w:t>las decisiones de segunda instancia y de la Corte Suprema</w:t>
      </w:r>
      <w:r w:rsidR="006232DA" w:rsidRPr="00156525">
        <w:rPr>
          <w:rFonts w:asciiTheme="majorHAnsi" w:hAnsiTheme="majorHAnsi"/>
          <w:sz w:val="20"/>
          <w:szCs w:val="20"/>
          <w:lang w:val="es-ES_tradnl" w:bidi="es-ES"/>
        </w:rPr>
        <w:t xml:space="preserve">. </w:t>
      </w:r>
    </w:p>
    <w:p w14:paraId="1EEFCD4F" w14:textId="29C8DE52" w:rsidR="00C070B8" w:rsidRPr="00156525" w:rsidRDefault="00473E1A" w:rsidP="00D97484">
      <w:pPr>
        <w:pStyle w:val="ListParagraph"/>
        <w:numPr>
          <w:ilvl w:val="0"/>
          <w:numId w:val="60"/>
        </w:numPr>
        <w:suppressAutoHyphens/>
        <w:spacing w:before="240" w:after="240"/>
        <w:ind w:left="0" w:firstLine="720"/>
        <w:jc w:val="both"/>
        <w:rPr>
          <w:rFonts w:asciiTheme="majorHAnsi" w:hAnsiTheme="majorHAnsi"/>
          <w:sz w:val="20"/>
          <w:szCs w:val="20"/>
          <w:lang w:val="es-ES_tradnl" w:bidi="es-ES"/>
        </w:rPr>
      </w:pPr>
      <w:r w:rsidRPr="00156525">
        <w:rPr>
          <w:rFonts w:asciiTheme="majorHAnsi" w:hAnsiTheme="majorHAnsi"/>
          <w:sz w:val="20"/>
          <w:szCs w:val="20"/>
          <w:lang w:val="es-ES_tradnl" w:bidi="es-ES"/>
        </w:rPr>
        <w:lastRenderedPageBreak/>
        <w:t xml:space="preserve">En este sentido, </w:t>
      </w:r>
      <w:r w:rsidR="005C6069">
        <w:rPr>
          <w:rFonts w:asciiTheme="majorHAnsi" w:hAnsiTheme="majorHAnsi"/>
          <w:sz w:val="20"/>
          <w:szCs w:val="20"/>
          <w:lang w:val="es-ES_tradnl" w:bidi="es-ES"/>
        </w:rPr>
        <w:t xml:space="preserve">Argentina </w:t>
      </w:r>
      <w:r w:rsidRPr="00156525">
        <w:rPr>
          <w:rFonts w:asciiTheme="majorHAnsi" w:hAnsiTheme="majorHAnsi"/>
          <w:sz w:val="20"/>
          <w:szCs w:val="20"/>
          <w:lang w:val="es-ES_tradnl" w:bidi="es-ES"/>
        </w:rPr>
        <w:t>i</w:t>
      </w:r>
      <w:r w:rsidR="006232DA" w:rsidRPr="00156525">
        <w:rPr>
          <w:rFonts w:asciiTheme="majorHAnsi" w:hAnsiTheme="majorHAnsi"/>
          <w:sz w:val="20"/>
          <w:szCs w:val="20"/>
          <w:lang w:val="es-ES_tradnl" w:bidi="es-ES"/>
        </w:rPr>
        <w:t>ndica que la Sala V de la Cámara de segunda instancia rechazó el recurso de la Sra. Manoppella al entender que la situación de refugiada no era suficiente para que fuera otorgado el beneficio, y que la peticionaria no presentó elementos de juicio dirigidos a acreditar que las persecuciones sufridas por su marido fueron la motivación del exilio.</w:t>
      </w:r>
      <w:r w:rsidRPr="00156525">
        <w:rPr>
          <w:rFonts w:asciiTheme="majorHAnsi" w:hAnsiTheme="majorHAnsi"/>
          <w:sz w:val="20"/>
          <w:szCs w:val="20"/>
          <w:lang w:val="es-ES_tradnl" w:bidi="es-ES"/>
        </w:rPr>
        <w:t xml:space="preserve"> </w:t>
      </w:r>
      <w:r w:rsidR="00C070B8" w:rsidRPr="00156525">
        <w:rPr>
          <w:rFonts w:asciiTheme="majorHAnsi" w:hAnsiTheme="majorHAnsi"/>
          <w:sz w:val="20"/>
          <w:szCs w:val="20"/>
          <w:lang w:val="es-ES_tradnl" w:bidi="es-ES"/>
        </w:rPr>
        <w:t>En relación al señor Puy, la Sala IV de la Cámara decidió confirmar la decisión administrativa apelada al concluir que el beneficio de la ley 24.043 no se extiende a quienes no pueden demostrar persecución política y personal, interpretando su salida del país como un autoexilio voluntario. Esta decisión se basó en el precedente del caso "Yofre de Vaca Narvaja", resaltando la necesidad de evidenciar el vínculo entre el exilio y las amenazas políticas. Asimismo, la Sala IV recordó que la finalidad de la ley 24.043 es compensar económicamente a quienes estuvieron bajo custodia del Poder Ejecutivo de la Nación o fueron detenidos por tribunales militares durante la última ruptura del orden constitucional. En este contexto, se subraya que la condición esencial para conceder el beneficio es la demostración de una detención ilegítima. En los casos evaluados previamente, según el Estado, siempre hubo un periodo de detención, considerándose el exilio como una extensión de dicha detención ilegal.</w:t>
      </w:r>
    </w:p>
    <w:p w14:paraId="470FA0E0" w14:textId="12A544C8" w:rsidR="00A03B25" w:rsidRPr="006C2689" w:rsidRDefault="00A03B25" w:rsidP="00A93486">
      <w:pPr>
        <w:pStyle w:val="ListParagraph"/>
        <w:numPr>
          <w:ilvl w:val="0"/>
          <w:numId w:val="60"/>
        </w:numPr>
        <w:suppressAutoHyphens/>
        <w:spacing w:before="240" w:after="240"/>
        <w:ind w:left="0" w:firstLine="720"/>
        <w:jc w:val="both"/>
        <w:rPr>
          <w:rFonts w:asciiTheme="majorHAnsi" w:hAnsiTheme="majorHAnsi"/>
          <w:sz w:val="20"/>
          <w:szCs w:val="20"/>
          <w:lang w:val="es-ES_tradnl" w:bidi="es-ES"/>
        </w:rPr>
      </w:pPr>
      <w:r w:rsidRPr="006C2689">
        <w:rPr>
          <w:rFonts w:asciiTheme="majorHAnsi" w:hAnsiTheme="majorHAnsi"/>
          <w:sz w:val="20"/>
          <w:szCs w:val="20"/>
          <w:lang w:val="es-ES_tradnl" w:bidi="es-ES"/>
        </w:rPr>
        <w:t>El Estado informa, además, que la Corte Suprema de Justicia de la Nación rechazó los recursos extraordinarios federales interpuestos por las presuntas víctimas debido a que no cumplían con los requisitos formales, específicamente el requisito de admisibilidad regulado por el artículo 1º del Reglamento aprobado por la Acordada 4/2007, que se refiere a la cantidad de renglones por página. En el caso del Sr. Puy, el rechazo se produjo mediante resolución de fecha 10 de agosto de 2010,</w:t>
      </w:r>
      <w:r w:rsidR="00473E1A" w:rsidRPr="006C2689">
        <w:rPr>
          <w:rFonts w:asciiTheme="majorHAnsi" w:hAnsiTheme="majorHAnsi"/>
          <w:sz w:val="20"/>
          <w:szCs w:val="20"/>
          <w:lang w:val="es-ES_tradnl" w:bidi="es-ES"/>
        </w:rPr>
        <w:t xml:space="preserve"> notificada el 6 de septiembre de 2010,</w:t>
      </w:r>
      <w:r w:rsidRPr="006C2689">
        <w:rPr>
          <w:rFonts w:asciiTheme="majorHAnsi" w:hAnsiTheme="majorHAnsi"/>
          <w:sz w:val="20"/>
          <w:szCs w:val="20"/>
          <w:lang w:val="es-ES_tradnl" w:bidi="es-ES"/>
        </w:rPr>
        <w:t xml:space="preserve"> mientras que en el caso de la Sra. Manoppella, la decisión de rechazo es de 5 de octubre de 2010</w:t>
      </w:r>
      <w:r w:rsidR="00473E1A" w:rsidRPr="006C2689">
        <w:rPr>
          <w:rFonts w:asciiTheme="majorHAnsi" w:hAnsiTheme="majorHAnsi"/>
          <w:sz w:val="20"/>
          <w:szCs w:val="20"/>
          <w:lang w:val="es-ES_tradnl" w:bidi="es-ES"/>
        </w:rPr>
        <w:t>, con notificación el 20 de octubre de 2010</w:t>
      </w:r>
      <w:r w:rsidRPr="006C2689">
        <w:rPr>
          <w:rFonts w:asciiTheme="majorHAnsi" w:hAnsiTheme="majorHAnsi"/>
          <w:sz w:val="20"/>
          <w:szCs w:val="20"/>
          <w:lang w:val="es-ES_tradnl" w:bidi="es-ES"/>
        </w:rPr>
        <w:t xml:space="preserve">. Las presuntas víctimas presentaron recursos de reposición; sin embargo, ambos fueron rechazados mediante resoluciones de fecha 15 de marzo de 2011 y 7 de junio de 2011, </w:t>
      </w:r>
      <w:r w:rsidR="006C2689" w:rsidRPr="006C2689">
        <w:rPr>
          <w:rFonts w:asciiTheme="majorHAnsi" w:hAnsiTheme="majorHAnsi"/>
          <w:sz w:val="20"/>
          <w:szCs w:val="20"/>
          <w:lang w:val="es-ES_tradnl" w:bidi="es-ES"/>
        </w:rPr>
        <w:t xml:space="preserve">notificadas, respectivamente, el 6 de abril de 2011 y el 17 de junio de 2011, </w:t>
      </w:r>
      <w:r w:rsidRPr="006C2689">
        <w:rPr>
          <w:rFonts w:asciiTheme="majorHAnsi" w:hAnsiTheme="majorHAnsi"/>
          <w:sz w:val="20"/>
          <w:szCs w:val="20"/>
          <w:lang w:val="es-ES_tradnl" w:bidi="es-ES"/>
        </w:rPr>
        <w:t>en las cuales la Corte Suprema señaló que sus decisiones no son susceptibles de ser revocadas por vía de recurso de reconsideración, revocatoria o nulidad.</w:t>
      </w:r>
    </w:p>
    <w:p w14:paraId="2912FEBB" w14:textId="0055E4A8" w:rsidR="005D330F" w:rsidRPr="00156525" w:rsidRDefault="005D330F" w:rsidP="00541E7B">
      <w:pPr>
        <w:pStyle w:val="Heading2"/>
        <w:suppressAutoHyphens/>
        <w:spacing w:after="240"/>
        <w:ind w:right="12" w:firstLine="720"/>
        <w:jc w:val="both"/>
        <w:rPr>
          <w:rFonts w:asciiTheme="majorHAnsi" w:hAnsiTheme="majorHAnsi"/>
          <w:i w:val="0"/>
          <w:iCs w:val="0"/>
          <w:sz w:val="20"/>
          <w:szCs w:val="20"/>
          <w:lang w:val="es-ES_tradnl"/>
        </w:rPr>
      </w:pPr>
      <w:r w:rsidRPr="00156525">
        <w:rPr>
          <w:rFonts w:asciiTheme="majorHAnsi" w:hAnsiTheme="majorHAnsi"/>
          <w:i w:val="0"/>
          <w:iCs w:val="0"/>
          <w:sz w:val="20"/>
          <w:szCs w:val="20"/>
          <w:lang w:val="es-ES_tradnl"/>
        </w:rPr>
        <w:t>VI.</w:t>
      </w:r>
      <w:r w:rsidRPr="00156525">
        <w:rPr>
          <w:rFonts w:asciiTheme="majorHAnsi" w:hAnsiTheme="majorHAnsi"/>
          <w:i w:val="0"/>
          <w:iCs w:val="0"/>
          <w:sz w:val="20"/>
          <w:szCs w:val="20"/>
          <w:lang w:val="es-ES_tradnl"/>
        </w:rPr>
        <w:tab/>
      </w:r>
      <w:r w:rsidR="00D57877">
        <w:rPr>
          <w:rFonts w:asciiTheme="majorHAnsi" w:hAnsiTheme="majorHAnsi"/>
          <w:i w:val="0"/>
          <w:iCs w:val="0"/>
          <w:sz w:val="20"/>
          <w:szCs w:val="20"/>
          <w:lang w:val="es-ES_tradnl"/>
        </w:rPr>
        <w:t xml:space="preserve">ANÁLISIS DE </w:t>
      </w:r>
      <w:r w:rsidRPr="00156525">
        <w:rPr>
          <w:rFonts w:asciiTheme="majorHAnsi" w:hAnsiTheme="majorHAnsi"/>
          <w:i w:val="0"/>
          <w:iCs w:val="0"/>
          <w:sz w:val="20"/>
          <w:szCs w:val="20"/>
          <w:lang w:val="es-ES_tradnl"/>
        </w:rPr>
        <w:t>AGOTAMIENTO DE LOS RECURSOS INTERNOS Y PLAZO DE PRESENTACIÓN</w:t>
      </w:r>
    </w:p>
    <w:p w14:paraId="6D437BF0" w14:textId="3441A3A6" w:rsidR="00D112F0" w:rsidRPr="00D112F0" w:rsidRDefault="00D112F0" w:rsidP="00D112F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156525">
        <w:rPr>
          <w:rFonts w:asciiTheme="majorHAnsi" w:hAnsiTheme="majorHAnsi"/>
          <w:sz w:val="20"/>
          <w:szCs w:val="20"/>
          <w:lang w:val="es-ES_tradnl" w:bidi="es-ES"/>
        </w:rPr>
        <w:t xml:space="preserve">La petición incluye alegatos de violaciones como consecuencia de hechos relacionados </w:t>
      </w:r>
      <w:r w:rsidR="000A00DB">
        <w:rPr>
          <w:rFonts w:asciiTheme="majorHAnsi" w:hAnsiTheme="majorHAnsi"/>
          <w:sz w:val="20"/>
          <w:szCs w:val="20"/>
          <w:lang w:val="es-ES_tradnl" w:bidi="es-ES"/>
        </w:rPr>
        <w:t>con</w:t>
      </w:r>
      <w:r w:rsidRPr="00156525">
        <w:rPr>
          <w:rFonts w:asciiTheme="majorHAnsi" w:hAnsiTheme="majorHAnsi"/>
          <w:sz w:val="20"/>
          <w:szCs w:val="20"/>
          <w:lang w:val="es-ES_tradnl" w:bidi="es-ES"/>
        </w:rPr>
        <w:t xml:space="preserve"> la persecución que las </w:t>
      </w:r>
      <w:r w:rsidR="00630ED4" w:rsidRPr="00156525">
        <w:rPr>
          <w:rFonts w:asciiTheme="majorHAnsi" w:hAnsiTheme="majorHAnsi"/>
          <w:sz w:val="20"/>
          <w:szCs w:val="20"/>
          <w:lang w:val="es-ES_tradnl" w:bidi="es-ES"/>
        </w:rPr>
        <w:t>presuntas víctimas</w:t>
      </w:r>
      <w:r w:rsidRPr="00156525">
        <w:rPr>
          <w:rFonts w:asciiTheme="majorHAnsi" w:hAnsiTheme="majorHAnsi"/>
          <w:sz w:val="20"/>
          <w:szCs w:val="20"/>
          <w:lang w:val="es-ES_tradnl" w:bidi="es-ES"/>
        </w:rPr>
        <w:t xml:space="preserve"> indican haber sufrido durante los años 70 y 80, así como a la solicitud que hizo por reparaciones bajo la Ley No. 24.043. En cuanto a los alegatos relacionados a la persecución, no se observa concretamente información sobre previo agotamiento. </w:t>
      </w:r>
    </w:p>
    <w:p w14:paraId="07240C35" w14:textId="2CE877AA" w:rsidR="003031DF" w:rsidRPr="00156525" w:rsidRDefault="00B15A68" w:rsidP="00C0356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bidi="es-ES"/>
        </w:rPr>
      </w:pPr>
      <w:r w:rsidRPr="00156525">
        <w:rPr>
          <w:rFonts w:asciiTheme="majorHAnsi" w:hAnsiTheme="majorHAnsi"/>
          <w:sz w:val="20"/>
          <w:szCs w:val="20"/>
          <w:lang w:val="es-ES_tradnl" w:bidi="es-ES"/>
        </w:rPr>
        <w:t xml:space="preserve">El </w:t>
      </w:r>
      <w:r w:rsidR="00B856AD" w:rsidRPr="00156525">
        <w:rPr>
          <w:rFonts w:asciiTheme="majorHAnsi" w:hAnsiTheme="majorHAnsi"/>
          <w:sz w:val="20"/>
          <w:szCs w:val="20"/>
          <w:lang w:val="es-ES_tradnl" w:bidi="es-ES"/>
        </w:rPr>
        <w:t>Estado</w:t>
      </w:r>
      <w:r w:rsidR="00473E1A" w:rsidRPr="00156525">
        <w:rPr>
          <w:rFonts w:asciiTheme="majorHAnsi" w:hAnsiTheme="majorHAnsi"/>
          <w:sz w:val="20"/>
          <w:szCs w:val="20"/>
          <w:lang w:val="es-ES_tradnl" w:bidi="es-ES"/>
        </w:rPr>
        <w:t xml:space="preserve">, en resumen, </w:t>
      </w:r>
      <w:r w:rsidR="00B856AD" w:rsidRPr="00156525">
        <w:rPr>
          <w:sz w:val="20"/>
          <w:szCs w:val="20"/>
          <w:lang w:val="es-ES_tradnl"/>
        </w:rPr>
        <w:t>advierte a la CIDH que la petición inicial de la peticionaria, recibida el 6 de octubre de 2011, fue puesta en conocimiento del Estado cerca de seis años después</w:t>
      </w:r>
      <w:r w:rsidR="00473E1A" w:rsidRPr="00156525">
        <w:rPr>
          <w:sz w:val="20"/>
          <w:szCs w:val="20"/>
          <w:lang w:val="es-ES_tradnl"/>
        </w:rPr>
        <w:t>;</w:t>
      </w:r>
      <w:r w:rsidR="00B856AD" w:rsidRPr="00156525">
        <w:rPr>
          <w:sz w:val="20"/>
          <w:szCs w:val="20"/>
          <w:lang w:val="es-ES_tradnl"/>
        </w:rPr>
        <w:t xml:space="preserve"> afirma que no hubo agotamiento de los recursos internos en buena y debida forma, porque los recursos extraordinarios federales fueron rechazados por defectos formale</w:t>
      </w:r>
      <w:r w:rsidR="00473E1A" w:rsidRPr="00156525">
        <w:rPr>
          <w:sz w:val="20"/>
          <w:szCs w:val="20"/>
          <w:lang w:val="es-ES_tradnl"/>
        </w:rPr>
        <w:t>s;</w:t>
      </w:r>
      <w:r w:rsidR="00B856AD" w:rsidRPr="00156525">
        <w:rPr>
          <w:sz w:val="20"/>
          <w:szCs w:val="20"/>
          <w:lang w:val="es-ES_tradnl"/>
        </w:rPr>
        <w:t xml:space="preserve"> </w:t>
      </w:r>
      <w:r w:rsidR="00C0356F" w:rsidRPr="00156525">
        <w:rPr>
          <w:sz w:val="20"/>
          <w:szCs w:val="20"/>
          <w:lang w:val="es-ES_tradnl"/>
        </w:rPr>
        <w:t xml:space="preserve">y sostiene que las últimas decisiones internas, para fines de admisibilidad, son las que rechazaron los recursos extraordinarios federales de las presuntas víctimas, y que la petición no ha sido presentada según el plazo de seis meses desde dichas decisiones. </w:t>
      </w:r>
    </w:p>
    <w:p w14:paraId="05B47309" w14:textId="786ECF27" w:rsidR="00731ABA" w:rsidRPr="00156525" w:rsidRDefault="00731ABA" w:rsidP="00731AB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156525">
        <w:rPr>
          <w:sz w:val="20"/>
          <w:lang w:val="es-ES_tradnl"/>
        </w:rPr>
        <w:t>En cuanto a la solicitud de reparaciones, la</w:t>
      </w:r>
      <w:r w:rsidRPr="00156525">
        <w:rPr>
          <w:spacing w:val="1"/>
          <w:sz w:val="20"/>
          <w:lang w:val="es-ES_tradnl"/>
        </w:rPr>
        <w:t xml:space="preserve"> </w:t>
      </w:r>
      <w:r w:rsidRPr="00156525">
        <w:rPr>
          <w:sz w:val="20"/>
          <w:lang w:val="es-ES_tradnl"/>
        </w:rPr>
        <w:t xml:space="preserve">Comisión Interamericana observa que </w:t>
      </w:r>
      <w:r w:rsidRPr="00156525">
        <w:rPr>
          <w:rFonts w:asciiTheme="majorHAnsi" w:hAnsiTheme="majorHAnsi" w:cs="Calibri"/>
          <w:sz w:val="20"/>
          <w:szCs w:val="20"/>
          <w:lang w:val="es-ES_tradnl"/>
        </w:rPr>
        <w:t xml:space="preserve">los recursos extraordinarios federales interpuestos por las presuntas víctimas fueron rechazados </w:t>
      </w:r>
      <w:r w:rsidR="003306E5">
        <w:rPr>
          <w:rFonts w:asciiTheme="majorHAnsi" w:hAnsiTheme="majorHAnsi" w:cs="Calibri"/>
          <w:sz w:val="20"/>
          <w:szCs w:val="20"/>
          <w:lang w:val="es-ES_tradnl"/>
        </w:rPr>
        <w:t>con</w:t>
      </w:r>
      <w:r w:rsidRPr="00156525">
        <w:rPr>
          <w:rFonts w:asciiTheme="majorHAnsi" w:hAnsiTheme="majorHAnsi" w:cs="Calibri"/>
          <w:sz w:val="20"/>
          <w:szCs w:val="20"/>
          <w:lang w:val="es-ES_tradnl"/>
        </w:rPr>
        <w:t xml:space="preserve"> base </w:t>
      </w:r>
      <w:r w:rsidR="003306E5">
        <w:rPr>
          <w:rFonts w:asciiTheme="majorHAnsi" w:hAnsiTheme="majorHAnsi" w:cs="Calibri"/>
          <w:sz w:val="20"/>
          <w:szCs w:val="20"/>
          <w:lang w:val="es-ES_tradnl"/>
        </w:rPr>
        <w:t>en</w:t>
      </w:r>
      <w:r w:rsidRPr="00156525">
        <w:rPr>
          <w:rFonts w:asciiTheme="majorHAnsi" w:hAnsiTheme="majorHAnsi" w:cs="Calibri"/>
          <w:sz w:val="20"/>
          <w:szCs w:val="20"/>
          <w:lang w:val="es-ES_tradnl"/>
        </w:rPr>
        <w:t xml:space="preserve"> un requisito reglamentario de forma previamente establecido relacionado con la diagramación de los escritos de interposición (cantidad de reglones por página). Sobre el tema, recuerda que, según afirma la Corte Interamericana de Derechos Humanos, </w:t>
      </w:r>
      <w:r w:rsidRPr="00156525">
        <w:rPr>
          <w:rFonts w:asciiTheme="majorHAnsi" w:hAnsiTheme="majorHAnsi"/>
          <w:sz w:val="20"/>
          <w:szCs w:val="20"/>
          <w:lang w:val="es-ES_tradnl"/>
        </w:rPr>
        <w:t>“</w:t>
      </w:r>
      <w:r w:rsidRPr="00082829">
        <w:rPr>
          <w:rFonts w:asciiTheme="majorHAnsi" w:hAnsiTheme="majorHAnsi"/>
          <w:i/>
          <w:iCs/>
          <w:sz w:val="20"/>
          <w:szCs w:val="20"/>
          <w:lang w:val="es-ES_tradnl"/>
        </w:rPr>
        <w:t>para hacer efectivo el acceso a la justicia de las víctimas, los jueces como rectores del proceso tienen que dirigir y encausar el procedimiento judicial con el fin de no sacrificar la justicia y el debido proceso legal en pro del formalismo</w:t>
      </w:r>
      <w:r w:rsidRPr="00156525">
        <w:rPr>
          <w:rFonts w:asciiTheme="majorHAnsi" w:hAnsiTheme="majorHAnsi"/>
          <w:sz w:val="20"/>
          <w:szCs w:val="20"/>
          <w:lang w:val="es-ES_tradnl"/>
        </w:rPr>
        <w:t>”</w:t>
      </w:r>
      <w:r w:rsidRPr="00156525">
        <w:rPr>
          <w:rStyle w:val="FootnoteReference"/>
          <w:rFonts w:asciiTheme="majorHAnsi" w:hAnsiTheme="majorHAnsi"/>
          <w:sz w:val="20"/>
          <w:szCs w:val="20"/>
          <w:lang w:val="es-ES_tradnl"/>
        </w:rPr>
        <w:footnoteReference w:id="4"/>
      </w:r>
      <w:r w:rsidRPr="00156525">
        <w:rPr>
          <w:rFonts w:asciiTheme="majorHAnsi" w:hAnsiTheme="majorHAnsi"/>
          <w:sz w:val="20"/>
          <w:szCs w:val="20"/>
          <w:lang w:val="es-ES_tradnl"/>
        </w:rPr>
        <w:t>.</w:t>
      </w:r>
      <w:r w:rsidRPr="00156525">
        <w:rPr>
          <w:rFonts w:asciiTheme="majorHAnsi" w:hAnsiTheme="majorHAnsi" w:cs="Calibri"/>
          <w:sz w:val="20"/>
          <w:szCs w:val="20"/>
          <w:lang w:val="es-ES_tradnl"/>
        </w:rPr>
        <w:t xml:space="preserve">  </w:t>
      </w:r>
    </w:p>
    <w:p w14:paraId="2C14534E" w14:textId="0956D416" w:rsidR="00B10B91" w:rsidRPr="00156525" w:rsidRDefault="009377DD" w:rsidP="00E12FA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Pr>
          <w:rFonts w:asciiTheme="majorHAnsi" w:hAnsiTheme="majorHAnsi" w:cs="Calibri"/>
          <w:sz w:val="20"/>
          <w:szCs w:val="20"/>
          <w:lang w:val="es-ES_tradnl"/>
        </w:rPr>
        <w:t>A este respecto, como ya ha decidido en otros precedentes similares relativos a Argentina</w:t>
      </w:r>
      <w:r w:rsidRPr="00156525">
        <w:rPr>
          <w:rStyle w:val="FootnoteReference"/>
          <w:rFonts w:asciiTheme="majorHAnsi" w:hAnsiTheme="majorHAnsi"/>
          <w:sz w:val="20"/>
          <w:szCs w:val="20"/>
          <w:lang w:val="es-ES_tradnl"/>
        </w:rPr>
        <w:footnoteReference w:id="5"/>
      </w:r>
      <w:r>
        <w:rPr>
          <w:rFonts w:asciiTheme="majorHAnsi" w:hAnsiTheme="majorHAnsi" w:cs="Calibri"/>
          <w:sz w:val="20"/>
          <w:szCs w:val="20"/>
          <w:lang w:val="es-ES_tradnl"/>
        </w:rPr>
        <w:t>,</w:t>
      </w:r>
      <w:r w:rsidR="005D330F" w:rsidRPr="00156525">
        <w:rPr>
          <w:rFonts w:asciiTheme="majorHAnsi" w:hAnsiTheme="majorHAnsi" w:cs="Calibri"/>
          <w:sz w:val="20"/>
          <w:szCs w:val="20"/>
          <w:lang w:val="es-ES_tradnl"/>
        </w:rPr>
        <w:t xml:space="preserve"> </w:t>
      </w:r>
      <w:r>
        <w:rPr>
          <w:rFonts w:asciiTheme="majorHAnsi" w:hAnsiTheme="majorHAnsi" w:cs="Calibri"/>
          <w:sz w:val="20"/>
          <w:szCs w:val="20"/>
          <w:lang w:val="es-ES_tradnl"/>
        </w:rPr>
        <w:t>l</w:t>
      </w:r>
      <w:r w:rsidR="005D330F" w:rsidRPr="00156525">
        <w:rPr>
          <w:rFonts w:asciiTheme="majorHAnsi" w:hAnsiTheme="majorHAnsi" w:cs="Calibri"/>
          <w:sz w:val="20"/>
          <w:szCs w:val="20"/>
          <w:lang w:val="es-ES_tradnl"/>
        </w:rPr>
        <w:t xml:space="preserve">a Comisión </w:t>
      </w:r>
      <w:r w:rsidR="003F76A3">
        <w:rPr>
          <w:rFonts w:asciiTheme="majorHAnsi" w:hAnsiTheme="majorHAnsi" w:cs="Calibri"/>
          <w:sz w:val="20"/>
          <w:szCs w:val="20"/>
          <w:lang w:val="es-ES_tradnl"/>
        </w:rPr>
        <w:t>observa</w:t>
      </w:r>
      <w:r w:rsidR="005D330F" w:rsidRPr="00156525">
        <w:rPr>
          <w:rFonts w:asciiTheme="majorHAnsi" w:hAnsiTheme="majorHAnsi" w:cs="Calibri"/>
          <w:sz w:val="20"/>
          <w:szCs w:val="20"/>
          <w:lang w:val="es-ES_tradnl"/>
        </w:rPr>
        <w:t xml:space="preserve"> que el error formal cometido por la</w:t>
      </w:r>
      <w:r w:rsidR="00B856AD" w:rsidRPr="00156525">
        <w:rPr>
          <w:rFonts w:asciiTheme="majorHAnsi" w:hAnsiTheme="majorHAnsi" w:cs="Calibri"/>
          <w:sz w:val="20"/>
          <w:szCs w:val="20"/>
          <w:lang w:val="es-ES_tradnl"/>
        </w:rPr>
        <w:t>s</w:t>
      </w:r>
      <w:r w:rsidR="005D330F" w:rsidRPr="00156525">
        <w:rPr>
          <w:rFonts w:asciiTheme="majorHAnsi" w:hAnsiTheme="majorHAnsi" w:cs="Calibri"/>
          <w:sz w:val="20"/>
          <w:szCs w:val="20"/>
          <w:lang w:val="es-ES_tradnl"/>
        </w:rPr>
        <w:t xml:space="preserve"> presunta</w:t>
      </w:r>
      <w:r w:rsidR="00B856AD" w:rsidRPr="00156525">
        <w:rPr>
          <w:rFonts w:asciiTheme="majorHAnsi" w:hAnsiTheme="majorHAnsi" w:cs="Calibri"/>
          <w:sz w:val="20"/>
          <w:szCs w:val="20"/>
          <w:lang w:val="es-ES_tradnl"/>
        </w:rPr>
        <w:t>s</w:t>
      </w:r>
      <w:r w:rsidR="005D330F" w:rsidRPr="00156525">
        <w:rPr>
          <w:rFonts w:asciiTheme="majorHAnsi" w:hAnsiTheme="majorHAnsi" w:cs="Calibri"/>
          <w:sz w:val="20"/>
          <w:szCs w:val="20"/>
          <w:lang w:val="es-ES_tradnl"/>
        </w:rPr>
        <w:t xml:space="preserve"> víctima</w:t>
      </w:r>
      <w:r w:rsidR="00B856AD" w:rsidRPr="00156525">
        <w:rPr>
          <w:rFonts w:asciiTheme="majorHAnsi" w:hAnsiTheme="majorHAnsi" w:cs="Calibri"/>
          <w:sz w:val="20"/>
          <w:szCs w:val="20"/>
          <w:lang w:val="es-ES_tradnl"/>
        </w:rPr>
        <w:t>s</w:t>
      </w:r>
      <w:r w:rsidR="005D330F" w:rsidRPr="00156525">
        <w:rPr>
          <w:rFonts w:asciiTheme="majorHAnsi" w:hAnsiTheme="majorHAnsi" w:cs="Calibri"/>
          <w:sz w:val="20"/>
          <w:szCs w:val="20"/>
          <w:lang w:val="es-ES_tradnl"/>
        </w:rPr>
        <w:t xml:space="preserve"> y su</w:t>
      </w:r>
      <w:r w:rsidR="00B856AD" w:rsidRPr="00156525">
        <w:rPr>
          <w:rFonts w:asciiTheme="majorHAnsi" w:hAnsiTheme="majorHAnsi" w:cs="Calibri"/>
          <w:sz w:val="20"/>
          <w:szCs w:val="20"/>
          <w:lang w:val="es-ES_tradnl"/>
        </w:rPr>
        <w:t>s</w:t>
      </w:r>
      <w:r w:rsidR="005D330F" w:rsidRPr="00156525">
        <w:rPr>
          <w:rFonts w:asciiTheme="majorHAnsi" w:hAnsiTheme="majorHAnsi" w:cs="Calibri"/>
          <w:sz w:val="20"/>
          <w:szCs w:val="20"/>
          <w:lang w:val="es-ES_tradnl"/>
        </w:rPr>
        <w:t xml:space="preserve"> apoderado</w:t>
      </w:r>
      <w:r w:rsidR="00B856AD" w:rsidRPr="00156525">
        <w:rPr>
          <w:rFonts w:asciiTheme="majorHAnsi" w:hAnsiTheme="majorHAnsi" w:cs="Calibri"/>
          <w:sz w:val="20"/>
          <w:szCs w:val="20"/>
          <w:lang w:val="es-ES_tradnl"/>
        </w:rPr>
        <w:t>s</w:t>
      </w:r>
      <w:r w:rsidR="005D330F" w:rsidRPr="00156525">
        <w:rPr>
          <w:rFonts w:asciiTheme="majorHAnsi" w:hAnsiTheme="majorHAnsi" w:cs="Calibri"/>
          <w:sz w:val="20"/>
          <w:szCs w:val="20"/>
          <w:lang w:val="es-ES_tradnl"/>
        </w:rPr>
        <w:t xml:space="preserve"> legal</w:t>
      </w:r>
      <w:r w:rsidR="00B856AD" w:rsidRPr="00156525">
        <w:rPr>
          <w:rFonts w:asciiTheme="majorHAnsi" w:hAnsiTheme="majorHAnsi" w:cs="Calibri"/>
          <w:sz w:val="20"/>
          <w:szCs w:val="20"/>
          <w:lang w:val="es-ES_tradnl"/>
        </w:rPr>
        <w:t>es</w:t>
      </w:r>
      <w:r w:rsidR="005D330F" w:rsidRPr="00156525">
        <w:rPr>
          <w:rFonts w:asciiTheme="majorHAnsi" w:hAnsiTheme="majorHAnsi" w:cs="Calibri"/>
          <w:sz w:val="20"/>
          <w:szCs w:val="20"/>
          <w:lang w:val="es-ES_tradnl"/>
        </w:rPr>
        <w:t xml:space="preserve"> se limitó a </w:t>
      </w:r>
      <w:r w:rsidR="005D330F" w:rsidRPr="00156525">
        <w:rPr>
          <w:rFonts w:asciiTheme="majorHAnsi" w:hAnsiTheme="majorHAnsi" w:cs="Calibri"/>
          <w:sz w:val="20"/>
          <w:szCs w:val="20"/>
          <w:lang w:val="es-ES_tradnl"/>
        </w:rPr>
        <w:lastRenderedPageBreak/>
        <w:t xml:space="preserve">la diagramación del escrito y que no surge del expediente que se les haya concedido a estos una oportunidad que para subsanar el error que hubiese sido desaprovechada. En este sentido, la Comisión </w:t>
      </w:r>
      <w:r w:rsidR="005D330F" w:rsidRPr="00156525">
        <w:rPr>
          <w:rFonts w:asciiTheme="majorHAnsi" w:hAnsiTheme="majorHAnsi"/>
          <w:sz w:val="20"/>
          <w:szCs w:val="20"/>
          <w:lang w:val="es-ES_tradnl"/>
        </w:rPr>
        <w:t xml:space="preserve">estima que el defecto procesal en que incurrió la presunta víctima era </w:t>
      </w:r>
      <w:r w:rsidR="005D330F" w:rsidRPr="00156525">
        <w:rPr>
          <w:rFonts w:asciiTheme="majorHAnsi" w:hAnsiTheme="majorHAnsi"/>
          <w:i/>
          <w:sz w:val="20"/>
          <w:szCs w:val="20"/>
          <w:lang w:val="es-ES_tradnl"/>
        </w:rPr>
        <w:t xml:space="preserve">prima facie </w:t>
      </w:r>
      <w:r w:rsidR="005D330F" w:rsidRPr="00156525">
        <w:rPr>
          <w:rFonts w:asciiTheme="majorHAnsi" w:hAnsiTheme="majorHAnsi"/>
          <w:sz w:val="20"/>
          <w:szCs w:val="20"/>
          <w:lang w:val="es-ES_tradnl"/>
        </w:rPr>
        <w:t xml:space="preserve">subsanable y que la naturaleza del caso planteado exigía a las autoridades judiciales adoptar las medidas que fueran posibles para garantizar a la presunta víctima el acceso a la justicia. Por estas razones, la Comisión considera que el error formal menor en que incurrió el apoderado legal de la presunta víctima no resulta suficiente para desacreditar su interposición del recurso extraordinario federal como un recurso válidamente agotado. </w:t>
      </w:r>
    </w:p>
    <w:p w14:paraId="4C149D3D" w14:textId="2A82D8B0" w:rsidR="00731ABA" w:rsidRPr="00156525" w:rsidRDefault="00B10B91" w:rsidP="006C268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6C2689">
        <w:rPr>
          <w:sz w:val="20"/>
          <w:lang w:val="es-ES_tradnl" w:bidi="es-ES"/>
        </w:rPr>
        <w:t xml:space="preserve">Asimismo, la Comisión considera que </w:t>
      </w:r>
      <w:r w:rsidR="00731ABA" w:rsidRPr="006C2689">
        <w:rPr>
          <w:sz w:val="20"/>
          <w:lang w:val="es-ES_tradnl" w:bidi="es-ES"/>
        </w:rPr>
        <w:t xml:space="preserve">los recursos de reposición en contra del rechazo de los recursos extraordinarios federales representaron el </w:t>
      </w:r>
      <w:r w:rsidRPr="006C2689">
        <w:rPr>
          <w:sz w:val="20"/>
          <w:lang w:val="es-ES_tradnl" w:bidi="es-ES"/>
        </w:rPr>
        <w:t>intento último, de la</w:t>
      </w:r>
      <w:r w:rsidR="00B856AD" w:rsidRPr="006C2689">
        <w:rPr>
          <w:sz w:val="20"/>
          <w:lang w:val="es-ES_tradnl" w:bidi="es-ES"/>
        </w:rPr>
        <w:t>s</w:t>
      </w:r>
      <w:r w:rsidRPr="006C2689">
        <w:rPr>
          <w:sz w:val="20"/>
          <w:lang w:val="es-ES_tradnl" w:bidi="es-ES"/>
        </w:rPr>
        <w:t xml:space="preserve"> presunta</w:t>
      </w:r>
      <w:r w:rsidR="00B856AD" w:rsidRPr="006C2689">
        <w:rPr>
          <w:sz w:val="20"/>
          <w:lang w:val="es-ES_tradnl" w:bidi="es-ES"/>
        </w:rPr>
        <w:t>s</w:t>
      </w:r>
      <w:r w:rsidRPr="006C2689">
        <w:rPr>
          <w:sz w:val="20"/>
          <w:lang w:val="es-ES_tradnl" w:bidi="es-ES"/>
        </w:rPr>
        <w:t xml:space="preserve"> víctima</w:t>
      </w:r>
      <w:r w:rsidR="00B856AD" w:rsidRPr="006C2689">
        <w:rPr>
          <w:sz w:val="20"/>
          <w:lang w:val="es-ES_tradnl" w:bidi="es-ES"/>
        </w:rPr>
        <w:t>s</w:t>
      </w:r>
      <w:r w:rsidRPr="006C2689">
        <w:rPr>
          <w:sz w:val="20"/>
          <w:lang w:val="es-ES_tradnl" w:bidi="es-ES"/>
        </w:rPr>
        <w:t>, de resolver la situación en nivel interno</w:t>
      </w:r>
      <w:r w:rsidR="00731ABA" w:rsidRPr="006C2689">
        <w:rPr>
          <w:sz w:val="20"/>
          <w:lang w:val="es-ES_tradnl" w:bidi="es-ES"/>
        </w:rPr>
        <w:t xml:space="preserve">. </w:t>
      </w:r>
      <w:r w:rsidR="005D330F" w:rsidRPr="006C2689">
        <w:rPr>
          <w:rFonts w:asciiTheme="majorHAnsi" w:hAnsiTheme="majorHAnsi" w:cs="Calibri"/>
          <w:sz w:val="20"/>
          <w:szCs w:val="20"/>
          <w:lang w:val="es-ES_tradnl"/>
        </w:rPr>
        <w:t xml:space="preserve">Por las razones expuestas, </w:t>
      </w:r>
      <w:r w:rsidR="00731ABA" w:rsidRPr="006C2689">
        <w:rPr>
          <w:rFonts w:asciiTheme="majorHAnsi" w:hAnsiTheme="majorHAnsi" w:cs="Calibri"/>
          <w:sz w:val="20"/>
          <w:szCs w:val="20"/>
          <w:lang w:val="es-ES_tradnl"/>
        </w:rPr>
        <w:t>y en atención a su jurisprudencia</w:t>
      </w:r>
      <w:r w:rsidR="00731ABA" w:rsidRPr="00156525">
        <w:rPr>
          <w:rFonts w:asciiTheme="majorHAnsi" w:hAnsiTheme="majorHAnsi"/>
          <w:sz w:val="20"/>
          <w:szCs w:val="20"/>
          <w:vertAlign w:val="superscript"/>
          <w:lang w:val="es-ES_tradnl"/>
        </w:rPr>
        <w:footnoteReference w:id="6"/>
      </w:r>
      <w:r w:rsidR="00731ABA" w:rsidRPr="006C2689">
        <w:rPr>
          <w:rFonts w:asciiTheme="majorHAnsi" w:hAnsiTheme="majorHAnsi" w:cs="Calibri"/>
          <w:sz w:val="20"/>
          <w:szCs w:val="20"/>
          <w:lang w:val="es-ES_tradnl"/>
        </w:rPr>
        <w:t xml:space="preserve">, </w:t>
      </w:r>
      <w:r w:rsidR="005D330F" w:rsidRPr="006C2689">
        <w:rPr>
          <w:rFonts w:asciiTheme="majorHAnsi" w:hAnsiTheme="majorHAnsi" w:cs="Calibri"/>
          <w:sz w:val="20"/>
          <w:szCs w:val="20"/>
          <w:lang w:val="es-ES_tradnl"/>
        </w:rPr>
        <w:t xml:space="preserve">la Comisión </w:t>
      </w:r>
      <w:r w:rsidR="00B15A68" w:rsidRPr="006C2689">
        <w:rPr>
          <w:rFonts w:asciiTheme="majorHAnsi" w:hAnsiTheme="majorHAnsi" w:cs="Calibri"/>
          <w:sz w:val="20"/>
          <w:szCs w:val="20"/>
          <w:lang w:val="es-ES_tradnl" w:bidi="es-ES"/>
        </w:rPr>
        <w:t>estima que la secuencia procesal de los recursos internos interpuestos tuvo como última</w:t>
      </w:r>
      <w:r w:rsidR="00B856AD" w:rsidRPr="006C2689">
        <w:rPr>
          <w:rFonts w:asciiTheme="majorHAnsi" w:hAnsiTheme="majorHAnsi" w:cs="Calibri"/>
          <w:sz w:val="20"/>
          <w:szCs w:val="20"/>
          <w:lang w:val="es-ES_tradnl" w:bidi="es-ES"/>
        </w:rPr>
        <w:t>s</w:t>
      </w:r>
      <w:r w:rsidR="00B15A68" w:rsidRPr="006C2689">
        <w:rPr>
          <w:rFonts w:asciiTheme="majorHAnsi" w:hAnsiTheme="majorHAnsi" w:cs="Calibri"/>
          <w:sz w:val="20"/>
          <w:szCs w:val="20"/>
          <w:lang w:val="es-ES_tradnl" w:bidi="es-ES"/>
        </w:rPr>
        <w:t xml:space="preserve"> decisi</w:t>
      </w:r>
      <w:r w:rsidR="00B856AD" w:rsidRPr="006C2689">
        <w:rPr>
          <w:rFonts w:asciiTheme="majorHAnsi" w:hAnsiTheme="majorHAnsi" w:cs="Calibri"/>
          <w:sz w:val="20"/>
          <w:szCs w:val="20"/>
          <w:lang w:val="es-ES_tradnl" w:bidi="es-ES"/>
        </w:rPr>
        <w:t>ones</w:t>
      </w:r>
      <w:r w:rsidR="00B15A68" w:rsidRPr="006C2689">
        <w:rPr>
          <w:rFonts w:asciiTheme="majorHAnsi" w:hAnsiTheme="majorHAnsi" w:cs="Calibri"/>
          <w:sz w:val="20"/>
          <w:szCs w:val="20"/>
          <w:lang w:val="es-ES_tradnl" w:bidi="es-ES"/>
        </w:rPr>
        <w:t xml:space="preserve"> la</w:t>
      </w:r>
      <w:r w:rsidR="00B856AD" w:rsidRPr="006C2689">
        <w:rPr>
          <w:rFonts w:asciiTheme="majorHAnsi" w:hAnsiTheme="majorHAnsi" w:cs="Calibri"/>
          <w:sz w:val="20"/>
          <w:szCs w:val="20"/>
          <w:lang w:val="es-ES_tradnl" w:bidi="es-ES"/>
        </w:rPr>
        <w:t>s</w:t>
      </w:r>
      <w:r w:rsidR="00B15A68" w:rsidRPr="006C2689">
        <w:rPr>
          <w:rFonts w:asciiTheme="majorHAnsi" w:hAnsiTheme="majorHAnsi" w:cs="Calibri"/>
          <w:sz w:val="20"/>
          <w:szCs w:val="20"/>
          <w:lang w:val="es-ES_tradnl" w:bidi="es-ES"/>
        </w:rPr>
        <w:t xml:space="preserve"> </w:t>
      </w:r>
      <w:r w:rsidR="00731ABA" w:rsidRPr="006C2689">
        <w:rPr>
          <w:rFonts w:asciiTheme="majorHAnsi" w:hAnsiTheme="majorHAnsi" w:cs="Calibri"/>
          <w:sz w:val="20"/>
          <w:szCs w:val="20"/>
          <w:lang w:val="es-ES_tradnl" w:bidi="es-ES"/>
        </w:rPr>
        <w:t xml:space="preserve">que rechazaron los recursos de reposición con fechas </w:t>
      </w:r>
      <w:r w:rsidR="00731ABA" w:rsidRPr="006C2689">
        <w:rPr>
          <w:rFonts w:asciiTheme="majorHAnsi" w:hAnsiTheme="majorHAnsi"/>
          <w:sz w:val="20"/>
          <w:szCs w:val="20"/>
          <w:lang w:val="es-ES_tradnl" w:bidi="es-ES"/>
        </w:rPr>
        <w:t>15 de marzo de 2011 y 7 de junio de 2011</w:t>
      </w:r>
      <w:r w:rsidR="006C2689" w:rsidRPr="006C2689">
        <w:rPr>
          <w:rFonts w:asciiTheme="majorHAnsi" w:hAnsiTheme="majorHAnsi" w:cs="Calibri"/>
          <w:sz w:val="20"/>
          <w:szCs w:val="20"/>
          <w:lang w:val="es-ES_tradnl" w:bidi="es-ES"/>
        </w:rPr>
        <w:t xml:space="preserve">, </w:t>
      </w:r>
      <w:r w:rsidR="006C2689" w:rsidRPr="006C2689">
        <w:rPr>
          <w:rFonts w:asciiTheme="majorHAnsi" w:hAnsiTheme="majorHAnsi"/>
          <w:sz w:val="20"/>
          <w:szCs w:val="20"/>
          <w:lang w:val="es-ES_tradnl" w:bidi="es-ES"/>
        </w:rPr>
        <w:t>notificadas, respectivamente, el 6 de abril de 2011 y el 17 de junio de 2011.</w:t>
      </w:r>
      <w:r w:rsidR="006C2689">
        <w:rPr>
          <w:rFonts w:asciiTheme="majorHAnsi" w:hAnsiTheme="majorHAnsi"/>
          <w:sz w:val="20"/>
          <w:szCs w:val="20"/>
          <w:lang w:val="es-ES_tradnl" w:bidi="es-ES"/>
        </w:rPr>
        <w:t xml:space="preserve"> </w:t>
      </w:r>
      <w:r w:rsidR="00B15A68" w:rsidRPr="006C2689">
        <w:rPr>
          <w:rFonts w:asciiTheme="majorHAnsi" w:hAnsiTheme="majorHAnsi" w:cs="Calibri"/>
          <w:sz w:val="20"/>
          <w:szCs w:val="20"/>
          <w:lang w:val="es-ES_tradnl" w:bidi="es-ES"/>
        </w:rPr>
        <w:t>Por lo tanto, la presente petición cumple con el requisito establecido en el artículo 46.1.a</w:t>
      </w:r>
      <w:r w:rsidR="00C20CBB" w:rsidRPr="006C2689">
        <w:rPr>
          <w:rFonts w:asciiTheme="majorHAnsi" w:hAnsiTheme="majorHAnsi" w:cs="Calibri"/>
          <w:sz w:val="20"/>
          <w:szCs w:val="20"/>
          <w:lang w:val="es-ES_tradnl" w:bidi="es-ES"/>
        </w:rPr>
        <w:t>)</w:t>
      </w:r>
      <w:r w:rsidR="00B15A68" w:rsidRPr="006C2689">
        <w:rPr>
          <w:rFonts w:asciiTheme="majorHAnsi" w:hAnsiTheme="majorHAnsi" w:cs="Calibri"/>
          <w:sz w:val="20"/>
          <w:szCs w:val="20"/>
          <w:lang w:val="es-ES_tradnl" w:bidi="es-ES"/>
        </w:rPr>
        <w:t xml:space="preserve"> de la Convención Americana. </w:t>
      </w:r>
      <w:r w:rsidR="006C2689">
        <w:rPr>
          <w:rFonts w:asciiTheme="majorHAnsi" w:hAnsiTheme="majorHAnsi" w:cs="Calibri"/>
          <w:sz w:val="20"/>
          <w:szCs w:val="20"/>
          <w:lang w:val="es-ES_tradnl" w:bidi="es-ES"/>
        </w:rPr>
        <w:t>Adicionalmente, a</w:t>
      </w:r>
      <w:r w:rsidR="00B15A68" w:rsidRPr="00156525">
        <w:rPr>
          <w:rFonts w:asciiTheme="majorHAnsi" w:hAnsiTheme="majorHAnsi" w:cs="Calibri"/>
          <w:sz w:val="20"/>
          <w:szCs w:val="20"/>
          <w:lang w:val="es-ES_tradnl" w:bidi="es-ES"/>
        </w:rPr>
        <w:t xml:space="preserve">l observarse que la presente petición fue presentada </w:t>
      </w:r>
      <w:r w:rsidR="00B856AD" w:rsidRPr="00156525">
        <w:rPr>
          <w:sz w:val="20"/>
          <w:lang w:val="es-ES_tradnl"/>
        </w:rPr>
        <w:t xml:space="preserve">el </w:t>
      </w:r>
      <w:r w:rsidR="00731ABA" w:rsidRPr="00156525">
        <w:rPr>
          <w:sz w:val="20"/>
          <w:lang w:val="es-ES_tradnl"/>
        </w:rPr>
        <w:t>6 de octubre de 2011</w:t>
      </w:r>
      <w:r w:rsidR="00B15A68" w:rsidRPr="00156525">
        <w:rPr>
          <w:rFonts w:asciiTheme="majorHAnsi" w:hAnsiTheme="majorHAnsi" w:cs="Calibri"/>
          <w:sz w:val="20"/>
          <w:szCs w:val="20"/>
          <w:lang w:val="es-ES_tradnl" w:bidi="es-ES"/>
        </w:rPr>
        <w:t xml:space="preserve">, la CIDH concluye que </w:t>
      </w:r>
      <w:r w:rsidR="009D0403">
        <w:rPr>
          <w:rFonts w:asciiTheme="majorHAnsi" w:hAnsiTheme="majorHAnsi" w:cs="Calibri"/>
          <w:sz w:val="20"/>
          <w:szCs w:val="20"/>
          <w:lang w:val="es-ES_tradnl" w:bidi="es-ES"/>
        </w:rPr>
        <w:t>esta</w:t>
      </w:r>
      <w:r w:rsidR="00B15A68" w:rsidRPr="00156525">
        <w:rPr>
          <w:rFonts w:asciiTheme="majorHAnsi" w:hAnsiTheme="majorHAnsi" w:cs="Calibri"/>
          <w:sz w:val="20"/>
          <w:szCs w:val="20"/>
          <w:lang w:val="es-ES_tradnl" w:bidi="es-ES"/>
        </w:rPr>
        <w:t xml:space="preserve"> fue presentada dentro del plazo de seis meses establecido en el artículo 46.1.b</w:t>
      </w:r>
      <w:r w:rsidR="00FB7F98">
        <w:rPr>
          <w:rFonts w:asciiTheme="majorHAnsi" w:hAnsiTheme="majorHAnsi" w:cs="Calibri"/>
          <w:sz w:val="20"/>
          <w:szCs w:val="20"/>
          <w:lang w:val="es-ES_tradnl" w:bidi="es-ES"/>
        </w:rPr>
        <w:t>)</w:t>
      </w:r>
      <w:r w:rsidR="00B15A68" w:rsidRPr="00156525">
        <w:rPr>
          <w:rFonts w:asciiTheme="majorHAnsi" w:hAnsiTheme="majorHAnsi" w:cs="Calibri"/>
          <w:sz w:val="20"/>
          <w:szCs w:val="20"/>
          <w:lang w:val="es-ES_tradnl" w:bidi="es-ES"/>
        </w:rPr>
        <w:t xml:space="preserve"> de la Convención Americana.</w:t>
      </w:r>
    </w:p>
    <w:p w14:paraId="6A166746" w14:textId="624E92A7" w:rsidR="00556AB2" w:rsidRPr="00556AB2" w:rsidRDefault="00556AB2" w:rsidP="00556AB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556AB2">
        <w:rPr>
          <w:rFonts w:asciiTheme="majorHAnsi" w:hAnsiTheme="majorHAnsi"/>
          <w:sz w:val="20"/>
          <w:szCs w:val="20"/>
          <w:lang w:val="es-ES_tradnl"/>
        </w:rPr>
        <w:t>Finalmente, la Comisión toma nota del reclamo del Estado sobre la supuesta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analogía6. Asimismo, la CIDH en su Informe de Admisibilidad No. 79/087, aclaró que:</w:t>
      </w:r>
    </w:p>
    <w:p w14:paraId="1990720F" w14:textId="00BE74DF" w:rsidR="00556AB2" w:rsidRPr="00556AB2" w:rsidRDefault="00556AB2" w:rsidP="009727B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right="713"/>
        <w:jc w:val="both"/>
        <w:rPr>
          <w:rFonts w:asciiTheme="majorHAnsi" w:hAnsiTheme="majorHAnsi"/>
          <w:sz w:val="20"/>
          <w:szCs w:val="20"/>
          <w:lang w:val="es-ES_tradnl"/>
        </w:rPr>
      </w:pPr>
      <w:r w:rsidRPr="00556AB2">
        <w:rPr>
          <w:rFonts w:asciiTheme="majorHAnsi" w:hAnsiTheme="majorHAnsi"/>
          <w:sz w:val="20"/>
          <w:szCs w:val="20"/>
          <w:lang w:val="es-ES_tradnl"/>
        </w:rPr>
        <w:t>el tiempo transcurrido desde que la Comisión recibe una denuncia hasta que la traslada al Estado, de acuerdo con las normas del sistema interamericano de derechos humanos, no es, por sí solo, motivo para que se decida archivar la petición. Como ha señalado esta Comisión, “en la tramitación de casos individuales ante la Comisión, no existe el concepto de caducidad de instancia como una medida ipso jure, por el mero transcurso del tiempo” [CIDH, Informe Nº 33/98, Caso 10.545 Clemente Ayala Torres y otros (México), 15 de mayo de 1998, párrafo 28.]</w:t>
      </w:r>
    </w:p>
    <w:p w14:paraId="6CE138F9" w14:textId="424E3C40" w:rsidR="00556AB2" w:rsidRPr="00556AB2" w:rsidRDefault="00556AB2" w:rsidP="00556AB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556AB2">
        <w:rPr>
          <w:rFonts w:asciiTheme="majorHAnsi" w:hAnsiTheme="majorHAnsi"/>
          <w:sz w:val="20"/>
          <w:szCs w:val="20"/>
          <w:lang w:val="es-ES_tradnl"/>
        </w:rPr>
        <w:t>Asimismo, en refuerzo de lo anterior, la Corte Interamericana de Derechos Humanos ha establecido precisamente respecto a este punto que:</w:t>
      </w:r>
    </w:p>
    <w:p w14:paraId="6DDA37F1" w14:textId="6E1A74FE" w:rsidR="00556AB2" w:rsidRPr="00556AB2" w:rsidRDefault="00556AB2" w:rsidP="009727B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right="713"/>
        <w:jc w:val="both"/>
        <w:rPr>
          <w:rFonts w:asciiTheme="majorHAnsi" w:hAnsiTheme="majorHAnsi"/>
          <w:sz w:val="20"/>
          <w:szCs w:val="20"/>
          <w:lang w:val="es-ES_tradnl"/>
        </w:rPr>
      </w:pPr>
      <w:r w:rsidRPr="00556AB2">
        <w:rPr>
          <w:rFonts w:asciiTheme="majorHAnsi" w:hAnsiTheme="majorHAnsi"/>
          <w:sz w:val="20"/>
          <w:szCs w:val="20"/>
          <w:lang w:val="es-ES_tradnl"/>
        </w:rPr>
        <w:t>Esta Corte considera que el criterio de razonabilidad, con base al cual se deben aplicar las normas procedimentales, implica que un plazo como el que propone el Estado tendría que estar dispuesto claramente en las normas que rigen el procedimiento. Esto es particularmente así considerando que se estaría poniendo en juego el derecho de petición de las presuntas víctimas, establecido en el artículo 44 de la Convención, por acciones u</w:t>
      </w:r>
      <w:r>
        <w:rPr>
          <w:rFonts w:asciiTheme="majorHAnsi" w:hAnsiTheme="majorHAnsi"/>
          <w:sz w:val="20"/>
          <w:szCs w:val="20"/>
          <w:lang w:val="es-ES_tradnl"/>
        </w:rPr>
        <w:t xml:space="preserve"> </w:t>
      </w:r>
      <w:r w:rsidRPr="00556AB2">
        <w:rPr>
          <w:rFonts w:asciiTheme="majorHAnsi" w:hAnsiTheme="majorHAnsi"/>
          <w:sz w:val="20"/>
          <w:szCs w:val="20"/>
          <w:lang w:val="es-ES_tradnl"/>
        </w:rPr>
        <w:t xml:space="preserve">omisiones de la </w:t>
      </w:r>
      <w:r w:rsidRPr="00556AB2">
        <w:rPr>
          <w:rFonts w:asciiTheme="majorHAnsi" w:hAnsiTheme="majorHAnsi"/>
          <w:sz w:val="20"/>
          <w:szCs w:val="20"/>
          <w:lang w:val="es-ES_tradnl"/>
        </w:rPr>
        <w:lastRenderedPageBreak/>
        <w:t>Comisión Interamericana sobre las cuales las presuntas víctimas no tienen ningún tipo de control</w:t>
      </w:r>
      <w:r w:rsidR="009727B8" w:rsidRPr="00A11B3B">
        <w:rPr>
          <w:rStyle w:val="FootnoteReference"/>
          <w:sz w:val="20"/>
          <w:szCs w:val="20"/>
          <w:lang w:val="es-US"/>
        </w:rPr>
        <w:footnoteReference w:id="7"/>
      </w:r>
      <w:r w:rsidRPr="00556AB2">
        <w:rPr>
          <w:rFonts w:asciiTheme="majorHAnsi" w:hAnsiTheme="majorHAnsi"/>
          <w:sz w:val="20"/>
          <w:szCs w:val="20"/>
          <w:lang w:val="es-ES_tradnl"/>
        </w:rPr>
        <w:t>.</w:t>
      </w:r>
    </w:p>
    <w:p w14:paraId="33574A79" w14:textId="67A10618" w:rsidR="00556AB2" w:rsidRPr="00156525" w:rsidRDefault="00556AB2" w:rsidP="00556AB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556AB2">
        <w:rPr>
          <w:rFonts w:asciiTheme="majorHAnsi" w:hAnsiTheme="majorHAnsi"/>
          <w:sz w:val="20"/>
          <w:szCs w:val="20"/>
          <w:lang w:val="es-ES_tradnl"/>
        </w:rPr>
        <w:t>En este sentido, la Comisión Interamericana reitera su compromiso con las víctimas, en función del cual realiza constantes esfuerzos para garantizar en todo momento la razonabilidad de los plazos en la tramitación de sus procesos; y el adecuado equilibrio entre la justicia y la seguridad jurídica.</w:t>
      </w:r>
    </w:p>
    <w:p w14:paraId="392AC9CD" w14:textId="3EF594AB" w:rsidR="005D330F" w:rsidRPr="00156525" w:rsidRDefault="005D330F" w:rsidP="00541E7B">
      <w:pPr>
        <w:pStyle w:val="Heading2"/>
        <w:spacing w:after="240"/>
        <w:ind w:right="12" w:firstLine="720"/>
        <w:jc w:val="both"/>
        <w:rPr>
          <w:rFonts w:asciiTheme="majorHAnsi" w:hAnsiTheme="majorHAnsi"/>
          <w:i w:val="0"/>
          <w:iCs w:val="0"/>
          <w:sz w:val="20"/>
          <w:szCs w:val="20"/>
          <w:lang w:val="es-ES_tradnl"/>
        </w:rPr>
      </w:pPr>
      <w:r w:rsidRPr="00156525">
        <w:rPr>
          <w:rFonts w:asciiTheme="majorHAnsi" w:hAnsiTheme="majorHAnsi"/>
          <w:i w:val="0"/>
          <w:iCs w:val="0"/>
          <w:sz w:val="20"/>
          <w:szCs w:val="20"/>
          <w:lang w:val="es-ES_tradnl"/>
        </w:rPr>
        <w:t>V</w:t>
      </w:r>
      <w:r w:rsidR="00944F4B">
        <w:rPr>
          <w:rFonts w:asciiTheme="majorHAnsi" w:hAnsiTheme="majorHAnsi"/>
          <w:i w:val="0"/>
          <w:iCs w:val="0"/>
          <w:sz w:val="20"/>
          <w:szCs w:val="20"/>
          <w:lang w:val="es-ES_tradnl"/>
        </w:rPr>
        <w:t>I</w:t>
      </w:r>
      <w:r w:rsidRPr="00156525">
        <w:rPr>
          <w:rFonts w:asciiTheme="majorHAnsi" w:hAnsiTheme="majorHAnsi"/>
          <w:i w:val="0"/>
          <w:iCs w:val="0"/>
          <w:sz w:val="20"/>
          <w:szCs w:val="20"/>
          <w:lang w:val="es-ES_tradnl"/>
        </w:rPr>
        <w:t xml:space="preserve">I. </w:t>
      </w:r>
      <w:r w:rsidRPr="00156525">
        <w:rPr>
          <w:rFonts w:asciiTheme="majorHAnsi" w:hAnsiTheme="majorHAnsi"/>
          <w:i w:val="0"/>
          <w:iCs w:val="0"/>
          <w:sz w:val="20"/>
          <w:szCs w:val="20"/>
          <w:lang w:val="es-ES_tradnl"/>
        </w:rPr>
        <w:tab/>
      </w:r>
      <w:r w:rsidR="00D57877">
        <w:rPr>
          <w:rFonts w:asciiTheme="majorHAnsi" w:hAnsiTheme="majorHAnsi"/>
          <w:i w:val="0"/>
          <w:iCs w:val="0"/>
          <w:sz w:val="20"/>
          <w:szCs w:val="20"/>
          <w:lang w:val="es-ES_tradnl"/>
        </w:rPr>
        <w:t xml:space="preserve">ANÁLISIS DE </w:t>
      </w:r>
      <w:r w:rsidRPr="00156525">
        <w:rPr>
          <w:rFonts w:asciiTheme="majorHAnsi" w:hAnsiTheme="majorHAnsi"/>
          <w:i w:val="0"/>
          <w:iCs w:val="0"/>
          <w:sz w:val="20"/>
          <w:szCs w:val="20"/>
          <w:lang w:val="es-ES_tradnl"/>
        </w:rPr>
        <w:t>CARACTERIZACIÓN</w:t>
      </w:r>
    </w:p>
    <w:p w14:paraId="2A7E8FBA" w14:textId="3999746A" w:rsidR="004759EA" w:rsidRPr="00156525" w:rsidRDefault="004759EA" w:rsidP="004759E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156525">
        <w:rPr>
          <w:sz w:val="20"/>
          <w:lang w:val="es-ES_tradnl"/>
        </w:rPr>
        <w:t>La denuncia se refiere a la violación de los derechos humanos de la Sra. Manopella y del Sr. Puy en el</w:t>
      </w:r>
      <w:r w:rsidRPr="00156525">
        <w:rPr>
          <w:spacing w:val="1"/>
          <w:sz w:val="20"/>
          <w:lang w:val="es-ES_tradnl"/>
        </w:rPr>
        <w:t xml:space="preserve"> </w:t>
      </w:r>
      <w:r w:rsidRPr="00156525">
        <w:rPr>
          <w:sz w:val="20"/>
          <w:lang w:val="es-ES_tradnl"/>
        </w:rPr>
        <w:t>marco de su solicitud de reparaciones bajo la Ley No. 24.043, en particular el trato diferenciado de su caso</w:t>
      </w:r>
      <w:r w:rsidRPr="00156525">
        <w:rPr>
          <w:spacing w:val="1"/>
          <w:sz w:val="20"/>
          <w:lang w:val="es-ES_tradnl"/>
        </w:rPr>
        <w:t xml:space="preserve"> </w:t>
      </w:r>
      <w:r w:rsidRPr="00156525">
        <w:rPr>
          <w:sz w:val="20"/>
          <w:lang w:val="es-ES_tradnl"/>
        </w:rPr>
        <w:t>respecto de otras solicitudes de reparación que serían comparables</w:t>
      </w:r>
      <w:r w:rsidR="00EC1C55" w:rsidRPr="00156525">
        <w:rPr>
          <w:rFonts w:asciiTheme="majorHAnsi" w:hAnsiTheme="majorHAnsi"/>
          <w:sz w:val="20"/>
          <w:szCs w:val="20"/>
          <w:vertAlign w:val="superscript"/>
          <w:lang w:val="es-ES_tradnl"/>
        </w:rPr>
        <w:footnoteReference w:id="8"/>
      </w:r>
      <w:r w:rsidRPr="00156525">
        <w:rPr>
          <w:sz w:val="20"/>
          <w:lang w:val="es-ES_tradnl"/>
        </w:rPr>
        <w:t>. Además, se denuncia la negativa de la</w:t>
      </w:r>
      <w:r w:rsidRPr="00156525">
        <w:rPr>
          <w:spacing w:val="1"/>
          <w:sz w:val="20"/>
          <w:lang w:val="es-ES_tradnl"/>
        </w:rPr>
        <w:t xml:space="preserve"> </w:t>
      </w:r>
      <w:r w:rsidRPr="00156525">
        <w:rPr>
          <w:sz w:val="20"/>
          <w:lang w:val="es-ES_tradnl"/>
        </w:rPr>
        <w:t>CSJN</w:t>
      </w:r>
      <w:r w:rsidRPr="00156525">
        <w:rPr>
          <w:spacing w:val="-1"/>
          <w:sz w:val="20"/>
          <w:lang w:val="es-ES_tradnl"/>
        </w:rPr>
        <w:t xml:space="preserve"> </w:t>
      </w:r>
      <w:r w:rsidRPr="00156525">
        <w:rPr>
          <w:sz w:val="20"/>
          <w:lang w:val="es-ES_tradnl"/>
        </w:rPr>
        <w:t>de</w:t>
      </w:r>
      <w:r w:rsidRPr="00156525">
        <w:rPr>
          <w:spacing w:val="2"/>
          <w:sz w:val="20"/>
          <w:lang w:val="es-ES_tradnl"/>
        </w:rPr>
        <w:t xml:space="preserve"> </w:t>
      </w:r>
      <w:r w:rsidRPr="00156525">
        <w:rPr>
          <w:sz w:val="20"/>
          <w:lang w:val="es-ES_tradnl"/>
        </w:rPr>
        <w:t>revisar</w:t>
      </w:r>
      <w:r w:rsidRPr="00156525">
        <w:rPr>
          <w:spacing w:val="-3"/>
          <w:sz w:val="20"/>
          <w:lang w:val="es-ES_tradnl"/>
        </w:rPr>
        <w:t xml:space="preserve"> </w:t>
      </w:r>
      <w:r w:rsidRPr="00156525">
        <w:rPr>
          <w:sz w:val="20"/>
          <w:lang w:val="es-ES_tradnl"/>
        </w:rPr>
        <w:t>la sentencia</w:t>
      </w:r>
      <w:r w:rsidRPr="00156525">
        <w:rPr>
          <w:spacing w:val="1"/>
          <w:sz w:val="20"/>
          <w:lang w:val="es-ES_tradnl"/>
        </w:rPr>
        <w:t xml:space="preserve"> </w:t>
      </w:r>
      <w:r w:rsidRPr="00156525">
        <w:rPr>
          <w:sz w:val="20"/>
          <w:lang w:val="es-ES_tradnl"/>
        </w:rPr>
        <w:t>que confirmó</w:t>
      </w:r>
      <w:r w:rsidRPr="00156525">
        <w:rPr>
          <w:spacing w:val="-2"/>
          <w:sz w:val="20"/>
          <w:lang w:val="es-ES_tradnl"/>
        </w:rPr>
        <w:t xml:space="preserve"> </w:t>
      </w:r>
      <w:r w:rsidRPr="00156525">
        <w:rPr>
          <w:sz w:val="20"/>
          <w:lang w:val="es-ES_tradnl"/>
        </w:rPr>
        <w:t>el rechazo</w:t>
      </w:r>
      <w:r w:rsidRPr="00156525">
        <w:rPr>
          <w:spacing w:val="-2"/>
          <w:sz w:val="20"/>
          <w:lang w:val="es-ES_tradnl"/>
        </w:rPr>
        <w:t xml:space="preserve"> </w:t>
      </w:r>
      <w:r w:rsidRPr="00156525">
        <w:rPr>
          <w:sz w:val="20"/>
          <w:lang w:val="es-ES_tradnl"/>
        </w:rPr>
        <w:t>de su</w:t>
      </w:r>
      <w:r w:rsidRPr="00156525">
        <w:rPr>
          <w:spacing w:val="-2"/>
          <w:sz w:val="20"/>
          <w:lang w:val="es-ES_tradnl"/>
        </w:rPr>
        <w:t xml:space="preserve"> </w:t>
      </w:r>
      <w:r w:rsidRPr="00156525">
        <w:rPr>
          <w:sz w:val="20"/>
          <w:lang w:val="es-ES_tradnl"/>
        </w:rPr>
        <w:t>pretensión</w:t>
      </w:r>
      <w:r w:rsidRPr="00156525">
        <w:rPr>
          <w:spacing w:val="-2"/>
          <w:sz w:val="20"/>
          <w:lang w:val="es-ES_tradnl"/>
        </w:rPr>
        <w:t xml:space="preserve"> </w:t>
      </w:r>
      <w:r w:rsidRPr="00156525">
        <w:rPr>
          <w:sz w:val="20"/>
          <w:lang w:val="es-ES_tradnl"/>
        </w:rPr>
        <w:t>indemnizatoria.</w:t>
      </w:r>
    </w:p>
    <w:p w14:paraId="07CC0874" w14:textId="67944888" w:rsidR="00C0356F" w:rsidRPr="00156525" w:rsidRDefault="00C0356F" w:rsidP="004759E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156525">
        <w:rPr>
          <w:sz w:val="20"/>
          <w:lang w:val="es-ES_tradnl"/>
        </w:rPr>
        <w:t xml:space="preserve">El Estado sostiene que la petición no expone hechos </w:t>
      </w:r>
      <w:r w:rsidR="00FE2CD9" w:rsidRPr="00156525">
        <w:rPr>
          <w:sz w:val="20"/>
          <w:lang w:val="es-ES_tradnl"/>
        </w:rPr>
        <w:t>que caractericen una violación de los derechos convencionales, ya que las presuntas víctimas tuvieron la oportunidad de presentar sus reclamos y recursos a nivel interno con respecto integral a sus derechos y garantías. En este sentido, destaca que la CIDH no puede funcionar como tribunal de cuarta instancia frente a los procesos internos.</w:t>
      </w:r>
    </w:p>
    <w:p w14:paraId="09DA55D8" w14:textId="072800D7" w:rsidR="004759EA" w:rsidRPr="00156525" w:rsidRDefault="004759EA" w:rsidP="004759E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156525">
        <w:rPr>
          <w:sz w:val="20"/>
          <w:lang w:val="es-ES_tradnl"/>
        </w:rPr>
        <w:t>Respeto a los casos de exilio, la CIDH toma nota de que la CSJN reconoció el 8 de octubre de</w:t>
      </w:r>
      <w:r w:rsidRPr="00156525">
        <w:rPr>
          <w:spacing w:val="1"/>
          <w:sz w:val="20"/>
          <w:lang w:val="es-ES_tradnl"/>
        </w:rPr>
        <w:t xml:space="preserve"> </w:t>
      </w:r>
      <w:r w:rsidRPr="00156525">
        <w:rPr>
          <w:sz w:val="20"/>
          <w:lang w:val="es-ES_tradnl"/>
        </w:rPr>
        <w:t>2019,</w:t>
      </w:r>
      <w:r w:rsidRPr="00156525">
        <w:rPr>
          <w:spacing w:val="-7"/>
          <w:sz w:val="20"/>
          <w:lang w:val="es-ES_tradnl"/>
        </w:rPr>
        <w:t xml:space="preserve"> </w:t>
      </w:r>
      <w:r w:rsidRPr="00156525">
        <w:rPr>
          <w:sz w:val="20"/>
          <w:lang w:val="es-ES_tradnl"/>
        </w:rPr>
        <w:t>en</w:t>
      </w:r>
      <w:r w:rsidRPr="00156525">
        <w:rPr>
          <w:spacing w:val="-4"/>
          <w:sz w:val="20"/>
          <w:lang w:val="es-ES_tradnl"/>
        </w:rPr>
        <w:t xml:space="preserve"> </w:t>
      </w:r>
      <w:r w:rsidRPr="00156525">
        <w:rPr>
          <w:sz w:val="20"/>
          <w:lang w:val="es-ES_tradnl"/>
        </w:rPr>
        <w:t>el</w:t>
      </w:r>
      <w:r w:rsidRPr="00156525">
        <w:rPr>
          <w:spacing w:val="-6"/>
          <w:sz w:val="20"/>
          <w:lang w:val="es-ES_tradnl"/>
        </w:rPr>
        <w:t xml:space="preserve"> </w:t>
      </w:r>
      <w:r w:rsidRPr="00156525">
        <w:rPr>
          <w:sz w:val="20"/>
          <w:lang w:val="es-ES_tradnl"/>
        </w:rPr>
        <w:t>fallo</w:t>
      </w:r>
      <w:r w:rsidRPr="00156525">
        <w:rPr>
          <w:spacing w:val="-6"/>
          <w:sz w:val="20"/>
          <w:lang w:val="es-ES_tradnl"/>
        </w:rPr>
        <w:t xml:space="preserve"> </w:t>
      </w:r>
      <w:r w:rsidRPr="00156525">
        <w:rPr>
          <w:sz w:val="20"/>
          <w:lang w:val="es-ES_tradnl"/>
        </w:rPr>
        <w:t>“Fernández,</w:t>
      </w:r>
      <w:r w:rsidRPr="00156525">
        <w:rPr>
          <w:spacing w:val="-3"/>
          <w:sz w:val="20"/>
          <w:lang w:val="es-ES_tradnl"/>
        </w:rPr>
        <w:t xml:space="preserve"> </w:t>
      </w:r>
      <w:r w:rsidRPr="00156525">
        <w:rPr>
          <w:sz w:val="20"/>
          <w:lang w:val="es-ES_tradnl"/>
        </w:rPr>
        <w:t>María</w:t>
      </w:r>
      <w:r w:rsidRPr="00156525">
        <w:rPr>
          <w:spacing w:val="-6"/>
          <w:sz w:val="20"/>
          <w:lang w:val="es-ES_tradnl"/>
        </w:rPr>
        <w:t xml:space="preserve"> </w:t>
      </w:r>
      <w:r w:rsidRPr="00156525">
        <w:rPr>
          <w:sz w:val="20"/>
          <w:lang w:val="es-ES_tradnl"/>
        </w:rPr>
        <w:t>Cristina</w:t>
      </w:r>
      <w:r w:rsidRPr="00156525">
        <w:rPr>
          <w:spacing w:val="-5"/>
          <w:sz w:val="20"/>
          <w:lang w:val="es-ES_tradnl"/>
        </w:rPr>
        <w:t xml:space="preserve"> </w:t>
      </w:r>
      <w:r w:rsidRPr="00156525">
        <w:rPr>
          <w:sz w:val="20"/>
          <w:lang w:val="es-ES_tradnl"/>
        </w:rPr>
        <w:t>c/EN”,</w:t>
      </w:r>
      <w:r w:rsidRPr="00156525">
        <w:rPr>
          <w:spacing w:val="-6"/>
          <w:sz w:val="20"/>
          <w:lang w:val="es-ES_tradnl"/>
        </w:rPr>
        <w:t xml:space="preserve"> </w:t>
      </w:r>
      <w:r w:rsidRPr="00156525">
        <w:rPr>
          <w:sz w:val="20"/>
          <w:lang w:val="es-ES_tradnl"/>
        </w:rPr>
        <w:t>que</w:t>
      </w:r>
      <w:r w:rsidRPr="00156525">
        <w:rPr>
          <w:spacing w:val="-6"/>
          <w:sz w:val="20"/>
          <w:lang w:val="es-ES_tradnl"/>
        </w:rPr>
        <w:t xml:space="preserve"> </w:t>
      </w:r>
      <w:r w:rsidRPr="00156525">
        <w:rPr>
          <w:sz w:val="20"/>
          <w:lang w:val="es-ES_tradnl"/>
        </w:rPr>
        <w:t>los</w:t>
      </w:r>
      <w:r w:rsidRPr="00156525">
        <w:rPr>
          <w:spacing w:val="-2"/>
          <w:sz w:val="20"/>
          <w:lang w:val="es-ES_tradnl"/>
        </w:rPr>
        <w:t xml:space="preserve"> </w:t>
      </w:r>
      <w:r w:rsidRPr="00156525">
        <w:rPr>
          <w:sz w:val="20"/>
          <w:lang w:val="es-ES_tradnl"/>
        </w:rPr>
        <w:t>exiliados</w:t>
      </w:r>
      <w:r w:rsidRPr="00156525">
        <w:rPr>
          <w:spacing w:val="-5"/>
          <w:sz w:val="20"/>
          <w:lang w:val="es-ES_tradnl"/>
        </w:rPr>
        <w:t xml:space="preserve"> </w:t>
      </w:r>
      <w:r w:rsidRPr="00156525">
        <w:rPr>
          <w:sz w:val="20"/>
          <w:lang w:val="es-ES_tradnl"/>
        </w:rPr>
        <w:t>durante</w:t>
      </w:r>
      <w:r w:rsidRPr="00156525">
        <w:rPr>
          <w:spacing w:val="-6"/>
          <w:sz w:val="20"/>
          <w:lang w:val="es-ES_tradnl"/>
        </w:rPr>
        <w:t xml:space="preserve"> </w:t>
      </w:r>
      <w:r w:rsidRPr="00156525">
        <w:rPr>
          <w:sz w:val="20"/>
          <w:lang w:val="es-ES_tradnl"/>
        </w:rPr>
        <w:t>la</w:t>
      </w:r>
      <w:r w:rsidRPr="00156525">
        <w:rPr>
          <w:spacing w:val="-5"/>
          <w:sz w:val="20"/>
          <w:lang w:val="es-ES_tradnl"/>
        </w:rPr>
        <w:t xml:space="preserve"> </w:t>
      </w:r>
      <w:r w:rsidRPr="00156525">
        <w:rPr>
          <w:sz w:val="20"/>
          <w:lang w:val="es-ES_tradnl"/>
        </w:rPr>
        <w:t>pasada</w:t>
      </w:r>
      <w:r w:rsidRPr="00156525">
        <w:rPr>
          <w:spacing w:val="-3"/>
          <w:sz w:val="20"/>
          <w:lang w:val="es-ES_tradnl"/>
        </w:rPr>
        <w:t xml:space="preserve"> </w:t>
      </w:r>
      <w:r w:rsidRPr="00156525">
        <w:rPr>
          <w:sz w:val="20"/>
          <w:lang w:val="es-ES_tradnl"/>
        </w:rPr>
        <w:t>dictadura</w:t>
      </w:r>
      <w:r w:rsidRPr="00156525">
        <w:rPr>
          <w:spacing w:val="-5"/>
          <w:sz w:val="20"/>
          <w:lang w:val="es-ES_tradnl"/>
        </w:rPr>
        <w:t xml:space="preserve"> </w:t>
      </w:r>
      <w:r w:rsidRPr="00156525">
        <w:rPr>
          <w:sz w:val="20"/>
          <w:lang w:val="es-ES_tradnl"/>
        </w:rPr>
        <w:t>tendrían</w:t>
      </w:r>
      <w:r w:rsidRPr="00156525">
        <w:rPr>
          <w:spacing w:val="-4"/>
          <w:sz w:val="20"/>
          <w:lang w:val="es-ES_tradnl"/>
        </w:rPr>
        <w:t xml:space="preserve"> </w:t>
      </w:r>
      <w:r w:rsidRPr="00156525">
        <w:rPr>
          <w:sz w:val="20"/>
          <w:lang w:val="es-ES_tradnl"/>
        </w:rPr>
        <w:t>igual</w:t>
      </w:r>
      <w:r w:rsidRPr="00156525">
        <w:rPr>
          <w:spacing w:val="1"/>
          <w:sz w:val="20"/>
          <w:lang w:val="es-ES_tradnl"/>
        </w:rPr>
        <w:t xml:space="preserve"> </w:t>
      </w:r>
      <w:r w:rsidRPr="00156525">
        <w:rPr>
          <w:sz w:val="20"/>
          <w:lang w:val="es-ES_tradnl"/>
        </w:rPr>
        <w:t>indemnización</w:t>
      </w:r>
      <w:r w:rsidRPr="00156525">
        <w:rPr>
          <w:spacing w:val="-7"/>
          <w:sz w:val="20"/>
          <w:lang w:val="es-ES_tradnl"/>
        </w:rPr>
        <w:t xml:space="preserve"> </w:t>
      </w:r>
      <w:r w:rsidRPr="00156525">
        <w:rPr>
          <w:sz w:val="20"/>
          <w:lang w:val="es-ES_tradnl"/>
        </w:rPr>
        <w:t>que</w:t>
      </w:r>
      <w:r w:rsidRPr="00156525">
        <w:rPr>
          <w:spacing w:val="-6"/>
          <w:sz w:val="20"/>
          <w:lang w:val="es-ES_tradnl"/>
        </w:rPr>
        <w:t xml:space="preserve"> </w:t>
      </w:r>
      <w:r w:rsidRPr="00156525">
        <w:rPr>
          <w:sz w:val="20"/>
          <w:lang w:val="es-ES_tradnl"/>
        </w:rPr>
        <w:t>los</w:t>
      </w:r>
      <w:r w:rsidRPr="00156525">
        <w:rPr>
          <w:spacing w:val="-5"/>
          <w:sz w:val="20"/>
          <w:lang w:val="es-ES_tradnl"/>
        </w:rPr>
        <w:t xml:space="preserve"> </w:t>
      </w:r>
      <w:r w:rsidRPr="00156525">
        <w:rPr>
          <w:sz w:val="20"/>
          <w:lang w:val="es-ES_tradnl"/>
        </w:rPr>
        <w:t>detenidos</w:t>
      </w:r>
      <w:r w:rsidRPr="00156525">
        <w:rPr>
          <w:spacing w:val="-6"/>
          <w:sz w:val="20"/>
          <w:lang w:val="es-ES_tradnl"/>
        </w:rPr>
        <w:t xml:space="preserve"> </w:t>
      </w:r>
      <w:r w:rsidRPr="00156525">
        <w:rPr>
          <w:sz w:val="20"/>
          <w:lang w:val="es-ES_tradnl"/>
        </w:rPr>
        <w:t>en</w:t>
      </w:r>
      <w:r w:rsidRPr="00156525">
        <w:rPr>
          <w:spacing w:val="-7"/>
          <w:sz w:val="20"/>
          <w:lang w:val="es-ES_tradnl"/>
        </w:rPr>
        <w:t xml:space="preserve"> </w:t>
      </w:r>
      <w:r w:rsidRPr="00156525">
        <w:rPr>
          <w:sz w:val="20"/>
          <w:lang w:val="es-ES_tradnl"/>
        </w:rPr>
        <w:t>los</w:t>
      </w:r>
      <w:r w:rsidRPr="00156525">
        <w:rPr>
          <w:spacing w:val="-6"/>
          <w:sz w:val="20"/>
          <w:lang w:val="es-ES_tradnl"/>
        </w:rPr>
        <w:t xml:space="preserve"> </w:t>
      </w:r>
      <w:r w:rsidRPr="00156525">
        <w:rPr>
          <w:sz w:val="20"/>
          <w:lang w:val="es-ES_tradnl"/>
        </w:rPr>
        <w:t>términos</w:t>
      </w:r>
      <w:r w:rsidRPr="00156525">
        <w:rPr>
          <w:spacing w:val="-5"/>
          <w:sz w:val="20"/>
          <w:lang w:val="es-ES_tradnl"/>
        </w:rPr>
        <w:t xml:space="preserve"> </w:t>
      </w:r>
      <w:r w:rsidRPr="00156525">
        <w:rPr>
          <w:sz w:val="20"/>
          <w:lang w:val="es-ES_tradnl"/>
        </w:rPr>
        <w:t>de</w:t>
      </w:r>
      <w:r w:rsidRPr="00156525">
        <w:rPr>
          <w:spacing w:val="-5"/>
          <w:sz w:val="20"/>
          <w:lang w:val="es-ES_tradnl"/>
        </w:rPr>
        <w:t xml:space="preserve"> </w:t>
      </w:r>
      <w:r w:rsidRPr="00156525">
        <w:rPr>
          <w:sz w:val="20"/>
          <w:lang w:val="es-ES_tradnl"/>
        </w:rPr>
        <w:t>la</w:t>
      </w:r>
      <w:r w:rsidRPr="00156525">
        <w:rPr>
          <w:spacing w:val="-6"/>
          <w:sz w:val="20"/>
          <w:lang w:val="es-ES_tradnl"/>
        </w:rPr>
        <w:t xml:space="preserve"> </w:t>
      </w:r>
      <w:r w:rsidRPr="00156525">
        <w:rPr>
          <w:sz w:val="20"/>
          <w:lang w:val="es-ES_tradnl"/>
        </w:rPr>
        <w:t>Ley</w:t>
      </w:r>
      <w:r w:rsidRPr="00156525">
        <w:rPr>
          <w:spacing w:val="-6"/>
          <w:sz w:val="20"/>
          <w:lang w:val="es-ES_tradnl"/>
        </w:rPr>
        <w:t xml:space="preserve"> </w:t>
      </w:r>
      <w:r w:rsidRPr="00156525">
        <w:rPr>
          <w:sz w:val="20"/>
          <w:lang w:val="es-ES_tradnl"/>
        </w:rPr>
        <w:t>No</w:t>
      </w:r>
      <w:r w:rsidRPr="00156525">
        <w:rPr>
          <w:spacing w:val="-6"/>
          <w:sz w:val="20"/>
          <w:lang w:val="es-ES_tradnl"/>
        </w:rPr>
        <w:t xml:space="preserve"> </w:t>
      </w:r>
      <w:r w:rsidRPr="00156525">
        <w:rPr>
          <w:sz w:val="20"/>
          <w:lang w:val="es-ES_tradnl"/>
        </w:rPr>
        <w:t>24.043.</w:t>
      </w:r>
      <w:r w:rsidRPr="00156525">
        <w:rPr>
          <w:spacing w:val="-7"/>
          <w:sz w:val="20"/>
          <w:lang w:val="es-ES_tradnl"/>
        </w:rPr>
        <w:t xml:space="preserve"> </w:t>
      </w:r>
      <w:r w:rsidRPr="00156525">
        <w:rPr>
          <w:sz w:val="20"/>
          <w:lang w:val="es-ES_tradnl"/>
        </w:rPr>
        <w:t>Por</w:t>
      </w:r>
      <w:r w:rsidRPr="00156525">
        <w:rPr>
          <w:spacing w:val="-6"/>
          <w:sz w:val="20"/>
          <w:lang w:val="es-ES_tradnl"/>
        </w:rPr>
        <w:t xml:space="preserve"> </w:t>
      </w:r>
      <w:r w:rsidRPr="00156525">
        <w:rPr>
          <w:sz w:val="20"/>
          <w:lang w:val="es-ES_tradnl"/>
        </w:rPr>
        <w:t>lo</w:t>
      </w:r>
      <w:r w:rsidRPr="00156525">
        <w:rPr>
          <w:spacing w:val="-7"/>
          <w:sz w:val="20"/>
          <w:lang w:val="es-ES_tradnl"/>
        </w:rPr>
        <w:t xml:space="preserve"> </w:t>
      </w:r>
      <w:r w:rsidRPr="00156525">
        <w:rPr>
          <w:sz w:val="20"/>
          <w:lang w:val="es-ES_tradnl"/>
        </w:rPr>
        <w:t>tanto,</w:t>
      </w:r>
      <w:r w:rsidRPr="00156525">
        <w:rPr>
          <w:spacing w:val="-6"/>
          <w:sz w:val="20"/>
          <w:lang w:val="es-ES_tradnl"/>
        </w:rPr>
        <w:t xml:space="preserve"> </w:t>
      </w:r>
      <w:r w:rsidRPr="00156525">
        <w:rPr>
          <w:sz w:val="20"/>
          <w:lang w:val="es-ES_tradnl"/>
        </w:rPr>
        <w:t>la</w:t>
      </w:r>
      <w:r w:rsidRPr="00156525">
        <w:rPr>
          <w:spacing w:val="-6"/>
          <w:sz w:val="20"/>
          <w:lang w:val="es-ES_tradnl"/>
        </w:rPr>
        <w:t xml:space="preserve"> </w:t>
      </w:r>
      <w:r w:rsidRPr="00156525">
        <w:rPr>
          <w:sz w:val="20"/>
          <w:lang w:val="es-ES_tradnl"/>
        </w:rPr>
        <w:t>Comisión</w:t>
      </w:r>
      <w:r w:rsidRPr="00156525">
        <w:rPr>
          <w:spacing w:val="-7"/>
          <w:sz w:val="20"/>
          <w:lang w:val="es-ES_tradnl"/>
        </w:rPr>
        <w:t xml:space="preserve"> </w:t>
      </w:r>
      <w:r w:rsidRPr="00156525">
        <w:rPr>
          <w:sz w:val="20"/>
          <w:lang w:val="es-ES_tradnl"/>
        </w:rPr>
        <w:t>Interamericana</w:t>
      </w:r>
      <w:r w:rsidRPr="00156525">
        <w:rPr>
          <w:spacing w:val="1"/>
          <w:sz w:val="20"/>
          <w:lang w:val="es-ES_tradnl"/>
        </w:rPr>
        <w:t xml:space="preserve"> </w:t>
      </w:r>
      <w:r w:rsidRPr="00156525">
        <w:rPr>
          <w:sz w:val="20"/>
          <w:lang w:val="es-ES_tradnl"/>
        </w:rPr>
        <w:t>considera que le corresponde ejercer su competencia complementaria en este asunto y analizar en la etapa de</w:t>
      </w:r>
      <w:r w:rsidRPr="00156525">
        <w:rPr>
          <w:spacing w:val="-42"/>
          <w:sz w:val="20"/>
          <w:lang w:val="es-ES_tradnl"/>
        </w:rPr>
        <w:t xml:space="preserve"> </w:t>
      </w:r>
      <w:r w:rsidRPr="00156525">
        <w:rPr>
          <w:sz w:val="20"/>
          <w:lang w:val="es-ES_tradnl"/>
        </w:rPr>
        <w:t>fondo si el sistema interno ofreció a las presuntas víctimas las vías adecuadas para buscar una debida reparación</w:t>
      </w:r>
      <w:r w:rsidRPr="00156525">
        <w:rPr>
          <w:spacing w:val="-42"/>
          <w:sz w:val="20"/>
          <w:lang w:val="es-ES_tradnl"/>
        </w:rPr>
        <w:t xml:space="preserve"> </w:t>
      </w:r>
      <w:r w:rsidRPr="00156525">
        <w:rPr>
          <w:sz w:val="20"/>
          <w:lang w:val="es-ES_tradnl"/>
        </w:rPr>
        <w:t>y garantizar el derecho a la tutela judicial efectiva; y si hay una violación del derecho a la igualdad y no</w:t>
      </w:r>
      <w:r w:rsidRPr="00156525">
        <w:rPr>
          <w:spacing w:val="1"/>
          <w:sz w:val="20"/>
          <w:lang w:val="es-ES_tradnl"/>
        </w:rPr>
        <w:t xml:space="preserve"> </w:t>
      </w:r>
      <w:r w:rsidRPr="00156525">
        <w:rPr>
          <w:sz w:val="20"/>
          <w:lang w:val="es-ES_tradnl"/>
        </w:rPr>
        <w:t>discriminación</w:t>
      </w:r>
      <w:r w:rsidRPr="00156525">
        <w:rPr>
          <w:spacing w:val="-3"/>
          <w:sz w:val="20"/>
          <w:lang w:val="es-ES_tradnl"/>
        </w:rPr>
        <w:t xml:space="preserve"> </w:t>
      </w:r>
      <w:r w:rsidRPr="00156525">
        <w:rPr>
          <w:sz w:val="20"/>
          <w:lang w:val="es-ES_tradnl"/>
        </w:rPr>
        <w:t>en los</w:t>
      </w:r>
      <w:r w:rsidRPr="00156525">
        <w:rPr>
          <w:spacing w:val="-1"/>
          <w:sz w:val="20"/>
          <w:lang w:val="es-ES_tradnl"/>
        </w:rPr>
        <w:t xml:space="preserve"> </w:t>
      </w:r>
      <w:r w:rsidRPr="00156525">
        <w:rPr>
          <w:sz w:val="20"/>
          <w:lang w:val="es-ES_tradnl"/>
        </w:rPr>
        <w:t>casos</w:t>
      </w:r>
      <w:r w:rsidRPr="00156525">
        <w:rPr>
          <w:spacing w:val="-1"/>
          <w:sz w:val="20"/>
          <w:lang w:val="es-ES_tradnl"/>
        </w:rPr>
        <w:t xml:space="preserve"> </w:t>
      </w:r>
      <w:r w:rsidRPr="00156525">
        <w:rPr>
          <w:sz w:val="20"/>
          <w:lang w:val="es-ES_tradnl"/>
        </w:rPr>
        <w:t>que</w:t>
      </w:r>
      <w:r w:rsidRPr="00156525">
        <w:rPr>
          <w:spacing w:val="-1"/>
          <w:sz w:val="20"/>
          <w:lang w:val="es-ES_tradnl"/>
        </w:rPr>
        <w:t xml:space="preserve"> </w:t>
      </w:r>
      <w:r w:rsidRPr="00156525">
        <w:rPr>
          <w:sz w:val="20"/>
          <w:lang w:val="es-ES_tradnl"/>
        </w:rPr>
        <w:t>escapan</w:t>
      </w:r>
      <w:r w:rsidRPr="00156525">
        <w:rPr>
          <w:spacing w:val="-2"/>
          <w:sz w:val="20"/>
          <w:lang w:val="es-ES_tradnl"/>
        </w:rPr>
        <w:t xml:space="preserve"> </w:t>
      </w:r>
      <w:r w:rsidRPr="00156525">
        <w:rPr>
          <w:sz w:val="20"/>
          <w:lang w:val="es-ES_tradnl"/>
        </w:rPr>
        <w:t>a</w:t>
      </w:r>
      <w:r w:rsidRPr="00156525">
        <w:rPr>
          <w:spacing w:val="-1"/>
          <w:sz w:val="20"/>
          <w:lang w:val="es-ES_tradnl"/>
        </w:rPr>
        <w:t xml:space="preserve"> </w:t>
      </w:r>
      <w:r w:rsidRPr="00156525">
        <w:rPr>
          <w:sz w:val="20"/>
          <w:lang w:val="es-ES_tradnl"/>
        </w:rPr>
        <w:t>los supuestos</w:t>
      </w:r>
      <w:r w:rsidRPr="00156525">
        <w:rPr>
          <w:spacing w:val="1"/>
          <w:sz w:val="20"/>
          <w:lang w:val="es-ES_tradnl"/>
        </w:rPr>
        <w:t xml:space="preserve"> </w:t>
      </w:r>
      <w:r w:rsidRPr="00156525">
        <w:rPr>
          <w:sz w:val="20"/>
          <w:lang w:val="es-ES_tradnl"/>
        </w:rPr>
        <w:t>reparables</w:t>
      </w:r>
      <w:r w:rsidRPr="00156525">
        <w:rPr>
          <w:spacing w:val="-1"/>
          <w:sz w:val="20"/>
          <w:lang w:val="es-ES_tradnl"/>
        </w:rPr>
        <w:t xml:space="preserve"> </w:t>
      </w:r>
      <w:r w:rsidRPr="00156525">
        <w:rPr>
          <w:sz w:val="20"/>
          <w:lang w:val="es-ES_tradnl"/>
        </w:rPr>
        <w:t>de la</w:t>
      </w:r>
      <w:r w:rsidRPr="00156525">
        <w:rPr>
          <w:spacing w:val="-1"/>
          <w:sz w:val="20"/>
          <w:lang w:val="es-ES_tradnl"/>
        </w:rPr>
        <w:t xml:space="preserve"> </w:t>
      </w:r>
      <w:r w:rsidRPr="00156525">
        <w:rPr>
          <w:sz w:val="20"/>
          <w:lang w:val="es-ES_tradnl"/>
        </w:rPr>
        <w:t>Ley</w:t>
      </w:r>
      <w:r w:rsidRPr="00156525">
        <w:rPr>
          <w:spacing w:val="-1"/>
          <w:sz w:val="20"/>
          <w:lang w:val="es-ES_tradnl"/>
        </w:rPr>
        <w:t xml:space="preserve"> </w:t>
      </w:r>
      <w:r w:rsidRPr="00156525">
        <w:rPr>
          <w:sz w:val="20"/>
          <w:lang w:val="es-ES_tradnl"/>
        </w:rPr>
        <w:t>No.</w:t>
      </w:r>
      <w:r w:rsidRPr="00156525">
        <w:rPr>
          <w:spacing w:val="-2"/>
          <w:sz w:val="20"/>
          <w:lang w:val="es-ES_tradnl"/>
        </w:rPr>
        <w:t xml:space="preserve"> </w:t>
      </w:r>
      <w:r w:rsidRPr="00156525">
        <w:rPr>
          <w:sz w:val="20"/>
          <w:lang w:val="es-ES_tradnl"/>
        </w:rPr>
        <w:t>24.043.</w:t>
      </w:r>
    </w:p>
    <w:p w14:paraId="1C0BF893" w14:textId="5632E0E8" w:rsidR="004759EA" w:rsidRPr="00156525" w:rsidRDefault="004759EA" w:rsidP="004759E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156525">
        <w:rPr>
          <w:sz w:val="20"/>
          <w:lang w:val="es-ES_tradnl"/>
        </w:rPr>
        <w:t xml:space="preserve">En consideración de lo anterior, y de sus </w:t>
      </w:r>
      <w:r w:rsidR="00F54FA1">
        <w:rPr>
          <w:sz w:val="20"/>
          <w:lang w:val="es-ES_tradnl"/>
        </w:rPr>
        <w:t xml:space="preserve">numerosos </w:t>
      </w:r>
      <w:r w:rsidRPr="00156525">
        <w:rPr>
          <w:sz w:val="20"/>
          <w:lang w:val="es-ES_tradnl"/>
        </w:rPr>
        <w:t xml:space="preserve">precedentes </w:t>
      </w:r>
      <w:r w:rsidR="00AC4CC2">
        <w:rPr>
          <w:sz w:val="20"/>
          <w:lang w:val="es-ES_tradnl"/>
        </w:rPr>
        <w:t>de</w:t>
      </w:r>
      <w:r w:rsidRPr="00156525">
        <w:rPr>
          <w:sz w:val="20"/>
          <w:lang w:val="es-ES_tradnl"/>
        </w:rPr>
        <w:t xml:space="preserve"> </w:t>
      </w:r>
      <w:r w:rsidR="00F54FA1">
        <w:rPr>
          <w:sz w:val="20"/>
          <w:lang w:val="es-ES_tradnl"/>
        </w:rPr>
        <w:t>casos similares relativos a Argentina</w:t>
      </w:r>
      <w:hyperlink w:anchor="_bookmark6" w:history="1">
        <w:r w:rsidR="00EC1C55" w:rsidRPr="00156525">
          <w:rPr>
            <w:position w:val="5"/>
            <w:sz w:val="13"/>
            <w:lang w:val="es-ES_tradnl"/>
          </w:rPr>
          <w:t>7</w:t>
        </w:r>
      </w:hyperlink>
      <w:r w:rsidRPr="00156525">
        <w:rPr>
          <w:sz w:val="20"/>
          <w:lang w:val="es-ES_tradnl"/>
        </w:rPr>
        <w:t>, la CIDH considera que</w:t>
      </w:r>
      <w:r w:rsidRPr="00156525">
        <w:rPr>
          <w:spacing w:val="1"/>
          <w:sz w:val="20"/>
          <w:lang w:val="es-ES_tradnl"/>
        </w:rPr>
        <w:t xml:space="preserve"> </w:t>
      </w:r>
      <w:r w:rsidRPr="00156525">
        <w:rPr>
          <w:sz w:val="20"/>
          <w:lang w:val="es-ES_tradnl"/>
        </w:rPr>
        <w:t>los alegatos de la parte peticionaria no resultan manifiestamente infundados y requieren de un estudio de</w:t>
      </w:r>
      <w:r w:rsidRPr="00156525">
        <w:rPr>
          <w:spacing w:val="1"/>
          <w:sz w:val="20"/>
          <w:lang w:val="es-ES_tradnl"/>
        </w:rPr>
        <w:t xml:space="preserve"> </w:t>
      </w:r>
      <w:r w:rsidRPr="00156525">
        <w:rPr>
          <w:sz w:val="20"/>
          <w:lang w:val="es-ES_tradnl"/>
        </w:rPr>
        <w:t>fondo pues los hechos alegados, de corroborarse como ciertos, podrían constituir violaciones de los derechos</w:t>
      </w:r>
      <w:r w:rsidRPr="00156525">
        <w:rPr>
          <w:spacing w:val="1"/>
          <w:sz w:val="20"/>
          <w:lang w:val="es-ES_tradnl"/>
        </w:rPr>
        <w:t xml:space="preserve"> </w:t>
      </w:r>
      <w:r w:rsidRPr="00156525">
        <w:rPr>
          <w:sz w:val="20"/>
          <w:lang w:val="es-ES_tradnl"/>
        </w:rPr>
        <w:t>reconocidos en los artículos 8 (garantías judiciales), 24 (igualdad ante la ley) y 25 (protección judicial) de la</w:t>
      </w:r>
      <w:r w:rsidRPr="00156525">
        <w:rPr>
          <w:spacing w:val="1"/>
          <w:sz w:val="20"/>
          <w:lang w:val="es-ES_tradnl"/>
        </w:rPr>
        <w:t xml:space="preserve"> </w:t>
      </w:r>
      <w:r w:rsidRPr="00156525">
        <w:rPr>
          <w:sz w:val="20"/>
          <w:lang w:val="es-ES_tradnl"/>
        </w:rPr>
        <w:t>Convención Americana, en relación con s</w:t>
      </w:r>
      <w:hyperlink w:anchor="_bookmark6" w:history="1">
        <w:r w:rsidRPr="00156525">
          <w:rPr>
            <w:sz w:val="20"/>
            <w:lang w:val="es-ES_tradnl"/>
          </w:rPr>
          <w:t xml:space="preserve">us </w:t>
        </w:r>
      </w:hyperlink>
      <w:r w:rsidRPr="00156525">
        <w:rPr>
          <w:sz w:val="20"/>
          <w:lang w:val="es-ES_tradnl"/>
        </w:rPr>
        <w:t>artículos 1.1 (obligación de respetar los derechos) y 2 (deber de</w:t>
      </w:r>
      <w:r w:rsidRPr="00156525">
        <w:rPr>
          <w:spacing w:val="1"/>
          <w:sz w:val="20"/>
          <w:lang w:val="es-ES_tradnl"/>
        </w:rPr>
        <w:t xml:space="preserve"> </w:t>
      </w:r>
      <w:r w:rsidRPr="00156525">
        <w:rPr>
          <w:sz w:val="20"/>
          <w:lang w:val="es-ES_tradnl"/>
        </w:rPr>
        <w:t>adoptar</w:t>
      </w:r>
      <w:r w:rsidRPr="00156525">
        <w:rPr>
          <w:spacing w:val="-3"/>
          <w:sz w:val="20"/>
          <w:lang w:val="es-ES_tradnl"/>
        </w:rPr>
        <w:t xml:space="preserve"> </w:t>
      </w:r>
      <w:r w:rsidRPr="00156525">
        <w:rPr>
          <w:sz w:val="20"/>
          <w:lang w:val="es-ES_tradnl"/>
        </w:rPr>
        <w:t>disposiciones de derecho</w:t>
      </w:r>
      <w:r w:rsidRPr="00156525">
        <w:rPr>
          <w:spacing w:val="-2"/>
          <w:sz w:val="20"/>
          <w:lang w:val="es-ES_tradnl"/>
        </w:rPr>
        <w:t xml:space="preserve"> </w:t>
      </w:r>
      <w:r w:rsidRPr="00156525">
        <w:rPr>
          <w:sz w:val="20"/>
          <w:lang w:val="es-ES_tradnl"/>
        </w:rPr>
        <w:t>interno)</w:t>
      </w:r>
      <w:r w:rsidR="00263A8C">
        <w:rPr>
          <w:sz w:val="20"/>
          <w:lang w:val="es-ES_tradnl"/>
        </w:rPr>
        <w:t xml:space="preserve">, en perjuicio de </w:t>
      </w:r>
      <w:r w:rsidR="00AA3127">
        <w:rPr>
          <w:sz w:val="20"/>
          <w:lang w:val="es-ES_tradnl"/>
        </w:rPr>
        <w:t xml:space="preserve">la Sra. </w:t>
      </w:r>
      <w:r w:rsidR="00A6289F">
        <w:rPr>
          <w:sz w:val="20"/>
          <w:lang w:val="es-ES_tradnl"/>
        </w:rPr>
        <w:t>Nélida</w:t>
      </w:r>
      <w:r w:rsidR="00AA3127">
        <w:rPr>
          <w:sz w:val="20"/>
          <w:lang w:val="es-ES_tradnl"/>
        </w:rPr>
        <w:t xml:space="preserve"> Manopella y el Sr. Guillermo Puy</w:t>
      </w:r>
      <w:r w:rsidRPr="00156525">
        <w:rPr>
          <w:sz w:val="20"/>
          <w:lang w:val="es-ES_tradnl"/>
        </w:rPr>
        <w:t>.</w:t>
      </w:r>
    </w:p>
    <w:p w14:paraId="34A0FF89" w14:textId="0BFBC958" w:rsidR="005D330F" w:rsidRPr="006C2689" w:rsidRDefault="00EC1C55" w:rsidP="0040590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6C2689">
        <w:rPr>
          <w:sz w:val="20"/>
          <w:lang w:val="es-ES_tradnl"/>
        </w:rPr>
        <w:t>Con</w:t>
      </w:r>
      <w:r w:rsidRPr="006C2689">
        <w:rPr>
          <w:spacing w:val="-10"/>
          <w:sz w:val="20"/>
          <w:lang w:val="es-ES_tradnl"/>
        </w:rPr>
        <w:t xml:space="preserve"> </w:t>
      </w:r>
      <w:r w:rsidRPr="006C2689">
        <w:rPr>
          <w:sz w:val="20"/>
          <w:lang w:val="es-ES_tradnl"/>
        </w:rPr>
        <w:t>respecto</w:t>
      </w:r>
      <w:r w:rsidRPr="006C2689">
        <w:rPr>
          <w:spacing w:val="-8"/>
          <w:sz w:val="20"/>
          <w:lang w:val="es-ES_tradnl"/>
        </w:rPr>
        <w:t xml:space="preserve"> </w:t>
      </w:r>
      <w:r w:rsidRPr="006C2689">
        <w:rPr>
          <w:sz w:val="20"/>
          <w:lang w:val="es-ES_tradnl"/>
        </w:rPr>
        <w:t>al</w:t>
      </w:r>
      <w:r w:rsidRPr="006C2689">
        <w:rPr>
          <w:spacing w:val="-7"/>
          <w:sz w:val="20"/>
          <w:lang w:val="es-ES_tradnl"/>
        </w:rPr>
        <w:t xml:space="preserve"> </w:t>
      </w:r>
      <w:r w:rsidRPr="006C2689">
        <w:rPr>
          <w:sz w:val="20"/>
          <w:lang w:val="es-ES_tradnl"/>
        </w:rPr>
        <w:t>alegato</w:t>
      </w:r>
      <w:r w:rsidRPr="006C2689">
        <w:rPr>
          <w:spacing w:val="-8"/>
          <w:sz w:val="20"/>
          <w:lang w:val="es-ES_tradnl"/>
        </w:rPr>
        <w:t xml:space="preserve"> </w:t>
      </w:r>
      <w:r w:rsidRPr="006C2689">
        <w:rPr>
          <w:sz w:val="20"/>
          <w:lang w:val="es-ES_tradnl"/>
        </w:rPr>
        <w:t>del</w:t>
      </w:r>
      <w:r w:rsidRPr="006C2689">
        <w:rPr>
          <w:spacing w:val="-8"/>
          <w:sz w:val="20"/>
          <w:lang w:val="es-ES_tradnl"/>
        </w:rPr>
        <w:t xml:space="preserve"> </w:t>
      </w:r>
      <w:r w:rsidRPr="006C2689">
        <w:rPr>
          <w:sz w:val="20"/>
          <w:lang w:val="es-ES_tradnl"/>
        </w:rPr>
        <w:t>Estado</w:t>
      </w:r>
      <w:r w:rsidRPr="006C2689">
        <w:rPr>
          <w:spacing w:val="-8"/>
          <w:sz w:val="20"/>
          <w:lang w:val="es-ES_tradnl"/>
        </w:rPr>
        <w:t xml:space="preserve"> </w:t>
      </w:r>
      <w:r w:rsidRPr="006C2689">
        <w:rPr>
          <w:sz w:val="20"/>
          <w:lang w:val="es-ES_tradnl"/>
        </w:rPr>
        <w:t>sobre</w:t>
      </w:r>
      <w:r w:rsidRPr="006C2689">
        <w:rPr>
          <w:spacing w:val="-7"/>
          <w:sz w:val="20"/>
          <w:lang w:val="es-ES_tradnl"/>
        </w:rPr>
        <w:t xml:space="preserve"> </w:t>
      </w:r>
      <w:r w:rsidRPr="006C2689">
        <w:rPr>
          <w:sz w:val="20"/>
          <w:lang w:val="es-ES_tradnl"/>
        </w:rPr>
        <w:t>la</w:t>
      </w:r>
      <w:r w:rsidRPr="006C2689">
        <w:rPr>
          <w:spacing w:val="-8"/>
          <w:sz w:val="20"/>
          <w:lang w:val="es-ES_tradnl"/>
        </w:rPr>
        <w:t xml:space="preserve"> </w:t>
      </w:r>
      <w:r w:rsidRPr="006C2689">
        <w:rPr>
          <w:sz w:val="20"/>
          <w:lang w:val="es-ES_tradnl"/>
        </w:rPr>
        <w:t>llamada</w:t>
      </w:r>
      <w:r w:rsidRPr="006C2689">
        <w:rPr>
          <w:spacing w:val="-7"/>
          <w:sz w:val="20"/>
          <w:lang w:val="es-ES_tradnl"/>
        </w:rPr>
        <w:t xml:space="preserve"> </w:t>
      </w:r>
      <w:r w:rsidRPr="006C2689">
        <w:rPr>
          <w:sz w:val="20"/>
          <w:lang w:val="es-ES_tradnl"/>
        </w:rPr>
        <w:t>“fórmula</w:t>
      </w:r>
      <w:r w:rsidRPr="006C2689">
        <w:rPr>
          <w:spacing w:val="-7"/>
          <w:sz w:val="20"/>
          <w:lang w:val="es-ES_tradnl"/>
        </w:rPr>
        <w:t xml:space="preserve"> </w:t>
      </w:r>
      <w:r w:rsidRPr="006C2689">
        <w:rPr>
          <w:sz w:val="20"/>
          <w:lang w:val="es-ES_tradnl"/>
        </w:rPr>
        <w:t>de</w:t>
      </w:r>
      <w:r w:rsidRPr="006C2689">
        <w:rPr>
          <w:spacing w:val="-8"/>
          <w:sz w:val="20"/>
          <w:lang w:val="es-ES_tradnl"/>
        </w:rPr>
        <w:t xml:space="preserve"> </w:t>
      </w:r>
      <w:r w:rsidRPr="006C2689">
        <w:rPr>
          <w:sz w:val="20"/>
          <w:lang w:val="es-ES_tradnl"/>
        </w:rPr>
        <w:t>la</w:t>
      </w:r>
      <w:r w:rsidRPr="006C2689">
        <w:rPr>
          <w:spacing w:val="-7"/>
          <w:sz w:val="20"/>
          <w:lang w:val="es-ES_tradnl"/>
        </w:rPr>
        <w:t xml:space="preserve"> </w:t>
      </w:r>
      <w:r w:rsidRPr="006C2689">
        <w:rPr>
          <w:sz w:val="20"/>
          <w:lang w:val="es-ES_tradnl"/>
        </w:rPr>
        <w:t>cuarta</w:t>
      </w:r>
      <w:r w:rsidRPr="006C2689">
        <w:rPr>
          <w:spacing w:val="-7"/>
          <w:sz w:val="20"/>
          <w:lang w:val="es-ES_tradnl"/>
        </w:rPr>
        <w:t xml:space="preserve"> </w:t>
      </w:r>
      <w:r w:rsidRPr="006C2689">
        <w:rPr>
          <w:sz w:val="20"/>
          <w:lang w:val="es-ES_tradnl"/>
        </w:rPr>
        <w:t>instancia”,</w:t>
      </w:r>
      <w:r w:rsidRPr="006C2689">
        <w:rPr>
          <w:spacing w:val="-8"/>
          <w:sz w:val="20"/>
          <w:lang w:val="es-ES_tradnl"/>
        </w:rPr>
        <w:t xml:space="preserve"> </w:t>
      </w:r>
      <w:r w:rsidRPr="006C2689">
        <w:rPr>
          <w:sz w:val="20"/>
          <w:lang w:val="es-ES_tradnl"/>
        </w:rPr>
        <w:t>al</w:t>
      </w:r>
      <w:r w:rsidRPr="006C2689">
        <w:rPr>
          <w:spacing w:val="-6"/>
          <w:sz w:val="20"/>
          <w:lang w:val="es-ES_tradnl"/>
        </w:rPr>
        <w:t xml:space="preserve"> </w:t>
      </w:r>
      <w:r w:rsidRPr="006C2689">
        <w:rPr>
          <w:sz w:val="20"/>
          <w:lang w:val="es-ES_tradnl"/>
        </w:rPr>
        <w:t>admitir</w:t>
      </w:r>
      <w:r w:rsidRPr="006C2689">
        <w:rPr>
          <w:spacing w:val="1"/>
          <w:sz w:val="20"/>
          <w:lang w:val="es-ES_tradnl"/>
        </w:rPr>
        <w:t xml:space="preserve"> </w:t>
      </w:r>
      <w:r w:rsidRPr="006C2689">
        <w:rPr>
          <w:sz w:val="20"/>
          <w:lang w:val="es-ES_tradnl"/>
        </w:rPr>
        <w:t>esta petición la CIDH no pretende suplantar la competencia de las autoridades judiciales domésticas. Lo que sí</w:t>
      </w:r>
      <w:r w:rsidRPr="006C2689">
        <w:rPr>
          <w:spacing w:val="-42"/>
          <w:sz w:val="20"/>
          <w:lang w:val="es-ES_tradnl"/>
        </w:rPr>
        <w:t xml:space="preserve"> </w:t>
      </w:r>
      <w:r w:rsidRPr="006C2689">
        <w:rPr>
          <w:sz w:val="20"/>
          <w:lang w:val="es-ES_tradnl"/>
        </w:rPr>
        <w:t>hará</w:t>
      </w:r>
      <w:r w:rsidRPr="006C2689">
        <w:rPr>
          <w:spacing w:val="-9"/>
          <w:sz w:val="20"/>
          <w:lang w:val="es-ES_tradnl"/>
        </w:rPr>
        <w:t xml:space="preserve"> </w:t>
      </w:r>
      <w:r w:rsidRPr="006C2689">
        <w:rPr>
          <w:sz w:val="20"/>
          <w:lang w:val="es-ES_tradnl"/>
        </w:rPr>
        <w:t>es</w:t>
      </w:r>
      <w:r w:rsidRPr="006C2689">
        <w:rPr>
          <w:spacing w:val="-10"/>
          <w:sz w:val="20"/>
          <w:lang w:val="es-ES_tradnl"/>
        </w:rPr>
        <w:t xml:space="preserve"> </w:t>
      </w:r>
      <w:r w:rsidRPr="006C2689">
        <w:rPr>
          <w:sz w:val="20"/>
          <w:lang w:val="es-ES_tradnl"/>
        </w:rPr>
        <w:t>analizar</w:t>
      </w:r>
      <w:r w:rsidRPr="006C2689">
        <w:rPr>
          <w:spacing w:val="-11"/>
          <w:sz w:val="20"/>
          <w:lang w:val="es-ES_tradnl"/>
        </w:rPr>
        <w:t xml:space="preserve"> </w:t>
      </w:r>
      <w:r w:rsidRPr="006C2689">
        <w:rPr>
          <w:sz w:val="20"/>
          <w:lang w:val="es-ES_tradnl"/>
        </w:rPr>
        <w:t>en</w:t>
      </w:r>
      <w:r w:rsidRPr="006C2689">
        <w:rPr>
          <w:spacing w:val="-11"/>
          <w:sz w:val="20"/>
          <w:lang w:val="es-ES_tradnl"/>
        </w:rPr>
        <w:t xml:space="preserve"> </w:t>
      </w:r>
      <w:r w:rsidRPr="006C2689">
        <w:rPr>
          <w:sz w:val="20"/>
          <w:lang w:val="es-ES_tradnl"/>
        </w:rPr>
        <w:t>la</w:t>
      </w:r>
      <w:r w:rsidRPr="006C2689">
        <w:rPr>
          <w:spacing w:val="-8"/>
          <w:sz w:val="20"/>
          <w:lang w:val="es-ES_tradnl"/>
        </w:rPr>
        <w:t xml:space="preserve"> </w:t>
      </w:r>
      <w:r w:rsidRPr="006C2689">
        <w:rPr>
          <w:sz w:val="20"/>
          <w:lang w:val="es-ES_tradnl"/>
        </w:rPr>
        <w:t>etapa</w:t>
      </w:r>
      <w:r w:rsidRPr="006C2689">
        <w:rPr>
          <w:spacing w:val="-10"/>
          <w:sz w:val="20"/>
          <w:lang w:val="es-ES_tradnl"/>
        </w:rPr>
        <w:t xml:space="preserve"> </w:t>
      </w:r>
      <w:r w:rsidRPr="006C2689">
        <w:rPr>
          <w:sz w:val="20"/>
          <w:lang w:val="es-ES_tradnl"/>
        </w:rPr>
        <w:t>de</w:t>
      </w:r>
      <w:r w:rsidRPr="006C2689">
        <w:rPr>
          <w:spacing w:val="-9"/>
          <w:sz w:val="20"/>
          <w:lang w:val="es-ES_tradnl"/>
        </w:rPr>
        <w:t xml:space="preserve"> </w:t>
      </w:r>
      <w:r w:rsidRPr="006C2689">
        <w:rPr>
          <w:sz w:val="20"/>
          <w:lang w:val="es-ES_tradnl"/>
        </w:rPr>
        <w:t>fondo</w:t>
      </w:r>
      <w:r w:rsidRPr="006C2689">
        <w:rPr>
          <w:spacing w:val="-11"/>
          <w:sz w:val="20"/>
          <w:lang w:val="es-ES_tradnl"/>
        </w:rPr>
        <w:t xml:space="preserve"> </w:t>
      </w:r>
      <w:r w:rsidRPr="006C2689">
        <w:rPr>
          <w:sz w:val="20"/>
          <w:lang w:val="es-ES_tradnl"/>
        </w:rPr>
        <w:t>si</w:t>
      </w:r>
      <w:r w:rsidRPr="006C2689">
        <w:rPr>
          <w:spacing w:val="-10"/>
          <w:sz w:val="20"/>
          <w:lang w:val="es-ES_tradnl"/>
        </w:rPr>
        <w:t xml:space="preserve"> </w:t>
      </w:r>
      <w:r w:rsidRPr="006C2689">
        <w:rPr>
          <w:sz w:val="20"/>
          <w:lang w:val="es-ES_tradnl"/>
        </w:rPr>
        <w:t>los</w:t>
      </w:r>
      <w:r w:rsidRPr="006C2689">
        <w:rPr>
          <w:spacing w:val="-7"/>
          <w:sz w:val="20"/>
          <w:lang w:val="es-ES_tradnl"/>
        </w:rPr>
        <w:t xml:space="preserve"> </w:t>
      </w:r>
      <w:r w:rsidRPr="006C2689">
        <w:rPr>
          <w:sz w:val="20"/>
          <w:lang w:val="es-ES_tradnl"/>
        </w:rPr>
        <w:t>procesos</w:t>
      </w:r>
      <w:r w:rsidRPr="006C2689">
        <w:rPr>
          <w:spacing w:val="-10"/>
          <w:sz w:val="20"/>
          <w:lang w:val="es-ES_tradnl"/>
        </w:rPr>
        <w:t xml:space="preserve"> </w:t>
      </w:r>
      <w:r w:rsidRPr="006C2689">
        <w:rPr>
          <w:sz w:val="20"/>
          <w:lang w:val="es-ES_tradnl"/>
        </w:rPr>
        <w:t>judiciales</w:t>
      </w:r>
      <w:r w:rsidRPr="006C2689">
        <w:rPr>
          <w:spacing w:val="-10"/>
          <w:sz w:val="20"/>
          <w:lang w:val="es-ES_tradnl"/>
        </w:rPr>
        <w:t xml:space="preserve"> </w:t>
      </w:r>
      <w:r w:rsidRPr="006C2689">
        <w:rPr>
          <w:sz w:val="20"/>
          <w:lang w:val="es-ES_tradnl"/>
        </w:rPr>
        <w:t>internos</w:t>
      </w:r>
      <w:r w:rsidRPr="006C2689">
        <w:rPr>
          <w:spacing w:val="-10"/>
          <w:sz w:val="20"/>
          <w:lang w:val="es-ES_tradnl"/>
        </w:rPr>
        <w:t xml:space="preserve"> </w:t>
      </w:r>
      <w:r w:rsidRPr="006C2689">
        <w:rPr>
          <w:sz w:val="20"/>
          <w:lang w:val="es-ES_tradnl"/>
        </w:rPr>
        <w:t>cumplieron</w:t>
      </w:r>
      <w:r w:rsidRPr="006C2689">
        <w:rPr>
          <w:spacing w:val="-8"/>
          <w:sz w:val="20"/>
          <w:lang w:val="es-ES_tradnl"/>
        </w:rPr>
        <w:t xml:space="preserve"> </w:t>
      </w:r>
      <w:r w:rsidRPr="006C2689">
        <w:rPr>
          <w:sz w:val="20"/>
          <w:lang w:val="es-ES_tradnl"/>
        </w:rPr>
        <w:t>con</w:t>
      </w:r>
      <w:r w:rsidRPr="006C2689">
        <w:rPr>
          <w:spacing w:val="-9"/>
          <w:sz w:val="20"/>
          <w:lang w:val="es-ES_tradnl"/>
        </w:rPr>
        <w:t xml:space="preserve"> </w:t>
      </w:r>
      <w:r w:rsidRPr="006C2689">
        <w:rPr>
          <w:sz w:val="20"/>
          <w:lang w:val="es-ES_tradnl"/>
        </w:rPr>
        <w:t>los</w:t>
      </w:r>
      <w:r w:rsidRPr="006C2689">
        <w:rPr>
          <w:spacing w:val="1"/>
          <w:sz w:val="20"/>
          <w:lang w:val="es-ES_tradnl"/>
        </w:rPr>
        <w:t xml:space="preserve"> </w:t>
      </w:r>
      <w:r w:rsidRPr="006C2689">
        <w:rPr>
          <w:sz w:val="20"/>
          <w:lang w:val="es-ES_tradnl"/>
        </w:rPr>
        <w:t>derechos garantizados por la Convención Americana</w:t>
      </w:r>
      <w:r w:rsidRPr="00156525">
        <w:rPr>
          <w:sz w:val="20"/>
          <w:szCs w:val="20"/>
          <w:vertAlign w:val="superscript"/>
          <w:lang w:val="es-ES_tradnl"/>
        </w:rPr>
        <w:footnoteReference w:id="9"/>
      </w:r>
      <w:r w:rsidRPr="006C2689">
        <w:rPr>
          <w:sz w:val="20"/>
          <w:lang w:val="es-ES_tradnl"/>
        </w:rPr>
        <w:t>.</w:t>
      </w:r>
      <w:r w:rsidR="006C2689">
        <w:rPr>
          <w:sz w:val="20"/>
          <w:lang w:val="es-ES_tradnl"/>
        </w:rPr>
        <w:t xml:space="preserve"> </w:t>
      </w:r>
      <w:r w:rsidR="004759EA" w:rsidRPr="006C2689">
        <w:rPr>
          <w:sz w:val="20"/>
          <w:lang w:val="es-ES_tradnl"/>
        </w:rPr>
        <w:t>En</w:t>
      </w:r>
      <w:r w:rsidR="004759EA" w:rsidRPr="006C2689">
        <w:rPr>
          <w:spacing w:val="-4"/>
          <w:sz w:val="20"/>
          <w:lang w:val="es-ES_tradnl"/>
        </w:rPr>
        <w:t xml:space="preserve"> </w:t>
      </w:r>
      <w:r w:rsidRPr="006C2689">
        <w:rPr>
          <w:sz w:val="20"/>
          <w:lang w:val="es-ES_tradnl"/>
        </w:rPr>
        <w:t>conclusión</w:t>
      </w:r>
      <w:r w:rsidR="004759EA" w:rsidRPr="006C2689">
        <w:rPr>
          <w:sz w:val="20"/>
          <w:lang w:val="es-ES_tradnl"/>
        </w:rPr>
        <w:t>, los hechos iniciales ocurridos a partir</w:t>
      </w:r>
      <w:r w:rsidR="004759EA" w:rsidRPr="006C2689">
        <w:rPr>
          <w:spacing w:val="1"/>
          <w:sz w:val="20"/>
          <w:lang w:val="es-ES_tradnl"/>
        </w:rPr>
        <w:t xml:space="preserve"> </w:t>
      </w:r>
      <w:r w:rsidR="004759EA" w:rsidRPr="006C2689">
        <w:rPr>
          <w:sz w:val="20"/>
          <w:lang w:val="es-ES_tradnl"/>
        </w:rPr>
        <w:t>de</w:t>
      </w:r>
      <w:r w:rsidR="004759EA" w:rsidRPr="006C2689">
        <w:rPr>
          <w:spacing w:val="-1"/>
          <w:sz w:val="20"/>
          <w:lang w:val="es-ES_tradnl"/>
        </w:rPr>
        <w:t xml:space="preserve"> </w:t>
      </w:r>
      <w:r w:rsidR="004759EA" w:rsidRPr="006C2689">
        <w:rPr>
          <w:sz w:val="20"/>
          <w:lang w:val="es-ES_tradnl"/>
        </w:rPr>
        <w:t>los ‘</w:t>
      </w:r>
      <w:r w:rsidRPr="006C2689">
        <w:rPr>
          <w:sz w:val="20"/>
          <w:lang w:val="es-ES_tradnl"/>
        </w:rPr>
        <w:t>19</w:t>
      </w:r>
      <w:r w:rsidR="004759EA" w:rsidRPr="006C2689">
        <w:rPr>
          <w:sz w:val="20"/>
          <w:lang w:val="es-ES_tradnl"/>
        </w:rPr>
        <w:t>70</w:t>
      </w:r>
      <w:r w:rsidR="004759EA" w:rsidRPr="006C2689">
        <w:rPr>
          <w:spacing w:val="-2"/>
          <w:sz w:val="20"/>
          <w:lang w:val="es-ES_tradnl"/>
        </w:rPr>
        <w:t xml:space="preserve"> </w:t>
      </w:r>
      <w:r w:rsidR="004759EA" w:rsidRPr="006C2689">
        <w:rPr>
          <w:sz w:val="20"/>
          <w:lang w:val="es-ES_tradnl"/>
        </w:rPr>
        <w:t>serán valorados</w:t>
      </w:r>
      <w:r w:rsidR="004759EA" w:rsidRPr="006C2689">
        <w:rPr>
          <w:spacing w:val="-1"/>
          <w:sz w:val="20"/>
          <w:lang w:val="es-ES_tradnl"/>
        </w:rPr>
        <w:t xml:space="preserve"> </w:t>
      </w:r>
      <w:r w:rsidR="004759EA" w:rsidRPr="006C2689">
        <w:rPr>
          <w:sz w:val="20"/>
          <w:lang w:val="es-ES_tradnl"/>
        </w:rPr>
        <w:t>a</w:t>
      </w:r>
      <w:r w:rsidR="004759EA" w:rsidRPr="006C2689">
        <w:rPr>
          <w:spacing w:val="2"/>
          <w:sz w:val="20"/>
          <w:lang w:val="es-ES_tradnl"/>
        </w:rPr>
        <w:t xml:space="preserve"> </w:t>
      </w:r>
      <w:r w:rsidR="004759EA" w:rsidRPr="006C2689">
        <w:rPr>
          <w:sz w:val="20"/>
          <w:lang w:val="es-ES_tradnl"/>
        </w:rPr>
        <w:t>modo de contexto</w:t>
      </w:r>
      <w:r w:rsidR="004759EA" w:rsidRPr="006C2689">
        <w:rPr>
          <w:spacing w:val="-2"/>
          <w:sz w:val="20"/>
          <w:lang w:val="es-ES_tradnl"/>
        </w:rPr>
        <w:t xml:space="preserve"> </w:t>
      </w:r>
      <w:r w:rsidR="004759EA" w:rsidRPr="006C2689">
        <w:rPr>
          <w:sz w:val="20"/>
          <w:lang w:val="es-ES_tradnl"/>
        </w:rPr>
        <w:t>y</w:t>
      </w:r>
      <w:r w:rsidR="004759EA" w:rsidRPr="006C2689">
        <w:rPr>
          <w:spacing w:val="-1"/>
          <w:sz w:val="20"/>
          <w:lang w:val="es-ES_tradnl"/>
        </w:rPr>
        <w:t xml:space="preserve"> </w:t>
      </w:r>
      <w:r w:rsidR="004759EA" w:rsidRPr="006C2689">
        <w:rPr>
          <w:sz w:val="20"/>
          <w:lang w:val="es-ES_tradnl"/>
        </w:rPr>
        <w:t>antecedentes,</w:t>
      </w:r>
      <w:r w:rsidR="004759EA" w:rsidRPr="006C2689">
        <w:rPr>
          <w:spacing w:val="-2"/>
          <w:sz w:val="20"/>
          <w:lang w:val="es-ES_tradnl"/>
        </w:rPr>
        <w:t xml:space="preserve"> </w:t>
      </w:r>
      <w:r w:rsidR="004759EA" w:rsidRPr="006C2689">
        <w:rPr>
          <w:sz w:val="20"/>
          <w:lang w:val="es-ES_tradnl"/>
        </w:rPr>
        <w:t>en</w:t>
      </w:r>
      <w:r w:rsidR="004759EA" w:rsidRPr="006C2689">
        <w:rPr>
          <w:spacing w:val="-2"/>
          <w:sz w:val="20"/>
          <w:lang w:val="es-ES_tradnl"/>
        </w:rPr>
        <w:t xml:space="preserve"> </w:t>
      </w:r>
      <w:r w:rsidR="004759EA" w:rsidRPr="006C2689">
        <w:rPr>
          <w:sz w:val="20"/>
          <w:lang w:val="es-ES_tradnl"/>
        </w:rPr>
        <w:t>la</w:t>
      </w:r>
      <w:r w:rsidR="004759EA" w:rsidRPr="006C2689">
        <w:rPr>
          <w:spacing w:val="-1"/>
          <w:sz w:val="20"/>
          <w:lang w:val="es-ES_tradnl"/>
        </w:rPr>
        <w:t xml:space="preserve"> </w:t>
      </w:r>
      <w:r w:rsidR="004759EA" w:rsidRPr="006C2689">
        <w:rPr>
          <w:sz w:val="20"/>
          <w:lang w:val="es-ES_tradnl"/>
        </w:rPr>
        <w:t>etapa de</w:t>
      </w:r>
      <w:r w:rsidR="004759EA" w:rsidRPr="006C2689">
        <w:rPr>
          <w:spacing w:val="-1"/>
          <w:sz w:val="20"/>
          <w:lang w:val="es-ES_tradnl"/>
        </w:rPr>
        <w:t xml:space="preserve"> </w:t>
      </w:r>
      <w:r w:rsidR="004759EA" w:rsidRPr="006C2689">
        <w:rPr>
          <w:sz w:val="20"/>
          <w:lang w:val="es-ES_tradnl"/>
        </w:rPr>
        <w:t>fondo.</w:t>
      </w:r>
    </w:p>
    <w:p w14:paraId="1F780AE8" w14:textId="6E553292" w:rsidR="005D330F" w:rsidRPr="00156525" w:rsidRDefault="005D330F" w:rsidP="00541E7B">
      <w:pPr>
        <w:pStyle w:val="Heading2"/>
        <w:spacing w:after="240"/>
        <w:ind w:right="12" w:firstLine="851"/>
        <w:rPr>
          <w:rFonts w:asciiTheme="majorHAnsi" w:hAnsiTheme="majorHAnsi"/>
          <w:i w:val="0"/>
          <w:iCs w:val="0"/>
          <w:sz w:val="20"/>
          <w:szCs w:val="20"/>
          <w:lang w:val="es-ES_tradnl"/>
        </w:rPr>
      </w:pPr>
      <w:r w:rsidRPr="00156525">
        <w:rPr>
          <w:rFonts w:asciiTheme="majorHAnsi" w:hAnsiTheme="majorHAnsi"/>
          <w:i w:val="0"/>
          <w:iCs w:val="0"/>
          <w:sz w:val="20"/>
          <w:szCs w:val="20"/>
          <w:lang w:val="es-ES_tradnl"/>
        </w:rPr>
        <w:lastRenderedPageBreak/>
        <w:t>V</w:t>
      </w:r>
      <w:r w:rsidR="00944F4B">
        <w:rPr>
          <w:rFonts w:asciiTheme="majorHAnsi" w:hAnsiTheme="majorHAnsi"/>
          <w:i w:val="0"/>
          <w:iCs w:val="0"/>
          <w:sz w:val="20"/>
          <w:szCs w:val="20"/>
          <w:lang w:val="es-ES_tradnl"/>
        </w:rPr>
        <w:t>I</w:t>
      </w:r>
      <w:r w:rsidRPr="00156525">
        <w:rPr>
          <w:rFonts w:asciiTheme="majorHAnsi" w:hAnsiTheme="majorHAnsi"/>
          <w:i w:val="0"/>
          <w:iCs w:val="0"/>
          <w:sz w:val="20"/>
          <w:szCs w:val="20"/>
          <w:lang w:val="es-ES_tradnl"/>
        </w:rPr>
        <w:t>I</w:t>
      </w:r>
      <w:r w:rsidR="00630ED4">
        <w:rPr>
          <w:rFonts w:asciiTheme="majorHAnsi" w:hAnsiTheme="majorHAnsi"/>
          <w:i w:val="0"/>
          <w:iCs w:val="0"/>
          <w:sz w:val="20"/>
          <w:szCs w:val="20"/>
          <w:lang w:val="es-ES_tradnl"/>
        </w:rPr>
        <w:t>I</w:t>
      </w:r>
      <w:r w:rsidRPr="00156525">
        <w:rPr>
          <w:rFonts w:asciiTheme="majorHAnsi" w:hAnsiTheme="majorHAnsi"/>
          <w:i w:val="0"/>
          <w:iCs w:val="0"/>
          <w:sz w:val="20"/>
          <w:szCs w:val="20"/>
          <w:lang w:val="es-ES_tradnl"/>
        </w:rPr>
        <w:t xml:space="preserve">. </w:t>
      </w:r>
      <w:r w:rsidRPr="00156525">
        <w:rPr>
          <w:rFonts w:asciiTheme="majorHAnsi" w:hAnsiTheme="majorHAnsi"/>
          <w:i w:val="0"/>
          <w:iCs w:val="0"/>
          <w:sz w:val="20"/>
          <w:szCs w:val="20"/>
          <w:lang w:val="es-ES_tradnl"/>
        </w:rPr>
        <w:tab/>
        <w:t>DECISIÓN</w:t>
      </w:r>
    </w:p>
    <w:p w14:paraId="5B471B7B" w14:textId="190F03EF" w:rsidR="005D330F" w:rsidRPr="00156525" w:rsidRDefault="005D330F" w:rsidP="00541E7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851"/>
        <w:jc w:val="both"/>
        <w:rPr>
          <w:rFonts w:asciiTheme="majorHAnsi" w:hAnsiTheme="majorHAnsi"/>
          <w:sz w:val="20"/>
          <w:szCs w:val="20"/>
          <w:lang w:val="es-ES_tradnl"/>
        </w:rPr>
      </w:pPr>
      <w:r w:rsidRPr="00156525">
        <w:rPr>
          <w:rFonts w:asciiTheme="majorHAnsi" w:hAnsiTheme="majorHAnsi"/>
          <w:sz w:val="20"/>
          <w:szCs w:val="20"/>
          <w:lang w:val="es-ES_tradnl"/>
        </w:rPr>
        <w:t>Declarar admisible la presente petición en relación con los artículos 8, 24 y 25 de la Convención Americana, en concordancia con los artículos 1.1 y 2 del mismo</w:t>
      </w:r>
      <w:r w:rsidRPr="00156525">
        <w:rPr>
          <w:rFonts w:asciiTheme="majorHAnsi" w:hAnsiTheme="majorHAnsi"/>
          <w:spacing w:val="-11"/>
          <w:sz w:val="20"/>
          <w:szCs w:val="20"/>
          <w:lang w:val="es-ES_tradnl"/>
        </w:rPr>
        <w:t xml:space="preserve"> </w:t>
      </w:r>
      <w:r w:rsidRPr="00156525">
        <w:rPr>
          <w:rFonts w:asciiTheme="majorHAnsi" w:hAnsiTheme="majorHAnsi"/>
          <w:sz w:val="20"/>
          <w:szCs w:val="20"/>
          <w:lang w:val="es-ES_tradnl"/>
        </w:rPr>
        <w:t>instrumento;</w:t>
      </w:r>
      <w:r w:rsidR="005B1884">
        <w:rPr>
          <w:rFonts w:asciiTheme="majorHAnsi" w:hAnsiTheme="majorHAnsi"/>
          <w:sz w:val="20"/>
          <w:szCs w:val="20"/>
          <w:lang w:val="es-ES_tradnl"/>
        </w:rPr>
        <w:t xml:space="preserve"> y</w:t>
      </w:r>
    </w:p>
    <w:p w14:paraId="2CAB728B" w14:textId="4CA0D272" w:rsidR="00A92C3A" w:rsidRPr="00A92C3A" w:rsidRDefault="005D330F" w:rsidP="00A92C3A">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851"/>
        <w:jc w:val="both"/>
        <w:rPr>
          <w:rStyle w:val="normaltextrun"/>
          <w:rFonts w:asciiTheme="majorHAnsi" w:hAnsiTheme="majorHAnsi" w:cs="Calibri"/>
          <w:sz w:val="20"/>
          <w:szCs w:val="20"/>
          <w:lang w:val="es-ES_tradnl"/>
        </w:rPr>
      </w:pPr>
      <w:r w:rsidRPr="006C2689">
        <w:rPr>
          <w:rFonts w:asciiTheme="majorHAnsi" w:hAnsiTheme="majorHAnsi"/>
          <w:sz w:val="20"/>
          <w:szCs w:val="20"/>
          <w:lang w:val="es-ES_tradnl"/>
        </w:rPr>
        <w:t>Notificar</w:t>
      </w:r>
      <w:r w:rsidRPr="006C2689">
        <w:rPr>
          <w:rFonts w:asciiTheme="majorHAnsi" w:hAnsiTheme="majorHAnsi"/>
          <w:spacing w:val="-5"/>
          <w:sz w:val="20"/>
          <w:szCs w:val="20"/>
          <w:lang w:val="es-ES_tradnl"/>
        </w:rPr>
        <w:t xml:space="preserve"> </w:t>
      </w:r>
      <w:r w:rsidRPr="006C2689">
        <w:rPr>
          <w:rFonts w:asciiTheme="majorHAnsi" w:hAnsiTheme="majorHAnsi"/>
          <w:sz w:val="20"/>
          <w:szCs w:val="20"/>
          <w:lang w:val="es-ES_tradnl"/>
        </w:rPr>
        <w:t>a</w:t>
      </w:r>
      <w:r w:rsidRPr="006C2689">
        <w:rPr>
          <w:rFonts w:asciiTheme="majorHAnsi" w:hAnsiTheme="majorHAnsi"/>
          <w:spacing w:val="-2"/>
          <w:sz w:val="20"/>
          <w:szCs w:val="20"/>
          <w:lang w:val="es-ES_tradnl"/>
        </w:rPr>
        <w:t xml:space="preserve"> </w:t>
      </w:r>
      <w:r w:rsidRPr="006C2689">
        <w:rPr>
          <w:rFonts w:asciiTheme="majorHAnsi" w:hAnsiTheme="majorHAnsi"/>
          <w:sz w:val="20"/>
          <w:szCs w:val="20"/>
          <w:lang w:val="es-ES_tradnl"/>
        </w:rPr>
        <w:t>las</w:t>
      </w:r>
      <w:r w:rsidRPr="006C2689">
        <w:rPr>
          <w:rFonts w:asciiTheme="majorHAnsi" w:hAnsiTheme="majorHAnsi"/>
          <w:spacing w:val="-2"/>
          <w:sz w:val="20"/>
          <w:szCs w:val="20"/>
          <w:lang w:val="es-ES_tradnl"/>
        </w:rPr>
        <w:t xml:space="preserve"> </w:t>
      </w:r>
      <w:r w:rsidRPr="006C2689">
        <w:rPr>
          <w:rFonts w:asciiTheme="majorHAnsi" w:hAnsiTheme="majorHAnsi"/>
          <w:sz w:val="20"/>
          <w:szCs w:val="20"/>
          <w:lang w:val="es-ES_tradnl"/>
        </w:rPr>
        <w:t>partes</w:t>
      </w:r>
      <w:r w:rsidRPr="006C2689">
        <w:rPr>
          <w:rFonts w:asciiTheme="majorHAnsi" w:hAnsiTheme="majorHAnsi"/>
          <w:spacing w:val="-3"/>
          <w:sz w:val="20"/>
          <w:szCs w:val="20"/>
          <w:lang w:val="es-ES_tradnl"/>
        </w:rPr>
        <w:t xml:space="preserve"> </w:t>
      </w:r>
      <w:r w:rsidRPr="006C2689">
        <w:rPr>
          <w:rFonts w:asciiTheme="majorHAnsi" w:hAnsiTheme="majorHAnsi"/>
          <w:sz w:val="20"/>
          <w:szCs w:val="20"/>
          <w:lang w:val="es-ES_tradnl"/>
        </w:rPr>
        <w:t>la</w:t>
      </w:r>
      <w:r w:rsidRPr="006C2689">
        <w:rPr>
          <w:rFonts w:asciiTheme="majorHAnsi" w:hAnsiTheme="majorHAnsi"/>
          <w:spacing w:val="-2"/>
          <w:sz w:val="20"/>
          <w:szCs w:val="20"/>
          <w:lang w:val="es-ES_tradnl"/>
        </w:rPr>
        <w:t xml:space="preserve"> </w:t>
      </w:r>
      <w:r w:rsidRPr="006C2689">
        <w:rPr>
          <w:rFonts w:asciiTheme="majorHAnsi" w:hAnsiTheme="majorHAnsi"/>
          <w:sz w:val="20"/>
          <w:szCs w:val="20"/>
          <w:lang w:val="es-ES_tradnl"/>
        </w:rPr>
        <w:t>presente</w:t>
      </w:r>
      <w:r w:rsidRPr="006C2689">
        <w:rPr>
          <w:rFonts w:asciiTheme="majorHAnsi" w:hAnsiTheme="majorHAnsi"/>
          <w:spacing w:val="-5"/>
          <w:sz w:val="20"/>
          <w:szCs w:val="20"/>
          <w:lang w:val="es-ES_tradnl"/>
        </w:rPr>
        <w:t xml:space="preserve"> </w:t>
      </w:r>
      <w:r w:rsidRPr="006C2689">
        <w:rPr>
          <w:rFonts w:asciiTheme="majorHAnsi" w:hAnsiTheme="majorHAnsi"/>
          <w:sz w:val="20"/>
          <w:szCs w:val="20"/>
          <w:lang w:val="es-ES_tradnl"/>
        </w:rPr>
        <w:t>decisión;</w:t>
      </w:r>
      <w:r w:rsidRPr="006C2689">
        <w:rPr>
          <w:rFonts w:asciiTheme="majorHAnsi" w:hAnsiTheme="majorHAnsi"/>
          <w:spacing w:val="-3"/>
          <w:sz w:val="20"/>
          <w:szCs w:val="20"/>
          <w:lang w:val="es-ES_tradnl"/>
        </w:rPr>
        <w:t xml:space="preserve"> </w:t>
      </w:r>
      <w:r w:rsidRPr="006C2689">
        <w:rPr>
          <w:rFonts w:asciiTheme="majorHAnsi" w:hAnsiTheme="majorHAnsi"/>
          <w:sz w:val="20"/>
          <w:szCs w:val="20"/>
          <w:lang w:val="es-ES_tradnl"/>
        </w:rPr>
        <w:t>continuar</w:t>
      </w:r>
      <w:r w:rsidRPr="006C2689">
        <w:rPr>
          <w:rFonts w:asciiTheme="majorHAnsi" w:hAnsiTheme="majorHAnsi"/>
          <w:spacing w:val="-5"/>
          <w:sz w:val="20"/>
          <w:szCs w:val="20"/>
          <w:lang w:val="es-ES_tradnl"/>
        </w:rPr>
        <w:t xml:space="preserve"> </w:t>
      </w:r>
      <w:r w:rsidRPr="006C2689">
        <w:rPr>
          <w:rFonts w:asciiTheme="majorHAnsi" w:hAnsiTheme="majorHAnsi"/>
          <w:sz w:val="20"/>
          <w:szCs w:val="20"/>
          <w:lang w:val="es-ES_tradnl"/>
        </w:rPr>
        <w:t>con</w:t>
      </w:r>
      <w:r w:rsidRPr="006C2689">
        <w:rPr>
          <w:rFonts w:asciiTheme="majorHAnsi" w:hAnsiTheme="majorHAnsi"/>
          <w:spacing w:val="-2"/>
          <w:sz w:val="20"/>
          <w:szCs w:val="20"/>
          <w:lang w:val="es-ES_tradnl"/>
        </w:rPr>
        <w:t xml:space="preserve"> </w:t>
      </w:r>
      <w:r w:rsidRPr="006C2689">
        <w:rPr>
          <w:rFonts w:asciiTheme="majorHAnsi" w:hAnsiTheme="majorHAnsi"/>
          <w:sz w:val="20"/>
          <w:szCs w:val="20"/>
          <w:lang w:val="es-ES_tradnl"/>
        </w:rPr>
        <w:t>el</w:t>
      </w:r>
      <w:r w:rsidRPr="006C2689">
        <w:rPr>
          <w:rFonts w:asciiTheme="majorHAnsi" w:hAnsiTheme="majorHAnsi"/>
          <w:spacing w:val="-2"/>
          <w:sz w:val="20"/>
          <w:szCs w:val="20"/>
          <w:lang w:val="es-ES_tradnl"/>
        </w:rPr>
        <w:t xml:space="preserve"> </w:t>
      </w:r>
      <w:r w:rsidRPr="006C2689">
        <w:rPr>
          <w:rFonts w:asciiTheme="majorHAnsi" w:hAnsiTheme="majorHAnsi"/>
          <w:sz w:val="20"/>
          <w:szCs w:val="20"/>
          <w:lang w:val="es-ES_tradnl"/>
        </w:rPr>
        <w:t>análisis</w:t>
      </w:r>
      <w:r w:rsidRPr="006C2689">
        <w:rPr>
          <w:rFonts w:asciiTheme="majorHAnsi" w:hAnsiTheme="majorHAnsi"/>
          <w:spacing w:val="-3"/>
          <w:sz w:val="20"/>
          <w:szCs w:val="20"/>
          <w:lang w:val="es-ES_tradnl"/>
        </w:rPr>
        <w:t xml:space="preserve"> </w:t>
      </w:r>
      <w:r w:rsidRPr="006C2689">
        <w:rPr>
          <w:rFonts w:asciiTheme="majorHAnsi" w:hAnsiTheme="majorHAnsi"/>
          <w:sz w:val="20"/>
          <w:szCs w:val="20"/>
          <w:lang w:val="es-ES_tradnl"/>
        </w:rPr>
        <w:t>del</w:t>
      </w:r>
      <w:r w:rsidRPr="006C2689">
        <w:rPr>
          <w:rFonts w:asciiTheme="majorHAnsi" w:hAnsiTheme="majorHAnsi"/>
          <w:spacing w:val="-2"/>
          <w:sz w:val="20"/>
          <w:szCs w:val="20"/>
          <w:lang w:val="es-ES_tradnl"/>
        </w:rPr>
        <w:t xml:space="preserve"> </w:t>
      </w:r>
      <w:r w:rsidRPr="006C2689">
        <w:rPr>
          <w:rFonts w:asciiTheme="majorHAnsi" w:hAnsiTheme="majorHAnsi"/>
          <w:sz w:val="20"/>
          <w:szCs w:val="20"/>
          <w:lang w:val="es-ES_tradnl"/>
        </w:rPr>
        <w:t>fondo</w:t>
      </w:r>
      <w:r w:rsidRPr="006C2689">
        <w:rPr>
          <w:rFonts w:asciiTheme="majorHAnsi" w:hAnsiTheme="majorHAnsi"/>
          <w:spacing w:val="-3"/>
          <w:sz w:val="20"/>
          <w:szCs w:val="20"/>
          <w:lang w:val="es-ES_tradnl"/>
        </w:rPr>
        <w:t xml:space="preserve"> </w:t>
      </w:r>
      <w:r w:rsidRPr="006C2689">
        <w:rPr>
          <w:rFonts w:asciiTheme="majorHAnsi" w:hAnsiTheme="majorHAnsi"/>
          <w:sz w:val="20"/>
          <w:szCs w:val="20"/>
          <w:lang w:val="es-ES_tradnl"/>
        </w:rPr>
        <w:t>de</w:t>
      </w:r>
      <w:r w:rsidRPr="006C2689">
        <w:rPr>
          <w:rFonts w:asciiTheme="majorHAnsi" w:hAnsiTheme="majorHAnsi"/>
          <w:spacing w:val="-5"/>
          <w:sz w:val="20"/>
          <w:szCs w:val="20"/>
          <w:lang w:val="es-ES_tradnl"/>
        </w:rPr>
        <w:t xml:space="preserve"> </w:t>
      </w:r>
      <w:r w:rsidRPr="006C2689">
        <w:rPr>
          <w:rFonts w:asciiTheme="majorHAnsi" w:hAnsiTheme="majorHAnsi"/>
          <w:sz w:val="20"/>
          <w:szCs w:val="20"/>
          <w:lang w:val="es-ES_tradnl"/>
        </w:rPr>
        <w:t>la</w:t>
      </w:r>
      <w:r w:rsidRPr="006C2689">
        <w:rPr>
          <w:rFonts w:asciiTheme="majorHAnsi" w:hAnsiTheme="majorHAnsi"/>
          <w:spacing w:val="-3"/>
          <w:sz w:val="20"/>
          <w:szCs w:val="20"/>
          <w:lang w:val="es-ES_tradnl"/>
        </w:rPr>
        <w:t xml:space="preserve"> </w:t>
      </w:r>
      <w:r w:rsidRPr="006C2689">
        <w:rPr>
          <w:rFonts w:asciiTheme="majorHAnsi" w:hAnsiTheme="majorHAnsi"/>
          <w:sz w:val="20"/>
          <w:szCs w:val="20"/>
          <w:lang w:val="es-ES_tradnl"/>
        </w:rPr>
        <w:t>cuestión;</w:t>
      </w:r>
      <w:r w:rsidRPr="006C2689">
        <w:rPr>
          <w:rFonts w:asciiTheme="majorHAnsi" w:hAnsiTheme="majorHAnsi"/>
          <w:spacing w:val="-3"/>
          <w:sz w:val="20"/>
          <w:szCs w:val="20"/>
          <w:lang w:val="es-ES_tradnl"/>
        </w:rPr>
        <w:t xml:space="preserve"> </w:t>
      </w:r>
      <w:r w:rsidRPr="006C2689">
        <w:rPr>
          <w:rFonts w:asciiTheme="majorHAnsi" w:hAnsiTheme="majorHAnsi"/>
          <w:sz w:val="20"/>
          <w:szCs w:val="20"/>
          <w:lang w:val="es-ES_tradnl"/>
        </w:rPr>
        <w:t>y publicar esta decisión e incluirla en su Informe Anual a la Asamblea General de la Organización de los Estados Americanos.</w:t>
      </w:r>
    </w:p>
    <w:p w14:paraId="322D7E28" w14:textId="02DEE949" w:rsidR="005B1884" w:rsidRPr="00A92C3A" w:rsidRDefault="005B1884" w:rsidP="00A92C3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7 días del mes de octubre de 2023.  (Firmado): Esmeralda Arosemena de Troitiño, Primera Vicepresidenta; Julissa Mantilla Falcón, Stuardo Ralón Orellana y Carlos Bernal Pulido, </w:t>
      </w:r>
      <w:r w:rsidR="00A92C3A">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sectPr w:rsidR="005B1884" w:rsidRPr="00A92C3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5718" w14:textId="77777777" w:rsidR="00A42094" w:rsidRDefault="00A42094">
      <w:r>
        <w:separator/>
      </w:r>
    </w:p>
  </w:endnote>
  <w:endnote w:type="continuationSeparator" w:id="0">
    <w:p w14:paraId="0AB9D23B" w14:textId="77777777" w:rsidR="00A42094" w:rsidRDefault="00A4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2B5A" w14:textId="77777777" w:rsidR="00A42094" w:rsidRPr="000F35ED" w:rsidRDefault="00A4209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42CB3D9" w14:textId="77777777" w:rsidR="00A42094" w:rsidRPr="000F35ED" w:rsidRDefault="00A42094" w:rsidP="000F35ED">
      <w:pPr>
        <w:rPr>
          <w:rFonts w:asciiTheme="majorHAnsi" w:hAnsiTheme="majorHAnsi"/>
          <w:sz w:val="16"/>
          <w:szCs w:val="16"/>
        </w:rPr>
      </w:pPr>
      <w:r w:rsidRPr="000F35ED">
        <w:rPr>
          <w:rFonts w:asciiTheme="majorHAnsi" w:hAnsiTheme="majorHAnsi"/>
          <w:sz w:val="16"/>
          <w:szCs w:val="16"/>
        </w:rPr>
        <w:separator/>
      </w:r>
    </w:p>
    <w:p w14:paraId="71FC7C5F" w14:textId="77777777" w:rsidR="00A42094" w:rsidRPr="000F35ED" w:rsidRDefault="00A4209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8C1719B" w14:textId="77777777" w:rsidR="00A42094" w:rsidRPr="000F35ED" w:rsidRDefault="00A4209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C8140B" w14:textId="77777777" w:rsidR="002253F2" w:rsidRPr="000B3A15" w:rsidRDefault="002253F2" w:rsidP="00FD5759">
      <w:pPr>
        <w:pStyle w:val="FootnoteText"/>
        <w:ind w:firstLine="720"/>
        <w:jc w:val="both"/>
        <w:rPr>
          <w:rFonts w:ascii="Cambria" w:hAnsi="Cambria"/>
          <w:sz w:val="16"/>
          <w:szCs w:val="16"/>
          <w:lang w:val="es-MX"/>
        </w:rPr>
      </w:pPr>
      <w:r w:rsidRPr="000B3A15">
        <w:rPr>
          <w:rStyle w:val="FootnoteReference"/>
          <w:rFonts w:ascii="Cambria" w:hAnsi="Cambria"/>
          <w:sz w:val="16"/>
          <w:szCs w:val="16"/>
        </w:rPr>
        <w:footnoteRef/>
      </w:r>
      <w:r w:rsidRPr="000B3A15">
        <w:rPr>
          <w:rFonts w:ascii="Cambria" w:hAnsi="Cambria"/>
          <w:sz w:val="16"/>
          <w:szCs w:val="16"/>
          <w:lang w:val="es-ES"/>
        </w:rPr>
        <w:t xml:space="preserve"> En adelante, “la Convención Americana” o “la Convención”.</w:t>
      </w:r>
    </w:p>
  </w:footnote>
  <w:footnote w:id="3">
    <w:p w14:paraId="1AFEF3B0" w14:textId="5AF73E08" w:rsidR="008E3BFE" w:rsidRPr="000B3A15" w:rsidRDefault="008E3BFE" w:rsidP="00FD5759">
      <w:pPr>
        <w:pStyle w:val="FootnoteText"/>
        <w:ind w:firstLine="720"/>
        <w:jc w:val="both"/>
        <w:rPr>
          <w:rFonts w:ascii="Cambria" w:hAnsi="Cambria"/>
          <w:sz w:val="16"/>
          <w:szCs w:val="16"/>
          <w:lang w:val="es-ES"/>
        </w:rPr>
      </w:pPr>
      <w:r w:rsidRPr="000B3A15">
        <w:rPr>
          <w:rStyle w:val="FootnoteReference"/>
          <w:rFonts w:ascii="Cambria" w:hAnsi="Cambria"/>
          <w:sz w:val="16"/>
          <w:szCs w:val="16"/>
        </w:rPr>
        <w:footnoteRef/>
      </w:r>
      <w:r w:rsidRPr="000B3A15">
        <w:rPr>
          <w:rFonts w:ascii="Cambria" w:hAnsi="Cambria"/>
          <w:sz w:val="16"/>
          <w:szCs w:val="16"/>
          <w:lang w:val="es-ES"/>
        </w:rPr>
        <w:t xml:space="preserve"> Las observaciones de cada parte fueron debidamente trasladadas a la parte contraria.</w:t>
      </w:r>
      <w:r w:rsidR="00F51E99">
        <w:rPr>
          <w:rFonts w:ascii="Cambria" w:hAnsi="Cambria"/>
          <w:sz w:val="16"/>
          <w:szCs w:val="16"/>
          <w:lang w:val="es-ES"/>
        </w:rPr>
        <w:t xml:space="preserve"> El </w:t>
      </w:r>
      <w:r w:rsidR="00874C4A">
        <w:rPr>
          <w:rFonts w:ascii="Cambria" w:hAnsi="Cambria"/>
          <w:sz w:val="16"/>
          <w:szCs w:val="16"/>
          <w:lang w:val="es-ES"/>
        </w:rPr>
        <w:t>19 de enero</w:t>
      </w:r>
      <w:r w:rsidR="00F51E99">
        <w:rPr>
          <w:rFonts w:ascii="Cambria" w:hAnsi="Cambria"/>
          <w:sz w:val="16"/>
          <w:szCs w:val="16"/>
          <w:lang w:val="es-ES"/>
        </w:rPr>
        <w:t xml:space="preserve"> de 202</w:t>
      </w:r>
      <w:r w:rsidR="00874C4A">
        <w:rPr>
          <w:rFonts w:ascii="Cambria" w:hAnsi="Cambria"/>
          <w:sz w:val="16"/>
          <w:szCs w:val="16"/>
          <w:lang w:val="es-ES"/>
        </w:rPr>
        <w:t>2</w:t>
      </w:r>
      <w:r w:rsidR="00F51E99">
        <w:rPr>
          <w:rFonts w:ascii="Cambria" w:hAnsi="Cambria"/>
          <w:sz w:val="16"/>
          <w:szCs w:val="16"/>
          <w:lang w:val="es-ES"/>
        </w:rPr>
        <w:t>, la parte peticionaria ha manifestado su interés en la continuidad del trámite ante la CIDH.</w:t>
      </w:r>
    </w:p>
  </w:footnote>
  <w:footnote w:id="4">
    <w:p w14:paraId="05731A22" w14:textId="2460768D" w:rsidR="00731ABA" w:rsidRPr="000B3A15" w:rsidRDefault="00731ABA" w:rsidP="00731ABA">
      <w:pPr>
        <w:pStyle w:val="FootnoteText"/>
        <w:ind w:firstLine="720"/>
        <w:jc w:val="both"/>
        <w:rPr>
          <w:rFonts w:ascii="Cambria" w:hAnsi="Cambria"/>
          <w:sz w:val="16"/>
          <w:szCs w:val="16"/>
          <w:lang w:val="es-PA"/>
        </w:rPr>
      </w:pPr>
      <w:r w:rsidRPr="000B3A15">
        <w:rPr>
          <w:rStyle w:val="FootnoteReference"/>
          <w:rFonts w:ascii="Cambria" w:hAnsi="Cambria"/>
          <w:sz w:val="16"/>
          <w:szCs w:val="16"/>
        </w:rPr>
        <w:footnoteRef/>
      </w:r>
      <w:r w:rsidR="003F06C8">
        <w:rPr>
          <w:rFonts w:ascii="Cambria" w:hAnsi="Cambria"/>
          <w:sz w:val="16"/>
          <w:szCs w:val="16"/>
          <w:lang w:val="es-PA"/>
        </w:rPr>
        <w:t xml:space="preserve"> </w:t>
      </w:r>
      <w:r w:rsidRPr="000B3A15">
        <w:rPr>
          <w:rFonts w:ascii="Cambria" w:hAnsi="Cambria"/>
          <w:sz w:val="16"/>
          <w:szCs w:val="16"/>
          <w:lang w:val="es-PA"/>
        </w:rPr>
        <w:t>Corte I.D.H. Caso de la Masacre de las Dos Erres Vs. Guatemala. Excepción Preliminar, Fondo, Reparaciones y Costas. Sentencia de 25 de mayo de 2010. Serie C No. 211 (“Corte I.D.H. Sentencia Masacre de las Dos Erres”), párr. 235.</w:t>
      </w:r>
    </w:p>
  </w:footnote>
  <w:footnote w:id="5">
    <w:p w14:paraId="6312FB60" w14:textId="55CCB213" w:rsidR="009377DD" w:rsidRPr="0093172E" w:rsidRDefault="009377DD" w:rsidP="009377DD">
      <w:pPr>
        <w:pStyle w:val="FootnoteText"/>
        <w:ind w:firstLine="720"/>
        <w:jc w:val="both"/>
        <w:rPr>
          <w:rFonts w:ascii="Cambria" w:hAnsi="Cambria"/>
          <w:sz w:val="16"/>
          <w:szCs w:val="16"/>
          <w:lang w:val="es-ES"/>
        </w:rPr>
      </w:pPr>
      <w:r w:rsidRPr="000B3A15">
        <w:rPr>
          <w:rStyle w:val="FootnoteReference"/>
          <w:rFonts w:ascii="Cambria" w:hAnsi="Cambria"/>
          <w:sz w:val="16"/>
          <w:szCs w:val="16"/>
        </w:rPr>
        <w:footnoteRef/>
      </w:r>
      <w:r>
        <w:rPr>
          <w:rFonts w:ascii="Cambria" w:hAnsi="Cambria"/>
          <w:sz w:val="16"/>
          <w:szCs w:val="16"/>
          <w:lang w:val="es-PA"/>
        </w:rPr>
        <w:t xml:space="preserve"> </w:t>
      </w:r>
      <w:r w:rsidRPr="003F06C8">
        <w:rPr>
          <w:rFonts w:ascii="Cambria" w:hAnsi="Cambria"/>
          <w:sz w:val="16"/>
          <w:szCs w:val="16"/>
          <w:lang w:val="es-ES"/>
        </w:rPr>
        <w:t xml:space="preserve">CIDH, Informe No. 303/21. Petición P-1320-11. Admisibilidad. Lilia Etcheverry. Argentina. 4 de noviembre de 2021, párrafos 8-11; CIDH, Informe No. 307/21. Petición 182-13. Admisibilidad. Luis Carlos Abregu. </w:t>
      </w:r>
      <w:r w:rsidRPr="00AE755A">
        <w:rPr>
          <w:rFonts w:ascii="Cambria" w:hAnsi="Cambria"/>
          <w:sz w:val="16"/>
          <w:szCs w:val="16"/>
          <w:lang w:val="es-ES"/>
        </w:rPr>
        <w:t>Argentina. 4 de noviembre de 2021, párrafos 8-12</w:t>
      </w:r>
      <w:r w:rsidR="00AE755A" w:rsidRPr="00AE755A">
        <w:rPr>
          <w:rFonts w:ascii="Cambria" w:hAnsi="Cambria"/>
          <w:sz w:val="16"/>
          <w:szCs w:val="16"/>
          <w:lang w:val="es-ES"/>
        </w:rPr>
        <w:t>; CIDH, Informe No. 22/22. Petición P-1394-10. Admisibilidad. Horacio Ricardo Neuman. Argentina.9 de marzo de 2022, párrafo 10</w:t>
      </w:r>
      <w:r w:rsidR="00AE755A">
        <w:rPr>
          <w:rFonts w:ascii="Cambria" w:hAnsi="Cambria"/>
          <w:sz w:val="16"/>
          <w:szCs w:val="16"/>
          <w:lang w:val="es-ES"/>
        </w:rPr>
        <w:t xml:space="preserve">; </w:t>
      </w:r>
      <w:r w:rsidR="00AE755A" w:rsidRPr="00AE755A">
        <w:rPr>
          <w:rFonts w:ascii="Cambria" w:hAnsi="Cambria"/>
          <w:sz w:val="16"/>
          <w:szCs w:val="16"/>
          <w:lang w:val="es-ES"/>
        </w:rPr>
        <w:t xml:space="preserve">CIDH, Informe No. 299/21. Petición P-1781-10. Admisibilidad. Fanny Lea Mijalevich. </w:t>
      </w:r>
      <w:r w:rsidR="00AE755A" w:rsidRPr="0093172E">
        <w:rPr>
          <w:rFonts w:ascii="Cambria" w:hAnsi="Cambria"/>
          <w:sz w:val="16"/>
          <w:szCs w:val="16"/>
          <w:lang w:val="es-ES"/>
        </w:rPr>
        <w:t>Argentina. 4 de noviembre de 2021, párrafo 12;</w:t>
      </w:r>
      <w:r w:rsidR="0093172E" w:rsidRPr="0093172E">
        <w:rPr>
          <w:rFonts w:ascii="Cambria" w:hAnsi="Cambria"/>
          <w:sz w:val="16"/>
          <w:szCs w:val="16"/>
          <w:lang w:val="es-ES"/>
        </w:rPr>
        <w:t xml:space="preserve"> CIDH, Informe No. 190/21. Petición 1516-10. Admisibilidad. Mariano Bejarano. Argentina. 7 de septiembre de 2021, p</w:t>
      </w:r>
      <w:r w:rsidR="0093172E">
        <w:rPr>
          <w:rFonts w:ascii="Cambria" w:hAnsi="Cambria"/>
          <w:sz w:val="16"/>
          <w:szCs w:val="16"/>
          <w:lang w:val="es-ES"/>
        </w:rPr>
        <w:t xml:space="preserve">árrafo 16; </w:t>
      </w:r>
      <w:r w:rsidR="0093172E" w:rsidRPr="0093172E">
        <w:rPr>
          <w:rFonts w:ascii="Cambria" w:hAnsi="Cambria"/>
          <w:sz w:val="16"/>
          <w:szCs w:val="16"/>
          <w:lang w:val="es-ES"/>
        </w:rPr>
        <w:t>CIDH, Informe No. 302/21. Petición 610-11. Admisibilidad. Alicia María Jardel. Argentina. 4 de noviembre de 2021, párrafo 12; CIDH, Informe No. 301/21. Petición 107-11. Admisibilidad. Claudia Laura Kleinman y Ana María Kleinman. Argentina. 4 de noviembre de 2021, párrafo 13; CIDH, Informe No. 300/21. Petición 19-11. Admisibilidad. Juana Belfer. Argentina. 4 de noviembre de 2021, p</w:t>
      </w:r>
      <w:r w:rsidR="0093172E">
        <w:rPr>
          <w:rFonts w:ascii="Cambria" w:hAnsi="Cambria"/>
          <w:sz w:val="16"/>
          <w:szCs w:val="16"/>
          <w:lang w:val="es-ES"/>
        </w:rPr>
        <w:t>árrafo 10.</w:t>
      </w:r>
    </w:p>
  </w:footnote>
  <w:footnote w:id="6">
    <w:p w14:paraId="6E3AEB7D" w14:textId="7A9A9C4D" w:rsidR="00731ABA" w:rsidRPr="000B3A15" w:rsidRDefault="00731ABA" w:rsidP="00731ABA">
      <w:pPr>
        <w:ind w:firstLine="720"/>
        <w:jc w:val="both"/>
        <w:rPr>
          <w:rFonts w:ascii="Cambria" w:hAnsi="Cambria"/>
          <w:sz w:val="16"/>
          <w:szCs w:val="16"/>
          <w:lang w:val="es-US" w:eastAsia="fr-FR" w:bidi="es-ES"/>
        </w:rPr>
      </w:pPr>
      <w:r w:rsidRPr="000B3A15">
        <w:rPr>
          <w:rStyle w:val="FootnoteReference"/>
          <w:rFonts w:ascii="Cambria" w:hAnsi="Cambria"/>
          <w:sz w:val="16"/>
          <w:szCs w:val="16"/>
        </w:rPr>
        <w:footnoteRef/>
      </w:r>
      <w:r w:rsidRPr="000B3A15">
        <w:rPr>
          <w:rFonts w:ascii="Cambria" w:hAnsi="Cambria"/>
          <w:sz w:val="16"/>
          <w:szCs w:val="16"/>
          <w:lang w:val="es-ES"/>
        </w:rPr>
        <w:t xml:space="preserve"> </w:t>
      </w:r>
      <w:r w:rsidR="0093172E" w:rsidRPr="003F06C8">
        <w:rPr>
          <w:rFonts w:ascii="Cambria" w:hAnsi="Cambria"/>
          <w:sz w:val="16"/>
          <w:szCs w:val="16"/>
          <w:lang w:val="es-ES"/>
        </w:rPr>
        <w:t xml:space="preserve">CIDH, Informe No. 303/21. Petición P-1320-11. Admisibilidad. Lilia Etcheverry. Argentina. 4 de noviembre de 2021; CIDH, Informe No. 307/21. Petición 182-13. Admisibilidad. Luis Carlos Abregu. </w:t>
      </w:r>
      <w:r w:rsidR="0093172E" w:rsidRPr="00AE755A">
        <w:rPr>
          <w:rFonts w:ascii="Cambria" w:hAnsi="Cambria"/>
          <w:sz w:val="16"/>
          <w:szCs w:val="16"/>
          <w:lang w:val="es-ES"/>
        </w:rPr>
        <w:t>Argentina. 4 de noviembre de 2021; CIDH, Informe No. 22/22. Petición P-1394-10. Admisibilidad. Horacio Ricardo Neuman. Argentina.9 de marzo de 2022</w:t>
      </w:r>
      <w:r w:rsidR="0093172E">
        <w:rPr>
          <w:rFonts w:ascii="Cambria" w:hAnsi="Cambria"/>
          <w:sz w:val="16"/>
          <w:szCs w:val="16"/>
          <w:lang w:val="es-ES"/>
        </w:rPr>
        <w:t xml:space="preserve">; </w:t>
      </w:r>
      <w:r w:rsidR="0093172E" w:rsidRPr="00AE755A">
        <w:rPr>
          <w:rFonts w:ascii="Cambria" w:hAnsi="Cambria"/>
          <w:sz w:val="16"/>
          <w:szCs w:val="16"/>
          <w:lang w:val="es-ES"/>
        </w:rPr>
        <w:t xml:space="preserve">CIDH, Informe No. 299/21. Petición P-1781-10. Admisibilidad. Fanny Lea Mijalevich. </w:t>
      </w:r>
      <w:r w:rsidR="0093172E" w:rsidRPr="0093172E">
        <w:rPr>
          <w:rFonts w:ascii="Cambria" w:hAnsi="Cambria"/>
          <w:sz w:val="16"/>
          <w:szCs w:val="16"/>
          <w:lang w:val="es-ES"/>
        </w:rPr>
        <w:t>Argentina. 4 de noviembre de 2021; CIDH, Informe No. 190/21. Petición 1516-10. Admisibilidad. Mariano Bejarano. Argentina. 7 de septiembre de 2021</w:t>
      </w:r>
      <w:r w:rsidR="0093172E">
        <w:rPr>
          <w:rFonts w:ascii="Cambria" w:hAnsi="Cambria"/>
          <w:sz w:val="16"/>
          <w:szCs w:val="16"/>
          <w:lang w:val="es-ES"/>
        </w:rPr>
        <w:t xml:space="preserve">; </w:t>
      </w:r>
      <w:r w:rsidR="0093172E" w:rsidRPr="0093172E">
        <w:rPr>
          <w:rFonts w:ascii="Cambria" w:hAnsi="Cambria"/>
          <w:sz w:val="16"/>
          <w:szCs w:val="16"/>
          <w:lang w:val="es-ES"/>
        </w:rPr>
        <w:t>CIDH, Informe No. 302/21. Petición 610-11. Admisibilidad. Alicia María Jardel. Argentina. 4 de noviembre de 2021; CIDH, Informe No. 301/21. Petición 107-11. Admisibilidad. Claudia Laura Kleinman y Ana María Kleinman. Argentina. 4 de noviembre de 2021; CIDH, Informe No. 300/21. Petición 19-11. Admisibilidad. Juana Belfer. Argentina. 4 de noviembre de 2021</w:t>
      </w:r>
      <w:r w:rsidR="0093172E">
        <w:rPr>
          <w:rFonts w:ascii="Cambria" w:hAnsi="Cambria"/>
          <w:sz w:val="16"/>
          <w:szCs w:val="16"/>
          <w:lang w:val="es-ES"/>
        </w:rPr>
        <w:t xml:space="preserve">; </w:t>
      </w:r>
      <w:r w:rsidRPr="00731ABA">
        <w:rPr>
          <w:rFonts w:ascii="Cambria" w:hAnsi="Cambria"/>
          <w:sz w:val="16"/>
          <w:szCs w:val="16"/>
          <w:lang w:val="es-ES"/>
        </w:rPr>
        <w:t xml:space="preserve">CIDH, Informe No. 24/22. Petición P-1457-12. Admisibilidad. </w:t>
      </w:r>
      <w:r w:rsidRPr="00992982">
        <w:rPr>
          <w:rFonts w:ascii="Cambria" w:hAnsi="Cambria"/>
          <w:sz w:val="16"/>
          <w:szCs w:val="16"/>
          <w:lang w:val="es-ES"/>
        </w:rPr>
        <w:t xml:space="preserve">Mirta Araceli Teresita Pravisani. Argentina. </w:t>
      </w:r>
      <w:r w:rsidRPr="00731ABA">
        <w:rPr>
          <w:rFonts w:ascii="Cambria" w:hAnsi="Cambria"/>
          <w:sz w:val="16"/>
          <w:szCs w:val="16"/>
          <w:lang w:val="es-ES"/>
        </w:rPr>
        <w:t>9 de marzo de 2022</w:t>
      </w:r>
      <w:r w:rsidR="0093172E">
        <w:rPr>
          <w:rFonts w:ascii="Cambria" w:hAnsi="Cambria"/>
          <w:sz w:val="16"/>
          <w:szCs w:val="16"/>
          <w:lang w:val="es-ES"/>
        </w:rPr>
        <w:t>.</w:t>
      </w:r>
    </w:p>
  </w:footnote>
  <w:footnote w:id="7">
    <w:p w14:paraId="08072E69" w14:textId="77777777" w:rsidR="009727B8" w:rsidRPr="00A11B3B" w:rsidRDefault="009727B8" w:rsidP="009727B8">
      <w:pPr>
        <w:pStyle w:val="FootnoteText"/>
        <w:ind w:firstLine="720"/>
        <w:jc w:val="both"/>
        <w:rPr>
          <w:rFonts w:ascii="Cambria" w:hAnsi="Cambria"/>
          <w:sz w:val="16"/>
          <w:szCs w:val="16"/>
          <w:lang w:val="es-US"/>
        </w:rPr>
      </w:pPr>
      <w:r w:rsidRPr="00A11B3B">
        <w:rPr>
          <w:rStyle w:val="FootnoteReference"/>
          <w:rFonts w:ascii="Cambria" w:hAnsi="Cambria"/>
          <w:sz w:val="16"/>
          <w:szCs w:val="16"/>
        </w:rPr>
        <w:footnoteRef/>
      </w:r>
      <w:r w:rsidRPr="001F426A">
        <w:rPr>
          <w:rFonts w:ascii="Cambria" w:hAnsi="Cambria"/>
          <w:sz w:val="16"/>
          <w:szCs w:val="16"/>
          <w:lang w:val="es-ES"/>
        </w:rPr>
        <w:t xml:space="preserve"> </w:t>
      </w:r>
      <w:r w:rsidRPr="001F426A">
        <w:rPr>
          <w:rFonts w:ascii="Cambria" w:hAnsi="Cambria"/>
          <w:color w:val="auto"/>
          <w:sz w:val="16"/>
          <w:szCs w:val="16"/>
          <w:lang w:val="es-ES"/>
        </w:rPr>
        <w:t xml:space="preserve">Corte IDH, </w:t>
      </w:r>
      <w:r w:rsidRPr="001F426A">
        <w:rPr>
          <w:rFonts w:ascii="Cambria" w:hAnsi="Cambria"/>
          <w:i/>
          <w:color w:val="auto"/>
          <w:sz w:val="16"/>
          <w:szCs w:val="16"/>
          <w:lang w:val="es-ES"/>
        </w:rPr>
        <w:t xml:space="preserve">Caso Mémoli vs. Argentina. </w:t>
      </w:r>
      <w:r w:rsidRPr="00A11B3B">
        <w:rPr>
          <w:rFonts w:ascii="Cambria" w:hAnsi="Cambria"/>
          <w:color w:val="auto"/>
          <w:sz w:val="16"/>
          <w:szCs w:val="16"/>
          <w:lang w:val="es-ES"/>
        </w:rPr>
        <w:t xml:space="preserve">Excepciones Preliminares, </w:t>
      </w:r>
      <w:r w:rsidRPr="00A11B3B">
        <w:rPr>
          <w:rFonts w:ascii="Cambria" w:hAnsi="Cambria"/>
          <w:color w:val="auto"/>
          <w:sz w:val="16"/>
          <w:szCs w:val="16"/>
          <w:lang w:val="es-CO"/>
        </w:rPr>
        <w:t xml:space="preserve">Fondo, Reparaciones y Costas. Sentencia de 22 de agosto de 2013. Serie C No. 295, </w:t>
      </w:r>
      <w:r w:rsidRPr="00A11B3B">
        <w:rPr>
          <w:rFonts w:ascii="Cambria" w:hAnsi="Cambria"/>
          <w:color w:val="auto"/>
          <w:sz w:val="16"/>
          <w:szCs w:val="16"/>
          <w:lang w:val="es-AR"/>
        </w:rPr>
        <w:t>p</w:t>
      </w:r>
      <w:r w:rsidRPr="00A11B3B">
        <w:rPr>
          <w:rFonts w:ascii="Cambria" w:hAnsi="Cambria"/>
          <w:color w:val="auto"/>
          <w:sz w:val="16"/>
          <w:szCs w:val="16"/>
          <w:lang w:val="es-ES_tradnl"/>
        </w:rPr>
        <w:t>árr. 32.</w:t>
      </w:r>
    </w:p>
  </w:footnote>
  <w:footnote w:id="8">
    <w:p w14:paraId="4F13CEAA" w14:textId="5E77C37C" w:rsidR="00EC1C55" w:rsidRPr="00EC1C55" w:rsidRDefault="00EC1C55" w:rsidP="00EC1C55">
      <w:pPr>
        <w:ind w:firstLine="720"/>
        <w:jc w:val="both"/>
        <w:rPr>
          <w:rFonts w:ascii="Cambria" w:hAnsi="Cambria"/>
          <w:sz w:val="16"/>
          <w:szCs w:val="16"/>
          <w:lang w:val="es-ES" w:eastAsia="fr-FR" w:bidi="es-ES"/>
        </w:rPr>
      </w:pPr>
      <w:r w:rsidRPr="000B3A15">
        <w:rPr>
          <w:rStyle w:val="FootnoteReference"/>
          <w:rFonts w:ascii="Cambria" w:hAnsi="Cambria"/>
          <w:sz w:val="16"/>
          <w:szCs w:val="16"/>
        </w:rPr>
        <w:footnoteRef/>
      </w:r>
      <w:r w:rsidRPr="000B3A15">
        <w:rPr>
          <w:rFonts w:ascii="Cambria" w:hAnsi="Cambria"/>
          <w:sz w:val="16"/>
          <w:szCs w:val="16"/>
          <w:lang w:val="es-ES"/>
        </w:rPr>
        <w:t xml:space="preserve"> </w:t>
      </w:r>
      <w:r w:rsidRPr="00EC1C55">
        <w:rPr>
          <w:rFonts w:ascii="Cambria" w:hAnsi="Cambria"/>
          <w:sz w:val="16"/>
          <w:szCs w:val="16"/>
          <w:lang w:val="es-ES"/>
        </w:rPr>
        <w:t>Para una sistematización de la legislación argentina sobre el tema, véase: CIDH, Informe No. 56/19. Caso 13.392. Admisibilidad y Fondo. Familia Julien – Grisonas. Argentina. 4 de mayo de 2019, parágrafos 47 y siguientes.</w:t>
      </w:r>
    </w:p>
  </w:footnote>
  <w:footnote w:id="9">
    <w:p w14:paraId="620E286F" w14:textId="0B511103" w:rsidR="00EC1C55" w:rsidRPr="00EC1C55" w:rsidRDefault="00EC1C55" w:rsidP="00EC1C55">
      <w:pPr>
        <w:ind w:firstLine="720"/>
        <w:jc w:val="both"/>
        <w:rPr>
          <w:rFonts w:ascii="Cambria" w:hAnsi="Cambria"/>
          <w:sz w:val="16"/>
          <w:szCs w:val="16"/>
          <w:lang w:val="es-ES"/>
        </w:rPr>
      </w:pPr>
      <w:r w:rsidRPr="000B3A15">
        <w:rPr>
          <w:rStyle w:val="FootnoteReference"/>
          <w:rFonts w:ascii="Cambria" w:hAnsi="Cambria"/>
          <w:sz w:val="16"/>
          <w:szCs w:val="16"/>
        </w:rPr>
        <w:footnoteRef/>
      </w:r>
      <w:r w:rsidRPr="000B3A15">
        <w:rPr>
          <w:rFonts w:ascii="Cambria" w:hAnsi="Cambria"/>
          <w:sz w:val="16"/>
          <w:szCs w:val="16"/>
          <w:lang w:val="es-ES"/>
        </w:rPr>
        <w:t xml:space="preserve"> </w:t>
      </w:r>
      <w:r w:rsidRPr="00EC1C55">
        <w:rPr>
          <w:rFonts w:ascii="Cambria" w:hAnsi="Cambria"/>
          <w:sz w:val="16"/>
          <w:szCs w:val="16"/>
          <w:lang w:val="es-ES"/>
        </w:rPr>
        <w:t>CIDH. Informe 45/14. Admisibilidad. Petición 325-00. Rufino Jorge Almeida. Argentina. 18 de julio de 2014; CIDH. Informe No.</w:t>
      </w:r>
      <w:r>
        <w:rPr>
          <w:rFonts w:ascii="Cambria" w:hAnsi="Cambria"/>
          <w:sz w:val="16"/>
          <w:szCs w:val="16"/>
          <w:lang w:val="es-ES"/>
        </w:rPr>
        <w:t xml:space="preserve"> </w:t>
      </w:r>
      <w:r w:rsidRPr="00EC1C55">
        <w:rPr>
          <w:rFonts w:ascii="Cambria" w:hAnsi="Cambria"/>
          <w:sz w:val="16"/>
          <w:szCs w:val="16"/>
          <w:lang w:val="es-ES"/>
        </w:rPr>
        <w:t>57/16. Admisibilidad. Peticiones 589-07, 590-07 y 591-07. Julio Cesar Rito de los Santos y otros. Argentina. 6 de diciembre de 2016; CIDH. Informe No. 58/21. Admisibilidad. Petición 1548-10. Eduardo Hugo Molina Zequeira. Argentina. 9 de marzo de 2021</w:t>
      </w:r>
      <w:r w:rsidR="009727B8">
        <w:rPr>
          <w:rFonts w:ascii="Cambria" w:hAnsi="Cambria"/>
          <w:sz w:val="16"/>
          <w:szCs w:val="16"/>
          <w:lang w:val="es-ES"/>
        </w:rPr>
        <w:t xml:space="preserve">; </w:t>
      </w:r>
      <w:r w:rsidR="0093172E" w:rsidRPr="003F06C8">
        <w:rPr>
          <w:rFonts w:ascii="Cambria" w:hAnsi="Cambria"/>
          <w:sz w:val="16"/>
          <w:szCs w:val="16"/>
          <w:lang w:val="es-ES"/>
        </w:rPr>
        <w:t xml:space="preserve">CIDH, Informe No. 303/21. Petición P-1320-11. Admisibilidad. Lilia Etcheverry. Argentina. 4 de noviembre de 2021; CIDH, Informe No. 307/21. Petición 182-13. Admisibilidad. Luis Carlos Abregu. </w:t>
      </w:r>
      <w:r w:rsidR="0093172E" w:rsidRPr="00AE755A">
        <w:rPr>
          <w:rFonts w:ascii="Cambria" w:hAnsi="Cambria"/>
          <w:sz w:val="16"/>
          <w:szCs w:val="16"/>
          <w:lang w:val="es-ES"/>
        </w:rPr>
        <w:t>Argentina. 4 de noviembre de 2021; CIDH, Informe No. 22/22. Petición P-1394-10. Admisibilidad. Horacio Ricardo Neuman. Argentina.9 de marzo de 2022</w:t>
      </w:r>
      <w:r w:rsidR="0093172E">
        <w:rPr>
          <w:rFonts w:ascii="Cambria" w:hAnsi="Cambria"/>
          <w:sz w:val="16"/>
          <w:szCs w:val="16"/>
          <w:lang w:val="es-ES"/>
        </w:rPr>
        <w:t xml:space="preserve">; </w:t>
      </w:r>
      <w:r w:rsidR="0093172E" w:rsidRPr="00AE755A">
        <w:rPr>
          <w:rFonts w:ascii="Cambria" w:hAnsi="Cambria"/>
          <w:sz w:val="16"/>
          <w:szCs w:val="16"/>
          <w:lang w:val="es-ES"/>
        </w:rPr>
        <w:t xml:space="preserve">CIDH, Informe No. 299/21. Petición P-1781-10. Admisibilidad. Fanny Lea Mijalevich. </w:t>
      </w:r>
      <w:r w:rsidR="0093172E" w:rsidRPr="0093172E">
        <w:rPr>
          <w:rFonts w:ascii="Cambria" w:hAnsi="Cambria"/>
          <w:sz w:val="16"/>
          <w:szCs w:val="16"/>
          <w:lang w:val="es-ES"/>
        </w:rPr>
        <w:t>Argentina. 4 de noviembre de 2021; CIDH, Informe No. 190/21. Petición 1516-10. Admisibilidad. Mariano Bejarano. Argentina. 7 de septiembre de 2021</w:t>
      </w:r>
      <w:r w:rsidR="0093172E">
        <w:rPr>
          <w:rFonts w:ascii="Cambria" w:hAnsi="Cambria"/>
          <w:sz w:val="16"/>
          <w:szCs w:val="16"/>
          <w:lang w:val="es-ES"/>
        </w:rPr>
        <w:t xml:space="preserve">; </w:t>
      </w:r>
      <w:r w:rsidR="0093172E" w:rsidRPr="0093172E">
        <w:rPr>
          <w:rFonts w:ascii="Cambria" w:hAnsi="Cambria"/>
          <w:sz w:val="16"/>
          <w:szCs w:val="16"/>
          <w:lang w:val="es-ES"/>
        </w:rPr>
        <w:t>CIDH, Informe No. 302/21. Petición 610-11. Admisibilidad. Alicia María Jardel. Argentina. 4 de noviembre de 2021; CIDH, Informe No. 301/21. Petición 107-11. Admisibilidad. Claudia Laura Kleinman y Ana María Kleinman. Argentina. 4 de noviembre de 2021; CIDH, Informe No. 300/21. Petición 19-11. Admisibilidad. Juana Belfer. Argentina. 4 de noviembre de 2021</w:t>
      </w:r>
      <w:r w:rsidR="0093172E">
        <w:rPr>
          <w:rFonts w:ascii="Cambria" w:hAnsi="Cambria"/>
          <w:sz w:val="16"/>
          <w:szCs w:val="16"/>
          <w:lang w:val="es-ES"/>
        </w:rPr>
        <w:t xml:space="preserve">; </w:t>
      </w:r>
      <w:r w:rsidR="0093172E" w:rsidRPr="00731ABA">
        <w:rPr>
          <w:rFonts w:ascii="Cambria" w:hAnsi="Cambria"/>
          <w:sz w:val="16"/>
          <w:szCs w:val="16"/>
          <w:lang w:val="es-ES"/>
        </w:rPr>
        <w:t xml:space="preserve">CIDH, Informe No. 24/22. Petición P-1457-12. Admisibilidad. </w:t>
      </w:r>
      <w:r w:rsidR="0093172E" w:rsidRPr="00992982">
        <w:rPr>
          <w:rFonts w:ascii="Cambria" w:hAnsi="Cambria"/>
          <w:sz w:val="16"/>
          <w:szCs w:val="16"/>
          <w:lang w:val="es-ES"/>
        </w:rPr>
        <w:t xml:space="preserve">Mirta Araceli Teresita Pravisani. Argentina. </w:t>
      </w:r>
      <w:r w:rsidR="0093172E" w:rsidRPr="00731ABA">
        <w:rPr>
          <w:rFonts w:ascii="Cambria" w:hAnsi="Cambria"/>
          <w:sz w:val="16"/>
          <w:szCs w:val="16"/>
          <w:lang w:val="es-ES"/>
        </w:rPr>
        <w:t>9 de marzo de 2022</w:t>
      </w:r>
      <w:r w:rsidR="0093172E">
        <w:rPr>
          <w:rFonts w:ascii="Cambria" w:hAnsi="Cambria"/>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2F36DA"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230F45"/>
    <w:multiLevelType w:val="hybridMultilevel"/>
    <w:tmpl w:val="ED0698A6"/>
    <w:lvl w:ilvl="0" w:tplc="C308C0EA">
      <w:start w:val="8"/>
      <w:numFmt w:val="decimal"/>
      <w:lvlText w:val="%1."/>
      <w:lvlJc w:val="left"/>
      <w:pPr>
        <w:ind w:left="760" w:hanging="720"/>
        <w:jc w:val="right"/>
      </w:pPr>
      <w:rPr>
        <w:rFonts w:ascii="Cambria" w:eastAsia="Cambria" w:hAnsi="Cambria" w:cs="Cambria" w:hint="default"/>
        <w:w w:val="99"/>
        <w:sz w:val="20"/>
        <w:szCs w:val="20"/>
        <w:lang w:val="es-ES" w:eastAsia="en-US" w:bidi="ar-SA"/>
      </w:rPr>
    </w:lvl>
    <w:lvl w:ilvl="1" w:tplc="7E644F42">
      <w:numFmt w:val="bullet"/>
      <w:lvlText w:val="•"/>
      <w:lvlJc w:val="left"/>
      <w:pPr>
        <w:ind w:left="1732" w:hanging="720"/>
      </w:pPr>
      <w:rPr>
        <w:rFonts w:hint="default"/>
        <w:lang w:val="es-ES" w:eastAsia="en-US" w:bidi="ar-SA"/>
      </w:rPr>
    </w:lvl>
    <w:lvl w:ilvl="2" w:tplc="ECC4A2DA">
      <w:numFmt w:val="bullet"/>
      <w:lvlText w:val="•"/>
      <w:lvlJc w:val="left"/>
      <w:pPr>
        <w:ind w:left="2704" w:hanging="720"/>
      </w:pPr>
      <w:rPr>
        <w:rFonts w:hint="default"/>
        <w:lang w:val="es-ES" w:eastAsia="en-US" w:bidi="ar-SA"/>
      </w:rPr>
    </w:lvl>
    <w:lvl w:ilvl="3" w:tplc="12DCD14C">
      <w:numFmt w:val="bullet"/>
      <w:lvlText w:val="•"/>
      <w:lvlJc w:val="left"/>
      <w:pPr>
        <w:ind w:left="3676" w:hanging="720"/>
      </w:pPr>
      <w:rPr>
        <w:rFonts w:hint="default"/>
        <w:lang w:val="es-ES" w:eastAsia="en-US" w:bidi="ar-SA"/>
      </w:rPr>
    </w:lvl>
    <w:lvl w:ilvl="4" w:tplc="00981C18">
      <w:numFmt w:val="bullet"/>
      <w:lvlText w:val="•"/>
      <w:lvlJc w:val="left"/>
      <w:pPr>
        <w:ind w:left="4648" w:hanging="720"/>
      </w:pPr>
      <w:rPr>
        <w:rFonts w:hint="default"/>
        <w:lang w:val="es-ES" w:eastAsia="en-US" w:bidi="ar-SA"/>
      </w:rPr>
    </w:lvl>
    <w:lvl w:ilvl="5" w:tplc="41364774">
      <w:numFmt w:val="bullet"/>
      <w:lvlText w:val="•"/>
      <w:lvlJc w:val="left"/>
      <w:pPr>
        <w:ind w:left="5620" w:hanging="720"/>
      </w:pPr>
      <w:rPr>
        <w:rFonts w:hint="default"/>
        <w:lang w:val="es-ES" w:eastAsia="en-US" w:bidi="ar-SA"/>
      </w:rPr>
    </w:lvl>
    <w:lvl w:ilvl="6" w:tplc="7F3E0942">
      <w:numFmt w:val="bullet"/>
      <w:lvlText w:val="•"/>
      <w:lvlJc w:val="left"/>
      <w:pPr>
        <w:ind w:left="6592" w:hanging="720"/>
      </w:pPr>
      <w:rPr>
        <w:rFonts w:hint="default"/>
        <w:lang w:val="es-ES" w:eastAsia="en-US" w:bidi="ar-SA"/>
      </w:rPr>
    </w:lvl>
    <w:lvl w:ilvl="7" w:tplc="AA96CDF8">
      <w:numFmt w:val="bullet"/>
      <w:lvlText w:val="•"/>
      <w:lvlJc w:val="left"/>
      <w:pPr>
        <w:ind w:left="7564" w:hanging="720"/>
      </w:pPr>
      <w:rPr>
        <w:rFonts w:hint="default"/>
        <w:lang w:val="es-ES" w:eastAsia="en-US" w:bidi="ar-SA"/>
      </w:rPr>
    </w:lvl>
    <w:lvl w:ilvl="8" w:tplc="344CBCC8">
      <w:numFmt w:val="bullet"/>
      <w:lvlText w:val="•"/>
      <w:lvlJc w:val="left"/>
      <w:pPr>
        <w:ind w:left="8536" w:hanging="720"/>
      </w:pPr>
      <w:rPr>
        <w:rFonts w:hint="default"/>
        <w:lang w:val="es-ES" w:eastAsia="en-US" w:bidi="ar-SA"/>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F785C96"/>
    <w:multiLevelType w:val="hybridMultilevel"/>
    <w:tmpl w:val="112C4270"/>
    <w:lvl w:ilvl="0" w:tplc="21D8E59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FC37831"/>
    <w:multiLevelType w:val="hybridMultilevel"/>
    <w:tmpl w:val="6C4896CA"/>
    <w:lvl w:ilvl="0" w:tplc="3A6CA2EE">
      <w:start w:val="8"/>
      <w:numFmt w:val="decimal"/>
      <w:lvlText w:val="%1."/>
      <w:lvlJc w:val="left"/>
      <w:pPr>
        <w:ind w:left="760" w:hanging="720"/>
        <w:jc w:val="right"/>
      </w:pPr>
      <w:rPr>
        <w:rFonts w:ascii="Cambria" w:eastAsia="Cambria" w:hAnsi="Cambria" w:cs="Cambria" w:hint="default"/>
        <w:w w:val="99"/>
        <w:sz w:val="20"/>
        <w:szCs w:val="20"/>
        <w:lang w:val="es-ES" w:eastAsia="en-US" w:bidi="ar-SA"/>
      </w:rPr>
    </w:lvl>
    <w:lvl w:ilvl="1" w:tplc="09E4E156">
      <w:numFmt w:val="bullet"/>
      <w:lvlText w:val="•"/>
      <w:lvlJc w:val="left"/>
      <w:pPr>
        <w:ind w:left="1732" w:hanging="720"/>
      </w:pPr>
      <w:rPr>
        <w:rFonts w:hint="default"/>
        <w:lang w:val="es-ES" w:eastAsia="en-US" w:bidi="ar-SA"/>
      </w:rPr>
    </w:lvl>
    <w:lvl w:ilvl="2" w:tplc="2E2E1746">
      <w:numFmt w:val="bullet"/>
      <w:lvlText w:val="•"/>
      <w:lvlJc w:val="left"/>
      <w:pPr>
        <w:ind w:left="2704" w:hanging="720"/>
      </w:pPr>
      <w:rPr>
        <w:rFonts w:hint="default"/>
        <w:lang w:val="es-ES" w:eastAsia="en-US" w:bidi="ar-SA"/>
      </w:rPr>
    </w:lvl>
    <w:lvl w:ilvl="3" w:tplc="5E1E06CA">
      <w:numFmt w:val="bullet"/>
      <w:lvlText w:val="•"/>
      <w:lvlJc w:val="left"/>
      <w:pPr>
        <w:ind w:left="3676" w:hanging="720"/>
      </w:pPr>
      <w:rPr>
        <w:rFonts w:hint="default"/>
        <w:lang w:val="es-ES" w:eastAsia="en-US" w:bidi="ar-SA"/>
      </w:rPr>
    </w:lvl>
    <w:lvl w:ilvl="4" w:tplc="AC6EA840">
      <w:numFmt w:val="bullet"/>
      <w:lvlText w:val="•"/>
      <w:lvlJc w:val="left"/>
      <w:pPr>
        <w:ind w:left="4648" w:hanging="720"/>
      </w:pPr>
      <w:rPr>
        <w:rFonts w:hint="default"/>
        <w:lang w:val="es-ES" w:eastAsia="en-US" w:bidi="ar-SA"/>
      </w:rPr>
    </w:lvl>
    <w:lvl w:ilvl="5" w:tplc="250ED39A">
      <w:numFmt w:val="bullet"/>
      <w:lvlText w:val="•"/>
      <w:lvlJc w:val="left"/>
      <w:pPr>
        <w:ind w:left="5620" w:hanging="720"/>
      </w:pPr>
      <w:rPr>
        <w:rFonts w:hint="default"/>
        <w:lang w:val="es-ES" w:eastAsia="en-US" w:bidi="ar-SA"/>
      </w:rPr>
    </w:lvl>
    <w:lvl w:ilvl="6" w:tplc="4CDC2602">
      <w:numFmt w:val="bullet"/>
      <w:lvlText w:val="•"/>
      <w:lvlJc w:val="left"/>
      <w:pPr>
        <w:ind w:left="6592" w:hanging="720"/>
      </w:pPr>
      <w:rPr>
        <w:rFonts w:hint="default"/>
        <w:lang w:val="es-ES" w:eastAsia="en-US" w:bidi="ar-SA"/>
      </w:rPr>
    </w:lvl>
    <w:lvl w:ilvl="7" w:tplc="9F32E8E0">
      <w:numFmt w:val="bullet"/>
      <w:lvlText w:val="•"/>
      <w:lvlJc w:val="left"/>
      <w:pPr>
        <w:ind w:left="7564" w:hanging="720"/>
      </w:pPr>
      <w:rPr>
        <w:rFonts w:hint="default"/>
        <w:lang w:val="es-ES" w:eastAsia="en-US" w:bidi="ar-SA"/>
      </w:rPr>
    </w:lvl>
    <w:lvl w:ilvl="8" w:tplc="93A83A8E">
      <w:numFmt w:val="bullet"/>
      <w:lvlText w:val="•"/>
      <w:lvlJc w:val="left"/>
      <w:pPr>
        <w:ind w:left="8536" w:hanging="720"/>
      </w:pPr>
      <w:rPr>
        <w:rFonts w:hint="default"/>
        <w:lang w:val="es-ES" w:eastAsia="en-US" w:bidi="ar-SA"/>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AD47811"/>
    <w:multiLevelType w:val="hybridMultilevel"/>
    <w:tmpl w:val="96ACC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001150"/>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2744589">
    <w:abstractNumId w:val="4"/>
  </w:num>
  <w:num w:numId="2" w16cid:durableId="1435789049">
    <w:abstractNumId w:val="6"/>
  </w:num>
  <w:num w:numId="3" w16cid:durableId="1322193717">
    <w:abstractNumId w:val="56"/>
  </w:num>
  <w:num w:numId="4" w16cid:durableId="2089763136">
    <w:abstractNumId w:val="22"/>
  </w:num>
  <w:num w:numId="5" w16cid:durableId="2079789273">
    <w:abstractNumId w:val="50"/>
  </w:num>
  <w:num w:numId="6" w16cid:durableId="1071318675">
    <w:abstractNumId w:val="29"/>
  </w:num>
  <w:num w:numId="7" w16cid:durableId="946349790">
    <w:abstractNumId w:val="7"/>
  </w:num>
  <w:num w:numId="8" w16cid:durableId="256671102">
    <w:abstractNumId w:val="17"/>
  </w:num>
  <w:num w:numId="9" w16cid:durableId="1568614021">
    <w:abstractNumId w:val="44"/>
  </w:num>
  <w:num w:numId="10" w16cid:durableId="1418743333">
    <w:abstractNumId w:val="0"/>
  </w:num>
  <w:num w:numId="11" w16cid:durableId="22562037">
    <w:abstractNumId w:val="39"/>
  </w:num>
  <w:num w:numId="12" w16cid:durableId="852382499">
    <w:abstractNumId w:val="40"/>
  </w:num>
  <w:num w:numId="13" w16cid:durableId="1735883429">
    <w:abstractNumId w:val="46"/>
  </w:num>
  <w:num w:numId="14" w16cid:durableId="2073116930">
    <w:abstractNumId w:val="1"/>
  </w:num>
  <w:num w:numId="15" w16cid:durableId="1736312652">
    <w:abstractNumId w:val="2"/>
  </w:num>
  <w:num w:numId="16" w16cid:durableId="308173379">
    <w:abstractNumId w:val="8"/>
  </w:num>
  <w:num w:numId="17" w16cid:durableId="1389646962">
    <w:abstractNumId w:val="9"/>
  </w:num>
  <w:num w:numId="18" w16cid:durableId="1033655288">
    <w:abstractNumId w:val="10"/>
  </w:num>
  <w:num w:numId="19" w16cid:durableId="474487620">
    <w:abstractNumId w:val="11"/>
  </w:num>
  <w:num w:numId="20" w16cid:durableId="166408127">
    <w:abstractNumId w:val="12"/>
  </w:num>
  <w:num w:numId="21" w16cid:durableId="1951860192">
    <w:abstractNumId w:val="13"/>
  </w:num>
  <w:num w:numId="22" w16cid:durableId="394549376">
    <w:abstractNumId w:val="14"/>
  </w:num>
  <w:num w:numId="23" w16cid:durableId="2135706936">
    <w:abstractNumId w:val="15"/>
  </w:num>
  <w:num w:numId="24" w16cid:durableId="1261596446">
    <w:abstractNumId w:val="16"/>
  </w:num>
  <w:num w:numId="25" w16cid:durableId="1624342198">
    <w:abstractNumId w:val="18"/>
  </w:num>
  <w:num w:numId="26" w16cid:durableId="389352821">
    <w:abstractNumId w:val="19"/>
  </w:num>
  <w:num w:numId="27" w16cid:durableId="1531530933">
    <w:abstractNumId w:val="23"/>
  </w:num>
  <w:num w:numId="28" w16cid:durableId="62918607">
    <w:abstractNumId w:val="24"/>
  </w:num>
  <w:num w:numId="29" w16cid:durableId="1885676544">
    <w:abstractNumId w:val="25"/>
  </w:num>
  <w:num w:numId="30" w16cid:durableId="1595479927">
    <w:abstractNumId w:val="27"/>
  </w:num>
  <w:num w:numId="31" w16cid:durableId="21635718">
    <w:abstractNumId w:val="30"/>
  </w:num>
  <w:num w:numId="32" w16cid:durableId="1045712981">
    <w:abstractNumId w:val="31"/>
  </w:num>
  <w:num w:numId="33" w16cid:durableId="1585452040">
    <w:abstractNumId w:val="32"/>
  </w:num>
  <w:num w:numId="34" w16cid:durableId="996424183">
    <w:abstractNumId w:val="33"/>
  </w:num>
  <w:num w:numId="35" w16cid:durableId="1469710502">
    <w:abstractNumId w:val="34"/>
  </w:num>
  <w:num w:numId="36" w16cid:durableId="1679773864">
    <w:abstractNumId w:val="35"/>
  </w:num>
  <w:num w:numId="37" w16cid:durableId="35281034">
    <w:abstractNumId w:val="36"/>
  </w:num>
  <w:num w:numId="38" w16cid:durableId="1028798137">
    <w:abstractNumId w:val="37"/>
  </w:num>
  <w:num w:numId="39" w16cid:durableId="150877175">
    <w:abstractNumId w:val="41"/>
  </w:num>
  <w:num w:numId="40" w16cid:durableId="1606693044">
    <w:abstractNumId w:val="42"/>
  </w:num>
  <w:num w:numId="41" w16cid:durableId="275523390">
    <w:abstractNumId w:val="49"/>
  </w:num>
  <w:num w:numId="42" w16cid:durableId="708535277">
    <w:abstractNumId w:val="51"/>
  </w:num>
  <w:num w:numId="43" w16cid:durableId="105929076">
    <w:abstractNumId w:val="52"/>
  </w:num>
  <w:num w:numId="44" w16cid:durableId="112020642">
    <w:abstractNumId w:val="54"/>
  </w:num>
  <w:num w:numId="45" w16cid:durableId="67118766">
    <w:abstractNumId w:val="55"/>
  </w:num>
  <w:num w:numId="46" w16cid:durableId="152836757">
    <w:abstractNumId w:val="57"/>
  </w:num>
  <w:num w:numId="47" w16cid:durableId="2100632927">
    <w:abstractNumId w:val="59"/>
  </w:num>
  <w:num w:numId="48" w16cid:durableId="582615554">
    <w:abstractNumId w:val="60"/>
  </w:num>
  <w:num w:numId="49" w16cid:durableId="610473899">
    <w:abstractNumId w:val="62"/>
  </w:num>
  <w:num w:numId="50" w16cid:durableId="1631865216">
    <w:abstractNumId w:val="63"/>
  </w:num>
  <w:num w:numId="51" w16cid:durableId="591819193">
    <w:abstractNumId w:val="21"/>
  </w:num>
  <w:num w:numId="52" w16cid:durableId="736318759">
    <w:abstractNumId w:val="43"/>
  </w:num>
  <w:num w:numId="53" w16cid:durableId="2018998600">
    <w:abstractNumId w:val="53"/>
  </w:num>
  <w:num w:numId="54" w16cid:durableId="466119518">
    <w:abstractNumId w:val="47"/>
  </w:num>
  <w:num w:numId="55" w16cid:durableId="784420597">
    <w:abstractNumId w:val="45"/>
  </w:num>
  <w:num w:numId="56" w16cid:durableId="421295071">
    <w:abstractNumId w:val="28"/>
  </w:num>
  <w:num w:numId="57" w16cid:durableId="1078140141">
    <w:abstractNumId w:val="26"/>
  </w:num>
  <w:num w:numId="58" w16cid:durableId="184752205">
    <w:abstractNumId w:val="38"/>
  </w:num>
  <w:num w:numId="59" w16cid:durableId="470563479">
    <w:abstractNumId w:val="3"/>
  </w:num>
  <w:num w:numId="60" w16cid:durableId="1500610499">
    <w:abstractNumId w:val="58"/>
  </w:num>
  <w:num w:numId="61" w16cid:durableId="1676768067">
    <w:abstractNumId w:val="20"/>
  </w:num>
  <w:num w:numId="62" w16cid:durableId="1988625860">
    <w:abstractNumId w:val="61"/>
  </w:num>
  <w:num w:numId="63" w16cid:durableId="861824566">
    <w:abstractNumId w:val="48"/>
  </w:num>
  <w:num w:numId="64" w16cid:durableId="913784260">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35BC"/>
    <w:rsid w:val="00025329"/>
    <w:rsid w:val="000337EF"/>
    <w:rsid w:val="00040C3A"/>
    <w:rsid w:val="000419AD"/>
    <w:rsid w:val="00042C72"/>
    <w:rsid w:val="000433C9"/>
    <w:rsid w:val="00071174"/>
    <w:rsid w:val="000716C5"/>
    <w:rsid w:val="00075E23"/>
    <w:rsid w:val="00082597"/>
    <w:rsid w:val="00082829"/>
    <w:rsid w:val="00092E0D"/>
    <w:rsid w:val="0009344A"/>
    <w:rsid w:val="000A00DB"/>
    <w:rsid w:val="000A1848"/>
    <w:rsid w:val="000A392E"/>
    <w:rsid w:val="000A575F"/>
    <w:rsid w:val="000B3A15"/>
    <w:rsid w:val="000D05CB"/>
    <w:rsid w:val="000D10DB"/>
    <w:rsid w:val="000E3E18"/>
    <w:rsid w:val="000E5EB5"/>
    <w:rsid w:val="000F11BC"/>
    <w:rsid w:val="000F35ED"/>
    <w:rsid w:val="00107131"/>
    <w:rsid w:val="0010736F"/>
    <w:rsid w:val="00113F73"/>
    <w:rsid w:val="00121CC2"/>
    <w:rsid w:val="00131425"/>
    <w:rsid w:val="00133EE5"/>
    <w:rsid w:val="001353CB"/>
    <w:rsid w:val="00156525"/>
    <w:rsid w:val="00167A34"/>
    <w:rsid w:val="00175F7E"/>
    <w:rsid w:val="001868BD"/>
    <w:rsid w:val="001A520D"/>
    <w:rsid w:val="001A7870"/>
    <w:rsid w:val="001B3A00"/>
    <w:rsid w:val="001C1B41"/>
    <w:rsid w:val="001D65EF"/>
    <w:rsid w:val="001E49E7"/>
    <w:rsid w:val="001E734E"/>
    <w:rsid w:val="001F426A"/>
    <w:rsid w:val="001F7201"/>
    <w:rsid w:val="00200565"/>
    <w:rsid w:val="00200804"/>
    <w:rsid w:val="00223A29"/>
    <w:rsid w:val="002250A3"/>
    <w:rsid w:val="002253F2"/>
    <w:rsid w:val="00235217"/>
    <w:rsid w:val="00243048"/>
    <w:rsid w:val="00246D1F"/>
    <w:rsid w:val="00247403"/>
    <w:rsid w:val="00247542"/>
    <w:rsid w:val="00263A8C"/>
    <w:rsid w:val="00266B61"/>
    <w:rsid w:val="0026712A"/>
    <w:rsid w:val="0026771F"/>
    <w:rsid w:val="002704DB"/>
    <w:rsid w:val="0028118A"/>
    <w:rsid w:val="002A0AAE"/>
    <w:rsid w:val="002A5820"/>
    <w:rsid w:val="002B290B"/>
    <w:rsid w:val="002D2B26"/>
    <w:rsid w:val="002D7EA2"/>
    <w:rsid w:val="002E187C"/>
    <w:rsid w:val="002F36DA"/>
    <w:rsid w:val="00302733"/>
    <w:rsid w:val="003031DF"/>
    <w:rsid w:val="00305835"/>
    <w:rsid w:val="00306F33"/>
    <w:rsid w:val="00314078"/>
    <w:rsid w:val="0031535D"/>
    <w:rsid w:val="003239B8"/>
    <w:rsid w:val="003306E5"/>
    <w:rsid w:val="0033169F"/>
    <w:rsid w:val="00344977"/>
    <w:rsid w:val="00346C95"/>
    <w:rsid w:val="00356185"/>
    <w:rsid w:val="00360380"/>
    <w:rsid w:val="00363A08"/>
    <w:rsid w:val="0037519E"/>
    <w:rsid w:val="00386CF0"/>
    <w:rsid w:val="003A7D5D"/>
    <w:rsid w:val="003B70FB"/>
    <w:rsid w:val="003C676B"/>
    <w:rsid w:val="003D3BC2"/>
    <w:rsid w:val="003D4581"/>
    <w:rsid w:val="003E6CA1"/>
    <w:rsid w:val="003F06C8"/>
    <w:rsid w:val="003F5154"/>
    <w:rsid w:val="003F76A3"/>
    <w:rsid w:val="00405F9C"/>
    <w:rsid w:val="004065A8"/>
    <w:rsid w:val="00412631"/>
    <w:rsid w:val="004165C2"/>
    <w:rsid w:val="00422A96"/>
    <w:rsid w:val="004241A0"/>
    <w:rsid w:val="004273B8"/>
    <w:rsid w:val="00441ECB"/>
    <w:rsid w:val="00445193"/>
    <w:rsid w:val="00462C1B"/>
    <w:rsid w:val="0046712F"/>
    <w:rsid w:val="0046754C"/>
    <w:rsid w:val="00467B7E"/>
    <w:rsid w:val="00473085"/>
    <w:rsid w:val="00473BB4"/>
    <w:rsid w:val="00473E1A"/>
    <w:rsid w:val="004759EA"/>
    <w:rsid w:val="00477592"/>
    <w:rsid w:val="00481EFE"/>
    <w:rsid w:val="0048510C"/>
    <w:rsid w:val="00486F1C"/>
    <w:rsid w:val="0049419D"/>
    <w:rsid w:val="004A057B"/>
    <w:rsid w:val="004A6A54"/>
    <w:rsid w:val="004B421C"/>
    <w:rsid w:val="004C20D2"/>
    <w:rsid w:val="004C2312"/>
    <w:rsid w:val="004C2FC4"/>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31BE4"/>
    <w:rsid w:val="00531D7E"/>
    <w:rsid w:val="00541E7B"/>
    <w:rsid w:val="00544C49"/>
    <w:rsid w:val="00544F91"/>
    <w:rsid w:val="005516A1"/>
    <w:rsid w:val="0055244C"/>
    <w:rsid w:val="005559EF"/>
    <w:rsid w:val="00556AB2"/>
    <w:rsid w:val="00563557"/>
    <w:rsid w:val="0057402A"/>
    <w:rsid w:val="005771D0"/>
    <w:rsid w:val="0059191A"/>
    <w:rsid w:val="005921FF"/>
    <w:rsid w:val="005A24ED"/>
    <w:rsid w:val="005A6D0E"/>
    <w:rsid w:val="005B1884"/>
    <w:rsid w:val="005B52B0"/>
    <w:rsid w:val="005B6806"/>
    <w:rsid w:val="005C4225"/>
    <w:rsid w:val="005C6069"/>
    <w:rsid w:val="005C6331"/>
    <w:rsid w:val="005D330F"/>
    <w:rsid w:val="005F05F0"/>
    <w:rsid w:val="005F0DAD"/>
    <w:rsid w:val="005F0F33"/>
    <w:rsid w:val="005F6987"/>
    <w:rsid w:val="00600DEB"/>
    <w:rsid w:val="006232DA"/>
    <w:rsid w:val="00627C9F"/>
    <w:rsid w:val="00630ED4"/>
    <w:rsid w:val="006311E9"/>
    <w:rsid w:val="00632354"/>
    <w:rsid w:val="00635421"/>
    <w:rsid w:val="00642810"/>
    <w:rsid w:val="00652333"/>
    <w:rsid w:val="006715BD"/>
    <w:rsid w:val="0068009E"/>
    <w:rsid w:val="0068326F"/>
    <w:rsid w:val="00690AD2"/>
    <w:rsid w:val="00692219"/>
    <w:rsid w:val="006A17D2"/>
    <w:rsid w:val="006A73E6"/>
    <w:rsid w:val="006B2D5C"/>
    <w:rsid w:val="006C0ECF"/>
    <w:rsid w:val="006C2689"/>
    <w:rsid w:val="006C4EB1"/>
    <w:rsid w:val="006D3F31"/>
    <w:rsid w:val="006E0166"/>
    <w:rsid w:val="006E2FFB"/>
    <w:rsid w:val="006E56E5"/>
    <w:rsid w:val="006E7B34"/>
    <w:rsid w:val="0070697F"/>
    <w:rsid w:val="007103C4"/>
    <w:rsid w:val="0072199C"/>
    <w:rsid w:val="00722C9F"/>
    <w:rsid w:val="007253B8"/>
    <w:rsid w:val="007265E1"/>
    <w:rsid w:val="00731ABA"/>
    <w:rsid w:val="0073592E"/>
    <w:rsid w:val="00736356"/>
    <w:rsid w:val="0073741F"/>
    <w:rsid w:val="0076643F"/>
    <w:rsid w:val="00777F63"/>
    <w:rsid w:val="00781577"/>
    <w:rsid w:val="007A5817"/>
    <w:rsid w:val="007B05C4"/>
    <w:rsid w:val="007B60E9"/>
    <w:rsid w:val="007B6CC3"/>
    <w:rsid w:val="007B76D3"/>
    <w:rsid w:val="007C3334"/>
    <w:rsid w:val="007D2B98"/>
    <w:rsid w:val="007E21BC"/>
    <w:rsid w:val="007E7C82"/>
    <w:rsid w:val="007F2AA1"/>
    <w:rsid w:val="007F588D"/>
    <w:rsid w:val="00800C52"/>
    <w:rsid w:val="00803F1C"/>
    <w:rsid w:val="0080600E"/>
    <w:rsid w:val="00810648"/>
    <w:rsid w:val="00814688"/>
    <w:rsid w:val="008155B2"/>
    <w:rsid w:val="00817612"/>
    <w:rsid w:val="008338A4"/>
    <w:rsid w:val="008338CF"/>
    <w:rsid w:val="00834D49"/>
    <w:rsid w:val="00837C45"/>
    <w:rsid w:val="00844730"/>
    <w:rsid w:val="008457C2"/>
    <w:rsid w:val="00857A82"/>
    <w:rsid w:val="008639E2"/>
    <w:rsid w:val="00873836"/>
    <w:rsid w:val="00874C4A"/>
    <w:rsid w:val="00885737"/>
    <w:rsid w:val="00890650"/>
    <w:rsid w:val="008944DC"/>
    <w:rsid w:val="00897E12"/>
    <w:rsid w:val="008A7E0F"/>
    <w:rsid w:val="008B12F5"/>
    <w:rsid w:val="008B132F"/>
    <w:rsid w:val="008C1355"/>
    <w:rsid w:val="008C5E2D"/>
    <w:rsid w:val="008D283F"/>
    <w:rsid w:val="008D768D"/>
    <w:rsid w:val="008E3759"/>
    <w:rsid w:val="008E3BFE"/>
    <w:rsid w:val="008F1912"/>
    <w:rsid w:val="0090270B"/>
    <w:rsid w:val="009041DC"/>
    <w:rsid w:val="009042E7"/>
    <w:rsid w:val="00917B5A"/>
    <w:rsid w:val="00920A58"/>
    <w:rsid w:val="00920A8C"/>
    <w:rsid w:val="0093172E"/>
    <w:rsid w:val="00934A2C"/>
    <w:rsid w:val="009377DD"/>
    <w:rsid w:val="00944F4B"/>
    <w:rsid w:val="00952CAF"/>
    <w:rsid w:val="0096706E"/>
    <w:rsid w:val="009727B8"/>
    <w:rsid w:val="00972D39"/>
    <w:rsid w:val="00974491"/>
    <w:rsid w:val="00975C4E"/>
    <w:rsid w:val="00981FBA"/>
    <w:rsid w:val="00992982"/>
    <w:rsid w:val="00996C50"/>
    <w:rsid w:val="009977D4"/>
    <w:rsid w:val="00997BC5"/>
    <w:rsid w:val="009A4F41"/>
    <w:rsid w:val="009B381B"/>
    <w:rsid w:val="009B7154"/>
    <w:rsid w:val="009D0403"/>
    <w:rsid w:val="009D1753"/>
    <w:rsid w:val="009D7611"/>
    <w:rsid w:val="009E0B61"/>
    <w:rsid w:val="009E3F7A"/>
    <w:rsid w:val="009E53DE"/>
    <w:rsid w:val="009F5C4B"/>
    <w:rsid w:val="00A03B25"/>
    <w:rsid w:val="00A11212"/>
    <w:rsid w:val="00A11E44"/>
    <w:rsid w:val="00A30100"/>
    <w:rsid w:val="00A328B3"/>
    <w:rsid w:val="00A35C35"/>
    <w:rsid w:val="00A42094"/>
    <w:rsid w:val="00A50FCF"/>
    <w:rsid w:val="00A528D1"/>
    <w:rsid w:val="00A610CD"/>
    <w:rsid w:val="00A6289F"/>
    <w:rsid w:val="00A67C1A"/>
    <w:rsid w:val="00A758AA"/>
    <w:rsid w:val="00A92C3A"/>
    <w:rsid w:val="00A95AC7"/>
    <w:rsid w:val="00AA09A2"/>
    <w:rsid w:val="00AA3127"/>
    <w:rsid w:val="00AA7996"/>
    <w:rsid w:val="00AC19CB"/>
    <w:rsid w:val="00AC4CC2"/>
    <w:rsid w:val="00AC7C38"/>
    <w:rsid w:val="00AE5488"/>
    <w:rsid w:val="00AE6F91"/>
    <w:rsid w:val="00AE7408"/>
    <w:rsid w:val="00AE755A"/>
    <w:rsid w:val="00AF5571"/>
    <w:rsid w:val="00B07341"/>
    <w:rsid w:val="00B10B91"/>
    <w:rsid w:val="00B15A68"/>
    <w:rsid w:val="00B30539"/>
    <w:rsid w:val="00B314DB"/>
    <w:rsid w:val="00B361F2"/>
    <w:rsid w:val="00B3718B"/>
    <w:rsid w:val="00B3745F"/>
    <w:rsid w:val="00B4632A"/>
    <w:rsid w:val="00B530F1"/>
    <w:rsid w:val="00B856AD"/>
    <w:rsid w:val="00B93D7F"/>
    <w:rsid w:val="00B94EBE"/>
    <w:rsid w:val="00B955B1"/>
    <w:rsid w:val="00BA276C"/>
    <w:rsid w:val="00BB019D"/>
    <w:rsid w:val="00BB306F"/>
    <w:rsid w:val="00BC5DD0"/>
    <w:rsid w:val="00BD021C"/>
    <w:rsid w:val="00BD0FF5"/>
    <w:rsid w:val="00BD4B89"/>
    <w:rsid w:val="00BD5922"/>
    <w:rsid w:val="00BE5D59"/>
    <w:rsid w:val="00BF02CB"/>
    <w:rsid w:val="00BF6FD8"/>
    <w:rsid w:val="00C0356F"/>
    <w:rsid w:val="00C03680"/>
    <w:rsid w:val="00C05475"/>
    <w:rsid w:val="00C054DF"/>
    <w:rsid w:val="00C070B8"/>
    <w:rsid w:val="00C1771A"/>
    <w:rsid w:val="00C20CBB"/>
    <w:rsid w:val="00C21762"/>
    <w:rsid w:val="00C21FEF"/>
    <w:rsid w:val="00C23BA4"/>
    <w:rsid w:val="00C24543"/>
    <w:rsid w:val="00C256A2"/>
    <w:rsid w:val="00C25ADB"/>
    <w:rsid w:val="00C51515"/>
    <w:rsid w:val="00C5660B"/>
    <w:rsid w:val="00C66B72"/>
    <w:rsid w:val="00C8419E"/>
    <w:rsid w:val="00C87AC4"/>
    <w:rsid w:val="00C9567A"/>
    <w:rsid w:val="00CA1C82"/>
    <w:rsid w:val="00CA7A38"/>
    <w:rsid w:val="00CB212D"/>
    <w:rsid w:val="00CB2660"/>
    <w:rsid w:val="00CC5E90"/>
    <w:rsid w:val="00CD046C"/>
    <w:rsid w:val="00CE076C"/>
    <w:rsid w:val="00CE5199"/>
    <w:rsid w:val="00CE66D5"/>
    <w:rsid w:val="00CF637A"/>
    <w:rsid w:val="00D059DE"/>
    <w:rsid w:val="00D05ABD"/>
    <w:rsid w:val="00D112F0"/>
    <w:rsid w:val="00D13FCE"/>
    <w:rsid w:val="00D306D1"/>
    <w:rsid w:val="00D30800"/>
    <w:rsid w:val="00D3304C"/>
    <w:rsid w:val="00D34786"/>
    <w:rsid w:val="00D35FA5"/>
    <w:rsid w:val="00D37BFC"/>
    <w:rsid w:val="00D40467"/>
    <w:rsid w:val="00D46E21"/>
    <w:rsid w:val="00D47A8E"/>
    <w:rsid w:val="00D52D14"/>
    <w:rsid w:val="00D53213"/>
    <w:rsid w:val="00D57877"/>
    <w:rsid w:val="00D6036E"/>
    <w:rsid w:val="00D712D3"/>
    <w:rsid w:val="00D71422"/>
    <w:rsid w:val="00D72DC6"/>
    <w:rsid w:val="00D7558D"/>
    <w:rsid w:val="00D81D92"/>
    <w:rsid w:val="00D876F9"/>
    <w:rsid w:val="00D938E5"/>
    <w:rsid w:val="00DA7B5F"/>
    <w:rsid w:val="00DB6539"/>
    <w:rsid w:val="00DC11E7"/>
    <w:rsid w:val="00DC24E3"/>
    <w:rsid w:val="00DC7023"/>
    <w:rsid w:val="00DC769A"/>
    <w:rsid w:val="00DD309B"/>
    <w:rsid w:val="00DD3D86"/>
    <w:rsid w:val="00DD4AD2"/>
    <w:rsid w:val="00DE2862"/>
    <w:rsid w:val="00DF1EC4"/>
    <w:rsid w:val="00E0340B"/>
    <w:rsid w:val="00E04A90"/>
    <w:rsid w:val="00E0551F"/>
    <w:rsid w:val="00E219C7"/>
    <w:rsid w:val="00E3525A"/>
    <w:rsid w:val="00E4118C"/>
    <w:rsid w:val="00E43157"/>
    <w:rsid w:val="00E461CE"/>
    <w:rsid w:val="00E573E4"/>
    <w:rsid w:val="00E64C3D"/>
    <w:rsid w:val="00E720CA"/>
    <w:rsid w:val="00E84EB5"/>
    <w:rsid w:val="00E85662"/>
    <w:rsid w:val="00E8789F"/>
    <w:rsid w:val="00E93C88"/>
    <w:rsid w:val="00E97B71"/>
    <w:rsid w:val="00EA3D34"/>
    <w:rsid w:val="00EB454D"/>
    <w:rsid w:val="00EC1C55"/>
    <w:rsid w:val="00EC2706"/>
    <w:rsid w:val="00ED0D64"/>
    <w:rsid w:val="00ED549D"/>
    <w:rsid w:val="00ED5E10"/>
    <w:rsid w:val="00ED76BE"/>
    <w:rsid w:val="00EE00E9"/>
    <w:rsid w:val="00EE0636"/>
    <w:rsid w:val="00EF1AAA"/>
    <w:rsid w:val="00EF619B"/>
    <w:rsid w:val="00F00B55"/>
    <w:rsid w:val="00F02AD1"/>
    <w:rsid w:val="00F253CC"/>
    <w:rsid w:val="00F253E2"/>
    <w:rsid w:val="00F37106"/>
    <w:rsid w:val="00F44E25"/>
    <w:rsid w:val="00F45DAA"/>
    <w:rsid w:val="00F519CF"/>
    <w:rsid w:val="00F51E99"/>
    <w:rsid w:val="00F54FA1"/>
    <w:rsid w:val="00F56BA5"/>
    <w:rsid w:val="00F60E22"/>
    <w:rsid w:val="00F81395"/>
    <w:rsid w:val="00F81BB8"/>
    <w:rsid w:val="00F842E3"/>
    <w:rsid w:val="00F90C64"/>
    <w:rsid w:val="00F917D1"/>
    <w:rsid w:val="00F937D6"/>
    <w:rsid w:val="00F9653B"/>
    <w:rsid w:val="00FB62CF"/>
    <w:rsid w:val="00FB7F98"/>
    <w:rsid w:val="00FD3C3B"/>
    <w:rsid w:val="00FD5759"/>
    <w:rsid w:val="00FE07DD"/>
    <w:rsid w:val="00FE2CD9"/>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5D330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D46E21"/>
    <w:rPr>
      <w:color w:val="605E5C"/>
      <w:shd w:val="clear" w:color="auto" w:fill="E1DFDD"/>
    </w:rPr>
  </w:style>
  <w:style w:type="character" w:styleId="CommentReference">
    <w:name w:val="annotation reference"/>
    <w:basedOn w:val="DefaultParagraphFont"/>
    <w:uiPriority w:val="99"/>
    <w:semiHidden/>
    <w:unhideWhenUsed/>
    <w:rsid w:val="00AE7408"/>
    <w:rPr>
      <w:sz w:val="16"/>
      <w:szCs w:val="16"/>
    </w:rPr>
  </w:style>
  <w:style w:type="paragraph" w:styleId="CommentText">
    <w:name w:val="annotation text"/>
    <w:basedOn w:val="Normal"/>
    <w:link w:val="CommentTextChar"/>
    <w:uiPriority w:val="99"/>
    <w:unhideWhenUsed/>
    <w:rsid w:val="00AE7408"/>
    <w:rPr>
      <w:sz w:val="20"/>
      <w:szCs w:val="20"/>
    </w:rPr>
  </w:style>
  <w:style w:type="character" w:customStyle="1" w:styleId="CommentTextChar">
    <w:name w:val="Comment Text Char"/>
    <w:basedOn w:val="DefaultParagraphFont"/>
    <w:link w:val="CommentText"/>
    <w:uiPriority w:val="99"/>
    <w:rsid w:val="00AE7408"/>
    <w:rPr>
      <w:lang w:val="en-US" w:eastAsia="en-US"/>
    </w:rPr>
  </w:style>
  <w:style w:type="paragraph" w:styleId="CommentSubject">
    <w:name w:val="annotation subject"/>
    <w:basedOn w:val="CommentText"/>
    <w:next w:val="CommentText"/>
    <w:link w:val="CommentSubjectChar"/>
    <w:uiPriority w:val="99"/>
    <w:semiHidden/>
    <w:unhideWhenUsed/>
    <w:rsid w:val="00AE7408"/>
    <w:rPr>
      <w:b/>
      <w:bCs/>
    </w:rPr>
  </w:style>
  <w:style w:type="character" w:customStyle="1" w:styleId="CommentSubjectChar">
    <w:name w:val="Comment Subject Char"/>
    <w:basedOn w:val="CommentTextChar"/>
    <w:link w:val="CommentSubject"/>
    <w:uiPriority w:val="99"/>
    <w:semiHidden/>
    <w:rsid w:val="00AE7408"/>
    <w:rPr>
      <w:b/>
      <w:bCs/>
      <w:lang w:val="en-US" w:eastAsia="en-US"/>
    </w:rPr>
  </w:style>
  <w:style w:type="paragraph" w:customStyle="1" w:styleId="paragraph">
    <w:name w:val="paragraph"/>
    <w:basedOn w:val="Normal"/>
    <w:rsid w:val="005B18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5B1884"/>
  </w:style>
  <w:style w:type="character" w:customStyle="1" w:styleId="eop">
    <w:name w:val="eop"/>
    <w:basedOn w:val="DefaultParagraphFont"/>
    <w:rsid w:val="005B1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65378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C5453"/>
    <w:rsid w:val="00200821"/>
    <w:rsid w:val="0025245B"/>
    <w:rsid w:val="0028168E"/>
    <w:rsid w:val="002A3923"/>
    <w:rsid w:val="002A4C5F"/>
    <w:rsid w:val="002F6358"/>
    <w:rsid w:val="00302CFF"/>
    <w:rsid w:val="003151E1"/>
    <w:rsid w:val="00371E2C"/>
    <w:rsid w:val="00394049"/>
    <w:rsid w:val="003B0C71"/>
    <w:rsid w:val="0046526A"/>
    <w:rsid w:val="004B5BBB"/>
    <w:rsid w:val="004F2DF8"/>
    <w:rsid w:val="00517E2A"/>
    <w:rsid w:val="00553D4D"/>
    <w:rsid w:val="006F24A1"/>
    <w:rsid w:val="00875B8A"/>
    <w:rsid w:val="008E05EB"/>
    <w:rsid w:val="009A261B"/>
    <w:rsid w:val="00A9783C"/>
    <w:rsid w:val="00AA2E17"/>
    <w:rsid w:val="00AC15A4"/>
    <w:rsid w:val="00AC245B"/>
    <w:rsid w:val="00B0336C"/>
    <w:rsid w:val="00B2566B"/>
    <w:rsid w:val="00B51C9F"/>
    <w:rsid w:val="00D241E9"/>
    <w:rsid w:val="00D72080"/>
    <w:rsid w:val="00D7750D"/>
    <w:rsid w:val="00DD6B69"/>
    <w:rsid w:val="00ED5856"/>
    <w:rsid w:val="00F00D2F"/>
    <w:rsid w:val="00F128DF"/>
    <w:rsid w:val="00FC04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2611</Words>
  <Characters>14887</Characters>
  <Application>Microsoft Office Word</Application>
  <DocSecurity>0</DocSecurity>
  <Lines>124</Lines>
  <Paragraphs>34</Paragraphs>
  <ScaleCrop>false</ScaleCrop>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2024-01-02T20:09:00Z</dcterms:created>
  <dcterms:modified xsi:type="dcterms:W3CDTF">2024-01-02T20:09:00Z</dcterms:modified>
</cp:coreProperties>
</file>