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3108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6FFF76C5" w:rsidR="00040C3A" w:rsidRPr="0090270B" w:rsidRDefault="00885DE4" w:rsidP="00040C3A">
      <w:pPr>
        <w:tabs>
          <w:tab w:val="center" w:pos="5400"/>
        </w:tabs>
        <w:suppressAutoHyphens/>
        <w:jc w:val="both"/>
        <w:rPr>
          <w:rFonts w:asciiTheme="majorHAnsi" w:hAnsiTheme="majorHAnsi"/>
          <w:sz w:val="22"/>
          <w:szCs w:val="22"/>
          <w:lang w:val="es-ES"/>
        </w:rPr>
      </w:pPr>
      <w:r>
        <w:rPr>
          <w:rFonts w:asciiTheme="majorHAnsi" w:hAnsiTheme="majorHAnsi"/>
          <w:sz w:val="22"/>
          <w:szCs w:val="22"/>
          <w:lang w:val="es-ES"/>
        </w:rPr>
        <w:t>0</w:t>
      </w: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F491D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A4D83">
                              <w:rPr>
                                <w:rFonts w:asciiTheme="majorHAnsi" w:hAnsiTheme="majorHAnsi" w:cs="Arial"/>
                                <w:b/>
                                <w:bCs/>
                                <w:color w:val="0D0D0D" w:themeColor="text1" w:themeTint="F2"/>
                                <w:sz w:val="36"/>
                                <w:szCs w:val="22"/>
                                <w:lang w:val="es-ES_tradnl"/>
                              </w:rPr>
                              <w:t>129</w:t>
                            </w:r>
                            <w:r w:rsidR="007B05C4">
                              <w:rPr>
                                <w:rFonts w:asciiTheme="majorHAnsi" w:hAnsiTheme="majorHAnsi" w:cs="Arial"/>
                                <w:b/>
                                <w:bCs/>
                                <w:color w:val="0D0D0D" w:themeColor="text1" w:themeTint="F2"/>
                                <w:sz w:val="36"/>
                                <w:szCs w:val="22"/>
                                <w:lang w:val="es-ES_tradnl"/>
                              </w:rPr>
                              <w:t>/</w:t>
                            </w:r>
                            <w:r w:rsidR="003747C6">
                              <w:rPr>
                                <w:rFonts w:asciiTheme="majorHAnsi" w:hAnsiTheme="majorHAnsi" w:cs="Arial"/>
                                <w:b/>
                                <w:bCs/>
                                <w:color w:val="0D0D0D" w:themeColor="text1" w:themeTint="F2"/>
                                <w:sz w:val="36"/>
                                <w:szCs w:val="22"/>
                                <w:lang w:val="es-ES_tradnl"/>
                              </w:rPr>
                              <w:t>2</w:t>
                            </w:r>
                            <w:r w:rsidR="00AE34C0">
                              <w:rPr>
                                <w:rFonts w:asciiTheme="majorHAnsi" w:hAnsiTheme="majorHAnsi" w:cs="Arial"/>
                                <w:b/>
                                <w:bCs/>
                                <w:color w:val="0D0D0D" w:themeColor="text1" w:themeTint="F2"/>
                                <w:sz w:val="36"/>
                                <w:szCs w:val="22"/>
                                <w:lang w:val="es-ES_tradnl"/>
                              </w:rPr>
                              <w:t>2</w:t>
                            </w:r>
                          </w:p>
                          <w:p w14:paraId="09C54AB3" w14:textId="7C5C971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227143">
                              <w:rPr>
                                <w:rFonts w:asciiTheme="majorHAnsi" w:hAnsiTheme="majorHAnsi" w:cs="Arial"/>
                                <w:b/>
                                <w:color w:val="0D0D0D" w:themeColor="text1" w:themeTint="F2"/>
                                <w:sz w:val="36"/>
                                <w:szCs w:val="22"/>
                                <w:lang w:val="es-ES_tradnl"/>
                              </w:rPr>
                              <w:t>O</w:t>
                            </w:r>
                            <w:r w:rsidRPr="004E2649">
                              <w:rPr>
                                <w:rFonts w:asciiTheme="majorHAnsi" w:hAnsiTheme="majorHAnsi" w:cs="Arial"/>
                                <w:b/>
                                <w:color w:val="0D0D0D" w:themeColor="text1" w:themeTint="F2"/>
                                <w:sz w:val="36"/>
                                <w:szCs w:val="22"/>
                                <w:lang w:val="es-ES_tradnl"/>
                              </w:rPr>
                              <w:t>N</w:t>
                            </w:r>
                            <w:r w:rsidR="00227143">
                              <w:rPr>
                                <w:rFonts w:asciiTheme="majorHAnsi" w:hAnsiTheme="majorHAnsi" w:cs="Arial"/>
                                <w:b/>
                                <w:color w:val="0D0D0D" w:themeColor="text1" w:themeTint="F2"/>
                                <w:sz w:val="36"/>
                                <w:szCs w:val="22"/>
                                <w:lang w:val="es-ES_tradnl"/>
                              </w:rPr>
                              <w:t>ES</w:t>
                            </w:r>
                            <w:r w:rsidRPr="004E2649">
                              <w:rPr>
                                <w:rFonts w:asciiTheme="majorHAnsi" w:hAnsiTheme="majorHAnsi" w:cs="Arial"/>
                                <w:b/>
                                <w:color w:val="0D0D0D" w:themeColor="text1" w:themeTint="F2"/>
                                <w:sz w:val="36"/>
                                <w:szCs w:val="22"/>
                                <w:lang w:val="es-ES_tradnl"/>
                              </w:rPr>
                              <w:t xml:space="preserve"> </w:t>
                            </w:r>
                            <w:r w:rsidR="003747C6">
                              <w:rPr>
                                <w:rFonts w:asciiTheme="majorHAnsi" w:hAnsiTheme="majorHAnsi" w:cs="Arial"/>
                                <w:b/>
                                <w:color w:val="0D0D0D" w:themeColor="text1" w:themeTint="F2"/>
                                <w:sz w:val="36"/>
                                <w:szCs w:val="22"/>
                                <w:lang w:val="es-ES_tradnl"/>
                              </w:rPr>
                              <w:t>2</w:t>
                            </w:r>
                            <w:r w:rsidR="00E21760">
                              <w:rPr>
                                <w:rFonts w:asciiTheme="majorHAnsi" w:hAnsiTheme="majorHAnsi" w:cs="Arial"/>
                                <w:b/>
                                <w:color w:val="0D0D0D" w:themeColor="text1" w:themeTint="F2"/>
                                <w:sz w:val="36"/>
                                <w:szCs w:val="22"/>
                                <w:lang w:val="es-ES_tradnl"/>
                              </w:rPr>
                              <w:t>3</w:t>
                            </w:r>
                            <w:r w:rsidR="003747C6">
                              <w:rPr>
                                <w:rFonts w:asciiTheme="majorHAnsi" w:hAnsiTheme="majorHAnsi" w:cs="Arial"/>
                                <w:b/>
                                <w:color w:val="0D0D0D" w:themeColor="text1" w:themeTint="F2"/>
                                <w:sz w:val="36"/>
                                <w:szCs w:val="22"/>
                                <w:lang w:val="es-ES_tradnl"/>
                              </w:rPr>
                              <w:t>-1</w:t>
                            </w:r>
                            <w:r w:rsidR="00E21760">
                              <w:rPr>
                                <w:rFonts w:asciiTheme="majorHAnsi" w:hAnsiTheme="majorHAnsi" w:cs="Arial"/>
                                <w:b/>
                                <w:color w:val="0D0D0D" w:themeColor="text1" w:themeTint="F2"/>
                                <w:sz w:val="36"/>
                                <w:szCs w:val="22"/>
                                <w:lang w:val="es-ES_tradnl"/>
                              </w:rPr>
                              <w:t>1</w:t>
                            </w:r>
                            <w:r w:rsidR="00227143">
                              <w:rPr>
                                <w:rFonts w:asciiTheme="majorHAnsi" w:hAnsiTheme="majorHAnsi" w:cs="Arial"/>
                                <w:b/>
                                <w:color w:val="0D0D0D" w:themeColor="text1" w:themeTint="F2"/>
                                <w:sz w:val="36"/>
                                <w:szCs w:val="22"/>
                                <w:lang w:val="es-ES_tradnl"/>
                              </w:rPr>
                              <w:t xml:space="preserve">, 53-11 </w:t>
                            </w:r>
                            <w:r w:rsidR="00180B89">
                              <w:rPr>
                                <w:rFonts w:asciiTheme="majorHAnsi" w:hAnsiTheme="majorHAnsi" w:cs="Arial"/>
                                <w:b/>
                                <w:color w:val="0D0D0D" w:themeColor="text1" w:themeTint="F2"/>
                                <w:sz w:val="36"/>
                                <w:szCs w:val="22"/>
                                <w:lang w:val="es-ES_tradnl"/>
                              </w:rPr>
                              <w:t>y</w:t>
                            </w:r>
                            <w:r w:rsidR="00227143">
                              <w:rPr>
                                <w:rFonts w:asciiTheme="majorHAnsi" w:hAnsiTheme="majorHAnsi" w:cs="Arial"/>
                                <w:b/>
                                <w:color w:val="0D0D0D" w:themeColor="text1" w:themeTint="F2"/>
                                <w:sz w:val="36"/>
                                <w:szCs w:val="22"/>
                                <w:lang w:val="es-ES_tradnl"/>
                              </w:rPr>
                              <w:t xml:space="preserve"> 575-13</w:t>
                            </w:r>
                            <w:r w:rsidR="00246D1F" w:rsidRPr="004E2649">
                              <w:rPr>
                                <w:rFonts w:asciiTheme="majorHAnsi" w:hAnsiTheme="majorHAnsi" w:cs="Arial"/>
                                <w:b/>
                                <w:color w:val="0D0D0D" w:themeColor="text1" w:themeTint="F2"/>
                                <w:sz w:val="36"/>
                                <w:szCs w:val="22"/>
                                <w:lang w:val="es-ES_tradnl"/>
                              </w:rPr>
                              <w:t xml:space="preserve"> </w:t>
                            </w:r>
                          </w:p>
                          <w:p w14:paraId="70CF6833" w14:textId="330A4B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FC43C4D" w:rsidR="005B52B0" w:rsidRPr="0010736F" w:rsidRDefault="003747C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w:t>
                            </w:r>
                            <w:r w:rsidR="00E21760">
                              <w:rPr>
                                <w:rFonts w:asciiTheme="majorHAnsi" w:hAnsiTheme="majorHAnsi" w:cs="Arial"/>
                                <w:color w:val="0D0D0D" w:themeColor="text1" w:themeTint="F2"/>
                                <w:szCs w:val="22"/>
                                <w:lang w:val="es-ES_tradnl"/>
                              </w:rPr>
                              <w:t>IANNA BELALBA Y OTROS</w:t>
                            </w:r>
                          </w:p>
                          <w:bookmarkEnd w:id="0"/>
                          <w:p w14:paraId="35068D0D" w14:textId="184D810D" w:rsidR="005B52B0" w:rsidRPr="0010736F" w:rsidRDefault="003747C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F491D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A4D83">
                        <w:rPr>
                          <w:rFonts w:asciiTheme="majorHAnsi" w:hAnsiTheme="majorHAnsi" w:cs="Arial"/>
                          <w:b/>
                          <w:bCs/>
                          <w:color w:val="0D0D0D" w:themeColor="text1" w:themeTint="F2"/>
                          <w:sz w:val="36"/>
                          <w:szCs w:val="22"/>
                          <w:lang w:val="es-ES_tradnl"/>
                        </w:rPr>
                        <w:t>129</w:t>
                      </w:r>
                      <w:r w:rsidR="007B05C4">
                        <w:rPr>
                          <w:rFonts w:asciiTheme="majorHAnsi" w:hAnsiTheme="majorHAnsi" w:cs="Arial"/>
                          <w:b/>
                          <w:bCs/>
                          <w:color w:val="0D0D0D" w:themeColor="text1" w:themeTint="F2"/>
                          <w:sz w:val="36"/>
                          <w:szCs w:val="22"/>
                          <w:lang w:val="es-ES_tradnl"/>
                        </w:rPr>
                        <w:t>/</w:t>
                      </w:r>
                      <w:r w:rsidR="003747C6">
                        <w:rPr>
                          <w:rFonts w:asciiTheme="majorHAnsi" w:hAnsiTheme="majorHAnsi" w:cs="Arial"/>
                          <w:b/>
                          <w:bCs/>
                          <w:color w:val="0D0D0D" w:themeColor="text1" w:themeTint="F2"/>
                          <w:sz w:val="36"/>
                          <w:szCs w:val="22"/>
                          <w:lang w:val="es-ES_tradnl"/>
                        </w:rPr>
                        <w:t>2</w:t>
                      </w:r>
                      <w:r w:rsidR="00AE34C0">
                        <w:rPr>
                          <w:rFonts w:asciiTheme="majorHAnsi" w:hAnsiTheme="majorHAnsi" w:cs="Arial"/>
                          <w:b/>
                          <w:bCs/>
                          <w:color w:val="0D0D0D" w:themeColor="text1" w:themeTint="F2"/>
                          <w:sz w:val="36"/>
                          <w:szCs w:val="22"/>
                          <w:lang w:val="es-ES_tradnl"/>
                        </w:rPr>
                        <w:t>2</w:t>
                      </w:r>
                    </w:p>
                    <w:p w14:paraId="09C54AB3" w14:textId="7C5C971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227143">
                        <w:rPr>
                          <w:rFonts w:asciiTheme="majorHAnsi" w:hAnsiTheme="majorHAnsi" w:cs="Arial"/>
                          <w:b/>
                          <w:color w:val="0D0D0D" w:themeColor="text1" w:themeTint="F2"/>
                          <w:sz w:val="36"/>
                          <w:szCs w:val="22"/>
                          <w:lang w:val="es-ES_tradnl"/>
                        </w:rPr>
                        <w:t>O</w:t>
                      </w:r>
                      <w:r w:rsidRPr="004E2649">
                        <w:rPr>
                          <w:rFonts w:asciiTheme="majorHAnsi" w:hAnsiTheme="majorHAnsi" w:cs="Arial"/>
                          <w:b/>
                          <w:color w:val="0D0D0D" w:themeColor="text1" w:themeTint="F2"/>
                          <w:sz w:val="36"/>
                          <w:szCs w:val="22"/>
                          <w:lang w:val="es-ES_tradnl"/>
                        </w:rPr>
                        <w:t>N</w:t>
                      </w:r>
                      <w:r w:rsidR="00227143">
                        <w:rPr>
                          <w:rFonts w:asciiTheme="majorHAnsi" w:hAnsiTheme="majorHAnsi" w:cs="Arial"/>
                          <w:b/>
                          <w:color w:val="0D0D0D" w:themeColor="text1" w:themeTint="F2"/>
                          <w:sz w:val="36"/>
                          <w:szCs w:val="22"/>
                          <w:lang w:val="es-ES_tradnl"/>
                        </w:rPr>
                        <w:t>ES</w:t>
                      </w:r>
                      <w:r w:rsidRPr="004E2649">
                        <w:rPr>
                          <w:rFonts w:asciiTheme="majorHAnsi" w:hAnsiTheme="majorHAnsi" w:cs="Arial"/>
                          <w:b/>
                          <w:color w:val="0D0D0D" w:themeColor="text1" w:themeTint="F2"/>
                          <w:sz w:val="36"/>
                          <w:szCs w:val="22"/>
                          <w:lang w:val="es-ES_tradnl"/>
                        </w:rPr>
                        <w:t xml:space="preserve"> </w:t>
                      </w:r>
                      <w:r w:rsidR="003747C6">
                        <w:rPr>
                          <w:rFonts w:asciiTheme="majorHAnsi" w:hAnsiTheme="majorHAnsi" w:cs="Arial"/>
                          <w:b/>
                          <w:color w:val="0D0D0D" w:themeColor="text1" w:themeTint="F2"/>
                          <w:sz w:val="36"/>
                          <w:szCs w:val="22"/>
                          <w:lang w:val="es-ES_tradnl"/>
                        </w:rPr>
                        <w:t>2</w:t>
                      </w:r>
                      <w:r w:rsidR="00E21760">
                        <w:rPr>
                          <w:rFonts w:asciiTheme="majorHAnsi" w:hAnsiTheme="majorHAnsi" w:cs="Arial"/>
                          <w:b/>
                          <w:color w:val="0D0D0D" w:themeColor="text1" w:themeTint="F2"/>
                          <w:sz w:val="36"/>
                          <w:szCs w:val="22"/>
                          <w:lang w:val="es-ES_tradnl"/>
                        </w:rPr>
                        <w:t>3</w:t>
                      </w:r>
                      <w:r w:rsidR="003747C6">
                        <w:rPr>
                          <w:rFonts w:asciiTheme="majorHAnsi" w:hAnsiTheme="majorHAnsi" w:cs="Arial"/>
                          <w:b/>
                          <w:color w:val="0D0D0D" w:themeColor="text1" w:themeTint="F2"/>
                          <w:sz w:val="36"/>
                          <w:szCs w:val="22"/>
                          <w:lang w:val="es-ES_tradnl"/>
                        </w:rPr>
                        <w:t>-1</w:t>
                      </w:r>
                      <w:r w:rsidR="00E21760">
                        <w:rPr>
                          <w:rFonts w:asciiTheme="majorHAnsi" w:hAnsiTheme="majorHAnsi" w:cs="Arial"/>
                          <w:b/>
                          <w:color w:val="0D0D0D" w:themeColor="text1" w:themeTint="F2"/>
                          <w:sz w:val="36"/>
                          <w:szCs w:val="22"/>
                          <w:lang w:val="es-ES_tradnl"/>
                        </w:rPr>
                        <w:t>1</w:t>
                      </w:r>
                      <w:r w:rsidR="00227143">
                        <w:rPr>
                          <w:rFonts w:asciiTheme="majorHAnsi" w:hAnsiTheme="majorHAnsi" w:cs="Arial"/>
                          <w:b/>
                          <w:color w:val="0D0D0D" w:themeColor="text1" w:themeTint="F2"/>
                          <w:sz w:val="36"/>
                          <w:szCs w:val="22"/>
                          <w:lang w:val="es-ES_tradnl"/>
                        </w:rPr>
                        <w:t xml:space="preserve">, 53-11 </w:t>
                      </w:r>
                      <w:r w:rsidR="00180B89">
                        <w:rPr>
                          <w:rFonts w:asciiTheme="majorHAnsi" w:hAnsiTheme="majorHAnsi" w:cs="Arial"/>
                          <w:b/>
                          <w:color w:val="0D0D0D" w:themeColor="text1" w:themeTint="F2"/>
                          <w:sz w:val="36"/>
                          <w:szCs w:val="22"/>
                          <w:lang w:val="es-ES_tradnl"/>
                        </w:rPr>
                        <w:t>y</w:t>
                      </w:r>
                      <w:r w:rsidR="00227143">
                        <w:rPr>
                          <w:rFonts w:asciiTheme="majorHAnsi" w:hAnsiTheme="majorHAnsi" w:cs="Arial"/>
                          <w:b/>
                          <w:color w:val="0D0D0D" w:themeColor="text1" w:themeTint="F2"/>
                          <w:sz w:val="36"/>
                          <w:szCs w:val="22"/>
                          <w:lang w:val="es-ES_tradnl"/>
                        </w:rPr>
                        <w:t xml:space="preserve"> 575-13</w:t>
                      </w:r>
                      <w:r w:rsidR="00246D1F" w:rsidRPr="004E2649">
                        <w:rPr>
                          <w:rFonts w:asciiTheme="majorHAnsi" w:hAnsiTheme="majorHAnsi" w:cs="Arial"/>
                          <w:b/>
                          <w:color w:val="0D0D0D" w:themeColor="text1" w:themeTint="F2"/>
                          <w:sz w:val="36"/>
                          <w:szCs w:val="22"/>
                          <w:lang w:val="es-ES_tradnl"/>
                        </w:rPr>
                        <w:t xml:space="preserve"> </w:t>
                      </w:r>
                    </w:p>
                    <w:p w14:paraId="70CF6833" w14:textId="330A4B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FC43C4D" w:rsidR="005B52B0" w:rsidRPr="0010736F" w:rsidRDefault="003747C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w:t>
                      </w:r>
                      <w:r w:rsidR="00E21760">
                        <w:rPr>
                          <w:rFonts w:asciiTheme="majorHAnsi" w:hAnsiTheme="majorHAnsi" w:cs="Arial"/>
                          <w:color w:val="0D0D0D" w:themeColor="text1" w:themeTint="F2"/>
                          <w:szCs w:val="22"/>
                          <w:lang w:val="es-ES_tradnl"/>
                        </w:rPr>
                        <w:t>IANNA BELALBA Y OTROS</w:t>
                      </w:r>
                    </w:p>
                    <w:bookmarkEnd w:id="1"/>
                    <w:p w14:paraId="35068D0D" w14:textId="184D810D" w:rsidR="005B52B0" w:rsidRPr="0010736F" w:rsidRDefault="003747C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E2B534" w:rsidR="00627C9F" w:rsidRPr="00411FFD" w:rsidRDefault="00834D49" w:rsidP="007A5817">
                            <w:pPr>
                              <w:spacing w:line="276" w:lineRule="auto"/>
                              <w:jc w:val="right"/>
                              <w:rPr>
                                <w:rFonts w:asciiTheme="minorHAnsi" w:hAnsiTheme="minorHAnsi"/>
                                <w:color w:val="FFFFFF" w:themeColor="background1"/>
                                <w:sz w:val="22"/>
                                <w:lang w:val="es-AR"/>
                              </w:rPr>
                            </w:pPr>
                            <w:r w:rsidRPr="00411FFD">
                              <w:rPr>
                                <w:rFonts w:asciiTheme="minorHAnsi" w:hAnsiTheme="minorHAnsi"/>
                                <w:color w:val="FFFFFF" w:themeColor="background1"/>
                                <w:sz w:val="22"/>
                                <w:lang w:val="es-AR"/>
                              </w:rPr>
                              <w:t>OEA/Ser.L/V/II</w:t>
                            </w:r>
                          </w:p>
                          <w:p w14:paraId="6A41611B" w14:textId="6E54BCB2" w:rsidR="00627C9F" w:rsidRPr="00411FFD" w:rsidRDefault="00627C9F" w:rsidP="007A5817">
                            <w:pPr>
                              <w:spacing w:line="276" w:lineRule="auto"/>
                              <w:jc w:val="right"/>
                              <w:rPr>
                                <w:rFonts w:asciiTheme="minorHAnsi" w:hAnsiTheme="minorHAnsi"/>
                                <w:color w:val="FFFFFF" w:themeColor="background1"/>
                                <w:sz w:val="22"/>
                                <w:lang w:val="es-AR"/>
                              </w:rPr>
                            </w:pPr>
                            <w:r w:rsidRPr="00411FFD">
                              <w:rPr>
                                <w:rFonts w:asciiTheme="minorHAnsi" w:hAnsiTheme="minorHAnsi"/>
                                <w:color w:val="FFFFFF" w:themeColor="background1"/>
                                <w:sz w:val="22"/>
                                <w:lang w:val="es-AR"/>
                              </w:rPr>
                              <w:t xml:space="preserve">Doc. </w:t>
                            </w:r>
                            <w:r w:rsidR="008750B2" w:rsidRPr="00411FFD">
                              <w:rPr>
                                <w:rFonts w:asciiTheme="minorHAnsi" w:hAnsiTheme="minorHAnsi"/>
                                <w:color w:val="FFFFFF" w:themeColor="background1"/>
                                <w:sz w:val="22"/>
                                <w:lang w:val="es-AR"/>
                              </w:rPr>
                              <w:t>132</w:t>
                            </w:r>
                          </w:p>
                          <w:p w14:paraId="69373ED2" w14:textId="741FD260" w:rsidR="00627C9F" w:rsidRPr="00C25ADB" w:rsidRDefault="008750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3747C6">
                              <w:rPr>
                                <w:rFonts w:asciiTheme="minorHAnsi" w:hAnsiTheme="minorHAnsi"/>
                                <w:color w:val="FFFFFF" w:themeColor="background1"/>
                                <w:sz w:val="22"/>
                                <w:lang w:val="es-PA"/>
                              </w:rPr>
                              <w:t>2</w:t>
                            </w:r>
                            <w:r w:rsidR="00AE34C0">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1E2B534" w:rsidR="00627C9F" w:rsidRPr="00411FFD" w:rsidRDefault="00834D49" w:rsidP="007A5817">
                      <w:pPr>
                        <w:spacing w:line="276" w:lineRule="auto"/>
                        <w:jc w:val="right"/>
                        <w:rPr>
                          <w:rFonts w:asciiTheme="minorHAnsi" w:hAnsiTheme="minorHAnsi"/>
                          <w:color w:val="FFFFFF" w:themeColor="background1"/>
                          <w:sz w:val="22"/>
                          <w:lang w:val="es-AR"/>
                        </w:rPr>
                      </w:pPr>
                      <w:r w:rsidRPr="00411FFD">
                        <w:rPr>
                          <w:rFonts w:asciiTheme="minorHAnsi" w:hAnsiTheme="minorHAnsi"/>
                          <w:color w:val="FFFFFF" w:themeColor="background1"/>
                          <w:sz w:val="22"/>
                          <w:lang w:val="es-AR"/>
                        </w:rPr>
                        <w:t>OEA/Ser.L/V/II</w:t>
                      </w:r>
                    </w:p>
                    <w:p w14:paraId="6A41611B" w14:textId="6E54BCB2" w:rsidR="00627C9F" w:rsidRPr="00411FFD" w:rsidRDefault="00627C9F" w:rsidP="007A5817">
                      <w:pPr>
                        <w:spacing w:line="276" w:lineRule="auto"/>
                        <w:jc w:val="right"/>
                        <w:rPr>
                          <w:rFonts w:asciiTheme="minorHAnsi" w:hAnsiTheme="minorHAnsi"/>
                          <w:color w:val="FFFFFF" w:themeColor="background1"/>
                          <w:sz w:val="22"/>
                          <w:lang w:val="es-AR"/>
                        </w:rPr>
                      </w:pPr>
                      <w:r w:rsidRPr="00411FFD">
                        <w:rPr>
                          <w:rFonts w:asciiTheme="minorHAnsi" w:hAnsiTheme="minorHAnsi"/>
                          <w:color w:val="FFFFFF" w:themeColor="background1"/>
                          <w:sz w:val="22"/>
                          <w:lang w:val="es-AR"/>
                        </w:rPr>
                        <w:t xml:space="preserve">Doc. </w:t>
                      </w:r>
                      <w:r w:rsidR="008750B2" w:rsidRPr="00411FFD">
                        <w:rPr>
                          <w:rFonts w:asciiTheme="minorHAnsi" w:hAnsiTheme="minorHAnsi"/>
                          <w:color w:val="FFFFFF" w:themeColor="background1"/>
                          <w:sz w:val="22"/>
                          <w:lang w:val="es-AR"/>
                        </w:rPr>
                        <w:t>132</w:t>
                      </w:r>
                    </w:p>
                    <w:p w14:paraId="69373ED2" w14:textId="741FD260" w:rsidR="00627C9F" w:rsidRPr="00C25ADB" w:rsidRDefault="008750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3747C6">
                        <w:rPr>
                          <w:rFonts w:asciiTheme="minorHAnsi" w:hAnsiTheme="minorHAnsi"/>
                          <w:color w:val="FFFFFF" w:themeColor="background1"/>
                          <w:sz w:val="22"/>
                          <w:lang w:val="es-PA"/>
                        </w:rPr>
                        <w:t>2</w:t>
                      </w:r>
                      <w:r w:rsidR="00AE34C0">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D196D8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750B2">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8750B2">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747C6">
                              <w:rPr>
                                <w:rFonts w:asciiTheme="majorHAnsi" w:hAnsiTheme="majorHAnsi"/>
                                <w:color w:val="0D0D0D" w:themeColor="text1" w:themeTint="F2"/>
                                <w:sz w:val="18"/>
                                <w:szCs w:val="22"/>
                                <w:lang w:val="es-ES"/>
                              </w:rPr>
                              <w:t>2</w:t>
                            </w:r>
                            <w:r w:rsidR="00E21760">
                              <w:rPr>
                                <w:rFonts w:asciiTheme="majorHAnsi" w:hAnsiTheme="majorHAnsi"/>
                                <w:color w:val="0D0D0D" w:themeColor="text1" w:themeTint="F2"/>
                                <w:sz w:val="18"/>
                                <w:szCs w:val="22"/>
                                <w:lang w:val="es-ES"/>
                              </w:rPr>
                              <w:t>2</w:t>
                            </w:r>
                            <w:r w:rsidR="008750B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D196D8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750B2">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8750B2">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747C6">
                        <w:rPr>
                          <w:rFonts w:asciiTheme="majorHAnsi" w:hAnsiTheme="majorHAnsi"/>
                          <w:color w:val="0D0D0D" w:themeColor="text1" w:themeTint="F2"/>
                          <w:sz w:val="18"/>
                          <w:szCs w:val="22"/>
                          <w:lang w:val="es-ES"/>
                        </w:rPr>
                        <w:t>2</w:t>
                      </w:r>
                      <w:r w:rsidR="00E21760">
                        <w:rPr>
                          <w:rFonts w:asciiTheme="majorHAnsi" w:hAnsiTheme="majorHAnsi"/>
                          <w:color w:val="0D0D0D" w:themeColor="text1" w:themeTint="F2"/>
                          <w:sz w:val="18"/>
                          <w:szCs w:val="22"/>
                          <w:lang w:val="es-ES"/>
                        </w:rPr>
                        <w:t>2</w:t>
                      </w:r>
                      <w:r w:rsidR="008750B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2E992A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1C97" w:rsidRPr="00761C97">
                              <w:rPr>
                                <w:rFonts w:asciiTheme="majorHAnsi" w:hAnsiTheme="majorHAnsi"/>
                                <w:color w:val="595959" w:themeColor="text1" w:themeTint="A6"/>
                                <w:sz w:val="18"/>
                                <w:szCs w:val="18"/>
                                <w:lang w:val="pt-BR"/>
                              </w:rPr>
                              <w:t>129</w:t>
                            </w:r>
                            <w:r w:rsidR="007B05C4" w:rsidRPr="00761C97">
                              <w:rPr>
                                <w:rFonts w:asciiTheme="majorHAnsi" w:hAnsiTheme="majorHAnsi"/>
                                <w:color w:val="595959" w:themeColor="text1" w:themeTint="A6"/>
                                <w:sz w:val="18"/>
                                <w:szCs w:val="18"/>
                                <w:lang w:val="pt-BR"/>
                              </w:rPr>
                              <w:t>/</w:t>
                            </w:r>
                            <w:r w:rsidR="00761C97" w:rsidRPr="00761C97">
                              <w:rPr>
                                <w:rFonts w:asciiTheme="majorHAnsi" w:hAnsiTheme="majorHAnsi"/>
                                <w:color w:val="595959" w:themeColor="text1" w:themeTint="A6"/>
                                <w:sz w:val="18"/>
                                <w:szCs w:val="18"/>
                                <w:lang w:val="pt-BR"/>
                              </w:rPr>
                              <w:t>22</w:t>
                            </w:r>
                            <w:r w:rsidRPr="00761C9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C91ECC">
                              <w:rPr>
                                <w:rFonts w:asciiTheme="majorHAnsi" w:hAnsiTheme="majorHAnsi"/>
                                <w:color w:val="595959" w:themeColor="text1" w:themeTint="A6"/>
                                <w:sz w:val="18"/>
                                <w:szCs w:val="18"/>
                                <w:lang w:val="es-ES"/>
                              </w:rPr>
                              <w:t>o</w:t>
                            </w:r>
                            <w:r w:rsidR="000433C9">
                              <w:rPr>
                                <w:rFonts w:asciiTheme="majorHAnsi" w:hAnsiTheme="majorHAnsi"/>
                                <w:color w:val="595959" w:themeColor="text1" w:themeTint="A6"/>
                                <w:sz w:val="18"/>
                                <w:szCs w:val="18"/>
                                <w:lang w:val="es-ES"/>
                              </w:rPr>
                              <w:t>n</w:t>
                            </w:r>
                            <w:r w:rsidR="00C91ECC">
                              <w:rPr>
                                <w:rFonts w:asciiTheme="majorHAnsi" w:hAnsiTheme="majorHAnsi"/>
                                <w:color w:val="595959" w:themeColor="text1" w:themeTint="A6"/>
                                <w:sz w:val="18"/>
                                <w:szCs w:val="18"/>
                                <w:lang w:val="es-ES"/>
                              </w:rPr>
                              <w:t>es</w:t>
                            </w:r>
                            <w:r w:rsidR="000433C9">
                              <w:rPr>
                                <w:rFonts w:asciiTheme="majorHAnsi" w:hAnsiTheme="majorHAnsi"/>
                                <w:color w:val="595959" w:themeColor="text1" w:themeTint="A6"/>
                                <w:sz w:val="18"/>
                                <w:szCs w:val="18"/>
                                <w:lang w:val="es-ES"/>
                              </w:rPr>
                              <w:t xml:space="preserve"> </w:t>
                            </w:r>
                            <w:r w:rsidR="00761C97">
                              <w:rPr>
                                <w:rFonts w:asciiTheme="majorHAnsi" w:hAnsiTheme="majorHAnsi"/>
                                <w:color w:val="595959" w:themeColor="text1" w:themeTint="A6"/>
                                <w:sz w:val="18"/>
                                <w:szCs w:val="18"/>
                                <w:lang w:val="es-ES"/>
                              </w:rPr>
                              <w:t>23</w:t>
                            </w:r>
                            <w:r w:rsidR="000433C9">
                              <w:rPr>
                                <w:rFonts w:asciiTheme="majorHAnsi" w:hAnsiTheme="majorHAnsi"/>
                                <w:color w:val="595959" w:themeColor="text1" w:themeTint="A6"/>
                                <w:sz w:val="18"/>
                                <w:szCs w:val="18"/>
                                <w:lang w:val="es-ES"/>
                              </w:rPr>
                              <w:t>-</w:t>
                            </w:r>
                            <w:r w:rsidR="00761C97">
                              <w:rPr>
                                <w:rFonts w:asciiTheme="majorHAnsi" w:hAnsiTheme="majorHAnsi"/>
                                <w:color w:val="595959" w:themeColor="text1" w:themeTint="A6"/>
                                <w:sz w:val="18"/>
                                <w:szCs w:val="18"/>
                                <w:lang w:val="es-ES"/>
                              </w:rPr>
                              <w:t>11</w:t>
                            </w:r>
                            <w:r w:rsidR="00C91ECC">
                              <w:rPr>
                                <w:rFonts w:asciiTheme="majorHAnsi" w:hAnsiTheme="majorHAnsi"/>
                                <w:color w:val="595959" w:themeColor="text1" w:themeTint="A6"/>
                                <w:sz w:val="18"/>
                                <w:szCs w:val="18"/>
                                <w:lang w:val="es-ES"/>
                              </w:rPr>
                              <w:t>, 53-11 y 575-13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91ECC">
                              <w:rPr>
                                <w:rFonts w:asciiTheme="majorHAnsi" w:hAnsiTheme="majorHAnsi"/>
                                <w:color w:val="595959" w:themeColor="text1" w:themeTint="A6"/>
                                <w:sz w:val="18"/>
                                <w:szCs w:val="18"/>
                                <w:lang w:val="es-ES_tradnl"/>
                              </w:rPr>
                              <w:t>Mariana Belalba y otros</w:t>
                            </w:r>
                            <w:r w:rsidRPr="00890650">
                              <w:rPr>
                                <w:rFonts w:asciiTheme="majorHAnsi" w:hAnsiTheme="majorHAnsi"/>
                                <w:color w:val="595959" w:themeColor="text1" w:themeTint="A6"/>
                                <w:sz w:val="18"/>
                                <w:szCs w:val="18"/>
                                <w:lang w:val="es-ES_tradnl"/>
                              </w:rPr>
                              <w:t xml:space="preserve">. </w:t>
                            </w:r>
                            <w:r w:rsidR="00C0365F">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C0365F">
                              <w:rPr>
                                <w:rFonts w:asciiTheme="majorHAnsi" w:hAnsiTheme="majorHAnsi"/>
                                <w:color w:val="595959" w:themeColor="text1" w:themeTint="A6"/>
                                <w:sz w:val="18"/>
                                <w:szCs w:val="18"/>
                                <w:lang w:val="es-ES"/>
                              </w:rPr>
                              <w:t>6 de junio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22E992A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1C97" w:rsidRPr="00761C97">
                        <w:rPr>
                          <w:rFonts w:asciiTheme="majorHAnsi" w:hAnsiTheme="majorHAnsi"/>
                          <w:color w:val="595959" w:themeColor="text1" w:themeTint="A6"/>
                          <w:sz w:val="18"/>
                          <w:szCs w:val="18"/>
                          <w:lang w:val="pt-BR"/>
                        </w:rPr>
                        <w:t>129</w:t>
                      </w:r>
                      <w:r w:rsidR="007B05C4" w:rsidRPr="00761C97">
                        <w:rPr>
                          <w:rFonts w:asciiTheme="majorHAnsi" w:hAnsiTheme="majorHAnsi"/>
                          <w:color w:val="595959" w:themeColor="text1" w:themeTint="A6"/>
                          <w:sz w:val="18"/>
                          <w:szCs w:val="18"/>
                          <w:lang w:val="pt-BR"/>
                        </w:rPr>
                        <w:t>/</w:t>
                      </w:r>
                      <w:r w:rsidR="00761C97" w:rsidRPr="00761C97">
                        <w:rPr>
                          <w:rFonts w:asciiTheme="majorHAnsi" w:hAnsiTheme="majorHAnsi"/>
                          <w:color w:val="595959" w:themeColor="text1" w:themeTint="A6"/>
                          <w:sz w:val="18"/>
                          <w:szCs w:val="18"/>
                          <w:lang w:val="pt-BR"/>
                        </w:rPr>
                        <w:t>22</w:t>
                      </w:r>
                      <w:r w:rsidRPr="00761C9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C91ECC">
                        <w:rPr>
                          <w:rFonts w:asciiTheme="majorHAnsi" w:hAnsiTheme="majorHAnsi"/>
                          <w:color w:val="595959" w:themeColor="text1" w:themeTint="A6"/>
                          <w:sz w:val="18"/>
                          <w:szCs w:val="18"/>
                          <w:lang w:val="es-ES"/>
                        </w:rPr>
                        <w:t>o</w:t>
                      </w:r>
                      <w:r w:rsidR="000433C9">
                        <w:rPr>
                          <w:rFonts w:asciiTheme="majorHAnsi" w:hAnsiTheme="majorHAnsi"/>
                          <w:color w:val="595959" w:themeColor="text1" w:themeTint="A6"/>
                          <w:sz w:val="18"/>
                          <w:szCs w:val="18"/>
                          <w:lang w:val="es-ES"/>
                        </w:rPr>
                        <w:t>n</w:t>
                      </w:r>
                      <w:r w:rsidR="00C91ECC">
                        <w:rPr>
                          <w:rFonts w:asciiTheme="majorHAnsi" w:hAnsiTheme="majorHAnsi"/>
                          <w:color w:val="595959" w:themeColor="text1" w:themeTint="A6"/>
                          <w:sz w:val="18"/>
                          <w:szCs w:val="18"/>
                          <w:lang w:val="es-ES"/>
                        </w:rPr>
                        <w:t>es</w:t>
                      </w:r>
                      <w:r w:rsidR="000433C9">
                        <w:rPr>
                          <w:rFonts w:asciiTheme="majorHAnsi" w:hAnsiTheme="majorHAnsi"/>
                          <w:color w:val="595959" w:themeColor="text1" w:themeTint="A6"/>
                          <w:sz w:val="18"/>
                          <w:szCs w:val="18"/>
                          <w:lang w:val="es-ES"/>
                        </w:rPr>
                        <w:t xml:space="preserve"> </w:t>
                      </w:r>
                      <w:r w:rsidR="00761C97">
                        <w:rPr>
                          <w:rFonts w:asciiTheme="majorHAnsi" w:hAnsiTheme="majorHAnsi"/>
                          <w:color w:val="595959" w:themeColor="text1" w:themeTint="A6"/>
                          <w:sz w:val="18"/>
                          <w:szCs w:val="18"/>
                          <w:lang w:val="es-ES"/>
                        </w:rPr>
                        <w:t>23</w:t>
                      </w:r>
                      <w:r w:rsidR="000433C9">
                        <w:rPr>
                          <w:rFonts w:asciiTheme="majorHAnsi" w:hAnsiTheme="majorHAnsi"/>
                          <w:color w:val="595959" w:themeColor="text1" w:themeTint="A6"/>
                          <w:sz w:val="18"/>
                          <w:szCs w:val="18"/>
                          <w:lang w:val="es-ES"/>
                        </w:rPr>
                        <w:t>-</w:t>
                      </w:r>
                      <w:r w:rsidR="00761C97">
                        <w:rPr>
                          <w:rFonts w:asciiTheme="majorHAnsi" w:hAnsiTheme="majorHAnsi"/>
                          <w:color w:val="595959" w:themeColor="text1" w:themeTint="A6"/>
                          <w:sz w:val="18"/>
                          <w:szCs w:val="18"/>
                          <w:lang w:val="es-ES"/>
                        </w:rPr>
                        <w:t>11</w:t>
                      </w:r>
                      <w:r w:rsidR="00C91ECC">
                        <w:rPr>
                          <w:rFonts w:asciiTheme="majorHAnsi" w:hAnsiTheme="majorHAnsi"/>
                          <w:color w:val="595959" w:themeColor="text1" w:themeTint="A6"/>
                          <w:sz w:val="18"/>
                          <w:szCs w:val="18"/>
                          <w:lang w:val="es-ES"/>
                        </w:rPr>
                        <w:t>, 53-11 y 575-13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91ECC">
                        <w:rPr>
                          <w:rFonts w:asciiTheme="majorHAnsi" w:hAnsiTheme="majorHAnsi"/>
                          <w:color w:val="595959" w:themeColor="text1" w:themeTint="A6"/>
                          <w:sz w:val="18"/>
                          <w:szCs w:val="18"/>
                          <w:lang w:val="es-ES_tradnl"/>
                        </w:rPr>
                        <w:t>Mariana Belalba y otros</w:t>
                      </w:r>
                      <w:r w:rsidRPr="00890650">
                        <w:rPr>
                          <w:rFonts w:asciiTheme="majorHAnsi" w:hAnsiTheme="majorHAnsi"/>
                          <w:color w:val="595959" w:themeColor="text1" w:themeTint="A6"/>
                          <w:sz w:val="18"/>
                          <w:szCs w:val="18"/>
                          <w:lang w:val="es-ES_tradnl"/>
                        </w:rPr>
                        <w:t xml:space="preserve">. </w:t>
                      </w:r>
                      <w:r w:rsidR="00C0365F">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C0365F">
                        <w:rPr>
                          <w:rFonts w:asciiTheme="majorHAnsi" w:hAnsiTheme="majorHAnsi"/>
                          <w:color w:val="595959" w:themeColor="text1" w:themeTint="A6"/>
                          <w:sz w:val="18"/>
                          <w:szCs w:val="18"/>
                          <w:lang w:val="es-ES"/>
                        </w:rPr>
                        <w:t>6 de junio de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E1B253" w14:textId="47939D8D" w:rsidR="0070697F" w:rsidRDefault="00D306D1" w:rsidP="00180B89">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8F18562">
                <wp:simplePos x="0" y="0"/>
                <wp:positionH relativeFrom="column">
                  <wp:posOffset>1306830</wp:posOffset>
                </wp:positionH>
                <wp:positionV relativeFrom="paragraph">
                  <wp:posOffset>744855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59560A6" w:rsidR="00D72DC6" w:rsidRPr="00D72DC6" w:rsidRDefault="00761C97" w:rsidP="00F02AD1">
                            <w:pPr>
                              <w:rPr>
                                <w:color w:val="FFFFFF" w:themeColor="background1"/>
                                <w14:textFill>
                                  <w14:noFill/>
                                </w14:textFill>
                              </w:rPr>
                            </w:pPr>
                            <w:r>
                              <w:rPr>
                                <w:noProof/>
                                <w:color w:val="FFFFFF" w:themeColor="background1"/>
                              </w:rPr>
                              <w:drawing>
                                <wp:inline distT="0" distB="0" distL="0" distR="0" wp14:anchorId="4EA97BB9" wp14:editId="56FC439E">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2.9pt;margin-top:58.6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" fillcolor="white [3201]" stroked="f" strokeweight=".5pt">
                <v:textbox>
                  <w:txbxContent>
                    <w:p w14:paraId="2A1ECD3C" w14:textId="059560A6" w:rsidR="00D72DC6" w:rsidRPr="00D72DC6" w:rsidRDefault="00761C97" w:rsidP="00F02AD1">
                      <w:pPr>
                        <w:rPr>
                          <w:color w:val="FFFFFF" w:themeColor="background1"/>
                          <w14:textFill>
                            <w14:noFill/>
                          </w14:textFill>
                        </w:rPr>
                      </w:pPr>
                      <w:r>
                        <w:rPr>
                          <w:noProof/>
                          <w:color w:val="FFFFFF" w:themeColor="background1"/>
                        </w:rPr>
                        <w:drawing>
                          <wp:inline distT="0" distB="0" distL="0" distR="0" wp14:anchorId="4EA97BB9" wp14:editId="56FC439E">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76DDC8B" w14:textId="64C12E04" w:rsidR="003239B8" w:rsidRPr="00050FFF" w:rsidRDefault="003239B8" w:rsidP="00180B89">
      <w:pPr>
        <w:spacing w:after="240"/>
        <w:ind w:firstLine="720"/>
        <w:jc w:val="both"/>
        <w:rPr>
          <w:rFonts w:asciiTheme="majorHAnsi" w:hAnsiTheme="majorHAnsi"/>
          <w:b/>
          <w:bCs/>
          <w:sz w:val="20"/>
          <w:szCs w:val="20"/>
          <w:lang w:val="es-ES"/>
        </w:rPr>
      </w:pPr>
      <w:r w:rsidRPr="00050FFF">
        <w:rPr>
          <w:rFonts w:asciiTheme="majorHAnsi" w:hAnsiTheme="majorHAnsi"/>
          <w:b/>
          <w:bCs/>
          <w:sz w:val="20"/>
          <w:szCs w:val="20"/>
          <w:lang w:val="es-ES"/>
        </w:rPr>
        <w:lastRenderedPageBreak/>
        <w:t>I.</w:t>
      </w:r>
      <w:r w:rsidRPr="00050FFF">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85DE4" w14:paraId="5A79D1F7" w14:textId="77777777" w:rsidTr="00050FFF">
        <w:tc>
          <w:tcPr>
            <w:tcW w:w="3600" w:type="dxa"/>
            <w:tcBorders>
              <w:top w:val="single" w:sz="4" w:space="0" w:color="auto"/>
              <w:bottom w:val="single" w:sz="6" w:space="0" w:color="auto"/>
            </w:tcBorders>
            <w:shd w:val="clear" w:color="auto" w:fill="386294"/>
            <w:vAlign w:val="center"/>
          </w:tcPr>
          <w:p w14:paraId="0CB2A43B" w14:textId="77777777" w:rsidR="003239B8" w:rsidRPr="00050FFF" w:rsidRDefault="003239B8" w:rsidP="008D2290">
            <w:pPr>
              <w:jc w:val="center"/>
              <w:rPr>
                <w:rFonts w:asciiTheme="majorHAnsi" w:hAnsiTheme="majorHAnsi"/>
                <w:b/>
                <w:bCs/>
                <w:color w:val="FFFFFF" w:themeColor="background1"/>
                <w:sz w:val="20"/>
                <w:szCs w:val="20"/>
              </w:rPr>
            </w:pPr>
            <w:r w:rsidRPr="00050FFF">
              <w:rPr>
                <w:rFonts w:asciiTheme="majorHAnsi" w:hAnsiTheme="majorHAnsi"/>
                <w:b/>
                <w:bCs/>
                <w:color w:val="FFFFFF" w:themeColor="background1"/>
                <w:sz w:val="20"/>
                <w:szCs w:val="20"/>
              </w:rPr>
              <w:t>Parte peticionaria:</w:t>
            </w:r>
          </w:p>
        </w:tc>
        <w:tc>
          <w:tcPr>
            <w:tcW w:w="5647" w:type="dxa"/>
            <w:vAlign w:val="center"/>
          </w:tcPr>
          <w:p w14:paraId="3C5315D8" w14:textId="6E33ED70" w:rsidR="003239B8" w:rsidRPr="00050FFF" w:rsidRDefault="00E156D0" w:rsidP="008D2290">
            <w:pPr>
              <w:jc w:val="both"/>
              <w:rPr>
                <w:rFonts w:asciiTheme="majorHAnsi" w:hAnsiTheme="majorHAnsi"/>
                <w:bCs/>
                <w:sz w:val="20"/>
                <w:szCs w:val="20"/>
                <w:lang w:val="es-SV"/>
              </w:rPr>
            </w:pPr>
            <w:r w:rsidRPr="00050FFF">
              <w:rPr>
                <w:rFonts w:asciiTheme="majorHAnsi" w:hAnsiTheme="majorHAnsi"/>
                <w:bCs/>
                <w:sz w:val="20"/>
                <w:szCs w:val="20"/>
                <w:lang w:val="es-SV"/>
              </w:rPr>
              <w:t>Marianna Belalba, Antonio Puppio, Marino Alvarado Betancourt y Carlos Correa</w:t>
            </w:r>
          </w:p>
        </w:tc>
      </w:tr>
      <w:tr w:rsidR="003239B8" w:rsidRPr="00885DE4" w14:paraId="593A7E45" w14:textId="77777777" w:rsidTr="00050FFF">
        <w:tc>
          <w:tcPr>
            <w:tcW w:w="3600" w:type="dxa"/>
            <w:tcBorders>
              <w:top w:val="single" w:sz="6" w:space="0" w:color="auto"/>
              <w:bottom w:val="single" w:sz="6" w:space="0" w:color="auto"/>
            </w:tcBorders>
            <w:shd w:val="clear" w:color="auto" w:fill="386294"/>
            <w:vAlign w:val="center"/>
          </w:tcPr>
          <w:p w14:paraId="0E78CA0C" w14:textId="77777777" w:rsidR="003239B8" w:rsidRPr="00050FFF" w:rsidRDefault="00686ACF"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50FFF">
                  <w:rPr>
                    <w:rFonts w:asciiTheme="majorHAnsi" w:hAnsiTheme="majorHAnsi"/>
                    <w:b/>
                    <w:bCs/>
                    <w:color w:val="FFFFFF" w:themeColor="background1"/>
                    <w:sz w:val="20"/>
                    <w:szCs w:val="20"/>
                  </w:rPr>
                  <w:t>Presunta víctima</w:t>
                </w:r>
              </w:sdtContent>
            </w:sdt>
            <w:r w:rsidR="003239B8" w:rsidRPr="00050FFF">
              <w:rPr>
                <w:rFonts w:asciiTheme="majorHAnsi" w:hAnsiTheme="majorHAnsi"/>
                <w:b/>
                <w:bCs/>
                <w:color w:val="FFFFFF" w:themeColor="background1"/>
                <w:sz w:val="20"/>
                <w:szCs w:val="20"/>
              </w:rPr>
              <w:t>:</w:t>
            </w:r>
          </w:p>
        </w:tc>
        <w:tc>
          <w:tcPr>
            <w:tcW w:w="5647" w:type="dxa"/>
            <w:vAlign w:val="center"/>
          </w:tcPr>
          <w:p w14:paraId="4AEBF59E" w14:textId="358D0219" w:rsidR="003239B8" w:rsidRPr="00050FFF" w:rsidRDefault="008E375D" w:rsidP="008D2290">
            <w:pPr>
              <w:jc w:val="both"/>
              <w:rPr>
                <w:rFonts w:asciiTheme="majorHAnsi" w:hAnsiTheme="majorHAnsi"/>
                <w:bCs/>
                <w:sz w:val="20"/>
                <w:szCs w:val="20"/>
                <w:lang w:val="es-ES"/>
              </w:rPr>
            </w:pPr>
            <w:r w:rsidRPr="00050FFF">
              <w:rPr>
                <w:rFonts w:asciiTheme="majorHAnsi" w:hAnsiTheme="majorHAnsi"/>
                <w:bCs/>
                <w:sz w:val="20"/>
                <w:szCs w:val="20"/>
                <w:lang w:val="es-SV"/>
              </w:rPr>
              <w:t>Marianna Belalba, Antonio Puppio, Marino Alvarado Betancourt y Carlos Correa</w:t>
            </w:r>
          </w:p>
        </w:tc>
      </w:tr>
      <w:tr w:rsidR="003239B8" w:rsidRPr="00050FFF" w14:paraId="3E62E1D3" w14:textId="77777777" w:rsidTr="00050FFF">
        <w:tc>
          <w:tcPr>
            <w:tcW w:w="3600" w:type="dxa"/>
            <w:tcBorders>
              <w:top w:val="single" w:sz="6" w:space="0" w:color="auto"/>
              <w:bottom w:val="single" w:sz="6" w:space="0" w:color="auto"/>
            </w:tcBorders>
            <w:shd w:val="clear" w:color="auto" w:fill="386294"/>
            <w:vAlign w:val="center"/>
          </w:tcPr>
          <w:p w14:paraId="340B0F09" w14:textId="77777777" w:rsidR="003239B8" w:rsidRPr="00050FFF" w:rsidRDefault="003239B8" w:rsidP="008D2290">
            <w:pPr>
              <w:jc w:val="center"/>
              <w:rPr>
                <w:rFonts w:asciiTheme="majorHAnsi" w:hAnsiTheme="majorHAnsi"/>
                <w:b/>
                <w:bCs/>
                <w:color w:val="FFFFFF" w:themeColor="background1"/>
                <w:sz w:val="20"/>
                <w:szCs w:val="20"/>
              </w:rPr>
            </w:pPr>
            <w:r w:rsidRPr="00050FFF">
              <w:rPr>
                <w:rFonts w:asciiTheme="majorHAnsi" w:hAnsiTheme="majorHAnsi"/>
                <w:b/>
                <w:bCs/>
                <w:color w:val="FFFFFF" w:themeColor="background1"/>
                <w:sz w:val="20"/>
                <w:szCs w:val="20"/>
              </w:rPr>
              <w:t>Estado denunciado:</w:t>
            </w:r>
          </w:p>
        </w:tc>
        <w:tc>
          <w:tcPr>
            <w:tcW w:w="5647" w:type="dxa"/>
            <w:vAlign w:val="center"/>
          </w:tcPr>
          <w:p w14:paraId="274C8A50" w14:textId="7DDF4D97" w:rsidR="003239B8" w:rsidRPr="00050FFF" w:rsidRDefault="00286CF5" w:rsidP="003747C6">
            <w:pPr>
              <w:jc w:val="both"/>
              <w:rPr>
                <w:rFonts w:asciiTheme="majorHAnsi" w:hAnsiTheme="majorHAnsi"/>
                <w:bCs/>
                <w:sz w:val="20"/>
                <w:szCs w:val="20"/>
              </w:rPr>
            </w:pPr>
            <w:r w:rsidRPr="00050FFF">
              <w:rPr>
                <w:rFonts w:asciiTheme="majorHAnsi" w:hAnsiTheme="majorHAnsi"/>
                <w:bCs/>
                <w:sz w:val="20"/>
                <w:szCs w:val="20"/>
              </w:rPr>
              <w:t>República Bolivariana de Venezuela</w:t>
            </w:r>
          </w:p>
        </w:tc>
      </w:tr>
      <w:tr w:rsidR="00223A29" w:rsidRPr="00411FFD" w14:paraId="632511BC" w14:textId="77777777" w:rsidTr="00050FFF">
        <w:tc>
          <w:tcPr>
            <w:tcW w:w="3600" w:type="dxa"/>
            <w:tcBorders>
              <w:top w:val="single" w:sz="6" w:space="0" w:color="auto"/>
              <w:bottom w:val="single" w:sz="6" w:space="0" w:color="auto"/>
            </w:tcBorders>
            <w:shd w:val="clear" w:color="auto" w:fill="386294"/>
            <w:vAlign w:val="center"/>
          </w:tcPr>
          <w:p w14:paraId="727E2F6B" w14:textId="60AEE329" w:rsidR="00223A29" w:rsidRPr="00050FFF" w:rsidRDefault="001B3A00" w:rsidP="00E4118C">
            <w:pPr>
              <w:jc w:val="center"/>
              <w:rPr>
                <w:rFonts w:asciiTheme="majorHAnsi" w:hAnsiTheme="majorHAnsi"/>
                <w:b/>
                <w:bCs/>
                <w:color w:val="FFFFFF" w:themeColor="background1"/>
                <w:sz w:val="20"/>
                <w:szCs w:val="20"/>
              </w:rPr>
            </w:pPr>
            <w:r w:rsidRPr="00050FFF">
              <w:rPr>
                <w:rFonts w:asciiTheme="majorHAnsi" w:hAnsiTheme="majorHAnsi"/>
                <w:b/>
                <w:bCs/>
                <w:color w:val="FFFFFF" w:themeColor="background1"/>
                <w:sz w:val="20"/>
                <w:szCs w:val="20"/>
              </w:rPr>
              <w:t xml:space="preserve">Derechos </w:t>
            </w:r>
            <w:r w:rsidR="00E4118C" w:rsidRPr="00050FFF">
              <w:rPr>
                <w:rFonts w:asciiTheme="majorHAnsi" w:hAnsiTheme="majorHAnsi"/>
                <w:b/>
                <w:bCs/>
                <w:color w:val="FFFFFF" w:themeColor="background1"/>
                <w:sz w:val="20"/>
                <w:szCs w:val="20"/>
              </w:rPr>
              <w:t>invocados</w:t>
            </w:r>
            <w:r w:rsidRPr="00050FFF">
              <w:rPr>
                <w:rFonts w:asciiTheme="majorHAnsi" w:hAnsiTheme="majorHAnsi"/>
                <w:b/>
                <w:bCs/>
                <w:color w:val="FFFFFF" w:themeColor="background1"/>
                <w:sz w:val="20"/>
                <w:szCs w:val="20"/>
              </w:rPr>
              <w:t>:</w:t>
            </w:r>
          </w:p>
        </w:tc>
        <w:tc>
          <w:tcPr>
            <w:tcW w:w="5647" w:type="dxa"/>
            <w:vAlign w:val="center"/>
          </w:tcPr>
          <w:p w14:paraId="6DEE1EEB" w14:textId="51F49D2D" w:rsidR="00223A29" w:rsidRPr="00050FFF" w:rsidRDefault="003D752A" w:rsidP="008D2290">
            <w:pPr>
              <w:jc w:val="both"/>
              <w:rPr>
                <w:rFonts w:asciiTheme="majorHAnsi" w:hAnsiTheme="majorHAnsi"/>
                <w:bCs/>
                <w:sz w:val="20"/>
                <w:szCs w:val="20"/>
                <w:lang w:val="es-SV"/>
              </w:rPr>
            </w:pPr>
            <w:r w:rsidRPr="00050FFF">
              <w:rPr>
                <w:rFonts w:asciiTheme="majorHAnsi" w:hAnsiTheme="majorHAnsi"/>
                <w:bCs/>
                <w:sz w:val="20"/>
                <w:szCs w:val="20"/>
                <w:lang w:val="es-SV"/>
              </w:rPr>
              <w:t>Artículo</w:t>
            </w:r>
            <w:r w:rsidR="006243E7" w:rsidRPr="00050FFF">
              <w:rPr>
                <w:rFonts w:asciiTheme="majorHAnsi" w:hAnsiTheme="majorHAnsi"/>
                <w:bCs/>
                <w:sz w:val="20"/>
                <w:szCs w:val="20"/>
                <w:lang w:val="es-SV"/>
              </w:rPr>
              <w:t>s</w:t>
            </w:r>
            <w:r w:rsidRPr="00050FFF">
              <w:rPr>
                <w:rFonts w:asciiTheme="majorHAnsi" w:hAnsiTheme="majorHAnsi"/>
                <w:bCs/>
                <w:sz w:val="20"/>
                <w:szCs w:val="20"/>
                <w:lang w:val="es-SV"/>
              </w:rPr>
              <w:t xml:space="preserve"> 13 (Libertad de </w:t>
            </w:r>
            <w:r w:rsidR="006243E7" w:rsidRPr="00050FFF">
              <w:rPr>
                <w:rFonts w:asciiTheme="majorHAnsi" w:hAnsiTheme="majorHAnsi"/>
                <w:bCs/>
                <w:sz w:val="20"/>
                <w:szCs w:val="20"/>
                <w:lang w:val="es-SV"/>
              </w:rPr>
              <w:t xml:space="preserve">pensamiento y de </w:t>
            </w:r>
            <w:r w:rsidRPr="00050FFF">
              <w:rPr>
                <w:rFonts w:asciiTheme="majorHAnsi" w:hAnsiTheme="majorHAnsi"/>
                <w:bCs/>
                <w:sz w:val="20"/>
                <w:szCs w:val="20"/>
                <w:lang w:val="es-SV"/>
              </w:rPr>
              <w:t>expresión)</w:t>
            </w:r>
            <w:r w:rsidR="00050FFF">
              <w:rPr>
                <w:rFonts w:asciiTheme="majorHAnsi" w:hAnsiTheme="majorHAnsi"/>
                <w:bCs/>
                <w:sz w:val="20"/>
                <w:szCs w:val="20"/>
                <w:lang w:val="es-SV"/>
              </w:rPr>
              <w:t xml:space="preserve"> y</w:t>
            </w:r>
            <w:r w:rsidRPr="00050FFF">
              <w:rPr>
                <w:rFonts w:asciiTheme="majorHAnsi" w:hAnsiTheme="majorHAnsi"/>
                <w:bCs/>
                <w:sz w:val="20"/>
                <w:szCs w:val="20"/>
                <w:lang w:val="es-SV"/>
              </w:rPr>
              <w:t xml:space="preserve"> 25 (protección judicial)</w:t>
            </w:r>
            <w:r w:rsidR="00025FD7" w:rsidRPr="00050FFF">
              <w:rPr>
                <w:rFonts w:asciiTheme="majorHAnsi" w:hAnsiTheme="majorHAnsi"/>
                <w:bCs/>
                <w:sz w:val="20"/>
                <w:szCs w:val="20"/>
                <w:lang w:val="es-SV"/>
              </w:rPr>
              <w:t xml:space="preserve"> de la Convención Interamericana </w:t>
            </w:r>
            <w:r w:rsidR="00050FFF">
              <w:rPr>
                <w:rFonts w:asciiTheme="majorHAnsi" w:hAnsiTheme="majorHAnsi"/>
                <w:bCs/>
                <w:sz w:val="20"/>
                <w:szCs w:val="20"/>
                <w:lang w:val="es-SV"/>
              </w:rPr>
              <w:t>sobre</w:t>
            </w:r>
            <w:r w:rsidR="00025FD7" w:rsidRPr="00050FFF">
              <w:rPr>
                <w:rFonts w:asciiTheme="majorHAnsi" w:hAnsiTheme="majorHAnsi"/>
                <w:bCs/>
                <w:sz w:val="20"/>
                <w:szCs w:val="20"/>
                <w:lang w:val="es-SV"/>
              </w:rPr>
              <w:t xml:space="preserve"> Derechos Humanos</w:t>
            </w:r>
          </w:p>
        </w:tc>
      </w:tr>
    </w:tbl>
    <w:p w14:paraId="20263696" w14:textId="77777777" w:rsidR="003239B8" w:rsidRPr="00050FFF" w:rsidRDefault="003239B8" w:rsidP="003239B8">
      <w:pPr>
        <w:spacing w:before="240" w:after="240"/>
        <w:ind w:firstLine="720"/>
        <w:jc w:val="both"/>
        <w:rPr>
          <w:rFonts w:asciiTheme="majorHAnsi" w:hAnsiTheme="majorHAnsi"/>
          <w:b/>
          <w:bCs/>
          <w:sz w:val="20"/>
          <w:szCs w:val="20"/>
          <w:lang w:val="es-ES"/>
        </w:rPr>
      </w:pPr>
      <w:r w:rsidRPr="00050FFF">
        <w:rPr>
          <w:rFonts w:asciiTheme="majorHAnsi" w:hAnsiTheme="majorHAnsi"/>
          <w:b/>
          <w:bCs/>
          <w:sz w:val="20"/>
          <w:szCs w:val="20"/>
          <w:lang w:val="es-ES"/>
        </w:rPr>
        <w:t>II.</w:t>
      </w:r>
      <w:r w:rsidRPr="00050FFF">
        <w:rPr>
          <w:rFonts w:asciiTheme="majorHAnsi" w:hAnsiTheme="majorHAnsi"/>
          <w:b/>
          <w:bCs/>
          <w:sz w:val="20"/>
          <w:szCs w:val="20"/>
          <w:lang w:val="es-ES"/>
        </w:rPr>
        <w:tab/>
        <w:t>TRÁMITE ANTE LA CIDH</w:t>
      </w:r>
      <w:r w:rsidR="008E3BFE" w:rsidRPr="00050FFF">
        <w:rPr>
          <w:rStyle w:val="FootnoteReference"/>
          <w:rFonts w:asciiTheme="majorHAnsi" w:hAnsiTheme="majorHAnsi"/>
          <w:b/>
          <w:sz w:val="20"/>
          <w:szCs w:val="20"/>
        </w:rPr>
        <w:footnoteReference w:id="2"/>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050FFF" w14:paraId="306EFCB0" w14:textId="77777777" w:rsidTr="00050FFF">
        <w:tc>
          <w:tcPr>
            <w:tcW w:w="3600" w:type="dxa"/>
            <w:tcBorders>
              <w:top w:val="single" w:sz="6" w:space="0" w:color="auto"/>
              <w:bottom w:val="single" w:sz="6" w:space="0" w:color="auto"/>
            </w:tcBorders>
            <w:shd w:val="clear" w:color="auto" w:fill="386294"/>
            <w:vAlign w:val="center"/>
          </w:tcPr>
          <w:p w14:paraId="7508D16F" w14:textId="653461D7" w:rsidR="004C2312" w:rsidRPr="00050FFF" w:rsidRDefault="004A6A54" w:rsidP="004A6A54">
            <w:pPr>
              <w:jc w:val="center"/>
              <w:rPr>
                <w:rFonts w:asciiTheme="majorHAnsi" w:hAnsiTheme="majorHAnsi"/>
                <w:b/>
                <w:bCs/>
                <w:color w:val="FFFFFF" w:themeColor="background1"/>
                <w:sz w:val="20"/>
                <w:szCs w:val="20"/>
                <w:lang w:val="es-ES"/>
              </w:rPr>
            </w:pPr>
            <w:r w:rsidRPr="00050FFF">
              <w:rPr>
                <w:rFonts w:asciiTheme="majorHAnsi" w:hAnsiTheme="majorHAnsi"/>
                <w:b/>
                <w:bCs/>
                <w:color w:val="FFFFFF" w:themeColor="background1"/>
                <w:sz w:val="20"/>
                <w:szCs w:val="20"/>
                <w:lang w:val="es-ES"/>
              </w:rPr>
              <w:t>P</w:t>
            </w:r>
            <w:r w:rsidR="004C2312" w:rsidRPr="00050FFF">
              <w:rPr>
                <w:rFonts w:asciiTheme="majorHAnsi" w:hAnsiTheme="majorHAnsi"/>
                <w:b/>
                <w:bCs/>
                <w:color w:val="FFFFFF" w:themeColor="background1"/>
                <w:sz w:val="20"/>
                <w:szCs w:val="20"/>
                <w:lang w:val="es-ES"/>
              </w:rPr>
              <w:t>resentación de la petición:</w:t>
            </w:r>
          </w:p>
        </w:tc>
        <w:tc>
          <w:tcPr>
            <w:tcW w:w="5647" w:type="dxa"/>
            <w:vAlign w:val="center"/>
          </w:tcPr>
          <w:p w14:paraId="2EB1D49F" w14:textId="77777777" w:rsidR="004C2312" w:rsidRPr="00050FFF" w:rsidRDefault="00BA3BBD" w:rsidP="002625EA">
            <w:pPr>
              <w:jc w:val="both"/>
              <w:rPr>
                <w:rFonts w:asciiTheme="majorHAnsi" w:hAnsiTheme="majorHAnsi"/>
                <w:bCs/>
                <w:sz w:val="20"/>
                <w:szCs w:val="20"/>
                <w:lang w:val="es-ES"/>
              </w:rPr>
            </w:pPr>
            <w:r w:rsidRPr="00050FFF">
              <w:rPr>
                <w:rFonts w:asciiTheme="majorHAnsi" w:hAnsiTheme="majorHAnsi"/>
                <w:bCs/>
                <w:sz w:val="20"/>
                <w:szCs w:val="20"/>
                <w:lang w:val="es-ES"/>
              </w:rPr>
              <w:t xml:space="preserve">23-11: </w:t>
            </w:r>
            <w:r w:rsidR="00941E71" w:rsidRPr="00050FFF">
              <w:rPr>
                <w:rFonts w:asciiTheme="majorHAnsi" w:hAnsiTheme="majorHAnsi"/>
                <w:bCs/>
                <w:sz w:val="20"/>
                <w:szCs w:val="20"/>
                <w:lang w:val="es-ES"/>
              </w:rPr>
              <w:t>8 de enero de 2011</w:t>
            </w:r>
          </w:p>
          <w:p w14:paraId="22F9B3B5" w14:textId="0FE86DE8" w:rsidR="00BA3BBD" w:rsidRPr="00050FFF" w:rsidRDefault="00BA3BBD" w:rsidP="002625EA">
            <w:pPr>
              <w:jc w:val="both"/>
              <w:rPr>
                <w:rFonts w:asciiTheme="majorHAnsi" w:hAnsiTheme="majorHAnsi"/>
                <w:bCs/>
                <w:sz w:val="20"/>
                <w:szCs w:val="20"/>
                <w:lang w:val="es-ES"/>
              </w:rPr>
            </w:pPr>
            <w:r w:rsidRPr="00050FFF">
              <w:rPr>
                <w:rFonts w:asciiTheme="majorHAnsi" w:hAnsiTheme="majorHAnsi"/>
                <w:bCs/>
                <w:sz w:val="20"/>
                <w:szCs w:val="20"/>
                <w:lang w:val="es-ES"/>
              </w:rPr>
              <w:t>53-11:</w:t>
            </w:r>
            <w:r w:rsidR="00B041BB" w:rsidRPr="00050FFF">
              <w:rPr>
                <w:rFonts w:asciiTheme="majorHAnsi" w:hAnsiTheme="majorHAnsi"/>
                <w:bCs/>
                <w:sz w:val="20"/>
                <w:szCs w:val="20"/>
                <w:lang w:val="es-ES"/>
              </w:rPr>
              <w:t xml:space="preserve"> </w:t>
            </w:r>
            <w:r w:rsidR="004C3352" w:rsidRPr="00050FFF">
              <w:rPr>
                <w:rFonts w:asciiTheme="majorHAnsi" w:hAnsiTheme="majorHAnsi"/>
                <w:bCs/>
                <w:sz w:val="20"/>
                <w:szCs w:val="20"/>
                <w:lang w:val="es-ES"/>
              </w:rPr>
              <w:t>15 de enero de 2011</w:t>
            </w:r>
          </w:p>
          <w:p w14:paraId="6E579153" w14:textId="2FBDB233" w:rsidR="00BA3BBD" w:rsidRPr="00050FFF" w:rsidRDefault="00BA3BBD" w:rsidP="002625EA">
            <w:pPr>
              <w:jc w:val="both"/>
              <w:rPr>
                <w:rFonts w:asciiTheme="majorHAnsi" w:hAnsiTheme="majorHAnsi"/>
                <w:bCs/>
                <w:sz w:val="20"/>
                <w:szCs w:val="20"/>
                <w:lang w:val="es-ES"/>
              </w:rPr>
            </w:pPr>
            <w:r w:rsidRPr="00050FFF">
              <w:rPr>
                <w:rFonts w:asciiTheme="majorHAnsi" w:hAnsiTheme="majorHAnsi"/>
                <w:bCs/>
                <w:sz w:val="20"/>
                <w:szCs w:val="20"/>
                <w:lang w:val="es-ES"/>
              </w:rPr>
              <w:t>575-1</w:t>
            </w:r>
            <w:r w:rsidR="007D3C0D" w:rsidRPr="00050FFF">
              <w:rPr>
                <w:rFonts w:asciiTheme="majorHAnsi" w:hAnsiTheme="majorHAnsi"/>
                <w:bCs/>
                <w:sz w:val="20"/>
                <w:szCs w:val="20"/>
                <w:lang w:val="es-ES"/>
              </w:rPr>
              <w:t>3</w:t>
            </w:r>
            <w:r w:rsidRPr="00050FFF">
              <w:rPr>
                <w:rFonts w:asciiTheme="majorHAnsi" w:hAnsiTheme="majorHAnsi"/>
                <w:bCs/>
                <w:sz w:val="20"/>
                <w:szCs w:val="20"/>
                <w:lang w:val="es-ES"/>
              </w:rPr>
              <w:t xml:space="preserve">: </w:t>
            </w:r>
            <w:r w:rsidR="00460847" w:rsidRPr="00050FFF">
              <w:rPr>
                <w:rFonts w:asciiTheme="majorHAnsi" w:hAnsiTheme="majorHAnsi"/>
                <w:bCs/>
                <w:sz w:val="20"/>
                <w:szCs w:val="20"/>
                <w:lang w:val="es-ES"/>
              </w:rPr>
              <w:t>4 de abril de 2013</w:t>
            </w:r>
          </w:p>
        </w:tc>
      </w:tr>
      <w:tr w:rsidR="00C75C10" w:rsidRPr="00411FFD" w14:paraId="41BFB82E" w14:textId="77777777" w:rsidTr="00050FFF">
        <w:tc>
          <w:tcPr>
            <w:tcW w:w="3600" w:type="dxa"/>
            <w:tcBorders>
              <w:top w:val="single" w:sz="6" w:space="0" w:color="auto"/>
              <w:bottom w:val="single" w:sz="6" w:space="0" w:color="auto"/>
            </w:tcBorders>
            <w:shd w:val="clear" w:color="auto" w:fill="386294"/>
            <w:vAlign w:val="center"/>
          </w:tcPr>
          <w:p w14:paraId="62F0DEBE" w14:textId="4A05D86F" w:rsidR="00C75C10" w:rsidRPr="00050FFF" w:rsidRDefault="00C75C10" w:rsidP="004A6A54">
            <w:pPr>
              <w:jc w:val="center"/>
              <w:rPr>
                <w:rFonts w:asciiTheme="majorHAnsi" w:hAnsiTheme="majorHAnsi"/>
                <w:b/>
                <w:bCs/>
                <w:color w:val="FFFFFF" w:themeColor="background1"/>
                <w:sz w:val="20"/>
                <w:szCs w:val="20"/>
                <w:lang w:val="es-ES"/>
              </w:rPr>
            </w:pPr>
            <w:r w:rsidRPr="00050FFF">
              <w:rPr>
                <w:rFonts w:asciiTheme="majorHAnsi" w:hAnsiTheme="majorHAnsi"/>
                <w:b/>
                <w:bCs/>
                <w:color w:val="FFFFFF" w:themeColor="background1"/>
                <w:sz w:val="20"/>
                <w:szCs w:val="20"/>
                <w:lang w:val="es-ES"/>
              </w:rPr>
              <w:t>Información adicional en etapa de estudio</w:t>
            </w:r>
          </w:p>
        </w:tc>
        <w:tc>
          <w:tcPr>
            <w:tcW w:w="5647" w:type="dxa"/>
            <w:vAlign w:val="center"/>
          </w:tcPr>
          <w:p w14:paraId="0ED873CB" w14:textId="212B1F94" w:rsidR="00C75C10" w:rsidRPr="00050FFF" w:rsidRDefault="00C75C10" w:rsidP="002625EA">
            <w:pPr>
              <w:jc w:val="both"/>
              <w:rPr>
                <w:rFonts w:asciiTheme="majorHAnsi" w:hAnsiTheme="majorHAnsi"/>
                <w:bCs/>
                <w:sz w:val="20"/>
                <w:szCs w:val="20"/>
                <w:lang w:val="pt-BR"/>
              </w:rPr>
            </w:pPr>
            <w:r w:rsidRPr="00050FFF">
              <w:rPr>
                <w:rFonts w:asciiTheme="majorHAnsi" w:hAnsiTheme="majorHAnsi"/>
                <w:bCs/>
                <w:sz w:val="20"/>
                <w:szCs w:val="20"/>
                <w:lang w:val="pt-BR"/>
              </w:rPr>
              <w:t>23-11:</w:t>
            </w:r>
            <w:r w:rsidR="00460847" w:rsidRPr="00050FFF">
              <w:rPr>
                <w:rFonts w:asciiTheme="majorHAnsi" w:hAnsiTheme="majorHAnsi"/>
                <w:bCs/>
                <w:sz w:val="20"/>
                <w:szCs w:val="20"/>
                <w:lang w:val="pt-BR"/>
              </w:rPr>
              <w:t xml:space="preserve"> n/a</w:t>
            </w:r>
          </w:p>
          <w:p w14:paraId="6FFA6273" w14:textId="77777777" w:rsidR="00C75C10" w:rsidRPr="00050FFF" w:rsidRDefault="00C75C10" w:rsidP="002625EA">
            <w:pPr>
              <w:jc w:val="both"/>
              <w:rPr>
                <w:rFonts w:asciiTheme="majorHAnsi" w:hAnsiTheme="majorHAnsi"/>
                <w:bCs/>
                <w:sz w:val="20"/>
                <w:szCs w:val="20"/>
                <w:lang w:val="pt-BR"/>
              </w:rPr>
            </w:pPr>
            <w:r w:rsidRPr="00050FFF">
              <w:rPr>
                <w:rFonts w:asciiTheme="majorHAnsi" w:hAnsiTheme="majorHAnsi"/>
                <w:bCs/>
                <w:sz w:val="20"/>
                <w:szCs w:val="20"/>
                <w:lang w:val="pt-BR"/>
              </w:rPr>
              <w:t>53-11: 13 de marzo de 2013</w:t>
            </w:r>
          </w:p>
          <w:p w14:paraId="4D9E0201" w14:textId="2F49D290" w:rsidR="004C3352" w:rsidRPr="00050FFF" w:rsidRDefault="004C3352" w:rsidP="002625EA">
            <w:pPr>
              <w:jc w:val="both"/>
              <w:rPr>
                <w:rFonts w:asciiTheme="majorHAnsi" w:hAnsiTheme="majorHAnsi"/>
                <w:bCs/>
                <w:sz w:val="20"/>
                <w:szCs w:val="20"/>
                <w:lang w:val="pt-BR"/>
              </w:rPr>
            </w:pPr>
            <w:r w:rsidRPr="00050FFF">
              <w:rPr>
                <w:rFonts w:asciiTheme="majorHAnsi" w:hAnsiTheme="majorHAnsi"/>
                <w:bCs/>
                <w:sz w:val="20"/>
                <w:szCs w:val="20"/>
                <w:lang w:val="pt-BR"/>
              </w:rPr>
              <w:t>575-13:</w:t>
            </w:r>
            <w:r w:rsidR="00460847" w:rsidRPr="00050FFF">
              <w:rPr>
                <w:rFonts w:asciiTheme="majorHAnsi" w:hAnsiTheme="majorHAnsi"/>
                <w:bCs/>
                <w:sz w:val="20"/>
                <w:szCs w:val="20"/>
                <w:lang w:val="pt-BR"/>
              </w:rPr>
              <w:t xml:space="preserve"> </w:t>
            </w:r>
            <w:r w:rsidR="007458B1" w:rsidRPr="00050FFF">
              <w:rPr>
                <w:rFonts w:asciiTheme="majorHAnsi" w:hAnsiTheme="majorHAnsi"/>
                <w:bCs/>
                <w:sz w:val="20"/>
                <w:szCs w:val="20"/>
                <w:lang w:val="pt-BR"/>
              </w:rPr>
              <w:t>n/a</w:t>
            </w:r>
          </w:p>
        </w:tc>
      </w:tr>
      <w:tr w:rsidR="004C2312" w:rsidRPr="00050FFF" w14:paraId="1BDCD5C6" w14:textId="77777777" w:rsidTr="00050FFF">
        <w:tc>
          <w:tcPr>
            <w:tcW w:w="3600" w:type="dxa"/>
            <w:tcBorders>
              <w:top w:val="single" w:sz="6" w:space="0" w:color="auto"/>
              <w:bottom w:val="single" w:sz="6" w:space="0" w:color="auto"/>
            </w:tcBorders>
            <w:shd w:val="clear" w:color="auto" w:fill="386294"/>
            <w:vAlign w:val="center"/>
          </w:tcPr>
          <w:p w14:paraId="7A18664F" w14:textId="73FE510C" w:rsidR="004C2312" w:rsidRPr="00050FFF" w:rsidRDefault="004A6A54" w:rsidP="004A6A54">
            <w:pPr>
              <w:jc w:val="center"/>
              <w:rPr>
                <w:rFonts w:asciiTheme="majorHAnsi" w:hAnsiTheme="majorHAnsi"/>
                <w:b/>
                <w:bCs/>
                <w:color w:val="FFFFFF" w:themeColor="background1"/>
                <w:sz w:val="20"/>
                <w:szCs w:val="20"/>
                <w:lang w:val="es-ES"/>
              </w:rPr>
            </w:pPr>
            <w:r w:rsidRPr="00050FFF">
              <w:rPr>
                <w:rFonts w:asciiTheme="majorHAnsi" w:hAnsiTheme="majorHAnsi"/>
                <w:b/>
                <w:color w:val="FFFFFF" w:themeColor="background1"/>
                <w:sz w:val="20"/>
                <w:szCs w:val="20"/>
                <w:lang w:val="es-ES"/>
              </w:rPr>
              <w:t>N</w:t>
            </w:r>
            <w:r w:rsidR="004C2312" w:rsidRPr="00050FFF">
              <w:rPr>
                <w:rFonts w:asciiTheme="majorHAnsi" w:hAnsiTheme="majorHAnsi"/>
                <w:b/>
                <w:color w:val="FFFFFF" w:themeColor="background1"/>
                <w:sz w:val="20"/>
                <w:szCs w:val="20"/>
                <w:lang w:val="es-ES"/>
              </w:rPr>
              <w:t>otificación de la petición al Estado:</w:t>
            </w:r>
          </w:p>
        </w:tc>
        <w:tc>
          <w:tcPr>
            <w:tcW w:w="5647" w:type="dxa"/>
            <w:vAlign w:val="center"/>
          </w:tcPr>
          <w:p w14:paraId="4D5541F1" w14:textId="77777777" w:rsidR="004C2312" w:rsidRPr="00050FFF" w:rsidRDefault="00BA3BBD" w:rsidP="008D2290">
            <w:pPr>
              <w:jc w:val="both"/>
              <w:rPr>
                <w:rFonts w:asciiTheme="majorHAnsi" w:hAnsiTheme="majorHAnsi"/>
                <w:bCs/>
                <w:sz w:val="20"/>
                <w:szCs w:val="20"/>
                <w:lang w:val="es-ES"/>
              </w:rPr>
            </w:pPr>
            <w:r w:rsidRPr="00050FFF">
              <w:rPr>
                <w:rFonts w:asciiTheme="majorHAnsi" w:hAnsiTheme="majorHAnsi"/>
                <w:bCs/>
                <w:sz w:val="20"/>
                <w:szCs w:val="20"/>
                <w:lang w:val="es-ES"/>
              </w:rPr>
              <w:t xml:space="preserve">23-11: </w:t>
            </w:r>
            <w:r w:rsidR="007512CE" w:rsidRPr="00050FFF">
              <w:rPr>
                <w:rFonts w:asciiTheme="majorHAnsi" w:hAnsiTheme="majorHAnsi"/>
                <w:bCs/>
                <w:sz w:val="20"/>
                <w:szCs w:val="20"/>
                <w:lang w:val="es-ES"/>
              </w:rPr>
              <w:t>20 de abril de 2017</w:t>
            </w:r>
          </w:p>
          <w:p w14:paraId="6D59F812" w14:textId="03E94A19" w:rsidR="00BA3BBD" w:rsidRPr="00050FFF" w:rsidRDefault="00BA3BBD" w:rsidP="008D2290">
            <w:pPr>
              <w:jc w:val="both"/>
              <w:rPr>
                <w:rFonts w:asciiTheme="majorHAnsi" w:hAnsiTheme="majorHAnsi"/>
                <w:bCs/>
                <w:sz w:val="20"/>
                <w:szCs w:val="20"/>
                <w:lang w:val="es-ES"/>
              </w:rPr>
            </w:pPr>
            <w:r w:rsidRPr="00050FFF">
              <w:rPr>
                <w:rFonts w:asciiTheme="majorHAnsi" w:hAnsiTheme="majorHAnsi"/>
                <w:bCs/>
                <w:sz w:val="20"/>
                <w:szCs w:val="20"/>
                <w:lang w:val="es-ES"/>
              </w:rPr>
              <w:t>53-11:</w:t>
            </w:r>
            <w:r w:rsidR="004C3352" w:rsidRPr="00050FFF">
              <w:rPr>
                <w:rFonts w:asciiTheme="majorHAnsi" w:hAnsiTheme="majorHAnsi"/>
                <w:bCs/>
                <w:sz w:val="20"/>
                <w:szCs w:val="20"/>
                <w:lang w:val="es-ES"/>
              </w:rPr>
              <w:t xml:space="preserve"> 25 de abril de 2017</w:t>
            </w:r>
          </w:p>
          <w:p w14:paraId="1519DA6A" w14:textId="1ACFB417" w:rsidR="00BA3BBD" w:rsidRPr="00050FFF" w:rsidRDefault="00BA3BBD" w:rsidP="008D2290">
            <w:pPr>
              <w:jc w:val="both"/>
              <w:rPr>
                <w:rFonts w:asciiTheme="majorHAnsi" w:hAnsiTheme="majorHAnsi"/>
                <w:bCs/>
                <w:sz w:val="20"/>
                <w:szCs w:val="20"/>
                <w:lang w:val="es-ES"/>
              </w:rPr>
            </w:pPr>
            <w:r w:rsidRPr="00050FFF">
              <w:rPr>
                <w:rFonts w:asciiTheme="majorHAnsi" w:hAnsiTheme="majorHAnsi"/>
                <w:bCs/>
                <w:sz w:val="20"/>
                <w:szCs w:val="20"/>
                <w:lang w:val="es-ES"/>
              </w:rPr>
              <w:t>575-1</w:t>
            </w:r>
            <w:r w:rsidR="007D3C0D" w:rsidRPr="00050FFF">
              <w:rPr>
                <w:rFonts w:asciiTheme="majorHAnsi" w:hAnsiTheme="majorHAnsi"/>
                <w:bCs/>
                <w:sz w:val="20"/>
                <w:szCs w:val="20"/>
                <w:lang w:val="es-ES"/>
              </w:rPr>
              <w:t>3</w:t>
            </w:r>
            <w:r w:rsidRPr="00050FFF">
              <w:rPr>
                <w:rFonts w:asciiTheme="majorHAnsi" w:hAnsiTheme="majorHAnsi"/>
                <w:bCs/>
                <w:sz w:val="20"/>
                <w:szCs w:val="20"/>
                <w:lang w:val="es-ES"/>
              </w:rPr>
              <w:t>:</w:t>
            </w:r>
            <w:r w:rsidR="007458B1" w:rsidRPr="00050FFF">
              <w:rPr>
                <w:rFonts w:asciiTheme="majorHAnsi" w:hAnsiTheme="majorHAnsi"/>
                <w:bCs/>
                <w:sz w:val="20"/>
                <w:szCs w:val="20"/>
                <w:lang w:val="es-ES"/>
              </w:rPr>
              <w:t xml:space="preserve"> 27 de abril de 2017</w:t>
            </w:r>
          </w:p>
        </w:tc>
      </w:tr>
      <w:tr w:rsidR="004C2312" w:rsidRPr="00411FFD" w14:paraId="6147A8D5" w14:textId="77777777" w:rsidTr="00050FFF">
        <w:tc>
          <w:tcPr>
            <w:tcW w:w="3600" w:type="dxa"/>
            <w:tcBorders>
              <w:top w:val="single" w:sz="6" w:space="0" w:color="auto"/>
              <w:bottom w:val="single" w:sz="6" w:space="0" w:color="auto"/>
            </w:tcBorders>
            <w:shd w:val="clear" w:color="auto" w:fill="386294"/>
            <w:vAlign w:val="center"/>
          </w:tcPr>
          <w:p w14:paraId="0201C86D" w14:textId="4A5EC6F9" w:rsidR="004C2312" w:rsidRPr="00050FFF" w:rsidRDefault="004A6A54" w:rsidP="004A6A54">
            <w:pPr>
              <w:jc w:val="center"/>
              <w:rPr>
                <w:rFonts w:asciiTheme="majorHAnsi" w:hAnsiTheme="majorHAnsi"/>
                <w:b/>
                <w:bCs/>
                <w:color w:val="FFFFFF" w:themeColor="background1"/>
                <w:sz w:val="20"/>
                <w:szCs w:val="20"/>
                <w:lang w:val="es-ES"/>
              </w:rPr>
            </w:pPr>
            <w:r w:rsidRPr="00050FFF">
              <w:rPr>
                <w:rFonts w:asciiTheme="majorHAnsi" w:hAnsiTheme="majorHAnsi"/>
                <w:b/>
                <w:color w:val="FFFFFF" w:themeColor="background1"/>
                <w:sz w:val="20"/>
                <w:szCs w:val="20"/>
                <w:lang w:val="es-ES"/>
              </w:rPr>
              <w:t>P</w:t>
            </w:r>
            <w:r w:rsidR="004C2312" w:rsidRPr="00050FFF">
              <w:rPr>
                <w:rFonts w:asciiTheme="majorHAnsi" w:hAnsiTheme="majorHAnsi"/>
                <w:b/>
                <w:color w:val="FFFFFF" w:themeColor="background1"/>
                <w:sz w:val="20"/>
                <w:szCs w:val="20"/>
                <w:lang w:val="es-ES"/>
              </w:rPr>
              <w:t>rimera respuesta del Estado:</w:t>
            </w:r>
          </w:p>
        </w:tc>
        <w:tc>
          <w:tcPr>
            <w:tcW w:w="5647" w:type="dxa"/>
            <w:vAlign w:val="center"/>
          </w:tcPr>
          <w:p w14:paraId="1C42B7BF" w14:textId="77777777" w:rsidR="004C2312" w:rsidRPr="00050FFF" w:rsidRDefault="00BA3BBD" w:rsidP="008D2290">
            <w:pPr>
              <w:jc w:val="both"/>
              <w:rPr>
                <w:rFonts w:asciiTheme="majorHAnsi" w:hAnsiTheme="majorHAnsi"/>
                <w:bCs/>
                <w:sz w:val="20"/>
                <w:szCs w:val="20"/>
                <w:lang w:val="es-ES"/>
              </w:rPr>
            </w:pPr>
            <w:r w:rsidRPr="00050FFF">
              <w:rPr>
                <w:rFonts w:asciiTheme="majorHAnsi" w:hAnsiTheme="majorHAnsi"/>
                <w:bCs/>
                <w:sz w:val="20"/>
                <w:szCs w:val="20"/>
                <w:lang w:val="es-ES"/>
              </w:rPr>
              <w:t xml:space="preserve">23-11: </w:t>
            </w:r>
            <w:r w:rsidR="001B5EE6" w:rsidRPr="00050FFF">
              <w:rPr>
                <w:rFonts w:asciiTheme="majorHAnsi" w:hAnsiTheme="majorHAnsi"/>
                <w:bCs/>
                <w:sz w:val="20"/>
                <w:szCs w:val="20"/>
                <w:lang w:val="es-ES"/>
              </w:rPr>
              <w:t>18 de septiembre de 2018</w:t>
            </w:r>
          </w:p>
          <w:p w14:paraId="3407E9DD" w14:textId="077015F5" w:rsidR="00BA3BBD" w:rsidRPr="00050FFF" w:rsidRDefault="00BA3BBD" w:rsidP="008D2290">
            <w:pPr>
              <w:jc w:val="both"/>
              <w:rPr>
                <w:rFonts w:asciiTheme="majorHAnsi" w:hAnsiTheme="majorHAnsi"/>
                <w:bCs/>
                <w:sz w:val="20"/>
                <w:szCs w:val="20"/>
                <w:lang w:val="es-ES"/>
              </w:rPr>
            </w:pPr>
            <w:r w:rsidRPr="00050FFF">
              <w:rPr>
                <w:rFonts w:asciiTheme="majorHAnsi" w:hAnsiTheme="majorHAnsi"/>
                <w:bCs/>
                <w:sz w:val="20"/>
                <w:szCs w:val="20"/>
                <w:lang w:val="es-ES"/>
              </w:rPr>
              <w:t>53-11:</w:t>
            </w:r>
            <w:r w:rsidR="008C36C4" w:rsidRPr="00050FFF">
              <w:rPr>
                <w:rFonts w:asciiTheme="majorHAnsi" w:hAnsiTheme="majorHAnsi"/>
                <w:bCs/>
                <w:sz w:val="20"/>
                <w:szCs w:val="20"/>
                <w:lang w:val="es-ES"/>
              </w:rPr>
              <w:t xml:space="preserve"> 18 de septiembre de 2018</w:t>
            </w:r>
          </w:p>
          <w:p w14:paraId="1972B99E" w14:textId="0145EC4D" w:rsidR="00BA3BBD" w:rsidRPr="00050FFF" w:rsidRDefault="00BA3BBD" w:rsidP="008D2290">
            <w:pPr>
              <w:jc w:val="both"/>
              <w:rPr>
                <w:rFonts w:asciiTheme="majorHAnsi" w:hAnsiTheme="majorHAnsi"/>
                <w:bCs/>
                <w:sz w:val="20"/>
                <w:szCs w:val="20"/>
                <w:lang w:val="es-ES"/>
              </w:rPr>
            </w:pPr>
            <w:r w:rsidRPr="00050FFF">
              <w:rPr>
                <w:rFonts w:asciiTheme="majorHAnsi" w:hAnsiTheme="majorHAnsi"/>
                <w:bCs/>
                <w:sz w:val="20"/>
                <w:szCs w:val="20"/>
                <w:lang w:val="es-ES"/>
              </w:rPr>
              <w:t>575-</w:t>
            </w:r>
            <w:r w:rsidR="007D3C0D" w:rsidRPr="00050FFF">
              <w:rPr>
                <w:rFonts w:asciiTheme="majorHAnsi" w:hAnsiTheme="majorHAnsi"/>
                <w:bCs/>
                <w:sz w:val="20"/>
                <w:szCs w:val="20"/>
                <w:lang w:val="es-ES"/>
              </w:rPr>
              <w:t>13:</w:t>
            </w:r>
            <w:r w:rsidR="007458B1" w:rsidRPr="00050FFF">
              <w:rPr>
                <w:rFonts w:asciiTheme="majorHAnsi" w:hAnsiTheme="majorHAnsi"/>
                <w:bCs/>
                <w:sz w:val="20"/>
                <w:szCs w:val="20"/>
                <w:lang w:val="es-ES"/>
              </w:rPr>
              <w:t xml:space="preserve"> </w:t>
            </w:r>
            <w:r w:rsidR="00250112" w:rsidRPr="00050FFF">
              <w:rPr>
                <w:rFonts w:asciiTheme="majorHAnsi" w:hAnsiTheme="majorHAnsi"/>
                <w:bCs/>
                <w:sz w:val="20"/>
                <w:szCs w:val="20"/>
                <w:lang w:val="es-ES"/>
              </w:rPr>
              <w:t>22 de agosto de 2018</w:t>
            </w:r>
          </w:p>
        </w:tc>
      </w:tr>
      <w:tr w:rsidR="004C2312" w:rsidRPr="00411FFD" w14:paraId="322668B6" w14:textId="77777777" w:rsidTr="00050FFF">
        <w:tc>
          <w:tcPr>
            <w:tcW w:w="3600" w:type="dxa"/>
            <w:tcBorders>
              <w:top w:val="single" w:sz="6" w:space="0" w:color="auto"/>
              <w:bottom w:val="single" w:sz="6" w:space="0" w:color="auto"/>
            </w:tcBorders>
            <w:shd w:val="clear" w:color="auto" w:fill="386294"/>
            <w:vAlign w:val="center"/>
          </w:tcPr>
          <w:p w14:paraId="1524DA55" w14:textId="77777777" w:rsidR="004C2312" w:rsidRPr="00050FFF" w:rsidRDefault="008E3BFE" w:rsidP="008E3BFE">
            <w:pPr>
              <w:jc w:val="center"/>
              <w:rPr>
                <w:rFonts w:asciiTheme="majorHAnsi" w:hAnsiTheme="majorHAnsi"/>
                <w:b/>
                <w:bCs/>
                <w:color w:val="FFFFFF" w:themeColor="background1"/>
                <w:sz w:val="20"/>
                <w:szCs w:val="20"/>
                <w:lang w:val="es-ES"/>
              </w:rPr>
            </w:pPr>
            <w:r w:rsidRPr="00050FFF">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247B7B1C" w14:textId="77777777" w:rsidR="004C2312" w:rsidRPr="00050FFF" w:rsidRDefault="007D3C0D" w:rsidP="008D2290">
            <w:pPr>
              <w:jc w:val="both"/>
              <w:rPr>
                <w:rFonts w:asciiTheme="majorHAnsi" w:hAnsiTheme="majorHAnsi"/>
                <w:bCs/>
                <w:sz w:val="20"/>
                <w:szCs w:val="20"/>
                <w:lang w:val="es-ES"/>
              </w:rPr>
            </w:pPr>
            <w:r w:rsidRPr="00050FFF">
              <w:rPr>
                <w:rFonts w:asciiTheme="majorHAnsi" w:hAnsiTheme="majorHAnsi"/>
                <w:bCs/>
                <w:sz w:val="20"/>
                <w:szCs w:val="20"/>
                <w:lang w:val="es-ES"/>
              </w:rPr>
              <w:t xml:space="preserve">23-11: </w:t>
            </w:r>
            <w:r w:rsidR="00E95D51" w:rsidRPr="00050FFF">
              <w:rPr>
                <w:rFonts w:asciiTheme="majorHAnsi" w:hAnsiTheme="majorHAnsi"/>
                <w:bCs/>
                <w:sz w:val="20"/>
                <w:szCs w:val="20"/>
                <w:lang w:val="es-ES"/>
              </w:rPr>
              <w:t>10 de diciembre de 2018</w:t>
            </w:r>
            <w:r w:rsidR="000E2C65" w:rsidRPr="00050FFF">
              <w:rPr>
                <w:rFonts w:asciiTheme="majorHAnsi" w:hAnsiTheme="majorHAnsi"/>
                <w:bCs/>
                <w:sz w:val="20"/>
                <w:szCs w:val="20"/>
                <w:lang w:val="es-ES"/>
              </w:rPr>
              <w:t>, 30 de junio 2020</w:t>
            </w:r>
          </w:p>
          <w:p w14:paraId="54FE6001" w14:textId="30A87C43" w:rsidR="007D3C0D" w:rsidRPr="00050FFF" w:rsidRDefault="007D3C0D" w:rsidP="008D2290">
            <w:pPr>
              <w:jc w:val="both"/>
              <w:rPr>
                <w:rFonts w:asciiTheme="majorHAnsi" w:hAnsiTheme="majorHAnsi"/>
                <w:bCs/>
                <w:sz w:val="20"/>
                <w:szCs w:val="20"/>
                <w:lang w:val="es-ES"/>
              </w:rPr>
            </w:pPr>
            <w:r w:rsidRPr="00050FFF">
              <w:rPr>
                <w:rFonts w:asciiTheme="majorHAnsi" w:hAnsiTheme="majorHAnsi"/>
                <w:bCs/>
                <w:sz w:val="20"/>
                <w:szCs w:val="20"/>
                <w:lang w:val="es-ES"/>
              </w:rPr>
              <w:t>53-11:</w:t>
            </w:r>
            <w:r w:rsidR="008C36C4" w:rsidRPr="00050FFF">
              <w:rPr>
                <w:rFonts w:asciiTheme="majorHAnsi" w:hAnsiTheme="majorHAnsi"/>
                <w:bCs/>
                <w:sz w:val="20"/>
                <w:szCs w:val="20"/>
                <w:lang w:val="es-ES"/>
              </w:rPr>
              <w:t xml:space="preserve"> 15 de enero de 2019</w:t>
            </w:r>
          </w:p>
          <w:p w14:paraId="41D8B862" w14:textId="072237B0" w:rsidR="007D3C0D" w:rsidRPr="00050FFF" w:rsidRDefault="007D3C0D" w:rsidP="008D2290">
            <w:pPr>
              <w:jc w:val="both"/>
              <w:rPr>
                <w:rFonts w:asciiTheme="majorHAnsi" w:hAnsiTheme="majorHAnsi"/>
                <w:bCs/>
                <w:sz w:val="20"/>
                <w:szCs w:val="20"/>
                <w:lang w:val="es-ES"/>
              </w:rPr>
            </w:pPr>
            <w:r w:rsidRPr="00050FFF">
              <w:rPr>
                <w:rFonts w:asciiTheme="majorHAnsi" w:hAnsiTheme="majorHAnsi"/>
                <w:bCs/>
                <w:sz w:val="20"/>
                <w:szCs w:val="20"/>
                <w:lang w:val="es-ES"/>
              </w:rPr>
              <w:t>575-13:</w:t>
            </w:r>
            <w:r w:rsidR="00E271B1" w:rsidRPr="00050FFF">
              <w:rPr>
                <w:rFonts w:asciiTheme="majorHAnsi" w:hAnsiTheme="majorHAnsi"/>
                <w:bCs/>
                <w:sz w:val="20"/>
                <w:szCs w:val="20"/>
                <w:lang w:val="es-ES"/>
              </w:rPr>
              <w:t xml:space="preserve"> </w:t>
            </w:r>
            <w:r w:rsidR="002506A8" w:rsidRPr="00050FFF">
              <w:rPr>
                <w:rFonts w:asciiTheme="majorHAnsi" w:hAnsiTheme="majorHAnsi"/>
                <w:bCs/>
                <w:sz w:val="20"/>
                <w:szCs w:val="20"/>
                <w:lang w:val="es-ES"/>
              </w:rPr>
              <w:t xml:space="preserve">19 de marzo de 2019, </w:t>
            </w:r>
          </w:p>
        </w:tc>
      </w:tr>
      <w:tr w:rsidR="00747957" w:rsidRPr="00411FFD" w14:paraId="6CAF2453" w14:textId="77777777" w:rsidTr="00050FFF">
        <w:tc>
          <w:tcPr>
            <w:tcW w:w="3600" w:type="dxa"/>
            <w:tcBorders>
              <w:top w:val="single" w:sz="6" w:space="0" w:color="auto"/>
              <w:bottom w:val="single" w:sz="6" w:space="0" w:color="auto"/>
            </w:tcBorders>
            <w:shd w:val="clear" w:color="auto" w:fill="386294"/>
            <w:vAlign w:val="center"/>
          </w:tcPr>
          <w:p w14:paraId="779E6405" w14:textId="4956F155" w:rsidR="00747957" w:rsidRPr="00050FFF" w:rsidRDefault="00747957" w:rsidP="008E3BFE">
            <w:pPr>
              <w:jc w:val="center"/>
              <w:rPr>
                <w:rFonts w:asciiTheme="majorHAnsi" w:hAnsiTheme="majorHAnsi"/>
                <w:b/>
                <w:bCs/>
                <w:color w:val="FFFFFF" w:themeColor="background1"/>
                <w:sz w:val="20"/>
                <w:szCs w:val="20"/>
                <w:lang w:val="es-ES"/>
              </w:rPr>
            </w:pPr>
            <w:r w:rsidRPr="00050FFF">
              <w:rPr>
                <w:rFonts w:asciiTheme="majorHAnsi" w:hAnsiTheme="majorHAnsi"/>
                <w:b/>
                <w:bCs/>
                <w:color w:val="FFFFFF" w:themeColor="background1"/>
                <w:sz w:val="20"/>
                <w:szCs w:val="20"/>
                <w:lang w:val="es-ES"/>
              </w:rPr>
              <w:t>Advertencia de archivo</w:t>
            </w:r>
          </w:p>
        </w:tc>
        <w:tc>
          <w:tcPr>
            <w:tcW w:w="5647" w:type="dxa"/>
            <w:vAlign w:val="center"/>
          </w:tcPr>
          <w:p w14:paraId="5F43A83A" w14:textId="77777777" w:rsidR="00747957" w:rsidRPr="00050FFF" w:rsidRDefault="007D3C0D" w:rsidP="008D2290">
            <w:pPr>
              <w:jc w:val="both"/>
              <w:rPr>
                <w:rFonts w:asciiTheme="majorHAnsi" w:hAnsiTheme="majorHAnsi"/>
                <w:bCs/>
                <w:sz w:val="20"/>
                <w:szCs w:val="20"/>
                <w:lang w:val="es-ES"/>
              </w:rPr>
            </w:pPr>
            <w:r w:rsidRPr="00050FFF">
              <w:rPr>
                <w:rFonts w:asciiTheme="majorHAnsi" w:hAnsiTheme="majorHAnsi"/>
                <w:bCs/>
                <w:sz w:val="20"/>
                <w:szCs w:val="20"/>
                <w:lang w:val="es-ES"/>
              </w:rPr>
              <w:t xml:space="preserve">23-11: </w:t>
            </w:r>
            <w:r w:rsidR="00556454" w:rsidRPr="00050FFF">
              <w:rPr>
                <w:rFonts w:asciiTheme="majorHAnsi" w:hAnsiTheme="majorHAnsi"/>
                <w:bCs/>
                <w:sz w:val="20"/>
                <w:szCs w:val="20"/>
                <w:lang w:val="es-ES"/>
              </w:rPr>
              <w:t>5 de noviembre de 2018</w:t>
            </w:r>
          </w:p>
          <w:p w14:paraId="44EFBB3D" w14:textId="07A30E14" w:rsidR="007D3C0D" w:rsidRPr="00050FFF" w:rsidRDefault="00070798" w:rsidP="008D2290">
            <w:pPr>
              <w:jc w:val="both"/>
              <w:rPr>
                <w:rFonts w:asciiTheme="majorHAnsi" w:hAnsiTheme="majorHAnsi"/>
                <w:bCs/>
                <w:sz w:val="20"/>
                <w:szCs w:val="20"/>
                <w:lang w:val="es-ES"/>
              </w:rPr>
            </w:pPr>
            <w:r w:rsidRPr="00050FFF">
              <w:rPr>
                <w:rFonts w:asciiTheme="majorHAnsi" w:hAnsiTheme="majorHAnsi"/>
                <w:bCs/>
                <w:sz w:val="20"/>
                <w:szCs w:val="20"/>
                <w:lang w:val="es-ES"/>
              </w:rPr>
              <w:t>53-11:</w:t>
            </w:r>
            <w:r w:rsidR="008C36C4" w:rsidRPr="00050FFF">
              <w:rPr>
                <w:rFonts w:asciiTheme="majorHAnsi" w:hAnsiTheme="majorHAnsi"/>
                <w:bCs/>
                <w:sz w:val="20"/>
                <w:szCs w:val="20"/>
                <w:lang w:val="es-ES"/>
              </w:rPr>
              <w:t xml:space="preserve"> 15 de octubre de 2018</w:t>
            </w:r>
          </w:p>
          <w:p w14:paraId="126FF8F9" w14:textId="4E8D2BB8" w:rsidR="00070798" w:rsidRPr="00050FFF" w:rsidRDefault="00070798" w:rsidP="008D2290">
            <w:pPr>
              <w:jc w:val="both"/>
              <w:rPr>
                <w:rFonts w:asciiTheme="majorHAnsi" w:hAnsiTheme="majorHAnsi"/>
                <w:bCs/>
                <w:sz w:val="20"/>
                <w:szCs w:val="20"/>
                <w:lang w:val="es-ES"/>
              </w:rPr>
            </w:pPr>
            <w:r w:rsidRPr="00050FFF">
              <w:rPr>
                <w:rFonts w:asciiTheme="majorHAnsi" w:hAnsiTheme="majorHAnsi"/>
                <w:bCs/>
                <w:sz w:val="20"/>
                <w:szCs w:val="20"/>
                <w:lang w:val="es-ES"/>
              </w:rPr>
              <w:t>575-13:</w:t>
            </w:r>
            <w:r w:rsidR="008254AF" w:rsidRPr="00050FFF">
              <w:rPr>
                <w:rFonts w:asciiTheme="majorHAnsi" w:hAnsiTheme="majorHAnsi"/>
                <w:bCs/>
                <w:sz w:val="20"/>
                <w:szCs w:val="20"/>
                <w:lang w:val="es-ES"/>
              </w:rPr>
              <w:t xml:space="preserve"> 9 de octubre de 2018</w:t>
            </w:r>
          </w:p>
        </w:tc>
      </w:tr>
      <w:tr w:rsidR="00747957" w:rsidRPr="007A4D83" w14:paraId="640FD57C" w14:textId="77777777" w:rsidTr="00050FFF">
        <w:tc>
          <w:tcPr>
            <w:tcW w:w="3600" w:type="dxa"/>
            <w:tcBorders>
              <w:top w:val="single" w:sz="6" w:space="0" w:color="auto"/>
              <w:bottom w:val="single" w:sz="6" w:space="0" w:color="auto"/>
            </w:tcBorders>
            <w:shd w:val="clear" w:color="auto" w:fill="386294"/>
            <w:vAlign w:val="center"/>
          </w:tcPr>
          <w:p w14:paraId="2084C52E" w14:textId="73D349F9" w:rsidR="00747957" w:rsidRPr="00050FFF" w:rsidRDefault="00747957" w:rsidP="008E3BFE">
            <w:pPr>
              <w:jc w:val="center"/>
              <w:rPr>
                <w:rFonts w:asciiTheme="majorHAnsi" w:hAnsiTheme="majorHAnsi"/>
                <w:b/>
                <w:bCs/>
                <w:color w:val="FFFFFF" w:themeColor="background1"/>
                <w:sz w:val="20"/>
                <w:szCs w:val="20"/>
                <w:lang w:val="es-ES"/>
              </w:rPr>
            </w:pPr>
            <w:r w:rsidRPr="00050FFF">
              <w:rPr>
                <w:rFonts w:asciiTheme="majorHAnsi" w:hAnsiTheme="majorHAnsi"/>
                <w:b/>
                <w:bCs/>
                <w:color w:val="FFFFFF" w:themeColor="background1"/>
                <w:sz w:val="20"/>
                <w:szCs w:val="20"/>
                <w:lang w:val="es-ES"/>
              </w:rPr>
              <w:t>Respuesta a advertencia de archivo</w:t>
            </w:r>
          </w:p>
        </w:tc>
        <w:tc>
          <w:tcPr>
            <w:tcW w:w="5647" w:type="dxa"/>
            <w:vAlign w:val="center"/>
          </w:tcPr>
          <w:p w14:paraId="6D537CC2" w14:textId="77777777" w:rsidR="00747957" w:rsidRPr="00050FFF" w:rsidRDefault="00070798" w:rsidP="008D2290">
            <w:pPr>
              <w:jc w:val="both"/>
              <w:rPr>
                <w:rFonts w:asciiTheme="majorHAnsi" w:hAnsiTheme="majorHAnsi"/>
                <w:bCs/>
                <w:sz w:val="20"/>
                <w:szCs w:val="20"/>
                <w:lang w:val="es-ES"/>
              </w:rPr>
            </w:pPr>
            <w:r w:rsidRPr="00050FFF">
              <w:rPr>
                <w:rFonts w:asciiTheme="majorHAnsi" w:hAnsiTheme="majorHAnsi"/>
                <w:bCs/>
                <w:sz w:val="20"/>
                <w:szCs w:val="20"/>
                <w:lang w:val="es-ES"/>
              </w:rPr>
              <w:t xml:space="preserve">23-11: </w:t>
            </w:r>
            <w:r w:rsidR="00A019F9" w:rsidRPr="00050FFF">
              <w:rPr>
                <w:rFonts w:asciiTheme="majorHAnsi" w:hAnsiTheme="majorHAnsi"/>
                <w:bCs/>
                <w:sz w:val="20"/>
                <w:szCs w:val="20"/>
                <w:lang w:val="es-ES"/>
              </w:rPr>
              <w:t>6 de noviembre de 2018</w:t>
            </w:r>
          </w:p>
          <w:p w14:paraId="17527A72" w14:textId="2CF61190" w:rsidR="00070798" w:rsidRPr="00050FFF" w:rsidRDefault="00070798" w:rsidP="008D2290">
            <w:pPr>
              <w:jc w:val="both"/>
              <w:rPr>
                <w:rFonts w:asciiTheme="majorHAnsi" w:hAnsiTheme="majorHAnsi"/>
                <w:bCs/>
                <w:sz w:val="20"/>
                <w:szCs w:val="20"/>
                <w:lang w:val="es-ES"/>
              </w:rPr>
            </w:pPr>
            <w:r w:rsidRPr="00050FFF">
              <w:rPr>
                <w:rFonts w:asciiTheme="majorHAnsi" w:hAnsiTheme="majorHAnsi"/>
                <w:bCs/>
                <w:sz w:val="20"/>
                <w:szCs w:val="20"/>
                <w:lang w:val="es-ES"/>
              </w:rPr>
              <w:t>53-11:</w:t>
            </w:r>
            <w:r w:rsidR="008C36C4" w:rsidRPr="00050FFF">
              <w:rPr>
                <w:rFonts w:asciiTheme="majorHAnsi" w:hAnsiTheme="majorHAnsi"/>
                <w:bCs/>
                <w:sz w:val="20"/>
                <w:szCs w:val="20"/>
                <w:lang w:val="es-ES"/>
              </w:rPr>
              <w:t xml:space="preserve"> 30 de noviembre de 2018</w:t>
            </w:r>
          </w:p>
          <w:p w14:paraId="208D33FB" w14:textId="4A67E978" w:rsidR="00070798" w:rsidRPr="00050FFF" w:rsidRDefault="00070798" w:rsidP="008D2290">
            <w:pPr>
              <w:jc w:val="both"/>
              <w:rPr>
                <w:rFonts w:asciiTheme="majorHAnsi" w:hAnsiTheme="majorHAnsi"/>
                <w:bCs/>
                <w:sz w:val="20"/>
                <w:szCs w:val="20"/>
                <w:lang w:val="es-ES"/>
              </w:rPr>
            </w:pPr>
            <w:r w:rsidRPr="00050FFF">
              <w:rPr>
                <w:rFonts w:asciiTheme="majorHAnsi" w:hAnsiTheme="majorHAnsi"/>
                <w:bCs/>
                <w:sz w:val="20"/>
                <w:szCs w:val="20"/>
                <w:lang w:val="es-ES"/>
              </w:rPr>
              <w:t>575-13:</w:t>
            </w:r>
            <w:r w:rsidR="00E271B1" w:rsidRPr="00050FFF">
              <w:rPr>
                <w:rFonts w:asciiTheme="majorHAnsi" w:hAnsiTheme="majorHAnsi"/>
                <w:bCs/>
                <w:sz w:val="20"/>
                <w:szCs w:val="20"/>
                <w:lang w:val="es-ES"/>
              </w:rPr>
              <w:t xml:space="preserve"> 29 de octubre de 2018</w:t>
            </w:r>
          </w:p>
        </w:tc>
      </w:tr>
    </w:tbl>
    <w:p w14:paraId="21DAA666" w14:textId="77777777" w:rsidR="003239B8" w:rsidRPr="00050FFF" w:rsidRDefault="003239B8" w:rsidP="003239B8">
      <w:pPr>
        <w:spacing w:before="240" w:after="240"/>
        <w:ind w:firstLine="720"/>
        <w:jc w:val="both"/>
        <w:rPr>
          <w:rFonts w:asciiTheme="majorHAnsi" w:hAnsiTheme="majorHAnsi"/>
          <w:b/>
          <w:bCs/>
          <w:sz w:val="20"/>
          <w:szCs w:val="20"/>
          <w:lang w:val="es-ES"/>
        </w:rPr>
      </w:pPr>
      <w:r w:rsidRPr="00050FFF">
        <w:rPr>
          <w:rFonts w:asciiTheme="majorHAnsi" w:hAnsiTheme="majorHAnsi"/>
          <w:b/>
          <w:bCs/>
          <w:sz w:val="20"/>
          <w:szCs w:val="20"/>
          <w:lang w:val="es-ES"/>
        </w:rPr>
        <w:t xml:space="preserve">III. </w:t>
      </w:r>
      <w:r w:rsidRPr="00050FFF">
        <w:rPr>
          <w:rFonts w:asciiTheme="majorHAnsi" w:hAnsiTheme="majorHAnsi"/>
          <w:b/>
          <w:bCs/>
          <w:sz w:val="20"/>
          <w:szCs w:val="20"/>
          <w:lang w:val="es-ES"/>
        </w:rPr>
        <w:tab/>
        <w:t>COMPETENCIA</w:t>
      </w:r>
      <w:r w:rsidR="00EE00E9" w:rsidRPr="00050FF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3239B8" w:rsidRPr="00050FFF" w14:paraId="072532AD" w14:textId="77777777" w:rsidTr="007B0A41">
        <w:trPr>
          <w:cantSplit/>
        </w:trPr>
        <w:tc>
          <w:tcPr>
            <w:tcW w:w="3562" w:type="dxa"/>
            <w:tcBorders>
              <w:top w:val="single" w:sz="4" w:space="0" w:color="auto"/>
              <w:bottom w:val="single" w:sz="6" w:space="0" w:color="auto"/>
            </w:tcBorders>
            <w:shd w:val="clear" w:color="auto" w:fill="386294"/>
            <w:vAlign w:val="center"/>
          </w:tcPr>
          <w:p w14:paraId="5C2E4B34" w14:textId="77777777" w:rsidR="003239B8" w:rsidRPr="00050FFF" w:rsidRDefault="003239B8" w:rsidP="008D2290">
            <w:pPr>
              <w:jc w:val="center"/>
              <w:rPr>
                <w:rFonts w:asciiTheme="majorHAnsi" w:hAnsiTheme="majorHAnsi"/>
                <w:b/>
                <w:bCs/>
                <w:i/>
                <w:color w:val="FFFFFF" w:themeColor="background1"/>
                <w:sz w:val="20"/>
                <w:szCs w:val="20"/>
              </w:rPr>
            </w:pPr>
            <w:r w:rsidRPr="00050FFF">
              <w:rPr>
                <w:rFonts w:asciiTheme="majorHAnsi" w:hAnsiTheme="majorHAnsi"/>
                <w:b/>
                <w:bCs/>
                <w:color w:val="FFFFFF" w:themeColor="background1"/>
                <w:sz w:val="20"/>
                <w:szCs w:val="20"/>
              </w:rPr>
              <w:t>Competencia</w:t>
            </w:r>
            <w:r w:rsidRPr="00050FFF">
              <w:rPr>
                <w:rFonts w:asciiTheme="majorHAnsi" w:hAnsiTheme="majorHAnsi"/>
                <w:b/>
                <w:bCs/>
                <w:i/>
                <w:color w:val="FFFFFF" w:themeColor="background1"/>
                <w:sz w:val="20"/>
                <w:szCs w:val="20"/>
              </w:rPr>
              <w:t xml:space="preserve"> Ratione personae:</w:t>
            </w:r>
          </w:p>
        </w:tc>
        <w:tc>
          <w:tcPr>
            <w:tcW w:w="5680" w:type="dxa"/>
            <w:vAlign w:val="center"/>
          </w:tcPr>
          <w:p w14:paraId="7707F3E9" w14:textId="1D67BCFA" w:rsidR="003239B8" w:rsidRPr="00050FFF" w:rsidRDefault="003747C6" w:rsidP="008D2290">
            <w:pPr>
              <w:rPr>
                <w:rFonts w:asciiTheme="majorHAnsi" w:hAnsiTheme="majorHAnsi"/>
                <w:bCs/>
                <w:sz w:val="20"/>
                <w:szCs w:val="20"/>
                <w:lang w:val="es-SV"/>
              </w:rPr>
            </w:pPr>
            <w:r w:rsidRPr="00050FFF">
              <w:rPr>
                <w:rFonts w:asciiTheme="majorHAnsi" w:hAnsiTheme="majorHAnsi"/>
                <w:bCs/>
                <w:sz w:val="20"/>
                <w:szCs w:val="20"/>
                <w:lang w:val="es-SV"/>
              </w:rPr>
              <w:t>Sí</w:t>
            </w:r>
            <w:r w:rsidR="00070798" w:rsidRPr="00050FFF">
              <w:rPr>
                <w:rFonts w:asciiTheme="majorHAnsi" w:hAnsiTheme="majorHAnsi"/>
                <w:bCs/>
                <w:sz w:val="20"/>
                <w:szCs w:val="20"/>
                <w:lang w:val="es-SV"/>
              </w:rPr>
              <w:t xml:space="preserve"> </w:t>
            </w:r>
          </w:p>
        </w:tc>
      </w:tr>
      <w:tr w:rsidR="003239B8" w:rsidRPr="00050FFF" w14:paraId="4B8802DA" w14:textId="77777777" w:rsidTr="007B0A41">
        <w:trPr>
          <w:cantSplit/>
        </w:trPr>
        <w:tc>
          <w:tcPr>
            <w:tcW w:w="3562" w:type="dxa"/>
            <w:tcBorders>
              <w:top w:val="single" w:sz="6" w:space="0" w:color="auto"/>
              <w:bottom w:val="single" w:sz="6" w:space="0" w:color="auto"/>
            </w:tcBorders>
            <w:shd w:val="clear" w:color="auto" w:fill="386294"/>
            <w:vAlign w:val="center"/>
          </w:tcPr>
          <w:p w14:paraId="3915C23B" w14:textId="77777777" w:rsidR="003239B8" w:rsidRPr="00050FFF" w:rsidRDefault="003239B8" w:rsidP="008D2290">
            <w:pPr>
              <w:jc w:val="center"/>
              <w:rPr>
                <w:rFonts w:asciiTheme="majorHAnsi" w:hAnsiTheme="majorHAnsi"/>
                <w:b/>
                <w:bCs/>
                <w:color w:val="FFFFFF" w:themeColor="background1"/>
                <w:sz w:val="20"/>
                <w:szCs w:val="20"/>
              </w:rPr>
            </w:pPr>
            <w:r w:rsidRPr="00050FFF">
              <w:rPr>
                <w:rFonts w:asciiTheme="majorHAnsi" w:hAnsiTheme="majorHAnsi"/>
                <w:b/>
                <w:bCs/>
                <w:color w:val="FFFFFF" w:themeColor="background1"/>
                <w:sz w:val="20"/>
                <w:szCs w:val="20"/>
              </w:rPr>
              <w:t>Competencia</w:t>
            </w:r>
            <w:r w:rsidRPr="00050FFF">
              <w:rPr>
                <w:rFonts w:asciiTheme="majorHAnsi" w:hAnsiTheme="majorHAnsi"/>
                <w:b/>
                <w:bCs/>
                <w:i/>
                <w:color w:val="FFFFFF" w:themeColor="background1"/>
                <w:sz w:val="20"/>
                <w:szCs w:val="20"/>
              </w:rPr>
              <w:t xml:space="preserve"> Ratione loci</w:t>
            </w:r>
            <w:r w:rsidRPr="00050FFF">
              <w:rPr>
                <w:rFonts w:asciiTheme="majorHAnsi" w:hAnsiTheme="majorHAnsi"/>
                <w:b/>
                <w:bCs/>
                <w:color w:val="FFFFFF" w:themeColor="background1"/>
                <w:sz w:val="20"/>
                <w:szCs w:val="20"/>
              </w:rPr>
              <w:t>:</w:t>
            </w:r>
          </w:p>
        </w:tc>
        <w:tc>
          <w:tcPr>
            <w:tcW w:w="5680" w:type="dxa"/>
            <w:vAlign w:val="center"/>
          </w:tcPr>
          <w:p w14:paraId="12C931CB" w14:textId="1757C686" w:rsidR="003239B8" w:rsidRPr="00050FFF" w:rsidRDefault="003747C6" w:rsidP="008D2290">
            <w:pPr>
              <w:rPr>
                <w:rFonts w:asciiTheme="majorHAnsi" w:hAnsiTheme="majorHAnsi"/>
                <w:bCs/>
                <w:sz w:val="20"/>
                <w:szCs w:val="20"/>
                <w:lang w:val="es-SV"/>
              </w:rPr>
            </w:pPr>
            <w:r w:rsidRPr="00050FFF">
              <w:rPr>
                <w:rFonts w:asciiTheme="majorHAnsi" w:hAnsiTheme="majorHAnsi"/>
                <w:bCs/>
                <w:sz w:val="20"/>
                <w:szCs w:val="20"/>
                <w:lang w:val="es-SV"/>
              </w:rPr>
              <w:t>Sí</w:t>
            </w:r>
            <w:r w:rsidR="00070798" w:rsidRPr="00050FFF">
              <w:rPr>
                <w:rFonts w:asciiTheme="majorHAnsi" w:hAnsiTheme="majorHAnsi"/>
                <w:bCs/>
                <w:sz w:val="20"/>
                <w:szCs w:val="20"/>
                <w:lang w:val="es-SV"/>
              </w:rPr>
              <w:t xml:space="preserve"> </w:t>
            </w:r>
          </w:p>
        </w:tc>
      </w:tr>
      <w:tr w:rsidR="003239B8" w:rsidRPr="00050FFF" w14:paraId="4362FDF3" w14:textId="77777777" w:rsidTr="007B0A41">
        <w:trPr>
          <w:cantSplit/>
          <w:trHeight w:val="51"/>
        </w:trPr>
        <w:tc>
          <w:tcPr>
            <w:tcW w:w="3562" w:type="dxa"/>
            <w:tcBorders>
              <w:top w:val="single" w:sz="6" w:space="0" w:color="auto"/>
              <w:bottom w:val="single" w:sz="6" w:space="0" w:color="auto"/>
            </w:tcBorders>
            <w:shd w:val="clear" w:color="auto" w:fill="386294"/>
            <w:vAlign w:val="center"/>
          </w:tcPr>
          <w:p w14:paraId="3BE23153" w14:textId="77777777" w:rsidR="003239B8" w:rsidRPr="00050FFF" w:rsidRDefault="003239B8" w:rsidP="008D2290">
            <w:pPr>
              <w:jc w:val="center"/>
              <w:rPr>
                <w:rFonts w:asciiTheme="majorHAnsi" w:hAnsiTheme="majorHAnsi"/>
                <w:b/>
                <w:bCs/>
                <w:color w:val="FFFFFF" w:themeColor="background1"/>
                <w:sz w:val="20"/>
                <w:szCs w:val="20"/>
              </w:rPr>
            </w:pPr>
            <w:r w:rsidRPr="00050FFF">
              <w:rPr>
                <w:rFonts w:asciiTheme="majorHAnsi" w:hAnsiTheme="majorHAnsi"/>
                <w:b/>
                <w:bCs/>
                <w:color w:val="FFFFFF" w:themeColor="background1"/>
                <w:sz w:val="20"/>
                <w:szCs w:val="20"/>
              </w:rPr>
              <w:t>Competencia</w:t>
            </w:r>
            <w:r w:rsidRPr="00050FFF">
              <w:rPr>
                <w:rFonts w:asciiTheme="majorHAnsi" w:hAnsiTheme="majorHAnsi"/>
                <w:b/>
                <w:bCs/>
                <w:i/>
                <w:color w:val="FFFFFF" w:themeColor="background1"/>
                <w:sz w:val="20"/>
                <w:szCs w:val="20"/>
              </w:rPr>
              <w:t xml:space="preserve"> Ratione temporis</w:t>
            </w:r>
            <w:r w:rsidRPr="00050FFF">
              <w:rPr>
                <w:rFonts w:asciiTheme="majorHAnsi" w:hAnsiTheme="majorHAnsi"/>
                <w:b/>
                <w:bCs/>
                <w:color w:val="FFFFFF" w:themeColor="background1"/>
                <w:sz w:val="20"/>
                <w:szCs w:val="20"/>
              </w:rPr>
              <w:t>:</w:t>
            </w:r>
          </w:p>
        </w:tc>
        <w:tc>
          <w:tcPr>
            <w:tcW w:w="5680" w:type="dxa"/>
            <w:vAlign w:val="center"/>
          </w:tcPr>
          <w:p w14:paraId="6F8B059B" w14:textId="44C8DB42" w:rsidR="003239B8" w:rsidRPr="00050FFF" w:rsidRDefault="003747C6" w:rsidP="008D2290">
            <w:pPr>
              <w:rPr>
                <w:rFonts w:asciiTheme="majorHAnsi" w:hAnsiTheme="majorHAnsi"/>
                <w:bCs/>
                <w:sz w:val="20"/>
                <w:szCs w:val="20"/>
              </w:rPr>
            </w:pPr>
            <w:r w:rsidRPr="00050FFF">
              <w:rPr>
                <w:rFonts w:asciiTheme="majorHAnsi" w:hAnsiTheme="majorHAnsi"/>
                <w:bCs/>
                <w:sz w:val="20"/>
                <w:szCs w:val="20"/>
              </w:rPr>
              <w:t>Sí</w:t>
            </w:r>
          </w:p>
        </w:tc>
      </w:tr>
      <w:tr w:rsidR="003239B8" w:rsidRPr="00411FFD" w14:paraId="30ABEC3E" w14:textId="77777777" w:rsidTr="007B0A41">
        <w:trPr>
          <w:cantSplit/>
        </w:trPr>
        <w:tc>
          <w:tcPr>
            <w:tcW w:w="3562" w:type="dxa"/>
            <w:tcBorders>
              <w:top w:val="single" w:sz="6" w:space="0" w:color="auto"/>
              <w:bottom w:val="single" w:sz="6" w:space="0" w:color="auto"/>
            </w:tcBorders>
            <w:shd w:val="clear" w:color="auto" w:fill="386294"/>
            <w:vAlign w:val="center"/>
          </w:tcPr>
          <w:p w14:paraId="47B529D2" w14:textId="77777777" w:rsidR="003239B8" w:rsidRPr="00050FFF" w:rsidRDefault="003239B8" w:rsidP="008D2290">
            <w:pPr>
              <w:jc w:val="center"/>
              <w:rPr>
                <w:rFonts w:asciiTheme="majorHAnsi" w:hAnsiTheme="majorHAnsi"/>
                <w:b/>
                <w:bCs/>
                <w:color w:val="FFFFFF" w:themeColor="background1"/>
                <w:sz w:val="20"/>
                <w:szCs w:val="20"/>
              </w:rPr>
            </w:pPr>
            <w:r w:rsidRPr="00050FFF">
              <w:rPr>
                <w:rFonts w:asciiTheme="majorHAnsi" w:hAnsiTheme="majorHAnsi"/>
                <w:b/>
                <w:bCs/>
                <w:color w:val="FFFFFF" w:themeColor="background1"/>
                <w:sz w:val="20"/>
                <w:szCs w:val="20"/>
              </w:rPr>
              <w:t>Competencia</w:t>
            </w:r>
            <w:r w:rsidRPr="00050FFF">
              <w:rPr>
                <w:rFonts w:asciiTheme="majorHAnsi" w:hAnsiTheme="majorHAnsi"/>
                <w:b/>
                <w:bCs/>
                <w:i/>
                <w:color w:val="FFFFFF" w:themeColor="background1"/>
                <w:sz w:val="20"/>
                <w:szCs w:val="20"/>
              </w:rPr>
              <w:t xml:space="preserve"> Ratione materia</w:t>
            </w:r>
            <w:r w:rsidR="00EE00E9" w:rsidRPr="00050FFF">
              <w:rPr>
                <w:rFonts w:asciiTheme="majorHAnsi" w:hAnsiTheme="majorHAnsi"/>
                <w:b/>
                <w:bCs/>
                <w:i/>
                <w:color w:val="FFFFFF" w:themeColor="background1"/>
                <w:sz w:val="20"/>
                <w:szCs w:val="20"/>
              </w:rPr>
              <w:t>e</w:t>
            </w:r>
            <w:r w:rsidRPr="00050FFF">
              <w:rPr>
                <w:rFonts w:asciiTheme="majorHAnsi" w:hAnsiTheme="majorHAnsi"/>
                <w:b/>
                <w:bCs/>
                <w:color w:val="FFFFFF" w:themeColor="background1"/>
                <w:sz w:val="20"/>
                <w:szCs w:val="20"/>
              </w:rPr>
              <w:t>:</w:t>
            </w:r>
          </w:p>
        </w:tc>
        <w:tc>
          <w:tcPr>
            <w:tcW w:w="5680" w:type="dxa"/>
            <w:vAlign w:val="center"/>
          </w:tcPr>
          <w:p w14:paraId="0C122F44" w14:textId="6C582E93" w:rsidR="003239B8" w:rsidRPr="00050FFF" w:rsidRDefault="00662843" w:rsidP="00707691">
            <w:pPr>
              <w:jc w:val="both"/>
              <w:rPr>
                <w:rFonts w:asciiTheme="majorHAnsi" w:hAnsiTheme="majorHAnsi"/>
                <w:bCs/>
                <w:sz w:val="20"/>
                <w:szCs w:val="20"/>
                <w:lang w:val="es-ES"/>
              </w:rPr>
            </w:pPr>
            <w:r w:rsidRPr="00050FFF">
              <w:rPr>
                <w:rFonts w:asciiTheme="majorHAnsi" w:hAnsiTheme="majorHAnsi"/>
                <w:bCs/>
                <w:sz w:val="20"/>
                <w:szCs w:val="20"/>
                <w:lang w:val="es-ES"/>
              </w:rPr>
              <w:t>Sí</w:t>
            </w:r>
            <w:r w:rsidR="00D54F61">
              <w:rPr>
                <w:rFonts w:asciiTheme="majorHAnsi" w:hAnsiTheme="majorHAnsi"/>
                <w:bCs/>
                <w:sz w:val="20"/>
                <w:szCs w:val="20"/>
                <w:lang w:val="es-ES"/>
              </w:rPr>
              <w:t>, Convención Americana sobre Derechos Humanos, ratificada e</w:t>
            </w:r>
            <w:r w:rsidR="00EE5B70">
              <w:rPr>
                <w:rFonts w:asciiTheme="majorHAnsi" w:hAnsiTheme="majorHAnsi"/>
                <w:bCs/>
                <w:sz w:val="20"/>
                <w:szCs w:val="20"/>
                <w:lang w:val="es-ES"/>
              </w:rPr>
              <w:t>l 9 de agosto de 1977</w:t>
            </w:r>
          </w:p>
        </w:tc>
      </w:tr>
    </w:tbl>
    <w:p w14:paraId="4E92C444" w14:textId="140CB1E7" w:rsidR="003239B8" w:rsidRPr="00050FFF" w:rsidRDefault="003239B8" w:rsidP="003239B8">
      <w:pPr>
        <w:spacing w:before="240" w:after="240"/>
        <w:ind w:firstLine="720"/>
        <w:jc w:val="both"/>
        <w:rPr>
          <w:rFonts w:asciiTheme="majorHAnsi" w:hAnsiTheme="majorHAnsi"/>
          <w:b/>
          <w:bCs/>
          <w:sz w:val="20"/>
          <w:szCs w:val="20"/>
          <w:lang w:val="es-ES"/>
        </w:rPr>
      </w:pPr>
      <w:r w:rsidRPr="00050FFF">
        <w:rPr>
          <w:rFonts w:asciiTheme="majorHAnsi" w:hAnsiTheme="majorHAnsi"/>
          <w:b/>
          <w:bCs/>
          <w:sz w:val="20"/>
          <w:szCs w:val="20"/>
          <w:lang w:val="es-ES"/>
        </w:rPr>
        <w:t xml:space="preserve">IV. </w:t>
      </w:r>
      <w:r w:rsidRPr="00050FFF">
        <w:rPr>
          <w:rFonts w:asciiTheme="majorHAnsi" w:hAnsiTheme="majorHAnsi"/>
          <w:b/>
          <w:bCs/>
          <w:sz w:val="20"/>
          <w:szCs w:val="20"/>
          <w:lang w:val="es-ES"/>
        </w:rPr>
        <w:tab/>
      </w:r>
      <w:r w:rsidR="00EE00E9" w:rsidRPr="00050FFF">
        <w:rPr>
          <w:rFonts w:asciiTheme="majorHAnsi" w:hAnsiTheme="majorHAnsi"/>
          <w:b/>
          <w:bCs/>
          <w:sz w:val="20"/>
          <w:szCs w:val="20"/>
          <w:lang w:val="es-ES"/>
        </w:rPr>
        <w:t>DUPLICACIÓN</w:t>
      </w:r>
      <w:r w:rsidR="00EE00E9" w:rsidRPr="00050FFF">
        <w:rPr>
          <w:rFonts w:asciiTheme="majorHAnsi" w:hAnsiTheme="majorHAnsi"/>
          <w:b/>
          <w:bCs/>
          <w:color w:val="FFFFFF" w:themeColor="background1"/>
          <w:sz w:val="20"/>
          <w:szCs w:val="20"/>
          <w:lang w:val="es-ES"/>
        </w:rPr>
        <w:t xml:space="preserve"> </w:t>
      </w:r>
      <w:r w:rsidR="00EE00E9" w:rsidRPr="00050FFF">
        <w:rPr>
          <w:rFonts w:asciiTheme="majorHAnsi" w:hAnsiTheme="majorHAnsi"/>
          <w:b/>
          <w:bCs/>
          <w:sz w:val="20"/>
          <w:szCs w:val="20"/>
          <w:lang w:val="es-ES"/>
        </w:rPr>
        <w:t>DE PROCEDIMIENTOS Y COSA JUZGADA</w:t>
      </w:r>
      <w:r w:rsidR="00EE00E9" w:rsidRPr="00050FFF">
        <w:rPr>
          <w:rFonts w:asciiTheme="majorHAnsi" w:hAnsiTheme="majorHAnsi"/>
          <w:b/>
          <w:bCs/>
          <w:i/>
          <w:sz w:val="20"/>
          <w:szCs w:val="20"/>
          <w:lang w:val="es-ES"/>
        </w:rPr>
        <w:t xml:space="preserve"> </w:t>
      </w:r>
      <w:r w:rsidR="00EE00E9" w:rsidRPr="00050FFF">
        <w:rPr>
          <w:rFonts w:asciiTheme="majorHAnsi" w:hAnsiTheme="majorHAnsi"/>
          <w:b/>
          <w:bCs/>
          <w:sz w:val="20"/>
          <w:szCs w:val="20"/>
          <w:lang w:val="es-ES"/>
        </w:rPr>
        <w:t>INTERNACIONAL</w:t>
      </w:r>
      <w:r w:rsidR="005D38F9" w:rsidRPr="00050FFF">
        <w:rPr>
          <w:rFonts w:asciiTheme="majorHAnsi" w:hAnsiTheme="majorHAnsi"/>
          <w:b/>
          <w:bCs/>
          <w:sz w:val="20"/>
          <w:szCs w:val="20"/>
          <w:lang w:val="es-ES"/>
        </w:rPr>
        <w:t>,</w:t>
      </w:r>
      <w:r w:rsidRPr="00050FFF">
        <w:rPr>
          <w:rFonts w:asciiTheme="majorHAnsi" w:hAnsiTheme="majorHAnsi"/>
          <w:b/>
          <w:bCs/>
          <w:sz w:val="20"/>
          <w:szCs w:val="20"/>
          <w:lang w:val="es-ES"/>
        </w:rPr>
        <w:t xml:space="preserve"> CARACTERIZACIÓN, </w:t>
      </w:r>
      <w:r w:rsidRPr="00050FF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9"/>
        <w:gridCol w:w="5673"/>
      </w:tblGrid>
      <w:tr w:rsidR="00F85013" w:rsidRPr="00050FFF" w14:paraId="1231C988" w14:textId="77777777" w:rsidTr="007B0A41">
        <w:trPr>
          <w:cantSplit/>
        </w:trPr>
        <w:tc>
          <w:tcPr>
            <w:tcW w:w="3569" w:type="dxa"/>
            <w:tcBorders>
              <w:top w:val="single" w:sz="4" w:space="0" w:color="auto"/>
              <w:bottom w:val="single" w:sz="6" w:space="0" w:color="auto"/>
            </w:tcBorders>
            <w:shd w:val="clear" w:color="auto" w:fill="386294"/>
            <w:vAlign w:val="center"/>
          </w:tcPr>
          <w:p w14:paraId="6F8031F4" w14:textId="77777777" w:rsidR="00EE00E9" w:rsidRPr="00050FFF" w:rsidRDefault="00EE00E9" w:rsidP="008D2290">
            <w:pPr>
              <w:jc w:val="center"/>
              <w:rPr>
                <w:rFonts w:asciiTheme="majorHAnsi" w:hAnsiTheme="majorHAnsi"/>
                <w:b/>
                <w:bCs/>
                <w:color w:val="FFFFFF" w:themeColor="background1"/>
                <w:sz w:val="20"/>
                <w:szCs w:val="20"/>
                <w:lang w:val="es-ES"/>
              </w:rPr>
            </w:pPr>
            <w:r w:rsidRPr="00050FFF">
              <w:rPr>
                <w:rFonts w:asciiTheme="majorHAnsi" w:hAnsiTheme="majorHAnsi"/>
                <w:b/>
                <w:bCs/>
                <w:color w:val="FFFFFF" w:themeColor="background1"/>
                <w:sz w:val="20"/>
                <w:szCs w:val="20"/>
                <w:lang w:val="es-ES"/>
              </w:rPr>
              <w:t>Duplicación de procedimientos y cosa juzgada internacional:</w:t>
            </w:r>
          </w:p>
        </w:tc>
        <w:tc>
          <w:tcPr>
            <w:tcW w:w="5673" w:type="dxa"/>
            <w:vAlign w:val="center"/>
          </w:tcPr>
          <w:p w14:paraId="240941E6" w14:textId="453B1DD0" w:rsidR="00EE00E9" w:rsidRPr="00050FFF" w:rsidRDefault="00363C84" w:rsidP="008D2290">
            <w:pPr>
              <w:jc w:val="both"/>
              <w:rPr>
                <w:rFonts w:asciiTheme="majorHAnsi" w:hAnsiTheme="majorHAnsi"/>
                <w:bCs/>
                <w:sz w:val="20"/>
                <w:szCs w:val="20"/>
                <w:lang w:val="es-ES"/>
              </w:rPr>
            </w:pPr>
            <w:r w:rsidRPr="00050FFF">
              <w:rPr>
                <w:rFonts w:asciiTheme="majorHAnsi" w:hAnsiTheme="majorHAnsi"/>
                <w:bCs/>
                <w:sz w:val="20"/>
                <w:szCs w:val="20"/>
                <w:lang w:val="es-ES"/>
              </w:rPr>
              <w:t>No</w:t>
            </w:r>
          </w:p>
        </w:tc>
      </w:tr>
      <w:tr w:rsidR="00A4089A" w:rsidRPr="00411FFD" w14:paraId="15FAA7D1" w14:textId="77777777" w:rsidTr="007B0A41">
        <w:trPr>
          <w:cantSplit/>
        </w:trPr>
        <w:tc>
          <w:tcPr>
            <w:tcW w:w="3569" w:type="dxa"/>
            <w:tcBorders>
              <w:top w:val="single" w:sz="4" w:space="0" w:color="auto"/>
              <w:bottom w:val="single" w:sz="6" w:space="0" w:color="auto"/>
            </w:tcBorders>
            <w:shd w:val="clear" w:color="auto" w:fill="386294"/>
            <w:vAlign w:val="center"/>
          </w:tcPr>
          <w:p w14:paraId="1B0D29FF" w14:textId="77777777" w:rsidR="00A4089A" w:rsidRPr="00050FFF" w:rsidRDefault="00A4089A" w:rsidP="00A4089A">
            <w:pPr>
              <w:jc w:val="center"/>
              <w:rPr>
                <w:rFonts w:asciiTheme="majorHAnsi" w:hAnsiTheme="majorHAnsi"/>
                <w:b/>
                <w:bCs/>
                <w:i/>
                <w:color w:val="FFFFFF" w:themeColor="background1"/>
                <w:sz w:val="20"/>
                <w:szCs w:val="20"/>
              </w:rPr>
            </w:pPr>
            <w:r w:rsidRPr="00050FFF">
              <w:rPr>
                <w:rFonts w:asciiTheme="majorHAnsi" w:hAnsiTheme="majorHAnsi"/>
                <w:b/>
                <w:bCs/>
                <w:color w:val="FFFFFF" w:themeColor="background1"/>
                <w:sz w:val="20"/>
                <w:szCs w:val="20"/>
              </w:rPr>
              <w:lastRenderedPageBreak/>
              <w:t>Derechos declarados admisibles</w:t>
            </w:r>
            <w:r w:rsidRPr="00050FFF">
              <w:rPr>
                <w:rFonts w:asciiTheme="majorHAnsi" w:hAnsiTheme="majorHAnsi"/>
                <w:b/>
                <w:bCs/>
                <w:i/>
                <w:color w:val="FFFFFF" w:themeColor="background1"/>
                <w:sz w:val="20"/>
                <w:szCs w:val="20"/>
              </w:rPr>
              <w:t>:</w:t>
            </w:r>
          </w:p>
        </w:tc>
        <w:tc>
          <w:tcPr>
            <w:tcW w:w="5673" w:type="dxa"/>
            <w:vAlign w:val="center"/>
          </w:tcPr>
          <w:p w14:paraId="6310C8F7" w14:textId="16A7CDC2" w:rsidR="00A4089A" w:rsidRPr="00050FFF" w:rsidRDefault="00A4089A" w:rsidP="00A4089A">
            <w:pPr>
              <w:jc w:val="both"/>
              <w:rPr>
                <w:rFonts w:asciiTheme="majorHAnsi" w:hAnsiTheme="majorHAnsi"/>
                <w:bCs/>
                <w:sz w:val="20"/>
                <w:szCs w:val="20"/>
                <w:lang w:val="es-MX"/>
              </w:rPr>
            </w:pPr>
            <w:r w:rsidRPr="00050FFF">
              <w:rPr>
                <w:rFonts w:asciiTheme="majorHAnsi" w:hAnsiTheme="majorHAnsi"/>
                <w:bCs/>
                <w:sz w:val="20"/>
                <w:szCs w:val="20"/>
                <w:lang w:val="es-SV"/>
              </w:rPr>
              <w:t xml:space="preserve">Artículos </w:t>
            </w:r>
            <w:r w:rsidR="00876DEE">
              <w:rPr>
                <w:rFonts w:asciiTheme="majorHAnsi" w:hAnsiTheme="majorHAnsi"/>
                <w:bCs/>
                <w:sz w:val="20"/>
                <w:szCs w:val="20"/>
                <w:lang w:val="es-SV"/>
              </w:rPr>
              <w:t xml:space="preserve">8 (garantías judiciales), </w:t>
            </w:r>
            <w:r w:rsidRPr="00050FFF">
              <w:rPr>
                <w:rFonts w:asciiTheme="majorHAnsi" w:hAnsiTheme="majorHAnsi"/>
                <w:bCs/>
                <w:sz w:val="20"/>
                <w:szCs w:val="20"/>
                <w:lang w:val="es-SV"/>
              </w:rPr>
              <w:t>13 (Libertad de pensamiento y de expresión)</w:t>
            </w:r>
            <w:r w:rsidR="00050FFF">
              <w:rPr>
                <w:rFonts w:asciiTheme="majorHAnsi" w:hAnsiTheme="majorHAnsi"/>
                <w:bCs/>
                <w:sz w:val="20"/>
                <w:szCs w:val="20"/>
                <w:lang w:val="es-SV"/>
              </w:rPr>
              <w:t xml:space="preserve"> y</w:t>
            </w:r>
            <w:r w:rsidRPr="00050FFF">
              <w:rPr>
                <w:rFonts w:asciiTheme="majorHAnsi" w:hAnsiTheme="majorHAnsi"/>
                <w:bCs/>
                <w:sz w:val="20"/>
                <w:szCs w:val="20"/>
                <w:lang w:val="es-SV"/>
              </w:rPr>
              <w:t xml:space="preserve"> 25 (protección judicial) de la Convención </w:t>
            </w:r>
            <w:r w:rsidR="00050FFF">
              <w:rPr>
                <w:rFonts w:asciiTheme="majorHAnsi" w:hAnsiTheme="majorHAnsi"/>
                <w:bCs/>
                <w:sz w:val="20"/>
                <w:szCs w:val="20"/>
                <w:lang w:val="es-SV"/>
              </w:rPr>
              <w:t>Americana</w:t>
            </w:r>
            <w:r w:rsidR="007B0A41">
              <w:rPr>
                <w:rFonts w:asciiTheme="majorHAnsi" w:hAnsiTheme="majorHAnsi"/>
                <w:bCs/>
                <w:sz w:val="20"/>
                <w:szCs w:val="20"/>
                <w:lang w:val="es-SV"/>
              </w:rPr>
              <w:t>, en relación con sus artículos 1.1 (obligación de respetar los derechos) y 2 (deber de adoptar disposiciones de derecho interno)</w:t>
            </w:r>
          </w:p>
        </w:tc>
      </w:tr>
      <w:tr w:rsidR="00A4089A" w:rsidRPr="00411FFD" w14:paraId="4EFD141E" w14:textId="77777777" w:rsidTr="007B0A41">
        <w:trPr>
          <w:cantSplit/>
        </w:trPr>
        <w:tc>
          <w:tcPr>
            <w:tcW w:w="3569" w:type="dxa"/>
            <w:tcBorders>
              <w:top w:val="single" w:sz="6" w:space="0" w:color="auto"/>
              <w:bottom w:val="single" w:sz="6" w:space="0" w:color="auto"/>
            </w:tcBorders>
            <w:shd w:val="clear" w:color="auto" w:fill="386294"/>
            <w:vAlign w:val="center"/>
          </w:tcPr>
          <w:p w14:paraId="4C04A89C" w14:textId="77777777" w:rsidR="00A4089A" w:rsidRPr="00050FFF" w:rsidRDefault="00A4089A" w:rsidP="00A4089A">
            <w:pPr>
              <w:jc w:val="center"/>
              <w:rPr>
                <w:rFonts w:asciiTheme="majorHAnsi" w:hAnsiTheme="majorHAnsi"/>
                <w:b/>
                <w:bCs/>
                <w:color w:val="FFFFFF" w:themeColor="background1"/>
                <w:sz w:val="20"/>
                <w:szCs w:val="20"/>
                <w:lang w:val="es-ES"/>
              </w:rPr>
            </w:pPr>
            <w:r w:rsidRPr="00050FFF">
              <w:rPr>
                <w:rFonts w:asciiTheme="majorHAnsi" w:hAnsiTheme="majorHAnsi"/>
                <w:b/>
                <w:bCs/>
                <w:color w:val="FFFFFF" w:themeColor="background1"/>
                <w:sz w:val="20"/>
                <w:szCs w:val="20"/>
                <w:lang w:val="es-ES"/>
              </w:rPr>
              <w:t>Agotamiento de recursos internos o procedencia de una excepción:</w:t>
            </w:r>
          </w:p>
        </w:tc>
        <w:tc>
          <w:tcPr>
            <w:tcW w:w="5673" w:type="dxa"/>
            <w:vAlign w:val="center"/>
          </w:tcPr>
          <w:p w14:paraId="69C53E8A" w14:textId="41A0A5C6" w:rsidR="00A4089A" w:rsidRPr="00050FFF" w:rsidRDefault="00A4089A" w:rsidP="00A4089A">
            <w:pPr>
              <w:rPr>
                <w:rFonts w:asciiTheme="majorHAnsi" w:hAnsiTheme="majorHAnsi"/>
                <w:bCs/>
                <w:sz w:val="20"/>
                <w:szCs w:val="20"/>
                <w:lang w:val="es-ES"/>
              </w:rPr>
            </w:pPr>
            <w:r w:rsidRPr="00050FFF">
              <w:rPr>
                <w:rFonts w:asciiTheme="majorHAnsi" w:hAnsiTheme="majorHAnsi"/>
                <w:bCs/>
                <w:sz w:val="20"/>
                <w:szCs w:val="20"/>
                <w:lang w:val="es-ES"/>
              </w:rPr>
              <w:t>Sí</w:t>
            </w:r>
            <w:r w:rsidR="00050FFF">
              <w:rPr>
                <w:rFonts w:asciiTheme="majorHAnsi" w:hAnsiTheme="majorHAnsi"/>
                <w:bCs/>
                <w:sz w:val="20"/>
                <w:szCs w:val="20"/>
                <w:lang w:val="es-ES"/>
              </w:rPr>
              <w:t xml:space="preserve">, </w:t>
            </w:r>
            <w:r w:rsidR="00BF628F">
              <w:rPr>
                <w:rFonts w:asciiTheme="majorHAnsi" w:hAnsiTheme="majorHAnsi"/>
                <w:bCs/>
                <w:sz w:val="20"/>
                <w:szCs w:val="20"/>
                <w:lang w:val="es-ES"/>
              </w:rPr>
              <w:t xml:space="preserve">en los términos de la </w:t>
            </w:r>
            <w:r w:rsidR="008C6D2A">
              <w:rPr>
                <w:rFonts w:asciiTheme="majorHAnsi" w:hAnsiTheme="majorHAnsi"/>
                <w:bCs/>
                <w:sz w:val="20"/>
                <w:szCs w:val="20"/>
                <w:lang w:val="es-ES"/>
              </w:rPr>
              <w:t>S</w:t>
            </w:r>
            <w:r w:rsidR="00BF628F">
              <w:rPr>
                <w:rFonts w:asciiTheme="majorHAnsi" w:hAnsiTheme="majorHAnsi"/>
                <w:bCs/>
                <w:sz w:val="20"/>
                <w:szCs w:val="20"/>
                <w:lang w:val="es-ES"/>
              </w:rPr>
              <w:t>ección VI</w:t>
            </w:r>
          </w:p>
        </w:tc>
      </w:tr>
      <w:tr w:rsidR="00A4089A" w:rsidRPr="00411FFD" w14:paraId="52B5BA17" w14:textId="77777777" w:rsidTr="007B0A41">
        <w:trPr>
          <w:cantSplit/>
        </w:trPr>
        <w:tc>
          <w:tcPr>
            <w:tcW w:w="3569" w:type="dxa"/>
            <w:tcBorders>
              <w:top w:val="single" w:sz="6" w:space="0" w:color="auto"/>
              <w:bottom w:val="single" w:sz="6" w:space="0" w:color="auto"/>
            </w:tcBorders>
            <w:shd w:val="clear" w:color="auto" w:fill="386294"/>
            <w:vAlign w:val="center"/>
          </w:tcPr>
          <w:p w14:paraId="5DF99086" w14:textId="77777777" w:rsidR="00A4089A" w:rsidRPr="00050FFF" w:rsidRDefault="00A4089A" w:rsidP="00A4089A">
            <w:pPr>
              <w:jc w:val="center"/>
              <w:rPr>
                <w:rFonts w:asciiTheme="majorHAnsi" w:hAnsiTheme="majorHAnsi"/>
                <w:b/>
                <w:bCs/>
                <w:color w:val="FFFFFF" w:themeColor="background1"/>
                <w:sz w:val="20"/>
                <w:szCs w:val="20"/>
              </w:rPr>
            </w:pPr>
            <w:r w:rsidRPr="00050FFF">
              <w:rPr>
                <w:rFonts w:asciiTheme="majorHAnsi" w:hAnsiTheme="majorHAnsi"/>
                <w:b/>
                <w:bCs/>
                <w:color w:val="FFFFFF" w:themeColor="background1"/>
                <w:sz w:val="20"/>
                <w:szCs w:val="20"/>
              </w:rPr>
              <w:t>Presentación dentro de plazo:</w:t>
            </w:r>
          </w:p>
        </w:tc>
        <w:tc>
          <w:tcPr>
            <w:tcW w:w="5673" w:type="dxa"/>
            <w:vAlign w:val="center"/>
          </w:tcPr>
          <w:p w14:paraId="4A2A4569" w14:textId="4B047C3D" w:rsidR="00A4089A" w:rsidRPr="008C6D2A" w:rsidRDefault="00A4089A" w:rsidP="00A4089A">
            <w:pPr>
              <w:rPr>
                <w:rFonts w:asciiTheme="majorHAnsi" w:hAnsiTheme="majorHAnsi"/>
                <w:bCs/>
                <w:sz w:val="20"/>
                <w:szCs w:val="20"/>
                <w:lang w:val="es-SV"/>
              </w:rPr>
            </w:pPr>
            <w:r w:rsidRPr="008C6D2A">
              <w:rPr>
                <w:rFonts w:asciiTheme="majorHAnsi" w:hAnsiTheme="majorHAnsi"/>
                <w:bCs/>
                <w:sz w:val="20"/>
                <w:szCs w:val="20"/>
                <w:lang w:val="es-SV"/>
              </w:rPr>
              <w:t>Sí</w:t>
            </w:r>
            <w:r w:rsidR="008C6D2A" w:rsidRPr="008C6D2A">
              <w:rPr>
                <w:rFonts w:asciiTheme="majorHAnsi" w:hAnsiTheme="majorHAnsi"/>
                <w:bCs/>
                <w:sz w:val="20"/>
                <w:szCs w:val="20"/>
                <w:lang w:val="es-SV"/>
              </w:rPr>
              <w:t>, en los términos d</w:t>
            </w:r>
            <w:r w:rsidR="008C6D2A">
              <w:rPr>
                <w:rFonts w:asciiTheme="majorHAnsi" w:hAnsiTheme="majorHAnsi"/>
                <w:bCs/>
                <w:sz w:val="20"/>
                <w:szCs w:val="20"/>
                <w:lang w:val="es-SV"/>
              </w:rPr>
              <w:t>e la Sección VI</w:t>
            </w:r>
          </w:p>
        </w:tc>
      </w:tr>
    </w:tbl>
    <w:p w14:paraId="24E25FBA" w14:textId="77777777" w:rsidR="00050FFF" w:rsidRPr="00CE72A7" w:rsidRDefault="00050FFF" w:rsidP="00CE72A7">
      <w:pPr>
        <w:spacing w:after="120"/>
        <w:jc w:val="both"/>
        <w:rPr>
          <w:rFonts w:asciiTheme="majorHAnsi" w:hAnsiTheme="majorHAnsi"/>
          <w:b/>
          <w:bCs/>
          <w:sz w:val="20"/>
          <w:szCs w:val="20"/>
          <w:lang w:val="es-ES"/>
        </w:rPr>
      </w:pPr>
    </w:p>
    <w:p w14:paraId="6B204362" w14:textId="241452C7" w:rsidR="00CE5A34" w:rsidRPr="00D5277E" w:rsidRDefault="0026518C" w:rsidP="00CE72A7">
      <w:pPr>
        <w:ind w:firstLine="720"/>
        <w:jc w:val="both"/>
        <w:rPr>
          <w:rFonts w:ascii="Cambria" w:hAnsi="Cambria"/>
          <w:b/>
          <w:bCs/>
          <w:sz w:val="20"/>
          <w:szCs w:val="20"/>
          <w:lang w:val="es-ES_tradnl"/>
        </w:rPr>
      </w:pPr>
      <w:r w:rsidRPr="00D5277E">
        <w:rPr>
          <w:rFonts w:ascii="Cambria" w:hAnsi="Cambria"/>
          <w:b/>
          <w:bCs/>
          <w:sz w:val="20"/>
          <w:szCs w:val="20"/>
          <w:lang w:val="es-ES_tradnl"/>
        </w:rPr>
        <w:t>V.</w:t>
      </w:r>
      <w:r w:rsidRPr="00D5277E">
        <w:rPr>
          <w:rFonts w:ascii="Cambria" w:hAnsi="Cambria"/>
          <w:b/>
          <w:bCs/>
          <w:sz w:val="20"/>
          <w:szCs w:val="20"/>
          <w:lang w:val="es-ES_tradnl"/>
        </w:rPr>
        <w:tab/>
      </w:r>
      <w:r w:rsidR="00CE5A34" w:rsidRPr="00D5277E">
        <w:rPr>
          <w:rFonts w:ascii="Cambria" w:hAnsi="Cambria"/>
          <w:b/>
          <w:bCs/>
          <w:sz w:val="20"/>
          <w:szCs w:val="20"/>
          <w:lang w:val="es-ES_tradnl"/>
        </w:rPr>
        <w:t>HECHOS ALEGADOS</w:t>
      </w:r>
    </w:p>
    <w:p w14:paraId="7A8FC38C" w14:textId="77777777" w:rsidR="00CE5A34" w:rsidRPr="00D5277E" w:rsidRDefault="00CE5A34" w:rsidP="00CE72A7">
      <w:pPr>
        <w:ind w:firstLine="720"/>
        <w:jc w:val="both"/>
        <w:rPr>
          <w:rFonts w:ascii="Cambria" w:hAnsi="Cambria"/>
          <w:b/>
          <w:bCs/>
          <w:sz w:val="20"/>
          <w:szCs w:val="20"/>
          <w:lang w:val="es-ES_tradnl"/>
        </w:rPr>
      </w:pPr>
    </w:p>
    <w:p w14:paraId="1F708CDF" w14:textId="4CBEFFE4" w:rsidR="00B140F6" w:rsidRPr="00D5277E" w:rsidRDefault="0026518C" w:rsidP="00CE72A7">
      <w:pPr>
        <w:ind w:firstLine="720"/>
        <w:jc w:val="both"/>
        <w:rPr>
          <w:rFonts w:ascii="Cambria" w:hAnsi="Cambria"/>
          <w:b/>
          <w:bCs/>
          <w:sz w:val="20"/>
          <w:szCs w:val="20"/>
          <w:lang w:val="es-ES_tradnl"/>
        </w:rPr>
      </w:pPr>
      <w:r w:rsidRPr="00D5277E">
        <w:rPr>
          <w:rFonts w:ascii="Cambria" w:hAnsi="Cambria"/>
          <w:b/>
          <w:bCs/>
          <w:sz w:val="20"/>
          <w:szCs w:val="20"/>
          <w:lang w:val="es-ES_tradnl"/>
        </w:rPr>
        <w:t>C</w:t>
      </w:r>
      <w:r w:rsidR="00CE5A34" w:rsidRPr="00D5277E">
        <w:rPr>
          <w:rFonts w:ascii="Cambria" w:hAnsi="Cambria"/>
          <w:b/>
          <w:bCs/>
          <w:sz w:val="20"/>
          <w:szCs w:val="20"/>
          <w:lang w:val="es-ES_tradnl"/>
        </w:rPr>
        <w:t>onsideraciones preliminares</w:t>
      </w:r>
    </w:p>
    <w:p w14:paraId="170CEE3A" w14:textId="77777777" w:rsidR="00CE72A7" w:rsidRPr="00D5277E" w:rsidRDefault="00CE72A7" w:rsidP="00CE72A7">
      <w:pPr>
        <w:ind w:firstLine="720"/>
        <w:jc w:val="both"/>
        <w:rPr>
          <w:rFonts w:ascii="Cambria" w:hAnsi="Cambria"/>
          <w:b/>
          <w:bCs/>
          <w:sz w:val="20"/>
          <w:szCs w:val="20"/>
          <w:lang w:val="es-ES_tradnl"/>
        </w:rPr>
      </w:pPr>
    </w:p>
    <w:p w14:paraId="509CFB81" w14:textId="4C6FBFE8" w:rsidR="0025449D" w:rsidRPr="00D5277E" w:rsidRDefault="00B140F6" w:rsidP="00CE72A7">
      <w:pPr>
        <w:ind w:firstLine="720"/>
        <w:jc w:val="both"/>
        <w:rPr>
          <w:rFonts w:ascii="Cambria" w:hAnsi="Cambria"/>
          <w:sz w:val="20"/>
          <w:szCs w:val="20"/>
          <w:lang w:val="es-ES_tradnl"/>
        </w:rPr>
      </w:pPr>
      <w:r w:rsidRPr="00D5277E">
        <w:rPr>
          <w:rFonts w:ascii="Cambria" w:hAnsi="Cambria"/>
          <w:sz w:val="20"/>
          <w:szCs w:val="20"/>
          <w:lang w:val="es-ES_tradnl"/>
        </w:rPr>
        <w:t xml:space="preserve">1. </w:t>
      </w:r>
      <w:r w:rsidR="00CE72A7" w:rsidRPr="00D5277E">
        <w:rPr>
          <w:rFonts w:ascii="Cambria" w:hAnsi="Cambria"/>
          <w:sz w:val="20"/>
          <w:szCs w:val="20"/>
          <w:lang w:val="es-ES_tradnl"/>
        </w:rPr>
        <w:tab/>
      </w:r>
      <w:r w:rsidR="00113AAC" w:rsidRPr="00D5277E">
        <w:rPr>
          <w:rFonts w:ascii="Cambria" w:hAnsi="Cambria"/>
          <w:sz w:val="20"/>
          <w:szCs w:val="20"/>
          <w:lang w:val="es-ES_tradnl"/>
        </w:rPr>
        <w:t xml:space="preserve">Las tres peticiones consideradas en el presente informe están relacionadas con la alegada violación de los derechos humanos de </w:t>
      </w:r>
      <w:r w:rsidR="00E84F01" w:rsidRPr="00D5277E">
        <w:rPr>
          <w:rFonts w:asciiTheme="majorHAnsi" w:hAnsiTheme="majorHAnsi"/>
          <w:bCs/>
          <w:sz w:val="20"/>
          <w:szCs w:val="20"/>
          <w:lang w:val="es-ES_tradnl"/>
        </w:rPr>
        <w:t>Marianna Belalba, Antonio Puppio, Marino Alvarado Betancourt y Carlos Correa</w:t>
      </w:r>
      <w:r w:rsidR="00113AAC" w:rsidRPr="00D5277E">
        <w:rPr>
          <w:rFonts w:ascii="Cambria" w:hAnsi="Cambria"/>
          <w:sz w:val="20"/>
          <w:szCs w:val="20"/>
          <w:lang w:val="es-ES_tradnl"/>
        </w:rPr>
        <w:t xml:space="preserve"> </w:t>
      </w:r>
      <w:r w:rsidR="007B0A41" w:rsidRPr="00D5277E">
        <w:rPr>
          <w:rFonts w:ascii="Cambria" w:hAnsi="Cambria"/>
          <w:sz w:val="20"/>
          <w:szCs w:val="20"/>
          <w:lang w:val="es-ES_tradnl"/>
        </w:rPr>
        <w:t>debido a</w:t>
      </w:r>
      <w:r w:rsidR="00113AAC" w:rsidRPr="00D5277E">
        <w:rPr>
          <w:rFonts w:ascii="Cambria" w:hAnsi="Cambria"/>
          <w:sz w:val="20"/>
          <w:szCs w:val="20"/>
          <w:lang w:val="es-ES_tradnl"/>
        </w:rPr>
        <w:t xml:space="preserve"> la falta de respuesta ante solicitudes de información realizadas a </w:t>
      </w:r>
      <w:r w:rsidR="00E84F01" w:rsidRPr="00D5277E">
        <w:rPr>
          <w:rFonts w:ascii="Cambria" w:hAnsi="Cambria"/>
          <w:sz w:val="20"/>
          <w:szCs w:val="20"/>
          <w:lang w:val="es-ES_tradnl"/>
        </w:rPr>
        <w:t>tres instituciones púb</w:t>
      </w:r>
      <w:r w:rsidR="008D05B7" w:rsidRPr="00D5277E">
        <w:rPr>
          <w:rFonts w:ascii="Cambria" w:hAnsi="Cambria"/>
          <w:sz w:val="20"/>
          <w:szCs w:val="20"/>
          <w:lang w:val="es-ES_tradnl"/>
        </w:rPr>
        <w:t xml:space="preserve">licas y la falta a un recurso adecuado para acudir ante dicha falta de respuesta. </w:t>
      </w:r>
      <w:r w:rsidR="0025449D" w:rsidRPr="00D5277E">
        <w:rPr>
          <w:rFonts w:ascii="Cambria" w:hAnsi="Cambria"/>
          <w:sz w:val="20"/>
          <w:szCs w:val="20"/>
          <w:lang w:val="es-ES_tradnl"/>
        </w:rPr>
        <w:t>Las tres peticiones fueron presentadas a la CIDH por los mismos peticionarios, pidiéndose en ambas que se declara internacionalmente responsable al Estado venezolano por violación de los mismos artículos de la Convención Americana.</w:t>
      </w:r>
    </w:p>
    <w:p w14:paraId="681F9FDE" w14:textId="4EC74643" w:rsidR="00F81BF4" w:rsidRPr="00D5277E" w:rsidRDefault="00F81BF4" w:rsidP="00CE72A7">
      <w:pPr>
        <w:ind w:firstLine="720"/>
        <w:jc w:val="both"/>
        <w:rPr>
          <w:rFonts w:ascii="Cambria" w:hAnsi="Cambria"/>
          <w:sz w:val="20"/>
          <w:szCs w:val="20"/>
          <w:lang w:val="es-ES_tradnl"/>
        </w:rPr>
      </w:pPr>
    </w:p>
    <w:p w14:paraId="4DDF5D31" w14:textId="6D4F8EF5" w:rsidR="00BD6C0C" w:rsidRPr="00D5277E" w:rsidRDefault="00BD6C0C" w:rsidP="00CE72A7">
      <w:pPr>
        <w:ind w:firstLine="720"/>
        <w:jc w:val="both"/>
        <w:rPr>
          <w:rFonts w:ascii="Cambria" w:hAnsi="Cambria"/>
          <w:i/>
          <w:iCs/>
          <w:sz w:val="20"/>
          <w:szCs w:val="20"/>
          <w:lang w:val="es-ES_tradnl"/>
        </w:rPr>
      </w:pPr>
      <w:r w:rsidRPr="00D5277E">
        <w:rPr>
          <w:rFonts w:ascii="Cambria" w:hAnsi="Cambria"/>
          <w:sz w:val="20"/>
          <w:szCs w:val="20"/>
          <w:lang w:val="es-ES_tradnl"/>
        </w:rPr>
        <w:t>2.</w:t>
      </w:r>
      <w:r w:rsidRPr="00D5277E">
        <w:rPr>
          <w:rFonts w:ascii="Cambria" w:hAnsi="Cambria"/>
          <w:sz w:val="20"/>
          <w:szCs w:val="20"/>
          <w:lang w:val="es-ES_tradnl"/>
        </w:rPr>
        <w:tab/>
        <w:t>La CIDH decidió que se aplique el Artículo 29.5 de</w:t>
      </w:r>
      <w:r w:rsidR="002B1105" w:rsidRPr="00D5277E">
        <w:rPr>
          <w:rFonts w:ascii="Cambria" w:hAnsi="Cambria"/>
          <w:sz w:val="20"/>
          <w:szCs w:val="20"/>
          <w:lang w:val="es-ES_tradnl"/>
        </w:rPr>
        <w:t xml:space="preserve"> su Reglamento, que la faculta para acumular y tramitar conjuntamente peticiones que tienen elementos comunes relevantes, debido a que ambas peticiones se refieren a idénticos hechos, diferenciándose </w:t>
      </w:r>
      <w:r w:rsidR="00C1442F" w:rsidRPr="00D5277E">
        <w:rPr>
          <w:rFonts w:ascii="Cambria" w:hAnsi="Cambria"/>
          <w:sz w:val="20"/>
          <w:szCs w:val="20"/>
          <w:lang w:val="es-ES_tradnl"/>
        </w:rPr>
        <w:t xml:space="preserve">únicamente en cuanto a las entidades a las que solicitaron información. Por tratarse de los mismos presuntos hechos, y por existir identidad de peticionarios y reclamaciones, la CIDH ha decidido en el presente informe </w:t>
      </w:r>
      <w:r w:rsidR="00192396" w:rsidRPr="00D5277E">
        <w:rPr>
          <w:rFonts w:ascii="Cambria" w:hAnsi="Cambria"/>
          <w:sz w:val="20"/>
          <w:szCs w:val="20"/>
          <w:lang w:val="es-ES_tradnl"/>
        </w:rPr>
        <w:t xml:space="preserve">acumular las tres peticiones, para que en lo sucesivo sean tramitadas a través de un mismo procedimiento. El Artículo 29.5 del Reglamento de la CIDH dispone: </w:t>
      </w:r>
      <w:r w:rsidR="00192396" w:rsidRPr="00D5277E">
        <w:rPr>
          <w:rFonts w:ascii="Cambria" w:hAnsi="Cambria"/>
          <w:i/>
          <w:iCs/>
          <w:sz w:val="20"/>
          <w:szCs w:val="20"/>
          <w:lang w:val="es-ES_tradnl"/>
        </w:rPr>
        <w:t>“Si dos o más peticiones versan sobre hechos similares, involucran a las mismas personas, o si revelan el mismo patrón de conducta, la Comisión las podrá acumular y tramitar en un mismo expediente</w:t>
      </w:r>
      <w:r w:rsidR="007B0A41" w:rsidRPr="00D5277E">
        <w:rPr>
          <w:rFonts w:ascii="Cambria" w:hAnsi="Cambria"/>
          <w:i/>
          <w:iCs/>
          <w:sz w:val="20"/>
          <w:szCs w:val="20"/>
          <w:lang w:val="es-ES_tradnl"/>
        </w:rPr>
        <w:t>”</w:t>
      </w:r>
      <w:r w:rsidR="00CE5A34" w:rsidRPr="00D5277E">
        <w:rPr>
          <w:rFonts w:ascii="Cambria" w:hAnsi="Cambria"/>
          <w:i/>
          <w:iCs/>
          <w:sz w:val="20"/>
          <w:szCs w:val="20"/>
          <w:lang w:val="es-ES_tradnl"/>
        </w:rPr>
        <w:t>.</w:t>
      </w:r>
    </w:p>
    <w:p w14:paraId="0FD88F93" w14:textId="5EAAB554" w:rsidR="00F81BF4" w:rsidRPr="00D5277E" w:rsidRDefault="00F81BF4" w:rsidP="00F81BF4">
      <w:pPr>
        <w:jc w:val="both"/>
        <w:rPr>
          <w:sz w:val="20"/>
          <w:szCs w:val="20"/>
          <w:lang w:val="es-ES_tradnl"/>
        </w:rPr>
      </w:pPr>
    </w:p>
    <w:p w14:paraId="3F3126DF" w14:textId="4E2042E6" w:rsidR="00F81BF4" w:rsidRPr="00D5277E" w:rsidRDefault="00CE5A34" w:rsidP="00CE72A7">
      <w:pPr>
        <w:ind w:firstLine="720"/>
        <w:jc w:val="both"/>
        <w:rPr>
          <w:rFonts w:ascii="Cambria" w:hAnsi="Cambria"/>
          <w:b/>
          <w:bCs/>
          <w:sz w:val="20"/>
          <w:szCs w:val="20"/>
          <w:lang w:val="es-ES_tradnl"/>
        </w:rPr>
      </w:pPr>
      <w:r w:rsidRPr="00D5277E">
        <w:rPr>
          <w:rFonts w:ascii="Cambria" w:hAnsi="Cambria"/>
          <w:b/>
          <w:bCs/>
          <w:sz w:val="20"/>
          <w:szCs w:val="20"/>
          <w:lang w:val="es-ES_tradnl"/>
        </w:rPr>
        <w:t>Hechos expuestos en las peticiones y contestación de Venezuela</w:t>
      </w:r>
    </w:p>
    <w:p w14:paraId="72C09982" w14:textId="77777777" w:rsidR="0025449D" w:rsidRPr="00D5277E" w:rsidRDefault="0025449D" w:rsidP="00CE72A7">
      <w:pPr>
        <w:ind w:firstLine="720"/>
        <w:jc w:val="both"/>
        <w:rPr>
          <w:rFonts w:ascii="Cambria" w:hAnsi="Cambria"/>
          <w:sz w:val="20"/>
          <w:szCs w:val="20"/>
          <w:highlight w:val="yellow"/>
          <w:lang w:val="es-ES_tradnl"/>
        </w:rPr>
      </w:pPr>
    </w:p>
    <w:p w14:paraId="4D91B1C9" w14:textId="3D460A69" w:rsidR="00CE72A7" w:rsidRPr="00D5277E" w:rsidRDefault="00CE5A34" w:rsidP="00CE72A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3.</w:t>
      </w:r>
      <w:r w:rsidR="00CE72A7" w:rsidRPr="00D5277E">
        <w:rPr>
          <w:rFonts w:ascii="Cambria" w:hAnsi="Cambria"/>
          <w:sz w:val="20"/>
          <w:szCs w:val="20"/>
          <w:lang w:val="es-ES_tradnl"/>
        </w:rPr>
        <w:tab/>
      </w:r>
      <w:r w:rsidR="007F6AA6" w:rsidRPr="00D5277E">
        <w:rPr>
          <w:rFonts w:ascii="Cambria" w:hAnsi="Cambria"/>
          <w:sz w:val="20"/>
          <w:szCs w:val="20"/>
          <w:lang w:val="es-ES_tradnl"/>
        </w:rPr>
        <w:t xml:space="preserve">La parte peticionaria </w:t>
      </w:r>
      <w:r w:rsidR="00D81C67" w:rsidRPr="00D5277E">
        <w:rPr>
          <w:rFonts w:ascii="Cambria" w:hAnsi="Cambria"/>
          <w:sz w:val="20"/>
          <w:szCs w:val="20"/>
          <w:lang w:val="es-ES_tradnl"/>
        </w:rPr>
        <w:t xml:space="preserve">alega la responsabilidad internacional de la República Bolivariana de Venezuela por la </w:t>
      </w:r>
      <w:r w:rsidR="00231662" w:rsidRPr="00D5277E">
        <w:rPr>
          <w:rFonts w:ascii="Cambria" w:hAnsi="Cambria"/>
          <w:sz w:val="20"/>
          <w:szCs w:val="20"/>
          <w:lang w:val="es-ES_tradnl"/>
        </w:rPr>
        <w:t>violación de sus derecho</w:t>
      </w:r>
      <w:r w:rsidR="00463948" w:rsidRPr="00D5277E">
        <w:rPr>
          <w:rFonts w:ascii="Cambria" w:hAnsi="Cambria"/>
          <w:sz w:val="20"/>
          <w:szCs w:val="20"/>
          <w:lang w:val="es-ES_tradnl"/>
        </w:rPr>
        <w:t>s</w:t>
      </w:r>
      <w:r w:rsidR="008A0A66" w:rsidRPr="00D5277E">
        <w:rPr>
          <w:rFonts w:ascii="Cambria" w:hAnsi="Cambria"/>
          <w:sz w:val="20"/>
          <w:szCs w:val="20"/>
          <w:lang w:val="es-ES_tradnl"/>
        </w:rPr>
        <w:t xml:space="preserve"> a la libertad de expresión y pensamiento en su dimensión social, a través del derecho de acceso a la información pública</w:t>
      </w:r>
      <w:r w:rsidR="001944BE" w:rsidRPr="00D5277E">
        <w:rPr>
          <w:rFonts w:ascii="Cambria" w:hAnsi="Cambria"/>
          <w:sz w:val="20"/>
          <w:szCs w:val="20"/>
          <w:lang w:val="es-ES_tradnl"/>
        </w:rPr>
        <w:t>;</w:t>
      </w:r>
      <w:r w:rsidR="008A0A66" w:rsidRPr="00D5277E">
        <w:rPr>
          <w:rFonts w:ascii="Cambria" w:hAnsi="Cambria"/>
          <w:sz w:val="20"/>
          <w:szCs w:val="20"/>
          <w:lang w:val="es-ES_tradnl"/>
        </w:rPr>
        <w:t xml:space="preserve"> y </w:t>
      </w:r>
      <w:r w:rsidR="001944BE" w:rsidRPr="00D5277E">
        <w:rPr>
          <w:rFonts w:ascii="Cambria" w:hAnsi="Cambria"/>
          <w:sz w:val="20"/>
          <w:szCs w:val="20"/>
          <w:lang w:val="es-ES_tradnl"/>
        </w:rPr>
        <w:t xml:space="preserve">la </w:t>
      </w:r>
      <w:r w:rsidR="008A0A66" w:rsidRPr="00D5277E">
        <w:rPr>
          <w:rFonts w:ascii="Cambria" w:hAnsi="Cambria"/>
          <w:sz w:val="20"/>
          <w:szCs w:val="20"/>
          <w:lang w:val="es-ES_tradnl"/>
        </w:rPr>
        <w:t>vulneración a la protección judicial</w:t>
      </w:r>
      <w:r w:rsidR="006330F7" w:rsidRPr="00D5277E">
        <w:rPr>
          <w:rFonts w:ascii="Cambria" w:hAnsi="Cambria"/>
          <w:sz w:val="20"/>
          <w:szCs w:val="20"/>
          <w:lang w:val="es-ES_tradnl"/>
        </w:rPr>
        <w:t>, en virtud de no haber obtenido respuesta a su</w:t>
      </w:r>
      <w:r w:rsidR="00C2450F" w:rsidRPr="00D5277E">
        <w:rPr>
          <w:rFonts w:ascii="Cambria" w:hAnsi="Cambria"/>
          <w:sz w:val="20"/>
          <w:szCs w:val="20"/>
          <w:lang w:val="es-ES_tradnl"/>
        </w:rPr>
        <w:t xml:space="preserve"> solicitud de información y posterior rechazo </w:t>
      </w:r>
      <w:r w:rsidR="00C2450F" w:rsidRPr="00D5277E">
        <w:rPr>
          <w:rFonts w:ascii="Cambria" w:hAnsi="Cambria"/>
          <w:i/>
          <w:iCs/>
          <w:sz w:val="20"/>
          <w:szCs w:val="20"/>
          <w:lang w:val="es-ES_tradnl"/>
        </w:rPr>
        <w:t xml:space="preserve">in limine </w:t>
      </w:r>
      <w:r w:rsidR="00463948" w:rsidRPr="00D5277E">
        <w:rPr>
          <w:rFonts w:ascii="Cambria" w:hAnsi="Cambria"/>
          <w:sz w:val="20"/>
          <w:szCs w:val="20"/>
          <w:lang w:val="es-ES_tradnl"/>
        </w:rPr>
        <w:t xml:space="preserve">del recurso intentado para satisfacer su derecho. </w:t>
      </w:r>
      <w:r w:rsidR="003C02D7" w:rsidRPr="00D5277E">
        <w:rPr>
          <w:rFonts w:ascii="Cambria" w:hAnsi="Cambria"/>
          <w:sz w:val="20"/>
          <w:szCs w:val="20"/>
          <w:lang w:val="es-ES_tradnl"/>
        </w:rPr>
        <w:t>A continuación</w:t>
      </w:r>
      <w:r w:rsidR="00C71EFB" w:rsidRPr="00D5277E">
        <w:rPr>
          <w:rFonts w:ascii="Cambria" w:hAnsi="Cambria"/>
          <w:sz w:val="20"/>
          <w:szCs w:val="20"/>
          <w:lang w:val="es-ES_tradnl"/>
        </w:rPr>
        <w:t>,</w:t>
      </w:r>
      <w:r w:rsidR="003C02D7" w:rsidRPr="00D5277E">
        <w:rPr>
          <w:rFonts w:ascii="Cambria" w:hAnsi="Cambria"/>
          <w:sz w:val="20"/>
          <w:szCs w:val="20"/>
          <w:lang w:val="es-ES_tradnl"/>
        </w:rPr>
        <w:t xml:space="preserve"> se detallan </w:t>
      </w:r>
      <w:r w:rsidR="001944BE" w:rsidRPr="00D5277E">
        <w:rPr>
          <w:rFonts w:ascii="Cambria" w:hAnsi="Cambria"/>
          <w:sz w:val="20"/>
          <w:szCs w:val="20"/>
          <w:lang w:val="es-ES_tradnl"/>
        </w:rPr>
        <w:t>estas</w:t>
      </w:r>
      <w:r w:rsidR="003C02D7" w:rsidRPr="00D5277E">
        <w:rPr>
          <w:rFonts w:ascii="Cambria" w:hAnsi="Cambria"/>
          <w:sz w:val="20"/>
          <w:szCs w:val="20"/>
          <w:lang w:val="es-ES_tradnl"/>
        </w:rPr>
        <w:t xml:space="preserve"> solicitudes de información:</w:t>
      </w:r>
    </w:p>
    <w:p w14:paraId="6E6A847C" w14:textId="07698788" w:rsidR="00CE72A7" w:rsidRPr="00D5277E" w:rsidRDefault="00CE72A7" w:rsidP="00CE72A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768110E5" w14:textId="272DE729" w:rsidR="00CE72A7" w:rsidRPr="00D5277E" w:rsidRDefault="00CE72A7" w:rsidP="00CE72A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i/>
          <w:iCs/>
          <w:sz w:val="20"/>
          <w:szCs w:val="20"/>
          <w:lang w:val="es-ES_tradnl"/>
        </w:rPr>
      </w:pPr>
      <w:r w:rsidRPr="00D5277E">
        <w:rPr>
          <w:rFonts w:ascii="Cambria" w:hAnsi="Cambria"/>
          <w:i/>
          <w:iCs/>
          <w:sz w:val="20"/>
          <w:szCs w:val="20"/>
          <w:lang w:val="es-ES_tradnl"/>
        </w:rPr>
        <w:t>Solicitud presentada ante el Ministerio del Poder Popular para la Salud</w:t>
      </w:r>
    </w:p>
    <w:p w14:paraId="5F0CED37" w14:textId="77777777" w:rsidR="00CE72A7" w:rsidRPr="00D5277E" w:rsidRDefault="00CE72A7" w:rsidP="00CE72A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239A2824" w14:textId="7960583C" w:rsidR="00061DC7" w:rsidRPr="00D5277E" w:rsidRDefault="00CE5A34" w:rsidP="006D645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4</w:t>
      </w:r>
      <w:r w:rsidR="00CE72A7" w:rsidRPr="00D5277E">
        <w:rPr>
          <w:rFonts w:ascii="Cambria" w:hAnsi="Cambria"/>
          <w:sz w:val="20"/>
          <w:szCs w:val="20"/>
          <w:lang w:val="es-ES_tradnl"/>
        </w:rPr>
        <w:t>.</w:t>
      </w:r>
      <w:r w:rsidR="00CE72A7" w:rsidRPr="00D5277E">
        <w:rPr>
          <w:rFonts w:ascii="Cambria" w:hAnsi="Cambria"/>
          <w:sz w:val="20"/>
          <w:szCs w:val="20"/>
          <w:lang w:val="es-ES_tradnl"/>
        </w:rPr>
        <w:tab/>
      </w:r>
      <w:r w:rsidR="00231662" w:rsidRPr="00D5277E">
        <w:rPr>
          <w:rFonts w:ascii="Cambria" w:hAnsi="Cambria"/>
          <w:sz w:val="20"/>
          <w:szCs w:val="20"/>
          <w:lang w:val="es-ES_tradnl"/>
        </w:rPr>
        <w:t>L</w:t>
      </w:r>
      <w:r w:rsidR="002844CF" w:rsidRPr="00D5277E">
        <w:rPr>
          <w:rFonts w:ascii="Cambria" w:hAnsi="Cambria"/>
          <w:sz w:val="20"/>
          <w:szCs w:val="20"/>
          <w:lang w:val="es-ES_tradnl"/>
        </w:rPr>
        <w:t>os</w:t>
      </w:r>
      <w:r w:rsidR="00231662" w:rsidRPr="00D5277E">
        <w:rPr>
          <w:rFonts w:ascii="Cambria" w:hAnsi="Cambria"/>
          <w:sz w:val="20"/>
          <w:szCs w:val="20"/>
          <w:lang w:val="es-ES_tradnl"/>
        </w:rPr>
        <w:t xml:space="preserve"> peticionari</w:t>
      </w:r>
      <w:r w:rsidR="002844CF" w:rsidRPr="00D5277E">
        <w:rPr>
          <w:rFonts w:ascii="Cambria" w:hAnsi="Cambria"/>
          <w:sz w:val="20"/>
          <w:szCs w:val="20"/>
          <w:lang w:val="es-ES_tradnl"/>
        </w:rPr>
        <w:t>os</w:t>
      </w:r>
      <w:r w:rsidR="00231662" w:rsidRPr="00D5277E">
        <w:rPr>
          <w:rFonts w:ascii="Cambria" w:hAnsi="Cambria"/>
          <w:sz w:val="20"/>
          <w:szCs w:val="20"/>
          <w:lang w:val="es-ES_tradnl"/>
        </w:rPr>
        <w:t xml:space="preserve"> </w:t>
      </w:r>
      <w:r w:rsidR="007F6AA6" w:rsidRPr="00D5277E">
        <w:rPr>
          <w:rFonts w:ascii="Cambria" w:hAnsi="Cambria"/>
          <w:sz w:val="20"/>
          <w:szCs w:val="20"/>
          <w:lang w:val="es-ES_tradnl"/>
        </w:rPr>
        <w:t>expresa</w:t>
      </w:r>
      <w:r w:rsidR="002844CF" w:rsidRPr="00D5277E">
        <w:rPr>
          <w:rFonts w:ascii="Cambria" w:hAnsi="Cambria"/>
          <w:sz w:val="20"/>
          <w:szCs w:val="20"/>
          <w:lang w:val="es-ES_tradnl"/>
        </w:rPr>
        <w:t>n</w:t>
      </w:r>
      <w:r w:rsidR="007F6AA6" w:rsidRPr="00D5277E">
        <w:rPr>
          <w:rFonts w:ascii="Cambria" w:hAnsi="Cambria"/>
          <w:sz w:val="20"/>
          <w:szCs w:val="20"/>
          <w:lang w:val="es-ES_tradnl"/>
        </w:rPr>
        <w:t xml:space="preserve"> que </w:t>
      </w:r>
      <w:r w:rsidR="00CF5050" w:rsidRPr="00D5277E">
        <w:rPr>
          <w:rFonts w:ascii="Cambria" w:hAnsi="Cambria"/>
          <w:sz w:val="20"/>
          <w:szCs w:val="20"/>
          <w:lang w:val="es-ES_tradnl"/>
        </w:rPr>
        <w:t xml:space="preserve">el Ministerio </w:t>
      </w:r>
      <w:r w:rsidR="00993107" w:rsidRPr="00D5277E">
        <w:rPr>
          <w:rFonts w:ascii="Cambria" w:hAnsi="Cambria"/>
          <w:sz w:val="20"/>
          <w:szCs w:val="20"/>
          <w:lang w:val="es-ES_tradnl"/>
        </w:rPr>
        <w:t xml:space="preserve">del Poder Popular para la Salud (en adelante “el Ministerio de Salud” o “el Ministerio”) </w:t>
      </w:r>
      <w:r w:rsidR="00EA01D4" w:rsidRPr="00D5277E">
        <w:rPr>
          <w:rFonts w:ascii="Cambria" w:hAnsi="Cambria"/>
          <w:sz w:val="20"/>
          <w:szCs w:val="20"/>
          <w:lang w:val="es-ES_tradnl"/>
        </w:rPr>
        <w:t>tiene la obligación</w:t>
      </w:r>
      <w:r w:rsidR="004701ED" w:rsidRPr="00D5277E">
        <w:rPr>
          <w:rFonts w:ascii="Cambria" w:hAnsi="Cambria"/>
          <w:sz w:val="20"/>
          <w:szCs w:val="20"/>
          <w:lang w:val="es-ES_tradnl"/>
        </w:rPr>
        <w:t xml:space="preserve"> de emitir boletines epidemiológicos</w:t>
      </w:r>
      <w:r w:rsidR="00D022D2" w:rsidRPr="00D5277E">
        <w:rPr>
          <w:rFonts w:ascii="Cambria" w:hAnsi="Cambria"/>
          <w:sz w:val="20"/>
          <w:szCs w:val="20"/>
          <w:lang w:val="es-ES_tradnl"/>
        </w:rPr>
        <w:t xml:space="preserve"> semanales</w:t>
      </w:r>
      <w:r w:rsidR="004701ED" w:rsidRPr="00D5277E">
        <w:rPr>
          <w:rFonts w:ascii="Cambria" w:hAnsi="Cambria"/>
          <w:sz w:val="20"/>
          <w:szCs w:val="20"/>
          <w:lang w:val="es-ES_tradnl"/>
        </w:rPr>
        <w:t xml:space="preserve">, </w:t>
      </w:r>
      <w:r w:rsidR="00795430" w:rsidRPr="00D5277E">
        <w:rPr>
          <w:rFonts w:ascii="Cambria" w:hAnsi="Cambria"/>
          <w:sz w:val="20"/>
          <w:szCs w:val="20"/>
          <w:lang w:val="es-ES_tradnl"/>
        </w:rPr>
        <w:t>de</w:t>
      </w:r>
      <w:r w:rsidR="00CD6C62" w:rsidRPr="00D5277E">
        <w:rPr>
          <w:rFonts w:ascii="Cambria" w:hAnsi="Cambria"/>
          <w:sz w:val="20"/>
          <w:szCs w:val="20"/>
          <w:lang w:val="es-ES_tradnl"/>
        </w:rPr>
        <w:t>sde</w:t>
      </w:r>
      <w:r w:rsidR="004701ED" w:rsidRPr="00D5277E">
        <w:rPr>
          <w:rFonts w:ascii="Cambria" w:hAnsi="Cambria"/>
          <w:sz w:val="20"/>
          <w:szCs w:val="20"/>
          <w:lang w:val="es-ES_tradnl"/>
        </w:rPr>
        <w:t xml:space="preserve"> 193</w:t>
      </w:r>
      <w:r w:rsidR="00EA01D4" w:rsidRPr="00D5277E">
        <w:rPr>
          <w:rFonts w:ascii="Cambria" w:hAnsi="Cambria"/>
          <w:sz w:val="20"/>
          <w:szCs w:val="20"/>
          <w:lang w:val="es-ES_tradnl"/>
        </w:rPr>
        <w:t>6</w:t>
      </w:r>
      <w:r w:rsidR="006D645E" w:rsidRPr="00D5277E">
        <w:rPr>
          <w:rFonts w:ascii="Cambria" w:hAnsi="Cambria"/>
          <w:sz w:val="20"/>
          <w:szCs w:val="20"/>
          <w:lang w:val="es-ES_tradnl"/>
        </w:rPr>
        <w:t>;</w:t>
      </w:r>
      <w:r w:rsidR="004701ED" w:rsidRPr="00D5277E">
        <w:rPr>
          <w:rFonts w:ascii="Cambria" w:hAnsi="Cambria"/>
          <w:sz w:val="20"/>
          <w:szCs w:val="20"/>
          <w:lang w:val="es-ES_tradnl"/>
        </w:rPr>
        <w:t xml:space="preserve"> sin embargo, </w:t>
      </w:r>
      <w:r w:rsidR="00CD6C62" w:rsidRPr="00D5277E">
        <w:rPr>
          <w:rFonts w:ascii="Cambria" w:hAnsi="Cambria"/>
          <w:sz w:val="20"/>
          <w:szCs w:val="20"/>
          <w:lang w:val="es-ES_tradnl"/>
        </w:rPr>
        <w:t>a partir de</w:t>
      </w:r>
      <w:r w:rsidR="004701ED" w:rsidRPr="00D5277E">
        <w:rPr>
          <w:rFonts w:ascii="Cambria" w:hAnsi="Cambria"/>
          <w:sz w:val="20"/>
          <w:szCs w:val="20"/>
          <w:lang w:val="es-ES_tradnl"/>
        </w:rPr>
        <w:t xml:space="preserve"> 2007 su difusión fue interrumpida.</w:t>
      </w:r>
      <w:r w:rsidR="00EA01D4" w:rsidRPr="00D5277E">
        <w:rPr>
          <w:rFonts w:ascii="Cambria" w:hAnsi="Cambria"/>
          <w:sz w:val="20"/>
          <w:szCs w:val="20"/>
          <w:lang w:val="es-ES_tradnl"/>
        </w:rPr>
        <w:t xml:space="preserve"> Consideran que esto afecta a la población en general</w:t>
      </w:r>
      <w:r w:rsidR="009D6089" w:rsidRPr="00D5277E">
        <w:rPr>
          <w:rFonts w:ascii="Cambria" w:hAnsi="Cambria"/>
          <w:sz w:val="20"/>
          <w:szCs w:val="20"/>
          <w:lang w:val="es-ES_tradnl"/>
        </w:rPr>
        <w:t>, quienes tienen derecho a saber</w:t>
      </w:r>
      <w:r w:rsidR="00EA01D4" w:rsidRPr="00D5277E">
        <w:rPr>
          <w:rFonts w:ascii="Cambria" w:hAnsi="Cambria"/>
          <w:sz w:val="20"/>
          <w:szCs w:val="20"/>
          <w:lang w:val="es-ES_tradnl"/>
        </w:rPr>
        <w:t xml:space="preserve">. </w:t>
      </w:r>
      <w:r w:rsidR="00446608" w:rsidRPr="00D5277E">
        <w:rPr>
          <w:rFonts w:ascii="Cambria" w:hAnsi="Cambria"/>
          <w:sz w:val="20"/>
          <w:szCs w:val="20"/>
          <w:lang w:val="es-ES_tradnl"/>
        </w:rPr>
        <w:t>Por ello, el 20 de julio de 2009</w:t>
      </w:r>
      <w:r w:rsidR="006C4917" w:rsidRPr="00D5277E">
        <w:rPr>
          <w:rFonts w:ascii="Cambria" w:hAnsi="Cambria"/>
          <w:sz w:val="20"/>
          <w:szCs w:val="20"/>
          <w:lang w:val="es-ES_tradnl"/>
        </w:rPr>
        <w:t xml:space="preserve"> los peticionarios realizaron una solicitud de información, consistente en: </w:t>
      </w:r>
    </w:p>
    <w:p w14:paraId="003D13F3" w14:textId="77777777" w:rsidR="006D645E" w:rsidRPr="00D5277E" w:rsidRDefault="006D645E" w:rsidP="006D645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58A32125" w14:textId="24E29613" w:rsidR="00061DC7" w:rsidRPr="00D5277E" w:rsidRDefault="00AC7DA0" w:rsidP="006D645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18"/>
          <w:szCs w:val="18"/>
          <w:lang w:val="es-ES_tradnl"/>
        </w:rPr>
      </w:pPr>
      <w:r w:rsidRPr="00D5277E">
        <w:rPr>
          <w:rFonts w:ascii="Cambria" w:hAnsi="Cambria"/>
          <w:sz w:val="18"/>
          <w:szCs w:val="18"/>
          <w:lang w:val="es-ES_tradnl"/>
        </w:rPr>
        <w:t>Los boletines epidemiológicos corresp</w:t>
      </w:r>
      <w:r w:rsidR="004D6C01" w:rsidRPr="00D5277E">
        <w:rPr>
          <w:rFonts w:ascii="Cambria" w:hAnsi="Cambria"/>
          <w:sz w:val="18"/>
          <w:szCs w:val="18"/>
          <w:lang w:val="es-ES_tradnl"/>
        </w:rPr>
        <w:t>o</w:t>
      </w:r>
      <w:r w:rsidRPr="00D5277E">
        <w:rPr>
          <w:rFonts w:ascii="Cambria" w:hAnsi="Cambria"/>
          <w:sz w:val="18"/>
          <w:szCs w:val="18"/>
          <w:lang w:val="es-ES_tradnl"/>
        </w:rPr>
        <w:t>ndientes al mes de enero, febrero, marzo, abril, mayo y junio de 2009. Los boletines epidemiológicos, insumo de vital importancia para los trabajadores de la salud y ciudadanos en gene</w:t>
      </w:r>
      <w:r w:rsidR="004D6C01" w:rsidRPr="00D5277E">
        <w:rPr>
          <w:rFonts w:ascii="Cambria" w:hAnsi="Cambria"/>
          <w:sz w:val="18"/>
          <w:szCs w:val="18"/>
          <w:lang w:val="es-ES_tradnl"/>
        </w:rPr>
        <w:t>r</w:t>
      </w:r>
      <w:r w:rsidRPr="00D5277E">
        <w:rPr>
          <w:rFonts w:ascii="Cambria" w:hAnsi="Cambria"/>
          <w:sz w:val="18"/>
          <w:szCs w:val="18"/>
          <w:lang w:val="es-ES_tradnl"/>
        </w:rPr>
        <w:t xml:space="preserve">al a fin de estar debidamente informados </w:t>
      </w:r>
      <w:r w:rsidR="004D6C01" w:rsidRPr="00D5277E">
        <w:rPr>
          <w:rFonts w:ascii="Cambria" w:hAnsi="Cambria"/>
          <w:sz w:val="18"/>
          <w:szCs w:val="18"/>
          <w:lang w:val="es-ES_tradnl"/>
        </w:rPr>
        <w:t>sobre la existencia de enfermedades epidémicas, para tomar las precauciones necesarias, minimizar el contagio y en consecuencia garantizar el derecho a la salud de la población.</w:t>
      </w:r>
    </w:p>
    <w:p w14:paraId="23A41180" w14:textId="77777777" w:rsidR="006D645E" w:rsidRPr="00D5277E" w:rsidRDefault="006D645E" w:rsidP="00CE72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right="284"/>
        <w:jc w:val="both"/>
        <w:rPr>
          <w:rFonts w:ascii="Cambria" w:hAnsi="Cambria"/>
          <w:sz w:val="20"/>
          <w:szCs w:val="20"/>
          <w:lang w:val="es-ES_tradnl"/>
        </w:rPr>
      </w:pPr>
    </w:p>
    <w:p w14:paraId="49730448" w14:textId="4955C706" w:rsidR="0022536C" w:rsidRPr="00D5277E" w:rsidRDefault="00CE5A34" w:rsidP="00FE5EB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5</w:t>
      </w:r>
      <w:r w:rsidR="00FE5EBC" w:rsidRPr="00D5277E">
        <w:rPr>
          <w:rFonts w:ascii="Cambria" w:hAnsi="Cambria"/>
          <w:sz w:val="20"/>
          <w:szCs w:val="20"/>
          <w:lang w:val="es-ES_tradnl"/>
        </w:rPr>
        <w:t>.</w:t>
      </w:r>
      <w:r w:rsidR="00FE5EBC" w:rsidRPr="00D5277E">
        <w:rPr>
          <w:rFonts w:ascii="Cambria" w:hAnsi="Cambria"/>
          <w:sz w:val="20"/>
          <w:szCs w:val="20"/>
          <w:lang w:val="es-ES_tradnl"/>
        </w:rPr>
        <w:tab/>
      </w:r>
      <w:r w:rsidR="0098546F" w:rsidRPr="00D5277E">
        <w:rPr>
          <w:rFonts w:ascii="Cambria" w:hAnsi="Cambria"/>
          <w:sz w:val="20"/>
          <w:szCs w:val="20"/>
          <w:lang w:val="es-ES_tradnl"/>
        </w:rPr>
        <w:t>Expresan que</w:t>
      </w:r>
      <w:r w:rsidR="009D6089" w:rsidRPr="00D5277E">
        <w:rPr>
          <w:rFonts w:ascii="Cambria" w:hAnsi="Cambria"/>
          <w:sz w:val="20"/>
          <w:szCs w:val="20"/>
          <w:lang w:val="es-ES_tradnl"/>
        </w:rPr>
        <w:t>,</w:t>
      </w:r>
      <w:r w:rsidR="0098546F" w:rsidRPr="00D5277E">
        <w:rPr>
          <w:rFonts w:ascii="Cambria" w:hAnsi="Cambria"/>
          <w:sz w:val="20"/>
          <w:szCs w:val="20"/>
          <w:lang w:val="es-ES_tradnl"/>
        </w:rPr>
        <w:t xml:space="preserve"> según la Ley Orgánica de Procedimientos Administrativos, el plazo para </w:t>
      </w:r>
      <w:r w:rsidR="00FE5EBC" w:rsidRPr="00D5277E">
        <w:rPr>
          <w:rFonts w:ascii="Cambria" w:hAnsi="Cambria"/>
          <w:sz w:val="20"/>
          <w:szCs w:val="20"/>
          <w:lang w:val="es-ES_tradnl"/>
        </w:rPr>
        <w:t>responder</w:t>
      </w:r>
      <w:r w:rsidR="0098546F" w:rsidRPr="00D5277E">
        <w:rPr>
          <w:rFonts w:ascii="Cambria" w:hAnsi="Cambria"/>
          <w:sz w:val="20"/>
          <w:szCs w:val="20"/>
          <w:lang w:val="es-ES_tradnl"/>
        </w:rPr>
        <w:t xml:space="preserve"> a su solicitud </w:t>
      </w:r>
      <w:r w:rsidR="00FE5EBC" w:rsidRPr="00D5277E">
        <w:rPr>
          <w:rFonts w:ascii="Cambria" w:hAnsi="Cambria"/>
          <w:sz w:val="20"/>
          <w:szCs w:val="20"/>
          <w:lang w:val="es-ES_tradnl"/>
        </w:rPr>
        <w:t>era</w:t>
      </w:r>
      <w:r w:rsidR="0098546F" w:rsidRPr="00D5277E">
        <w:rPr>
          <w:rFonts w:ascii="Cambria" w:hAnsi="Cambria"/>
          <w:sz w:val="20"/>
          <w:szCs w:val="20"/>
          <w:lang w:val="es-ES_tradnl"/>
        </w:rPr>
        <w:t xml:space="preserve"> de </w:t>
      </w:r>
      <w:r w:rsidR="00FE5EBC" w:rsidRPr="00D5277E">
        <w:rPr>
          <w:rFonts w:ascii="Cambria" w:hAnsi="Cambria"/>
          <w:sz w:val="20"/>
          <w:szCs w:val="20"/>
          <w:lang w:val="es-ES_tradnl"/>
        </w:rPr>
        <w:t>veinte</w:t>
      </w:r>
      <w:r w:rsidR="0098546F" w:rsidRPr="00D5277E">
        <w:rPr>
          <w:rFonts w:ascii="Cambria" w:hAnsi="Cambria"/>
          <w:sz w:val="20"/>
          <w:szCs w:val="20"/>
          <w:lang w:val="es-ES_tradnl"/>
        </w:rPr>
        <w:t xml:space="preserve"> días hábiles. Ante la falta de respuesta, el </w:t>
      </w:r>
      <w:r w:rsidR="001102CC" w:rsidRPr="00D5277E">
        <w:rPr>
          <w:rFonts w:ascii="Cambria" w:hAnsi="Cambria"/>
          <w:sz w:val="20"/>
          <w:szCs w:val="20"/>
          <w:lang w:val="es-ES_tradnl"/>
        </w:rPr>
        <w:t xml:space="preserve">24 de agosto de 2009 reiteraron su solicitud de información. </w:t>
      </w:r>
      <w:r w:rsidR="00FE5EBC" w:rsidRPr="00D5277E">
        <w:rPr>
          <w:rFonts w:ascii="Cambria" w:hAnsi="Cambria"/>
          <w:sz w:val="20"/>
          <w:szCs w:val="20"/>
          <w:lang w:val="es-ES_tradnl"/>
        </w:rPr>
        <w:t>Sin embargo, e</w:t>
      </w:r>
      <w:r w:rsidR="001102CC" w:rsidRPr="00D5277E">
        <w:rPr>
          <w:rFonts w:ascii="Cambria" w:hAnsi="Cambria"/>
          <w:sz w:val="20"/>
          <w:szCs w:val="20"/>
          <w:lang w:val="es-ES_tradnl"/>
        </w:rPr>
        <w:t>l plaz</w:t>
      </w:r>
      <w:r w:rsidR="009D6089" w:rsidRPr="00D5277E">
        <w:rPr>
          <w:rFonts w:ascii="Cambria" w:hAnsi="Cambria"/>
          <w:sz w:val="20"/>
          <w:szCs w:val="20"/>
          <w:lang w:val="es-ES_tradnl"/>
        </w:rPr>
        <w:t>o</w:t>
      </w:r>
      <w:r w:rsidR="001102CC" w:rsidRPr="00D5277E">
        <w:rPr>
          <w:rFonts w:ascii="Cambria" w:hAnsi="Cambria"/>
          <w:sz w:val="20"/>
          <w:szCs w:val="20"/>
          <w:lang w:val="es-ES_tradnl"/>
        </w:rPr>
        <w:t xml:space="preserve"> de </w:t>
      </w:r>
      <w:r w:rsidR="00FE5EBC" w:rsidRPr="00D5277E">
        <w:rPr>
          <w:rFonts w:ascii="Cambria" w:hAnsi="Cambria"/>
          <w:sz w:val="20"/>
          <w:szCs w:val="20"/>
          <w:lang w:val="es-ES_tradnl"/>
        </w:rPr>
        <w:t>veinte</w:t>
      </w:r>
      <w:r w:rsidR="001102CC" w:rsidRPr="00D5277E">
        <w:rPr>
          <w:rFonts w:ascii="Cambria" w:hAnsi="Cambria"/>
          <w:sz w:val="20"/>
          <w:szCs w:val="20"/>
          <w:lang w:val="es-ES_tradnl"/>
        </w:rPr>
        <w:t xml:space="preserve"> días volvió a vencer y no obtuvieron respuesta alguna.</w:t>
      </w:r>
    </w:p>
    <w:p w14:paraId="1F7658F1" w14:textId="77777777" w:rsidR="00FE5EBC" w:rsidRPr="00D5277E" w:rsidRDefault="00FE5EBC" w:rsidP="00FE5EB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5B5F118B" w14:textId="5DB91D61" w:rsidR="009517AD" w:rsidRPr="00D5277E" w:rsidRDefault="00CE5A34" w:rsidP="0050560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ES_tradnl"/>
        </w:rPr>
      </w:pPr>
      <w:r w:rsidRPr="00D5277E">
        <w:rPr>
          <w:rFonts w:ascii="Cambria" w:hAnsi="Cambria"/>
          <w:sz w:val="20"/>
          <w:szCs w:val="20"/>
          <w:lang w:val="es-ES_tradnl"/>
        </w:rPr>
        <w:t>6</w:t>
      </w:r>
      <w:r w:rsidR="00FE5EBC" w:rsidRPr="00D5277E">
        <w:rPr>
          <w:rFonts w:ascii="Cambria" w:hAnsi="Cambria"/>
          <w:sz w:val="20"/>
          <w:szCs w:val="20"/>
          <w:lang w:val="es-ES_tradnl"/>
        </w:rPr>
        <w:t>.</w:t>
      </w:r>
      <w:r w:rsidR="00FE5EBC" w:rsidRPr="00D5277E">
        <w:rPr>
          <w:rFonts w:ascii="Cambria" w:hAnsi="Cambria"/>
          <w:sz w:val="20"/>
          <w:szCs w:val="20"/>
          <w:lang w:val="es-ES_tradnl"/>
        </w:rPr>
        <w:tab/>
      </w:r>
      <w:r w:rsidR="001102CC" w:rsidRPr="00D5277E">
        <w:rPr>
          <w:rFonts w:ascii="Cambria" w:hAnsi="Cambria"/>
          <w:sz w:val="20"/>
          <w:szCs w:val="20"/>
          <w:lang w:val="es-ES_tradnl"/>
        </w:rPr>
        <w:t xml:space="preserve">Los peticionarios </w:t>
      </w:r>
      <w:r w:rsidR="00B77023" w:rsidRPr="00D5277E">
        <w:rPr>
          <w:rFonts w:ascii="Cambria" w:hAnsi="Cambria"/>
          <w:sz w:val="20"/>
          <w:szCs w:val="20"/>
          <w:lang w:val="es-ES_tradnl"/>
        </w:rPr>
        <w:t>acudieron ante la</w:t>
      </w:r>
      <w:r w:rsidR="00F743CE" w:rsidRPr="00D5277E">
        <w:rPr>
          <w:rFonts w:ascii="Cambria" w:hAnsi="Cambria"/>
          <w:sz w:val="20"/>
          <w:szCs w:val="20"/>
          <w:lang w:val="es-ES_tradnl"/>
        </w:rPr>
        <w:t xml:space="preserve"> Sala Constitucional del Tribunal Supremo de Justicia el 29 de octubre de 2009, para presentar un amparo constitucional, por vulneración a los derechos de petición, salud y acceso a la información pública.</w:t>
      </w:r>
      <w:r w:rsidR="00BD0484" w:rsidRPr="00D5277E">
        <w:rPr>
          <w:rFonts w:ascii="Cambria" w:hAnsi="Cambria"/>
          <w:sz w:val="20"/>
          <w:szCs w:val="20"/>
          <w:lang w:val="es-ES_tradnl"/>
        </w:rPr>
        <w:t xml:space="preserve"> El fundamento de esta demanda fue la falta de respuesta por parte del Ministerio de Salud</w:t>
      </w:r>
      <w:r w:rsidR="009971F0" w:rsidRPr="00D5277E">
        <w:rPr>
          <w:rFonts w:ascii="Cambria" w:hAnsi="Cambria"/>
          <w:sz w:val="20"/>
          <w:szCs w:val="20"/>
          <w:lang w:val="es-ES_tradnl"/>
        </w:rPr>
        <w:t xml:space="preserve"> </w:t>
      </w:r>
      <w:r w:rsidR="00BD0484" w:rsidRPr="00D5277E">
        <w:rPr>
          <w:rFonts w:ascii="Cambria" w:hAnsi="Cambria"/>
          <w:sz w:val="20"/>
          <w:szCs w:val="20"/>
          <w:lang w:val="es-ES_tradnl"/>
        </w:rPr>
        <w:t>a sus solicitudes de información.</w:t>
      </w:r>
      <w:r w:rsidR="00505603" w:rsidRPr="00D5277E">
        <w:rPr>
          <w:rFonts w:ascii="Cambria" w:hAnsi="Cambria"/>
          <w:sz w:val="20"/>
          <w:szCs w:val="20"/>
          <w:lang w:val="es-ES_tradnl"/>
        </w:rPr>
        <w:t xml:space="preserve"> </w:t>
      </w:r>
      <w:r w:rsidR="009D4ACE" w:rsidRPr="00D5277E">
        <w:rPr>
          <w:rFonts w:ascii="Cambria" w:hAnsi="Cambria"/>
          <w:sz w:val="20"/>
          <w:szCs w:val="20"/>
          <w:lang w:val="es-ES_tradnl"/>
        </w:rPr>
        <w:t>El 9 de julio de 2010 la Sala Constitucional emitió la sentencia N°</w:t>
      </w:r>
      <w:r w:rsidR="00505603" w:rsidRPr="00D5277E">
        <w:rPr>
          <w:rFonts w:ascii="Cambria" w:hAnsi="Cambria"/>
          <w:sz w:val="20"/>
          <w:szCs w:val="20"/>
          <w:lang w:val="es-ES_tradnl"/>
        </w:rPr>
        <w:t xml:space="preserve"> </w:t>
      </w:r>
      <w:r w:rsidR="009D4ACE" w:rsidRPr="00D5277E">
        <w:rPr>
          <w:rFonts w:ascii="Cambria" w:hAnsi="Cambria"/>
          <w:sz w:val="20"/>
          <w:szCs w:val="20"/>
          <w:lang w:val="es-ES_tradnl"/>
        </w:rPr>
        <w:t xml:space="preserve">697 en la que declaró inadmisible la acción interpuesta, puesto que consideró </w:t>
      </w:r>
      <w:r w:rsidR="009517AD" w:rsidRPr="00D5277E">
        <w:rPr>
          <w:rFonts w:ascii="Cambria" w:hAnsi="Cambria"/>
          <w:sz w:val="20"/>
          <w:szCs w:val="20"/>
          <w:lang w:val="es-ES_tradnl"/>
        </w:rPr>
        <w:t>que,</w:t>
      </w:r>
      <w:r w:rsidR="009D4ACE" w:rsidRPr="00D5277E">
        <w:rPr>
          <w:rFonts w:ascii="Cambria" w:hAnsi="Cambria"/>
          <w:sz w:val="20"/>
          <w:szCs w:val="20"/>
          <w:lang w:val="es-ES_tradnl"/>
        </w:rPr>
        <w:t xml:space="preserve"> </w:t>
      </w:r>
      <w:r w:rsidR="00B018AA" w:rsidRPr="00D5277E">
        <w:rPr>
          <w:rFonts w:ascii="Cambria" w:hAnsi="Cambria"/>
          <w:sz w:val="20"/>
          <w:szCs w:val="20"/>
          <w:lang w:val="es-ES_tradnl"/>
        </w:rPr>
        <w:t>según la jurisprudencia constitucional</w:t>
      </w:r>
      <w:r w:rsidR="00E34C34" w:rsidRPr="00D5277E">
        <w:rPr>
          <w:rFonts w:ascii="Cambria" w:hAnsi="Cambria"/>
          <w:sz w:val="20"/>
          <w:szCs w:val="20"/>
          <w:lang w:val="es-ES_tradnl"/>
        </w:rPr>
        <w:t xml:space="preserve">, para que el amparo resulte admisible es necesario que hayan sido agotados los mecanismos procesales existentes sin que se haya logrado la tutela merecida. </w:t>
      </w:r>
      <w:r w:rsidR="009517AD" w:rsidRPr="00D5277E">
        <w:rPr>
          <w:sz w:val="20"/>
          <w:szCs w:val="20"/>
          <w:lang w:val="es-ES_tradnl"/>
        </w:rPr>
        <w:t xml:space="preserve">Los peticionarios alegan que </w:t>
      </w:r>
      <w:r w:rsidR="00401872" w:rsidRPr="00D5277E">
        <w:rPr>
          <w:sz w:val="20"/>
          <w:szCs w:val="20"/>
          <w:lang w:val="es-ES_tradnl"/>
        </w:rPr>
        <w:t xml:space="preserve">con </w:t>
      </w:r>
      <w:r w:rsidR="00505603" w:rsidRPr="00D5277E">
        <w:rPr>
          <w:sz w:val="20"/>
          <w:szCs w:val="20"/>
          <w:lang w:val="es-ES_tradnl"/>
        </w:rPr>
        <w:t>esta</w:t>
      </w:r>
      <w:r w:rsidR="00401872" w:rsidRPr="00D5277E">
        <w:rPr>
          <w:sz w:val="20"/>
          <w:szCs w:val="20"/>
          <w:lang w:val="es-ES_tradnl"/>
        </w:rPr>
        <w:t xml:space="preserve"> resolución se desnaturalizó jurisprudencialmente el recurso de amparo, además denuncian que el recurso de abstención o carencia no es idóneo y resaltaron la ausencia de legislación interna que establezca un recurso judicial adecuado y efectivo para impugnar las denegatorias de </w:t>
      </w:r>
      <w:r w:rsidR="0010048D" w:rsidRPr="00D5277E">
        <w:rPr>
          <w:sz w:val="20"/>
          <w:szCs w:val="20"/>
          <w:lang w:val="es-ES_tradnl"/>
        </w:rPr>
        <w:t xml:space="preserve">información pública. </w:t>
      </w:r>
    </w:p>
    <w:p w14:paraId="13D8E842" w14:textId="77777777" w:rsidR="00505603" w:rsidRPr="00D5277E" w:rsidRDefault="00505603" w:rsidP="0050560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4AD863A0" w14:textId="68B4CA17" w:rsidR="00505603" w:rsidRPr="00D5277E" w:rsidRDefault="00CE5A34" w:rsidP="0050560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7</w:t>
      </w:r>
      <w:r w:rsidR="00505603" w:rsidRPr="00D5277E">
        <w:rPr>
          <w:rFonts w:ascii="Cambria" w:hAnsi="Cambria"/>
          <w:sz w:val="20"/>
          <w:szCs w:val="20"/>
          <w:lang w:val="es-ES_tradnl"/>
        </w:rPr>
        <w:t>.</w:t>
      </w:r>
      <w:r w:rsidR="00505603" w:rsidRPr="00D5277E">
        <w:rPr>
          <w:rFonts w:ascii="Cambria" w:hAnsi="Cambria"/>
          <w:sz w:val="20"/>
          <w:szCs w:val="20"/>
          <w:lang w:val="es-ES_tradnl"/>
        </w:rPr>
        <w:tab/>
      </w:r>
      <w:r w:rsidR="00B1059E" w:rsidRPr="00D5277E">
        <w:rPr>
          <w:rFonts w:ascii="Cambria" w:hAnsi="Cambria"/>
          <w:sz w:val="20"/>
          <w:szCs w:val="20"/>
          <w:lang w:val="es-ES_tradnl"/>
        </w:rPr>
        <w:t xml:space="preserve">Las presuntas víctimas </w:t>
      </w:r>
      <w:r w:rsidR="00505603" w:rsidRPr="00D5277E">
        <w:rPr>
          <w:rFonts w:ascii="Cambria" w:hAnsi="Cambria"/>
          <w:sz w:val="20"/>
          <w:szCs w:val="20"/>
          <w:lang w:val="es-ES_tradnl"/>
        </w:rPr>
        <w:t>alegan</w:t>
      </w:r>
      <w:r w:rsidR="00B1059E" w:rsidRPr="00D5277E">
        <w:rPr>
          <w:rFonts w:ascii="Cambria" w:hAnsi="Cambria"/>
          <w:sz w:val="20"/>
          <w:szCs w:val="20"/>
          <w:lang w:val="es-ES_tradnl"/>
        </w:rPr>
        <w:t xml:space="preserve"> que el Director de Epidemiología del Ministerio de Salud </w:t>
      </w:r>
      <w:r w:rsidR="00FE764C" w:rsidRPr="00D5277E">
        <w:rPr>
          <w:rFonts w:ascii="Cambria" w:hAnsi="Cambria"/>
          <w:sz w:val="20"/>
          <w:szCs w:val="20"/>
          <w:lang w:val="es-ES_tradnl"/>
        </w:rPr>
        <w:t>brindó declaraciones ante un medio de comunicación, en las que expresó:</w:t>
      </w:r>
      <w:r w:rsidR="00505603" w:rsidRPr="00D5277E">
        <w:rPr>
          <w:rFonts w:ascii="Cambria" w:hAnsi="Cambria"/>
          <w:sz w:val="20"/>
          <w:szCs w:val="20"/>
          <w:lang w:val="es-ES_tradnl"/>
        </w:rPr>
        <w:t xml:space="preserve"> “</w:t>
      </w:r>
      <w:r w:rsidR="00ED6F4A" w:rsidRPr="00D5277E">
        <w:rPr>
          <w:rFonts w:ascii="Cambria" w:hAnsi="Cambria"/>
          <w:i/>
          <w:iCs/>
          <w:sz w:val="20"/>
          <w:szCs w:val="20"/>
          <w:lang w:val="es-ES_tradnl"/>
        </w:rPr>
        <w:t>Si empiezan a utiliza</w:t>
      </w:r>
      <w:r w:rsidR="00505603" w:rsidRPr="00D5277E">
        <w:rPr>
          <w:rFonts w:ascii="Cambria" w:hAnsi="Cambria"/>
          <w:i/>
          <w:iCs/>
          <w:sz w:val="20"/>
          <w:szCs w:val="20"/>
          <w:lang w:val="es-ES_tradnl"/>
        </w:rPr>
        <w:t>r</w:t>
      </w:r>
      <w:r w:rsidR="00ED6F4A" w:rsidRPr="00D5277E">
        <w:rPr>
          <w:rFonts w:ascii="Cambria" w:hAnsi="Cambria"/>
          <w:i/>
          <w:iCs/>
          <w:sz w:val="20"/>
          <w:szCs w:val="20"/>
          <w:lang w:val="es-ES_tradnl"/>
        </w:rPr>
        <w:t xml:space="preserve"> el boletín epidemiológico para desestabilizar, para el golpismo o para el terrorismo, no podemos permitir que con nuestro propio instrumento que estamos empleando para la toma de decisiones y la mejora de la salud del pueblo, vengan los medios de comunicación a hacer oposición y hagan terrorismo mediático, y le creen un problema de salud mental a la población venezolana</w:t>
      </w:r>
      <w:r w:rsidR="00505603" w:rsidRPr="00D5277E">
        <w:rPr>
          <w:rFonts w:ascii="Cambria" w:hAnsi="Cambria"/>
          <w:sz w:val="20"/>
          <w:szCs w:val="20"/>
          <w:lang w:val="es-ES_tradnl"/>
        </w:rPr>
        <w:t>”</w:t>
      </w:r>
      <w:r w:rsidR="00ED6F4A" w:rsidRPr="00D5277E">
        <w:rPr>
          <w:rStyle w:val="FootnoteReference"/>
          <w:rFonts w:ascii="Cambria" w:hAnsi="Cambria"/>
          <w:sz w:val="20"/>
          <w:szCs w:val="20"/>
          <w:lang w:val="es-ES_tradnl"/>
        </w:rPr>
        <w:footnoteReference w:id="3"/>
      </w:r>
      <w:r w:rsidR="000C3B76" w:rsidRPr="00D5277E">
        <w:rPr>
          <w:rFonts w:ascii="Cambria" w:hAnsi="Cambria"/>
          <w:sz w:val="20"/>
          <w:szCs w:val="20"/>
          <w:lang w:val="es-ES_tradnl"/>
        </w:rPr>
        <w:t>.</w:t>
      </w:r>
    </w:p>
    <w:p w14:paraId="3D078FD8" w14:textId="77777777" w:rsidR="00911F50" w:rsidRPr="00D5277E" w:rsidRDefault="00911F50" w:rsidP="00911F5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63D22896" w14:textId="43F45C74" w:rsidR="00B34B6F" w:rsidRPr="00D5277E" w:rsidRDefault="00CE5A34" w:rsidP="00FE5E9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8</w:t>
      </w:r>
      <w:r w:rsidR="00911F50" w:rsidRPr="00D5277E">
        <w:rPr>
          <w:rFonts w:ascii="Cambria" w:hAnsi="Cambria"/>
          <w:sz w:val="20"/>
          <w:szCs w:val="20"/>
          <w:lang w:val="es-ES_tradnl"/>
        </w:rPr>
        <w:t>.</w:t>
      </w:r>
      <w:r w:rsidR="00911F50" w:rsidRPr="00D5277E">
        <w:rPr>
          <w:rFonts w:ascii="Cambria" w:hAnsi="Cambria"/>
          <w:sz w:val="20"/>
          <w:szCs w:val="20"/>
          <w:lang w:val="es-ES_tradnl"/>
        </w:rPr>
        <w:tab/>
      </w:r>
      <w:r w:rsidR="001F5FBE" w:rsidRPr="00D5277E">
        <w:rPr>
          <w:rFonts w:ascii="Cambria" w:hAnsi="Cambria"/>
          <w:sz w:val="20"/>
          <w:szCs w:val="20"/>
          <w:lang w:val="es-ES_tradnl"/>
        </w:rPr>
        <w:t>El Estado</w:t>
      </w:r>
      <w:r w:rsidR="00FE5E9A" w:rsidRPr="00D5277E">
        <w:rPr>
          <w:rFonts w:ascii="Cambria" w:hAnsi="Cambria"/>
          <w:sz w:val="20"/>
          <w:szCs w:val="20"/>
          <w:lang w:val="es-ES_tradnl"/>
        </w:rPr>
        <w:t xml:space="preserve"> venezolano</w:t>
      </w:r>
      <w:r w:rsidR="001F5FBE" w:rsidRPr="00D5277E">
        <w:rPr>
          <w:rFonts w:ascii="Cambria" w:hAnsi="Cambria"/>
          <w:sz w:val="20"/>
          <w:szCs w:val="20"/>
          <w:lang w:val="es-ES_tradnl"/>
        </w:rPr>
        <w:t xml:space="preserve"> manifiesta que la petición no cumplió con los requisitos de agotamiento de recursos internos, dado que la peticionaria debió haber </w:t>
      </w:r>
      <w:r w:rsidR="00A50E6D" w:rsidRPr="00D5277E">
        <w:rPr>
          <w:rFonts w:ascii="Cambria" w:hAnsi="Cambria"/>
          <w:sz w:val="20"/>
          <w:szCs w:val="20"/>
          <w:lang w:val="es-ES_tradnl"/>
        </w:rPr>
        <w:t>acudido a la jurisdicción contenciosa administrativa, según el art. 259 de la Constitución de la República Bolivariana de Venezuela</w:t>
      </w:r>
      <w:r w:rsidR="00FE5E9A" w:rsidRPr="00D5277E">
        <w:rPr>
          <w:rFonts w:ascii="Cambria" w:hAnsi="Cambria"/>
          <w:sz w:val="20"/>
          <w:szCs w:val="20"/>
          <w:lang w:val="es-ES_tradnl"/>
        </w:rPr>
        <w:t>;</w:t>
      </w:r>
      <w:r w:rsidR="00A50E6D" w:rsidRPr="00D5277E">
        <w:rPr>
          <w:rFonts w:ascii="Cambria" w:hAnsi="Cambria"/>
          <w:sz w:val="20"/>
          <w:szCs w:val="20"/>
          <w:lang w:val="es-ES_tradnl"/>
        </w:rPr>
        <w:t xml:space="preserve"> el art. 26.3 de </w:t>
      </w:r>
      <w:r w:rsidR="00911F50" w:rsidRPr="00D5277E">
        <w:rPr>
          <w:rFonts w:ascii="Cambria" w:hAnsi="Cambria"/>
          <w:sz w:val="20"/>
          <w:szCs w:val="20"/>
          <w:lang w:val="es-ES_tradnl"/>
        </w:rPr>
        <w:t>l</w:t>
      </w:r>
      <w:r w:rsidR="00A50E6D" w:rsidRPr="00D5277E">
        <w:rPr>
          <w:rFonts w:ascii="Cambria" w:hAnsi="Cambria"/>
          <w:sz w:val="20"/>
          <w:szCs w:val="20"/>
          <w:lang w:val="es-ES_tradnl"/>
        </w:rPr>
        <w:t>a Ley Orgánica del Tribunal Supremo de Justicia</w:t>
      </w:r>
      <w:r w:rsidR="00FE5E9A" w:rsidRPr="00D5277E">
        <w:rPr>
          <w:rFonts w:ascii="Cambria" w:hAnsi="Cambria"/>
          <w:sz w:val="20"/>
          <w:szCs w:val="20"/>
          <w:lang w:val="es-ES_tradnl"/>
        </w:rPr>
        <w:t>;</w:t>
      </w:r>
      <w:r w:rsidR="00A50E6D" w:rsidRPr="00D5277E">
        <w:rPr>
          <w:rFonts w:ascii="Cambria" w:hAnsi="Cambria"/>
          <w:sz w:val="20"/>
          <w:szCs w:val="20"/>
          <w:lang w:val="es-ES_tradnl"/>
        </w:rPr>
        <w:t xml:space="preserve"> y los arts. 9.2, 23.3 y 26 de la Ley Orgánica de la Jurisdicción Contenciosa Administrativa, </w:t>
      </w:r>
      <w:r w:rsidR="002F787E" w:rsidRPr="00D5277E">
        <w:rPr>
          <w:rFonts w:ascii="Cambria" w:hAnsi="Cambria"/>
          <w:sz w:val="20"/>
          <w:szCs w:val="20"/>
          <w:lang w:val="es-ES_tradnl"/>
        </w:rPr>
        <w:t>en consecuencia debió haber utilizado el recurso de abstención o carencia de la administración pública.</w:t>
      </w:r>
      <w:r w:rsidR="00707691" w:rsidRPr="00D5277E">
        <w:rPr>
          <w:rFonts w:ascii="Cambria" w:hAnsi="Cambria"/>
          <w:sz w:val="20"/>
          <w:szCs w:val="20"/>
          <w:lang w:val="es-ES_tradnl"/>
        </w:rPr>
        <w:t xml:space="preserve"> También</w:t>
      </w:r>
      <w:r w:rsidR="00FE5E9A" w:rsidRPr="00D5277E">
        <w:rPr>
          <w:rFonts w:ascii="Cambria" w:hAnsi="Cambria"/>
          <w:sz w:val="20"/>
          <w:szCs w:val="20"/>
          <w:lang w:val="es-ES_tradnl"/>
        </w:rPr>
        <w:t xml:space="preserve"> alega </w:t>
      </w:r>
      <w:r w:rsidR="00DD1D7B" w:rsidRPr="00D5277E">
        <w:rPr>
          <w:rFonts w:ascii="Cambria" w:hAnsi="Cambria"/>
          <w:sz w:val="20"/>
          <w:szCs w:val="20"/>
          <w:lang w:val="es-ES_tradnl"/>
        </w:rPr>
        <w:t xml:space="preserve">que los mismos peticionarios han presentado otra </w:t>
      </w:r>
      <w:r w:rsidR="00FE5E9A" w:rsidRPr="00D5277E">
        <w:rPr>
          <w:rFonts w:ascii="Cambria" w:hAnsi="Cambria"/>
          <w:sz w:val="20"/>
          <w:szCs w:val="20"/>
          <w:lang w:val="es-ES_tradnl"/>
        </w:rPr>
        <w:t>petición</w:t>
      </w:r>
      <w:r w:rsidR="00DD1D7B" w:rsidRPr="00D5277E">
        <w:rPr>
          <w:rFonts w:ascii="Cambria" w:hAnsi="Cambria"/>
          <w:sz w:val="20"/>
          <w:szCs w:val="20"/>
          <w:lang w:val="es-ES_tradnl"/>
        </w:rPr>
        <w:t xml:space="preserve"> ante la CIDH en la que </w:t>
      </w:r>
      <w:r w:rsidR="00FE5E9A" w:rsidRPr="00D5277E">
        <w:rPr>
          <w:rFonts w:ascii="Cambria" w:hAnsi="Cambria"/>
          <w:sz w:val="20"/>
          <w:szCs w:val="20"/>
          <w:lang w:val="es-ES_tradnl"/>
        </w:rPr>
        <w:t xml:space="preserve">informan que sí </w:t>
      </w:r>
      <w:r w:rsidR="00DD1D7B" w:rsidRPr="00D5277E">
        <w:rPr>
          <w:rFonts w:ascii="Cambria" w:hAnsi="Cambria"/>
          <w:sz w:val="20"/>
          <w:szCs w:val="20"/>
          <w:lang w:val="es-ES_tradnl"/>
        </w:rPr>
        <w:t>acudieron a la jurisdicción contenciosa administrativa ante la falta de respuesta a sus solicitudes de información</w:t>
      </w:r>
      <w:r w:rsidR="00FE5E9A" w:rsidRPr="00D5277E">
        <w:rPr>
          <w:rFonts w:ascii="Cambria" w:hAnsi="Cambria"/>
          <w:sz w:val="20"/>
          <w:szCs w:val="20"/>
          <w:lang w:val="es-ES_tradnl"/>
        </w:rPr>
        <w:t xml:space="preserve">; petición en la cual </w:t>
      </w:r>
      <w:r w:rsidR="00F30C95" w:rsidRPr="00D5277E">
        <w:rPr>
          <w:rFonts w:ascii="Cambria" w:hAnsi="Cambria"/>
          <w:sz w:val="20"/>
          <w:szCs w:val="20"/>
          <w:lang w:val="es-ES_tradnl"/>
        </w:rPr>
        <w:t>l</w:t>
      </w:r>
      <w:r w:rsidR="00C617F7" w:rsidRPr="00D5277E">
        <w:rPr>
          <w:rFonts w:ascii="Cambria" w:hAnsi="Cambria"/>
          <w:sz w:val="20"/>
          <w:szCs w:val="20"/>
          <w:lang w:val="es-ES_tradnl"/>
        </w:rPr>
        <w:t xml:space="preserve">os peticionarios denuncian el retardo </w:t>
      </w:r>
      <w:r w:rsidR="00B34B6F" w:rsidRPr="00D5277E">
        <w:rPr>
          <w:rFonts w:ascii="Cambria" w:hAnsi="Cambria"/>
          <w:sz w:val="20"/>
          <w:szCs w:val="20"/>
          <w:lang w:val="es-ES_tradnl"/>
        </w:rPr>
        <w:t>par</w:t>
      </w:r>
      <w:r w:rsidR="00521DA5" w:rsidRPr="00D5277E">
        <w:rPr>
          <w:rFonts w:ascii="Cambria" w:hAnsi="Cambria"/>
          <w:sz w:val="20"/>
          <w:szCs w:val="20"/>
          <w:lang w:val="es-ES_tradnl"/>
        </w:rPr>
        <w:t>a</w:t>
      </w:r>
      <w:r w:rsidR="00B34B6F" w:rsidRPr="00D5277E">
        <w:rPr>
          <w:rFonts w:ascii="Cambria" w:hAnsi="Cambria"/>
          <w:sz w:val="20"/>
          <w:szCs w:val="20"/>
          <w:lang w:val="es-ES_tradnl"/>
        </w:rPr>
        <w:t xml:space="preserve"> emitir una decisión</w:t>
      </w:r>
      <w:r w:rsidR="00C617F7" w:rsidRPr="00D5277E">
        <w:rPr>
          <w:rFonts w:ascii="Cambria" w:hAnsi="Cambria"/>
          <w:sz w:val="20"/>
          <w:szCs w:val="20"/>
          <w:lang w:val="es-ES_tradnl"/>
        </w:rPr>
        <w:t>.</w:t>
      </w:r>
    </w:p>
    <w:p w14:paraId="4ED84F1B" w14:textId="77777777" w:rsidR="00FE5E9A" w:rsidRPr="00D5277E" w:rsidRDefault="00FE5E9A" w:rsidP="00FE5E9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06551AA2" w14:textId="38AD86D7" w:rsidR="00521DA5" w:rsidRPr="00D5277E" w:rsidRDefault="00F05913" w:rsidP="00E1016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i/>
          <w:iCs/>
          <w:sz w:val="20"/>
          <w:szCs w:val="20"/>
          <w:lang w:val="es-ES_tradnl"/>
        </w:rPr>
      </w:pPr>
      <w:r w:rsidRPr="00D5277E">
        <w:rPr>
          <w:i/>
          <w:iCs/>
          <w:sz w:val="20"/>
          <w:szCs w:val="20"/>
          <w:lang w:val="es-ES_tradnl"/>
        </w:rPr>
        <w:t xml:space="preserve">Solicitud presentada ante </w:t>
      </w:r>
      <w:r w:rsidR="00521DA5" w:rsidRPr="00D5277E">
        <w:rPr>
          <w:i/>
          <w:iCs/>
          <w:sz w:val="20"/>
          <w:szCs w:val="20"/>
          <w:lang w:val="es-ES_tradnl"/>
        </w:rPr>
        <w:t>la Contraloría General de la República</w:t>
      </w:r>
    </w:p>
    <w:p w14:paraId="741ABF7E" w14:textId="77777777" w:rsidR="00E10168" w:rsidRPr="00D5277E" w:rsidRDefault="00E10168" w:rsidP="00E1016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ES_tradnl"/>
        </w:rPr>
      </w:pPr>
    </w:p>
    <w:p w14:paraId="6715D2F9" w14:textId="3160D3DC" w:rsidR="0040091F" w:rsidRPr="00D5277E" w:rsidRDefault="00CE5A34" w:rsidP="0040091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9</w:t>
      </w:r>
      <w:r w:rsidR="00E10168" w:rsidRPr="00D5277E">
        <w:rPr>
          <w:rFonts w:ascii="Cambria" w:hAnsi="Cambria"/>
          <w:sz w:val="20"/>
          <w:szCs w:val="20"/>
          <w:lang w:val="es-ES_tradnl"/>
        </w:rPr>
        <w:t>.</w:t>
      </w:r>
      <w:r w:rsidR="00E10168" w:rsidRPr="00D5277E">
        <w:rPr>
          <w:rFonts w:ascii="Cambria" w:hAnsi="Cambria"/>
          <w:sz w:val="20"/>
          <w:szCs w:val="20"/>
          <w:lang w:val="es-ES_tradnl"/>
        </w:rPr>
        <w:tab/>
      </w:r>
      <w:r w:rsidR="00521DA5" w:rsidRPr="00D5277E">
        <w:rPr>
          <w:rFonts w:ascii="Cambria" w:hAnsi="Cambria"/>
          <w:sz w:val="20"/>
          <w:szCs w:val="20"/>
          <w:lang w:val="es-ES_tradnl"/>
        </w:rPr>
        <w:t>Los peticionarios expresan que la Contraloría General de la República (en adelante “la Contraloría</w:t>
      </w:r>
      <w:r w:rsidR="00E10168" w:rsidRPr="00D5277E">
        <w:rPr>
          <w:rFonts w:ascii="Cambria" w:hAnsi="Cambria"/>
          <w:sz w:val="20"/>
          <w:szCs w:val="20"/>
          <w:lang w:val="es-ES_tradnl"/>
        </w:rPr>
        <w:t>”</w:t>
      </w:r>
      <w:r w:rsidR="00521DA5" w:rsidRPr="00D5277E">
        <w:rPr>
          <w:rFonts w:ascii="Cambria" w:hAnsi="Cambria"/>
          <w:sz w:val="20"/>
          <w:szCs w:val="20"/>
          <w:lang w:val="es-ES_tradnl"/>
        </w:rPr>
        <w:t xml:space="preserve">) es un órgano constitucionalmente autónomo, integrante del Poder Ciudadano y rector del Sistema Nacional de Control Fiscal, encargado de velar por la buena gestión y el correcto uso del patrimonio público. </w:t>
      </w:r>
      <w:r w:rsidR="00E10168" w:rsidRPr="00D5277E">
        <w:rPr>
          <w:rFonts w:ascii="Cambria" w:hAnsi="Cambria"/>
          <w:sz w:val="20"/>
          <w:szCs w:val="20"/>
          <w:lang w:val="es-ES_tradnl"/>
        </w:rPr>
        <w:t xml:space="preserve">Ante esta </w:t>
      </w:r>
      <w:r w:rsidR="00A52524" w:rsidRPr="00D5277E">
        <w:rPr>
          <w:rFonts w:ascii="Cambria" w:hAnsi="Cambria"/>
          <w:sz w:val="20"/>
          <w:szCs w:val="20"/>
          <w:lang w:val="es-ES_tradnl"/>
        </w:rPr>
        <w:t>institución</w:t>
      </w:r>
      <w:r w:rsidR="00E10168" w:rsidRPr="00D5277E">
        <w:rPr>
          <w:rFonts w:ascii="Cambria" w:hAnsi="Cambria"/>
          <w:sz w:val="20"/>
          <w:szCs w:val="20"/>
          <w:lang w:val="es-ES_tradnl"/>
        </w:rPr>
        <w:t xml:space="preserve">, los peticionarios presentaron una solicitud de información el 13 de noviembre de 2008, </w:t>
      </w:r>
      <w:r w:rsidR="00521DA5" w:rsidRPr="00D5277E">
        <w:rPr>
          <w:rFonts w:ascii="Cambria" w:hAnsi="Cambria"/>
          <w:sz w:val="20"/>
          <w:szCs w:val="20"/>
          <w:lang w:val="es-ES_tradnl"/>
        </w:rPr>
        <w:t xml:space="preserve">la cual fue recibida por la Unidad de Correspondencia de la Contraloría y se le colocó el número correlativo 12264, la solicitud de información consistió en: </w:t>
      </w:r>
      <w:r w:rsidR="00E10168" w:rsidRPr="00D5277E">
        <w:rPr>
          <w:rFonts w:ascii="Cambria" w:hAnsi="Cambria"/>
          <w:sz w:val="20"/>
          <w:szCs w:val="20"/>
          <w:lang w:val="es-ES_tradnl"/>
        </w:rPr>
        <w:t>“</w:t>
      </w:r>
      <w:r w:rsidR="00521DA5" w:rsidRPr="00D5277E">
        <w:rPr>
          <w:rFonts w:ascii="Cambria" w:hAnsi="Cambria"/>
          <w:i/>
          <w:iCs/>
          <w:sz w:val="20"/>
          <w:szCs w:val="20"/>
          <w:lang w:val="es-ES_tradnl"/>
        </w:rPr>
        <w:t>i) ¿Cuál es el salario base y otras erogaciones que devenga usted como Contralor General de la República?; y, ii) Copia de la tabla de remuneraciones aplicadas al personal que labora en la institución</w:t>
      </w:r>
      <w:r w:rsidR="00E10168" w:rsidRPr="00D5277E">
        <w:rPr>
          <w:rFonts w:ascii="Cambria" w:hAnsi="Cambria"/>
          <w:sz w:val="20"/>
          <w:szCs w:val="20"/>
          <w:lang w:val="es-ES_tradnl"/>
        </w:rPr>
        <w:t>”</w:t>
      </w:r>
      <w:r w:rsidR="00521DA5" w:rsidRPr="00D5277E">
        <w:rPr>
          <w:rFonts w:ascii="Cambria" w:hAnsi="Cambria"/>
          <w:sz w:val="20"/>
          <w:szCs w:val="20"/>
          <w:lang w:val="es-ES_tradnl"/>
        </w:rPr>
        <w:t>.</w:t>
      </w:r>
    </w:p>
    <w:p w14:paraId="2C540FC5" w14:textId="77777777" w:rsidR="0040091F" w:rsidRPr="00D5277E" w:rsidRDefault="0040091F" w:rsidP="0040091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5E37F863" w14:textId="44A98B4B" w:rsidR="00521DA5" w:rsidRPr="00D5277E" w:rsidRDefault="00CE5A34" w:rsidP="0020732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10</w:t>
      </w:r>
      <w:r w:rsidR="0040091F" w:rsidRPr="00D5277E">
        <w:rPr>
          <w:rFonts w:ascii="Cambria" w:hAnsi="Cambria"/>
          <w:sz w:val="20"/>
          <w:szCs w:val="20"/>
          <w:lang w:val="es-ES_tradnl"/>
        </w:rPr>
        <w:t>.</w:t>
      </w:r>
      <w:r w:rsidR="0040091F" w:rsidRPr="00D5277E">
        <w:rPr>
          <w:rFonts w:ascii="Cambria" w:hAnsi="Cambria"/>
          <w:sz w:val="20"/>
          <w:szCs w:val="20"/>
          <w:lang w:val="es-ES_tradnl"/>
        </w:rPr>
        <w:tab/>
      </w:r>
      <w:r w:rsidR="0020732E" w:rsidRPr="00D5277E">
        <w:rPr>
          <w:rFonts w:ascii="Cambria" w:hAnsi="Cambria"/>
          <w:sz w:val="20"/>
          <w:szCs w:val="20"/>
          <w:lang w:val="es-ES_tradnl"/>
        </w:rPr>
        <w:t>Tomando en cuenta que, como ya se indicó, s</w:t>
      </w:r>
      <w:r w:rsidR="00521DA5" w:rsidRPr="00D5277E">
        <w:rPr>
          <w:rFonts w:ascii="Cambria" w:hAnsi="Cambria"/>
          <w:sz w:val="20"/>
          <w:szCs w:val="20"/>
          <w:lang w:val="es-ES_tradnl"/>
        </w:rPr>
        <w:t xml:space="preserve">egún la Ley Orgánica de Procedimientos Administrativos, el plazo para dar respuesta a su solicitud es de </w:t>
      </w:r>
      <w:r w:rsidR="0020732E" w:rsidRPr="00D5277E">
        <w:rPr>
          <w:rFonts w:ascii="Cambria" w:hAnsi="Cambria"/>
          <w:sz w:val="20"/>
          <w:szCs w:val="20"/>
          <w:lang w:val="es-ES_tradnl"/>
        </w:rPr>
        <w:t>veinte</w:t>
      </w:r>
      <w:r w:rsidR="00521DA5" w:rsidRPr="00D5277E">
        <w:rPr>
          <w:rFonts w:ascii="Cambria" w:hAnsi="Cambria"/>
          <w:sz w:val="20"/>
          <w:szCs w:val="20"/>
          <w:lang w:val="es-ES_tradnl"/>
        </w:rPr>
        <w:t xml:space="preserve"> días hábiles. </w:t>
      </w:r>
      <w:r w:rsidR="0020732E" w:rsidRPr="00D5277E">
        <w:rPr>
          <w:rFonts w:ascii="Cambria" w:hAnsi="Cambria"/>
          <w:sz w:val="20"/>
          <w:szCs w:val="20"/>
          <w:lang w:val="es-ES_tradnl"/>
        </w:rPr>
        <w:t xml:space="preserve">Los peticionarios reiteraron su solicitud de información el </w:t>
      </w:r>
      <w:r w:rsidR="00521DA5" w:rsidRPr="00D5277E">
        <w:rPr>
          <w:rFonts w:ascii="Cambria" w:hAnsi="Cambria"/>
          <w:sz w:val="20"/>
          <w:szCs w:val="20"/>
          <w:lang w:val="es-ES_tradnl"/>
        </w:rPr>
        <w:t>11 de febrero de 2009</w:t>
      </w:r>
      <w:r w:rsidR="0020732E" w:rsidRPr="00D5277E">
        <w:rPr>
          <w:rFonts w:ascii="Cambria" w:hAnsi="Cambria"/>
          <w:sz w:val="20"/>
          <w:szCs w:val="20"/>
          <w:lang w:val="es-ES_tradnl"/>
        </w:rPr>
        <w:t xml:space="preserve">. </w:t>
      </w:r>
      <w:r w:rsidR="00521DA5" w:rsidRPr="00D5277E">
        <w:rPr>
          <w:rFonts w:ascii="Cambria" w:hAnsi="Cambria"/>
          <w:sz w:val="20"/>
          <w:szCs w:val="20"/>
          <w:lang w:val="es-ES_tradnl"/>
        </w:rPr>
        <w:t xml:space="preserve"> La Contraloría</w:t>
      </w:r>
      <w:r w:rsidR="0020732E" w:rsidRPr="00D5277E">
        <w:rPr>
          <w:rFonts w:ascii="Cambria" w:hAnsi="Cambria"/>
          <w:sz w:val="20"/>
          <w:szCs w:val="20"/>
          <w:lang w:val="es-ES_tradnl"/>
        </w:rPr>
        <w:t>, por su parte,</w:t>
      </w:r>
      <w:r w:rsidR="00521DA5" w:rsidRPr="00D5277E">
        <w:rPr>
          <w:rFonts w:ascii="Cambria" w:hAnsi="Cambria"/>
          <w:sz w:val="20"/>
          <w:szCs w:val="20"/>
          <w:lang w:val="es-ES_tradnl"/>
        </w:rPr>
        <w:t xml:space="preserve"> </w:t>
      </w:r>
      <w:r w:rsidR="0020732E" w:rsidRPr="00D5277E">
        <w:rPr>
          <w:rFonts w:ascii="Cambria" w:hAnsi="Cambria"/>
          <w:sz w:val="20"/>
          <w:szCs w:val="20"/>
          <w:lang w:val="es-ES_tradnl"/>
        </w:rPr>
        <w:t>respondió</w:t>
      </w:r>
      <w:r w:rsidR="00521DA5" w:rsidRPr="00D5277E">
        <w:rPr>
          <w:rFonts w:ascii="Cambria" w:hAnsi="Cambria"/>
          <w:sz w:val="20"/>
          <w:szCs w:val="20"/>
          <w:lang w:val="es-ES_tradnl"/>
        </w:rPr>
        <w:t xml:space="preserve"> el 13 de febrero de 2009 por medio del oficio emitido por la Dirección de Recursos Humanos, en su respuesta expresó:</w:t>
      </w:r>
    </w:p>
    <w:p w14:paraId="4924A7B0" w14:textId="77777777" w:rsidR="0020732E" w:rsidRPr="00D5277E" w:rsidRDefault="0020732E" w:rsidP="0020732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2440D811" w14:textId="3E455B41" w:rsidR="00521DA5" w:rsidRPr="00D5277E" w:rsidRDefault="00521DA5" w:rsidP="0020732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18"/>
          <w:szCs w:val="18"/>
          <w:lang w:val="es-ES_tradnl"/>
        </w:rPr>
      </w:pPr>
      <w:r w:rsidRPr="00D5277E">
        <w:rPr>
          <w:rFonts w:ascii="Cambria" w:hAnsi="Cambria"/>
          <w:sz w:val="18"/>
          <w:szCs w:val="18"/>
          <w:lang w:val="es-ES_tradnl"/>
        </w:rPr>
        <w:t>Estimo imperativo indicarle que las interrogantes de su comunicación implican una invasión de la esfera privada de los funcionarios públicos, que se encuentran protegidos, como todo ciudadano, por el derecho al honor y privacidad, consagrado en el artículo 60 de nuestra Carta Magna, por lo que no están cubiertas por el derecho constitucional de petición y oportuna respuesta. En consecuencia, las mismas, excede el ámbito objetivo de potestades y facultades otorgadas por el sistema jurídico venezolano, en el ejercicio del cargo que la máxima autoridad de este Organismo ostenta</w:t>
      </w:r>
      <w:r w:rsidRPr="00D5277E">
        <w:rPr>
          <w:rStyle w:val="FootnoteReference"/>
          <w:rFonts w:ascii="Cambria" w:hAnsi="Cambria"/>
          <w:sz w:val="18"/>
          <w:szCs w:val="18"/>
          <w:lang w:val="es-ES_tradnl"/>
        </w:rPr>
        <w:footnoteReference w:id="4"/>
      </w:r>
      <w:r w:rsidRPr="00D5277E">
        <w:rPr>
          <w:rFonts w:ascii="Cambria" w:hAnsi="Cambria"/>
          <w:sz w:val="18"/>
          <w:szCs w:val="18"/>
          <w:lang w:val="es-ES_tradnl"/>
        </w:rPr>
        <w:t>.</w:t>
      </w:r>
    </w:p>
    <w:p w14:paraId="2C7C7947" w14:textId="77777777" w:rsidR="0020732E" w:rsidRPr="00D5277E" w:rsidRDefault="0020732E" w:rsidP="00CE72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right="284"/>
        <w:jc w:val="both"/>
        <w:rPr>
          <w:rFonts w:ascii="Cambria" w:hAnsi="Cambria"/>
          <w:sz w:val="20"/>
          <w:szCs w:val="20"/>
          <w:lang w:val="es-ES_tradnl"/>
        </w:rPr>
      </w:pPr>
    </w:p>
    <w:p w14:paraId="329645E4" w14:textId="308E5D43" w:rsidR="00521DA5" w:rsidRPr="00D5277E" w:rsidRDefault="000A146F" w:rsidP="000A146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lastRenderedPageBreak/>
        <w:t>1</w:t>
      </w:r>
      <w:r w:rsidR="00CE5A34" w:rsidRPr="00D5277E">
        <w:rPr>
          <w:rFonts w:ascii="Cambria" w:hAnsi="Cambria"/>
          <w:sz w:val="20"/>
          <w:szCs w:val="20"/>
          <w:lang w:val="es-ES_tradnl"/>
        </w:rPr>
        <w:t>1</w:t>
      </w:r>
      <w:r w:rsidRPr="00D5277E">
        <w:rPr>
          <w:rFonts w:ascii="Cambria" w:hAnsi="Cambria"/>
          <w:sz w:val="20"/>
          <w:szCs w:val="20"/>
          <w:lang w:val="es-ES_tradnl"/>
        </w:rPr>
        <w:t>.</w:t>
      </w:r>
      <w:r w:rsidRPr="00D5277E">
        <w:rPr>
          <w:rFonts w:ascii="Cambria" w:hAnsi="Cambria"/>
          <w:sz w:val="20"/>
          <w:szCs w:val="20"/>
          <w:lang w:val="es-ES_tradnl"/>
        </w:rPr>
        <w:tab/>
      </w:r>
      <w:r w:rsidR="00521DA5" w:rsidRPr="00D5277E">
        <w:rPr>
          <w:rFonts w:ascii="Cambria" w:hAnsi="Cambria"/>
          <w:sz w:val="20"/>
          <w:szCs w:val="20"/>
          <w:lang w:val="es-ES_tradnl"/>
        </w:rPr>
        <w:t xml:space="preserve">Ante esta denegatoria </w:t>
      </w:r>
      <w:r w:rsidRPr="00D5277E">
        <w:rPr>
          <w:rFonts w:ascii="Cambria" w:hAnsi="Cambria"/>
          <w:sz w:val="20"/>
          <w:szCs w:val="20"/>
          <w:lang w:val="es-ES_tradnl"/>
        </w:rPr>
        <w:t xml:space="preserve">formal </w:t>
      </w:r>
      <w:r w:rsidR="00521DA5" w:rsidRPr="00D5277E">
        <w:rPr>
          <w:rFonts w:ascii="Cambria" w:hAnsi="Cambria"/>
          <w:sz w:val="20"/>
          <w:szCs w:val="20"/>
          <w:lang w:val="es-ES_tradnl"/>
        </w:rPr>
        <w:t>de información, los peticionarios acudieron ante la Sala Constitucional del Tribunal Supremo de Justicia el 12 de agosto de 2009, para presentar un amparo constitucional, por vulneración al derecho de acceso a la información pública.</w:t>
      </w:r>
      <w:r w:rsidRPr="00D5277E">
        <w:rPr>
          <w:rFonts w:ascii="Cambria" w:hAnsi="Cambria"/>
          <w:sz w:val="20"/>
          <w:szCs w:val="20"/>
          <w:lang w:val="es-ES_tradnl"/>
        </w:rPr>
        <w:t xml:space="preserve"> </w:t>
      </w:r>
      <w:r w:rsidR="00521DA5" w:rsidRPr="00D5277E">
        <w:rPr>
          <w:rFonts w:ascii="Cambria" w:hAnsi="Cambria"/>
          <w:sz w:val="20"/>
          <w:szCs w:val="20"/>
          <w:lang w:val="es-ES_tradnl"/>
        </w:rPr>
        <w:t xml:space="preserve">El 15 de julio de 2010 </w:t>
      </w:r>
      <w:r w:rsidRPr="00D5277E">
        <w:rPr>
          <w:rFonts w:ascii="Cambria" w:hAnsi="Cambria"/>
          <w:sz w:val="20"/>
          <w:szCs w:val="20"/>
          <w:lang w:val="es-ES_tradnl"/>
        </w:rPr>
        <w:t>esta instancia</w:t>
      </w:r>
      <w:r w:rsidR="00521DA5" w:rsidRPr="00D5277E">
        <w:rPr>
          <w:rFonts w:ascii="Cambria" w:hAnsi="Cambria"/>
          <w:sz w:val="20"/>
          <w:szCs w:val="20"/>
          <w:lang w:val="es-ES_tradnl"/>
        </w:rPr>
        <w:t xml:space="preserve"> declaró improcedente </w:t>
      </w:r>
      <w:r w:rsidR="00521DA5" w:rsidRPr="00D5277E">
        <w:rPr>
          <w:rFonts w:ascii="Cambria" w:hAnsi="Cambria"/>
          <w:i/>
          <w:iCs/>
          <w:sz w:val="20"/>
          <w:szCs w:val="20"/>
          <w:lang w:val="es-ES_tradnl"/>
        </w:rPr>
        <w:t xml:space="preserve">in limine litis </w:t>
      </w:r>
      <w:r w:rsidR="00521DA5" w:rsidRPr="00D5277E">
        <w:rPr>
          <w:rFonts w:ascii="Cambria" w:hAnsi="Cambria"/>
          <w:sz w:val="20"/>
          <w:szCs w:val="20"/>
          <w:lang w:val="es-ES_tradnl"/>
        </w:rPr>
        <w:t xml:space="preserve">la acción de amparo, alegando que </w:t>
      </w:r>
      <w:r w:rsidR="00301EF9" w:rsidRPr="00D5277E">
        <w:rPr>
          <w:rFonts w:ascii="Cambria" w:hAnsi="Cambria"/>
          <w:sz w:val="20"/>
          <w:szCs w:val="20"/>
          <w:lang w:val="es-ES_tradnl"/>
        </w:rPr>
        <w:t>sí se respondió</w:t>
      </w:r>
      <w:r w:rsidR="00521DA5" w:rsidRPr="00D5277E">
        <w:rPr>
          <w:rFonts w:ascii="Cambria" w:hAnsi="Cambria"/>
          <w:sz w:val="20"/>
          <w:szCs w:val="20"/>
          <w:lang w:val="es-ES_tradnl"/>
        </w:rPr>
        <w:t xml:space="preserve"> la solicitud de información, la cual habría sido debidamente motivada</w:t>
      </w:r>
      <w:r w:rsidR="00301EF9" w:rsidRPr="00D5277E">
        <w:rPr>
          <w:rFonts w:ascii="Cambria" w:hAnsi="Cambria"/>
          <w:sz w:val="20"/>
          <w:szCs w:val="20"/>
          <w:lang w:val="es-ES_tradnl"/>
        </w:rPr>
        <w:t xml:space="preserve"> de conformidad con la </w:t>
      </w:r>
      <w:r w:rsidR="00521DA5" w:rsidRPr="00D5277E">
        <w:rPr>
          <w:rFonts w:ascii="Cambria" w:hAnsi="Cambria"/>
          <w:sz w:val="20"/>
          <w:szCs w:val="20"/>
          <w:lang w:val="es-ES_tradnl"/>
        </w:rPr>
        <w:t xml:space="preserve">Ley </w:t>
      </w:r>
      <w:r w:rsidR="00A52524" w:rsidRPr="00D5277E">
        <w:rPr>
          <w:rFonts w:ascii="Cambria" w:hAnsi="Cambria"/>
          <w:sz w:val="20"/>
          <w:szCs w:val="20"/>
          <w:lang w:val="es-ES_tradnl"/>
        </w:rPr>
        <w:t>O</w:t>
      </w:r>
      <w:r w:rsidR="00521DA5" w:rsidRPr="00D5277E">
        <w:rPr>
          <w:rFonts w:ascii="Cambria" w:hAnsi="Cambria"/>
          <w:sz w:val="20"/>
          <w:szCs w:val="20"/>
          <w:lang w:val="es-ES_tradnl"/>
        </w:rPr>
        <w:t>rg</w:t>
      </w:r>
      <w:r w:rsidR="00A52524" w:rsidRPr="00D5277E">
        <w:rPr>
          <w:rFonts w:ascii="Cambria" w:hAnsi="Cambria"/>
          <w:sz w:val="20"/>
          <w:szCs w:val="20"/>
          <w:lang w:val="es-ES_tradnl"/>
        </w:rPr>
        <w:t>á</w:t>
      </w:r>
      <w:r w:rsidR="00521DA5" w:rsidRPr="00D5277E">
        <w:rPr>
          <w:rFonts w:ascii="Cambria" w:hAnsi="Cambria"/>
          <w:sz w:val="20"/>
          <w:szCs w:val="20"/>
          <w:lang w:val="es-ES_tradnl"/>
        </w:rPr>
        <w:t xml:space="preserve">nica de Procedimientos Administrativos. </w:t>
      </w:r>
    </w:p>
    <w:p w14:paraId="6F5739D6" w14:textId="77777777" w:rsidR="00301EF9" w:rsidRPr="00D5277E" w:rsidRDefault="00301EF9" w:rsidP="000A146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05487E2C" w14:textId="530A911B" w:rsidR="00006427" w:rsidRPr="00D5277E" w:rsidRDefault="00006427" w:rsidP="0000642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1</w:t>
      </w:r>
      <w:r w:rsidR="00CE5A34" w:rsidRPr="00D5277E">
        <w:rPr>
          <w:rFonts w:ascii="Cambria" w:hAnsi="Cambria"/>
          <w:sz w:val="20"/>
          <w:szCs w:val="20"/>
          <w:lang w:val="es-ES_tradnl"/>
        </w:rPr>
        <w:t>2</w:t>
      </w:r>
      <w:r w:rsidRPr="00D5277E">
        <w:rPr>
          <w:rFonts w:ascii="Cambria" w:hAnsi="Cambria"/>
          <w:sz w:val="20"/>
          <w:szCs w:val="20"/>
          <w:lang w:val="es-ES_tradnl"/>
        </w:rPr>
        <w:t>.</w:t>
      </w:r>
      <w:r w:rsidRPr="00D5277E">
        <w:rPr>
          <w:rFonts w:ascii="Cambria" w:hAnsi="Cambria"/>
          <w:sz w:val="20"/>
          <w:szCs w:val="20"/>
          <w:lang w:val="es-ES_tradnl"/>
        </w:rPr>
        <w:tab/>
      </w:r>
      <w:r w:rsidR="00521DA5" w:rsidRPr="00D5277E">
        <w:rPr>
          <w:rFonts w:ascii="Cambria" w:hAnsi="Cambria"/>
          <w:sz w:val="20"/>
          <w:szCs w:val="20"/>
          <w:lang w:val="es-ES_tradnl"/>
        </w:rPr>
        <w:t xml:space="preserve">Los peticionarios alegan que con dicha resolución se desnaturalizó jurisprudencialmente el recurso de amparo, además denuncian que el recurso de abstención o carencia no es idóneo y resaltaron la ausencia de legislación interna que establezca un recurso judicial adecuado y efectivo para impugnar las denegatorias de información pública. </w:t>
      </w:r>
    </w:p>
    <w:p w14:paraId="7BC646F1" w14:textId="77777777" w:rsidR="00006427" w:rsidRPr="00D5277E" w:rsidRDefault="00006427" w:rsidP="0000642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18B1DEF4" w14:textId="257C8F7E" w:rsidR="00521DA5" w:rsidRPr="00D5277E" w:rsidRDefault="00006427" w:rsidP="0000642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1</w:t>
      </w:r>
      <w:r w:rsidR="00CE5A34" w:rsidRPr="00D5277E">
        <w:rPr>
          <w:rFonts w:ascii="Cambria" w:hAnsi="Cambria"/>
          <w:sz w:val="20"/>
          <w:szCs w:val="20"/>
          <w:lang w:val="es-ES_tradnl"/>
        </w:rPr>
        <w:t>3</w:t>
      </w:r>
      <w:r w:rsidRPr="00D5277E">
        <w:rPr>
          <w:rFonts w:ascii="Cambria" w:hAnsi="Cambria"/>
          <w:sz w:val="20"/>
          <w:szCs w:val="20"/>
          <w:lang w:val="es-ES_tradnl"/>
        </w:rPr>
        <w:t>.</w:t>
      </w:r>
      <w:r w:rsidRPr="00D5277E">
        <w:rPr>
          <w:rFonts w:ascii="Cambria" w:hAnsi="Cambria"/>
          <w:sz w:val="20"/>
          <w:szCs w:val="20"/>
          <w:lang w:val="es-ES_tradnl"/>
        </w:rPr>
        <w:tab/>
      </w:r>
      <w:r w:rsidR="00521DA5" w:rsidRPr="00D5277E">
        <w:rPr>
          <w:rFonts w:ascii="Cambria" w:hAnsi="Cambria"/>
          <w:sz w:val="20"/>
          <w:szCs w:val="20"/>
          <w:lang w:val="es-ES_tradnl"/>
        </w:rPr>
        <w:t xml:space="preserve">El Estado, por su parte, reiteró lo expuesto en la petición 23-11, </w:t>
      </w:r>
      <w:r w:rsidR="00823A8B" w:rsidRPr="00D5277E">
        <w:rPr>
          <w:rFonts w:ascii="Cambria" w:hAnsi="Cambria"/>
          <w:sz w:val="20"/>
          <w:szCs w:val="20"/>
          <w:lang w:val="es-ES_tradnl"/>
        </w:rPr>
        <w:t>alegando que los peticionarios</w:t>
      </w:r>
      <w:r w:rsidR="00521DA5" w:rsidRPr="00D5277E">
        <w:rPr>
          <w:rFonts w:ascii="Cambria" w:hAnsi="Cambria"/>
          <w:sz w:val="20"/>
          <w:szCs w:val="20"/>
          <w:lang w:val="es-ES_tradnl"/>
        </w:rPr>
        <w:t xml:space="preserve"> no cumpli</w:t>
      </w:r>
      <w:r w:rsidR="00823A8B" w:rsidRPr="00D5277E">
        <w:rPr>
          <w:rFonts w:ascii="Cambria" w:hAnsi="Cambria"/>
          <w:sz w:val="20"/>
          <w:szCs w:val="20"/>
          <w:lang w:val="es-ES_tradnl"/>
        </w:rPr>
        <w:t>eron</w:t>
      </w:r>
      <w:r w:rsidR="00521DA5" w:rsidRPr="00D5277E">
        <w:rPr>
          <w:rFonts w:ascii="Cambria" w:hAnsi="Cambria"/>
          <w:sz w:val="20"/>
          <w:szCs w:val="20"/>
          <w:lang w:val="es-ES_tradnl"/>
        </w:rPr>
        <w:t xml:space="preserve"> con los requisitos de agotamiento de recursos internos, dado que la peticionaria debió haber acudido a la jurisdicción contenciosa administrativa, según el art. 259 de la Constitución de la República Bolivariana de Venezuela</w:t>
      </w:r>
      <w:r w:rsidRPr="00D5277E">
        <w:rPr>
          <w:rFonts w:ascii="Cambria" w:hAnsi="Cambria"/>
          <w:sz w:val="20"/>
          <w:szCs w:val="20"/>
          <w:lang w:val="es-ES_tradnl"/>
        </w:rPr>
        <w:t>;</w:t>
      </w:r>
      <w:r w:rsidR="00521DA5" w:rsidRPr="00D5277E">
        <w:rPr>
          <w:rFonts w:ascii="Cambria" w:hAnsi="Cambria"/>
          <w:sz w:val="20"/>
          <w:szCs w:val="20"/>
          <w:lang w:val="es-ES_tradnl"/>
        </w:rPr>
        <w:t xml:space="preserve"> el art. 26.3 de la Ley Orgánica del Tribunal Supremo de Justicia</w:t>
      </w:r>
      <w:r w:rsidRPr="00D5277E">
        <w:rPr>
          <w:rFonts w:ascii="Cambria" w:hAnsi="Cambria"/>
          <w:sz w:val="20"/>
          <w:szCs w:val="20"/>
          <w:lang w:val="es-ES_tradnl"/>
        </w:rPr>
        <w:t>;</w:t>
      </w:r>
      <w:r w:rsidR="00521DA5" w:rsidRPr="00D5277E">
        <w:rPr>
          <w:rFonts w:ascii="Cambria" w:hAnsi="Cambria"/>
          <w:sz w:val="20"/>
          <w:szCs w:val="20"/>
          <w:lang w:val="es-ES_tradnl"/>
        </w:rPr>
        <w:t xml:space="preserve"> y los arts. 9.2, 23.3 y 26 de la Ley Orgánica de la Jurisdicción Contenciosa Administrativa, en consecuencia </w:t>
      </w:r>
      <w:r w:rsidRPr="00D5277E">
        <w:rPr>
          <w:rFonts w:ascii="Cambria" w:hAnsi="Cambria"/>
          <w:sz w:val="20"/>
          <w:szCs w:val="20"/>
          <w:lang w:val="es-ES_tradnl"/>
        </w:rPr>
        <w:t>debieron</w:t>
      </w:r>
      <w:r w:rsidR="00521DA5" w:rsidRPr="00D5277E">
        <w:rPr>
          <w:rFonts w:ascii="Cambria" w:hAnsi="Cambria"/>
          <w:sz w:val="20"/>
          <w:szCs w:val="20"/>
          <w:lang w:val="es-ES_tradnl"/>
        </w:rPr>
        <w:t xml:space="preserve"> haber utilizado el recurso de abstención o carencia de la administración pública. </w:t>
      </w:r>
      <w:r w:rsidRPr="00D5277E">
        <w:rPr>
          <w:rFonts w:ascii="Cambria" w:hAnsi="Cambria"/>
          <w:sz w:val="20"/>
          <w:szCs w:val="20"/>
          <w:lang w:val="es-ES_tradnl"/>
        </w:rPr>
        <w:t>También alega que los mismos peticionarios han presentado otra petición ante la CIDH en la que informan que sí acudieron a la jurisdicción contenciosa administrativa ante la falta de respuesta a sus solicitudes de información; petición en la cual los peticionarios denuncian el retardo para emitir una decisión.</w:t>
      </w:r>
    </w:p>
    <w:p w14:paraId="5C3CF9DE" w14:textId="77777777" w:rsidR="00006427" w:rsidRPr="00D5277E" w:rsidRDefault="00006427" w:rsidP="0000642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jc w:val="both"/>
        <w:rPr>
          <w:b/>
          <w:bCs/>
          <w:sz w:val="20"/>
          <w:szCs w:val="20"/>
          <w:lang w:val="es-ES_tradnl"/>
        </w:rPr>
      </w:pPr>
    </w:p>
    <w:p w14:paraId="227237B0" w14:textId="57276858" w:rsidR="00003DAA" w:rsidRPr="00D5277E" w:rsidRDefault="00823A8B" w:rsidP="0000642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i/>
          <w:iCs/>
          <w:sz w:val="20"/>
          <w:szCs w:val="20"/>
          <w:lang w:val="es-ES_tradnl"/>
        </w:rPr>
      </w:pPr>
      <w:r w:rsidRPr="00D5277E">
        <w:rPr>
          <w:i/>
          <w:iCs/>
          <w:sz w:val="20"/>
          <w:szCs w:val="20"/>
          <w:lang w:val="es-ES_tradnl"/>
        </w:rPr>
        <w:t xml:space="preserve">Solicitud presentada ante </w:t>
      </w:r>
      <w:r w:rsidR="00003DAA" w:rsidRPr="00D5277E">
        <w:rPr>
          <w:i/>
          <w:iCs/>
          <w:sz w:val="20"/>
          <w:szCs w:val="20"/>
          <w:lang w:val="es-ES_tradnl"/>
        </w:rPr>
        <w:t>Venezolana de Televisión CA.</w:t>
      </w:r>
      <w:r w:rsidR="00DD1D7B" w:rsidRPr="00D5277E">
        <w:rPr>
          <w:i/>
          <w:iCs/>
          <w:sz w:val="20"/>
          <w:szCs w:val="20"/>
          <w:lang w:val="es-ES_tradnl"/>
        </w:rPr>
        <w:t xml:space="preserve"> </w:t>
      </w:r>
    </w:p>
    <w:p w14:paraId="1DDACFCA" w14:textId="77777777" w:rsidR="00006427" w:rsidRPr="00D5277E" w:rsidRDefault="00006427" w:rsidP="0000642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i/>
          <w:iCs/>
          <w:sz w:val="20"/>
          <w:szCs w:val="20"/>
          <w:lang w:val="es-ES_tradnl"/>
        </w:rPr>
      </w:pPr>
    </w:p>
    <w:p w14:paraId="34D09156" w14:textId="3B408E98" w:rsidR="009D1E66" w:rsidRPr="00D5277E" w:rsidRDefault="00006427" w:rsidP="00F95AC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1</w:t>
      </w:r>
      <w:r w:rsidR="00CE5A34" w:rsidRPr="00D5277E">
        <w:rPr>
          <w:rFonts w:ascii="Cambria" w:hAnsi="Cambria"/>
          <w:sz w:val="20"/>
          <w:szCs w:val="20"/>
          <w:lang w:val="es-ES_tradnl"/>
        </w:rPr>
        <w:t>4</w:t>
      </w:r>
      <w:r w:rsidRPr="00D5277E">
        <w:rPr>
          <w:rFonts w:ascii="Cambria" w:hAnsi="Cambria"/>
          <w:sz w:val="20"/>
          <w:szCs w:val="20"/>
          <w:lang w:val="es-ES_tradnl"/>
        </w:rPr>
        <w:t>.</w:t>
      </w:r>
      <w:r w:rsidRPr="00D5277E">
        <w:rPr>
          <w:rFonts w:ascii="Cambria" w:hAnsi="Cambria"/>
          <w:sz w:val="20"/>
          <w:szCs w:val="20"/>
          <w:lang w:val="es-ES_tradnl"/>
        </w:rPr>
        <w:tab/>
      </w:r>
      <w:r w:rsidR="009D1E66" w:rsidRPr="00D5277E">
        <w:rPr>
          <w:rFonts w:ascii="Cambria" w:hAnsi="Cambria"/>
          <w:sz w:val="20"/>
          <w:szCs w:val="20"/>
          <w:lang w:val="es-ES_tradnl"/>
        </w:rPr>
        <w:t>El 1</w:t>
      </w:r>
      <w:r w:rsidR="008E3BA8" w:rsidRPr="00D5277E">
        <w:rPr>
          <w:rFonts w:ascii="Cambria" w:hAnsi="Cambria"/>
          <w:sz w:val="20"/>
          <w:szCs w:val="20"/>
          <w:lang w:val="es-ES_tradnl"/>
        </w:rPr>
        <w:t>7</w:t>
      </w:r>
      <w:r w:rsidR="009D1E66" w:rsidRPr="00D5277E">
        <w:rPr>
          <w:rFonts w:ascii="Cambria" w:hAnsi="Cambria"/>
          <w:sz w:val="20"/>
          <w:szCs w:val="20"/>
          <w:lang w:val="es-ES_tradnl"/>
        </w:rPr>
        <w:t xml:space="preserve"> de </w:t>
      </w:r>
      <w:r w:rsidR="008E3BA8" w:rsidRPr="00D5277E">
        <w:rPr>
          <w:rFonts w:ascii="Cambria" w:hAnsi="Cambria"/>
          <w:sz w:val="20"/>
          <w:szCs w:val="20"/>
          <w:lang w:val="es-ES_tradnl"/>
        </w:rPr>
        <w:t>agosto</w:t>
      </w:r>
      <w:r w:rsidR="009D1E66" w:rsidRPr="00D5277E">
        <w:rPr>
          <w:rFonts w:ascii="Cambria" w:hAnsi="Cambria"/>
          <w:sz w:val="20"/>
          <w:szCs w:val="20"/>
          <w:lang w:val="es-ES_tradnl"/>
        </w:rPr>
        <w:t xml:space="preserve"> de 20</w:t>
      </w:r>
      <w:r w:rsidR="008E3BA8" w:rsidRPr="00D5277E">
        <w:rPr>
          <w:rFonts w:ascii="Cambria" w:hAnsi="Cambria"/>
          <w:sz w:val="20"/>
          <w:szCs w:val="20"/>
          <w:lang w:val="es-ES_tradnl"/>
        </w:rPr>
        <w:t>1</w:t>
      </w:r>
      <w:r w:rsidR="009D1E66" w:rsidRPr="00D5277E">
        <w:rPr>
          <w:rFonts w:ascii="Cambria" w:hAnsi="Cambria"/>
          <w:sz w:val="20"/>
          <w:szCs w:val="20"/>
          <w:lang w:val="es-ES_tradnl"/>
        </w:rPr>
        <w:t xml:space="preserve">0 los peticionarios realizaron una solicitud de información, </w:t>
      </w:r>
      <w:r w:rsidR="005929D4" w:rsidRPr="00D5277E">
        <w:rPr>
          <w:rFonts w:ascii="Cambria" w:hAnsi="Cambria"/>
          <w:sz w:val="20"/>
          <w:szCs w:val="20"/>
          <w:lang w:val="es-ES_tradnl"/>
        </w:rPr>
        <w:t>ante Mauricio R</w:t>
      </w:r>
      <w:r w:rsidR="00FB5D79" w:rsidRPr="00D5277E">
        <w:rPr>
          <w:rFonts w:ascii="Cambria" w:hAnsi="Cambria"/>
          <w:sz w:val="20"/>
          <w:szCs w:val="20"/>
          <w:lang w:val="es-ES_tradnl"/>
        </w:rPr>
        <w:t>odríguez, en su carácter de Presidente de Venezolana de Televisión, C.A</w:t>
      </w:r>
      <w:r w:rsidR="009D1E66" w:rsidRPr="00D5277E">
        <w:rPr>
          <w:rFonts w:ascii="Cambria" w:hAnsi="Cambria"/>
          <w:sz w:val="20"/>
          <w:szCs w:val="20"/>
          <w:lang w:val="es-ES_tradnl"/>
        </w:rPr>
        <w:t xml:space="preserve">, la solicitud de información consistió en: </w:t>
      </w:r>
    </w:p>
    <w:p w14:paraId="30D7A3FA" w14:textId="77777777" w:rsidR="00F95AC3" w:rsidRPr="00D5277E" w:rsidRDefault="00F95AC3" w:rsidP="00F95AC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406461FD" w14:textId="5BECF366" w:rsidR="009D1E66" w:rsidRPr="00D5277E" w:rsidRDefault="009D1E66" w:rsidP="00F95AC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18"/>
          <w:szCs w:val="18"/>
          <w:lang w:val="es-ES_tradnl"/>
        </w:rPr>
      </w:pPr>
      <w:r w:rsidRPr="00D5277E">
        <w:rPr>
          <w:rFonts w:ascii="Cambria" w:hAnsi="Cambria"/>
          <w:sz w:val="18"/>
          <w:szCs w:val="18"/>
          <w:lang w:val="es-ES_tradnl"/>
        </w:rPr>
        <w:t xml:space="preserve">i) </w:t>
      </w:r>
      <w:r w:rsidR="00E242EC" w:rsidRPr="00D5277E">
        <w:rPr>
          <w:rFonts w:ascii="Cambria" w:hAnsi="Cambria"/>
          <w:sz w:val="18"/>
          <w:szCs w:val="18"/>
          <w:lang w:val="es-ES_tradnl"/>
        </w:rPr>
        <w:t>Desde el 3 de agosto de 2010, en el canal del Estado, y de todas las venezolanas y venezolanos, Venezolana de Televisión C.A. (VTV) se han transmitido: (i) un micro de tv; y (ii) un “micro animado”</w:t>
      </w:r>
      <w:r w:rsidR="00F45C9F" w:rsidRPr="00D5277E">
        <w:rPr>
          <w:rFonts w:ascii="Cambria" w:hAnsi="Cambria"/>
          <w:sz w:val="18"/>
          <w:szCs w:val="18"/>
          <w:lang w:val="es-ES_tradnl"/>
        </w:rPr>
        <w:t xml:space="preserve"> </w:t>
      </w:r>
      <w:r w:rsidR="00F21AA5" w:rsidRPr="00D5277E">
        <w:rPr>
          <w:rFonts w:ascii="Cambria" w:hAnsi="Cambria"/>
          <w:sz w:val="18"/>
          <w:szCs w:val="18"/>
          <w:lang w:val="es-ES_tradnl"/>
        </w:rPr>
        <w:t>[</w:t>
      </w:r>
      <w:r w:rsidR="00F45C9F" w:rsidRPr="00D5277E">
        <w:rPr>
          <w:rFonts w:ascii="Cambria" w:hAnsi="Cambria"/>
          <w:sz w:val="18"/>
          <w:szCs w:val="18"/>
          <w:lang w:val="es-ES_tradnl"/>
        </w:rPr>
        <w:t>…</w:t>
      </w:r>
      <w:r w:rsidR="00F21AA5" w:rsidRPr="00D5277E">
        <w:rPr>
          <w:rFonts w:ascii="Cambria" w:hAnsi="Cambria"/>
          <w:sz w:val="18"/>
          <w:szCs w:val="18"/>
          <w:lang w:val="es-ES_tradnl"/>
        </w:rPr>
        <w:t>]</w:t>
      </w:r>
      <w:r w:rsidR="00F45C9F" w:rsidRPr="00D5277E">
        <w:rPr>
          <w:rFonts w:ascii="Cambria" w:hAnsi="Cambria"/>
          <w:sz w:val="18"/>
          <w:szCs w:val="18"/>
          <w:lang w:val="es-ES_tradnl"/>
        </w:rPr>
        <w:t xml:space="preserve"> sobre la organización de derechos humanos Asociación Civil Espacio Público y su director ejecutivo, Carlos Correa, en el cual se estigmatiza el derecho de las organizaciones a recibir cooperación internacional que éstas legítimamente usan para actividade</w:t>
      </w:r>
      <w:r w:rsidR="00B90C71" w:rsidRPr="00D5277E">
        <w:rPr>
          <w:rFonts w:ascii="Cambria" w:hAnsi="Cambria"/>
          <w:sz w:val="18"/>
          <w:szCs w:val="18"/>
          <w:lang w:val="es-ES_tradnl"/>
        </w:rPr>
        <w:t>s inherentes a la promoción y defensa de derechos humanos.</w:t>
      </w:r>
      <w:r w:rsidR="00E1733A" w:rsidRPr="00D5277E">
        <w:rPr>
          <w:rFonts w:ascii="Cambria" w:hAnsi="Cambria"/>
          <w:sz w:val="18"/>
          <w:szCs w:val="18"/>
          <w:lang w:val="es-ES_tradnl"/>
        </w:rPr>
        <w:t xml:space="preserve"> En consecuencia,</w:t>
      </w:r>
      <w:r w:rsidR="00B90C71" w:rsidRPr="00D5277E">
        <w:rPr>
          <w:rFonts w:ascii="Cambria" w:hAnsi="Cambria"/>
          <w:sz w:val="18"/>
          <w:szCs w:val="18"/>
          <w:lang w:val="es-ES_tradnl"/>
        </w:rPr>
        <w:t xml:space="preserve"> </w:t>
      </w:r>
      <w:r w:rsidR="005232BF" w:rsidRPr="00D5277E">
        <w:rPr>
          <w:rFonts w:ascii="Cambria" w:hAnsi="Cambria"/>
          <w:sz w:val="18"/>
          <w:szCs w:val="18"/>
          <w:lang w:val="es-ES_tradnl"/>
        </w:rPr>
        <w:t>solicita</w:t>
      </w:r>
      <w:r w:rsidR="00E1733A" w:rsidRPr="00D5277E">
        <w:rPr>
          <w:rFonts w:ascii="Cambria" w:hAnsi="Cambria"/>
          <w:sz w:val="18"/>
          <w:szCs w:val="18"/>
          <w:lang w:val="es-ES_tradnl"/>
        </w:rPr>
        <w:t>r</w:t>
      </w:r>
      <w:r w:rsidR="005232BF" w:rsidRPr="00D5277E">
        <w:rPr>
          <w:rFonts w:ascii="Cambria" w:hAnsi="Cambria"/>
          <w:sz w:val="18"/>
          <w:szCs w:val="18"/>
          <w:lang w:val="es-ES_tradnl"/>
        </w:rPr>
        <w:t>o</w:t>
      </w:r>
      <w:r w:rsidR="00E1733A" w:rsidRPr="00D5277E">
        <w:rPr>
          <w:rFonts w:ascii="Cambria" w:hAnsi="Cambria"/>
          <w:sz w:val="18"/>
          <w:szCs w:val="18"/>
          <w:lang w:val="es-ES_tradnl"/>
        </w:rPr>
        <w:t>n</w:t>
      </w:r>
      <w:r w:rsidR="005232BF" w:rsidRPr="00D5277E">
        <w:rPr>
          <w:rFonts w:ascii="Cambria" w:hAnsi="Cambria"/>
          <w:sz w:val="18"/>
          <w:szCs w:val="18"/>
          <w:lang w:val="es-ES_tradnl"/>
        </w:rPr>
        <w:t xml:space="preserve"> información sobre los siguientes particulares</w:t>
      </w:r>
      <w:r w:rsidR="00E1733A" w:rsidRPr="00D5277E">
        <w:rPr>
          <w:rFonts w:ascii="Cambria" w:hAnsi="Cambria"/>
          <w:sz w:val="18"/>
          <w:szCs w:val="18"/>
          <w:lang w:val="es-ES_tradnl"/>
        </w:rPr>
        <w:t xml:space="preserve"> </w:t>
      </w:r>
      <w:r w:rsidR="005232BF" w:rsidRPr="00D5277E">
        <w:rPr>
          <w:rFonts w:ascii="Cambria" w:hAnsi="Cambria"/>
          <w:sz w:val="18"/>
          <w:szCs w:val="18"/>
          <w:lang w:val="es-ES_tradnl"/>
        </w:rPr>
        <w:t>relacionados con los micros mencionados:</w:t>
      </w:r>
      <w:r w:rsidR="00E1733A" w:rsidRPr="00D5277E">
        <w:rPr>
          <w:rFonts w:ascii="Cambria" w:hAnsi="Cambria"/>
          <w:sz w:val="18"/>
          <w:szCs w:val="18"/>
          <w:lang w:val="es-ES_tradnl"/>
        </w:rPr>
        <w:t xml:space="preserve"> </w:t>
      </w:r>
      <w:r w:rsidR="005232BF" w:rsidRPr="00D5277E">
        <w:rPr>
          <w:rFonts w:ascii="Cambria" w:hAnsi="Cambria"/>
          <w:sz w:val="18"/>
          <w:szCs w:val="18"/>
          <w:lang w:val="es-ES_tradnl"/>
        </w:rPr>
        <w:t>1. ¿Bajo qué modalidad se definió la pauta para realizar este tipo de transmisión?</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a. ¿A qué criterio responde la transmisión de los mismos?</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2. ¿Quién decidió dentro o fuera de VTV</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la elaboración de estos micros?</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3. ¿Cuál es el costo, por separado, de la elaboración de cada uno de los dos (2)</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programas de micros?</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4. ¿Quién preparó estos programas? En caso de ser una persona o ente diferente a</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VTV: ¿Quién contrató los mismos por</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VTV, o por el otro ente o persona?</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5. ¿Bajo qué partida presupuestaria de VTV se pagó la realización del “micro animado”?</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6. ¿Quién es la persona que realizó la animación? ¿Es personal de planta del canal</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 xml:space="preserve">VTV </w:t>
      </w:r>
      <w:r w:rsidR="00D5277E">
        <w:rPr>
          <w:rFonts w:ascii="Cambria" w:hAnsi="Cambria"/>
          <w:sz w:val="18"/>
          <w:szCs w:val="18"/>
          <w:lang w:val="es-ES_tradnl"/>
        </w:rPr>
        <w:t>o</w:t>
      </w:r>
      <w:r w:rsidR="005232BF" w:rsidRPr="00D5277E">
        <w:rPr>
          <w:rFonts w:ascii="Cambria" w:hAnsi="Cambria"/>
          <w:sz w:val="18"/>
          <w:szCs w:val="18"/>
          <w:lang w:val="es-ES_tradnl"/>
        </w:rPr>
        <w:t xml:space="preserve"> es personal contratado?</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7. ¿Cuál es, por separado, el número de oportunidades para la fecha, en las que se</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han transmitidos ambos micros, y en qué horarios?</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8. ¿Cuál es el costo de transmisión de los mencionados micros o cuñas basados en</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los precios que cobraría el canal para su difusión?</w:t>
      </w:r>
      <w:r w:rsidR="00343ACF" w:rsidRPr="00D5277E">
        <w:rPr>
          <w:rFonts w:ascii="Cambria" w:hAnsi="Cambria"/>
          <w:sz w:val="18"/>
          <w:szCs w:val="18"/>
          <w:lang w:val="es-ES_tradnl"/>
        </w:rPr>
        <w:t xml:space="preserve"> </w:t>
      </w:r>
      <w:r w:rsidR="005232BF" w:rsidRPr="00D5277E">
        <w:rPr>
          <w:rFonts w:ascii="Cambria" w:hAnsi="Cambria"/>
          <w:sz w:val="18"/>
          <w:szCs w:val="18"/>
          <w:lang w:val="es-ES_tradnl"/>
        </w:rPr>
        <w:t>9. ¿Quiénes son las personas responsables de ordenar la mencionada transmisión?</w:t>
      </w:r>
      <w:r w:rsidR="000105C8" w:rsidRPr="00D5277E">
        <w:rPr>
          <w:rFonts w:ascii="Cambria" w:hAnsi="Cambria"/>
          <w:sz w:val="18"/>
          <w:szCs w:val="18"/>
          <w:lang w:val="es-ES_tradnl"/>
        </w:rPr>
        <w:t xml:space="preserve"> T</w:t>
      </w:r>
      <w:r w:rsidR="005232BF" w:rsidRPr="00D5277E">
        <w:rPr>
          <w:rFonts w:ascii="Cambria" w:hAnsi="Cambria"/>
          <w:sz w:val="18"/>
          <w:szCs w:val="18"/>
          <w:lang w:val="es-ES_tradnl"/>
        </w:rPr>
        <w:t>anto en VTV, como en otras instancias</w:t>
      </w:r>
      <w:r w:rsidR="000105C8" w:rsidRPr="00D5277E">
        <w:rPr>
          <w:rFonts w:ascii="Cambria" w:hAnsi="Cambria"/>
          <w:sz w:val="18"/>
          <w:szCs w:val="18"/>
          <w:lang w:val="es-ES_tradnl"/>
        </w:rPr>
        <w:t xml:space="preserve"> </w:t>
      </w:r>
      <w:r w:rsidR="005232BF" w:rsidRPr="00D5277E">
        <w:rPr>
          <w:rFonts w:ascii="Cambria" w:hAnsi="Cambria"/>
          <w:sz w:val="18"/>
          <w:szCs w:val="18"/>
          <w:lang w:val="es-ES_tradnl"/>
        </w:rPr>
        <w:t>públicas o privadas”</w:t>
      </w:r>
      <w:r w:rsidR="00F95AC3" w:rsidRPr="00D5277E">
        <w:rPr>
          <w:rFonts w:ascii="Cambria" w:hAnsi="Cambria"/>
          <w:sz w:val="18"/>
          <w:szCs w:val="18"/>
          <w:lang w:val="es-ES_tradnl"/>
        </w:rPr>
        <w:t>.</w:t>
      </w:r>
    </w:p>
    <w:p w14:paraId="76A4343C" w14:textId="77777777" w:rsidR="00F95AC3" w:rsidRPr="00D5277E" w:rsidRDefault="00F95AC3" w:rsidP="00CE72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right="284"/>
        <w:jc w:val="both"/>
        <w:rPr>
          <w:rFonts w:ascii="Cambria" w:hAnsi="Cambria"/>
          <w:sz w:val="20"/>
          <w:szCs w:val="20"/>
          <w:lang w:val="es-ES_tradnl"/>
        </w:rPr>
      </w:pPr>
    </w:p>
    <w:p w14:paraId="1C5B5C8E" w14:textId="1C3ECC93" w:rsidR="009D1E66" w:rsidRPr="00D5277E" w:rsidRDefault="00F21AA5" w:rsidP="00F21AA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1</w:t>
      </w:r>
      <w:r w:rsidR="00CE5A34" w:rsidRPr="00D5277E">
        <w:rPr>
          <w:rFonts w:ascii="Cambria" w:hAnsi="Cambria"/>
          <w:sz w:val="20"/>
          <w:szCs w:val="20"/>
          <w:lang w:val="es-ES_tradnl"/>
        </w:rPr>
        <w:t>5</w:t>
      </w:r>
      <w:r w:rsidRPr="00D5277E">
        <w:rPr>
          <w:rFonts w:ascii="Cambria" w:hAnsi="Cambria"/>
          <w:sz w:val="20"/>
          <w:szCs w:val="20"/>
          <w:lang w:val="es-ES_tradnl"/>
        </w:rPr>
        <w:t>.</w:t>
      </w:r>
      <w:r w:rsidRPr="00D5277E">
        <w:rPr>
          <w:rFonts w:ascii="Cambria" w:hAnsi="Cambria"/>
          <w:sz w:val="20"/>
          <w:szCs w:val="20"/>
          <w:lang w:val="es-ES_tradnl"/>
        </w:rPr>
        <w:tab/>
      </w:r>
      <w:r w:rsidR="009D1E66" w:rsidRPr="00D5277E">
        <w:rPr>
          <w:rFonts w:ascii="Cambria" w:hAnsi="Cambria"/>
          <w:sz w:val="20"/>
          <w:szCs w:val="20"/>
          <w:lang w:val="es-ES_tradnl"/>
        </w:rPr>
        <w:t xml:space="preserve">Ante la falta de respuesta, </w:t>
      </w:r>
      <w:r w:rsidRPr="00D5277E">
        <w:rPr>
          <w:rFonts w:ascii="Cambria" w:hAnsi="Cambria"/>
          <w:sz w:val="20"/>
          <w:szCs w:val="20"/>
          <w:lang w:val="es-ES_tradnl"/>
        </w:rPr>
        <w:t xml:space="preserve">y transcurrido el plazo de veinte días ya referido, los peticionarios acudieron </w:t>
      </w:r>
      <w:r w:rsidR="009D1E66" w:rsidRPr="00D5277E">
        <w:rPr>
          <w:rFonts w:ascii="Cambria" w:hAnsi="Cambria"/>
          <w:sz w:val="20"/>
          <w:szCs w:val="20"/>
          <w:lang w:val="es-ES_tradnl"/>
        </w:rPr>
        <w:t xml:space="preserve">el </w:t>
      </w:r>
      <w:r w:rsidR="002246E3" w:rsidRPr="00D5277E">
        <w:rPr>
          <w:rFonts w:ascii="Cambria" w:hAnsi="Cambria"/>
          <w:sz w:val="20"/>
          <w:szCs w:val="20"/>
          <w:lang w:val="es-ES_tradnl"/>
        </w:rPr>
        <w:t>8</w:t>
      </w:r>
      <w:r w:rsidR="009D1E66" w:rsidRPr="00D5277E">
        <w:rPr>
          <w:rFonts w:ascii="Cambria" w:hAnsi="Cambria"/>
          <w:sz w:val="20"/>
          <w:szCs w:val="20"/>
          <w:lang w:val="es-ES_tradnl"/>
        </w:rPr>
        <w:t xml:space="preserve"> de </w:t>
      </w:r>
      <w:r w:rsidR="002246E3" w:rsidRPr="00D5277E">
        <w:rPr>
          <w:rFonts w:ascii="Cambria" w:hAnsi="Cambria"/>
          <w:sz w:val="20"/>
          <w:szCs w:val="20"/>
          <w:lang w:val="es-ES_tradnl"/>
        </w:rPr>
        <w:t>diciembre</w:t>
      </w:r>
      <w:r w:rsidR="009D1E66" w:rsidRPr="00D5277E">
        <w:rPr>
          <w:rFonts w:ascii="Cambria" w:hAnsi="Cambria"/>
          <w:sz w:val="20"/>
          <w:szCs w:val="20"/>
          <w:lang w:val="es-ES_tradnl"/>
        </w:rPr>
        <w:t xml:space="preserve"> de 20</w:t>
      </w:r>
      <w:r w:rsidR="002246E3" w:rsidRPr="00D5277E">
        <w:rPr>
          <w:rFonts w:ascii="Cambria" w:hAnsi="Cambria"/>
          <w:sz w:val="20"/>
          <w:szCs w:val="20"/>
          <w:lang w:val="es-ES_tradnl"/>
        </w:rPr>
        <w:t>1</w:t>
      </w:r>
      <w:r w:rsidR="009D1E66" w:rsidRPr="00D5277E">
        <w:rPr>
          <w:rFonts w:ascii="Cambria" w:hAnsi="Cambria"/>
          <w:sz w:val="20"/>
          <w:szCs w:val="20"/>
          <w:lang w:val="es-ES_tradnl"/>
        </w:rPr>
        <w:t xml:space="preserve">0 </w:t>
      </w:r>
      <w:r w:rsidR="008F5E86" w:rsidRPr="00D5277E">
        <w:rPr>
          <w:rFonts w:ascii="Cambria" w:hAnsi="Cambria"/>
          <w:sz w:val="20"/>
          <w:szCs w:val="20"/>
          <w:lang w:val="es-ES_tradnl"/>
        </w:rPr>
        <w:t xml:space="preserve">al Juzgado </w:t>
      </w:r>
      <w:r w:rsidRPr="00D5277E">
        <w:rPr>
          <w:rFonts w:ascii="Cambria" w:hAnsi="Cambria"/>
          <w:sz w:val="20"/>
          <w:szCs w:val="20"/>
          <w:lang w:val="es-ES_tradnl"/>
        </w:rPr>
        <w:t>D</w:t>
      </w:r>
      <w:r w:rsidR="008F5E86" w:rsidRPr="00D5277E">
        <w:rPr>
          <w:rFonts w:ascii="Cambria" w:hAnsi="Cambria"/>
          <w:sz w:val="20"/>
          <w:szCs w:val="20"/>
          <w:lang w:val="es-ES_tradnl"/>
        </w:rPr>
        <w:t xml:space="preserve">istribuidor Superior en lo Civil y en lo Contencioso Administrativo </w:t>
      </w:r>
      <w:r w:rsidR="00FF7630" w:rsidRPr="00D5277E">
        <w:rPr>
          <w:rFonts w:ascii="Cambria" w:hAnsi="Cambria"/>
          <w:sz w:val="20"/>
          <w:szCs w:val="20"/>
          <w:lang w:val="es-ES_tradnl"/>
        </w:rPr>
        <w:t xml:space="preserve">de la Región Capital para interponer </w:t>
      </w:r>
      <w:r w:rsidRPr="00D5277E">
        <w:rPr>
          <w:rFonts w:ascii="Cambria" w:hAnsi="Cambria"/>
          <w:sz w:val="20"/>
          <w:szCs w:val="20"/>
          <w:lang w:val="es-ES_tradnl"/>
        </w:rPr>
        <w:t xml:space="preserve">una acción de </w:t>
      </w:r>
      <w:r w:rsidR="00FF7630" w:rsidRPr="00D5277E">
        <w:rPr>
          <w:rFonts w:ascii="Cambria" w:hAnsi="Cambria"/>
          <w:sz w:val="20"/>
          <w:szCs w:val="20"/>
          <w:lang w:val="es-ES_tradnl"/>
        </w:rPr>
        <w:t>amparo constitucional</w:t>
      </w:r>
      <w:r w:rsidR="00BE5CCF" w:rsidRPr="00D5277E">
        <w:rPr>
          <w:rFonts w:ascii="Cambria" w:hAnsi="Cambria"/>
          <w:sz w:val="20"/>
          <w:szCs w:val="20"/>
          <w:lang w:val="es-ES_tradnl"/>
        </w:rPr>
        <w:t>.</w:t>
      </w:r>
      <w:r w:rsidR="009D1E66" w:rsidRPr="00D5277E">
        <w:rPr>
          <w:rFonts w:ascii="Cambria" w:hAnsi="Cambria"/>
          <w:sz w:val="20"/>
          <w:szCs w:val="20"/>
          <w:lang w:val="es-ES_tradnl"/>
        </w:rPr>
        <w:t xml:space="preserve"> </w:t>
      </w:r>
      <w:r w:rsidRPr="00D5277E">
        <w:rPr>
          <w:rFonts w:ascii="Cambria" w:hAnsi="Cambria"/>
          <w:sz w:val="20"/>
          <w:szCs w:val="20"/>
          <w:lang w:val="es-ES_tradnl"/>
        </w:rPr>
        <w:t>Así, e</w:t>
      </w:r>
      <w:r w:rsidR="009D1E66" w:rsidRPr="00D5277E">
        <w:rPr>
          <w:rFonts w:ascii="Cambria" w:hAnsi="Cambria"/>
          <w:sz w:val="20"/>
          <w:szCs w:val="20"/>
          <w:lang w:val="es-ES_tradnl"/>
        </w:rPr>
        <w:t>l 1</w:t>
      </w:r>
      <w:r w:rsidR="00766EF3" w:rsidRPr="00D5277E">
        <w:rPr>
          <w:rFonts w:ascii="Cambria" w:hAnsi="Cambria"/>
          <w:sz w:val="20"/>
          <w:szCs w:val="20"/>
          <w:lang w:val="es-ES_tradnl"/>
        </w:rPr>
        <w:t>3</w:t>
      </w:r>
      <w:r w:rsidR="009D1E66" w:rsidRPr="00D5277E">
        <w:rPr>
          <w:rFonts w:ascii="Cambria" w:hAnsi="Cambria"/>
          <w:sz w:val="20"/>
          <w:szCs w:val="20"/>
          <w:lang w:val="es-ES_tradnl"/>
        </w:rPr>
        <w:t xml:space="preserve"> de </w:t>
      </w:r>
      <w:r w:rsidR="00766EF3" w:rsidRPr="00D5277E">
        <w:rPr>
          <w:rFonts w:ascii="Cambria" w:hAnsi="Cambria"/>
          <w:sz w:val="20"/>
          <w:szCs w:val="20"/>
          <w:lang w:val="es-ES_tradnl"/>
        </w:rPr>
        <w:t>diciembre</w:t>
      </w:r>
      <w:r w:rsidR="009D1E66" w:rsidRPr="00D5277E">
        <w:rPr>
          <w:rFonts w:ascii="Cambria" w:hAnsi="Cambria"/>
          <w:sz w:val="20"/>
          <w:szCs w:val="20"/>
          <w:lang w:val="es-ES_tradnl"/>
        </w:rPr>
        <w:t xml:space="preserve"> de 2010 </w:t>
      </w:r>
      <w:r w:rsidRPr="00D5277E">
        <w:rPr>
          <w:rFonts w:ascii="Cambria" w:hAnsi="Cambria"/>
          <w:sz w:val="20"/>
          <w:szCs w:val="20"/>
          <w:lang w:val="es-ES_tradnl"/>
        </w:rPr>
        <w:t>el</w:t>
      </w:r>
      <w:r w:rsidR="009D1E66" w:rsidRPr="00D5277E">
        <w:rPr>
          <w:rFonts w:ascii="Cambria" w:hAnsi="Cambria"/>
          <w:sz w:val="20"/>
          <w:szCs w:val="20"/>
          <w:lang w:val="es-ES_tradnl"/>
        </w:rPr>
        <w:t xml:space="preserve"> </w:t>
      </w:r>
      <w:r w:rsidR="00766EF3" w:rsidRPr="00D5277E">
        <w:rPr>
          <w:rFonts w:ascii="Cambria" w:hAnsi="Cambria"/>
          <w:sz w:val="20"/>
          <w:szCs w:val="20"/>
          <w:lang w:val="es-ES_tradnl"/>
        </w:rPr>
        <w:t xml:space="preserve">Juzgado Superior Primero en lo Civil y Contencioso Administrativo de la Región Capital </w:t>
      </w:r>
      <w:r w:rsidR="009D1E66" w:rsidRPr="00D5277E">
        <w:rPr>
          <w:rFonts w:ascii="Cambria" w:hAnsi="Cambria"/>
          <w:sz w:val="20"/>
          <w:szCs w:val="20"/>
          <w:lang w:val="es-ES_tradnl"/>
        </w:rPr>
        <w:t xml:space="preserve">declaró </w:t>
      </w:r>
      <w:r w:rsidR="00740F63" w:rsidRPr="00D5277E">
        <w:rPr>
          <w:rFonts w:ascii="Cambria" w:hAnsi="Cambria"/>
          <w:sz w:val="20"/>
          <w:szCs w:val="20"/>
          <w:lang w:val="es-ES_tradnl"/>
        </w:rPr>
        <w:t>inadmisible la solicitud de amparo</w:t>
      </w:r>
      <w:r w:rsidR="009D1E66" w:rsidRPr="00D5277E">
        <w:rPr>
          <w:rFonts w:ascii="Cambria" w:hAnsi="Cambria"/>
          <w:sz w:val="20"/>
          <w:szCs w:val="20"/>
          <w:lang w:val="es-ES_tradnl"/>
        </w:rPr>
        <w:t xml:space="preserve">, alegando que </w:t>
      </w:r>
      <w:r w:rsidR="00CB7195" w:rsidRPr="00D5277E">
        <w:rPr>
          <w:rFonts w:ascii="Cambria" w:hAnsi="Cambria"/>
          <w:sz w:val="20"/>
          <w:szCs w:val="20"/>
          <w:lang w:val="es-ES_tradnl"/>
        </w:rPr>
        <w:t>no era el recurso idóneo para el restablecimiento del derecho</w:t>
      </w:r>
      <w:r w:rsidR="009D1E66" w:rsidRPr="00D5277E">
        <w:rPr>
          <w:rFonts w:ascii="Cambria" w:hAnsi="Cambria"/>
          <w:sz w:val="20"/>
          <w:szCs w:val="20"/>
          <w:lang w:val="es-ES_tradnl"/>
        </w:rPr>
        <w:t xml:space="preserve">. </w:t>
      </w:r>
    </w:p>
    <w:p w14:paraId="7E8B5DD8" w14:textId="77777777" w:rsidR="001C3073" w:rsidRPr="00D5277E" w:rsidRDefault="001C3073" w:rsidP="001C30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C8BF84B" w14:textId="5CAE4345" w:rsidR="00363C4C" w:rsidRPr="00D5277E" w:rsidRDefault="001C3073" w:rsidP="001C307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1</w:t>
      </w:r>
      <w:r w:rsidR="00CE5A34" w:rsidRPr="00D5277E">
        <w:rPr>
          <w:rFonts w:ascii="Cambria" w:hAnsi="Cambria"/>
          <w:sz w:val="20"/>
          <w:szCs w:val="20"/>
          <w:lang w:val="es-ES_tradnl"/>
        </w:rPr>
        <w:t>6</w:t>
      </w:r>
      <w:r w:rsidRPr="00D5277E">
        <w:rPr>
          <w:rFonts w:ascii="Cambria" w:hAnsi="Cambria"/>
          <w:sz w:val="20"/>
          <w:szCs w:val="20"/>
          <w:lang w:val="es-ES_tradnl"/>
        </w:rPr>
        <w:t>.</w:t>
      </w:r>
      <w:r w:rsidRPr="00D5277E">
        <w:rPr>
          <w:rFonts w:ascii="Cambria" w:hAnsi="Cambria"/>
          <w:sz w:val="20"/>
          <w:szCs w:val="20"/>
          <w:lang w:val="es-ES_tradnl"/>
        </w:rPr>
        <w:tab/>
      </w:r>
      <w:r w:rsidR="009D1E66" w:rsidRPr="00D5277E">
        <w:rPr>
          <w:rFonts w:ascii="Cambria" w:hAnsi="Cambria"/>
          <w:sz w:val="20"/>
          <w:szCs w:val="20"/>
          <w:lang w:val="es-ES_tradnl"/>
        </w:rPr>
        <w:t xml:space="preserve">Los peticionarios alegan que con dicha resolución se desnaturalizó jurisprudencialmente el recurso de amparo, además denuncian que el recurso de abstención o carencia no </w:t>
      </w:r>
      <w:r w:rsidRPr="00D5277E">
        <w:rPr>
          <w:rFonts w:ascii="Cambria" w:hAnsi="Cambria"/>
          <w:sz w:val="20"/>
          <w:szCs w:val="20"/>
          <w:lang w:val="es-ES_tradnl"/>
        </w:rPr>
        <w:t>era</w:t>
      </w:r>
      <w:r w:rsidR="009D1E66" w:rsidRPr="00D5277E">
        <w:rPr>
          <w:rFonts w:ascii="Cambria" w:hAnsi="Cambria"/>
          <w:sz w:val="20"/>
          <w:szCs w:val="20"/>
          <w:lang w:val="es-ES_tradnl"/>
        </w:rPr>
        <w:t xml:space="preserve"> idóneo</w:t>
      </w:r>
      <w:r w:rsidRPr="00D5277E">
        <w:rPr>
          <w:rFonts w:ascii="Cambria" w:hAnsi="Cambria"/>
          <w:sz w:val="20"/>
          <w:szCs w:val="20"/>
          <w:lang w:val="es-ES_tradnl"/>
        </w:rPr>
        <w:t>,</w:t>
      </w:r>
      <w:r w:rsidR="009D1E66" w:rsidRPr="00D5277E">
        <w:rPr>
          <w:rFonts w:ascii="Cambria" w:hAnsi="Cambria"/>
          <w:sz w:val="20"/>
          <w:szCs w:val="20"/>
          <w:lang w:val="es-ES_tradnl"/>
        </w:rPr>
        <w:t xml:space="preserve"> </w:t>
      </w:r>
      <w:r w:rsidRPr="00D5277E">
        <w:rPr>
          <w:rFonts w:ascii="Cambria" w:hAnsi="Cambria"/>
          <w:sz w:val="20"/>
          <w:szCs w:val="20"/>
          <w:lang w:val="es-ES_tradnl"/>
        </w:rPr>
        <w:t xml:space="preserve">e insisten en </w:t>
      </w:r>
      <w:r w:rsidR="009D1E66" w:rsidRPr="00D5277E">
        <w:rPr>
          <w:rFonts w:ascii="Cambria" w:hAnsi="Cambria"/>
          <w:sz w:val="20"/>
          <w:szCs w:val="20"/>
          <w:lang w:val="es-ES_tradnl"/>
        </w:rPr>
        <w:t>la ausencia de legislación interna que establezca un recurso judicial adecuado y efectivo para impugnar las denegatorias de información pública.</w:t>
      </w:r>
      <w:r w:rsidR="00E712A3" w:rsidRPr="00D5277E">
        <w:rPr>
          <w:rFonts w:ascii="Cambria" w:hAnsi="Cambria"/>
          <w:sz w:val="20"/>
          <w:szCs w:val="20"/>
          <w:lang w:val="es-ES_tradnl"/>
        </w:rPr>
        <w:t xml:space="preserve"> </w:t>
      </w:r>
      <w:r w:rsidR="00787B18" w:rsidRPr="00D5277E">
        <w:rPr>
          <w:rFonts w:ascii="Cambria" w:hAnsi="Cambria"/>
          <w:sz w:val="20"/>
          <w:szCs w:val="20"/>
          <w:lang w:val="es-ES_tradnl"/>
        </w:rPr>
        <w:t xml:space="preserve">En consecuencia, el </w:t>
      </w:r>
      <w:r w:rsidR="00F2774F" w:rsidRPr="00D5277E">
        <w:rPr>
          <w:rFonts w:ascii="Cambria" w:hAnsi="Cambria"/>
          <w:sz w:val="20"/>
          <w:szCs w:val="20"/>
          <w:lang w:val="es-ES_tradnl"/>
        </w:rPr>
        <w:t>17 de diciembre de 2010</w:t>
      </w:r>
      <w:r w:rsidR="00787B18" w:rsidRPr="00D5277E">
        <w:rPr>
          <w:rFonts w:ascii="Cambria" w:hAnsi="Cambria"/>
          <w:sz w:val="20"/>
          <w:szCs w:val="20"/>
          <w:lang w:val="es-ES_tradnl"/>
        </w:rPr>
        <w:t xml:space="preserve"> presentaron un recurso de</w:t>
      </w:r>
      <w:r w:rsidR="00F2774F" w:rsidRPr="00D5277E">
        <w:rPr>
          <w:rFonts w:ascii="Cambria" w:hAnsi="Cambria"/>
          <w:sz w:val="20"/>
          <w:szCs w:val="20"/>
          <w:lang w:val="es-ES_tradnl"/>
        </w:rPr>
        <w:t xml:space="preserve"> </w:t>
      </w:r>
      <w:r w:rsidR="00F2774F" w:rsidRPr="00D5277E">
        <w:rPr>
          <w:rFonts w:ascii="Cambria" w:hAnsi="Cambria"/>
          <w:sz w:val="20"/>
          <w:szCs w:val="20"/>
          <w:lang w:val="es-ES_tradnl"/>
        </w:rPr>
        <w:lastRenderedPageBreak/>
        <w:t xml:space="preserve">apelación alegando que el amparo es autónomo </w:t>
      </w:r>
      <w:r w:rsidR="00B26EBB" w:rsidRPr="00D5277E">
        <w:rPr>
          <w:rFonts w:ascii="Cambria" w:hAnsi="Cambria"/>
          <w:sz w:val="20"/>
          <w:szCs w:val="20"/>
          <w:lang w:val="es-ES_tradnl"/>
        </w:rPr>
        <w:t xml:space="preserve">y es el único medio eficaz, idóneo y breve </w:t>
      </w:r>
      <w:r w:rsidR="0020635C" w:rsidRPr="00D5277E">
        <w:rPr>
          <w:rFonts w:ascii="Cambria" w:hAnsi="Cambria"/>
          <w:sz w:val="20"/>
          <w:szCs w:val="20"/>
          <w:lang w:val="es-ES_tradnl"/>
        </w:rPr>
        <w:t xml:space="preserve">para obtener el restablecimiento de los derechos señalados. </w:t>
      </w:r>
      <w:r w:rsidR="00787B18" w:rsidRPr="00D5277E">
        <w:rPr>
          <w:rFonts w:ascii="Cambria" w:hAnsi="Cambria"/>
          <w:sz w:val="20"/>
          <w:szCs w:val="20"/>
          <w:lang w:val="es-ES_tradnl"/>
        </w:rPr>
        <w:t>Sin embargo, e</w:t>
      </w:r>
      <w:r w:rsidR="0020635C" w:rsidRPr="00D5277E">
        <w:rPr>
          <w:rFonts w:ascii="Cambria" w:hAnsi="Cambria"/>
          <w:sz w:val="20"/>
          <w:szCs w:val="20"/>
          <w:lang w:val="es-ES_tradnl"/>
        </w:rPr>
        <w:t xml:space="preserve">l </w:t>
      </w:r>
      <w:r w:rsidR="00854276" w:rsidRPr="00D5277E">
        <w:rPr>
          <w:rFonts w:ascii="Cambria" w:hAnsi="Cambria"/>
          <w:sz w:val="20"/>
          <w:szCs w:val="20"/>
          <w:lang w:val="es-ES_tradnl"/>
        </w:rPr>
        <w:t xml:space="preserve">10 de febrero de 2011 la Corte Primera de lo Contencioso Administrativo </w:t>
      </w:r>
      <w:r w:rsidR="00A3599D" w:rsidRPr="00D5277E">
        <w:rPr>
          <w:rFonts w:ascii="Cambria" w:hAnsi="Cambria"/>
          <w:sz w:val="20"/>
          <w:szCs w:val="20"/>
          <w:lang w:val="es-ES_tradnl"/>
        </w:rPr>
        <w:t>declaró sin lugar el recurso de apelación y confirmó la sentencia del 13 de diciembre de 2010</w:t>
      </w:r>
      <w:r w:rsidR="00B9752C" w:rsidRPr="00D5277E">
        <w:rPr>
          <w:rFonts w:ascii="Cambria" w:hAnsi="Cambria"/>
          <w:sz w:val="20"/>
          <w:szCs w:val="20"/>
          <w:lang w:val="es-ES_tradnl"/>
        </w:rPr>
        <w:t xml:space="preserve">, esta decisión </w:t>
      </w:r>
      <w:r w:rsidR="00787B18" w:rsidRPr="00D5277E">
        <w:rPr>
          <w:rFonts w:ascii="Cambria" w:hAnsi="Cambria"/>
          <w:sz w:val="20"/>
          <w:szCs w:val="20"/>
          <w:lang w:val="es-ES_tradnl"/>
        </w:rPr>
        <w:t xml:space="preserve">le </w:t>
      </w:r>
      <w:r w:rsidR="00B9752C" w:rsidRPr="00D5277E">
        <w:rPr>
          <w:rFonts w:ascii="Cambria" w:hAnsi="Cambria"/>
          <w:sz w:val="20"/>
          <w:szCs w:val="20"/>
          <w:lang w:val="es-ES_tradnl"/>
        </w:rPr>
        <w:t xml:space="preserve">fue notificada </w:t>
      </w:r>
      <w:r w:rsidR="00787B18" w:rsidRPr="00D5277E">
        <w:rPr>
          <w:rFonts w:ascii="Cambria" w:hAnsi="Cambria"/>
          <w:sz w:val="20"/>
          <w:szCs w:val="20"/>
          <w:lang w:val="es-ES_tradnl"/>
        </w:rPr>
        <w:t xml:space="preserve">a los recurrentes </w:t>
      </w:r>
      <w:r w:rsidR="00B9752C" w:rsidRPr="00D5277E">
        <w:rPr>
          <w:rFonts w:ascii="Cambria" w:hAnsi="Cambria"/>
          <w:sz w:val="20"/>
          <w:szCs w:val="20"/>
          <w:lang w:val="es-ES_tradnl"/>
        </w:rPr>
        <w:t>el 3 de marzo de 2011</w:t>
      </w:r>
      <w:r w:rsidR="00A3599D" w:rsidRPr="00D5277E">
        <w:rPr>
          <w:rFonts w:ascii="Cambria" w:hAnsi="Cambria"/>
          <w:sz w:val="20"/>
          <w:szCs w:val="20"/>
          <w:lang w:val="es-ES_tradnl"/>
        </w:rPr>
        <w:t>.</w:t>
      </w:r>
    </w:p>
    <w:p w14:paraId="31DD96FB" w14:textId="77777777" w:rsidR="00787B18" w:rsidRPr="00D5277E" w:rsidRDefault="00787B18" w:rsidP="001C307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361A1AFF" w14:textId="50303C7C" w:rsidR="00575CD3" w:rsidRPr="00D5277E" w:rsidRDefault="00787B18" w:rsidP="00787B1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1</w:t>
      </w:r>
      <w:r w:rsidR="00CE5A34" w:rsidRPr="00D5277E">
        <w:rPr>
          <w:rFonts w:ascii="Cambria" w:hAnsi="Cambria"/>
          <w:sz w:val="20"/>
          <w:szCs w:val="20"/>
          <w:lang w:val="es-ES_tradnl"/>
        </w:rPr>
        <w:t>7</w:t>
      </w:r>
      <w:r w:rsidRPr="00D5277E">
        <w:rPr>
          <w:rFonts w:ascii="Cambria" w:hAnsi="Cambria"/>
          <w:sz w:val="20"/>
          <w:szCs w:val="20"/>
          <w:lang w:val="es-ES_tradnl"/>
        </w:rPr>
        <w:t>.</w:t>
      </w:r>
      <w:r w:rsidRPr="00D5277E">
        <w:rPr>
          <w:rFonts w:ascii="Cambria" w:hAnsi="Cambria"/>
          <w:sz w:val="20"/>
          <w:szCs w:val="20"/>
          <w:lang w:val="es-ES_tradnl"/>
        </w:rPr>
        <w:tab/>
        <w:t>Días después, e</w:t>
      </w:r>
      <w:r w:rsidR="00363C4C" w:rsidRPr="00D5277E">
        <w:rPr>
          <w:rFonts w:ascii="Cambria" w:hAnsi="Cambria"/>
          <w:sz w:val="20"/>
          <w:szCs w:val="20"/>
          <w:lang w:val="es-ES_tradnl"/>
        </w:rPr>
        <w:t xml:space="preserve">l 11 de marzo de </w:t>
      </w:r>
      <w:r w:rsidRPr="00D5277E">
        <w:rPr>
          <w:rFonts w:ascii="Cambria" w:hAnsi="Cambria"/>
          <w:sz w:val="20"/>
          <w:szCs w:val="20"/>
          <w:lang w:val="es-ES_tradnl"/>
        </w:rPr>
        <w:t>ese año</w:t>
      </w:r>
      <w:r w:rsidR="00363C4C" w:rsidRPr="00D5277E">
        <w:rPr>
          <w:rFonts w:ascii="Cambria" w:hAnsi="Cambria"/>
          <w:sz w:val="20"/>
          <w:szCs w:val="20"/>
          <w:lang w:val="es-ES_tradnl"/>
        </w:rPr>
        <w:t xml:space="preserve"> </w:t>
      </w:r>
      <w:r w:rsidRPr="00D5277E">
        <w:rPr>
          <w:rFonts w:ascii="Cambria" w:hAnsi="Cambria"/>
          <w:sz w:val="20"/>
          <w:szCs w:val="20"/>
          <w:lang w:val="es-ES_tradnl"/>
        </w:rPr>
        <w:t>los peticionarios interpusieron un</w:t>
      </w:r>
      <w:r w:rsidR="00EE5983" w:rsidRPr="00D5277E">
        <w:rPr>
          <w:rFonts w:ascii="Cambria" w:hAnsi="Cambria"/>
          <w:sz w:val="20"/>
          <w:szCs w:val="20"/>
          <w:lang w:val="es-ES_tradnl"/>
        </w:rPr>
        <w:t xml:space="preserve"> recurso de abstención o carencia, ante las Cortes Contencioso Administrativas, </w:t>
      </w:r>
      <w:r w:rsidRPr="00D5277E">
        <w:rPr>
          <w:rFonts w:ascii="Cambria" w:hAnsi="Cambria"/>
          <w:sz w:val="20"/>
          <w:szCs w:val="20"/>
          <w:lang w:val="es-ES_tradnl"/>
        </w:rPr>
        <w:t>alegando la falta de una</w:t>
      </w:r>
      <w:r w:rsidR="00EE5983" w:rsidRPr="00D5277E">
        <w:rPr>
          <w:rFonts w:ascii="Cambria" w:hAnsi="Cambria"/>
          <w:sz w:val="20"/>
          <w:szCs w:val="20"/>
          <w:lang w:val="es-ES_tradnl"/>
        </w:rPr>
        <w:t xml:space="preserve"> </w:t>
      </w:r>
      <w:r w:rsidR="008828B2" w:rsidRPr="00D5277E">
        <w:rPr>
          <w:rFonts w:ascii="Cambria" w:hAnsi="Cambria"/>
          <w:sz w:val="20"/>
          <w:szCs w:val="20"/>
          <w:lang w:val="es-ES_tradnl"/>
        </w:rPr>
        <w:t>oportuna y adecuada respuesta a la solicitud del 17 de agosto de 2010.</w:t>
      </w:r>
      <w:r w:rsidRPr="00D5277E">
        <w:rPr>
          <w:rFonts w:ascii="Cambria" w:hAnsi="Cambria"/>
          <w:sz w:val="20"/>
          <w:szCs w:val="20"/>
          <w:lang w:val="es-ES_tradnl"/>
        </w:rPr>
        <w:t xml:space="preserve"> Así, e</w:t>
      </w:r>
      <w:r w:rsidR="00CA4D78" w:rsidRPr="00D5277E">
        <w:rPr>
          <w:rFonts w:ascii="Cambria" w:hAnsi="Cambria"/>
          <w:sz w:val="20"/>
          <w:szCs w:val="20"/>
          <w:lang w:val="es-ES_tradnl"/>
        </w:rPr>
        <w:t>l 16 de febrero de 2012 la Corte Primera de lo Contencioso Administrativo dictó sentencia, en la que declaró su com</w:t>
      </w:r>
      <w:r w:rsidR="005A6D53" w:rsidRPr="00D5277E">
        <w:rPr>
          <w:rFonts w:ascii="Cambria" w:hAnsi="Cambria"/>
          <w:sz w:val="20"/>
          <w:szCs w:val="20"/>
          <w:lang w:val="es-ES_tradnl"/>
        </w:rPr>
        <w:t>petencia para conocer el recurso y lo declaró inadmisible, bajo el argumento de caducidad de la acción.</w:t>
      </w:r>
      <w:r w:rsidR="001242CB" w:rsidRPr="00D5277E">
        <w:rPr>
          <w:rFonts w:ascii="Cambria" w:hAnsi="Cambria"/>
          <w:sz w:val="20"/>
          <w:szCs w:val="20"/>
          <w:lang w:val="es-ES_tradnl"/>
        </w:rPr>
        <w:t xml:space="preserve"> </w:t>
      </w:r>
      <w:r w:rsidR="00575CD3" w:rsidRPr="00D5277E">
        <w:rPr>
          <w:rFonts w:ascii="Cambria" w:hAnsi="Cambria"/>
          <w:sz w:val="20"/>
          <w:szCs w:val="20"/>
          <w:lang w:val="es-ES_tradnl"/>
        </w:rPr>
        <w:t>Posteriormente, e</w:t>
      </w:r>
      <w:r w:rsidR="001242CB" w:rsidRPr="00D5277E">
        <w:rPr>
          <w:rFonts w:ascii="Cambria" w:hAnsi="Cambria"/>
          <w:sz w:val="20"/>
          <w:szCs w:val="20"/>
          <w:lang w:val="es-ES_tradnl"/>
        </w:rPr>
        <w:t xml:space="preserve">l 6 de junio </w:t>
      </w:r>
      <w:r w:rsidR="00704134" w:rsidRPr="00D5277E">
        <w:rPr>
          <w:rFonts w:ascii="Cambria" w:hAnsi="Cambria"/>
          <w:sz w:val="20"/>
          <w:szCs w:val="20"/>
          <w:lang w:val="es-ES_tradnl"/>
        </w:rPr>
        <w:t>de 2012 la Sala Político Administrativa dictó sentencia declarando sin lugar la apelación interpuesta</w:t>
      </w:r>
      <w:r w:rsidR="00555C8F" w:rsidRPr="00D5277E">
        <w:rPr>
          <w:rFonts w:ascii="Cambria" w:hAnsi="Cambria"/>
          <w:sz w:val="20"/>
          <w:szCs w:val="20"/>
          <w:lang w:val="es-ES_tradnl"/>
        </w:rPr>
        <w:t>, en su fundamentación coincidió que no hubo caducidad</w:t>
      </w:r>
      <w:r w:rsidR="00401F8F" w:rsidRPr="00D5277E">
        <w:rPr>
          <w:rFonts w:ascii="Cambria" w:hAnsi="Cambria"/>
          <w:sz w:val="20"/>
          <w:szCs w:val="20"/>
          <w:lang w:val="es-ES_tradnl"/>
        </w:rPr>
        <w:t>, pero determinó que los peticionarios debieron acreditar “gestiones” realizadas ante VTV para obtener respuesta</w:t>
      </w:r>
      <w:r w:rsidR="00555C8F" w:rsidRPr="00D5277E">
        <w:rPr>
          <w:rFonts w:ascii="Cambria" w:hAnsi="Cambria"/>
          <w:sz w:val="20"/>
          <w:szCs w:val="20"/>
          <w:lang w:val="es-ES_tradnl"/>
        </w:rPr>
        <w:t>.</w:t>
      </w:r>
      <w:r w:rsidR="00184E51" w:rsidRPr="00D5277E">
        <w:rPr>
          <w:rFonts w:ascii="Cambria" w:hAnsi="Cambria"/>
          <w:sz w:val="20"/>
          <w:szCs w:val="20"/>
          <w:lang w:val="es-ES_tradnl"/>
        </w:rPr>
        <w:t xml:space="preserve"> El 5 de octubre de 2012 se</w:t>
      </w:r>
      <w:r w:rsidR="00575CD3" w:rsidRPr="00D5277E">
        <w:rPr>
          <w:rFonts w:ascii="Cambria" w:hAnsi="Cambria"/>
          <w:sz w:val="20"/>
          <w:szCs w:val="20"/>
          <w:lang w:val="es-ES_tradnl"/>
        </w:rPr>
        <w:t xml:space="preserve"> les</w:t>
      </w:r>
      <w:r w:rsidR="00184E51" w:rsidRPr="00D5277E">
        <w:rPr>
          <w:rFonts w:ascii="Cambria" w:hAnsi="Cambria"/>
          <w:sz w:val="20"/>
          <w:szCs w:val="20"/>
          <w:lang w:val="es-ES_tradnl"/>
        </w:rPr>
        <w:t xml:space="preserve"> notificó </w:t>
      </w:r>
      <w:r w:rsidR="00666EA7" w:rsidRPr="00D5277E">
        <w:rPr>
          <w:rFonts w:ascii="Cambria" w:hAnsi="Cambria"/>
          <w:sz w:val="20"/>
          <w:szCs w:val="20"/>
          <w:lang w:val="es-ES_tradnl"/>
        </w:rPr>
        <w:t>la decisión de la Sala.</w:t>
      </w:r>
    </w:p>
    <w:p w14:paraId="77FA639D" w14:textId="4C4CB720" w:rsidR="009D1E66" w:rsidRPr="00D5277E" w:rsidRDefault="00A3599D" w:rsidP="00787B1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 xml:space="preserve"> </w:t>
      </w:r>
    </w:p>
    <w:p w14:paraId="76137C17" w14:textId="75316C66" w:rsidR="00003DAA" w:rsidRPr="00D5277E" w:rsidRDefault="00575CD3" w:rsidP="00575CD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olor w:val="FF0000"/>
          <w:sz w:val="20"/>
          <w:szCs w:val="20"/>
          <w:lang w:val="es-ES_tradnl"/>
        </w:rPr>
      </w:pPr>
      <w:r w:rsidRPr="00D5277E">
        <w:rPr>
          <w:rFonts w:ascii="Cambria" w:hAnsi="Cambria"/>
          <w:sz w:val="20"/>
          <w:szCs w:val="20"/>
          <w:lang w:val="es-ES_tradnl"/>
        </w:rPr>
        <w:t>1</w:t>
      </w:r>
      <w:r w:rsidR="00CE5A34" w:rsidRPr="00D5277E">
        <w:rPr>
          <w:rFonts w:ascii="Cambria" w:hAnsi="Cambria"/>
          <w:sz w:val="20"/>
          <w:szCs w:val="20"/>
          <w:lang w:val="es-ES_tradnl"/>
        </w:rPr>
        <w:t>8</w:t>
      </w:r>
      <w:r w:rsidRPr="00D5277E">
        <w:rPr>
          <w:rFonts w:ascii="Cambria" w:hAnsi="Cambria"/>
          <w:sz w:val="20"/>
          <w:szCs w:val="20"/>
          <w:lang w:val="es-ES_tradnl"/>
        </w:rPr>
        <w:t>.</w:t>
      </w:r>
      <w:r w:rsidRPr="00D5277E">
        <w:rPr>
          <w:rFonts w:ascii="Cambria" w:hAnsi="Cambria"/>
          <w:sz w:val="20"/>
          <w:szCs w:val="20"/>
          <w:lang w:val="es-ES_tradnl"/>
        </w:rPr>
        <w:tab/>
      </w:r>
      <w:r w:rsidR="009D1E66" w:rsidRPr="00D5277E">
        <w:rPr>
          <w:rFonts w:ascii="Cambria" w:hAnsi="Cambria"/>
          <w:sz w:val="20"/>
          <w:szCs w:val="20"/>
          <w:lang w:val="es-ES_tradnl"/>
        </w:rPr>
        <w:t xml:space="preserve">El Estado, por su parte, </w:t>
      </w:r>
      <w:r w:rsidR="00AE309A" w:rsidRPr="00D5277E">
        <w:rPr>
          <w:rFonts w:ascii="Cambria" w:hAnsi="Cambria"/>
          <w:sz w:val="20"/>
          <w:szCs w:val="20"/>
          <w:lang w:val="es-ES_tradnl"/>
        </w:rPr>
        <w:t xml:space="preserve">expresó que la petición fue presentada fuera del plazo </w:t>
      </w:r>
      <w:r w:rsidR="00A92739" w:rsidRPr="00D5277E">
        <w:rPr>
          <w:rFonts w:ascii="Cambria" w:hAnsi="Cambria"/>
          <w:sz w:val="20"/>
          <w:szCs w:val="20"/>
          <w:lang w:val="es-ES_tradnl"/>
        </w:rPr>
        <w:t>de seis meses establecido en la Convención Americana (art. 46.1.b),</w:t>
      </w:r>
      <w:r w:rsidR="00AE309A" w:rsidRPr="00D5277E">
        <w:rPr>
          <w:rFonts w:ascii="Cambria" w:hAnsi="Cambria"/>
          <w:sz w:val="20"/>
          <w:szCs w:val="20"/>
          <w:lang w:val="es-ES_tradnl"/>
        </w:rPr>
        <w:t xml:space="preserve"> </w:t>
      </w:r>
      <w:r w:rsidR="00A92739" w:rsidRPr="00D5277E">
        <w:rPr>
          <w:rFonts w:ascii="Cambria" w:hAnsi="Cambria"/>
          <w:sz w:val="20"/>
          <w:szCs w:val="20"/>
          <w:lang w:val="es-ES_tradnl"/>
        </w:rPr>
        <w:t xml:space="preserve">por considerar </w:t>
      </w:r>
      <w:r w:rsidR="00045665" w:rsidRPr="00D5277E">
        <w:rPr>
          <w:rFonts w:ascii="Cambria" w:hAnsi="Cambria"/>
          <w:sz w:val="20"/>
          <w:szCs w:val="20"/>
          <w:lang w:val="es-ES_tradnl"/>
        </w:rPr>
        <w:t>que la petición fue presentada diez meses después de haber</w:t>
      </w:r>
      <w:r w:rsidR="00A92739" w:rsidRPr="00D5277E">
        <w:rPr>
          <w:rFonts w:ascii="Cambria" w:hAnsi="Cambria"/>
          <w:sz w:val="20"/>
          <w:szCs w:val="20"/>
          <w:lang w:val="es-ES_tradnl"/>
        </w:rPr>
        <w:t>se</w:t>
      </w:r>
      <w:r w:rsidR="00045665" w:rsidRPr="00D5277E">
        <w:rPr>
          <w:rFonts w:ascii="Cambria" w:hAnsi="Cambria"/>
          <w:sz w:val="20"/>
          <w:szCs w:val="20"/>
          <w:lang w:val="es-ES_tradnl"/>
        </w:rPr>
        <w:t xml:space="preserve"> agotado </w:t>
      </w:r>
      <w:r w:rsidR="00A92739" w:rsidRPr="00D5277E">
        <w:rPr>
          <w:rFonts w:ascii="Cambria" w:hAnsi="Cambria"/>
          <w:sz w:val="20"/>
          <w:szCs w:val="20"/>
          <w:lang w:val="es-ES_tradnl"/>
        </w:rPr>
        <w:t>los</w:t>
      </w:r>
      <w:r w:rsidR="00045665" w:rsidRPr="00D5277E">
        <w:rPr>
          <w:rFonts w:ascii="Cambria" w:hAnsi="Cambria"/>
          <w:sz w:val="20"/>
          <w:szCs w:val="20"/>
          <w:lang w:val="es-ES_tradnl"/>
        </w:rPr>
        <w:t xml:space="preserve"> </w:t>
      </w:r>
      <w:r w:rsidR="00A92739" w:rsidRPr="00D5277E">
        <w:rPr>
          <w:rFonts w:ascii="Cambria" w:hAnsi="Cambria"/>
          <w:sz w:val="20"/>
          <w:szCs w:val="20"/>
          <w:lang w:val="es-ES_tradnl"/>
        </w:rPr>
        <w:t>recursos internos</w:t>
      </w:r>
      <w:r w:rsidR="00B82E44" w:rsidRPr="00D5277E">
        <w:rPr>
          <w:rFonts w:ascii="Cambria" w:hAnsi="Cambria"/>
          <w:sz w:val="20"/>
          <w:szCs w:val="20"/>
          <w:lang w:val="es-ES_tradnl"/>
        </w:rPr>
        <w:t xml:space="preserve">, </w:t>
      </w:r>
      <w:r w:rsidR="00411FFD" w:rsidRPr="00D5277E">
        <w:rPr>
          <w:rFonts w:ascii="Cambria" w:hAnsi="Cambria"/>
          <w:sz w:val="20"/>
          <w:szCs w:val="20"/>
          <w:lang w:val="es-ES_tradnl"/>
        </w:rPr>
        <w:t>dado que,</w:t>
      </w:r>
      <w:r w:rsidR="00B82E44" w:rsidRPr="00D5277E">
        <w:rPr>
          <w:rFonts w:ascii="Cambria" w:hAnsi="Cambria"/>
          <w:sz w:val="20"/>
          <w:szCs w:val="20"/>
          <w:lang w:val="es-ES_tradnl"/>
        </w:rPr>
        <w:t xml:space="preserve"> </w:t>
      </w:r>
      <w:r w:rsidR="00DD1051" w:rsidRPr="00D5277E">
        <w:rPr>
          <w:rFonts w:ascii="Cambria" w:hAnsi="Cambria"/>
          <w:sz w:val="20"/>
          <w:szCs w:val="20"/>
          <w:lang w:val="es-ES_tradnl"/>
        </w:rPr>
        <w:t>a criterio del Estado, el 6 de junio de 2012 fue emitida y publicada la sentencia</w:t>
      </w:r>
      <w:r w:rsidR="00A92739" w:rsidRPr="00D5277E">
        <w:rPr>
          <w:rFonts w:ascii="Cambria" w:hAnsi="Cambria"/>
          <w:sz w:val="20"/>
          <w:szCs w:val="20"/>
          <w:lang w:val="es-ES_tradnl"/>
        </w:rPr>
        <w:t xml:space="preserve"> de la Sala Político Administrativa</w:t>
      </w:r>
      <w:r w:rsidR="00DD1051" w:rsidRPr="00D5277E">
        <w:rPr>
          <w:rFonts w:ascii="Cambria" w:hAnsi="Cambria"/>
          <w:sz w:val="20"/>
          <w:szCs w:val="20"/>
          <w:lang w:val="es-ES_tradnl"/>
        </w:rPr>
        <w:t>.</w:t>
      </w:r>
      <w:r w:rsidR="00D636A4" w:rsidRPr="00D5277E">
        <w:rPr>
          <w:rFonts w:ascii="Cambria" w:hAnsi="Cambria"/>
          <w:sz w:val="20"/>
          <w:szCs w:val="20"/>
          <w:lang w:val="es-ES_tradnl"/>
        </w:rPr>
        <w:t xml:space="preserve"> También considera</w:t>
      </w:r>
      <w:r w:rsidR="00A92739" w:rsidRPr="00D5277E">
        <w:rPr>
          <w:rFonts w:ascii="Cambria" w:hAnsi="Cambria"/>
          <w:sz w:val="20"/>
          <w:szCs w:val="20"/>
          <w:lang w:val="es-ES_tradnl"/>
        </w:rPr>
        <w:t xml:space="preserve"> el Estado</w:t>
      </w:r>
      <w:r w:rsidR="00D636A4" w:rsidRPr="00D5277E">
        <w:rPr>
          <w:rFonts w:ascii="Cambria" w:hAnsi="Cambria"/>
          <w:sz w:val="20"/>
          <w:szCs w:val="20"/>
          <w:lang w:val="es-ES_tradnl"/>
        </w:rPr>
        <w:t xml:space="preserve"> que existe falta de caracterización en virtud que consideran el caso una mera discrepancia del peticionario con la interpretación de las autoridades judiciales venezolanas.</w:t>
      </w:r>
      <w:r w:rsidR="009D1E66" w:rsidRPr="00D5277E">
        <w:rPr>
          <w:rFonts w:ascii="Cambria" w:hAnsi="Cambria"/>
          <w:color w:val="FF0000"/>
          <w:sz w:val="20"/>
          <w:szCs w:val="20"/>
          <w:lang w:val="es-ES_tradnl"/>
        </w:rPr>
        <w:t xml:space="preserve"> </w:t>
      </w:r>
    </w:p>
    <w:p w14:paraId="08D076B2" w14:textId="77777777" w:rsidR="00A92739" w:rsidRPr="00D5277E" w:rsidRDefault="00A92739" w:rsidP="00575CD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olor w:val="FF0000"/>
          <w:sz w:val="20"/>
          <w:szCs w:val="20"/>
          <w:lang w:val="es-ES_tradnl"/>
        </w:rPr>
      </w:pPr>
    </w:p>
    <w:p w14:paraId="6F4D4171" w14:textId="2D7DBB7F" w:rsidR="003239B8" w:rsidRPr="00D5277E" w:rsidRDefault="003239B8" w:rsidP="00CE72A7">
      <w:pPr>
        <w:ind w:firstLine="720"/>
        <w:jc w:val="both"/>
        <w:rPr>
          <w:rFonts w:ascii="Cambria" w:eastAsia="Cambria" w:hAnsi="Cambria" w:cs="Cambria"/>
          <w:b/>
          <w:bCs/>
          <w:color w:val="000000"/>
          <w:sz w:val="20"/>
          <w:szCs w:val="20"/>
          <w:u w:color="000000"/>
          <w:lang w:val="es-ES_tradnl" w:eastAsia="es-ES"/>
        </w:rPr>
      </w:pPr>
      <w:r w:rsidRPr="00D5277E">
        <w:rPr>
          <w:rFonts w:ascii="Cambria" w:eastAsia="Cambria" w:hAnsi="Cambria" w:cs="Cambria"/>
          <w:b/>
          <w:bCs/>
          <w:color w:val="000000"/>
          <w:sz w:val="20"/>
          <w:szCs w:val="20"/>
          <w:u w:color="000000"/>
          <w:lang w:val="es-ES_tradnl" w:eastAsia="es-ES"/>
        </w:rPr>
        <w:t>V</w:t>
      </w:r>
      <w:r w:rsidR="00BF628F" w:rsidRPr="00D5277E">
        <w:rPr>
          <w:rFonts w:ascii="Cambria" w:eastAsia="Cambria" w:hAnsi="Cambria" w:cs="Cambria"/>
          <w:b/>
          <w:bCs/>
          <w:color w:val="000000"/>
          <w:sz w:val="20"/>
          <w:szCs w:val="20"/>
          <w:u w:color="000000"/>
          <w:lang w:val="es-ES_tradnl" w:eastAsia="es-ES"/>
        </w:rPr>
        <w:t>I</w:t>
      </w:r>
      <w:r w:rsidRPr="00D5277E">
        <w:rPr>
          <w:rFonts w:ascii="Cambria" w:eastAsia="Cambria" w:hAnsi="Cambria" w:cs="Cambria"/>
          <w:b/>
          <w:bCs/>
          <w:color w:val="000000"/>
          <w:sz w:val="20"/>
          <w:szCs w:val="20"/>
          <w:u w:color="000000"/>
          <w:lang w:val="es-ES_tradnl" w:eastAsia="es-ES"/>
        </w:rPr>
        <w:t>.</w:t>
      </w:r>
      <w:r w:rsidRPr="00D5277E">
        <w:rPr>
          <w:rFonts w:ascii="Cambria" w:eastAsia="Cambria" w:hAnsi="Cambria" w:cs="Cambria"/>
          <w:b/>
          <w:bCs/>
          <w:color w:val="000000"/>
          <w:sz w:val="20"/>
          <w:szCs w:val="20"/>
          <w:u w:color="000000"/>
          <w:lang w:val="es-ES_tradnl" w:eastAsia="es-ES"/>
        </w:rPr>
        <w:tab/>
      </w:r>
      <w:r w:rsidR="004A6A54" w:rsidRPr="00D5277E">
        <w:rPr>
          <w:rFonts w:ascii="Cambria" w:hAnsi="Cambria"/>
          <w:b/>
          <w:bCs/>
          <w:sz w:val="20"/>
          <w:szCs w:val="20"/>
          <w:lang w:val="es-ES_tradnl"/>
        </w:rPr>
        <w:t xml:space="preserve">ANÁLISIS DE </w:t>
      </w:r>
      <w:r w:rsidR="00C21FEF" w:rsidRPr="00D5277E">
        <w:rPr>
          <w:rFonts w:ascii="Cambria" w:hAnsi="Cambria"/>
          <w:b/>
          <w:sz w:val="20"/>
          <w:szCs w:val="20"/>
          <w:lang w:val="es-ES_tradnl"/>
        </w:rPr>
        <w:t>AGOTAMIENTO DE LOS RECURSOS INTERNOS Y PLAZO DE PRESENTACIÓN</w:t>
      </w:r>
      <w:r w:rsidR="00C21FEF" w:rsidRPr="00D5277E">
        <w:rPr>
          <w:rFonts w:ascii="Cambria" w:eastAsia="Cambria" w:hAnsi="Cambria" w:cs="Cambria"/>
          <w:b/>
          <w:bCs/>
          <w:color w:val="000000"/>
          <w:sz w:val="20"/>
          <w:szCs w:val="20"/>
          <w:u w:color="000000"/>
          <w:lang w:val="es-ES_tradnl" w:eastAsia="es-ES"/>
        </w:rPr>
        <w:t xml:space="preserve"> </w:t>
      </w:r>
    </w:p>
    <w:p w14:paraId="19D560C4" w14:textId="77777777" w:rsidR="00A92739" w:rsidRPr="00D5277E" w:rsidRDefault="00A92739" w:rsidP="00A92739">
      <w:pPr>
        <w:jc w:val="both"/>
        <w:rPr>
          <w:b/>
          <w:bCs/>
          <w:sz w:val="20"/>
          <w:szCs w:val="20"/>
          <w:lang w:val="es-ES_tradnl"/>
        </w:rPr>
      </w:pPr>
    </w:p>
    <w:p w14:paraId="1B9B54CE" w14:textId="2422ED4A" w:rsidR="005160BE" w:rsidRPr="00D5277E" w:rsidRDefault="00704F61" w:rsidP="005160B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1</w:t>
      </w:r>
      <w:r w:rsidR="00D46E6B" w:rsidRPr="00D5277E">
        <w:rPr>
          <w:rFonts w:ascii="Cambria" w:hAnsi="Cambria"/>
          <w:sz w:val="20"/>
          <w:szCs w:val="20"/>
          <w:lang w:val="es-ES_tradnl"/>
        </w:rPr>
        <w:t>9</w:t>
      </w:r>
      <w:r w:rsidRPr="00D5277E">
        <w:rPr>
          <w:rFonts w:ascii="Cambria" w:hAnsi="Cambria"/>
          <w:sz w:val="20"/>
          <w:szCs w:val="20"/>
          <w:lang w:val="es-ES_tradnl"/>
        </w:rPr>
        <w:t>.</w:t>
      </w:r>
      <w:r w:rsidRPr="00D5277E">
        <w:rPr>
          <w:rFonts w:ascii="Cambria" w:hAnsi="Cambria"/>
          <w:sz w:val="20"/>
          <w:szCs w:val="20"/>
          <w:lang w:val="es-ES_tradnl"/>
        </w:rPr>
        <w:tab/>
      </w:r>
      <w:r w:rsidR="009C717F" w:rsidRPr="00D5277E">
        <w:rPr>
          <w:rFonts w:ascii="Cambria" w:hAnsi="Cambria"/>
          <w:sz w:val="20"/>
          <w:szCs w:val="20"/>
          <w:lang w:val="es-ES_tradnl"/>
        </w:rPr>
        <w:t xml:space="preserve">Como se ha detallado en la sección previa del presente informe, los peticionarios presentaron tres solicitudes de información ante tres entidades públicas: a) </w:t>
      </w:r>
      <w:r w:rsidR="00EE4494" w:rsidRPr="00D5277E">
        <w:rPr>
          <w:rFonts w:ascii="Cambria" w:hAnsi="Cambria"/>
          <w:sz w:val="20"/>
          <w:szCs w:val="20"/>
          <w:lang w:val="es-ES_tradnl"/>
        </w:rPr>
        <w:t xml:space="preserve">el 20 de julio de 2009 </w:t>
      </w:r>
      <w:r w:rsidR="009C717F" w:rsidRPr="00D5277E">
        <w:rPr>
          <w:rFonts w:ascii="Cambria" w:hAnsi="Cambria"/>
          <w:sz w:val="20"/>
          <w:szCs w:val="20"/>
          <w:lang w:val="es-ES_tradnl"/>
        </w:rPr>
        <w:t xml:space="preserve">ante el </w:t>
      </w:r>
      <w:r w:rsidR="00EE4494" w:rsidRPr="00D5277E">
        <w:rPr>
          <w:rFonts w:ascii="Cambria" w:hAnsi="Cambria"/>
          <w:sz w:val="20"/>
          <w:szCs w:val="20"/>
          <w:lang w:val="es-ES_tradnl"/>
        </w:rPr>
        <w:t>Ministerio del Poder Popular para la Salud</w:t>
      </w:r>
      <w:r w:rsidR="009C717F" w:rsidRPr="00D5277E">
        <w:rPr>
          <w:rFonts w:ascii="Cambria" w:hAnsi="Cambria"/>
          <w:sz w:val="20"/>
          <w:szCs w:val="20"/>
          <w:lang w:val="es-ES_tradnl"/>
        </w:rPr>
        <w:t xml:space="preserve">; b) </w:t>
      </w:r>
      <w:r w:rsidR="00CC73E1" w:rsidRPr="00D5277E">
        <w:rPr>
          <w:rFonts w:ascii="Cambria" w:hAnsi="Cambria"/>
          <w:sz w:val="20"/>
          <w:szCs w:val="20"/>
          <w:lang w:val="es-ES_tradnl"/>
        </w:rPr>
        <w:t xml:space="preserve">el </w:t>
      </w:r>
      <w:r w:rsidR="00CA4A1E" w:rsidRPr="00D5277E">
        <w:rPr>
          <w:rFonts w:ascii="Cambria" w:hAnsi="Cambria"/>
          <w:sz w:val="20"/>
          <w:szCs w:val="20"/>
          <w:lang w:val="es-ES_tradnl"/>
        </w:rPr>
        <w:t>13 de noviembre de 2008 ante la Contraloría General de la República</w:t>
      </w:r>
      <w:r w:rsidR="009C717F" w:rsidRPr="00D5277E">
        <w:rPr>
          <w:rFonts w:ascii="Cambria" w:hAnsi="Cambria"/>
          <w:sz w:val="20"/>
          <w:szCs w:val="20"/>
          <w:lang w:val="es-ES_tradnl"/>
        </w:rPr>
        <w:t xml:space="preserve">; y, c) </w:t>
      </w:r>
      <w:r w:rsidR="00CA4A1E" w:rsidRPr="00D5277E">
        <w:rPr>
          <w:rFonts w:ascii="Cambria" w:hAnsi="Cambria"/>
          <w:sz w:val="20"/>
          <w:szCs w:val="20"/>
          <w:lang w:val="es-ES_tradnl"/>
        </w:rPr>
        <w:t xml:space="preserve">el </w:t>
      </w:r>
      <w:r w:rsidR="00B42D49" w:rsidRPr="00D5277E">
        <w:rPr>
          <w:rFonts w:ascii="Cambria" w:hAnsi="Cambria"/>
          <w:sz w:val="20"/>
          <w:szCs w:val="20"/>
          <w:lang w:val="es-ES_tradnl"/>
        </w:rPr>
        <w:t>17 de agosto de 2010 ante Venezolana de Televisión, C.A.</w:t>
      </w:r>
      <w:r w:rsidR="009C717F" w:rsidRPr="00D5277E">
        <w:rPr>
          <w:rFonts w:ascii="Cambria" w:hAnsi="Cambria"/>
          <w:sz w:val="20"/>
          <w:szCs w:val="20"/>
          <w:lang w:val="es-ES_tradnl"/>
        </w:rPr>
        <w:t xml:space="preserve"> En los tres casos estas autoridades no respondieron a la solicitud dentro del plazo legal de </w:t>
      </w:r>
      <w:r w:rsidR="007B0A41" w:rsidRPr="00D5277E">
        <w:rPr>
          <w:rFonts w:ascii="Cambria" w:hAnsi="Cambria"/>
          <w:sz w:val="20"/>
          <w:szCs w:val="20"/>
          <w:lang w:val="es-ES_tradnl"/>
        </w:rPr>
        <w:t>veinte</w:t>
      </w:r>
      <w:r w:rsidR="009C717F" w:rsidRPr="00D5277E">
        <w:rPr>
          <w:rFonts w:ascii="Cambria" w:hAnsi="Cambria"/>
          <w:sz w:val="20"/>
          <w:szCs w:val="20"/>
          <w:lang w:val="es-ES_tradnl"/>
        </w:rPr>
        <w:t xml:space="preserve"> días, </w:t>
      </w:r>
      <w:r w:rsidR="007B0A41" w:rsidRPr="00D5277E">
        <w:rPr>
          <w:rFonts w:ascii="Cambria" w:hAnsi="Cambria"/>
          <w:sz w:val="20"/>
          <w:szCs w:val="20"/>
          <w:lang w:val="es-ES_tradnl"/>
        </w:rPr>
        <w:t>de</w:t>
      </w:r>
      <w:r w:rsidR="009C717F" w:rsidRPr="00D5277E">
        <w:rPr>
          <w:rFonts w:ascii="Cambria" w:hAnsi="Cambria"/>
          <w:sz w:val="20"/>
          <w:szCs w:val="20"/>
          <w:lang w:val="es-ES_tradnl"/>
        </w:rPr>
        <w:t xml:space="preserve"> la </w:t>
      </w:r>
      <w:r w:rsidR="00D9388B" w:rsidRPr="00D5277E">
        <w:rPr>
          <w:rFonts w:ascii="Cambria" w:hAnsi="Cambria"/>
          <w:sz w:val="20"/>
          <w:szCs w:val="20"/>
          <w:lang w:val="es-ES_tradnl"/>
        </w:rPr>
        <w:t>Ley Orgánica de Procedimientos Administrativos</w:t>
      </w:r>
      <w:r w:rsidR="009C717F" w:rsidRPr="00D5277E">
        <w:rPr>
          <w:rFonts w:ascii="Cambria" w:hAnsi="Cambria"/>
          <w:sz w:val="20"/>
          <w:szCs w:val="20"/>
          <w:lang w:val="es-ES_tradnl"/>
        </w:rPr>
        <w:t>. Por lo que los peticionarios presentaron recursos judiciales ante esta denegatoria. En este sentido, respecto de las tres solicitudes los peticionarios presentaron acciones de amparo; las que fueron resueltas respectivamente por medio de las siguientes decisiones finales: a)</w:t>
      </w:r>
      <w:r w:rsidR="009438F5" w:rsidRPr="00D5277E">
        <w:rPr>
          <w:rFonts w:ascii="Cambria" w:hAnsi="Cambria"/>
          <w:sz w:val="20"/>
          <w:szCs w:val="20"/>
          <w:lang w:val="es-ES_tradnl"/>
        </w:rPr>
        <w:t xml:space="preserve"> el 9 de julio de 2010 la Sala Constitucional emitió una sentencia que declaró inadmisible la acción interpuesta</w:t>
      </w:r>
      <w:r w:rsidR="000D249E" w:rsidRPr="00D5277E">
        <w:rPr>
          <w:rFonts w:ascii="Cambria" w:hAnsi="Cambria"/>
          <w:sz w:val="20"/>
          <w:szCs w:val="20"/>
          <w:lang w:val="es-ES_tradnl"/>
        </w:rPr>
        <w:t xml:space="preserve"> por la falta de respuesta ante el Ministerio del Poder Popular para la Salud</w:t>
      </w:r>
      <w:r w:rsidR="009C717F" w:rsidRPr="00D5277E">
        <w:rPr>
          <w:rFonts w:ascii="Cambria" w:hAnsi="Cambria"/>
          <w:sz w:val="20"/>
          <w:szCs w:val="20"/>
          <w:lang w:val="es-ES_tradnl"/>
        </w:rPr>
        <w:t xml:space="preserve">; b) </w:t>
      </w:r>
      <w:r w:rsidR="001B7D35" w:rsidRPr="00D5277E">
        <w:rPr>
          <w:rFonts w:ascii="Cambria" w:hAnsi="Cambria"/>
          <w:sz w:val="20"/>
          <w:szCs w:val="20"/>
          <w:lang w:val="es-ES_tradnl"/>
        </w:rPr>
        <w:t xml:space="preserve">el 15 de julio de 2010, la Sala Constitucional </w:t>
      </w:r>
      <w:r w:rsidR="009D6AC6" w:rsidRPr="00D5277E">
        <w:rPr>
          <w:rFonts w:ascii="Cambria" w:hAnsi="Cambria"/>
          <w:sz w:val="20"/>
          <w:szCs w:val="20"/>
          <w:lang w:val="es-ES_tradnl"/>
        </w:rPr>
        <w:t xml:space="preserve">declaró improcedente la acción de amparo relacionada con la solicitud de información presentada ante la Contraloría General de la República; </w:t>
      </w:r>
      <w:r w:rsidR="009C717F" w:rsidRPr="00D5277E">
        <w:rPr>
          <w:rFonts w:ascii="Cambria" w:hAnsi="Cambria"/>
          <w:sz w:val="20"/>
          <w:szCs w:val="20"/>
          <w:lang w:val="es-ES_tradnl"/>
        </w:rPr>
        <w:t xml:space="preserve">y, c) </w:t>
      </w:r>
      <w:r w:rsidR="00C77BF3" w:rsidRPr="00D5277E">
        <w:rPr>
          <w:rFonts w:ascii="Cambria" w:hAnsi="Cambria"/>
          <w:sz w:val="20"/>
          <w:szCs w:val="20"/>
          <w:lang w:val="es-ES_tradnl"/>
        </w:rPr>
        <w:t xml:space="preserve">el 5 de octubre de 2012, la Sala Político Administrativa declaró sin lugar </w:t>
      </w:r>
      <w:r w:rsidR="00E45ECB" w:rsidRPr="00D5277E">
        <w:rPr>
          <w:rFonts w:ascii="Cambria" w:hAnsi="Cambria"/>
          <w:sz w:val="20"/>
          <w:szCs w:val="20"/>
          <w:lang w:val="es-ES_tradnl"/>
        </w:rPr>
        <w:t xml:space="preserve">la apelación interpuesta, determinando que no se acreditó las gestiones realizadas ante Venezolana de Televisión C.A. </w:t>
      </w:r>
      <w:r w:rsidR="009C717F" w:rsidRPr="00D5277E">
        <w:rPr>
          <w:rFonts w:ascii="Cambria" w:hAnsi="Cambria"/>
          <w:sz w:val="20"/>
          <w:szCs w:val="20"/>
          <w:lang w:val="es-ES_tradnl"/>
        </w:rPr>
        <w:t xml:space="preserve"> </w:t>
      </w:r>
    </w:p>
    <w:p w14:paraId="7BD8FB75" w14:textId="77777777" w:rsidR="005160BE" w:rsidRPr="00D5277E" w:rsidRDefault="005160BE" w:rsidP="005160B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5347AB78" w14:textId="62CBF1B1" w:rsidR="000D195D" w:rsidRPr="00D5277E" w:rsidRDefault="005160BE" w:rsidP="005160B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20</w:t>
      </w:r>
      <w:r w:rsidR="00A45CE9" w:rsidRPr="00D5277E">
        <w:rPr>
          <w:rFonts w:ascii="Cambria" w:hAnsi="Cambria"/>
          <w:sz w:val="20"/>
          <w:szCs w:val="20"/>
          <w:lang w:val="es-ES_tradnl"/>
        </w:rPr>
        <w:t>.</w:t>
      </w:r>
      <w:r w:rsidR="00A45CE9" w:rsidRPr="00D5277E">
        <w:rPr>
          <w:rFonts w:ascii="Cambria" w:hAnsi="Cambria"/>
          <w:sz w:val="20"/>
          <w:szCs w:val="20"/>
          <w:lang w:val="es-ES_tradnl"/>
        </w:rPr>
        <w:tab/>
      </w:r>
      <w:r w:rsidR="009C717F" w:rsidRPr="00D5277E">
        <w:rPr>
          <w:rFonts w:ascii="Cambria" w:hAnsi="Cambria"/>
          <w:sz w:val="20"/>
          <w:szCs w:val="20"/>
          <w:lang w:val="es-ES_tradnl"/>
        </w:rPr>
        <w:t xml:space="preserve">En todos estos casos el Estado ha controvertido que los peticionarios debieron agotar </w:t>
      </w:r>
      <w:r w:rsidR="00564B90" w:rsidRPr="00D5277E">
        <w:rPr>
          <w:rFonts w:ascii="Cambria" w:hAnsi="Cambria"/>
          <w:sz w:val="20"/>
          <w:szCs w:val="20"/>
          <w:lang w:val="es-ES_tradnl"/>
        </w:rPr>
        <w:t xml:space="preserve">primero </w:t>
      </w:r>
      <w:r w:rsidR="009C717F" w:rsidRPr="00D5277E">
        <w:rPr>
          <w:rFonts w:ascii="Cambria" w:hAnsi="Cambria"/>
          <w:sz w:val="20"/>
          <w:szCs w:val="20"/>
          <w:lang w:val="es-ES_tradnl"/>
        </w:rPr>
        <w:t xml:space="preserve">el recurso de </w:t>
      </w:r>
      <w:r w:rsidR="00B556AA" w:rsidRPr="00D5277E">
        <w:rPr>
          <w:rFonts w:ascii="Cambria" w:hAnsi="Cambria"/>
          <w:sz w:val="20"/>
          <w:szCs w:val="20"/>
          <w:lang w:val="es-ES_tradnl"/>
        </w:rPr>
        <w:t>abstención o carencia</w:t>
      </w:r>
      <w:r w:rsidR="009C717F" w:rsidRPr="00D5277E">
        <w:rPr>
          <w:rFonts w:ascii="Cambria" w:hAnsi="Cambria"/>
          <w:sz w:val="20"/>
          <w:szCs w:val="20"/>
          <w:lang w:val="es-ES_tradnl"/>
        </w:rPr>
        <w:t xml:space="preserve"> ante </w:t>
      </w:r>
      <w:r w:rsidR="00113AAC" w:rsidRPr="00D5277E">
        <w:rPr>
          <w:rFonts w:ascii="Cambria" w:hAnsi="Cambria"/>
          <w:sz w:val="20"/>
          <w:szCs w:val="20"/>
          <w:lang w:val="es-ES_tradnl"/>
        </w:rPr>
        <w:t>la jurisdicción contencioso administrativo antes de acudir a la vía de amparo</w:t>
      </w:r>
      <w:r w:rsidR="00564B90" w:rsidRPr="00D5277E">
        <w:rPr>
          <w:rFonts w:ascii="Cambria" w:hAnsi="Cambria"/>
          <w:sz w:val="20"/>
          <w:szCs w:val="20"/>
          <w:lang w:val="es-ES_tradnl"/>
        </w:rPr>
        <w:t>;</w:t>
      </w:r>
      <w:r w:rsidR="00113AAC" w:rsidRPr="00D5277E">
        <w:rPr>
          <w:rFonts w:ascii="Cambria" w:hAnsi="Cambria"/>
          <w:sz w:val="20"/>
          <w:szCs w:val="20"/>
          <w:lang w:val="es-ES_tradnl"/>
        </w:rPr>
        <w:t xml:space="preserve"> </w:t>
      </w:r>
      <w:r w:rsidR="00564B90" w:rsidRPr="00D5277E">
        <w:rPr>
          <w:rFonts w:ascii="Cambria" w:hAnsi="Cambria"/>
          <w:sz w:val="20"/>
          <w:szCs w:val="20"/>
          <w:lang w:val="es-ES_tradnl"/>
        </w:rPr>
        <w:t>s</w:t>
      </w:r>
      <w:r w:rsidR="00113AAC" w:rsidRPr="00D5277E">
        <w:rPr>
          <w:rFonts w:ascii="Cambria" w:hAnsi="Cambria"/>
          <w:sz w:val="20"/>
          <w:szCs w:val="20"/>
          <w:lang w:val="es-ES_tradnl"/>
        </w:rPr>
        <w:t>in embargo, el Estado no ha demostrado por</w:t>
      </w:r>
      <w:r w:rsidR="00A52524" w:rsidRPr="00D5277E">
        <w:rPr>
          <w:rFonts w:ascii="Cambria" w:hAnsi="Cambria"/>
          <w:sz w:val="20"/>
          <w:szCs w:val="20"/>
          <w:lang w:val="es-ES_tradnl"/>
        </w:rPr>
        <w:t xml:space="preserve"> </w:t>
      </w:r>
      <w:r w:rsidR="00113AAC" w:rsidRPr="00D5277E">
        <w:rPr>
          <w:rFonts w:ascii="Cambria" w:hAnsi="Cambria"/>
          <w:sz w:val="20"/>
          <w:szCs w:val="20"/>
          <w:lang w:val="es-ES_tradnl"/>
        </w:rPr>
        <w:t>qu</w:t>
      </w:r>
      <w:r w:rsidR="00A52524" w:rsidRPr="00D5277E">
        <w:rPr>
          <w:rFonts w:ascii="Cambria" w:hAnsi="Cambria"/>
          <w:sz w:val="20"/>
          <w:szCs w:val="20"/>
          <w:lang w:val="es-ES_tradnl"/>
        </w:rPr>
        <w:t>é</w:t>
      </w:r>
      <w:r w:rsidR="00113AAC" w:rsidRPr="00D5277E">
        <w:rPr>
          <w:rFonts w:ascii="Cambria" w:hAnsi="Cambria"/>
          <w:sz w:val="20"/>
          <w:szCs w:val="20"/>
          <w:lang w:val="es-ES_tradnl"/>
        </w:rPr>
        <w:t xml:space="preserve"> este recurso es adecuado o eficaz. </w:t>
      </w:r>
      <w:r w:rsidR="000D195D" w:rsidRPr="00D5277E">
        <w:rPr>
          <w:rFonts w:ascii="Cambria" w:hAnsi="Cambria"/>
          <w:sz w:val="20"/>
          <w:szCs w:val="20"/>
          <w:lang w:val="es-ES_tradnl"/>
        </w:rPr>
        <w:t>Al respecto, la Comisión recuerda que toda vez que un Estado alega la falta de agotamiento de los recursos internos no solamente tiene la carga de identificar cuáles serían los recursos no agotados, sino que además debe demostrar que estos resultan adecuados para subsanar la violación alegada, vale decir, que la función de esos recursos dentro del sistema del derecho interno es idónea para proteger la situación jurídica infringida</w:t>
      </w:r>
      <w:r w:rsidR="000D195D" w:rsidRPr="00D5277E">
        <w:rPr>
          <w:rFonts w:ascii="Cambria" w:hAnsi="Cambria"/>
          <w:sz w:val="16"/>
          <w:szCs w:val="16"/>
          <w:vertAlign w:val="superscript"/>
          <w:lang w:val="es-ES_tradnl"/>
        </w:rPr>
        <w:footnoteReference w:id="5"/>
      </w:r>
      <w:r w:rsidR="000D195D" w:rsidRPr="00D5277E">
        <w:rPr>
          <w:rFonts w:ascii="Cambria" w:hAnsi="Cambria"/>
          <w:sz w:val="20"/>
          <w:szCs w:val="20"/>
          <w:lang w:val="es-ES_tradnl"/>
        </w:rPr>
        <w:t xml:space="preserve">. En el presente caso, el Estado de </w:t>
      </w:r>
      <w:r w:rsidR="00193B78" w:rsidRPr="00D5277E">
        <w:rPr>
          <w:rFonts w:ascii="Cambria" w:hAnsi="Cambria"/>
          <w:sz w:val="20"/>
          <w:szCs w:val="20"/>
          <w:lang w:val="es-ES_tradnl"/>
        </w:rPr>
        <w:t>Venezuela</w:t>
      </w:r>
      <w:r w:rsidR="000D195D" w:rsidRPr="00D5277E">
        <w:rPr>
          <w:rFonts w:ascii="Cambria" w:hAnsi="Cambria"/>
          <w:sz w:val="20"/>
          <w:szCs w:val="20"/>
          <w:lang w:val="es-ES_tradnl"/>
        </w:rPr>
        <w:t xml:space="preserve"> no ha proporcionado tal información, por lo cual la Comisión no tiene elementos para determinar si la vía mencionada realmente resulta</w:t>
      </w:r>
      <w:r w:rsidR="00564B90" w:rsidRPr="00D5277E">
        <w:rPr>
          <w:rFonts w:ascii="Cambria" w:hAnsi="Cambria"/>
          <w:sz w:val="20"/>
          <w:szCs w:val="20"/>
          <w:lang w:val="es-ES_tradnl"/>
        </w:rPr>
        <w:t>ba</w:t>
      </w:r>
      <w:r w:rsidR="000D195D" w:rsidRPr="00D5277E">
        <w:rPr>
          <w:rFonts w:ascii="Cambria" w:hAnsi="Cambria"/>
          <w:sz w:val="20"/>
          <w:szCs w:val="20"/>
          <w:lang w:val="es-ES_tradnl"/>
        </w:rPr>
        <w:t xml:space="preserve"> adecuada y efectiva. </w:t>
      </w:r>
    </w:p>
    <w:p w14:paraId="275577D7" w14:textId="3D0CC542" w:rsidR="009C717F" w:rsidRPr="00D5277E" w:rsidRDefault="009C717F" w:rsidP="00A45CE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04CF68D1" w14:textId="37AE4F1B" w:rsidR="00AC1532" w:rsidRPr="00D5277E" w:rsidRDefault="00193B78" w:rsidP="00490E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21.</w:t>
      </w:r>
      <w:r w:rsidRPr="00D5277E">
        <w:rPr>
          <w:rFonts w:ascii="Cambria" w:hAnsi="Cambria"/>
          <w:sz w:val="20"/>
          <w:szCs w:val="20"/>
          <w:lang w:val="es-ES_tradnl"/>
        </w:rPr>
        <w:tab/>
      </w:r>
      <w:r w:rsidR="000D195D" w:rsidRPr="00D5277E">
        <w:rPr>
          <w:rFonts w:ascii="Cambria" w:hAnsi="Cambria"/>
          <w:sz w:val="20"/>
          <w:szCs w:val="20"/>
          <w:lang w:val="es-ES_tradnl"/>
        </w:rPr>
        <w:t>La Comisión observa</w:t>
      </w:r>
      <w:r w:rsidR="00564B90" w:rsidRPr="00D5277E">
        <w:rPr>
          <w:rFonts w:ascii="Cambria" w:hAnsi="Cambria"/>
          <w:sz w:val="20"/>
          <w:szCs w:val="20"/>
          <w:lang w:val="es-ES_tradnl"/>
        </w:rPr>
        <w:t xml:space="preserve"> además</w:t>
      </w:r>
      <w:r w:rsidR="000D195D" w:rsidRPr="00D5277E">
        <w:rPr>
          <w:rFonts w:ascii="Cambria" w:hAnsi="Cambria"/>
          <w:sz w:val="20"/>
          <w:szCs w:val="20"/>
          <w:lang w:val="es-ES_tradnl"/>
        </w:rPr>
        <w:t xml:space="preserve"> </w:t>
      </w:r>
      <w:r w:rsidR="00745AC9" w:rsidRPr="00D5277E">
        <w:rPr>
          <w:rFonts w:ascii="Cambria" w:hAnsi="Cambria"/>
          <w:sz w:val="20"/>
          <w:szCs w:val="20"/>
          <w:lang w:val="es-ES_tradnl"/>
        </w:rPr>
        <w:t>que</w:t>
      </w:r>
      <w:r w:rsidR="000D195D" w:rsidRPr="00D5277E">
        <w:rPr>
          <w:rFonts w:ascii="Cambria" w:hAnsi="Cambria"/>
          <w:sz w:val="20"/>
          <w:szCs w:val="20"/>
          <w:lang w:val="es-ES_tradnl"/>
        </w:rPr>
        <w:t xml:space="preserve"> en ninguna de las decisiones de denegatoria de amparo los </w:t>
      </w:r>
      <w:r w:rsidR="007702B2" w:rsidRPr="00D5277E">
        <w:rPr>
          <w:rFonts w:ascii="Cambria" w:hAnsi="Cambria"/>
          <w:sz w:val="20"/>
          <w:szCs w:val="20"/>
          <w:lang w:val="es-ES_tradnl"/>
        </w:rPr>
        <w:t>t</w:t>
      </w:r>
      <w:r w:rsidR="000D195D" w:rsidRPr="00D5277E">
        <w:rPr>
          <w:rFonts w:ascii="Cambria" w:hAnsi="Cambria"/>
          <w:sz w:val="20"/>
          <w:szCs w:val="20"/>
          <w:lang w:val="es-ES_tradnl"/>
        </w:rPr>
        <w:t xml:space="preserve">ribunales internos indicaron a los peticionarios que tenían que haber agotado específicamente el recurso </w:t>
      </w:r>
      <w:r w:rsidR="00050E06" w:rsidRPr="00D5277E">
        <w:rPr>
          <w:rFonts w:ascii="Cambria" w:hAnsi="Cambria"/>
          <w:sz w:val="20"/>
          <w:szCs w:val="20"/>
          <w:lang w:val="es-ES_tradnl"/>
        </w:rPr>
        <w:t>de abstención o carencia, sino que se limit</w:t>
      </w:r>
      <w:r w:rsidR="008B43D0" w:rsidRPr="00D5277E">
        <w:rPr>
          <w:rFonts w:ascii="Cambria" w:hAnsi="Cambria"/>
          <w:sz w:val="20"/>
          <w:szCs w:val="20"/>
          <w:lang w:val="es-ES_tradnl"/>
        </w:rPr>
        <w:t>aron</w:t>
      </w:r>
      <w:r w:rsidR="00050E06" w:rsidRPr="00D5277E">
        <w:rPr>
          <w:rFonts w:ascii="Cambria" w:hAnsi="Cambria"/>
          <w:sz w:val="20"/>
          <w:szCs w:val="20"/>
          <w:lang w:val="es-ES_tradnl"/>
        </w:rPr>
        <w:t xml:space="preserve"> a indicar que </w:t>
      </w:r>
      <w:r w:rsidR="00355947" w:rsidRPr="00D5277E">
        <w:rPr>
          <w:rFonts w:ascii="Cambria" w:hAnsi="Cambria"/>
          <w:sz w:val="20"/>
          <w:szCs w:val="20"/>
          <w:lang w:val="es-ES_tradnl"/>
        </w:rPr>
        <w:t xml:space="preserve">para que el amparo resulte admisible </w:t>
      </w:r>
      <w:r w:rsidR="003400D3" w:rsidRPr="00D5277E">
        <w:rPr>
          <w:rFonts w:ascii="Cambria" w:hAnsi="Cambria"/>
          <w:sz w:val="20"/>
          <w:szCs w:val="20"/>
          <w:lang w:val="es-ES_tradnl"/>
        </w:rPr>
        <w:t>era</w:t>
      </w:r>
      <w:r w:rsidR="00355947" w:rsidRPr="00D5277E">
        <w:rPr>
          <w:rFonts w:ascii="Cambria" w:hAnsi="Cambria"/>
          <w:sz w:val="20"/>
          <w:szCs w:val="20"/>
          <w:lang w:val="es-ES_tradnl"/>
        </w:rPr>
        <w:t xml:space="preserve"> necesario que hayan sido agotados los mecanismos procesales existentes sin que haya sido lograda la tutela </w:t>
      </w:r>
      <w:r w:rsidR="008B43D0" w:rsidRPr="00D5277E">
        <w:rPr>
          <w:rFonts w:ascii="Cambria" w:hAnsi="Cambria"/>
          <w:sz w:val="20"/>
          <w:szCs w:val="20"/>
          <w:lang w:val="es-ES_tradnl"/>
        </w:rPr>
        <w:t>requerida</w:t>
      </w:r>
      <w:r w:rsidR="00355947" w:rsidRPr="00D5277E">
        <w:rPr>
          <w:rFonts w:ascii="Cambria" w:hAnsi="Cambria"/>
          <w:sz w:val="20"/>
          <w:szCs w:val="20"/>
          <w:lang w:val="es-ES_tradnl"/>
        </w:rPr>
        <w:t xml:space="preserve">. </w:t>
      </w:r>
      <w:r w:rsidR="000D195D" w:rsidRPr="00D5277E">
        <w:rPr>
          <w:rFonts w:ascii="Cambria" w:hAnsi="Cambria"/>
          <w:sz w:val="20"/>
          <w:szCs w:val="20"/>
          <w:lang w:val="es-ES_tradnl"/>
        </w:rPr>
        <w:t xml:space="preserve">Además, los peticionarios alegan que los recursos no son adecuados ni efectivos, </w:t>
      </w:r>
      <w:r w:rsidR="002241DF" w:rsidRPr="00D5277E">
        <w:rPr>
          <w:rFonts w:ascii="Cambria" w:hAnsi="Cambria"/>
          <w:sz w:val="20"/>
          <w:szCs w:val="20"/>
          <w:lang w:val="es-ES_tradnl"/>
        </w:rPr>
        <w:t xml:space="preserve">porque en Venezuela no existe </w:t>
      </w:r>
      <w:r w:rsidR="002241DF" w:rsidRPr="00D5277E">
        <w:rPr>
          <w:rFonts w:ascii="Cambria" w:hAnsi="Cambria"/>
          <w:sz w:val="20"/>
          <w:szCs w:val="20"/>
          <w:lang w:val="es-ES_tradnl"/>
        </w:rPr>
        <w:lastRenderedPageBreak/>
        <w:t xml:space="preserve">legislación en materia de información pública, </w:t>
      </w:r>
      <w:r w:rsidR="00983176" w:rsidRPr="00D5277E">
        <w:rPr>
          <w:rFonts w:ascii="Cambria" w:hAnsi="Cambria"/>
          <w:sz w:val="20"/>
          <w:szCs w:val="20"/>
          <w:lang w:val="es-ES_tradnl"/>
        </w:rPr>
        <w:t xml:space="preserve">por lo que no existe un recurso que proteja este derecho. </w:t>
      </w:r>
      <w:r w:rsidR="000D195D" w:rsidRPr="00D5277E">
        <w:rPr>
          <w:rFonts w:ascii="Cambria" w:hAnsi="Cambria"/>
          <w:sz w:val="20"/>
          <w:szCs w:val="20"/>
          <w:lang w:val="es-ES_tradnl"/>
        </w:rPr>
        <w:t>De hecho, en una de las tres solicitudes de informaci</w:t>
      </w:r>
      <w:r w:rsidR="00983176" w:rsidRPr="00D5277E">
        <w:rPr>
          <w:rFonts w:ascii="Cambria" w:hAnsi="Cambria"/>
          <w:sz w:val="20"/>
          <w:szCs w:val="20"/>
          <w:lang w:val="es-ES_tradnl"/>
        </w:rPr>
        <w:t>ón</w:t>
      </w:r>
      <w:r w:rsidR="000D195D" w:rsidRPr="00D5277E">
        <w:rPr>
          <w:rFonts w:ascii="Cambria" w:hAnsi="Cambria"/>
          <w:sz w:val="20"/>
          <w:szCs w:val="20"/>
          <w:lang w:val="es-ES_tradnl"/>
        </w:rPr>
        <w:t xml:space="preserve"> que fueron desatendidas por el Estado, los peticionarios s</w:t>
      </w:r>
      <w:r w:rsidR="00D43BCE" w:rsidRPr="00D5277E">
        <w:rPr>
          <w:rFonts w:ascii="Cambria" w:hAnsi="Cambria"/>
          <w:sz w:val="20"/>
          <w:szCs w:val="20"/>
          <w:lang w:val="es-ES_tradnl"/>
        </w:rPr>
        <w:t>í</w:t>
      </w:r>
      <w:r w:rsidR="000D195D" w:rsidRPr="00D5277E">
        <w:rPr>
          <w:rFonts w:ascii="Cambria" w:hAnsi="Cambria"/>
          <w:sz w:val="20"/>
          <w:szCs w:val="20"/>
          <w:lang w:val="es-ES_tradnl"/>
        </w:rPr>
        <w:t xml:space="preserve"> agotaron el recurso que señala el Estado</w:t>
      </w:r>
      <w:r w:rsidR="00D43BCE" w:rsidRPr="00D5277E">
        <w:rPr>
          <w:rFonts w:ascii="Cambria" w:hAnsi="Cambria"/>
          <w:sz w:val="20"/>
          <w:szCs w:val="20"/>
          <w:lang w:val="es-ES_tradnl"/>
        </w:rPr>
        <w:t>;</w:t>
      </w:r>
      <w:r w:rsidR="000D195D" w:rsidRPr="00D5277E">
        <w:rPr>
          <w:rFonts w:ascii="Cambria" w:hAnsi="Cambria"/>
          <w:sz w:val="20"/>
          <w:szCs w:val="20"/>
          <w:lang w:val="es-ES_tradnl"/>
        </w:rPr>
        <w:t xml:space="preserve"> sin embargo, este le</w:t>
      </w:r>
      <w:r w:rsidR="00D43BCE" w:rsidRPr="00D5277E">
        <w:rPr>
          <w:rFonts w:ascii="Cambria" w:hAnsi="Cambria"/>
          <w:sz w:val="20"/>
          <w:szCs w:val="20"/>
          <w:lang w:val="es-ES_tradnl"/>
        </w:rPr>
        <w:t>s</w:t>
      </w:r>
      <w:r w:rsidR="000D195D" w:rsidRPr="00D5277E">
        <w:rPr>
          <w:rFonts w:ascii="Cambria" w:hAnsi="Cambria"/>
          <w:sz w:val="20"/>
          <w:szCs w:val="20"/>
          <w:lang w:val="es-ES_tradnl"/>
        </w:rPr>
        <w:t xml:space="preserve"> fue rechazado porque el tribunal consideró </w:t>
      </w:r>
      <w:r w:rsidR="00D43BCE" w:rsidRPr="00D5277E">
        <w:rPr>
          <w:rFonts w:ascii="Cambria" w:hAnsi="Cambria"/>
          <w:sz w:val="20"/>
          <w:szCs w:val="20"/>
          <w:lang w:val="es-ES_tradnl"/>
        </w:rPr>
        <w:t xml:space="preserve">genéricamente </w:t>
      </w:r>
      <w:r w:rsidR="000D195D" w:rsidRPr="00D5277E">
        <w:rPr>
          <w:rFonts w:ascii="Cambria" w:hAnsi="Cambria"/>
          <w:sz w:val="20"/>
          <w:szCs w:val="20"/>
          <w:lang w:val="es-ES_tradnl"/>
        </w:rPr>
        <w:t>que estos no habían realizado gestiones para obtener la información</w:t>
      </w:r>
      <w:r w:rsidR="00AC1532" w:rsidRPr="00D5277E">
        <w:rPr>
          <w:rFonts w:ascii="Cambria" w:hAnsi="Cambria"/>
          <w:sz w:val="20"/>
          <w:szCs w:val="20"/>
          <w:lang w:val="es-ES_tradnl"/>
        </w:rPr>
        <w:t xml:space="preserve">, </w:t>
      </w:r>
      <w:r w:rsidR="00D43BCE" w:rsidRPr="00D5277E">
        <w:rPr>
          <w:rFonts w:ascii="Cambria" w:hAnsi="Cambria"/>
          <w:sz w:val="20"/>
          <w:szCs w:val="20"/>
          <w:lang w:val="es-ES_tradnl"/>
        </w:rPr>
        <w:t xml:space="preserve">pero no </w:t>
      </w:r>
      <w:r w:rsidR="00AC1532" w:rsidRPr="00D5277E">
        <w:rPr>
          <w:rFonts w:ascii="Cambria" w:hAnsi="Cambria"/>
          <w:sz w:val="20"/>
          <w:szCs w:val="20"/>
          <w:lang w:val="es-ES_tradnl"/>
        </w:rPr>
        <w:t>le</w:t>
      </w:r>
      <w:r w:rsidR="00D43BCE" w:rsidRPr="00D5277E">
        <w:rPr>
          <w:rFonts w:ascii="Cambria" w:hAnsi="Cambria"/>
          <w:sz w:val="20"/>
          <w:szCs w:val="20"/>
          <w:lang w:val="es-ES_tradnl"/>
        </w:rPr>
        <w:t>s</w:t>
      </w:r>
      <w:r w:rsidR="00AC1532" w:rsidRPr="00D5277E">
        <w:rPr>
          <w:rFonts w:ascii="Cambria" w:hAnsi="Cambria"/>
          <w:sz w:val="20"/>
          <w:szCs w:val="20"/>
          <w:lang w:val="es-ES_tradnl"/>
        </w:rPr>
        <w:t xml:space="preserve"> indicaron </w:t>
      </w:r>
      <w:r w:rsidR="00D43BCE" w:rsidRPr="00D5277E">
        <w:rPr>
          <w:rFonts w:ascii="Cambria" w:hAnsi="Cambria"/>
          <w:sz w:val="20"/>
          <w:szCs w:val="20"/>
          <w:lang w:val="es-ES_tradnl"/>
        </w:rPr>
        <w:t>qué gestiones</w:t>
      </w:r>
      <w:r w:rsidR="00AC1532" w:rsidRPr="00D5277E">
        <w:rPr>
          <w:rFonts w:ascii="Cambria" w:hAnsi="Cambria"/>
          <w:sz w:val="20"/>
          <w:szCs w:val="20"/>
          <w:lang w:val="es-ES_tradnl"/>
        </w:rPr>
        <w:t xml:space="preserve"> debieron real</w:t>
      </w:r>
      <w:r w:rsidR="00490E7F" w:rsidRPr="00D5277E">
        <w:rPr>
          <w:rFonts w:ascii="Cambria" w:hAnsi="Cambria"/>
          <w:sz w:val="20"/>
          <w:szCs w:val="20"/>
          <w:lang w:val="es-ES_tradnl"/>
        </w:rPr>
        <w:t>iz</w:t>
      </w:r>
      <w:r w:rsidR="00AC1532" w:rsidRPr="00D5277E">
        <w:rPr>
          <w:rFonts w:ascii="Cambria" w:hAnsi="Cambria"/>
          <w:sz w:val="20"/>
          <w:szCs w:val="20"/>
          <w:lang w:val="es-ES_tradnl"/>
        </w:rPr>
        <w:t>ar</w:t>
      </w:r>
      <w:r w:rsidR="00D43BCE" w:rsidRPr="00D5277E">
        <w:rPr>
          <w:rFonts w:ascii="Cambria" w:hAnsi="Cambria"/>
          <w:sz w:val="20"/>
          <w:szCs w:val="20"/>
          <w:lang w:val="es-ES_tradnl"/>
        </w:rPr>
        <w:t>;</w:t>
      </w:r>
      <w:r w:rsidR="000D195D" w:rsidRPr="00D5277E">
        <w:rPr>
          <w:rFonts w:ascii="Cambria" w:hAnsi="Cambria"/>
          <w:sz w:val="20"/>
          <w:szCs w:val="20"/>
          <w:lang w:val="es-ES_tradnl"/>
        </w:rPr>
        <w:t xml:space="preserve"> cuando se observa de la información aportada en la petición</w:t>
      </w:r>
      <w:r w:rsidR="00D43BCE" w:rsidRPr="00D5277E">
        <w:rPr>
          <w:rFonts w:ascii="Cambria" w:hAnsi="Cambria"/>
          <w:sz w:val="20"/>
          <w:szCs w:val="20"/>
          <w:lang w:val="es-ES_tradnl"/>
        </w:rPr>
        <w:t>,</w:t>
      </w:r>
      <w:r w:rsidR="000D195D" w:rsidRPr="00D5277E">
        <w:rPr>
          <w:rFonts w:ascii="Cambria" w:hAnsi="Cambria"/>
          <w:sz w:val="20"/>
          <w:szCs w:val="20"/>
          <w:lang w:val="es-ES_tradnl"/>
        </w:rPr>
        <w:t xml:space="preserve"> que estos efectivamente s</w:t>
      </w:r>
      <w:r w:rsidR="00D43BCE" w:rsidRPr="00D5277E">
        <w:rPr>
          <w:rFonts w:ascii="Cambria" w:hAnsi="Cambria"/>
          <w:sz w:val="20"/>
          <w:szCs w:val="20"/>
          <w:lang w:val="es-ES_tradnl"/>
        </w:rPr>
        <w:t>í</w:t>
      </w:r>
      <w:r w:rsidR="000D195D" w:rsidRPr="00D5277E">
        <w:rPr>
          <w:rFonts w:ascii="Cambria" w:hAnsi="Cambria"/>
          <w:sz w:val="20"/>
          <w:szCs w:val="20"/>
          <w:lang w:val="es-ES_tradnl"/>
        </w:rPr>
        <w:t xml:space="preserve"> presentaron la solicitud ante</w:t>
      </w:r>
      <w:r w:rsidR="00AC1532" w:rsidRPr="00D5277E">
        <w:rPr>
          <w:rFonts w:ascii="Cambria" w:hAnsi="Cambria"/>
          <w:sz w:val="20"/>
          <w:szCs w:val="20"/>
          <w:lang w:val="es-ES_tradnl"/>
        </w:rPr>
        <w:t xml:space="preserve"> Venezolana de Televisión. </w:t>
      </w:r>
      <w:r w:rsidR="009B2040" w:rsidRPr="00D5277E">
        <w:rPr>
          <w:rFonts w:ascii="Cambria" w:hAnsi="Cambria"/>
          <w:sz w:val="20"/>
          <w:szCs w:val="20"/>
          <w:lang w:val="es-ES_tradnl"/>
        </w:rPr>
        <w:t xml:space="preserve">Por </w:t>
      </w:r>
      <w:r w:rsidR="00AC1532" w:rsidRPr="00D5277E">
        <w:rPr>
          <w:rFonts w:ascii="Cambria" w:hAnsi="Cambria"/>
          <w:sz w:val="20"/>
          <w:szCs w:val="20"/>
          <w:lang w:val="es-ES_tradnl"/>
        </w:rPr>
        <w:t xml:space="preserve">tanto, la Comisión </w:t>
      </w:r>
      <w:r w:rsidR="00D43BCE" w:rsidRPr="00D5277E">
        <w:rPr>
          <w:rFonts w:ascii="Cambria" w:hAnsi="Cambria"/>
          <w:sz w:val="20"/>
          <w:szCs w:val="20"/>
          <w:lang w:val="es-ES_tradnl"/>
        </w:rPr>
        <w:t xml:space="preserve">no observa elementos </w:t>
      </w:r>
      <w:r w:rsidR="00AC1532" w:rsidRPr="00D5277E">
        <w:rPr>
          <w:rFonts w:ascii="Cambria" w:hAnsi="Cambria"/>
          <w:sz w:val="20"/>
          <w:szCs w:val="20"/>
          <w:lang w:val="es-ES_tradnl"/>
        </w:rPr>
        <w:t xml:space="preserve">concretos que </w:t>
      </w:r>
      <w:r w:rsidR="00D43BCE" w:rsidRPr="00D5277E">
        <w:rPr>
          <w:rFonts w:ascii="Cambria" w:hAnsi="Cambria"/>
          <w:sz w:val="20"/>
          <w:szCs w:val="20"/>
          <w:lang w:val="es-ES_tradnl"/>
        </w:rPr>
        <w:t>sustenten</w:t>
      </w:r>
      <w:r w:rsidR="00AC1532" w:rsidRPr="00D5277E">
        <w:rPr>
          <w:rFonts w:ascii="Cambria" w:hAnsi="Cambria"/>
          <w:sz w:val="20"/>
          <w:szCs w:val="20"/>
          <w:lang w:val="es-ES_tradnl"/>
        </w:rPr>
        <w:t xml:space="preserve"> que </w:t>
      </w:r>
      <w:r w:rsidR="00D43BCE" w:rsidRPr="00D5277E">
        <w:rPr>
          <w:rFonts w:ascii="Cambria" w:hAnsi="Cambria"/>
          <w:sz w:val="20"/>
          <w:szCs w:val="20"/>
          <w:lang w:val="es-ES_tradnl"/>
        </w:rPr>
        <w:t>el alegado</w:t>
      </w:r>
      <w:r w:rsidR="00AC1532" w:rsidRPr="00D5277E">
        <w:rPr>
          <w:rFonts w:ascii="Cambria" w:hAnsi="Cambria"/>
          <w:sz w:val="20"/>
          <w:szCs w:val="20"/>
          <w:lang w:val="es-ES_tradnl"/>
        </w:rPr>
        <w:t xml:space="preserve"> recurso </w:t>
      </w:r>
      <w:r w:rsidR="00D43BCE" w:rsidRPr="00D5277E">
        <w:rPr>
          <w:rFonts w:ascii="Cambria" w:hAnsi="Cambria"/>
          <w:sz w:val="20"/>
          <w:szCs w:val="20"/>
          <w:lang w:val="es-ES_tradnl"/>
        </w:rPr>
        <w:t xml:space="preserve">de abstención o carencia </w:t>
      </w:r>
      <w:r w:rsidR="00AC1532" w:rsidRPr="00D5277E">
        <w:rPr>
          <w:rFonts w:ascii="Cambria" w:hAnsi="Cambria"/>
          <w:sz w:val="20"/>
          <w:szCs w:val="20"/>
          <w:lang w:val="es-ES_tradnl"/>
        </w:rPr>
        <w:t xml:space="preserve">era adecuado o efectivo. </w:t>
      </w:r>
    </w:p>
    <w:p w14:paraId="05777F94" w14:textId="34A282A0" w:rsidR="00AC1532" w:rsidRPr="00D5277E" w:rsidRDefault="00AC1532" w:rsidP="00A45CE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597A0738" w14:textId="46D02B4A" w:rsidR="00AC1532" w:rsidRPr="00D5277E" w:rsidRDefault="00490E7F" w:rsidP="00AC153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22.</w:t>
      </w:r>
      <w:r w:rsidRPr="00D5277E">
        <w:rPr>
          <w:rFonts w:ascii="Cambria" w:hAnsi="Cambria"/>
          <w:sz w:val="20"/>
          <w:szCs w:val="20"/>
          <w:lang w:val="es-ES_tradnl"/>
        </w:rPr>
        <w:tab/>
      </w:r>
      <w:r w:rsidR="00AC1532" w:rsidRPr="00D5277E">
        <w:rPr>
          <w:rFonts w:ascii="Cambria" w:hAnsi="Cambria"/>
          <w:sz w:val="20"/>
          <w:szCs w:val="20"/>
          <w:lang w:val="es-ES_tradnl"/>
        </w:rPr>
        <w:t>En este sentido</w:t>
      </w:r>
      <w:r w:rsidR="003400D3" w:rsidRPr="00D5277E">
        <w:rPr>
          <w:rFonts w:ascii="Cambria" w:hAnsi="Cambria"/>
          <w:sz w:val="20"/>
          <w:szCs w:val="20"/>
          <w:lang w:val="es-ES_tradnl"/>
        </w:rPr>
        <w:t>,</w:t>
      </w:r>
      <w:r w:rsidR="00AC1532" w:rsidRPr="00D5277E">
        <w:rPr>
          <w:rFonts w:ascii="Cambria" w:hAnsi="Cambria"/>
          <w:sz w:val="20"/>
          <w:szCs w:val="20"/>
          <w:lang w:val="es-ES_tradnl"/>
        </w:rPr>
        <w:t xml:space="preserve"> la Comisión reitera que una cuestión fundamental que rige el requisito del agotamiento de recursos judiciales internos es el criterio de que el peticionario solo debe agotar aquellos recursos que sean adecuados o efectivos. Por lo tanto, aquellos que no son adecuados ni efectivos no hay que agotarlos. En conclusión, la Comisión Interamericana establece que en el presente caso el requisito del agotamiento de recursos internos se cumplió </w:t>
      </w:r>
      <w:r w:rsidR="004A3122" w:rsidRPr="00D5277E">
        <w:rPr>
          <w:rFonts w:ascii="Cambria" w:hAnsi="Cambria"/>
          <w:sz w:val="20"/>
          <w:szCs w:val="20"/>
          <w:lang w:val="es-ES_tradnl"/>
        </w:rPr>
        <w:t xml:space="preserve">cuando los peticionarios acudieron a través de la vía de amparo. La cuestión si la legislación interna dispone recursos adecuados y efectivos para tutelar el derecho de acceso a la información será objeto del análisis de fondo del presente asunto a la luz de las normas correspondientes de la Convención Americana. </w:t>
      </w:r>
    </w:p>
    <w:p w14:paraId="2678B766" w14:textId="77777777" w:rsidR="008A6B59" w:rsidRPr="00D5277E" w:rsidRDefault="008A6B59" w:rsidP="00AC153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27D39A42" w14:textId="7B856D46" w:rsidR="004A3122" w:rsidRPr="00D5277E" w:rsidRDefault="008A6B59" w:rsidP="00AC153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23.</w:t>
      </w:r>
      <w:r w:rsidRPr="00D5277E">
        <w:rPr>
          <w:rFonts w:ascii="Cambria" w:hAnsi="Cambria"/>
          <w:sz w:val="20"/>
          <w:szCs w:val="20"/>
          <w:lang w:val="es-ES_tradnl"/>
        </w:rPr>
        <w:tab/>
      </w:r>
      <w:r w:rsidR="004A3122" w:rsidRPr="00D5277E">
        <w:rPr>
          <w:rFonts w:ascii="Cambria" w:hAnsi="Cambria"/>
          <w:sz w:val="20"/>
          <w:szCs w:val="20"/>
          <w:lang w:val="es-ES_tradnl"/>
        </w:rPr>
        <w:t>Con respecto al requisito del plazo de presentación establecido en el art. 46.1</w:t>
      </w:r>
      <w:r w:rsidR="003400D3" w:rsidRPr="00D5277E">
        <w:rPr>
          <w:rFonts w:ascii="Cambria" w:hAnsi="Cambria"/>
          <w:sz w:val="20"/>
          <w:szCs w:val="20"/>
          <w:lang w:val="es-ES_tradnl"/>
        </w:rPr>
        <w:t>.</w:t>
      </w:r>
      <w:r w:rsidR="004A3122" w:rsidRPr="00D5277E">
        <w:rPr>
          <w:rFonts w:ascii="Cambria" w:hAnsi="Cambria"/>
          <w:sz w:val="20"/>
          <w:szCs w:val="20"/>
          <w:lang w:val="es-ES_tradnl"/>
        </w:rPr>
        <w:t>b</w:t>
      </w:r>
      <w:r w:rsidR="003400D3" w:rsidRPr="00D5277E">
        <w:rPr>
          <w:rFonts w:ascii="Cambria" w:hAnsi="Cambria"/>
          <w:sz w:val="20"/>
          <w:szCs w:val="20"/>
          <w:lang w:val="es-ES_tradnl"/>
        </w:rPr>
        <w:t>)</w:t>
      </w:r>
      <w:r w:rsidR="004A3122" w:rsidRPr="00D5277E">
        <w:rPr>
          <w:rFonts w:ascii="Cambria" w:hAnsi="Cambria"/>
          <w:sz w:val="20"/>
          <w:szCs w:val="20"/>
          <w:lang w:val="es-ES_tradnl"/>
        </w:rPr>
        <w:t xml:space="preserve"> de la Convención Americana, la Comisión observa que: a) en la primera solicitud</w:t>
      </w:r>
      <w:r w:rsidR="000746A6" w:rsidRPr="00D5277E">
        <w:rPr>
          <w:rFonts w:ascii="Cambria" w:hAnsi="Cambria"/>
          <w:sz w:val="20"/>
          <w:szCs w:val="20"/>
          <w:lang w:val="es-ES_tradnl"/>
        </w:rPr>
        <w:t xml:space="preserve">, la decisión de inadmisibilidad habría sido emitida el 9 de julio de 2010 y la petición </w:t>
      </w:r>
      <w:r w:rsidR="00B13F5D" w:rsidRPr="00D5277E">
        <w:rPr>
          <w:rFonts w:ascii="Cambria" w:hAnsi="Cambria"/>
          <w:sz w:val="20"/>
          <w:szCs w:val="20"/>
          <w:lang w:val="es-ES_tradnl"/>
        </w:rPr>
        <w:t xml:space="preserve">ha sido presentada el 8 de enero de 2011; b) en la segunda, la decisión de </w:t>
      </w:r>
      <w:r w:rsidR="00FB2D62" w:rsidRPr="00D5277E">
        <w:rPr>
          <w:rFonts w:ascii="Cambria" w:hAnsi="Cambria"/>
          <w:sz w:val="20"/>
          <w:szCs w:val="20"/>
          <w:lang w:val="es-ES_tradnl"/>
        </w:rPr>
        <w:t xml:space="preserve">inadmisibilidad </w:t>
      </w:r>
      <w:r w:rsidR="00824BB6" w:rsidRPr="00D5277E">
        <w:rPr>
          <w:rFonts w:ascii="Cambria" w:hAnsi="Cambria"/>
          <w:sz w:val="20"/>
          <w:szCs w:val="20"/>
          <w:lang w:val="es-ES_tradnl"/>
        </w:rPr>
        <w:t>habría sido emitida el 15 de julio de 2010 y la petición ha sido presentada el 15 de enero de 2011; y, c)</w:t>
      </w:r>
      <w:r w:rsidR="0087561F" w:rsidRPr="00D5277E">
        <w:rPr>
          <w:rFonts w:ascii="Cambria" w:hAnsi="Cambria"/>
          <w:sz w:val="20"/>
          <w:szCs w:val="20"/>
          <w:lang w:val="es-ES_tradnl"/>
        </w:rPr>
        <w:t xml:space="preserve"> la sentencia fue notificada el 5 de octubre de 2012 y la petición presentada el 4 de abril de 2013</w:t>
      </w:r>
      <w:r w:rsidR="004A3122" w:rsidRPr="00D5277E">
        <w:rPr>
          <w:rFonts w:ascii="Cambria" w:hAnsi="Cambria"/>
          <w:sz w:val="20"/>
          <w:szCs w:val="20"/>
          <w:lang w:val="es-ES_tradnl"/>
        </w:rPr>
        <w:t xml:space="preserve">. Por lo tanto, resulta claro que las tres peticiones acumuladas en el presente informe correspondientes a cada una de las solicitudes hechas por los </w:t>
      </w:r>
      <w:r w:rsidR="0087561F" w:rsidRPr="00D5277E">
        <w:rPr>
          <w:rFonts w:ascii="Cambria" w:hAnsi="Cambria"/>
          <w:sz w:val="20"/>
          <w:szCs w:val="20"/>
          <w:lang w:val="es-ES_tradnl"/>
        </w:rPr>
        <w:t>peticionarios</w:t>
      </w:r>
      <w:r w:rsidR="004A3122" w:rsidRPr="00D5277E">
        <w:rPr>
          <w:rFonts w:ascii="Cambria" w:hAnsi="Cambria"/>
          <w:sz w:val="20"/>
          <w:szCs w:val="20"/>
          <w:lang w:val="es-ES_tradnl"/>
        </w:rPr>
        <w:t xml:space="preserve"> cumplen con el plazo de presentación de seis meses dispuestos en la Convención Americana. </w:t>
      </w:r>
    </w:p>
    <w:p w14:paraId="66DAA5EC" w14:textId="34712010" w:rsidR="00AC1532" w:rsidRPr="00D5277E" w:rsidRDefault="00AC1532" w:rsidP="00A45CE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4FFBE378" w14:textId="4CA4592B" w:rsidR="003239B8" w:rsidRPr="00D5277E" w:rsidRDefault="003239B8" w:rsidP="00CE72A7">
      <w:pPr>
        <w:pStyle w:val="ListParagraph"/>
        <w:jc w:val="both"/>
        <w:rPr>
          <w:b/>
          <w:bCs/>
          <w:sz w:val="20"/>
          <w:szCs w:val="20"/>
          <w:lang w:val="es-ES_tradnl"/>
        </w:rPr>
      </w:pPr>
      <w:r w:rsidRPr="00D5277E">
        <w:rPr>
          <w:b/>
          <w:bCs/>
          <w:sz w:val="20"/>
          <w:szCs w:val="20"/>
          <w:lang w:val="es-ES_tradnl"/>
        </w:rPr>
        <w:t>VII.</w:t>
      </w:r>
      <w:r w:rsidRPr="00D5277E">
        <w:rPr>
          <w:b/>
          <w:bCs/>
          <w:sz w:val="20"/>
          <w:szCs w:val="20"/>
          <w:lang w:val="es-ES_tradnl"/>
        </w:rPr>
        <w:tab/>
      </w:r>
      <w:r w:rsidR="004A6A54" w:rsidRPr="00D5277E">
        <w:rPr>
          <w:b/>
          <w:bCs/>
          <w:sz w:val="20"/>
          <w:szCs w:val="20"/>
          <w:lang w:val="es-ES_tradnl"/>
        </w:rPr>
        <w:t xml:space="preserve">ANÁLISIS DE </w:t>
      </w:r>
      <w:r w:rsidR="00C21FEF" w:rsidRPr="00D5277E">
        <w:rPr>
          <w:b/>
          <w:bCs/>
          <w:sz w:val="20"/>
          <w:szCs w:val="20"/>
          <w:lang w:val="es-ES_tradnl"/>
        </w:rPr>
        <w:t>CARACTERIZACIÓN DE LOS HECHOS ALEGADOS</w:t>
      </w:r>
    </w:p>
    <w:p w14:paraId="57FDB61D" w14:textId="77777777" w:rsidR="00D30EF0" w:rsidRPr="00D5277E" w:rsidRDefault="00D30EF0" w:rsidP="00CE72A7">
      <w:pPr>
        <w:pStyle w:val="ListParagraph"/>
        <w:jc w:val="both"/>
        <w:rPr>
          <w:b/>
          <w:sz w:val="20"/>
          <w:szCs w:val="20"/>
          <w:lang w:val="es-ES_tradnl"/>
        </w:rPr>
      </w:pPr>
    </w:p>
    <w:p w14:paraId="0920D7C1" w14:textId="4524354B" w:rsidR="0080192A" w:rsidRPr="00D5277E" w:rsidRDefault="002D2CEA" w:rsidP="002D2CE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24.</w:t>
      </w:r>
      <w:r w:rsidRPr="00D5277E">
        <w:rPr>
          <w:rFonts w:ascii="Cambria" w:hAnsi="Cambria"/>
          <w:sz w:val="20"/>
          <w:szCs w:val="20"/>
          <w:lang w:val="es-ES_tradnl"/>
        </w:rPr>
        <w:tab/>
      </w:r>
      <w:r w:rsidR="0080192A" w:rsidRPr="00D5277E">
        <w:rPr>
          <w:rFonts w:ascii="Cambria" w:hAnsi="Cambria"/>
          <w:sz w:val="20"/>
          <w:szCs w:val="20"/>
          <w:lang w:val="es-ES_tradnl"/>
        </w:rPr>
        <w:t xml:space="preserve">A </w:t>
      </w:r>
      <w:r w:rsidR="000A0DAD" w:rsidRPr="00D5277E">
        <w:rPr>
          <w:rFonts w:ascii="Cambria" w:hAnsi="Cambria"/>
          <w:sz w:val="20"/>
          <w:szCs w:val="20"/>
          <w:lang w:val="es-ES_tradnl"/>
        </w:rPr>
        <w:t>los fines de admisibilidad, la Comisión debe decidir si en la</w:t>
      </w:r>
      <w:r w:rsidR="008C2AD6" w:rsidRPr="00D5277E">
        <w:rPr>
          <w:rFonts w:ascii="Cambria" w:hAnsi="Cambria"/>
          <w:sz w:val="20"/>
          <w:szCs w:val="20"/>
          <w:lang w:val="es-ES_tradnl"/>
        </w:rPr>
        <w:t>s</w:t>
      </w:r>
      <w:r w:rsidR="000A0DAD" w:rsidRPr="00D5277E">
        <w:rPr>
          <w:rFonts w:ascii="Cambria" w:hAnsi="Cambria"/>
          <w:sz w:val="20"/>
          <w:szCs w:val="20"/>
          <w:lang w:val="es-ES_tradnl"/>
        </w:rPr>
        <w:t xml:space="preserve"> petici</w:t>
      </w:r>
      <w:r w:rsidR="008C2AD6" w:rsidRPr="00D5277E">
        <w:rPr>
          <w:rFonts w:ascii="Cambria" w:hAnsi="Cambria"/>
          <w:sz w:val="20"/>
          <w:szCs w:val="20"/>
          <w:lang w:val="es-ES_tradnl"/>
        </w:rPr>
        <w:t>o</w:t>
      </w:r>
      <w:r w:rsidR="000A0DAD" w:rsidRPr="00D5277E">
        <w:rPr>
          <w:rFonts w:ascii="Cambria" w:hAnsi="Cambria"/>
          <w:sz w:val="20"/>
          <w:szCs w:val="20"/>
          <w:lang w:val="es-ES_tradnl"/>
        </w:rPr>
        <w:t>n</w:t>
      </w:r>
      <w:r w:rsidR="008C2AD6" w:rsidRPr="00D5277E">
        <w:rPr>
          <w:rFonts w:ascii="Cambria" w:hAnsi="Cambria"/>
          <w:sz w:val="20"/>
          <w:szCs w:val="20"/>
          <w:lang w:val="es-ES_tradnl"/>
        </w:rPr>
        <w:t>es</w:t>
      </w:r>
      <w:r w:rsidR="000A0DAD" w:rsidRPr="00D5277E">
        <w:rPr>
          <w:rFonts w:ascii="Cambria" w:hAnsi="Cambria"/>
          <w:sz w:val="20"/>
          <w:szCs w:val="20"/>
          <w:lang w:val="es-ES_tradnl"/>
        </w:rPr>
        <w:t xml:space="preserve"> se exponen hechos que podrían caracterizar una violación, como estipula el artículo 47.b de la Convención Americana, si la</w:t>
      </w:r>
      <w:r w:rsidR="008C2AD6" w:rsidRPr="00D5277E">
        <w:rPr>
          <w:rFonts w:ascii="Cambria" w:hAnsi="Cambria"/>
          <w:sz w:val="20"/>
          <w:szCs w:val="20"/>
          <w:lang w:val="es-ES_tradnl"/>
        </w:rPr>
        <w:t>s</w:t>
      </w:r>
      <w:r w:rsidR="000A0DAD" w:rsidRPr="00D5277E">
        <w:rPr>
          <w:rFonts w:ascii="Cambria" w:hAnsi="Cambria"/>
          <w:sz w:val="20"/>
          <w:szCs w:val="20"/>
          <w:lang w:val="es-ES_tradnl"/>
        </w:rPr>
        <w:t xml:space="preserve"> petici</w:t>
      </w:r>
      <w:r w:rsidR="008C2AD6" w:rsidRPr="00D5277E">
        <w:rPr>
          <w:rFonts w:ascii="Cambria" w:hAnsi="Cambria"/>
          <w:sz w:val="20"/>
          <w:szCs w:val="20"/>
          <w:lang w:val="es-ES_tradnl"/>
        </w:rPr>
        <w:t>o</w:t>
      </w:r>
      <w:r w:rsidR="000A0DAD" w:rsidRPr="00D5277E">
        <w:rPr>
          <w:rFonts w:ascii="Cambria" w:hAnsi="Cambria"/>
          <w:sz w:val="20"/>
          <w:szCs w:val="20"/>
          <w:lang w:val="es-ES_tradnl"/>
        </w:rPr>
        <w:t>n</w:t>
      </w:r>
      <w:r w:rsidR="008C2AD6" w:rsidRPr="00D5277E">
        <w:rPr>
          <w:rFonts w:ascii="Cambria" w:hAnsi="Cambria"/>
          <w:sz w:val="20"/>
          <w:szCs w:val="20"/>
          <w:lang w:val="es-ES_tradnl"/>
        </w:rPr>
        <w:t>es</w:t>
      </w:r>
      <w:r w:rsidR="000A0DAD" w:rsidRPr="00D5277E">
        <w:rPr>
          <w:rFonts w:ascii="Cambria" w:hAnsi="Cambria"/>
          <w:sz w:val="20"/>
          <w:szCs w:val="20"/>
          <w:lang w:val="es-ES_tradnl"/>
        </w:rPr>
        <w:t xml:space="preserve"> s</w:t>
      </w:r>
      <w:r w:rsidR="008C2AD6" w:rsidRPr="00D5277E">
        <w:rPr>
          <w:rFonts w:ascii="Cambria" w:hAnsi="Cambria"/>
          <w:sz w:val="20"/>
          <w:szCs w:val="20"/>
          <w:lang w:val="es-ES_tradnl"/>
        </w:rPr>
        <w:t>on</w:t>
      </w:r>
      <w:r w:rsidR="000A0DAD" w:rsidRPr="00D5277E">
        <w:rPr>
          <w:rFonts w:ascii="Cambria" w:hAnsi="Cambria"/>
          <w:sz w:val="20"/>
          <w:szCs w:val="20"/>
          <w:lang w:val="es-ES_tradnl"/>
        </w:rPr>
        <w:t xml:space="preserve"> “manifiestamente infundada</w:t>
      </w:r>
      <w:r w:rsidR="008C2AD6" w:rsidRPr="00D5277E">
        <w:rPr>
          <w:rFonts w:ascii="Cambria" w:hAnsi="Cambria"/>
          <w:sz w:val="20"/>
          <w:szCs w:val="20"/>
          <w:lang w:val="es-ES_tradnl"/>
        </w:rPr>
        <w:t>s</w:t>
      </w:r>
      <w:r w:rsidR="000A0DAD" w:rsidRPr="00D5277E">
        <w:rPr>
          <w:rFonts w:ascii="Cambria" w:hAnsi="Cambria"/>
          <w:sz w:val="20"/>
          <w:szCs w:val="20"/>
          <w:lang w:val="es-ES_tradnl"/>
        </w:rPr>
        <w:t>” o si es “</w:t>
      </w:r>
      <w:r w:rsidR="008C2AD6" w:rsidRPr="00D5277E">
        <w:rPr>
          <w:rFonts w:ascii="Cambria" w:hAnsi="Cambria"/>
          <w:sz w:val="20"/>
          <w:szCs w:val="20"/>
          <w:lang w:val="es-ES_tradnl"/>
        </w:rPr>
        <w:t>e</w:t>
      </w:r>
      <w:r w:rsidR="000A0DAD" w:rsidRPr="00D5277E">
        <w:rPr>
          <w:rFonts w:ascii="Cambria" w:hAnsi="Cambria"/>
          <w:sz w:val="20"/>
          <w:szCs w:val="20"/>
          <w:lang w:val="es-ES_tradnl"/>
        </w:rPr>
        <w:t xml:space="preserve">vidente su total improcedencia”, según el inciso (c) del mismo artículo. El estándar de apreciación de estos extremos es diferente del requerido para decidir sobre los méritos de una denuncia. La Comisión debe realizar una evaluación </w:t>
      </w:r>
      <w:r w:rsidR="000A0DAD" w:rsidRPr="00D5277E">
        <w:rPr>
          <w:rFonts w:ascii="Cambria" w:hAnsi="Cambria"/>
          <w:i/>
          <w:iCs/>
          <w:sz w:val="20"/>
          <w:szCs w:val="20"/>
          <w:lang w:val="es-ES_tradnl"/>
        </w:rPr>
        <w:t xml:space="preserve">prima facie </w:t>
      </w:r>
      <w:r w:rsidR="000A0DAD" w:rsidRPr="00D5277E">
        <w:rPr>
          <w:rFonts w:ascii="Cambria" w:hAnsi="Cambria"/>
          <w:sz w:val="20"/>
          <w:szCs w:val="20"/>
          <w:lang w:val="es-ES_tradnl"/>
        </w:rPr>
        <w:t xml:space="preserve">para examinar si la denuncia fundamenta la aparente o potencial violación de un derecho garantizado por la Convención y no para establecer la existencia de una violación. </w:t>
      </w:r>
    </w:p>
    <w:p w14:paraId="10A71721" w14:textId="77777777" w:rsidR="004A3122" w:rsidRPr="00D5277E" w:rsidRDefault="004A3122" w:rsidP="004A31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3F49720C" w14:textId="10D5FC3E" w:rsidR="00DA6ED6" w:rsidRPr="00D5277E" w:rsidRDefault="002D2CEA" w:rsidP="00DF51B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D5277E">
        <w:rPr>
          <w:rFonts w:ascii="Cambria" w:hAnsi="Cambria"/>
          <w:sz w:val="20"/>
          <w:szCs w:val="20"/>
          <w:lang w:val="es-ES_tradnl"/>
        </w:rPr>
        <w:t>25.</w:t>
      </w:r>
      <w:r w:rsidRPr="00D5277E">
        <w:rPr>
          <w:rFonts w:ascii="Cambria" w:hAnsi="Cambria"/>
          <w:sz w:val="20"/>
          <w:szCs w:val="20"/>
          <w:lang w:val="es-ES_tradnl"/>
        </w:rPr>
        <w:tab/>
        <w:t>La Comisión observa que en el presente caso</w:t>
      </w:r>
      <w:r w:rsidR="004A3122" w:rsidRPr="00D5277E">
        <w:rPr>
          <w:rFonts w:ascii="Cambria" w:hAnsi="Cambria"/>
          <w:sz w:val="20"/>
          <w:szCs w:val="20"/>
          <w:lang w:val="es-ES_tradnl"/>
        </w:rPr>
        <w:t xml:space="preserve"> hubo tres solicitudes de información que después de gestiones administrativas y de gestiones judiciales, nunca hicieron posible que los peticionarios recibieran información</w:t>
      </w:r>
      <w:r w:rsidRPr="00D5277E">
        <w:rPr>
          <w:rFonts w:ascii="Cambria" w:hAnsi="Cambria"/>
          <w:sz w:val="20"/>
          <w:szCs w:val="20"/>
          <w:lang w:val="es-ES_tradnl"/>
        </w:rPr>
        <w:t xml:space="preserve"> pública</w:t>
      </w:r>
      <w:r w:rsidR="004A3122" w:rsidRPr="00D5277E">
        <w:rPr>
          <w:rFonts w:ascii="Cambria" w:hAnsi="Cambria"/>
          <w:sz w:val="20"/>
          <w:szCs w:val="20"/>
          <w:lang w:val="es-ES_tradnl"/>
        </w:rPr>
        <w:t>, aun</w:t>
      </w:r>
      <w:r w:rsidRPr="00D5277E">
        <w:rPr>
          <w:rFonts w:ascii="Cambria" w:hAnsi="Cambria"/>
          <w:sz w:val="20"/>
          <w:szCs w:val="20"/>
          <w:lang w:val="es-ES_tradnl"/>
        </w:rPr>
        <w:t>a</w:t>
      </w:r>
      <w:r w:rsidR="004A3122" w:rsidRPr="00D5277E">
        <w:rPr>
          <w:rFonts w:ascii="Cambria" w:hAnsi="Cambria"/>
          <w:sz w:val="20"/>
          <w:szCs w:val="20"/>
          <w:lang w:val="es-ES_tradnl"/>
        </w:rPr>
        <w:t xml:space="preserve">do al hecho que hubo declaraciones de funcionarios públicos que fueron contrarios a que se entregara esta información. </w:t>
      </w:r>
      <w:r w:rsidR="00524B4F" w:rsidRPr="00D5277E">
        <w:rPr>
          <w:rFonts w:ascii="Cambria" w:hAnsi="Cambria"/>
          <w:sz w:val="20"/>
          <w:szCs w:val="20"/>
          <w:lang w:val="es-ES_tradnl"/>
        </w:rPr>
        <w:t>Además, l</w:t>
      </w:r>
      <w:r w:rsidR="004A3122" w:rsidRPr="00D5277E">
        <w:rPr>
          <w:rFonts w:ascii="Cambria" w:hAnsi="Cambria"/>
          <w:sz w:val="20"/>
          <w:szCs w:val="20"/>
          <w:lang w:val="es-ES_tradnl"/>
        </w:rPr>
        <w:t>os peticionarios formulan alegatos concretos sobre la falta de recursos adecuado</w:t>
      </w:r>
      <w:r w:rsidR="00524B4F" w:rsidRPr="00D5277E">
        <w:rPr>
          <w:rFonts w:ascii="Cambria" w:hAnsi="Cambria"/>
          <w:sz w:val="20"/>
          <w:szCs w:val="20"/>
          <w:lang w:val="es-ES_tradnl"/>
        </w:rPr>
        <w:t>s</w:t>
      </w:r>
      <w:r w:rsidR="004A3122" w:rsidRPr="00D5277E">
        <w:rPr>
          <w:rFonts w:ascii="Cambria" w:hAnsi="Cambria"/>
          <w:sz w:val="20"/>
          <w:szCs w:val="20"/>
          <w:lang w:val="es-ES_tradnl"/>
        </w:rPr>
        <w:t xml:space="preserve"> y efectivos a nivel interno</w:t>
      </w:r>
      <w:r w:rsidR="00524B4F" w:rsidRPr="00D5277E">
        <w:rPr>
          <w:rFonts w:ascii="Cambria" w:hAnsi="Cambria"/>
          <w:sz w:val="20"/>
          <w:szCs w:val="20"/>
          <w:lang w:val="es-ES_tradnl"/>
        </w:rPr>
        <w:t xml:space="preserve"> para satisfacer el derecho de acceso a la información pública</w:t>
      </w:r>
      <w:r w:rsidR="004A3122" w:rsidRPr="00D5277E">
        <w:rPr>
          <w:rFonts w:ascii="Cambria" w:hAnsi="Cambria"/>
          <w:sz w:val="20"/>
          <w:szCs w:val="20"/>
          <w:lang w:val="es-ES_tradnl"/>
        </w:rPr>
        <w:t>.</w:t>
      </w:r>
      <w:r w:rsidR="003400D3" w:rsidRPr="00D5277E">
        <w:rPr>
          <w:rFonts w:ascii="Cambria" w:hAnsi="Cambria"/>
          <w:sz w:val="20"/>
          <w:szCs w:val="20"/>
          <w:lang w:val="es-ES_tradnl"/>
        </w:rPr>
        <w:t xml:space="preserve"> Así, l</w:t>
      </w:r>
      <w:r w:rsidR="006E7C64" w:rsidRPr="00D5277E">
        <w:rPr>
          <w:rFonts w:ascii="Cambria" w:hAnsi="Cambria"/>
          <w:sz w:val="20"/>
          <w:szCs w:val="20"/>
          <w:lang w:val="es-ES_tradnl"/>
        </w:rPr>
        <w:t xml:space="preserve">a Comisión considera que </w:t>
      </w:r>
      <w:r w:rsidR="0081680E" w:rsidRPr="00D5277E">
        <w:rPr>
          <w:rFonts w:ascii="Cambria" w:hAnsi="Cambria"/>
          <w:sz w:val="20"/>
          <w:szCs w:val="20"/>
          <w:lang w:val="es-ES_tradnl"/>
        </w:rPr>
        <w:t>la presente petición no resulta manifiestamente infundada y requiere un análisis de fondo</w:t>
      </w:r>
      <w:r w:rsidR="009B62AD" w:rsidRPr="00D5277E">
        <w:rPr>
          <w:rFonts w:ascii="Cambria" w:hAnsi="Cambria"/>
          <w:sz w:val="20"/>
          <w:szCs w:val="20"/>
          <w:lang w:val="es-ES_tradnl"/>
        </w:rPr>
        <w:t xml:space="preserve">, toda vez que, de ser </w:t>
      </w:r>
      <w:r w:rsidR="006E7C64" w:rsidRPr="00D5277E">
        <w:rPr>
          <w:rFonts w:ascii="Cambria" w:hAnsi="Cambria"/>
          <w:sz w:val="20"/>
          <w:szCs w:val="20"/>
          <w:lang w:val="es-ES_tradnl"/>
        </w:rPr>
        <w:t xml:space="preserve">ciertos los hechos alegados </w:t>
      </w:r>
      <w:r w:rsidR="009B62AD" w:rsidRPr="00D5277E">
        <w:rPr>
          <w:rFonts w:ascii="Cambria" w:hAnsi="Cambria"/>
          <w:sz w:val="20"/>
          <w:szCs w:val="20"/>
          <w:lang w:val="es-ES_tradnl"/>
        </w:rPr>
        <w:t>estos podrían constituir violaciones a</w:t>
      </w:r>
      <w:r w:rsidR="00F067DA" w:rsidRPr="00D5277E">
        <w:rPr>
          <w:rFonts w:ascii="Cambria" w:hAnsi="Cambria"/>
          <w:sz w:val="20"/>
          <w:szCs w:val="20"/>
          <w:lang w:val="es-ES_tradnl"/>
        </w:rPr>
        <w:t xml:space="preserve"> </w:t>
      </w:r>
      <w:r w:rsidR="00A75B83" w:rsidRPr="00D5277E">
        <w:rPr>
          <w:rFonts w:ascii="Cambria" w:hAnsi="Cambria"/>
          <w:sz w:val="20"/>
          <w:szCs w:val="20"/>
          <w:lang w:val="es-ES_tradnl"/>
        </w:rPr>
        <w:t xml:space="preserve">los derechos consagrados en ellos artículos </w:t>
      </w:r>
      <w:r w:rsidR="00BF628F" w:rsidRPr="00D5277E">
        <w:rPr>
          <w:rFonts w:ascii="Cambria" w:hAnsi="Cambria"/>
          <w:sz w:val="20"/>
          <w:szCs w:val="20"/>
          <w:lang w:val="es-ES_tradnl"/>
        </w:rPr>
        <w:t>8</w:t>
      </w:r>
      <w:r w:rsidR="00F067DA" w:rsidRPr="00D5277E">
        <w:rPr>
          <w:rFonts w:ascii="Cambria" w:hAnsi="Cambria"/>
          <w:sz w:val="20"/>
          <w:szCs w:val="20"/>
          <w:lang w:val="es-ES_tradnl"/>
        </w:rPr>
        <w:t xml:space="preserve"> (garantías judiciales)</w:t>
      </w:r>
      <w:r w:rsidR="00BF628F" w:rsidRPr="00D5277E">
        <w:rPr>
          <w:rFonts w:ascii="Cambria" w:hAnsi="Cambria"/>
          <w:sz w:val="20"/>
          <w:szCs w:val="20"/>
          <w:lang w:val="es-ES_tradnl"/>
        </w:rPr>
        <w:t xml:space="preserve">, </w:t>
      </w:r>
      <w:r w:rsidR="00A75B83" w:rsidRPr="00D5277E">
        <w:rPr>
          <w:rFonts w:ascii="Cambria" w:hAnsi="Cambria"/>
          <w:sz w:val="20"/>
          <w:szCs w:val="20"/>
          <w:lang w:val="es-ES_tradnl"/>
        </w:rPr>
        <w:t>13</w:t>
      </w:r>
      <w:r w:rsidR="00F067DA" w:rsidRPr="00D5277E">
        <w:rPr>
          <w:rFonts w:ascii="Cambria" w:hAnsi="Cambria"/>
          <w:sz w:val="20"/>
          <w:szCs w:val="20"/>
          <w:lang w:val="es-ES_tradnl"/>
        </w:rPr>
        <w:t xml:space="preserve"> (libertad de pensamiento y expresión)</w:t>
      </w:r>
      <w:r w:rsidR="00A75B83" w:rsidRPr="00D5277E">
        <w:rPr>
          <w:rFonts w:ascii="Cambria" w:hAnsi="Cambria"/>
          <w:sz w:val="20"/>
          <w:szCs w:val="20"/>
          <w:lang w:val="es-ES_tradnl"/>
        </w:rPr>
        <w:t xml:space="preserve"> y 25</w:t>
      </w:r>
      <w:r w:rsidR="00F067DA" w:rsidRPr="00D5277E">
        <w:rPr>
          <w:rFonts w:ascii="Cambria" w:hAnsi="Cambria"/>
          <w:sz w:val="20"/>
          <w:szCs w:val="20"/>
          <w:lang w:val="es-ES_tradnl"/>
        </w:rPr>
        <w:t xml:space="preserve"> (protección judicial)</w:t>
      </w:r>
      <w:r w:rsidR="00A75B83" w:rsidRPr="00D5277E">
        <w:rPr>
          <w:rFonts w:ascii="Cambria" w:hAnsi="Cambria"/>
          <w:sz w:val="20"/>
          <w:szCs w:val="20"/>
          <w:lang w:val="es-ES_tradnl"/>
        </w:rPr>
        <w:t xml:space="preserve"> de la Convención Americana</w:t>
      </w:r>
      <w:r w:rsidR="00C27FC0" w:rsidRPr="00D5277E">
        <w:rPr>
          <w:rFonts w:ascii="Cambria" w:hAnsi="Cambria"/>
          <w:sz w:val="20"/>
          <w:szCs w:val="20"/>
          <w:lang w:val="es-ES_tradnl"/>
        </w:rPr>
        <w:t>,</w:t>
      </w:r>
      <w:r w:rsidR="00A75B83" w:rsidRPr="00D5277E">
        <w:rPr>
          <w:rFonts w:ascii="Cambria" w:hAnsi="Cambria"/>
          <w:sz w:val="20"/>
          <w:szCs w:val="20"/>
          <w:lang w:val="es-ES_tradnl"/>
        </w:rPr>
        <w:t xml:space="preserve"> en relación con </w:t>
      </w:r>
      <w:r w:rsidR="00BF628F" w:rsidRPr="00D5277E">
        <w:rPr>
          <w:rFonts w:ascii="Cambria" w:hAnsi="Cambria"/>
          <w:sz w:val="20"/>
          <w:szCs w:val="20"/>
          <w:lang w:val="es-ES_tradnl"/>
        </w:rPr>
        <w:t>su</w:t>
      </w:r>
      <w:r w:rsidR="003400D3" w:rsidRPr="00D5277E">
        <w:rPr>
          <w:rFonts w:ascii="Cambria" w:hAnsi="Cambria"/>
          <w:sz w:val="20"/>
          <w:szCs w:val="20"/>
          <w:lang w:val="es-ES_tradnl"/>
        </w:rPr>
        <w:t>s</w:t>
      </w:r>
      <w:r w:rsidR="00A75B83" w:rsidRPr="00D5277E">
        <w:rPr>
          <w:rFonts w:ascii="Cambria" w:hAnsi="Cambria"/>
          <w:sz w:val="20"/>
          <w:szCs w:val="20"/>
          <w:lang w:val="es-ES_tradnl"/>
        </w:rPr>
        <w:t xml:space="preserve"> artículo</w:t>
      </w:r>
      <w:r w:rsidR="003400D3" w:rsidRPr="00D5277E">
        <w:rPr>
          <w:rFonts w:ascii="Cambria" w:hAnsi="Cambria"/>
          <w:sz w:val="20"/>
          <w:szCs w:val="20"/>
          <w:lang w:val="es-ES_tradnl"/>
        </w:rPr>
        <w:t>s</w:t>
      </w:r>
      <w:r w:rsidR="00A75B83" w:rsidRPr="00D5277E">
        <w:rPr>
          <w:rFonts w:ascii="Cambria" w:hAnsi="Cambria"/>
          <w:sz w:val="20"/>
          <w:szCs w:val="20"/>
          <w:lang w:val="es-ES_tradnl"/>
        </w:rPr>
        <w:t xml:space="preserve"> 1.1 </w:t>
      </w:r>
      <w:r w:rsidR="003400D3" w:rsidRPr="00D5277E">
        <w:rPr>
          <w:rFonts w:ascii="Cambria" w:hAnsi="Cambria"/>
          <w:sz w:val="20"/>
          <w:szCs w:val="20"/>
          <w:lang w:val="es-ES_tradnl"/>
        </w:rPr>
        <w:t xml:space="preserve">(obligación de respetar los derechos) </w:t>
      </w:r>
      <w:r w:rsidR="00BF628F" w:rsidRPr="00D5277E">
        <w:rPr>
          <w:rFonts w:ascii="Cambria" w:hAnsi="Cambria"/>
          <w:sz w:val="20"/>
          <w:szCs w:val="20"/>
          <w:lang w:val="es-ES_tradnl"/>
        </w:rPr>
        <w:t xml:space="preserve">y 2 </w:t>
      </w:r>
      <w:r w:rsidR="003400D3" w:rsidRPr="00D5277E">
        <w:rPr>
          <w:rFonts w:ascii="Cambria" w:hAnsi="Cambria"/>
          <w:sz w:val="20"/>
          <w:szCs w:val="20"/>
          <w:lang w:val="es-ES_tradnl"/>
        </w:rPr>
        <w:t xml:space="preserve">(deber de adoptar disposiciones de derecho interno) en perjuicio de las presuntas víctimas identificadas en el presente informe. </w:t>
      </w:r>
      <w:r w:rsidR="00017D89" w:rsidRPr="00D5277E">
        <w:rPr>
          <w:rFonts w:ascii="Cambria" w:hAnsi="Cambria"/>
          <w:sz w:val="20"/>
          <w:szCs w:val="20"/>
          <w:lang w:val="es-ES_tradnl"/>
        </w:rPr>
        <w:t xml:space="preserve"> </w:t>
      </w:r>
    </w:p>
    <w:p w14:paraId="66AE87D4" w14:textId="77777777" w:rsidR="00DF51B7" w:rsidRPr="00D5277E" w:rsidRDefault="00DF51B7" w:rsidP="00DF51B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29BB41F5" w14:textId="56EA9CDC" w:rsidR="003239B8" w:rsidRPr="00D5277E" w:rsidRDefault="003239B8" w:rsidP="00CE72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_tradnl"/>
        </w:rPr>
      </w:pPr>
      <w:r w:rsidRPr="00D5277E">
        <w:rPr>
          <w:rFonts w:ascii="Cambria" w:hAnsi="Cambria"/>
          <w:b/>
          <w:bCs/>
          <w:sz w:val="20"/>
          <w:szCs w:val="20"/>
          <w:lang w:val="es-ES_tradnl"/>
        </w:rPr>
        <w:t xml:space="preserve">VIII. </w:t>
      </w:r>
      <w:r w:rsidRPr="00D5277E">
        <w:rPr>
          <w:rFonts w:ascii="Cambria" w:hAnsi="Cambria"/>
          <w:b/>
          <w:bCs/>
          <w:sz w:val="20"/>
          <w:szCs w:val="20"/>
          <w:lang w:val="es-ES_tradnl"/>
        </w:rPr>
        <w:tab/>
        <w:t>DECISIÓN</w:t>
      </w:r>
    </w:p>
    <w:p w14:paraId="0190754C" w14:textId="77777777" w:rsidR="00C27FC0" w:rsidRPr="00D5277E" w:rsidRDefault="00C27FC0" w:rsidP="00CE72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_tradnl"/>
        </w:rPr>
      </w:pPr>
    </w:p>
    <w:p w14:paraId="0FDE1D10" w14:textId="3DC92738" w:rsidR="003239B8" w:rsidRDefault="003239B8" w:rsidP="00A030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D5277E">
        <w:rPr>
          <w:rFonts w:ascii="Cambria" w:hAnsi="Cambria"/>
          <w:sz w:val="20"/>
          <w:szCs w:val="20"/>
          <w:lang w:val="es-ES_tradnl"/>
        </w:rPr>
        <w:t xml:space="preserve">Declarar admisible la presente petición </w:t>
      </w:r>
      <w:r w:rsidR="009B6460" w:rsidRPr="00D5277E">
        <w:rPr>
          <w:rFonts w:ascii="Cambria" w:hAnsi="Cambria"/>
          <w:sz w:val="20"/>
          <w:szCs w:val="20"/>
          <w:lang w:val="es-ES_tradnl"/>
        </w:rPr>
        <w:t>en relación con</w:t>
      </w:r>
      <w:r w:rsidR="00F62A5D" w:rsidRPr="00D5277E">
        <w:rPr>
          <w:rFonts w:ascii="Cambria" w:hAnsi="Cambria"/>
          <w:sz w:val="20"/>
          <w:szCs w:val="20"/>
          <w:lang w:val="es-ES_tradnl"/>
        </w:rPr>
        <w:t xml:space="preserve"> </w:t>
      </w:r>
      <w:r w:rsidR="009B6460" w:rsidRPr="00D5277E">
        <w:rPr>
          <w:rFonts w:ascii="Cambria" w:hAnsi="Cambria"/>
          <w:sz w:val="20"/>
          <w:szCs w:val="20"/>
          <w:lang w:val="es-ES_tradnl"/>
        </w:rPr>
        <w:t xml:space="preserve">los </w:t>
      </w:r>
      <w:r w:rsidR="00F62A5D" w:rsidRPr="00D5277E">
        <w:rPr>
          <w:rFonts w:ascii="Cambria" w:hAnsi="Cambria"/>
          <w:sz w:val="20"/>
          <w:szCs w:val="20"/>
          <w:lang w:val="es-ES_tradnl"/>
        </w:rPr>
        <w:t>art</w:t>
      </w:r>
      <w:r w:rsidR="00941E50" w:rsidRPr="00D5277E">
        <w:rPr>
          <w:rFonts w:ascii="Cambria" w:hAnsi="Cambria"/>
          <w:sz w:val="20"/>
          <w:szCs w:val="20"/>
          <w:lang w:val="es-ES_tradnl"/>
        </w:rPr>
        <w:t xml:space="preserve">ículos </w:t>
      </w:r>
      <w:r w:rsidR="00BF628F" w:rsidRPr="00D5277E">
        <w:rPr>
          <w:rFonts w:ascii="Cambria" w:hAnsi="Cambria"/>
          <w:sz w:val="20"/>
          <w:szCs w:val="20"/>
          <w:lang w:val="es-ES_tradnl"/>
        </w:rPr>
        <w:t xml:space="preserve">8, </w:t>
      </w:r>
      <w:r w:rsidR="008C71E6" w:rsidRPr="00D5277E">
        <w:rPr>
          <w:rFonts w:ascii="Cambria" w:hAnsi="Cambria"/>
          <w:sz w:val="20"/>
          <w:szCs w:val="20"/>
          <w:lang w:val="es-ES_tradnl"/>
        </w:rPr>
        <w:t>13 y 25 de la Convención Americana</w:t>
      </w:r>
      <w:r w:rsidR="003400D3" w:rsidRPr="00D5277E">
        <w:rPr>
          <w:rFonts w:ascii="Cambria" w:hAnsi="Cambria"/>
          <w:sz w:val="20"/>
          <w:szCs w:val="20"/>
          <w:lang w:val="es-ES_tradnl"/>
        </w:rPr>
        <w:t>,</w:t>
      </w:r>
      <w:r w:rsidR="008C71E6" w:rsidRPr="00D5277E">
        <w:rPr>
          <w:rFonts w:ascii="Cambria" w:hAnsi="Cambria"/>
          <w:sz w:val="20"/>
          <w:szCs w:val="20"/>
          <w:lang w:val="es-ES_tradnl"/>
        </w:rPr>
        <w:t xml:space="preserve"> en conexión con </w:t>
      </w:r>
      <w:r w:rsidR="003400D3" w:rsidRPr="00D5277E">
        <w:rPr>
          <w:rFonts w:ascii="Cambria" w:hAnsi="Cambria"/>
          <w:sz w:val="20"/>
          <w:szCs w:val="20"/>
          <w:lang w:val="es-ES_tradnl"/>
        </w:rPr>
        <w:t>sus artículos 1.1 y 2</w:t>
      </w:r>
      <w:r w:rsidR="008C71E6" w:rsidRPr="00D5277E">
        <w:rPr>
          <w:rFonts w:ascii="Cambria" w:hAnsi="Cambria"/>
          <w:sz w:val="20"/>
          <w:szCs w:val="20"/>
          <w:lang w:val="es-ES_tradnl"/>
        </w:rPr>
        <w:t>;</w:t>
      </w:r>
      <w:r w:rsidR="00E965D4">
        <w:rPr>
          <w:rFonts w:ascii="Cambria" w:hAnsi="Cambria"/>
          <w:sz w:val="20"/>
          <w:szCs w:val="20"/>
          <w:lang w:val="es-ES_tradnl"/>
        </w:rPr>
        <w:t xml:space="preserve"> y</w:t>
      </w:r>
    </w:p>
    <w:p w14:paraId="2F1D6C1B" w14:textId="77777777" w:rsidR="00E965D4" w:rsidRPr="00D5277E" w:rsidRDefault="00E965D4" w:rsidP="00E965D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12A7002C" w14:textId="77777777" w:rsidR="004A6A54" w:rsidRDefault="004A6A54" w:rsidP="00A030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D5277E">
        <w:rPr>
          <w:rFonts w:ascii="Cambria" w:hAnsi="Cambria"/>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4C850B5C" w14:textId="77777777" w:rsidR="00E965D4" w:rsidRDefault="00E965D4" w:rsidP="00E965D4">
      <w:pPr>
        <w:pStyle w:val="ListParagraph"/>
        <w:rPr>
          <w:sz w:val="20"/>
          <w:szCs w:val="20"/>
          <w:lang w:val="es-ES_tradnl"/>
        </w:rPr>
      </w:pPr>
    </w:p>
    <w:p w14:paraId="34196002" w14:textId="7BCE4F65" w:rsidR="00E965D4" w:rsidRPr="00411FFD" w:rsidRDefault="007D4EB4" w:rsidP="00411FFD">
      <w:pPr>
        <w:ind w:firstLine="720"/>
        <w:jc w:val="both"/>
        <w:rPr>
          <w:rFonts w:ascii="Cambria" w:hAnsi="Cambria" w:cs="Arial"/>
          <w:noProof/>
          <w:sz w:val="20"/>
          <w:szCs w:val="20"/>
          <w:lang w:val="es-CL"/>
        </w:rPr>
      </w:pPr>
      <w:r w:rsidRPr="006F46A1">
        <w:rPr>
          <w:rFonts w:ascii="Cambria" w:hAnsi="Cambria" w:cs="Arial"/>
          <w:noProof/>
          <w:sz w:val="20"/>
          <w:szCs w:val="20"/>
          <w:lang w:val="es-CL"/>
        </w:rPr>
        <w:t xml:space="preserve">Aprobado por la Comisión Interamericana de Derechos Humanos  a los </w:t>
      </w:r>
      <w:r w:rsidR="00916939">
        <w:rPr>
          <w:rFonts w:ascii="Cambria" w:hAnsi="Cambria" w:cs="Arial"/>
          <w:noProof/>
          <w:sz w:val="20"/>
          <w:szCs w:val="20"/>
          <w:lang w:val="es-CL"/>
        </w:rPr>
        <w:t>6</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  (Firmado):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411FFD">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p>
    <w:p w14:paraId="0D98495A" w14:textId="77777777" w:rsidR="008D768D" w:rsidRPr="00411FFD" w:rsidRDefault="008D768D" w:rsidP="00CE72A7">
      <w:pPr>
        <w:tabs>
          <w:tab w:val="center" w:pos="5400"/>
        </w:tabs>
        <w:suppressAutoHyphens/>
        <w:rPr>
          <w:rFonts w:ascii="Cambria" w:hAnsi="Cambria"/>
          <w:sz w:val="20"/>
          <w:szCs w:val="20"/>
          <w:lang w:val="es-CL"/>
        </w:rPr>
      </w:pPr>
    </w:p>
    <w:p w14:paraId="2642C68E" w14:textId="77777777" w:rsidR="008D768D" w:rsidRPr="00D5277E" w:rsidRDefault="008D768D" w:rsidP="00CE72A7">
      <w:pPr>
        <w:tabs>
          <w:tab w:val="center" w:pos="5400"/>
        </w:tabs>
        <w:suppressAutoHyphens/>
        <w:rPr>
          <w:rFonts w:ascii="Cambria" w:hAnsi="Cambria"/>
          <w:sz w:val="20"/>
          <w:szCs w:val="20"/>
          <w:lang w:val="es-ES_tradnl"/>
        </w:rPr>
      </w:pPr>
    </w:p>
    <w:p w14:paraId="6AC80CA6" w14:textId="77777777" w:rsidR="00722C9F" w:rsidRPr="00D5277E" w:rsidRDefault="00722C9F" w:rsidP="00CE72A7">
      <w:pPr>
        <w:rPr>
          <w:rFonts w:ascii="Cambria" w:hAnsi="Cambria" w:cs="Calibri"/>
          <w:sz w:val="20"/>
          <w:szCs w:val="20"/>
          <w:lang w:val="es-ES_tradnl"/>
        </w:rPr>
      </w:pPr>
    </w:p>
    <w:sectPr w:rsidR="00722C9F" w:rsidRPr="00D5277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CF78" w14:textId="77777777" w:rsidR="00DC053F" w:rsidRDefault="00DC053F">
      <w:r>
        <w:separator/>
      </w:r>
    </w:p>
  </w:endnote>
  <w:endnote w:type="continuationSeparator" w:id="0">
    <w:p w14:paraId="03B44B64" w14:textId="77777777" w:rsidR="00DC053F" w:rsidRDefault="00DC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85013">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6EA0" w14:textId="77777777" w:rsidR="00DC053F" w:rsidRPr="000F35ED" w:rsidRDefault="00DC053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AFF674" w14:textId="77777777" w:rsidR="00DC053F" w:rsidRPr="000F35ED" w:rsidRDefault="00DC053F" w:rsidP="000F35ED">
      <w:pPr>
        <w:rPr>
          <w:rFonts w:asciiTheme="majorHAnsi" w:hAnsiTheme="majorHAnsi"/>
          <w:sz w:val="16"/>
          <w:szCs w:val="16"/>
        </w:rPr>
      </w:pPr>
      <w:r w:rsidRPr="000F35ED">
        <w:rPr>
          <w:rFonts w:asciiTheme="majorHAnsi" w:hAnsiTheme="majorHAnsi"/>
          <w:sz w:val="16"/>
          <w:szCs w:val="16"/>
        </w:rPr>
        <w:separator/>
      </w:r>
    </w:p>
    <w:p w14:paraId="798E7869" w14:textId="77777777" w:rsidR="00DC053F" w:rsidRPr="000F35ED" w:rsidRDefault="00DC053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C857E78" w14:textId="77777777" w:rsidR="00DC053F" w:rsidRPr="000F35ED" w:rsidRDefault="00DC053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F07139" w14:textId="77777777" w:rsidR="008E3BFE" w:rsidRPr="000C3B76" w:rsidRDefault="008E3BFE" w:rsidP="000C3B76">
      <w:pPr>
        <w:pStyle w:val="FootnoteText"/>
        <w:spacing w:after="120"/>
        <w:ind w:firstLine="720"/>
        <w:jc w:val="both"/>
        <w:rPr>
          <w:rFonts w:asciiTheme="majorHAnsi" w:hAnsiTheme="majorHAnsi"/>
          <w:sz w:val="16"/>
          <w:szCs w:val="16"/>
          <w:lang w:val="es-ES"/>
        </w:rPr>
      </w:pPr>
      <w:r w:rsidRPr="000C3B76">
        <w:rPr>
          <w:rStyle w:val="FootnoteReference"/>
          <w:rFonts w:asciiTheme="majorHAnsi" w:hAnsiTheme="majorHAnsi"/>
          <w:sz w:val="16"/>
          <w:szCs w:val="16"/>
        </w:rPr>
        <w:footnoteRef/>
      </w:r>
      <w:r w:rsidRPr="000C3B76">
        <w:rPr>
          <w:rFonts w:asciiTheme="majorHAnsi" w:hAnsiTheme="majorHAnsi"/>
          <w:sz w:val="16"/>
          <w:szCs w:val="16"/>
          <w:lang w:val="es-ES"/>
        </w:rPr>
        <w:t xml:space="preserve"> Las observaciones de cada parte fueron debidamente trasladadas a la parte contraria.</w:t>
      </w:r>
    </w:p>
  </w:footnote>
  <w:footnote w:id="3">
    <w:p w14:paraId="4B2923A7" w14:textId="0052AFF2" w:rsidR="00ED6F4A" w:rsidRPr="000C3B76" w:rsidRDefault="00ED6F4A" w:rsidP="000C3B76">
      <w:pPr>
        <w:pStyle w:val="FootnoteText"/>
        <w:ind w:firstLine="720"/>
        <w:jc w:val="both"/>
        <w:rPr>
          <w:rFonts w:asciiTheme="majorHAnsi" w:hAnsiTheme="majorHAnsi"/>
          <w:sz w:val="16"/>
          <w:szCs w:val="16"/>
          <w:lang w:val="es-SV"/>
        </w:rPr>
      </w:pPr>
      <w:r w:rsidRPr="000C3B76">
        <w:rPr>
          <w:rStyle w:val="FootnoteReference"/>
          <w:rFonts w:asciiTheme="majorHAnsi" w:hAnsiTheme="majorHAnsi"/>
          <w:sz w:val="16"/>
          <w:szCs w:val="16"/>
        </w:rPr>
        <w:footnoteRef/>
      </w:r>
      <w:r w:rsidRPr="000C3B76">
        <w:rPr>
          <w:rFonts w:asciiTheme="majorHAnsi" w:hAnsiTheme="majorHAnsi"/>
          <w:sz w:val="16"/>
          <w:szCs w:val="16"/>
          <w:lang w:val="es-ES"/>
        </w:rPr>
        <w:t xml:space="preserve">El Universal, 25 de septiembre de 2009. En </w:t>
      </w:r>
      <w:hyperlink r:id="rId1" w:history="1">
        <w:r w:rsidR="000C3B76" w:rsidRPr="00B2303F">
          <w:rPr>
            <w:rStyle w:val="Hyperlink"/>
            <w:rFonts w:asciiTheme="majorHAnsi" w:hAnsiTheme="majorHAnsi"/>
            <w:sz w:val="16"/>
            <w:szCs w:val="16"/>
            <w:lang w:val="es-ES"/>
          </w:rPr>
          <w:t>http://www.eluniversal.com/2009/09/25/pol_apo_los-argumentos-cara_1585827.shtml</w:t>
        </w:r>
      </w:hyperlink>
      <w:r w:rsidR="000C3B76">
        <w:rPr>
          <w:rFonts w:asciiTheme="majorHAnsi" w:hAnsiTheme="majorHAnsi"/>
          <w:sz w:val="16"/>
          <w:szCs w:val="16"/>
          <w:lang w:val="es-ES"/>
        </w:rPr>
        <w:t xml:space="preserve"> </w:t>
      </w:r>
    </w:p>
  </w:footnote>
  <w:footnote w:id="4">
    <w:p w14:paraId="231ACCE2" w14:textId="14A53994" w:rsidR="00521DA5" w:rsidRPr="000C3B76" w:rsidRDefault="00521DA5" w:rsidP="000C3B76">
      <w:pPr>
        <w:pStyle w:val="FootnoteText"/>
        <w:ind w:firstLine="720"/>
        <w:jc w:val="both"/>
        <w:rPr>
          <w:rFonts w:asciiTheme="majorHAnsi" w:hAnsiTheme="majorHAnsi"/>
          <w:sz w:val="16"/>
          <w:szCs w:val="16"/>
          <w:lang w:val="es-SV"/>
        </w:rPr>
      </w:pPr>
      <w:r w:rsidRPr="000C3B76">
        <w:rPr>
          <w:rStyle w:val="FootnoteReference"/>
          <w:rFonts w:asciiTheme="majorHAnsi" w:hAnsiTheme="majorHAnsi"/>
          <w:sz w:val="16"/>
          <w:szCs w:val="16"/>
        </w:rPr>
        <w:footnoteRef/>
      </w:r>
      <w:r w:rsidRPr="000C3B76">
        <w:rPr>
          <w:rFonts w:asciiTheme="majorHAnsi" w:hAnsiTheme="majorHAnsi"/>
          <w:sz w:val="16"/>
          <w:szCs w:val="16"/>
          <w:lang w:val="es-SV"/>
        </w:rPr>
        <w:t xml:space="preserve"> </w:t>
      </w:r>
      <w:r w:rsidRPr="000C3B76">
        <w:rPr>
          <w:rFonts w:asciiTheme="majorHAnsi" w:hAnsiTheme="majorHAnsi"/>
          <w:sz w:val="16"/>
          <w:szCs w:val="16"/>
          <w:lang w:val="es-ES"/>
        </w:rPr>
        <w:t xml:space="preserve">Oficio N° 1-04-217, emitido </w:t>
      </w:r>
      <w:r w:rsidR="000C3B76" w:rsidRPr="000C3B76">
        <w:rPr>
          <w:rFonts w:asciiTheme="majorHAnsi" w:hAnsiTheme="majorHAnsi"/>
          <w:sz w:val="16"/>
          <w:szCs w:val="16"/>
          <w:lang w:val="es-ES"/>
        </w:rPr>
        <w:t>por</w:t>
      </w:r>
      <w:r w:rsidRPr="000C3B76">
        <w:rPr>
          <w:rFonts w:asciiTheme="majorHAnsi" w:hAnsiTheme="majorHAnsi"/>
          <w:sz w:val="16"/>
          <w:szCs w:val="16"/>
          <w:lang w:val="es-ES"/>
        </w:rPr>
        <w:t xml:space="preserve"> la Dirección de Recursos Humanos de la Contraloría General de la República, el 13 de febrero de 2009.</w:t>
      </w:r>
    </w:p>
  </w:footnote>
  <w:footnote w:id="5">
    <w:p w14:paraId="691187E7" w14:textId="77777777" w:rsidR="000D195D" w:rsidRPr="00547229" w:rsidRDefault="000D195D" w:rsidP="00391BA9">
      <w:pPr>
        <w:pStyle w:val="FootnoteText"/>
        <w:ind w:firstLine="720"/>
        <w:jc w:val="both"/>
        <w:rPr>
          <w:rFonts w:ascii="Cambria" w:hAnsi="Cambria"/>
          <w:color w:val="auto"/>
          <w:sz w:val="16"/>
          <w:szCs w:val="16"/>
          <w:lang w:val="es-ES"/>
        </w:rPr>
      </w:pPr>
      <w:r w:rsidRPr="00547229">
        <w:rPr>
          <w:rStyle w:val="FootnoteReference"/>
          <w:rFonts w:ascii="Cambria" w:hAnsi="Cambria"/>
          <w:color w:val="auto"/>
          <w:sz w:val="16"/>
          <w:szCs w:val="16"/>
        </w:rPr>
        <w:footnoteRef/>
      </w:r>
      <w:r w:rsidRPr="00547229">
        <w:rPr>
          <w:rFonts w:ascii="Cambria" w:hAnsi="Cambria"/>
          <w:color w:val="auto"/>
          <w:sz w:val="16"/>
          <w:szCs w:val="16"/>
          <w:lang w:val="es-US"/>
        </w:rPr>
        <w:t xml:space="preserve"> </w:t>
      </w:r>
      <w:r w:rsidRPr="00547229">
        <w:rPr>
          <w:rFonts w:ascii="Cambria" w:hAnsi="Cambria"/>
          <w:color w:val="auto"/>
          <w:sz w:val="16"/>
          <w:szCs w:val="16"/>
          <w:lang w:val="es-CO"/>
        </w:rPr>
        <w:t>CIDH, Informe No. 26/16, Petición 932-03 (Admisibilidad), Rómulo Jonás Ponce Santamaría, Perú, 15 de abril de 2016, párr. 25 y CIDH, Informe No. 83/17, Petición 151-08. (Admisibilidad), José Francisco Cid. Argentina. 7 de julio de 2017, párr.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86AC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625C0"/>
    <w:multiLevelType w:val="hybridMultilevel"/>
    <w:tmpl w:val="EF14595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55108553">
    <w:abstractNumId w:val="3"/>
  </w:num>
  <w:num w:numId="2" w16cid:durableId="154497683">
    <w:abstractNumId w:val="5"/>
  </w:num>
  <w:num w:numId="3" w16cid:durableId="756363944">
    <w:abstractNumId w:val="51"/>
  </w:num>
  <w:num w:numId="4" w16cid:durableId="1805998124">
    <w:abstractNumId w:val="20"/>
  </w:num>
  <w:num w:numId="5" w16cid:durableId="1426339600">
    <w:abstractNumId w:val="45"/>
  </w:num>
  <w:num w:numId="6" w16cid:durableId="1095051857">
    <w:abstractNumId w:val="25"/>
  </w:num>
  <w:num w:numId="7" w16cid:durableId="903293590">
    <w:abstractNumId w:val="6"/>
  </w:num>
  <w:num w:numId="8" w16cid:durableId="822166044">
    <w:abstractNumId w:val="16"/>
  </w:num>
  <w:num w:numId="9" w16cid:durableId="1185823578">
    <w:abstractNumId w:val="35"/>
  </w:num>
  <w:num w:numId="10" w16cid:durableId="626931450">
    <w:abstractNumId w:val="39"/>
  </w:num>
  <w:num w:numId="11" w16cid:durableId="403340348">
    <w:abstractNumId w:val="0"/>
  </w:num>
  <w:num w:numId="12" w16cid:durableId="662856808">
    <w:abstractNumId w:val="34"/>
  </w:num>
  <w:num w:numId="13" w16cid:durableId="965038389">
    <w:abstractNumId w:val="42"/>
  </w:num>
  <w:num w:numId="14" w16cid:durableId="1419599028">
    <w:abstractNumId w:val="1"/>
  </w:num>
  <w:num w:numId="15" w16cid:durableId="322437235">
    <w:abstractNumId w:val="2"/>
  </w:num>
  <w:num w:numId="16" w16cid:durableId="395981653">
    <w:abstractNumId w:val="7"/>
  </w:num>
  <w:num w:numId="17" w16cid:durableId="1180924150">
    <w:abstractNumId w:val="8"/>
  </w:num>
  <w:num w:numId="18" w16cid:durableId="1744330982">
    <w:abstractNumId w:val="9"/>
  </w:num>
  <w:num w:numId="19" w16cid:durableId="1069570260">
    <w:abstractNumId w:val="10"/>
  </w:num>
  <w:num w:numId="20" w16cid:durableId="796794622">
    <w:abstractNumId w:val="11"/>
  </w:num>
  <w:num w:numId="21" w16cid:durableId="139084415">
    <w:abstractNumId w:val="12"/>
  </w:num>
  <w:num w:numId="22" w16cid:durableId="966011736">
    <w:abstractNumId w:val="13"/>
  </w:num>
  <w:num w:numId="23" w16cid:durableId="1702243108">
    <w:abstractNumId w:val="14"/>
  </w:num>
  <w:num w:numId="24" w16cid:durableId="2039502690">
    <w:abstractNumId w:val="15"/>
  </w:num>
  <w:num w:numId="25" w16cid:durableId="1567837927">
    <w:abstractNumId w:val="17"/>
  </w:num>
  <w:num w:numId="26" w16cid:durableId="585769939">
    <w:abstractNumId w:val="18"/>
  </w:num>
  <w:num w:numId="27" w16cid:durableId="1036193914">
    <w:abstractNumId w:val="21"/>
  </w:num>
  <w:num w:numId="28" w16cid:durableId="111214765">
    <w:abstractNumId w:val="22"/>
  </w:num>
  <w:num w:numId="29" w16cid:durableId="811796349">
    <w:abstractNumId w:val="23"/>
  </w:num>
  <w:num w:numId="30" w16cid:durableId="890073695">
    <w:abstractNumId w:val="24"/>
  </w:num>
  <w:num w:numId="31" w16cid:durableId="665472921">
    <w:abstractNumId w:val="26"/>
  </w:num>
  <w:num w:numId="32" w16cid:durableId="1200898500">
    <w:abstractNumId w:val="27"/>
  </w:num>
  <w:num w:numId="33" w16cid:durableId="1529828857">
    <w:abstractNumId w:val="28"/>
  </w:num>
  <w:num w:numId="34" w16cid:durableId="1392460283">
    <w:abstractNumId w:val="29"/>
  </w:num>
  <w:num w:numId="35" w16cid:durableId="735862127">
    <w:abstractNumId w:val="30"/>
  </w:num>
  <w:num w:numId="36" w16cid:durableId="677194376">
    <w:abstractNumId w:val="31"/>
  </w:num>
  <w:num w:numId="37" w16cid:durableId="1228952350">
    <w:abstractNumId w:val="32"/>
  </w:num>
  <w:num w:numId="38" w16cid:durableId="468590194">
    <w:abstractNumId w:val="33"/>
  </w:num>
  <w:num w:numId="39" w16cid:durableId="633756117">
    <w:abstractNumId w:val="36"/>
  </w:num>
  <w:num w:numId="40" w16cid:durableId="1937053424">
    <w:abstractNumId w:val="37"/>
  </w:num>
  <w:num w:numId="41" w16cid:durableId="999187403">
    <w:abstractNumId w:val="44"/>
  </w:num>
  <w:num w:numId="42" w16cid:durableId="498274232">
    <w:abstractNumId w:val="46"/>
  </w:num>
  <w:num w:numId="43" w16cid:durableId="1220018893">
    <w:abstractNumId w:val="47"/>
  </w:num>
  <w:num w:numId="44" w16cid:durableId="347952122">
    <w:abstractNumId w:val="49"/>
  </w:num>
  <w:num w:numId="45" w16cid:durableId="2093352540">
    <w:abstractNumId w:val="50"/>
  </w:num>
  <w:num w:numId="46" w16cid:durableId="39788166">
    <w:abstractNumId w:val="52"/>
  </w:num>
  <w:num w:numId="47" w16cid:durableId="1199245399">
    <w:abstractNumId w:val="53"/>
  </w:num>
  <w:num w:numId="48" w16cid:durableId="1631280656">
    <w:abstractNumId w:val="54"/>
  </w:num>
  <w:num w:numId="49" w16cid:durableId="2055274830">
    <w:abstractNumId w:val="55"/>
  </w:num>
  <w:num w:numId="50" w16cid:durableId="1178932403">
    <w:abstractNumId w:val="56"/>
  </w:num>
  <w:num w:numId="51" w16cid:durableId="1043942979">
    <w:abstractNumId w:val="19"/>
  </w:num>
  <w:num w:numId="52" w16cid:durableId="1866937359">
    <w:abstractNumId w:val="38"/>
  </w:num>
  <w:num w:numId="53" w16cid:durableId="1796832863">
    <w:abstractNumId w:val="48"/>
  </w:num>
  <w:num w:numId="54" w16cid:durableId="714693930">
    <w:abstractNumId w:val="43"/>
  </w:num>
  <w:num w:numId="55" w16cid:durableId="836264822">
    <w:abstractNumId w:val="4"/>
  </w:num>
  <w:num w:numId="56" w16cid:durableId="131411392">
    <w:abstractNumId w:val="41"/>
  </w:num>
  <w:num w:numId="57" w16cid:durableId="1772435594">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DAA"/>
    <w:rsid w:val="00006427"/>
    <w:rsid w:val="00006E1F"/>
    <w:rsid w:val="000070D7"/>
    <w:rsid w:val="000105C8"/>
    <w:rsid w:val="0001788C"/>
    <w:rsid w:val="00017D89"/>
    <w:rsid w:val="00025FD7"/>
    <w:rsid w:val="000337EF"/>
    <w:rsid w:val="00033919"/>
    <w:rsid w:val="00040960"/>
    <w:rsid w:val="00040C3A"/>
    <w:rsid w:val="000419AD"/>
    <w:rsid w:val="000433C9"/>
    <w:rsid w:val="00045665"/>
    <w:rsid w:val="00050E06"/>
    <w:rsid w:val="00050FFF"/>
    <w:rsid w:val="000543E2"/>
    <w:rsid w:val="00061DC7"/>
    <w:rsid w:val="0006601B"/>
    <w:rsid w:val="00070798"/>
    <w:rsid w:val="000716C5"/>
    <w:rsid w:val="000746A6"/>
    <w:rsid w:val="00075E23"/>
    <w:rsid w:val="00085E7D"/>
    <w:rsid w:val="0009344A"/>
    <w:rsid w:val="000976A5"/>
    <w:rsid w:val="000A0A09"/>
    <w:rsid w:val="000A0DAD"/>
    <w:rsid w:val="000A146F"/>
    <w:rsid w:val="000A392E"/>
    <w:rsid w:val="000A575F"/>
    <w:rsid w:val="000A7A01"/>
    <w:rsid w:val="000C3B76"/>
    <w:rsid w:val="000C6F93"/>
    <w:rsid w:val="000D05CB"/>
    <w:rsid w:val="000D10DB"/>
    <w:rsid w:val="000D195D"/>
    <w:rsid w:val="000D20EF"/>
    <w:rsid w:val="000D249E"/>
    <w:rsid w:val="000E2C65"/>
    <w:rsid w:val="000E5EB5"/>
    <w:rsid w:val="000E6683"/>
    <w:rsid w:val="000F35ED"/>
    <w:rsid w:val="000F57DC"/>
    <w:rsid w:val="0010048D"/>
    <w:rsid w:val="00107131"/>
    <w:rsid w:val="0010736F"/>
    <w:rsid w:val="001102CC"/>
    <w:rsid w:val="00113AAC"/>
    <w:rsid w:val="00113F73"/>
    <w:rsid w:val="00121CC2"/>
    <w:rsid w:val="001242CB"/>
    <w:rsid w:val="00127A17"/>
    <w:rsid w:val="00131425"/>
    <w:rsid w:val="00133EE5"/>
    <w:rsid w:val="001534A1"/>
    <w:rsid w:val="0016375B"/>
    <w:rsid w:val="00167A34"/>
    <w:rsid w:val="00167D3D"/>
    <w:rsid w:val="0017097A"/>
    <w:rsid w:val="00180B89"/>
    <w:rsid w:val="00184E51"/>
    <w:rsid w:val="00192396"/>
    <w:rsid w:val="00193B78"/>
    <w:rsid w:val="001944BE"/>
    <w:rsid w:val="001A7870"/>
    <w:rsid w:val="001B3A00"/>
    <w:rsid w:val="001B5EE6"/>
    <w:rsid w:val="001B7D35"/>
    <w:rsid w:val="001C1B41"/>
    <w:rsid w:val="001C3073"/>
    <w:rsid w:val="001D65EF"/>
    <w:rsid w:val="001D7BC6"/>
    <w:rsid w:val="001E49E7"/>
    <w:rsid w:val="001F5FBE"/>
    <w:rsid w:val="001F7201"/>
    <w:rsid w:val="0020635C"/>
    <w:rsid w:val="0020732E"/>
    <w:rsid w:val="00223A29"/>
    <w:rsid w:val="002241DF"/>
    <w:rsid w:val="002246E3"/>
    <w:rsid w:val="002250A3"/>
    <w:rsid w:val="0022536C"/>
    <w:rsid w:val="00227143"/>
    <w:rsid w:val="00231662"/>
    <w:rsid w:val="00235217"/>
    <w:rsid w:val="00246D1F"/>
    <w:rsid w:val="00247403"/>
    <w:rsid w:val="00247542"/>
    <w:rsid w:val="002500E4"/>
    <w:rsid w:val="00250112"/>
    <w:rsid w:val="002506A8"/>
    <w:rsid w:val="0025449D"/>
    <w:rsid w:val="0025505D"/>
    <w:rsid w:val="00257FFD"/>
    <w:rsid w:val="0026518C"/>
    <w:rsid w:val="00266B61"/>
    <w:rsid w:val="0026712A"/>
    <w:rsid w:val="00267771"/>
    <w:rsid w:val="002704DB"/>
    <w:rsid w:val="002844CF"/>
    <w:rsid w:val="00286CF5"/>
    <w:rsid w:val="002A0AAE"/>
    <w:rsid w:val="002A5820"/>
    <w:rsid w:val="002A6522"/>
    <w:rsid w:val="002B1105"/>
    <w:rsid w:val="002C23E4"/>
    <w:rsid w:val="002D0D1D"/>
    <w:rsid w:val="002D1CE0"/>
    <w:rsid w:val="002D2B26"/>
    <w:rsid w:val="002D2C53"/>
    <w:rsid w:val="002D2CEA"/>
    <w:rsid w:val="002D41EF"/>
    <w:rsid w:val="002D7EA2"/>
    <w:rsid w:val="002E187C"/>
    <w:rsid w:val="002F0A0A"/>
    <w:rsid w:val="002F23BB"/>
    <w:rsid w:val="002F3E19"/>
    <w:rsid w:val="002F6D95"/>
    <w:rsid w:val="002F787E"/>
    <w:rsid w:val="00301EF9"/>
    <w:rsid w:val="00302733"/>
    <w:rsid w:val="003048EA"/>
    <w:rsid w:val="0031003A"/>
    <w:rsid w:val="0031337A"/>
    <w:rsid w:val="00314078"/>
    <w:rsid w:val="0031535D"/>
    <w:rsid w:val="003232DB"/>
    <w:rsid w:val="003239B8"/>
    <w:rsid w:val="0033169F"/>
    <w:rsid w:val="003400D3"/>
    <w:rsid w:val="00343ACF"/>
    <w:rsid w:val="00344977"/>
    <w:rsid w:val="00346C95"/>
    <w:rsid w:val="00355947"/>
    <w:rsid w:val="00356185"/>
    <w:rsid w:val="00360380"/>
    <w:rsid w:val="00363C4C"/>
    <w:rsid w:val="00363C84"/>
    <w:rsid w:val="003747C6"/>
    <w:rsid w:val="0037519E"/>
    <w:rsid w:val="003802C4"/>
    <w:rsid w:val="00386CF0"/>
    <w:rsid w:val="00391BA9"/>
    <w:rsid w:val="003B64D9"/>
    <w:rsid w:val="003B6E43"/>
    <w:rsid w:val="003B70FB"/>
    <w:rsid w:val="003C02D7"/>
    <w:rsid w:val="003C676B"/>
    <w:rsid w:val="003D3BC2"/>
    <w:rsid w:val="003D752A"/>
    <w:rsid w:val="003E6CA1"/>
    <w:rsid w:val="003F0714"/>
    <w:rsid w:val="0040091F"/>
    <w:rsid w:val="00401872"/>
    <w:rsid w:val="00401F8F"/>
    <w:rsid w:val="00405F9C"/>
    <w:rsid w:val="004065A8"/>
    <w:rsid w:val="00411FFD"/>
    <w:rsid w:val="004165C2"/>
    <w:rsid w:val="00424E1C"/>
    <w:rsid w:val="00424F3C"/>
    <w:rsid w:val="004415AE"/>
    <w:rsid w:val="00441ECB"/>
    <w:rsid w:val="00445193"/>
    <w:rsid w:val="00446608"/>
    <w:rsid w:val="004474AF"/>
    <w:rsid w:val="00460623"/>
    <w:rsid w:val="00460847"/>
    <w:rsid w:val="00462C1B"/>
    <w:rsid w:val="00463948"/>
    <w:rsid w:val="004660F7"/>
    <w:rsid w:val="00467B7E"/>
    <w:rsid w:val="004701ED"/>
    <w:rsid w:val="00473BB4"/>
    <w:rsid w:val="00477592"/>
    <w:rsid w:val="00481ABF"/>
    <w:rsid w:val="00486F1C"/>
    <w:rsid w:val="00490E7F"/>
    <w:rsid w:val="0049419D"/>
    <w:rsid w:val="004A3122"/>
    <w:rsid w:val="004A6A54"/>
    <w:rsid w:val="004B4CFE"/>
    <w:rsid w:val="004C04B8"/>
    <w:rsid w:val="004C20D2"/>
    <w:rsid w:val="004C2312"/>
    <w:rsid w:val="004C3352"/>
    <w:rsid w:val="004C4B62"/>
    <w:rsid w:val="004C54C9"/>
    <w:rsid w:val="004D4ABA"/>
    <w:rsid w:val="004D6025"/>
    <w:rsid w:val="004D6C01"/>
    <w:rsid w:val="004E2649"/>
    <w:rsid w:val="004E4096"/>
    <w:rsid w:val="004F626F"/>
    <w:rsid w:val="004F6825"/>
    <w:rsid w:val="00501399"/>
    <w:rsid w:val="00505603"/>
    <w:rsid w:val="0050633D"/>
    <w:rsid w:val="00507BC4"/>
    <w:rsid w:val="005128E4"/>
    <w:rsid w:val="005133DB"/>
    <w:rsid w:val="00514504"/>
    <w:rsid w:val="005160BE"/>
    <w:rsid w:val="00521DA5"/>
    <w:rsid w:val="005232BF"/>
    <w:rsid w:val="00523398"/>
    <w:rsid w:val="00524B4F"/>
    <w:rsid w:val="00525560"/>
    <w:rsid w:val="00544C49"/>
    <w:rsid w:val="005500AA"/>
    <w:rsid w:val="005516A1"/>
    <w:rsid w:val="005559EF"/>
    <w:rsid w:val="00555C8F"/>
    <w:rsid w:val="00556454"/>
    <w:rsid w:val="00563557"/>
    <w:rsid w:val="00564B90"/>
    <w:rsid w:val="00565BA0"/>
    <w:rsid w:val="0057402A"/>
    <w:rsid w:val="00575CD3"/>
    <w:rsid w:val="005771D0"/>
    <w:rsid w:val="0059191A"/>
    <w:rsid w:val="005919AE"/>
    <w:rsid w:val="005921FF"/>
    <w:rsid w:val="0059278E"/>
    <w:rsid w:val="005929D4"/>
    <w:rsid w:val="005963D8"/>
    <w:rsid w:val="005A24ED"/>
    <w:rsid w:val="005A4B94"/>
    <w:rsid w:val="005A6D0E"/>
    <w:rsid w:val="005A6D53"/>
    <w:rsid w:val="005B52B0"/>
    <w:rsid w:val="005B6806"/>
    <w:rsid w:val="005C4225"/>
    <w:rsid w:val="005D38F9"/>
    <w:rsid w:val="005F0DAD"/>
    <w:rsid w:val="005F0F33"/>
    <w:rsid w:val="005F1FF4"/>
    <w:rsid w:val="00600DEB"/>
    <w:rsid w:val="00603A5E"/>
    <w:rsid w:val="006243E7"/>
    <w:rsid w:val="00627490"/>
    <w:rsid w:val="00627C9F"/>
    <w:rsid w:val="006311E9"/>
    <w:rsid w:val="00632354"/>
    <w:rsid w:val="00632534"/>
    <w:rsid w:val="006330F7"/>
    <w:rsid w:val="00635421"/>
    <w:rsid w:val="00642810"/>
    <w:rsid w:val="00652333"/>
    <w:rsid w:val="006524EE"/>
    <w:rsid w:val="00662843"/>
    <w:rsid w:val="00666EA7"/>
    <w:rsid w:val="0068009E"/>
    <w:rsid w:val="00680370"/>
    <w:rsid w:val="00684864"/>
    <w:rsid w:val="00686ACF"/>
    <w:rsid w:val="006917D6"/>
    <w:rsid w:val="00691E6F"/>
    <w:rsid w:val="00692219"/>
    <w:rsid w:val="006A17D2"/>
    <w:rsid w:val="006A73E6"/>
    <w:rsid w:val="006B0326"/>
    <w:rsid w:val="006B2D5C"/>
    <w:rsid w:val="006B7217"/>
    <w:rsid w:val="006C4917"/>
    <w:rsid w:val="006C4EB1"/>
    <w:rsid w:val="006D645E"/>
    <w:rsid w:val="006E0166"/>
    <w:rsid w:val="006E2FFB"/>
    <w:rsid w:val="006E7B34"/>
    <w:rsid w:val="006E7C64"/>
    <w:rsid w:val="006F14DC"/>
    <w:rsid w:val="00704134"/>
    <w:rsid w:val="00704F61"/>
    <w:rsid w:val="00705141"/>
    <w:rsid w:val="0070697F"/>
    <w:rsid w:val="00707691"/>
    <w:rsid w:val="00707D41"/>
    <w:rsid w:val="00713810"/>
    <w:rsid w:val="0072199C"/>
    <w:rsid w:val="00722C9F"/>
    <w:rsid w:val="007253B8"/>
    <w:rsid w:val="0073741F"/>
    <w:rsid w:val="00740F63"/>
    <w:rsid w:val="007458B1"/>
    <w:rsid w:val="00745AC9"/>
    <w:rsid w:val="00747957"/>
    <w:rsid w:val="007512CE"/>
    <w:rsid w:val="00761C97"/>
    <w:rsid w:val="0076643F"/>
    <w:rsid w:val="00766EF3"/>
    <w:rsid w:val="007702B2"/>
    <w:rsid w:val="00777F63"/>
    <w:rsid w:val="0078410D"/>
    <w:rsid w:val="007872F9"/>
    <w:rsid w:val="00787B18"/>
    <w:rsid w:val="00790C58"/>
    <w:rsid w:val="00795430"/>
    <w:rsid w:val="0079680E"/>
    <w:rsid w:val="007A4D83"/>
    <w:rsid w:val="007A5817"/>
    <w:rsid w:val="007B05C4"/>
    <w:rsid w:val="007B0A41"/>
    <w:rsid w:val="007B60E9"/>
    <w:rsid w:val="007B6A09"/>
    <w:rsid w:val="007B6CC3"/>
    <w:rsid w:val="007B76D3"/>
    <w:rsid w:val="007C3334"/>
    <w:rsid w:val="007D2B98"/>
    <w:rsid w:val="007D3C0D"/>
    <w:rsid w:val="007D4EB4"/>
    <w:rsid w:val="007E21BC"/>
    <w:rsid w:val="007E7C82"/>
    <w:rsid w:val="007F2AA1"/>
    <w:rsid w:val="007F588D"/>
    <w:rsid w:val="007F6AA6"/>
    <w:rsid w:val="0080192A"/>
    <w:rsid w:val="00803F1C"/>
    <w:rsid w:val="0080600E"/>
    <w:rsid w:val="00814688"/>
    <w:rsid w:val="0081680E"/>
    <w:rsid w:val="00817612"/>
    <w:rsid w:val="0081780B"/>
    <w:rsid w:val="00823A8B"/>
    <w:rsid w:val="00824BB6"/>
    <w:rsid w:val="008254AF"/>
    <w:rsid w:val="008338A4"/>
    <w:rsid w:val="00834D49"/>
    <w:rsid w:val="00837C45"/>
    <w:rsid w:val="0084260A"/>
    <w:rsid w:val="00844730"/>
    <w:rsid w:val="008457C2"/>
    <w:rsid w:val="00854276"/>
    <w:rsid w:val="00855F1F"/>
    <w:rsid w:val="00857656"/>
    <w:rsid w:val="00857A82"/>
    <w:rsid w:val="00873836"/>
    <w:rsid w:val="008750B2"/>
    <w:rsid w:val="0087561F"/>
    <w:rsid w:val="00876DEE"/>
    <w:rsid w:val="008828B2"/>
    <w:rsid w:val="00885737"/>
    <w:rsid w:val="00885DE4"/>
    <w:rsid w:val="00890650"/>
    <w:rsid w:val="00897E12"/>
    <w:rsid w:val="008A0A66"/>
    <w:rsid w:val="008A6B59"/>
    <w:rsid w:val="008A7E0F"/>
    <w:rsid w:val="008B12F5"/>
    <w:rsid w:val="008B43D0"/>
    <w:rsid w:val="008C2AD6"/>
    <w:rsid w:val="008C2C86"/>
    <w:rsid w:val="008C36C4"/>
    <w:rsid w:val="008C5E2D"/>
    <w:rsid w:val="008C6D2A"/>
    <w:rsid w:val="008C71E6"/>
    <w:rsid w:val="008D05B7"/>
    <w:rsid w:val="008D768D"/>
    <w:rsid w:val="008E0211"/>
    <w:rsid w:val="008E3759"/>
    <w:rsid w:val="008E375D"/>
    <w:rsid w:val="008E3BA8"/>
    <w:rsid w:val="008E3BFE"/>
    <w:rsid w:val="008F1912"/>
    <w:rsid w:val="008F5E86"/>
    <w:rsid w:val="008F6C9F"/>
    <w:rsid w:val="0090270B"/>
    <w:rsid w:val="00902F82"/>
    <w:rsid w:val="009041DC"/>
    <w:rsid w:val="00911F50"/>
    <w:rsid w:val="00916939"/>
    <w:rsid w:val="00917B5A"/>
    <w:rsid w:val="00920379"/>
    <w:rsid w:val="00920A58"/>
    <w:rsid w:val="00920A8C"/>
    <w:rsid w:val="00920C64"/>
    <w:rsid w:val="00934A2C"/>
    <w:rsid w:val="00936BD8"/>
    <w:rsid w:val="00941E50"/>
    <w:rsid w:val="00941E71"/>
    <w:rsid w:val="009438F5"/>
    <w:rsid w:val="009517AD"/>
    <w:rsid w:val="00962FE6"/>
    <w:rsid w:val="0096706E"/>
    <w:rsid w:val="00973D22"/>
    <w:rsid w:val="00974491"/>
    <w:rsid w:val="00975C4E"/>
    <w:rsid w:val="009816C2"/>
    <w:rsid w:val="00981FBA"/>
    <w:rsid w:val="00983176"/>
    <w:rsid w:val="0098546F"/>
    <w:rsid w:val="00993107"/>
    <w:rsid w:val="009971F0"/>
    <w:rsid w:val="00997BC5"/>
    <w:rsid w:val="009A29B3"/>
    <w:rsid w:val="009A4F41"/>
    <w:rsid w:val="009A588B"/>
    <w:rsid w:val="009B2040"/>
    <w:rsid w:val="009B31D0"/>
    <w:rsid w:val="009B3259"/>
    <w:rsid w:val="009B381B"/>
    <w:rsid w:val="009B62AD"/>
    <w:rsid w:val="009B6460"/>
    <w:rsid w:val="009C717F"/>
    <w:rsid w:val="009D1753"/>
    <w:rsid w:val="009D1E66"/>
    <w:rsid w:val="009D4ACE"/>
    <w:rsid w:val="009D6089"/>
    <w:rsid w:val="009D6AC6"/>
    <w:rsid w:val="009D7611"/>
    <w:rsid w:val="009E0B61"/>
    <w:rsid w:val="009E53DE"/>
    <w:rsid w:val="009E7E88"/>
    <w:rsid w:val="009F431B"/>
    <w:rsid w:val="00A019F9"/>
    <w:rsid w:val="00A03065"/>
    <w:rsid w:val="00A11212"/>
    <w:rsid w:val="00A11E44"/>
    <w:rsid w:val="00A2696F"/>
    <w:rsid w:val="00A30100"/>
    <w:rsid w:val="00A328B3"/>
    <w:rsid w:val="00A3599D"/>
    <w:rsid w:val="00A4089A"/>
    <w:rsid w:val="00A45CE9"/>
    <w:rsid w:val="00A50E6D"/>
    <w:rsid w:val="00A50EB8"/>
    <w:rsid w:val="00A50FCF"/>
    <w:rsid w:val="00A52524"/>
    <w:rsid w:val="00A528D1"/>
    <w:rsid w:val="00A610CD"/>
    <w:rsid w:val="00A758AA"/>
    <w:rsid w:val="00A75B83"/>
    <w:rsid w:val="00A87839"/>
    <w:rsid w:val="00A92739"/>
    <w:rsid w:val="00A9529B"/>
    <w:rsid w:val="00AA09A2"/>
    <w:rsid w:val="00AA2D59"/>
    <w:rsid w:val="00AA7996"/>
    <w:rsid w:val="00AB39D9"/>
    <w:rsid w:val="00AB7DE6"/>
    <w:rsid w:val="00AC1532"/>
    <w:rsid w:val="00AC19CB"/>
    <w:rsid w:val="00AC7DA0"/>
    <w:rsid w:val="00AD59A5"/>
    <w:rsid w:val="00AE309A"/>
    <w:rsid w:val="00AE34C0"/>
    <w:rsid w:val="00AE5488"/>
    <w:rsid w:val="00AE6F91"/>
    <w:rsid w:val="00AF54A4"/>
    <w:rsid w:val="00AF5571"/>
    <w:rsid w:val="00B015E0"/>
    <w:rsid w:val="00B018AA"/>
    <w:rsid w:val="00B041BB"/>
    <w:rsid w:val="00B07341"/>
    <w:rsid w:val="00B1059E"/>
    <w:rsid w:val="00B134D7"/>
    <w:rsid w:val="00B13F5D"/>
    <w:rsid w:val="00B140F6"/>
    <w:rsid w:val="00B26EBB"/>
    <w:rsid w:val="00B30539"/>
    <w:rsid w:val="00B314DB"/>
    <w:rsid w:val="00B34B6F"/>
    <w:rsid w:val="00B361F2"/>
    <w:rsid w:val="00B3718B"/>
    <w:rsid w:val="00B3745F"/>
    <w:rsid w:val="00B42D49"/>
    <w:rsid w:val="00B4632A"/>
    <w:rsid w:val="00B530F1"/>
    <w:rsid w:val="00B556AA"/>
    <w:rsid w:val="00B77023"/>
    <w:rsid w:val="00B82E44"/>
    <w:rsid w:val="00B90C71"/>
    <w:rsid w:val="00B95790"/>
    <w:rsid w:val="00B9752C"/>
    <w:rsid w:val="00BA276C"/>
    <w:rsid w:val="00BA3BBD"/>
    <w:rsid w:val="00BB306F"/>
    <w:rsid w:val="00BB51C3"/>
    <w:rsid w:val="00BD0484"/>
    <w:rsid w:val="00BD158A"/>
    <w:rsid w:val="00BD4B89"/>
    <w:rsid w:val="00BD5922"/>
    <w:rsid w:val="00BD5A78"/>
    <w:rsid w:val="00BD5E3C"/>
    <w:rsid w:val="00BD6C0C"/>
    <w:rsid w:val="00BE5CCF"/>
    <w:rsid w:val="00BF02CB"/>
    <w:rsid w:val="00BF628F"/>
    <w:rsid w:val="00BF6FD8"/>
    <w:rsid w:val="00C01451"/>
    <w:rsid w:val="00C0365F"/>
    <w:rsid w:val="00C03680"/>
    <w:rsid w:val="00C054DF"/>
    <w:rsid w:val="00C1442F"/>
    <w:rsid w:val="00C21762"/>
    <w:rsid w:val="00C21FEF"/>
    <w:rsid w:val="00C23BA4"/>
    <w:rsid w:val="00C2450F"/>
    <w:rsid w:val="00C24543"/>
    <w:rsid w:val="00C256A2"/>
    <w:rsid w:val="00C25ADB"/>
    <w:rsid w:val="00C27FC0"/>
    <w:rsid w:val="00C51515"/>
    <w:rsid w:val="00C5660B"/>
    <w:rsid w:val="00C617F7"/>
    <w:rsid w:val="00C66B72"/>
    <w:rsid w:val="00C71EFB"/>
    <w:rsid w:val="00C75C10"/>
    <w:rsid w:val="00C77BF3"/>
    <w:rsid w:val="00C87AC4"/>
    <w:rsid w:val="00C91ECC"/>
    <w:rsid w:val="00C942B1"/>
    <w:rsid w:val="00C9567A"/>
    <w:rsid w:val="00CA4A1E"/>
    <w:rsid w:val="00CA4D78"/>
    <w:rsid w:val="00CA748F"/>
    <w:rsid w:val="00CB212D"/>
    <w:rsid w:val="00CB2660"/>
    <w:rsid w:val="00CB7195"/>
    <w:rsid w:val="00CC5E90"/>
    <w:rsid w:val="00CC6D07"/>
    <w:rsid w:val="00CC73E1"/>
    <w:rsid w:val="00CD046C"/>
    <w:rsid w:val="00CD6C62"/>
    <w:rsid w:val="00CE076C"/>
    <w:rsid w:val="00CE5199"/>
    <w:rsid w:val="00CE5A34"/>
    <w:rsid w:val="00CE66D5"/>
    <w:rsid w:val="00CE72A7"/>
    <w:rsid w:val="00CF5050"/>
    <w:rsid w:val="00CF637A"/>
    <w:rsid w:val="00D022D2"/>
    <w:rsid w:val="00D059DE"/>
    <w:rsid w:val="00D05ABD"/>
    <w:rsid w:val="00D13FCE"/>
    <w:rsid w:val="00D15B9E"/>
    <w:rsid w:val="00D24658"/>
    <w:rsid w:val="00D2687F"/>
    <w:rsid w:val="00D306D1"/>
    <w:rsid w:val="00D30800"/>
    <w:rsid w:val="00D30EF0"/>
    <w:rsid w:val="00D34786"/>
    <w:rsid w:val="00D37BFC"/>
    <w:rsid w:val="00D43BCE"/>
    <w:rsid w:val="00D46E6B"/>
    <w:rsid w:val="00D47A8E"/>
    <w:rsid w:val="00D5277E"/>
    <w:rsid w:val="00D52D14"/>
    <w:rsid w:val="00D54F61"/>
    <w:rsid w:val="00D636A4"/>
    <w:rsid w:val="00D712D3"/>
    <w:rsid w:val="00D71422"/>
    <w:rsid w:val="00D72DC6"/>
    <w:rsid w:val="00D7558D"/>
    <w:rsid w:val="00D81C67"/>
    <w:rsid w:val="00D81D92"/>
    <w:rsid w:val="00D85A3B"/>
    <w:rsid w:val="00D876F9"/>
    <w:rsid w:val="00D9388B"/>
    <w:rsid w:val="00DA6ED6"/>
    <w:rsid w:val="00DA7B5F"/>
    <w:rsid w:val="00DC053F"/>
    <w:rsid w:val="00DC11E7"/>
    <w:rsid w:val="00DC24E3"/>
    <w:rsid w:val="00DC34CE"/>
    <w:rsid w:val="00DC7023"/>
    <w:rsid w:val="00DC769A"/>
    <w:rsid w:val="00DD1051"/>
    <w:rsid w:val="00DD1D7B"/>
    <w:rsid w:val="00DD3D86"/>
    <w:rsid w:val="00DD4AD2"/>
    <w:rsid w:val="00DE5F63"/>
    <w:rsid w:val="00DF1EC4"/>
    <w:rsid w:val="00DF51B7"/>
    <w:rsid w:val="00E0340B"/>
    <w:rsid w:val="00E04A90"/>
    <w:rsid w:val="00E0551F"/>
    <w:rsid w:val="00E10168"/>
    <w:rsid w:val="00E156D0"/>
    <w:rsid w:val="00E1733A"/>
    <w:rsid w:val="00E21760"/>
    <w:rsid w:val="00E219C7"/>
    <w:rsid w:val="00E242EC"/>
    <w:rsid w:val="00E271B1"/>
    <w:rsid w:val="00E34C34"/>
    <w:rsid w:val="00E4118C"/>
    <w:rsid w:val="00E43157"/>
    <w:rsid w:val="00E45ECB"/>
    <w:rsid w:val="00E461CE"/>
    <w:rsid w:val="00E51E0D"/>
    <w:rsid w:val="00E573E4"/>
    <w:rsid w:val="00E64C3D"/>
    <w:rsid w:val="00E712A3"/>
    <w:rsid w:val="00E720CA"/>
    <w:rsid w:val="00E76361"/>
    <w:rsid w:val="00E80362"/>
    <w:rsid w:val="00E84EB5"/>
    <w:rsid w:val="00E84F01"/>
    <w:rsid w:val="00E85662"/>
    <w:rsid w:val="00E8789F"/>
    <w:rsid w:val="00E95D51"/>
    <w:rsid w:val="00E965D4"/>
    <w:rsid w:val="00E97B71"/>
    <w:rsid w:val="00EA01D4"/>
    <w:rsid w:val="00EA3D34"/>
    <w:rsid w:val="00EA42EB"/>
    <w:rsid w:val="00EB2674"/>
    <w:rsid w:val="00EB454D"/>
    <w:rsid w:val="00EB6FE7"/>
    <w:rsid w:val="00EC0DE2"/>
    <w:rsid w:val="00EC1C5C"/>
    <w:rsid w:val="00ED549D"/>
    <w:rsid w:val="00ED6F4A"/>
    <w:rsid w:val="00ED76BE"/>
    <w:rsid w:val="00EE00E9"/>
    <w:rsid w:val="00EE4494"/>
    <w:rsid w:val="00EE4FBE"/>
    <w:rsid w:val="00EE5983"/>
    <w:rsid w:val="00EE5B70"/>
    <w:rsid w:val="00EF1AAA"/>
    <w:rsid w:val="00EF619B"/>
    <w:rsid w:val="00EF7966"/>
    <w:rsid w:val="00F006B6"/>
    <w:rsid w:val="00F00B55"/>
    <w:rsid w:val="00F02AD1"/>
    <w:rsid w:val="00F05913"/>
    <w:rsid w:val="00F067DA"/>
    <w:rsid w:val="00F21AA5"/>
    <w:rsid w:val="00F24952"/>
    <w:rsid w:val="00F253CC"/>
    <w:rsid w:val="00F2774F"/>
    <w:rsid w:val="00F30C95"/>
    <w:rsid w:val="00F37106"/>
    <w:rsid w:val="00F379F2"/>
    <w:rsid w:val="00F44E25"/>
    <w:rsid w:val="00F45C9F"/>
    <w:rsid w:val="00F519CF"/>
    <w:rsid w:val="00F55B43"/>
    <w:rsid w:val="00F56BA5"/>
    <w:rsid w:val="00F60E22"/>
    <w:rsid w:val="00F62A5D"/>
    <w:rsid w:val="00F743CE"/>
    <w:rsid w:val="00F752D8"/>
    <w:rsid w:val="00F81395"/>
    <w:rsid w:val="00F81BB8"/>
    <w:rsid w:val="00F81BF4"/>
    <w:rsid w:val="00F85013"/>
    <w:rsid w:val="00F854C7"/>
    <w:rsid w:val="00F905FC"/>
    <w:rsid w:val="00F90C64"/>
    <w:rsid w:val="00F917D1"/>
    <w:rsid w:val="00F95AC3"/>
    <w:rsid w:val="00F9653B"/>
    <w:rsid w:val="00FB2D62"/>
    <w:rsid w:val="00FB5D79"/>
    <w:rsid w:val="00FB62CF"/>
    <w:rsid w:val="00FD151A"/>
    <w:rsid w:val="00FD3C3B"/>
    <w:rsid w:val="00FD4B66"/>
    <w:rsid w:val="00FE07DD"/>
    <w:rsid w:val="00FE5E9A"/>
    <w:rsid w:val="00FE5EBC"/>
    <w:rsid w:val="00FE6B45"/>
    <w:rsid w:val="00FE764C"/>
    <w:rsid w:val="00FF55F3"/>
    <w:rsid w:val="00FF56A2"/>
    <w:rsid w:val="00FF5851"/>
    <w:rsid w:val="00FF763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67D3D"/>
    <w:rPr>
      <w:i/>
      <w:iCs/>
      <w:color w:val="404040" w:themeColor="text1" w:themeTint="BF"/>
    </w:rPr>
  </w:style>
  <w:style w:type="character" w:styleId="UnresolvedMention">
    <w:name w:val="Unresolved Mention"/>
    <w:basedOn w:val="DefaultParagraphFont"/>
    <w:uiPriority w:val="99"/>
    <w:semiHidden/>
    <w:unhideWhenUsed/>
    <w:rsid w:val="000C3B76"/>
    <w:rPr>
      <w:color w:val="605E5C"/>
      <w:shd w:val="clear" w:color="auto" w:fill="E1DFDD"/>
    </w:rPr>
  </w:style>
  <w:style w:type="character" w:styleId="CommentReference">
    <w:name w:val="annotation reference"/>
    <w:basedOn w:val="DefaultParagraphFont"/>
    <w:uiPriority w:val="99"/>
    <w:semiHidden/>
    <w:unhideWhenUsed/>
    <w:rsid w:val="009816C2"/>
    <w:rPr>
      <w:sz w:val="16"/>
      <w:szCs w:val="16"/>
    </w:rPr>
  </w:style>
  <w:style w:type="paragraph" w:styleId="CommentText">
    <w:name w:val="annotation text"/>
    <w:basedOn w:val="Normal"/>
    <w:link w:val="CommentTextChar"/>
    <w:uiPriority w:val="99"/>
    <w:semiHidden/>
    <w:unhideWhenUsed/>
    <w:rsid w:val="009816C2"/>
    <w:rPr>
      <w:sz w:val="20"/>
      <w:szCs w:val="20"/>
    </w:rPr>
  </w:style>
  <w:style w:type="character" w:customStyle="1" w:styleId="CommentTextChar">
    <w:name w:val="Comment Text Char"/>
    <w:basedOn w:val="DefaultParagraphFont"/>
    <w:link w:val="CommentText"/>
    <w:uiPriority w:val="99"/>
    <w:semiHidden/>
    <w:rsid w:val="009816C2"/>
    <w:rPr>
      <w:lang w:val="en-US" w:eastAsia="en-US"/>
    </w:rPr>
  </w:style>
  <w:style w:type="paragraph" w:styleId="CommentSubject">
    <w:name w:val="annotation subject"/>
    <w:basedOn w:val="CommentText"/>
    <w:next w:val="CommentText"/>
    <w:link w:val="CommentSubjectChar"/>
    <w:uiPriority w:val="99"/>
    <w:semiHidden/>
    <w:unhideWhenUsed/>
    <w:rsid w:val="009816C2"/>
    <w:rPr>
      <w:b/>
      <w:bCs/>
    </w:rPr>
  </w:style>
  <w:style w:type="character" w:customStyle="1" w:styleId="CommentSubjectChar">
    <w:name w:val="Comment Subject Char"/>
    <w:basedOn w:val="CommentTextChar"/>
    <w:link w:val="CommentSubject"/>
    <w:uiPriority w:val="99"/>
    <w:semiHidden/>
    <w:rsid w:val="009816C2"/>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D195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universal.com/2009/09/25/pol_apo_los-argumentos-cara_1585827.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5078"/>
    <w:rsid w:val="00105835"/>
    <w:rsid w:val="00163959"/>
    <w:rsid w:val="00190CAD"/>
    <w:rsid w:val="001C0072"/>
    <w:rsid w:val="00200821"/>
    <w:rsid w:val="0025245B"/>
    <w:rsid w:val="002A3923"/>
    <w:rsid w:val="0031137C"/>
    <w:rsid w:val="00394049"/>
    <w:rsid w:val="004B5BBB"/>
    <w:rsid w:val="004F2DF8"/>
    <w:rsid w:val="005C1859"/>
    <w:rsid w:val="0065034C"/>
    <w:rsid w:val="00665239"/>
    <w:rsid w:val="006E7F0A"/>
    <w:rsid w:val="006F24A1"/>
    <w:rsid w:val="007E3AAF"/>
    <w:rsid w:val="008750EB"/>
    <w:rsid w:val="009A261B"/>
    <w:rsid w:val="00AA2E17"/>
    <w:rsid w:val="00AC15A4"/>
    <w:rsid w:val="00B0336C"/>
    <w:rsid w:val="00BD7C4F"/>
    <w:rsid w:val="00D241E9"/>
    <w:rsid w:val="00D72D38"/>
    <w:rsid w:val="00D7750D"/>
    <w:rsid w:val="00DD5FF7"/>
    <w:rsid w:val="00DE0F81"/>
    <w:rsid w:val="00F00D2F"/>
    <w:rsid w:val="00F128DF"/>
    <w:rsid w:val="00FD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279F-C424-4867-9053-0CF661DE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3639</Words>
  <Characters>20743</Characters>
  <Application>Microsoft Office Word</Application>
  <DocSecurity>0</DocSecurity>
  <Lines>172</Lines>
  <Paragraphs>48</Paragraphs>
  <ScaleCrop>false</ScaleCrop>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2022-10-11T14:18:00Z</dcterms:created>
  <dcterms:modified xsi:type="dcterms:W3CDTF">2022-10-11T14:18:00Z</dcterms:modified>
</cp:coreProperties>
</file>