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E5BD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BD98D0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97E4B">
                              <w:rPr>
                                <w:rFonts w:asciiTheme="majorHAnsi" w:hAnsiTheme="majorHAnsi" w:cs="Arial"/>
                                <w:b/>
                                <w:bCs/>
                                <w:color w:val="0D0D0D" w:themeColor="text1" w:themeTint="F2"/>
                                <w:sz w:val="36"/>
                                <w:szCs w:val="22"/>
                                <w:lang w:val="es-ES_tradnl"/>
                              </w:rPr>
                              <w:t>177</w:t>
                            </w:r>
                            <w:r w:rsidR="007B05C4">
                              <w:rPr>
                                <w:rFonts w:asciiTheme="majorHAnsi" w:hAnsiTheme="majorHAnsi" w:cs="Arial"/>
                                <w:b/>
                                <w:bCs/>
                                <w:color w:val="0D0D0D" w:themeColor="text1" w:themeTint="F2"/>
                                <w:sz w:val="36"/>
                                <w:szCs w:val="22"/>
                                <w:lang w:val="es-ES_tradnl"/>
                              </w:rPr>
                              <w:t>/</w:t>
                            </w:r>
                            <w:r w:rsidR="00494C3C">
                              <w:rPr>
                                <w:rFonts w:asciiTheme="majorHAnsi" w:hAnsiTheme="majorHAnsi" w:cs="Arial"/>
                                <w:b/>
                                <w:bCs/>
                                <w:color w:val="0D0D0D" w:themeColor="text1" w:themeTint="F2"/>
                                <w:sz w:val="36"/>
                                <w:szCs w:val="22"/>
                                <w:lang w:val="es-ES_tradnl"/>
                              </w:rPr>
                              <w:t>22</w:t>
                            </w:r>
                          </w:p>
                          <w:p w14:paraId="45F30ECA" w14:textId="03A9748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0713F">
                              <w:rPr>
                                <w:rFonts w:asciiTheme="majorHAnsi" w:hAnsiTheme="majorHAnsi" w:cs="Arial"/>
                                <w:b/>
                                <w:color w:val="0D0D0D" w:themeColor="text1" w:themeTint="F2"/>
                                <w:sz w:val="36"/>
                                <w:szCs w:val="22"/>
                                <w:lang w:val="es-ES_tradnl"/>
                              </w:rPr>
                              <w:t>91</w:t>
                            </w:r>
                            <w:r w:rsidR="00246D1F" w:rsidRPr="004E2649">
                              <w:rPr>
                                <w:rFonts w:asciiTheme="majorHAnsi" w:hAnsiTheme="majorHAnsi" w:cs="Arial"/>
                                <w:b/>
                                <w:color w:val="0D0D0D" w:themeColor="text1" w:themeTint="F2"/>
                                <w:sz w:val="36"/>
                                <w:szCs w:val="22"/>
                                <w:lang w:val="es-ES_tradnl"/>
                              </w:rPr>
                              <w:t>-</w:t>
                            </w:r>
                            <w:r w:rsidR="0070713F">
                              <w:rPr>
                                <w:rFonts w:asciiTheme="majorHAnsi" w:hAnsiTheme="majorHAnsi" w:cs="Arial"/>
                                <w:b/>
                                <w:color w:val="0D0D0D" w:themeColor="text1" w:themeTint="F2"/>
                                <w:sz w:val="36"/>
                                <w:szCs w:val="22"/>
                                <w:lang w:val="es-ES_tradnl"/>
                              </w:rPr>
                              <w:t>16</w:t>
                            </w:r>
                          </w:p>
                          <w:p w14:paraId="188B4303" w14:textId="1ECFBE4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1654473B" w:rsidR="005B52B0" w:rsidRPr="0010736F" w:rsidRDefault="007071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ELVIS KELING RIVERA GAMARRA</w:t>
                            </w:r>
                            <w:r w:rsidR="00197ECF">
                              <w:rPr>
                                <w:rFonts w:asciiTheme="majorHAnsi" w:hAnsiTheme="majorHAnsi" w:cs="Arial"/>
                                <w:color w:val="0D0D0D" w:themeColor="text1" w:themeTint="F2"/>
                                <w:szCs w:val="22"/>
                                <w:lang w:val="es-ES_tradnl"/>
                              </w:rPr>
                              <w:t xml:space="preserve"> Y FAMILIARES</w:t>
                            </w:r>
                          </w:p>
                          <w:bookmarkEnd w:id="0"/>
                          <w:p w14:paraId="0B9F7D22" w14:textId="5B1ABDDF"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70713F">
                              <w:rPr>
                                <w:rFonts w:asciiTheme="majorHAnsi" w:hAnsiTheme="majorHAnsi" w:cs="Arial"/>
                                <w:color w:val="0D0D0D" w:themeColor="text1" w:themeTint="F2"/>
                                <w:szCs w:val="22"/>
                                <w:lang w:val="es-ES_tradnl"/>
                              </w:rPr>
                              <w:t>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6BD98D06"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97E4B">
                        <w:rPr>
                          <w:rFonts w:asciiTheme="majorHAnsi" w:hAnsiTheme="majorHAnsi" w:cs="Arial"/>
                          <w:b/>
                          <w:bCs/>
                          <w:color w:val="0D0D0D" w:themeColor="text1" w:themeTint="F2"/>
                          <w:sz w:val="36"/>
                          <w:szCs w:val="22"/>
                          <w:lang w:val="es-ES_tradnl"/>
                        </w:rPr>
                        <w:t>177</w:t>
                      </w:r>
                      <w:r w:rsidR="007B05C4">
                        <w:rPr>
                          <w:rFonts w:asciiTheme="majorHAnsi" w:hAnsiTheme="majorHAnsi" w:cs="Arial"/>
                          <w:b/>
                          <w:bCs/>
                          <w:color w:val="0D0D0D" w:themeColor="text1" w:themeTint="F2"/>
                          <w:sz w:val="36"/>
                          <w:szCs w:val="22"/>
                          <w:lang w:val="es-ES_tradnl"/>
                        </w:rPr>
                        <w:t>/</w:t>
                      </w:r>
                      <w:r w:rsidR="00494C3C">
                        <w:rPr>
                          <w:rFonts w:asciiTheme="majorHAnsi" w:hAnsiTheme="majorHAnsi" w:cs="Arial"/>
                          <w:b/>
                          <w:bCs/>
                          <w:color w:val="0D0D0D" w:themeColor="text1" w:themeTint="F2"/>
                          <w:sz w:val="36"/>
                          <w:szCs w:val="22"/>
                          <w:lang w:val="es-ES_tradnl"/>
                        </w:rPr>
                        <w:t>22</w:t>
                      </w:r>
                    </w:p>
                    <w:p w14:paraId="45F30ECA" w14:textId="03A9748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0713F">
                        <w:rPr>
                          <w:rFonts w:asciiTheme="majorHAnsi" w:hAnsiTheme="majorHAnsi" w:cs="Arial"/>
                          <w:b/>
                          <w:color w:val="0D0D0D" w:themeColor="text1" w:themeTint="F2"/>
                          <w:sz w:val="36"/>
                          <w:szCs w:val="22"/>
                          <w:lang w:val="es-ES_tradnl"/>
                        </w:rPr>
                        <w:t>91</w:t>
                      </w:r>
                      <w:r w:rsidR="00246D1F" w:rsidRPr="004E2649">
                        <w:rPr>
                          <w:rFonts w:asciiTheme="majorHAnsi" w:hAnsiTheme="majorHAnsi" w:cs="Arial"/>
                          <w:b/>
                          <w:color w:val="0D0D0D" w:themeColor="text1" w:themeTint="F2"/>
                          <w:sz w:val="36"/>
                          <w:szCs w:val="22"/>
                          <w:lang w:val="es-ES_tradnl"/>
                        </w:rPr>
                        <w:t>-</w:t>
                      </w:r>
                      <w:r w:rsidR="0070713F">
                        <w:rPr>
                          <w:rFonts w:asciiTheme="majorHAnsi" w:hAnsiTheme="majorHAnsi" w:cs="Arial"/>
                          <w:b/>
                          <w:color w:val="0D0D0D" w:themeColor="text1" w:themeTint="F2"/>
                          <w:sz w:val="36"/>
                          <w:szCs w:val="22"/>
                          <w:lang w:val="es-ES_tradnl"/>
                        </w:rPr>
                        <w:t>16</w:t>
                      </w:r>
                    </w:p>
                    <w:p w14:paraId="188B4303" w14:textId="1ECFBE4B"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1654473B" w:rsidR="005B52B0" w:rsidRPr="0010736F" w:rsidRDefault="0070713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ELVIS KELING RIVERA GAMARRA</w:t>
                      </w:r>
                      <w:r w:rsidR="00197ECF">
                        <w:rPr>
                          <w:rFonts w:asciiTheme="majorHAnsi" w:hAnsiTheme="majorHAnsi" w:cs="Arial"/>
                          <w:color w:val="0D0D0D" w:themeColor="text1" w:themeTint="F2"/>
                          <w:szCs w:val="22"/>
                          <w:lang w:val="es-ES_tradnl"/>
                        </w:rPr>
                        <w:t xml:space="preserve"> Y FAMILIARES</w:t>
                      </w:r>
                    </w:p>
                    <w:bookmarkEnd w:id="1"/>
                    <w:p w14:paraId="0B9F7D22" w14:textId="5B1ABDDF"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70713F">
                        <w:rPr>
                          <w:rFonts w:asciiTheme="majorHAnsi" w:hAnsiTheme="majorHAnsi" w:cs="Arial"/>
                          <w:color w:val="0D0D0D" w:themeColor="text1" w:themeTint="F2"/>
                          <w:szCs w:val="22"/>
                          <w:lang w:val="es-ES_tradnl"/>
                        </w:rPr>
                        <w:t>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4041AE4" w:rsidR="00627C9F" w:rsidRPr="003079DE" w:rsidRDefault="00834D49" w:rsidP="007A5817">
                            <w:pPr>
                              <w:spacing w:line="276" w:lineRule="auto"/>
                              <w:jc w:val="right"/>
                              <w:rPr>
                                <w:rFonts w:asciiTheme="minorHAnsi" w:hAnsiTheme="minorHAnsi"/>
                                <w:color w:val="FFFFFF" w:themeColor="background1"/>
                                <w:sz w:val="22"/>
                                <w:lang w:val="es-AR"/>
                              </w:rPr>
                            </w:pPr>
                            <w:r w:rsidRPr="003079DE">
                              <w:rPr>
                                <w:rFonts w:asciiTheme="minorHAnsi" w:hAnsiTheme="minorHAnsi"/>
                                <w:color w:val="FFFFFF" w:themeColor="background1"/>
                                <w:sz w:val="22"/>
                                <w:lang w:val="es-AR"/>
                              </w:rPr>
                              <w:t>OEA/Ser.L/V/II</w:t>
                            </w:r>
                          </w:p>
                          <w:p w14:paraId="71D2D5D2" w14:textId="0E0AF780" w:rsidR="00627C9F" w:rsidRPr="003079DE" w:rsidRDefault="00627C9F" w:rsidP="007A5817">
                            <w:pPr>
                              <w:spacing w:line="276" w:lineRule="auto"/>
                              <w:jc w:val="right"/>
                              <w:rPr>
                                <w:rFonts w:asciiTheme="minorHAnsi" w:hAnsiTheme="minorHAnsi"/>
                                <w:color w:val="FFFFFF" w:themeColor="background1"/>
                                <w:sz w:val="22"/>
                                <w:lang w:val="es-AR"/>
                              </w:rPr>
                            </w:pPr>
                            <w:r w:rsidRPr="003079DE">
                              <w:rPr>
                                <w:rFonts w:asciiTheme="minorHAnsi" w:hAnsiTheme="minorHAnsi"/>
                                <w:color w:val="FFFFFF" w:themeColor="background1"/>
                                <w:sz w:val="22"/>
                                <w:lang w:val="es-AR"/>
                              </w:rPr>
                              <w:t xml:space="preserve">Doc. </w:t>
                            </w:r>
                            <w:r w:rsidR="00F97E4B" w:rsidRPr="003079DE">
                              <w:rPr>
                                <w:rFonts w:asciiTheme="minorHAnsi" w:hAnsiTheme="minorHAnsi"/>
                                <w:color w:val="FFFFFF" w:themeColor="background1"/>
                                <w:sz w:val="22"/>
                                <w:lang w:val="es-AR"/>
                              </w:rPr>
                              <w:t>180</w:t>
                            </w:r>
                          </w:p>
                          <w:p w14:paraId="4061DBBD" w14:textId="146FE7E3" w:rsidR="00627C9F" w:rsidRPr="00C25ADB" w:rsidRDefault="009D37A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D66C5F">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4041AE4" w:rsidR="00627C9F" w:rsidRPr="003079DE" w:rsidRDefault="00834D49" w:rsidP="007A5817">
                      <w:pPr>
                        <w:spacing w:line="276" w:lineRule="auto"/>
                        <w:jc w:val="right"/>
                        <w:rPr>
                          <w:rFonts w:asciiTheme="minorHAnsi" w:hAnsiTheme="minorHAnsi"/>
                          <w:color w:val="FFFFFF" w:themeColor="background1"/>
                          <w:sz w:val="22"/>
                          <w:lang w:val="es-AR"/>
                        </w:rPr>
                      </w:pPr>
                      <w:r w:rsidRPr="003079DE">
                        <w:rPr>
                          <w:rFonts w:asciiTheme="minorHAnsi" w:hAnsiTheme="minorHAnsi"/>
                          <w:color w:val="FFFFFF" w:themeColor="background1"/>
                          <w:sz w:val="22"/>
                          <w:lang w:val="es-AR"/>
                        </w:rPr>
                        <w:t>OEA/Ser.L/V/II</w:t>
                      </w:r>
                    </w:p>
                    <w:p w14:paraId="71D2D5D2" w14:textId="0E0AF780" w:rsidR="00627C9F" w:rsidRPr="003079DE" w:rsidRDefault="00627C9F" w:rsidP="007A5817">
                      <w:pPr>
                        <w:spacing w:line="276" w:lineRule="auto"/>
                        <w:jc w:val="right"/>
                        <w:rPr>
                          <w:rFonts w:asciiTheme="minorHAnsi" w:hAnsiTheme="minorHAnsi"/>
                          <w:color w:val="FFFFFF" w:themeColor="background1"/>
                          <w:sz w:val="22"/>
                          <w:lang w:val="es-AR"/>
                        </w:rPr>
                      </w:pPr>
                      <w:r w:rsidRPr="003079DE">
                        <w:rPr>
                          <w:rFonts w:asciiTheme="minorHAnsi" w:hAnsiTheme="minorHAnsi"/>
                          <w:color w:val="FFFFFF" w:themeColor="background1"/>
                          <w:sz w:val="22"/>
                          <w:lang w:val="es-AR"/>
                        </w:rPr>
                        <w:t xml:space="preserve">Doc. </w:t>
                      </w:r>
                      <w:r w:rsidR="00F97E4B" w:rsidRPr="003079DE">
                        <w:rPr>
                          <w:rFonts w:asciiTheme="minorHAnsi" w:hAnsiTheme="minorHAnsi"/>
                          <w:color w:val="FFFFFF" w:themeColor="background1"/>
                          <w:sz w:val="22"/>
                          <w:lang w:val="es-AR"/>
                        </w:rPr>
                        <w:t>180</w:t>
                      </w:r>
                    </w:p>
                    <w:p w14:paraId="4061DBBD" w14:textId="146FE7E3" w:rsidR="00627C9F" w:rsidRPr="00C25ADB" w:rsidRDefault="009D37AD"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w:t>
                      </w:r>
                      <w:r w:rsidR="00627C9F" w:rsidRPr="00C25ADB">
                        <w:rPr>
                          <w:rFonts w:asciiTheme="minorHAnsi" w:hAnsiTheme="minorHAnsi"/>
                          <w:color w:val="FFFFFF" w:themeColor="background1"/>
                          <w:sz w:val="22"/>
                          <w:lang w:val="es-PA"/>
                        </w:rPr>
                        <w:t xml:space="preserve"> </w:t>
                      </w:r>
                      <w:r>
                        <w:rPr>
                          <w:rFonts w:asciiTheme="minorHAnsi" w:hAnsiTheme="minorHAnsi"/>
                          <w:color w:val="FFFFFF" w:themeColor="background1"/>
                          <w:sz w:val="22"/>
                          <w:lang w:val="es-PA"/>
                        </w:rPr>
                        <w:t>julio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D66C5F">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3732B69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D37AD">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9D37AD">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20B5B">
                              <w:rPr>
                                <w:rFonts w:asciiTheme="majorHAnsi" w:hAnsiTheme="majorHAnsi"/>
                                <w:color w:val="0D0D0D" w:themeColor="text1" w:themeTint="F2"/>
                                <w:sz w:val="18"/>
                                <w:szCs w:val="22"/>
                                <w:lang w:val="es-ES"/>
                              </w:rPr>
                              <w:t>2</w:t>
                            </w:r>
                            <w:r w:rsidR="009D37A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3732B697"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9D37AD">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9D37AD">
                        <w:rPr>
                          <w:rFonts w:asciiTheme="majorHAnsi" w:hAnsiTheme="majorHAnsi"/>
                          <w:color w:val="0D0D0D" w:themeColor="text1" w:themeTint="F2"/>
                          <w:sz w:val="18"/>
                          <w:szCs w:val="22"/>
                          <w:lang w:val="es-ES"/>
                        </w:rPr>
                        <w:t>julio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420B5B">
                        <w:rPr>
                          <w:rFonts w:asciiTheme="majorHAnsi" w:hAnsiTheme="majorHAnsi"/>
                          <w:color w:val="0D0D0D" w:themeColor="text1" w:themeTint="F2"/>
                          <w:sz w:val="18"/>
                          <w:szCs w:val="22"/>
                          <w:lang w:val="es-ES"/>
                        </w:rPr>
                        <w:t>2</w:t>
                      </w:r>
                      <w:r w:rsidR="009D37AD">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D2DB04" w14:textId="77777777" w:rsidR="00FB77E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B77E2" w:rsidRPr="00FB77E2">
                              <w:rPr>
                                <w:rFonts w:asciiTheme="majorHAnsi" w:hAnsiTheme="majorHAnsi"/>
                                <w:color w:val="595959" w:themeColor="text1" w:themeTint="A6"/>
                                <w:sz w:val="18"/>
                                <w:szCs w:val="18"/>
                                <w:lang w:val="pt-BR"/>
                              </w:rPr>
                              <w:t>177</w:t>
                            </w:r>
                            <w:r w:rsidR="007B05C4" w:rsidRPr="00FB77E2">
                              <w:rPr>
                                <w:rFonts w:asciiTheme="majorHAnsi" w:hAnsiTheme="majorHAnsi"/>
                                <w:color w:val="595959" w:themeColor="text1" w:themeTint="A6"/>
                                <w:sz w:val="18"/>
                                <w:szCs w:val="18"/>
                                <w:lang w:val="pt-BR"/>
                              </w:rPr>
                              <w:t>/</w:t>
                            </w:r>
                            <w:r w:rsidR="00FB77E2" w:rsidRPr="00FB77E2">
                              <w:rPr>
                                <w:rFonts w:asciiTheme="majorHAnsi" w:hAnsiTheme="majorHAnsi"/>
                                <w:color w:val="595959" w:themeColor="text1" w:themeTint="A6"/>
                                <w:sz w:val="18"/>
                                <w:szCs w:val="18"/>
                                <w:lang w:val="pt-BR"/>
                              </w:rPr>
                              <w:t>22</w:t>
                            </w:r>
                            <w:r w:rsidRPr="00FB77E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20B5B">
                              <w:rPr>
                                <w:rFonts w:asciiTheme="majorHAnsi" w:hAnsiTheme="majorHAnsi"/>
                                <w:color w:val="595959" w:themeColor="text1" w:themeTint="A6"/>
                                <w:sz w:val="18"/>
                                <w:szCs w:val="18"/>
                                <w:lang w:val="es-ES"/>
                              </w:rPr>
                              <w:t>91</w:t>
                            </w:r>
                            <w:r w:rsidR="000433C9">
                              <w:rPr>
                                <w:rFonts w:asciiTheme="majorHAnsi" w:hAnsiTheme="majorHAnsi"/>
                                <w:color w:val="595959" w:themeColor="text1" w:themeTint="A6"/>
                                <w:sz w:val="18"/>
                                <w:szCs w:val="18"/>
                                <w:lang w:val="es-ES"/>
                              </w:rPr>
                              <w:t>-</w:t>
                            </w:r>
                            <w:r w:rsidR="00420B5B">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222E51F" w:rsidR="00113F73" w:rsidRPr="007B05C4" w:rsidRDefault="00420B5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Elvis Keling Rivera Gamarra</w:t>
                            </w:r>
                            <w:r w:rsidR="00197ECF">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FB77E2">
                              <w:rPr>
                                <w:rFonts w:asciiTheme="majorHAnsi" w:hAnsiTheme="majorHAnsi"/>
                                <w:color w:val="595959" w:themeColor="text1" w:themeTint="A6"/>
                                <w:sz w:val="18"/>
                                <w:szCs w:val="18"/>
                                <w:lang w:val="es-ES"/>
                              </w:rPr>
                              <w:t>21 de julio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8D2DB04" w14:textId="77777777" w:rsidR="00FB77E2"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B77E2" w:rsidRPr="00FB77E2">
                        <w:rPr>
                          <w:rFonts w:asciiTheme="majorHAnsi" w:hAnsiTheme="majorHAnsi"/>
                          <w:color w:val="595959" w:themeColor="text1" w:themeTint="A6"/>
                          <w:sz w:val="18"/>
                          <w:szCs w:val="18"/>
                          <w:lang w:val="pt-BR"/>
                        </w:rPr>
                        <w:t>177</w:t>
                      </w:r>
                      <w:r w:rsidR="007B05C4" w:rsidRPr="00FB77E2">
                        <w:rPr>
                          <w:rFonts w:asciiTheme="majorHAnsi" w:hAnsiTheme="majorHAnsi"/>
                          <w:color w:val="595959" w:themeColor="text1" w:themeTint="A6"/>
                          <w:sz w:val="18"/>
                          <w:szCs w:val="18"/>
                          <w:lang w:val="pt-BR"/>
                        </w:rPr>
                        <w:t>/</w:t>
                      </w:r>
                      <w:r w:rsidR="00FB77E2" w:rsidRPr="00FB77E2">
                        <w:rPr>
                          <w:rFonts w:asciiTheme="majorHAnsi" w:hAnsiTheme="majorHAnsi"/>
                          <w:color w:val="595959" w:themeColor="text1" w:themeTint="A6"/>
                          <w:sz w:val="18"/>
                          <w:szCs w:val="18"/>
                          <w:lang w:val="pt-BR"/>
                        </w:rPr>
                        <w:t>22</w:t>
                      </w:r>
                      <w:r w:rsidRPr="00FB77E2">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420B5B">
                        <w:rPr>
                          <w:rFonts w:asciiTheme="majorHAnsi" w:hAnsiTheme="majorHAnsi"/>
                          <w:color w:val="595959" w:themeColor="text1" w:themeTint="A6"/>
                          <w:sz w:val="18"/>
                          <w:szCs w:val="18"/>
                          <w:lang w:val="es-ES"/>
                        </w:rPr>
                        <w:t>91</w:t>
                      </w:r>
                      <w:r w:rsidR="000433C9">
                        <w:rPr>
                          <w:rFonts w:asciiTheme="majorHAnsi" w:hAnsiTheme="majorHAnsi"/>
                          <w:color w:val="595959" w:themeColor="text1" w:themeTint="A6"/>
                          <w:sz w:val="18"/>
                          <w:szCs w:val="18"/>
                          <w:lang w:val="es-ES"/>
                        </w:rPr>
                        <w:t>-</w:t>
                      </w:r>
                      <w:r w:rsidR="00420B5B">
                        <w:rPr>
                          <w:rFonts w:asciiTheme="majorHAnsi" w:hAnsiTheme="majorHAnsi"/>
                          <w:color w:val="595959" w:themeColor="text1" w:themeTint="A6"/>
                          <w:sz w:val="18"/>
                          <w:szCs w:val="18"/>
                          <w:lang w:val="es-ES"/>
                        </w:rPr>
                        <w:t>16</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7222E51F" w:rsidR="00113F73" w:rsidRPr="007B05C4" w:rsidRDefault="00420B5B"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Elvis Keling Rivera Gamarra</w:t>
                      </w:r>
                      <w:r w:rsidR="00197ECF">
                        <w:rPr>
                          <w:rFonts w:asciiTheme="majorHAnsi" w:hAnsiTheme="majorHAnsi"/>
                          <w:color w:val="595959" w:themeColor="text1" w:themeTint="A6"/>
                          <w:sz w:val="18"/>
                          <w:szCs w:val="18"/>
                          <w:lang w:val="es-ES_tradnl"/>
                        </w:rPr>
                        <w:t xml:space="preserve"> y familiares</w:t>
                      </w:r>
                      <w:r w:rsidR="00113F73"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Perú</w:t>
                      </w:r>
                      <w:r w:rsidR="00113F73" w:rsidRPr="00890650">
                        <w:rPr>
                          <w:rFonts w:asciiTheme="majorHAnsi" w:hAnsiTheme="majorHAnsi"/>
                          <w:color w:val="595959" w:themeColor="text1" w:themeTint="A6"/>
                          <w:sz w:val="18"/>
                          <w:szCs w:val="18"/>
                          <w:lang w:val="es-ES_tradnl"/>
                        </w:rPr>
                        <w:t xml:space="preserve">. </w:t>
                      </w:r>
                      <w:r w:rsidR="00FB77E2">
                        <w:rPr>
                          <w:rFonts w:asciiTheme="majorHAnsi" w:hAnsiTheme="majorHAnsi"/>
                          <w:color w:val="595959" w:themeColor="text1" w:themeTint="A6"/>
                          <w:sz w:val="18"/>
                          <w:szCs w:val="18"/>
                          <w:lang w:val="es-ES"/>
                        </w:rPr>
                        <w:t>21 de julio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57617D3A"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DA6340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20DFCC0" w:rsidR="0070697F" w:rsidRDefault="00FB77E2"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3C4B6E27">
                <wp:simplePos x="0" y="0"/>
                <wp:positionH relativeFrom="column">
                  <wp:posOffset>1296670</wp:posOffset>
                </wp:positionH>
                <wp:positionV relativeFrom="paragraph">
                  <wp:posOffset>574703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2.1pt;margin-top:45.2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09C020D7" w:rsidR="003239B8" w:rsidRPr="000D05CB" w:rsidRDefault="0070713F" w:rsidP="008D2290">
            <w:pPr>
              <w:jc w:val="both"/>
              <w:rPr>
                <w:rFonts w:ascii="Cambria" w:hAnsi="Cambria"/>
                <w:bCs/>
                <w:sz w:val="20"/>
                <w:szCs w:val="20"/>
              </w:rPr>
            </w:pPr>
            <w:r>
              <w:rPr>
                <w:rFonts w:ascii="Cambria" w:hAnsi="Cambria"/>
                <w:bCs/>
                <w:sz w:val="20"/>
                <w:szCs w:val="20"/>
              </w:rPr>
              <w:t>Wilfredo Arturo Robles Rivera</w:t>
            </w:r>
          </w:p>
        </w:tc>
      </w:tr>
      <w:tr w:rsidR="003239B8" w:rsidRPr="001E49E7"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9E07C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5735E2F2" w:rsidR="003239B8" w:rsidRPr="000D05CB" w:rsidRDefault="0070713F" w:rsidP="008D2290">
            <w:pPr>
              <w:jc w:val="both"/>
              <w:rPr>
                <w:rFonts w:ascii="Cambria" w:hAnsi="Cambria"/>
                <w:bCs/>
                <w:sz w:val="20"/>
                <w:szCs w:val="20"/>
                <w:lang w:val="es-ES"/>
              </w:rPr>
            </w:pPr>
            <w:r>
              <w:rPr>
                <w:rFonts w:ascii="Cambria" w:hAnsi="Cambria"/>
                <w:bCs/>
                <w:sz w:val="20"/>
                <w:szCs w:val="20"/>
                <w:lang w:val="es-ES"/>
              </w:rPr>
              <w:t>Elvis Keling Rivera Gamarra</w:t>
            </w:r>
            <w:r w:rsidR="004E375B">
              <w:rPr>
                <w:rFonts w:ascii="Cambria" w:hAnsi="Cambria"/>
                <w:bCs/>
                <w:sz w:val="20"/>
                <w:szCs w:val="20"/>
                <w:lang w:val="es-ES"/>
              </w:rPr>
              <w:t xml:space="preserve"> y familiares</w:t>
            </w:r>
            <w:r w:rsidR="004E375B">
              <w:rPr>
                <w:rStyle w:val="FootnoteReference"/>
                <w:rFonts w:ascii="Cambria" w:hAnsi="Cambria"/>
                <w:bCs/>
                <w:sz w:val="20"/>
                <w:szCs w:val="20"/>
                <w:lang w:val="es-ES"/>
              </w:rPr>
              <w:footnoteReference w:id="2"/>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4EF036C2" w:rsidR="003239B8" w:rsidRPr="000D05CB" w:rsidRDefault="0070713F" w:rsidP="008D2290">
            <w:pPr>
              <w:jc w:val="both"/>
              <w:rPr>
                <w:rFonts w:ascii="Cambria" w:hAnsi="Cambria"/>
                <w:bCs/>
                <w:sz w:val="20"/>
                <w:szCs w:val="20"/>
              </w:rPr>
            </w:pPr>
            <w:r>
              <w:rPr>
                <w:rFonts w:ascii="Cambria" w:hAnsi="Cambria"/>
                <w:bCs/>
                <w:sz w:val="20"/>
                <w:szCs w:val="20"/>
              </w:rPr>
              <w:t>Perú</w:t>
            </w:r>
            <w:r w:rsidR="004A6A54" w:rsidRPr="000D05CB">
              <w:rPr>
                <w:rStyle w:val="FootnoteReference"/>
                <w:rFonts w:ascii="Cambria" w:hAnsi="Cambria"/>
                <w:bCs/>
                <w:sz w:val="20"/>
                <w:szCs w:val="20"/>
              </w:rPr>
              <w:footnoteReference w:id="3"/>
            </w:r>
          </w:p>
        </w:tc>
      </w:tr>
      <w:tr w:rsidR="00223A29" w:rsidRPr="003079DE"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204122E3" w:rsidR="00223A29" w:rsidRPr="0098603A" w:rsidRDefault="0098603A" w:rsidP="008D2290">
            <w:pPr>
              <w:jc w:val="both"/>
              <w:rPr>
                <w:rFonts w:ascii="Cambria" w:hAnsi="Cambria"/>
                <w:bCs/>
                <w:sz w:val="20"/>
                <w:szCs w:val="20"/>
                <w:lang w:val="es-ES"/>
              </w:rPr>
            </w:pPr>
            <w:r w:rsidRPr="0098603A">
              <w:rPr>
                <w:rFonts w:ascii="Cambria" w:hAnsi="Cambria"/>
                <w:bCs/>
                <w:sz w:val="20"/>
                <w:szCs w:val="20"/>
                <w:lang w:val="es-ES"/>
              </w:rPr>
              <w:t>Artículos 5</w:t>
            </w:r>
            <w:r>
              <w:rPr>
                <w:rFonts w:ascii="Cambria" w:hAnsi="Cambria"/>
                <w:bCs/>
                <w:sz w:val="20"/>
                <w:szCs w:val="20"/>
                <w:lang w:val="es-ES"/>
              </w:rPr>
              <w:t xml:space="preserve"> (integridad personal)</w:t>
            </w:r>
            <w:r w:rsidRPr="0098603A">
              <w:rPr>
                <w:rFonts w:ascii="Cambria" w:hAnsi="Cambria"/>
                <w:bCs/>
                <w:sz w:val="20"/>
                <w:szCs w:val="20"/>
                <w:lang w:val="es-ES"/>
              </w:rPr>
              <w:t xml:space="preserve">, </w:t>
            </w:r>
            <w:r>
              <w:rPr>
                <w:rFonts w:ascii="Cambria" w:hAnsi="Cambria"/>
                <w:bCs/>
                <w:sz w:val="20"/>
                <w:szCs w:val="20"/>
                <w:lang w:val="es-ES"/>
              </w:rPr>
              <w:t xml:space="preserve">7 (libertad personal), </w:t>
            </w:r>
            <w:r w:rsidRPr="0098603A">
              <w:rPr>
                <w:rFonts w:ascii="Cambria" w:hAnsi="Cambria"/>
                <w:bCs/>
                <w:sz w:val="20"/>
                <w:szCs w:val="20"/>
                <w:lang w:val="es-ES"/>
              </w:rPr>
              <w:t>8</w:t>
            </w:r>
            <w:r>
              <w:rPr>
                <w:rFonts w:ascii="Cambria" w:hAnsi="Cambria"/>
                <w:bCs/>
                <w:sz w:val="20"/>
                <w:szCs w:val="20"/>
                <w:lang w:val="es-ES"/>
              </w:rPr>
              <w:t xml:space="preserve"> (garantías judiciales)</w:t>
            </w:r>
            <w:r w:rsidRPr="0098603A">
              <w:rPr>
                <w:rFonts w:ascii="Cambria" w:hAnsi="Cambria"/>
                <w:bCs/>
                <w:sz w:val="20"/>
                <w:szCs w:val="20"/>
                <w:lang w:val="es-ES"/>
              </w:rPr>
              <w:t>, 9</w:t>
            </w:r>
            <w:r>
              <w:rPr>
                <w:rFonts w:ascii="Cambria" w:hAnsi="Cambria"/>
                <w:bCs/>
                <w:sz w:val="20"/>
                <w:szCs w:val="20"/>
                <w:lang w:val="es-ES"/>
              </w:rPr>
              <w:t xml:space="preserve"> (principio de legalidad y retroactividad)</w:t>
            </w:r>
            <w:r w:rsidRPr="0098603A">
              <w:rPr>
                <w:rFonts w:ascii="Cambria" w:hAnsi="Cambria"/>
                <w:bCs/>
                <w:sz w:val="20"/>
                <w:szCs w:val="20"/>
                <w:lang w:val="es-ES"/>
              </w:rPr>
              <w:t>, 17</w:t>
            </w:r>
            <w:r>
              <w:rPr>
                <w:rFonts w:ascii="Cambria" w:hAnsi="Cambria"/>
                <w:bCs/>
                <w:sz w:val="20"/>
                <w:szCs w:val="20"/>
                <w:lang w:val="es-ES"/>
              </w:rPr>
              <w:t xml:space="preserve"> (protección a la familia)</w:t>
            </w:r>
            <w:r w:rsidRPr="0098603A">
              <w:rPr>
                <w:rFonts w:ascii="Cambria" w:hAnsi="Cambria"/>
                <w:bCs/>
                <w:sz w:val="20"/>
                <w:szCs w:val="20"/>
                <w:lang w:val="es-ES"/>
              </w:rPr>
              <w:t>, 1</w:t>
            </w:r>
            <w:r>
              <w:rPr>
                <w:rFonts w:ascii="Cambria" w:hAnsi="Cambria"/>
                <w:bCs/>
                <w:sz w:val="20"/>
                <w:szCs w:val="20"/>
                <w:lang w:val="es-ES"/>
              </w:rPr>
              <w:t>9 (</w:t>
            </w:r>
            <w:r w:rsidR="00233DF7">
              <w:rPr>
                <w:rFonts w:ascii="Cambria" w:hAnsi="Cambria"/>
                <w:bCs/>
                <w:sz w:val="20"/>
                <w:szCs w:val="20"/>
                <w:lang w:val="es-ES"/>
              </w:rPr>
              <w:t>derechos del niño)</w:t>
            </w:r>
            <w:r w:rsidRPr="0098603A">
              <w:rPr>
                <w:rFonts w:ascii="Cambria" w:hAnsi="Cambria"/>
                <w:bCs/>
                <w:sz w:val="20"/>
                <w:szCs w:val="20"/>
                <w:lang w:val="es-ES"/>
              </w:rPr>
              <w:t>, 23</w:t>
            </w:r>
            <w:r w:rsidR="00233DF7">
              <w:rPr>
                <w:rFonts w:ascii="Cambria" w:hAnsi="Cambria"/>
                <w:bCs/>
                <w:sz w:val="20"/>
                <w:szCs w:val="20"/>
                <w:lang w:val="es-ES"/>
              </w:rPr>
              <w:t xml:space="preserve"> (derechos políticos)</w:t>
            </w:r>
            <w:r w:rsidRPr="0098603A">
              <w:rPr>
                <w:rFonts w:ascii="Cambria" w:hAnsi="Cambria"/>
                <w:bCs/>
                <w:sz w:val="20"/>
                <w:szCs w:val="20"/>
                <w:lang w:val="es-ES"/>
              </w:rPr>
              <w:t>, 24</w:t>
            </w:r>
            <w:r w:rsidR="00233DF7">
              <w:rPr>
                <w:rFonts w:ascii="Cambria" w:hAnsi="Cambria"/>
                <w:bCs/>
                <w:sz w:val="20"/>
                <w:szCs w:val="20"/>
                <w:lang w:val="es-ES"/>
              </w:rPr>
              <w:t xml:space="preserve"> (igualdad ante la ley)</w:t>
            </w:r>
            <w:r w:rsidRPr="0098603A">
              <w:rPr>
                <w:rFonts w:ascii="Cambria" w:hAnsi="Cambria"/>
                <w:bCs/>
                <w:sz w:val="20"/>
                <w:szCs w:val="20"/>
                <w:lang w:val="es-ES"/>
              </w:rPr>
              <w:t xml:space="preserve"> y 25</w:t>
            </w:r>
            <w:r w:rsidR="00233DF7">
              <w:rPr>
                <w:rFonts w:ascii="Cambria" w:hAnsi="Cambria"/>
                <w:bCs/>
                <w:sz w:val="20"/>
                <w:szCs w:val="20"/>
                <w:lang w:val="es-ES"/>
              </w:rPr>
              <w:t xml:space="preserve"> (protección judicial)</w:t>
            </w:r>
            <w:r w:rsidRPr="0098603A">
              <w:rPr>
                <w:rFonts w:ascii="Cambria" w:hAnsi="Cambria"/>
                <w:bCs/>
                <w:sz w:val="20"/>
                <w:szCs w:val="20"/>
                <w:lang w:val="es-ES"/>
              </w:rPr>
              <w:t xml:space="preserve"> de la Convenci</w:t>
            </w:r>
            <w:r>
              <w:rPr>
                <w:rFonts w:ascii="Cambria" w:hAnsi="Cambria"/>
                <w:bCs/>
                <w:sz w:val="20"/>
                <w:szCs w:val="20"/>
                <w:lang w:val="es-ES"/>
              </w:rPr>
              <w:t>ón Americana sobre Derechos Humanos</w:t>
            </w:r>
            <w:r w:rsidR="00233DF7">
              <w:rPr>
                <w:rStyle w:val="FootnoteReference"/>
                <w:rFonts w:ascii="Cambria" w:hAnsi="Cambria"/>
                <w:bCs/>
                <w:sz w:val="20"/>
                <w:szCs w:val="20"/>
                <w:lang w:val="es-ES"/>
              </w:rPr>
              <w:footnoteReference w:id="4"/>
            </w:r>
            <w:r w:rsidR="00424C62">
              <w:rPr>
                <w:rFonts w:ascii="Cambria" w:hAnsi="Cambria"/>
                <w:bCs/>
                <w:sz w:val="20"/>
                <w:szCs w:val="20"/>
                <w:lang w:val="es-ES"/>
              </w:rPr>
              <w:t>; y</w:t>
            </w:r>
            <w:r w:rsidR="00C56B35">
              <w:rPr>
                <w:rFonts w:ascii="Cambria" w:hAnsi="Cambria"/>
                <w:bCs/>
                <w:sz w:val="20"/>
                <w:szCs w:val="20"/>
                <w:lang w:val="es-ES"/>
              </w:rPr>
              <w:t xml:space="preserve"> </w:t>
            </w:r>
            <w:r w:rsidR="00C56B35" w:rsidRPr="00D23DBC">
              <w:rPr>
                <w:rFonts w:asciiTheme="majorHAnsi" w:hAnsiTheme="majorHAnsi"/>
                <w:color w:val="222222"/>
                <w:sz w:val="20"/>
                <w:szCs w:val="20"/>
                <w:lang w:val="es-ES_tradnl"/>
              </w:rPr>
              <w:t>Convención Interamericana para Prevenir y Sancionar la Tortura</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24D5EFAE" w:rsidR="004C2312" w:rsidRPr="003239B8" w:rsidRDefault="0070713F" w:rsidP="002625EA">
            <w:pPr>
              <w:jc w:val="both"/>
              <w:rPr>
                <w:rFonts w:ascii="Cambria" w:hAnsi="Cambria"/>
                <w:bCs/>
                <w:sz w:val="20"/>
                <w:szCs w:val="20"/>
                <w:lang w:val="es-ES"/>
              </w:rPr>
            </w:pPr>
            <w:r>
              <w:rPr>
                <w:rFonts w:ascii="Cambria" w:hAnsi="Cambria"/>
                <w:bCs/>
                <w:sz w:val="20"/>
                <w:szCs w:val="20"/>
                <w:lang w:val="es-ES"/>
              </w:rPr>
              <w:t>18 de enero de 2016</w:t>
            </w:r>
          </w:p>
        </w:tc>
      </w:tr>
      <w:tr w:rsidR="00131425" w:rsidRPr="003079DE"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1889437B" w:rsidR="00131425" w:rsidRPr="003239B8" w:rsidRDefault="0070713F" w:rsidP="002625EA">
            <w:pPr>
              <w:jc w:val="both"/>
              <w:rPr>
                <w:rFonts w:ascii="Cambria" w:hAnsi="Cambria"/>
                <w:bCs/>
                <w:sz w:val="20"/>
                <w:szCs w:val="20"/>
                <w:lang w:val="es-ES"/>
              </w:rPr>
            </w:pPr>
            <w:r>
              <w:rPr>
                <w:rFonts w:ascii="Cambria" w:hAnsi="Cambria"/>
                <w:bCs/>
                <w:sz w:val="20"/>
                <w:szCs w:val="20"/>
                <w:lang w:val="es-ES"/>
              </w:rPr>
              <w:t>5 de febrero de 2016 y 28 de mayo de 2020</w:t>
            </w:r>
          </w:p>
        </w:tc>
      </w:tr>
      <w:tr w:rsidR="004C2312" w:rsidRPr="0070713F"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5E781B36" w:rsidR="004C2312" w:rsidRPr="003239B8" w:rsidRDefault="0070713F" w:rsidP="008D2290">
            <w:pPr>
              <w:jc w:val="both"/>
              <w:rPr>
                <w:rFonts w:ascii="Cambria" w:hAnsi="Cambria"/>
                <w:bCs/>
                <w:sz w:val="20"/>
                <w:szCs w:val="20"/>
                <w:lang w:val="es-ES"/>
              </w:rPr>
            </w:pPr>
            <w:r>
              <w:rPr>
                <w:rFonts w:ascii="Cambria" w:hAnsi="Cambria"/>
                <w:bCs/>
                <w:sz w:val="20"/>
                <w:szCs w:val="20"/>
                <w:lang w:val="es-ES"/>
              </w:rPr>
              <w:t>8 de abril de 2016</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1FE53356" w:rsidR="004C2312" w:rsidRPr="003239B8" w:rsidRDefault="0070713F" w:rsidP="008D2290">
            <w:pPr>
              <w:jc w:val="both"/>
              <w:rPr>
                <w:rFonts w:ascii="Cambria" w:hAnsi="Cambria"/>
                <w:bCs/>
                <w:sz w:val="20"/>
                <w:szCs w:val="20"/>
                <w:lang w:val="es-ES"/>
              </w:rPr>
            </w:pPr>
            <w:r>
              <w:rPr>
                <w:rFonts w:ascii="Cambria" w:hAnsi="Cambria"/>
                <w:bCs/>
                <w:sz w:val="20"/>
                <w:szCs w:val="20"/>
                <w:lang w:val="es-ES"/>
              </w:rPr>
              <w:t>16 de julio de 2020</w:t>
            </w:r>
          </w:p>
        </w:tc>
      </w:tr>
      <w:tr w:rsidR="004C2312" w:rsidRPr="0070713F"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112BD526" w:rsidR="004C2312" w:rsidRPr="003239B8" w:rsidRDefault="0070713F" w:rsidP="008D2290">
            <w:pPr>
              <w:jc w:val="both"/>
              <w:rPr>
                <w:rFonts w:ascii="Cambria" w:hAnsi="Cambria"/>
                <w:bCs/>
                <w:sz w:val="20"/>
                <w:szCs w:val="20"/>
                <w:lang w:val="es-ES"/>
              </w:rPr>
            </w:pPr>
            <w:r>
              <w:rPr>
                <w:rFonts w:ascii="Cambria" w:hAnsi="Cambria"/>
                <w:bCs/>
                <w:sz w:val="20"/>
                <w:szCs w:val="20"/>
                <w:lang w:val="es-ES"/>
              </w:rPr>
              <w:t xml:space="preserve">13 de mayo de 2021 </w:t>
            </w:r>
          </w:p>
        </w:tc>
      </w:tr>
      <w:tr w:rsidR="004C2312" w:rsidRPr="009111EC"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6473A5B6" w:rsidR="004C2312" w:rsidRPr="0070713F" w:rsidRDefault="0070713F" w:rsidP="008D2290">
            <w:pPr>
              <w:jc w:val="both"/>
              <w:rPr>
                <w:rFonts w:ascii="Cambria" w:hAnsi="Cambria"/>
                <w:bCs/>
                <w:sz w:val="20"/>
                <w:szCs w:val="20"/>
                <w:lang w:val="es-ES"/>
              </w:rPr>
            </w:pPr>
            <w:r w:rsidRPr="0070713F">
              <w:rPr>
                <w:rFonts w:ascii="Cambria" w:hAnsi="Cambria"/>
                <w:bCs/>
                <w:sz w:val="20"/>
                <w:szCs w:val="20"/>
                <w:lang w:val="es-ES"/>
              </w:rPr>
              <w:t>22 de noviembre de 2021</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66D71A7C" w:rsidR="003239B8" w:rsidRPr="00B3745F" w:rsidRDefault="0070713F"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73381FE8" w:rsidR="003239B8" w:rsidRPr="00B3745F" w:rsidRDefault="00420B5B"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3ABE2413" w:rsidR="003239B8" w:rsidRPr="00B3745F" w:rsidRDefault="00420B5B" w:rsidP="008D2290">
            <w:pPr>
              <w:rPr>
                <w:rFonts w:ascii="Cambria" w:hAnsi="Cambria"/>
                <w:bCs/>
                <w:sz w:val="20"/>
                <w:szCs w:val="20"/>
              </w:rPr>
            </w:pPr>
            <w:r>
              <w:rPr>
                <w:rFonts w:ascii="Cambria" w:hAnsi="Cambria"/>
                <w:bCs/>
                <w:sz w:val="20"/>
                <w:szCs w:val="20"/>
              </w:rPr>
              <w:t>Sí</w:t>
            </w:r>
          </w:p>
        </w:tc>
      </w:tr>
      <w:tr w:rsidR="003239B8" w:rsidRPr="003079D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110AFA05" w:rsidR="003239B8" w:rsidRPr="00B3745F" w:rsidRDefault="00420B5B" w:rsidP="008D2290">
            <w:pPr>
              <w:jc w:val="both"/>
              <w:rPr>
                <w:rFonts w:ascii="Cambria" w:hAnsi="Cambria"/>
                <w:bCs/>
                <w:sz w:val="20"/>
                <w:szCs w:val="20"/>
                <w:lang w:val="es-ES"/>
              </w:rPr>
            </w:pPr>
            <w:r w:rsidRPr="00420B5B">
              <w:rPr>
                <w:rFonts w:ascii="Cambria" w:hAnsi="Cambria"/>
                <w:bCs/>
                <w:sz w:val="20"/>
                <w:szCs w:val="20"/>
                <w:lang w:val="es-ES"/>
              </w:rPr>
              <w:t>Sí, Convención Americana (depósito del instrumento de ratificación realizado el 28 de julio de 1978)</w:t>
            </w:r>
            <w:r w:rsidR="00C56B35">
              <w:rPr>
                <w:rFonts w:ascii="Cambria" w:hAnsi="Cambria"/>
                <w:bCs/>
                <w:sz w:val="20"/>
                <w:szCs w:val="20"/>
                <w:lang w:val="es-ES"/>
              </w:rPr>
              <w:t xml:space="preserve"> y </w:t>
            </w:r>
            <w:r w:rsidR="00424C62" w:rsidRPr="00424C62">
              <w:rPr>
                <w:rFonts w:asciiTheme="majorHAnsi" w:hAnsiTheme="majorHAnsi"/>
                <w:color w:val="222222"/>
                <w:sz w:val="20"/>
                <w:szCs w:val="20"/>
                <w:lang w:val="es-ES_tradnl"/>
              </w:rPr>
              <w:t xml:space="preserve">Convención Interamericana para Prevenir y Sancionar la Tortura </w:t>
            </w:r>
            <w:r w:rsidR="00C56B35">
              <w:rPr>
                <w:rFonts w:asciiTheme="majorHAnsi" w:hAnsiTheme="majorHAnsi"/>
                <w:color w:val="222222"/>
                <w:sz w:val="20"/>
                <w:szCs w:val="20"/>
                <w:lang w:val="es-ES_tradnl"/>
              </w:rPr>
              <w:t>(depósito del instrumento de ratificación realizado el 28 de marzo de 1991)</w:t>
            </w:r>
          </w:p>
        </w:tc>
      </w:tr>
    </w:tbl>
    <w:p w14:paraId="299A3868" w14:textId="5DDD4832"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8603A" w:rsidRPr="003239B8">
        <w:rPr>
          <w:rFonts w:asciiTheme="majorHAnsi" w:hAnsiTheme="majorHAnsi"/>
          <w:b/>
          <w:bCs/>
          <w:sz w:val="20"/>
          <w:szCs w:val="20"/>
          <w:lang w:val="es-ES"/>
        </w:rPr>
        <w:t>INTERNACIONAL</w:t>
      </w:r>
      <w:r w:rsidR="0098603A">
        <w:rPr>
          <w:rFonts w:asciiTheme="majorHAnsi" w:hAnsiTheme="majorHAnsi"/>
          <w:b/>
          <w:bCs/>
          <w:sz w:val="20"/>
          <w:szCs w:val="20"/>
          <w:lang w:val="es-ES"/>
        </w:rPr>
        <w:t xml:space="preserve">, </w:t>
      </w:r>
      <w:r w:rsidR="0098603A"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9764BD"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68DF6809" w:rsidR="00EE00E9" w:rsidRPr="00DC24E3" w:rsidRDefault="000945EF" w:rsidP="008D2290">
            <w:pPr>
              <w:jc w:val="both"/>
              <w:rPr>
                <w:rFonts w:ascii="Cambria" w:hAnsi="Cambria"/>
                <w:bCs/>
                <w:sz w:val="20"/>
                <w:szCs w:val="20"/>
                <w:lang w:val="es-ES"/>
              </w:rPr>
            </w:pPr>
            <w:r>
              <w:rPr>
                <w:rFonts w:ascii="Cambria" w:hAnsi="Cambria"/>
                <w:bCs/>
                <w:sz w:val="20"/>
                <w:szCs w:val="20"/>
                <w:lang w:val="es-ES"/>
              </w:rPr>
              <w:t>No</w:t>
            </w:r>
          </w:p>
        </w:tc>
      </w:tr>
      <w:tr w:rsidR="003239B8" w:rsidRPr="003079D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43618CB4" w:rsidR="003239B8" w:rsidRPr="00C56B35" w:rsidRDefault="00C56B35" w:rsidP="008D2290">
            <w:pPr>
              <w:jc w:val="both"/>
              <w:rPr>
                <w:rFonts w:ascii="Cambria" w:hAnsi="Cambria"/>
                <w:bCs/>
                <w:sz w:val="20"/>
                <w:szCs w:val="20"/>
                <w:lang w:val="es-ES"/>
              </w:rPr>
            </w:pPr>
            <w:r w:rsidRPr="00C56B35">
              <w:rPr>
                <w:rFonts w:ascii="Cambria" w:hAnsi="Cambria"/>
                <w:bCs/>
                <w:sz w:val="20"/>
                <w:szCs w:val="20"/>
                <w:lang w:val="es-ES"/>
              </w:rPr>
              <w:t>Artículos 5 (integridad personal), 7 (derecho a la libertad personal), 8 (garantías judiciales), 9 (principio de legalidad y retroactividad), 17 (protección a la familia), 19 (derechos del niño), 24 (igualdad ante la ley) y 25 (protección judicial) de la Convención Americana</w:t>
            </w:r>
            <w:r>
              <w:rPr>
                <w:rFonts w:ascii="Cambria" w:hAnsi="Cambria"/>
                <w:bCs/>
                <w:sz w:val="20"/>
                <w:szCs w:val="20"/>
                <w:lang w:val="es-ES"/>
              </w:rPr>
              <w:t xml:space="preserve">, </w:t>
            </w:r>
            <w:r w:rsidR="00424C62">
              <w:rPr>
                <w:rFonts w:ascii="Cambria" w:hAnsi="Cambria"/>
                <w:bCs/>
                <w:sz w:val="20"/>
                <w:szCs w:val="20"/>
                <w:lang w:val="es-ES"/>
              </w:rPr>
              <w:t>en relación con sus artículos 1.1 (obligación de respetar</w:t>
            </w:r>
            <w:r w:rsidR="0026530E">
              <w:rPr>
                <w:rFonts w:ascii="Cambria" w:hAnsi="Cambria"/>
                <w:bCs/>
                <w:sz w:val="20"/>
                <w:szCs w:val="20"/>
                <w:lang w:val="es-ES"/>
              </w:rPr>
              <w:t xml:space="preserve"> y garantizar</w:t>
            </w:r>
            <w:r w:rsidR="00424C62">
              <w:rPr>
                <w:rFonts w:ascii="Cambria" w:hAnsi="Cambria"/>
                <w:bCs/>
                <w:sz w:val="20"/>
                <w:szCs w:val="20"/>
                <w:lang w:val="es-ES"/>
              </w:rPr>
              <w:t xml:space="preserve"> los derechos) y 2 (debe de adoptar disposiciones de derecho interno); </w:t>
            </w:r>
            <w:r>
              <w:rPr>
                <w:rFonts w:ascii="Cambria" w:hAnsi="Cambria"/>
                <w:bCs/>
                <w:sz w:val="20"/>
                <w:szCs w:val="20"/>
                <w:lang w:val="es-ES"/>
              </w:rPr>
              <w:t xml:space="preserve">y </w:t>
            </w:r>
            <w:r w:rsidR="00424C62">
              <w:rPr>
                <w:rFonts w:ascii="Cambria" w:hAnsi="Cambria"/>
                <w:bCs/>
                <w:sz w:val="20"/>
                <w:szCs w:val="20"/>
                <w:lang w:val="es-ES"/>
              </w:rPr>
              <w:t xml:space="preserve">los </w:t>
            </w:r>
            <w:r>
              <w:rPr>
                <w:rFonts w:ascii="Cambria" w:hAnsi="Cambria"/>
                <w:bCs/>
                <w:sz w:val="20"/>
                <w:szCs w:val="20"/>
                <w:lang w:val="es-ES"/>
              </w:rPr>
              <w:t xml:space="preserve">artículos 1, 6 y 8 </w:t>
            </w:r>
            <w:r>
              <w:rPr>
                <w:rFonts w:asciiTheme="majorHAnsi" w:hAnsiTheme="majorHAnsi"/>
                <w:color w:val="222222"/>
                <w:sz w:val="20"/>
                <w:szCs w:val="20"/>
                <w:lang w:val="es-ES_tradnl"/>
              </w:rPr>
              <w:t xml:space="preserve">de la </w:t>
            </w:r>
            <w:r w:rsidR="00424C62" w:rsidRPr="00424C62">
              <w:rPr>
                <w:rFonts w:asciiTheme="majorHAnsi" w:hAnsiTheme="majorHAnsi"/>
                <w:color w:val="222222"/>
                <w:sz w:val="20"/>
                <w:szCs w:val="20"/>
                <w:lang w:val="es-ES_tradnl"/>
              </w:rPr>
              <w:t>Convención Interamericana para Prevenir y Sancionar la Tortura</w:t>
            </w:r>
          </w:p>
        </w:tc>
      </w:tr>
      <w:tr w:rsidR="003239B8" w:rsidRPr="003079DE"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12A8FF07" w:rsidR="003239B8" w:rsidRPr="00DC24E3" w:rsidRDefault="00BC15E3"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3079DE"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317DD119" w:rsidR="003239B8" w:rsidRPr="00715332" w:rsidRDefault="00BC15E3" w:rsidP="008D2290">
            <w:pPr>
              <w:rPr>
                <w:rFonts w:ascii="Cambria" w:hAnsi="Cambria"/>
                <w:bCs/>
                <w:sz w:val="20"/>
                <w:szCs w:val="20"/>
                <w:lang w:val="es-ES"/>
              </w:rPr>
            </w:pPr>
            <w:r w:rsidRPr="00715332">
              <w:rPr>
                <w:rFonts w:ascii="Cambria" w:hAnsi="Cambria"/>
                <w:bCs/>
                <w:sz w:val="20"/>
                <w:szCs w:val="20"/>
                <w:lang w:val="es-ES"/>
              </w:rPr>
              <w:t>Sí, en los términos de la sección VI</w:t>
            </w:r>
          </w:p>
        </w:tc>
      </w:tr>
    </w:tbl>
    <w:p w14:paraId="56FD5D57" w14:textId="035C35FF" w:rsidR="003239B8" w:rsidRPr="00494C3C" w:rsidRDefault="00223A29" w:rsidP="003239B8">
      <w:pPr>
        <w:spacing w:before="240" w:after="240"/>
        <w:ind w:firstLine="720"/>
        <w:jc w:val="both"/>
        <w:rPr>
          <w:rFonts w:asciiTheme="majorHAnsi" w:hAnsiTheme="majorHAnsi"/>
          <w:b/>
          <w:sz w:val="20"/>
          <w:szCs w:val="20"/>
          <w:lang w:val="es-ES_tradnl"/>
        </w:rPr>
      </w:pPr>
      <w:r w:rsidRPr="00494C3C">
        <w:rPr>
          <w:rFonts w:asciiTheme="majorHAnsi" w:hAnsiTheme="majorHAnsi"/>
          <w:b/>
          <w:sz w:val="20"/>
          <w:szCs w:val="20"/>
          <w:lang w:val="es-ES_tradnl"/>
        </w:rPr>
        <w:t xml:space="preserve">V. </w:t>
      </w:r>
      <w:r w:rsidRPr="00494C3C">
        <w:rPr>
          <w:rFonts w:asciiTheme="majorHAnsi" w:hAnsiTheme="majorHAnsi"/>
          <w:b/>
          <w:sz w:val="20"/>
          <w:szCs w:val="20"/>
          <w:lang w:val="es-ES_tradnl"/>
        </w:rPr>
        <w:tab/>
      </w:r>
      <w:r w:rsidR="004241A0" w:rsidRPr="00494C3C">
        <w:rPr>
          <w:rFonts w:asciiTheme="majorHAnsi" w:hAnsiTheme="majorHAnsi"/>
          <w:b/>
          <w:sz w:val="20"/>
          <w:szCs w:val="20"/>
          <w:lang w:val="es-ES_tradnl"/>
        </w:rPr>
        <w:t>POSICIÓN DE LAS PARTES</w:t>
      </w:r>
      <w:r w:rsidR="003239B8" w:rsidRPr="00494C3C">
        <w:rPr>
          <w:rFonts w:asciiTheme="majorHAnsi" w:hAnsiTheme="majorHAnsi"/>
          <w:b/>
          <w:sz w:val="20"/>
          <w:szCs w:val="20"/>
          <w:lang w:val="es-ES_tradnl"/>
        </w:rPr>
        <w:t xml:space="preserve"> </w:t>
      </w:r>
    </w:p>
    <w:p w14:paraId="60059A57" w14:textId="38855863" w:rsidR="004778F5" w:rsidRPr="00494C3C" w:rsidRDefault="004778F5" w:rsidP="004778F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La parte peticionaria denuncia que el señor Rivera Gamarra fue condenado por el delito de terrorismo en una decisión que violó su derecho al principio de legalidad y a las garantías judiciales; y que las condiciones carcelarias que se le impusieron afectaron su integridad personal. Agrega que a pesar de que denunció haber sido torturado al momento de su detención, el Ministerio Público no investigó diligentemente tales hechos.</w:t>
      </w:r>
    </w:p>
    <w:p w14:paraId="756200CD" w14:textId="542D1182" w:rsidR="00D7750A" w:rsidRPr="00494C3C" w:rsidRDefault="00D7750A" w:rsidP="00D775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494C3C">
        <w:rPr>
          <w:rFonts w:asciiTheme="majorHAnsi" w:hAnsiTheme="majorHAnsi"/>
          <w:i/>
          <w:iCs/>
          <w:sz w:val="20"/>
          <w:szCs w:val="20"/>
          <w:lang w:val="es-ES_tradnl"/>
        </w:rPr>
        <w:t>Detención, primer proceso penal y alegadas prácticas de tortura</w:t>
      </w:r>
    </w:p>
    <w:p w14:paraId="0E0F5966" w14:textId="210139A1" w:rsidR="009C3976" w:rsidRPr="00494C3C" w:rsidRDefault="00C05BD5" w:rsidP="000F07B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 xml:space="preserve">El peticionario </w:t>
      </w:r>
      <w:r w:rsidR="0030683A" w:rsidRPr="00494C3C">
        <w:rPr>
          <w:rFonts w:asciiTheme="majorHAnsi" w:hAnsiTheme="majorHAnsi"/>
          <w:sz w:val="20"/>
          <w:szCs w:val="20"/>
          <w:lang w:val="es-ES_tradnl"/>
        </w:rPr>
        <w:t>narra</w:t>
      </w:r>
      <w:r w:rsidR="00D7750A" w:rsidRPr="00494C3C">
        <w:rPr>
          <w:rFonts w:asciiTheme="majorHAnsi" w:hAnsiTheme="majorHAnsi"/>
          <w:sz w:val="20"/>
          <w:szCs w:val="20"/>
          <w:lang w:val="es-ES_tradnl"/>
        </w:rPr>
        <w:t xml:space="preserve"> que el 16 de febrero de 1994 agentes policiales de la División Nacional Contra el Terrorismo (en adelante, “la DINCOTE”) detuvieron </w:t>
      </w:r>
      <w:r w:rsidR="000C0CAD" w:rsidRPr="00494C3C">
        <w:rPr>
          <w:rFonts w:asciiTheme="majorHAnsi" w:hAnsiTheme="majorHAnsi"/>
          <w:sz w:val="20"/>
          <w:szCs w:val="20"/>
          <w:lang w:val="es-ES_tradnl"/>
        </w:rPr>
        <w:t xml:space="preserve">sin orden judicial </w:t>
      </w:r>
      <w:r w:rsidR="00D7750A" w:rsidRPr="00494C3C">
        <w:rPr>
          <w:rFonts w:asciiTheme="majorHAnsi" w:hAnsiTheme="majorHAnsi"/>
          <w:sz w:val="20"/>
          <w:szCs w:val="20"/>
          <w:lang w:val="es-ES_tradnl"/>
        </w:rPr>
        <w:t>a la presunta víctima</w:t>
      </w:r>
      <w:r w:rsidR="000C0CAD" w:rsidRPr="00494C3C">
        <w:rPr>
          <w:rFonts w:asciiTheme="majorHAnsi" w:hAnsiTheme="majorHAnsi"/>
          <w:sz w:val="20"/>
          <w:szCs w:val="20"/>
          <w:lang w:val="es-ES_tradnl"/>
        </w:rPr>
        <w:t xml:space="preserve"> </w:t>
      </w:r>
      <w:r w:rsidR="00D7750A" w:rsidRPr="00494C3C">
        <w:rPr>
          <w:rFonts w:asciiTheme="majorHAnsi" w:hAnsiTheme="majorHAnsi"/>
          <w:sz w:val="20"/>
          <w:szCs w:val="20"/>
          <w:lang w:val="es-ES_tradnl"/>
        </w:rPr>
        <w:t>en su domicilio en el distrito de Villa el Sal</w:t>
      </w:r>
      <w:r w:rsidR="004778F5" w:rsidRPr="00494C3C">
        <w:rPr>
          <w:rFonts w:asciiTheme="majorHAnsi" w:hAnsiTheme="majorHAnsi"/>
          <w:sz w:val="20"/>
          <w:szCs w:val="20"/>
          <w:lang w:val="es-ES_tradnl"/>
        </w:rPr>
        <w:t>v</w:t>
      </w:r>
      <w:r w:rsidR="00D7750A" w:rsidRPr="00494C3C">
        <w:rPr>
          <w:rFonts w:asciiTheme="majorHAnsi" w:hAnsiTheme="majorHAnsi"/>
          <w:sz w:val="20"/>
          <w:szCs w:val="20"/>
          <w:lang w:val="es-ES_tradnl"/>
        </w:rPr>
        <w:t>ador, Lima, y lo condujeron</w:t>
      </w:r>
      <w:r w:rsidR="009C3976" w:rsidRPr="00494C3C">
        <w:rPr>
          <w:rFonts w:asciiTheme="majorHAnsi" w:hAnsiTheme="majorHAnsi"/>
          <w:sz w:val="20"/>
          <w:szCs w:val="20"/>
          <w:lang w:val="es-ES_tradnl"/>
        </w:rPr>
        <w:t xml:space="preserve"> en una camioneta </w:t>
      </w:r>
      <w:r w:rsidR="0038469F" w:rsidRPr="00494C3C">
        <w:rPr>
          <w:rFonts w:asciiTheme="majorHAnsi" w:hAnsiTheme="majorHAnsi"/>
          <w:sz w:val="20"/>
          <w:szCs w:val="20"/>
          <w:lang w:val="es-ES_tradnl"/>
        </w:rPr>
        <w:t>no identificada</w:t>
      </w:r>
      <w:r w:rsidR="00D7750A" w:rsidRPr="00494C3C">
        <w:rPr>
          <w:rFonts w:asciiTheme="majorHAnsi" w:hAnsiTheme="majorHAnsi"/>
          <w:sz w:val="20"/>
          <w:szCs w:val="20"/>
          <w:lang w:val="es-ES_tradnl"/>
        </w:rPr>
        <w:t xml:space="preserve"> a la sede de la DINCOTE, donde permaneció aproximadamente un mes</w:t>
      </w:r>
      <w:r w:rsidR="00ED39B1" w:rsidRPr="00494C3C">
        <w:rPr>
          <w:rFonts w:asciiTheme="majorHAnsi" w:hAnsiTheme="majorHAnsi"/>
          <w:sz w:val="20"/>
          <w:szCs w:val="20"/>
          <w:lang w:val="es-ES_tradnl"/>
        </w:rPr>
        <w:t>,</w:t>
      </w:r>
      <w:r w:rsidR="00D7750A" w:rsidRPr="00494C3C">
        <w:rPr>
          <w:rFonts w:asciiTheme="majorHAnsi" w:hAnsiTheme="majorHAnsi"/>
          <w:sz w:val="20"/>
          <w:szCs w:val="20"/>
          <w:lang w:val="es-ES_tradnl"/>
        </w:rPr>
        <w:t xml:space="preserve"> sufriendo maltratos, coacciones y torturas </w:t>
      </w:r>
      <w:r w:rsidR="00B66649" w:rsidRPr="00494C3C">
        <w:rPr>
          <w:rFonts w:asciiTheme="majorHAnsi" w:hAnsiTheme="majorHAnsi"/>
          <w:sz w:val="20"/>
          <w:szCs w:val="20"/>
          <w:lang w:val="es-ES_tradnl"/>
        </w:rPr>
        <w:t xml:space="preserve">con el objetivo de </w:t>
      </w:r>
      <w:r w:rsidR="00D7750A" w:rsidRPr="00494C3C">
        <w:rPr>
          <w:rFonts w:asciiTheme="majorHAnsi" w:hAnsiTheme="majorHAnsi"/>
          <w:sz w:val="20"/>
          <w:szCs w:val="20"/>
          <w:lang w:val="es-ES_tradnl"/>
        </w:rPr>
        <w:t>que se inculpara.</w:t>
      </w:r>
      <w:r w:rsidR="009C3976" w:rsidRPr="00494C3C">
        <w:rPr>
          <w:rFonts w:asciiTheme="majorHAnsi" w:hAnsiTheme="majorHAnsi"/>
          <w:sz w:val="20"/>
          <w:szCs w:val="20"/>
          <w:lang w:val="es-ES_tradnl"/>
        </w:rPr>
        <w:t xml:space="preserve"> </w:t>
      </w:r>
      <w:r w:rsidR="000C0CAD" w:rsidRPr="00494C3C">
        <w:rPr>
          <w:rFonts w:asciiTheme="majorHAnsi" w:hAnsiTheme="majorHAnsi"/>
          <w:sz w:val="20"/>
          <w:szCs w:val="20"/>
          <w:lang w:val="es-ES_tradnl"/>
        </w:rPr>
        <w:t>Detalla</w:t>
      </w:r>
      <w:r w:rsidR="009C3976" w:rsidRPr="00494C3C">
        <w:rPr>
          <w:rFonts w:asciiTheme="majorHAnsi" w:hAnsiTheme="majorHAnsi"/>
          <w:sz w:val="20"/>
          <w:szCs w:val="20"/>
          <w:lang w:val="es-ES_tradnl"/>
        </w:rPr>
        <w:t xml:space="preserve"> que lo electrocutaron con cables de energía, a efectos </w:t>
      </w:r>
      <w:r w:rsidR="00DF74FE" w:rsidRPr="00494C3C">
        <w:rPr>
          <w:rFonts w:asciiTheme="majorHAnsi" w:hAnsiTheme="majorHAnsi"/>
          <w:sz w:val="20"/>
          <w:szCs w:val="20"/>
          <w:lang w:val="es-ES_tradnl"/>
        </w:rPr>
        <w:t>de que brindara</w:t>
      </w:r>
      <w:r w:rsidR="009C3976" w:rsidRPr="00494C3C">
        <w:rPr>
          <w:rFonts w:asciiTheme="majorHAnsi" w:hAnsiTheme="majorHAnsi"/>
          <w:sz w:val="20"/>
          <w:szCs w:val="20"/>
          <w:lang w:val="es-ES_tradnl"/>
        </w:rPr>
        <w:t xml:space="preserve"> el paradero de su hermano mayor</w:t>
      </w:r>
      <w:r w:rsidR="00327B3A" w:rsidRPr="00494C3C">
        <w:rPr>
          <w:rFonts w:asciiTheme="majorHAnsi" w:hAnsiTheme="majorHAnsi"/>
          <w:sz w:val="20"/>
          <w:szCs w:val="20"/>
          <w:lang w:val="es-ES_tradnl"/>
        </w:rPr>
        <w:t xml:space="preserve">, quién había sido identificado </w:t>
      </w:r>
      <w:r w:rsidR="00B66649" w:rsidRPr="00494C3C">
        <w:rPr>
          <w:rFonts w:asciiTheme="majorHAnsi" w:hAnsiTheme="majorHAnsi"/>
          <w:sz w:val="20"/>
          <w:szCs w:val="20"/>
          <w:lang w:val="es-ES_tradnl"/>
        </w:rPr>
        <w:t>como</w:t>
      </w:r>
      <w:r w:rsidR="00327B3A" w:rsidRPr="00494C3C">
        <w:rPr>
          <w:rFonts w:asciiTheme="majorHAnsi" w:hAnsiTheme="majorHAnsi"/>
          <w:sz w:val="20"/>
          <w:szCs w:val="20"/>
          <w:lang w:val="es-ES_tradnl"/>
        </w:rPr>
        <w:t xml:space="preserve"> dirigente de la organización Sendero Luminoso</w:t>
      </w:r>
      <w:r w:rsidR="00B66649" w:rsidRPr="00494C3C">
        <w:rPr>
          <w:rFonts w:asciiTheme="majorHAnsi" w:hAnsiTheme="majorHAnsi"/>
          <w:sz w:val="20"/>
          <w:szCs w:val="20"/>
          <w:lang w:val="es-ES_tradnl"/>
        </w:rPr>
        <w:t xml:space="preserve"> por otra coacusada.</w:t>
      </w:r>
    </w:p>
    <w:p w14:paraId="10475BA5" w14:textId="2F1F7E62" w:rsidR="00FE6B8A" w:rsidRPr="00494C3C" w:rsidRDefault="009C3976" w:rsidP="00597AD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Sostiene que, aproximadamente en el mes de abril</w:t>
      </w:r>
      <w:r w:rsidR="00597ADB" w:rsidRPr="00494C3C">
        <w:rPr>
          <w:rFonts w:asciiTheme="majorHAnsi" w:hAnsiTheme="majorHAnsi"/>
          <w:sz w:val="20"/>
          <w:szCs w:val="20"/>
          <w:lang w:val="es-ES_tradnl"/>
        </w:rPr>
        <w:t>,</w:t>
      </w:r>
      <w:r w:rsidRPr="00494C3C">
        <w:rPr>
          <w:rFonts w:asciiTheme="majorHAnsi" w:hAnsiTheme="majorHAnsi"/>
          <w:sz w:val="20"/>
          <w:szCs w:val="20"/>
          <w:lang w:val="es-ES_tradnl"/>
        </w:rPr>
        <w:t xml:space="preserve"> las autoridades recluyeron al señor Rivera Gamarra en un cuartel que </w:t>
      </w:r>
      <w:r w:rsidR="000C0CAD" w:rsidRPr="00494C3C">
        <w:rPr>
          <w:rFonts w:asciiTheme="majorHAnsi" w:hAnsiTheme="majorHAnsi"/>
          <w:sz w:val="20"/>
          <w:szCs w:val="20"/>
          <w:lang w:val="es-ES_tradnl"/>
        </w:rPr>
        <w:t>era utilizado</w:t>
      </w:r>
      <w:r w:rsidRPr="00494C3C">
        <w:rPr>
          <w:rFonts w:asciiTheme="majorHAnsi" w:hAnsiTheme="majorHAnsi"/>
          <w:sz w:val="20"/>
          <w:szCs w:val="20"/>
          <w:lang w:val="es-ES_tradnl"/>
        </w:rPr>
        <w:t xml:space="preserve"> como sede de la División de Fuerzas Especiales del Ejército del Perú. Afirma que durante ese periodo ni su abogado ni sus familiares conocían su paradero, y que su madre</w:t>
      </w:r>
      <w:r w:rsidR="00B66649" w:rsidRPr="00494C3C">
        <w:rPr>
          <w:rFonts w:asciiTheme="majorHAnsi" w:hAnsiTheme="majorHAnsi"/>
          <w:sz w:val="20"/>
          <w:szCs w:val="20"/>
          <w:lang w:val="es-ES_tradnl"/>
        </w:rPr>
        <w:t xml:space="preserve"> apenas</w:t>
      </w:r>
      <w:r w:rsidRPr="00494C3C">
        <w:rPr>
          <w:rFonts w:asciiTheme="majorHAnsi" w:hAnsiTheme="majorHAnsi"/>
          <w:sz w:val="20"/>
          <w:szCs w:val="20"/>
          <w:lang w:val="es-ES_tradnl"/>
        </w:rPr>
        <w:t xml:space="preserve"> logró ubicarlo unos días antes de que fuera trasladado a la carceleta del Poder Judicial. </w:t>
      </w:r>
      <w:r w:rsidR="000C0CAD" w:rsidRPr="00494C3C">
        <w:rPr>
          <w:rFonts w:asciiTheme="majorHAnsi" w:hAnsiTheme="majorHAnsi"/>
          <w:sz w:val="20"/>
          <w:szCs w:val="20"/>
          <w:lang w:val="es-ES_tradnl"/>
        </w:rPr>
        <w:t>R</w:t>
      </w:r>
      <w:r w:rsidR="00FE6B8A" w:rsidRPr="00494C3C">
        <w:rPr>
          <w:rFonts w:asciiTheme="majorHAnsi" w:hAnsiTheme="majorHAnsi"/>
          <w:sz w:val="20"/>
          <w:szCs w:val="20"/>
          <w:lang w:val="es-ES_tradnl"/>
        </w:rPr>
        <w:t>ecién el 11 de junio de 1994</w:t>
      </w:r>
      <w:r w:rsidR="00597ADB" w:rsidRPr="00494C3C">
        <w:rPr>
          <w:rFonts w:asciiTheme="majorHAnsi" w:hAnsiTheme="majorHAnsi"/>
          <w:sz w:val="20"/>
          <w:szCs w:val="20"/>
          <w:lang w:val="es-ES_tradnl"/>
        </w:rPr>
        <w:t xml:space="preserve">, luego </w:t>
      </w:r>
      <w:r w:rsidR="00DF74FE" w:rsidRPr="00494C3C">
        <w:rPr>
          <w:rFonts w:asciiTheme="majorHAnsi" w:hAnsiTheme="majorHAnsi"/>
          <w:sz w:val="20"/>
          <w:szCs w:val="20"/>
          <w:lang w:val="es-ES_tradnl"/>
        </w:rPr>
        <w:t xml:space="preserve">de </w:t>
      </w:r>
      <w:r w:rsidR="00597ADB" w:rsidRPr="00494C3C">
        <w:rPr>
          <w:rFonts w:asciiTheme="majorHAnsi" w:hAnsiTheme="majorHAnsi"/>
          <w:sz w:val="20"/>
          <w:szCs w:val="20"/>
          <w:lang w:val="es-ES_tradnl"/>
        </w:rPr>
        <w:t xml:space="preserve">que las autoridades iniciaran en su contra un proceso penal en el fuero militar, </w:t>
      </w:r>
      <w:r w:rsidR="00FE6B8A" w:rsidRPr="00494C3C">
        <w:rPr>
          <w:rFonts w:asciiTheme="majorHAnsi" w:hAnsiTheme="majorHAnsi"/>
          <w:sz w:val="20"/>
          <w:szCs w:val="20"/>
          <w:lang w:val="es-ES_tradnl"/>
        </w:rPr>
        <w:t xml:space="preserve">el señor </w:t>
      </w:r>
      <w:r w:rsidR="00182545" w:rsidRPr="00494C3C">
        <w:rPr>
          <w:rFonts w:asciiTheme="majorHAnsi" w:hAnsiTheme="majorHAnsi"/>
          <w:sz w:val="20"/>
          <w:szCs w:val="20"/>
          <w:lang w:val="es-ES_tradnl"/>
        </w:rPr>
        <w:t>Rivera Gamarra</w:t>
      </w:r>
      <w:r w:rsidR="00FE6B8A" w:rsidRPr="00494C3C">
        <w:rPr>
          <w:rFonts w:asciiTheme="majorHAnsi" w:hAnsiTheme="majorHAnsi"/>
          <w:sz w:val="20"/>
          <w:szCs w:val="20"/>
          <w:lang w:val="es-ES_tradnl"/>
        </w:rPr>
        <w:t xml:space="preserve"> ingresó al Establecimiento Penal Miguel Castro Castro, donde fue sometido a condiciones carcelerías con encierro en aislamiento celular y una alimentación paupérrima. </w:t>
      </w:r>
    </w:p>
    <w:p w14:paraId="0179419F" w14:textId="20F1ADC3" w:rsidR="00D7750A" w:rsidRPr="00494C3C" w:rsidRDefault="007965F9" w:rsidP="00597AD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E</w:t>
      </w:r>
      <w:r w:rsidR="00D7750A" w:rsidRPr="00494C3C">
        <w:rPr>
          <w:rFonts w:asciiTheme="majorHAnsi" w:hAnsiTheme="majorHAnsi"/>
          <w:sz w:val="20"/>
          <w:szCs w:val="20"/>
          <w:lang w:val="es-ES_tradnl"/>
        </w:rPr>
        <w:t xml:space="preserve">l 16 de octubre de 1994 </w:t>
      </w:r>
      <w:r w:rsidR="00FE6B8A" w:rsidRPr="00494C3C">
        <w:rPr>
          <w:rFonts w:asciiTheme="majorHAnsi" w:hAnsiTheme="majorHAnsi"/>
          <w:sz w:val="20"/>
          <w:szCs w:val="20"/>
          <w:lang w:val="es-ES_tradnl"/>
        </w:rPr>
        <w:t xml:space="preserve">jueces </w:t>
      </w:r>
      <w:r w:rsidR="00310D87" w:rsidRPr="00494C3C">
        <w:rPr>
          <w:rFonts w:asciiTheme="majorHAnsi" w:hAnsiTheme="majorHAnsi"/>
          <w:sz w:val="20"/>
          <w:szCs w:val="20"/>
          <w:lang w:val="es-ES_tradnl"/>
        </w:rPr>
        <w:t>“</w:t>
      </w:r>
      <w:r w:rsidR="00FE6B8A" w:rsidRPr="00494C3C">
        <w:rPr>
          <w:rFonts w:asciiTheme="majorHAnsi" w:hAnsiTheme="majorHAnsi"/>
          <w:sz w:val="20"/>
          <w:szCs w:val="20"/>
          <w:lang w:val="es-ES_tradnl"/>
        </w:rPr>
        <w:t>con identidad secreta</w:t>
      </w:r>
      <w:r w:rsidR="00310D87" w:rsidRPr="00494C3C">
        <w:rPr>
          <w:rFonts w:asciiTheme="majorHAnsi" w:hAnsiTheme="majorHAnsi"/>
          <w:sz w:val="20"/>
          <w:szCs w:val="20"/>
          <w:lang w:val="es-ES_tradnl"/>
        </w:rPr>
        <w:t>”</w:t>
      </w:r>
      <w:r w:rsidR="00FE6B8A" w:rsidRPr="00494C3C">
        <w:rPr>
          <w:rFonts w:asciiTheme="majorHAnsi" w:hAnsiTheme="majorHAnsi"/>
          <w:sz w:val="20"/>
          <w:szCs w:val="20"/>
          <w:lang w:val="es-ES_tradnl"/>
        </w:rPr>
        <w:t xml:space="preserve"> condenaron </w:t>
      </w:r>
      <w:r w:rsidR="003766B4" w:rsidRPr="00494C3C">
        <w:rPr>
          <w:rFonts w:asciiTheme="majorHAnsi" w:hAnsiTheme="majorHAnsi"/>
          <w:sz w:val="20"/>
          <w:szCs w:val="20"/>
          <w:lang w:val="es-ES_tradnl"/>
        </w:rPr>
        <w:t xml:space="preserve">a la presunta víctima </w:t>
      </w:r>
      <w:r w:rsidR="00FE6B8A" w:rsidRPr="00494C3C">
        <w:rPr>
          <w:rFonts w:asciiTheme="majorHAnsi" w:hAnsiTheme="majorHAnsi"/>
          <w:sz w:val="20"/>
          <w:szCs w:val="20"/>
          <w:lang w:val="es-ES_tradnl"/>
        </w:rPr>
        <w:t xml:space="preserve">en el </w:t>
      </w:r>
      <w:r w:rsidR="00597ADB" w:rsidRPr="00494C3C">
        <w:rPr>
          <w:rFonts w:asciiTheme="majorHAnsi" w:hAnsiTheme="majorHAnsi"/>
          <w:sz w:val="20"/>
          <w:szCs w:val="20"/>
          <w:lang w:val="es-ES_tradnl"/>
        </w:rPr>
        <w:t xml:space="preserve">fuero castrense </w:t>
      </w:r>
      <w:r w:rsidR="00FE6B8A" w:rsidRPr="00494C3C">
        <w:rPr>
          <w:rFonts w:asciiTheme="majorHAnsi" w:hAnsiTheme="majorHAnsi"/>
          <w:sz w:val="20"/>
          <w:szCs w:val="20"/>
          <w:lang w:val="es-ES_tradnl"/>
        </w:rPr>
        <w:t>por el delito de traición a la patria, regulado en el Decreto Ley N° 25659, a treinta años de pena privativa de libertad</w:t>
      </w:r>
      <w:r w:rsidR="00D412CC" w:rsidRPr="00494C3C">
        <w:rPr>
          <w:rFonts w:asciiTheme="majorHAnsi" w:hAnsiTheme="majorHAnsi"/>
          <w:sz w:val="20"/>
          <w:szCs w:val="20"/>
          <w:lang w:val="es-ES_tradnl"/>
        </w:rPr>
        <w:t xml:space="preserve">, </w:t>
      </w:r>
      <w:r w:rsidR="00FE5458" w:rsidRPr="00494C3C">
        <w:rPr>
          <w:rFonts w:asciiTheme="majorHAnsi" w:hAnsiTheme="majorHAnsi"/>
          <w:sz w:val="20"/>
          <w:szCs w:val="20"/>
          <w:lang w:val="es-ES_tradnl"/>
        </w:rPr>
        <w:t xml:space="preserve">según alega el peticionario, </w:t>
      </w:r>
      <w:r w:rsidR="00D412CC" w:rsidRPr="00494C3C">
        <w:rPr>
          <w:rFonts w:asciiTheme="majorHAnsi" w:hAnsiTheme="majorHAnsi"/>
          <w:sz w:val="20"/>
          <w:szCs w:val="20"/>
          <w:lang w:val="es-ES_tradnl"/>
        </w:rPr>
        <w:t xml:space="preserve">utilizando las pruebas que se </w:t>
      </w:r>
      <w:r w:rsidR="00FE5458" w:rsidRPr="00494C3C">
        <w:rPr>
          <w:rFonts w:asciiTheme="majorHAnsi" w:hAnsiTheme="majorHAnsi"/>
          <w:sz w:val="20"/>
          <w:szCs w:val="20"/>
          <w:lang w:val="es-ES_tradnl"/>
        </w:rPr>
        <w:t xml:space="preserve">le </w:t>
      </w:r>
      <w:r w:rsidR="00D412CC" w:rsidRPr="00494C3C">
        <w:rPr>
          <w:rFonts w:asciiTheme="majorHAnsi" w:hAnsiTheme="majorHAnsi"/>
          <w:sz w:val="20"/>
          <w:szCs w:val="20"/>
          <w:lang w:val="es-ES_tradnl"/>
        </w:rPr>
        <w:t>extrajeron mediante tortura</w:t>
      </w:r>
      <w:r w:rsidR="00FE6B8A" w:rsidRPr="00494C3C">
        <w:rPr>
          <w:rFonts w:asciiTheme="majorHAnsi" w:hAnsiTheme="majorHAnsi"/>
          <w:sz w:val="20"/>
          <w:szCs w:val="20"/>
          <w:lang w:val="es-ES_tradnl"/>
        </w:rPr>
        <w:t xml:space="preserve">. </w:t>
      </w:r>
      <w:r w:rsidR="00FE5458" w:rsidRPr="00494C3C">
        <w:rPr>
          <w:rFonts w:asciiTheme="majorHAnsi" w:hAnsiTheme="majorHAnsi"/>
          <w:sz w:val="20"/>
          <w:szCs w:val="20"/>
          <w:lang w:val="es-ES_tradnl"/>
        </w:rPr>
        <w:t>E</w:t>
      </w:r>
      <w:r w:rsidR="00FE6B8A" w:rsidRPr="00494C3C">
        <w:rPr>
          <w:rFonts w:asciiTheme="majorHAnsi" w:hAnsiTheme="majorHAnsi"/>
          <w:sz w:val="20"/>
          <w:szCs w:val="20"/>
          <w:lang w:val="es-ES_tradnl"/>
        </w:rPr>
        <w:t xml:space="preserve">l 27 de abril de 1995 el Consejo Supremo de Justicia Miliar, en segunda instancia, elevó su pena a cadena perpetua. </w:t>
      </w:r>
      <w:r w:rsidR="00B92880" w:rsidRPr="00494C3C">
        <w:rPr>
          <w:rFonts w:asciiTheme="majorHAnsi" w:hAnsiTheme="majorHAnsi"/>
          <w:sz w:val="20"/>
          <w:szCs w:val="20"/>
          <w:lang w:val="es-ES_tradnl"/>
        </w:rPr>
        <w:t>L</w:t>
      </w:r>
      <w:r w:rsidR="00FE6B8A" w:rsidRPr="00494C3C">
        <w:rPr>
          <w:rFonts w:asciiTheme="majorHAnsi" w:hAnsiTheme="majorHAnsi"/>
          <w:sz w:val="20"/>
          <w:szCs w:val="20"/>
          <w:lang w:val="es-ES_tradnl"/>
        </w:rPr>
        <w:t xml:space="preserve">a representación de la presunta víctima recurrió esta decisión, </w:t>
      </w:r>
      <w:r w:rsidRPr="00494C3C">
        <w:rPr>
          <w:rFonts w:asciiTheme="majorHAnsi" w:hAnsiTheme="majorHAnsi"/>
          <w:sz w:val="20"/>
          <w:szCs w:val="20"/>
          <w:lang w:val="es-ES_tradnl"/>
        </w:rPr>
        <w:t xml:space="preserve">y logró </w:t>
      </w:r>
      <w:r w:rsidR="00FE6B8A" w:rsidRPr="00494C3C">
        <w:rPr>
          <w:rFonts w:asciiTheme="majorHAnsi" w:hAnsiTheme="majorHAnsi"/>
          <w:sz w:val="20"/>
          <w:szCs w:val="20"/>
          <w:lang w:val="es-ES_tradnl"/>
        </w:rPr>
        <w:t xml:space="preserve">que la Corte Suprema de Justicia </w:t>
      </w:r>
      <w:r w:rsidRPr="00494C3C">
        <w:rPr>
          <w:rFonts w:asciiTheme="majorHAnsi" w:hAnsiTheme="majorHAnsi"/>
          <w:sz w:val="20"/>
          <w:szCs w:val="20"/>
          <w:lang w:val="es-ES_tradnl"/>
        </w:rPr>
        <w:t xml:space="preserve">rebajara </w:t>
      </w:r>
      <w:r w:rsidR="00FE6B8A" w:rsidRPr="00494C3C">
        <w:rPr>
          <w:rFonts w:asciiTheme="majorHAnsi" w:hAnsiTheme="majorHAnsi"/>
          <w:sz w:val="20"/>
          <w:szCs w:val="20"/>
          <w:lang w:val="es-ES_tradnl"/>
        </w:rPr>
        <w:t>su pena a treinta años</w:t>
      </w:r>
      <w:r w:rsidR="00310D87" w:rsidRPr="00494C3C">
        <w:rPr>
          <w:rFonts w:asciiTheme="majorHAnsi" w:hAnsiTheme="majorHAnsi"/>
          <w:sz w:val="20"/>
          <w:szCs w:val="20"/>
          <w:lang w:val="es-ES_tradnl"/>
        </w:rPr>
        <w:t>, n</w:t>
      </w:r>
      <w:r w:rsidR="00FE6B8A" w:rsidRPr="00494C3C">
        <w:rPr>
          <w:rFonts w:asciiTheme="majorHAnsi" w:hAnsiTheme="majorHAnsi"/>
          <w:sz w:val="20"/>
          <w:szCs w:val="20"/>
          <w:lang w:val="es-ES_tradnl"/>
        </w:rPr>
        <w:t>uevamente.</w:t>
      </w:r>
    </w:p>
    <w:p w14:paraId="7438F3F8" w14:textId="27ACB98A" w:rsidR="00D7750A" w:rsidRPr="00494C3C" w:rsidRDefault="00D7750A" w:rsidP="00D775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494C3C">
        <w:rPr>
          <w:rFonts w:asciiTheme="majorHAnsi" w:hAnsiTheme="majorHAnsi"/>
          <w:i/>
          <w:iCs/>
          <w:sz w:val="20"/>
          <w:szCs w:val="20"/>
          <w:lang w:val="es-ES_tradnl"/>
        </w:rPr>
        <w:t>Sentencia del Tribunal Constitucional que ordena un nuevo juicio</w:t>
      </w:r>
    </w:p>
    <w:p w14:paraId="57440DB4" w14:textId="026812A3" w:rsidR="00060411" w:rsidRPr="00494C3C" w:rsidRDefault="00B92880" w:rsidP="006025E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494C3C">
        <w:rPr>
          <w:rFonts w:asciiTheme="majorHAnsi" w:hAnsiTheme="majorHAnsi"/>
          <w:sz w:val="20"/>
          <w:szCs w:val="20"/>
          <w:lang w:val="es-ES_tradnl"/>
        </w:rPr>
        <w:t>E</w:t>
      </w:r>
      <w:r w:rsidR="00864653" w:rsidRPr="00494C3C">
        <w:rPr>
          <w:rFonts w:asciiTheme="majorHAnsi" w:hAnsiTheme="majorHAnsi"/>
          <w:sz w:val="20"/>
          <w:szCs w:val="20"/>
          <w:lang w:val="es-ES_tradnl"/>
        </w:rPr>
        <w:t xml:space="preserve">l 1 de agosto de 2002 la representación de la presunta víctima interpuso una acción de hábeas corpus, alegando la violación de sus derechos constitucionales al juez natural y a la defensa. No obstante, el 8 de agosto de 2002 el Trigésimo Tercer Juzgado Penal de Lima declaró improcedente la demanda, al considerar que el demandante había sido juzgado conforme a las normas aplicables al momento de los hechos. </w:t>
      </w:r>
      <w:r w:rsidR="00972DD3" w:rsidRPr="00494C3C">
        <w:rPr>
          <w:rFonts w:asciiTheme="majorHAnsi" w:hAnsiTheme="majorHAnsi"/>
          <w:sz w:val="20"/>
          <w:szCs w:val="20"/>
          <w:lang w:val="es-ES_tradnl"/>
        </w:rPr>
        <w:t xml:space="preserve">La representación de la pregunta víctima agrega </w:t>
      </w:r>
      <w:r w:rsidR="00864653" w:rsidRPr="00494C3C">
        <w:rPr>
          <w:rFonts w:asciiTheme="majorHAnsi" w:hAnsiTheme="majorHAnsi"/>
          <w:sz w:val="20"/>
          <w:szCs w:val="20"/>
          <w:lang w:val="es-ES_tradnl"/>
        </w:rPr>
        <w:t xml:space="preserve">que a pesar de que apeló </w:t>
      </w:r>
      <w:r w:rsidR="0018257C" w:rsidRPr="00494C3C">
        <w:rPr>
          <w:rFonts w:asciiTheme="majorHAnsi" w:hAnsiTheme="majorHAnsi"/>
          <w:sz w:val="20"/>
          <w:szCs w:val="20"/>
          <w:lang w:val="es-ES_tradnl"/>
        </w:rPr>
        <w:t>esta</w:t>
      </w:r>
      <w:r w:rsidR="00864653" w:rsidRPr="00494C3C">
        <w:rPr>
          <w:rFonts w:asciiTheme="majorHAnsi" w:hAnsiTheme="majorHAnsi"/>
          <w:sz w:val="20"/>
          <w:szCs w:val="20"/>
          <w:lang w:val="es-ES_tradnl"/>
        </w:rPr>
        <w:t xml:space="preserve"> decisión el 27 de agosto de 2002 la Sala de Apelaciones de Procesos Sumarios con Reos Libres de la Corte Superior de Justicia de Lima </w:t>
      </w:r>
      <w:r w:rsidR="0018257C" w:rsidRPr="00494C3C">
        <w:rPr>
          <w:rFonts w:asciiTheme="majorHAnsi" w:hAnsiTheme="majorHAnsi"/>
          <w:sz w:val="20"/>
          <w:szCs w:val="20"/>
          <w:lang w:val="es-ES_tradnl"/>
        </w:rPr>
        <w:t xml:space="preserve">la </w:t>
      </w:r>
      <w:r w:rsidR="00864653" w:rsidRPr="00494C3C">
        <w:rPr>
          <w:rFonts w:asciiTheme="majorHAnsi" w:hAnsiTheme="majorHAnsi"/>
          <w:sz w:val="20"/>
          <w:szCs w:val="20"/>
          <w:lang w:val="es-ES_tradnl"/>
        </w:rPr>
        <w:lastRenderedPageBreak/>
        <w:t xml:space="preserve">confirmó. </w:t>
      </w:r>
      <w:r w:rsidR="0018257C" w:rsidRPr="00494C3C">
        <w:rPr>
          <w:rFonts w:asciiTheme="majorHAnsi" w:hAnsiTheme="majorHAnsi"/>
          <w:sz w:val="20"/>
          <w:szCs w:val="20"/>
          <w:lang w:val="es-ES_tradnl"/>
        </w:rPr>
        <w:t xml:space="preserve">Luego, </w:t>
      </w:r>
      <w:r w:rsidR="00864653" w:rsidRPr="00494C3C">
        <w:rPr>
          <w:rFonts w:asciiTheme="majorHAnsi" w:hAnsiTheme="majorHAnsi"/>
          <w:sz w:val="20"/>
          <w:szCs w:val="20"/>
          <w:lang w:val="es-ES_tradnl"/>
        </w:rPr>
        <w:t xml:space="preserve">la defensa de la presunta víctima presentó un recurso de agravio constitucional </w:t>
      </w:r>
      <w:r w:rsidR="00972DD3" w:rsidRPr="00494C3C">
        <w:rPr>
          <w:rFonts w:asciiTheme="majorHAnsi" w:hAnsiTheme="majorHAnsi"/>
          <w:sz w:val="20"/>
          <w:szCs w:val="20"/>
          <w:lang w:val="es-ES_tradnl"/>
        </w:rPr>
        <w:t xml:space="preserve">con el que logró </w:t>
      </w:r>
      <w:r w:rsidR="00864653" w:rsidRPr="00494C3C">
        <w:rPr>
          <w:rFonts w:asciiTheme="majorHAnsi" w:hAnsiTheme="majorHAnsi"/>
          <w:sz w:val="20"/>
          <w:szCs w:val="20"/>
          <w:lang w:val="es-ES_tradnl"/>
        </w:rPr>
        <w:t>que el</w:t>
      </w:r>
      <w:r w:rsidR="009764BD" w:rsidRPr="00494C3C">
        <w:rPr>
          <w:rFonts w:asciiTheme="majorHAnsi" w:hAnsiTheme="majorHAnsi"/>
          <w:sz w:val="20"/>
          <w:szCs w:val="20"/>
          <w:lang w:val="es-ES_tradnl"/>
        </w:rPr>
        <w:t xml:space="preserve"> 14 de marzo de 2003 el Tribunal Constitucional, mediante sentencia recaída en el Expediente N° 2511-2002-HC, </w:t>
      </w:r>
      <w:r w:rsidR="00972DD3" w:rsidRPr="00494C3C">
        <w:rPr>
          <w:rFonts w:asciiTheme="majorHAnsi" w:hAnsiTheme="majorHAnsi"/>
          <w:sz w:val="20"/>
          <w:szCs w:val="20"/>
          <w:lang w:val="es-ES_tradnl"/>
        </w:rPr>
        <w:t xml:space="preserve">revocara </w:t>
      </w:r>
      <w:r w:rsidR="00864653" w:rsidRPr="00494C3C">
        <w:rPr>
          <w:rFonts w:asciiTheme="majorHAnsi" w:hAnsiTheme="majorHAnsi"/>
          <w:sz w:val="20"/>
          <w:szCs w:val="20"/>
          <w:lang w:val="es-ES_tradnl"/>
        </w:rPr>
        <w:t xml:space="preserve">las decisiones previas y </w:t>
      </w:r>
      <w:r w:rsidR="00972DD3" w:rsidRPr="00494C3C">
        <w:rPr>
          <w:rFonts w:asciiTheme="majorHAnsi" w:hAnsiTheme="majorHAnsi"/>
          <w:sz w:val="20"/>
          <w:szCs w:val="20"/>
          <w:lang w:val="es-ES_tradnl"/>
        </w:rPr>
        <w:t xml:space="preserve">ordenara </w:t>
      </w:r>
      <w:r w:rsidR="00060411" w:rsidRPr="00494C3C">
        <w:rPr>
          <w:rFonts w:asciiTheme="majorHAnsi" w:hAnsiTheme="majorHAnsi"/>
          <w:sz w:val="20"/>
          <w:szCs w:val="20"/>
          <w:lang w:val="es-ES_tradnl"/>
        </w:rPr>
        <w:t xml:space="preserve">el inicio de un nuevo juicio. </w:t>
      </w:r>
    </w:p>
    <w:p w14:paraId="28A70ED0" w14:textId="1EEF1F08" w:rsidR="00060411" w:rsidRPr="00494C3C" w:rsidRDefault="00060411" w:rsidP="006025E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494C3C">
        <w:rPr>
          <w:rFonts w:asciiTheme="majorHAnsi" w:hAnsiTheme="majorHAnsi"/>
          <w:sz w:val="20"/>
          <w:szCs w:val="20"/>
          <w:lang w:val="es-ES_tradnl"/>
        </w:rPr>
        <w:t>Para arribar a tal conclusión, el Tribunal Constitucional utilizó su precedente recaído en el expediente N° 010-2002-AI, mediante el cual declaró la inconstitucionalidad de un conjunto de artículos de los Decretos Ley N° 25475, 25659, 25708, 25880 y 25744, los cuales fueron utilizados para el procesamiento y condena de personas acusadas de cometer actos terroristas, y reinterpretó muchas de sus disposiciones.</w:t>
      </w:r>
    </w:p>
    <w:p w14:paraId="2015AB3B" w14:textId="5AA06B5F" w:rsidR="00D7750A" w:rsidRPr="00494C3C" w:rsidRDefault="00D7750A" w:rsidP="0006041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494C3C">
        <w:rPr>
          <w:rFonts w:asciiTheme="majorHAnsi" w:hAnsiTheme="majorHAnsi"/>
          <w:i/>
          <w:iCs/>
          <w:sz w:val="20"/>
          <w:szCs w:val="20"/>
          <w:lang w:val="es-ES_tradnl"/>
        </w:rPr>
        <w:t xml:space="preserve">Nuevo proceso penal contra el señor </w:t>
      </w:r>
      <w:r w:rsidR="00182545" w:rsidRPr="00494C3C">
        <w:rPr>
          <w:rFonts w:asciiTheme="majorHAnsi" w:hAnsiTheme="majorHAnsi"/>
          <w:i/>
          <w:iCs/>
          <w:sz w:val="20"/>
          <w:szCs w:val="20"/>
          <w:lang w:val="es-ES_tradnl"/>
        </w:rPr>
        <w:t>Rivera Gamarra</w:t>
      </w:r>
    </w:p>
    <w:p w14:paraId="3149CF49" w14:textId="1E16D7DE" w:rsidR="00327B3A" w:rsidRPr="00494C3C" w:rsidRDefault="00060411" w:rsidP="00327B3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 xml:space="preserve">En virtud de lo anteriormente expuesto, el 12 de mayo de 2003 la Sala Nacional de Terrorismo declaró nulo todo lo actuado en el proceso seguido en el fuero militar, </w:t>
      </w:r>
      <w:r w:rsidR="00CA4EFE" w:rsidRPr="00494C3C">
        <w:rPr>
          <w:rFonts w:asciiTheme="majorHAnsi" w:hAnsiTheme="majorHAnsi"/>
          <w:sz w:val="20"/>
          <w:szCs w:val="20"/>
          <w:lang w:val="es-ES_tradnl"/>
        </w:rPr>
        <w:t xml:space="preserve">lo cual provocó </w:t>
      </w:r>
      <w:r w:rsidRPr="00494C3C">
        <w:rPr>
          <w:rFonts w:asciiTheme="majorHAnsi" w:hAnsiTheme="majorHAnsi"/>
          <w:sz w:val="20"/>
          <w:szCs w:val="20"/>
          <w:lang w:val="es-ES_tradnl"/>
        </w:rPr>
        <w:t>que e</w:t>
      </w:r>
      <w:r w:rsidR="009764BD" w:rsidRPr="00494C3C">
        <w:rPr>
          <w:rFonts w:asciiTheme="majorHAnsi" w:hAnsiTheme="majorHAnsi"/>
          <w:sz w:val="20"/>
          <w:szCs w:val="20"/>
          <w:lang w:val="es-ES_tradnl"/>
        </w:rPr>
        <w:t xml:space="preserve">l 13 de mayo de 2003 el Ministerio Público </w:t>
      </w:r>
      <w:r w:rsidR="00FA5F1E" w:rsidRPr="00494C3C">
        <w:rPr>
          <w:rFonts w:asciiTheme="majorHAnsi" w:hAnsiTheme="majorHAnsi"/>
          <w:sz w:val="20"/>
          <w:szCs w:val="20"/>
          <w:lang w:val="es-ES_tradnl"/>
        </w:rPr>
        <w:t xml:space="preserve">iniciara </w:t>
      </w:r>
      <w:r w:rsidR="009764BD" w:rsidRPr="00494C3C">
        <w:rPr>
          <w:rFonts w:asciiTheme="majorHAnsi" w:hAnsiTheme="majorHAnsi"/>
          <w:sz w:val="20"/>
          <w:szCs w:val="20"/>
          <w:lang w:val="es-ES_tradnl"/>
        </w:rPr>
        <w:t xml:space="preserve">un nuevo proceso </w:t>
      </w:r>
      <w:r w:rsidRPr="00494C3C">
        <w:rPr>
          <w:rFonts w:asciiTheme="majorHAnsi" w:hAnsiTheme="majorHAnsi"/>
          <w:sz w:val="20"/>
          <w:szCs w:val="20"/>
          <w:lang w:val="es-ES_tradnl"/>
        </w:rPr>
        <w:t>en contra del señor Rivera Gamarra</w:t>
      </w:r>
      <w:r w:rsidR="00327B3A" w:rsidRPr="00494C3C">
        <w:rPr>
          <w:rFonts w:asciiTheme="majorHAnsi" w:hAnsiTheme="majorHAnsi"/>
          <w:sz w:val="20"/>
          <w:szCs w:val="20"/>
          <w:lang w:val="es-ES_tradnl"/>
        </w:rPr>
        <w:t>. No obstante, alega el peticionario</w:t>
      </w:r>
      <w:r w:rsidR="007B7D9C" w:rsidRPr="00494C3C">
        <w:rPr>
          <w:rFonts w:asciiTheme="majorHAnsi" w:hAnsiTheme="majorHAnsi"/>
          <w:sz w:val="20"/>
          <w:szCs w:val="20"/>
          <w:lang w:val="es-ES_tradnl"/>
        </w:rPr>
        <w:t>,</w:t>
      </w:r>
      <w:r w:rsidR="00327B3A" w:rsidRPr="00494C3C">
        <w:rPr>
          <w:rFonts w:asciiTheme="majorHAnsi" w:hAnsiTheme="majorHAnsi"/>
          <w:sz w:val="20"/>
          <w:szCs w:val="20"/>
          <w:lang w:val="es-ES_tradnl"/>
        </w:rPr>
        <w:t xml:space="preserve"> las autoridades judiciales, lejos de reconocer las graves violaciones cometidas, utilizaron los medios probatorios empleados en el proceso previo declarado nulo, incluyendo las declaraciones extraídas mediante tortura. </w:t>
      </w:r>
    </w:p>
    <w:p w14:paraId="39B57765" w14:textId="7BEECCED" w:rsidR="004A7FBD" w:rsidRPr="00494C3C" w:rsidRDefault="007B7D9C" w:rsidP="00E7786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Así</w:t>
      </w:r>
      <w:r w:rsidR="00327B3A" w:rsidRPr="00494C3C">
        <w:rPr>
          <w:rFonts w:asciiTheme="majorHAnsi" w:hAnsiTheme="majorHAnsi"/>
          <w:sz w:val="20"/>
          <w:szCs w:val="20"/>
          <w:lang w:val="es-ES_tradnl"/>
        </w:rPr>
        <w:t>, e</w:t>
      </w:r>
      <w:r w:rsidR="009764BD" w:rsidRPr="00494C3C">
        <w:rPr>
          <w:rFonts w:asciiTheme="majorHAnsi" w:hAnsiTheme="majorHAnsi"/>
          <w:sz w:val="20"/>
          <w:szCs w:val="20"/>
          <w:lang w:val="es-ES_tradnl"/>
        </w:rPr>
        <w:t>l 13 de marzo de 2006 la Sala Nacional de Terrorismo</w:t>
      </w:r>
      <w:r w:rsidR="00310D87" w:rsidRPr="00494C3C">
        <w:rPr>
          <w:rFonts w:asciiTheme="majorHAnsi" w:hAnsiTheme="majorHAnsi"/>
          <w:sz w:val="20"/>
          <w:szCs w:val="20"/>
          <w:lang w:val="es-ES_tradnl"/>
        </w:rPr>
        <w:t xml:space="preserve">, </w:t>
      </w:r>
      <w:r w:rsidR="00635E22" w:rsidRPr="00494C3C">
        <w:rPr>
          <w:rFonts w:asciiTheme="majorHAnsi" w:hAnsiTheme="majorHAnsi"/>
          <w:sz w:val="20"/>
          <w:szCs w:val="20"/>
          <w:lang w:val="es-ES_tradnl"/>
        </w:rPr>
        <w:t xml:space="preserve">utilizando </w:t>
      </w:r>
      <w:r w:rsidR="00310D87" w:rsidRPr="00494C3C">
        <w:rPr>
          <w:rFonts w:asciiTheme="majorHAnsi" w:hAnsiTheme="majorHAnsi"/>
          <w:sz w:val="20"/>
          <w:szCs w:val="20"/>
          <w:lang w:val="es-ES_tradnl"/>
        </w:rPr>
        <w:t>los artículos 2 y 3 del Decreto Ley N° 25475,</w:t>
      </w:r>
      <w:r w:rsidR="009764BD" w:rsidRPr="00494C3C">
        <w:rPr>
          <w:rFonts w:asciiTheme="majorHAnsi" w:hAnsiTheme="majorHAnsi"/>
          <w:sz w:val="20"/>
          <w:szCs w:val="20"/>
          <w:lang w:val="es-ES_tradnl"/>
        </w:rPr>
        <w:t xml:space="preserve"> condenó a la presunta víctima</w:t>
      </w:r>
      <w:r w:rsidR="00310D87" w:rsidRPr="00494C3C">
        <w:rPr>
          <w:rFonts w:asciiTheme="majorHAnsi" w:hAnsiTheme="majorHAnsi"/>
          <w:sz w:val="20"/>
          <w:szCs w:val="20"/>
          <w:lang w:val="es-ES_tradnl"/>
        </w:rPr>
        <w:t xml:space="preserve"> a veinticinco años de pena privativa de libertad</w:t>
      </w:r>
      <w:r w:rsidR="009764BD" w:rsidRPr="00494C3C">
        <w:rPr>
          <w:rFonts w:asciiTheme="majorHAnsi" w:hAnsiTheme="majorHAnsi"/>
          <w:sz w:val="20"/>
          <w:szCs w:val="20"/>
          <w:lang w:val="es-ES_tradnl"/>
        </w:rPr>
        <w:t xml:space="preserve">, al considerar que </w:t>
      </w:r>
      <w:r w:rsidR="00327B3A" w:rsidRPr="00494C3C">
        <w:rPr>
          <w:rFonts w:asciiTheme="majorHAnsi" w:hAnsiTheme="majorHAnsi"/>
          <w:sz w:val="20"/>
          <w:szCs w:val="20"/>
          <w:lang w:val="es-ES_tradnl"/>
        </w:rPr>
        <w:t>formó parte de la organización subversiva Sendero Luminoso</w:t>
      </w:r>
      <w:r w:rsidR="007A4B63" w:rsidRPr="00494C3C">
        <w:rPr>
          <w:rFonts w:asciiTheme="majorHAnsi" w:hAnsiTheme="majorHAnsi"/>
          <w:sz w:val="20"/>
          <w:szCs w:val="20"/>
          <w:lang w:val="es-ES_tradnl"/>
        </w:rPr>
        <w:t>;</w:t>
      </w:r>
      <w:r w:rsidR="00327B3A" w:rsidRPr="00494C3C">
        <w:rPr>
          <w:rFonts w:asciiTheme="majorHAnsi" w:hAnsiTheme="majorHAnsi"/>
          <w:sz w:val="20"/>
          <w:szCs w:val="20"/>
          <w:lang w:val="es-ES_tradnl"/>
        </w:rPr>
        <w:t xml:space="preserve"> y que participó </w:t>
      </w:r>
      <w:r w:rsidR="009764BD" w:rsidRPr="00494C3C">
        <w:rPr>
          <w:rFonts w:asciiTheme="majorHAnsi" w:hAnsiTheme="majorHAnsi"/>
          <w:sz w:val="20"/>
          <w:szCs w:val="20"/>
          <w:lang w:val="es-ES_tradnl"/>
        </w:rPr>
        <w:t>en los ataques con coche bomba contra el local de la Prefectura</w:t>
      </w:r>
      <w:r w:rsidR="007F64B8" w:rsidRPr="00494C3C">
        <w:rPr>
          <w:rFonts w:asciiTheme="majorHAnsi" w:hAnsiTheme="majorHAnsi"/>
          <w:sz w:val="20"/>
          <w:szCs w:val="20"/>
          <w:lang w:val="es-ES_tradnl"/>
        </w:rPr>
        <w:t xml:space="preserve"> </w:t>
      </w:r>
      <w:r w:rsidR="009764BD" w:rsidRPr="00494C3C">
        <w:rPr>
          <w:rFonts w:asciiTheme="majorHAnsi" w:hAnsiTheme="majorHAnsi"/>
          <w:sz w:val="20"/>
          <w:szCs w:val="20"/>
          <w:lang w:val="es-ES_tradnl"/>
        </w:rPr>
        <w:t>el 28 de diciembre de 1993</w:t>
      </w:r>
      <w:r w:rsidR="007A4B63" w:rsidRPr="00494C3C">
        <w:rPr>
          <w:rFonts w:asciiTheme="majorHAnsi" w:hAnsiTheme="majorHAnsi"/>
          <w:sz w:val="20"/>
          <w:szCs w:val="20"/>
          <w:lang w:val="es-ES_tradnl"/>
        </w:rPr>
        <w:t>,</w:t>
      </w:r>
      <w:r w:rsidR="009764BD" w:rsidRPr="00494C3C">
        <w:rPr>
          <w:rFonts w:asciiTheme="majorHAnsi" w:hAnsiTheme="majorHAnsi"/>
          <w:sz w:val="20"/>
          <w:szCs w:val="20"/>
          <w:lang w:val="es-ES_tradnl"/>
        </w:rPr>
        <w:t xml:space="preserve"> y contra las instalaciones del Cuartel de Comandancia General de la Fuerza Aérea del Perú el 7 de febrero de 1994. </w:t>
      </w:r>
      <w:r w:rsidR="00E77864" w:rsidRPr="00494C3C">
        <w:rPr>
          <w:rFonts w:asciiTheme="majorHAnsi" w:hAnsiTheme="majorHAnsi"/>
          <w:sz w:val="20"/>
          <w:szCs w:val="20"/>
          <w:lang w:val="es-ES_tradnl"/>
        </w:rPr>
        <w:t>Además, resalta que como pena accesoria se le impuso al señor Rivera Gamarra la obligación solidaria, junto con el resto de las personas condenadas, de pagar por concepto de reparación civil 150,000.00 soles (</w:t>
      </w:r>
      <w:r w:rsidR="007A4B63" w:rsidRPr="00494C3C">
        <w:rPr>
          <w:rFonts w:asciiTheme="majorHAnsi" w:hAnsiTheme="majorHAnsi"/>
          <w:sz w:val="20"/>
          <w:szCs w:val="20"/>
          <w:lang w:val="es-ES_tradnl"/>
        </w:rPr>
        <w:t xml:space="preserve">USD$. </w:t>
      </w:r>
      <w:r w:rsidR="00E77864" w:rsidRPr="00494C3C">
        <w:rPr>
          <w:rFonts w:asciiTheme="majorHAnsi" w:hAnsiTheme="majorHAnsi"/>
          <w:sz w:val="20"/>
          <w:szCs w:val="20"/>
          <w:lang w:val="es-ES_tradnl"/>
        </w:rPr>
        <w:t xml:space="preserve">43,000.00 aproximadamente). </w:t>
      </w:r>
    </w:p>
    <w:p w14:paraId="36BB75F4" w14:textId="468AFD93" w:rsidR="007F64B8" w:rsidRPr="00494C3C" w:rsidRDefault="004A7FBD" w:rsidP="00B64C5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Ante esta situación, la presunta víctima interpuso un recurso de nulidad, alegando, entre otros puntos, que no se le otorgó valor a las pruebas que aportó para demostrar su inocencia y probar que los policías cometieron prácticas de tortura en su contra</w:t>
      </w:r>
      <w:r w:rsidR="00B64C5E" w:rsidRPr="00494C3C">
        <w:rPr>
          <w:rFonts w:asciiTheme="majorHAnsi" w:hAnsiTheme="majorHAnsi"/>
          <w:sz w:val="20"/>
          <w:szCs w:val="20"/>
          <w:lang w:val="es-ES_tradnl"/>
        </w:rPr>
        <w:t>. Sin embargo,</w:t>
      </w:r>
      <w:r w:rsidR="00E77864" w:rsidRPr="00494C3C">
        <w:rPr>
          <w:rFonts w:asciiTheme="majorHAnsi" w:hAnsiTheme="majorHAnsi"/>
          <w:sz w:val="20"/>
          <w:szCs w:val="20"/>
          <w:lang w:val="es-ES_tradnl"/>
        </w:rPr>
        <w:t xml:space="preserve"> </w:t>
      </w:r>
      <w:r w:rsidR="009764BD" w:rsidRPr="00494C3C">
        <w:rPr>
          <w:rFonts w:asciiTheme="majorHAnsi" w:hAnsiTheme="majorHAnsi"/>
          <w:sz w:val="20"/>
          <w:szCs w:val="20"/>
          <w:lang w:val="es-ES_tradnl"/>
        </w:rPr>
        <w:t xml:space="preserve">el 25 de febrero de 2008 la Sala Permanente de la Corte Suprema confirmó </w:t>
      </w:r>
      <w:r w:rsidR="00E77864" w:rsidRPr="00494C3C">
        <w:rPr>
          <w:rFonts w:asciiTheme="majorHAnsi" w:hAnsiTheme="majorHAnsi"/>
          <w:sz w:val="20"/>
          <w:szCs w:val="20"/>
          <w:lang w:val="es-ES_tradnl"/>
        </w:rPr>
        <w:t xml:space="preserve">el </w:t>
      </w:r>
      <w:r w:rsidR="009764BD" w:rsidRPr="00494C3C">
        <w:rPr>
          <w:rFonts w:asciiTheme="majorHAnsi" w:hAnsiTheme="majorHAnsi"/>
          <w:sz w:val="20"/>
          <w:szCs w:val="20"/>
          <w:lang w:val="es-ES_tradnl"/>
        </w:rPr>
        <w:t>fall</w:t>
      </w:r>
      <w:r w:rsidR="00483A3A" w:rsidRPr="00494C3C">
        <w:rPr>
          <w:rFonts w:asciiTheme="majorHAnsi" w:hAnsiTheme="majorHAnsi"/>
          <w:sz w:val="20"/>
          <w:szCs w:val="20"/>
          <w:lang w:val="es-ES_tradnl"/>
        </w:rPr>
        <w:t>o</w:t>
      </w:r>
      <w:r w:rsidR="009764BD" w:rsidRPr="00494C3C">
        <w:rPr>
          <w:rFonts w:asciiTheme="majorHAnsi" w:hAnsiTheme="majorHAnsi"/>
          <w:sz w:val="20"/>
          <w:szCs w:val="20"/>
          <w:lang w:val="es-ES_tradnl"/>
        </w:rPr>
        <w:t xml:space="preserve"> condenatorio. </w:t>
      </w:r>
    </w:p>
    <w:p w14:paraId="7A027584" w14:textId="67908157" w:rsidR="00D7750A" w:rsidRPr="00494C3C" w:rsidRDefault="00D7750A" w:rsidP="00D775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494C3C">
        <w:rPr>
          <w:rFonts w:asciiTheme="majorHAnsi" w:hAnsiTheme="majorHAnsi"/>
          <w:i/>
          <w:iCs/>
          <w:sz w:val="20"/>
          <w:szCs w:val="20"/>
          <w:lang w:val="es-ES_tradnl"/>
        </w:rPr>
        <w:t>Proceso de hábeas corpus</w:t>
      </w:r>
    </w:p>
    <w:p w14:paraId="09EFB324" w14:textId="4F41FDEE" w:rsidR="00A73CEB" w:rsidRPr="00494C3C" w:rsidRDefault="00483A3A" w:rsidP="00B64C5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 xml:space="preserve">Ante ello, el 13 de enero de 2010 la representación del señor Rivera Gamarra inició un proceso de hábeas corpus contra la </w:t>
      </w:r>
      <w:r w:rsidR="004F48D2" w:rsidRPr="00494C3C">
        <w:rPr>
          <w:rFonts w:asciiTheme="majorHAnsi" w:hAnsiTheme="majorHAnsi"/>
          <w:sz w:val="20"/>
          <w:szCs w:val="20"/>
          <w:lang w:val="es-ES_tradnl"/>
        </w:rPr>
        <w:t>citada sentencia</w:t>
      </w:r>
      <w:r w:rsidRPr="00494C3C">
        <w:rPr>
          <w:rFonts w:asciiTheme="majorHAnsi" w:hAnsiTheme="majorHAnsi"/>
          <w:sz w:val="20"/>
          <w:szCs w:val="20"/>
          <w:lang w:val="es-ES_tradnl"/>
        </w:rPr>
        <w:t xml:space="preserve"> condenatoria, </w:t>
      </w:r>
      <w:r w:rsidR="00FA5F1E" w:rsidRPr="00494C3C">
        <w:rPr>
          <w:rFonts w:asciiTheme="majorHAnsi" w:hAnsiTheme="majorHAnsi"/>
          <w:sz w:val="20"/>
          <w:szCs w:val="20"/>
          <w:lang w:val="es-ES_tradnl"/>
        </w:rPr>
        <w:t xml:space="preserve">en la que alegó </w:t>
      </w:r>
      <w:r w:rsidR="004F48D2" w:rsidRPr="00494C3C">
        <w:rPr>
          <w:rFonts w:asciiTheme="majorHAnsi" w:hAnsiTheme="majorHAnsi"/>
          <w:sz w:val="20"/>
          <w:szCs w:val="20"/>
          <w:lang w:val="es-ES_tradnl"/>
        </w:rPr>
        <w:t xml:space="preserve">se utilizaron pruebas recabadas en el proceso </w:t>
      </w:r>
      <w:r w:rsidR="00CE3C12" w:rsidRPr="00494C3C">
        <w:rPr>
          <w:rFonts w:asciiTheme="majorHAnsi" w:hAnsiTheme="majorHAnsi"/>
          <w:sz w:val="20"/>
          <w:szCs w:val="20"/>
          <w:lang w:val="es-ES_tradnl"/>
        </w:rPr>
        <w:t xml:space="preserve">penal </w:t>
      </w:r>
      <w:r w:rsidR="004F48D2" w:rsidRPr="00494C3C">
        <w:rPr>
          <w:rFonts w:asciiTheme="majorHAnsi" w:hAnsiTheme="majorHAnsi"/>
          <w:sz w:val="20"/>
          <w:szCs w:val="20"/>
          <w:lang w:val="es-ES_tradnl"/>
        </w:rPr>
        <w:t xml:space="preserve">declarado nulo y que no se </w:t>
      </w:r>
      <w:r w:rsidR="00FA5F1E" w:rsidRPr="00494C3C">
        <w:rPr>
          <w:rFonts w:asciiTheme="majorHAnsi" w:hAnsiTheme="majorHAnsi"/>
          <w:sz w:val="20"/>
          <w:szCs w:val="20"/>
          <w:lang w:val="es-ES_tradnl"/>
        </w:rPr>
        <w:t xml:space="preserve">valoraron </w:t>
      </w:r>
      <w:r w:rsidR="004F48D2" w:rsidRPr="00494C3C">
        <w:rPr>
          <w:rFonts w:asciiTheme="majorHAnsi" w:hAnsiTheme="majorHAnsi"/>
          <w:sz w:val="20"/>
          <w:szCs w:val="20"/>
          <w:lang w:val="es-ES_tradnl"/>
        </w:rPr>
        <w:t xml:space="preserve">los medios probatorios que demostraban su inocencia. </w:t>
      </w:r>
      <w:r w:rsidR="00A73CEB" w:rsidRPr="00494C3C">
        <w:rPr>
          <w:rFonts w:asciiTheme="majorHAnsi" w:hAnsiTheme="majorHAnsi"/>
          <w:sz w:val="20"/>
          <w:szCs w:val="20"/>
          <w:lang w:val="es-ES_tradnl"/>
        </w:rPr>
        <w:t>A pesar de ello, tras dos decisiones desfavorables previas, e</w:t>
      </w:r>
      <w:r w:rsidR="00FE6B8A" w:rsidRPr="00494C3C">
        <w:rPr>
          <w:rFonts w:asciiTheme="majorHAnsi" w:hAnsiTheme="majorHAnsi"/>
          <w:sz w:val="20"/>
          <w:szCs w:val="20"/>
          <w:lang w:val="es-ES_tradnl"/>
        </w:rPr>
        <w:t>l 18 de abril de 2011 el Tribunal Constitucional, mediante sentencia</w:t>
      </w:r>
      <w:r w:rsidR="00A73CEB" w:rsidRPr="00494C3C">
        <w:rPr>
          <w:rFonts w:asciiTheme="majorHAnsi" w:hAnsiTheme="majorHAnsi"/>
          <w:sz w:val="20"/>
          <w:szCs w:val="20"/>
          <w:lang w:val="es-ES_tradnl"/>
        </w:rPr>
        <w:t xml:space="preserve"> de última instancia</w:t>
      </w:r>
      <w:r w:rsidR="00FE6B8A" w:rsidRPr="00494C3C">
        <w:rPr>
          <w:rFonts w:asciiTheme="majorHAnsi" w:hAnsiTheme="majorHAnsi"/>
          <w:sz w:val="20"/>
          <w:szCs w:val="20"/>
          <w:lang w:val="es-ES_tradnl"/>
        </w:rPr>
        <w:t xml:space="preserve"> recaída en el Expediente N° 04274-2010-HC, declaró improcedente la demanda, al considerar que</w:t>
      </w:r>
      <w:r w:rsidR="00A73CEB" w:rsidRPr="00494C3C">
        <w:rPr>
          <w:rFonts w:asciiTheme="majorHAnsi" w:hAnsiTheme="majorHAnsi"/>
          <w:sz w:val="20"/>
          <w:szCs w:val="20"/>
          <w:lang w:val="es-ES_tradnl"/>
        </w:rPr>
        <w:t xml:space="preserve"> la controversia estaba basada en asuntos de mera legalidad, sobre los cuales la parte </w:t>
      </w:r>
      <w:r w:rsidR="00CE3C12" w:rsidRPr="00494C3C">
        <w:rPr>
          <w:rFonts w:asciiTheme="majorHAnsi" w:hAnsiTheme="majorHAnsi"/>
          <w:sz w:val="20"/>
          <w:szCs w:val="20"/>
          <w:lang w:val="es-ES_tradnl"/>
        </w:rPr>
        <w:t>accionante</w:t>
      </w:r>
      <w:r w:rsidR="00A73CEB" w:rsidRPr="00494C3C">
        <w:rPr>
          <w:rFonts w:asciiTheme="majorHAnsi" w:hAnsiTheme="majorHAnsi"/>
          <w:sz w:val="20"/>
          <w:szCs w:val="20"/>
          <w:lang w:val="es-ES_tradnl"/>
        </w:rPr>
        <w:t xml:space="preserve"> únicamente buscaba un reexamen o nueva valoración de los medios probatorios que sirvieron de base para fundamentar la sentencia condenatoria. </w:t>
      </w:r>
      <w:r w:rsidR="00864653" w:rsidRPr="00494C3C">
        <w:rPr>
          <w:rFonts w:asciiTheme="majorHAnsi" w:hAnsiTheme="majorHAnsi"/>
          <w:sz w:val="20"/>
          <w:szCs w:val="20"/>
          <w:lang w:val="es-ES_tradnl"/>
        </w:rPr>
        <w:t>Adicionalmente, el referido órgano argumentó</w:t>
      </w:r>
      <w:r w:rsidR="00A73CEB" w:rsidRPr="00494C3C">
        <w:rPr>
          <w:rFonts w:asciiTheme="majorHAnsi" w:hAnsiTheme="majorHAnsi"/>
          <w:sz w:val="20"/>
          <w:szCs w:val="20"/>
          <w:lang w:val="es-ES_tradnl"/>
        </w:rPr>
        <w:t xml:space="preserve">, </w:t>
      </w:r>
      <w:r w:rsidR="00864653" w:rsidRPr="00494C3C">
        <w:rPr>
          <w:rFonts w:asciiTheme="majorHAnsi" w:hAnsiTheme="majorHAnsi"/>
          <w:sz w:val="20"/>
          <w:szCs w:val="20"/>
          <w:lang w:val="es-ES_tradnl"/>
        </w:rPr>
        <w:t>que,</w:t>
      </w:r>
      <w:r w:rsidR="00A73CEB" w:rsidRPr="00494C3C">
        <w:rPr>
          <w:rFonts w:asciiTheme="majorHAnsi" w:hAnsiTheme="majorHAnsi"/>
          <w:sz w:val="20"/>
          <w:szCs w:val="20"/>
          <w:lang w:val="es-ES_tradnl"/>
        </w:rPr>
        <w:t xml:space="preserve"> si bien la presunta víctima había manifestado que en el proceso seguido en el fuero militar se realizaron actos de tortura en su contr</w:t>
      </w:r>
      <w:r w:rsidR="00864653" w:rsidRPr="00494C3C">
        <w:rPr>
          <w:rFonts w:asciiTheme="majorHAnsi" w:hAnsiTheme="majorHAnsi"/>
          <w:sz w:val="20"/>
          <w:szCs w:val="20"/>
          <w:lang w:val="es-ES_tradnl"/>
        </w:rPr>
        <w:t>a</w:t>
      </w:r>
      <w:r w:rsidR="00A73CEB" w:rsidRPr="00494C3C">
        <w:rPr>
          <w:rFonts w:asciiTheme="majorHAnsi" w:hAnsiTheme="majorHAnsi"/>
          <w:sz w:val="20"/>
          <w:szCs w:val="20"/>
          <w:lang w:val="es-ES_tradnl"/>
        </w:rPr>
        <w:t>, tal situación ya había cesado, toda vez que dicho proceso había sido declarado nulo</w:t>
      </w:r>
      <w:r w:rsidR="00864653" w:rsidRPr="00494C3C">
        <w:rPr>
          <w:rFonts w:asciiTheme="majorHAnsi" w:hAnsiTheme="majorHAnsi"/>
          <w:sz w:val="20"/>
          <w:szCs w:val="20"/>
          <w:lang w:val="es-ES_tradnl"/>
        </w:rPr>
        <w:t xml:space="preserve">. </w:t>
      </w:r>
    </w:p>
    <w:p w14:paraId="256CD6B0" w14:textId="7C0868A6" w:rsidR="005926BF" w:rsidRPr="00494C3C" w:rsidRDefault="005926BF" w:rsidP="005926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494C3C">
        <w:rPr>
          <w:rFonts w:asciiTheme="majorHAnsi" w:hAnsiTheme="majorHAnsi"/>
          <w:i/>
          <w:iCs/>
          <w:sz w:val="20"/>
          <w:szCs w:val="20"/>
          <w:lang w:val="es-ES_tradnl"/>
        </w:rPr>
        <w:t>Pedido de sustitución y adecuación de pena, y nueva demanda de hábeas corpus</w:t>
      </w:r>
    </w:p>
    <w:p w14:paraId="211D1686" w14:textId="3E9C482C" w:rsidR="005926BF" w:rsidRPr="00494C3C" w:rsidRDefault="00FA5F1E" w:rsidP="00BC15E3">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 xml:space="preserve">La parte peticionaria indica </w:t>
      </w:r>
      <w:r w:rsidR="005926BF" w:rsidRPr="00494C3C">
        <w:rPr>
          <w:rFonts w:asciiTheme="majorHAnsi" w:hAnsiTheme="majorHAnsi"/>
          <w:sz w:val="20"/>
          <w:szCs w:val="20"/>
          <w:lang w:val="es-ES_tradnl"/>
        </w:rPr>
        <w:t xml:space="preserve">que el 6 de marzo de 2015 la representación del señor </w:t>
      </w:r>
      <w:r w:rsidR="00182545" w:rsidRPr="00494C3C">
        <w:rPr>
          <w:rFonts w:asciiTheme="majorHAnsi" w:hAnsiTheme="majorHAnsi"/>
          <w:sz w:val="20"/>
          <w:szCs w:val="20"/>
          <w:lang w:val="es-ES_tradnl"/>
        </w:rPr>
        <w:t>Rivera Gamarra</w:t>
      </w:r>
      <w:r w:rsidR="005926BF" w:rsidRPr="00494C3C">
        <w:rPr>
          <w:rFonts w:asciiTheme="majorHAnsi" w:hAnsiTheme="majorHAnsi"/>
          <w:sz w:val="20"/>
          <w:szCs w:val="20"/>
          <w:lang w:val="es-ES_tradnl"/>
        </w:rPr>
        <w:t xml:space="preserve"> presentó un pedido de sustitución y adecuación de la </w:t>
      </w:r>
      <w:r w:rsidR="00B64C5E" w:rsidRPr="00494C3C">
        <w:rPr>
          <w:rFonts w:asciiTheme="majorHAnsi" w:hAnsiTheme="majorHAnsi"/>
          <w:sz w:val="20"/>
          <w:szCs w:val="20"/>
          <w:lang w:val="es-ES_tradnl"/>
        </w:rPr>
        <w:t>condena</w:t>
      </w:r>
      <w:r w:rsidR="005926BF" w:rsidRPr="00494C3C">
        <w:rPr>
          <w:rFonts w:asciiTheme="majorHAnsi" w:hAnsiTheme="majorHAnsi"/>
          <w:sz w:val="20"/>
          <w:szCs w:val="20"/>
          <w:lang w:val="es-ES_tradnl"/>
        </w:rPr>
        <w:t xml:space="preserve"> impuesta</w:t>
      </w:r>
      <w:r w:rsidR="00CE3C12" w:rsidRPr="00494C3C">
        <w:rPr>
          <w:rFonts w:asciiTheme="majorHAnsi" w:hAnsiTheme="majorHAnsi"/>
          <w:sz w:val="20"/>
          <w:szCs w:val="20"/>
          <w:lang w:val="es-ES_tradnl"/>
        </w:rPr>
        <w:t xml:space="preserve">, a efectos que se reduzca su </w:t>
      </w:r>
      <w:r w:rsidR="00B64C5E" w:rsidRPr="00494C3C">
        <w:rPr>
          <w:rFonts w:asciiTheme="majorHAnsi" w:hAnsiTheme="majorHAnsi"/>
          <w:sz w:val="20"/>
          <w:szCs w:val="20"/>
          <w:lang w:val="es-ES_tradnl"/>
        </w:rPr>
        <w:t xml:space="preserve">pena </w:t>
      </w:r>
      <w:r w:rsidR="00CE3C12" w:rsidRPr="00494C3C">
        <w:rPr>
          <w:rFonts w:asciiTheme="majorHAnsi" w:hAnsiTheme="majorHAnsi"/>
          <w:sz w:val="20"/>
          <w:szCs w:val="20"/>
          <w:lang w:val="es-ES_tradnl"/>
        </w:rPr>
        <w:t>por el tiempo que estuvo privado de libertad previamente</w:t>
      </w:r>
      <w:r w:rsidR="004A7FBD" w:rsidRPr="00494C3C">
        <w:rPr>
          <w:rFonts w:asciiTheme="majorHAnsi" w:hAnsiTheme="majorHAnsi"/>
          <w:sz w:val="20"/>
          <w:szCs w:val="20"/>
          <w:lang w:val="es-ES_tradnl"/>
        </w:rPr>
        <w:t>.</w:t>
      </w:r>
      <w:r w:rsidR="00B64C5E" w:rsidRPr="00494C3C">
        <w:rPr>
          <w:rFonts w:asciiTheme="majorHAnsi" w:hAnsiTheme="majorHAnsi"/>
          <w:sz w:val="20"/>
          <w:szCs w:val="20"/>
          <w:lang w:val="es-ES_tradnl"/>
        </w:rPr>
        <w:t xml:space="preserve"> Asimismo, agrega que</w:t>
      </w:r>
      <w:r w:rsidR="00730949" w:rsidRPr="00494C3C">
        <w:rPr>
          <w:rFonts w:asciiTheme="majorHAnsi" w:hAnsiTheme="majorHAnsi"/>
          <w:sz w:val="20"/>
          <w:szCs w:val="20"/>
          <w:lang w:val="es-ES_tradnl"/>
        </w:rPr>
        <w:t xml:space="preserve"> </w:t>
      </w:r>
      <w:r w:rsidR="00B64C5E" w:rsidRPr="00494C3C">
        <w:rPr>
          <w:rFonts w:asciiTheme="majorHAnsi" w:hAnsiTheme="majorHAnsi"/>
          <w:sz w:val="20"/>
          <w:szCs w:val="20"/>
          <w:lang w:val="es-ES_tradnl"/>
        </w:rPr>
        <w:t xml:space="preserve">la defensa de la presunta víctima alegó que el Decreto Ley N° 25475 no </w:t>
      </w:r>
      <w:r w:rsidRPr="00494C3C">
        <w:rPr>
          <w:rFonts w:asciiTheme="majorHAnsi" w:hAnsiTheme="majorHAnsi"/>
          <w:sz w:val="20"/>
          <w:szCs w:val="20"/>
          <w:lang w:val="es-ES_tradnl"/>
        </w:rPr>
        <w:t>esta</w:t>
      </w:r>
      <w:r w:rsidR="00B64C5E" w:rsidRPr="00494C3C">
        <w:rPr>
          <w:rFonts w:asciiTheme="majorHAnsi" w:hAnsiTheme="majorHAnsi"/>
          <w:sz w:val="20"/>
          <w:szCs w:val="20"/>
          <w:lang w:val="es-ES_tradnl"/>
        </w:rPr>
        <w:t>ba vigente al momento en que ocurrieron los hechos por los que fue condenado</w:t>
      </w:r>
      <w:r w:rsidR="00BC15E3" w:rsidRPr="00494C3C">
        <w:rPr>
          <w:rFonts w:asciiTheme="majorHAnsi" w:hAnsiTheme="majorHAnsi"/>
          <w:sz w:val="20"/>
          <w:szCs w:val="20"/>
          <w:lang w:val="es-ES_tradnl"/>
        </w:rPr>
        <w:t xml:space="preserve">, por lo que únicamente se le debió sancionar </w:t>
      </w:r>
      <w:r w:rsidR="0044675B" w:rsidRPr="00494C3C">
        <w:rPr>
          <w:rFonts w:asciiTheme="majorHAnsi" w:hAnsiTheme="majorHAnsi"/>
          <w:sz w:val="20"/>
          <w:szCs w:val="20"/>
          <w:lang w:val="es-ES_tradnl"/>
        </w:rPr>
        <w:t>con base en el</w:t>
      </w:r>
      <w:r w:rsidR="00B64C5E" w:rsidRPr="00494C3C">
        <w:rPr>
          <w:rFonts w:asciiTheme="majorHAnsi" w:hAnsiTheme="majorHAnsi"/>
          <w:sz w:val="20"/>
          <w:szCs w:val="20"/>
          <w:lang w:val="es-ES_tradnl"/>
        </w:rPr>
        <w:t xml:space="preserve"> artículo 319 del Código de Penal de 1991, el cual regulaba el delito de terrorismo con una pena máxima de veinte años. </w:t>
      </w:r>
      <w:r w:rsidR="005926BF" w:rsidRPr="00494C3C">
        <w:rPr>
          <w:rFonts w:asciiTheme="majorHAnsi" w:hAnsiTheme="majorHAnsi"/>
          <w:sz w:val="20"/>
          <w:szCs w:val="20"/>
          <w:lang w:val="es-ES_tradnl"/>
        </w:rPr>
        <w:t>No obstante, el 22 de septiembre de 2015 la Sala Penal Nacional, mediante Resolución N° 479 declaró improcedente dicha solicitu</w:t>
      </w:r>
      <w:r w:rsidR="00BC15E3" w:rsidRPr="00494C3C">
        <w:rPr>
          <w:rFonts w:asciiTheme="majorHAnsi" w:hAnsiTheme="majorHAnsi"/>
          <w:sz w:val="20"/>
          <w:szCs w:val="20"/>
          <w:lang w:val="es-ES_tradnl"/>
        </w:rPr>
        <w:t>d, al considerar que el asunto controvertido ya tenía calidad de cosa juzgada</w:t>
      </w:r>
      <w:r w:rsidR="005926BF" w:rsidRPr="00494C3C">
        <w:rPr>
          <w:rFonts w:asciiTheme="majorHAnsi" w:hAnsiTheme="majorHAnsi"/>
          <w:sz w:val="20"/>
          <w:szCs w:val="20"/>
          <w:lang w:val="es-ES_tradnl"/>
        </w:rPr>
        <w:t xml:space="preserve">. Ante ello, </w:t>
      </w:r>
      <w:r w:rsidR="0044675B" w:rsidRPr="00494C3C">
        <w:rPr>
          <w:rFonts w:asciiTheme="majorHAnsi" w:hAnsiTheme="majorHAnsi"/>
          <w:sz w:val="20"/>
          <w:szCs w:val="20"/>
          <w:lang w:val="es-ES_tradnl"/>
        </w:rPr>
        <w:t xml:space="preserve">la parte peticionaria </w:t>
      </w:r>
      <w:r w:rsidR="005926BF" w:rsidRPr="00494C3C">
        <w:rPr>
          <w:rFonts w:asciiTheme="majorHAnsi" w:hAnsiTheme="majorHAnsi"/>
          <w:sz w:val="20"/>
          <w:szCs w:val="20"/>
          <w:lang w:val="es-ES_tradnl"/>
        </w:rPr>
        <w:t>sostiene que el 20 de octubre de 2015 la presunta víctima interpuso recurso de nulidad contra tal resolución</w:t>
      </w:r>
      <w:r w:rsidR="00BC15E3" w:rsidRPr="00494C3C">
        <w:rPr>
          <w:rFonts w:asciiTheme="majorHAnsi" w:hAnsiTheme="majorHAnsi"/>
          <w:sz w:val="20"/>
          <w:szCs w:val="20"/>
          <w:lang w:val="es-ES_tradnl"/>
        </w:rPr>
        <w:t xml:space="preserve">, </w:t>
      </w:r>
      <w:r w:rsidR="00BC15E3" w:rsidRPr="00494C3C">
        <w:rPr>
          <w:rFonts w:asciiTheme="majorHAnsi" w:hAnsiTheme="majorHAnsi"/>
          <w:sz w:val="20"/>
          <w:szCs w:val="20"/>
          <w:lang w:val="es-ES_tradnl"/>
        </w:rPr>
        <w:lastRenderedPageBreak/>
        <w:t xml:space="preserve">pero que hasta la fecha de presentación de esta petición se encontraba pendiente de la </w:t>
      </w:r>
      <w:r w:rsidR="009D0D90" w:rsidRPr="00494C3C">
        <w:rPr>
          <w:rFonts w:asciiTheme="majorHAnsi" w:hAnsiTheme="majorHAnsi"/>
          <w:sz w:val="20"/>
          <w:szCs w:val="20"/>
          <w:lang w:val="es-ES_tradnl"/>
        </w:rPr>
        <w:t>decisión sobre ese</w:t>
      </w:r>
      <w:r w:rsidR="00BC15E3" w:rsidRPr="00494C3C">
        <w:rPr>
          <w:rFonts w:asciiTheme="majorHAnsi" w:hAnsiTheme="majorHAnsi"/>
          <w:sz w:val="20"/>
          <w:szCs w:val="20"/>
          <w:lang w:val="es-ES_tradnl"/>
        </w:rPr>
        <w:t xml:space="preserve"> reclamo.</w:t>
      </w:r>
    </w:p>
    <w:p w14:paraId="29543970" w14:textId="57597388" w:rsidR="005926BF" w:rsidRPr="00494C3C" w:rsidRDefault="005926BF" w:rsidP="000F07B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 xml:space="preserve">Paralelamente, </w:t>
      </w:r>
      <w:r w:rsidR="009D0D90" w:rsidRPr="00494C3C">
        <w:rPr>
          <w:rFonts w:asciiTheme="majorHAnsi" w:hAnsiTheme="majorHAnsi"/>
          <w:sz w:val="20"/>
          <w:szCs w:val="20"/>
          <w:lang w:val="es-ES_tradnl"/>
        </w:rPr>
        <w:t xml:space="preserve">la representación de la presunta víctima </w:t>
      </w:r>
      <w:r w:rsidR="00BC15E3" w:rsidRPr="00494C3C">
        <w:rPr>
          <w:rFonts w:asciiTheme="majorHAnsi" w:hAnsiTheme="majorHAnsi"/>
          <w:sz w:val="20"/>
          <w:szCs w:val="20"/>
          <w:lang w:val="es-ES_tradnl"/>
        </w:rPr>
        <w:t xml:space="preserve">afirma que </w:t>
      </w:r>
      <w:r w:rsidRPr="00494C3C">
        <w:rPr>
          <w:rFonts w:asciiTheme="majorHAnsi" w:hAnsiTheme="majorHAnsi"/>
          <w:sz w:val="20"/>
          <w:szCs w:val="20"/>
          <w:lang w:val="es-ES_tradnl"/>
        </w:rPr>
        <w:t xml:space="preserve">el 22 de octubre de 2015 el señor </w:t>
      </w:r>
      <w:r w:rsidR="00182545" w:rsidRPr="00494C3C">
        <w:rPr>
          <w:rFonts w:asciiTheme="majorHAnsi" w:hAnsiTheme="majorHAnsi"/>
          <w:sz w:val="20"/>
          <w:szCs w:val="20"/>
          <w:lang w:val="es-ES_tradnl"/>
        </w:rPr>
        <w:t>Rivera Gamarra</w:t>
      </w:r>
      <w:r w:rsidRPr="00494C3C">
        <w:rPr>
          <w:rFonts w:asciiTheme="majorHAnsi" w:hAnsiTheme="majorHAnsi"/>
          <w:sz w:val="20"/>
          <w:szCs w:val="20"/>
          <w:lang w:val="es-ES_tradnl"/>
        </w:rPr>
        <w:t xml:space="preserve"> presentó una demanda de hábeas corpus contra los jueces superiores que </w:t>
      </w:r>
      <w:r w:rsidR="004F35F1" w:rsidRPr="00494C3C">
        <w:rPr>
          <w:rFonts w:asciiTheme="majorHAnsi" w:hAnsiTheme="majorHAnsi"/>
          <w:sz w:val="20"/>
          <w:szCs w:val="20"/>
          <w:lang w:val="es-ES_tradnl"/>
        </w:rPr>
        <w:t xml:space="preserve">suscribieron la referida Resolución N° 479. </w:t>
      </w:r>
      <w:r w:rsidR="00BC15E3" w:rsidRPr="00494C3C">
        <w:rPr>
          <w:rFonts w:asciiTheme="majorHAnsi" w:hAnsiTheme="majorHAnsi"/>
          <w:sz w:val="20"/>
          <w:szCs w:val="20"/>
          <w:lang w:val="es-ES_tradnl"/>
        </w:rPr>
        <w:t>Sin embargo, al igual que en el caso anterior, sostiene que aún está a la espera de un fallo definitivo.</w:t>
      </w:r>
    </w:p>
    <w:p w14:paraId="02A8531F" w14:textId="35611608" w:rsidR="00D7750A" w:rsidRPr="00494C3C" w:rsidRDefault="00D7750A" w:rsidP="00D775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494C3C">
        <w:rPr>
          <w:rFonts w:asciiTheme="majorHAnsi" w:hAnsiTheme="majorHAnsi"/>
          <w:i/>
          <w:iCs/>
          <w:sz w:val="20"/>
          <w:szCs w:val="20"/>
          <w:lang w:val="es-ES_tradnl"/>
        </w:rPr>
        <w:t>Alegatos de la parte peticionaria</w:t>
      </w:r>
    </w:p>
    <w:p w14:paraId="23BB3097" w14:textId="122EE4AC" w:rsidR="00B43737" w:rsidRPr="00494C3C" w:rsidRDefault="00D107A4" w:rsidP="00B4373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 xml:space="preserve">En virtud de las citadas consideraciones, la parte peticionaria denuncia </w:t>
      </w:r>
      <w:r w:rsidR="00E57E4F" w:rsidRPr="00494C3C">
        <w:rPr>
          <w:rFonts w:asciiTheme="majorHAnsi" w:hAnsiTheme="majorHAnsi"/>
          <w:sz w:val="20"/>
          <w:szCs w:val="20"/>
          <w:lang w:val="es-ES_tradnl"/>
        </w:rPr>
        <w:t xml:space="preserve">que </w:t>
      </w:r>
      <w:r w:rsidRPr="00494C3C">
        <w:rPr>
          <w:rFonts w:asciiTheme="majorHAnsi" w:hAnsiTheme="majorHAnsi"/>
          <w:sz w:val="20"/>
          <w:szCs w:val="20"/>
          <w:lang w:val="es-ES_tradnl"/>
        </w:rPr>
        <w:t xml:space="preserve">las autoridades </w:t>
      </w:r>
      <w:r w:rsidR="00E568B0" w:rsidRPr="00494C3C">
        <w:rPr>
          <w:rFonts w:asciiTheme="majorHAnsi" w:hAnsiTheme="majorHAnsi"/>
          <w:sz w:val="20"/>
          <w:szCs w:val="20"/>
          <w:lang w:val="es-ES_tradnl"/>
        </w:rPr>
        <w:t>privaron de su libertad</w:t>
      </w:r>
      <w:r w:rsidRPr="00494C3C">
        <w:rPr>
          <w:rFonts w:asciiTheme="majorHAnsi" w:hAnsiTheme="majorHAnsi"/>
          <w:sz w:val="20"/>
          <w:szCs w:val="20"/>
          <w:lang w:val="es-ES_tradnl"/>
        </w:rPr>
        <w:t xml:space="preserve"> a la presunta víctima </w:t>
      </w:r>
      <w:r w:rsidR="00E568B0" w:rsidRPr="00494C3C">
        <w:rPr>
          <w:rFonts w:asciiTheme="majorHAnsi" w:hAnsiTheme="majorHAnsi"/>
          <w:sz w:val="20"/>
          <w:szCs w:val="20"/>
          <w:lang w:val="es-ES_tradnl"/>
        </w:rPr>
        <w:t>tras</w:t>
      </w:r>
      <w:r w:rsidRPr="00494C3C">
        <w:rPr>
          <w:rFonts w:asciiTheme="majorHAnsi" w:hAnsiTheme="majorHAnsi"/>
          <w:sz w:val="20"/>
          <w:szCs w:val="20"/>
          <w:lang w:val="es-ES_tradnl"/>
        </w:rPr>
        <w:t xml:space="preserve"> un proceso que no contó con las debidas garantías judiciales. </w:t>
      </w:r>
      <w:r w:rsidR="00E568B0" w:rsidRPr="00494C3C">
        <w:rPr>
          <w:rFonts w:asciiTheme="majorHAnsi" w:hAnsiTheme="majorHAnsi"/>
          <w:sz w:val="20"/>
          <w:szCs w:val="20"/>
          <w:lang w:val="es-ES_tradnl"/>
        </w:rPr>
        <w:t xml:space="preserve">En particular, </w:t>
      </w:r>
      <w:r w:rsidR="00E57E4F" w:rsidRPr="00494C3C">
        <w:rPr>
          <w:rFonts w:asciiTheme="majorHAnsi" w:hAnsiTheme="majorHAnsi"/>
          <w:sz w:val="20"/>
          <w:szCs w:val="20"/>
          <w:lang w:val="es-ES_tradnl"/>
        </w:rPr>
        <w:t>aduce</w:t>
      </w:r>
      <w:r w:rsidR="00E568B0" w:rsidRPr="00494C3C">
        <w:rPr>
          <w:rFonts w:asciiTheme="majorHAnsi" w:hAnsiTheme="majorHAnsi"/>
          <w:sz w:val="20"/>
          <w:szCs w:val="20"/>
          <w:lang w:val="es-ES_tradnl"/>
        </w:rPr>
        <w:t xml:space="preserve"> que se violó el principio de legalidad, toda vez que el señor Rivera Gamarra fue juzgado y sancionado mediante leyes que no estaban vigentes al momento de los hechos</w:t>
      </w:r>
      <w:r w:rsidR="00E57E4F" w:rsidRPr="00494C3C">
        <w:rPr>
          <w:rFonts w:asciiTheme="majorHAnsi" w:hAnsiTheme="majorHAnsi"/>
          <w:sz w:val="20"/>
          <w:szCs w:val="20"/>
          <w:lang w:val="es-ES_tradnl"/>
        </w:rPr>
        <w:t>,</w:t>
      </w:r>
      <w:r w:rsidR="008E411C" w:rsidRPr="00494C3C">
        <w:rPr>
          <w:rFonts w:asciiTheme="majorHAnsi" w:hAnsiTheme="majorHAnsi"/>
          <w:sz w:val="20"/>
          <w:szCs w:val="20"/>
          <w:lang w:val="es-ES_tradnl"/>
        </w:rPr>
        <w:t xml:space="preserve"> y que en realidad correspondía que se le sancion</w:t>
      </w:r>
      <w:r w:rsidR="00E57E4F" w:rsidRPr="00494C3C">
        <w:rPr>
          <w:rFonts w:asciiTheme="majorHAnsi" w:hAnsiTheme="majorHAnsi"/>
          <w:sz w:val="20"/>
          <w:szCs w:val="20"/>
          <w:lang w:val="es-ES_tradnl"/>
        </w:rPr>
        <w:t>ara</w:t>
      </w:r>
      <w:r w:rsidR="008E411C" w:rsidRPr="00494C3C">
        <w:rPr>
          <w:rFonts w:asciiTheme="majorHAnsi" w:hAnsiTheme="majorHAnsi"/>
          <w:sz w:val="20"/>
          <w:szCs w:val="20"/>
          <w:lang w:val="es-ES_tradnl"/>
        </w:rPr>
        <w:t xml:space="preserve"> con la pena prevista en el artículo 319 del Código Penal, que establecía una pena menor a la que finalmente le impusieron. A pesar de ello, sostiene que las autoridades se aprovecharon de la vaguedad de los artículos 2 y 3 del Decreto Ley N° 25475 para castigarlo con </w:t>
      </w:r>
      <w:r w:rsidR="00B43737" w:rsidRPr="00494C3C">
        <w:rPr>
          <w:rFonts w:asciiTheme="majorHAnsi" w:hAnsiTheme="majorHAnsi"/>
          <w:sz w:val="20"/>
          <w:szCs w:val="20"/>
          <w:lang w:val="es-ES_tradnl"/>
        </w:rPr>
        <w:t xml:space="preserve">la sanción más grave. </w:t>
      </w:r>
      <w:r w:rsidR="00E568B0" w:rsidRPr="00494C3C">
        <w:rPr>
          <w:rFonts w:asciiTheme="majorHAnsi" w:hAnsiTheme="majorHAnsi"/>
          <w:sz w:val="20"/>
          <w:szCs w:val="20"/>
          <w:lang w:val="es-ES_tradnl"/>
        </w:rPr>
        <w:t xml:space="preserve">Finalmente, afirma que </w:t>
      </w:r>
      <w:r w:rsidR="00E341B3" w:rsidRPr="00494C3C">
        <w:rPr>
          <w:rFonts w:asciiTheme="majorHAnsi" w:hAnsiTheme="majorHAnsi"/>
          <w:sz w:val="20"/>
          <w:szCs w:val="20"/>
          <w:lang w:val="es-ES_tradnl"/>
        </w:rPr>
        <w:t>a pesar de que</w:t>
      </w:r>
      <w:r w:rsidR="00E568B0" w:rsidRPr="00494C3C">
        <w:rPr>
          <w:rFonts w:asciiTheme="majorHAnsi" w:hAnsiTheme="majorHAnsi"/>
          <w:sz w:val="20"/>
          <w:szCs w:val="20"/>
          <w:lang w:val="es-ES_tradnl"/>
        </w:rPr>
        <w:t xml:space="preserve"> la presunta víctima denunció haber sufrid</w:t>
      </w:r>
      <w:r w:rsidR="00E341B3" w:rsidRPr="00494C3C">
        <w:rPr>
          <w:rFonts w:asciiTheme="majorHAnsi" w:hAnsiTheme="majorHAnsi"/>
          <w:sz w:val="20"/>
          <w:szCs w:val="20"/>
          <w:lang w:val="es-ES_tradnl"/>
        </w:rPr>
        <w:t>o</w:t>
      </w:r>
      <w:r w:rsidR="00E568B0" w:rsidRPr="00494C3C">
        <w:rPr>
          <w:rFonts w:asciiTheme="majorHAnsi" w:hAnsiTheme="majorHAnsi"/>
          <w:sz w:val="20"/>
          <w:szCs w:val="20"/>
          <w:lang w:val="es-ES_tradnl"/>
        </w:rPr>
        <w:t xml:space="preserve"> actos de tortura, las autoridades no atendieron </w:t>
      </w:r>
      <w:r w:rsidR="00E57E4F" w:rsidRPr="00494C3C">
        <w:rPr>
          <w:rFonts w:asciiTheme="majorHAnsi" w:hAnsiTheme="majorHAnsi"/>
          <w:sz w:val="20"/>
          <w:szCs w:val="20"/>
          <w:lang w:val="es-ES_tradnl"/>
        </w:rPr>
        <w:t>este reclamo; sino que</w:t>
      </w:r>
      <w:r w:rsidR="00172CB0" w:rsidRPr="00494C3C">
        <w:rPr>
          <w:rFonts w:asciiTheme="majorHAnsi" w:hAnsiTheme="majorHAnsi"/>
          <w:sz w:val="20"/>
          <w:szCs w:val="20"/>
          <w:lang w:val="es-ES_tradnl"/>
        </w:rPr>
        <w:t>,</w:t>
      </w:r>
      <w:r w:rsidR="00E568B0" w:rsidRPr="00494C3C">
        <w:rPr>
          <w:rFonts w:asciiTheme="majorHAnsi" w:hAnsiTheme="majorHAnsi"/>
          <w:sz w:val="20"/>
          <w:szCs w:val="20"/>
          <w:lang w:val="es-ES_tradnl"/>
        </w:rPr>
        <w:t xml:space="preserve"> por el contrario, utilizaron pruebas </w:t>
      </w:r>
      <w:r w:rsidR="008E411C" w:rsidRPr="00494C3C">
        <w:rPr>
          <w:rFonts w:asciiTheme="majorHAnsi" w:hAnsiTheme="majorHAnsi"/>
          <w:sz w:val="20"/>
          <w:szCs w:val="20"/>
          <w:lang w:val="es-ES_tradnl"/>
        </w:rPr>
        <w:t xml:space="preserve">obtenidas mediante dicha práctica para condenarlo. </w:t>
      </w:r>
    </w:p>
    <w:p w14:paraId="0AB8B7F7" w14:textId="5EDAB9C7" w:rsidR="00B43737" w:rsidRPr="007D36CD" w:rsidRDefault="00B43737" w:rsidP="007D36C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 xml:space="preserve">Añade </w:t>
      </w:r>
      <w:r w:rsidR="00172CB0" w:rsidRPr="00494C3C">
        <w:rPr>
          <w:rFonts w:asciiTheme="majorHAnsi" w:hAnsiTheme="majorHAnsi"/>
          <w:sz w:val="20"/>
          <w:szCs w:val="20"/>
          <w:lang w:val="es-ES_tradnl"/>
        </w:rPr>
        <w:t xml:space="preserve">que </w:t>
      </w:r>
      <w:r w:rsidRPr="00494C3C">
        <w:rPr>
          <w:rFonts w:asciiTheme="majorHAnsi" w:hAnsiTheme="majorHAnsi"/>
          <w:sz w:val="20"/>
          <w:szCs w:val="20"/>
          <w:lang w:val="es-ES_tradnl"/>
        </w:rPr>
        <w:t>las irregularidades cometidas durante su detención y posterior procesamiento provocaron un sufrimiento emocional y moral en los familiares de la presunta víctima, además de limitar sus posibilidades de verle, debido a la rigidez del régimen de visitas. En esa línea, arguye que los órganos internos constataron que el régimen carcelario que padeció el señor Rivera Gamarr</w:t>
      </w:r>
      <w:r w:rsidR="005C55A8" w:rsidRPr="00494C3C">
        <w:rPr>
          <w:rFonts w:asciiTheme="majorHAnsi" w:hAnsiTheme="majorHAnsi"/>
          <w:sz w:val="20"/>
          <w:szCs w:val="20"/>
          <w:lang w:val="es-ES_tradnl"/>
        </w:rPr>
        <w:t>a,</w:t>
      </w:r>
      <w:r w:rsidR="007D36CD">
        <w:rPr>
          <w:rFonts w:asciiTheme="majorHAnsi" w:hAnsiTheme="majorHAnsi"/>
          <w:sz w:val="20"/>
          <w:szCs w:val="20"/>
          <w:lang w:val="es-ES_tradnl"/>
        </w:rPr>
        <w:t xml:space="preserve"> al momento de su detención y antes de la emisión de la sentencia del Tribunal Constitucional recaída en el expediente No. 010-2002-AI, </w:t>
      </w:r>
      <w:r w:rsidRPr="007D36CD">
        <w:rPr>
          <w:rFonts w:asciiTheme="majorHAnsi" w:hAnsiTheme="majorHAnsi"/>
          <w:sz w:val="20"/>
          <w:szCs w:val="20"/>
          <w:lang w:val="es-ES_tradnl"/>
        </w:rPr>
        <w:t xml:space="preserve">resultaba lesivo de sus derechos humanos. </w:t>
      </w:r>
      <w:r w:rsidR="00E57E4F" w:rsidRPr="007D36CD">
        <w:rPr>
          <w:rFonts w:asciiTheme="majorHAnsi" w:hAnsiTheme="majorHAnsi"/>
          <w:sz w:val="20"/>
          <w:szCs w:val="20"/>
          <w:lang w:val="es-ES_tradnl"/>
        </w:rPr>
        <w:t>Alega</w:t>
      </w:r>
      <w:r w:rsidR="00A45BD5" w:rsidRPr="007D36CD">
        <w:rPr>
          <w:rFonts w:asciiTheme="majorHAnsi" w:hAnsiTheme="majorHAnsi"/>
          <w:sz w:val="20"/>
          <w:szCs w:val="20"/>
          <w:lang w:val="es-ES_tradnl"/>
        </w:rPr>
        <w:t xml:space="preserve"> también </w:t>
      </w:r>
      <w:r w:rsidR="00E57E4F" w:rsidRPr="007D36CD">
        <w:rPr>
          <w:rFonts w:asciiTheme="majorHAnsi" w:hAnsiTheme="majorHAnsi"/>
          <w:sz w:val="20"/>
          <w:szCs w:val="20"/>
          <w:lang w:val="es-ES_tradnl"/>
        </w:rPr>
        <w:t xml:space="preserve">que </w:t>
      </w:r>
      <w:r w:rsidR="00A45BD5" w:rsidRPr="007D36CD">
        <w:rPr>
          <w:rFonts w:asciiTheme="majorHAnsi" w:hAnsiTheme="majorHAnsi"/>
          <w:sz w:val="20"/>
          <w:szCs w:val="20"/>
          <w:lang w:val="es-ES_tradnl"/>
        </w:rPr>
        <w:t xml:space="preserve">existió una violación a sus derechos políticos, toda vez que </w:t>
      </w:r>
      <w:r w:rsidR="00E57E4F" w:rsidRPr="007D36CD">
        <w:rPr>
          <w:rFonts w:asciiTheme="majorHAnsi" w:hAnsiTheme="majorHAnsi"/>
          <w:sz w:val="20"/>
          <w:szCs w:val="20"/>
          <w:lang w:val="es-ES_tradnl"/>
        </w:rPr>
        <w:t xml:space="preserve">se </w:t>
      </w:r>
      <w:r w:rsidR="00A45BD5" w:rsidRPr="007D36CD">
        <w:rPr>
          <w:rFonts w:asciiTheme="majorHAnsi" w:hAnsiTheme="majorHAnsi"/>
          <w:sz w:val="20"/>
          <w:szCs w:val="20"/>
          <w:lang w:val="es-ES_tradnl"/>
        </w:rPr>
        <w:t>le impuso la obligación de pagar un monto indemnizatorio sumamente elevado. A juicio de la parte peticionaria, esta medida tiene como objetivo mermar las posibilidades del señor Rivera Gamarra de participar en la política, toda vez que se le incluye en un registro de deudores morosos.</w:t>
      </w:r>
    </w:p>
    <w:p w14:paraId="2CBA10FA" w14:textId="5C94E4CA" w:rsidR="004C0FCB" w:rsidRPr="00494C3C" w:rsidRDefault="004C0FCB" w:rsidP="000F07B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Finalmente, con respecto al agotamiento de los recursos internos, solicita se apliquen las excepciones previstas en los artículos 46.2.a) y c) de la Convención, ya que</w:t>
      </w:r>
      <w:r w:rsidR="00E57E4F" w:rsidRPr="00494C3C">
        <w:rPr>
          <w:rFonts w:asciiTheme="majorHAnsi" w:hAnsiTheme="majorHAnsi"/>
          <w:sz w:val="20"/>
          <w:szCs w:val="20"/>
          <w:lang w:val="es-ES_tradnl"/>
        </w:rPr>
        <w:t>, a su juicio,</w:t>
      </w:r>
      <w:r w:rsidRPr="00494C3C">
        <w:rPr>
          <w:rFonts w:asciiTheme="majorHAnsi" w:hAnsiTheme="majorHAnsi"/>
          <w:sz w:val="20"/>
          <w:szCs w:val="20"/>
          <w:lang w:val="es-ES_tradnl"/>
        </w:rPr>
        <w:t xml:space="preserve"> no existen recursos efectivos a disposición de la presunta víctima para cuestionar su sentencia condenatoria y obtener algún tipo de reparación, mediante </w:t>
      </w:r>
      <w:r w:rsidR="00C4182D" w:rsidRPr="00494C3C">
        <w:rPr>
          <w:rFonts w:asciiTheme="majorHAnsi" w:hAnsiTheme="majorHAnsi"/>
          <w:sz w:val="20"/>
          <w:szCs w:val="20"/>
          <w:lang w:val="es-ES_tradnl"/>
        </w:rPr>
        <w:t>la disminución de</w:t>
      </w:r>
      <w:r w:rsidRPr="00494C3C">
        <w:rPr>
          <w:rFonts w:asciiTheme="majorHAnsi" w:hAnsiTheme="majorHAnsi"/>
          <w:sz w:val="20"/>
          <w:szCs w:val="20"/>
          <w:lang w:val="es-ES_tradnl"/>
        </w:rPr>
        <w:t xml:space="preserve"> su </w:t>
      </w:r>
      <w:r w:rsidR="00C4182D" w:rsidRPr="00494C3C">
        <w:rPr>
          <w:rFonts w:asciiTheme="majorHAnsi" w:hAnsiTheme="majorHAnsi"/>
          <w:sz w:val="20"/>
          <w:szCs w:val="20"/>
          <w:lang w:val="es-ES_tradnl"/>
        </w:rPr>
        <w:t>condena</w:t>
      </w:r>
      <w:r w:rsidRPr="00494C3C">
        <w:rPr>
          <w:rFonts w:asciiTheme="majorHAnsi" w:hAnsiTheme="majorHAnsi"/>
          <w:sz w:val="20"/>
          <w:szCs w:val="20"/>
          <w:lang w:val="es-ES_tradnl"/>
        </w:rPr>
        <w:t>. A</w:t>
      </w:r>
      <w:r w:rsidR="00C4182D" w:rsidRPr="00494C3C">
        <w:rPr>
          <w:rFonts w:asciiTheme="majorHAnsi" w:hAnsiTheme="majorHAnsi"/>
          <w:sz w:val="20"/>
          <w:szCs w:val="20"/>
          <w:lang w:val="es-ES_tradnl"/>
        </w:rPr>
        <w:t>l respecto, afirma que hasta la fecha no ha obtenido una respuesta firme</w:t>
      </w:r>
      <w:r w:rsidR="00E57E4F" w:rsidRPr="00494C3C">
        <w:rPr>
          <w:rFonts w:asciiTheme="majorHAnsi" w:hAnsiTheme="majorHAnsi"/>
          <w:sz w:val="20"/>
          <w:szCs w:val="20"/>
          <w:lang w:val="es-ES_tradnl"/>
        </w:rPr>
        <w:t xml:space="preserve"> en</w:t>
      </w:r>
      <w:r w:rsidR="00C4182D" w:rsidRPr="00494C3C">
        <w:rPr>
          <w:rFonts w:asciiTheme="majorHAnsi" w:hAnsiTheme="majorHAnsi"/>
          <w:sz w:val="20"/>
          <w:szCs w:val="20"/>
          <w:lang w:val="es-ES_tradnl"/>
        </w:rPr>
        <w:t xml:space="preserve"> su pedido de adecuación y sustitución de pena. </w:t>
      </w:r>
    </w:p>
    <w:p w14:paraId="1180AA68" w14:textId="05A3BEEE" w:rsidR="00D7750A" w:rsidRPr="00494C3C" w:rsidRDefault="00D7750A" w:rsidP="00D7750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lang w:val="es-ES_tradnl"/>
        </w:rPr>
      </w:pPr>
      <w:r w:rsidRPr="00494C3C">
        <w:rPr>
          <w:rFonts w:asciiTheme="majorHAnsi" w:hAnsiTheme="majorHAnsi"/>
          <w:i/>
          <w:iCs/>
          <w:sz w:val="20"/>
          <w:szCs w:val="20"/>
          <w:lang w:val="es-ES_tradnl"/>
        </w:rPr>
        <w:t>Alegatos del Estado</w:t>
      </w:r>
    </w:p>
    <w:p w14:paraId="31CE1045" w14:textId="5028D18B" w:rsidR="000F07BA" w:rsidRPr="00494C3C" w:rsidRDefault="000F07BA" w:rsidP="00D601FA">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 xml:space="preserve">El Estado, por su parte, </w:t>
      </w:r>
      <w:r w:rsidR="00172CB0" w:rsidRPr="00494C3C">
        <w:rPr>
          <w:rFonts w:asciiTheme="majorHAnsi" w:hAnsiTheme="majorHAnsi"/>
          <w:sz w:val="20"/>
          <w:szCs w:val="20"/>
          <w:lang w:val="es-ES_tradnl"/>
        </w:rPr>
        <w:t xml:space="preserve">responde </w:t>
      </w:r>
      <w:r w:rsidRPr="00494C3C">
        <w:rPr>
          <w:rFonts w:asciiTheme="majorHAnsi" w:hAnsiTheme="majorHAnsi"/>
          <w:sz w:val="20"/>
          <w:szCs w:val="20"/>
          <w:lang w:val="es-ES_tradnl"/>
        </w:rPr>
        <w:t>que</w:t>
      </w:r>
      <w:r w:rsidR="004F35F1" w:rsidRPr="00494C3C">
        <w:rPr>
          <w:rFonts w:asciiTheme="majorHAnsi" w:hAnsiTheme="majorHAnsi"/>
          <w:sz w:val="20"/>
          <w:szCs w:val="20"/>
          <w:lang w:val="es-ES_tradnl"/>
        </w:rPr>
        <w:t xml:space="preserve"> la petición es inadmisible, toda vez que </w:t>
      </w:r>
      <w:r w:rsidR="00D601FA" w:rsidRPr="00494C3C">
        <w:rPr>
          <w:rFonts w:asciiTheme="majorHAnsi" w:hAnsiTheme="majorHAnsi"/>
          <w:sz w:val="20"/>
          <w:szCs w:val="20"/>
          <w:lang w:val="es-ES_tradnl"/>
        </w:rPr>
        <w:t>los hechos denunciados no caracterizan violaciones de derechos humanos que le sean atribuibles. Por el contrario, arguye que la parte peticionaria persigue que la CIDH actúe como una cuarta instancia</w:t>
      </w:r>
      <w:r w:rsidR="00CA6813" w:rsidRPr="00494C3C">
        <w:rPr>
          <w:rFonts w:asciiTheme="majorHAnsi" w:hAnsiTheme="majorHAnsi"/>
          <w:sz w:val="20"/>
          <w:szCs w:val="20"/>
          <w:lang w:val="es-ES_tradnl"/>
        </w:rPr>
        <w:t xml:space="preserve"> pronunciándose</w:t>
      </w:r>
      <w:r w:rsidR="00D601FA" w:rsidRPr="00494C3C">
        <w:rPr>
          <w:rFonts w:asciiTheme="majorHAnsi" w:hAnsiTheme="majorHAnsi"/>
          <w:sz w:val="20"/>
          <w:szCs w:val="20"/>
          <w:lang w:val="es-ES_tradnl"/>
        </w:rPr>
        <w:t xml:space="preserve"> sobre aspectos que ya fueron resueltos internamente por las autoridades jurisdiccionales respetando las garantías procesales y en el marco de sus competencias, tanto en sede ordinaria como constitucional. </w:t>
      </w:r>
    </w:p>
    <w:p w14:paraId="2E09C89A" w14:textId="0B7B4078" w:rsidR="00B43737" w:rsidRPr="00494C3C" w:rsidRDefault="00260778" w:rsidP="00B4373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Sobre la legalidad de la detención de la presunta víctima</w:t>
      </w:r>
      <w:r w:rsidR="00FE7BC1" w:rsidRPr="00494C3C">
        <w:rPr>
          <w:rFonts w:asciiTheme="majorHAnsi" w:hAnsiTheme="majorHAnsi"/>
          <w:sz w:val="20"/>
          <w:szCs w:val="20"/>
          <w:lang w:val="es-ES_tradnl"/>
        </w:rPr>
        <w:t xml:space="preserve">, </w:t>
      </w:r>
      <w:r w:rsidR="007F573F" w:rsidRPr="00494C3C">
        <w:rPr>
          <w:rFonts w:asciiTheme="majorHAnsi" w:hAnsiTheme="majorHAnsi"/>
          <w:sz w:val="20"/>
          <w:szCs w:val="20"/>
          <w:lang w:val="es-ES_tradnl"/>
        </w:rPr>
        <w:t xml:space="preserve">Perú </w:t>
      </w:r>
      <w:r w:rsidR="00FE7BC1" w:rsidRPr="00494C3C">
        <w:rPr>
          <w:rFonts w:asciiTheme="majorHAnsi" w:hAnsiTheme="majorHAnsi"/>
          <w:sz w:val="20"/>
          <w:szCs w:val="20"/>
          <w:lang w:val="es-ES_tradnl"/>
        </w:rPr>
        <w:t xml:space="preserve">afirma que se debe dar por acreditado que tal diligencia se realizó en flagrancia, toda vez fue </w:t>
      </w:r>
      <w:r w:rsidR="00487A47" w:rsidRPr="00494C3C">
        <w:rPr>
          <w:rFonts w:asciiTheme="majorHAnsi" w:hAnsiTheme="majorHAnsi"/>
          <w:sz w:val="20"/>
          <w:szCs w:val="20"/>
          <w:lang w:val="es-ES_tradnl"/>
        </w:rPr>
        <w:t xml:space="preserve">el </w:t>
      </w:r>
      <w:r w:rsidR="00FE7BC1" w:rsidRPr="00494C3C">
        <w:rPr>
          <w:rFonts w:asciiTheme="majorHAnsi" w:hAnsiTheme="majorHAnsi"/>
          <w:sz w:val="20"/>
          <w:szCs w:val="20"/>
          <w:lang w:val="es-ES_tradnl"/>
        </w:rPr>
        <w:t xml:space="preserve">resultado de una labor de seguimiento y de inteligencia policial. </w:t>
      </w:r>
      <w:r w:rsidR="00210183" w:rsidRPr="00494C3C">
        <w:rPr>
          <w:rFonts w:asciiTheme="majorHAnsi" w:hAnsiTheme="majorHAnsi"/>
          <w:sz w:val="20"/>
          <w:szCs w:val="20"/>
          <w:lang w:val="es-ES_tradnl"/>
        </w:rPr>
        <w:t xml:space="preserve">Sin perjuicio de ello, destaca que al momento de los hechos el Departamento de Lima y la Provincia Constitucional del Callao se encontraban bajo un régimen de excepción, tras la declaración de un estado de emergencia, de acuerdo con el Decreto Supremo N° 004-94-DE-CCFFA. Conforme a tal resolución, se encontraban suspendidos, entre otros derechos, la inviolabilidad de domicilio y </w:t>
      </w:r>
      <w:r w:rsidR="00B43737" w:rsidRPr="00494C3C">
        <w:rPr>
          <w:rFonts w:asciiTheme="majorHAnsi" w:hAnsiTheme="majorHAnsi"/>
          <w:sz w:val="20"/>
          <w:szCs w:val="20"/>
          <w:lang w:val="es-ES_tradnl"/>
        </w:rPr>
        <w:t xml:space="preserve">la garantía de que solo se podía realizar una detención con orden judicial o en flagrancia. </w:t>
      </w:r>
    </w:p>
    <w:p w14:paraId="6EA81BC3" w14:textId="1D5B2253" w:rsidR="00210183" w:rsidRPr="00494C3C" w:rsidRDefault="0070757B" w:rsidP="00310D8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E</w:t>
      </w:r>
      <w:r w:rsidR="00B43737" w:rsidRPr="00494C3C">
        <w:rPr>
          <w:rFonts w:asciiTheme="majorHAnsi" w:hAnsiTheme="majorHAnsi"/>
          <w:sz w:val="20"/>
          <w:szCs w:val="20"/>
          <w:lang w:val="es-ES_tradnl"/>
        </w:rPr>
        <w:t>l arresto del señor Rivera Gamarra tampoco</w:t>
      </w:r>
      <w:r w:rsidR="00210183" w:rsidRPr="00494C3C">
        <w:rPr>
          <w:rFonts w:asciiTheme="majorHAnsi" w:hAnsiTheme="majorHAnsi"/>
          <w:sz w:val="20"/>
          <w:szCs w:val="20"/>
          <w:lang w:val="es-ES_tradnl"/>
        </w:rPr>
        <w:t xml:space="preserve"> </w:t>
      </w:r>
      <w:r w:rsidRPr="00494C3C">
        <w:rPr>
          <w:rFonts w:asciiTheme="majorHAnsi" w:hAnsiTheme="majorHAnsi"/>
          <w:sz w:val="20"/>
          <w:szCs w:val="20"/>
          <w:lang w:val="es-ES_tradnl"/>
        </w:rPr>
        <w:t>habría sido</w:t>
      </w:r>
      <w:r w:rsidR="00210183" w:rsidRPr="00494C3C">
        <w:rPr>
          <w:rFonts w:asciiTheme="majorHAnsi" w:hAnsiTheme="majorHAnsi"/>
          <w:sz w:val="20"/>
          <w:szCs w:val="20"/>
          <w:lang w:val="es-ES_tradnl"/>
        </w:rPr>
        <w:t xml:space="preserve"> arbitrari</w:t>
      </w:r>
      <w:r w:rsidR="00B43737" w:rsidRPr="00494C3C">
        <w:rPr>
          <w:rFonts w:asciiTheme="majorHAnsi" w:hAnsiTheme="majorHAnsi"/>
          <w:sz w:val="20"/>
          <w:szCs w:val="20"/>
          <w:lang w:val="es-ES_tradnl"/>
        </w:rPr>
        <w:t>o</w:t>
      </w:r>
      <w:r w:rsidR="00210183" w:rsidRPr="00494C3C">
        <w:rPr>
          <w:rFonts w:asciiTheme="majorHAnsi" w:hAnsiTheme="majorHAnsi"/>
          <w:sz w:val="20"/>
          <w:szCs w:val="20"/>
          <w:lang w:val="es-ES_tradnl"/>
        </w:rPr>
        <w:t xml:space="preserve">, </w:t>
      </w:r>
      <w:r w:rsidRPr="00494C3C">
        <w:rPr>
          <w:rFonts w:asciiTheme="majorHAnsi" w:hAnsiTheme="majorHAnsi"/>
          <w:sz w:val="20"/>
          <w:szCs w:val="20"/>
          <w:lang w:val="es-ES_tradnl"/>
        </w:rPr>
        <w:t>pues</w:t>
      </w:r>
      <w:r w:rsidR="00210183" w:rsidRPr="00494C3C">
        <w:rPr>
          <w:rFonts w:asciiTheme="majorHAnsi" w:hAnsiTheme="majorHAnsi"/>
          <w:sz w:val="20"/>
          <w:szCs w:val="20"/>
          <w:lang w:val="es-ES_tradnl"/>
        </w:rPr>
        <w:t xml:space="preserve"> los agentes policiales no actuaron con violencia y</w:t>
      </w:r>
      <w:r w:rsidRPr="00494C3C">
        <w:rPr>
          <w:rFonts w:asciiTheme="majorHAnsi" w:hAnsiTheme="majorHAnsi"/>
          <w:sz w:val="20"/>
          <w:szCs w:val="20"/>
          <w:lang w:val="es-ES_tradnl"/>
        </w:rPr>
        <w:t xml:space="preserve"> </w:t>
      </w:r>
      <w:r w:rsidR="00B43737" w:rsidRPr="00494C3C">
        <w:rPr>
          <w:rFonts w:asciiTheme="majorHAnsi" w:hAnsiTheme="majorHAnsi"/>
          <w:sz w:val="20"/>
          <w:szCs w:val="20"/>
          <w:lang w:val="es-ES_tradnl"/>
        </w:rPr>
        <w:t xml:space="preserve">le </w:t>
      </w:r>
      <w:r w:rsidR="00210183" w:rsidRPr="00494C3C">
        <w:rPr>
          <w:rFonts w:asciiTheme="majorHAnsi" w:hAnsiTheme="majorHAnsi"/>
          <w:sz w:val="20"/>
          <w:szCs w:val="20"/>
          <w:lang w:val="es-ES_tradnl"/>
        </w:rPr>
        <w:t xml:space="preserve">informaron mediante notificación y de forma oportuna sobre los motivos de su detención. </w:t>
      </w:r>
      <w:r w:rsidR="00310D87" w:rsidRPr="00494C3C">
        <w:rPr>
          <w:rFonts w:asciiTheme="majorHAnsi" w:hAnsiTheme="majorHAnsi"/>
          <w:sz w:val="20"/>
          <w:szCs w:val="20"/>
          <w:lang w:val="es-ES_tradnl"/>
        </w:rPr>
        <w:t xml:space="preserve">Finalmente, arguye que conforme al atestado policial del 14 de marzo de 1994 se </w:t>
      </w:r>
      <w:r w:rsidR="00310D87" w:rsidRPr="00494C3C">
        <w:rPr>
          <w:rFonts w:asciiTheme="majorHAnsi" w:hAnsiTheme="majorHAnsi"/>
          <w:sz w:val="20"/>
          <w:szCs w:val="20"/>
          <w:lang w:val="es-ES_tradnl"/>
        </w:rPr>
        <w:lastRenderedPageBreak/>
        <w:t xml:space="preserve">comunicó al </w:t>
      </w:r>
      <w:r w:rsidR="0008461C" w:rsidRPr="00494C3C">
        <w:rPr>
          <w:rFonts w:asciiTheme="majorHAnsi" w:hAnsiTheme="majorHAnsi"/>
          <w:sz w:val="20"/>
          <w:szCs w:val="20"/>
          <w:lang w:val="es-ES_tradnl"/>
        </w:rPr>
        <w:t>Decimocuarto</w:t>
      </w:r>
      <w:r w:rsidR="00310D87" w:rsidRPr="00494C3C">
        <w:rPr>
          <w:rFonts w:asciiTheme="majorHAnsi" w:hAnsiTheme="majorHAnsi"/>
          <w:sz w:val="20"/>
          <w:szCs w:val="20"/>
          <w:lang w:val="es-ES_tradnl"/>
        </w:rPr>
        <w:t xml:space="preserve"> Juzgado de Instrucción de Lima sobre la detención de la presunta víctima. </w:t>
      </w:r>
      <w:r w:rsidR="00B43737" w:rsidRPr="00494C3C">
        <w:rPr>
          <w:rFonts w:asciiTheme="majorHAnsi" w:hAnsiTheme="majorHAnsi"/>
          <w:sz w:val="20"/>
          <w:szCs w:val="20"/>
          <w:lang w:val="es-ES_tradnl"/>
        </w:rPr>
        <w:t>Por</w:t>
      </w:r>
      <w:r w:rsidR="00310D87" w:rsidRPr="00494C3C">
        <w:rPr>
          <w:rFonts w:asciiTheme="majorHAnsi" w:hAnsiTheme="majorHAnsi"/>
          <w:sz w:val="20"/>
          <w:szCs w:val="20"/>
          <w:lang w:val="es-ES_tradnl"/>
        </w:rPr>
        <w:t xml:space="preserve"> las citadas razones, el Estado afirma que no violó el artículo 7 de la Convención Americana. </w:t>
      </w:r>
    </w:p>
    <w:p w14:paraId="224ED74B" w14:textId="6D96606E" w:rsidR="00BD2282" w:rsidRPr="00494C3C" w:rsidRDefault="00310D87" w:rsidP="00BD2282">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Con respecto al proceso</w:t>
      </w:r>
      <w:r w:rsidR="00B43737" w:rsidRPr="00494C3C">
        <w:rPr>
          <w:rFonts w:asciiTheme="majorHAnsi" w:hAnsiTheme="majorHAnsi"/>
          <w:sz w:val="20"/>
          <w:szCs w:val="20"/>
          <w:lang w:val="es-ES_tradnl"/>
        </w:rPr>
        <w:t xml:space="preserve"> penal</w:t>
      </w:r>
      <w:r w:rsidRPr="00494C3C">
        <w:rPr>
          <w:rFonts w:asciiTheme="majorHAnsi" w:hAnsiTheme="majorHAnsi"/>
          <w:sz w:val="20"/>
          <w:szCs w:val="20"/>
          <w:lang w:val="es-ES_tradnl"/>
        </w:rPr>
        <w:t xml:space="preserve"> llevado en contra d</w:t>
      </w:r>
      <w:r w:rsidR="00B43737" w:rsidRPr="00494C3C">
        <w:rPr>
          <w:rFonts w:asciiTheme="majorHAnsi" w:hAnsiTheme="majorHAnsi"/>
          <w:sz w:val="20"/>
          <w:szCs w:val="20"/>
          <w:lang w:val="es-ES_tradnl"/>
        </w:rPr>
        <w:t>el señor Rivera Gamarra</w:t>
      </w:r>
      <w:r w:rsidRPr="00494C3C">
        <w:rPr>
          <w:rFonts w:asciiTheme="majorHAnsi" w:hAnsiTheme="majorHAnsi"/>
          <w:sz w:val="20"/>
          <w:szCs w:val="20"/>
          <w:lang w:val="es-ES_tradnl"/>
        </w:rPr>
        <w:t>, afirma que</w:t>
      </w:r>
      <w:r w:rsidR="00172CB0" w:rsidRPr="00494C3C">
        <w:rPr>
          <w:rFonts w:asciiTheme="majorHAnsi" w:hAnsiTheme="majorHAnsi"/>
          <w:sz w:val="20"/>
          <w:szCs w:val="20"/>
          <w:lang w:val="es-ES_tradnl"/>
        </w:rPr>
        <w:t>,</w:t>
      </w:r>
      <w:r w:rsidRPr="00494C3C">
        <w:rPr>
          <w:rFonts w:asciiTheme="majorHAnsi" w:hAnsiTheme="majorHAnsi"/>
          <w:sz w:val="20"/>
          <w:szCs w:val="20"/>
          <w:lang w:val="es-ES_tradnl"/>
        </w:rPr>
        <w:t xml:space="preserve"> si </w:t>
      </w:r>
      <w:r w:rsidR="001C7298" w:rsidRPr="00494C3C">
        <w:rPr>
          <w:rFonts w:asciiTheme="majorHAnsi" w:hAnsiTheme="majorHAnsi"/>
          <w:sz w:val="20"/>
          <w:szCs w:val="20"/>
          <w:lang w:val="es-ES_tradnl"/>
        </w:rPr>
        <w:t>bien un</w:t>
      </w:r>
      <w:r w:rsidRPr="00494C3C">
        <w:rPr>
          <w:rFonts w:asciiTheme="majorHAnsi" w:hAnsiTheme="majorHAnsi"/>
          <w:sz w:val="20"/>
          <w:szCs w:val="20"/>
          <w:lang w:val="es-ES_tradnl"/>
        </w:rPr>
        <w:t xml:space="preserve"> tribunal “con identidad secreta” </w:t>
      </w:r>
      <w:r w:rsidR="00B43737" w:rsidRPr="00494C3C">
        <w:rPr>
          <w:rFonts w:asciiTheme="majorHAnsi" w:hAnsiTheme="majorHAnsi"/>
          <w:sz w:val="20"/>
          <w:szCs w:val="20"/>
          <w:lang w:val="es-ES_tradnl"/>
        </w:rPr>
        <w:t xml:space="preserve">lo </w:t>
      </w:r>
      <w:r w:rsidRPr="00494C3C">
        <w:rPr>
          <w:rFonts w:asciiTheme="majorHAnsi" w:hAnsiTheme="majorHAnsi"/>
          <w:sz w:val="20"/>
          <w:szCs w:val="20"/>
          <w:lang w:val="es-ES_tradnl"/>
        </w:rPr>
        <w:t>condenó a treinta años de pena privativa de libertad, el 3 de enero de 2003 el Tribunal Constitucional, mediante sentencia recaída en el expediente N° 010-2002-AI/TC, revisó la legislación antiterrorista y derogó las normas incompatibles con la Constitución y la Convención Americana que fueron utilizadas para el procesamiento de personas acusadas de terrorismo.</w:t>
      </w:r>
      <w:r w:rsidR="00BD2282" w:rsidRPr="00494C3C">
        <w:rPr>
          <w:rFonts w:asciiTheme="majorHAnsi" w:hAnsiTheme="majorHAnsi"/>
          <w:sz w:val="20"/>
          <w:szCs w:val="20"/>
          <w:lang w:val="es-ES_tradnl"/>
        </w:rPr>
        <w:t xml:space="preserve"> En virtud de tal fallo, y </w:t>
      </w:r>
      <w:r w:rsidR="00172CB0" w:rsidRPr="00494C3C">
        <w:rPr>
          <w:rFonts w:asciiTheme="majorHAnsi" w:hAnsiTheme="majorHAnsi"/>
          <w:sz w:val="20"/>
          <w:szCs w:val="20"/>
          <w:lang w:val="es-ES_tradnl"/>
        </w:rPr>
        <w:t>con base en</w:t>
      </w:r>
      <w:r w:rsidR="00BD2282" w:rsidRPr="00494C3C">
        <w:rPr>
          <w:rFonts w:asciiTheme="majorHAnsi" w:hAnsiTheme="majorHAnsi"/>
          <w:sz w:val="20"/>
          <w:szCs w:val="20"/>
          <w:lang w:val="es-ES_tradnl"/>
        </w:rPr>
        <w:t xml:space="preserve"> la nueva regulación</w:t>
      </w:r>
      <w:r w:rsidR="00002688" w:rsidRPr="00494C3C">
        <w:rPr>
          <w:rFonts w:asciiTheme="majorHAnsi" w:hAnsiTheme="majorHAnsi"/>
          <w:sz w:val="20"/>
          <w:szCs w:val="20"/>
          <w:lang w:val="es-ES_tradnl"/>
        </w:rPr>
        <w:t xml:space="preserve">, </w:t>
      </w:r>
      <w:r w:rsidR="00BD2282" w:rsidRPr="00494C3C">
        <w:rPr>
          <w:rFonts w:asciiTheme="majorHAnsi" w:hAnsiTheme="majorHAnsi"/>
          <w:sz w:val="20"/>
          <w:szCs w:val="20"/>
          <w:lang w:val="es-ES_tradnl"/>
        </w:rPr>
        <w:t>los tribunales ordinarios iniciaron nuevo proceso contra el señor Gamarra Rivera, concluyendo en dos instancias que era responsable penalmente por el delito de Tranquilidad Pública-Terrorismo. El Estado resalta que durante todo el proceso la presunta víctima tuvo la oportunidad y los medios para ejercer su derecho a la defensa, mediante la interposición de tachas, tal como se demuestra en el contendido y actuaciones de las sentencias dictadas. Sostiene que todos los cuestionamientos de la presunta víctima durante el trámite del proceso penal fueron adecuadamente atendidos por los órganos judiciales predeterminados por ley, mediante decisiones debidamente motivadas.</w:t>
      </w:r>
    </w:p>
    <w:p w14:paraId="05E2431E" w14:textId="454276B5" w:rsidR="00BD2282" w:rsidRPr="00494C3C" w:rsidRDefault="00BB2E41" w:rsidP="00310D8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Con relación a la alegada violación al principio de legalidad y no retroactividad respecto a la sentencia por terrorismo contra el señor Rivera Gamarra, el Estado peruano afirma que el 3 de enero de 2003</w:t>
      </w:r>
      <w:r w:rsidR="001E16FA" w:rsidRPr="00494C3C">
        <w:rPr>
          <w:rFonts w:asciiTheme="majorHAnsi" w:hAnsiTheme="majorHAnsi"/>
          <w:sz w:val="20"/>
          <w:szCs w:val="20"/>
          <w:lang w:val="es-ES_tradnl"/>
        </w:rPr>
        <w:t>,</w:t>
      </w:r>
      <w:r w:rsidRPr="00494C3C">
        <w:rPr>
          <w:rFonts w:asciiTheme="majorHAnsi" w:hAnsiTheme="majorHAnsi"/>
          <w:sz w:val="20"/>
          <w:szCs w:val="20"/>
          <w:lang w:val="es-ES_tradnl"/>
        </w:rPr>
        <w:t xml:space="preserve"> </w:t>
      </w:r>
      <w:r w:rsidR="001E16FA" w:rsidRPr="00494C3C">
        <w:rPr>
          <w:rFonts w:asciiTheme="majorHAnsi" w:hAnsiTheme="majorHAnsi"/>
          <w:sz w:val="20"/>
          <w:szCs w:val="20"/>
          <w:lang w:val="es-ES_tradnl"/>
        </w:rPr>
        <w:t xml:space="preserve">el </w:t>
      </w:r>
      <w:r w:rsidRPr="00494C3C">
        <w:rPr>
          <w:rFonts w:asciiTheme="majorHAnsi" w:hAnsiTheme="majorHAnsi"/>
          <w:sz w:val="20"/>
          <w:szCs w:val="20"/>
          <w:lang w:val="es-ES_tradnl"/>
        </w:rPr>
        <w:t xml:space="preserve">Tribunal Constitucional, mediante el fallo que revisó la legislación antiterrorista, confirmó la constitucionalidad del artículo 2 del Decreto Ley N° 25475, el cual regula el tipo penal de terrorismo. El tribunal consideró que la referida disposición “[…] </w:t>
      </w:r>
      <w:r w:rsidRPr="00494C3C">
        <w:rPr>
          <w:rFonts w:asciiTheme="majorHAnsi" w:hAnsiTheme="majorHAnsi"/>
          <w:i/>
          <w:iCs/>
          <w:sz w:val="20"/>
          <w:szCs w:val="20"/>
          <w:lang w:val="es-ES_tradnl"/>
        </w:rPr>
        <w:t>emite un mensaje que posibilita que el ciudadano conozca el contenido de la prohibición, de manera que pueda diferenciar lo que está prohibido de lo que está permitido</w:t>
      </w:r>
      <w:r w:rsidRPr="00494C3C">
        <w:rPr>
          <w:rFonts w:asciiTheme="majorHAnsi" w:hAnsiTheme="majorHAnsi"/>
          <w:sz w:val="20"/>
          <w:szCs w:val="20"/>
          <w:lang w:val="es-ES_tradnl"/>
        </w:rPr>
        <w:t>”.</w:t>
      </w:r>
    </w:p>
    <w:p w14:paraId="266B409B" w14:textId="3C7868C8" w:rsidR="00BB2E41" w:rsidRPr="00494C3C" w:rsidRDefault="00BB2E41" w:rsidP="00310D8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Respecto</w:t>
      </w:r>
      <w:r w:rsidR="00AE6AC0" w:rsidRPr="00494C3C">
        <w:rPr>
          <w:rFonts w:asciiTheme="majorHAnsi" w:hAnsiTheme="majorHAnsi"/>
          <w:sz w:val="20"/>
          <w:szCs w:val="20"/>
          <w:lang w:val="es-ES_tradnl"/>
        </w:rPr>
        <w:t xml:space="preserve"> al acceso a beneficios penitenciarios, informa que la Ley N° 29423, publicada el 14 de octubre de 2009, establece en su artículo 1 que “</w:t>
      </w:r>
      <w:r w:rsidR="00AE6AC0" w:rsidRPr="00494C3C">
        <w:rPr>
          <w:rFonts w:asciiTheme="majorHAnsi" w:hAnsiTheme="majorHAnsi"/>
          <w:i/>
          <w:iCs/>
          <w:sz w:val="20"/>
          <w:szCs w:val="20"/>
          <w:lang w:val="es-ES_tradnl"/>
        </w:rPr>
        <w:t>los condenados por delitos de terrorismo y/o traición a la patria no podrán acogerse a los beneficios penitenciarios de redención de la pena por el trabajo y la educación, la semilibertad y la liberación condicional</w:t>
      </w:r>
      <w:r w:rsidR="00AE6AC0" w:rsidRPr="00494C3C">
        <w:rPr>
          <w:rFonts w:asciiTheme="majorHAnsi" w:hAnsiTheme="majorHAnsi"/>
          <w:sz w:val="20"/>
          <w:szCs w:val="20"/>
          <w:lang w:val="es-ES_tradnl"/>
        </w:rPr>
        <w:t xml:space="preserve">”. </w:t>
      </w:r>
      <w:r w:rsidR="00002688" w:rsidRPr="00494C3C">
        <w:rPr>
          <w:rFonts w:asciiTheme="majorHAnsi" w:hAnsiTheme="majorHAnsi"/>
          <w:sz w:val="20"/>
          <w:szCs w:val="20"/>
          <w:lang w:val="es-ES_tradnl"/>
        </w:rPr>
        <w:t>Además</w:t>
      </w:r>
      <w:r w:rsidR="00AE6AC0" w:rsidRPr="00494C3C">
        <w:rPr>
          <w:rFonts w:asciiTheme="majorHAnsi" w:hAnsiTheme="majorHAnsi"/>
          <w:sz w:val="20"/>
          <w:szCs w:val="20"/>
          <w:lang w:val="es-ES_tradnl"/>
        </w:rPr>
        <w:t xml:space="preserve">, detalla que la jurisprudencia del Tribunal Constitucional ha </w:t>
      </w:r>
      <w:r w:rsidR="00002688" w:rsidRPr="00494C3C">
        <w:rPr>
          <w:rFonts w:asciiTheme="majorHAnsi" w:hAnsiTheme="majorHAnsi"/>
          <w:sz w:val="20"/>
          <w:szCs w:val="20"/>
          <w:lang w:val="es-ES_tradnl"/>
        </w:rPr>
        <w:t>precisado</w:t>
      </w:r>
      <w:r w:rsidR="00AE6AC0" w:rsidRPr="00494C3C">
        <w:rPr>
          <w:rFonts w:asciiTheme="majorHAnsi" w:hAnsiTheme="majorHAnsi"/>
          <w:sz w:val="20"/>
          <w:szCs w:val="20"/>
          <w:lang w:val="es-ES_tradnl"/>
        </w:rPr>
        <w:t xml:space="preserve"> que, en </w:t>
      </w:r>
      <w:r w:rsidR="00D562D2" w:rsidRPr="00494C3C">
        <w:rPr>
          <w:rFonts w:asciiTheme="majorHAnsi" w:hAnsiTheme="majorHAnsi"/>
          <w:sz w:val="20"/>
          <w:szCs w:val="20"/>
          <w:lang w:val="es-ES_tradnl"/>
        </w:rPr>
        <w:t xml:space="preserve">sentido </w:t>
      </w:r>
      <w:r w:rsidR="00AE6AC0" w:rsidRPr="00494C3C">
        <w:rPr>
          <w:rFonts w:asciiTheme="majorHAnsi" w:hAnsiTheme="majorHAnsi"/>
          <w:sz w:val="20"/>
          <w:szCs w:val="20"/>
          <w:lang w:val="es-ES_tradnl"/>
        </w:rPr>
        <w:t>estricto, tales beneficios no son derechos fundamentales, sino garantías previstas por el Derecho de Ejecución Penal</w:t>
      </w:r>
      <w:r w:rsidR="00A45BD5" w:rsidRPr="00494C3C">
        <w:rPr>
          <w:rFonts w:asciiTheme="majorHAnsi" w:hAnsiTheme="majorHAnsi"/>
          <w:sz w:val="20"/>
          <w:szCs w:val="20"/>
          <w:lang w:val="es-ES_tradnl"/>
        </w:rPr>
        <w:t xml:space="preserve">, por lo que </w:t>
      </w:r>
      <w:r w:rsidR="00AE6AC0" w:rsidRPr="00494C3C">
        <w:rPr>
          <w:rFonts w:asciiTheme="majorHAnsi" w:hAnsiTheme="majorHAnsi"/>
          <w:sz w:val="20"/>
          <w:szCs w:val="20"/>
          <w:lang w:val="es-ES_tradnl"/>
        </w:rPr>
        <w:t xml:space="preserve">pueden ser restringidos mediante parámetros objetivos y razonables. </w:t>
      </w:r>
      <w:r w:rsidR="001E16FA" w:rsidRPr="00494C3C">
        <w:rPr>
          <w:rFonts w:asciiTheme="majorHAnsi" w:hAnsiTheme="majorHAnsi"/>
          <w:sz w:val="20"/>
          <w:szCs w:val="20"/>
          <w:lang w:val="es-ES_tradnl"/>
        </w:rPr>
        <w:t>Con base en</w:t>
      </w:r>
      <w:r w:rsidR="00AE6AC0" w:rsidRPr="00494C3C">
        <w:rPr>
          <w:rFonts w:asciiTheme="majorHAnsi" w:hAnsiTheme="majorHAnsi"/>
          <w:sz w:val="20"/>
          <w:szCs w:val="20"/>
          <w:lang w:val="es-ES_tradnl"/>
        </w:rPr>
        <w:t xml:space="preserve"> ello, el Estado argumenta que la limitación de acceder a beneficios penitenciaros</w:t>
      </w:r>
      <w:r w:rsidR="00A45BD5" w:rsidRPr="00494C3C">
        <w:rPr>
          <w:rFonts w:asciiTheme="majorHAnsi" w:hAnsiTheme="majorHAnsi"/>
          <w:sz w:val="20"/>
          <w:szCs w:val="20"/>
          <w:lang w:val="es-ES_tradnl"/>
        </w:rPr>
        <w:t xml:space="preserve"> en perjuicio del señor Rivera Gamarra</w:t>
      </w:r>
      <w:r w:rsidR="00AE6AC0" w:rsidRPr="00494C3C">
        <w:rPr>
          <w:rFonts w:asciiTheme="majorHAnsi" w:hAnsiTheme="majorHAnsi"/>
          <w:sz w:val="20"/>
          <w:szCs w:val="20"/>
          <w:lang w:val="es-ES_tradnl"/>
        </w:rPr>
        <w:t xml:space="preserve"> no constituyó un trato desigual ni una violación de derechos, dado que la medida está fundamentada en la gravedad de los crímenes cometidos. En consecuencia, considera que este extremo de la petición tampoco representa una violación de derechos. </w:t>
      </w:r>
    </w:p>
    <w:p w14:paraId="2511F1F1" w14:textId="74081948" w:rsidR="00E64832" w:rsidRPr="00494C3C" w:rsidRDefault="00E64832" w:rsidP="00310D87">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 xml:space="preserve">Adicionalmente, sostiene que el establecimiento de la obligación en perjuicio de la presunta víctima de pagar 150,000.00 soles como monto de reparación civil tiene sustento en la necesidad de resarcir o indemnizar los daños y perjuicios ocasionados en agravio del Estado, por lo cual se trata de una medida debidamente sustentada. En sentido similar, agrega que todas las limitaciones que tuvo el señor Rivera Gamarra para establecer contacto con sus familiares también son el resultado de su proceso y posterior condena penal, por lo que no se trata de una situación arbitraria ni lesiva de derechos. </w:t>
      </w:r>
    </w:p>
    <w:p w14:paraId="66460559" w14:textId="4FF111C6" w:rsidR="00D601FA" w:rsidRPr="00494C3C" w:rsidRDefault="00AE6AC0" w:rsidP="0018254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E</w:t>
      </w:r>
      <w:r w:rsidR="00182545" w:rsidRPr="00494C3C">
        <w:rPr>
          <w:rFonts w:asciiTheme="majorHAnsi" w:hAnsiTheme="majorHAnsi"/>
          <w:sz w:val="20"/>
          <w:szCs w:val="20"/>
          <w:lang w:val="es-ES_tradnl"/>
        </w:rPr>
        <w:t>n relación con</w:t>
      </w:r>
      <w:r w:rsidR="00D601FA" w:rsidRPr="00494C3C">
        <w:rPr>
          <w:rFonts w:asciiTheme="majorHAnsi" w:hAnsiTheme="majorHAnsi"/>
          <w:sz w:val="20"/>
          <w:szCs w:val="20"/>
          <w:lang w:val="es-ES_tradnl"/>
        </w:rPr>
        <w:t xml:space="preserve"> los presuntos actos de tortura, indica que la presunta víctima formuló denuncia por estos hechos durante el proceso penal llevado en su contra y, debido a ello, se le practicó un examen médico legal. </w:t>
      </w:r>
      <w:r w:rsidR="001E16FA" w:rsidRPr="00494C3C">
        <w:rPr>
          <w:rFonts w:asciiTheme="majorHAnsi" w:hAnsiTheme="majorHAnsi"/>
          <w:sz w:val="20"/>
          <w:szCs w:val="20"/>
          <w:lang w:val="es-ES_tradnl"/>
        </w:rPr>
        <w:t>Con base en</w:t>
      </w:r>
      <w:r w:rsidR="00182545" w:rsidRPr="00494C3C">
        <w:rPr>
          <w:rFonts w:asciiTheme="majorHAnsi" w:hAnsiTheme="majorHAnsi"/>
          <w:sz w:val="20"/>
          <w:szCs w:val="20"/>
          <w:lang w:val="es-ES_tradnl"/>
        </w:rPr>
        <w:t xml:space="preserve"> tal diligencia, el 13 de marzo de 2006 la Sala Penal Nacional en su sentencia afirmó que “[...] </w:t>
      </w:r>
      <w:r w:rsidR="00182545" w:rsidRPr="00494C3C">
        <w:rPr>
          <w:rFonts w:asciiTheme="majorHAnsi" w:hAnsiTheme="majorHAnsi"/>
          <w:i/>
          <w:iCs/>
          <w:sz w:val="20"/>
          <w:szCs w:val="20"/>
          <w:lang w:val="es-ES_tradnl"/>
        </w:rPr>
        <w:t>si bien</w:t>
      </w:r>
      <w:r w:rsidR="00182545" w:rsidRPr="00494C3C">
        <w:rPr>
          <w:rFonts w:asciiTheme="majorHAnsi" w:hAnsiTheme="majorHAnsi"/>
          <w:sz w:val="20"/>
          <w:szCs w:val="20"/>
          <w:lang w:val="es-ES_tradnl"/>
        </w:rPr>
        <w:t xml:space="preserve"> [el señor Rivera Gamarra] </w:t>
      </w:r>
      <w:r w:rsidR="00182545" w:rsidRPr="00494C3C">
        <w:rPr>
          <w:rFonts w:asciiTheme="majorHAnsi" w:hAnsiTheme="majorHAnsi"/>
          <w:i/>
          <w:iCs/>
          <w:sz w:val="20"/>
          <w:szCs w:val="20"/>
          <w:lang w:val="es-ES_tradnl"/>
        </w:rPr>
        <w:t>ha señalado haber sido víctima de torturas físicas, ello no se corrobora con el resultado del certificado médico de fojas doscientos cuarenta y nueve, practicado el quince de febrero del año mil novecientos noventa y cuatro, en el cual se consigna que no presenta huellas de lesiones traumáticas recientes”.</w:t>
      </w:r>
      <w:r w:rsidR="00182545" w:rsidRPr="00494C3C">
        <w:rPr>
          <w:rFonts w:asciiTheme="majorHAnsi" w:hAnsiTheme="majorHAnsi"/>
          <w:sz w:val="20"/>
          <w:szCs w:val="20"/>
          <w:lang w:val="es-ES_tradnl"/>
        </w:rPr>
        <w:t xml:space="preserve"> </w:t>
      </w:r>
    </w:p>
    <w:p w14:paraId="1E2D42AA" w14:textId="19F1AF7A" w:rsidR="0015367A" w:rsidRPr="00494C3C" w:rsidRDefault="00BB2E41" w:rsidP="00260778">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Finalmente, c</w:t>
      </w:r>
      <w:r w:rsidR="0015367A" w:rsidRPr="00494C3C">
        <w:rPr>
          <w:rFonts w:asciiTheme="majorHAnsi" w:hAnsiTheme="majorHAnsi"/>
          <w:sz w:val="20"/>
          <w:szCs w:val="20"/>
          <w:lang w:val="es-ES_tradnl"/>
        </w:rPr>
        <w:t xml:space="preserve">on respecto a las condiciones carcelarias de la presunta víctima, sostiene que si bien inicialmente tal situación estuvo regulada por los Decretos Leyes N° 25475 y 25477, </w:t>
      </w:r>
      <w:r w:rsidR="00260778" w:rsidRPr="00494C3C">
        <w:rPr>
          <w:rFonts w:asciiTheme="majorHAnsi" w:hAnsiTheme="majorHAnsi"/>
          <w:sz w:val="20"/>
          <w:szCs w:val="20"/>
          <w:lang w:val="es-ES_tradnl"/>
        </w:rPr>
        <w:t xml:space="preserve">posteriormente el Tribunal Constitucional, mediante sentencia recaída en el Expediente N° 010-2002-AI, dispuso la adecuación de dicha normativa a la Constitución y la Convención Americana. </w:t>
      </w:r>
      <w:r w:rsidR="0015367A" w:rsidRPr="00494C3C">
        <w:rPr>
          <w:rFonts w:asciiTheme="majorHAnsi" w:hAnsiTheme="majorHAnsi"/>
          <w:sz w:val="20"/>
          <w:szCs w:val="20"/>
          <w:lang w:val="es-ES_tradnl"/>
        </w:rPr>
        <w:t xml:space="preserve">Por ende, a juicio del Estado, las objeciones planteadas por la parte peticionaria se encuentran subsanadas, ya que la legislación que establecía las </w:t>
      </w:r>
      <w:r w:rsidR="0015367A" w:rsidRPr="00494C3C">
        <w:rPr>
          <w:rFonts w:asciiTheme="majorHAnsi" w:hAnsiTheme="majorHAnsi"/>
          <w:sz w:val="20"/>
          <w:szCs w:val="20"/>
          <w:lang w:val="es-ES_tradnl"/>
        </w:rPr>
        <w:lastRenderedPageBreak/>
        <w:t>condiciones penitenciarias en la década de 1990 fue dejada sin efecto</w:t>
      </w:r>
      <w:r w:rsidR="00260778" w:rsidRPr="00494C3C">
        <w:rPr>
          <w:rFonts w:asciiTheme="majorHAnsi" w:hAnsiTheme="majorHAnsi"/>
          <w:sz w:val="20"/>
          <w:szCs w:val="20"/>
          <w:lang w:val="es-ES_tradnl"/>
        </w:rPr>
        <w:t xml:space="preserve"> tras la emisión de un conjunto de decretos legislativos promulgados en virtud del citado fallo en sede constitucional.</w:t>
      </w:r>
    </w:p>
    <w:p w14:paraId="2EB65687" w14:textId="1F178FFA" w:rsidR="000F07BA" w:rsidRPr="00494C3C" w:rsidRDefault="006408CE" w:rsidP="006408C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Por las razones expuestas, el Estado solicita que la petición sea declarada inadmisible con fundamento en el artículo 47.b) de la Convención Americana, toda vez que considera que la pretensión de la peticionaria es que la Comisión actúe como un tribunal de alzada, en contradicción de su naturaleza complementaria.</w:t>
      </w:r>
    </w:p>
    <w:p w14:paraId="51F68C92" w14:textId="3499C5FD" w:rsidR="003239B8" w:rsidRPr="00494C3C" w:rsidRDefault="003239B8" w:rsidP="000F07BA">
      <w:pPr>
        <w:spacing w:before="240" w:after="240"/>
        <w:ind w:firstLine="720"/>
        <w:jc w:val="both"/>
        <w:rPr>
          <w:rFonts w:asciiTheme="majorHAnsi" w:eastAsia="Cambria" w:hAnsiTheme="majorHAnsi" w:cs="Cambria"/>
          <w:b/>
          <w:bCs/>
          <w:color w:val="000000"/>
          <w:sz w:val="20"/>
          <w:szCs w:val="20"/>
          <w:u w:color="000000"/>
          <w:lang w:val="es-ES_tradnl" w:eastAsia="es-ES"/>
        </w:rPr>
      </w:pPr>
      <w:r w:rsidRPr="00494C3C">
        <w:rPr>
          <w:rFonts w:asciiTheme="majorHAnsi" w:eastAsia="Cambria" w:hAnsiTheme="majorHAnsi" w:cs="Cambria"/>
          <w:b/>
          <w:bCs/>
          <w:color w:val="000000"/>
          <w:sz w:val="20"/>
          <w:szCs w:val="20"/>
          <w:u w:color="000000"/>
          <w:lang w:val="es-ES_tradnl" w:eastAsia="es-ES"/>
        </w:rPr>
        <w:t>VI.</w:t>
      </w:r>
      <w:r w:rsidRPr="00494C3C">
        <w:rPr>
          <w:rFonts w:asciiTheme="majorHAnsi" w:eastAsia="Cambria" w:hAnsiTheme="majorHAnsi" w:cs="Cambria"/>
          <w:b/>
          <w:bCs/>
          <w:color w:val="000000"/>
          <w:sz w:val="20"/>
          <w:szCs w:val="20"/>
          <w:u w:color="000000"/>
          <w:lang w:val="es-ES_tradnl" w:eastAsia="es-ES"/>
        </w:rPr>
        <w:tab/>
      </w:r>
      <w:r w:rsidR="004A6A54" w:rsidRPr="00494C3C">
        <w:rPr>
          <w:rFonts w:asciiTheme="majorHAnsi" w:hAnsiTheme="majorHAnsi"/>
          <w:b/>
          <w:bCs/>
          <w:sz w:val="20"/>
          <w:szCs w:val="20"/>
          <w:lang w:val="es-ES_tradnl"/>
        </w:rPr>
        <w:t xml:space="preserve">ANÁLISIS DE </w:t>
      </w:r>
      <w:r w:rsidR="00C21FEF" w:rsidRPr="00494C3C">
        <w:rPr>
          <w:rFonts w:asciiTheme="majorHAnsi" w:hAnsiTheme="majorHAnsi"/>
          <w:b/>
          <w:sz w:val="20"/>
          <w:szCs w:val="20"/>
          <w:lang w:val="es-ES_tradnl"/>
        </w:rPr>
        <w:t>AGOTAMIENTO DE LOS RECURSOS INTERNOS Y PLAZO DE PRESENTACIÓN</w:t>
      </w:r>
      <w:r w:rsidR="00C21FEF" w:rsidRPr="00494C3C">
        <w:rPr>
          <w:rFonts w:asciiTheme="majorHAnsi" w:eastAsia="Cambria" w:hAnsiTheme="majorHAnsi" w:cs="Cambria"/>
          <w:b/>
          <w:bCs/>
          <w:color w:val="000000"/>
          <w:sz w:val="20"/>
          <w:szCs w:val="20"/>
          <w:u w:color="000000"/>
          <w:lang w:val="es-ES_tradnl" w:eastAsia="es-ES"/>
        </w:rPr>
        <w:t xml:space="preserve"> </w:t>
      </w:r>
    </w:p>
    <w:p w14:paraId="0A4D51FB" w14:textId="43ECCD0F" w:rsidR="000945EF" w:rsidRPr="00494C3C" w:rsidRDefault="00C846EB" w:rsidP="000945E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La parte peticionaria solicita la aplicación de las excepciones al agotamiento de los recursos internos previstas en los artículos 46.2.a) y c) de la Convención Americana</w:t>
      </w:r>
      <w:r w:rsidR="000945EF" w:rsidRPr="00494C3C">
        <w:rPr>
          <w:rFonts w:asciiTheme="majorHAnsi" w:hAnsiTheme="majorHAnsi"/>
          <w:sz w:val="20"/>
          <w:szCs w:val="20"/>
          <w:lang w:val="es-ES_tradnl"/>
        </w:rPr>
        <w:t>,</w:t>
      </w:r>
      <w:r w:rsidRPr="00494C3C">
        <w:rPr>
          <w:rFonts w:asciiTheme="majorHAnsi" w:hAnsiTheme="majorHAnsi"/>
          <w:sz w:val="20"/>
          <w:szCs w:val="20"/>
          <w:lang w:val="es-ES_tradnl"/>
        </w:rPr>
        <w:t xml:space="preserve"> al considerar que no existen recursos efectivos a disposición de la presunta víctima para cuestionar su sentencia condenatoria y obtener algún tipo de reparación. El Estado, por su parte, no presenta excepciones destinadas a cuestionar la falta de cumplimiento de los requisitos previstos en los artículos 46.1.a) y b) de la Convención</w:t>
      </w:r>
      <w:r w:rsidR="006130D6" w:rsidRPr="00494C3C">
        <w:rPr>
          <w:rFonts w:asciiTheme="majorHAnsi" w:hAnsiTheme="majorHAnsi"/>
          <w:sz w:val="20"/>
          <w:szCs w:val="20"/>
          <w:lang w:val="es-ES_tradnl"/>
        </w:rPr>
        <w:t>, referidos a la falta de agotamiento de alguna vía interna o la presentación extemporánea de la petición.</w:t>
      </w:r>
    </w:p>
    <w:p w14:paraId="5861A3AB" w14:textId="3EFD2434" w:rsidR="00B620B0" w:rsidRPr="00494C3C" w:rsidRDefault="00B620B0" w:rsidP="007D3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494C3C">
        <w:rPr>
          <w:rFonts w:asciiTheme="majorHAnsi" w:hAnsiTheme="majorHAnsi"/>
          <w:i/>
          <w:iCs/>
          <w:sz w:val="20"/>
          <w:szCs w:val="20"/>
          <w:lang w:val="es-ES_tradnl"/>
        </w:rPr>
        <w:t>Respecto a la condena penal de la presunta víctima</w:t>
      </w:r>
    </w:p>
    <w:p w14:paraId="2F930F10" w14:textId="3F97DCDA" w:rsidR="00C846EB" w:rsidRPr="00494C3C" w:rsidRDefault="00EE76DD" w:rsidP="000945E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En relación con el</w:t>
      </w:r>
      <w:r w:rsidR="00C846EB" w:rsidRPr="00494C3C">
        <w:rPr>
          <w:rFonts w:asciiTheme="majorHAnsi" w:hAnsiTheme="majorHAnsi"/>
          <w:sz w:val="20"/>
          <w:szCs w:val="20"/>
          <w:lang w:val="es-ES_tradnl"/>
        </w:rPr>
        <w:t xml:space="preserve"> proceso penal seguido contra el señor Keling Rivera, </w:t>
      </w:r>
      <w:r w:rsidR="003C13BE" w:rsidRPr="00494C3C">
        <w:rPr>
          <w:rFonts w:asciiTheme="majorHAnsi" w:hAnsiTheme="majorHAnsi"/>
          <w:sz w:val="20"/>
          <w:szCs w:val="20"/>
          <w:lang w:val="es-ES_tradnl"/>
        </w:rPr>
        <w:t>la parte peticionaria indica que, tras controvertir el fallo condenatorio en vía ordinaria y constitucional, el 6 de marzo de 2015 la representación del señor Rivera Gamarra presentó un pedido de sustitución y adecuación de la condena impuesta. Sin embargo, el 22 de septiembre de 2015 la Sala Penal Nacional, mediante Resolución N° 479 declaró improcedente dicha solicitud, al considerar que el asunto controvertido ya tenía calidad de cosa juzgada.</w:t>
      </w:r>
    </w:p>
    <w:p w14:paraId="40007E4C" w14:textId="52E0F8C3" w:rsidR="003C13BE" w:rsidRPr="007D36CD" w:rsidRDefault="003C13BE" w:rsidP="007D36CD">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 xml:space="preserve">Ante ello, en 2015 la presunta víctima habría presentado un recurso de hábeas corpus, solicitando tanto la nulidad de la citada decisión, </w:t>
      </w:r>
      <w:r w:rsidR="00C56386" w:rsidRPr="00494C3C">
        <w:rPr>
          <w:rFonts w:asciiTheme="majorHAnsi" w:hAnsiTheme="majorHAnsi"/>
          <w:sz w:val="20"/>
          <w:szCs w:val="20"/>
          <w:lang w:val="es-ES_tradnl"/>
        </w:rPr>
        <w:t xml:space="preserve">y </w:t>
      </w:r>
      <w:r w:rsidRPr="00494C3C">
        <w:rPr>
          <w:rFonts w:asciiTheme="majorHAnsi" w:hAnsiTheme="majorHAnsi"/>
          <w:sz w:val="20"/>
          <w:szCs w:val="20"/>
          <w:lang w:val="es-ES_tradnl"/>
        </w:rPr>
        <w:t xml:space="preserve">de sentencias </w:t>
      </w:r>
      <w:r w:rsidR="005C55A8" w:rsidRPr="007D36CD">
        <w:rPr>
          <w:rFonts w:asciiTheme="majorHAnsi" w:hAnsiTheme="majorHAnsi"/>
          <w:sz w:val="20"/>
          <w:szCs w:val="20"/>
          <w:lang w:val="es-ES_tradnl"/>
        </w:rPr>
        <w:t xml:space="preserve">de </w:t>
      </w:r>
      <w:r w:rsidR="007D36CD">
        <w:rPr>
          <w:rFonts w:asciiTheme="majorHAnsi" w:hAnsiTheme="majorHAnsi"/>
          <w:sz w:val="20"/>
          <w:szCs w:val="20"/>
          <w:lang w:val="es-ES_tradnl"/>
        </w:rPr>
        <w:t xml:space="preserve">13 de marzo de 2006 y 25 de febrero de 2008 </w:t>
      </w:r>
      <w:r w:rsidRPr="007D36CD">
        <w:rPr>
          <w:rFonts w:asciiTheme="majorHAnsi" w:hAnsiTheme="majorHAnsi"/>
          <w:sz w:val="20"/>
          <w:szCs w:val="20"/>
          <w:lang w:val="es-ES_tradnl"/>
        </w:rPr>
        <w:t xml:space="preserve">que lo condenaron a veinticinco años de pena privativa de libertad. Conforme a la información de libre acceso </w:t>
      </w:r>
      <w:r w:rsidR="00C56386" w:rsidRPr="007D36CD">
        <w:rPr>
          <w:rFonts w:asciiTheme="majorHAnsi" w:hAnsiTheme="majorHAnsi"/>
          <w:sz w:val="20"/>
          <w:szCs w:val="20"/>
          <w:lang w:val="es-ES_tradnl"/>
        </w:rPr>
        <w:t xml:space="preserve">gestionada </w:t>
      </w:r>
      <w:r w:rsidRPr="007D36CD">
        <w:rPr>
          <w:rFonts w:asciiTheme="majorHAnsi" w:hAnsiTheme="majorHAnsi"/>
          <w:sz w:val="20"/>
          <w:szCs w:val="20"/>
          <w:lang w:val="es-ES_tradnl"/>
        </w:rPr>
        <w:t xml:space="preserve">por los órganos del sistema </w:t>
      </w:r>
      <w:r w:rsidR="00C56386" w:rsidRPr="007D36CD">
        <w:rPr>
          <w:rFonts w:asciiTheme="majorHAnsi" w:hAnsiTheme="majorHAnsi"/>
          <w:sz w:val="20"/>
          <w:szCs w:val="20"/>
          <w:lang w:val="es-ES_tradnl"/>
        </w:rPr>
        <w:t xml:space="preserve">de </w:t>
      </w:r>
      <w:r w:rsidRPr="007D36CD">
        <w:rPr>
          <w:rFonts w:asciiTheme="majorHAnsi" w:hAnsiTheme="majorHAnsi"/>
          <w:sz w:val="20"/>
          <w:szCs w:val="20"/>
          <w:lang w:val="es-ES_tradnl"/>
        </w:rPr>
        <w:t xml:space="preserve">justicia peruano, el 27 de febrero de 2020 el Tribunal Constitucional </w:t>
      </w:r>
      <w:r w:rsidR="00C56386" w:rsidRPr="007D36CD">
        <w:rPr>
          <w:rFonts w:asciiTheme="majorHAnsi" w:hAnsiTheme="majorHAnsi"/>
          <w:sz w:val="20"/>
          <w:szCs w:val="20"/>
          <w:lang w:val="es-ES_tradnl"/>
        </w:rPr>
        <w:t>declaró</w:t>
      </w:r>
      <w:r w:rsidRPr="007D36CD">
        <w:rPr>
          <w:rFonts w:asciiTheme="majorHAnsi" w:hAnsiTheme="majorHAnsi"/>
          <w:sz w:val="20"/>
          <w:szCs w:val="20"/>
          <w:lang w:val="es-ES_tradnl"/>
        </w:rPr>
        <w:t xml:space="preserve">, en última instancia, improcedente la referida acción por sustracción de la materia, al considerar que </w:t>
      </w:r>
      <w:r w:rsidR="00C56386" w:rsidRPr="007D36CD">
        <w:rPr>
          <w:rFonts w:asciiTheme="majorHAnsi" w:hAnsiTheme="majorHAnsi"/>
          <w:sz w:val="20"/>
          <w:szCs w:val="20"/>
          <w:lang w:val="es-ES_tradnl"/>
        </w:rPr>
        <w:t xml:space="preserve">el </w:t>
      </w:r>
      <w:r w:rsidRPr="007D36CD">
        <w:rPr>
          <w:rFonts w:asciiTheme="majorHAnsi" w:hAnsiTheme="majorHAnsi"/>
          <w:sz w:val="20"/>
          <w:szCs w:val="20"/>
          <w:lang w:val="es-ES_tradnl"/>
        </w:rPr>
        <w:t>14 de febrero de 2019 el señor Rivera Gamarra ya había obtenido su libertad</w:t>
      </w:r>
      <w:r w:rsidR="00C56386" w:rsidRPr="00494C3C">
        <w:rPr>
          <w:rStyle w:val="FootnoteReference"/>
          <w:rFonts w:asciiTheme="majorHAnsi" w:hAnsiTheme="majorHAnsi"/>
          <w:sz w:val="20"/>
          <w:szCs w:val="20"/>
          <w:lang w:val="es-ES_tradnl"/>
        </w:rPr>
        <w:footnoteReference w:id="6"/>
      </w:r>
      <w:r w:rsidRPr="007D36CD">
        <w:rPr>
          <w:rFonts w:asciiTheme="majorHAnsi" w:hAnsiTheme="majorHAnsi"/>
          <w:sz w:val="20"/>
          <w:szCs w:val="20"/>
          <w:lang w:val="es-ES_tradnl"/>
        </w:rPr>
        <w:t xml:space="preserve">. </w:t>
      </w:r>
      <w:r w:rsidR="00A0457E" w:rsidRPr="007D36CD">
        <w:rPr>
          <w:rFonts w:asciiTheme="majorHAnsi" w:hAnsiTheme="majorHAnsi"/>
          <w:sz w:val="20"/>
          <w:szCs w:val="20"/>
          <w:lang w:val="es-ES_tradnl"/>
        </w:rPr>
        <w:t>Con base en</w:t>
      </w:r>
      <w:r w:rsidR="00B40A28" w:rsidRPr="007D36CD">
        <w:rPr>
          <w:rFonts w:asciiTheme="majorHAnsi" w:hAnsiTheme="majorHAnsi"/>
          <w:sz w:val="20"/>
          <w:szCs w:val="20"/>
          <w:lang w:val="es-ES_tradnl"/>
        </w:rPr>
        <w:t xml:space="preserve"> </w:t>
      </w:r>
      <w:r w:rsidR="00C56386" w:rsidRPr="007D36CD">
        <w:rPr>
          <w:rFonts w:asciiTheme="majorHAnsi" w:hAnsiTheme="majorHAnsi"/>
          <w:sz w:val="20"/>
          <w:szCs w:val="20"/>
          <w:lang w:val="es-ES_tradnl"/>
        </w:rPr>
        <w:t>esta decisión, y dada la ausencia de cuestionamientos por parte del Estado respecto a este punto, la Comisión considera que la presunta víctima agotó los recursos de la jurisdicción interna para cuestionar su fallo condenatorio, por lo que se cumple el requisito previsto en el artículo 46.1.a) de la Convención Americana. Asimismo, dado que esta última decisión se profirió mientras la presente petición se encontraba bajo estudio de admisibilidad, la CIDH también concluye que se cumple el requisito de plazo de presentación establecido en el artículo 46.1.b) de la Convención.</w:t>
      </w:r>
    </w:p>
    <w:p w14:paraId="33CEECB4" w14:textId="3473BDCD" w:rsidR="00B620B0" w:rsidRPr="00494C3C" w:rsidRDefault="00B620B0" w:rsidP="007D3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494C3C">
        <w:rPr>
          <w:rFonts w:asciiTheme="majorHAnsi" w:hAnsiTheme="majorHAnsi"/>
          <w:i/>
          <w:iCs/>
          <w:sz w:val="20"/>
          <w:szCs w:val="20"/>
          <w:lang w:val="es-ES_tradnl"/>
        </w:rPr>
        <w:t>Sobre los alegados actos de tortura</w:t>
      </w:r>
    </w:p>
    <w:p w14:paraId="4D46708E" w14:textId="03726377" w:rsidR="0057626C" w:rsidRPr="00494C3C" w:rsidRDefault="0057626C" w:rsidP="000945E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Con respecto a la falta de investigación de los presuntos actos de tortura cometidos contra la presunta víctima al momento de su detención, la Comisión reitera que la CIDH ha establecido de forma sostenida que toda vez que el Estado tenga conocimiento de la comisión de un delito perseguible de oficio, tiene la obligación de iniciar o presentar una acción penal, pues ésta constituye el medio adecuado para esclarecer los hechos, procesar a los responsables y determinar las sanciones penales correspondientes, además de facilitar otras formas de reparación pecuniaria. Asimismo, como regla general, la investigación penal debe realizarse con prontitud para proteger los intereses de las víctimas, preservar la prueba e incluso salvaguardar los derechos de toda persona que, en el contexto de la investigación, sea considerada sospechosa</w:t>
      </w:r>
      <w:r w:rsidR="00C846EB" w:rsidRPr="00494C3C">
        <w:rPr>
          <w:rStyle w:val="FootnoteReference"/>
          <w:rFonts w:asciiTheme="majorHAnsi" w:hAnsiTheme="majorHAnsi"/>
          <w:sz w:val="20"/>
          <w:szCs w:val="20"/>
          <w:lang w:val="es-ES_tradnl"/>
        </w:rPr>
        <w:footnoteReference w:id="7"/>
      </w:r>
      <w:r w:rsidRPr="00494C3C">
        <w:rPr>
          <w:rFonts w:asciiTheme="majorHAnsi" w:hAnsiTheme="majorHAnsi"/>
          <w:sz w:val="20"/>
          <w:szCs w:val="20"/>
          <w:lang w:val="es-ES_tradnl"/>
        </w:rPr>
        <w:t>.</w:t>
      </w:r>
    </w:p>
    <w:p w14:paraId="421633A4" w14:textId="04D73665" w:rsidR="00C846EB" w:rsidRPr="00494C3C" w:rsidRDefault="00C846EB" w:rsidP="00C846EB">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lastRenderedPageBreak/>
        <w:t xml:space="preserve">En el presente </w:t>
      </w:r>
      <w:r w:rsidR="003C6421" w:rsidRPr="00494C3C">
        <w:rPr>
          <w:rFonts w:asciiTheme="majorHAnsi" w:hAnsiTheme="majorHAnsi"/>
          <w:sz w:val="20"/>
          <w:szCs w:val="20"/>
          <w:lang w:val="es-ES_tradnl"/>
        </w:rPr>
        <w:t>asunto</w:t>
      </w:r>
      <w:r w:rsidRPr="00494C3C">
        <w:rPr>
          <w:rFonts w:asciiTheme="majorHAnsi" w:hAnsiTheme="majorHAnsi"/>
          <w:sz w:val="20"/>
          <w:szCs w:val="20"/>
          <w:lang w:val="es-ES_tradnl"/>
        </w:rPr>
        <w:t xml:space="preserve">, la Comisión observa que a pesar de que la presunta víctima denunció, en el marco del segundo proceso penal en su contra, los citados actos de violencia, las autoridades no habrían realizado una investigación diligente a este aspecto. El Estado se limita a afirmar que los órganos de justicia consideraron que la representación del señor Rivera Gamarra no acreditó que tales prácticas efectivamente ocurrieron, sin explicar las diligencias que se realizaron a efectos de arribar a tal conclusión. Al respecto, la Comisión nota que, si bien el Estado afirma que los órganos de justicia valoraron un certificado médico, este documento habría sido emitido el </w:t>
      </w:r>
      <w:r w:rsidR="009C3D2F" w:rsidRPr="00494C3C">
        <w:rPr>
          <w:rFonts w:asciiTheme="majorHAnsi" w:hAnsiTheme="majorHAnsi"/>
          <w:sz w:val="20"/>
          <w:szCs w:val="20"/>
          <w:lang w:val="es-ES_tradnl"/>
        </w:rPr>
        <w:t>15</w:t>
      </w:r>
      <w:r w:rsidRPr="00494C3C">
        <w:rPr>
          <w:rFonts w:asciiTheme="majorHAnsi" w:hAnsiTheme="majorHAnsi"/>
          <w:sz w:val="20"/>
          <w:szCs w:val="20"/>
          <w:lang w:val="es-ES_tradnl"/>
        </w:rPr>
        <w:t xml:space="preserve"> de febrero de 1994, un día de antes de la detención de la presunta víctima. </w:t>
      </w:r>
    </w:p>
    <w:p w14:paraId="565E751A" w14:textId="75A12505" w:rsidR="00C846EB" w:rsidRPr="00494C3C" w:rsidRDefault="00C846EB" w:rsidP="000945EF">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 xml:space="preserve">En consecuencia, conforme a la información presente en el expediente, la Comisión considera que resulta aplicable la excepción prevista en el artículo 46.2.c) de la Convención Americana, dado que no se habría investigado hasta la fecha los hechos denunciados. Asimismo, dado que los hechos planteados en este extremo de la petición se mantienen vigentes, la Comisión considera que fueron presentados dentro de un plazo razonable en los términos del artículo 32.2 del Reglamento de la CIDH.      </w:t>
      </w:r>
    </w:p>
    <w:p w14:paraId="673598AF" w14:textId="65AE28D5" w:rsidR="003239B8" w:rsidRPr="00494C3C" w:rsidRDefault="003239B8" w:rsidP="000945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_tradnl"/>
        </w:rPr>
      </w:pPr>
      <w:r w:rsidRPr="00494C3C">
        <w:rPr>
          <w:rFonts w:asciiTheme="majorHAnsi" w:hAnsiTheme="majorHAnsi"/>
          <w:b/>
          <w:bCs/>
          <w:sz w:val="20"/>
          <w:szCs w:val="20"/>
          <w:lang w:val="es-ES_tradnl"/>
        </w:rPr>
        <w:t>VII.</w:t>
      </w:r>
      <w:r w:rsidRPr="00494C3C">
        <w:rPr>
          <w:rFonts w:asciiTheme="majorHAnsi" w:hAnsiTheme="majorHAnsi"/>
          <w:b/>
          <w:bCs/>
          <w:sz w:val="20"/>
          <w:szCs w:val="20"/>
          <w:lang w:val="es-ES_tradnl"/>
        </w:rPr>
        <w:tab/>
      </w:r>
      <w:r w:rsidR="004A6A54" w:rsidRPr="00494C3C">
        <w:rPr>
          <w:rFonts w:asciiTheme="majorHAnsi" w:hAnsiTheme="majorHAnsi"/>
          <w:b/>
          <w:bCs/>
          <w:sz w:val="20"/>
          <w:szCs w:val="20"/>
          <w:lang w:val="es-ES_tradnl"/>
        </w:rPr>
        <w:t xml:space="preserve">ANÁLISIS DE </w:t>
      </w:r>
      <w:r w:rsidR="00C21FEF" w:rsidRPr="00494C3C">
        <w:rPr>
          <w:rFonts w:asciiTheme="majorHAnsi" w:hAnsiTheme="majorHAnsi"/>
          <w:b/>
          <w:bCs/>
          <w:sz w:val="20"/>
          <w:szCs w:val="20"/>
          <w:lang w:val="es-ES_tradnl"/>
        </w:rPr>
        <w:t>CARACTERIZACIÓN DE LOS HECHOS ALEGADOS</w:t>
      </w:r>
    </w:p>
    <w:p w14:paraId="068C45CC" w14:textId="0800A13A" w:rsidR="00A45BD5" w:rsidRPr="00494C3C" w:rsidRDefault="00A45BD5" w:rsidP="00A45BD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Así, en vista de los elementos de hecho y de derecho expuestos por las partes y la naturaleza del asunto puesto bajo su conocimiento, la Comisión considera que el presente asunto requiere de un análisis de fondo, toda vez que los hechos denunciados, de ser probados, podrían constituir violaciones a los derechos reconocidos en los artículos 5 (integridad personal),</w:t>
      </w:r>
      <w:r w:rsidR="00C56B35" w:rsidRPr="00494C3C">
        <w:rPr>
          <w:rFonts w:asciiTheme="majorHAnsi" w:hAnsiTheme="majorHAnsi"/>
          <w:sz w:val="20"/>
          <w:szCs w:val="20"/>
          <w:lang w:val="es-ES_tradnl"/>
        </w:rPr>
        <w:t xml:space="preserve"> 7 (libertad personal),</w:t>
      </w:r>
      <w:r w:rsidRPr="00494C3C">
        <w:rPr>
          <w:rFonts w:asciiTheme="majorHAnsi" w:hAnsiTheme="majorHAnsi"/>
          <w:sz w:val="20"/>
          <w:szCs w:val="20"/>
          <w:lang w:val="es-ES_tradnl"/>
        </w:rPr>
        <w:t xml:space="preserve"> 8 (garantías judiciales), 9 (principio de legalidad y no retroactividad)</w:t>
      </w:r>
      <w:r w:rsidR="00FE57E7" w:rsidRPr="00494C3C">
        <w:rPr>
          <w:rFonts w:asciiTheme="majorHAnsi" w:hAnsiTheme="majorHAnsi"/>
          <w:sz w:val="20"/>
          <w:szCs w:val="20"/>
          <w:lang w:val="es-ES_tradnl"/>
        </w:rPr>
        <w:t xml:space="preserve">, </w:t>
      </w:r>
      <w:r w:rsidR="00FE57E7" w:rsidRPr="00494C3C">
        <w:rPr>
          <w:rFonts w:asciiTheme="majorHAnsi" w:hAnsiTheme="majorHAnsi"/>
          <w:bCs/>
          <w:sz w:val="20"/>
          <w:szCs w:val="20"/>
          <w:lang w:val="es-ES_tradnl"/>
        </w:rPr>
        <w:t>17 (protección a la familia), 19 (derechos del niño), 24 (igualdad ante la ley)</w:t>
      </w:r>
      <w:r w:rsidRPr="00494C3C">
        <w:rPr>
          <w:rFonts w:asciiTheme="majorHAnsi" w:hAnsiTheme="majorHAnsi"/>
          <w:sz w:val="20"/>
          <w:szCs w:val="20"/>
          <w:lang w:val="es-ES_tradnl"/>
        </w:rPr>
        <w:t xml:space="preserve"> y 25 (protección judicial) de la Convención Americana, en relación con los artículos 1.1 y 2 del mismo instrumento, en perjuicio del </w:t>
      </w:r>
      <w:r w:rsidR="00C56B35" w:rsidRPr="00494C3C">
        <w:rPr>
          <w:rFonts w:asciiTheme="majorHAnsi" w:hAnsiTheme="majorHAnsi"/>
          <w:sz w:val="20"/>
          <w:szCs w:val="20"/>
          <w:lang w:val="es-ES_tradnl"/>
        </w:rPr>
        <w:t>señor Rivera Gamarra y de sus familiares</w:t>
      </w:r>
      <w:r w:rsidR="005914E7" w:rsidRPr="00494C3C">
        <w:rPr>
          <w:rFonts w:asciiTheme="majorHAnsi" w:hAnsiTheme="majorHAnsi"/>
          <w:sz w:val="20"/>
          <w:szCs w:val="20"/>
          <w:lang w:val="es-ES_tradnl"/>
        </w:rPr>
        <w:t xml:space="preserve">, incluyendo a </w:t>
      </w:r>
      <w:r w:rsidR="00BC1215" w:rsidRPr="00494C3C">
        <w:rPr>
          <w:rFonts w:asciiTheme="majorHAnsi" w:hAnsiTheme="majorHAnsi"/>
          <w:sz w:val="20"/>
          <w:szCs w:val="20"/>
          <w:lang w:val="es-ES_tradnl"/>
        </w:rPr>
        <w:t>quienes eran niños/as y/o adolescentes al momento de los hechos</w:t>
      </w:r>
      <w:r w:rsidRPr="00494C3C">
        <w:rPr>
          <w:rFonts w:asciiTheme="majorHAnsi" w:hAnsiTheme="majorHAnsi"/>
          <w:sz w:val="20"/>
          <w:szCs w:val="20"/>
          <w:lang w:val="es-ES_tradnl"/>
        </w:rPr>
        <w:t xml:space="preserve">, </w:t>
      </w:r>
      <w:r w:rsidR="00C56B35" w:rsidRPr="00494C3C">
        <w:rPr>
          <w:rFonts w:asciiTheme="majorHAnsi" w:hAnsiTheme="majorHAnsi"/>
          <w:sz w:val="20"/>
          <w:szCs w:val="20"/>
          <w:lang w:val="es-ES_tradnl"/>
        </w:rPr>
        <w:t xml:space="preserve">conforme a </w:t>
      </w:r>
      <w:r w:rsidRPr="00494C3C">
        <w:rPr>
          <w:rFonts w:asciiTheme="majorHAnsi" w:hAnsiTheme="majorHAnsi"/>
          <w:sz w:val="20"/>
          <w:szCs w:val="20"/>
          <w:lang w:val="es-ES_tradnl"/>
        </w:rPr>
        <w:t>los términos descritos en el presente informe</w:t>
      </w:r>
      <w:r w:rsidR="00C56B35" w:rsidRPr="00494C3C">
        <w:rPr>
          <w:rFonts w:asciiTheme="majorHAnsi" w:hAnsiTheme="majorHAnsi"/>
          <w:sz w:val="20"/>
          <w:szCs w:val="20"/>
          <w:lang w:val="es-ES_tradnl"/>
        </w:rPr>
        <w:t xml:space="preserve">. Asimismo, la Comisión también analizará en etapa de fondo el posible incumplimiento de los artículos 1, 6 y 8 de la CIPST. </w:t>
      </w:r>
    </w:p>
    <w:p w14:paraId="7A71A7BA" w14:textId="1704D9A7" w:rsidR="0041076F" w:rsidRPr="00494C3C" w:rsidRDefault="0041076F" w:rsidP="00A45BD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 xml:space="preserve">En cuanto al reclamo sobre la presunta violación del artículo 23 (derechos políticos) de la Convención Americana; la Comisión observa que los peticionarios no han ofrecido alegatos o sustento suficiente que permita considerar prima facie su posible violación.  </w:t>
      </w:r>
    </w:p>
    <w:p w14:paraId="130F9302" w14:textId="20D91F6F" w:rsidR="00A45BD5" w:rsidRPr="00494C3C" w:rsidRDefault="0041076F" w:rsidP="00A45BD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C</w:t>
      </w:r>
      <w:r w:rsidR="00A45BD5" w:rsidRPr="00494C3C">
        <w:rPr>
          <w:rFonts w:asciiTheme="majorHAnsi" w:hAnsiTheme="majorHAnsi"/>
          <w:sz w:val="20"/>
          <w:szCs w:val="20"/>
          <w:lang w:val="es-ES_tradnl"/>
        </w:rPr>
        <w:t>abe recordar que la Comisión no constituye una cuarta instancia que pueda realizar una valoración de la prueba referente a la posible culpabilidad o no de la presunta víctima en el presente caso</w:t>
      </w:r>
      <w:r w:rsidR="00FE57E7" w:rsidRPr="00494C3C">
        <w:rPr>
          <w:rStyle w:val="FootnoteReference"/>
          <w:rFonts w:asciiTheme="majorHAnsi" w:hAnsiTheme="majorHAnsi"/>
          <w:sz w:val="20"/>
          <w:szCs w:val="20"/>
          <w:lang w:val="es-ES_tradnl"/>
        </w:rPr>
        <w:footnoteReference w:id="8"/>
      </w:r>
      <w:r w:rsidR="00A45BD5" w:rsidRPr="00494C3C">
        <w:rPr>
          <w:rFonts w:asciiTheme="majorHAnsi" w:hAnsiTheme="majorHAnsi"/>
          <w:sz w:val="20"/>
          <w:szCs w:val="20"/>
          <w:lang w:val="es-ES_tradnl"/>
        </w:rPr>
        <w:t xml:space="preserve">. El propósito no es determinar la inocencia o culpabilidad del señor </w:t>
      </w:r>
      <w:r w:rsidR="00C56B35" w:rsidRPr="00494C3C">
        <w:rPr>
          <w:rFonts w:asciiTheme="majorHAnsi" w:hAnsiTheme="majorHAnsi"/>
          <w:sz w:val="20"/>
          <w:szCs w:val="20"/>
          <w:lang w:val="es-ES_tradnl"/>
        </w:rPr>
        <w:t>Rivera Gamarra</w:t>
      </w:r>
      <w:r w:rsidR="00A45BD5" w:rsidRPr="00494C3C">
        <w:rPr>
          <w:rFonts w:asciiTheme="majorHAnsi" w:hAnsiTheme="majorHAnsi"/>
          <w:sz w:val="20"/>
          <w:szCs w:val="20"/>
          <w:lang w:val="es-ES_tradnl"/>
        </w:rPr>
        <w:t>, sino definir si las autoridades judiciales han afectado o no obligaciones estipuladas en la Convención, en particular el deber de motivación, el principio de presunción de inocencia, principio de legalidad y el derecho a la protección judicial.</w:t>
      </w:r>
    </w:p>
    <w:p w14:paraId="42266CFA" w14:textId="2249C7BC" w:rsidR="00C56B35" w:rsidRPr="00494C3C" w:rsidRDefault="00C56B35" w:rsidP="00A45BD5">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Según lo ha indicado la Corte Interamericana, para que proceda una excepción de “cuarta instancia” sería necesario que se “</w:t>
      </w:r>
      <w:r w:rsidRPr="00494C3C">
        <w:rPr>
          <w:rFonts w:asciiTheme="majorHAnsi" w:hAnsiTheme="majorHAnsi"/>
          <w:i/>
          <w:iCs/>
          <w:sz w:val="20"/>
          <w:szCs w:val="20"/>
          <w:lang w:val="es-ES_tradnl"/>
        </w:rPr>
        <w:t xml:space="preserve">busque que </w:t>
      </w:r>
      <w:r w:rsidRPr="00494C3C">
        <w:rPr>
          <w:rFonts w:asciiTheme="majorHAnsi" w:hAnsiTheme="majorHAnsi"/>
          <w:sz w:val="20"/>
          <w:szCs w:val="20"/>
          <w:lang w:val="es-ES_tradnl"/>
        </w:rPr>
        <w:t>[…]</w:t>
      </w:r>
      <w:r w:rsidRPr="00494C3C">
        <w:rPr>
          <w:rFonts w:asciiTheme="majorHAnsi" w:hAnsiTheme="majorHAnsi"/>
          <w:i/>
          <w:iCs/>
          <w:sz w:val="20"/>
          <w:szCs w:val="20"/>
          <w:lang w:val="es-ES_tradnl"/>
        </w:rPr>
        <w:t xml:space="preserve"> [se] revise el fallo de un tribunal interno en virtud de su incorrecta apreciación de la prueba, los hechos o el derecho interno, sin que, a la vez, se alegue que tal fallo incurrió en una violación de tratados internacionales </w:t>
      </w:r>
      <w:r w:rsidRPr="00494C3C">
        <w:rPr>
          <w:rFonts w:asciiTheme="majorHAnsi" w:hAnsiTheme="majorHAnsi"/>
          <w:sz w:val="20"/>
          <w:szCs w:val="20"/>
          <w:lang w:val="es-ES_tradnl"/>
        </w:rPr>
        <w:t>[ …]”.  En el presente caso, la Comisión considera que, tal como lo ha indicado la Corte Interamericana, “[</w:t>
      </w:r>
      <w:r w:rsidRPr="00494C3C">
        <w:rPr>
          <w:rFonts w:asciiTheme="majorHAnsi" w:hAnsiTheme="majorHAnsi"/>
          <w:i/>
          <w:iCs/>
          <w:sz w:val="20"/>
          <w:szCs w:val="20"/>
          <w:lang w:val="es-ES_tradnl"/>
        </w:rPr>
        <w:t>le]compete verificar si en los pasos efectivamente dados a nivel interno se violaron o no obligaciones internacionales del Estado derivadas de los instrumentos interamericanos que le otorgan competencia</w:t>
      </w:r>
      <w:r w:rsidRPr="00494C3C">
        <w:rPr>
          <w:rFonts w:asciiTheme="majorHAnsi" w:hAnsiTheme="majorHAnsi"/>
          <w:sz w:val="20"/>
          <w:szCs w:val="20"/>
          <w:lang w:val="es-ES_tradnl"/>
        </w:rPr>
        <w:t>”. En este sentido, el análisis sobre si el Estado incurrió en violaciones a la Convención Americana es una cuestión que corresponde ser decidida en el fondo del presente asunto.</w:t>
      </w:r>
    </w:p>
    <w:p w14:paraId="445BF42E" w14:textId="6E184382" w:rsidR="003239B8" w:rsidRPr="00494C3C" w:rsidRDefault="003239B8" w:rsidP="000945EF">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494C3C">
        <w:rPr>
          <w:rFonts w:asciiTheme="majorHAnsi" w:hAnsiTheme="majorHAnsi"/>
          <w:b/>
          <w:bCs/>
          <w:sz w:val="20"/>
          <w:szCs w:val="20"/>
          <w:lang w:val="es-ES_tradnl"/>
        </w:rPr>
        <w:t xml:space="preserve">VIII. </w:t>
      </w:r>
      <w:r w:rsidRPr="00494C3C">
        <w:rPr>
          <w:rFonts w:asciiTheme="majorHAnsi" w:hAnsiTheme="majorHAnsi"/>
          <w:b/>
          <w:bCs/>
          <w:sz w:val="20"/>
          <w:szCs w:val="20"/>
          <w:lang w:val="es-ES_tradnl"/>
        </w:rPr>
        <w:tab/>
        <w:t>DECISIÓN</w:t>
      </w:r>
    </w:p>
    <w:p w14:paraId="16B36F97" w14:textId="7BBE776B" w:rsidR="003239B8" w:rsidRPr="00494C3C"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494C3C">
        <w:rPr>
          <w:rFonts w:asciiTheme="majorHAnsi" w:hAnsiTheme="majorHAnsi"/>
          <w:sz w:val="20"/>
          <w:szCs w:val="20"/>
          <w:lang w:val="es-ES_tradnl"/>
        </w:rPr>
        <w:t>Declarar admisible la presente petición en relación con</w:t>
      </w:r>
      <w:r w:rsidR="001D7F96" w:rsidRPr="00494C3C">
        <w:rPr>
          <w:rFonts w:asciiTheme="majorHAnsi" w:hAnsiTheme="majorHAnsi"/>
          <w:sz w:val="20"/>
          <w:szCs w:val="20"/>
          <w:lang w:val="es-ES_tradnl"/>
        </w:rPr>
        <w:t xml:space="preserve"> </w:t>
      </w:r>
      <w:r w:rsidR="0057626C" w:rsidRPr="00494C3C">
        <w:rPr>
          <w:rFonts w:asciiTheme="majorHAnsi" w:hAnsiTheme="majorHAnsi"/>
          <w:sz w:val="20"/>
          <w:szCs w:val="20"/>
          <w:lang w:val="es-ES_tradnl"/>
        </w:rPr>
        <w:t>5, 7, 8, 9, 17, 19, 24 y 25 de la Convención Americana; y los artículos 1, 6 y 8 de la CIPST</w:t>
      </w:r>
      <w:r w:rsidR="00A758AA" w:rsidRPr="00494C3C">
        <w:rPr>
          <w:rFonts w:asciiTheme="majorHAnsi" w:hAnsiTheme="majorHAnsi"/>
          <w:sz w:val="20"/>
          <w:szCs w:val="20"/>
          <w:lang w:val="es-ES_tradnl"/>
        </w:rPr>
        <w:t>;</w:t>
      </w:r>
      <w:r w:rsidR="007B76D3" w:rsidRPr="00494C3C">
        <w:rPr>
          <w:rFonts w:asciiTheme="majorHAnsi" w:hAnsiTheme="majorHAnsi"/>
          <w:sz w:val="20"/>
          <w:szCs w:val="20"/>
          <w:lang w:val="es-ES_tradnl"/>
        </w:rPr>
        <w:t xml:space="preserve"> y</w:t>
      </w:r>
    </w:p>
    <w:p w14:paraId="7CCCB663" w14:textId="7C7EEA76" w:rsidR="000419AD" w:rsidRPr="00494C3C" w:rsidRDefault="000419AD" w:rsidP="00D94D09">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494C3C">
        <w:rPr>
          <w:rFonts w:asciiTheme="majorHAnsi" w:eastAsia="Arial Unicode MS" w:hAnsiTheme="majorHAnsi" w:cs="Times New Roman"/>
          <w:color w:val="auto"/>
          <w:sz w:val="20"/>
          <w:szCs w:val="20"/>
          <w:lang w:val="es-ES_tradnl" w:eastAsia="en-US"/>
        </w:rPr>
        <w:lastRenderedPageBreak/>
        <w:t xml:space="preserve">Declarar inadmisible la presente petición en relación con </w:t>
      </w:r>
      <w:r w:rsidR="004B218F" w:rsidRPr="00494C3C">
        <w:rPr>
          <w:rFonts w:asciiTheme="majorHAnsi" w:eastAsia="Arial Unicode MS" w:hAnsiTheme="majorHAnsi" w:cs="Times New Roman"/>
          <w:color w:val="auto"/>
          <w:sz w:val="20"/>
          <w:szCs w:val="20"/>
          <w:lang w:val="es-ES_tradnl" w:eastAsia="en-US"/>
        </w:rPr>
        <w:t>el artículo 23 de la Convención</w:t>
      </w:r>
      <w:r w:rsidR="0057626C" w:rsidRPr="00494C3C">
        <w:rPr>
          <w:rFonts w:asciiTheme="majorHAnsi" w:eastAsia="Arial Unicode MS" w:hAnsiTheme="majorHAnsi" w:cs="Times New Roman"/>
          <w:color w:val="auto"/>
          <w:sz w:val="20"/>
          <w:szCs w:val="20"/>
          <w:lang w:val="es-ES_tradnl" w:eastAsia="en-US"/>
        </w:rPr>
        <w:t xml:space="preserve"> Americana</w:t>
      </w:r>
      <w:r w:rsidR="004C0E13">
        <w:rPr>
          <w:rFonts w:asciiTheme="majorHAnsi" w:eastAsia="Arial Unicode MS" w:hAnsiTheme="majorHAnsi" w:cs="Times New Roman"/>
          <w:color w:val="auto"/>
          <w:sz w:val="20"/>
          <w:szCs w:val="20"/>
          <w:lang w:val="es-ES_tradnl" w:eastAsia="en-US"/>
        </w:rPr>
        <w:t>, y;</w:t>
      </w:r>
    </w:p>
    <w:p w14:paraId="547DFF8E" w14:textId="77777777" w:rsidR="000419AD" w:rsidRPr="00494C3C" w:rsidRDefault="000419AD" w:rsidP="000419AD">
      <w:pPr>
        <w:pStyle w:val="ListParagraph"/>
        <w:rPr>
          <w:rFonts w:asciiTheme="majorHAnsi" w:eastAsia="Arial Unicode MS" w:hAnsiTheme="majorHAnsi" w:cs="Times New Roman"/>
          <w:color w:val="auto"/>
          <w:sz w:val="20"/>
          <w:szCs w:val="20"/>
          <w:lang w:val="es-ES_tradnl" w:eastAsia="en-US"/>
        </w:rPr>
      </w:pPr>
    </w:p>
    <w:p w14:paraId="00C1D3B7" w14:textId="38B72880"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r w:rsidRPr="00494C3C">
        <w:rPr>
          <w:rFonts w:asciiTheme="majorHAnsi" w:hAnsiTheme="majorHAnsi"/>
          <w:color w:val="000000" w:themeColor="text1"/>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6386F752" w14:textId="32285986" w:rsidR="0044164E" w:rsidRPr="003079DE" w:rsidRDefault="001A7245" w:rsidP="003079DE">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sidR="00FB2F4A">
        <w:rPr>
          <w:rFonts w:asciiTheme="majorHAnsi" w:hAnsiTheme="majorHAnsi" w:cs="Arial"/>
          <w:noProof/>
          <w:spacing w:val="-2"/>
          <w:sz w:val="20"/>
          <w:szCs w:val="20"/>
          <w:lang w:val="es-CL"/>
        </w:rPr>
        <w:t>21</w:t>
      </w:r>
      <w:r w:rsidRPr="00B76FE0">
        <w:rPr>
          <w:rFonts w:asciiTheme="majorHAnsi" w:hAnsiTheme="majorHAnsi" w:cs="Arial"/>
          <w:noProof/>
          <w:spacing w:val="-2"/>
          <w:sz w:val="20"/>
          <w:szCs w:val="20"/>
          <w:lang w:val="es-CL"/>
        </w:rPr>
        <w:t xml:space="preserve"> días del mes de </w:t>
      </w:r>
      <w:r w:rsidR="00FB2F4A">
        <w:rPr>
          <w:rFonts w:asciiTheme="majorHAnsi" w:hAnsiTheme="majorHAnsi" w:cs="Arial"/>
          <w:noProof/>
          <w:spacing w:val="-2"/>
          <w:sz w:val="20"/>
          <w:szCs w:val="20"/>
          <w:lang w:val="es-CL"/>
        </w:rPr>
        <w:t>julio</w:t>
      </w:r>
      <w:r w:rsidRPr="00B76FE0">
        <w:rPr>
          <w:rFonts w:asciiTheme="majorHAnsi" w:hAnsiTheme="majorHAnsi" w:cs="Arial"/>
          <w:noProof/>
          <w:spacing w:val="-2"/>
          <w:sz w:val="20"/>
          <w:szCs w:val="20"/>
          <w:lang w:val="es-CL"/>
        </w:rPr>
        <w:t xml:space="preserve"> de 2022.  (Firmado):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Carlos Bernal Pulido, </w:t>
      </w:r>
      <w:r w:rsidR="003079DE">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bookmarkEnd w:id="2"/>
      <w:bookmarkEnd w:id="3"/>
    </w:p>
    <w:p w14:paraId="02C904B2" w14:textId="30409A82" w:rsidR="009A56CE" w:rsidRPr="00494C3C" w:rsidRDefault="009A56CE" w:rsidP="009A56CE">
      <w:pPr>
        <w:ind w:left="720"/>
        <w:jc w:val="both"/>
        <w:rPr>
          <w:rFonts w:asciiTheme="majorHAnsi" w:hAnsiTheme="majorHAnsi" w:cs="Calibri"/>
          <w:sz w:val="20"/>
          <w:szCs w:val="20"/>
          <w:lang w:val="es-ES_tradnl"/>
        </w:rPr>
      </w:pPr>
    </w:p>
    <w:sectPr w:rsidR="009A56CE" w:rsidRPr="00494C3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4FEA" w14:textId="77777777" w:rsidR="001B03FB" w:rsidRDefault="001B03FB">
      <w:r>
        <w:separator/>
      </w:r>
    </w:p>
  </w:endnote>
  <w:endnote w:type="continuationSeparator" w:id="0">
    <w:p w14:paraId="45F95D6F" w14:textId="77777777" w:rsidR="001B03FB" w:rsidRDefault="001B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58340" w14:textId="77777777" w:rsidR="001B03FB" w:rsidRPr="000F35ED" w:rsidRDefault="001B03F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FA46E5A" w14:textId="77777777" w:rsidR="001B03FB" w:rsidRPr="000F35ED" w:rsidRDefault="001B03FB" w:rsidP="000F35ED">
      <w:pPr>
        <w:rPr>
          <w:rFonts w:asciiTheme="majorHAnsi" w:hAnsiTheme="majorHAnsi"/>
          <w:sz w:val="16"/>
          <w:szCs w:val="16"/>
        </w:rPr>
      </w:pPr>
      <w:r w:rsidRPr="000F35ED">
        <w:rPr>
          <w:rFonts w:asciiTheme="majorHAnsi" w:hAnsiTheme="majorHAnsi"/>
          <w:sz w:val="16"/>
          <w:szCs w:val="16"/>
        </w:rPr>
        <w:separator/>
      </w:r>
    </w:p>
    <w:p w14:paraId="622A6FE6" w14:textId="77777777" w:rsidR="001B03FB" w:rsidRPr="000F35ED" w:rsidRDefault="001B03F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C98E5B4" w14:textId="77777777" w:rsidR="001B03FB" w:rsidRPr="000F35ED" w:rsidRDefault="001B03F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95034FB" w14:textId="7DBF1904" w:rsidR="004E375B" w:rsidRPr="004E375B" w:rsidRDefault="004E375B" w:rsidP="00424C62">
      <w:pPr>
        <w:pStyle w:val="FootnoteText"/>
        <w:ind w:firstLine="720"/>
        <w:jc w:val="both"/>
        <w:rPr>
          <w:rFonts w:ascii="Cambria" w:hAnsi="Cambria"/>
          <w:sz w:val="16"/>
          <w:szCs w:val="16"/>
          <w:lang w:val="es-ES"/>
        </w:rPr>
      </w:pPr>
      <w:r w:rsidRPr="004E375B">
        <w:rPr>
          <w:rStyle w:val="FootnoteReference"/>
          <w:rFonts w:ascii="Cambria" w:hAnsi="Cambria"/>
          <w:sz w:val="16"/>
          <w:szCs w:val="16"/>
        </w:rPr>
        <w:footnoteRef/>
      </w:r>
      <w:r w:rsidRPr="004E375B">
        <w:rPr>
          <w:rFonts w:ascii="Cambria" w:hAnsi="Cambria"/>
          <w:sz w:val="16"/>
          <w:szCs w:val="16"/>
          <w:lang w:val="es-ES"/>
        </w:rPr>
        <w:t xml:space="preserve"> En concreto, la parte peticionaria identifica a María Elena Anaya Cotrina (cónyuge), Sebastián Ademir Medina Anaya,</w:t>
      </w:r>
      <w:r>
        <w:rPr>
          <w:rFonts w:ascii="Cambria" w:hAnsi="Cambria"/>
          <w:sz w:val="16"/>
          <w:szCs w:val="16"/>
          <w:lang w:val="es-ES"/>
        </w:rPr>
        <w:t xml:space="preserve"> Alejandro Manuel Rivera Anaya, Jesús Keling Rivera Anaya (hijos), </w:t>
      </w:r>
      <w:r w:rsidRPr="00B620B0">
        <w:rPr>
          <w:rFonts w:ascii="Cambria" w:hAnsi="Cambria"/>
          <w:sz w:val="16"/>
          <w:szCs w:val="16"/>
          <w:lang w:val="es-ES"/>
        </w:rPr>
        <w:t>Pablo Convercio Ri</w:t>
      </w:r>
      <w:r w:rsidR="00B620B0" w:rsidRPr="00B620B0">
        <w:rPr>
          <w:rFonts w:ascii="Cambria" w:hAnsi="Cambria"/>
          <w:sz w:val="16"/>
          <w:szCs w:val="16"/>
          <w:lang w:val="es-ES"/>
        </w:rPr>
        <w:t>v</w:t>
      </w:r>
      <w:r w:rsidRPr="00B620B0">
        <w:rPr>
          <w:rFonts w:ascii="Cambria" w:hAnsi="Cambria"/>
          <w:sz w:val="16"/>
          <w:szCs w:val="16"/>
          <w:lang w:val="es-ES"/>
        </w:rPr>
        <w:t>era Gómez (padre</w:t>
      </w:r>
      <w:r>
        <w:rPr>
          <w:rFonts w:ascii="Cambria" w:hAnsi="Cambria"/>
          <w:sz w:val="16"/>
          <w:szCs w:val="16"/>
          <w:lang w:val="es-ES"/>
        </w:rPr>
        <w:t>), Juana Aquila Gamarra de Rivera (madre), Edwin Orlando Rivera Gamarra, Aquiles Pablo Rivera Gamarra, Joel Lenni Rivera Gamarra, Estif York Rivera Gamarra, Kleini Evelyn Rivera Gamarra, Yesmi Klesi Rivera Gamarra, Pedro Lindenberg Rivera Gamarra, Joseph Friedrich Rivera Gamarra y Eliana Yenia Rivera Gamarra (hermanos</w:t>
      </w:r>
      <w:r w:rsidR="00BB7C53">
        <w:rPr>
          <w:rFonts w:ascii="Cambria" w:hAnsi="Cambria"/>
          <w:sz w:val="16"/>
          <w:szCs w:val="16"/>
          <w:lang w:val="es-ES"/>
        </w:rPr>
        <w:t>)</w:t>
      </w:r>
      <w:r>
        <w:rPr>
          <w:rFonts w:ascii="Cambria" w:hAnsi="Cambria"/>
          <w:sz w:val="16"/>
          <w:szCs w:val="16"/>
          <w:lang w:val="es-ES"/>
        </w:rPr>
        <w:t xml:space="preserve">. </w:t>
      </w:r>
    </w:p>
  </w:footnote>
  <w:footnote w:id="3">
    <w:p w14:paraId="66E930B8" w14:textId="36EFA9B7" w:rsidR="004A6A54" w:rsidRPr="00306F33" w:rsidRDefault="004A6A54" w:rsidP="00424C62">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sidR="0070713F">
        <w:rPr>
          <w:rFonts w:asciiTheme="majorHAnsi" w:hAnsiTheme="majorHAnsi"/>
          <w:sz w:val="16"/>
          <w:szCs w:val="16"/>
          <w:lang w:val="es-ES"/>
        </w:rPr>
        <w:t>la</w:t>
      </w:r>
      <w:r w:rsidRPr="00306F33">
        <w:rPr>
          <w:rFonts w:asciiTheme="majorHAnsi" w:hAnsiTheme="majorHAnsi"/>
          <w:sz w:val="16"/>
          <w:szCs w:val="16"/>
          <w:lang w:val="es-ES"/>
        </w:rPr>
        <w:t xml:space="preserve"> Comisionad</w:t>
      </w:r>
      <w:r w:rsidR="0070713F">
        <w:rPr>
          <w:rFonts w:asciiTheme="majorHAnsi" w:hAnsiTheme="majorHAnsi"/>
          <w:sz w:val="16"/>
          <w:szCs w:val="16"/>
          <w:lang w:val="es-ES"/>
        </w:rPr>
        <w:t>a</w:t>
      </w:r>
      <w:r w:rsidRPr="00306F33">
        <w:rPr>
          <w:rFonts w:asciiTheme="majorHAnsi" w:hAnsiTheme="majorHAnsi"/>
          <w:sz w:val="16"/>
          <w:szCs w:val="16"/>
          <w:lang w:val="es-ES"/>
        </w:rPr>
        <w:t xml:space="preserve"> </w:t>
      </w:r>
      <w:r w:rsidR="0070713F">
        <w:rPr>
          <w:rFonts w:asciiTheme="majorHAnsi" w:hAnsiTheme="majorHAnsi"/>
          <w:sz w:val="16"/>
          <w:szCs w:val="16"/>
          <w:lang w:val="es-ES"/>
        </w:rPr>
        <w:t>Julissa Mantilla Falcón</w:t>
      </w:r>
      <w:r w:rsidRPr="00306F33">
        <w:rPr>
          <w:rFonts w:asciiTheme="majorHAnsi" w:hAnsiTheme="majorHAnsi"/>
          <w:sz w:val="16"/>
          <w:szCs w:val="16"/>
          <w:lang w:val="es-ES"/>
        </w:rPr>
        <w:t xml:space="preserve">, de nacionalidad </w:t>
      </w:r>
      <w:r w:rsidR="0070713F">
        <w:rPr>
          <w:rFonts w:asciiTheme="majorHAnsi" w:hAnsiTheme="majorHAnsi"/>
          <w:sz w:val="16"/>
          <w:szCs w:val="16"/>
          <w:lang w:val="es-ES"/>
        </w:rPr>
        <w:t>peruana</w:t>
      </w:r>
      <w:r w:rsidRPr="00306F33">
        <w:rPr>
          <w:rFonts w:asciiTheme="majorHAnsi" w:hAnsiTheme="majorHAnsi"/>
          <w:sz w:val="16"/>
          <w:szCs w:val="16"/>
          <w:lang w:val="es-ES"/>
        </w:rPr>
        <w:t>, no participó en el debate ni en la decisión del presente asunto.</w:t>
      </w:r>
    </w:p>
  </w:footnote>
  <w:footnote w:id="4">
    <w:p w14:paraId="47E2C763" w14:textId="39FB06E3" w:rsidR="00233DF7" w:rsidRPr="00233DF7" w:rsidRDefault="00233DF7" w:rsidP="00424C62">
      <w:pPr>
        <w:pStyle w:val="FootnoteText"/>
        <w:ind w:firstLine="720"/>
        <w:jc w:val="both"/>
        <w:rPr>
          <w:rFonts w:ascii="Cambria" w:hAnsi="Cambria"/>
          <w:color w:val="000000" w:themeColor="text1"/>
          <w:sz w:val="16"/>
          <w:szCs w:val="16"/>
          <w:lang w:val="es-ES"/>
        </w:rPr>
      </w:pPr>
      <w:r w:rsidRPr="00233DF7">
        <w:rPr>
          <w:rStyle w:val="FootnoteReference"/>
          <w:rFonts w:ascii="Cambria" w:hAnsi="Cambria"/>
          <w:sz w:val="16"/>
          <w:szCs w:val="16"/>
        </w:rPr>
        <w:footnoteRef/>
      </w:r>
      <w:r w:rsidRPr="00233DF7">
        <w:rPr>
          <w:rFonts w:ascii="Cambria" w:hAnsi="Cambria"/>
          <w:sz w:val="16"/>
          <w:szCs w:val="16"/>
          <w:lang w:val="es-ES"/>
        </w:rPr>
        <w:t xml:space="preserve"> En adelante “la Convención Americana” o “la Convención”</w:t>
      </w:r>
    </w:p>
  </w:footnote>
  <w:footnote w:id="5">
    <w:p w14:paraId="1AFEF3B0" w14:textId="5DCE8F2C" w:rsidR="008E3BFE" w:rsidRPr="00306F33" w:rsidRDefault="008E3BFE" w:rsidP="00424C62">
      <w:pPr>
        <w:pStyle w:val="FootnoteText"/>
        <w:ind w:firstLine="720"/>
        <w:jc w:val="both"/>
        <w:rPr>
          <w:rFonts w:asciiTheme="majorHAnsi" w:hAnsiTheme="majorHAnsi"/>
          <w:sz w:val="16"/>
          <w:szCs w:val="16"/>
          <w:lang w:val="es-ES"/>
        </w:rPr>
      </w:pPr>
      <w:r w:rsidRPr="00233DF7">
        <w:rPr>
          <w:rStyle w:val="FootnoteReference"/>
          <w:rFonts w:asciiTheme="majorHAnsi" w:hAnsiTheme="majorHAnsi"/>
          <w:color w:val="000000" w:themeColor="text1"/>
          <w:sz w:val="16"/>
          <w:szCs w:val="16"/>
        </w:rPr>
        <w:footnoteRef/>
      </w:r>
      <w:r w:rsidRPr="00233DF7">
        <w:rPr>
          <w:rFonts w:asciiTheme="majorHAnsi" w:hAnsiTheme="majorHAnsi"/>
          <w:color w:val="000000" w:themeColor="text1"/>
          <w:sz w:val="16"/>
          <w:szCs w:val="16"/>
          <w:lang w:val="es-ES"/>
        </w:rPr>
        <w:t xml:space="preserve"> Las observaciones de cada parte fueron debidamente trasladadas a la parte contraria.</w:t>
      </w:r>
      <w:r w:rsidR="009A56CE" w:rsidRPr="00233DF7">
        <w:rPr>
          <w:rFonts w:asciiTheme="majorHAnsi" w:hAnsiTheme="majorHAnsi"/>
          <w:color w:val="000000" w:themeColor="text1"/>
          <w:sz w:val="16"/>
          <w:szCs w:val="16"/>
          <w:lang w:val="es-ES"/>
        </w:rPr>
        <w:t xml:space="preserve"> </w:t>
      </w:r>
    </w:p>
  </w:footnote>
  <w:footnote w:id="6">
    <w:p w14:paraId="3078E314" w14:textId="06750000" w:rsidR="00C56386" w:rsidRPr="00C56386" w:rsidRDefault="00C56386" w:rsidP="00424C62">
      <w:pPr>
        <w:pStyle w:val="FootnoteText"/>
        <w:ind w:firstLine="720"/>
        <w:jc w:val="both"/>
        <w:rPr>
          <w:rFonts w:ascii="Cambria" w:hAnsi="Cambria"/>
          <w:sz w:val="16"/>
          <w:szCs w:val="16"/>
          <w:lang w:val="es-ES"/>
        </w:rPr>
      </w:pPr>
      <w:r w:rsidRPr="00C56386">
        <w:rPr>
          <w:rStyle w:val="FootnoteReference"/>
          <w:rFonts w:ascii="Cambria" w:hAnsi="Cambria"/>
          <w:sz w:val="16"/>
          <w:szCs w:val="16"/>
        </w:rPr>
        <w:footnoteRef/>
      </w:r>
      <w:r w:rsidRPr="00C56386">
        <w:rPr>
          <w:rFonts w:ascii="Cambria" w:hAnsi="Cambria"/>
          <w:sz w:val="16"/>
          <w:szCs w:val="16"/>
          <w:lang w:val="es-ES"/>
        </w:rPr>
        <w:t xml:space="preserve"> Tribunal Constitucional. Sentencia recaída en el expediente N° 0883-2017-PHC. Disponible en: https://tc.gob.pe/jurisprudencia/2020/00883-2017-HC%20Interlocutoria.pdf</w:t>
      </w:r>
    </w:p>
  </w:footnote>
  <w:footnote w:id="7">
    <w:p w14:paraId="40854C14" w14:textId="1BE6E1D5" w:rsidR="00C846EB" w:rsidRPr="00C846EB" w:rsidRDefault="00C846EB" w:rsidP="00424C62">
      <w:pPr>
        <w:pStyle w:val="FootnoteText"/>
        <w:ind w:firstLine="720"/>
        <w:jc w:val="both"/>
        <w:rPr>
          <w:rFonts w:ascii="Cambria" w:hAnsi="Cambria"/>
          <w:sz w:val="16"/>
          <w:szCs w:val="16"/>
          <w:lang w:val="es-ES"/>
        </w:rPr>
      </w:pPr>
      <w:r w:rsidRPr="00C846EB">
        <w:rPr>
          <w:rStyle w:val="FootnoteReference"/>
          <w:rFonts w:ascii="Cambria" w:hAnsi="Cambria"/>
          <w:sz w:val="16"/>
          <w:szCs w:val="16"/>
        </w:rPr>
        <w:footnoteRef/>
      </w:r>
      <w:r w:rsidRPr="00C846EB">
        <w:rPr>
          <w:rFonts w:ascii="Cambria" w:hAnsi="Cambria"/>
          <w:sz w:val="16"/>
          <w:szCs w:val="16"/>
          <w:lang w:val="es-ES"/>
        </w:rPr>
        <w:t xml:space="preserve"> CIDH, Informe No. 159/17, Petición 712-08, Admisibilidad, Sebastián Larroza Velázquez y familia, Paraguay, 30 de noviembre de 2017, párr. 14; CIDH, Informe No. 108/19, Petición 81-09, Admisibilidad, Anael Fidel Sanjuanelo Polo y familia, Colombia, 0028 de julio de 2019, párr. 17-19.</w:t>
      </w:r>
    </w:p>
  </w:footnote>
  <w:footnote w:id="8">
    <w:p w14:paraId="5D9677E5" w14:textId="0EA8266C" w:rsidR="00FE57E7" w:rsidRPr="0057626C" w:rsidRDefault="00FE57E7" w:rsidP="00424C62">
      <w:pPr>
        <w:pStyle w:val="FootnoteText"/>
        <w:ind w:firstLine="720"/>
        <w:jc w:val="both"/>
        <w:rPr>
          <w:rFonts w:ascii="Cambria" w:hAnsi="Cambria"/>
          <w:sz w:val="16"/>
          <w:szCs w:val="16"/>
          <w:lang w:val="es-ES"/>
        </w:rPr>
      </w:pPr>
      <w:r w:rsidRPr="0057626C">
        <w:rPr>
          <w:rStyle w:val="FootnoteReference"/>
          <w:rFonts w:ascii="Cambria" w:hAnsi="Cambria"/>
          <w:sz w:val="16"/>
          <w:szCs w:val="16"/>
        </w:rPr>
        <w:footnoteRef/>
      </w:r>
      <w:r w:rsidRPr="0057626C">
        <w:rPr>
          <w:rFonts w:ascii="Cambria" w:hAnsi="Cambria"/>
          <w:sz w:val="16"/>
          <w:szCs w:val="16"/>
          <w:lang w:val="es-ES"/>
        </w:rPr>
        <w:t xml:space="preserve"> </w:t>
      </w:r>
      <w:r w:rsidR="0057626C" w:rsidRPr="0057626C">
        <w:rPr>
          <w:rFonts w:ascii="Cambria" w:hAnsi="Cambria"/>
          <w:sz w:val="16"/>
          <w:szCs w:val="16"/>
          <w:lang w:val="es-ES"/>
        </w:rPr>
        <w:t xml:space="preserve">En sentido similar: Corte IDH, Caso de los “Niños de la Calle” (Villagrán Morales y otros) Vs. Guatemala. Fondo. Sentencia de 19 de noviembre de 1999. Serie C No. 63, párr. 222, Corte IDH, Caso Moya Solís Vs. Perú. Excepciones Preliminares, Fondo, Reparaciones y Costas. Sentencia de 3 de junio de 2021. Serie C No. 425, párr. 28; y Corte IDH, Caso Manuela y otros Vs. El Salvador. Excepciones preliminares, Fondo, Reparaciones y Costas. Sentencia de 2 de noviembre de 2021. </w:t>
      </w:r>
      <w:r w:rsidR="0057626C" w:rsidRPr="0057626C">
        <w:rPr>
          <w:rFonts w:ascii="Cambria" w:hAnsi="Cambria"/>
          <w:sz w:val="16"/>
          <w:szCs w:val="16"/>
        </w:rPr>
        <w:t>Serie C No. 441, párr. 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9E07C4" w:rsidP="00A50FCF">
    <w:pPr>
      <w:pStyle w:val="Header"/>
      <w:tabs>
        <w:tab w:val="clear" w:pos="4320"/>
        <w:tab w:val="clear" w:pos="8640"/>
      </w:tabs>
      <w:jc w:val="center"/>
      <w:rPr>
        <w:sz w:val="22"/>
        <w:szCs w:val="22"/>
      </w:rPr>
    </w:pPr>
    <w:r>
      <w:rPr>
        <w:noProof/>
        <w:sz w:val="22"/>
        <w:szCs w:val="22"/>
        <w:bdr w:val="nil"/>
      </w:rPr>
      <w:pict w14:anchorId="43C7E6A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4A66696"/>
    <w:lvl w:ilvl="0" w:tplc="F6CC9032">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6147E9F"/>
    <w:multiLevelType w:val="hybridMultilevel"/>
    <w:tmpl w:val="E112188E"/>
    <w:lvl w:ilvl="0" w:tplc="8C6CB756">
      <w:start w:val="1"/>
      <w:numFmt w:val="decimal"/>
      <w:lvlText w:val="%1."/>
      <w:lvlJc w:val="left"/>
      <w:pPr>
        <w:ind w:left="2651" w:hanging="950"/>
      </w:pPr>
      <w:rPr>
        <w:rFonts w:hint="default"/>
      </w:rPr>
    </w:lvl>
    <w:lvl w:ilvl="1" w:tplc="04090019" w:tentative="1">
      <w:start w:val="1"/>
      <w:numFmt w:val="lowerLetter"/>
      <w:lvlText w:val="%2."/>
      <w:lvlJc w:val="left"/>
      <w:pPr>
        <w:ind w:left="3371" w:hanging="360"/>
      </w:pPr>
    </w:lvl>
    <w:lvl w:ilvl="2" w:tplc="0409001B" w:tentative="1">
      <w:start w:val="1"/>
      <w:numFmt w:val="lowerRoman"/>
      <w:lvlText w:val="%3."/>
      <w:lvlJc w:val="right"/>
      <w:pPr>
        <w:ind w:left="4091" w:hanging="180"/>
      </w:pPr>
    </w:lvl>
    <w:lvl w:ilvl="3" w:tplc="0409000F" w:tentative="1">
      <w:start w:val="1"/>
      <w:numFmt w:val="decimal"/>
      <w:lvlText w:val="%4."/>
      <w:lvlJc w:val="left"/>
      <w:pPr>
        <w:ind w:left="4811" w:hanging="360"/>
      </w:pPr>
    </w:lvl>
    <w:lvl w:ilvl="4" w:tplc="04090019" w:tentative="1">
      <w:start w:val="1"/>
      <w:numFmt w:val="lowerLetter"/>
      <w:lvlText w:val="%5."/>
      <w:lvlJc w:val="left"/>
      <w:pPr>
        <w:ind w:left="5531" w:hanging="360"/>
      </w:pPr>
    </w:lvl>
    <w:lvl w:ilvl="5" w:tplc="0409001B" w:tentative="1">
      <w:start w:val="1"/>
      <w:numFmt w:val="lowerRoman"/>
      <w:lvlText w:val="%6."/>
      <w:lvlJc w:val="right"/>
      <w:pPr>
        <w:ind w:left="6251" w:hanging="180"/>
      </w:pPr>
    </w:lvl>
    <w:lvl w:ilvl="6" w:tplc="0409000F" w:tentative="1">
      <w:start w:val="1"/>
      <w:numFmt w:val="decimal"/>
      <w:lvlText w:val="%7."/>
      <w:lvlJc w:val="left"/>
      <w:pPr>
        <w:ind w:left="6971" w:hanging="360"/>
      </w:pPr>
    </w:lvl>
    <w:lvl w:ilvl="7" w:tplc="04090019" w:tentative="1">
      <w:start w:val="1"/>
      <w:numFmt w:val="lowerLetter"/>
      <w:lvlText w:val="%8."/>
      <w:lvlJc w:val="left"/>
      <w:pPr>
        <w:ind w:left="7691" w:hanging="360"/>
      </w:pPr>
    </w:lvl>
    <w:lvl w:ilvl="8" w:tplc="0409001B" w:tentative="1">
      <w:start w:val="1"/>
      <w:numFmt w:val="lowerRoman"/>
      <w:lvlText w:val="%9."/>
      <w:lvlJc w:val="right"/>
      <w:pPr>
        <w:ind w:left="8411"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4"/>
  </w:num>
  <w:num w:numId="4" w16cid:durableId="2018339747">
    <w:abstractNumId w:val="20"/>
  </w:num>
  <w:num w:numId="5" w16cid:durableId="368341374">
    <w:abstractNumId w:val="48"/>
  </w:num>
  <w:num w:numId="6" w16cid:durableId="1074009954">
    <w:abstractNumId w:val="27"/>
  </w:num>
  <w:num w:numId="7" w16cid:durableId="1545016965">
    <w:abstractNumId w:val="6"/>
  </w:num>
  <w:num w:numId="8" w16cid:durableId="1165165820">
    <w:abstractNumId w:val="16"/>
  </w:num>
  <w:num w:numId="9" w16cid:durableId="751703382">
    <w:abstractNumId w:val="42"/>
  </w:num>
  <w:num w:numId="10" w16cid:durableId="1010065578">
    <w:abstractNumId w:val="0"/>
  </w:num>
  <w:num w:numId="11" w16cid:durableId="599265313">
    <w:abstractNumId w:val="37"/>
  </w:num>
  <w:num w:numId="12" w16cid:durableId="1094203649">
    <w:abstractNumId w:val="38"/>
  </w:num>
  <w:num w:numId="13" w16cid:durableId="393090155">
    <w:abstractNumId w:val="45"/>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9"/>
  </w:num>
  <w:num w:numId="19" w16cid:durableId="7217114">
    <w:abstractNumId w:val="10"/>
  </w:num>
  <w:num w:numId="20" w16cid:durableId="1858302314">
    <w:abstractNumId w:val="11"/>
  </w:num>
  <w:num w:numId="21" w16cid:durableId="1702172520">
    <w:abstractNumId w:val="12"/>
  </w:num>
  <w:num w:numId="22" w16cid:durableId="1700861223">
    <w:abstractNumId w:val="13"/>
  </w:num>
  <w:num w:numId="23" w16cid:durableId="1025131478">
    <w:abstractNumId w:val="14"/>
  </w:num>
  <w:num w:numId="24" w16cid:durableId="477890311">
    <w:abstractNumId w:val="15"/>
  </w:num>
  <w:num w:numId="25" w16cid:durableId="1967855925">
    <w:abstractNumId w:val="17"/>
  </w:num>
  <w:num w:numId="26" w16cid:durableId="998537020">
    <w:abstractNumId w:val="18"/>
  </w:num>
  <w:num w:numId="27" w16cid:durableId="642350406">
    <w:abstractNumId w:val="21"/>
  </w:num>
  <w:num w:numId="28" w16cid:durableId="1616718871">
    <w:abstractNumId w:val="22"/>
  </w:num>
  <w:num w:numId="29" w16cid:durableId="1530486082">
    <w:abstractNumId w:val="23"/>
  </w:num>
  <w:num w:numId="30" w16cid:durableId="802582976">
    <w:abstractNumId w:val="25"/>
  </w:num>
  <w:num w:numId="31" w16cid:durableId="287396833">
    <w:abstractNumId w:val="28"/>
  </w:num>
  <w:num w:numId="32" w16cid:durableId="535119711">
    <w:abstractNumId w:val="29"/>
  </w:num>
  <w:num w:numId="33" w16cid:durableId="2078547275">
    <w:abstractNumId w:val="30"/>
  </w:num>
  <w:num w:numId="34" w16cid:durableId="1703632659">
    <w:abstractNumId w:val="31"/>
  </w:num>
  <w:num w:numId="35" w16cid:durableId="1264075887">
    <w:abstractNumId w:val="32"/>
  </w:num>
  <w:num w:numId="36" w16cid:durableId="1752315512">
    <w:abstractNumId w:val="33"/>
  </w:num>
  <w:num w:numId="37" w16cid:durableId="1536426887">
    <w:abstractNumId w:val="34"/>
  </w:num>
  <w:num w:numId="38" w16cid:durableId="949702590">
    <w:abstractNumId w:val="35"/>
  </w:num>
  <w:num w:numId="39" w16cid:durableId="115605940">
    <w:abstractNumId w:val="39"/>
  </w:num>
  <w:num w:numId="40" w16cid:durableId="2008750670">
    <w:abstractNumId w:val="40"/>
  </w:num>
  <w:num w:numId="41" w16cid:durableId="579801488">
    <w:abstractNumId w:val="47"/>
  </w:num>
  <w:num w:numId="42" w16cid:durableId="910309630">
    <w:abstractNumId w:val="49"/>
  </w:num>
  <w:num w:numId="43" w16cid:durableId="221603102">
    <w:abstractNumId w:val="50"/>
  </w:num>
  <w:num w:numId="44" w16cid:durableId="779104680">
    <w:abstractNumId w:val="52"/>
  </w:num>
  <w:num w:numId="45" w16cid:durableId="1713115894">
    <w:abstractNumId w:val="53"/>
  </w:num>
  <w:num w:numId="46" w16cid:durableId="1387951419">
    <w:abstractNumId w:val="55"/>
  </w:num>
  <w:num w:numId="47" w16cid:durableId="648510715">
    <w:abstractNumId w:val="56"/>
  </w:num>
  <w:num w:numId="48" w16cid:durableId="1806315575">
    <w:abstractNumId w:val="57"/>
  </w:num>
  <w:num w:numId="49" w16cid:durableId="1682586011">
    <w:abstractNumId w:val="58"/>
  </w:num>
  <w:num w:numId="50" w16cid:durableId="2025083079">
    <w:abstractNumId w:val="59"/>
  </w:num>
  <w:num w:numId="51" w16cid:durableId="530342504">
    <w:abstractNumId w:val="19"/>
  </w:num>
  <w:num w:numId="52" w16cid:durableId="955454438">
    <w:abstractNumId w:val="41"/>
  </w:num>
  <w:num w:numId="53" w16cid:durableId="586957926">
    <w:abstractNumId w:val="51"/>
  </w:num>
  <w:num w:numId="54" w16cid:durableId="1498381482">
    <w:abstractNumId w:val="46"/>
  </w:num>
  <w:num w:numId="55" w16cid:durableId="1930308158">
    <w:abstractNumId w:val="43"/>
  </w:num>
  <w:num w:numId="56" w16cid:durableId="71783945">
    <w:abstractNumId w:val="26"/>
  </w:num>
  <w:num w:numId="57" w16cid:durableId="327246300">
    <w:abstractNumId w:val="24"/>
  </w:num>
  <w:num w:numId="58" w16cid:durableId="823088829">
    <w:abstractNumId w:val="36"/>
  </w:num>
  <w:num w:numId="59" w16cid:durableId="1151362109">
    <w:abstractNumId w:val="44"/>
  </w:num>
  <w:num w:numId="60" w16cid:durableId="212667775">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688"/>
    <w:rsid w:val="00006E1F"/>
    <w:rsid w:val="000070D7"/>
    <w:rsid w:val="00016FD5"/>
    <w:rsid w:val="0001788C"/>
    <w:rsid w:val="000337EF"/>
    <w:rsid w:val="000348B5"/>
    <w:rsid w:val="00040C3A"/>
    <w:rsid w:val="000419AD"/>
    <w:rsid w:val="000433C9"/>
    <w:rsid w:val="00057D19"/>
    <w:rsid w:val="00060411"/>
    <w:rsid w:val="000628F4"/>
    <w:rsid w:val="00071174"/>
    <w:rsid w:val="000716C5"/>
    <w:rsid w:val="00075E23"/>
    <w:rsid w:val="0008461C"/>
    <w:rsid w:val="0009344A"/>
    <w:rsid w:val="000945EF"/>
    <w:rsid w:val="000A392E"/>
    <w:rsid w:val="000A575F"/>
    <w:rsid w:val="000C0CAD"/>
    <w:rsid w:val="000D05CB"/>
    <w:rsid w:val="000D10DB"/>
    <w:rsid w:val="000D6939"/>
    <w:rsid w:val="000E5EB5"/>
    <w:rsid w:val="000E6137"/>
    <w:rsid w:val="000F07BA"/>
    <w:rsid w:val="000F35ED"/>
    <w:rsid w:val="001004FE"/>
    <w:rsid w:val="00107131"/>
    <w:rsid w:val="0010736F"/>
    <w:rsid w:val="00113F73"/>
    <w:rsid w:val="00121CC2"/>
    <w:rsid w:val="00131425"/>
    <w:rsid w:val="00133EE5"/>
    <w:rsid w:val="0015367A"/>
    <w:rsid w:val="00167A34"/>
    <w:rsid w:val="00172CB0"/>
    <w:rsid w:val="00182545"/>
    <w:rsid w:val="0018257C"/>
    <w:rsid w:val="00187EB0"/>
    <w:rsid w:val="0019637B"/>
    <w:rsid w:val="00197ECF"/>
    <w:rsid w:val="001A520D"/>
    <w:rsid w:val="001A7245"/>
    <w:rsid w:val="001A7870"/>
    <w:rsid w:val="001B03FB"/>
    <w:rsid w:val="001B3A00"/>
    <w:rsid w:val="001B478B"/>
    <w:rsid w:val="001C1B41"/>
    <w:rsid w:val="001C7298"/>
    <w:rsid w:val="001D65EF"/>
    <w:rsid w:val="001D7F96"/>
    <w:rsid w:val="001E16FA"/>
    <w:rsid w:val="001E49E7"/>
    <w:rsid w:val="001F7201"/>
    <w:rsid w:val="00202313"/>
    <w:rsid w:val="00210183"/>
    <w:rsid w:val="002142A4"/>
    <w:rsid w:val="00223A29"/>
    <w:rsid w:val="002250A3"/>
    <w:rsid w:val="00233DF7"/>
    <w:rsid w:val="00235217"/>
    <w:rsid w:val="002416A1"/>
    <w:rsid w:val="00246D1F"/>
    <w:rsid w:val="00247403"/>
    <w:rsid w:val="00247542"/>
    <w:rsid w:val="00260778"/>
    <w:rsid w:val="0026530E"/>
    <w:rsid w:val="00266B61"/>
    <w:rsid w:val="0026712A"/>
    <w:rsid w:val="002704DB"/>
    <w:rsid w:val="002A0AAE"/>
    <w:rsid w:val="002A5820"/>
    <w:rsid w:val="002D2B26"/>
    <w:rsid w:val="002D545D"/>
    <w:rsid w:val="002D7EA2"/>
    <w:rsid w:val="002E0475"/>
    <w:rsid w:val="002E187C"/>
    <w:rsid w:val="00302733"/>
    <w:rsid w:val="00304F9B"/>
    <w:rsid w:val="00305835"/>
    <w:rsid w:val="0030683A"/>
    <w:rsid w:val="00306F33"/>
    <w:rsid w:val="003079DE"/>
    <w:rsid w:val="00310D87"/>
    <w:rsid w:val="003134AF"/>
    <w:rsid w:val="00314078"/>
    <w:rsid w:val="0031535D"/>
    <w:rsid w:val="003239B8"/>
    <w:rsid w:val="00327B3A"/>
    <w:rsid w:val="0033169F"/>
    <w:rsid w:val="00344977"/>
    <w:rsid w:val="00346C95"/>
    <w:rsid w:val="003515B6"/>
    <w:rsid w:val="00356185"/>
    <w:rsid w:val="00360380"/>
    <w:rsid w:val="0037519E"/>
    <w:rsid w:val="003766B4"/>
    <w:rsid w:val="0038469F"/>
    <w:rsid w:val="00386CF0"/>
    <w:rsid w:val="00394073"/>
    <w:rsid w:val="003B70FB"/>
    <w:rsid w:val="003C0D9D"/>
    <w:rsid w:val="003C13BE"/>
    <w:rsid w:val="003C1B00"/>
    <w:rsid w:val="003C6421"/>
    <w:rsid w:val="003C676B"/>
    <w:rsid w:val="003D3BC2"/>
    <w:rsid w:val="003E6CA1"/>
    <w:rsid w:val="003F5154"/>
    <w:rsid w:val="003F72C6"/>
    <w:rsid w:val="00405F9C"/>
    <w:rsid w:val="004065A8"/>
    <w:rsid w:val="0041076F"/>
    <w:rsid w:val="004165C2"/>
    <w:rsid w:val="0042011B"/>
    <w:rsid w:val="00420B5B"/>
    <w:rsid w:val="004241A0"/>
    <w:rsid w:val="00424C62"/>
    <w:rsid w:val="0044164E"/>
    <w:rsid w:val="00441ECB"/>
    <w:rsid w:val="00445193"/>
    <w:rsid w:val="0044675B"/>
    <w:rsid w:val="00462C1B"/>
    <w:rsid w:val="004665D4"/>
    <w:rsid w:val="00467B7E"/>
    <w:rsid w:val="00473BB4"/>
    <w:rsid w:val="00477592"/>
    <w:rsid w:val="004778F5"/>
    <w:rsid w:val="00480860"/>
    <w:rsid w:val="00483A3A"/>
    <w:rsid w:val="00486F1C"/>
    <w:rsid w:val="00487A47"/>
    <w:rsid w:val="0049419D"/>
    <w:rsid w:val="0049467D"/>
    <w:rsid w:val="00494C3C"/>
    <w:rsid w:val="004A057B"/>
    <w:rsid w:val="004A6A54"/>
    <w:rsid w:val="004A7FBD"/>
    <w:rsid w:val="004B218F"/>
    <w:rsid w:val="004B421C"/>
    <w:rsid w:val="004C0E13"/>
    <w:rsid w:val="004C0FCB"/>
    <w:rsid w:val="004C20D2"/>
    <w:rsid w:val="004C2312"/>
    <w:rsid w:val="004C38AA"/>
    <w:rsid w:val="004C4B62"/>
    <w:rsid w:val="004C54C9"/>
    <w:rsid w:val="004D0AC7"/>
    <w:rsid w:val="004D4ABA"/>
    <w:rsid w:val="004D6025"/>
    <w:rsid w:val="004E2649"/>
    <w:rsid w:val="004E375B"/>
    <w:rsid w:val="004F2BDD"/>
    <w:rsid w:val="004F35F1"/>
    <w:rsid w:val="004F48D2"/>
    <w:rsid w:val="004F626F"/>
    <w:rsid w:val="004F7412"/>
    <w:rsid w:val="00501399"/>
    <w:rsid w:val="0050301B"/>
    <w:rsid w:val="005047ED"/>
    <w:rsid w:val="0050633D"/>
    <w:rsid w:val="00507BC4"/>
    <w:rsid w:val="005128E4"/>
    <w:rsid w:val="005133DB"/>
    <w:rsid w:val="00514504"/>
    <w:rsid w:val="00521E1F"/>
    <w:rsid w:val="00525560"/>
    <w:rsid w:val="00544C49"/>
    <w:rsid w:val="005516A1"/>
    <w:rsid w:val="00551860"/>
    <w:rsid w:val="005559EF"/>
    <w:rsid w:val="00563557"/>
    <w:rsid w:val="0057402A"/>
    <w:rsid w:val="0057626C"/>
    <w:rsid w:val="005771D0"/>
    <w:rsid w:val="005851DD"/>
    <w:rsid w:val="00590457"/>
    <w:rsid w:val="005914E7"/>
    <w:rsid w:val="0059187E"/>
    <w:rsid w:val="0059191A"/>
    <w:rsid w:val="005921FF"/>
    <w:rsid w:val="005926BF"/>
    <w:rsid w:val="00597ADB"/>
    <w:rsid w:val="005A24ED"/>
    <w:rsid w:val="005A6D0E"/>
    <w:rsid w:val="005B52B0"/>
    <w:rsid w:val="005B6806"/>
    <w:rsid w:val="005C4225"/>
    <w:rsid w:val="005C55A8"/>
    <w:rsid w:val="005E703E"/>
    <w:rsid w:val="005F0DAD"/>
    <w:rsid w:val="005F0F33"/>
    <w:rsid w:val="005F5E4E"/>
    <w:rsid w:val="00600DEB"/>
    <w:rsid w:val="006130D6"/>
    <w:rsid w:val="00627C9F"/>
    <w:rsid w:val="006311E9"/>
    <w:rsid w:val="00632354"/>
    <w:rsid w:val="00635421"/>
    <w:rsid w:val="00635E22"/>
    <w:rsid w:val="006408CE"/>
    <w:rsid w:val="00642810"/>
    <w:rsid w:val="00645CFA"/>
    <w:rsid w:val="00652333"/>
    <w:rsid w:val="0068009E"/>
    <w:rsid w:val="00692219"/>
    <w:rsid w:val="006A17D2"/>
    <w:rsid w:val="006A73E6"/>
    <w:rsid w:val="006B2D5C"/>
    <w:rsid w:val="006B4B85"/>
    <w:rsid w:val="006B5BD9"/>
    <w:rsid w:val="006C0ECF"/>
    <w:rsid w:val="006C4EB1"/>
    <w:rsid w:val="006D64A7"/>
    <w:rsid w:val="006E0166"/>
    <w:rsid w:val="006E2FFB"/>
    <w:rsid w:val="006E7B34"/>
    <w:rsid w:val="00703338"/>
    <w:rsid w:val="0070697F"/>
    <w:rsid w:val="0070713F"/>
    <w:rsid w:val="0070757B"/>
    <w:rsid w:val="007103C4"/>
    <w:rsid w:val="00715332"/>
    <w:rsid w:val="0072199C"/>
    <w:rsid w:val="00722C9F"/>
    <w:rsid w:val="007253B8"/>
    <w:rsid w:val="00730949"/>
    <w:rsid w:val="0073741F"/>
    <w:rsid w:val="00765DF2"/>
    <w:rsid w:val="0076643F"/>
    <w:rsid w:val="00777F63"/>
    <w:rsid w:val="007965F9"/>
    <w:rsid w:val="007A3FD9"/>
    <w:rsid w:val="007A4B63"/>
    <w:rsid w:val="007A5817"/>
    <w:rsid w:val="007B05C4"/>
    <w:rsid w:val="007B60E9"/>
    <w:rsid w:val="007B6CC3"/>
    <w:rsid w:val="007B76D3"/>
    <w:rsid w:val="007B7D9C"/>
    <w:rsid w:val="007C3334"/>
    <w:rsid w:val="007D2B98"/>
    <w:rsid w:val="007D36CD"/>
    <w:rsid w:val="007E21BC"/>
    <w:rsid w:val="007E7C82"/>
    <w:rsid w:val="007F2AA1"/>
    <w:rsid w:val="007F573F"/>
    <w:rsid w:val="007F588D"/>
    <w:rsid w:val="007F64B8"/>
    <w:rsid w:val="00803F1C"/>
    <w:rsid w:val="0080600E"/>
    <w:rsid w:val="00814688"/>
    <w:rsid w:val="00817612"/>
    <w:rsid w:val="008338A4"/>
    <w:rsid w:val="00834D49"/>
    <w:rsid w:val="00837C45"/>
    <w:rsid w:val="00844730"/>
    <w:rsid w:val="008457C2"/>
    <w:rsid w:val="00857A82"/>
    <w:rsid w:val="00864653"/>
    <w:rsid w:val="00873836"/>
    <w:rsid w:val="00885737"/>
    <w:rsid w:val="00886EED"/>
    <w:rsid w:val="00890650"/>
    <w:rsid w:val="008944DC"/>
    <w:rsid w:val="00897E12"/>
    <w:rsid w:val="008A7E0F"/>
    <w:rsid w:val="008B12F5"/>
    <w:rsid w:val="008C5E2D"/>
    <w:rsid w:val="008D768D"/>
    <w:rsid w:val="008E3759"/>
    <w:rsid w:val="008E3BFE"/>
    <w:rsid w:val="008E411C"/>
    <w:rsid w:val="008F10A4"/>
    <w:rsid w:val="008F1912"/>
    <w:rsid w:val="008F3FAC"/>
    <w:rsid w:val="0090270B"/>
    <w:rsid w:val="009041DC"/>
    <w:rsid w:val="00917B5A"/>
    <w:rsid w:val="00920A58"/>
    <w:rsid w:val="00920A8C"/>
    <w:rsid w:val="00934A2C"/>
    <w:rsid w:val="0096706E"/>
    <w:rsid w:val="00972DD3"/>
    <w:rsid w:val="00974491"/>
    <w:rsid w:val="00975C4E"/>
    <w:rsid w:val="009764BD"/>
    <w:rsid w:val="0098142C"/>
    <w:rsid w:val="00981FBA"/>
    <w:rsid w:val="0098603A"/>
    <w:rsid w:val="00997BC5"/>
    <w:rsid w:val="009A249C"/>
    <w:rsid w:val="009A4F41"/>
    <w:rsid w:val="009A56CE"/>
    <w:rsid w:val="009B381B"/>
    <w:rsid w:val="009C3976"/>
    <w:rsid w:val="009C3D2F"/>
    <w:rsid w:val="009D0D90"/>
    <w:rsid w:val="009D1753"/>
    <w:rsid w:val="009D35A9"/>
    <w:rsid w:val="009D37AD"/>
    <w:rsid w:val="009D464A"/>
    <w:rsid w:val="009D7611"/>
    <w:rsid w:val="009D7E1A"/>
    <w:rsid w:val="009E07C4"/>
    <w:rsid w:val="009E0B61"/>
    <w:rsid w:val="009E24F4"/>
    <w:rsid w:val="009E53DE"/>
    <w:rsid w:val="00A0457E"/>
    <w:rsid w:val="00A11212"/>
    <w:rsid w:val="00A11E44"/>
    <w:rsid w:val="00A15562"/>
    <w:rsid w:val="00A21AA6"/>
    <w:rsid w:val="00A30100"/>
    <w:rsid w:val="00A328B3"/>
    <w:rsid w:val="00A45BD5"/>
    <w:rsid w:val="00A50FCF"/>
    <w:rsid w:val="00A528D1"/>
    <w:rsid w:val="00A610CD"/>
    <w:rsid w:val="00A73CEB"/>
    <w:rsid w:val="00A758AA"/>
    <w:rsid w:val="00A94898"/>
    <w:rsid w:val="00AA09A2"/>
    <w:rsid w:val="00AA7996"/>
    <w:rsid w:val="00AC19CB"/>
    <w:rsid w:val="00AE5488"/>
    <w:rsid w:val="00AE6AC0"/>
    <w:rsid w:val="00AE6F91"/>
    <w:rsid w:val="00AF5571"/>
    <w:rsid w:val="00B04818"/>
    <w:rsid w:val="00B07341"/>
    <w:rsid w:val="00B30539"/>
    <w:rsid w:val="00B314DB"/>
    <w:rsid w:val="00B33E8F"/>
    <w:rsid w:val="00B361F2"/>
    <w:rsid w:val="00B3718B"/>
    <w:rsid w:val="00B3745F"/>
    <w:rsid w:val="00B40A28"/>
    <w:rsid w:val="00B43737"/>
    <w:rsid w:val="00B4632A"/>
    <w:rsid w:val="00B530F1"/>
    <w:rsid w:val="00B56E1C"/>
    <w:rsid w:val="00B620B0"/>
    <w:rsid w:val="00B64C5E"/>
    <w:rsid w:val="00B66649"/>
    <w:rsid w:val="00B82CB0"/>
    <w:rsid w:val="00B86038"/>
    <w:rsid w:val="00B90061"/>
    <w:rsid w:val="00B92880"/>
    <w:rsid w:val="00B93D7F"/>
    <w:rsid w:val="00B97A92"/>
    <w:rsid w:val="00BA276C"/>
    <w:rsid w:val="00BB019D"/>
    <w:rsid w:val="00BB2E41"/>
    <w:rsid w:val="00BB306F"/>
    <w:rsid w:val="00BB30A1"/>
    <w:rsid w:val="00BB7C53"/>
    <w:rsid w:val="00BC1215"/>
    <w:rsid w:val="00BC15E3"/>
    <w:rsid w:val="00BD0FF5"/>
    <w:rsid w:val="00BD2282"/>
    <w:rsid w:val="00BD4B89"/>
    <w:rsid w:val="00BD5922"/>
    <w:rsid w:val="00BF02CB"/>
    <w:rsid w:val="00BF6FD8"/>
    <w:rsid w:val="00C03680"/>
    <w:rsid w:val="00C054DF"/>
    <w:rsid w:val="00C05BD5"/>
    <w:rsid w:val="00C21762"/>
    <w:rsid w:val="00C21FEF"/>
    <w:rsid w:val="00C22533"/>
    <w:rsid w:val="00C23BA4"/>
    <w:rsid w:val="00C24543"/>
    <w:rsid w:val="00C256A2"/>
    <w:rsid w:val="00C25ADB"/>
    <w:rsid w:val="00C4182D"/>
    <w:rsid w:val="00C45E53"/>
    <w:rsid w:val="00C51515"/>
    <w:rsid w:val="00C56386"/>
    <w:rsid w:val="00C5660B"/>
    <w:rsid w:val="00C56B35"/>
    <w:rsid w:val="00C576FA"/>
    <w:rsid w:val="00C66B72"/>
    <w:rsid w:val="00C846EB"/>
    <w:rsid w:val="00C87AC4"/>
    <w:rsid w:val="00C9567A"/>
    <w:rsid w:val="00CA4EFE"/>
    <w:rsid w:val="00CA6813"/>
    <w:rsid w:val="00CB212D"/>
    <w:rsid w:val="00CB2660"/>
    <w:rsid w:val="00CC5E90"/>
    <w:rsid w:val="00CC6E19"/>
    <w:rsid w:val="00CD046C"/>
    <w:rsid w:val="00CD7FBB"/>
    <w:rsid w:val="00CE076C"/>
    <w:rsid w:val="00CE3C12"/>
    <w:rsid w:val="00CE5199"/>
    <w:rsid w:val="00CE66D5"/>
    <w:rsid w:val="00CF0E89"/>
    <w:rsid w:val="00CF637A"/>
    <w:rsid w:val="00D059DE"/>
    <w:rsid w:val="00D05ABD"/>
    <w:rsid w:val="00D107A4"/>
    <w:rsid w:val="00D13FCE"/>
    <w:rsid w:val="00D306D1"/>
    <w:rsid w:val="00D30800"/>
    <w:rsid w:val="00D34786"/>
    <w:rsid w:val="00D37BFC"/>
    <w:rsid w:val="00D412CC"/>
    <w:rsid w:val="00D47A8E"/>
    <w:rsid w:val="00D52D14"/>
    <w:rsid w:val="00D562D2"/>
    <w:rsid w:val="00D601FA"/>
    <w:rsid w:val="00D66C5F"/>
    <w:rsid w:val="00D712D3"/>
    <w:rsid w:val="00D71422"/>
    <w:rsid w:val="00D72DC6"/>
    <w:rsid w:val="00D7558D"/>
    <w:rsid w:val="00D7750A"/>
    <w:rsid w:val="00D81D92"/>
    <w:rsid w:val="00D876F9"/>
    <w:rsid w:val="00D94D09"/>
    <w:rsid w:val="00DA7B5F"/>
    <w:rsid w:val="00DB08D0"/>
    <w:rsid w:val="00DB7317"/>
    <w:rsid w:val="00DC11E7"/>
    <w:rsid w:val="00DC24E3"/>
    <w:rsid w:val="00DC7023"/>
    <w:rsid w:val="00DC769A"/>
    <w:rsid w:val="00DD3D86"/>
    <w:rsid w:val="00DD4AD2"/>
    <w:rsid w:val="00DE2862"/>
    <w:rsid w:val="00DF1EC4"/>
    <w:rsid w:val="00DF74FE"/>
    <w:rsid w:val="00E0340B"/>
    <w:rsid w:val="00E04A90"/>
    <w:rsid w:val="00E0551F"/>
    <w:rsid w:val="00E17F44"/>
    <w:rsid w:val="00E219C7"/>
    <w:rsid w:val="00E341B3"/>
    <w:rsid w:val="00E4118C"/>
    <w:rsid w:val="00E42DE8"/>
    <w:rsid w:val="00E43157"/>
    <w:rsid w:val="00E461CE"/>
    <w:rsid w:val="00E559C5"/>
    <w:rsid w:val="00E568B0"/>
    <w:rsid w:val="00E573E4"/>
    <w:rsid w:val="00E57E4F"/>
    <w:rsid w:val="00E60DCF"/>
    <w:rsid w:val="00E64832"/>
    <w:rsid w:val="00E64C3D"/>
    <w:rsid w:val="00E720CA"/>
    <w:rsid w:val="00E77864"/>
    <w:rsid w:val="00E801EF"/>
    <w:rsid w:val="00E80CE7"/>
    <w:rsid w:val="00E84EB5"/>
    <w:rsid w:val="00E85662"/>
    <w:rsid w:val="00E8789F"/>
    <w:rsid w:val="00E97B71"/>
    <w:rsid w:val="00EA3D34"/>
    <w:rsid w:val="00EB454D"/>
    <w:rsid w:val="00ED39B1"/>
    <w:rsid w:val="00ED549D"/>
    <w:rsid w:val="00ED5E10"/>
    <w:rsid w:val="00ED76BE"/>
    <w:rsid w:val="00EE00E9"/>
    <w:rsid w:val="00EE29D2"/>
    <w:rsid w:val="00EE76DD"/>
    <w:rsid w:val="00EF1AAA"/>
    <w:rsid w:val="00EF619B"/>
    <w:rsid w:val="00F00B55"/>
    <w:rsid w:val="00F02AD1"/>
    <w:rsid w:val="00F042EA"/>
    <w:rsid w:val="00F253CC"/>
    <w:rsid w:val="00F37106"/>
    <w:rsid w:val="00F44E25"/>
    <w:rsid w:val="00F519CF"/>
    <w:rsid w:val="00F56BA5"/>
    <w:rsid w:val="00F56ECB"/>
    <w:rsid w:val="00F60E22"/>
    <w:rsid w:val="00F81395"/>
    <w:rsid w:val="00F81BB8"/>
    <w:rsid w:val="00F90C64"/>
    <w:rsid w:val="00F917D1"/>
    <w:rsid w:val="00F9653B"/>
    <w:rsid w:val="00F97E4B"/>
    <w:rsid w:val="00FA5F1E"/>
    <w:rsid w:val="00FB2F4A"/>
    <w:rsid w:val="00FB62CF"/>
    <w:rsid w:val="00FB77E2"/>
    <w:rsid w:val="00FD3C3B"/>
    <w:rsid w:val="00FE07DD"/>
    <w:rsid w:val="00FE2578"/>
    <w:rsid w:val="00FE5458"/>
    <w:rsid w:val="00FE57E7"/>
    <w:rsid w:val="00FE6B45"/>
    <w:rsid w:val="00FE6B8A"/>
    <w:rsid w:val="00FE7BC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C56B3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Revision">
    <w:name w:val="Revision"/>
    <w:hidden/>
    <w:uiPriority w:val="99"/>
    <w:semiHidden/>
    <w:rsid w:val="00765DF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49B4"/>
    <w:rsid w:val="000E0618"/>
    <w:rsid w:val="00200821"/>
    <w:rsid w:val="0025245B"/>
    <w:rsid w:val="002A3923"/>
    <w:rsid w:val="002B6CEE"/>
    <w:rsid w:val="002E17E6"/>
    <w:rsid w:val="003507ED"/>
    <w:rsid w:val="00394049"/>
    <w:rsid w:val="003B0C71"/>
    <w:rsid w:val="004B5BBB"/>
    <w:rsid w:val="004D383F"/>
    <w:rsid w:val="004F2DF8"/>
    <w:rsid w:val="00517E2A"/>
    <w:rsid w:val="005B262E"/>
    <w:rsid w:val="00636268"/>
    <w:rsid w:val="00641A60"/>
    <w:rsid w:val="006744A8"/>
    <w:rsid w:val="006D3128"/>
    <w:rsid w:val="006F24A1"/>
    <w:rsid w:val="00701567"/>
    <w:rsid w:val="00731EF9"/>
    <w:rsid w:val="00771182"/>
    <w:rsid w:val="007C172C"/>
    <w:rsid w:val="00875B8A"/>
    <w:rsid w:val="008953BC"/>
    <w:rsid w:val="009A261B"/>
    <w:rsid w:val="009C7819"/>
    <w:rsid w:val="00A3346F"/>
    <w:rsid w:val="00AA2E17"/>
    <w:rsid w:val="00AC15A4"/>
    <w:rsid w:val="00B0336C"/>
    <w:rsid w:val="00D241E9"/>
    <w:rsid w:val="00D7750D"/>
    <w:rsid w:val="00EF52DF"/>
    <w:rsid w:val="00F00D2F"/>
    <w:rsid w:val="00F128DF"/>
    <w:rsid w:val="00F66435"/>
    <w:rsid w:val="00FC4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4169</Words>
  <Characters>23765</Characters>
  <Application>Microsoft Office Word</Application>
  <DocSecurity>0</DocSecurity>
  <Lines>198</Lines>
  <Paragraphs>55</Paragraphs>
  <ScaleCrop>false</ScaleCrop>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2022-10-11T14:18:00Z</dcterms:created>
  <dcterms:modified xsi:type="dcterms:W3CDTF">2022-10-11T14:18:00Z</dcterms:modified>
</cp:coreProperties>
</file>