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AF77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294949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2F38">
                              <w:rPr>
                                <w:rFonts w:asciiTheme="majorHAnsi" w:hAnsiTheme="majorHAnsi" w:cs="Arial"/>
                                <w:b/>
                                <w:bCs/>
                                <w:color w:val="0D0D0D" w:themeColor="text1" w:themeTint="F2"/>
                                <w:sz w:val="36"/>
                                <w:szCs w:val="22"/>
                                <w:lang w:val="es-ES_tradnl"/>
                              </w:rPr>
                              <w:t>213</w:t>
                            </w:r>
                            <w:r w:rsidR="007B05C4">
                              <w:rPr>
                                <w:rFonts w:asciiTheme="majorHAnsi" w:hAnsiTheme="majorHAnsi" w:cs="Arial"/>
                                <w:b/>
                                <w:bCs/>
                                <w:color w:val="0D0D0D" w:themeColor="text1" w:themeTint="F2"/>
                                <w:sz w:val="36"/>
                                <w:szCs w:val="22"/>
                                <w:lang w:val="es-ES_tradnl"/>
                              </w:rPr>
                              <w:t>/</w:t>
                            </w:r>
                            <w:r w:rsidR="00322F38">
                              <w:rPr>
                                <w:rFonts w:asciiTheme="majorHAnsi" w:hAnsiTheme="majorHAnsi" w:cs="Arial"/>
                                <w:b/>
                                <w:bCs/>
                                <w:color w:val="0D0D0D" w:themeColor="text1" w:themeTint="F2"/>
                                <w:sz w:val="36"/>
                                <w:szCs w:val="22"/>
                                <w:lang w:val="es-ES_tradnl"/>
                              </w:rPr>
                              <w:t>22</w:t>
                            </w:r>
                          </w:p>
                          <w:p w14:paraId="45F30ECA" w14:textId="2CADE79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C2788">
                              <w:rPr>
                                <w:rFonts w:asciiTheme="majorHAnsi" w:hAnsiTheme="majorHAnsi" w:cs="Arial"/>
                                <w:b/>
                                <w:color w:val="0D0D0D" w:themeColor="text1" w:themeTint="F2"/>
                                <w:sz w:val="36"/>
                                <w:szCs w:val="22"/>
                                <w:lang w:val="es-ES_tradnl"/>
                              </w:rPr>
                              <w:t>79</w:t>
                            </w:r>
                            <w:r w:rsidR="00246D1F" w:rsidRPr="004E2649">
                              <w:rPr>
                                <w:rFonts w:asciiTheme="majorHAnsi" w:hAnsiTheme="majorHAnsi" w:cs="Arial"/>
                                <w:b/>
                                <w:color w:val="0D0D0D" w:themeColor="text1" w:themeTint="F2"/>
                                <w:sz w:val="36"/>
                                <w:szCs w:val="22"/>
                                <w:lang w:val="es-ES_tradnl"/>
                              </w:rPr>
                              <w:t>-</w:t>
                            </w:r>
                            <w:r w:rsidR="00DC2788">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2440D65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A3053E1" w:rsidR="005B52B0" w:rsidRDefault="001C227B" w:rsidP="00997BC5">
                            <w:pPr>
                              <w:spacing w:line="276" w:lineRule="auto"/>
                              <w:rPr>
                                <w:rFonts w:asciiTheme="majorHAnsi" w:hAnsiTheme="majorHAnsi" w:cs="Arial"/>
                                <w:bCs/>
                                <w:color w:val="0D0D0D" w:themeColor="text1" w:themeTint="F2"/>
                                <w:szCs w:val="22"/>
                                <w:lang w:val="es-ES"/>
                              </w:rPr>
                            </w:pPr>
                            <w:r w:rsidRPr="001C227B">
                              <w:rPr>
                                <w:rFonts w:asciiTheme="majorHAnsi" w:hAnsiTheme="majorHAnsi" w:cs="Arial"/>
                                <w:bCs/>
                                <w:color w:val="0D0D0D" w:themeColor="text1" w:themeTint="F2"/>
                                <w:szCs w:val="22"/>
                                <w:lang w:val="es-ES"/>
                              </w:rPr>
                              <w:t>SAGLA ERNESTO AYALA</w:t>
                            </w:r>
                            <w:r w:rsidR="006F17AD">
                              <w:rPr>
                                <w:rFonts w:asciiTheme="majorHAnsi" w:hAnsiTheme="majorHAnsi" w:cs="Arial"/>
                                <w:bCs/>
                                <w:color w:val="0D0D0D" w:themeColor="text1" w:themeTint="F2"/>
                                <w:szCs w:val="22"/>
                                <w:lang w:val="es-ES"/>
                              </w:rPr>
                              <w:t xml:space="preserve"> Y OTROS</w:t>
                            </w:r>
                          </w:p>
                          <w:bookmarkEnd w:id="0"/>
                          <w:p w14:paraId="0B9F7D22" w14:textId="3B6E3160"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DC2788">
                              <w:rPr>
                                <w:rFonts w:asciiTheme="majorHAnsi" w:hAnsiTheme="majorHAnsi" w:cs="Arial"/>
                                <w:color w:val="0D0D0D" w:themeColor="text1" w:themeTint="F2"/>
                                <w:szCs w:val="22"/>
                                <w:lang w:val="es-ES_tradnl"/>
                              </w:rPr>
                              <w:t>ANAMÁ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294949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22F38">
                        <w:rPr>
                          <w:rFonts w:asciiTheme="majorHAnsi" w:hAnsiTheme="majorHAnsi" w:cs="Arial"/>
                          <w:b/>
                          <w:bCs/>
                          <w:color w:val="0D0D0D" w:themeColor="text1" w:themeTint="F2"/>
                          <w:sz w:val="36"/>
                          <w:szCs w:val="22"/>
                          <w:lang w:val="es-ES_tradnl"/>
                        </w:rPr>
                        <w:t>213</w:t>
                      </w:r>
                      <w:r w:rsidR="007B05C4">
                        <w:rPr>
                          <w:rFonts w:asciiTheme="majorHAnsi" w:hAnsiTheme="majorHAnsi" w:cs="Arial"/>
                          <w:b/>
                          <w:bCs/>
                          <w:color w:val="0D0D0D" w:themeColor="text1" w:themeTint="F2"/>
                          <w:sz w:val="36"/>
                          <w:szCs w:val="22"/>
                          <w:lang w:val="es-ES_tradnl"/>
                        </w:rPr>
                        <w:t>/</w:t>
                      </w:r>
                      <w:r w:rsidR="00322F38">
                        <w:rPr>
                          <w:rFonts w:asciiTheme="majorHAnsi" w:hAnsiTheme="majorHAnsi" w:cs="Arial"/>
                          <w:b/>
                          <w:bCs/>
                          <w:color w:val="0D0D0D" w:themeColor="text1" w:themeTint="F2"/>
                          <w:sz w:val="36"/>
                          <w:szCs w:val="22"/>
                          <w:lang w:val="es-ES_tradnl"/>
                        </w:rPr>
                        <w:t>22</w:t>
                      </w:r>
                    </w:p>
                    <w:p w14:paraId="45F30ECA" w14:textId="2CADE79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C2788">
                        <w:rPr>
                          <w:rFonts w:asciiTheme="majorHAnsi" w:hAnsiTheme="majorHAnsi" w:cs="Arial"/>
                          <w:b/>
                          <w:color w:val="0D0D0D" w:themeColor="text1" w:themeTint="F2"/>
                          <w:sz w:val="36"/>
                          <w:szCs w:val="22"/>
                          <w:lang w:val="es-ES_tradnl"/>
                        </w:rPr>
                        <w:t>79</w:t>
                      </w:r>
                      <w:r w:rsidR="00246D1F" w:rsidRPr="004E2649">
                        <w:rPr>
                          <w:rFonts w:asciiTheme="majorHAnsi" w:hAnsiTheme="majorHAnsi" w:cs="Arial"/>
                          <w:b/>
                          <w:color w:val="0D0D0D" w:themeColor="text1" w:themeTint="F2"/>
                          <w:sz w:val="36"/>
                          <w:szCs w:val="22"/>
                          <w:lang w:val="es-ES_tradnl"/>
                        </w:rPr>
                        <w:t>-</w:t>
                      </w:r>
                      <w:r w:rsidR="00DC2788">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2440D65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A3053E1" w:rsidR="005B52B0" w:rsidRDefault="001C227B" w:rsidP="00997BC5">
                      <w:pPr>
                        <w:spacing w:line="276" w:lineRule="auto"/>
                        <w:rPr>
                          <w:rFonts w:asciiTheme="majorHAnsi" w:hAnsiTheme="majorHAnsi" w:cs="Arial"/>
                          <w:bCs/>
                          <w:color w:val="0D0D0D" w:themeColor="text1" w:themeTint="F2"/>
                          <w:szCs w:val="22"/>
                          <w:lang w:val="es-ES"/>
                        </w:rPr>
                      </w:pPr>
                      <w:r w:rsidRPr="001C227B">
                        <w:rPr>
                          <w:rFonts w:asciiTheme="majorHAnsi" w:hAnsiTheme="majorHAnsi" w:cs="Arial"/>
                          <w:bCs/>
                          <w:color w:val="0D0D0D" w:themeColor="text1" w:themeTint="F2"/>
                          <w:szCs w:val="22"/>
                          <w:lang w:val="es-ES"/>
                        </w:rPr>
                        <w:t>SAGLA ERNESTO AYALA</w:t>
                      </w:r>
                      <w:r w:rsidR="006F17AD">
                        <w:rPr>
                          <w:rFonts w:asciiTheme="majorHAnsi" w:hAnsiTheme="majorHAnsi" w:cs="Arial"/>
                          <w:bCs/>
                          <w:color w:val="0D0D0D" w:themeColor="text1" w:themeTint="F2"/>
                          <w:szCs w:val="22"/>
                          <w:lang w:val="es-ES"/>
                        </w:rPr>
                        <w:t xml:space="preserve"> Y OTROS</w:t>
                      </w:r>
                    </w:p>
                    <w:bookmarkEnd w:id="1"/>
                    <w:p w14:paraId="0B9F7D22" w14:textId="3B6E3160"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DC2788">
                        <w:rPr>
                          <w:rFonts w:asciiTheme="majorHAnsi" w:hAnsiTheme="majorHAnsi" w:cs="Arial"/>
                          <w:color w:val="0D0D0D" w:themeColor="text1" w:themeTint="F2"/>
                          <w:szCs w:val="22"/>
                          <w:lang w:val="es-ES_tradnl"/>
                        </w:rPr>
                        <w:t>ANAMÁ</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9141FC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D86FF0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22F38">
                              <w:rPr>
                                <w:rFonts w:asciiTheme="minorHAnsi" w:hAnsiTheme="minorHAnsi"/>
                                <w:color w:val="FFFFFF" w:themeColor="background1"/>
                                <w:sz w:val="22"/>
                                <w:lang w:val="pt-BR"/>
                              </w:rPr>
                              <w:t>216</w:t>
                            </w:r>
                          </w:p>
                          <w:p w14:paraId="4061DBBD" w14:textId="56BBE1F8" w:rsidR="00627C9F" w:rsidRPr="00F90687" w:rsidRDefault="00941D63" w:rsidP="007A5817">
                            <w:pPr>
                              <w:spacing w:line="276" w:lineRule="auto"/>
                              <w:jc w:val="right"/>
                              <w:rPr>
                                <w:rFonts w:asciiTheme="minorHAnsi" w:hAnsiTheme="minorHAnsi"/>
                                <w:color w:val="FFFFFF" w:themeColor="background1"/>
                                <w:sz w:val="22"/>
                                <w:lang w:val="pt-BR"/>
                              </w:rPr>
                            </w:pPr>
                            <w:r w:rsidRPr="00F90687">
                              <w:rPr>
                                <w:rFonts w:asciiTheme="minorHAnsi" w:hAnsiTheme="minorHAnsi"/>
                                <w:color w:val="FFFFFF" w:themeColor="background1"/>
                                <w:sz w:val="22"/>
                                <w:lang w:val="pt-BR"/>
                              </w:rPr>
                              <w:t>11 agosto</w:t>
                            </w:r>
                            <w:r w:rsidR="007B05C4" w:rsidRPr="00F90687">
                              <w:rPr>
                                <w:rFonts w:asciiTheme="minorHAnsi" w:hAnsiTheme="minorHAnsi"/>
                                <w:color w:val="FFFFFF" w:themeColor="background1"/>
                                <w:sz w:val="22"/>
                                <w:lang w:val="pt-BR"/>
                              </w:rPr>
                              <w:t xml:space="preserve"> </w:t>
                            </w:r>
                            <w:r w:rsidR="00627C9F" w:rsidRPr="00F90687">
                              <w:rPr>
                                <w:rFonts w:asciiTheme="minorHAnsi" w:hAnsiTheme="minorHAnsi"/>
                                <w:color w:val="FFFFFF" w:themeColor="background1"/>
                                <w:sz w:val="22"/>
                                <w:lang w:val="pt-BR"/>
                              </w:rPr>
                              <w:t>20</w:t>
                            </w:r>
                            <w:r w:rsidR="00C23BA4" w:rsidRPr="00F90687">
                              <w:rPr>
                                <w:rFonts w:asciiTheme="minorHAnsi" w:hAnsiTheme="minorHAnsi"/>
                                <w:color w:val="FFFFFF" w:themeColor="background1"/>
                                <w:sz w:val="22"/>
                                <w:lang w:val="pt-BR"/>
                              </w:rPr>
                              <w:t>2</w:t>
                            </w:r>
                            <w:r w:rsidR="001C227B" w:rsidRPr="00F90687">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9141FC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D86FF0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22F38">
                        <w:rPr>
                          <w:rFonts w:asciiTheme="minorHAnsi" w:hAnsiTheme="minorHAnsi"/>
                          <w:color w:val="FFFFFF" w:themeColor="background1"/>
                          <w:sz w:val="22"/>
                          <w:lang w:val="pt-BR"/>
                        </w:rPr>
                        <w:t>216</w:t>
                      </w:r>
                    </w:p>
                    <w:p w14:paraId="4061DBBD" w14:textId="56BBE1F8" w:rsidR="00627C9F" w:rsidRPr="00F90687" w:rsidRDefault="00941D63" w:rsidP="007A5817">
                      <w:pPr>
                        <w:spacing w:line="276" w:lineRule="auto"/>
                        <w:jc w:val="right"/>
                        <w:rPr>
                          <w:rFonts w:asciiTheme="minorHAnsi" w:hAnsiTheme="minorHAnsi"/>
                          <w:color w:val="FFFFFF" w:themeColor="background1"/>
                          <w:sz w:val="22"/>
                          <w:lang w:val="pt-BR"/>
                        </w:rPr>
                      </w:pPr>
                      <w:r w:rsidRPr="00F90687">
                        <w:rPr>
                          <w:rFonts w:asciiTheme="minorHAnsi" w:hAnsiTheme="minorHAnsi"/>
                          <w:color w:val="FFFFFF" w:themeColor="background1"/>
                          <w:sz w:val="22"/>
                          <w:lang w:val="pt-BR"/>
                        </w:rPr>
                        <w:t>11 agosto</w:t>
                      </w:r>
                      <w:r w:rsidR="007B05C4" w:rsidRPr="00F90687">
                        <w:rPr>
                          <w:rFonts w:asciiTheme="minorHAnsi" w:hAnsiTheme="minorHAnsi"/>
                          <w:color w:val="FFFFFF" w:themeColor="background1"/>
                          <w:sz w:val="22"/>
                          <w:lang w:val="pt-BR"/>
                        </w:rPr>
                        <w:t xml:space="preserve"> </w:t>
                      </w:r>
                      <w:r w:rsidR="00627C9F" w:rsidRPr="00F90687">
                        <w:rPr>
                          <w:rFonts w:asciiTheme="minorHAnsi" w:hAnsiTheme="minorHAnsi"/>
                          <w:color w:val="FFFFFF" w:themeColor="background1"/>
                          <w:sz w:val="22"/>
                          <w:lang w:val="pt-BR"/>
                        </w:rPr>
                        <w:t>20</w:t>
                      </w:r>
                      <w:r w:rsidR="00C23BA4" w:rsidRPr="00F90687">
                        <w:rPr>
                          <w:rFonts w:asciiTheme="minorHAnsi" w:hAnsiTheme="minorHAnsi"/>
                          <w:color w:val="FFFFFF" w:themeColor="background1"/>
                          <w:sz w:val="22"/>
                          <w:lang w:val="pt-BR"/>
                        </w:rPr>
                        <w:t>2</w:t>
                      </w:r>
                      <w:r w:rsidR="001C227B" w:rsidRPr="00F90687">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503851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41D63">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941D63">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C227B">
                              <w:rPr>
                                <w:rFonts w:asciiTheme="majorHAnsi" w:hAnsiTheme="majorHAnsi"/>
                                <w:color w:val="0D0D0D" w:themeColor="text1" w:themeTint="F2"/>
                                <w:sz w:val="18"/>
                                <w:szCs w:val="22"/>
                                <w:lang w:val="es-ES"/>
                              </w:rPr>
                              <w:t>2</w:t>
                            </w:r>
                            <w:r w:rsidR="00941D6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503851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41D63">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941D63">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C227B">
                        <w:rPr>
                          <w:rFonts w:asciiTheme="majorHAnsi" w:hAnsiTheme="majorHAnsi"/>
                          <w:color w:val="0D0D0D" w:themeColor="text1" w:themeTint="F2"/>
                          <w:sz w:val="18"/>
                          <w:szCs w:val="22"/>
                          <w:lang w:val="es-ES"/>
                        </w:rPr>
                        <w:t>2</w:t>
                      </w:r>
                      <w:r w:rsidR="00941D6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7E0A6F9" w:rsidR="00113F73" w:rsidRPr="007B05C4" w:rsidRDefault="00113F73" w:rsidP="001C227B">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41D63" w:rsidRPr="00941D63">
                              <w:rPr>
                                <w:rFonts w:asciiTheme="majorHAnsi" w:hAnsiTheme="majorHAnsi"/>
                                <w:color w:val="595959" w:themeColor="text1" w:themeTint="A6"/>
                                <w:sz w:val="18"/>
                                <w:szCs w:val="18"/>
                                <w:lang w:val="pt-BR"/>
                              </w:rPr>
                              <w:t>213</w:t>
                            </w:r>
                            <w:r w:rsidR="007B05C4" w:rsidRPr="00941D63">
                              <w:rPr>
                                <w:rFonts w:asciiTheme="majorHAnsi" w:hAnsiTheme="majorHAnsi"/>
                                <w:color w:val="595959" w:themeColor="text1" w:themeTint="A6"/>
                                <w:sz w:val="18"/>
                                <w:szCs w:val="18"/>
                                <w:lang w:val="pt-BR"/>
                              </w:rPr>
                              <w:t>/</w:t>
                            </w:r>
                            <w:r w:rsidR="001C227B" w:rsidRPr="00941D63">
                              <w:rPr>
                                <w:rFonts w:asciiTheme="majorHAnsi" w:hAnsiTheme="majorHAnsi"/>
                                <w:color w:val="595959" w:themeColor="text1" w:themeTint="A6"/>
                                <w:sz w:val="18"/>
                                <w:szCs w:val="18"/>
                                <w:lang w:val="pt-BR"/>
                              </w:rPr>
                              <w:t>22</w:t>
                            </w:r>
                            <w:r w:rsidRPr="00941D6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C227B">
                              <w:rPr>
                                <w:rFonts w:asciiTheme="majorHAnsi" w:hAnsiTheme="majorHAnsi"/>
                                <w:color w:val="595959" w:themeColor="text1" w:themeTint="A6"/>
                                <w:sz w:val="18"/>
                                <w:szCs w:val="18"/>
                                <w:lang w:val="es-ES"/>
                              </w:rPr>
                              <w:t>79</w:t>
                            </w:r>
                            <w:r w:rsidR="000433C9">
                              <w:rPr>
                                <w:rFonts w:asciiTheme="majorHAnsi" w:hAnsiTheme="majorHAnsi"/>
                                <w:color w:val="595959" w:themeColor="text1" w:themeTint="A6"/>
                                <w:sz w:val="18"/>
                                <w:szCs w:val="18"/>
                                <w:lang w:val="es-ES"/>
                              </w:rPr>
                              <w:t>-</w:t>
                            </w:r>
                            <w:r w:rsidR="001C227B">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C227B" w:rsidRPr="001C227B">
                              <w:rPr>
                                <w:rFonts w:asciiTheme="majorHAnsi" w:hAnsiTheme="majorHAnsi"/>
                                <w:bCs/>
                                <w:color w:val="595959" w:themeColor="text1" w:themeTint="A6"/>
                                <w:sz w:val="18"/>
                                <w:szCs w:val="18"/>
                                <w:lang w:val="es-ES"/>
                              </w:rPr>
                              <w:t>Sagla Ernesto Ayala</w:t>
                            </w:r>
                            <w:r w:rsidR="00114772">
                              <w:rPr>
                                <w:rFonts w:asciiTheme="majorHAnsi" w:hAnsiTheme="majorHAnsi"/>
                                <w:bCs/>
                                <w:color w:val="595959" w:themeColor="text1" w:themeTint="A6"/>
                                <w:sz w:val="18"/>
                                <w:szCs w:val="18"/>
                                <w:lang w:val="es-ES"/>
                              </w:rPr>
                              <w:t xml:space="preserve"> </w:t>
                            </w:r>
                            <w:r w:rsidR="001C227B">
                              <w:rPr>
                                <w:rFonts w:asciiTheme="majorHAnsi" w:hAnsiTheme="majorHAnsi"/>
                                <w:bCs/>
                                <w:color w:val="595959" w:themeColor="text1" w:themeTint="A6"/>
                                <w:sz w:val="18"/>
                                <w:szCs w:val="18"/>
                                <w:lang w:val="es-ES"/>
                              </w:rPr>
                              <w:t>y otros</w:t>
                            </w:r>
                            <w:r w:rsidRPr="00890650">
                              <w:rPr>
                                <w:rFonts w:asciiTheme="majorHAnsi" w:hAnsiTheme="majorHAnsi"/>
                                <w:color w:val="595959" w:themeColor="text1" w:themeTint="A6"/>
                                <w:sz w:val="18"/>
                                <w:szCs w:val="18"/>
                                <w:lang w:val="es-ES_tradnl"/>
                              </w:rPr>
                              <w:t xml:space="preserve">. </w:t>
                            </w:r>
                            <w:r w:rsidR="001C227B">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114772">
                              <w:rPr>
                                <w:rFonts w:asciiTheme="majorHAnsi" w:hAnsiTheme="majorHAnsi"/>
                                <w:color w:val="595959" w:themeColor="text1" w:themeTint="A6"/>
                                <w:sz w:val="18"/>
                                <w:szCs w:val="18"/>
                                <w:lang w:val="es-ES"/>
                              </w:rPr>
                              <w:t>11 de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7E0A6F9" w:rsidR="00113F73" w:rsidRPr="007B05C4" w:rsidRDefault="00113F73" w:rsidP="001C227B">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41D63" w:rsidRPr="00941D63">
                        <w:rPr>
                          <w:rFonts w:asciiTheme="majorHAnsi" w:hAnsiTheme="majorHAnsi"/>
                          <w:color w:val="595959" w:themeColor="text1" w:themeTint="A6"/>
                          <w:sz w:val="18"/>
                          <w:szCs w:val="18"/>
                          <w:lang w:val="pt-BR"/>
                        </w:rPr>
                        <w:t>213</w:t>
                      </w:r>
                      <w:r w:rsidR="007B05C4" w:rsidRPr="00941D63">
                        <w:rPr>
                          <w:rFonts w:asciiTheme="majorHAnsi" w:hAnsiTheme="majorHAnsi"/>
                          <w:color w:val="595959" w:themeColor="text1" w:themeTint="A6"/>
                          <w:sz w:val="18"/>
                          <w:szCs w:val="18"/>
                          <w:lang w:val="pt-BR"/>
                        </w:rPr>
                        <w:t>/</w:t>
                      </w:r>
                      <w:r w:rsidR="001C227B" w:rsidRPr="00941D63">
                        <w:rPr>
                          <w:rFonts w:asciiTheme="majorHAnsi" w:hAnsiTheme="majorHAnsi"/>
                          <w:color w:val="595959" w:themeColor="text1" w:themeTint="A6"/>
                          <w:sz w:val="18"/>
                          <w:szCs w:val="18"/>
                          <w:lang w:val="pt-BR"/>
                        </w:rPr>
                        <w:t>22</w:t>
                      </w:r>
                      <w:r w:rsidRPr="00941D6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C227B">
                        <w:rPr>
                          <w:rFonts w:asciiTheme="majorHAnsi" w:hAnsiTheme="majorHAnsi"/>
                          <w:color w:val="595959" w:themeColor="text1" w:themeTint="A6"/>
                          <w:sz w:val="18"/>
                          <w:szCs w:val="18"/>
                          <w:lang w:val="es-ES"/>
                        </w:rPr>
                        <w:t>79</w:t>
                      </w:r>
                      <w:r w:rsidR="000433C9">
                        <w:rPr>
                          <w:rFonts w:asciiTheme="majorHAnsi" w:hAnsiTheme="majorHAnsi"/>
                          <w:color w:val="595959" w:themeColor="text1" w:themeTint="A6"/>
                          <w:sz w:val="18"/>
                          <w:szCs w:val="18"/>
                          <w:lang w:val="es-ES"/>
                        </w:rPr>
                        <w:t>-</w:t>
                      </w:r>
                      <w:r w:rsidR="001C227B">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C227B" w:rsidRPr="001C227B">
                        <w:rPr>
                          <w:rFonts w:asciiTheme="majorHAnsi" w:hAnsiTheme="majorHAnsi"/>
                          <w:bCs/>
                          <w:color w:val="595959" w:themeColor="text1" w:themeTint="A6"/>
                          <w:sz w:val="18"/>
                          <w:szCs w:val="18"/>
                          <w:lang w:val="es-ES"/>
                        </w:rPr>
                        <w:t>Sagla Ernesto Ayala</w:t>
                      </w:r>
                      <w:r w:rsidR="00114772">
                        <w:rPr>
                          <w:rFonts w:asciiTheme="majorHAnsi" w:hAnsiTheme="majorHAnsi"/>
                          <w:bCs/>
                          <w:color w:val="595959" w:themeColor="text1" w:themeTint="A6"/>
                          <w:sz w:val="18"/>
                          <w:szCs w:val="18"/>
                          <w:lang w:val="es-ES"/>
                        </w:rPr>
                        <w:t xml:space="preserve"> </w:t>
                      </w:r>
                      <w:r w:rsidR="001C227B">
                        <w:rPr>
                          <w:rFonts w:asciiTheme="majorHAnsi" w:hAnsiTheme="majorHAnsi"/>
                          <w:bCs/>
                          <w:color w:val="595959" w:themeColor="text1" w:themeTint="A6"/>
                          <w:sz w:val="18"/>
                          <w:szCs w:val="18"/>
                          <w:lang w:val="es-ES"/>
                        </w:rPr>
                        <w:t>y otros</w:t>
                      </w:r>
                      <w:r w:rsidRPr="00890650">
                        <w:rPr>
                          <w:rFonts w:asciiTheme="majorHAnsi" w:hAnsiTheme="majorHAnsi"/>
                          <w:color w:val="595959" w:themeColor="text1" w:themeTint="A6"/>
                          <w:sz w:val="18"/>
                          <w:szCs w:val="18"/>
                          <w:lang w:val="es-ES_tradnl"/>
                        </w:rPr>
                        <w:t xml:space="preserve">. </w:t>
                      </w:r>
                      <w:r w:rsidR="001C227B">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114772">
                        <w:rPr>
                          <w:rFonts w:asciiTheme="majorHAnsi" w:hAnsiTheme="majorHAnsi"/>
                          <w:color w:val="595959" w:themeColor="text1" w:themeTint="A6"/>
                          <w:sz w:val="18"/>
                          <w:szCs w:val="18"/>
                          <w:lang w:val="es-ES"/>
                        </w:rPr>
                        <w:t>11 de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3D7D531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6BD6DBE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0BE85A24" w:rsidR="0070697F" w:rsidRDefault="00BA49C5"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0839A3A3">
                <wp:simplePos x="0" y="0"/>
                <wp:positionH relativeFrom="column">
                  <wp:posOffset>1289685</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55pt;margin-top:40.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42140017" w:rsidR="003239B8" w:rsidRPr="00972DC4" w:rsidRDefault="003239B8" w:rsidP="006A5359">
      <w:pPr>
        <w:pStyle w:val="ListParagraph"/>
        <w:numPr>
          <w:ilvl w:val="0"/>
          <w:numId w:val="57"/>
        </w:numPr>
        <w:spacing w:after="240"/>
        <w:ind w:left="0" w:firstLine="720"/>
        <w:jc w:val="both"/>
        <w:rPr>
          <w:rFonts w:asciiTheme="majorHAnsi" w:hAnsiTheme="majorHAnsi"/>
          <w:b/>
          <w:bCs/>
          <w:sz w:val="20"/>
          <w:szCs w:val="20"/>
          <w:lang w:val="es-ES"/>
        </w:rPr>
      </w:pPr>
      <w:r w:rsidRPr="00972DC4">
        <w:rPr>
          <w:rFonts w:asciiTheme="majorHAnsi" w:hAnsiTheme="majorHAnsi"/>
          <w:b/>
          <w:bCs/>
          <w:sz w:val="20"/>
          <w:szCs w:val="20"/>
          <w:lang w:val="es-ES"/>
        </w:rPr>
        <w:lastRenderedPageBreak/>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9068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361A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27CB0068" w:rsidR="003239B8" w:rsidRPr="00B91776" w:rsidRDefault="00C2103D" w:rsidP="00361A5C">
            <w:pPr>
              <w:jc w:val="both"/>
              <w:rPr>
                <w:rFonts w:ascii="Cambria" w:hAnsi="Cambria"/>
                <w:bCs/>
                <w:sz w:val="20"/>
                <w:szCs w:val="20"/>
                <w:lang w:val="es-419"/>
              </w:rPr>
            </w:pPr>
            <w:r>
              <w:rPr>
                <w:rFonts w:ascii="Cambria" w:hAnsi="Cambria"/>
                <w:bCs/>
                <w:sz w:val="20"/>
                <w:szCs w:val="20"/>
                <w:lang w:val="es-419"/>
              </w:rPr>
              <w:t>Corporación de Abogados Indígenas de Panamá</w:t>
            </w:r>
          </w:p>
        </w:tc>
      </w:tr>
      <w:tr w:rsidR="003239B8" w:rsidRPr="00F9068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C53C10" w:rsidP="00361A5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B0A72">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7CA9190C" w:rsidR="003239B8" w:rsidRPr="000B63E8" w:rsidRDefault="00887661" w:rsidP="00361A5C">
            <w:pPr>
              <w:jc w:val="both"/>
              <w:rPr>
                <w:rFonts w:ascii="Cambria" w:hAnsi="Cambria"/>
                <w:bCs/>
                <w:sz w:val="20"/>
                <w:szCs w:val="20"/>
                <w:lang w:val="es-ES"/>
              </w:rPr>
            </w:pPr>
            <w:r w:rsidRPr="000B63E8">
              <w:rPr>
                <w:rFonts w:ascii="Cambria" w:hAnsi="Cambria"/>
                <w:bCs/>
                <w:sz w:val="20"/>
                <w:szCs w:val="20"/>
                <w:lang w:val="es-ES"/>
              </w:rPr>
              <w:t xml:space="preserve">Sagla </w:t>
            </w:r>
            <w:r w:rsidR="00533527" w:rsidRPr="000B63E8">
              <w:rPr>
                <w:rFonts w:ascii="Cambria" w:hAnsi="Cambria"/>
                <w:bCs/>
                <w:sz w:val="20"/>
                <w:szCs w:val="20"/>
                <w:lang w:val="es-ES"/>
              </w:rPr>
              <w:t xml:space="preserve">Ernesto Ayala, </w:t>
            </w:r>
            <w:r w:rsidRPr="000B63E8">
              <w:rPr>
                <w:rFonts w:ascii="Cambria" w:hAnsi="Cambria"/>
                <w:bCs/>
                <w:sz w:val="20"/>
                <w:szCs w:val="20"/>
                <w:lang w:val="es-ES"/>
              </w:rPr>
              <w:t xml:space="preserve">San </w:t>
            </w:r>
            <w:r w:rsidR="00533527" w:rsidRPr="000B63E8">
              <w:rPr>
                <w:rFonts w:ascii="Cambria" w:hAnsi="Cambria"/>
                <w:bCs/>
                <w:sz w:val="20"/>
                <w:szCs w:val="20"/>
                <w:lang w:val="es-ES"/>
              </w:rPr>
              <w:t>Pascual Ayala</w:t>
            </w:r>
            <w:r w:rsidRPr="000B63E8">
              <w:rPr>
                <w:rFonts w:ascii="Cambria" w:hAnsi="Cambria"/>
                <w:bCs/>
                <w:sz w:val="20"/>
                <w:szCs w:val="20"/>
                <w:lang w:val="es-ES"/>
              </w:rPr>
              <w:t xml:space="preserve"> Gutiérrez</w:t>
            </w:r>
            <w:r w:rsidR="00533527" w:rsidRPr="000B63E8">
              <w:rPr>
                <w:rFonts w:ascii="Cambria" w:hAnsi="Cambria"/>
                <w:bCs/>
                <w:sz w:val="20"/>
                <w:szCs w:val="20"/>
                <w:lang w:val="es-ES"/>
              </w:rPr>
              <w:t>, Luis Enrique Mart</w:t>
            </w:r>
            <w:r w:rsidRPr="000B63E8">
              <w:rPr>
                <w:rFonts w:ascii="Cambria" w:hAnsi="Cambria"/>
                <w:bCs/>
                <w:sz w:val="20"/>
                <w:szCs w:val="20"/>
                <w:lang w:val="es-ES"/>
              </w:rPr>
              <w:t>í</w:t>
            </w:r>
            <w:r w:rsidR="00533527" w:rsidRPr="000B63E8">
              <w:rPr>
                <w:rFonts w:ascii="Cambria" w:hAnsi="Cambria"/>
                <w:bCs/>
                <w:sz w:val="20"/>
                <w:szCs w:val="20"/>
                <w:lang w:val="es-ES"/>
              </w:rPr>
              <w:t>nez</w:t>
            </w:r>
            <w:r w:rsidR="00727C36" w:rsidRPr="000B63E8">
              <w:rPr>
                <w:rFonts w:ascii="Cambria" w:hAnsi="Cambria"/>
                <w:bCs/>
                <w:sz w:val="20"/>
                <w:szCs w:val="20"/>
                <w:lang w:val="es-ES"/>
              </w:rPr>
              <w:t xml:space="preserve"> </w:t>
            </w:r>
            <w:r w:rsidRPr="000B63E8">
              <w:rPr>
                <w:rFonts w:ascii="Cambria" w:hAnsi="Cambria"/>
                <w:bCs/>
                <w:sz w:val="20"/>
                <w:szCs w:val="20"/>
                <w:lang w:val="es-ES"/>
              </w:rPr>
              <w:t xml:space="preserve">Ayala, </w:t>
            </w:r>
            <w:r w:rsidR="00727C36" w:rsidRPr="000B63E8">
              <w:rPr>
                <w:rFonts w:ascii="Cambria" w:hAnsi="Cambria"/>
                <w:bCs/>
                <w:sz w:val="20"/>
                <w:szCs w:val="20"/>
                <w:lang w:val="es-ES"/>
              </w:rPr>
              <w:t>Gilberto Vásquez</w:t>
            </w:r>
            <w:r w:rsidRPr="000B63E8">
              <w:rPr>
                <w:rFonts w:ascii="Cambria" w:hAnsi="Cambria"/>
                <w:bCs/>
                <w:sz w:val="20"/>
                <w:szCs w:val="20"/>
                <w:lang w:val="es-UY"/>
              </w:rPr>
              <w:t xml:space="preserve"> y Casildo Ayala Ayala</w:t>
            </w:r>
            <w:r w:rsidR="00AE4154" w:rsidRPr="000B63E8">
              <w:rPr>
                <w:rFonts w:ascii="Cambria" w:hAnsi="Cambria"/>
                <w:bCs/>
                <w:sz w:val="20"/>
                <w:szCs w:val="20"/>
                <w:lang w:val="es-UY"/>
              </w:rPr>
              <w:t xml:space="preserve"> y familiares</w:t>
            </w:r>
            <w:r w:rsidR="00AE4154" w:rsidRPr="000B63E8">
              <w:rPr>
                <w:rStyle w:val="FootnoteReference"/>
                <w:rFonts w:ascii="Cambria" w:hAnsi="Cambria"/>
                <w:bCs/>
                <w:sz w:val="20"/>
                <w:szCs w:val="20"/>
                <w:lang w:val="es-UY"/>
              </w:rPr>
              <w:footnoteReference w:id="2"/>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361A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3A85A727" w:rsidR="003239B8" w:rsidRPr="000B63E8" w:rsidRDefault="00DC2788" w:rsidP="00361A5C">
            <w:pPr>
              <w:jc w:val="both"/>
              <w:rPr>
                <w:rFonts w:ascii="Cambria" w:hAnsi="Cambria"/>
                <w:bCs/>
                <w:sz w:val="20"/>
                <w:szCs w:val="20"/>
              </w:rPr>
            </w:pPr>
            <w:r w:rsidRPr="000B63E8">
              <w:rPr>
                <w:rFonts w:ascii="Cambria" w:hAnsi="Cambria"/>
                <w:bCs/>
                <w:sz w:val="20"/>
                <w:szCs w:val="20"/>
              </w:rPr>
              <w:t>Panamá</w:t>
            </w:r>
            <w:r w:rsidR="004A6A54" w:rsidRPr="000B63E8">
              <w:rPr>
                <w:rStyle w:val="FootnoteReference"/>
                <w:rFonts w:ascii="Cambria" w:hAnsi="Cambria"/>
                <w:bCs/>
                <w:sz w:val="20"/>
                <w:szCs w:val="20"/>
              </w:rPr>
              <w:footnoteReference w:id="3"/>
            </w:r>
          </w:p>
        </w:tc>
      </w:tr>
      <w:tr w:rsidR="00223A29" w:rsidRPr="00F90687"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290AF7D9" w:rsidR="00D8370C" w:rsidRPr="00CD4158" w:rsidRDefault="00715E83" w:rsidP="00B91776">
            <w:pPr>
              <w:jc w:val="both"/>
              <w:rPr>
                <w:rFonts w:ascii="Cambria" w:hAnsi="Cambria"/>
                <w:bCs/>
                <w:sz w:val="20"/>
                <w:szCs w:val="20"/>
                <w:lang w:val="es-419"/>
              </w:rPr>
            </w:pPr>
            <w:r w:rsidRPr="00AE4154">
              <w:rPr>
                <w:rFonts w:ascii="Cambria" w:hAnsi="Cambria"/>
                <w:bCs/>
                <w:sz w:val="20"/>
                <w:szCs w:val="20"/>
                <w:lang w:val="es-419"/>
              </w:rPr>
              <w:t>A</w:t>
            </w:r>
            <w:r w:rsidR="00832848" w:rsidRPr="00AE4154">
              <w:rPr>
                <w:rFonts w:ascii="Cambria" w:hAnsi="Cambria"/>
                <w:bCs/>
                <w:sz w:val="20"/>
                <w:szCs w:val="20"/>
                <w:lang w:val="es-419"/>
              </w:rPr>
              <w:t>rtículos 4</w:t>
            </w:r>
            <w:r w:rsidRPr="00AE4154">
              <w:rPr>
                <w:rFonts w:ascii="Cambria" w:hAnsi="Cambria"/>
                <w:bCs/>
                <w:sz w:val="20"/>
                <w:szCs w:val="20"/>
                <w:lang w:val="es-419"/>
              </w:rPr>
              <w:t xml:space="preserve"> </w:t>
            </w:r>
            <w:r w:rsidR="00832848" w:rsidRPr="00AE4154">
              <w:rPr>
                <w:rFonts w:ascii="Cambria" w:hAnsi="Cambria"/>
                <w:bCs/>
                <w:sz w:val="20"/>
                <w:szCs w:val="20"/>
                <w:lang w:val="es-419"/>
              </w:rPr>
              <w:t>(</w:t>
            </w:r>
            <w:r w:rsidRPr="00AE4154">
              <w:rPr>
                <w:rFonts w:ascii="Cambria" w:hAnsi="Cambria"/>
                <w:bCs/>
                <w:sz w:val="20"/>
                <w:szCs w:val="20"/>
                <w:lang w:val="es-419"/>
              </w:rPr>
              <w:t>vida</w:t>
            </w:r>
            <w:r w:rsidR="00832848" w:rsidRPr="00AE4154">
              <w:rPr>
                <w:rFonts w:ascii="Cambria" w:hAnsi="Cambria"/>
                <w:bCs/>
                <w:sz w:val="20"/>
                <w:szCs w:val="20"/>
                <w:lang w:val="es-419"/>
              </w:rPr>
              <w:t>), 5</w:t>
            </w:r>
            <w:r w:rsidRPr="00AE4154">
              <w:rPr>
                <w:rFonts w:ascii="Cambria" w:hAnsi="Cambria"/>
                <w:bCs/>
                <w:sz w:val="20"/>
                <w:szCs w:val="20"/>
                <w:lang w:val="es-419"/>
              </w:rPr>
              <w:t xml:space="preserve"> </w:t>
            </w:r>
            <w:r w:rsidR="00832848" w:rsidRPr="00AE4154">
              <w:rPr>
                <w:rFonts w:ascii="Cambria" w:hAnsi="Cambria"/>
                <w:bCs/>
                <w:sz w:val="20"/>
                <w:szCs w:val="20"/>
                <w:lang w:val="es-419"/>
              </w:rPr>
              <w:t>(</w:t>
            </w:r>
            <w:r w:rsidRPr="00AE4154">
              <w:rPr>
                <w:rFonts w:ascii="Cambria" w:hAnsi="Cambria"/>
                <w:bCs/>
                <w:sz w:val="20"/>
                <w:szCs w:val="20"/>
                <w:lang w:val="es-419"/>
              </w:rPr>
              <w:t>integridad personal</w:t>
            </w:r>
            <w:r w:rsidR="00832848" w:rsidRPr="00AE4154">
              <w:rPr>
                <w:rFonts w:ascii="Cambria" w:hAnsi="Cambria"/>
                <w:bCs/>
                <w:sz w:val="20"/>
                <w:szCs w:val="20"/>
                <w:lang w:val="es-419"/>
              </w:rPr>
              <w:t>), 7</w:t>
            </w:r>
            <w:r w:rsidRPr="00AE4154">
              <w:rPr>
                <w:rFonts w:ascii="Cambria" w:hAnsi="Cambria"/>
                <w:bCs/>
                <w:sz w:val="20"/>
                <w:szCs w:val="20"/>
                <w:lang w:val="es-419"/>
              </w:rPr>
              <w:t xml:space="preserve"> </w:t>
            </w:r>
            <w:r w:rsidR="00832848" w:rsidRPr="00AE4154">
              <w:rPr>
                <w:rFonts w:ascii="Cambria" w:hAnsi="Cambria"/>
                <w:bCs/>
                <w:sz w:val="20"/>
                <w:szCs w:val="20"/>
                <w:lang w:val="es-419"/>
              </w:rPr>
              <w:t>(</w:t>
            </w:r>
            <w:r w:rsidRPr="00AE4154">
              <w:rPr>
                <w:rFonts w:ascii="Cambria" w:hAnsi="Cambria"/>
                <w:bCs/>
                <w:sz w:val="20"/>
                <w:szCs w:val="20"/>
                <w:lang w:val="es-419"/>
              </w:rPr>
              <w:t>libertad personal</w:t>
            </w:r>
            <w:r w:rsidR="00832848" w:rsidRPr="00AE4154">
              <w:rPr>
                <w:rFonts w:ascii="Cambria" w:hAnsi="Cambria"/>
                <w:bCs/>
                <w:sz w:val="20"/>
                <w:szCs w:val="20"/>
                <w:lang w:val="es-419"/>
              </w:rPr>
              <w:t>), 8</w:t>
            </w:r>
            <w:r w:rsidRPr="00AE4154">
              <w:rPr>
                <w:rFonts w:ascii="Cambria" w:hAnsi="Cambria"/>
                <w:bCs/>
                <w:sz w:val="20"/>
                <w:szCs w:val="20"/>
                <w:lang w:val="es-419"/>
              </w:rPr>
              <w:t xml:space="preserve"> </w:t>
            </w:r>
            <w:r w:rsidR="00832848" w:rsidRPr="00AE4154">
              <w:rPr>
                <w:rFonts w:ascii="Cambria" w:hAnsi="Cambria"/>
                <w:bCs/>
                <w:sz w:val="20"/>
                <w:szCs w:val="20"/>
                <w:lang w:val="es-419"/>
              </w:rPr>
              <w:t>(</w:t>
            </w:r>
            <w:r w:rsidRPr="00AE4154">
              <w:rPr>
                <w:rFonts w:ascii="Cambria" w:hAnsi="Cambria"/>
                <w:bCs/>
                <w:sz w:val="20"/>
                <w:szCs w:val="20"/>
                <w:lang w:val="es-419"/>
              </w:rPr>
              <w:t>garantías judiciales</w:t>
            </w:r>
            <w:r w:rsidR="00832848" w:rsidRPr="00AE4154">
              <w:rPr>
                <w:rFonts w:ascii="Cambria" w:hAnsi="Cambria"/>
                <w:bCs/>
                <w:sz w:val="20"/>
                <w:szCs w:val="20"/>
                <w:lang w:val="es-419"/>
              </w:rPr>
              <w:t>)</w:t>
            </w:r>
            <w:r w:rsidRPr="00AE4154">
              <w:rPr>
                <w:rFonts w:ascii="Cambria" w:hAnsi="Cambria"/>
                <w:bCs/>
                <w:sz w:val="20"/>
                <w:szCs w:val="20"/>
                <w:lang w:val="es-419"/>
              </w:rPr>
              <w:t>,</w:t>
            </w:r>
            <w:r w:rsidR="00832848" w:rsidRPr="00AE4154">
              <w:rPr>
                <w:rFonts w:ascii="Cambria" w:hAnsi="Cambria"/>
                <w:bCs/>
                <w:sz w:val="20"/>
                <w:szCs w:val="20"/>
                <w:lang w:val="es-419"/>
              </w:rPr>
              <w:t xml:space="preserve"> </w:t>
            </w:r>
            <w:r w:rsidRPr="00AE4154">
              <w:rPr>
                <w:rFonts w:ascii="Cambria" w:hAnsi="Cambria"/>
                <w:bCs/>
                <w:sz w:val="20"/>
                <w:szCs w:val="20"/>
                <w:lang w:val="es-419"/>
              </w:rPr>
              <w:t xml:space="preserve">10 (indemnización), </w:t>
            </w:r>
            <w:r w:rsidR="00B91776" w:rsidRPr="00AE4154">
              <w:rPr>
                <w:rFonts w:ascii="Cambria" w:hAnsi="Cambria"/>
                <w:bCs/>
                <w:sz w:val="20"/>
                <w:szCs w:val="20"/>
                <w:lang w:val="es-419"/>
              </w:rPr>
              <w:t>12 (libertad de religión), 17 (</w:t>
            </w:r>
            <w:r w:rsidR="00CD4158" w:rsidRPr="00AE4154">
              <w:rPr>
                <w:rFonts w:ascii="Cambria" w:hAnsi="Cambria"/>
                <w:bCs/>
                <w:sz w:val="20"/>
                <w:szCs w:val="20"/>
                <w:lang w:val="es-419"/>
              </w:rPr>
              <w:t>protección a la familia</w:t>
            </w:r>
            <w:r w:rsidR="00B91776" w:rsidRPr="00AE4154">
              <w:rPr>
                <w:rFonts w:ascii="Cambria" w:hAnsi="Cambria"/>
                <w:bCs/>
                <w:sz w:val="20"/>
                <w:szCs w:val="20"/>
                <w:lang w:val="es-419"/>
              </w:rPr>
              <w:t xml:space="preserve">), 19 (derechos del niño), </w:t>
            </w:r>
            <w:r w:rsidR="00832848" w:rsidRPr="00AE4154">
              <w:rPr>
                <w:rFonts w:ascii="Cambria" w:hAnsi="Cambria"/>
                <w:bCs/>
                <w:sz w:val="20"/>
                <w:szCs w:val="20"/>
                <w:lang w:val="es-419"/>
              </w:rPr>
              <w:t>24 (</w:t>
            </w:r>
            <w:r w:rsidRPr="00AE4154">
              <w:rPr>
                <w:rFonts w:ascii="Cambria" w:hAnsi="Cambria"/>
                <w:bCs/>
                <w:sz w:val="20"/>
                <w:szCs w:val="20"/>
                <w:lang w:val="es-419"/>
              </w:rPr>
              <w:t>igualdad ante la ley</w:t>
            </w:r>
            <w:r w:rsidR="00832848" w:rsidRPr="00AE4154">
              <w:rPr>
                <w:rFonts w:ascii="Cambria" w:hAnsi="Cambria"/>
                <w:bCs/>
                <w:sz w:val="20"/>
                <w:szCs w:val="20"/>
                <w:lang w:val="es-419"/>
              </w:rPr>
              <w:t xml:space="preserve">) </w:t>
            </w:r>
            <w:r w:rsidRPr="00AE4154">
              <w:rPr>
                <w:rFonts w:ascii="Cambria" w:hAnsi="Cambria"/>
                <w:bCs/>
                <w:sz w:val="20"/>
                <w:szCs w:val="20"/>
                <w:lang w:val="es-419"/>
              </w:rPr>
              <w:t xml:space="preserve">y </w:t>
            </w:r>
            <w:r w:rsidR="00832848" w:rsidRPr="00AE4154">
              <w:rPr>
                <w:rFonts w:ascii="Cambria" w:hAnsi="Cambria"/>
                <w:bCs/>
                <w:sz w:val="20"/>
                <w:szCs w:val="20"/>
                <w:lang w:val="es-419"/>
              </w:rPr>
              <w:t>25</w:t>
            </w:r>
            <w:r w:rsidRPr="00AE4154">
              <w:rPr>
                <w:rFonts w:ascii="Cambria" w:hAnsi="Cambria"/>
                <w:bCs/>
                <w:sz w:val="20"/>
                <w:szCs w:val="20"/>
                <w:lang w:val="es-419"/>
              </w:rPr>
              <w:t xml:space="preserve"> </w:t>
            </w:r>
            <w:r w:rsidR="00832848" w:rsidRPr="00AE4154">
              <w:rPr>
                <w:rFonts w:ascii="Cambria" w:hAnsi="Cambria"/>
                <w:bCs/>
                <w:sz w:val="20"/>
                <w:szCs w:val="20"/>
                <w:lang w:val="es-419"/>
              </w:rPr>
              <w:t>(</w:t>
            </w:r>
            <w:r w:rsidRPr="00AE4154">
              <w:rPr>
                <w:rFonts w:ascii="Cambria" w:hAnsi="Cambria"/>
                <w:bCs/>
                <w:sz w:val="20"/>
                <w:szCs w:val="20"/>
                <w:lang w:val="es-419"/>
              </w:rPr>
              <w:t>protección judicial</w:t>
            </w:r>
            <w:r w:rsidR="00832848" w:rsidRPr="00AE4154">
              <w:rPr>
                <w:rFonts w:ascii="Cambria" w:hAnsi="Cambria"/>
                <w:bCs/>
                <w:sz w:val="20"/>
                <w:szCs w:val="20"/>
                <w:lang w:val="es-419"/>
              </w:rPr>
              <w:t>) de la Convención</w:t>
            </w:r>
            <w:r w:rsidRPr="00AE4154">
              <w:rPr>
                <w:rFonts w:ascii="Cambria" w:hAnsi="Cambria"/>
                <w:bCs/>
                <w:sz w:val="20"/>
                <w:szCs w:val="20"/>
                <w:lang w:val="es-419"/>
              </w:rPr>
              <w:t xml:space="preserve"> </w:t>
            </w:r>
            <w:r w:rsidR="00832848" w:rsidRPr="00AE4154">
              <w:rPr>
                <w:rFonts w:ascii="Cambria" w:hAnsi="Cambria"/>
                <w:bCs/>
                <w:sz w:val="20"/>
                <w:szCs w:val="20"/>
                <w:lang w:val="es-419"/>
              </w:rPr>
              <w:t>Americana sobre Derechos Humano</w:t>
            </w:r>
            <w:r w:rsidRPr="00AE4154">
              <w:rPr>
                <w:rStyle w:val="FootnoteReference"/>
                <w:rFonts w:ascii="Cambria" w:hAnsi="Cambria"/>
                <w:bCs/>
                <w:sz w:val="20"/>
                <w:szCs w:val="20"/>
                <w:lang w:val="es-419"/>
              </w:rPr>
              <w:footnoteReference w:id="4"/>
            </w:r>
            <w:r w:rsidR="00D60AC2">
              <w:rPr>
                <w:rFonts w:ascii="Cambria" w:hAnsi="Cambria"/>
                <w:bCs/>
                <w:sz w:val="20"/>
                <w:szCs w:val="20"/>
                <w:lang w:val="es-419"/>
              </w:rPr>
              <w:t>,</w:t>
            </w:r>
            <w:r w:rsidR="00832848" w:rsidRPr="00AE4154">
              <w:rPr>
                <w:rFonts w:ascii="Cambria" w:hAnsi="Cambria"/>
                <w:bCs/>
                <w:sz w:val="20"/>
                <w:szCs w:val="20"/>
                <w:lang w:val="es-419"/>
              </w:rPr>
              <w:t xml:space="preserve"> </w:t>
            </w:r>
            <w:r w:rsidR="00CD4158" w:rsidRPr="00AE4154">
              <w:rPr>
                <w:rFonts w:ascii="Cambria" w:hAnsi="Cambria"/>
                <w:bCs/>
                <w:sz w:val="20"/>
                <w:szCs w:val="20"/>
                <w:lang w:val="es-419"/>
              </w:rPr>
              <w:t xml:space="preserve">con relación </w:t>
            </w:r>
            <w:r w:rsidR="00EC341F">
              <w:rPr>
                <w:rFonts w:ascii="Cambria" w:hAnsi="Cambria"/>
                <w:bCs/>
                <w:sz w:val="20"/>
                <w:szCs w:val="20"/>
                <w:lang w:val="es-419"/>
              </w:rPr>
              <w:t>con sus</w:t>
            </w:r>
            <w:r w:rsidR="00CD4158" w:rsidRPr="00AE4154">
              <w:rPr>
                <w:rFonts w:ascii="Cambria" w:hAnsi="Cambria"/>
                <w:bCs/>
                <w:sz w:val="20"/>
                <w:szCs w:val="20"/>
                <w:lang w:val="es-419"/>
              </w:rPr>
              <w:t xml:space="preserve"> </w:t>
            </w:r>
            <w:r w:rsidRPr="00AE4154">
              <w:rPr>
                <w:rFonts w:ascii="Cambria" w:hAnsi="Cambria"/>
                <w:bCs/>
                <w:sz w:val="20"/>
                <w:szCs w:val="20"/>
                <w:lang w:val="es-419"/>
              </w:rPr>
              <w:t xml:space="preserve">artículos </w:t>
            </w:r>
            <w:r w:rsidR="00AE4154" w:rsidRPr="00AE4154">
              <w:rPr>
                <w:rFonts w:ascii="Cambria" w:hAnsi="Cambria"/>
                <w:bCs/>
                <w:sz w:val="20"/>
                <w:szCs w:val="20"/>
                <w:lang w:val="es-ES"/>
              </w:rPr>
              <w:t>1.1 (obligación de respetar los derechos)</w:t>
            </w:r>
            <w:r w:rsidRPr="00AE4154">
              <w:rPr>
                <w:rFonts w:ascii="Cambria" w:hAnsi="Cambria"/>
                <w:bCs/>
                <w:sz w:val="20"/>
                <w:szCs w:val="20"/>
                <w:lang w:val="es-419"/>
              </w:rPr>
              <w:t xml:space="preserve"> y 2 (</w:t>
            </w:r>
            <w:r w:rsidR="00AE4154" w:rsidRPr="00AE4154">
              <w:rPr>
                <w:rFonts w:ascii="Cambria" w:hAnsi="Cambria"/>
                <w:bCs/>
                <w:sz w:val="20"/>
                <w:szCs w:val="20"/>
                <w:lang w:val="es-419"/>
              </w:rPr>
              <w:t>deber de adoptar disposiciones de derecho interno</w:t>
            </w:r>
            <w:r w:rsidRPr="00AE4154">
              <w:rPr>
                <w:rFonts w:ascii="Cambria" w:hAnsi="Cambria"/>
                <w:bCs/>
                <w:sz w:val="20"/>
                <w:szCs w:val="20"/>
                <w:lang w:val="es-419"/>
              </w:rPr>
              <w:t>)</w:t>
            </w:r>
            <w:r w:rsidR="00B91776" w:rsidRPr="00AE4154">
              <w:rPr>
                <w:rFonts w:ascii="Cambria" w:hAnsi="Cambria"/>
                <w:bCs/>
                <w:sz w:val="20"/>
                <w:szCs w:val="20"/>
                <w:lang w:val="es-419"/>
              </w:rPr>
              <w:t xml:space="preserve">; </w:t>
            </w:r>
            <w:r w:rsidR="00832848" w:rsidRPr="00AE4154">
              <w:rPr>
                <w:rFonts w:ascii="Cambria" w:hAnsi="Cambria"/>
                <w:bCs/>
                <w:sz w:val="20"/>
                <w:szCs w:val="20"/>
                <w:lang w:val="es-419"/>
              </w:rPr>
              <w:t xml:space="preserve">y artículos I, II, </w:t>
            </w:r>
            <w:r w:rsidR="00CD4158" w:rsidRPr="00AE4154">
              <w:rPr>
                <w:rFonts w:ascii="Cambria" w:hAnsi="Cambria"/>
                <w:bCs/>
                <w:sz w:val="20"/>
                <w:szCs w:val="20"/>
                <w:lang w:val="es-419"/>
              </w:rPr>
              <w:t>V, VI</w:t>
            </w:r>
            <w:r w:rsidR="00832848" w:rsidRPr="00AE4154">
              <w:rPr>
                <w:rFonts w:ascii="Cambria" w:hAnsi="Cambria"/>
                <w:bCs/>
                <w:sz w:val="20"/>
                <w:szCs w:val="20"/>
                <w:lang w:val="es-419"/>
              </w:rPr>
              <w:t>,</w:t>
            </w:r>
            <w:r w:rsidR="00CD4158" w:rsidRPr="00AE4154">
              <w:rPr>
                <w:rFonts w:ascii="Cambria" w:hAnsi="Cambria"/>
                <w:bCs/>
                <w:sz w:val="20"/>
                <w:szCs w:val="20"/>
                <w:lang w:val="es-419"/>
              </w:rPr>
              <w:t xml:space="preserve"> </w:t>
            </w:r>
            <w:r w:rsidR="00832848" w:rsidRPr="00AE4154">
              <w:rPr>
                <w:rFonts w:ascii="Cambria" w:hAnsi="Cambria"/>
                <w:bCs/>
                <w:sz w:val="20"/>
                <w:szCs w:val="20"/>
                <w:lang w:val="es-419"/>
              </w:rPr>
              <w:t>VIII, IX,</w:t>
            </w:r>
            <w:r w:rsidR="00CD4158" w:rsidRPr="00AE4154">
              <w:rPr>
                <w:rFonts w:ascii="Cambria" w:hAnsi="Cambria"/>
                <w:bCs/>
                <w:sz w:val="20"/>
                <w:szCs w:val="20"/>
                <w:lang w:val="es-419"/>
              </w:rPr>
              <w:t xml:space="preserve"> </w:t>
            </w:r>
            <w:r w:rsidR="00832848" w:rsidRPr="00AE4154">
              <w:rPr>
                <w:rFonts w:ascii="Cambria" w:hAnsi="Cambria"/>
                <w:bCs/>
                <w:sz w:val="20"/>
                <w:szCs w:val="20"/>
                <w:lang w:val="es-419"/>
              </w:rPr>
              <w:t>XI, XVIII, XXI, XXIII</w:t>
            </w:r>
            <w:r w:rsidR="00B91776" w:rsidRPr="00AE4154">
              <w:rPr>
                <w:rFonts w:ascii="Cambria" w:hAnsi="Cambria"/>
                <w:bCs/>
                <w:sz w:val="20"/>
                <w:szCs w:val="20"/>
                <w:lang w:val="es-419"/>
              </w:rPr>
              <w:t xml:space="preserve"> </w:t>
            </w:r>
            <w:r w:rsidR="00832848" w:rsidRPr="00AE4154">
              <w:rPr>
                <w:rFonts w:ascii="Cambria" w:hAnsi="Cambria"/>
                <w:bCs/>
                <w:sz w:val="20"/>
                <w:szCs w:val="20"/>
                <w:lang w:val="es-419"/>
              </w:rPr>
              <w:t xml:space="preserve">y XIV de la Declaración Americana sobre Derechos y </w:t>
            </w:r>
            <w:r w:rsidR="00B91776" w:rsidRPr="00AE4154">
              <w:rPr>
                <w:rFonts w:ascii="Cambria" w:hAnsi="Cambria"/>
                <w:bCs/>
                <w:sz w:val="20"/>
                <w:szCs w:val="20"/>
                <w:lang w:val="es-419"/>
              </w:rPr>
              <w:t xml:space="preserve">Deberes </w:t>
            </w:r>
            <w:r w:rsidR="00832848" w:rsidRPr="00AE4154">
              <w:rPr>
                <w:rFonts w:ascii="Cambria" w:hAnsi="Cambria"/>
                <w:bCs/>
                <w:sz w:val="20"/>
                <w:szCs w:val="20"/>
                <w:lang w:val="es-419"/>
              </w:rPr>
              <w:t>del Hombre</w:t>
            </w:r>
            <w:r w:rsidR="00B91776" w:rsidRPr="00AE4154">
              <w:rPr>
                <w:rStyle w:val="FootnoteReference"/>
                <w:rFonts w:ascii="Cambria" w:hAnsi="Cambria"/>
                <w:bCs/>
                <w:sz w:val="20"/>
                <w:szCs w:val="20"/>
                <w:lang w:val="es-419"/>
              </w:rPr>
              <w:footnoteReference w:id="5"/>
            </w:r>
          </w:p>
        </w:tc>
      </w:tr>
    </w:tbl>
    <w:p w14:paraId="176FB213" w14:textId="1A283F2A" w:rsidR="003239B8" w:rsidRPr="00972DC4" w:rsidRDefault="003239B8" w:rsidP="006A5359">
      <w:pPr>
        <w:pStyle w:val="ListParagraph"/>
        <w:numPr>
          <w:ilvl w:val="0"/>
          <w:numId w:val="57"/>
        </w:numPr>
        <w:spacing w:before="240" w:after="240"/>
        <w:ind w:left="0" w:firstLine="720"/>
        <w:jc w:val="both"/>
        <w:rPr>
          <w:rFonts w:asciiTheme="majorHAnsi" w:hAnsiTheme="majorHAnsi"/>
          <w:b/>
          <w:bCs/>
          <w:sz w:val="20"/>
          <w:szCs w:val="20"/>
          <w:lang w:val="es-ES"/>
        </w:rPr>
      </w:pPr>
      <w:r w:rsidRPr="00972DC4">
        <w:rPr>
          <w:rFonts w:asciiTheme="majorHAnsi" w:hAnsiTheme="majorHAnsi"/>
          <w:b/>
          <w:bCs/>
          <w:sz w:val="20"/>
          <w:szCs w:val="20"/>
          <w:lang w:val="es-ES"/>
        </w:rPr>
        <w:t>TRÁMITE ANTE LA CIDH</w:t>
      </w:r>
      <w:r w:rsidR="008E3BFE" w:rsidRPr="008E3BFE">
        <w:rPr>
          <w:rStyle w:val="FootnoteReference"/>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5B1FA805" w:rsidR="004C2312" w:rsidRPr="003239B8" w:rsidRDefault="00DC2788" w:rsidP="00361A5C">
            <w:pPr>
              <w:jc w:val="both"/>
              <w:rPr>
                <w:rFonts w:ascii="Cambria" w:hAnsi="Cambria"/>
                <w:bCs/>
                <w:sz w:val="20"/>
                <w:szCs w:val="20"/>
                <w:lang w:val="es-ES"/>
              </w:rPr>
            </w:pPr>
            <w:r>
              <w:rPr>
                <w:rFonts w:ascii="Cambria" w:hAnsi="Cambria"/>
                <w:bCs/>
                <w:sz w:val="20"/>
                <w:szCs w:val="20"/>
                <w:lang w:val="es-ES"/>
              </w:rPr>
              <w:t>12 de febrero de 2015</w:t>
            </w:r>
          </w:p>
        </w:tc>
      </w:tr>
      <w:tr w:rsidR="00131425" w:rsidRPr="00DC2788"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3F760C9A" w:rsidR="00131425" w:rsidRPr="003239B8" w:rsidRDefault="00DC2788" w:rsidP="00361A5C">
            <w:pPr>
              <w:jc w:val="both"/>
              <w:rPr>
                <w:rFonts w:ascii="Cambria" w:hAnsi="Cambria"/>
                <w:bCs/>
                <w:sz w:val="20"/>
                <w:szCs w:val="20"/>
                <w:lang w:val="es-ES"/>
              </w:rPr>
            </w:pPr>
            <w:r>
              <w:rPr>
                <w:rFonts w:ascii="Cambria" w:hAnsi="Cambria"/>
                <w:bCs/>
                <w:sz w:val="20"/>
                <w:szCs w:val="20"/>
                <w:lang w:val="es-ES"/>
              </w:rPr>
              <w:t>6 de agosto de 2018</w:t>
            </w:r>
          </w:p>
        </w:tc>
      </w:tr>
      <w:tr w:rsidR="004C2312" w:rsidRPr="00DC2788"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02818DBB" w:rsidR="004C2312" w:rsidRPr="003239B8" w:rsidRDefault="00DC2788" w:rsidP="00361A5C">
            <w:pPr>
              <w:jc w:val="both"/>
              <w:rPr>
                <w:rFonts w:ascii="Cambria" w:hAnsi="Cambria"/>
                <w:bCs/>
                <w:sz w:val="20"/>
                <w:szCs w:val="20"/>
                <w:lang w:val="es-ES"/>
              </w:rPr>
            </w:pPr>
            <w:r>
              <w:rPr>
                <w:rFonts w:ascii="Cambria" w:hAnsi="Cambria"/>
                <w:bCs/>
                <w:sz w:val="20"/>
                <w:szCs w:val="20"/>
                <w:lang w:val="es-ES"/>
              </w:rPr>
              <w:t>11 de febrero de 2020</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42C4E7B3" w:rsidR="004C2312" w:rsidRPr="003239B8" w:rsidRDefault="003E1E63" w:rsidP="00361A5C">
            <w:pPr>
              <w:jc w:val="both"/>
              <w:rPr>
                <w:rFonts w:ascii="Cambria" w:hAnsi="Cambria"/>
                <w:bCs/>
                <w:sz w:val="20"/>
                <w:szCs w:val="20"/>
                <w:lang w:val="es-ES"/>
              </w:rPr>
            </w:pPr>
            <w:r>
              <w:rPr>
                <w:rFonts w:ascii="Cambria" w:hAnsi="Cambria"/>
                <w:bCs/>
                <w:sz w:val="20"/>
                <w:szCs w:val="20"/>
                <w:lang w:val="es-ES"/>
              </w:rPr>
              <w:t>7 de diciembre de 2020</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1E795C78" w:rsidR="001E49E7" w:rsidRPr="003239B8" w:rsidRDefault="003E1E63" w:rsidP="00361A5C">
            <w:pPr>
              <w:jc w:val="both"/>
              <w:rPr>
                <w:rFonts w:ascii="Cambria" w:hAnsi="Cambria"/>
                <w:bCs/>
                <w:sz w:val="20"/>
                <w:szCs w:val="20"/>
                <w:lang w:val="es-ES"/>
              </w:rPr>
            </w:pPr>
            <w:r>
              <w:rPr>
                <w:rFonts w:ascii="Cambria" w:hAnsi="Cambria"/>
                <w:bCs/>
                <w:sz w:val="20"/>
                <w:szCs w:val="20"/>
                <w:lang w:val="es-ES"/>
              </w:rPr>
              <w:t>25 de mayo de 2022</w:t>
            </w:r>
          </w:p>
        </w:tc>
      </w:tr>
      <w:tr w:rsidR="001E49E7" w:rsidRPr="00DC2788"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38F72E52" w:rsidR="001E49E7" w:rsidRPr="003239B8" w:rsidRDefault="003E1E63" w:rsidP="00361A5C">
            <w:pPr>
              <w:jc w:val="both"/>
              <w:rPr>
                <w:rFonts w:ascii="Cambria" w:hAnsi="Cambria"/>
                <w:bCs/>
                <w:sz w:val="20"/>
                <w:szCs w:val="20"/>
                <w:lang w:val="es-ES"/>
              </w:rPr>
            </w:pPr>
            <w:r>
              <w:rPr>
                <w:rFonts w:ascii="Cambria" w:hAnsi="Cambria"/>
                <w:bCs/>
                <w:sz w:val="20"/>
                <w:szCs w:val="20"/>
                <w:lang w:val="es-ES"/>
              </w:rPr>
              <w:t>7 de junio de 2022</w:t>
            </w:r>
          </w:p>
        </w:tc>
      </w:tr>
    </w:tbl>
    <w:p w14:paraId="0FC6E9E8" w14:textId="3D2A7405" w:rsidR="003239B8" w:rsidRPr="00972DC4" w:rsidRDefault="003239B8" w:rsidP="006A5359">
      <w:pPr>
        <w:pStyle w:val="ListParagraph"/>
        <w:numPr>
          <w:ilvl w:val="0"/>
          <w:numId w:val="57"/>
        </w:numPr>
        <w:spacing w:before="240" w:after="240"/>
        <w:ind w:left="0" w:firstLine="720"/>
        <w:jc w:val="both"/>
        <w:rPr>
          <w:rFonts w:asciiTheme="majorHAnsi" w:hAnsiTheme="majorHAnsi"/>
          <w:b/>
          <w:bCs/>
          <w:sz w:val="20"/>
          <w:szCs w:val="20"/>
          <w:lang w:val="es-ES"/>
        </w:rPr>
      </w:pPr>
      <w:r w:rsidRPr="00972DC4">
        <w:rPr>
          <w:rFonts w:asciiTheme="majorHAnsi" w:hAnsiTheme="majorHAnsi"/>
          <w:b/>
          <w:bCs/>
          <w:sz w:val="20"/>
          <w:szCs w:val="20"/>
          <w:lang w:val="es-ES"/>
        </w:rPr>
        <w:t>COMPETENCIA</w:t>
      </w:r>
      <w:r w:rsidR="00EE00E9" w:rsidRPr="00972DC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361A5C">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7000EC55" w:rsidR="003239B8" w:rsidRPr="00715E83" w:rsidRDefault="00715E83" w:rsidP="00361A5C">
            <w:pPr>
              <w:rPr>
                <w:rFonts w:ascii="Cambria" w:hAnsi="Cambria"/>
                <w:bCs/>
                <w:sz w:val="20"/>
                <w:szCs w:val="20"/>
                <w:lang w:val="es-419"/>
              </w:rPr>
            </w:pPr>
            <w:r w:rsidRPr="00715E83">
              <w:rPr>
                <w:rFonts w:ascii="Cambria" w:hAnsi="Cambria"/>
                <w:bCs/>
                <w:sz w:val="20"/>
                <w:szCs w:val="20"/>
                <w:lang w:val="es-419"/>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361A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77F15D66" w:rsidR="003239B8" w:rsidRPr="00715E83" w:rsidRDefault="00715E83" w:rsidP="00361A5C">
            <w:pPr>
              <w:rPr>
                <w:rFonts w:ascii="Cambria" w:hAnsi="Cambria"/>
                <w:bCs/>
                <w:sz w:val="20"/>
                <w:szCs w:val="20"/>
                <w:lang w:val="es-419"/>
              </w:rPr>
            </w:pPr>
            <w:r w:rsidRPr="00715E83">
              <w:rPr>
                <w:rFonts w:ascii="Cambria" w:hAnsi="Cambria"/>
                <w:bCs/>
                <w:sz w:val="20"/>
                <w:szCs w:val="20"/>
                <w:lang w:val="es-419"/>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361A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65F71B66" w:rsidR="003239B8" w:rsidRPr="00715E83" w:rsidRDefault="00715E83" w:rsidP="00361A5C">
            <w:pPr>
              <w:rPr>
                <w:rFonts w:ascii="Cambria" w:hAnsi="Cambria"/>
                <w:bCs/>
                <w:sz w:val="20"/>
                <w:szCs w:val="20"/>
                <w:lang w:val="es-419"/>
              </w:rPr>
            </w:pPr>
            <w:r w:rsidRPr="00715E83">
              <w:rPr>
                <w:rFonts w:ascii="Cambria" w:hAnsi="Cambria"/>
                <w:bCs/>
                <w:sz w:val="20"/>
                <w:szCs w:val="20"/>
                <w:lang w:val="es-419"/>
              </w:rPr>
              <w:t>Sí</w:t>
            </w:r>
          </w:p>
        </w:tc>
      </w:tr>
      <w:tr w:rsidR="003239B8" w:rsidRPr="00F9068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361A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2DE025D3" w:rsidR="003239B8" w:rsidRPr="00B3745F" w:rsidRDefault="00715E83" w:rsidP="00361A5C">
            <w:pPr>
              <w:jc w:val="both"/>
              <w:rPr>
                <w:rFonts w:ascii="Cambria" w:hAnsi="Cambria"/>
                <w:bCs/>
                <w:sz w:val="20"/>
                <w:szCs w:val="20"/>
                <w:lang w:val="es-ES"/>
              </w:rPr>
            </w:pPr>
            <w:r>
              <w:rPr>
                <w:rFonts w:ascii="Cambria" w:hAnsi="Cambria"/>
                <w:bCs/>
                <w:sz w:val="20"/>
                <w:szCs w:val="20"/>
                <w:lang w:val="es-ES"/>
              </w:rPr>
              <w:t>Sí</w:t>
            </w:r>
            <w:r w:rsidRPr="005133A0">
              <w:rPr>
                <w:rFonts w:ascii="Cambria" w:hAnsi="Cambria"/>
                <w:bCs/>
                <w:sz w:val="20"/>
                <w:szCs w:val="20"/>
                <w:lang w:val="es-ES"/>
              </w:rPr>
              <w:t xml:space="preserve">, Convención Americana (depósito de instrumento de ratificación realizado el </w:t>
            </w:r>
            <w:r w:rsidR="005133A0" w:rsidRPr="005133A0">
              <w:rPr>
                <w:rFonts w:ascii="Cambria" w:hAnsi="Cambria"/>
                <w:bCs/>
                <w:sz w:val="20"/>
                <w:szCs w:val="20"/>
                <w:lang w:val="es-ES"/>
              </w:rPr>
              <w:t>22 de junio de 1978</w:t>
            </w:r>
            <w:r w:rsidRPr="005133A0">
              <w:rPr>
                <w:rFonts w:ascii="Cambria" w:hAnsi="Cambria"/>
                <w:bCs/>
                <w:sz w:val="20"/>
                <w:szCs w:val="20"/>
                <w:lang w:val="es-ES"/>
              </w:rPr>
              <w:t>)</w:t>
            </w:r>
          </w:p>
        </w:tc>
      </w:tr>
    </w:tbl>
    <w:p w14:paraId="299A3868" w14:textId="2193F2D4" w:rsidR="003239B8" w:rsidRPr="00972DC4" w:rsidRDefault="00EE00E9" w:rsidP="006A5359">
      <w:pPr>
        <w:pStyle w:val="ListParagraph"/>
        <w:numPr>
          <w:ilvl w:val="0"/>
          <w:numId w:val="57"/>
        </w:numPr>
        <w:spacing w:before="240" w:after="240"/>
        <w:ind w:left="0" w:firstLine="720"/>
        <w:jc w:val="both"/>
        <w:rPr>
          <w:rFonts w:asciiTheme="majorHAnsi" w:hAnsiTheme="majorHAnsi"/>
          <w:b/>
          <w:bCs/>
          <w:sz w:val="20"/>
          <w:szCs w:val="20"/>
          <w:lang w:val="es-ES"/>
        </w:rPr>
      </w:pPr>
      <w:r w:rsidRPr="00972DC4">
        <w:rPr>
          <w:rFonts w:asciiTheme="majorHAnsi" w:hAnsiTheme="majorHAnsi"/>
          <w:b/>
          <w:bCs/>
          <w:sz w:val="20"/>
          <w:szCs w:val="20"/>
          <w:lang w:val="es-ES"/>
        </w:rPr>
        <w:t>DUPLICACIÓN</w:t>
      </w:r>
      <w:r w:rsidRPr="00972DC4">
        <w:rPr>
          <w:rFonts w:asciiTheme="majorHAnsi" w:hAnsiTheme="majorHAnsi"/>
          <w:b/>
          <w:bCs/>
          <w:color w:val="FFFFFF" w:themeColor="background1"/>
          <w:sz w:val="20"/>
          <w:szCs w:val="20"/>
          <w:lang w:val="es-ES"/>
        </w:rPr>
        <w:t xml:space="preserve"> </w:t>
      </w:r>
      <w:r w:rsidRPr="00972DC4">
        <w:rPr>
          <w:rFonts w:asciiTheme="majorHAnsi" w:hAnsiTheme="majorHAnsi"/>
          <w:b/>
          <w:bCs/>
          <w:sz w:val="20"/>
          <w:szCs w:val="20"/>
          <w:lang w:val="es-ES"/>
        </w:rPr>
        <w:t>DE PROCEDIMIENTOS Y COSA JUZGADA</w:t>
      </w:r>
      <w:r w:rsidRPr="00972DC4">
        <w:rPr>
          <w:rFonts w:asciiTheme="majorHAnsi" w:hAnsiTheme="majorHAnsi"/>
          <w:b/>
          <w:bCs/>
          <w:i/>
          <w:sz w:val="20"/>
          <w:szCs w:val="20"/>
          <w:lang w:val="es-ES"/>
        </w:rPr>
        <w:t xml:space="preserve"> </w:t>
      </w:r>
      <w:r w:rsidRPr="00972DC4">
        <w:rPr>
          <w:rFonts w:asciiTheme="majorHAnsi" w:hAnsiTheme="majorHAnsi"/>
          <w:b/>
          <w:bCs/>
          <w:sz w:val="20"/>
          <w:szCs w:val="20"/>
          <w:lang w:val="es-ES"/>
        </w:rPr>
        <w:t xml:space="preserve">INTERNACIONAL, </w:t>
      </w:r>
      <w:r w:rsidR="003239B8" w:rsidRPr="00972DC4">
        <w:rPr>
          <w:rFonts w:asciiTheme="majorHAnsi" w:hAnsiTheme="majorHAnsi"/>
          <w:b/>
          <w:bCs/>
          <w:sz w:val="20"/>
          <w:szCs w:val="20"/>
          <w:lang w:val="es-ES"/>
        </w:rPr>
        <w:t xml:space="preserve">CARACTERIZACIÓN, </w:t>
      </w:r>
      <w:r w:rsidR="003239B8" w:rsidRPr="00972DC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C2788"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361A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1EF2BC33" w:rsidR="00EE00E9" w:rsidRPr="00DC24E3" w:rsidRDefault="00715E83" w:rsidP="00361A5C">
            <w:pPr>
              <w:jc w:val="both"/>
              <w:rPr>
                <w:rFonts w:ascii="Cambria" w:hAnsi="Cambria"/>
                <w:bCs/>
                <w:sz w:val="20"/>
                <w:szCs w:val="20"/>
                <w:lang w:val="es-ES"/>
              </w:rPr>
            </w:pPr>
            <w:r>
              <w:rPr>
                <w:rFonts w:ascii="Cambria" w:hAnsi="Cambria"/>
                <w:bCs/>
                <w:sz w:val="20"/>
                <w:szCs w:val="20"/>
                <w:lang w:val="es-ES"/>
              </w:rPr>
              <w:t>No</w:t>
            </w:r>
          </w:p>
        </w:tc>
      </w:tr>
      <w:tr w:rsidR="003239B8" w:rsidRPr="00F9068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361A5C">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7F1899AA" w:rsidR="003239B8" w:rsidRPr="000B63E8" w:rsidRDefault="00EC341F" w:rsidP="00361A5C">
            <w:pPr>
              <w:jc w:val="both"/>
              <w:rPr>
                <w:rFonts w:ascii="Cambria" w:hAnsi="Cambria"/>
                <w:bCs/>
                <w:sz w:val="20"/>
                <w:szCs w:val="20"/>
                <w:lang w:val="es-419"/>
              </w:rPr>
            </w:pPr>
            <w:r w:rsidRPr="00AE4154">
              <w:rPr>
                <w:rFonts w:ascii="Cambria" w:hAnsi="Cambria"/>
                <w:bCs/>
                <w:sz w:val="20"/>
                <w:szCs w:val="20"/>
                <w:lang w:val="es-419"/>
              </w:rPr>
              <w:t xml:space="preserve">Artículos 4 (vida), 5 (integridad personal), 7 (libertad personal), 8 (garantías judiciales), 12 (libertad de religión), 17 (protección a la familia), 19 (derechos del niño), </w:t>
            </w:r>
            <w:r w:rsidR="00F3196C" w:rsidRPr="00BA2B09">
              <w:rPr>
                <w:rFonts w:ascii="Cambria" w:hAnsi="Cambria"/>
                <w:bCs/>
                <w:sz w:val="20"/>
                <w:szCs w:val="20"/>
                <w:lang w:val="es-419"/>
              </w:rPr>
              <w:t>22 (</w:t>
            </w:r>
            <w:r w:rsidR="00BA2B09">
              <w:rPr>
                <w:rFonts w:ascii="Cambria" w:hAnsi="Cambria"/>
                <w:bCs/>
                <w:sz w:val="20"/>
                <w:szCs w:val="20"/>
                <w:lang w:val="es-419"/>
              </w:rPr>
              <w:t xml:space="preserve">circulación </w:t>
            </w:r>
            <w:r w:rsidR="00BA2B09" w:rsidRPr="00BA2B09">
              <w:rPr>
                <w:rFonts w:ascii="Cambria" w:hAnsi="Cambria"/>
                <w:bCs/>
                <w:sz w:val="20"/>
                <w:szCs w:val="20"/>
                <w:lang w:val="es-VE"/>
              </w:rPr>
              <w:t xml:space="preserve">y de </w:t>
            </w:r>
            <w:r w:rsidR="00BA2B09">
              <w:rPr>
                <w:rFonts w:ascii="Cambria" w:hAnsi="Cambria"/>
                <w:bCs/>
                <w:sz w:val="20"/>
                <w:szCs w:val="20"/>
                <w:lang w:val="es-VE"/>
              </w:rPr>
              <w:t>r</w:t>
            </w:r>
            <w:r w:rsidR="00BA2B09" w:rsidRPr="00BA2B09">
              <w:rPr>
                <w:rFonts w:ascii="Cambria" w:hAnsi="Cambria"/>
                <w:bCs/>
                <w:sz w:val="20"/>
                <w:szCs w:val="20"/>
                <w:lang w:val="es-VE"/>
              </w:rPr>
              <w:t>esidencia</w:t>
            </w:r>
            <w:r w:rsidR="00F3196C" w:rsidRPr="00BA2B09">
              <w:rPr>
                <w:rFonts w:ascii="Cambria" w:hAnsi="Cambria"/>
                <w:bCs/>
                <w:sz w:val="20"/>
                <w:szCs w:val="20"/>
                <w:lang w:val="es-419"/>
              </w:rPr>
              <w:t xml:space="preserve">), </w:t>
            </w:r>
            <w:r w:rsidRPr="00BA2B09">
              <w:rPr>
                <w:rFonts w:ascii="Cambria" w:hAnsi="Cambria"/>
                <w:bCs/>
                <w:sz w:val="20"/>
                <w:szCs w:val="20"/>
                <w:lang w:val="es-419"/>
              </w:rPr>
              <w:t xml:space="preserve">24 </w:t>
            </w:r>
            <w:r w:rsidRPr="00AE4154">
              <w:rPr>
                <w:rFonts w:ascii="Cambria" w:hAnsi="Cambria"/>
                <w:bCs/>
                <w:sz w:val="20"/>
                <w:szCs w:val="20"/>
                <w:lang w:val="es-419"/>
              </w:rPr>
              <w:t>(igualdad ante la ley)</w:t>
            </w:r>
            <w:r>
              <w:rPr>
                <w:rFonts w:ascii="Cambria" w:hAnsi="Cambria"/>
                <w:bCs/>
                <w:sz w:val="20"/>
                <w:szCs w:val="20"/>
                <w:lang w:val="es-419"/>
              </w:rPr>
              <w:t>,</w:t>
            </w:r>
            <w:r w:rsidRPr="00AE4154">
              <w:rPr>
                <w:rFonts w:ascii="Cambria" w:hAnsi="Cambria"/>
                <w:bCs/>
                <w:sz w:val="20"/>
                <w:szCs w:val="20"/>
                <w:lang w:val="es-419"/>
              </w:rPr>
              <w:t xml:space="preserve"> 25 (protección judicial) </w:t>
            </w:r>
            <w:r>
              <w:rPr>
                <w:rFonts w:ascii="Cambria" w:hAnsi="Cambria"/>
                <w:bCs/>
                <w:sz w:val="20"/>
                <w:szCs w:val="20"/>
                <w:lang w:val="es-419"/>
              </w:rPr>
              <w:t xml:space="preserve">y 26 (derechos económicos, sociales y culturales) </w:t>
            </w:r>
            <w:r w:rsidRPr="00AE4154">
              <w:rPr>
                <w:rFonts w:ascii="Cambria" w:hAnsi="Cambria"/>
                <w:bCs/>
                <w:sz w:val="20"/>
                <w:szCs w:val="20"/>
                <w:lang w:val="es-419"/>
              </w:rPr>
              <w:t>de la Convención Americana</w:t>
            </w:r>
            <w:r>
              <w:rPr>
                <w:rFonts w:ascii="Cambria" w:hAnsi="Cambria"/>
                <w:bCs/>
                <w:sz w:val="20"/>
                <w:szCs w:val="20"/>
                <w:lang w:val="es-419"/>
              </w:rPr>
              <w:t>,</w:t>
            </w:r>
            <w:r w:rsidRPr="00AE4154">
              <w:rPr>
                <w:rFonts w:ascii="Cambria" w:hAnsi="Cambria"/>
                <w:bCs/>
                <w:sz w:val="20"/>
                <w:szCs w:val="20"/>
                <w:lang w:val="es-419"/>
              </w:rPr>
              <w:t xml:space="preserve"> con relación </w:t>
            </w:r>
            <w:r>
              <w:rPr>
                <w:rFonts w:ascii="Cambria" w:hAnsi="Cambria"/>
                <w:bCs/>
                <w:sz w:val="20"/>
                <w:szCs w:val="20"/>
                <w:lang w:val="es-419"/>
              </w:rPr>
              <w:t>sus</w:t>
            </w:r>
            <w:r w:rsidRPr="00AE4154">
              <w:rPr>
                <w:rFonts w:ascii="Cambria" w:hAnsi="Cambria"/>
                <w:bCs/>
                <w:sz w:val="20"/>
                <w:szCs w:val="20"/>
                <w:lang w:val="es-419"/>
              </w:rPr>
              <w:t xml:space="preserve"> artículos </w:t>
            </w:r>
            <w:r w:rsidRPr="00AE4154">
              <w:rPr>
                <w:rFonts w:ascii="Cambria" w:hAnsi="Cambria"/>
                <w:bCs/>
                <w:sz w:val="20"/>
                <w:szCs w:val="20"/>
                <w:lang w:val="es-ES"/>
              </w:rPr>
              <w:t>artículo 1.1 (obligación de respetar los derechos)</w:t>
            </w:r>
            <w:r w:rsidRPr="00AE4154">
              <w:rPr>
                <w:rFonts w:ascii="Cambria" w:hAnsi="Cambria"/>
                <w:bCs/>
                <w:sz w:val="20"/>
                <w:szCs w:val="20"/>
                <w:lang w:val="es-419"/>
              </w:rPr>
              <w:t xml:space="preserve"> y 2 (deber de adoptar disposiciones de derecho interno) </w:t>
            </w:r>
          </w:p>
        </w:tc>
      </w:tr>
      <w:tr w:rsidR="003239B8" w:rsidRPr="00F9068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361A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6420B267" w:rsidR="003239B8" w:rsidRPr="00DC24E3" w:rsidRDefault="00B91776" w:rsidP="00361A5C">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F9068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361A5C">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33FE29A7" w:rsidR="003239B8" w:rsidRPr="00B91776" w:rsidRDefault="00B91776" w:rsidP="00361A5C">
            <w:pPr>
              <w:rPr>
                <w:rFonts w:ascii="Cambria" w:hAnsi="Cambria"/>
                <w:bCs/>
                <w:sz w:val="20"/>
                <w:szCs w:val="20"/>
                <w:lang w:val="es-419"/>
              </w:rPr>
            </w:pPr>
            <w:r>
              <w:rPr>
                <w:rFonts w:ascii="Cambria" w:hAnsi="Cambria"/>
                <w:bCs/>
                <w:sz w:val="20"/>
                <w:szCs w:val="20"/>
                <w:lang w:val="es-ES"/>
              </w:rPr>
              <w:t>Sí, en los términos de la Sección VI</w:t>
            </w:r>
          </w:p>
        </w:tc>
      </w:tr>
    </w:tbl>
    <w:p w14:paraId="56FD5D57" w14:textId="6B76F7AF" w:rsidR="003239B8" w:rsidRPr="004C0EA1" w:rsidRDefault="004241A0" w:rsidP="006A5359">
      <w:pPr>
        <w:pStyle w:val="ListParagraph"/>
        <w:numPr>
          <w:ilvl w:val="0"/>
          <w:numId w:val="57"/>
        </w:numPr>
        <w:spacing w:before="240" w:after="240"/>
        <w:ind w:left="0" w:firstLine="720"/>
        <w:jc w:val="both"/>
        <w:rPr>
          <w:rFonts w:asciiTheme="majorHAnsi" w:hAnsiTheme="majorHAnsi"/>
          <w:b/>
          <w:sz w:val="20"/>
          <w:szCs w:val="20"/>
          <w:lang w:val="es-ES_tradnl"/>
        </w:rPr>
      </w:pPr>
      <w:r w:rsidRPr="004C0EA1">
        <w:rPr>
          <w:rFonts w:asciiTheme="majorHAnsi" w:hAnsiTheme="majorHAnsi"/>
          <w:b/>
          <w:sz w:val="20"/>
          <w:szCs w:val="20"/>
          <w:lang w:val="es-ES_tradnl"/>
        </w:rPr>
        <w:t>POSICIÓN DE LAS PARTES</w:t>
      </w:r>
      <w:r w:rsidR="003239B8" w:rsidRPr="004C0EA1">
        <w:rPr>
          <w:rFonts w:asciiTheme="majorHAnsi" w:hAnsiTheme="majorHAnsi"/>
          <w:b/>
          <w:sz w:val="20"/>
          <w:szCs w:val="20"/>
          <w:lang w:val="es-ES_tradnl"/>
        </w:rPr>
        <w:t xml:space="preserve"> </w:t>
      </w:r>
    </w:p>
    <w:p w14:paraId="3AD2570D" w14:textId="509F5C2E" w:rsidR="00C2103D" w:rsidRPr="00EF75F1" w:rsidRDefault="00C6413E" w:rsidP="00EF75F1">
      <w:pPr>
        <w:pStyle w:val="ListParagraph"/>
        <w:numPr>
          <w:ilvl w:val="0"/>
          <w:numId w:val="56"/>
        </w:numPr>
        <w:ind w:left="0" w:firstLine="720"/>
        <w:jc w:val="both"/>
        <w:rPr>
          <w:bCs/>
          <w:sz w:val="20"/>
          <w:szCs w:val="20"/>
          <w:lang w:val="es-ES_tradnl"/>
        </w:rPr>
      </w:pPr>
      <w:r w:rsidRPr="004C0EA1">
        <w:rPr>
          <w:bCs/>
          <w:sz w:val="20"/>
          <w:szCs w:val="20"/>
          <w:lang w:val="es-ES_tradnl"/>
        </w:rPr>
        <w:t xml:space="preserve">La parte peticionaria alega la responsabilidad internacional del Estado panameño </w:t>
      </w:r>
      <w:r w:rsidR="00904BBB" w:rsidRPr="004C0EA1">
        <w:rPr>
          <w:bCs/>
          <w:sz w:val="20"/>
          <w:szCs w:val="20"/>
          <w:lang w:val="es-ES_tradnl"/>
        </w:rPr>
        <w:t>e</w:t>
      </w:r>
      <w:r w:rsidR="00F25DC8" w:rsidRPr="004C0EA1">
        <w:rPr>
          <w:bCs/>
          <w:sz w:val="20"/>
          <w:szCs w:val="20"/>
          <w:lang w:val="es-ES_tradnl"/>
        </w:rPr>
        <w:t xml:space="preserve">n relación </w:t>
      </w:r>
      <w:r w:rsidR="00904BBB" w:rsidRPr="004C0EA1">
        <w:rPr>
          <w:bCs/>
          <w:sz w:val="20"/>
          <w:szCs w:val="20"/>
          <w:lang w:val="es-ES_tradnl"/>
        </w:rPr>
        <w:t>con</w:t>
      </w:r>
      <w:r w:rsidRPr="004C0EA1">
        <w:rPr>
          <w:bCs/>
          <w:sz w:val="20"/>
          <w:szCs w:val="20"/>
          <w:lang w:val="es-ES_tradnl"/>
        </w:rPr>
        <w:t xml:space="preserve"> </w:t>
      </w:r>
      <w:r w:rsidR="00904BBB" w:rsidRPr="004C0EA1">
        <w:rPr>
          <w:bCs/>
          <w:sz w:val="20"/>
          <w:szCs w:val="20"/>
          <w:lang w:val="es-ES_tradnl"/>
        </w:rPr>
        <w:t xml:space="preserve">el homicidio </w:t>
      </w:r>
      <w:r w:rsidRPr="004C0EA1">
        <w:rPr>
          <w:bCs/>
          <w:sz w:val="20"/>
          <w:szCs w:val="20"/>
          <w:lang w:val="es-ES_tradnl"/>
        </w:rPr>
        <w:t xml:space="preserve">de </w:t>
      </w:r>
      <w:r w:rsidR="00F25DC8" w:rsidRPr="004C0EA1">
        <w:rPr>
          <w:bCs/>
          <w:sz w:val="20"/>
          <w:szCs w:val="20"/>
          <w:lang w:val="es-ES_tradnl"/>
        </w:rPr>
        <w:t>Luis Enrique Mart</w:t>
      </w:r>
      <w:r w:rsidR="001E7213" w:rsidRPr="004C0EA1">
        <w:rPr>
          <w:bCs/>
          <w:sz w:val="20"/>
          <w:szCs w:val="20"/>
          <w:lang w:val="es-ES_tradnl"/>
        </w:rPr>
        <w:t>í</w:t>
      </w:r>
      <w:r w:rsidR="00F25DC8" w:rsidRPr="004C0EA1">
        <w:rPr>
          <w:bCs/>
          <w:sz w:val="20"/>
          <w:szCs w:val="20"/>
          <w:lang w:val="es-ES_tradnl"/>
        </w:rPr>
        <w:t xml:space="preserve">nez Ayala, </w:t>
      </w:r>
      <w:r w:rsidR="00F25DC8" w:rsidRPr="004C0EA1">
        <w:rPr>
          <w:bCs/>
          <w:color w:val="auto"/>
          <w:sz w:val="20"/>
          <w:szCs w:val="20"/>
          <w:lang w:val="es-ES_tradnl"/>
        </w:rPr>
        <w:t>Sagla Ernesto Ayala, San Pascual Ayala</w:t>
      </w:r>
      <w:r w:rsidR="00FF7D39" w:rsidRPr="004C0EA1">
        <w:rPr>
          <w:bCs/>
          <w:color w:val="auto"/>
          <w:sz w:val="20"/>
          <w:szCs w:val="20"/>
          <w:lang w:val="es-ES_tradnl"/>
        </w:rPr>
        <w:t xml:space="preserve"> </w:t>
      </w:r>
      <w:r w:rsidR="001E7213" w:rsidRPr="004C0EA1">
        <w:rPr>
          <w:bCs/>
          <w:color w:val="auto"/>
          <w:sz w:val="20"/>
          <w:szCs w:val="20"/>
          <w:lang w:val="es-ES_tradnl"/>
        </w:rPr>
        <w:t>Gutiérrez</w:t>
      </w:r>
      <w:r w:rsidR="00F40CEF" w:rsidRPr="004C0EA1">
        <w:rPr>
          <w:bCs/>
          <w:color w:val="auto"/>
          <w:sz w:val="20"/>
          <w:szCs w:val="20"/>
          <w:lang w:val="es-ES_tradnl"/>
        </w:rPr>
        <w:t xml:space="preserve"> </w:t>
      </w:r>
      <w:r w:rsidR="001E7213" w:rsidRPr="004C0EA1">
        <w:rPr>
          <w:bCs/>
          <w:color w:val="auto"/>
          <w:sz w:val="20"/>
          <w:szCs w:val="20"/>
          <w:lang w:val="es-ES_tradnl"/>
        </w:rPr>
        <w:t xml:space="preserve">y </w:t>
      </w:r>
      <w:r w:rsidR="00F25DC8" w:rsidRPr="004C0EA1">
        <w:rPr>
          <w:bCs/>
          <w:color w:val="auto"/>
          <w:sz w:val="20"/>
          <w:szCs w:val="20"/>
          <w:lang w:val="es-ES_tradnl"/>
        </w:rPr>
        <w:t>Gilberto Vásquez</w:t>
      </w:r>
      <w:r w:rsidR="001C79BE" w:rsidRPr="004C0EA1">
        <w:rPr>
          <w:bCs/>
          <w:color w:val="auto"/>
          <w:sz w:val="20"/>
          <w:szCs w:val="20"/>
          <w:lang w:val="es-ES_tradnl"/>
        </w:rPr>
        <w:t>,</w:t>
      </w:r>
      <w:r w:rsidR="00E423F4" w:rsidRPr="004C0EA1">
        <w:rPr>
          <w:bCs/>
          <w:color w:val="auto"/>
          <w:sz w:val="20"/>
          <w:szCs w:val="20"/>
          <w:lang w:val="es-ES_tradnl"/>
        </w:rPr>
        <w:t xml:space="preserve"> </w:t>
      </w:r>
      <w:r w:rsidR="001C79BE" w:rsidRPr="004C0EA1">
        <w:rPr>
          <w:bCs/>
          <w:color w:val="auto"/>
          <w:sz w:val="20"/>
          <w:szCs w:val="20"/>
          <w:lang w:val="es-ES_tradnl"/>
        </w:rPr>
        <w:t xml:space="preserve">así como </w:t>
      </w:r>
      <w:r w:rsidR="00E423F4" w:rsidRPr="004C0EA1">
        <w:rPr>
          <w:bCs/>
          <w:color w:val="auto"/>
          <w:sz w:val="20"/>
          <w:szCs w:val="20"/>
          <w:lang w:val="es-ES_tradnl"/>
        </w:rPr>
        <w:t>las lesiones sufridas po</w:t>
      </w:r>
      <w:r w:rsidR="002862F0">
        <w:rPr>
          <w:bCs/>
          <w:color w:val="auto"/>
          <w:sz w:val="20"/>
          <w:szCs w:val="20"/>
          <w:lang w:val="es-ES_tradnl"/>
        </w:rPr>
        <w:t>r</w:t>
      </w:r>
      <w:r w:rsidR="00E423F4" w:rsidRPr="004C0EA1">
        <w:rPr>
          <w:bCs/>
          <w:color w:val="auto"/>
          <w:sz w:val="20"/>
          <w:szCs w:val="20"/>
          <w:lang w:val="es-ES_tradnl"/>
        </w:rPr>
        <w:t xml:space="preserve"> Casildo Ayala</w:t>
      </w:r>
      <w:r w:rsidR="00535922" w:rsidRPr="004C0EA1">
        <w:rPr>
          <w:bCs/>
          <w:color w:val="auto"/>
          <w:sz w:val="20"/>
          <w:szCs w:val="20"/>
          <w:lang w:val="es-ES_tradnl"/>
        </w:rPr>
        <w:t xml:space="preserve"> </w:t>
      </w:r>
      <w:r w:rsidR="00FF7D39" w:rsidRPr="004C0EA1">
        <w:rPr>
          <w:bCs/>
          <w:color w:val="auto"/>
          <w:sz w:val="20"/>
          <w:szCs w:val="20"/>
          <w:lang w:val="es-ES_tradnl"/>
        </w:rPr>
        <w:t>Ayala</w:t>
      </w:r>
      <w:r w:rsidR="001C79BE" w:rsidRPr="004C0EA1">
        <w:rPr>
          <w:bCs/>
          <w:color w:val="auto"/>
          <w:sz w:val="20"/>
          <w:szCs w:val="20"/>
          <w:lang w:val="es-ES_tradnl"/>
        </w:rPr>
        <w:t xml:space="preserve">: </w:t>
      </w:r>
      <w:r w:rsidR="00FF7D39" w:rsidRPr="004C0EA1">
        <w:rPr>
          <w:bCs/>
          <w:color w:val="auto"/>
          <w:sz w:val="20"/>
          <w:szCs w:val="20"/>
          <w:lang w:val="es-ES_tradnl"/>
        </w:rPr>
        <w:t>todos miembros de la</w:t>
      </w:r>
      <w:r w:rsidR="00BA47CA" w:rsidRPr="004C0EA1">
        <w:rPr>
          <w:bCs/>
          <w:color w:val="auto"/>
          <w:sz w:val="20"/>
          <w:szCs w:val="20"/>
          <w:lang w:val="es-ES_tradnl"/>
        </w:rPr>
        <w:t>s</w:t>
      </w:r>
      <w:r w:rsidR="00FF7D39" w:rsidRPr="004C0EA1">
        <w:rPr>
          <w:bCs/>
          <w:color w:val="auto"/>
          <w:sz w:val="20"/>
          <w:szCs w:val="20"/>
          <w:lang w:val="es-ES_tradnl"/>
        </w:rPr>
        <w:t xml:space="preserve"> comunidad</w:t>
      </w:r>
      <w:r w:rsidR="00BA47CA" w:rsidRPr="004C0EA1">
        <w:rPr>
          <w:bCs/>
          <w:color w:val="auto"/>
          <w:sz w:val="20"/>
          <w:szCs w:val="20"/>
          <w:lang w:val="es-ES_tradnl"/>
        </w:rPr>
        <w:t xml:space="preserve">es indígenas </w:t>
      </w:r>
      <w:r w:rsidR="00FF7D39" w:rsidRPr="004C0EA1">
        <w:rPr>
          <w:bCs/>
          <w:color w:val="auto"/>
          <w:sz w:val="20"/>
          <w:szCs w:val="20"/>
          <w:lang w:val="es-ES_tradnl"/>
        </w:rPr>
        <w:t>Kunas de Paya y Púcuro</w:t>
      </w:r>
      <w:r w:rsidR="00CE3371" w:rsidRPr="004C0EA1">
        <w:rPr>
          <w:bCs/>
          <w:color w:val="auto"/>
          <w:sz w:val="20"/>
          <w:szCs w:val="20"/>
          <w:lang w:val="es-ES_tradnl"/>
        </w:rPr>
        <w:t xml:space="preserve"> (también referido como “Púcuru”)</w:t>
      </w:r>
      <w:r w:rsidR="00693EE9" w:rsidRPr="004C0EA1">
        <w:rPr>
          <w:sz w:val="20"/>
          <w:szCs w:val="20"/>
          <w:lang w:val="es-ES_tradnl"/>
        </w:rPr>
        <w:t>. Asimismo, la parte peticionaria argumenta que, debido a estos hechos</w:t>
      </w:r>
      <w:r w:rsidR="00E733AD" w:rsidRPr="004C0EA1">
        <w:rPr>
          <w:sz w:val="20"/>
          <w:szCs w:val="20"/>
          <w:lang w:val="es-ES_tradnl"/>
        </w:rPr>
        <w:t xml:space="preserve"> </w:t>
      </w:r>
      <w:r w:rsidR="00733F00" w:rsidRPr="004C0EA1">
        <w:rPr>
          <w:sz w:val="20"/>
          <w:szCs w:val="20"/>
          <w:lang w:val="es-ES_tradnl"/>
        </w:rPr>
        <w:t xml:space="preserve">a los cuales refiere como </w:t>
      </w:r>
      <w:r w:rsidR="00E733AD" w:rsidRPr="004C0EA1">
        <w:rPr>
          <w:sz w:val="20"/>
          <w:szCs w:val="20"/>
          <w:lang w:val="es-ES_tradnl"/>
        </w:rPr>
        <w:t>“la masacre de paya”</w:t>
      </w:r>
      <w:r w:rsidR="00693EE9" w:rsidRPr="004C0EA1">
        <w:rPr>
          <w:sz w:val="20"/>
          <w:szCs w:val="20"/>
          <w:lang w:val="es-ES_tradnl"/>
        </w:rPr>
        <w:t>,</w:t>
      </w:r>
      <w:r w:rsidR="00A077EF" w:rsidRPr="004C0EA1">
        <w:rPr>
          <w:bCs/>
          <w:color w:val="auto"/>
          <w:sz w:val="20"/>
          <w:szCs w:val="20"/>
          <w:lang w:val="es-ES_tradnl"/>
        </w:rPr>
        <w:t xml:space="preserve"> </w:t>
      </w:r>
      <w:r w:rsidR="00693EE9" w:rsidRPr="004C0EA1">
        <w:rPr>
          <w:bCs/>
          <w:color w:val="auto"/>
          <w:sz w:val="20"/>
          <w:szCs w:val="20"/>
          <w:lang w:val="es-ES_tradnl"/>
        </w:rPr>
        <w:t xml:space="preserve">las </w:t>
      </w:r>
      <w:r w:rsidR="00A077EF" w:rsidRPr="004C0EA1">
        <w:rPr>
          <w:bCs/>
          <w:color w:val="auto"/>
          <w:sz w:val="20"/>
          <w:szCs w:val="20"/>
          <w:lang w:val="es-ES_tradnl"/>
        </w:rPr>
        <w:t xml:space="preserve">comunidades </w:t>
      </w:r>
      <w:r w:rsidR="00733F00" w:rsidRPr="004C0EA1">
        <w:rPr>
          <w:bCs/>
          <w:color w:val="auto"/>
          <w:sz w:val="20"/>
          <w:szCs w:val="20"/>
          <w:lang w:val="es-ES_tradnl"/>
        </w:rPr>
        <w:t>k</w:t>
      </w:r>
      <w:r w:rsidR="00A077EF" w:rsidRPr="004C0EA1">
        <w:rPr>
          <w:bCs/>
          <w:color w:val="auto"/>
          <w:sz w:val="20"/>
          <w:szCs w:val="20"/>
          <w:lang w:val="es-ES_tradnl"/>
        </w:rPr>
        <w:t xml:space="preserve">unas </w:t>
      </w:r>
      <w:r w:rsidR="00E733AD" w:rsidRPr="004C0EA1">
        <w:rPr>
          <w:bCs/>
          <w:color w:val="auto"/>
          <w:sz w:val="20"/>
          <w:szCs w:val="20"/>
          <w:lang w:val="es-ES_tradnl"/>
        </w:rPr>
        <w:t xml:space="preserve">de Paya y Púcuro </w:t>
      </w:r>
      <w:r w:rsidR="00693EE9" w:rsidRPr="004C0EA1">
        <w:rPr>
          <w:bCs/>
          <w:color w:val="auto"/>
          <w:sz w:val="20"/>
          <w:szCs w:val="20"/>
          <w:lang w:val="es-ES_tradnl"/>
        </w:rPr>
        <w:t xml:space="preserve">se vieron desplazadas forzosamente </w:t>
      </w:r>
      <w:r w:rsidR="000316ED" w:rsidRPr="004C0EA1">
        <w:rPr>
          <w:bCs/>
          <w:color w:val="auto"/>
          <w:sz w:val="20"/>
          <w:szCs w:val="20"/>
          <w:lang w:val="es-ES_tradnl"/>
        </w:rPr>
        <w:t>lo cual ha afectado</w:t>
      </w:r>
      <w:r w:rsidR="00A077EF" w:rsidRPr="004C0EA1">
        <w:rPr>
          <w:bCs/>
          <w:color w:val="auto"/>
          <w:sz w:val="20"/>
          <w:szCs w:val="20"/>
          <w:lang w:val="es-ES_tradnl"/>
        </w:rPr>
        <w:t xml:space="preserve"> su estilo de vida y seguridad alimentaria</w:t>
      </w:r>
      <w:r w:rsidR="00693EE9" w:rsidRPr="004C0EA1">
        <w:rPr>
          <w:bCs/>
          <w:color w:val="auto"/>
          <w:sz w:val="20"/>
          <w:szCs w:val="20"/>
          <w:lang w:val="es-ES_tradnl"/>
        </w:rPr>
        <w:t>.</w:t>
      </w:r>
      <w:r w:rsidRPr="004C0EA1">
        <w:rPr>
          <w:bCs/>
          <w:color w:val="auto"/>
          <w:sz w:val="20"/>
          <w:szCs w:val="20"/>
          <w:lang w:val="es-ES_tradnl"/>
        </w:rPr>
        <w:t xml:space="preserve"> </w:t>
      </w:r>
      <w:r w:rsidR="00693EE9" w:rsidRPr="004C0EA1">
        <w:rPr>
          <w:bCs/>
          <w:color w:val="auto"/>
          <w:sz w:val="20"/>
          <w:szCs w:val="20"/>
          <w:lang w:val="es-ES_tradnl"/>
        </w:rPr>
        <w:t>Sostiene</w:t>
      </w:r>
      <w:r w:rsidRPr="004C0EA1">
        <w:rPr>
          <w:bCs/>
          <w:color w:val="auto"/>
          <w:sz w:val="20"/>
          <w:szCs w:val="20"/>
          <w:lang w:val="es-ES_tradnl"/>
        </w:rPr>
        <w:t xml:space="preserve"> que </w:t>
      </w:r>
      <w:r w:rsidR="00DC56E6" w:rsidRPr="004C0EA1">
        <w:rPr>
          <w:bCs/>
          <w:color w:val="auto"/>
          <w:sz w:val="20"/>
          <w:szCs w:val="20"/>
          <w:lang w:val="es-ES_tradnl"/>
        </w:rPr>
        <w:t>los hechos alegados se mantienen en impunidad</w:t>
      </w:r>
      <w:r w:rsidR="00192DFB" w:rsidRPr="004C0EA1">
        <w:rPr>
          <w:bCs/>
          <w:color w:val="auto"/>
          <w:sz w:val="20"/>
          <w:szCs w:val="20"/>
          <w:lang w:val="es-ES_tradnl"/>
        </w:rPr>
        <w:t>,</w:t>
      </w:r>
      <w:r w:rsidR="00DC56E6" w:rsidRPr="004C0EA1">
        <w:rPr>
          <w:bCs/>
          <w:color w:val="auto"/>
          <w:sz w:val="20"/>
          <w:szCs w:val="20"/>
          <w:lang w:val="es-ES_tradnl"/>
        </w:rPr>
        <w:t xml:space="preserve"> </w:t>
      </w:r>
      <w:r w:rsidR="00E423F4" w:rsidRPr="004C0EA1">
        <w:rPr>
          <w:bCs/>
          <w:color w:val="auto"/>
          <w:sz w:val="20"/>
          <w:szCs w:val="20"/>
          <w:lang w:val="es-ES_tradnl"/>
        </w:rPr>
        <w:t>e</w:t>
      </w:r>
      <w:r w:rsidR="00904BBB" w:rsidRPr="004C0EA1">
        <w:rPr>
          <w:bCs/>
          <w:color w:val="auto"/>
          <w:sz w:val="20"/>
          <w:szCs w:val="20"/>
          <w:lang w:val="es-ES_tradnl"/>
        </w:rPr>
        <w:t>n</w:t>
      </w:r>
      <w:r w:rsidR="00E423F4" w:rsidRPr="004C0EA1">
        <w:rPr>
          <w:bCs/>
          <w:color w:val="auto"/>
          <w:sz w:val="20"/>
          <w:szCs w:val="20"/>
          <w:lang w:val="es-ES_tradnl"/>
        </w:rPr>
        <w:t xml:space="preserve"> tanto no se han identificado </w:t>
      </w:r>
      <w:r w:rsidR="005826DA" w:rsidRPr="004C0EA1">
        <w:rPr>
          <w:bCs/>
          <w:color w:val="auto"/>
          <w:sz w:val="20"/>
          <w:szCs w:val="20"/>
          <w:lang w:val="es-ES_tradnl"/>
        </w:rPr>
        <w:t>y sancionado a los responsables</w:t>
      </w:r>
      <w:r w:rsidR="00FF7D39" w:rsidRPr="004C0EA1">
        <w:rPr>
          <w:bCs/>
          <w:color w:val="auto"/>
          <w:sz w:val="20"/>
          <w:szCs w:val="20"/>
          <w:lang w:val="es-ES_tradnl"/>
        </w:rPr>
        <w:t xml:space="preserve">, a pesar de haber existido </w:t>
      </w:r>
      <w:r w:rsidR="00192DFB" w:rsidRPr="004C0EA1">
        <w:rPr>
          <w:bCs/>
          <w:color w:val="auto"/>
          <w:sz w:val="20"/>
          <w:szCs w:val="20"/>
          <w:lang w:val="es-ES_tradnl"/>
        </w:rPr>
        <w:t>en esa</w:t>
      </w:r>
      <w:r w:rsidR="00FF7D39" w:rsidRPr="004C0EA1">
        <w:rPr>
          <w:bCs/>
          <w:color w:val="auto"/>
          <w:sz w:val="20"/>
          <w:szCs w:val="20"/>
          <w:lang w:val="es-ES_tradnl"/>
        </w:rPr>
        <w:t xml:space="preserve"> época d</w:t>
      </w:r>
      <w:r w:rsidR="001E7213" w:rsidRPr="004C0EA1">
        <w:rPr>
          <w:bCs/>
          <w:color w:val="auto"/>
          <w:sz w:val="20"/>
          <w:szCs w:val="20"/>
          <w:lang w:val="es-ES_tradnl"/>
        </w:rPr>
        <w:t xml:space="preserve">e </w:t>
      </w:r>
      <w:r w:rsidR="00FF7D39" w:rsidRPr="004C0EA1">
        <w:rPr>
          <w:bCs/>
          <w:color w:val="auto"/>
          <w:sz w:val="20"/>
          <w:szCs w:val="20"/>
          <w:lang w:val="es-ES_tradnl"/>
        </w:rPr>
        <w:t xml:space="preserve">los hechos una </w:t>
      </w:r>
      <w:r w:rsidR="00D6034F" w:rsidRPr="004C0EA1">
        <w:rPr>
          <w:rFonts w:asciiTheme="majorHAnsi" w:hAnsiTheme="majorHAnsi"/>
          <w:bCs/>
          <w:color w:val="auto"/>
          <w:sz w:val="20"/>
          <w:szCs w:val="20"/>
          <w:lang w:val="es-ES_tradnl"/>
        </w:rPr>
        <w:t xml:space="preserve">situación de violencia en el área. </w:t>
      </w:r>
    </w:p>
    <w:p w14:paraId="0CA03BC9" w14:textId="77777777" w:rsidR="00EF75F1" w:rsidRPr="004C0EA1" w:rsidRDefault="00EF75F1" w:rsidP="00EF75F1">
      <w:pPr>
        <w:pStyle w:val="ListParagraph"/>
        <w:jc w:val="both"/>
        <w:rPr>
          <w:bCs/>
          <w:sz w:val="20"/>
          <w:szCs w:val="20"/>
          <w:lang w:val="es-ES_tradnl"/>
        </w:rPr>
      </w:pPr>
    </w:p>
    <w:p w14:paraId="52D2005F" w14:textId="7A225725" w:rsidR="009416C6" w:rsidRDefault="00192DFB" w:rsidP="00EF75F1">
      <w:pPr>
        <w:pStyle w:val="ListParagraph"/>
        <w:numPr>
          <w:ilvl w:val="0"/>
          <w:numId w:val="56"/>
        </w:numPr>
        <w:ind w:left="0" w:firstLine="720"/>
        <w:jc w:val="both"/>
        <w:rPr>
          <w:bCs/>
          <w:color w:val="auto"/>
          <w:sz w:val="20"/>
          <w:szCs w:val="20"/>
          <w:lang w:val="es-ES_tradnl"/>
        </w:rPr>
      </w:pPr>
      <w:r w:rsidRPr="004C0EA1">
        <w:rPr>
          <w:bCs/>
          <w:sz w:val="20"/>
          <w:szCs w:val="20"/>
          <w:lang w:val="es-ES_tradnl"/>
        </w:rPr>
        <w:t>La parte peticionaria narra que e</w:t>
      </w:r>
      <w:r w:rsidR="00EA591B" w:rsidRPr="004C0EA1">
        <w:rPr>
          <w:bCs/>
          <w:sz w:val="20"/>
          <w:szCs w:val="20"/>
          <w:lang w:val="es-ES_tradnl"/>
        </w:rPr>
        <w:t>l 18 de enero de 2003</w:t>
      </w:r>
      <w:r w:rsidR="00DC56E6" w:rsidRPr="004C0EA1">
        <w:rPr>
          <w:bCs/>
          <w:sz w:val="20"/>
          <w:szCs w:val="20"/>
          <w:lang w:val="es-ES_tradnl"/>
        </w:rPr>
        <w:t xml:space="preserve">, </w:t>
      </w:r>
      <w:r w:rsidR="00EA591B" w:rsidRPr="004C0EA1">
        <w:rPr>
          <w:bCs/>
          <w:sz w:val="20"/>
          <w:szCs w:val="20"/>
          <w:lang w:val="es-ES_tradnl"/>
        </w:rPr>
        <w:t xml:space="preserve">un grupo de </w:t>
      </w:r>
      <w:r w:rsidR="00DC56E6" w:rsidRPr="004C0EA1">
        <w:rPr>
          <w:bCs/>
          <w:color w:val="auto"/>
          <w:sz w:val="20"/>
          <w:szCs w:val="20"/>
          <w:lang w:val="es-ES_tradnl"/>
        </w:rPr>
        <w:t xml:space="preserve">miembros </w:t>
      </w:r>
      <w:r w:rsidR="00EA591B" w:rsidRPr="004C0EA1">
        <w:rPr>
          <w:bCs/>
          <w:color w:val="auto"/>
          <w:sz w:val="20"/>
          <w:szCs w:val="20"/>
          <w:lang w:val="es-ES_tradnl"/>
        </w:rPr>
        <w:t xml:space="preserve">de las </w:t>
      </w:r>
      <w:r w:rsidR="00DC56E6" w:rsidRPr="004C0EA1">
        <w:rPr>
          <w:bCs/>
          <w:color w:val="auto"/>
          <w:sz w:val="20"/>
          <w:szCs w:val="20"/>
          <w:lang w:val="es-ES_tradnl"/>
        </w:rPr>
        <w:t>A</w:t>
      </w:r>
      <w:r w:rsidR="00EA591B" w:rsidRPr="004C0EA1">
        <w:rPr>
          <w:bCs/>
          <w:color w:val="auto"/>
          <w:sz w:val="20"/>
          <w:szCs w:val="20"/>
          <w:lang w:val="es-ES_tradnl"/>
        </w:rPr>
        <w:t xml:space="preserve">utodefensas </w:t>
      </w:r>
      <w:r w:rsidR="00DC56E6" w:rsidRPr="004C0EA1">
        <w:rPr>
          <w:bCs/>
          <w:color w:val="auto"/>
          <w:sz w:val="20"/>
          <w:szCs w:val="20"/>
          <w:lang w:val="es-ES_tradnl"/>
        </w:rPr>
        <w:t>U</w:t>
      </w:r>
      <w:r w:rsidR="00EA591B" w:rsidRPr="004C0EA1">
        <w:rPr>
          <w:bCs/>
          <w:color w:val="auto"/>
          <w:sz w:val="20"/>
          <w:szCs w:val="20"/>
          <w:lang w:val="es-ES_tradnl"/>
        </w:rPr>
        <w:t>nida</w:t>
      </w:r>
      <w:r w:rsidR="00DC56E6" w:rsidRPr="004C0EA1">
        <w:rPr>
          <w:bCs/>
          <w:color w:val="auto"/>
          <w:sz w:val="20"/>
          <w:szCs w:val="20"/>
          <w:lang w:val="es-ES_tradnl"/>
        </w:rPr>
        <w:t>s</w:t>
      </w:r>
      <w:r w:rsidR="00EA591B" w:rsidRPr="004C0EA1">
        <w:rPr>
          <w:bCs/>
          <w:color w:val="auto"/>
          <w:sz w:val="20"/>
          <w:szCs w:val="20"/>
          <w:lang w:val="es-ES_tradnl"/>
        </w:rPr>
        <w:t xml:space="preserve"> de Colombia (en adelante “AUC”) </w:t>
      </w:r>
      <w:r w:rsidR="00DC6EAD" w:rsidRPr="004C0EA1">
        <w:rPr>
          <w:bCs/>
          <w:color w:val="auto"/>
          <w:sz w:val="20"/>
          <w:szCs w:val="20"/>
          <w:lang w:val="es-ES_tradnl"/>
        </w:rPr>
        <w:t xml:space="preserve">cruzó la frontera a Panamá e </w:t>
      </w:r>
      <w:r w:rsidR="00EA591B" w:rsidRPr="004C0EA1">
        <w:rPr>
          <w:bCs/>
          <w:color w:val="auto"/>
          <w:sz w:val="20"/>
          <w:szCs w:val="20"/>
          <w:lang w:val="es-ES_tradnl"/>
        </w:rPr>
        <w:t>i</w:t>
      </w:r>
      <w:r w:rsidR="00904BBB" w:rsidRPr="004C0EA1">
        <w:rPr>
          <w:bCs/>
          <w:color w:val="auto"/>
          <w:sz w:val="20"/>
          <w:szCs w:val="20"/>
          <w:lang w:val="es-ES_tradnl"/>
        </w:rPr>
        <w:t>ngresó</w:t>
      </w:r>
      <w:r w:rsidR="00DC56E6" w:rsidRPr="004C0EA1">
        <w:rPr>
          <w:bCs/>
          <w:color w:val="auto"/>
          <w:sz w:val="20"/>
          <w:szCs w:val="20"/>
          <w:lang w:val="es-ES_tradnl"/>
        </w:rPr>
        <w:t xml:space="preserve"> </w:t>
      </w:r>
      <w:r w:rsidR="000A7AD1" w:rsidRPr="004C0EA1">
        <w:rPr>
          <w:bCs/>
          <w:color w:val="auto"/>
          <w:sz w:val="20"/>
          <w:szCs w:val="20"/>
          <w:lang w:val="es-ES_tradnl"/>
        </w:rPr>
        <w:t xml:space="preserve">al </w:t>
      </w:r>
      <w:r w:rsidR="00EA591B" w:rsidRPr="004C0EA1">
        <w:rPr>
          <w:bCs/>
          <w:color w:val="auto"/>
          <w:sz w:val="20"/>
          <w:szCs w:val="20"/>
          <w:lang w:val="es-ES_tradnl"/>
        </w:rPr>
        <w:t>territorio</w:t>
      </w:r>
      <w:r w:rsidR="00733F00" w:rsidRPr="004C0EA1">
        <w:rPr>
          <w:bCs/>
          <w:color w:val="auto"/>
          <w:sz w:val="20"/>
          <w:szCs w:val="20"/>
          <w:lang w:val="es-ES_tradnl"/>
        </w:rPr>
        <w:t xml:space="preserve"> </w:t>
      </w:r>
      <w:r w:rsidR="00EA591B" w:rsidRPr="004C0EA1">
        <w:rPr>
          <w:bCs/>
          <w:color w:val="auto"/>
          <w:sz w:val="20"/>
          <w:szCs w:val="20"/>
          <w:lang w:val="es-ES_tradnl"/>
        </w:rPr>
        <w:t>de la comunidad</w:t>
      </w:r>
      <w:r w:rsidR="000A7AD1" w:rsidRPr="004C0EA1">
        <w:rPr>
          <w:bCs/>
          <w:color w:val="auto"/>
          <w:sz w:val="20"/>
          <w:szCs w:val="20"/>
          <w:lang w:val="es-ES_tradnl"/>
        </w:rPr>
        <w:t xml:space="preserve"> </w:t>
      </w:r>
      <w:r w:rsidR="00F60B69" w:rsidRPr="004C0EA1">
        <w:rPr>
          <w:bCs/>
          <w:color w:val="auto"/>
          <w:sz w:val="20"/>
          <w:szCs w:val="20"/>
          <w:lang w:val="es-ES_tradnl"/>
        </w:rPr>
        <w:t>kuna</w:t>
      </w:r>
      <w:r w:rsidR="000A7AD1" w:rsidRPr="004C0EA1">
        <w:rPr>
          <w:bCs/>
          <w:color w:val="auto"/>
          <w:sz w:val="20"/>
          <w:szCs w:val="20"/>
          <w:lang w:val="es-ES_tradnl"/>
        </w:rPr>
        <w:t xml:space="preserve"> </w:t>
      </w:r>
      <w:r w:rsidR="00EA591B" w:rsidRPr="004C0EA1">
        <w:rPr>
          <w:bCs/>
          <w:color w:val="auto"/>
          <w:sz w:val="20"/>
          <w:szCs w:val="20"/>
          <w:lang w:val="es-ES_tradnl"/>
        </w:rPr>
        <w:t>de Paya</w:t>
      </w:r>
      <w:r w:rsidR="00C2374D" w:rsidRPr="004C0EA1">
        <w:rPr>
          <w:color w:val="auto"/>
          <w:sz w:val="20"/>
          <w:szCs w:val="20"/>
          <w:lang w:val="es-ES_tradnl"/>
        </w:rPr>
        <w:t>,</w:t>
      </w:r>
      <w:r w:rsidR="00C1788C" w:rsidRPr="004C0EA1">
        <w:rPr>
          <w:color w:val="auto"/>
          <w:sz w:val="20"/>
          <w:szCs w:val="20"/>
          <w:lang w:val="es-ES_tradnl"/>
        </w:rPr>
        <w:t xml:space="preserve"> </w:t>
      </w:r>
      <w:r w:rsidR="00C1788C" w:rsidRPr="004C0EA1">
        <w:rPr>
          <w:bCs/>
          <w:color w:val="auto"/>
          <w:sz w:val="20"/>
          <w:szCs w:val="20"/>
          <w:lang w:val="es-ES_tradnl"/>
        </w:rPr>
        <w:t>mientras los residentes se encontraban en una celebración,</w:t>
      </w:r>
      <w:r w:rsidR="000A7AD1" w:rsidRPr="004C0EA1">
        <w:rPr>
          <w:bCs/>
          <w:color w:val="auto"/>
          <w:sz w:val="20"/>
          <w:szCs w:val="20"/>
          <w:lang w:val="es-ES_tradnl"/>
        </w:rPr>
        <w:t xml:space="preserve"> exigie</w:t>
      </w:r>
      <w:r w:rsidR="001E7213" w:rsidRPr="004C0EA1">
        <w:rPr>
          <w:bCs/>
          <w:color w:val="auto"/>
          <w:sz w:val="20"/>
          <w:szCs w:val="20"/>
          <w:lang w:val="es-ES_tradnl"/>
        </w:rPr>
        <w:t xml:space="preserve">ndo </w:t>
      </w:r>
      <w:r w:rsidR="000A7AD1" w:rsidRPr="004C0EA1">
        <w:rPr>
          <w:bCs/>
          <w:color w:val="auto"/>
          <w:sz w:val="20"/>
          <w:szCs w:val="20"/>
          <w:lang w:val="es-ES_tradnl"/>
        </w:rPr>
        <w:t>la presencia de los caciques y del comisario del pueblo</w:t>
      </w:r>
      <w:r w:rsidR="00E733AD" w:rsidRPr="004C0EA1">
        <w:rPr>
          <w:bCs/>
          <w:color w:val="auto"/>
          <w:sz w:val="20"/>
          <w:szCs w:val="20"/>
          <w:lang w:val="es-ES_tradnl"/>
        </w:rPr>
        <w:t xml:space="preserve"> para responder por el supuesto apoyo brindado a la guerrilla colombiana</w:t>
      </w:r>
      <w:r w:rsidR="000A7AD1" w:rsidRPr="004C0EA1">
        <w:rPr>
          <w:bCs/>
          <w:color w:val="auto"/>
          <w:sz w:val="20"/>
          <w:szCs w:val="20"/>
          <w:lang w:val="es-ES_tradnl"/>
        </w:rPr>
        <w:t>.</w:t>
      </w:r>
      <w:r w:rsidR="008F6FE1" w:rsidRPr="004C0EA1">
        <w:rPr>
          <w:bCs/>
          <w:color w:val="auto"/>
          <w:sz w:val="20"/>
          <w:szCs w:val="20"/>
          <w:lang w:val="es-ES_tradnl"/>
        </w:rPr>
        <w:t xml:space="preserve"> </w:t>
      </w:r>
      <w:r w:rsidR="00733F00" w:rsidRPr="004C0EA1">
        <w:rPr>
          <w:bCs/>
          <w:color w:val="auto"/>
          <w:sz w:val="20"/>
          <w:szCs w:val="20"/>
          <w:lang w:val="es-ES_tradnl"/>
        </w:rPr>
        <w:t>Seguidamente, v</w:t>
      </w:r>
      <w:r w:rsidR="00C1788C" w:rsidRPr="004C0EA1">
        <w:rPr>
          <w:bCs/>
          <w:color w:val="auto"/>
          <w:sz w:val="20"/>
          <w:szCs w:val="20"/>
          <w:lang w:val="es-ES_tradnl"/>
        </w:rPr>
        <w:t xml:space="preserve">arios </w:t>
      </w:r>
      <w:r w:rsidR="001E7213" w:rsidRPr="004C0EA1">
        <w:rPr>
          <w:bCs/>
          <w:color w:val="auto"/>
          <w:sz w:val="20"/>
          <w:szCs w:val="20"/>
          <w:lang w:val="es-ES_tradnl"/>
        </w:rPr>
        <w:t xml:space="preserve">miembros de las AUC secuestraron </w:t>
      </w:r>
      <w:r w:rsidR="000A7AD1" w:rsidRPr="004C0EA1">
        <w:rPr>
          <w:bCs/>
          <w:color w:val="auto"/>
          <w:sz w:val="20"/>
          <w:szCs w:val="20"/>
          <w:lang w:val="es-ES_tradnl"/>
        </w:rPr>
        <w:t>a</w:t>
      </w:r>
      <w:r w:rsidR="001E7213" w:rsidRPr="004C0EA1">
        <w:rPr>
          <w:bCs/>
          <w:color w:val="auto"/>
          <w:sz w:val="20"/>
          <w:szCs w:val="20"/>
          <w:lang w:val="es-ES_tradnl"/>
        </w:rPr>
        <w:t xml:space="preserve"> Sagla Ernesto Ayala, San Pascual Ayala Gutiérrez y Gilberto Vásquez</w:t>
      </w:r>
      <w:r w:rsidR="001B0D93" w:rsidRPr="004C0EA1">
        <w:rPr>
          <w:bCs/>
          <w:color w:val="auto"/>
          <w:sz w:val="20"/>
          <w:szCs w:val="20"/>
          <w:lang w:val="es-ES_tradnl"/>
        </w:rPr>
        <w:t>, como dirigentes indígenas,</w:t>
      </w:r>
      <w:r w:rsidR="001E7213" w:rsidRPr="004C0EA1">
        <w:rPr>
          <w:bCs/>
          <w:color w:val="auto"/>
          <w:sz w:val="20"/>
          <w:szCs w:val="20"/>
          <w:lang w:val="es-ES_tradnl"/>
        </w:rPr>
        <w:t xml:space="preserve"> </w:t>
      </w:r>
      <w:r w:rsidR="009A0FD5" w:rsidRPr="004C0EA1">
        <w:rPr>
          <w:bCs/>
          <w:color w:val="auto"/>
          <w:sz w:val="20"/>
          <w:szCs w:val="20"/>
          <w:lang w:val="es-ES_tradnl"/>
        </w:rPr>
        <w:t>y</w:t>
      </w:r>
      <w:r w:rsidR="00F60B69" w:rsidRPr="004C0EA1">
        <w:rPr>
          <w:bCs/>
          <w:color w:val="auto"/>
          <w:sz w:val="20"/>
          <w:szCs w:val="20"/>
          <w:lang w:val="es-ES_tradnl"/>
        </w:rPr>
        <w:t xml:space="preserve"> en el traslado</w:t>
      </w:r>
      <w:r w:rsidR="00383939" w:rsidRPr="004C0EA1">
        <w:rPr>
          <w:bCs/>
          <w:color w:val="auto"/>
          <w:sz w:val="20"/>
          <w:szCs w:val="20"/>
          <w:lang w:val="es-ES_tradnl"/>
        </w:rPr>
        <w:t xml:space="preserve">, secuestraron a </w:t>
      </w:r>
      <w:r w:rsidR="008F6FE1" w:rsidRPr="004C0EA1">
        <w:rPr>
          <w:bCs/>
          <w:color w:val="auto"/>
          <w:sz w:val="20"/>
          <w:szCs w:val="20"/>
          <w:lang w:val="es-ES_tradnl"/>
        </w:rPr>
        <w:t>Luis Enrique Martínez Ayala y Casildo Ayala Ayala</w:t>
      </w:r>
      <w:r w:rsidR="001B0D93" w:rsidRPr="004C0EA1">
        <w:rPr>
          <w:bCs/>
          <w:color w:val="auto"/>
          <w:sz w:val="20"/>
          <w:szCs w:val="20"/>
          <w:lang w:val="es-ES_tradnl"/>
        </w:rPr>
        <w:t xml:space="preserve">. </w:t>
      </w:r>
      <w:r w:rsidR="009F7CCD" w:rsidRPr="004C0EA1">
        <w:rPr>
          <w:bCs/>
          <w:color w:val="auto"/>
          <w:sz w:val="20"/>
          <w:szCs w:val="20"/>
          <w:lang w:val="es-ES_tradnl"/>
        </w:rPr>
        <w:t xml:space="preserve">Al llegar </w:t>
      </w:r>
      <w:r w:rsidR="001E7213" w:rsidRPr="004C0EA1">
        <w:rPr>
          <w:bCs/>
          <w:color w:val="auto"/>
          <w:sz w:val="20"/>
          <w:szCs w:val="20"/>
          <w:lang w:val="es-ES_tradnl"/>
        </w:rPr>
        <w:t>a</w:t>
      </w:r>
      <w:r w:rsidR="000A7AD1" w:rsidRPr="004C0EA1">
        <w:rPr>
          <w:bCs/>
          <w:color w:val="auto"/>
          <w:sz w:val="20"/>
          <w:szCs w:val="20"/>
          <w:lang w:val="es-ES_tradnl"/>
        </w:rPr>
        <w:t xml:space="preserve"> un lugar apartado</w:t>
      </w:r>
      <w:r w:rsidR="009F7CCD" w:rsidRPr="004C0EA1">
        <w:rPr>
          <w:bCs/>
          <w:color w:val="auto"/>
          <w:sz w:val="20"/>
          <w:szCs w:val="20"/>
          <w:lang w:val="es-ES_tradnl"/>
        </w:rPr>
        <w:t xml:space="preserve">, </w:t>
      </w:r>
      <w:r w:rsidR="000C29F3">
        <w:rPr>
          <w:bCs/>
          <w:color w:val="auto"/>
          <w:sz w:val="20"/>
          <w:szCs w:val="20"/>
          <w:lang w:val="es-ES_tradnl"/>
        </w:rPr>
        <w:t xml:space="preserve">torturaron, </w:t>
      </w:r>
      <w:r w:rsidR="00BB4E15">
        <w:rPr>
          <w:bCs/>
          <w:color w:val="auto"/>
          <w:sz w:val="20"/>
          <w:szCs w:val="20"/>
          <w:lang w:val="es-ES_tradnl"/>
        </w:rPr>
        <w:t>mutilaron</w:t>
      </w:r>
      <w:r w:rsidR="00383939" w:rsidRPr="004C0EA1">
        <w:rPr>
          <w:bCs/>
          <w:color w:val="auto"/>
          <w:sz w:val="20"/>
          <w:szCs w:val="20"/>
          <w:lang w:val="es-ES_tradnl"/>
        </w:rPr>
        <w:t xml:space="preserve"> </w:t>
      </w:r>
      <w:r w:rsidR="00565B9D">
        <w:rPr>
          <w:bCs/>
          <w:color w:val="auto"/>
          <w:sz w:val="20"/>
          <w:szCs w:val="20"/>
          <w:lang w:val="es-ES_tradnl"/>
        </w:rPr>
        <w:t xml:space="preserve">e hirieron </w:t>
      </w:r>
      <w:r w:rsidR="00F60B69" w:rsidRPr="004C0EA1">
        <w:rPr>
          <w:bCs/>
          <w:color w:val="auto"/>
          <w:sz w:val="20"/>
          <w:szCs w:val="20"/>
          <w:lang w:val="es-ES_tradnl"/>
        </w:rPr>
        <w:t xml:space="preserve">violentamente </w:t>
      </w:r>
      <w:r w:rsidR="00383939" w:rsidRPr="004C0EA1">
        <w:rPr>
          <w:bCs/>
          <w:color w:val="auto"/>
          <w:sz w:val="20"/>
          <w:szCs w:val="20"/>
          <w:lang w:val="es-ES_tradnl"/>
        </w:rPr>
        <w:t xml:space="preserve">con armas blancas y </w:t>
      </w:r>
      <w:r w:rsidR="00BB4E15">
        <w:rPr>
          <w:bCs/>
          <w:color w:val="auto"/>
          <w:sz w:val="20"/>
          <w:szCs w:val="20"/>
          <w:lang w:val="es-ES_tradnl"/>
        </w:rPr>
        <w:t>les dispararon</w:t>
      </w:r>
      <w:r w:rsidR="00383939" w:rsidRPr="004C0EA1">
        <w:rPr>
          <w:bCs/>
          <w:color w:val="auto"/>
          <w:sz w:val="20"/>
          <w:szCs w:val="20"/>
          <w:lang w:val="es-ES_tradnl"/>
        </w:rPr>
        <w:t xml:space="preserve"> a Sagla Ernesto Ayala, San Pascual Ayala Gutiérrez</w:t>
      </w:r>
      <w:r w:rsidR="009F7CCD" w:rsidRPr="004C0EA1">
        <w:rPr>
          <w:bCs/>
          <w:color w:val="auto"/>
          <w:sz w:val="20"/>
          <w:szCs w:val="20"/>
          <w:lang w:val="es-ES_tradnl"/>
        </w:rPr>
        <w:t xml:space="preserve">, </w:t>
      </w:r>
      <w:r w:rsidR="00383939" w:rsidRPr="004C0EA1">
        <w:rPr>
          <w:bCs/>
          <w:color w:val="auto"/>
          <w:sz w:val="20"/>
          <w:szCs w:val="20"/>
          <w:lang w:val="es-ES_tradnl"/>
        </w:rPr>
        <w:t>Luis Enrique Martínez Ayala</w:t>
      </w:r>
      <w:r w:rsidR="00F40CEF" w:rsidRPr="004C0EA1">
        <w:rPr>
          <w:bCs/>
          <w:color w:val="auto"/>
          <w:sz w:val="20"/>
          <w:szCs w:val="20"/>
          <w:lang w:val="es-ES_tradnl"/>
        </w:rPr>
        <w:t xml:space="preserve"> </w:t>
      </w:r>
      <w:r w:rsidR="009F7CCD" w:rsidRPr="004C0EA1">
        <w:rPr>
          <w:bCs/>
          <w:color w:val="auto"/>
          <w:sz w:val="20"/>
          <w:szCs w:val="20"/>
          <w:lang w:val="es-ES_tradnl"/>
        </w:rPr>
        <w:t xml:space="preserve">y </w:t>
      </w:r>
      <w:r w:rsidR="00F60B69" w:rsidRPr="004C0EA1">
        <w:rPr>
          <w:bCs/>
          <w:color w:val="auto"/>
          <w:sz w:val="20"/>
          <w:szCs w:val="20"/>
          <w:lang w:val="es-ES_tradnl"/>
        </w:rPr>
        <w:t>Casildo Ayala Ayala</w:t>
      </w:r>
      <w:r w:rsidR="00383939" w:rsidRPr="004C0EA1">
        <w:rPr>
          <w:bCs/>
          <w:color w:val="auto"/>
          <w:sz w:val="20"/>
          <w:szCs w:val="20"/>
          <w:lang w:val="es-ES_tradnl"/>
        </w:rPr>
        <w:t xml:space="preserve">, causándoles la muerte </w:t>
      </w:r>
      <w:r w:rsidR="00F60B69" w:rsidRPr="004C0EA1">
        <w:rPr>
          <w:bCs/>
          <w:color w:val="auto"/>
          <w:sz w:val="20"/>
          <w:szCs w:val="20"/>
          <w:lang w:val="es-ES_tradnl"/>
        </w:rPr>
        <w:t xml:space="preserve">a todos salvo a </w:t>
      </w:r>
      <w:r w:rsidR="008F6FE1" w:rsidRPr="004C0EA1">
        <w:rPr>
          <w:bCs/>
          <w:color w:val="auto"/>
          <w:sz w:val="20"/>
          <w:szCs w:val="20"/>
          <w:lang w:val="es-ES_tradnl"/>
        </w:rPr>
        <w:t>Casildo Ayala</w:t>
      </w:r>
      <w:r w:rsidR="00383939" w:rsidRPr="004C0EA1">
        <w:rPr>
          <w:bCs/>
          <w:color w:val="auto"/>
          <w:sz w:val="20"/>
          <w:szCs w:val="20"/>
          <w:lang w:val="es-ES_tradnl"/>
        </w:rPr>
        <w:t xml:space="preserve"> </w:t>
      </w:r>
      <w:r w:rsidR="00F60B69" w:rsidRPr="004C0EA1">
        <w:rPr>
          <w:bCs/>
          <w:color w:val="auto"/>
          <w:sz w:val="20"/>
          <w:szCs w:val="20"/>
          <w:lang w:val="es-ES_tradnl"/>
        </w:rPr>
        <w:t xml:space="preserve">quien </w:t>
      </w:r>
      <w:r w:rsidR="00383939" w:rsidRPr="004C0EA1">
        <w:rPr>
          <w:bCs/>
          <w:color w:val="auto"/>
          <w:sz w:val="20"/>
          <w:szCs w:val="20"/>
          <w:lang w:val="es-ES_tradnl"/>
        </w:rPr>
        <w:t>se hizo pasar por muerto</w:t>
      </w:r>
      <w:r w:rsidR="001E7213" w:rsidRPr="004C0EA1">
        <w:rPr>
          <w:bCs/>
          <w:color w:val="auto"/>
          <w:sz w:val="20"/>
          <w:szCs w:val="20"/>
          <w:lang w:val="es-ES_tradnl"/>
        </w:rPr>
        <w:t xml:space="preserve">. </w:t>
      </w:r>
      <w:r w:rsidR="00F60B69" w:rsidRPr="004C0EA1">
        <w:rPr>
          <w:bCs/>
          <w:color w:val="auto"/>
          <w:sz w:val="20"/>
          <w:szCs w:val="20"/>
          <w:lang w:val="es-ES_tradnl"/>
        </w:rPr>
        <w:t>Luego, c</w:t>
      </w:r>
      <w:r w:rsidR="000D4920" w:rsidRPr="004C0EA1">
        <w:rPr>
          <w:bCs/>
          <w:color w:val="auto"/>
          <w:sz w:val="20"/>
          <w:szCs w:val="20"/>
          <w:lang w:val="es-ES_tradnl"/>
        </w:rPr>
        <w:t xml:space="preserve">aminaron hasta </w:t>
      </w:r>
      <w:r w:rsidR="009F2AEA" w:rsidRPr="004C0EA1">
        <w:rPr>
          <w:bCs/>
          <w:color w:val="auto"/>
          <w:sz w:val="20"/>
          <w:szCs w:val="20"/>
          <w:lang w:val="es-ES_tradnl"/>
        </w:rPr>
        <w:t>la comunidad kuna de</w:t>
      </w:r>
      <w:r w:rsidR="000A7AD1" w:rsidRPr="004C0EA1">
        <w:rPr>
          <w:bCs/>
          <w:color w:val="auto"/>
          <w:sz w:val="20"/>
          <w:szCs w:val="20"/>
          <w:lang w:val="es-ES_tradnl"/>
        </w:rPr>
        <w:t xml:space="preserve"> </w:t>
      </w:r>
      <w:r w:rsidR="00EA591B" w:rsidRPr="004C0EA1">
        <w:rPr>
          <w:bCs/>
          <w:color w:val="auto"/>
          <w:sz w:val="20"/>
          <w:szCs w:val="20"/>
          <w:lang w:val="es-ES_tradnl"/>
        </w:rPr>
        <w:t>P</w:t>
      </w:r>
      <w:r w:rsidR="000A7AD1" w:rsidRPr="004C0EA1">
        <w:rPr>
          <w:bCs/>
          <w:color w:val="auto"/>
          <w:sz w:val="20"/>
          <w:szCs w:val="20"/>
          <w:lang w:val="es-ES_tradnl"/>
        </w:rPr>
        <w:t>ú</w:t>
      </w:r>
      <w:r w:rsidR="00EA591B" w:rsidRPr="004C0EA1">
        <w:rPr>
          <w:bCs/>
          <w:color w:val="auto"/>
          <w:sz w:val="20"/>
          <w:szCs w:val="20"/>
          <w:lang w:val="es-ES_tradnl"/>
        </w:rPr>
        <w:t>curo</w:t>
      </w:r>
      <w:r w:rsidR="001E7213" w:rsidRPr="004C0EA1">
        <w:rPr>
          <w:bCs/>
          <w:color w:val="auto"/>
          <w:sz w:val="20"/>
          <w:szCs w:val="20"/>
          <w:lang w:val="es-ES_tradnl"/>
        </w:rPr>
        <w:t xml:space="preserve"> </w:t>
      </w:r>
      <w:r w:rsidR="00F60B69" w:rsidRPr="004C0EA1">
        <w:rPr>
          <w:bCs/>
          <w:color w:val="auto"/>
          <w:sz w:val="20"/>
          <w:szCs w:val="20"/>
          <w:lang w:val="es-ES_tradnl"/>
        </w:rPr>
        <w:t>y</w:t>
      </w:r>
      <w:r w:rsidR="001E7213" w:rsidRPr="004C0EA1">
        <w:rPr>
          <w:bCs/>
          <w:color w:val="auto"/>
          <w:sz w:val="20"/>
          <w:szCs w:val="20"/>
          <w:lang w:val="es-ES_tradnl"/>
        </w:rPr>
        <w:t xml:space="preserve"> asesinaron a G</w:t>
      </w:r>
      <w:r w:rsidR="000A7AD1" w:rsidRPr="004C0EA1">
        <w:rPr>
          <w:bCs/>
          <w:color w:val="auto"/>
          <w:sz w:val="20"/>
          <w:szCs w:val="20"/>
          <w:lang w:val="es-ES_tradnl"/>
        </w:rPr>
        <w:t xml:space="preserve">ilberto </w:t>
      </w:r>
      <w:r w:rsidR="001E7213" w:rsidRPr="004C0EA1">
        <w:rPr>
          <w:bCs/>
          <w:color w:val="auto"/>
          <w:sz w:val="20"/>
          <w:szCs w:val="20"/>
          <w:lang w:val="es-ES_tradnl"/>
        </w:rPr>
        <w:t>Vásquez</w:t>
      </w:r>
      <w:r w:rsidR="007B3076" w:rsidRPr="004C0EA1">
        <w:rPr>
          <w:bCs/>
          <w:color w:val="auto"/>
          <w:sz w:val="20"/>
          <w:szCs w:val="20"/>
          <w:lang w:val="es-ES_tradnl"/>
        </w:rPr>
        <w:t xml:space="preserve">. </w:t>
      </w:r>
      <w:r w:rsidR="00C001EE" w:rsidRPr="004C0EA1">
        <w:rPr>
          <w:bCs/>
          <w:color w:val="auto"/>
          <w:sz w:val="20"/>
          <w:szCs w:val="20"/>
          <w:lang w:val="es-ES_tradnl"/>
        </w:rPr>
        <w:t>Seguidamente, l</w:t>
      </w:r>
      <w:r w:rsidR="00383939" w:rsidRPr="004C0EA1">
        <w:rPr>
          <w:bCs/>
          <w:color w:val="auto"/>
          <w:sz w:val="20"/>
          <w:szCs w:val="20"/>
          <w:lang w:val="es-ES_tradnl"/>
        </w:rPr>
        <w:t xml:space="preserve">os miembros de las AUC sembraron minas antipersonales para desalentar la recuperación de los cuerpos y el uso del camino tradicional entre las fronteras, </w:t>
      </w:r>
      <w:r w:rsidR="000F40DD" w:rsidRPr="004C0EA1">
        <w:rPr>
          <w:bCs/>
          <w:color w:val="auto"/>
          <w:sz w:val="20"/>
          <w:szCs w:val="20"/>
          <w:lang w:val="es-ES_tradnl"/>
        </w:rPr>
        <w:t xml:space="preserve">robaron </w:t>
      </w:r>
      <w:r w:rsidR="00C2374D" w:rsidRPr="004C0EA1">
        <w:rPr>
          <w:bCs/>
          <w:color w:val="auto"/>
          <w:sz w:val="20"/>
          <w:szCs w:val="20"/>
          <w:lang w:val="es-ES_tradnl"/>
        </w:rPr>
        <w:t>distintos bienes</w:t>
      </w:r>
      <w:r w:rsidR="000F40DD" w:rsidRPr="004C0EA1">
        <w:rPr>
          <w:bCs/>
          <w:color w:val="auto"/>
          <w:sz w:val="20"/>
          <w:szCs w:val="20"/>
          <w:lang w:val="es-ES_tradnl"/>
        </w:rPr>
        <w:t xml:space="preserve"> y animales, y luego incendiaron distintos inmuebles</w:t>
      </w:r>
      <w:r w:rsidR="00C2374D" w:rsidRPr="004C0EA1">
        <w:rPr>
          <w:bCs/>
          <w:color w:val="auto"/>
          <w:sz w:val="20"/>
          <w:szCs w:val="20"/>
          <w:lang w:val="es-ES_tradnl"/>
        </w:rPr>
        <w:t>.</w:t>
      </w:r>
    </w:p>
    <w:p w14:paraId="12763170" w14:textId="77777777" w:rsidR="00EF75F1" w:rsidRPr="004C0EA1" w:rsidRDefault="00EF75F1" w:rsidP="00EF75F1">
      <w:pPr>
        <w:pStyle w:val="ListParagraph"/>
        <w:jc w:val="both"/>
        <w:rPr>
          <w:bCs/>
          <w:color w:val="auto"/>
          <w:sz w:val="20"/>
          <w:szCs w:val="20"/>
          <w:lang w:val="es-ES_tradnl"/>
        </w:rPr>
      </w:pPr>
    </w:p>
    <w:p w14:paraId="40E45127" w14:textId="5B534710" w:rsidR="000D4920" w:rsidRPr="00EF75F1" w:rsidRDefault="00BC4A99" w:rsidP="00EF75F1">
      <w:pPr>
        <w:pStyle w:val="ListParagraph"/>
        <w:numPr>
          <w:ilvl w:val="0"/>
          <w:numId w:val="56"/>
        </w:numPr>
        <w:ind w:left="0" w:firstLine="720"/>
        <w:jc w:val="both"/>
        <w:rPr>
          <w:bCs/>
          <w:color w:val="auto"/>
          <w:sz w:val="20"/>
          <w:szCs w:val="20"/>
          <w:lang w:val="es-ES_tradnl"/>
        </w:rPr>
      </w:pPr>
      <w:r w:rsidRPr="004C0EA1">
        <w:rPr>
          <w:bCs/>
          <w:color w:val="auto"/>
          <w:sz w:val="20"/>
          <w:szCs w:val="20"/>
          <w:lang w:val="es-ES_tradnl"/>
        </w:rPr>
        <w:t xml:space="preserve">La parte peticionaria explica que </w:t>
      </w:r>
      <w:r w:rsidR="00CE3371" w:rsidRPr="004C0EA1">
        <w:rPr>
          <w:bCs/>
          <w:color w:val="auto"/>
          <w:sz w:val="20"/>
          <w:szCs w:val="20"/>
          <w:lang w:val="es-ES_tradnl"/>
        </w:rPr>
        <w:t xml:space="preserve">alrededor de </w:t>
      </w:r>
      <w:r w:rsidR="00A3538D" w:rsidRPr="004C0EA1">
        <w:rPr>
          <w:bCs/>
          <w:color w:val="auto"/>
          <w:sz w:val="20"/>
          <w:szCs w:val="20"/>
          <w:lang w:val="es-ES_tradnl"/>
        </w:rPr>
        <w:t>seiscientos</w:t>
      </w:r>
      <w:r w:rsidR="00CE3371" w:rsidRPr="004C0EA1">
        <w:rPr>
          <w:bCs/>
          <w:color w:val="auto"/>
          <w:sz w:val="20"/>
          <w:szCs w:val="20"/>
          <w:lang w:val="es-ES_tradnl"/>
        </w:rPr>
        <w:t xml:space="preserve"> </w:t>
      </w:r>
      <w:r w:rsidR="00C2374D" w:rsidRPr="004C0EA1">
        <w:rPr>
          <w:bCs/>
          <w:color w:val="auto"/>
          <w:sz w:val="20"/>
          <w:szCs w:val="20"/>
          <w:lang w:val="es-ES_tradnl"/>
        </w:rPr>
        <w:t>pobladores de la</w:t>
      </w:r>
      <w:r w:rsidR="00383939" w:rsidRPr="004C0EA1">
        <w:rPr>
          <w:bCs/>
          <w:color w:val="auto"/>
          <w:sz w:val="20"/>
          <w:szCs w:val="20"/>
          <w:lang w:val="es-ES_tradnl"/>
        </w:rPr>
        <w:t>s</w:t>
      </w:r>
      <w:r w:rsidR="00C2374D" w:rsidRPr="004C0EA1">
        <w:rPr>
          <w:bCs/>
          <w:color w:val="auto"/>
          <w:sz w:val="20"/>
          <w:szCs w:val="20"/>
          <w:lang w:val="es-ES_tradnl"/>
        </w:rPr>
        <w:t xml:space="preserve"> comunidad</w:t>
      </w:r>
      <w:r w:rsidR="00383939" w:rsidRPr="004C0EA1">
        <w:rPr>
          <w:bCs/>
          <w:color w:val="auto"/>
          <w:sz w:val="20"/>
          <w:szCs w:val="20"/>
          <w:lang w:val="es-ES_tradnl"/>
        </w:rPr>
        <w:t>es</w:t>
      </w:r>
      <w:r w:rsidR="00C2374D" w:rsidRPr="004C0EA1">
        <w:rPr>
          <w:bCs/>
          <w:color w:val="auto"/>
          <w:sz w:val="20"/>
          <w:szCs w:val="20"/>
          <w:lang w:val="es-ES_tradnl"/>
        </w:rPr>
        <w:t xml:space="preserve"> kuna de Púcuro y de Paya lograron llegar a</w:t>
      </w:r>
      <w:r w:rsidR="000D4920" w:rsidRPr="004C0EA1">
        <w:rPr>
          <w:bCs/>
          <w:color w:val="auto"/>
          <w:sz w:val="20"/>
          <w:szCs w:val="20"/>
          <w:lang w:val="es-ES_tradnl"/>
        </w:rPr>
        <w:t>l poblado de</w:t>
      </w:r>
      <w:r w:rsidR="00C2374D" w:rsidRPr="004C0EA1">
        <w:rPr>
          <w:bCs/>
          <w:color w:val="auto"/>
          <w:sz w:val="20"/>
          <w:szCs w:val="20"/>
          <w:lang w:val="es-ES_tradnl"/>
        </w:rPr>
        <w:t xml:space="preserve"> Boca de Cupe donde se refugiaron en campamentos provisionales que implementó la Policía Nacional</w:t>
      </w:r>
      <w:r w:rsidR="00A3538D" w:rsidRPr="004C0EA1">
        <w:rPr>
          <w:bCs/>
          <w:color w:val="auto"/>
          <w:sz w:val="20"/>
          <w:szCs w:val="20"/>
          <w:lang w:val="es-ES_tradnl"/>
        </w:rPr>
        <w:t xml:space="preserve"> de Panamá</w:t>
      </w:r>
      <w:r w:rsidR="00C2374D" w:rsidRPr="004C0EA1">
        <w:rPr>
          <w:bCs/>
          <w:color w:val="auto"/>
          <w:sz w:val="20"/>
          <w:szCs w:val="20"/>
          <w:lang w:val="es-ES_tradnl"/>
        </w:rPr>
        <w:t>,</w:t>
      </w:r>
      <w:r w:rsidR="00F36066" w:rsidRPr="004C0EA1">
        <w:rPr>
          <w:bCs/>
          <w:color w:val="auto"/>
          <w:sz w:val="20"/>
          <w:szCs w:val="20"/>
          <w:lang w:val="es-ES_tradnl"/>
        </w:rPr>
        <w:t xml:space="preserve"> </w:t>
      </w:r>
      <w:r w:rsidR="000D4920" w:rsidRPr="004C0EA1">
        <w:rPr>
          <w:bCs/>
          <w:color w:val="auto"/>
          <w:sz w:val="20"/>
          <w:szCs w:val="20"/>
          <w:lang w:val="es-ES_tradnl"/>
        </w:rPr>
        <w:t>no obstante</w:t>
      </w:r>
      <w:r w:rsidR="00E86C89" w:rsidRPr="004C0EA1">
        <w:rPr>
          <w:bCs/>
          <w:color w:val="auto"/>
          <w:sz w:val="20"/>
          <w:szCs w:val="20"/>
          <w:lang w:val="es-ES_tradnl"/>
        </w:rPr>
        <w:t>,</w:t>
      </w:r>
      <w:r w:rsidR="000D4920" w:rsidRPr="004C0EA1">
        <w:rPr>
          <w:bCs/>
          <w:color w:val="auto"/>
          <w:sz w:val="20"/>
          <w:szCs w:val="20"/>
          <w:lang w:val="es-ES_tradnl"/>
        </w:rPr>
        <w:t xml:space="preserve"> </w:t>
      </w:r>
      <w:r w:rsidR="00C2374D" w:rsidRPr="004C0EA1">
        <w:rPr>
          <w:bCs/>
          <w:color w:val="auto"/>
          <w:sz w:val="20"/>
          <w:szCs w:val="20"/>
          <w:lang w:val="es-ES_tradnl"/>
        </w:rPr>
        <w:t xml:space="preserve">muchos huyeron a otros lugares </w:t>
      </w:r>
      <w:r w:rsidR="00A3538D" w:rsidRPr="004C0EA1">
        <w:rPr>
          <w:bCs/>
          <w:color w:val="auto"/>
          <w:sz w:val="20"/>
          <w:szCs w:val="20"/>
          <w:lang w:val="es-ES_tradnl"/>
        </w:rPr>
        <w:t>del país</w:t>
      </w:r>
      <w:r w:rsidR="00C2374D" w:rsidRPr="004C0EA1">
        <w:rPr>
          <w:bCs/>
          <w:color w:val="auto"/>
          <w:sz w:val="20"/>
          <w:szCs w:val="20"/>
          <w:lang w:val="es-ES_tradnl"/>
        </w:rPr>
        <w:t>, por temor a que fueron objeto de nuevos ataques</w:t>
      </w:r>
      <w:r w:rsidR="00C2374D" w:rsidRPr="004C0EA1">
        <w:rPr>
          <w:rFonts w:asciiTheme="majorHAnsi" w:hAnsiTheme="majorHAnsi"/>
          <w:bCs/>
          <w:color w:val="auto"/>
          <w:sz w:val="20"/>
          <w:szCs w:val="20"/>
          <w:lang w:val="es-ES_tradnl"/>
        </w:rPr>
        <w:t xml:space="preserve"> por parte de los paramilitares</w:t>
      </w:r>
      <w:r w:rsidR="000D4920" w:rsidRPr="004C0EA1">
        <w:rPr>
          <w:rFonts w:asciiTheme="majorHAnsi" w:hAnsiTheme="majorHAnsi"/>
          <w:bCs/>
          <w:color w:val="auto"/>
          <w:sz w:val="20"/>
          <w:szCs w:val="20"/>
          <w:lang w:val="es-ES_tradnl"/>
        </w:rPr>
        <w:t xml:space="preserve">. </w:t>
      </w:r>
    </w:p>
    <w:p w14:paraId="24DA258E" w14:textId="77777777" w:rsidR="00EF75F1" w:rsidRPr="00EF75F1" w:rsidRDefault="00EF75F1" w:rsidP="00EF75F1">
      <w:pPr>
        <w:jc w:val="both"/>
        <w:rPr>
          <w:bCs/>
          <w:sz w:val="20"/>
          <w:szCs w:val="20"/>
          <w:lang w:val="es-ES_tradnl"/>
        </w:rPr>
      </w:pPr>
    </w:p>
    <w:p w14:paraId="02B3738E" w14:textId="49071F6F" w:rsidR="00C001EE" w:rsidRDefault="00A3538D" w:rsidP="00EF75F1">
      <w:pPr>
        <w:pStyle w:val="ListParagraph"/>
        <w:numPr>
          <w:ilvl w:val="0"/>
          <w:numId w:val="56"/>
        </w:numPr>
        <w:ind w:left="0" w:firstLine="720"/>
        <w:jc w:val="both"/>
        <w:rPr>
          <w:rFonts w:asciiTheme="majorHAnsi" w:hAnsiTheme="majorHAnsi"/>
          <w:bCs/>
          <w:sz w:val="20"/>
          <w:szCs w:val="20"/>
          <w:lang w:val="es-ES_tradnl"/>
        </w:rPr>
      </w:pPr>
      <w:r w:rsidRPr="004C0EA1">
        <w:rPr>
          <w:color w:val="auto"/>
          <w:sz w:val="20"/>
          <w:szCs w:val="20"/>
          <w:lang w:val="es-ES_tradnl"/>
        </w:rPr>
        <w:t>E</w:t>
      </w:r>
      <w:r w:rsidR="009242F0" w:rsidRPr="004C0EA1">
        <w:rPr>
          <w:rFonts w:asciiTheme="majorHAnsi" w:hAnsiTheme="majorHAnsi"/>
          <w:bCs/>
          <w:color w:val="auto"/>
          <w:sz w:val="20"/>
          <w:szCs w:val="20"/>
          <w:lang w:val="es-ES_tradnl"/>
        </w:rPr>
        <w:t xml:space="preserve">l 22 de enero de 2003 </w:t>
      </w:r>
      <w:r w:rsidR="000D4920" w:rsidRPr="004C0EA1">
        <w:rPr>
          <w:rFonts w:asciiTheme="majorHAnsi" w:hAnsiTheme="majorHAnsi"/>
          <w:bCs/>
          <w:color w:val="auto"/>
          <w:sz w:val="20"/>
          <w:szCs w:val="20"/>
          <w:lang w:val="es-ES_tradnl"/>
        </w:rPr>
        <w:t>“</w:t>
      </w:r>
      <w:r w:rsidR="00455A27" w:rsidRPr="004C0EA1">
        <w:rPr>
          <w:rFonts w:asciiTheme="majorHAnsi" w:hAnsiTheme="majorHAnsi"/>
          <w:bCs/>
          <w:color w:val="auto"/>
          <w:sz w:val="20"/>
          <w:szCs w:val="20"/>
          <w:lang w:val="es-ES_tradnl"/>
        </w:rPr>
        <w:t>dirigentes indígenas de otras comarcas</w:t>
      </w:r>
      <w:r w:rsidR="000D4920" w:rsidRPr="004C0EA1">
        <w:rPr>
          <w:rFonts w:asciiTheme="majorHAnsi" w:hAnsiTheme="majorHAnsi"/>
          <w:bCs/>
          <w:color w:val="auto"/>
          <w:sz w:val="20"/>
          <w:szCs w:val="20"/>
          <w:lang w:val="es-ES_tradnl"/>
        </w:rPr>
        <w:t>”</w:t>
      </w:r>
      <w:r w:rsidR="00455A27" w:rsidRPr="004C0EA1">
        <w:rPr>
          <w:rFonts w:asciiTheme="majorHAnsi" w:hAnsiTheme="majorHAnsi"/>
          <w:bCs/>
          <w:color w:val="auto"/>
          <w:sz w:val="20"/>
          <w:szCs w:val="20"/>
          <w:lang w:val="es-ES_tradnl"/>
        </w:rPr>
        <w:t xml:space="preserve"> </w:t>
      </w:r>
      <w:r w:rsidR="009242F0" w:rsidRPr="004C0EA1">
        <w:rPr>
          <w:rFonts w:asciiTheme="majorHAnsi" w:hAnsiTheme="majorHAnsi"/>
          <w:bCs/>
          <w:color w:val="auto"/>
          <w:sz w:val="20"/>
          <w:szCs w:val="20"/>
          <w:lang w:val="es-ES_tradnl"/>
        </w:rPr>
        <w:t xml:space="preserve">presentaron una denuncia penal ante la Procuraduría General de la Nación en contra de los miembros de la </w:t>
      </w:r>
      <w:bookmarkStart w:id="2" w:name="_Hlk109641223"/>
      <w:r w:rsidR="009242F0" w:rsidRPr="004C0EA1">
        <w:rPr>
          <w:rFonts w:asciiTheme="majorHAnsi" w:hAnsiTheme="majorHAnsi"/>
          <w:bCs/>
          <w:color w:val="auto"/>
          <w:sz w:val="20"/>
          <w:szCs w:val="20"/>
          <w:lang w:val="es-ES_tradnl"/>
        </w:rPr>
        <w:t>Autodefensas Campesinas de Córdoba y Urabá</w:t>
      </w:r>
      <w:r w:rsidR="00216A55" w:rsidRPr="004C0EA1">
        <w:rPr>
          <w:rFonts w:asciiTheme="majorHAnsi" w:hAnsiTheme="majorHAnsi"/>
          <w:bCs/>
          <w:color w:val="auto"/>
          <w:sz w:val="20"/>
          <w:szCs w:val="20"/>
          <w:lang w:val="es-ES_tradnl"/>
        </w:rPr>
        <w:t xml:space="preserve"> </w:t>
      </w:r>
      <w:bookmarkEnd w:id="2"/>
      <w:r w:rsidR="00216A55" w:rsidRPr="004C0EA1">
        <w:rPr>
          <w:rFonts w:asciiTheme="majorHAnsi" w:hAnsiTheme="majorHAnsi"/>
          <w:bCs/>
          <w:color w:val="auto"/>
          <w:sz w:val="20"/>
          <w:szCs w:val="20"/>
          <w:lang w:val="es-ES_tradnl"/>
        </w:rPr>
        <w:t xml:space="preserve">por delitos de terrorismo, homicidio, secuestro, </w:t>
      </w:r>
      <w:r w:rsidR="00591420" w:rsidRPr="004C0EA1">
        <w:rPr>
          <w:rFonts w:asciiTheme="majorHAnsi" w:hAnsiTheme="majorHAnsi"/>
          <w:bCs/>
          <w:color w:val="auto"/>
          <w:sz w:val="20"/>
          <w:szCs w:val="20"/>
          <w:lang w:val="es-ES_tradnl"/>
        </w:rPr>
        <w:t>robo y asociación ilícita para delinquir</w:t>
      </w:r>
      <w:r w:rsidR="009242F0" w:rsidRPr="004C0EA1">
        <w:rPr>
          <w:rFonts w:asciiTheme="majorHAnsi" w:hAnsiTheme="majorHAnsi"/>
          <w:bCs/>
          <w:color w:val="auto"/>
          <w:sz w:val="20"/>
          <w:szCs w:val="20"/>
          <w:lang w:val="es-ES_tradnl"/>
        </w:rPr>
        <w:t>, solicit</w:t>
      </w:r>
      <w:r w:rsidR="00455A27" w:rsidRPr="004C0EA1">
        <w:rPr>
          <w:rFonts w:asciiTheme="majorHAnsi" w:hAnsiTheme="majorHAnsi"/>
          <w:bCs/>
          <w:color w:val="auto"/>
          <w:sz w:val="20"/>
          <w:szCs w:val="20"/>
          <w:lang w:val="es-ES_tradnl"/>
        </w:rPr>
        <w:t>ando</w:t>
      </w:r>
      <w:r w:rsidR="009242F0" w:rsidRPr="004C0EA1">
        <w:rPr>
          <w:rFonts w:asciiTheme="majorHAnsi" w:hAnsiTheme="majorHAnsi"/>
          <w:bCs/>
          <w:color w:val="auto"/>
          <w:sz w:val="20"/>
          <w:szCs w:val="20"/>
          <w:lang w:val="es-ES_tradnl"/>
        </w:rPr>
        <w:t xml:space="preserve"> una rigurosa investigación y la extradición de los responsables</w:t>
      </w:r>
      <w:r w:rsidR="00455A27" w:rsidRPr="004C0EA1">
        <w:rPr>
          <w:rFonts w:asciiTheme="majorHAnsi" w:hAnsiTheme="majorHAnsi"/>
          <w:bCs/>
          <w:color w:val="auto"/>
          <w:sz w:val="20"/>
          <w:szCs w:val="20"/>
          <w:lang w:val="es-ES_tradnl"/>
        </w:rPr>
        <w:t>.</w:t>
      </w:r>
      <w:r w:rsidR="009242F0" w:rsidRPr="004C0EA1">
        <w:rPr>
          <w:rFonts w:asciiTheme="majorHAnsi" w:hAnsiTheme="majorHAnsi"/>
          <w:bCs/>
          <w:color w:val="auto"/>
          <w:sz w:val="20"/>
          <w:szCs w:val="20"/>
          <w:lang w:val="es-ES_tradnl"/>
        </w:rPr>
        <w:t xml:space="preserve"> </w:t>
      </w:r>
      <w:r w:rsidR="00F36066" w:rsidRPr="004C0EA1">
        <w:rPr>
          <w:rFonts w:asciiTheme="majorHAnsi" w:hAnsiTheme="majorHAnsi"/>
          <w:bCs/>
          <w:color w:val="auto"/>
          <w:sz w:val="20"/>
          <w:szCs w:val="20"/>
          <w:lang w:val="es-ES_tradnl"/>
        </w:rPr>
        <w:t>En tal sentido, destaca que</w:t>
      </w:r>
      <w:r w:rsidR="00455A27" w:rsidRPr="004C0EA1">
        <w:rPr>
          <w:rFonts w:asciiTheme="majorHAnsi" w:hAnsiTheme="majorHAnsi"/>
          <w:bCs/>
          <w:color w:val="auto"/>
          <w:sz w:val="20"/>
          <w:szCs w:val="20"/>
          <w:lang w:val="es-ES_tradnl"/>
        </w:rPr>
        <w:t xml:space="preserve"> </w:t>
      </w:r>
      <w:r w:rsidR="00726523" w:rsidRPr="004C0EA1">
        <w:rPr>
          <w:rFonts w:asciiTheme="majorHAnsi" w:hAnsiTheme="majorHAnsi"/>
          <w:bCs/>
          <w:color w:val="auto"/>
          <w:sz w:val="20"/>
          <w:szCs w:val="20"/>
          <w:lang w:val="es-ES_tradnl"/>
        </w:rPr>
        <w:t xml:space="preserve">la </w:t>
      </w:r>
      <w:r w:rsidR="00455A27" w:rsidRPr="004C0EA1">
        <w:rPr>
          <w:rFonts w:asciiTheme="majorHAnsi" w:hAnsiTheme="majorHAnsi"/>
          <w:bCs/>
          <w:color w:val="auto"/>
          <w:sz w:val="20"/>
          <w:szCs w:val="20"/>
          <w:lang w:val="es-ES_tradnl"/>
        </w:rPr>
        <w:t>F</w:t>
      </w:r>
      <w:r w:rsidR="00726523" w:rsidRPr="004C0EA1">
        <w:rPr>
          <w:rFonts w:asciiTheme="majorHAnsi" w:hAnsiTheme="majorHAnsi"/>
          <w:bCs/>
          <w:color w:val="auto"/>
          <w:sz w:val="20"/>
          <w:szCs w:val="20"/>
          <w:lang w:val="es-ES_tradnl"/>
        </w:rPr>
        <w:t xml:space="preserve">iscalía </w:t>
      </w:r>
      <w:r w:rsidR="00455A27" w:rsidRPr="004C0EA1">
        <w:rPr>
          <w:rFonts w:asciiTheme="majorHAnsi" w:hAnsiTheme="majorHAnsi"/>
          <w:bCs/>
          <w:color w:val="auto"/>
          <w:sz w:val="20"/>
          <w:szCs w:val="20"/>
          <w:lang w:val="es-ES_tradnl"/>
        </w:rPr>
        <w:t>S</w:t>
      </w:r>
      <w:r w:rsidR="00726523" w:rsidRPr="004C0EA1">
        <w:rPr>
          <w:rFonts w:asciiTheme="majorHAnsi" w:hAnsiTheme="majorHAnsi"/>
          <w:bCs/>
          <w:color w:val="auto"/>
          <w:sz w:val="20"/>
          <w:szCs w:val="20"/>
          <w:lang w:val="es-ES_tradnl"/>
        </w:rPr>
        <w:t xml:space="preserve">uperior </w:t>
      </w:r>
      <w:r w:rsidR="00455A27" w:rsidRPr="004C0EA1">
        <w:rPr>
          <w:rFonts w:asciiTheme="majorHAnsi" w:hAnsiTheme="majorHAnsi"/>
          <w:bCs/>
          <w:color w:val="auto"/>
          <w:sz w:val="20"/>
          <w:szCs w:val="20"/>
          <w:lang w:val="es-ES_tradnl"/>
        </w:rPr>
        <w:t>E</w:t>
      </w:r>
      <w:r w:rsidR="00726523" w:rsidRPr="004C0EA1">
        <w:rPr>
          <w:rFonts w:asciiTheme="majorHAnsi" w:hAnsiTheme="majorHAnsi"/>
          <w:bCs/>
          <w:color w:val="auto"/>
          <w:sz w:val="20"/>
          <w:szCs w:val="20"/>
          <w:lang w:val="es-ES_tradnl"/>
        </w:rPr>
        <w:t xml:space="preserve">special </w:t>
      </w:r>
      <w:r w:rsidR="005826DA" w:rsidRPr="004C0EA1">
        <w:rPr>
          <w:rFonts w:asciiTheme="majorHAnsi" w:hAnsiTheme="majorHAnsi"/>
          <w:bCs/>
          <w:color w:val="auto"/>
          <w:sz w:val="20"/>
          <w:szCs w:val="20"/>
          <w:lang w:val="es-ES_tradnl"/>
        </w:rPr>
        <w:t>tom</w:t>
      </w:r>
      <w:r w:rsidR="00F36066" w:rsidRPr="004C0EA1">
        <w:rPr>
          <w:rFonts w:asciiTheme="majorHAnsi" w:hAnsiTheme="majorHAnsi"/>
          <w:bCs/>
          <w:color w:val="auto"/>
          <w:sz w:val="20"/>
          <w:szCs w:val="20"/>
          <w:lang w:val="es-ES_tradnl"/>
        </w:rPr>
        <w:t>ó</w:t>
      </w:r>
      <w:r w:rsidR="005826DA" w:rsidRPr="004C0EA1">
        <w:rPr>
          <w:rFonts w:asciiTheme="majorHAnsi" w:hAnsiTheme="majorHAnsi"/>
          <w:bCs/>
          <w:color w:val="auto"/>
          <w:sz w:val="20"/>
          <w:szCs w:val="20"/>
          <w:lang w:val="es-ES_tradnl"/>
        </w:rPr>
        <w:t xml:space="preserve"> conocimiento </w:t>
      </w:r>
      <w:r w:rsidR="00455A27" w:rsidRPr="004C0EA1">
        <w:rPr>
          <w:rFonts w:asciiTheme="majorHAnsi" w:hAnsiTheme="majorHAnsi"/>
          <w:bCs/>
          <w:color w:val="auto"/>
          <w:sz w:val="20"/>
          <w:szCs w:val="20"/>
          <w:lang w:val="es-ES_tradnl"/>
        </w:rPr>
        <w:t>de la investigación</w:t>
      </w:r>
      <w:r w:rsidR="000D4920" w:rsidRPr="004C0EA1">
        <w:rPr>
          <w:rFonts w:asciiTheme="majorHAnsi" w:hAnsiTheme="majorHAnsi"/>
          <w:bCs/>
          <w:color w:val="auto"/>
          <w:sz w:val="20"/>
          <w:szCs w:val="20"/>
          <w:lang w:val="es-ES_tradnl"/>
        </w:rPr>
        <w:t xml:space="preserve"> el día siguiente</w:t>
      </w:r>
      <w:r w:rsidR="00BC4A99" w:rsidRPr="004C0EA1">
        <w:rPr>
          <w:rFonts w:asciiTheme="majorHAnsi" w:hAnsiTheme="majorHAnsi"/>
          <w:bCs/>
          <w:color w:val="auto"/>
          <w:sz w:val="20"/>
          <w:szCs w:val="20"/>
          <w:lang w:val="es-ES_tradnl"/>
        </w:rPr>
        <w:t xml:space="preserve">, </w:t>
      </w:r>
      <w:r w:rsidR="000D4920" w:rsidRPr="004C0EA1">
        <w:rPr>
          <w:rFonts w:asciiTheme="majorHAnsi" w:hAnsiTheme="majorHAnsi"/>
          <w:bCs/>
          <w:color w:val="auto"/>
          <w:sz w:val="20"/>
          <w:szCs w:val="20"/>
          <w:lang w:val="es-ES_tradnl"/>
        </w:rPr>
        <w:t>sin embargo</w:t>
      </w:r>
      <w:r w:rsidR="00F36066" w:rsidRPr="004C0EA1">
        <w:rPr>
          <w:rFonts w:asciiTheme="majorHAnsi" w:hAnsiTheme="majorHAnsi"/>
          <w:bCs/>
          <w:color w:val="auto"/>
          <w:sz w:val="20"/>
          <w:szCs w:val="20"/>
          <w:lang w:val="es-ES_tradnl"/>
        </w:rPr>
        <w:t xml:space="preserve">, </w:t>
      </w:r>
      <w:r w:rsidR="009416C6" w:rsidRPr="004C0EA1">
        <w:rPr>
          <w:rFonts w:asciiTheme="majorHAnsi" w:hAnsiTheme="majorHAnsi"/>
          <w:bCs/>
          <w:color w:val="auto"/>
          <w:sz w:val="20"/>
          <w:szCs w:val="20"/>
          <w:lang w:val="es-ES_tradnl"/>
        </w:rPr>
        <w:t xml:space="preserve">en el marco de esta, </w:t>
      </w:r>
      <w:r w:rsidR="00BC4A99" w:rsidRPr="004C0EA1">
        <w:rPr>
          <w:rFonts w:asciiTheme="majorHAnsi" w:hAnsiTheme="majorHAnsi"/>
          <w:bCs/>
          <w:color w:val="auto"/>
          <w:sz w:val="20"/>
          <w:szCs w:val="20"/>
          <w:lang w:val="es-ES_tradnl"/>
        </w:rPr>
        <w:t>se limitó a investigar</w:t>
      </w:r>
      <w:r w:rsidR="00E86C89" w:rsidRPr="004C0EA1">
        <w:rPr>
          <w:rFonts w:asciiTheme="majorHAnsi" w:hAnsiTheme="majorHAnsi"/>
          <w:bCs/>
          <w:color w:val="auto"/>
          <w:sz w:val="20"/>
          <w:szCs w:val="20"/>
          <w:lang w:val="es-ES_tradnl"/>
        </w:rPr>
        <w:t xml:space="preserve"> la vinculación y posible responsabilidad de</w:t>
      </w:r>
      <w:r w:rsidR="0006026A" w:rsidRPr="004C0EA1">
        <w:rPr>
          <w:rFonts w:asciiTheme="majorHAnsi" w:hAnsiTheme="majorHAnsi"/>
          <w:bCs/>
          <w:color w:val="auto"/>
          <w:sz w:val="20"/>
          <w:szCs w:val="20"/>
          <w:lang w:val="es-ES_tradnl"/>
        </w:rPr>
        <w:t xml:space="preserve">l </w:t>
      </w:r>
      <w:r w:rsidR="000D4920" w:rsidRPr="004C0EA1">
        <w:rPr>
          <w:rFonts w:asciiTheme="majorHAnsi" w:hAnsiTheme="majorHAnsi"/>
          <w:bCs/>
          <w:color w:val="auto"/>
          <w:sz w:val="20"/>
          <w:szCs w:val="20"/>
          <w:lang w:val="es-ES_tradnl"/>
        </w:rPr>
        <w:t>señor</w:t>
      </w:r>
      <w:r w:rsidR="00F36066" w:rsidRPr="004C0EA1">
        <w:rPr>
          <w:rFonts w:asciiTheme="majorHAnsi" w:hAnsiTheme="majorHAnsi"/>
          <w:bCs/>
          <w:color w:val="auto"/>
          <w:sz w:val="20"/>
          <w:szCs w:val="20"/>
          <w:lang w:val="es-ES_tradnl"/>
        </w:rPr>
        <w:t xml:space="preserve"> </w:t>
      </w:r>
      <w:r w:rsidR="00BC4A99" w:rsidRPr="004C0EA1">
        <w:rPr>
          <w:rFonts w:asciiTheme="majorHAnsi" w:hAnsiTheme="majorHAnsi"/>
          <w:bCs/>
          <w:color w:val="auto"/>
          <w:sz w:val="20"/>
          <w:szCs w:val="20"/>
          <w:lang w:val="es-ES_tradnl"/>
        </w:rPr>
        <w:t xml:space="preserve">V.M.A, quien </w:t>
      </w:r>
      <w:r w:rsidR="00F36066" w:rsidRPr="004C0EA1">
        <w:rPr>
          <w:rFonts w:asciiTheme="majorHAnsi" w:hAnsiTheme="majorHAnsi"/>
          <w:bCs/>
          <w:color w:val="auto"/>
          <w:sz w:val="20"/>
          <w:szCs w:val="20"/>
          <w:lang w:val="es-ES_tradnl"/>
        </w:rPr>
        <w:t xml:space="preserve">al momento de los hechos </w:t>
      </w:r>
      <w:r w:rsidR="0006026A" w:rsidRPr="004C0EA1">
        <w:rPr>
          <w:rFonts w:asciiTheme="majorHAnsi" w:hAnsiTheme="majorHAnsi"/>
          <w:bCs/>
          <w:color w:val="auto"/>
          <w:sz w:val="20"/>
          <w:szCs w:val="20"/>
          <w:lang w:val="es-ES_tradnl"/>
        </w:rPr>
        <w:t>era u</w:t>
      </w:r>
      <w:r w:rsidR="00F36066" w:rsidRPr="004C0EA1">
        <w:rPr>
          <w:rFonts w:asciiTheme="majorHAnsi" w:hAnsiTheme="majorHAnsi"/>
          <w:bCs/>
          <w:color w:val="auto"/>
          <w:sz w:val="20"/>
          <w:szCs w:val="20"/>
          <w:lang w:val="es-ES_tradnl"/>
        </w:rPr>
        <w:t xml:space="preserve">n </w:t>
      </w:r>
      <w:r w:rsidR="00BC4A99" w:rsidRPr="004C0EA1">
        <w:rPr>
          <w:rFonts w:asciiTheme="majorHAnsi" w:hAnsiTheme="majorHAnsi"/>
          <w:bCs/>
          <w:color w:val="auto"/>
          <w:sz w:val="20"/>
          <w:szCs w:val="20"/>
          <w:lang w:val="es-ES_tradnl"/>
        </w:rPr>
        <w:t xml:space="preserve">guía contratado por </w:t>
      </w:r>
      <w:r w:rsidR="00F36066" w:rsidRPr="004C0EA1">
        <w:rPr>
          <w:rFonts w:asciiTheme="majorHAnsi" w:hAnsiTheme="majorHAnsi"/>
          <w:bCs/>
          <w:color w:val="auto"/>
          <w:sz w:val="20"/>
          <w:szCs w:val="20"/>
          <w:lang w:val="es-ES_tradnl"/>
        </w:rPr>
        <w:t xml:space="preserve">tres </w:t>
      </w:r>
      <w:r w:rsidRPr="004C0EA1">
        <w:rPr>
          <w:rFonts w:asciiTheme="majorHAnsi" w:hAnsiTheme="majorHAnsi"/>
          <w:bCs/>
          <w:color w:val="auto"/>
          <w:sz w:val="20"/>
          <w:szCs w:val="20"/>
          <w:lang w:val="es-ES_tradnl"/>
        </w:rPr>
        <w:t>estadounidenses</w:t>
      </w:r>
      <w:r w:rsidR="00F36066" w:rsidRPr="004C0EA1">
        <w:rPr>
          <w:rFonts w:asciiTheme="majorHAnsi" w:hAnsiTheme="majorHAnsi"/>
          <w:bCs/>
          <w:color w:val="auto"/>
          <w:sz w:val="20"/>
          <w:szCs w:val="20"/>
          <w:lang w:val="es-ES_tradnl"/>
        </w:rPr>
        <w:t xml:space="preserve"> </w:t>
      </w:r>
      <w:r w:rsidRPr="004C0EA1">
        <w:rPr>
          <w:rFonts w:asciiTheme="majorHAnsi" w:hAnsiTheme="majorHAnsi"/>
          <w:bCs/>
          <w:color w:val="auto"/>
          <w:sz w:val="20"/>
          <w:szCs w:val="20"/>
          <w:lang w:val="es-ES_tradnl"/>
        </w:rPr>
        <w:t>para</w:t>
      </w:r>
      <w:r w:rsidR="00F36066" w:rsidRPr="004C0EA1">
        <w:rPr>
          <w:rFonts w:asciiTheme="majorHAnsi" w:hAnsiTheme="majorHAnsi"/>
          <w:bCs/>
          <w:color w:val="auto"/>
          <w:sz w:val="20"/>
          <w:szCs w:val="20"/>
          <w:lang w:val="es-ES_tradnl"/>
        </w:rPr>
        <w:t xml:space="preserve"> una expedición, todos quienes también habían sido </w:t>
      </w:r>
      <w:r w:rsidR="00C35CC5" w:rsidRPr="004C0EA1">
        <w:rPr>
          <w:rFonts w:asciiTheme="majorHAnsi" w:hAnsiTheme="majorHAnsi"/>
          <w:bCs/>
          <w:color w:val="auto"/>
          <w:sz w:val="20"/>
          <w:szCs w:val="20"/>
          <w:lang w:val="es-ES_tradnl"/>
        </w:rPr>
        <w:t xml:space="preserve">emboscados y </w:t>
      </w:r>
      <w:r w:rsidR="00F36066" w:rsidRPr="004C0EA1">
        <w:rPr>
          <w:rFonts w:asciiTheme="majorHAnsi" w:hAnsiTheme="majorHAnsi"/>
          <w:bCs/>
          <w:color w:val="auto"/>
          <w:sz w:val="20"/>
          <w:szCs w:val="20"/>
          <w:lang w:val="es-ES_tradnl"/>
        </w:rPr>
        <w:t xml:space="preserve">secuestrados por </w:t>
      </w:r>
      <w:r w:rsidRPr="004C0EA1">
        <w:rPr>
          <w:rFonts w:asciiTheme="majorHAnsi" w:hAnsiTheme="majorHAnsi"/>
          <w:bCs/>
          <w:color w:val="auto"/>
          <w:sz w:val="20"/>
          <w:szCs w:val="20"/>
          <w:lang w:val="es-ES_tradnl"/>
        </w:rPr>
        <w:t>las</w:t>
      </w:r>
      <w:r w:rsidR="00F36066" w:rsidRPr="004C0EA1">
        <w:rPr>
          <w:rFonts w:asciiTheme="majorHAnsi" w:hAnsiTheme="majorHAnsi"/>
          <w:bCs/>
          <w:color w:val="auto"/>
          <w:sz w:val="20"/>
          <w:szCs w:val="20"/>
          <w:lang w:val="es-ES_tradnl"/>
        </w:rPr>
        <w:t xml:space="preserve"> mism</w:t>
      </w:r>
      <w:r w:rsidRPr="004C0EA1">
        <w:rPr>
          <w:rFonts w:asciiTheme="majorHAnsi" w:hAnsiTheme="majorHAnsi"/>
          <w:bCs/>
          <w:color w:val="auto"/>
          <w:sz w:val="20"/>
          <w:szCs w:val="20"/>
          <w:lang w:val="es-ES_tradnl"/>
        </w:rPr>
        <w:t>a</w:t>
      </w:r>
      <w:r w:rsidR="00F36066" w:rsidRPr="004C0EA1">
        <w:rPr>
          <w:rFonts w:asciiTheme="majorHAnsi" w:hAnsiTheme="majorHAnsi"/>
          <w:bCs/>
          <w:color w:val="auto"/>
          <w:sz w:val="20"/>
          <w:szCs w:val="20"/>
          <w:lang w:val="es-ES_tradnl"/>
        </w:rPr>
        <w:t>s AUC</w:t>
      </w:r>
      <w:r w:rsidRPr="004C0EA1">
        <w:rPr>
          <w:rFonts w:asciiTheme="majorHAnsi" w:hAnsiTheme="majorHAnsi"/>
          <w:bCs/>
          <w:color w:val="auto"/>
          <w:sz w:val="20"/>
          <w:szCs w:val="20"/>
          <w:lang w:val="es-ES_tradnl"/>
        </w:rPr>
        <w:t>,</w:t>
      </w:r>
      <w:r w:rsidR="009416C6" w:rsidRPr="004C0EA1">
        <w:rPr>
          <w:sz w:val="20"/>
          <w:szCs w:val="20"/>
          <w:lang w:val="es-ES_tradnl"/>
        </w:rPr>
        <w:t xml:space="preserve"> y a receptar más de </w:t>
      </w:r>
      <w:r w:rsidRPr="004C0EA1">
        <w:rPr>
          <w:sz w:val="20"/>
          <w:szCs w:val="20"/>
          <w:lang w:val="es-ES_tradnl"/>
        </w:rPr>
        <w:t>cuarenta</w:t>
      </w:r>
      <w:r w:rsidR="009416C6" w:rsidRPr="004C0EA1">
        <w:rPr>
          <w:sz w:val="20"/>
          <w:szCs w:val="20"/>
          <w:lang w:val="es-ES_tradnl"/>
        </w:rPr>
        <w:t xml:space="preserve"> declaraciones</w:t>
      </w:r>
      <w:r w:rsidRPr="004C0EA1">
        <w:rPr>
          <w:sz w:val="20"/>
          <w:szCs w:val="20"/>
          <w:lang w:val="es-ES_tradnl"/>
        </w:rPr>
        <w:t>;</w:t>
      </w:r>
      <w:r w:rsidR="009416C6" w:rsidRPr="004C0EA1">
        <w:rPr>
          <w:sz w:val="20"/>
          <w:szCs w:val="20"/>
          <w:lang w:val="es-ES_tradnl"/>
        </w:rPr>
        <w:t xml:space="preserve"> sin solicitar a las autoridades colombianas</w:t>
      </w:r>
      <w:r w:rsidR="009416C6" w:rsidRPr="004C0EA1">
        <w:rPr>
          <w:rFonts w:asciiTheme="majorHAnsi" w:hAnsiTheme="majorHAnsi"/>
          <w:bCs/>
          <w:color w:val="auto"/>
          <w:sz w:val="20"/>
          <w:szCs w:val="20"/>
          <w:lang w:val="es-ES_tradnl"/>
        </w:rPr>
        <w:t xml:space="preserve"> alguna asistencia</w:t>
      </w:r>
      <w:r w:rsidR="009416C6" w:rsidRPr="004C0EA1">
        <w:rPr>
          <w:sz w:val="20"/>
          <w:szCs w:val="20"/>
          <w:lang w:val="es-ES_tradnl"/>
        </w:rPr>
        <w:t xml:space="preserve"> </w:t>
      </w:r>
      <w:r w:rsidR="009416C6" w:rsidRPr="004C0EA1">
        <w:rPr>
          <w:rFonts w:asciiTheme="majorHAnsi" w:hAnsiTheme="majorHAnsi"/>
          <w:bCs/>
          <w:sz w:val="20"/>
          <w:szCs w:val="20"/>
          <w:lang w:val="es-ES_tradnl"/>
        </w:rPr>
        <w:t>para dar con los paradero de los responsables</w:t>
      </w:r>
      <w:r w:rsidR="00BC4A99" w:rsidRPr="004C0EA1">
        <w:rPr>
          <w:rFonts w:asciiTheme="majorHAnsi" w:hAnsiTheme="majorHAnsi"/>
          <w:bCs/>
          <w:sz w:val="20"/>
          <w:szCs w:val="20"/>
          <w:lang w:val="es-ES_tradnl"/>
        </w:rPr>
        <w:t xml:space="preserve">. </w:t>
      </w:r>
    </w:p>
    <w:p w14:paraId="314DC4DC" w14:textId="77777777" w:rsidR="00EF75F1" w:rsidRPr="00EF75F1" w:rsidRDefault="00EF75F1" w:rsidP="00EF75F1">
      <w:pPr>
        <w:jc w:val="both"/>
        <w:rPr>
          <w:rFonts w:asciiTheme="majorHAnsi" w:hAnsiTheme="majorHAnsi"/>
          <w:bCs/>
          <w:sz w:val="20"/>
          <w:szCs w:val="20"/>
          <w:lang w:val="es-ES_tradnl"/>
        </w:rPr>
      </w:pPr>
    </w:p>
    <w:p w14:paraId="0CE47476" w14:textId="35E9ACCE" w:rsidR="00AF40F1" w:rsidRDefault="00BC4A99" w:rsidP="00EF75F1">
      <w:pPr>
        <w:pStyle w:val="ListParagraph"/>
        <w:numPr>
          <w:ilvl w:val="0"/>
          <w:numId w:val="56"/>
        </w:numPr>
        <w:ind w:left="0" w:firstLine="720"/>
        <w:jc w:val="both"/>
        <w:rPr>
          <w:rFonts w:asciiTheme="majorHAnsi" w:hAnsiTheme="majorHAnsi"/>
          <w:bCs/>
          <w:sz w:val="20"/>
          <w:szCs w:val="20"/>
          <w:lang w:val="es-ES_tradnl"/>
        </w:rPr>
      </w:pPr>
      <w:r w:rsidRPr="004C0EA1">
        <w:rPr>
          <w:rFonts w:asciiTheme="majorHAnsi" w:hAnsiTheme="majorHAnsi"/>
          <w:bCs/>
          <w:sz w:val="20"/>
          <w:szCs w:val="20"/>
          <w:lang w:val="es-ES_tradnl"/>
        </w:rPr>
        <w:t>E</w:t>
      </w:r>
      <w:r w:rsidR="00F85AF2" w:rsidRPr="004C0EA1">
        <w:rPr>
          <w:rFonts w:asciiTheme="majorHAnsi" w:hAnsiTheme="majorHAnsi"/>
          <w:bCs/>
          <w:sz w:val="20"/>
          <w:szCs w:val="20"/>
          <w:lang w:val="es-ES_tradnl"/>
        </w:rPr>
        <w:t xml:space="preserve">n </w:t>
      </w:r>
      <w:r w:rsidR="00A3538D" w:rsidRPr="004C0EA1">
        <w:rPr>
          <w:rFonts w:asciiTheme="majorHAnsi" w:hAnsiTheme="majorHAnsi"/>
          <w:bCs/>
          <w:sz w:val="20"/>
          <w:szCs w:val="20"/>
          <w:lang w:val="es-ES_tradnl"/>
        </w:rPr>
        <w:t>esa</w:t>
      </w:r>
      <w:r w:rsidR="00F85AF2" w:rsidRPr="004C0EA1">
        <w:rPr>
          <w:rFonts w:asciiTheme="majorHAnsi" w:hAnsiTheme="majorHAnsi"/>
          <w:bCs/>
          <w:sz w:val="20"/>
          <w:szCs w:val="20"/>
          <w:lang w:val="es-ES_tradnl"/>
        </w:rPr>
        <w:t xml:space="preserve"> línea, </w:t>
      </w:r>
      <w:r w:rsidR="00A3538D" w:rsidRPr="004C0EA1">
        <w:rPr>
          <w:rFonts w:asciiTheme="majorHAnsi" w:hAnsiTheme="majorHAnsi"/>
          <w:bCs/>
          <w:sz w:val="20"/>
          <w:szCs w:val="20"/>
          <w:lang w:val="es-ES_tradnl"/>
        </w:rPr>
        <w:t xml:space="preserve">la parte peticionaria </w:t>
      </w:r>
      <w:r w:rsidR="00F85AF2" w:rsidRPr="004C0EA1">
        <w:rPr>
          <w:rFonts w:asciiTheme="majorHAnsi" w:hAnsiTheme="majorHAnsi"/>
          <w:bCs/>
          <w:sz w:val="20"/>
          <w:szCs w:val="20"/>
          <w:lang w:val="es-ES_tradnl"/>
        </w:rPr>
        <w:t>e</w:t>
      </w:r>
      <w:r w:rsidRPr="004C0EA1">
        <w:rPr>
          <w:rFonts w:asciiTheme="majorHAnsi" w:hAnsiTheme="majorHAnsi"/>
          <w:bCs/>
          <w:sz w:val="20"/>
          <w:szCs w:val="20"/>
          <w:lang w:val="es-ES_tradnl"/>
        </w:rPr>
        <w:t>xplica que</w:t>
      </w:r>
      <w:r w:rsidR="00D40107" w:rsidRPr="004C0EA1">
        <w:rPr>
          <w:rFonts w:asciiTheme="majorHAnsi" w:hAnsiTheme="majorHAnsi"/>
          <w:bCs/>
          <w:sz w:val="20"/>
          <w:szCs w:val="20"/>
          <w:lang w:val="es-ES_tradnl"/>
        </w:rPr>
        <w:t xml:space="preserve"> la</w:t>
      </w:r>
      <w:r w:rsidR="000D4920" w:rsidRPr="004C0EA1">
        <w:rPr>
          <w:rFonts w:asciiTheme="majorHAnsi" w:hAnsiTheme="majorHAnsi"/>
          <w:bCs/>
          <w:sz w:val="20"/>
          <w:szCs w:val="20"/>
          <w:lang w:val="es-ES_tradnl"/>
        </w:rPr>
        <w:t xml:space="preserve"> F</w:t>
      </w:r>
      <w:r w:rsidR="00D40107" w:rsidRPr="004C0EA1">
        <w:rPr>
          <w:rFonts w:asciiTheme="majorHAnsi" w:hAnsiTheme="majorHAnsi"/>
          <w:bCs/>
          <w:sz w:val="20"/>
          <w:szCs w:val="20"/>
          <w:lang w:val="es-ES_tradnl"/>
        </w:rPr>
        <w:t xml:space="preserve">iscalía Superior </w:t>
      </w:r>
      <w:r w:rsidR="000D4920" w:rsidRPr="004C0EA1">
        <w:rPr>
          <w:rFonts w:asciiTheme="majorHAnsi" w:hAnsiTheme="majorHAnsi"/>
          <w:bCs/>
          <w:sz w:val="20"/>
          <w:szCs w:val="20"/>
          <w:lang w:val="es-ES_tradnl"/>
        </w:rPr>
        <w:t>E</w:t>
      </w:r>
      <w:r w:rsidR="00D40107" w:rsidRPr="004C0EA1">
        <w:rPr>
          <w:rFonts w:asciiTheme="majorHAnsi" w:hAnsiTheme="majorHAnsi"/>
          <w:bCs/>
          <w:sz w:val="20"/>
          <w:szCs w:val="20"/>
          <w:lang w:val="es-ES_tradnl"/>
        </w:rPr>
        <w:t xml:space="preserve">special </w:t>
      </w:r>
      <w:r w:rsidR="000D4920" w:rsidRPr="004C0EA1">
        <w:rPr>
          <w:rFonts w:asciiTheme="majorHAnsi" w:hAnsiTheme="majorHAnsi"/>
          <w:bCs/>
          <w:sz w:val="20"/>
          <w:szCs w:val="20"/>
          <w:lang w:val="es-ES_tradnl"/>
        </w:rPr>
        <w:t>emitió v</w:t>
      </w:r>
      <w:r w:rsidR="00D40107" w:rsidRPr="004C0EA1">
        <w:rPr>
          <w:rFonts w:asciiTheme="majorHAnsi" w:hAnsiTheme="majorHAnsi"/>
          <w:bCs/>
          <w:sz w:val="20"/>
          <w:szCs w:val="20"/>
          <w:lang w:val="es-ES_tradnl"/>
        </w:rPr>
        <w:t xml:space="preserve">ista </w:t>
      </w:r>
      <w:r w:rsidR="000D4920" w:rsidRPr="004C0EA1">
        <w:rPr>
          <w:rFonts w:asciiTheme="majorHAnsi" w:hAnsiTheme="majorHAnsi"/>
          <w:bCs/>
          <w:sz w:val="20"/>
          <w:szCs w:val="20"/>
          <w:lang w:val="es-ES_tradnl"/>
        </w:rPr>
        <w:t>f</w:t>
      </w:r>
      <w:r w:rsidR="00D40107" w:rsidRPr="004C0EA1">
        <w:rPr>
          <w:rFonts w:asciiTheme="majorHAnsi" w:hAnsiTheme="majorHAnsi"/>
          <w:bCs/>
          <w:sz w:val="20"/>
          <w:szCs w:val="20"/>
          <w:lang w:val="es-ES_tradnl"/>
        </w:rPr>
        <w:t>iscal No. 23 el 20 de octubre de 2003</w:t>
      </w:r>
      <w:r w:rsidR="000D4920" w:rsidRPr="004C0EA1">
        <w:rPr>
          <w:rFonts w:asciiTheme="majorHAnsi" w:hAnsiTheme="majorHAnsi"/>
          <w:bCs/>
          <w:sz w:val="20"/>
          <w:szCs w:val="20"/>
          <w:lang w:val="es-ES_tradnl"/>
        </w:rPr>
        <w:t xml:space="preserve"> solicit</w:t>
      </w:r>
      <w:r w:rsidR="00EF0048" w:rsidRPr="004C0EA1">
        <w:rPr>
          <w:rFonts w:asciiTheme="majorHAnsi" w:hAnsiTheme="majorHAnsi"/>
          <w:bCs/>
          <w:sz w:val="20"/>
          <w:szCs w:val="20"/>
          <w:lang w:val="es-ES_tradnl"/>
        </w:rPr>
        <w:t xml:space="preserve">ando </w:t>
      </w:r>
      <w:r w:rsidR="000D4920" w:rsidRPr="004C0EA1">
        <w:rPr>
          <w:rFonts w:asciiTheme="majorHAnsi" w:hAnsiTheme="majorHAnsi"/>
          <w:bCs/>
          <w:sz w:val="20"/>
          <w:szCs w:val="20"/>
          <w:lang w:val="es-ES_tradnl"/>
        </w:rPr>
        <w:t xml:space="preserve">el sobreseimiento provisional de la investigación </w:t>
      </w:r>
      <w:r w:rsidR="0006026A" w:rsidRPr="004C0EA1">
        <w:rPr>
          <w:rFonts w:asciiTheme="majorHAnsi" w:hAnsiTheme="majorHAnsi"/>
          <w:bCs/>
          <w:sz w:val="20"/>
          <w:szCs w:val="20"/>
          <w:lang w:val="es-ES_tradnl"/>
        </w:rPr>
        <w:t xml:space="preserve">seguida </w:t>
      </w:r>
      <w:r w:rsidR="000D4920" w:rsidRPr="004C0EA1">
        <w:rPr>
          <w:rFonts w:asciiTheme="majorHAnsi" w:hAnsiTheme="majorHAnsi"/>
          <w:bCs/>
          <w:sz w:val="20"/>
          <w:szCs w:val="20"/>
          <w:lang w:val="es-ES_tradnl"/>
        </w:rPr>
        <w:t xml:space="preserve">en contra de </w:t>
      </w:r>
      <w:r w:rsidR="00D40107" w:rsidRPr="004C0EA1">
        <w:rPr>
          <w:rFonts w:asciiTheme="majorHAnsi" w:hAnsiTheme="majorHAnsi"/>
          <w:bCs/>
          <w:sz w:val="20"/>
          <w:szCs w:val="20"/>
          <w:lang w:val="es-ES_tradnl"/>
        </w:rPr>
        <w:t xml:space="preserve">V.M.A. </w:t>
      </w:r>
      <w:r w:rsidR="000D4920" w:rsidRPr="004C0EA1">
        <w:rPr>
          <w:rFonts w:asciiTheme="majorHAnsi" w:hAnsiTheme="majorHAnsi"/>
          <w:bCs/>
          <w:sz w:val="20"/>
          <w:szCs w:val="20"/>
          <w:lang w:val="es-ES_tradnl"/>
        </w:rPr>
        <w:t>por los delitos cometidos en contra de las presuntas víctimas</w:t>
      </w:r>
      <w:r w:rsidR="00EF0048" w:rsidRPr="004C0EA1">
        <w:rPr>
          <w:rFonts w:asciiTheme="majorHAnsi" w:hAnsiTheme="majorHAnsi"/>
          <w:bCs/>
          <w:sz w:val="20"/>
          <w:szCs w:val="20"/>
          <w:lang w:val="es-ES_tradnl"/>
        </w:rPr>
        <w:t>, lo cual fue acordado por e</w:t>
      </w:r>
      <w:r w:rsidR="000D4920" w:rsidRPr="004C0EA1">
        <w:rPr>
          <w:rFonts w:asciiTheme="majorHAnsi" w:hAnsiTheme="majorHAnsi"/>
          <w:bCs/>
          <w:sz w:val="20"/>
          <w:szCs w:val="20"/>
          <w:lang w:val="es-ES_tradnl"/>
        </w:rPr>
        <w:t xml:space="preserve">l </w:t>
      </w:r>
      <w:r w:rsidR="00D40107" w:rsidRPr="004C0EA1">
        <w:rPr>
          <w:rFonts w:asciiTheme="majorHAnsi" w:hAnsiTheme="majorHAnsi"/>
          <w:bCs/>
          <w:sz w:val="20"/>
          <w:szCs w:val="20"/>
          <w:lang w:val="es-ES_tradnl"/>
        </w:rPr>
        <w:t xml:space="preserve">Segundo </w:t>
      </w:r>
      <w:r w:rsidR="000D4920" w:rsidRPr="004C0EA1">
        <w:rPr>
          <w:rFonts w:asciiTheme="majorHAnsi" w:hAnsiTheme="majorHAnsi"/>
          <w:bCs/>
          <w:sz w:val="20"/>
          <w:szCs w:val="20"/>
          <w:lang w:val="es-ES_tradnl"/>
        </w:rPr>
        <w:lastRenderedPageBreak/>
        <w:t>Tribunal</w:t>
      </w:r>
      <w:r w:rsidR="00D40107" w:rsidRPr="004C0EA1">
        <w:rPr>
          <w:rFonts w:asciiTheme="majorHAnsi" w:hAnsiTheme="majorHAnsi"/>
          <w:bCs/>
          <w:sz w:val="20"/>
          <w:szCs w:val="20"/>
          <w:lang w:val="es-ES_tradnl"/>
        </w:rPr>
        <w:t xml:space="preserve"> Superior del Primer Distrito Judicial de </w:t>
      </w:r>
      <w:r w:rsidR="000D4920" w:rsidRPr="004C0EA1">
        <w:rPr>
          <w:rFonts w:asciiTheme="majorHAnsi" w:hAnsiTheme="majorHAnsi"/>
          <w:bCs/>
          <w:sz w:val="20"/>
          <w:szCs w:val="20"/>
          <w:lang w:val="es-ES_tradnl"/>
        </w:rPr>
        <w:t>Panamá</w:t>
      </w:r>
      <w:r w:rsidR="00D40107" w:rsidRPr="004C0EA1">
        <w:rPr>
          <w:rFonts w:asciiTheme="majorHAnsi" w:hAnsiTheme="majorHAnsi"/>
          <w:bCs/>
          <w:sz w:val="20"/>
          <w:szCs w:val="20"/>
          <w:lang w:val="es-ES_tradnl"/>
        </w:rPr>
        <w:t xml:space="preserve"> </w:t>
      </w:r>
      <w:r w:rsidR="000D4920" w:rsidRPr="004C0EA1">
        <w:rPr>
          <w:rFonts w:asciiTheme="majorHAnsi" w:hAnsiTheme="majorHAnsi"/>
          <w:bCs/>
          <w:sz w:val="20"/>
          <w:szCs w:val="20"/>
          <w:lang w:val="es-ES_tradnl"/>
        </w:rPr>
        <w:t xml:space="preserve">el </w:t>
      </w:r>
      <w:r w:rsidR="00D40107" w:rsidRPr="004C0EA1">
        <w:rPr>
          <w:rFonts w:asciiTheme="majorHAnsi" w:hAnsiTheme="majorHAnsi"/>
          <w:bCs/>
          <w:sz w:val="20"/>
          <w:szCs w:val="20"/>
          <w:lang w:val="es-ES_tradnl"/>
        </w:rPr>
        <w:t xml:space="preserve">21 de noviembre de 2003 </w:t>
      </w:r>
      <w:r w:rsidR="000D4920" w:rsidRPr="004C0EA1">
        <w:rPr>
          <w:rFonts w:asciiTheme="majorHAnsi" w:hAnsiTheme="majorHAnsi"/>
          <w:bCs/>
          <w:sz w:val="20"/>
          <w:szCs w:val="20"/>
          <w:lang w:val="es-ES_tradnl"/>
        </w:rPr>
        <w:t xml:space="preserve">mediante el </w:t>
      </w:r>
      <w:r w:rsidR="00D40107" w:rsidRPr="004C0EA1">
        <w:rPr>
          <w:rFonts w:asciiTheme="majorHAnsi" w:hAnsiTheme="majorHAnsi"/>
          <w:bCs/>
          <w:sz w:val="20"/>
          <w:szCs w:val="20"/>
          <w:lang w:val="es-ES_tradnl"/>
        </w:rPr>
        <w:t>auto No.</w:t>
      </w:r>
      <w:r w:rsidR="00EF0048" w:rsidRPr="004C0EA1">
        <w:rPr>
          <w:rFonts w:asciiTheme="majorHAnsi" w:hAnsiTheme="majorHAnsi"/>
          <w:bCs/>
          <w:sz w:val="20"/>
          <w:szCs w:val="20"/>
          <w:lang w:val="es-ES_tradnl"/>
        </w:rPr>
        <w:t xml:space="preserve"> </w:t>
      </w:r>
      <w:r w:rsidR="00D40107" w:rsidRPr="004C0EA1">
        <w:rPr>
          <w:rFonts w:asciiTheme="majorHAnsi" w:hAnsiTheme="majorHAnsi"/>
          <w:bCs/>
          <w:sz w:val="20"/>
          <w:szCs w:val="20"/>
          <w:lang w:val="es-ES_tradnl"/>
        </w:rPr>
        <w:t>195</w:t>
      </w:r>
      <w:r w:rsidR="007350F9" w:rsidRPr="004C0EA1">
        <w:rPr>
          <w:rFonts w:asciiTheme="majorHAnsi" w:hAnsiTheme="majorHAnsi"/>
          <w:bCs/>
          <w:sz w:val="20"/>
          <w:szCs w:val="20"/>
          <w:lang w:val="es-ES_tradnl"/>
        </w:rPr>
        <w:t>;</w:t>
      </w:r>
      <w:r w:rsidR="00EF0048" w:rsidRPr="004C0EA1">
        <w:rPr>
          <w:rFonts w:asciiTheme="majorHAnsi" w:hAnsiTheme="majorHAnsi"/>
          <w:bCs/>
          <w:sz w:val="20"/>
          <w:szCs w:val="20"/>
          <w:lang w:val="es-ES_tradnl"/>
        </w:rPr>
        <w:t xml:space="preserve"> y</w:t>
      </w:r>
      <w:r w:rsidR="00E64C98" w:rsidRPr="004C0EA1">
        <w:rPr>
          <w:rFonts w:asciiTheme="majorHAnsi" w:hAnsiTheme="majorHAnsi"/>
          <w:bCs/>
          <w:sz w:val="20"/>
          <w:szCs w:val="20"/>
          <w:lang w:val="es-ES_tradnl"/>
        </w:rPr>
        <w:t xml:space="preserve"> luego</w:t>
      </w:r>
      <w:r w:rsidR="00EF0048" w:rsidRPr="004C0EA1">
        <w:rPr>
          <w:rFonts w:asciiTheme="majorHAnsi" w:hAnsiTheme="majorHAnsi"/>
          <w:bCs/>
          <w:sz w:val="20"/>
          <w:szCs w:val="20"/>
          <w:lang w:val="es-ES_tradnl"/>
        </w:rPr>
        <w:t xml:space="preserve"> confirmado </w:t>
      </w:r>
      <w:r w:rsidR="00AF40F1" w:rsidRPr="004C0EA1">
        <w:rPr>
          <w:rFonts w:asciiTheme="majorHAnsi" w:hAnsiTheme="majorHAnsi"/>
          <w:bCs/>
          <w:sz w:val="20"/>
          <w:szCs w:val="20"/>
          <w:lang w:val="es-ES_tradnl"/>
        </w:rPr>
        <w:t xml:space="preserve">por </w:t>
      </w:r>
      <w:r w:rsidRPr="004C0EA1">
        <w:rPr>
          <w:sz w:val="20"/>
          <w:szCs w:val="20"/>
          <w:lang w:val="es-ES_tradnl"/>
        </w:rPr>
        <w:t xml:space="preserve">la Sala Segunda de lo Penal de la Corte Suprema de Justicia </w:t>
      </w:r>
      <w:r w:rsidR="00801BC9" w:rsidRPr="004C0EA1">
        <w:rPr>
          <w:rFonts w:asciiTheme="majorHAnsi" w:hAnsiTheme="majorHAnsi"/>
          <w:bCs/>
          <w:sz w:val="20"/>
          <w:szCs w:val="20"/>
          <w:lang w:val="es-ES_tradnl"/>
        </w:rPr>
        <w:t xml:space="preserve">el </w:t>
      </w:r>
      <w:r w:rsidR="00CB773A" w:rsidRPr="004C0EA1">
        <w:rPr>
          <w:rFonts w:asciiTheme="majorHAnsi" w:hAnsiTheme="majorHAnsi"/>
          <w:bCs/>
          <w:sz w:val="20"/>
          <w:szCs w:val="20"/>
          <w:lang w:val="es-ES_tradnl"/>
        </w:rPr>
        <w:t xml:space="preserve">3 de septiembre de 2004 y </w:t>
      </w:r>
      <w:r w:rsidR="00EF0048" w:rsidRPr="004C0EA1">
        <w:rPr>
          <w:rFonts w:asciiTheme="majorHAnsi" w:hAnsiTheme="majorHAnsi"/>
          <w:bCs/>
          <w:sz w:val="20"/>
          <w:szCs w:val="20"/>
          <w:lang w:val="es-ES_tradnl"/>
        </w:rPr>
        <w:t xml:space="preserve">notificado </w:t>
      </w:r>
      <w:r w:rsidR="00F71EF9" w:rsidRPr="004C0EA1">
        <w:rPr>
          <w:rFonts w:asciiTheme="majorHAnsi" w:hAnsiTheme="majorHAnsi"/>
          <w:bCs/>
          <w:sz w:val="20"/>
          <w:szCs w:val="20"/>
          <w:lang w:val="es-ES_tradnl"/>
        </w:rPr>
        <w:t xml:space="preserve">mediante edicto </w:t>
      </w:r>
      <w:r w:rsidR="00EF0048" w:rsidRPr="004C0EA1">
        <w:rPr>
          <w:rFonts w:asciiTheme="majorHAnsi" w:hAnsiTheme="majorHAnsi"/>
          <w:bCs/>
          <w:sz w:val="20"/>
          <w:szCs w:val="20"/>
          <w:lang w:val="es-ES_tradnl"/>
        </w:rPr>
        <w:t xml:space="preserve">el </w:t>
      </w:r>
      <w:r w:rsidR="00801BC9" w:rsidRPr="004C0EA1">
        <w:rPr>
          <w:rFonts w:asciiTheme="majorHAnsi" w:hAnsiTheme="majorHAnsi"/>
          <w:bCs/>
          <w:sz w:val="20"/>
          <w:szCs w:val="20"/>
          <w:lang w:val="es-ES_tradnl"/>
        </w:rPr>
        <w:t>1 de octubre de 2004</w:t>
      </w:r>
      <w:r w:rsidR="00AF40F1" w:rsidRPr="004C0EA1">
        <w:rPr>
          <w:rFonts w:asciiTheme="majorHAnsi" w:hAnsiTheme="majorHAnsi"/>
          <w:bCs/>
          <w:sz w:val="20"/>
          <w:szCs w:val="20"/>
          <w:lang w:val="es-ES_tradnl"/>
        </w:rPr>
        <w:t xml:space="preserve">. La parte peticionaria destaca que mediante </w:t>
      </w:r>
      <w:r w:rsidR="00AB65A9" w:rsidRPr="004C0EA1">
        <w:rPr>
          <w:rFonts w:asciiTheme="majorHAnsi" w:hAnsiTheme="majorHAnsi"/>
          <w:bCs/>
          <w:sz w:val="20"/>
          <w:szCs w:val="20"/>
          <w:lang w:val="es-ES_tradnl"/>
        </w:rPr>
        <w:t xml:space="preserve">la </w:t>
      </w:r>
      <w:r w:rsidR="00F36066" w:rsidRPr="004C0EA1">
        <w:rPr>
          <w:rFonts w:asciiTheme="majorHAnsi" w:hAnsiTheme="majorHAnsi"/>
          <w:bCs/>
          <w:sz w:val="20"/>
          <w:szCs w:val="20"/>
          <w:lang w:val="es-ES_tradnl"/>
        </w:rPr>
        <w:t>resolución judicial No. 195 del 21 de noviembre de 2003</w:t>
      </w:r>
      <w:r w:rsidR="00E64C98" w:rsidRPr="004C0EA1">
        <w:rPr>
          <w:rFonts w:asciiTheme="majorHAnsi" w:hAnsiTheme="majorHAnsi"/>
          <w:bCs/>
          <w:sz w:val="20"/>
          <w:szCs w:val="20"/>
          <w:lang w:val="es-ES_tradnl"/>
        </w:rPr>
        <w:t xml:space="preserve">, el Segundo Tribunal Superior consideró probado </w:t>
      </w:r>
      <w:r w:rsidRPr="004C0EA1">
        <w:rPr>
          <w:sz w:val="20"/>
          <w:szCs w:val="20"/>
          <w:lang w:val="es-ES_tradnl"/>
        </w:rPr>
        <w:t xml:space="preserve">que </w:t>
      </w:r>
      <w:r w:rsidRPr="004C0EA1">
        <w:rPr>
          <w:rFonts w:asciiTheme="majorHAnsi" w:hAnsiTheme="majorHAnsi"/>
          <w:bCs/>
          <w:sz w:val="20"/>
          <w:szCs w:val="20"/>
          <w:lang w:val="es-ES_tradnl"/>
        </w:rPr>
        <w:t xml:space="preserve">los delitos </w:t>
      </w:r>
      <w:r w:rsidR="002D7266" w:rsidRPr="004C0EA1">
        <w:rPr>
          <w:rFonts w:asciiTheme="majorHAnsi" w:hAnsiTheme="majorHAnsi"/>
          <w:bCs/>
          <w:sz w:val="20"/>
          <w:szCs w:val="20"/>
          <w:lang w:val="es-ES_tradnl"/>
        </w:rPr>
        <w:t>fue</w:t>
      </w:r>
      <w:r w:rsidRPr="004C0EA1">
        <w:rPr>
          <w:rFonts w:asciiTheme="majorHAnsi" w:hAnsiTheme="majorHAnsi"/>
          <w:bCs/>
          <w:sz w:val="20"/>
          <w:szCs w:val="20"/>
          <w:lang w:val="es-ES_tradnl"/>
        </w:rPr>
        <w:t xml:space="preserve">ron </w:t>
      </w:r>
      <w:r w:rsidR="002D7266" w:rsidRPr="004C0EA1">
        <w:rPr>
          <w:rFonts w:asciiTheme="majorHAnsi" w:hAnsiTheme="majorHAnsi"/>
          <w:bCs/>
          <w:sz w:val="20"/>
          <w:szCs w:val="20"/>
          <w:lang w:val="es-ES_tradnl"/>
        </w:rPr>
        <w:t>cometido</w:t>
      </w:r>
      <w:r w:rsidRPr="004C0EA1">
        <w:rPr>
          <w:rFonts w:asciiTheme="majorHAnsi" w:hAnsiTheme="majorHAnsi"/>
          <w:bCs/>
          <w:sz w:val="20"/>
          <w:szCs w:val="20"/>
          <w:lang w:val="es-ES_tradnl"/>
        </w:rPr>
        <w:t>s</w:t>
      </w:r>
      <w:r w:rsidR="002D7266" w:rsidRPr="004C0EA1">
        <w:rPr>
          <w:rFonts w:asciiTheme="majorHAnsi" w:hAnsiTheme="majorHAnsi"/>
          <w:bCs/>
          <w:sz w:val="20"/>
          <w:szCs w:val="20"/>
          <w:lang w:val="es-ES_tradnl"/>
        </w:rPr>
        <w:t xml:space="preserve"> en la zona de frontera entre los Estados de Colombia y Panamá por las Autodefensas Campesinas de Córdoba y </w:t>
      </w:r>
      <w:r w:rsidRPr="004C0EA1">
        <w:rPr>
          <w:rFonts w:asciiTheme="majorHAnsi" w:hAnsiTheme="majorHAnsi"/>
          <w:bCs/>
          <w:sz w:val="20"/>
          <w:szCs w:val="20"/>
          <w:lang w:val="es-ES_tradnl"/>
        </w:rPr>
        <w:t xml:space="preserve">Urabá. </w:t>
      </w:r>
    </w:p>
    <w:p w14:paraId="609735E9" w14:textId="77777777" w:rsidR="00EF75F1" w:rsidRPr="00EF75F1" w:rsidRDefault="00EF75F1" w:rsidP="00EF75F1">
      <w:pPr>
        <w:jc w:val="both"/>
        <w:rPr>
          <w:rFonts w:asciiTheme="majorHAnsi" w:hAnsiTheme="majorHAnsi"/>
          <w:bCs/>
          <w:sz w:val="20"/>
          <w:szCs w:val="20"/>
          <w:lang w:val="es-ES_tradnl"/>
        </w:rPr>
      </w:pPr>
    </w:p>
    <w:p w14:paraId="6FAE87BA" w14:textId="05F3EFE4" w:rsidR="00E06CEE" w:rsidRDefault="00E06CEE" w:rsidP="00EF75F1">
      <w:pPr>
        <w:pStyle w:val="ListParagraph"/>
        <w:numPr>
          <w:ilvl w:val="0"/>
          <w:numId w:val="56"/>
        </w:numPr>
        <w:ind w:left="0" w:firstLine="720"/>
        <w:jc w:val="both"/>
        <w:rPr>
          <w:rFonts w:asciiTheme="majorHAnsi" w:hAnsiTheme="majorHAnsi"/>
          <w:bCs/>
          <w:color w:val="auto"/>
          <w:sz w:val="20"/>
          <w:szCs w:val="20"/>
          <w:lang w:val="es-ES_tradnl"/>
        </w:rPr>
      </w:pPr>
      <w:r w:rsidRPr="004C0EA1">
        <w:rPr>
          <w:rFonts w:asciiTheme="majorHAnsi" w:hAnsiTheme="majorHAnsi"/>
          <w:bCs/>
          <w:color w:val="auto"/>
          <w:sz w:val="20"/>
          <w:szCs w:val="20"/>
          <w:lang w:val="es-ES_tradnl"/>
        </w:rPr>
        <w:t xml:space="preserve">Alega que el Estado no cumplió con sus obligaciones de investigar de manera eficaz y diligente los hechos violentos ocurridos en tanto no </w:t>
      </w:r>
      <w:r w:rsidR="009416C6" w:rsidRPr="004C0EA1">
        <w:rPr>
          <w:rFonts w:asciiTheme="majorHAnsi" w:hAnsiTheme="majorHAnsi"/>
          <w:bCs/>
          <w:color w:val="auto"/>
          <w:sz w:val="20"/>
          <w:szCs w:val="20"/>
          <w:lang w:val="es-ES_tradnl"/>
        </w:rPr>
        <w:t xml:space="preserve">han esclarecidos los hechos o </w:t>
      </w:r>
      <w:r w:rsidRPr="004C0EA1">
        <w:rPr>
          <w:rFonts w:asciiTheme="majorHAnsi" w:hAnsiTheme="majorHAnsi"/>
          <w:bCs/>
          <w:color w:val="auto"/>
          <w:sz w:val="20"/>
          <w:szCs w:val="20"/>
          <w:lang w:val="es-ES_tradnl"/>
        </w:rPr>
        <w:t xml:space="preserve">identificado los responsables a pesar de contar con instrumentos internacionales en investigación penal extraterritorial y convenios de asistencia mutua. Por el contrario, indica que la fiscalía únicamente solicitó apoyo al Estado colombiano para tomar las declaraciones juradas de las personas norteamericanas que habían sido secuestradas y puestas en libertad por miembros de la AUC en el marco de los hechos alegados. </w:t>
      </w:r>
    </w:p>
    <w:p w14:paraId="7A46A1B7" w14:textId="77777777" w:rsidR="00EF75F1" w:rsidRPr="00EF75F1" w:rsidRDefault="00EF75F1" w:rsidP="00EF75F1">
      <w:pPr>
        <w:jc w:val="both"/>
        <w:rPr>
          <w:rFonts w:asciiTheme="majorHAnsi" w:hAnsiTheme="majorHAnsi"/>
          <w:bCs/>
          <w:sz w:val="20"/>
          <w:szCs w:val="20"/>
          <w:lang w:val="es-ES_tradnl"/>
        </w:rPr>
      </w:pPr>
    </w:p>
    <w:p w14:paraId="79D480B2" w14:textId="48B3A6FA" w:rsidR="00BA47CA" w:rsidRPr="00EF75F1" w:rsidRDefault="007350F9" w:rsidP="00EF75F1">
      <w:pPr>
        <w:pStyle w:val="ListParagraph"/>
        <w:numPr>
          <w:ilvl w:val="0"/>
          <w:numId w:val="56"/>
        </w:numPr>
        <w:ind w:left="0" w:firstLine="720"/>
        <w:jc w:val="both"/>
        <w:rPr>
          <w:rFonts w:asciiTheme="majorHAnsi" w:hAnsiTheme="majorHAnsi"/>
          <w:bCs/>
          <w:color w:val="auto"/>
          <w:sz w:val="20"/>
          <w:szCs w:val="20"/>
          <w:lang w:val="es-ES_tradnl"/>
        </w:rPr>
      </w:pPr>
      <w:r w:rsidRPr="004C0EA1">
        <w:rPr>
          <w:rFonts w:asciiTheme="majorHAnsi" w:hAnsiTheme="majorHAnsi"/>
          <w:bCs/>
          <w:color w:val="auto"/>
          <w:sz w:val="20"/>
          <w:szCs w:val="20"/>
          <w:lang w:val="es-ES_tradnl"/>
        </w:rPr>
        <w:t>La parte peticionaria s</w:t>
      </w:r>
      <w:r w:rsidR="00E06CEE" w:rsidRPr="004C0EA1">
        <w:rPr>
          <w:rFonts w:asciiTheme="majorHAnsi" w:hAnsiTheme="majorHAnsi"/>
          <w:bCs/>
          <w:color w:val="auto"/>
          <w:sz w:val="20"/>
          <w:szCs w:val="20"/>
          <w:lang w:val="es-ES_tradnl"/>
        </w:rPr>
        <w:t>ostiene</w:t>
      </w:r>
      <w:r w:rsidR="00AF40F1" w:rsidRPr="004C0EA1">
        <w:rPr>
          <w:rFonts w:asciiTheme="majorHAnsi" w:hAnsiTheme="majorHAnsi"/>
          <w:bCs/>
          <w:color w:val="auto"/>
          <w:sz w:val="20"/>
          <w:szCs w:val="20"/>
          <w:lang w:val="es-ES_tradnl"/>
        </w:rPr>
        <w:t xml:space="preserve"> sin dar mayor detalle, que los </w:t>
      </w:r>
      <w:r w:rsidR="00CB71AE" w:rsidRPr="004C0EA1">
        <w:rPr>
          <w:rFonts w:asciiTheme="majorHAnsi" w:hAnsiTheme="majorHAnsi"/>
          <w:bCs/>
          <w:color w:val="auto"/>
          <w:sz w:val="20"/>
          <w:szCs w:val="20"/>
          <w:lang w:val="es-ES_tradnl"/>
        </w:rPr>
        <w:t xml:space="preserve">miembros de las comunidades </w:t>
      </w:r>
      <w:r w:rsidR="00AF40F1" w:rsidRPr="004C0EA1">
        <w:rPr>
          <w:rFonts w:asciiTheme="majorHAnsi" w:hAnsiTheme="majorHAnsi"/>
          <w:bCs/>
          <w:color w:val="auto"/>
          <w:sz w:val="20"/>
          <w:szCs w:val="20"/>
          <w:lang w:val="es-ES_tradnl"/>
        </w:rPr>
        <w:t xml:space="preserve">kunas </w:t>
      </w:r>
      <w:r w:rsidR="00CB71AE" w:rsidRPr="004C0EA1">
        <w:rPr>
          <w:rFonts w:asciiTheme="majorHAnsi" w:hAnsiTheme="majorHAnsi"/>
          <w:bCs/>
          <w:color w:val="auto"/>
          <w:sz w:val="20"/>
          <w:szCs w:val="20"/>
          <w:lang w:val="es-ES_tradnl"/>
        </w:rPr>
        <w:t xml:space="preserve">tuvieron conocimiento </w:t>
      </w:r>
      <w:r w:rsidR="00AF40F1" w:rsidRPr="004C0EA1">
        <w:rPr>
          <w:rFonts w:asciiTheme="majorHAnsi" w:hAnsiTheme="majorHAnsi"/>
          <w:bCs/>
          <w:color w:val="auto"/>
          <w:sz w:val="20"/>
          <w:szCs w:val="20"/>
          <w:lang w:val="es-ES_tradnl"/>
        </w:rPr>
        <w:t>sobre el texto de</w:t>
      </w:r>
      <w:r w:rsidR="00CB71AE" w:rsidRPr="004C0EA1">
        <w:rPr>
          <w:rFonts w:asciiTheme="majorHAnsi" w:hAnsiTheme="majorHAnsi"/>
          <w:bCs/>
          <w:color w:val="auto"/>
          <w:sz w:val="20"/>
          <w:szCs w:val="20"/>
          <w:lang w:val="es-ES_tradnl"/>
        </w:rPr>
        <w:t xml:space="preserve"> esta </w:t>
      </w:r>
      <w:r w:rsidR="00CD02E4" w:rsidRPr="004C0EA1">
        <w:rPr>
          <w:rFonts w:asciiTheme="majorHAnsi" w:hAnsiTheme="majorHAnsi"/>
          <w:bCs/>
          <w:color w:val="auto"/>
          <w:sz w:val="20"/>
          <w:szCs w:val="20"/>
          <w:lang w:val="es-ES_tradnl"/>
        </w:rPr>
        <w:t xml:space="preserve">última </w:t>
      </w:r>
      <w:r w:rsidR="00CB71AE" w:rsidRPr="004C0EA1">
        <w:rPr>
          <w:rFonts w:asciiTheme="majorHAnsi" w:hAnsiTheme="majorHAnsi"/>
          <w:bCs/>
          <w:color w:val="auto"/>
          <w:sz w:val="20"/>
          <w:szCs w:val="20"/>
          <w:lang w:val="es-ES_tradnl"/>
        </w:rPr>
        <w:t xml:space="preserve">decisión </w:t>
      </w:r>
      <w:r w:rsidR="00AF40F1" w:rsidRPr="004C0EA1">
        <w:rPr>
          <w:rFonts w:asciiTheme="majorHAnsi" w:hAnsiTheme="majorHAnsi"/>
          <w:bCs/>
          <w:color w:val="auto"/>
          <w:sz w:val="20"/>
          <w:szCs w:val="20"/>
          <w:lang w:val="es-ES_tradnl"/>
        </w:rPr>
        <w:t xml:space="preserve">en el </w:t>
      </w:r>
      <w:r w:rsidR="00CB71AE" w:rsidRPr="004C0EA1">
        <w:rPr>
          <w:rFonts w:asciiTheme="majorHAnsi" w:hAnsiTheme="majorHAnsi"/>
          <w:bCs/>
          <w:color w:val="auto"/>
          <w:sz w:val="20"/>
          <w:szCs w:val="20"/>
          <w:lang w:val="es-ES_tradnl"/>
        </w:rPr>
        <w:t>2012</w:t>
      </w:r>
      <w:r w:rsidR="00113C5E" w:rsidRPr="004C0EA1">
        <w:rPr>
          <w:rFonts w:asciiTheme="majorHAnsi" w:hAnsiTheme="majorHAnsi"/>
          <w:bCs/>
          <w:color w:val="auto"/>
          <w:sz w:val="20"/>
          <w:szCs w:val="20"/>
          <w:lang w:val="es-ES_tradnl"/>
        </w:rPr>
        <w:t>,</w:t>
      </w:r>
      <w:r w:rsidR="00CB71AE" w:rsidRPr="004C0EA1">
        <w:rPr>
          <w:rFonts w:asciiTheme="majorHAnsi" w:hAnsiTheme="majorHAnsi"/>
          <w:bCs/>
          <w:color w:val="auto"/>
          <w:sz w:val="20"/>
          <w:szCs w:val="20"/>
          <w:lang w:val="es-ES_tradnl"/>
        </w:rPr>
        <w:t xml:space="preserve"> </w:t>
      </w:r>
      <w:r w:rsidR="00113C5E" w:rsidRPr="004C0EA1">
        <w:rPr>
          <w:rFonts w:asciiTheme="majorHAnsi" w:hAnsiTheme="majorHAnsi"/>
          <w:bCs/>
          <w:color w:val="auto"/>
          <w:sz w:val="20"/>
          <w:szCs w:val="20"/>
          <w:lang w:val="es-ES_tradnl"/>
        </w:rPr>
        <w:t xml:space="preserve">tras </w:t>
      </w:r>
      <w:r w:rsidR="00AF40F1" w:rsidRPr="004C0EA1">
        <w:rPr>
          <w:rFonts w:asciiTheme="majorHAnsi" w:hAnsiTheme="majorHAnsi"/>
          <w:bCs/>
          <w:color w:val="auto"/>
          <w:sz w:val="20"/>
          <w:szCs w:val="20"/>
          <w:lang w:val="es-ES_tradnl"/>
        </w:rPr>
        <w:t xml:space="preserve">haber ubicado </w:t>
      </w:r>
      <w:r w:rsidR="00AF40F1" w:rsidRPr="004C0EA1">
        <w:rPr>
          <w:color w:val="auto"/>
          <w:sz w:val="20"/>
          <w:szCs w:val="20"/>
          <w:lang w:val="es-ES_tradnl"/>
        </w:rPr>
        <w:t xml:space="preserve">el </w:t>
      </w:r>
      <w:r w:rsidR="00CB71AE" w:rsidRPr="004C0EA1">
        <w:rPr>
          <w:color w:val="auto"/>
          <w:sz w:val="20"/>
          <w:szCs w:val="20"/>
          <w:lang w:val="es-ES_tradnl"/>
        </w:rPr>
        <w:t>expediente físico</w:t>
      </w:r>
      <w:r w:rsidR="00AF40F1" w:rsidRPr="004C0EA1">
        <w:rPr>
          <w:color w:val="auto"/>
          <w:sz w:val="20"/>
          <w:szCs w:val="20"/>
          <w:lang w:val="es-ES_tradnl"/>
        </w:rPr>
        <w:t xml:space="preserve"> y solicitado </w:t>
      </w:r>
      <w:r w:rsidR="00CB71AE" w:rsidRPr="004C0EA1">
        <w:rPr>
          <w:color w:val="auto"/>
          <w:sz w:val="20"/>
          <w:szCs w:val="20"/>
          <w:lang w:val="es-ES_tradnl"/>
        </w:rPr>
        <w:t xml:space="preserve">copias al </w:t>
      </w:r>
      <w:r w:rsidR="00AF40F1" w:rsidRPr="004C0EA1">
        <w:rPr>
          <w:color w:val="auto"/>
          <w:sz w:val="20"/>
          <w:szCs w:val="20"/>
          <w:lang w:val="es-ES_tradnl"/>
        </w:rPr>
        <w:t>t</w:t>
      </w:r>
      <w:r w:rsidR="00CB71AE" w:rsidRPr="004C0EA1">
        <w:rPr>
          <w:color w:val="auto"/>
          <w:sz w:val="20"/>
          <w:szCs w:val="20"/>
          <w:lang w:val="es-ES_tradnl"/>
        </w:rPr>
        <w:t xml:space="preserve">ribunal </w:t>
      </w:r>
      <w:r w:rsidR="00AF40F1" w:rsidRPr="004C0EA1">
        <w:rPr>
          <w:color w:val="auto"/>
          <w:sz w:val="20"/>
          <w:szCs w:val="20"/>
          <w:lang w:val="es-ES_tradnl"/>
        </w:rPr>
        <w:t>desde el 2010. Así, sostiene que co</w:t>
      </w:r>
      <w:r w:rsidR="007A37FA" w:rsidRPr="004C0EA1">
        <w:rPr>
          <w:color w:val="auto"/>
          <w:sz w:val="20"/>
          <w:szCs w:val="20"/>
          <w:lang w:val="es-ES_tradnl"/>
        </w:rPr>
        <w:t>ntra la decisión de archivo del expediente no cabe recurso alguno, solo la presentación de nuevas evidencias que no est</w:t>
      </w:r>
      <w:r w:rsidR="00AF40F1" w:rsidRPr="004C0EA1">
        <w:rPr>
          <w:color w:val="auto"/>
          <w:sz w:val="20"/>
          <w:szCs w:val="20"/>
          <w:lang w:val="es-ES_tradnl"/>
        </w:rPr>
        <w:t>aría</w:t>
      </w:r>
      <w:r w:rsidR="007A37FA" w:rsidRPr="004C0EA1">
        <w:rPr>
          <w:color w:val="auto"/>
          <w:sz w:val="20"/>
          <w:szCs w:val="20"/>
          <w:lang w:val="es-ES_tradnl"/>
        </w:rPr>
        <w:t>n al alcance de</w:t>
      </w:r>
      <w:r w:rsidR="00AF40F1" w:rsidRPr="004C0EA1">
        <w:rPr>
          <w:color w:val="auto"/>
          <w:sz w:val="20"/>
          <w:szCs w:val="20"/>
          <w:lang w:val="es-ES_tradnl"/>
        </w:rPr>
        <w:t xml:space="preserve"> </w:t>
      </w:r>
      <w:r w:rsidR="007A37FA" w:rsidRPr="004C0EA1">
        <w:rPr>
          <w:color w:val="auto"/>
          <w:sz w:val="20"/>
          <w:szCs w:val="20"/>
          <w:lang w:val="es-ES_tradnl"/>
        </w:rPr>
        <w:t>l</w:t>
      </w:r>
      <w:r w:rsidR="00AF40F1" w:rsidRPr="004C0EA1">
        <w:rPr>
          <w:color w:val="auto"/>
          <w:sz w:val="20"/>
          <w:szCs w:val="20"/>
          <w:lang w:val="es-ES_tradnl"/>
        </w:rPr>
        <w:t>os fa</w:t>
      </w:r>
      <w:r w:rsidR="00113C5E" w:rsidRPr="004C0EA1">
        <w:rPr>
          <w:color w:val="auto"/>
          <w:sz w:val="20"/>
          <w:szCs w:val="20"/>
          <w:lang w:val="es-ES_tradnl"/>
        </w:rPr>
        <w:t>m</w:t>
      </w:r>
      <w:r w:rsidR="00AF40F1" w:rsidRPr="004C0EA1">
        <w:rPr>
          <w:color w:val="auto"/>
          <w:sz w:val="20"/>
          <w:szCs w:val="20"/>
          <w:lang w:val="es-ES_tradnl"/>
        </w:rPr>
        <w:t>iliares de las presuntas víctimas o de las comunidades indígenas</w:t>
      </w:r>
      <w:r w:rsidR="007A37FA" w:rsidRPr="004C0EA1">
        <w:rPr>
          <w:color w:val="auto"/>
          <w:sz w:val="20"/>
          <w:szCs w:val="20"/>
          <w:lang w:val="es-ES_tradnl"/>
        </w:rPr>
        <w:t xml:space="preserve"> por su</w:t>
      </w:r>
      <w:r w:rsidR="00AF40F1" w:rsidRPr="004C0EA1">
        <w:rPr>
          <w:color w:val="auto"/>
          <w:sz w:val="20"/>
          <w:szCs w:val="20"/>
          <w:lang w:val="es-ES_tradnl"/>
        </w:rPr>
        <w:t xml:space="preserve"> </w:t>
      </w:r>
      <w:r w:rsidR="007A37FA" w:rsidRPr="004C0EA1">
        <w:rPr>
          <w:color w:val="auto"/>
          <w:sz w:val="20"/>
          <w:szCs w:val="20"/>
          <w:lang w:val="es-ES_tradnl"/>
        </w:rPr>
        <w:t>aislamiento geográfico.</w:t>
      </w:r>
      <w:r w:rsidR="00CB71AE" w:rsidRPr="004C0EA1">
        <w:rPr>
          <w:color w:val="auto"/>
          <w:sz w:val="20"/>
          <w:szCs w:val="20"/>
          <w:lang w:val="es-ES_tradnl"/>
        </w:rPr>
        <w:t xml:space="preserve"> </w:t>
      </w:r>
      <w:r w:rsidR="00AF40F1" w:rsidRPr="004C0EA1">
        <w:rPr>
          <w:color w:val="auto"/>
          <w:sz w:val="20"/>
          <w:szCs w:val="20"/>
          <w:lang w:val="es-ES_tradnl"/>
        </w:rPr>
        <w:t>No obstante, afirma que t</w:t>
      </w:r>
      <w:r w:rsidR="007A37FA" w:rsidRPr="004C0EA1">
        <w:rPr>
          <w:bCs/>
          <w:color w:val="auto"/>
          <w:sz w:val="20"/>
          <w:szCs w:val="20"/>
          <w:lang w:val="es-ES_tradnl"/>
        </w:rPr>
        <w:t xml:space="preserve">odos los años las comunidades </w:t>
      </w:r>
      <w:r w:rsidR="00AF40F1" w:rsidRPr="004C0EA1">
        <w:rPr>
          <w:bCs/>
          <w:color w:val="auto"/>
          <w:sz w:val="20"/>
          <w:szCs w:val="20"/>
          <w:lang w:val="es-ES_tradnl"/>
        </w:rPr>
        <w:t xml:space="preserve">kunas </w:t>
      </w:r>
      <w:r w:rsidR="007A37FA" w:rsidRPr="004C0EA1">
        <w:rPr>
          <w:bCs/>
          <w:color w:val="auto"/>
          <w:sz w:val="20"/>
          <w:szCs w:val="20"/>
          <w:lang w:val="es-ES_tradnl"/>
        </w:rPr>
        <w:t>de</w:t>
      </w:r>
      <w:r w:rsidR="00AF40F1" w:rsidRPr="004C0EA1">
        <w:rPr>
          <w:bCs/>
          <w:color w:val="auto"/>
          <w:sz w:val="20"/>
          <w:szCs w:val="20"/>
          <w:lang w:val="es-ES_tradnl"/>
        </w:rPr>
        <w:t xml:space="preserve"> </w:t>
      </w:r>
      <w:r w:rsidR="007A37FA" w:rsidRPr="004C0EA1">
        <w:rPr>
          <w:bCs/>
          <w:color w:val="auto"/>
          <w:sz w:val="20"/>
          <w:szCs w:val="20"/>
          <w:lang w:val="es-ES_tradnl"/>
        </w:rPr>
        <w:t>Paya y P</w:t>
      </w:r>
      <w:r w:rsidR="00AF40F1" w:rsidRPr="004C0EA1">
        <w:rPr>
          <w:bCs/>
          <w:color w:val="auto"/>
          <w:sz w:val="20"/>
          <w:szCs w:val="20"/>
          <w:lang w:val="es-ES_tradnl"/>
        </w:rPr>
        <w:t>ú</w:t>
      </w:r>
      <w:r w:rsidR="007A37FA" w:rsidRPr="004C0EA1">
        <w:rPr>
          <w:bCs/>
          <w:color w:val="auto"/>
          <w:sz w:val="20"/>
          <w:szCs w:val="20"/>
          <w:lang w:val="es-ES_tradnl"/>
        </w:rPr>
        <w:t xml:space="preserve">curo exigen justicia al Estado </w:t>
      </w:r>
      <w:r w:rsidR="00113C5E" w:rsidRPr="004C0EA1">
        <w:rPr>
          <w:bCs/>
          <w:color w:val="auto"/>
          <w:sz w:val="20"/>
          <w:szCs w:val="20"/>
          <w:lang w:val="es-ES_tradnl"/>
        </w:rPr>
        <w:t>p</w:t>
      </w:r>
      <w:r w:rsidR="007A37FA" w:rsidRPr="004C0EA1">
        <w:rPr>
          <w:bCs/>
          <w:color w:val="auto"/>
          <w:sz w:val="20"/>
          <w:szCs w:val="20"/>
          <w:lang w:val="es-ES_tradnl"/>
        </w:rPr>
        <w:t xml:space="preserve">anameño a fin de que no queden impunes estos hechos. </w:t>
      </w:r>
      <w:r w:rsidR="00C070CA" w:rsidRPr="004C0EA1">
        <w:rPr>
          <w:bCs/>
          <w:color w:val="auto"/>
          <w:sz w:val="20"/>
          <w:szCs w:val="20"/>
          <w:lang w:val="es-ES_tradnl"/>
        </w:rPr>
        <w:t xml:space="preserve">En particular, la parte peticionaria </w:t>
      </w:r>
      <w:r w:rsidR="00C070CA" w:rsidRPr="004C0EA1">
        <w:rPr>
          <w:rFonts w:asciiTheme="majorHAnsi" w:hAnsiTheme="majorHAnsi"/>
          <w:bCs/>
          <w:color w:val="auto"/>
          <w:sz w:val="20"/>
          <w:szCs w:val="20"/>
          <w:lang w:val="es-ES_tradnl"/>
        </w:rPr>
        <w:t xml:space="preserve">explica </w:t>
      </w:r>
      <w:r w:rsidR="00AB65A9" w:rsidRPr="004C0EA1">
        <w:rPr>
          <w:rFonts w:asciiTheme="majorHAnsi" w:hAnsiTheme="majorHAnsi"/>
          <w:bCs/>
          <w:color w:val="auto"/>
          <w:sz w:val="20"/>
          <w:szCs w:val="20"/>
          <w:lang w:val="es-ES_tradnl"/>
        </w:rPr>
        <w:t>que e</w:t>
      </w:r>
      <w:r w:rsidR="00C865C3" w:rsidRPr="004C0EA1">
        <w:rPr>
          <w:color w:val="auto"/>
          <w:sz w:val="20"/>
          <w:szCs w:val="20"/>
          <w:lang w:val="es-ES_tradnl"/>
        </w:rPr>
        <w:t>n 201</w:t>
      </w:r>
      <w:r w:rsidR="00AB65A9" w:rsidRPr="004C0EA1">
        <w:rPr>
          <w:color w:val="auto"/>
          <w:sz w:val="20"/>
          <w:szCs w:val="20"/>
          <w:lang w:val="es-ES_tradnl"/>
        </w:rPr>
        <w:t xml:space="preserve">1 miembros de las comunidades indígenas </w:t>
      </w:r>
      <w:r w:rsidR="00E06CEE" w:rsidRPr="004C0EA1">
        <w:rPr>
          <w:color w:val="auto"/>
          <w:sz w:val="20"/>
          <w:szCs w:val="20"/>
          <w:lang w:val="es-ES_tradnl"/>
        </w:rPr>
        <w:t>k</w:t>
      </w:r>
      <w:r w:rsidR="00AB65A9" w:rsidRPr="004C0EA1">
        <w:rPr>
          <w:color w:val="auto"/>
          <w:sz w:val="20"/>
          <w:szCs w:val="20"/>
          <w:lang w:val="es-ES_tradnl"/>
        </w:rPr>
        <w:t>unas de Paya y Púcuro</w:t>
      </w:r>
      <w:r w:rsidR="007A37FA" w:rsidRPr="004C0EA1">
        <w:rPr>
          <w:color w:val="auto"/>
          <w:sz w:val="20"/>
          <w:szCs w:val="20"/>
          <w:lang w:val="es-ES_tradnl"/>
        </w:rPr>
        <w:t xml:space="preserve"> </w:t>
      </w:r>
      <w:r w:rsidR="002F2F06" w:rsidRPr="004C0EA1">
        <w:rPr>
          <w:color w:val="auto"/>
          <w:sz w:val="20"/>
          <w:szCs w:val="20"/>
          <w:lang w:val="es-ES_tradnl"/>
        </w:rPr>
        <w:t xml:space="preserve">presentaron solicitud ante el Ministerio de Relaciones Exteriores de Panamá para que exija a la República de Colombia una indemnización por los hechos violentos del 18 de enero de 2003 en virtud de la Ley 1448 de junio de 2011, </w:t>
      </w:r>
      <w:r w:rsidR="007A37FA" w:rsidRPr="004C0EA1">
        <w:rPr>
          <w:color w:val="auto"/>
          <w:sz w:val="20"/>
          <w:szCs w:val="20"/>
          <w:lang w:val="es-ES_tradnl"/>
        </w:rPr>
        <w:t xml:space="preserve">sin resultado alguno hasta la fecha, ni </w:t>
      </w:r>
      <w:r w:rsidR="00C070CA" w:rsidRPr="004C0EA1">
        <w:rPr>
          <w:color w:val="auto"/>
          <w:sz w:val="20"/>
          <w:szCs w:val="20"/>
          <w:lang w:val="es-ES_tradnl"/>
        </w:rPr>
        <w:t>otras diligencias realizadas</w:t>
      </w:r>
      <w:r w:rsidR="007A37FA" w:rsidRPr="004C0EA1">
        <w:rPr>
          <w:color w:val="auto"/>
          <w:sz w:val="20"/>
          <w:szCs w:val="20"/>
          <w:lang w:val="es-ES_tradnl"/>
        </w:rPr>
        <w:t xml:space="preserve"> por el Estado de Panamá</w:t>
      </w:r>
      <w:r w:rsidR="00C865C3" w:rsidRPr="004C0EA1">
        <w:rPr>
          <w:color w:val="auto"/>
          <w:sz w:val="20"/>
          <w:szCs w:val="20"/>
          <w:lang w:val="es-ES_tradnl"/>
        </w:rPr>
        <w:t xml:space="preserve">. </w:t>
      </w:r>
    </w:p>
    <w:p w14:paraId="2F19A58E" w14:textId="77777777" w:rsidR="00EF75F1" w:rsidRPr="004C0EA1" w:rsidRDefault="00EF75F1" w:rsidP="00EF75F1">
      <w:pPr>
        <w:pStyle w:val="ListParagraph"/>
        <w:jc w:val="both"/>
        <w:rPr>
          <w:rFonts w:asciiTheme="majorHAnsi" w:hAnsiTheme="majorHAnsi"/>
          <w:bCs/>
          <w:color w:val="auto"/>
          <w:sz w:val="20"/>
          <w:szCs w:val="20"/>
          <w:lang w:val="es-ES_tradnl"/>
        </w:rPr>
      </w:pPr>
    </w:p>
    <w:p w14:paraId="7540D738" w14:textId="05F0FF2C" w:rsidR="00A20CC0" w:rsidRDefault="00113C5E" w:rsidP="00EF75F1">
      <w:pPr>
        <w:pStyle w:val="ListParagraph"/>
        <w:numPr>
          <w:ilvl w:val="0"/>
          <w:numId w:val="56"/>
        </w:numPr>
        <w:ind w:left="0" w:firstLine="720"/>
        <w:jc w:val="both"/>
        <w:rPr>
          <w:rFonts w:asciiTheme="majorHAnsi" w:hAnsiTheme="majorHAnsi"/>
          <w:bCs/>
          <w:color w:val="auto"/>
          <w:sz w:val="20"/>
          <w:szCs w:val="20"/>
          <w:lang w:val="es-ES_tradnl"/>
        </w:rPr>
      </w:pPr>
      <w:r w:rsidRPr="004C0EA1">
        <w:rPr>
          <w:rFonts w:asciiTheme="majorHAnsi" w:hAnsiTheme="majorHAnsi"/>
          <w:bCs/>
          <w:color w:val="auto"/>
          <w:sz w:val="20"/>
          <w:szCs w:val="20"/>
          <w:lang w:val="es-ES_tradnl"/>
        </w:rPr>
        <w:t>En dicha línea, recalca</w:t>
      </w:r>
      <w:r w:rsidR="00C070CA" w:rsidRPr="004C0EA1">
        <w:rPr>
          <w:color w:val="auto"/>
          <w:sz w:val="20"/>
          <w:szCs w:val="20"/>
          <w:lang w:val="es-ES_tradnl"/>
        </w:rPr>
        <w:t xml:space="preserve"> </w:t>
      </w:r>
      <w:r w:rsidR="00BA47CA" w:rsidRPr="004C0EA1">
        <w:rPr>
          <w:color w:val="auto"/>
          <w:sz w:val="20"/>
          <w:szCs w:val="20"/>
          <w:lang w:val="es-ES_tradnl"/>
        </w:rPr>
        <w:t xml:space="preserve">que no </w:t>
      </w:r>
      <w:r w:rsidRPr="004C0EA1">
        <w:rPr>
          <w:color w:val="auto"/>
          <w:sz w:val="20"/>
          <w:szCs w:val="20"/>
          <w:lang w:val="es-ES_tradnl"/>
        </w:rPr>
        <w:t>han encontrado</w:t>
      </w:r>
      <w:r w:rsidR="00BA47CA" w:rsidRPr="004C0EA1">
        <w:rPr>
          <w:color w:val="auto"/>
          <w:sz w:val="20"/>
          <w:szCs w:val="20"/>
          <w:lang w:val="es-ES_tradnl"/>
        </w:rPr>
        <w:t xml:space="preserve"> ningún mecanismo legal efectivo en Panamá para hacer cumplir las obligaciones del Estado ante los resultados de las investigaciones</w:t>
      </w:r>
      <w:r w:rsidR="00C070CA" w:rsidRPr="004C0EA1">
        <w:rPr>
          <w:color w:val="auto"/>
          <w:sz w:val="20"/>
          <w:szCs w:val="20"/>
          <w:lang w:val="es-ES_tradnl"/>
        </w:rPr>
        <w:t xml:space="preserve">. </w:t>
      </w:r>
      <w:r w:rsidRPr="004C0EA1">
        <w:rPr>
          <w:color w:val="auto"/>
          <w:sz w:val="20"/>
          <w:szCs w:val="20"/>
          <w:lang w:val="es-ES_tradnl"/>
        </w:rPr>
        <w:t xml:space="preserve">Al no </w:t>
      </w:r>
      <w:r w:rsidR="00BA47CA" w:rsidRPr="004C0EA1">
        <w:rPr>
          <w:color w:val="auto"/>
          <w:sz w:val="20"/>
          <w:szCs w:val="20"/>
          <w:lang w:val="es-ES_tradnl"/>
        </w:rPr>
        <w:t>cabe</w:t>
      </w:r>
      <w:r w:rsidRPr="004C0EA1">
        <w:rPr>
          <w:color w:val="auto"/>
          <w:sz w:val="20"/>
          <w:szCs w:val="20"/>
          <w:lang w:val="es-ES_tradnl"/>
        </w:rPr>
        <w:t xml:space="preserve">r </w:t>
      </w:r>
      <w:r w:rsidR="00BA47CA" w:rsidRPr="004C0EA1">
        <w:rPr>
          <w:color w:val="auto"/>
          <w:sz w:val="20"/>
          <w:szCs w:val="20"/>
          <w:lang w:val="es-ES_tradnl"/>
        </w:rPr>
        <w:t xml:space="preserve">recurso alguno contra la decisión </w:t>
      </w:r>
      <w:r w:rsidR="00C42824" w:rsidRPr="004C0EA1">
        <w:rPr>
          <w:color w:val="auto"/>
          <w:sz w:val="20"/>
          <w:szCs w:val="20"/>
          <w:lang w:val="es-ES_tradnl"/>
        </w:rPr>
        <w:t xml:space="preserve">de sobreseimiento de la investigación </w:t>
      </w:r>
      <w:r w:rsidR="00BA47CA" w:rsidRPr="004C0EA1">
        <w:rPr>
          <w:color w:val="auto"/>
          <w:sz w:val="20"/>
          <w:szCs w:val="20"/>
          <w:lang w:val="es-ES_tradnl"/>
        </w:rPr>
        <w:t xml:space="preserve">de la Sala Segunda de la Corte Suprema de </w:t>
      </w:r>
      <w:r w:rsidRPr="004C0EA1">
        <w:rPr>
          <w:color w:val="auto"/>
          <w:sz w:val="20"/>
          <w:szCs w:val="20"/>
          <w:lang w:val="es-ES_tradnl"/>
        </w:rPr>
        <w:t xml:space="preserve">Justicia, no </w:t>
      </w:r>
      <w:r w:rsidR="00BA47CA" w:rsidRPr="004C0EA1">
        <w:rPr>
          <w:color w:val="auto"/>
          <w:sz w:val="20"/>
          <w:szCs w:val="20"/>
          <w:lang w:val="es-ES_tradnl"/>
        </w:rPr>
        <w:t xml:space="preserve">puedan exigir reparación vía los mecanismos de protección de derechos humanos, ya que todos los recursos presuponen la decisión de un órgano administrativo o judicial de responsabilidad. </w:t>
      </w:r>
      <w:r w:rsidR="008B162C" w:rsidRPr="004C0EA1">
        <w:rPr>
          <w:color w:val="auto"/>
          <w:sz w:val="20"/>
          <w:szCs w:val="20"/>
          <w:lang w:val="es-ES_tradnl"/>
        </w:rPr>
        <w:t xml:space="preserve">Argumenta que </w:t>
      </w:r>
      <w:r w:rsidR="00237367" w:rsidRPr="004C0EA1">
        <w:rPr>
          <w:color w:val="auto"/>
          <w:sz w:val="20"/>
          <w:szCs w:val="20"/>
          <w:lang w:val="es-ES_tradnl"/>
        </w:rPr>
        <w:t>corresponde</w:t>
      </w:r>
      <w:r w:rsidR="001D6858" w:rsidRPr="004C0EA1">
        <w:rPr>
          <w:color w:val="auto"/>
          <w:sz w:val="20"/>
          <w:szCs w:val="20"/>
          <w:lang w:val="es-ES_tradnl"/>
        </w:rPr>
        <w:t xml:space="preserve"> </w:t>
      </w:r>
      <w:r w:rsidR="008B162C" w:rsidRPr="004C0EA1">
        <w:rPr>
          <w:color w:val="auto"/>
          <w:sz w:val="20"/>
          <w:szCs w:val="20"/>
          <w:lang w:val="es-ES_tradnl"/>
        </w:rPr>
        <w:t>aplica</w:t>
      </w:r>
      <w:r w:rsidR="00237367" w:rsidRPr="004C0EA1">
        <w:rPr>
          <w:color w:val="auto"/>
          <w:sz w:val="20"/>
          <w:szCs w:val="20"/>
          <w:lang w:val="es-ES_tradnl"/>
        </w:rPr>
        <w:t xml:space="preserve">r </w:t>
      </w:r>
      <w:r w:rsidR="001D6858" w:rsidRPr="004C0EA1">
        <w:rPr>
          <w:color w:val="auto"/>
          <w:sz w:val="20"/>
          <w:szCs w:val="20"/>
          <w:lang w:val="es-ES_tradnl"/>
        </w:rPr>
        <w:t xml:space="preserve">a la presente petición </w:t>
      </w:r>
      <w:r w:rsidR="008B162C" w:rsidRPr="004C0EA1">
        <w:rPr>
          <w:color w:val="auto"/>
          <w:sz w:val="20"/>
          <w:szCs w:val="20"/>
          <w:lang w:val="es-ES_tradnl"/>
        </w:rPr>
        <w:t xml:space="preserve">las excepciones al agotamiento de los recursos internos en tanto </w:t>
      </w:r>
      <w:r w:rsidR="00237367" w:rsidRPr="004C0EA1">
        <w:rPr>
          <w:color w:val="auto"/>
          <w:sz w:val="20"/>
          <w:szCs w:val="20"/>
          <w:lang w:val="es-ES_tradnl"/>
        </w:rPr>
        <w:t>para e</w:t>
      </w:r>
      <w:r w:rsidR="008B162C" w:rsidRPr="004C0EA1">
        <w:rPr>
          <w:color w:val="auto"/>
          <w:sz w:val="20"/>
          <w:szCs w:val="20"/>
          <w:lang w:val="es-ES_tradnl"/>
        </w:rPr>
        <w:t>l momento de los hechos las comunidades</w:t>
      </w:r>
      <w:r w:rsidR="00237367" w:rsidRPr="004C0EA1">
        <w:rPr>
          <w:color w:val="auto"/>
          <w:sz w:val="20"/>
          <w:szCs w:val="20"/>
          <w:lang w:val="es-ES_tradnl"/>
        </w:rPr>
        <w:t xml:space="preserve"> </w:t>
      </w:r>
      <w:r w:rsidR="00F32ADD" w:rsidRPr="004C0EA1">
        <w:rPr>
          <w:color w:val="auto"/>
          <w:sz w:val="20"/>
          <w:szCs w:val="20"/>
          <w:lang w:val="es-ES_tradnl"/>
        </w:rPr>
        <w:t xml:space="preserve">indígenas kunas de Paya y Púcuro estaban en una </w:t>
      </w:r>
      <w:r w:rsidR="00237367" w:rsidRPr="004C0EA1">
        <w:rPr>
          <w:color w:val="auto"/>
          <w:sz w:val="20"/>
          <w:szCs w:val="20"/>
          <w:lang w:val="es-ES_tradnl"/>
        </w:rPr>
        <w:t xml:space="preserve">situación de vulnerabilidad </w:t>
      </w:r>
      <w:r w:rsidR="00F32ADD" w:rsidRPr="004C0EA1">
        <w:rPr>
          <w:color w:val="auto"/>
          <w:sz w:val="20"/>
          <w:szCs w:val="20"/>
          <w:lang w:val="es-ES_tradnl"/>
        </w:rPr>
        <w:t xml:space="preserve">y tenían una imposibilidad de viajar </w:t>
      </w:r>
      <w:r w:rsidR="008B162C" w:rsidRPr="004C0EA1">
        <w:rPr>
          <w:color w:val="auto"/>
          <w:sz w:val="20"/>
          <w:szCs w:val="20"/>
          <w:lang w:val="es-ES_tradnl"/>
        </w:rPr>
        <w:t xml:space="preserve">por </w:t>
      </w:r>
      <w:r w:rsidR="009B5847" w:rsidRPr="004C0EA1">
        <w:rPr>
          <w:color w:val="auto"/>
          <w:sz w:val="20"/>
          <w:szCs w:val="20"/>
          <w:lang w:val="es-ES_tradnl"/>
        </w:rPr>
        <w:t xml:space="preserve">el </w:t>
      </w:r>
      <w:r w:rsidR="008B162C" w:rsidRPr="004C0EA1">
        <w:rPr>
          <w:color w:val="auto"/>
          <w:sz w:val="20"/>
          <w:szCs w:val="20"/>
          <w:lang w:val="es-ES_tradnl"/>
        </w:rPr>
        <w:t>temor fundado a ser víctimas de los paramilitares y la misma guerrilla</w:t>
      </w:r>
      <w:r w:rsidR="008B162C" w:rsidRPr="004C0EA1">
        <w:rPr>
          <w:rFonts w:asciiTheme="majorHAnsi" w:hAnsiTheme="majorHAnsi"/>
          <w:bCs/>
          <w:color w:val="auto"/>
          <w:sz w:val="20"/>
          <w:szCs w:val="20"/>
          <w:lang w:val="es-ES_tradnl"/>
        </w:rPr>
        <w:t>.</w:t>
      </w:r>
      <w:r w:rsidR="00A20CC0" w:rsidRPr="004C0EA1">
        <w:rPr>
          <w:rFonts w:asciiTheme="majorHAnsi" w:hAnsiTheme="majorHAnsi"/>
          <w:bCs/>
          <w:color w:val="auto"/>
          <w:sz w:val="20"/>
          <w:szCs w:val="20"/>
          <w:lang w:val="es-ES_tradnl"/>
        </w:rPr>
        <w:t xml:space="preserve"> </w:t>
      </w:r>
    </w:p>
    <w:p w14:paraId="0979F283" w14:textId="77777777" w:rsidR="00EF75F1" w:rsidRPr="00EF75F1" w:rsidRDefault="00EF75F1" w:rsidP="00EF75F1">
      <w:pPr>
        <w:jc w:val="both"/>
        <w:rPr>
          <w:rFonts w:asciiTheme="majorHAnsi" w:hAnsiTheme="majorHAnsi"/>
          <w:bCs/>
          <w:sz w:val="20"/>
          <w:szCs w:val="20"/>
          <w:lang w:val="es-ES_tradnl"/>
        </w:rPr>
      </w:pPr>
    </w:p>
    <w:p w14:paraId="0775255A" w14:textId="672DE60A" w:rsidR="008B162C" w:rsidRDefault="008B162C"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sz w:val="20"/>
          <w:szCs w:val="20"/>
          <w:lang w:val="es-ES_tradnl"/>
        </w:rPr>
      </w:pPr>
      <w:r w:rsidRPr="004C0EA1">
        <w:rPr>
          <w:color w:val="auto"/>
          <w:sz w:val="20"/>
          <w:szCs w:val="20"/>
          <w:lang w:val="es-ES_tradnl"/>
        </w:rPr>
        <w:t>Con respecto al plazo de</w:t>
      </w:r>
      <w:r w:rsidR="00E733AD" w:rsidRPr="004C0EA1">
        <w:rPr>
          <w:color w:val="auto"/>
          <w:sz w:val="20"/>
          <w:szCs w:val="20"/>
          <w:lang w:val="es-ES_tradnl"/>
        </w:rPr>
        <w:t xml:space="preserve"> presentación de la petición, la parte peticionaria recalca que</w:t>
      </w:r>
      <w:r w:rsidR="00DB1B45" w:rsidRPr="004C0EA1">
        <w:rPr>
          <w:color w:val="auto"/>
          <w:sz w:val="20"/>
          <w:szCs w:val="20"/>
          <w:lang w:val="es-ES_tradnl"/>
        </w:rPr>
        <w:t xml:space="preserve"> </w:t>
      </w:r>
      <w:r w:rsidR="003C112C" w:rsidRPr="004C0EA1">
        <w:rPr>
          <w:color w:val="auto"/>
          <w:sz w:val="20"/>
          <w:szCs w:val="20"/>
          <w:lang w:val="es-ES_tradnl"/>
        </w:rPr>
        <w:t>durante</w:t>
      </w:r>
      <w:r w:rsidR="00787AF3" w:rsidRPr="004C0EA1">
        <w:rPr>
          <w:color w:val="auto"/>
          <w:sz w:val="20"/>
          <w:szCs w:val="20"/>
          <w:lang w:val="es-ES_tradnl"/>
        </w:rPr>
        <w:t xml:space="preserve"> el proceso penal l</w:t>
      </w:r>
      <w:r w:rsidR="00DB1B45" w:rsidRPr="004C0EA1">
        <w:rPr>
          <w:color w:val="auto"/>
          <w:sz w:val="20"/>
          <w:szCs w:val="20"/>
          <w:lang w:val="es-ES_tradnl"/>
        </w:rPr>
        <w:t xml:space="preserve">os familiares de las presuntas </w:t>
      </w:r>
      <w:r w:rsidR="00787AF3" w:rsidRPr="004C0EA1">
        <w:rPr>
          <w:color w:val="auto"/>
          <w:sz w:val="20"/>
          <w:szCs w:val="20"/>
          <w:lang w:val="es-ES_tradnl"/>
        </w:rPr>
        <w:t>v</w:t>
      </w:r>
      <w:r w:rsidR="00DB1B45" w:rsidRPr="004C0EA1">
        <w:rPr>
          <w:color w:val="auto"/>
          <w:sz w:val="20"/>
          <w:szCs w:val="20"/>
          <w:lang w:val="es-ES_tradnl"/>
        </w:rPr>
        <w:t>í</w:t>
      </w:r>
      <w:r w:rsidR="00787AF3" w:rsidRPr="004C0EA1">
        <w:rPr>
          <w:color w:val="auto"/>
          <w:sz w:val="20"/>
          <w:szCs w:val="20"/>
          <w:lang w:val="es-ES_tradnl"/>
        </w:rPr>
        <w:t xml:space="preserve">ctimas no tuvieron </w:t>
      </w:r>
      <w:r w:rsidR="003C112C" w:rsidRPr="004C0EA1">
        <w:rPr>
          <w:color w:val="auto"/>
          <w:sz w:val="20"/>
          <w:szCs w:val="20"/>
          <w:lang w:val="es-ES_tradnl"/>
        </w:rPr>
        <w:t xml:space="preserve">una </w:t>
      </w:r>
      <w:r w:rsidR="00787AF3" w:rsidRPr="004C0EA1">
        <w:rPr>
          <w:color w:val="auto"/>
          <w:sz w:val="20"/>
          <w:szCs w:val="20"/>
          <w:lang w:val="es-ES_tradnl"/>
        </w:rPr>
        <w:t xml:space="preserve">debida </w:t>
      </w:r>
      <w:r w:rsidR="00AF3FAB" w:rsidRPr="004C0EA1">
        <w:rPr>
          <w:sz w:val="20"/>
          <w:szCs w:val="20"/>
          <w:lang w:val="es-ES_tradnl"/>
        </w:rPr>
        <w:t>representación</w:t>
      </w:r>
      <w:r w:rsidR="00787AF3" w:rsidRPr="004C0EA1">
        <w:rPr>
          <w:sz w:val="20"/>
          <w:szCs w:val="20"/>
          <w:lang w:val="es-ES_tradnl"/>
        </w:rPr>
        <w:t xml:space="preserve"> </w:t>
      </w:r>
      <w:r w:rsidR="00DB1B45" w:rsidRPr="004C0EA1">
        <w:rPr>
          <w:sz w:val="20"/>
          <w:szCs w:val="20"/>
          <w:lang w:val="es-ES_tradnl"/>
        </w:rPr>
        <w:t xml:space="preserve">que les pudiera notificar sobre el cierre de la investigación </w:t>
      </w:r>
      <w:r w:rsidR="00787AF3" w:rsidRPr="004C0EA1">
        <w:rPr>
          <w:sz w:val="20"/>
          <w:szCs w:val="20"/>
          <w:lang w:val="es-ES_tradnl"/>
        </w:rPr>
        <w:t>en tanto fue</w:t>
      </w:r>
      <w:r w:rsidR="003C112C" w:rsidRPr="004C0EA1">
        <w:rPr>
          <w:sz w:val="20"/>
          <w:szCs w:val="20"/>
          <w:lang w:val="es-ES_tradnl"/>
        </w:rPr>
        <w:t xml:space="preserve">ron </w:t>
      </w:r>
      <w:r w:rsidR="00787AF3" w:rsidRPr="004C0EA1">
        <w:rPr>
          <w:sz w:val="20"/>
          <w:szCs w:val="20"/>
          <w:lang w:val="es-ES_tradnl"/>
        </w:rPr>
        <w:t>autoridades indígenas de otro</w:t>
      </w:r>
      <w:r w:rsidR="009D6ADC" w:rsidRPr="004C0EA1">
        <w:rPr>
          <w:sz w:val="20"/>
          <w:szCs w:val="20"/>
          <w:lang w:val="es-ES_tradnl"/>
        </w:rPr>
        <w:t>s</w:t>
      </w:r>
      <w:r w:rsidR="00787AF3" w:rsidRPr="004C0EA1">
        <w:rPr>
          <w:sz w:val="20"/>
          <w:szCs w:val="20"/>
          <w:lang w:val="es-ES_tradnl"/>
        </w:rPr>
        <w:t xml:space="preserve"> lugares del país </w:t>
      </w:r>
      <w:r w:rsidR="003C112C" w:rsidRPr="004C0EA1">
        <w:rPr>
          <w:sz w:val="20"/>
          <w:szCs w:val="20"/>
          <w:lang w:val="es-ES_tradnl"/>
        </w:rPr>
        <w:t xml:space="preserve">quienes hicieron el reclamo </w:t>
      </w:r>
      <w:r w:rsidR="00787AF3" w:rsidRPr="004C0EA1">
        <w:rPr>
          <w:sz w:val="20"/>
          <w:szCs w:val="20"/>
          <w:lang w:val="es-ES_tradnl"/>
        </w:rPr>
        <w:t xml:space="preserve">en solidaridad a las dos comunidades afectadas, siendo esta una denuncia penal y no una querella, </w:t>
      </w:r>
      <w:r w:rsidR="009D6ADC" w:rsidRPr="004C0EA1">
        <w:rPr>
          <w:sz w:val="20"/>
          <w:szCs w:val="20"/>
          <w:lang w:val="es-ES_tradnl"/>
        </w:rPr>
        <w:t>de acuerdo con</w:t>
      </w:r>
      <w:r w:rsidR="00787AF3" w:rsidRPr="004C0EA1">
        <w:rPr>
          <w:sz w:val="20"/>
          <w:szCs w:val="20"/>
          <w:lang w:val="es-ES_tradnl"/>
        </w:rPr>
        <w:t xml:space="preserve"> la legislación panameña. </w:t>
      </w:r>
      <w:r w:rsidR="001E1052" w:rsidRPr="004C0EA1">
        <w:rPr>
          <w:sz w:val="20"/>
          <w:szCs w:val="20"/>
          <w:lang w:val="es-ES_tradnl"/>
        </w:rPr>
        <w:t xml:space="preserve">Sostiene </w:t>
      </w:r>
      <w:r w:rsidR="00201A9B" w:rsidRPr="004C0EA1">
        <w:rPr>
          <w:sz w:val="20"/>
          <w:szCs w:val="20"/>
          <w:lang w:val="es-ES_tradnl"/>
        </w:rPr>
        <w:t>–</w:t>
      </w:r>
      <w:r w:rsidR="003C112C" w:rsidRPr="004C0EA1">
        <w:rPr>
          <w:sz w:val="20"/>
          <w:szCs w:val="20"/>
          <w:lang w:val="es-ES_tradnl"/>
        </w:rPr>
        <w:t>sin dar mayor detalle</w:t>
      </w:r>
      <w:r w:rsidR="00201A9B" w:rsidRPr="004C0EA1">
        <w:rPr>
          <w:sz w:val="20"/>
          <w:szCs w:val="20"/>
          <w:lang w:val="es-ES_tradnl"/>
        </w:rPr>
        <w:t>–</w:t>
      </w:r>
      <w:r w:rsidR="003C112C" w:rsidRPr="004C0EA1">
        <w:rPr>
          <w:sz w:val="20"/>
          <w:szCs w:val="20"/>
          <w:lang w:val="es-ES_tradnl"/>
        </w:rPr>
        <w:t xml:space="preserve"> </w:t>
      </w:r>
      <w:r w:rsidR="001E1052" w:rsidRPr="004C0EA1">
        <w:rPr>
          <w:sz w:val="20"/>
          <w:szCs w:val="20"/>
          <w:lang w:val="es-ES_tradnl"/>
        </w:rPr>
        <w:t xml:space="preserve">que a partir del 2003 y hasta la presentación de la </w:t>
      </w:r>
      <w:r w:rsidR="009B5847" w:rsidRPr="004C0EA1">
        <w:rPr>
          <w:sz w:val="20"/>
          <w:szCs w:val="20"/>
          <w:lang w:val="es-ES_tradnl"/>
        </w:rPr>
        <w:t>petición</w:t>
      </w:r>
      <w:r w:rsidR="001E1052" w:rsidRPr="004C0EA1">
        <w:rPr>
          <w:sz w:val="20"/>
          <w:szCs w:val="20"/>
          <w:lang w:val="es-ES_tradnl"/>
        </w:rPr>
        <w:t xml:space="preserve">, las comunidades kunas de Paya y Púcuro a través de resoluciones han reclamado </w:t>
      </w:r>
      <w:r w:rsidR="009B5847" w:rsidRPr="004C0EA1">
        <w:rPr>
          <w:sz w:val="20"/>
          <w:szCs w:val="20"/>
          <w:lang w:val="es-ES_tradnl"/>
        </w:rPr>
        <w:t>justicia</w:t>
      </w:r>
      <w:r w:rsidR="001E1052" w:rsidRPr="004C0EA1">
        <w:rPr>
          <w:sz w:val="20"/>
          <w:szCs w:val="20"/>
          <w:lang w:val="es-ES_tradnl"/>
        </w:rPr>
        <w:t xml:space="preserve"> al Estado por los hechos alegados sin que hayan tenido respuesta. Asimismo, considera que si bien e</w:t>
      </w:r>
      <w:r w:rsidRPr="004C0EA1">
        <w:rPr>
          <w:sz w:val="20"/>
          <w:szCs w:val="20"/>
          <w:lang w:val="es-ES_tradnl"/>
        </w:rPr>
        <w:t xml:space="preserve">xiste una </w:t>
      </w:r>
      <w:r w:rsidR="001E1052" w:rsidRPr="004C0EA1">
        <w:rPr>
          <w:sz w:val="20"/>
          <w:szCs w:val="20"/>
          <w:lang w:val="es-ES_tradnl"/>
        </w:rPr>
        <w:t>Defensoría</w:t>
      </w:r>
      <w:r w:rsidR="003C112C" w:rsidRPr="004C0EA1">
        <w:rPr>
          <w:sz w:val="20"/>
          <w:szCs w:val="20"/>
          <w:lang w:val="es-ES_tradnl"/>
        </w:rPr>
        <w:t xml:space="preserve">, </w:t>
      </w:r>
      <w:r w:rsidRPr="004C0EA1">
        <w:rPr>
          <w:sz w:val="20"/>
          <w:szCs w:val="20"/>
          <w:lang w:val="es-ES_tradnl"/>
        </w:rPr>
        <w:t xml:space="preserve">el </w:t>
      </w:r>
      <w:r w:rsidR="007858FF" w:rsidRPr="004C0EA1">
        <w:rPr>
          <w:sz w:val="20"/>
          <w:szCs w:val="20"/>
          <w:lang w:val="es-ES_tradnl"/>
        </w:rPr>
        <w:t>E</w:t>
      </w:r>
      <w:r w:rsidRPr="004C0EA1">
        <w:rPr>
          <w:sz w:val="20"/>
          <w:szCs w:val="20"/>
          <w:lang w:val="es-ES_tradnl"/>
        </w:rPr>
        <w:t>stado a través de dependencias competentes</w:t>
      </w:r>
      <w:r w:rsidR="007858FF" w:rsidRPr="004C0EA1">
        <w:rPr>
          <w:sz w:val="20"/>
          <w:szCs w:val="20"/>
          <w:lang w:val="es-ES_tradnl"/>
        </w:rPr>
        <w:t>,</w:t>
      </w:r>
      <w:r w:rsidRPr="004C0EA1">
        <w:rPr>
          <w:sz w:val="20"/>
          <w:szCs w:val="20"/>
          <w:lang w:val="es-ES_tradnl"/>
        </w:rPr>
        <w:t xml:space="preserve"> </w:t>
      </w:r>
      <w:r w:rsidR="003C112C" w:rsidRPr="004C0EA1">
        <w:rPr>
          <w:sz w:val="20"/>
          <w:szCs w:val="20"/>
          <w:lang w:val="es-ES_tradnl"/>
        </w:rPr>
        <w:t xml:space="preserve">no </w:t>
      </w:r>
      <w:r w:rsidRPr="004C0EA1">
        <w:rPr>
          <w:sz w:val="20"/>
          <w:szCs w:val="20"/>
          <w:lang w:val="es-ES_tradnl"/>
        </w:rPr>
        <w:t>inform</w:t>
      </w:r>
      <w:r w:rsidR="003C112C" w:rsidRPr="004C0EA1">
        <w:rPr>
          <w:sz w:val="20"/>
          <w:szCs w:val="20"/>
          <w:lang w:val="es-ES_tradnl"/>
        </w:rPr>
        <w:t xml:space="preserve">ó </w:t>
      </w:r>
      <w:r w:rsidRPr="004C0EA1">
        <w:rPr>
          <w:sz w:val="20"/>
          <w:szCs w:val="20"/>
          <w:lang w:val="es-ES_tradnl"/>
        </w:rPr>
        <w:t>a las autoridades indígenas o familiares de la</w:t>
      </w:r>
      <w:r w:rsidR="003C112C" w:rsidRPr="004C0EA1">
        <w:rPr>
          <w:sz w:val="20"/>
          <w:szCs w:val="20"/>
          <w:lang w:val="es-ES_tradnl"/>
        </w:rPr>
        <w:t xml:space="preserve">s presuntas </w:t>
      </w:r>
      <w:r w:rsidR="007858FF" w:rsidRPr="004C0EA1">
        <w:rPr>
          <w:sz w:val="20"/>
          <w:szCs w:val="20"/>
          <w:lang w:val="es-ES_tradnl"/>
        </w:rPr>
        <w:t>v</w:t>
      </w:r>
      <w:r w:rsidR="003C112C" w:rsidRPr="004C0EA1">
        <w:rPr>
          <w:sz w:val="20"/>
          <w:szCs w:val="20"/>
          <w:lang w:val="es-ES_tradnl"/>
        </w:rPr>
        <w:t>í</w:t>
      </w:r>
      <w:r w:rsidR="007858FF" w:rsidRPr="004C0EA1">
        <w:rPr>
          <w:sz w:val="20"/>
          <w:szCs w:val="20"/>
          <w:lang w:val="es-ES_tradnl"/>
        </w:rPr>
        <w:t>ctimas</w:t>
      </w:r>
      <w:r w:rsidR="003C112C" w:rsidRPr="004C0EA1">
        <w:rPr>
          <w:sz w:val="20"/>
          <w:szCs w:val="20"/>
          <w:lang w:val="es-ES_tradnl"/>
        </w:rPr>
        <w:t xml:space="preserve">, a pesar de las decenas de reclamos, </w:t>
      </w:r>
      <w:r w:rsidRPr="004C0EA1">
        <w:rPr>
          <w:sz w:val="20"/>
          <w:szCs w:val="20"/>
          <w:lang w:val="es-ES_tradnl"/>
        </w:rPr>
        <w:t xml:space="preserve">la posibilidad </w:t>
      </w:r>
      <w:r w:rsidR="003C112C" w:rsidRPr="004C0EA1">
        <w:rPr>
          <w:sz w:val="20"/>
          <w:szCs w:val="20"/>
          <w:lang w:val="es-ES_tradnl"/>
        </w:rPr>
        <w:t xml:space="preserve">de acudir a esta oficina </w:t>
      </w:r>
      <w:r w:rsidR="007858FF" w:rsidRPr="004C0EA1">
        <w:rPr>
          <w:sz w:val="20"/>
          <w:szCs w:val="20"/>
          <w:lang w:val="es-ES_tradnl"/>
        </w:rPr>
        <w:t xml:space="preserve">o que </w:t>
      </w:r>
      <w:r w:rsidRPr="004C0EA1">
        <w:rPr>
          <w:sz w:val="20"/>
          <w:szCs w:val="20"/>
          <w:lang w:val="es-ES_tradnl"/>
        </w:rPr>
        <w:t xml:space="preserve">en </w:t>
      </w:r>
      <w:r w:rsidR="003C112C" w:rsidRPr="004C0EA1">
        <w:rPr>
          <w:sz w:val="20"/>
          <w:szCs w:val="20"/>
          <w:lang w:val="es-ES_tradnl"/>
        </w:rPr>
        <w:t xml:space="preserve">dicha </w:t>
      </w:r>
      <w:r w:rsidRPr="004C0EA1">
        <w:rPr>
          <w:sz w:val="20"/>
          <w:szCs w:val="20"/>
          <w:lang w:val="es-ES_tradnl"/>
        </w:rPr>
        <w:t xml:space="preserve">dependencia existan abogados </w:t>
      </w:r>
      <w:r w:rsidR="003C112C" w:rsidRPr="004C0EA1">
        <w:rPr>
          <w:sz w:val="20"/>
          <w:szCs w:val="20"/>
          <w:lang w:val="es-ES_tradnl"/>
        </w:rPr>
        <w:t>bilingües</w:t>
      </w:r>
      <w:r w:rsidRPr="004C0EA1">
        <w:rPr>
          <w:sz w:val="20"/>
          <w:szCs w:val="20"/>
          <w:lang w:val="es-ES_tradnl"/>
        </w:rPr>
        <w:t xml:space="preserve"> de los </w:t>
      </w:r>
      <w:r w:rsidR="003C112C" w:rsidRPr="004C0EA1">
        <w:rPr>
          <w:sz w:val="20"/>
          <w:szCs w:val="20"/>
          <w:lang w:val="es-ES_tradnl"/>
        </w:rPr>
        <w:t>idiomas</w:t>
      </w:r>
      <w:r w:rsidRPr="004C0EA1">
        <w:rPr>
          <w:sz w:val="20"/>
          <w:szCs w:val="20"/>
          <w:lang w:val="es-ES_tradnl"/>
        </w:rPr>
        <w:t xml:space="preserve"> indígenas.</w:t>
      </w:r>
      <w:r w:rsidR="00D536BC" w:rsidRPr="004C0EA1">
        <w:rPr>
          <w:sz w:val="20"/>
          <w:szCs w:val="20"/>
          <w:lang w:val="es-ES_tradnl"/>
        </w:rPr>
        <w:t xml:space="preserve"> </w:t>
      </w:r>
    </w:p>
    <w:p w14:paraId="66DEECB7" w14:textId="77777777" w:rsidR="00EF75F1" w:rsidRPr="00EF75F1" w:rsidRDefault="00EF75F1" w:rsidP="00EF75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p>
    <w:p w14:paraId="6EEA7305" w14:textId="1997CAAF" w:rsidR="00C070CA" w:rsidRDefault="005A351B"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sz w:val="20"/>
          <w:szCs w:val="20"/>
          <w:lang w:val="es-ES_tradnl"/>
        </w:rPr>
      </w:pPr>
      <w:r w:rsidRPr="004C0EA1">
        <w:rPr>
          <w:sz w:val="20"/>
          <w:szCs w:val="20"/>
          <w:lang w:val="es-ES_tradnl"/>
        </w:rPr>
        <w:t>Frente al argumento del Estado, explica que</w:t>
      </w:r>
      <w:r w:rsidR="00EF75F1">
        <w:rPr>
          <w:sz w:val="20"/>
          <w:szCs w:val="20"/>
          <w:lang w:val="es-ES_tradnl"/>
        </w:rPr>
        <w:t>,</w:t>
      </w:r>
      <w:r w:rsidRPr="004C0EA1">
        <w:rPr>
          <w:sz w:val="20"/>
          <w:szCs w:val="20"/>
          <w:lang w:val="es-ES_tradnl"/>
        </w:rPr>
        <w:t xml:space="preserve"> s</w:t>
      </w:r>
      <w:r w:rsidR="00D536BC" w:rsidRPr="004C0EA1">
        <w:rPr>
          <w:sz w:val="20"/>
          <w:szCs w:val="20"/>
          <w:lang w:val="es-ES_tradnl"/>
        </w:rPr>
        <w:t xml:space="preserve">i bien las comunidades indígenas de Paya y Púcuro podían ser amparadas por los derechos de las víctimas establecidos en </w:t>
      </w:r>
      <w:r w:rsidR="00C070CA" w:rsidRPr="004C0EA1">
        <w:rPr>
          <w:sz w:val="20"/>
          <w:szCs w:val="20"/>
          <w:lang w:val="es-ES_tradnl"/>
        </w:rPr>
        <w:t xml:space="preserve">la </w:t>
      </w:r>
      <w:r w:rsidR="00D536BC" w:rsidRPr="004C0EA1">
        <w:rPr>
          <w:sz w:val="20"/>
          <w:szCs w:val="20"/>
          <w:lang w:val="es-ES_tradnl"/>
        </w:rPr>
        <w:t>L</w:t>
      </w:r>
      <w:r w:rsidR="00C070CA" w:rsidRPr="004C0EA1">
        <w:rPr>
          <w:sz w:val="20"/>
          <w:szCs w:val="20"/>
          <w:lang w:val="es-ES_tradnl"/>
        </w:rPr>
        <w:t xml:space="preserve">ey </w:t>
      </w:r>
      <w:r w:rsidR="00D536BC" w:rsidRPr="004C0EA1">
        <w:rPr>
          <w:sz w:val="20"/>
          <w:szCs w:val="20"/>
          <w:lang w:val="es-ES_tradnl"/>
        </w:rPr>
        <w:t xml:space="preserve">31 </w:t>
      </w:r>
      <w:r w:rsidR="00C070CA" w:rsidRPr="004C0EA1">
        <w:rPr>
          <w:sz w:val="20"/>
          <w:szCs w:val="20"/>
          <w:lang w:val="es-ES_tradnl"/>
        </w:rPr>
        <w:t>de v</w:t>
      </w:r>
      <w:r w:rsidR="00D536BC" w:rsidRPr="004C0EA1">
        <w:rPr>
          <w:sz w:val="20"/>
          <w:szCs w:val="20"/>
          <w:lang w:val="es-ES_tradnl"/>
        </w:rPr>
        <w:t>í</w:t>
      </w:r>
      <w:r w:rsidR="00C070CA" w:rsidRPr="004C0EA1">
        <w:rPr>
          <w:sz w:val="20"/>
          <w:szCs w:val="20"/>
          <w:lang w:val="es-ES_tradnl"/>
        </w:rPr>
        <w:t>ctimas de 1998</w:t>
      </w:r>
      <w:r w:rsidR="00D536BC" w:rsidRPr="004C0EA1">
        <w:rPr>
          <w:sz w:val="20"/>
          <w:szCs w:val="20"/>
          <w:lang w:val="es-ES_tradnl"/>
        </w:rPr>
        <w:t xml:space="preserve">, </w:t>
      </w:r>
      <w:r w:rsidR="00C070CA" w:rsidRPr="004C0EA1">
        <w:rPr>
          <w:sz w:val="20"/>
          <w:szCs w:val="20"/>
          <w:lang w:val="es-ES_tradnl"/>
        </w:rPr>
        <w:t>no presenta evidencias de c</w:t>
      </w:r>
      <w:r w:rsidR="00232FCB" w:rsidRPr="004C0EA1">
        <w:rPr>
          <w:sz w:val="20"/>
          <w:szCs w:val="20"/>
          <w:lang w:val="es-ES_tradnl"/>
        </w:rPr>
        <w:t>ó</w:t>
      </w:r>
      <w:r w:rsidR="00C070CA" w:rsidRPr="004C0EA1">
        <w:rPr>
          <w:sz w:val="20"/>
          <w:szCs w:val="20"/>
          <w:lang w:val="es-ES_tradnl"/>
        </w:rPr>
        <w:t>mo est</w:t>
      </w:r>
      <w:r w:rsidR="009D6ADC" w:rsidRPr="004C0EA1">
        <w:rPr>
          <w:sz w:val="20"/>
          <w:szCs w:val="20"/>
          <w:lang w:val="es-ES_tradnl"/>
        </w:rPr>
        <w:t>o</w:t>
      </w:r>
      <w:r w:rsidR="00C070CA" w:rsidRPr="004C0EA1">
        <w:rPr>
          <w:sz w:val="20"/>
          <w:szCs w:val="20"/>
          <w:lang w:val="es-ES_tradnl"/>
        </w:rPr>
        <w:t xml:space="preserve"> se imple</w:t>
      </w:r>
      <w:r w:rsidR="00D536BC" w:rsidRPr="004C0EA1">
        <w:rPr>
          <w:sz w:val="20"/>
          <w:szCs w:val="20"/>
          <w:lang w:val="es-ES_tradnl"/>
        </w:rPr>
        <w:t>me</w:t>
      </w:r>
      <w:r w:rsidR="00C070CA" w:rsidRPr="004C0EA1">
        <w:rPr>
          <w:sz w:val="20"/>
          <w:szCs w:val="20"/>
          <w:lang w:val="es-ES_tradnl"/>
        </w:rPr>
        <w:t>nt</w:t>
      </w:r>
      <w:r w:rsidR="00D536BC" w:rsidRPr="004C0EA1">
        <w:rPr>
          <w:sz w:val="20"/>
          <w:szCs w:val="20"/>
          <w:lang w:val="es-ES_tradnl"/>
        </w:rPr>
        <w:t xml:space="preserve">ó </w:t>
      </w:r>
      <w:r w:rsidR="00C070CA" w:rsidRPr="004C0EA1">
        <w:rPr>
          <w:sz w:val="20"/>
          <w:szCs w:val="20"/>
          <w:lang w:val="es-ES_tradnl"/>
        </w:rPr>
        <w:t xml:space="preserve">a fin de dar socorro jurídico </w:t>
      </w:r>
      <w:r w:rsidR="00D536BC" w:rsidRPr="004C0EA1">
        <w:rPr>
          <w:sz w:val="20"/>
          <w:szCs w:val="20"/>
          <w:lang w:val="es-ES_tradnl"/>
        </w:rPr>
        <w:t xml:space="preserve">o </w:t>
      </w:r>
      <w:r w:rsidR="00C070CA" w:rsidRPr="004C0EA1">
        <w:rPr>
          <w:sz w:val="20"/>
          <w:szCs w:val="20"/>
          <w:lang w:val="es-ES_tradnl"/>
        </w:rPr>
        <w:t>psicológico a los familiares y a la comunidad que se vio desplazada por temor a otra incursión militar</w:t>
      </w:r>
      <w:r w:rsidR="00EF75F1">
        <w:rPr>
          <w:sz w:val="20"/>
          <w:szCs w:val="20"/>
          <w:lang w:val="es-ES_tradnl"/>
        </w:rPr>
        <w:t>.</w:t>
      </w:r>
    </w:p>
    <w:p w14:paraId="17A5A6C6" w14:textId="77777777" w:rsidR="00EF75F1" w:rsidRPr="00EF75F1" w:rsidRDefault="00EF75F1" w:rsidP="00EF75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lang w:val="es-ES_tradnl"/>
        </w:rPr>
      </w:pPr>
    </w:p>
    <w:p w14:paraId="238A2DDD" w14:textId="6F474D40" w:rsidR="008203DA" w:rsidRPr="00EF75F1" w:rsidRDefault="005A351B"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bCs/>
          <w:sz w:val="20"/>
          <w:szCs w:val="20"/>
          <w:lang w:val="es-ES_tradnl"/>
        </w:rPr>
      </w:pPr>
      <w:r w:rsidRPr="004C0EA1">
        <w:rPr>
          <w:sz w:val="20"/>
          <w:szCs w:val="20"/>
          <w:lang w:val="es-ES_tradnl"/>
        </w:rPr>
        <w:t>Por su parte, e</w:t>
      </w:r>
      <w:r w:rsidR="0031380D" w:rsidRPr="004C0EA1">
        <w:rPr>
          <w:sz w:val="20"/>
          <w:szCs w:val="20"/>
          <w:lang w:val="es-ES_tradnl"/>
        </w:rPr>
        <w:t>l Estado sostiene que cumplió con su deber de investigar los hechos</w:t>
      </w:r>
      <w:r w:rsidRPr="004C0EA1">
        <w:rPr>
          <w:sz w:val="20"/>
          <w:szCs w:val="20"/>
          <w:lang w:val="es-ES_tradnl"/>
        </w:rPr>
        <w:t xml:space="preserve"> y </w:t>
      </w:r>
      <w:r w:rsidR="00232FCB" w:rsidRPr="004C0EA1">
        <w:rPr>
          <w:sz w:val="20"/>
          <w:szCs w:val="20"/>
          <w:lang w:val="es-ES_tradnl"/>
        </w:rPr>
        <w:t xml:space="preserve">que </w:t>
      </w:r>
      <w:r w:rsidRPr="004C0EA1">
        <w:rPr>
          <w:sz w:val="20"/>
          <w:szCs w:val="20"/>
          <w:lang w:val="es-ES_tradnl"/>
        </w:rPr>
        <w:t>la presente petición n</w:t>
      </w:r>
      <w:r w:rsidR="0031380D" w:rsidRPr="004C0EA1">
        <w:rPr>
          <w:sz w:val="20"/>
          <w:szCs w:val="20"/>
          <w:lang w:val="es-ES_tradnl"/>
        </w:rPr>
        <w:t xml:space="preserve">o se trata de un caso de impunidad. </w:t>
      </w:r>
      <w:r w:rsidRPr="004C0EA1">
        <w:rPr>
          <w:sz w:val="20"/>
          <w:szCs w:val="20"/>
          <w:lang w:val="es-ES_tradnl"/>
        </w:rPr>
        <w:t>Argumenta que la autoridad fiscal cumplió con sus obligaciones y fue e</w:t>
      </w:r>
      <w:r w:rsidR="0031380D" w:rsidRPr="004C0EA1">
        <w:rPr>
          <w:sz w:val="20"/>
          <w:szCs w:val="20"/>
          <w:lang w:val="es-ES_tradnl"/>
        </w:rPr>
        <w:t>l tribunal de la causa</w:t>
      </w:r>
      <w:r w:rsidRPr="004C0EA1">
        <w:rPr>
          <w:sz w:val="20"/>
          <w:szCs w:val="20"/>
          <w:lang w:val="es-ES_tradnl"/>
        </w:rPr>
        <w:t xml:space="preserve"> que</w:t>
      </w:r>
      <w:r w:rsidR="0031380D" w:rsidRPr="004C0EA1">
        <w:rPr>
          <w:sz w:val="20"/>
          <w:szCs w:val="20"/>
          <w:lang w:val="es-ES_tradnl"/>
        </w:rPr>
        <w:t xml:space="preserve"> decidió sobreseer provisionalmente </w:t>
      </w:r>
      <w:r w:rsidRPr="004C0EA1">
        <w:rPr>
          <w:sz w:val="20"/>
          <w:szCs w:val="20"/>
          <w:lang w:val="es-ES_tradnl"/>
        </w:rPr>
        <w:t>la investigación llevad</w:t>
      </w:r>
      <w:r w:rsidR="008203DA" w:rsidRPr="004C0EA1">
        <w:rPr>
          <w:sz w:val="20"/>
          <w:szCs w:val="20"/>
          <w:lang w:val="es-ES_tradnl"/>
        </w:rPr>
        <w:t>a</w:t>
      </w:r>
      <w:r w:rsidRPr="004C0EA1">
        <w:rPr>
          <w:sz w:val="20"/>
          <w:szCs w:val="20"/>
          <w:lang w:val="es-ES_tradnl"/>
        </w:rPr>
        <w:t xml:space="preserve"> en </w:t>
      </w:r>
      <w:r w:rsidRPr="004C0EA1">
        <w:rPr>
          <w:sz w:val="20"/>
          <w:szCs w:val="20"/>
          <w:lang w:val="es-ES_tradnl"/>
        </w:rPr>
        <w:lastRenderedPageBreak/>
        <w:t>contra V.M.A</w:t>
      </w:r>
      <w:r w:rsidR="00232FCB" w:rsidRPr="004C0EA1">
        <w:rPr>
          <w:sz w:val="20"/>
          <w:szCs w:val="20"/>
          <w:lang w:val="es-ES_tradnl"/>
        </w:rPr>
        <w:t>.</w:t>
      </w:r>
      <w:r w:rsidR="0031380D" w:rsidRPr="004C0EA1">
        <w:rPr>
          <w:sz w:val="20"/>
          <w:szCs w:val="20"/>
          <w:lang w:val="es-ES_tradnl"/>
        </w:rPr>
        <w:t xml:space="preserve"> debido a la escasez de elementos para vincularlo a los hechos. No obstante</w:t>
      </w:r>
      <w:r w:rsidR="00045AE3" w:rsidRPr="004C0EA1">
        <w:rPr>
          <w:sz w:val="20"/>
          <w:szCs w:val="20"/>
          <w:lang w:val="es-ES_tradnl"/>
        </w:rPr>
        <w:t xml:space="preserve">, aclara que dicha </w:t>
      </w:r>
      <w:r w:rsidR="0031380D" w:rsidRPr="004C0EA1">
        <w:rPr>
          <w:sz w:val="20"/>
          <w:szCs w:val="20"/>
          <w:lang w:val="es-ES_tradnl"/>
        </w:rPr>
        <w:t xml:space="preserve">medida posibilita la reapertura del sumario de surgir nuevos </w:t>
      </w:r>
      <w:r w:rsidR="00045AE3" w:rsidRPr="004C0EA1">
        <w:rPr>
          <w:sz w:val="20"/>
          <w:szCs w:val="20"/>
          <w:lang w:val="es-ES_tradnl"/>
        </w:rPr>
        <w:t>elementos</w:t>
      </w:r>
      <w:r w:rsidR="0031380D" w:rsidRPr="004C0EA1">
        <w:rPr>
          <w:sz w:val="20"/>
          <w:szCs w:val="20"/>
          <w:lang w:val="es-ES_tradnl"/>
        </w:rPr>
        <w:t xml:space="preserve"> probatorios. </w:t>
      </w:r>
    </w:p>
    <w:p w14:paraId="1D6B7A80" w14:textId="77777777" w:rsidR="00EF75F1" w:rsidRPr="00EF75F1" w:rsidRDefault="00EF75F1" w:rsidP="00EF75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sz w:val="20"/>
          <w:szCs w:val="20"/>
          <w:lang w:val="es-ES_tradnl"/>
        </w:rPr>
      </w:pPr>
    </w:p>
    <w:p w14:paraId="700E497B" w14:textId="37BB8AF1" w:rsidR="00232FCB" w:rsidRPr="00EF75F1" w:rsidRDefault="008203DA"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bCs/>
          <w:sz w:val="20"/>
          <w:szCs w:val="20"/>
          <w:lang w:val="es-ES_tradnl"/>
        </w:rPr>
      </w:pPr>
      <w:r w:rsidRPr="004C0EA1">
        <w:rPr>
          <w:sz w:val="20"/>
          <w:szCs w:val="20"/>
          <w:lang w:val="es-ES_tradnl"/>
        </w:rPr>
        <w:t xml:space="preserve">Argumenta que no se cumplen las excepciones al agotamiento de los recursos internos en tanto </w:t>
      </w:r>
      <w:r w:rsidR="00DD603F" w:rsidRPr="004C0EA1">
        <w:rPr>
          <w:sz w:val="20"/>
          <w:szCs w:val="20"/>
          <w:lang w:val="es-ES_tradnl"/>
        </w:rPr>
        <w:t xml:space="preserve">el auto No. 195 </w:t>
      </w:r>
      <w:r w:rsidRPr="004C0EA1">
        <w:rPr>
          <w:sz w:val="20"/>
          <w:szCs w:val="20"/>
          <w:lang w:val="es-ES_tradnl"/>
        </w:rPr>
        <w:t xml:space="preserve">emitido el </w:t>
      </w:r>
      <w:r w:rsidR="00DD603F" w:rsidRPr="004C0EA1">
        <w:rPr>
          <w:sz w:val="20"/>
          <w:szCs w:val="20"/>
          <w:lang w:val="es-ES_tradnl"/>
        </w:rPr>
        <w:t xml:space="preserve">21 de diciembre de 2003 </w:t>
      </w:r>
      <w:r w:rsidRPr="004C0EA1">
        <w:rPr>
          <w:sz w:val="20"/>
          <w:szCs w:val="20"/>
          <w:lang w:val="es-ES_tradnl"/>
        </w:rPr>
        <w:t xml:space="preserve">por el </w:t>
      </w:r>
      <w:r w:rsidR="00DD603F" w:rsidRPr="004C0EA1">
        <w:rPr>
          <w:sz w:val="20"/>
          <w:szCs w:val="20"/>
          <w:lang w:val="es-ES_tradnl"/>
        </w:rPr>
        <w:t xml:space="preserve">Segundo Tribunal Superior </w:t>
      </w:r>
      <w:r w:rsidRPr="004C0EA1">
        <w:rPr>
          <w:sz w:val="20"/>
          <w:szCs w:val="20"/>
          <w:lang w:val="es-ES_tradnl"/>
        </w:rPr>
        <w:t xml:space="preserve">demuestra que </w:t>
      </w:r>
      <w:r w:rsidR="00DD603F" w:rsidRPr="004C0EA1">
        <w:rPr>
          <w:sz w:val="20"/>
          <w:szCs w:val="20"/>
          <w:lang w:val="es-ES_tradnl"/>
        </w:rPr>
        <w:t xml:space="preserve">no hubo retardo en la investigación ni en la decisión del caso. </w:t>
      </w:r>
      <w:r w:rsidRPr="004C0EA1">
        <w:rPr>
          <w:sz w:val="20"/>
          <w:szCs w:val="20"/>
          <w:lang w:val="es-ES_tradnl"/>
        </w:rPr>
        <w:t xml:space="preserve">Agrega asimismo que la parte peticionaria hizo </w:t>
      </w:r>
      <w:r w:rsidR="00DD603F" w:rsidRPr="004C0EA1">
        <w:rPr>
          <w:sz w:val="20"/>
          <w:szCs w:val="20"/>
          <w:lang w:val="es-ES_tradnl"/>
        </w:rPr>
        <w:t>uso de los recursos que la ley les permite</w:t>
      </w:r>
      <w:r w:rsidRPr="004C0EA1">
        <w:rPr>
          <w:sz w:val="20"/>
          <w:szCs w:val="20"/>
          <w:lang w:val="es-ES_tradnl"/>
        </w:rPr>
        <w:t>,</w:t>
      </w:r>
      <w:r w:rsidR="00DD603F" w:rsidRPr="004C0EA1">
        <w:rPr>
          <w:sz w:val="20"/>
          <w:szCs w:val="20"/>
          <w:lang w:val="es-ES_tradnl"/>
        </w:rPr>
        <w:t xml:space="preserve"> así </w:t>
      </w:r>
      <w:r w:rsidRPr="004C0EA1">
        <w:rPr>
          <w:sz w:val="20"/>
          <w:szCs w:val="20"/>
          <w:lang w:val="es-ES_tradnl"/>
        </w:rPr>
        <w:t xml:space="preserve">como de </w:t>
      </w:r>
      <w:r w:rsidR="00DD603F" w:rsidRPr="004C0EA1">
        <w:rPr>
          <w:sz w:val="20"/>
          <w:szCs w:val="20"/>
          <w:lang w:val="es-ES_tradnl"/>
        </w:rPr>
        <w:t>su derecho a la defensa</w:t>
      </w:r>
      <w:r w:rsidRPr="004C0EA1">
        <w:rPr>
          <w:sz w:val="20"/>
          <w:szCs w:val="20"/>
          <w:lang w:val="es-ES_tradnl"/>
        </w:rPr>
        <w:t xml:space="preserve">. </w:t>
      </w:r>
      <w:r w:rsidR="00F22388" w:rsidRPr="004C0EA1">
        <w:rPr>
          <w:sz w:val="20"/>
          <w:szCs w:val="20"/>
          <w:lang w:val="es-ES_tradnl"/>
        </w:rPr>
        <w:t>En relación con</w:t>
      </w:r>
      <w:r w:rsidR="0031380D" w:rsidRPr="004C0EA1">
        <w:rPr>
          <w:sz w:val="20"/>
          <w:szCs w:val="20"/>
          <w:lang w:val="es-ES_tradnl"/>
        </w:rPr>
        <w:t xml:space="preserve"> la excepción de pobreza</w:t>
      </w:r>
      <w:r w:rsidR="00045AE3" w:rsidRPr="004C0EA1">
        <w:rPr>
          <w:sz w:val="20"/>
          <w:szCs w:val="20"/>
          <w:lang w:val="es-ES_tradnl"/>
        </w:rPr>
        <w:t xml:space="preserve">, argumenta </w:t>
      </w:r>
      <w:r w:rsidR="0031380D" w:rsidRPr="004C0EA1">
        <w:rPr>
          <w:sz w:val="20"/>
          <w:szCs w:val="20"/>
          <w:lang w:val="es-ES_tradnl"/>
        </w:rPr>
        <w:t>que</w:t>
      </w:r>
      <w:r w:rsidR="00DD603F" w:rsidRPr="004C0EA1">
        <w:rPr>
          <w:sz w:val="20"/>
          <w:szCs w:val="20"/>
          <w:lang w:val="es-ES_tradnl"/>
        </w:rPr>
        <w:t xml:space="preserve"> no queda claro las razones por la cual la parte peticionaria alega que no fueron amparad</w:t>
      </w:r>
      <w:r w:rsidR="00267C3F" w:rsidRPr="004C0EA1">
        <w:rPr>
          <w:sz w:val="20"/>
          <w:szCs w:val="20"/>
          <w:lang w:val="es-ES_tradnl"/>
        </w:rPr>
        <w:t>o</w:t>
      </w:r>
      <w:r w:rsidR="00DD603F" w:rsidRPr="004C0EA1">
        <w:rPr>
          <w:sz w:val="20"/>
          <w:szCs w:val="20"/>
          <w:lang w:val="es-ES_tradnl"/>
        </w:rPr>
        <w:t xml:space="preserve">s </w:t>
      </w:r>
      <w:r w:rsidRPr="004C0EA1">
        <w:rPr>
          <w:sz w:val="20"/>
          <w:szCs w:val="20"/>
          <w:lang w:val="es-ES_tradnl"/>
        </w:rPr>
        <w:t xml:space="preserve">sus derechos </w:t>
      </w:r>
      <w:r w:rsidR="00DD603F" w:rsidRPr="004C0EA1">
        <w:rPr>
          <w:sz w:val="20"/>
          <w:szCs w:val="20"/>
          <w:lang w:val="es-ES_tradnl"/>
        </w:rPr>
        <w:t xml:space="preserve">bajo </w:t>
      </w:r>
      <w:r w:rsidRPr="004C0EA1">
        <w:rPr>
          <w:sz w:val="20"/>
          <w:szCs w:val="20"/>
          <w:lang w:val="es-ES_tradnl"/>
        </w:rPr>
        <w:t>la Ley 31 del 28 de mayo de 1998 sobre la protección de víctimas del delito</w:t>
      </w:r>
      <w:r w:rsidR="00232FCB" w:rsidRPr="004C0EA1">
        <w:rPr>
          <w:sz w:val="20"/>
          <w:szCs w:val="20"/>
          <w:lang w:val="es-ES_tradnl"/>
        </w:rPr>
        <w:t>,</w:t>
      </w:r>
      <w:r w:rsidRPr="004C0EA1">
        <w:rPr>
          <w:sz w:val="20"/>
          <w:szCs w:val="20"/>
          <w:lang w:val="es-ES_tradnl"/>
        </w:rPr>
        <w:t xml:space="preserve"> </w:t>
      </w:r>
      <w:r w:rsidR="00232FCB" w:rsidRPr="004C0EA1">
        <w:rPr>
          <w:sz w:val="20"/>
          <w:szCs w:val="20"/>
          <w:lang w:val="es-ES_tradnl"/>
        </w:rPr>
        <w:t>pues</w:t>
      </w:r>
      <w:r w:rsidRPr="004C0EA1">
        <w:rPr>
          <w:sz w:val="20"/>
          <w:szCs w:val="20"/>
          <w:lang w:val="es-ES_tradnl"/>
        </w:rPr>
        <w:t xml:space="preserve"> </w:t>
      </w:r>
      <w:r w:rsidR="00DD603F" w:rsidRPr="004C0EA1">
        <w:rPr>
          <w:sz w:val="20"/>
          <w:szCs w:val="20"/>
          <w:lang w:val="es-ES_tradnl"/>
        </w:rPr>
        <w:t>se desprende de las p</w:t>
      </w:r>
      <w:r w:rsidRPr="004C0EA1">
        <w:rPr>
          <w:sz w:val="20"/>
          <w:szCs w:val="20"/>
          <w:lang w:val="es-ES_tradnl"/>
        </w:rPr>
        <w:t>ie</w:t>
      </w:r>
      <w:r w:rsidR="00DD603F" w:rsidRPr="004C0EA1">
        <w:rPr>
          <w:sz w:val="20"/>
          <w:szCs w:val="20"/>
          <w:lang w:val="es-ES_tradnl"/>
        </w:rPr>
        <w:t xml:space="preserve">zas procesales que </w:t>
      </w:r>
      <w:r w:rsidR="00556B68" w:rsidRPr="004C0EA1">
        <w:rPr>
          <w:sz w:val="20"/>
          <w:szCs w:val="20"/>
          <w:lang w:val="es-ES_tradnl"/>
        </w:rPr>
        <w:t xml:space="preserve">las comunidades indígenas de Paya y Púcuro </w:t>
      </w:r>
      <w:r w:rsidR="00DD603F" w:rsidRPr="004C0EA1">
        <w:rPr>
          <w:sz w:val="20"/>
          <w:szCs w:val="20"/>
          <w:lang w:val="es-ES_tradnl"/>
        </w:rPr>
        <w:t>fueron debidamente representadas por sus abogado</w:t>
      </w:r>
      <w:r w:rsidR="00556B68" w:rsidRPr="004C0EA1">
        <w:rPr>
          <w:sz w:val="20"/>
          <w:szCs w:val="20"/>
          <w:lang w:val="es-ES_tradnl"/>
        </w:rPr>
        <w:t xml:space="preserve">s, no siendo </w:t>
      </w:r>
      <w:r w:rsidR="00DD603F" w:rsidRPr="004C0EA1">
        <w:rPr>
          <w:sz w:val="20"/>
          <w:szCs w:val="20"/>
          <w:lang w:val="es-ES_tradnl"/>
        </w:rPr>
        <w:t>necesario solicitar patrocinio jurídico gratuito</w:t>
      </w:r>
      <w:r w:rsidR="0031380D" w:rsidRPr="004C0EA1">
        <w:rPr>
          <w:sz w:val="20"/>
          <w:szCs w:val="20"/>
          <w:lang w:val="es-ES_tradnl"/>
        </w:rPr>
        <w:t xml:space="preserve">. </w:t>
      </w:r>
    </w:p>
    <w:p w14:paraId="30CDFF2B" w14:textId="77777777" w:rsidR="00EF75F1" w:rsidRPr="00EF75F1" w:rsidRDefault="00EF75F1" w:rsidP="00EF75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sz w:val="20"/>
          <w:szCs w:val="20"/>
          <w:lang w:val="es-ES_tradnl"/>
        </w:rPr>
      </w:pPr>
    </w:p>
    <w:p w14:paraId="3EE8A61B" w14:textId="31D105B6" w:rsidR="00BF062D" w:rsidRPr="004C0EA1" w:rsidRDefault="0077683F"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bCs/>
          <w:sz w:val="20"/>
          <w:szCs w:val="20"/>
          <w:lang w:val="es-ES_tradnl"/>
        </w:rPr>
      </w:pPr>
      <w:r w:rsidRPr="004C0EA1">
        <w:rPr>
          <w:noProof/>
          <w:sz w:val="20"/>
          <w:szCs w:val="20"/>
          <w:lang w:val="es-ES_tradnl"/>
        </w:rPr>
        <w:t xml:space="preserve">En tal sentido, </w:t>
      </w:r>
      <w:r w:rsidR="00232FCB" w:rsidRPr="004C0EA1">
        <w:rPr>
          <w:noProof/>
          <w:sz w:val="20"/>
          <w:szCs w:val="20"/>
          <w:lang w:val="es-ES_tradnl"/>
        </w:rPr>
        <w:t xml:space="preserve">Panamá </w:t>
      </w:r>
      <w:r w:rsidRPr="004C0EA1">
        <w:rPr>
          <w:noProof/>
          <w:sz w:val="20"/>
          <w:szCs w:val="20"/>
          <w:lang w:val="es-ES_tradnl"/>
        </w:rPr>
        <w:t xml:space="preserve">destaca igualmente </w:t>
      </w:r>
      <w:r w:rsidRPr="004C0EA1">
        <w:rPr>
          <w:sz w:val="20"/>
          <w:szCs w:val="20"/>
          <w:lang w:val="es-ES_tradnl"/>
        </w:rPr>
        <w:t xml:space="preserve">que no consta en el expediente ni en la petición que la parte peticionaria haya solicitado protección de haber un temor fundado para no acudir ante la justicia. </w:t>
      </w:r>
      <w:r w:rsidR="00677786" w:rsidRPr="004C0EA1">
        <w:rPr>
          <w:noProof/>
          <w:sz w:val="20"/>
          <w:szCs w:val="20"/>
          <w:lang w:val="es-ES_tradnl"/>
        </w:rPr>
        <w:t>Aclara que en enero de 2003 la Presidencia de la República visitó las poblaciones de Paya y Púcuro, y posteriormente en febrero del mismo año se reunió con el entonces presidente de Colombia donde se abordó el tema de seguridad fronteriza. Explica que en abril de 2003 se suscribió un acuerdo entre Panamá y Colombia con motivo de la reactivación del comité binacional de seguridad; en virtud del cual se logró ubicar puestos fronterizos de la fuerza militar y policía de Colombia para impedir el ingreso de grupos ilegales en territorio panameño. Por otro lado, a</w:t>
      </w:r>
      <w:r w:rsidR="006E66FB" w:rsidRPr="004C0EA1">
        <w:rPr>
          <w:noProof/>
          <w:sz w:val="20"/>
          <w:szCs w:val="20"/>
          <w:lang w:val="es-ES_tradnl"/>
        </w:rPr>
        <w:t xml:space="preserve">lega que </w:t>
      </w:r>
      <w:r w:rsidRPr="004C0EA1">
        <w:rPr>
          <w:noProof/>
          <w:sz w:val="20"/>
          <w:szCs w:val="20"/>
          <w:lang w:val="es-ES_tradnl"/>
        </w:rPr>
        <w:t xml:space="preserve">es comprensible </w:t>
      </w:r>
      <w:r w:rsidR="006E66FB" w:rsidRPr="004C0EA1">
        <w:rPr>
          <w:noProof/>
          <w:sz w:val="20"/>
          <w:szCs w:val="20"/>
          <w:lang w:val="es-ES_tradnl"/>
        </w:rPr>
        <w:t>la persistencia del miedo</w:t>
      </w:r>
      <w:r w:rsidR="00686173" w:rsidRPr="004C0EA1">
        <w:rPr>
          <w:noProof/>
          <w:sz w:val="20"/>
          <w:szCs w:val="20"/>
          <w:lang w:val="es-ES_tradnl"/>
        </w:rPr>
        <w:t>,</w:t>
      </w:r>
      <w:r w:rsidR="006E66FB" w:rsidRPr="004C0EA1">
        <w:rPr>
          <w:noProof/>
          <w:sz w:val="20"/>
          <w:szCs w:val="20"/>
          <w:lang w:val="es-ES_tradnl"/>
        </w:rPr>
        <w:t xml:space="preserve"> pero no es admisi</w:t>
      </w:r>
      <w:r w:rsidRPr="004C0EA1">
        <w:rPr>
          <w:noProof/>
          <w:sz w:val="20"/>
          <w:szCs w:val="20"/>
          <w:lang w:val="es-ES_tradnl"/>
        </w:rPr>
        <w:t>b</w:t>
      </w:r>
      <w:r w:rsidR="006E66FB" w:rsidRPr="004C0EA1">
        <w:rPr>
          <w:noProof/>
          <w:sz w:val="20"/>
          <w:szCs w:val="20"/>
          <w:lang w:val="es-ES_tradnl"/>
        </w:rPr>
        <w:t xml:space="preserve">le considerando </w:t>
      </w:r>
      <w:r w:rsidRPr="004C0EA1">
        <w:rPr>
          <w:noProof/>
          <w:sz w:val="20"/>
          <w:szCs w:val="20"/>
          <w:lang w:val="es-ES_tradnl"/>
        </w:rPr>
        <w:t xml:space="preserve">que han transcurrido </w:t>
      </w:r>
      <w:r w:rsidR="00686173" w:rsidRPr="004C0EA1">
        <w:rPr>
          <w:noProof/>
          <w:sz w:val="20"/>
          <w:szCs w:val="20"/>
          <w:lang w:val="es-ES_tradnl"/>
        </w:rPr>
        <w:t>once</w:t>
      </w:r>
      <w:r w:rsidRPr="004C0EA1">
        <w:rPr>
          <w:noProof/>
          <w:sz w:val="20"/>
          <w:szCs w:val="20"/>
          <w:lang w:val="es-ES_tradnl"/>
        </w:rPr>
        <w:t xml:space="preserve"> años desde que la parte peticionaria agotó la vía interna </w:t>
      </w:r>
      <w:r w:rsidR="006E66FB" w:rsidRPr="004C0EA1">
        <w:rPr>
          <w:noProof/>
          <w:sz w:val="20"/>
          <w:szCs w:val="20"/>
          <w:lang w:val="es-ES_tradnl"/>
        </w:rPr>
        <w:t>para presentar la petición ante la Comisión</w:t>
      </w:r>
      <w:r w:rsidRPr="004C0EA1">
        <w:rPr>
          <w:noProof/>
          <w:sz w:val="20"/>
          <w:szCs w:val="20"/>
          <w:lang w:val="es-ES_tradnl"/>
        </w:rPr>
        <w:t xml:space="preserve">. </w:t>
      </w:r>
    </w:p>
    <w:p w14:paraId="51F68C92" w14:textId="5EB4C290" w:rsidR="003239B8" w:rsidRPr="004C0EA1" w:rsidRDefault="004A6A54" w:rsidP="00EF75F1">
      <w:pPr>
        <w:pStyle w:val="ListParagraph"/>
        <w:numPr>
          <w:ilvl w:val="0"/>
          <w:numId w:val="57"/>
        </w:numPr>
        <w:spacing w:before="240" w:after="240"/>
        <w:ind w:left="0" w:firstLine="720"/>
        <w:jc w:val="both"/>
        <w:rPr>
          <w:sz w:val="20"/>
          <w:szCs w:val="20"/>
          <w:lang w:val="es-ES_tradnl"/>
        </w:rPr>
      </w:pPr>
      <w:r w:rsidRPr="004C0EA1">
        <w:rPr>
          <w:rFonts w:asciiTheme="majorHAnsi" w:hAnsiTheme="majorHAnsi"/>
          <w:b/>
          <w:bCs/>
          <w:sz w:val="20"/>
          <w:szCs w:val="20"/>
          <w:lang w:val="es-ES_tradnl"/>
        </w:rPr>
        <w:t xml:space="preserve">ANÁLISIS DE </w:t>
      </w:r>
      <w:r w:rsidR="00C21FEF" w:rsidRPr="004C0EA1">
        <w:rPr>
          <w:rFonts w:asciiTheme="majorHAnsi" w:hAnsiTheme="majorHAnsi"/>
          <w:b/>
          <w:sz w:val="20"/>
          <w:szCs w:val="20"/>
          <w:lang w:val="es-ES_tradnl"/>
        </w:rPr>
        <w:t>AGOTAMIENTO DE LOS RECURSOS INTERNOS Y PLAZO DE PRESENTACIÓN</w:t>
      </w:r>
      <w:r w:rsidR="00C21FEF" w:rsidRPr="004C0EA1">
        <w:rPr>
          <w:rFonts w:asciiTheme="majorHAnsi" w:hAnsiTheme="majorHAnsi"/>
          <w:b/>
          <w:bCs/>
          <w:sz w:val="20"/>
          <w:szCs w:val="20"/>
          <w:lang w:val="es-ES_tradnl"/>
        </w:rPr>
        <w:t xml:space="preserve"> </w:t>
      </w:r>
    </w:p>
    <w:p w14:paraId="5DF92C77" w14:textId="5A83C0C9" w:rsidR="00557EDA" w:rsidRPr="00EF75F1" w:rsidRDefault="00F71EF9"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bCs/>
          <w:sz w:val="20"/>
          <w:szCs w:val="20"/>
          <w:lang w:val="es-ES_tradnl"/>
        </w:rPr>
      </w:pPr>
      <w:r w:rsidRPr="004C0EA1">
        <w:rPr>
          <w:rFonts w:cs="Calibri"/>
          <w:color w:val="auto"/>
          <w:sz w:val="20"/>
          <w:szCs w:val="20"/>
          <w:lang w:val="es-ES_tradnl"/>
        </w:rPr>
        <w:t xml:space="preserve">La parte peticionaria sostiene que </w:t>
      </w:r>
      <w:r w:rsidRPr="004C0EA1">
        <w:rPr>
          <w:color w:val="auto"/>
          <w:sz w:val="20"/>
          <w:szCs w:val="20"/>
          <w:lang w:val="es-ES_tradnl"/>
        </w:rPr>
        <w:t xml:space="preserve">los hechos se mantienen en impunidad hasta la fecha. </w:t>
      </w:r>
      <w:r w:rsidR="005A1732" w:rsidRPr="004C0EA1">
        <w:rPr>
          <w:bCs/>
          <w:color w:val="auto"/>
          <w:sz w:val="20"/>
          <w:szCs w:val="20"/>
          <w:lang w:val="es-ES_tradnl"/>
        </w:rPr>
        <w:t>E</w:t>
      </w:r>
      <w:r w:rsidRPr="004C0EA1">
        <w:rPr>
          <w:bCs/>
          <w:color w:val="auto"/>
          <w:sz w:val="20"/>
          <w:szCs w:val="20"/>
          <w:lang w:val="es-ES_tradnl"/>
        </w:rPr>
        <w:t>xplica que el Segundo Tribunal Superior del Primer Distrito Judicial de Panamá acordó mediante el auto No. 95 del 21 de noviembre de 2003 el sobreseimiento provisional de la investigación penal</w:t>
      </w:r>
      <w:r w:rsidR="00DD568E" w:rsidRPr="004C0EA1">
        <w:rPr>
          <w:bCs/>
          <w:color w:val="auto"/>
          <w:sz w:val="20"/>
          <w:szCs w:val="20"/>
          <w:lang w:val="es-ES_tradnl"/>
        </w:rPr>
        <w:t>;</w:t>
      </w:r>
      <w:r w:rsidRPr="004C0EA1">
        <w:rPr>
          <w:bCs/>
          <w:color w:val="auto"/>
          <w:sz w:val="20"/>
          <w:szCs w:val="20"/>
          <w:lang w:val="es-ES_tradnl"/>
        </w:rPr>
        <w:t xml:space="preserve"> lo cual fue luego confirmado por </w:t>
      </w:r>
      <w:r w:rsidRPr="004C0EA1">
        <w:rPr>
          <w:color w:val="auto"/>
          <w:sz w:val="20"/>
          <w:szCs w:val="20"/>
          <w:lang w:val="es-ES_tradnl"/>
        </w:rPr>
        <w:t xml:space="preserve">la Sala Segunda de lo Penal de la Corte Suprema de Justicia </w:t>
      </w:r>
      <w:r w:rsidRPr="004C0EA1">
        <w:rPr>
          <w:bCs/>
          <w:color w:val="auto"/>
          <w:sz w:val="20"/>
          <w:szCs w:val="20"/>
          <w:lang w:val="es-ES_tradnl"/>
        </w:rPr>
        <w:t>el 3 de septiembre de 2004 y notificado mediante edicto el 1 de octubre de 2004.</w:t>
      </w:r>
      <w:r w:rsidRPr="004C0EA1">
        <w:rPr>
          <w:color w:val="auto"/>
          <w:sz w:val="20"/>
          <w:szCs w:val="20"/>
          <w:lang w:val="es-ES_tradnl"/>
        </w:rPr>
        <w:t xml:space="preserve"> En consecuencia, alega que contra la decisión de archivo del expediente no cabe recurso alguno, solo la presentación de nuevas evidencias. </w:t>
      </w:r>
      <w:r w:rsidR="00875687" w:rsidRPr="004C0EA1">
        <w:rPr>
          <w:color w:val="auto"/>
          <w:sz w:val="20"/>
          <w:szCs w:val="20"/>
          <w:lang w:val="es-ES_tradnl"/>
        </w:rPr>
        <w:t xml:space="preserve">Por último, sostiene que </w:t>
      </w:r>
      <w:r w:rsidR="00875687" w:rsidRPr="004C0EA1">
        <w:rPr>
          <w:rFonts w:asciiTheme="majorHAnsi" w:hAnsiTheme="majorHAnsi"/>
          <w:bCs/>
          <w:color w:val="auto"/>
          <w:sz w:val="20"/>
          <w:szCs w:val="20"/>
          <w:lang w:val="es-ES_tradnl"/>
        </w:rPr>
        <w:t xml:space="preserve">los miembros de las comunidades kunas tuvieron conocimiento sobre el texto de esta última decisión en el 2012. </w:t>
      </w:r>
      <w:r w:rsidRPr="004C0EA1">
        <w:rPr>
          <w:rFonts w:cs="Calibri"/>
          <w:color w:val="auto"/>
          <w:sz w:val="20"/>
          <w:szCs w:val="20"/>
          <w:lang w:val="es-ES_tradnl"/>
        </w:rPr>
        <w:t xml:space="preserve">A su turno, el Estado argumenta que </w:t>
      </w:r>
      <w:r w:rsidR="00373B60" w:rsidRPr="004C0EA1">
        <w:rPr>
          <w:sz w:val="20"/>
          <w:szCs w:val="20"/>
          <w:lang w:val="es-ES_tradnl"/>
        </w:rPr>
        <w:t xml:space="preserve">la presente petición no se trata de un caso de impunidad. Explica que </w:t>
      </w:r>
      <w:r w:rsidR="00557EDA" w:rsidRPr="004C0EA1">
        <w:rPr>
          <w:sz w:val="20"/>
          <w:szCs w:val="20"/>
          <w:lang w:val="es-ES_tradnl"/>
        </w:rPr>
        <w:t xml:space="preserve">el </w:t>
      </w:r>
      <w:r w:rsidR="00373B60" w:rsidRPr="004C0EA1">
        <w:rPr>
          <w:sz w:val="20"/>
          <w:szCs w:val="20"/>
          <w:lang w:val="es-ES_tradnl"/>
        </w:rPr>
        <w:t xml:space="preserve">sobreseimiento provisional de la investigación llevada en contra V.M.A, </w:t>
      </w:r>
      <w:r w:rsidR="00557EDA" w:rsidRPr="004C0EA1">
        <w:rPr>
          <w:sz w:val="20"/>
          <w:szCs w:val="20"/>
          <w:lang w:val="es-ES_tradnl"/>
        </w:rPr>
        <w:t xml:space="preserve">permite </w:t>
      </w:r>
      <w:r w:rsidR="00373B60" w:rsidRPr="004C0EA1">
        <w:rPr>
          <w:sz w:val="20"/>
          <w:szCs w:val="20"/>
          <w:lang w:val="es-ES_tradnl"/>
        </w:rPr>
        <w:t xml:space="preserve">la reapertura del sumario de surgir nuevos elementos probatorios. </w:t>
      </w:r>
      <w:r w:rsidR="00557EDA" w:rsidRPr="004C0EA1">
        <w:rPr>
          <w:sz w:val="20"/>
          <w:szCs w:val="20"/>
          <w:lang w:val="es-ES_tradnl"/>
        </w:rPr>
        <w:t>Igualmente, r</w:t>
      </w:r>
      <w:r w:rsidR="00373B60" w:rsidRPr="004C0EA1">
        <w:rPr>
          <w:sz w:val="20"/>
          <w:szCs w:val="20"/>
          <w:lang w:val="es-ES_tradnl"/>
        </w:rPr>
        <w:t>ecalca que no procede la aplicación de las excepciones al agotamiento de los recursos internos</w:t>
      </w:r>
      <w:r w:rsidR="00557EDA" w:rsidRPr="004C0EA1">
        <w:rPr>
          <w:sz w:val="20"/>
          <w:szCs w:val="20"/>
          <w:lang w:val="es-ES_tradnl"/>
        </w:rPr>
        <w:t xml:space="preserve">, y que, si bien reconoce el temor fundado vivido por parte de las comunidades indígenas de Paya y Púcuro, </w:t>
      </w:r>
      <w:r w:rsidR="00314DC5" w:rsidRPr="004C0EA1">
        <w:rPr>
          <w:noProof/>
          <w:sz w:val="20"/>
          <w:szCs w:val="20"/>
          <w:lang w:val="es-ES_tradnl"/>
        </w:rPr>
        <w:t xml:space="preserve">transcurrieron </w:t>
      </w:r>
      <w:r w:rsidR="00D0338B" w:rsidRPr="004C0EA1">
        <w:rPr>
          <w:noProof/>
          <w:sz w:val="20"/>
          <w:szCs w:val="20"/>
          <w:lang w:val="es-ES_tradnl"/>
        </w:rPr>
        <w:t>once</w:t>
      </w:r>
      <w:r w:rsidR="00373B60" w:rsidRPr="004C0EA1">
        <w:rPr>
          <w:noProof/>
          <w:sz w:val="20"/>
          <w:szCs w:val="20"/>
          <w:lang w:val="es-ES_tradnl"/>
        </w:rPr>
        <w:t xml:space="preserve"> años desde que la parte peticionaria agotó la vía interna para presentar la petición ante la Comisión. </w:t>
      </w:r>
    </w:p>
    <w:p w14:paraId="0B87D7BC" w14:textId="77777777" w:rsidR="00EF75F1" w:rsidRPr="004C0EA1" w:rsidRDefault="00EF75F1" w:rsidP="00EF75F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bCs/>
          <w:sz w:val="20"/>
          <w:szCs w:val="20"/>
          <w:lang w:val="es-ES_tradnl"/>
        </w:rPr>
      </w:pPr>
    </w:p>
    <w:p w14:paraId="35A0C2AB" w14:textId="756BEC4F" w:rsidR="00F71EF9" w:rsidRPr="00EF75F1" w:rsidRDefault="00F2081F"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bCs/>
          <w:sz w:val="20"/>
          <w:szCs w:val="20"/>
          <w:lang w:val="es-ES_tradnl"/>
        </w:rPr>
      </w:pPr>
      <w:r w:rsidRPr="004C0EA1">
        <w:rPr>
          <w:sz w:val="20"/>
          <w:szCs w:val="20"/>
          <w:lang w:val="es-ES_tradnl"/>
        </w:rPr>
        <w:t xml:space="preserve">Dadas las características de este caso, la Comisión </w:t>
      </w:r>
      <w:r w:rsidR="00557EDA" w:rsidRPr="004C0EA1">
        <w:rPr>
          <w:sz w:val="20"/>
          <w:szCs w:val="20"/>
          <w:lang w:val="es-ES_tradnl"/>
        </w:rPr>
        <w:t>reitera</w:t>
      </w:r>
      <w:r w:rsidRPr="004C0EA1">
        <w:rPr>
          <w:sz w:val="20"/>
          <w:szCs w:val="20"/>
          <w:lang w:val="es-ES_tradnl"/>
        </w:rPr>
        <w:t xml:space="preserve"> que en situaciones como l</w:t>
      </w:r>
      <w:r w:rsidR="00557EDA" w:rsidRPr="004C0EA1">
        <w:rPr>
          <w:sz w:val="20"/>
          <w:szCs w:val="20"/>
          <w:lang w:val="es-ES_tradnl"/>
        </w:rPr>
        <w:t>a</w:t>
      </w:r>
      <w:r w:rsidRPr="004C0EA1">
        <w:rPr>
          <w:sz w:val="20"/>
          <w:szCs w:val="20"/>
          <w:lang w:val="es-ES_tradnl"/>
        </w:rPr>
        <w:t xml:space="preserve"> plantead</w:t>
      </w:r>
      <w:r w:rsidR="00557EDA" w:rsidRPr="004C0EA1">
        <w:rPr>
          <w:sz w:val="20"/>
          <w:szCs w:val="20"/>
          <w:lang w:val="es-ES_tradnl"/>
        </w:rPr>
        <w:t xml:space="preserve">a </w:t>
      </w:r>
      <w:r w:rsidRPr="004C0EA1">
        <w:rPr>
          <w:sz w:val="20"/>
          <w:szCs w:val="20"/>
          <w:lang w:val="es-ES_tradnl"/>
        </w:rPr>
        <w:t>que incluyen presuntos delitos contra la vida e integridad, el proceso penal constituye el recurso adecuado para esclarecer este tipo de hechos, juzgar a los responsables y establecer las sanciones penales correspondientes, además de posibilitar otros modos de reparación para los familiares</w:t>
      </w:r>
      <w:r w:rsidR="00557EDA" w:rsidRPr="004C0EA1">
        <w:rPr>
          <w:rStyle w:val="FootnoteReference"/>
          <w:sz w:val="20"/>
          <w:szCs w:val="20"/>
          <w:lang w:val="es-ES_tradnl"/>
        </w:rPr>
        <w:footnoteReference w:id="7"/>
      </w:r>
      <w:r w:rsidRPr="004C0EA1">
        <w:rPr>
          <w:sz w:val="20"/>
          <w:szCs w:val="20"/>
          <w:lang w:val="es-ES_tradnl"/>
        </w:rPr>
        <w:t>. En este sentido, la Comisión destaca que, como regla general, una investigación penal debe realizarse prontamente para proteger los intereses de las víctimas, preservar la prueba e incluso salvaguardar los derechos de toda persona que en el contexto de la investigación sea considerada sospechosa</w:t>
      </w:r>
      <w:r w:rsidR="00557EDA" w:rsidRPr="004C0EA1">
        <w:rPr>
          <w:sz w:val="20"/>
          <w:szCs w:val="20"/>
          <w:lang w:val="es-ES_tradnl"/>
        </w:rPr>
        <w:t xml:space="preserve">. </w:t>
      </w:r>
    </w:p>
    <w:p w14:paraId="48558890" w14:textId="77777777" w:rsidR="00EF75F1" w:rsidRPr="00EF75F1" w:rsidRDefault="00EF75F1" w:rsidP="00EF75F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bCs/>
          <w:sz w:val="20"/>
          <w:szCs w:val="20"/>
          <w:lang w:val="es-ES_tradnl"/>
        </w:rPr>
      </w:pPr>
    </w:p>
    <w:p w14:paraId="15A2875A" w14:textId="272486BC" w:rsidR="00496513" w:rsidRPr="00EF75F1" w:rsidRDefault="00314DC5" w:rsidP="00EF75F1">
      <w:pPr>
        <w:pStyle w:val="ListParagraph"/>
        <w:numPr>
          <w:ilvl w:val="0"/>
          <w:numId w:val="56"/>
        </w:numPr>
        <w:ind w:left="0" w:firstLine="720"/>
        <w:jc w:val="both"/>
        <w:rPr>
          <w:bCs/>
          <w:color w:val="auto"/>
          <w:sz w:val="20"/>
          <w:szCs w:val="20"/>
          <w:lang w:val="es-ES_tradnl"/>
        </w:rPr>
      </w:pPr>
      <w:r w:rsidRPr="004C0EA1">
        <w:rPr>
          <w:color w:val="auto"/>
          <w:sz w:val="20"/>
          <w:szCs w:val="20"/>
          <w:lang w:val="es-ES_tradnl"/>
        </w:rPr>
        <w:t xml:space="preserve">La Comisión nota que, </w:t>
      </w:r>
      <w:r w:rsidRPr="004C0EA1">
        <w:rPr>
          <w:sz w:val="20"/>
          <w:szCs w:val="20"/>
          <w:lang w:val="es-ES_tradnl"/>
        </w:rPr>
        <w:t xml:space="preserve">de acuerdo con la documentación aportada al expediente, </w:t>
      </w:r>
      <w:r w:rsidRPr="004C0EA1">
        <w:rPr>
          <w:color w:val="auto"/>
          <w:sz w:val="20"/>
          <w:szCs w:val="20"/>
          <w:lang w:val="es-ES_tradnl"/>
        </w:rPr>
        <w:t>e</w:t>
      </w:r>
      <w:r w:rsidRPr="004C0EA1">
        <w:rPr>
          <w:rFonts w:asciiTheme="majorHAnsi" w:hAnsiTheme="majorHAnsi"/>
          <w:bCs/>
          <w:color w:val="auto"/>
          <w:sz w:val="20"/>
          <w:szCs w:val="20"/>
          <w:lang w:val="es-ES_tradnl"/>
        </w:rPr>
        <w:t xml:space="preserve">l 22 de enero de 2003, dirigentes indígenas de </w:t>
      </w:r>
      <w:r w:rsidR="00197193" w:rsidRPr="004C0EA1">
        <w:rPr>
          <w:rFonts w:asciiTheme="majorHAnsi" w:hAnsiTheme="majorHAnsi"/>
          <w:bCs/>
          <w:color w:val="auto"/>
          <w:sz w:val="20"/>
          <w:szCs w:val="20"/>
          <w:lang w:val="es-ES_tradnl"/>
        </w:rPr>
        <w:t xml:space="preserve">las </w:t>
      </w:r>
      <w:r w:rsidRPr="004C0EA1">
        <w:rPr>
          <w:rFonts w:asciiTheme="majorHAnsi" w:hAnsiTheme="majorHAnsi"/>
          <w:bCs/>
          <w:color w:val="auto"/>
          <w:sz w:val="20"/>
          <w:szCs w:val="20"/>
          <w:lang w:val="es-ES_tradnl"/>
        </w:rPr>
        <w:t>comarcas</w:t>
      </w:r>
      <w:r w:rsidR="00197193" w:rsidRPr="004C0EA1">
        <w:rPr>
          <w:rFonts w:asciiTheme="majorHAnsi" w:hAnsiTheme="majorHAnsi"/>
          <w:bCs/>
          <w:color w:val="auto"/>
          <w:sz w:val="20"/>
          <w:szCs w:val="20"/>
          <w:lang w:val="es-ES_tradnl"/>
        </w:rPr>
        <w:t xml:space="preserve"> de Madungandi, Wargandi, Embera, Ngobe Bugle, entre otros, </w:t>
      </w:r>
      <w:r w:rsidRPr="004C0EA1">
        <w:rPr>
          <w:rFonts w:asciiTheme="majorHAnsi" w:hAnsiTheme="majorHAnsi"/>
          <w:bCs/>
          <w:color w:val="auto"/>
          <w:sz w:val="20"/>
          <w:szCs w:val="20"/>
          <w:lang w:val="es-ES_tradnl"/>
        </w:rPr>
        <w:t xml:space="preserve">presentaron una denuncia penal ante la Procuraduría General de la Nación </w:t>
      </w:r>
      <w:r w:rsidR="00197193" w:rsidRPr="004C0EA1">
        <w:rPr>
          <w:rFonts w:asciiTheme="majorHAnsi" w:hAnsiTheme="majorHAnsi"/>
          <w:bCs/>
          <w:color w:val="auto"/>
          <w:sz w:val="20"/>
          <w:szCs w:val="20"/>
          <w:lang w:val="es-ES_tradnl"/>
        </w:rPr>
        <w:t xml:space="preserve">por los hechos alegados ocurridos en contra de las presuntas víctimas, en virtud de la cual se inició una investigación fiscal bajo el mando de </w:t>
      </w:r>
      <w:r w:rsidRPr="004C0EA1">
        <w:rPr>
          <w:rFonts w:asciiTheme="majorHAnsi" w:hAnsiTheme="majorHAnsi"/>
          <w:bCs/>
          <w:color w:val="auto"/>
          <w:sz w:val="20"/>
          <w:szCs w:val="20"/>
          <w:lang w:val="es-ES_tradnl"/>
        </w:rPr>
        <w:t>la Fiscalía Superior Especial</w:t>
      </w:r>
      <w:r w:rsidR="00197193" w:rsidRPr="004C0EA1">
        <w:rPr>
          <w:rFonts w:asciiTheme="majorHAnsi" w:hAnsiTheme="majorHAnsi"/>
          <w:bCs/>
          <w:color w:val="auto"/>
          <w:sz w:val="20"/>
          <w:szCs w:val="20"/>
          <w:lang w:val="es-ES_tradnl"/>
        </w:rPr>
        <w:t xml:space="preserve">. En tal respecto, la Comisión observa que </w:t>
      </w:r>
      <w:r w:rsidR="00496513" w:rsidRPr="004C0EA1">
        <w:rPr>
          <w:rFonts w:asciiTheme="majorHAnsi" w:hAnsiTheme="majorHAnsi"/>
          <w:bCs/>
          <w:color w:val="auto"/>
          <w:sz w:val="20"/>
          <w:szCs w:val="20"/>
          <w:lang w:val="es-ES_tradnl"/>
        </w:rPr>
        <w:t xml:space="preserve">esta concluyó con auto de sobreseimiento </w:t>
      </w:r>
      <w:r w:rsidR="00496513" w:rsidRPr="004C0EA1">
        <w:rPr>
          <w:rFonts w:asciiTheme="majorHAnsi" w:hAnsiTheme="majorHAnsi"/>
          <w:bCs/>
          <w:color w:val="auto"/>
          <w:sz w:val="20"/>
          <w:szCs w:val="20"/>
          <w:lang w:val="es-ES_tradnl"/>
        </w:rPr>
        <w:lastRenderedPageBreak/>
        <w:t xml:space="preserve">provisional del </w:t>
      </w:r>
      <w:r w:rsidRPr="004C0EA1">
        <w:rPr>
          <w:rFonts w:asciiTheme="majorHAnsi" w:hAnsiTheme="majorHAnsi"/>
          <w:bCs/>
          <w:color w:val="auto"/>
          <w:sz w:val="20"/>
          <w:szCs w:val="20"/>
          <w:lang w:val="es-ES_tradnl"/>
        </w:rPr>
        <w:t>2</w:t>
      </w:r>
      <w:r w:rsidR="00496513" w:rsidRPr="004C0EA1">
        <w:rPr>
          <w:rFonts w:asciiTheme="majorHAnsi" w:hAnsiTheme="majorHAnsi"/>
          <w:bCs/>
          <w:color w:val="auto"/>
          <w:sz w:val="20"/>
          <w:szCs w:val="20"/>
          <w:lang w:val="es-ES_tradnl"/>
        </w:rPr>
        <w:t xml:space="preserve">1 de noviembre de 2003 </w:t>
      </w:r>
      <w:r w:rsidRPr="004C0EA1">
        <w:rPr>
          <w:rFonts w:asciiTheme="majorHAnsi" w:hAnsiTheme="majorHAnsi"/>
          <w:bCs/>
          <w:color w:val="auto"/>
          <w:sz w:val="20"/>
          <w:szCs w:val="20"/>
          <w:lang w:val="es-ES_tradnl"/>
        </w:rPr>
        <w:t xml:space="preserve">por el Segundo Tribunal Superior del Primer Distrito Judicial de Panamá </w:t>
      </w:r>
      <w:r w:rsidR="00496513" w:rsidRPr="004C0EA1">
        <w:rPr>
          <w:rFonts w:asciiTheme="majorHAnsi" w:hAnsiTheme="majorHAnsi"/>
          <w:bCs/>
          <w:color w:val="auto"/>
          <w:sz w:val="20"/>
          <w:szCs w:val="20"/>
          <w:lang w:val="es-ES_tradnl"/>
        </w:rPr>
        <w:t xml:space="preserve">el cual fue luego confirmado por </w:t>
      </w:r>
      <w:r w:rsidRPr="004C0EA1">
        <w:rPr>
          <w:color w:val="auto"/>
          <w:sz w:val="20"/>
          <w:szCs w:val="20"/>
          <w:lang w:val="es-ES_tradnl"/>
        </w:rPr>
        <w:t xml:space="preserve">la Sala Segunda de lo Penal de la Corte Suprema de Justicia </w:t>
      </w:r>
      <w:r w:rsidRPr="004C0EA1">
        <w:rPr>
          <w:rFonts w:asciiTheme="majorHAnsi" w:hAnsiTheme="majorHAnsi"/>
          <w:bCs/>
          <w:color w:val="auto"/>
          <w:sz w:val="20"/>
          <w:szCs w:val="20"/>
          <w:lang w:val="es-ES_tradnl"/>
        </w:rPr>
        <w:t>el 3 de septiembre de 2004</w:t>
      </w:r>
      <w:r w:rsidR="00496513" w:rsidRPr="004C0EA1">
        <w:rPr>
          <w:rFonts w:asciiTheme="majorHAnsi" w:hAnsiTheme="majorHAnsi"/>
          <w:bCs/>
          <w:color w:val="auto"/>
          <w:sz w:val="20"/>
          <w:szCs w:val="20"/>
          <w:lang w:val="es-ES_tradnl"/>
        </w:rPr>
        <w:t xml:space="preserve">. </w:t>
      </w:r>
    </w:p>
    <w:p w14:paraId="3F51A7C6" w14:textId="77777777" w:rsidR="00EF75F1" w:rsidRPr="00EF75F1" w:rsidRDefault="00EF75F1" w:rsidP="00EF75F1">
      <w:pPr>
        <w:jc w:val="both"/>
        <w:rPr>
          <w:bCs/>
          <w:sz w:val="20"/>
          <w:szCs w:val="20"/>
          <w:lang w:val="es-ES_tradnl"/>
        </w:rPr>
      </w:pPr>
    </w:p>
    <w:p w14:paraId="29524FF4" w14:textId="2088D301" w:rsidR="009D6ADC" w:rsidRDefault="00730502"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4C0EA1">
        <w:rPr>
          <w:rFonts w:asciiTheme="majorHAnsi" w:hAnsiTheme="majorHAnsi"/>
          <w:bCs/>
          <w:color w:val="auto"/>
          <w:sz w:val="20"/>
          <w:szCs w:val="20"/>
          <w:lang w:val="es-ES_tradnl"/>
        </w:rPr>
        <w:t>L</w:t>
      </w:r>
      <w:r w:rsidR="00496513" w:rsidRPr="004C0EA1">
        <w:rPr>
          <w:rFonts w:asciiTheme="majorHAnsi" w:hAnsiTheme="majorHAnsi"/>
          <w:bCs/>
          <w:color w:val="auto"/>
          <w:sz w:val="20"/>
          <w:szCs w:val="20"/>
          <w:lang w:val="es-ES_tradnl"/>
        </w:rPr>
        <w:t xml:space="preserve">a Comisión toma nota </w:t>
      </w:r>
      <w:r w:rsidRPr="004C0EA1">
        <w:rPr>
          <w:rFonts w:asciiTheme="majorHAnsi" w:hAnsiTheme="majorHAnsi"/>
          <w:bCs/>
          <w:color w:val="auto"/>
          <w:sz w:val="20"/>
          <w:szCs w:val="20"/>
          <w:lang w:val="es-ES_tradnl"/>
        </w:rPr>
        <w:t xml:space="preserve">que mediante </w:t>
      </w:r>
      <w:r w:rsidR="00314DC5" w:rsidRPr="004C0EA1">
        <w:rPr>
          <w:rFonts w:asciiTheme="majorHAnsi" w:hAnsiTheme="majorHAnsi"/>
          <w:bCs/>
          <w:color w:val="auto"/>
          <w:sz w:val="20"/>
          <w:szCs w:val="20"/>
          <w:lang w:val="es-ES_tradnl"/>
        </w:rPr>
        <w:t xml:space="preserve">la resolución judicial No. 195 del 21 de noviembre de 2003, el Segundo Tribunal Superior consideró probado </w:t>
      </w:r>
      <w:r w:rsidR="00314DC5" w:rsidRPr="004C0EA1">
        <w:rPr>
          <w:color w:val="auto"/>
          <w:sz w:val="20"/>
          <w:szCs w:val="20"/>
          <w:lang w:val="es-ES_tradnl"/>
        </w:rPr>
        <w:t xml:space="preserve">que </w:t>
      </w:r>
      <w:r w:rsidR="00314DC5" w:rsidRPr="004C0EA1">
        <w:rPr>
          <w:rFonts w:asciiTheme="majorHAnsi" w:hAnsiTheme="majorHAnsi"/>
          <w:bCs/>
          <w:color w:val="auto"/>
          <w:sz w:val="20"/>
          <w:szCs w:val="20"/>
          <w:lang w:val="es-ES_tradnl"/>
        </w:rPr>
        <w:t xml:space="preserve">los delitos fueron cometidos en la zona de frontera entre los Estados de Colombia y Panamá por las Autodefensas Campesinas de Córdoba y Urabá. </w:t>
      </w:r>
      <w:r w:rsidRPr="004C0EA1">
        <w:rPr>
          <w:rFonts w:asciiTheme="majorHAnsi" w:hAnsiTheme="majorHAnsi"/>
          <w:bCs/>
          <w:color w:val="auto"/>
          <w:sz w:val="20"/>
          <w:szCs w:val="20"/>
          <w:lang w:val="es-ES_tradnl"/>
        </w:rPr>
        <w:t xml:space="preserve">No obstante, </w:t>
      </w:r>
      <w:r w:rsidR="00496513" w:rsidRPr="004C0EA1">
        <w:rPr>
          <w:sz w:val="20"/>
          <w:szCs w:val="20"/>
          <w:lang w:val="es-ES_tradnl"/>
        </w:rPr>
        <w:t>según la información presentada, hasta la fecha el Estado no ha presentado información detallada sobre las diligencias adelantadas para agotar líneas de investigación que permitan identificar y sancionar a todos los responsables, materiales e intelectuales, de los hechos alegados</w:t>
      </w:r>
      <w:r w:rsidR="00496513" w:rsidRPr="004C0EA1">
        <w:rPr>
          <w:rStyle w:val="FootnoteReference"/>
          <w:sz w:val="20"/>
          <w:szCs w:val="20"/>
          <w:lang w:val="es-ES_tradnl"/>
        </w:rPr>
        <w:footnoteReference w:id="8"/>
      </w:r>
      <w:r w:rsidR="00496513" w:rsidRPr="004C0EA1">
        <w:rPr>
          <w:sz w:val="20"/>
          <w:szCs w:val="20"/>
          <w:lang w:val="es-ES_tradnl"/>
        </w:rPr>
        <w:t xml:space="preserve">. </w:t>
      </w:r>
    </w:p>
    <w:p w14:paraId="3C13820A" w14:textId="77777777" w:rsidR="00EF75F1" w:rsidRPr="00EF75F1" w:rsidRDefault="00EF75F1" w:rsidP="00EF75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7446712A" w14:textId="7520B2EE" w:rsidR="00ED5E10" w:rsidRPr="00EF75F1" w:rsidRDefault="00F71EF9"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4C0EA1">
        <w:rPr>
          <w:color w:val="auto"/>
          <w:sz w:val="20"/>
          <w:szCs w:val="20"/>
          <w:lang w:val="es-ES_tradnl"/>
        </w:rPr>
        <w:t xml:space="preserve">La </w:t>
      </w:r>
      <w:r w:rsidR="00730502" w:rsidRPr="004C0EA1">
        <w:rPr>
          <w:color w:val="auto"/>
          <w:sz w:val="20"/>
          <w:szCs w:val="20"/>
          <w:lang w:val="es-ES_tradnl"/>
        </w:rPr>
        <w:t xml:space="preserve">Comisión </w:t>
      </w:r>
      <w:r w:rsidRPr="004C0EA1">
        <w:rPr>
          <w:color w:val="auto"/>
          <w:sz w:val="20"/>
          <w:szCs w:val="20"/>
          <w:lang w:val="es-ES_tradnl"/>
        </w:rPr>
        <w:t>reafirma que una decisión absolutoria no agota la obligación del Estado de esclarecer el crimen y establecer la responsabilidad penal de los autores; tampoco permite a los familiares de las presuntas víctimas conocer la verdad de los hechos. En estas circunstancias, los familiares de las presuntas víctimas tienen derecho a esperar que las autoridades adelanten otras acciones destinadas a esclarecer lo sucedido; el Estado, por su parte, tiene la obligación de continuar de forma oficiosa todas las investigaciones necesarias para satisfacer la demanda de justicia presentada</w:t>
      </w:r>
      <w:r w:rsidRPr="004C0EA1">
        <w:rPr>
          <w:rStyle w:val="FootnoteReference"/>
          <w:color w:val="auto"/>
          <w:sz w:val="20"/>
          <w:szCs w:val="20"/>
          <w:lang w:val="es-ES_tradnl"/>
        </w:rPr>
        <w:footnoteReference w:id="9"/>
      </w:r>
      <w:r w:rsidR="009D6ADC" w:rsidRPr="004C0EA1">
        <w:rPr>
          <w:color w:val="auto"/>
          <w:sz w:val="20"/>
          <w:szCs w:val="20"/>
          <w:lang w:val="es-ES_tradnl"/>
        </w:rPr>
        <w:t>.</w:t>
      </w:r>
      <w:r w:rsidRPr="004C0EA1">
        <w:rPr>
          <w:color w:val="auto"/>
          <w:sz w:val="20"/>
          <w:szCs w:val="20"/>
          <w:lang w:val="es-ES_tradnl"/>
        </w:rPr>
        <w:t xml:space="preserve"> </w:t>
      </w:r>
      <w:r w:rsidR="00A067D9" w:rsidRPr="004C0EA1">
        <w:rPr>
          <w:color w:val="auto"/>
          <w:sz w:val="20"/>
          <w:szCs w:val="20"/>
          <w:lang w:val="es-ES_tradnl"/>
        </w:rPr>
        <w:t xml:space="preserve">Además, la Comisión observa que en el presente caso las presuntas víctimas han continuado a lo largo del tiempo reclamando al Estado panameño la debida investigación de estos hechos, con la dificultad añadida que implica el hecho de que los perpetradores </w:t>
      </w:r>
      <w:r w:rsidR="00C41716" w:rsidRPr="004C0EA1">
        <w:rPr>
          <w:color w:val="auto"/>
          <w:sz w:val="20"/>
          <w:szCs w:val="20"/>
          <w:lang w:val="es-ES_tradnl"/>
        </w:rPr>
        <w:t xml:space="preserve">son parte de un grupo armado ilegal que opera desde Colombia. En un contexto en el que el Estado panameño no ha demostrado haber realizado gestiones relevantes frente al Estado colombiano dirigidas a asegurar de manera efectiva la garantía de los derechos de sus nacionales; dando como resultado una situación que </w:t>
      </w:r>
      <w:r w:rsidR="00C41716" w:rsidRPr="004C0EA1">
        <w:rPr>
          <w:i/>
          <w:iCs/>
          <w:color w:val="auto"/>
          <w:sz w:val="20"/>
          <w:szCs w:val="20"/>
          <w:lang w:val="es-ES_tradnl"/>
        </w:rPr>
        <w:t>prima facie</w:t>
      </w:r>
      <w:r w:rsidR="00C41716" w:rsidRPr="004C0EA1">
        <w:rPr>
          <w:color w:val="auto"/>
          <w:sz w:val="20"/>
          <w:szCs w:val="20"/>
          <w:lang w:val="es-ES_tradnl"/>
        </w:rPr>
        <w:t xml:space="preserve"> puede ser calificada de impunidad. En definitiva el Estado no ha aportado elementos concretos que permitan evidenciar la existencia de una investigación efectiva de los hechos, ni de la adopción de otras medidas efectivas de protección a las comunidades víctimas de esta masacre.</w:t>
      </w:r>
    </w:p>
    <w:p w14:paraId="027D5B43" w14:textId="77777777" w:rsidR="00EF75F1" w:rsidRPr="004C0EA1" w:rsidRDefault="00EF75F1" w:rsidP="00EF75F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6EF71AF2" w14:textId="1E22C420" w:rsidR="005E6066" w:rsidRPr="00EF75F1" w:rsidRDefault="005E6066"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Calibri"/>
          <w:color w:val="auto"/>
          <w:sz w:val="20"/>
          <w:szCs w:val="20"/>
          <w:lang w:val="es-ES_tradnl"/>
        </w:rPr>
      </w:pPr>
      <w:r w:rsidRPr="004C0EA1">
        <w:rPr>
          <w:color w:val="auto"/>
          <w:sz w:val="20"/>
          <w:szCs w:val="20"/>
          <w:lang w:val="es-ES_tradnl"/>
        </w:rPr>
        <w:t xml:space="preserve">Con respecto </w:t>
      </w:r>
      <w:r w:rsidR="009D6ADC" w:rsidRPr="004C0EA1">
        <w:rPr>
          <w:color w:val="auto"/>
          <w:sz w:val="20"/>
          <w:szCs w:val="20"/>
          <w:lang w:val="es-ES_tradnl"/>
        </w:rPr>
        <w:t xml:space="preserve">a </w:t>
      </w:r>
      <w:r w:rsidRPr="004C0EA1">
        <w:rPr>
          <w:color w:val="auto"/>
          <w:sz w:val="20"/>
          <w:szCs w:val="20"/>
          <w:lang w:val="es-ES_tradnl"/>
        </w:rPr>
        <w:t>la posibilidad de solicitar el desarchivo con nuevos elementos materiales probatorio</w:t>
      </w:r>
      <w:r w:rsidR="009D6ADC" w:rsidRPr="004C0EA1">
        <w:rPr>
          <w:color w:val="auto"/>
          <w:sz w:val="20"/>
          <w:szCs w:val="20"/>
          <w:lang w:val="es-ES_tradnl"/>
        </w:rPr>
        <w:t>,</w:t>
      </w:r>
      <w:r w:rsidRPr="004C0EA1">
        <w:rPr>
          <w:color w:val="auto"/>
          <w:sz w:val="20"/>
          <w:szCs w:val="20"/>
          <w:lang w:val="es-ES_tradnl"/>
        </w:rPr>
        <w:t xml:space="preserve"> la Comisión igualmente recuerda que, tratándose de casos como el presente, esto es violaciones a derechos humanos perseguibles de oficio, la obligación de investigarlos debe ser asumida por el Estado como un deber jurídico propio, y no como una gestión de intereses de particulares o que dependa de la iniciativa de éstos o de la aportación de pruebas por parte de los mismos</w:t>
      </w:r>
      <w:r w:rsidRPr="004C0EA1">
        <w:rPr>
          <w:color w:val="auto"/>
          <w:sz w:val="20"/>
          <w:szCs w:val="20"/>
          <w:vertAlign w:val="superscript"/>
          <w:lang w:val="es-ES_tradnl"/>
        </w:rPr>
        <w:footnoteReference w:id="10"/>
      </w:r>
      <w:r w:rsidRPr="004C0EA1">
        <w:rPr>
          <w:color w:val="auto"/>
          <w:sz w:val="20"/>
          <w:szCs w:val="20"/>
          <w:lang w:val="es-ES_tradnl"/>
        </w:rPr>
        <w:t xml:space="preserve">. </w:t>
      </w:r>
    </w:p>
    <w:p w14:paraId="36CACE9A" w14:textId="77777777" w:rsidR="00EF75F1" w:rsidRPr="00EF75F1" w:rsidRDefault="00EF75F1" w:rsidP="00EF75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_tradnl"/>
        </w:rPr>
      </w:pPr>
    </w:p>
    <w:p w14:paraId="2D8D1A1F" w14:textId="36BBAB56" w:rsidR="00C41716" w:rsidRPr="00EF75F1" w:rsidRDefault="00C41716" w:rsidP="00EF75F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4C0EA1">
        <w:rPr>
          <w:color w:val="auto"/>
          <w:sz w:val="20"/>
          <w:szCs w:val="20"/>
          <w:lang w:val="es-ES_tradnl"/>
        </w:rPr>
        <w:t xml:space="preserve">Con base en lo anterior, la Comisión Interamericana concluye que procede la excepción al agotamiento de los recursos internos prevista en el artículo 46.2.c) de la Convención Americana. </w:t>
      </w:r>
    </w:p>
    <w:p w14:paraId="58A8C0E2" w14:textId="77777777" w:rsidR="00EF75F1" w:rsidRPr="00EF75F1" w:rsidRDefault="00EF75F1" w:rsidP="00EF75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4D7045E1" w14:textId="6B3F31B7" w:rsidR="008C5E2D" w:rsidRPr="004C0EA1" w:rsidRDefault="00A90AF3" w:rsidP="00EF75F1">
      <w:pPr>
        <w:pStyle w:val="ListParagraph"/>
        <w:numPr>
          <w:ilvl w:val="0"/>
          <w:numId w:val="56"/>
        </w:numPr>
        <w:ind w:left="0" w:firstLine="720"/>
        <w:jc w:val="both"/>
        <w:rPr>
          <w:sz w:val="20"/>
          <w:szCs w:val="20"/>
          <w:lang w:val="es-ES_tradnl"/>
        </w:rPr>
      </w:pPr>
      <w:r w:rsidRPr="004C0EA1">
        <w:rPr>
          <w:sz w:val="20"/>
          <w:szCs w:val="20"/>
          <w:lang w:val="es-ES_tradnl"/>
        </w:rPr>
        <w:t xml:space="preserve">En cuanto al plazo de presentación, la Comisión observa que los hechos materia del reclamo </w:t>
      </w:r>
      <w:r w:rsidR="00F20281" w:rsidRPr="004C0EA1">
        <w:rPr>
          <w:sz w:val="20"/>
          <w:szCs w:val="20"/>
          <w:lang w:val="es-ES_tradnl"/>
        </w:rPr>
        <w:t xml:space="preserve">tuvieron lugar </w:t>
      </w:r>
      <w:r w:rsidRPr="004C0EA1">
        <w:rPr>
          <w:sz w:val="20"/>
          <w:szCs w:val="20"/>
          <w:lang w:val="es-ES_tradnl"/>
        </w:rPr>
        <w:t xml:space="preserve">el </w:t>
      </w:r>
      <w:r w:rsidR="00F20281" w:rsidRPr="004C0EA1">
        <w:rPr>
          <w:sz w:val="20"/>
          <w:szCs w:val="20"/>
          <w:lang w:val="es-ES_tradnl"/>
        </w:rPr>
        <w:t>18 de enero de 2003</w:t>
      </w:r>
      <w:r w:rsidRPr="004C0EA1">
        <w:rPr>
          <w:sz w:val="20"/>
          <w:szCs w:val="20"/>
          <w:lang w:val="es-ES_tradnl"/>
        </w:rPr>
        <w:t xml:space="preserve">; que </w:t>
      </w:r>
      <w:r w:rsidR="00F20281" w:rsidRPr="004C0EA1">
        <w:rPr>
          <w:sz w:val="20"/>
          <w:szCs w:val="20"/>
          <w:lang w:val="es-ES_tradnl"/>
        </w:rPr>
        <w:t xml:space="preserve">los dirigentes indígenas de distintas comarcas </w:t>
      </w:r>
      <w:r w:rsidRPr="004C0EA1">
        <w:rPr>
          <w:sz w:val="20"/>
          <w:szCs w:val="20"/>
          <w:lang w:val="es-ES_tradnl"/>
        </w:rPr>
        <w:t xml:space="preserve">denunciaron los hechos el </w:t>
      </w:r>
      <w:r w:rsidR="00F20281" w:rsidRPr="004C0EA1">
        <w:rPr>
          <w:sz w:val="20"/>
          <w:szCs w:val="20"/>
          <w:lang w:val="es-ES_tradnl"/>
        </w:rPr>
        <w:t>22 de enero del mismo año</w:t>
      </w:r>
      <w:r w:rsidRPr="004C0EA1">
        <w:rPr>
          <w:sz w:val="20"/>
          <w:szCs w:val="20"/>
          <w:lang w:val="es-ES_tradnl"/>
        </w:rPr>
        <w:t xml:space="preserve">; que la petición fue recibida en la CIDH el </w:t>
      </w:r>
      <w:r w:rsidR="00F20281" w:rsidRPr="004C0EA1">
        <w:rPr>
          <w:sz w:val="20"/>
          <w:szCs w:val="20"/>
          <w:lang w:val="es-ES_tradnl"/>
        </w:rPr>
        <w:t xml:space="preserve">12 de febrero </w:t>
      </w:r>
      <w:r w:rsidRPr="004C0EA1">
        <w:rPr>
          <w:sz w:val="20"/>
          <w:szCs w:val="20"/>
          <w:lang w:val="es-ES_tradnl"/>
        </w:rPr>
        <w:t>de 2015; y que los efectos de las violaciones, en términos de la alegada impunidad se extenderían hasta el presente. Así, la Comisión concluye que la presente petición fue presentada dentro de un plazo razonable de acuerdo con el artículo 32.2 del Reglamento de la CIDH.</w:t>
      </w:r>
    </w:p>
    <w:p w14:paraId="673598AF" w14:textId="311BD77E" w:rsidR="003239B8" w:rsidRPr="004C0EA1" w:rsidRDefault="004A6A54" w:rsidP="00EF75F1">
      <w:pPr>
        <w:pStyle w:val="ListParagraph"/>
        <w:numPr>
          <w:ilvl w:val="0"/>
          <w:numId w:val="57"/>
        </w:numPr>
        <w:spacing w:before="240" w:after="240"/>
        <w:ind w:left="0" w:firstLine="720"/>
        <w:jc w:val="both"/>
        <w:rPr>
          <w:rFonts w:asciiTheme="majorHAnsi" w:hAnsiTheme="majorHAnsi"/>
          <w:b/>
          <w:sz w:val="20"/>
          <w:szCs w:val="20"/>
          <w:lang w:val="es-ES_tradnl"/>
        </w:rPr>
      </w:pPr>
      <w:r w:rsidRPr="004C0EA1">
        <w:rPr>
          <w:rFonts w:asciiTheme="majorHAnsi" w:hAnsiTheme="majorHAnsi"/>
          <w:b/>
          <w:bCs/>
          <w:sz w:val="20"/>
          <w:szCs w:val="20"/>
          <w:lang w:val="es-ES_tradnl"/>
        </w:rPr>
        <w:t xml:space="preserve">ANÁLISIS DE </w:t>
      </w:r>
      <w:r w:rsidR="00C21FEF" w:rsidRPr="004C0EA1">
        <w:rPr>
          <w:rFonts w:asciiTheme="majorHAnsi" w:hAnsiTheme="majorHAnsi"/>
          <w:b/>
          <w:bCs/>
          <w:sz w:val="20"/>
          <w:szCs w:val="20"/>
          <w:lang w:val="es-ES_tradnl"/>
        </w:rPr>
        <w:t>CARACTERIZACIÓN DE LOS HECHOS ALEGADOS</w:t>
      </w:r>
    </w:p>
    <w:p w14:paraId="6C3DE563" w14:textId="6C9AD253" w:rsidR="00EC341F" w:rsidRPr="004C0EA1" w:rsidRDefault="00394073" w:rsidP="006A5359">
      <w:pPr>
        <w:pStyle w:val="ListParagraph"/>
        <w:numPr>
          <w:ilvl w:val="0"/>
          <w:numId w:val="56"/>
        </w:numPr>
        <w:spacing w:after="120"/>
        <w:ind w:left="0" w:firstLine="720"/>
        <w:jc w:val="both"/>
        <w:rPr>
          <w:color w:val="auto"/>
          <w:sz w:val="20"/>
          <w:szCs w:val="20"/>
          <w:lang w:val="es-ES_tradnl"/>
        </w:rPr>
      </w:pPr>
      <w:r w:rsidRPr="004C0EA1">
        <w:rPr>
          <w:sz w:val="20"/>
          <w:szCs w:val="20"/>
          <w:lang w:val="es-ES_tradnl"/>
        </w:rPr>
        <w:t xml:space="preserve"> </w:t>
      </w:r>
      <w:r w:rsidR="004B421C" w:rsidRPr="004C0EA1">
        <w:rPr>
          <w:sz w:val="20"/>
          <w:szCs w:val="20"/>
          <w:lang w:val="es-ES_tradnl"/>
        </w:rPr>
        <w:t xml:space="preserve"> </w:t>
      </w:r>
      <w:r w:rsidR="00F20281" w:rsidRPr="004C0EA1">
        <w:rPr>
          <w:sz w:val="20"/>
          <w:szCs w:val="20"/>
          <w:lang w:val="es-ES_tradnl"/>
        </w:rPr>
        <w:t>La Comisión observa que la presente petición incluye alegaciones respecto a</w:t>
      </w:r>
      <w:r w:rsidR="00227335" w:rsidRPr="004C0EA1">
        <w:rPr>
          <w:sz w:val="20"/>
          <w:szCs w:val="20"/>
          <w:lang w:val="es-ES_tradnl"/>
        </w:rPr>
        <w:t xml:space="preserve">l </w:t>
      </w:r>
      <w:r w:rsidR="00F20281" w:rsidRPr="004C0EA1">
        <w:rPr>
          <w:sz w:val="20"/>
          <w:szCs w:val="20"/>
          <w:lang w:val="es-ES_tradnl"/>
        </w:rPr>
        <w:t>secuestro</w:t>
      </w:r>
      <w:r w:rsidR="00887661" w:rsidRPr="004C0EA1">
        <w:rPr>
          <w:sz w:val="20"/>
          <w:szCs w:val="20"/>
          <w:lang w:val="es-ES_tradnl"/>
        </w:rPr>
        <w:t xml:space="preserve">, </w:t>
      </w:r>
      <w:r w:rsidR="00F20281" w:rsidRPr="004C0EA1">
        <w:rPr>
          <w:color w:val="auto"/>
          <w:sz w:val="20"/>
          <w:szCs w:val="20"/>
          <w:lang w:val="es-ES_tradnl"/>
        </w:rPr>
        <w:t>homicidio</w:t>
      </w:r>
      <w:r w:rsidR="00227335" w:rsidRPr="004C0EA1">
        <w:rPr>
          <w:color w:val="auto"/>
          <w:sz w:val="20"/>
          <w:szCs w:val="20"/>
          <w:lang w:val="es-ES_tradnl"/>
        </w:rPr>
        <w:t xml:space="preserve"> </w:t>
      </w:r>
      <w:r w:rsidR="00887661" w:rsidRPr="004C0EA1">
        <w:rPr>
          <w:color w:val="auto"/>
          <w:sz w:val="20"/>
          <w:szCs w:val="20"/>
          <w:lang w:val="es-ES_tradnl"/>
        </w:rPr>
        <w:t xml:space="preserve">y lesiones </w:t>
      </w:r>
      <w:r w:rsidR="00227335" w:rsidRPr="004C0EA1">
        <w:rPr>
          <w:color w:val="auto"/>
          <w:sz w:val="20"/>
          <w:szCs w:val="20"/>
          <w:lang w:val="es-ES_tradnl"/>
        </w:rPr>
        <w:t xml:space="preserve">en perjuicio de </w:t>
      </w:r>
      <w:r w:rsidR="00887661" w:rsidRPr="004C0EA1">
        <w:rPr>
          <w:color w:val="auto"/>
          <w:sz w:val="20"/>
          <w:szCs w:val="20"/>
          <w:lang w:val="es-ES_tradnl"/>
        </w:rPr>
        <w:t>Sagla Ernesto Ayala, San Pascual Ayala Gutiérrez, Luis Enrique Martínez Ayala, Gilberto Vásquez y Casildo Ayala Ayala</w:t>
      </w:r>
      <w:r w:rsidR="00F20281" w:rsidRPr="004C0EA1">
        <w:rPr>
          <w:color w:val="auto"/>
          <w:sz w:val="20"/>
          <w:szCs w:val="20"/>
          <w:lang w:val="es-ES_tradnl"/>
        </w:rPr>
        <w:t xml:space="preserve">, </w:t>
      </w:r>
      <w:r w:rsidR="00887661" w:rsidRPr="004C0EA1">
        <w:rPr>
          <w:color w:val="auto"/>
          <w:sz w:val="20"/>
          <w:szCs w:val="20"/>
          <w:lang w:val="es-ES_tradnl"/>
        </w:rPr>
        <w:t xml:space="preserve">todos miembros de las comunidades indígenas kunas de Paya y Púcuro, en manos de </w:t>
      </w:r>
      <w:r w:rsidR="005D7552" w:rsidRPr="004C0EA1">
        <w:rPr>
          <w:color w:val="auto"/>
          <w:sz w:val="20"/>
          <w:szCs w:val="20"/>
          <w:lang w:val="es-ES_tradnl"/>
        </w:rPr>
        <w:t>miembros de las AUC el 18 de enero de 2003</w:t>
      </w:r>
      <w:r w:rsidR="00887661" w:rsidRPr="004C0EA1">
        <w:rPr>
          <w:color w:val="auto"/>
          <w:sz w:val="20"/>
          <w:szCs w:val="20"/>
          <w:lang w:val="es-ES_tradnl"/>
        </w:rPr>
        <w:t xml:space="preserve">; </w:t>
      </w:r>
      <w:r w:rsidR="005D7552" w:rsidRPr="004C0EA1">
        <w:rPr>
          <w:color w:val="auto"/>
          <w:sz w:val="20"/>
          <w:szCs w:val="20"/>
          <w:lang w:val="es-ES_tradnl"/>
        </w:rPr>
        <w:t xml:space="preserve">la falta de acceso a la justicia y a una </w:t>
      </w:r>
      <w:r w:rsidR="005D7552" w:rsidRPr="004C0EA1">
        <w:rPr>
          <w:color w:val="auto"/>
          <w:sz w:val="20"/>
          <w:szCs w:val="20"/>
          <w:lang w:val="es-ES_tradnl"/>
        </w:rPr>
        <w:lastRenderedPageBreak/>
        <w:t xml:space="preserve">protección judicial efectiva, investigación de tales hechos y sanción de los responsables, </w:t>
      </w:r>
      <w:r w:rsidR="00887661" w:rsidRPr="004C0EA1">
        <w:rPr>
          <w:color w:val="auto"/>
          <w:sz w:val="20"/>
          <w:szCs w:val="20"/>
          <w:lang w:val="es-ES_tradnl"/>
        </w:rPr>
        <w:t xml:space="preserve">y falta de indemnización, </w:t>
      </w:r>
      <w:r w:rsidR="005D7552" w:rsidRPr="004C0EA1">
        <w:rPr>
          <w:color w:val="auto"/>
          <w:sz w:val="20"/>
          <w:szCs w:val="20"/>
          <w:lang w:val="es-ES_tradnl"/>
        </w:rPr>
        <w:t xml:space="preserve">así como el desplazamiento forzado de las comunidades indígenas kunas de Paya y Púcuro, la destrucción y robo de bienes y cosecha, </w:t>
      </w:r>
      <w:r w:rsidR="00F20281" w:rsidRPr="004C0EA1">
        <w:rPr>
          <w:color w:val="auto"/>
          <w:sz w:val="20"/>
          <w:szCs w:val="20"/>
          <w:lang w:val="es-ES_tradnl"/>
        </w:rPr>
        <w:t xml:space="preserve">y la falta de </w:t>
      </w:r>
      <w:r w:rsidR="00EC341F" w:rsidRPr="004C0EA1">
        <w:rPr>
          <w:color w:val="auto"/>
          <w:sz w:val="20"/>
          <w:szCs w:val="20"/>
          <w:lang w:val="es-ES_tradnl"/>
        </w:rPr>
        <w:t>protección efectiva</w:t>
      </w:r>
      <w:r w:rsidR="005D7552" w:rsidRPr="004C0EA1">
        <w:rPr>
          <w:color w:val="auto"/>
          <w:sz w:val="20"/>
          <w:szCs w:val="20"/>
          <w:lang w:val="es-ES_tradnl"/>
        </w:rPr>
        <w:t xml:space="preserve"> </w:t>
      </w:r>
      <w:r w:rsidR="003E2A2A" w:rsidRPr="004C0EA1">
        <w:rPr>
          <w:color w:val="auto"/>
          <w:sz w:val="20"/>
          <w:szCs w:val="20"/>
          <w:lang w:val="es-ES_tradnl"/>
        </w:rPr>
        <w:t>a los miembros de estas comunidades</w:t>
      </w:r>
      <w:r w:rsidR="00F20281" w:rsidRPr="004C0EA1">
        <w:rPr>
          <w:color w:val="auto"/>
          <w:sz w:val="20"/>
          <w:szCs w:val="20"/>
          <w:lang w:val="es-ES_tradnl"/>
        </w:rPr>
        <w:t xml:space="preserve">. </w:t>
      </w:r>
    </w:p>
    <w:p w14:paraId="0D45A873" w14:textId="41A3309B" w:rsidR="001A520D" w:rsidRPr="004C0EA1" w:rsidRDefault="00F20281" w:rsidP="004C0EA1">
      <w:pPr>
        <w:pStyle w:val="ListParagraph"/>
        <w:numPr>
          <w:ilvl w:val="0"/>
          <w:numId w:val="56"/>
        </w:numPr>
        <w:spacing w:after="120"/>
        <w:ind w:left="0" w:firstLine="720"/>
        <w:jc w:val="both"/>
        <w:rPr>
          <w:color w:val="auto"/>
          <w:sz w:val="20"/>
          <w:szCs w:val="20"/>
          <w:lang w:val="es-ES_tradnl"/>
        </w:rPr>
      </w:pPr>
      <w:r w:rsidRPr="004C0EA1">
        <w:rPr>
          <w:color w:val="auto"/>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w:t>
      </w:r>
      <w:r w:rsidR="00EC341F" w:rsidRPr="004C0EA1">
        <w:rPr>
          <w:color w:val="auto"/>
          <w:sz w:val="20"/>
          <w:szCs w:val="20"/>
          <w:lang w:val="es-ES_tradnl"/>
        </w:rPr>
        <w:t>,</w:t>
      </w:r>
      <w:r w:rsidRPr="004C0EA1">
        <w:rPr>
          <w:color w:val="auto"/>
          <w:sz w:val="20"/>
          <w:szCs w:val="20"/>
          <w:lang w:val="es-ES_tradnl"/>
        </w:rPr>
        <w:t xml:space="preserve"> pues los hechos alegados, de corroborarse como ciertos podrían caracterizar </w:t>
      </w:r>
      <w:r w:rsidR="003E2A2A" w:rsidRPr="004C0EA1">
        <w:rPr>
          <w:color w:val="auto"/>
          <w:sz w:val="20"/>
          <w:szCs w:val="20"/>
          <w:lang w:val="es-ES_tradnl"/>
        </w:rPr>
        <w:t xml:space="preserve">en primer lugar violaciones a los derechos establecidos en los artículos </w:t>
      </w:r>
      <w:r w:rsidRPr="004C0EA1">
        <w:rPr>
          <w:sz w:val="20"/>
          <w:szCs w:val="20"/>
          <w:lang w:val="es-ES_tradnl"/>
        </w:rPr>
        <w:t xml:space="preserve">5 (derecho a la integridad personal), 8 (garantías judiciales) </w:t>
      </w:r>
      <w:r w:rsidR="000B63E8" w:rsidRPr="004C0EA1">
        <w:rPr>
          <w:sz w:val="20"/>
          <w:szCs w:val="20"/>
          <w:lang w:val="es-ES_tradnl"/>
        </w:rPr>
        <w:t xml:space="preserve">y </w:t>
      </w:r>
      <w:r w:rsidRPr="004C0EA1">
        <w:rPr>
          <w:sz w:val="20"/>
          <w:szCs w:val="20"/>
          <w:lang w:val="es-ES_tradnl"/>
        </w:rPr>
        <w:t>25 (protección judicial) de la Convención Americana</w:t>
      </w:r>
      <w:r w:rsidR="003E2A2A" w:rsidRPr="004C0EA1">
        <w:rPr>
          <w:sz w:val="20"/>
          <w:szCs w:val="20"/>
          <w:lang w:val="es-ES_tradnl"/>
        </w:rPr>
        <w:t xml:space="preserve"> en atención al hecho fundamental de la falta de une efectiva investigación de los hechos denunciados; en conexión con el deber del Estado de garantizar los siguientes derechos que también les habrían sido violados a las comunidades víctimas del actuar de las AUC, establecidos </w:t>
      </w:r>
      <w:r w:rsidR="004C0EA1" w:rsidRPr="004C0EA1">
        <w:rPr>
          <w:sz w:val="20"/>
          <w:szCs w:val="20"/>
          <w:lang w:val="es-ES_tradnl"/>
        </w:rPr>
        <w:t xml:space="preserve">en los artículos 4 (vida), 5 (integridad personal), 7 (libertad personal), 8 (garantías judiciales), 12 (libertad de religión), 17 (protección a la familia), 19 (derechos del niño), 24 (igualdad ante la ley), 25 (protección judicial) y 26 (derechos económicos, sociales y culturales) de la Convención Americana en conexión con sus artículos artículo 1.1 (obligación de respetar los derechos) y 2 (deber de adoptar disposiciones de derecho interno) del mismo instrumento, en perjuicio </w:t>
      </w:r>
      <w:r w:rsidR="003E2A2A" w:rsidRPr="004C0EA1">
        <w:rPr>
          <w:sz w:val="20"/>
          <w:szCs w:val="20"/>
          <w:lang w:val="es-ES_tradnl"/>
        </w:rPr>
        <w:t xml:space="preserve"> </w:t>
      </w:r>
      <w:r w:rsidR="005D7552" w:rsidRPr="004C0EA1">
        <w:rPr>
          <w:sz w:val="20"/>
          <w:szCs w:val="20"/>
          <w:lang w:val="es-ES_tradnl"/>
        </w:rPr>
        <w:t xml:space="preserve">de </w:t>
      </w:r>
      <w:r w:rsidR="00887661" w:rsidRPr="004C0EA1">
        <w:rPr>
          <w:sz w:val="20"/>
          <w:szCs w:val="20"/>
          <w:lang w:val="es-ES_tradnl"/>
        </w:rPr>
        <w:t>Sagla Ernesto Ayala, San Pascual Ayala Gutiérrez, Luis Enrique Martínez Ayala, Gilberto Vásquez</w:t>
      </w:r>
      <w:r w:rsidR="000B63E8" w:rsidRPr="004C0EA1">
        <w:rPr>
          <w:sz w:val="20"/>
          <w:szCs w:val="20"/>
          <w:lang w:val="es-ES_tradnl"/>
        </w:rPr>
        <w:t xml:space="preserve">, </w:t>
      </w:r>
      <w:r w:rsidR="00887661" w:rsidRPr="004C0EA1">
        <w:rPr>
          <w:sz w:val="20"/>
          <w:szCs w:val="20"/>
          <w:lang w:val="es-ES_tradnl"/>
        </w:rPr>
        <w:t>Casildo Ayala Ayala</w:t>
      </w:r>
      <w:r w:rsidR="00CD4158" w:rsidRPr="004C0EA1">
        <w:rPr>
          <w:sz w:val="20"/>
          <w:szCs w:val="20"/>
          <w:lang w:val="es-ES_tradnl"/>
        </w:rPr>
        <w:t xml:space="preserve"> </w:t>
      </w:r>
      <w:r w:rsidR="000B63E8" w:rsidRPr="004C0EA1">
        <w:rPr>
          <w:sz w:val="20"/>
          <w:szCs w:val="20"/>
          <w:lang w:val="es-ES_tradnl"/>
        </w:rPr>
        <w:t>y familiares</w:t>
      </w:r>
      <w:r w:rsidR="004C0EA1" w:rsidRPr="004C0EA1">
        <w:rPr>
          <w:sz w:val="20"/>
          <w:szCs w:val="20"/>
          <w:lang w:val="es-ES_tradnl"/>
        </w:rPr>
        <w:t xml:space="preserve"> identificados en el trámite de la presente petición</w:t>
      </w:r>
      <w:r w:rsidR="005D7552" w:rsidRPr="004C0EA1">
        <w:rPr>
          <w:sz w:val="20"/>
          <w:szCs w:val="20"/>
          <w:lang w:val="es-ES_tradnl"/>
        </w:rPr>
        <w:t>.</w:t>
      </w:r>
    </w:p>
    <w:p w14:paraId="1B1DBABE" w14:textId="77990073" w:rsidR="005E6066" w:rsidRPr="004C0EA1" w:rsidRDefault="005E6066" w:rsidP="006A53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sz w:val="20"/>
          <w:szCs w:val="20"/>
          <w:lang w:val="es-ES_tradnl"/>
        </w:rPr>
      </w:pPr>
      <w:r w:rsidRPr="004C0EA1">
        <w:rPr>
          <w:rFonts w:cs="Calibri"/>
          <w:color w:val="auto"/>
          <w:sz w:val="20"/>
          <w:szCs w:val="20"/>
          <w:lang w:val="es-ES_tradnl"/>
        </w:rPr>
        <w:t>Adicionalmente, 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w:t>
      </w:r>
      <w:r w:rsidRPr="004C0EA1">
        <w:rPr>
          <w:rFonts w:cs="Calibri"/>
          <w:sz w:val="20"/>
          <w:szCs w:val="20"/>
          <w:lang w:val="es-ES_tradnl"/>
        </w:rPr>
        <w:t>, la Comisión considera que los alegatos relativos a este fenómeno podrían caracterizar posibles violaciones de los artículos 5, 22 y 26 de la Convención Americana de manera conjunta e interconectada”</w:t>
      </w:r>
      <w:r w:rsidRPr="004C0EA1">
        <w:rPr>
          <w:rStyle w:val="FootnoteReference"/>
          <w:rFonts w:cs="Calibri"/>
          <w:sz w:val="20"/>
          <w:szCs w:val="20"/>
          <w:lang w:val="es-ES_tradnl"/>
        </w:rPr>
        <w:footnoteReference w:id="11"/>
      </w:r>
      <w:r w:rsidRPr="004C0EA1">
        <w:rPr>
          <w:rFonts w:cs="Calibri"/>
          <w:sz w:val="20"/>
          <w:szCs w:val="20"/>
          <w:lang w:val="es-ES_tradnl"/>
        </w:rPr>
        <w:t>.</w:t>
      </w:r>
    </w:p>
    <w:p w14:paraId="2465ABDB" w14:textId="1DCF8BBB" w:rsidR="005D7552" w:rsidRPr="00F90687" w:rsidRDefault="005D7552" w:rsidP="00F906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_tradnl"/>
        </w:rPr>
      </w:pPr>
      <w:r w:rsidRPr="004C0EA1">
        <w:rPr>
          <w:rFonts w:ascii="Cambria" w:hAnsi="Cambria"/>
          <w:sz w:val="20"/>
          <w:szCs w:val="20"/>
          <w:lang w:val="es-ES_tradnl"/>
        </w:rPr>
        <w:t>Sobre la alegada violaci</w:t>
      </w:r>
      <w:r w:rsidR="00EC341F" w:rsidRPr="004C0EA1">
        <w:rPr>
          <w:rFonts w:ascii="Cambria" w:hAnsi="Cambria"/>
          <w:sz w:val="20"/>
          <w:szCs w:val="20"/>
          <w:lang w:val="es-ES_tradnl"/>
        </w:rPr>
        <w:t>ón</w:t>
      </w:r>
      <w:r w:rsidRPr="004C0EA1">
        <w:rPr>
          <w:rFonts w:ascii="Cambria" w:hAnsi="Cambria"/>
          <w:sz w:val="20"/>
          <w:szCs w:val="20"/>
          <w:lang w:val="es-ES_tradnl"/>
        </w:rPr>
        <w:t xml:space="preserve"> de</w:t>
      </w:r>
      <w:r w:rsidR="00EC341F" w:rsidRPr="004C0EA1">
        <w:rPr>
          <w:rFonts w:ascii="Cambria" w:hAnsi="Cambria"/>
          <w:sz w:val="20"/>
          <w:szCs w:val="20"/>
          <w:lang w:val="es-ES_tradnl"/>
        </w:rPr>
        <w:t>l</w:t>
      </w:r>
      <w:r w:rsidRPr="004C0EA1">
        <w:rPr>
          <w:rFonts w:ascii="Cambria" w:hAnsi="Cambria"/>
          <w:sz w:val="20"/>
          <w:szCs w:val="20"/>
          <w:lang w:val="es-ES_tradnl"/>
        </w:rPr>
        <w:t xml:space="preserve"> artículo </w:t>
      </w:r>
      <w:r w:rsidR="00887661" w:rsidRPr="004C0EA1">
        <w:rPr>
          <w:rFonts w:ascii="Cambria" w:hAnsi="Cambria"/>
          <w:bCs/>
          <w:sz w:val="20"/>
          <w:szCs w:val="20"/>
          <w:lang w:val="es-ES_tradnl"/>
        </w:rPr>
        <w:t>10 (indemnización)</w:t>
      </w:r>
      <w:r w:rsidR="00EC341F" w:rsidRPr="004C0EA1">
        <w:rPr>
          <w:rFonts w:ascii="Cambria" w:hAnsi="Cambria"/>
          <w:bCs/>
          <w:sz w:val="20"/>
          <w:szCs w:val="20"/>
          <w:lang w:val="es-ES_tradnl"/>
        </w:rPr>
        <w:t xml:space="preserve"> </w:t>
      </w:r>
      <w:r w:rsidRPr="004C0EA1">
        <w:rPr>
          <w:rFonts w:ascii="Cambria" w:hAnsi="Cambria"/>
          <w:sz w:val="20"/>
          <w:szCs w:val="20"/>
          <w:lang w:val="es-ES_tradnl"/>
        </w:rPr>
        <w:t>de la Convención</w:t>
      </w:r>
      <w:r w:rsidR="00EC341F" w:rsidRPr="004C0EA1">
        <w:rPr>
          <w:rFonts w:ascii="Cambria" w:hAnsi="Cambria"/>
          <w:sz w:val="20"/>
          <w:szCs w:val="20"/>
          <w:lang w:val="es-ES_tradnl"/>
        </w:rPr>
        <w:t xml:space="preserve"> Americana</w:t>
      </w:r>
      <w:r w:rsidRPr="004C0EA1">
        <w:rPr>
          <w:rFonts w:ascii="Cambria" w:hAnsi="Cambria"/>
          <w:sz w:val="20"/>
          <w:szCs w:val="20"/>
          <w:lang w:val="es-ES_tradnl"/>
        </w:rPr>
        <w:t xml:space="preserve">, la Comisión observa que la parte peticionaria no ofrece alegatos o sustento para determinar, </w:t>
      </w:r>
      <w:r w:rsidRPr="004C0EA1">
        <w:rPr>
          <w:rFonts w:ascii="Cambria" w:hAnsi="Cambria"/>
          <w:i/>
          <w:iCs/>
          <w:sz w:val="20"/>
          <w:szCs w:val="20"/>
          <w:lang w:val="es-ES_tradnl"/>
        </w:rPr>
        <w:t>prima facie</w:t>
      </w:r>
      <w:r w:rsidRPr="004C0EA1">
        <w:rPr>
          <w:rFonts w:ascii="Cambria" w:hAnsi="Cambria"/>
          <w:sz w:val="20"/>
          <w:szCs w:val="20"/>
          <w:lang w:val="es-ES_tradnl"/>
        </w:rPr>
        <w:t>,</w:t>
      </w:r>
      <w:r w:rsidR="00EC341F" w:rsidRPr="004C0EA1">
        <w:rPr>
          <w:rFonts w:ascii="Cambria" w:hAnsi="Cambria"/>
          <w:sz w:val="20"/>
          <w:szCs w:val="20"/>
          <w:lang w:val="es-ES_tradnl"/>
        </w:rPr>
        <w:t xml:space="preserve"> su posible violación. </w:t>
      </w:r>
      <w:r w:rsidRPr="004C0EA1">
        <w:rPr>
          <w:rFonts w:ascii="Cambria" w:hAnsi="Cambria"/>
          <w:sz w:val="20"/>
          <w:szCs w:val="20"/>
          <w:lang w:val="es-ES_tradnl"/>
        </w:rPr>
        <w:t xml:space="preserve">En cuanto a las supuestas violaciones de la Declaración Americana, la Comisión ya ha determinado que </w:t>
      </w:r>
      <w:r w:rsidRPr="004C0EA1">
        <w:rPr>
          <w:rFonts w:ascii="Cambria" w:hAnsi="Cambria" w:cs="Calibri"/>
          <w:sz w:val="20"/>
          <w:szCs w:val="20"/>
          <w:lang w:val="es-ES_tradnl"/>
        </w:rPr>
        <w:t>una vez que la Convención Americana entra en vigor en relación con un Estado, ésta y no la Declaración pasa a ser la fuente primaria de derecho aplicable por la Comisión, siempre que la petición se refiera a la presunta violación de derechos</w:t>
      </w:r>
      <w:r w:rsidRPr="004C0EA1">
        <w:rPr>
          <w:rFonts w:asciiTheme="majorHAnsi" w:hAnsiTheme="majorHAnsi" w:cs="Calibri"/>
          <w:sz w:val="20"/>
          <w:szCs w:val="20"/>
          <w:lang w:val="es-ES_tradnl"/>
        </w:rPr>
        <w:t xml:space="preserve"> idénticos en ambos instrumentos y no se trate de una situación de violación continua. En el presente caso la Comisión considera que las alegadas violaciones a estos artículos no escapan el ámbito de protección de la Convención Americana, por lo que la Comisión examinará la petición a la luz de dicha Convención.</w:t>
      </w:r>
    </w:p>
    <w:p w14:paraId="3E3037BC" w14:textId="77777777" w:rsidR="00F90687" w:rsidRPr="004C0EA1" w:rsidRDefault="00F90687" w:rsidP="00F9068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45BF42E" w14:textId="4AD1F779" w:rsidR="003239B8" w:rsidRPr="004C0EA1" w:rsidRDefault="003239B8" w:rsidP="006A5359">
      <w:pPr>
        <w:pStyle w:val="ListParagraph"/>
        <w:numPr>
          <w:ilvl w:val="0"/>
          <w:numId w:val="57"/>
        </w:numPr>
        <w:spacing w:after="120"/>
        <w:ind w:left="0" w:firstLine="720"/>
        <w:jc w:val="both"/>
        <w:rPr>
          <w:rFonts w:asciiTheme="majorHAnsi" w:hAnsiTheme="majorHAnsi"/>
          <w:b/>
          <w:bCs/>
          <w:sz w:val="20"/>
          <w:szCs w:val="20"/>
          <w:lang w:val="es-ES_tradnl"/>
        </w:rPr>
      </w:pPr>
      <w:r w:rsidRPr="004C0EA1">
        <w:rPr>
          <w:rFonts w:asciiTheme="majorHAnsi" w:hAnsiTheme="majorHAnsi"/>
          <w:b/>
          <w:bCs/>
          <w:sz w:val="20"/>
          <w:szCs w:val="20"/>
          <w:lang w:val="es-ES_tradnl"/>
        </w:rPr>
        <w:t>DECISIÓN</w:t>
      </w:r>
    </w:p>
    <w:p w14:paraId="547DFF8E" w14:textId="06C0E349" w:rsidR="000419AD" w:rsidRPr="004C0EA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C0EA1">
        <w:rPr>
          <w:rFonts w:ascii="Cambria" w:hAnsi="Cambria"/>
          <w:sz w:val="20"/>
          <w:szCs w:val="20"/>
          <w:lang w:val="es-ES_tradnl"/>
        </w:rPr>
        <w:t>Declarar admisible la presente petición en relación con</w:t>
      </w:r>
      <w:r w:rsidR="001D7F96" w:rsidRPr="004C0EA1">
        <w:rPr>
          <w:rFonts w:ascii="Cambria" w:hAnsi="Cambria"/>
          <w:sz w:val="20"/>
          <w:szCs w:val="20"/>
          <w:lang w:val="es-ES_tradnl"/>
        </w:rPr>
        <w:t xml:space="preserve"> </w:t>
      </w:r>
      <w:r w:rsidR="00CD4158" w:rsidRPr="004C0EA1">
        <w:rPr>
          <w:rFonts w:ascii="Cambria" w:hAnsi="Cambria"/>
          <w:sz w:val="20"/>
          <w:szCs w:val="20"/>
          <w:lang w:val="es-ES_tradnl"/>
        </w:rPr>
        <w:t xml:space="preserve">artículos 4, 5, </w:t>
      </w:r>
      <w:r w:rsidR="004C0EA1" w:rsidRPr="004C0EA1">
        <w:rPr>
          <w:rFonts w:ascii="Cambria" w:hAnsi="Cambria"/>
          <w:sz w:val="20"/>
          <w:szCs w:val="20"/>
          <w:lang w:val="es-ES_tradnl"/>
        </w:rPr>
        <w:t xml:space="preserve">7, </w:t>
      </w:r>
      <w:r w:rsidR="00CD4158" w:rsidRPr="004C0EA1">
        <w:rPr>
          <w:rFonts w:ascii="Cambria" w:hAnsi="Cambria"/>
          <w:sz w:val="20"/>
          <w:szCs w:val="20"/>
          <w:lang w:val="es-ES_tradnl"/>
        </w:rPr>
        <w:t>8</w:t>
      </w:r>
      <w:r w:rsidR="000B63E8" w:rsidRPr="004C0EA1">
        <w:rPr>
          <w:rFonts w:ascii="Cambria" w:hAnsi="Cambria"/>
          <w:sz w:val="20"/>
          <w:szCs w:val="20"/>
          <w:lang w:val="es-ES_tradnl"/>
        </w:rPr>
        <w:t xml:space="preserve">, </w:t>
      </w:r>
      <w:r w:rsidR="004C0EA1" w:rsidRPr="004C0EA1">
        <w:rPr>
          <w:rFonts w:ascii="Cambria" w:hAnsi="Cambria"/>
          <w:sz w:val="20"/>
          <w:szCs w:val="20"/>
          <w:lang w:val="es-ES_tradnl"/>
        </w:rPr>
        <w:t xml:space="preserve">12, 17, 19, </w:t>
      </w:r>
      <w:r w:rsidR="000B63E8" w:rsidRPr="004C0EA1">
        <w:rPr>
          <w:rFonts w:ascii="Cambria" w:hAnsi="Cambria"/>
          <w:sz w:val="20"/>
          <w:szCs w:val="20"/>
          <w:lang w:val="es-ES_tradnl"/>
        </w:rPr>
        <w:t xml:space="preserve">22, </w:t>
      </w:r>
      <w:r w:rsidR="004C0EA1" w:rsidRPr="004C0EA1">
        <w:rPr>
          <w:rFonts w:ascii="Cambria" w:hAnsi="Cambria"/>
          <w:sz w:val="20"/>
          <w:szCs w:val="20"/>
          <w:lang w:val="es-ES_tradnl"/>
        </w:rPr>
        <w:t xml:space="preserve">24, </w:t>
      </w:r>
      <w:r w:rsidR="00CD4158" w:rsidRPr="004C0EA1">
        <w:rPr>
          <w:rFonts w:ascii="Cambria" w:hAnsi="Cambria"/>
          <w:sz w:val="20"/>
          <w:szCs w:val="20"/>
          <w:lang w:val="es-ES_tradnl"/>
        </w:rPr>
        <w:t xml:space="preserve">25 y 26 de la Convención Americana a la luz </w:t>
      </w:r>
      <w:r w:rsidR="001C227B" w:rsidRPr="004C0EA1">
        <w:rPr>
          <w:rFonts w:ascii="Cambria" w:hAnsi="Cambria"/>
          <w:sz w:val="20"/>
          <w:szCs w:val="20"/>
          <w:lang w:val="es-ES_tradnl"/>
        </w:rPr>
        <w:t xml:space="preserve">de los </w:t>
      </w:r>
      <w:r w:rsidR="00CD4158" w:rsidRPr="004C0EA1">
        <w:rPr>
          <w:rFonts w:ascii="Cambria" w:hAnsi="Cambria"/>
          <w:sz w:val="20"/>
          <w:szCs w:val="20"/>
          <w:lang w:val="es-ES_tradnl"/>
        </w:rPr>
        <w:t>artículo</w:t>
      </w:r>
      <w:r w:rsidR="001C227B" w:rsidRPr="004C0EA1">
        <w:rPr>
          <w:rFonts w:ascii="Cambria" w:hAnsi="Cambria"/>
          <w:sz w:val="20"/>
          <w:szCs w:val="20"/>
          <w:lang w:val="es-ES_tradnl"/>
        </w:rPr>
        <w:t>s</w:t>
      </w:r>
      <w:r w:rsidR="00CD4158" w:rsidRPr="004C0EA1">
        <w:rPr>
          <w:rFonts w:ascii="Cambria" w:hAnsi="Cambria"/>
          <w:sz w:val="20"/>
          <w:szCs w:val="20"/>
          <w:lang w:val="es-ES_tradnl"/>
        </w:rPr>
        <w:t xml:space="preserve"> 1.1 </w:t>
      </w:r>
      <w:r w:rsidR="001C227B" w:rsidRPr="004C0EA1">
        <w:rPr>
          <w:rFonts w:ascii="Cambria" w:hAnsi="Cambria"/>
          <w:sz w:val="20"/>
          <w:szCs w:val="20"/>
          <w:lang w:val="es-ES_tradnl"/>
        </w:rPr>
        <w:t>y</w:t>
      </w:r>
      <w:r w:rsidR="00CD4158" w:rsidRPr="004C0EA1">
        <w:rPr>
          <w:rFonts w:ascii="Cambria" w:hAnsi="Cambria"/>
          <w:sz w:val="20"/>
          <w:szCs w:val="20"/>
          <w:lang w:val="es-ES_tradnl"/>
        </w:rPr>
        <w:t xml:space="preserve"> 2</w:t>
      </w:r>
      <w:r w:rsidR="001C227B" w:rsidRPr="004C0EA1">
        <w:rPr>
          <w:rFonts w:ascii="Cambria" w:hAnsi="Cambria"/>
          <w:sz w:val="20"/>
          <w:szCs w:val="20"/>
          <w:lang w:val="es-ES_tradnl"/>
        </w:rPr>
        <w:t xml:space="preserve"> </w:t>
      </w:r>
      <w:r w:rsidR="00CD4158" w:rsidRPr="004C0EA1">
        <w:rPr>
          <w:rFonts w:ascii="Cambria" w:hAnsi="Cambria"/>
          <w:sz w:val="20"/>
          <w:szCs w:val="20"/>
          <w:lang w:val="es-ES_tradnl"/>
        </w:rPr>
        <w:t>de dicho instrumento;</w:t>
      </w:r>
      <w:r w:rsidR="007B76D3" w:rsidRPr="004C0EA1">
        <w:rPr>
          <w:rFonts w:asciiTheme="majorHAnsi" w:hAnsiTheme="majorHAnsi"/>
          <w:sz w:val="20"/>
          <w:szCs w:val="20"/>
          <w:lang w:val="es-ES_tradnl"/>
        </w:rPr>
        <w:t xml:space="preserve"> y</w:t>
      </w:r>
    </w:p>
    <w:p w14:paraId="02C904B2" w14:textId="30ABDDF8" w:rsidR="009A56CE" w:rsidRDefault="004A6A54" w:rsidP="005335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C0EA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56B774A" w14:textId="1330191D" w:rsidR="008C06AF" w:rsidRPr="00A37B82" w:rsidRDefault="008C06AF" w:rsidP="008C06AF">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97704B">
        <w:rPr>
          <w:rFonts w:asciiTheme="majorHAnsi" w:hAnsiTheme="majorHAnsi" w:cs="Arial"/>
          <w:noProof/>
          <w:spacing w:val="-2"/>
          <w:sz w:val="20"/>
          <w:szCs w:val="20"/>
          <w:lang w:val="es-CL"/>
        </w:rPr>
        <w:t>11</w:t>
      </w:r>
      <w:r w:rsidRPr="00B76FE0">
        <w:rPr>
          <w:rFonts w:asciiTheme="majorHAnsi" w:hAnsiTheme="majorHAnsi" w:cs="Arial"/>
          <w:noProof/>
          <w:spacing w:val="-2"/>
          <w:sz w:val="20"/>
          <w:szCs w:val="20"/>
          <w:lang w:val="es-CL"/>
        </w:rPr>
        <w:t xml:space="preserve"> días del mes de </w:t>
      </w:r>
      <w:r w:rsidR="0097704B">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Joel Hernández</w:t>
      </w:r>
      <w:r w:rsidR="00D02487">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Roberta Clarke</w:t>
      </w:r>
      <w:r w:rsidR="00F90687">
        <w:rPr>
          <w:rFonts w:asciiTheme="majorHAnsi" w:hAnsiTheme="majorHAnsi" w:cs="Arial"/>
          <w:noProof/>
          <w:spacing w:val="-2"/>
          <w:sz w:val="20"/>
          <w:szCs w:val="20"/>
          <w:lang w:val="es-CL"/>
        </w:rPr>
        <w:t>, 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p>
    <w:p w14:paraId="76CC353C" w14:textId="77777777" w:rsidR="008C06AF" w:rsidRDefault="008C06AF" w:rsidP="008C06AF">
      <w:pPr>
        <w:suppressAutoHyphens/>
        <w:ind w:firstLine="720"/>
        <w:jc w:val="both"/>
        <w:rPr>
          <w:rFonts w:asciiTheme="majorHAnsi" w:hAnsiTheme="majorHAnsi" w:cs="Arial"/>
          <w:noProof/>
          <w:spacing w:val="-2"/>
          <w:sz w:val="20"/>
          <w:szCs w:val="20"/>
          <w:lang w:val="es-CL"/>
        </w:rPr>
      </w:pPr>
    </w:p>
    <w:p w14:paraId="030C8018" w14:textId="77777777" w:rsidR="00D02487" w:rsidRPr="00A37B82" w:rsidRDefault="00D02487" w:rsidP="008C06AF">
      <w:pPr>
        <w:suppressAutoHyphens/>
        <w:ind w:firstLine="720"/>
        <w:jc w:val="both"/>
        <w:rPr>
          <w:rFonts w:asciiTheme="majorHAnsi" w:hAnsiTheme="majorHAnsi" w:cs="Arial"/>
          <w:noProof/>
          <w:spacing w:val="-2"/>
          <w:sz w:val="20"/>
          <w:szCs w:val="20"/>
          <w:lang w:val="es-CL"/>
        </w:rPr>
      </w:pPr>
    </w:p>
    <w:bookmarkEnd w:id="4"/>
    <w:p w14:paraId="5ED7B799" w14:textId="77777777" w:rsidR="008C06AF" w:rsidRDefault="008C06AF" w:rsidP="00F906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13D94D64" w14:textId="127ABB2A" w:rsidR="00362F92" w:rsidRDefault="00362F92">
      <w:pPr>
        <w:rPr>
          <w:rFonts w:asciiTheme="majorHAnsi" w:hAnsiTheme="majorHAnsi"/>
          <w:sz w:val="20"/>
          <w:szCs w:val="20"/>
          <w:lang w:val="es-ES_tradnl"/>
        </w:rPr>
      </w:pPr>
      <w:r>
        <w:rPr>
          <w:rFonts w:asciiTheme="majorHAnsi" w:hAnsiTheme="majorHAnsi"/>
          <w:sz w:val="20"/>
          <w:szCs w:val="20"/>
          <w:lang w:val="es-ES_tradnl"/>
        </w:rPr>
        <w:br w:type="page"/>
      </w:r>
    </w:p>
    <w:p w14:paraId="02D67F84" w14:textId="77777777" w:rsidR="000074CE" w:rsidRDefault="000074CE" w:rsidP="000074CE">
      <w:pPr>
        <w:pStyle w:val="NormalWeb"/>
        <w:jc w:val="center"/>
        <w:rPr>
          <w:rFonts w:ascii="Cambria" w:hAnsi="Cambria"/>
          <w:b/>
          <w:bCs/>
          <w:color w:val="000000"/>
          <w:sz w:val="20"/>
          <w:szCs w:val="20"/>
          <w:lang w:val="es-VE"/>
        </w:rPr>
      </w:pPr>
      <w:r w:rsidRPr="00475257">
        <w:rPr>
          <w:rFonts w:ascii="Cambria" w:hAnsi="Cambria"/>
          <w:b/>
          <w:bCs/>
          <w:color w:val="000000"/>
          <w:sz w:val="20"/>
          <w:szCs w:val="20"/>
          <w:lang w:val="es-VE"/>
        </w:rPr>
        <w:lastRenderedPageBreak/>
        <w:t>Anexo</w:t>
      </w:r>
      <w:r>
        <w:rPr>
          <w:rFonts w:ascii="Cambria" w:hAnsi="Cambria"/>
          <w:b/>
          <w:bCs/>
          <w:color w:val="000000"/>
          <w:sz w:val="20"/>
          <w:szCs w:val="20"/>
          <w:lang w:val="es-VE"/>
        </w:rPr>
        <w:t xml:space="preserve">: </w:t>
      </w:r>
      <w:r w:rsidRPr="00475257">
        <w:rPr>
          <w:rFonts w:ascii="Cambria" w:hAnsi="Cambria"/>
          <w:b/>
          <w:bCs/>
          <w:color w:val="000000"/>
          <w:sz w:val="20"/>
          <w:szCs w:val="20"/>
          <w:lang w:val="es-VE"/>
        </w:rPr>
        <w:t>Listado de presuntas víctimas y familiares</w:t>
      </w:r>
    </w:p>
    <w:p w14:paraId="60C38BCB" w14:textId="77777777" w:rsidR="00362F92" w:rsidRPr="00475257" w:rsidRDefault="00362F92" w:rsidP="000074CE">
      <w:pPr>
        <w:pStyle w:val="NormalWeb"/>
        <w:jc w:val="center"/>
        <w:rPr>
          <w:rFonts w:ascii="Cambria" w:hAnsi="Cambria"/>
          <w:b/>
          <w:bCs/>
          <w:color w:val="000000"/>
          <w:sz w:val="20"/>
          <w:szCs w:val="20"/>
          <w:lang w:val="es-VE"/>
        </w:rPr>
      </w:pPr>
    </w:p>
    <w:p w14:paraId="79E69E93" w14:textId="77777777" w:rsidR="000074CE" w:rsidRDefault="000074CE" w:rsidP="000074CE">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 xml:space="preserve">Sagla Ernesto Ayala Castillo </w:t>
      </w:r>
    </w:p>
    <w:p w14:paraId="1F5E7361"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Ambrocia Ayala Gutiérrez, cónyuge</w:t>
      </w:r>
    </w:p>
    <w:p w14:paraId="057D121B"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Casildo Ayala Ayala, hijo</w:t>
      </w:r>
    </w:p>
    <w:p w14:paraId="2A2C3C53"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sidRPr="00475257">
        <w:rPr>
          <w:rFonts w:ascii="Cambria" w:hAnsi="Cambria"/>
          <w:color w:val="000000"/>
          <w:sz w:val="20"/>
          <w:szCs w:val="20"/>
          <w:lang w:val="es-VE"/>
        </w:rPr>
        <w:t xml:space="preserve">Genaro </w:t>
      </w:r>
      <w:r>
        <w:rPr>
          <w:rFonts w:ascii="Cambria" w:hAnsi="Cambria"/>
          <w:color w:val="000000"/>
          <w:sz w:val="20"/>
          <w:szCs w:val="20"/>
          <w:lang w:val="es-VE"/>
        </w:rPr>
        <w:t>Ayala Ayala, hijo</w:t>
      </w:r>
    </w:p>
    <w:p w14:paraId="7E12FD90"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Eusebia Ayala Ayala, hija</w:t>
      </w:r>
    </w:p>
    <w:p w14:paraId="39966D1B"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Bernardo</w:t>
      </w:r>
      <w:r w:rsidRPr="00475257">
        <w:rPr>
          <w:rFonts w:ascii="Cambria" w:hAnsi="Cambria"/>
          <w:color w:val="000000"/>
          <w:sz w:val="20"/>
          <w:szCs w:val="20"/>
          <w:lang w:val="es-VE"/>
        </w:rPr>
        <w:t xml:space="preserve"> </w:t>
      </w:r>
      <w:r>
        <w:rPr>
          <w:rFonts w:ascii="Cambria" w:hAnsi="Cambria"/>
          <w:color w:val="000000"/>
          <w:sz w:val="20"/>
          <w:szCs w:val="20"/>
          <w:lang w:val="es-VE"/>
        </w:rPr>
        <w:t>Ayala Ayala, hijo</w:t>
      </w:r>
    </w:p>
    <w:p w14:paraId="5AE47EF2"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Isidro Ayala Ayala, hijo</w:t>
      </w:r>
    </w:p>
    <w:p w14:paraId="0AE6F776"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Victoriano Ayala Ayala, hijo</w:t>
      </w:r>
    </w:p>
    <w:p w14:paraId="59B032C5"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Abelina Ayala Ayala, hija</w:t>
      </w:r>
    </w:p>
    <w:p w14:paraId="5798A5A7"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Ernestina Ayala Ayala, hija</w:t>
      </w:r>
    </w:p>
    <w:p w14:paraId="1617DBB3"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Jorge Ayala Ayala, hijo</w:t>
      </w:r>
    </w:p>
    <w:p w14:paraId="2C542850"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Narcisa</w:t>
      </w:r>
      <w:r w:rsidRPr="00475257">
        <w:rPr>
          <w:rFonts w:ascii="Cambria" w:hAnsi="Cambria"/>
          <w:color w:val="000000"/>
          <w:sz w:val="20"/>
          <w:szCs w:val="20"/>
          <w:lang w:val="es-VE"/>
        </w:rPr>
        <w:t xml:space="preserve"> </w:t>
      </w:r>
      <w:r>
        <w:rPr>
          <w:rFonts w:ascii="Cambria" w:hAnsi="Cambria"/>
          <w:color w:val="000000"/>
          <w:sz w:val="20"/>
          <w:szCs w:val="20"/>
          <w:lang w:val="es-VE"/>
        </w:rPr>
        <w:t>Ayala Ayala, hija</w:t>
      </w:r>
    </w:p>
    <w:p w14:paraId="339B4713"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Omilda</w:t>
      </w:r>
      <w:r w:rsidRPr="00475257">
        <w:rPr>
          <w:rFonts w:ascii="Cambria" w:hAnsi="Cambria"/>
          <w:color w:val="000000"/>
          <w:sz w:val="20"/>
          <w:szCs w:val="20"/>
          <w:lang w:val="es-VE"/>
        </w:rPr>
        <w:t xml:space="preserve"> </w:t>
      </w:r>
      <w:r>
        <w:rPr>
          <w:rFonts w:ascii="Cambria" w:hAnsi="Cambria"/>
          <w:color w:val="000000"/>
          <w:sz w:val="20"/>
          <w:szCs w:val="20"/>
          <w:lang w:val="es-VE"/>
        </w:rPr>
        <w:t>Ayala Ayala, hija</w:t>
      </w:r>
    </w:p>
    <w:p w14:paraId="67027EB7"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Eladio</w:t>
      </w:r>
      <w:r w:rsidRPr="00475257">
        <w:rPr>
          <w:rFonts w:ascii="Cambria" w:hAnsi="Cambria"/>
          <w:color w:val="000000"/>
          <w:sz w:val="20"/>
          <w:szCs w:val="20"/>
          <w:lang w:val="es-VE"/>
        </w:rPr>
        <w:t xml:space="preserve"> </w:t>
      </w:r>
      <w:r>
        <w:rPr>
          <w:rFonts w:ascii="Cambria" w:hAnsi="Cambria"/>
          <w:color w:val="000000"/>
          <w:sz w:val="20"/>
          <w:szCs w:val="20"/>
          <w:lang w:val="es-VE"/>
        </w:rPr>
        <w:t>Ayala Ayala, hijo</w:t>
      </w:r>
    </w:p>
    <w:p w14:paraId="65C41203"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Hernán Ayala Ayala, hijo</w:t>
      </w:r>
    </w:p>
    <w:p w14:paraId="2DF3EDA2"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Dora Ayala Castillo, hermana</w:t>
      </w:r>
    </w:p>
    <w:p w14:paraId="01F032F3" w14:textId="77777777" w:rsidR="000074CE" w:rsidRDefault="000074CE" w:rsidP="000074CE">
      <w:pPr>
        <w:pStyle w:val="NormalWeb"/>
        <w:spacing w:before="0" w:beforeAutospacing="0" w:after="0" w:afterAutospacing="0"/>
        <w:ind w:left="1440"/>
        <w:jc w:val="both"/>
        <w:rPr>
          <w:rFonts w:ascii="Cambria" w:hAnsi="Cambria"/>
          <w:color w:val="000000"/>
          <w:sz w:val="20"/>
          <w:szCs w:val="20"/>
          <w:lang w:val="es-VE"/>
        </w:rPr>
      </w:pPr>
    </w:p>
    <w:p w14:paraId="76DF589C" w14:textId="77777777" w:rsidR="000074CE" w:rsidRDefault="000074CE" w:rsidP="000074CE">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 xml:space="preserve">San Pascual Ayala Gutiérrez </w:t>
      </w:r>
    </w:p>
    <w:p w14:paraId="71574BB0"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Inés Bolívar Peres, cónyuge</w:t>
      </w:r>
    </w:p>
    <w:p w14:paraId="3CFF88D0"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Evelia Ayala Bolívar, hija</w:t>
      </w:r>
    </w:p>
    <w:p w14:paraId="3230605D"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Nikikiña Ayala Bolívar, hijo</w:t>
      </w:r>
    </w:p>
    <w:p w14:paraId="04EDB099"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Edikintili Ayala Bolívar, hija</w:t>
      </w:r>
    </w:p>
    <w:p w14:paraId="2D9C84C5"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Emejildo Ayala Gutiérrez, hermano</w:t>
      </w:r>
    </w:p>
    <w:p w14:paraId="689E5354"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Francisco Ayala Gutiérrez, hermano</w:t>
      </w:r>
    </w:p>
    <w:p w14:paraId="1CEFAE96"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Pieto Ayala Gutiérrez, hermano</w:t>
      </w:r>
    </w:p>
    <w:p w14:paraId="320967A4"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María Ayala Gutiérrez, hermana</w:t>
      </w:r>
    </w:p>
    <w:p w14:paraId="2DD9CC6E"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Juan Pablo Ayala Gutiérrez, hermano</w:t>
      </w:r>
    </w:p>
    <w:p w14:paraId="1784673D" w14:textId="77777777" w:rsidR="000074CE" w:rsidRDefault="000074CE" w:rsidP="000074CE">
      <w:pPr>
        <w:pStyle w:val="NormalWeb"/>
        <w:spacing w:before="0" w:beforeAutospacing="0" w:after="0" w:afterAutospacing="0"/>
        <w:ind w:left="1440"/>
        <w:jc w:val="both"/>
        <w:rPr>
          <w:rFonts w:ascii="Cambria" w:hAnsi="Cambria"/>
          <w:color w:val="000000"/>
          <w:sz w:val="20"/>
          <w:szCs w:val="20"/>
          <w:lang w:val="es-VE"/>
        </w:rPr>
      </w:pPr>
    </w:p>
    <w:p w14:paraId="4D794961" w14:textId="77777777" w:rsidR="000074CE" w:rsidRDefault="000074CE" w:rsidP="000074CE">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Luis Enrique Martínez Ayala</w:t>
      </w:r>
    </w:p>
    <w:p w14:paraId="4100ED3F"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Felicidad Villalaz Ayala, cónyuge</w:t>
      </w:r>
    </w:p>
    <w:p w14:paraId="5B9A7003"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Luis Enrique Martínez Villalaz, hijo</w:t>
      </w:r>
    </w:p>
    <w:p w14:paraId="4EC81308"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Militza Martínez Villalaz, hija</w:t>
      </w:r>
    </w:p>
    <w:p w14:paraId="6C8F01FB"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 xml:space="preserve">Ludibeth Martínez, hija </w:t>
      </w:r>
    </w:p>
    <w:p w14:paraId="454BDF7D"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Enrique Martínez Ayala, padre</w:t>
      </w:r>
    </w:p>
    <w:p w14:paraId="0AC98811"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Beyanida Ayala Castillo, madre</w:t>
      </w:r>
    </w:p>
    <w:p w14:paraId="7075BCDB"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Beyanida Regina Martínez Ayala, hermana</w:t>
      </w:r>
    </w:p>
    <w:p w14:paraId="6FDAFEBD"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 xml:space="preserve">Enriquido Martínez Ayala, hermano </w:t>
      </w:r>
    </w:p>
    <w:p w14:paraId="3F6B8921"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Lucia Martínez Ayala, hermana</w:t>
      </w:r>
    </w:p>
    <w:p w14:paraId="1B788331"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Valeria Martínez Ayala, hermana</w:t>
      </w:r>
    </w:p>
    <w:p w14:paraId="794DBE39" w14:textId="77777777" w:rsidR="000074CE" w:rsidRDefault="000074CE" w:rsidP="000074CE">
      <w:pPr>
        <w:pStyle w:val="NormalWeb"/>
        <w:spacing w:before="0" w:beforeAutospacing="0" w:after="0" w:afterAutospacing="0"/>
        <w:ind w:left="1440"/>
        <w:jc w:val="both"/>
        <w:rPr>
          <w:rFonts w:ascii="Cambria" w:hAnsi="Cambria"/>
          <w:color w:val="000000"/>
          <w:sz w:val="20"/>
          <w:szCs w:val="20"/>
          <w:lang w:val="es-VE"/>
        </w:rPr>
      </w:pPr>
    </w:p>
    <w:p w14:paraId="36877F3A" w14:textId="77777777" w:rsidR="000074CE" w:rsidRDefault="000074CE" w:rsidP="000074CE">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Gilberto Vásquez</w:t>
      </w:r>
    </w:p>
    <w:p w14:paraId="0728AAEA"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 xml:space="preserve"> María de la Cruz Díaz, cónyuge </w:t>
      </w:r>
    </w:p>
    <w:p w14:paraId="3E319A7D"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Jorge Luiz Vásquez Gomez, hijo</w:t>
      </w:r>
    </w:p>
    <w:p w14:paraId="10009231"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lastRenderedPageBreak/>
        <w:t>Gilberta Vásquez Gomez, hija</w:t>
      </w:r>
    </w:p>
    <w:p w14:paraId="00F5210B"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Julio Vásquez Gomez, hijo</w:t>
      </w:r>
    </w:p>
    <w:p w14:paraId="57016229"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Marcos Javier Vásquez Díaz, hijo</w:t>
      </w:r>
    </w:p>
    <w:p w14:paraId="6B1F9D74"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Gilberto Junior Vásquez Díaz, hijo</w:t>
      </w:r>
    </w:p>
    <w:p w14:paraId="36E85949" w14:textId="77777777" w:rsidR="000074CE" w:rsidRDefault="000074CE" w:rsidP="000074CE">
      <w:pPr>
        <w:pStyle w:val="NormalWeb"/>
        <w:numPr>
          <w:ilvl w:val="0"/>
          <w:numId w:val="59"/>
        </w:numPr>
        <w:spacing w:before="0" w:beforeAutospacing="0" w:after="0" w:afterAutospacing="0"/>
        <w:jc w:val="both"/>
        <w:rPr>
          <w:rFonts w:ascii="Cambria" w:hAnsi="Cambria"/>
          <w:color w:val="000000"/>
          <w:sz w:val="20"/>
          <w:szCs w:val="20"/>
          <w:lang w:val="es-VE"/>
        </w:rPr>
      </w:pPr>
      <w:r>
        <w:rPr>
          <w:rFonts w:ascii="Cambria" w:hAnsi="Cambria"/>
          <w:color w:val="000000"/>
          <w:sz w:val="20"/>
          <w:szCs w:val="20"/>
          <w:lang w:val="es-VE"/>
        </w:rPr>
        <w:t>Debora Elena Vásquez Díaz, hija</w:t>
      </w:r>
    </w:p>
    <w:p w14:paraId="0AB61FF6" w14:textId="77777777" w:rsidR="000074CE" w:rsidRPr="009C336B" w:rsidRDefault="000074CE" w:rsidP="000074CE">
      <w:pPr>
        <w:pStyle w:val="NormalWeb"/>
        <w:numPr>
          <w:ilvl w:val="0"/>
          <w:numId w:val="58"/>
        </w:numPr>
        <w:spacing w:before="240" w:beforeAutospacing="0" w:after="240" w:afterAutospacing="0"/>
        <w:ind w:left="0" w:firstLine="720"/>
        <w:jc w:val="both"/>
        <w:rPr>
          <w:rFonts w:ascii="Cambria" w:hAnsi="Cambria"/>
          <w:color w:val="000000"/>
          <w:sz w:val="20"/>
          <w:szCs w:val="20"/>
          <w:lang w:val="es-VE"/>
        </w:rPr>
      </w:pPr>
      <w:r>
        <w:rPr>
          <w:rFonts w:ascii="Cambria" w:hAnsi="Cambria"/>
          <w:color w:val="000000"/>
          <w:sz w:val="20"/>
          <w:szCs w:val="20"/>
          <w:lang w:val="es-VE"/>
        </w:rPr>
        <w:t>Casildo Ayala Ayala</w:t>
      </w:r>
    </w:p>
    <w:p w14:paraId="4C6F2D9D" w14:textId="77777777" w:rsidR="000074CE" w:rsidRPr="004C0EA1" w:rsidRDefault="000074CE" w:rsidP="000074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0074CE" w:rsidRPr="004C0EA1" w:rsidSect="00C6413E">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58D6" w14:textId="77777777" w:rsidR="00C17E7D" w:rsidRDefault="00C17E7D">
      <w:r>
        <w:separator/>
      </w:r>
    </w:p>
  </w:endnote>
  <w:endnote w:type="continuationSeparator" w:id="0">
    <w:p w14:paraId="34EA81CA" w14:textId="77777777" w:rsidR="00C17E7D" w:rsidRDefault="00C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BB82" w14:textId="77777777" w:rsidR="00C17E7D" w:rsidRPr="000F35ED" w:rsidRDefault="00C17E7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5A15FD" w14:textId="77777777" w:rsidR="00C17E7D" w:rsidRPr="000F35ED" w:rsidRDefault="00C17E7D" w:rsidP="000F35ED">
      <w:pPr>
        <w:rPr>
          <w:rFonts w:asciiTheme="majorHAnsi" w:hAnsiTheme="majorHAnsi"/>
          <w:sz w:val="16"/>
          <w:szCs w:val="16"/>
        </w:rPr>
      </w:pPr>
      <w:r w:rsidRPr="000F35ED">
        <w:rPr>
          <w:rFonts w:asciiTheme="majorHAnsi" w:hAnsiTheme="majorHAnsi"/>
          <w:sz w:val="16"/>
          <w:szCs w:val="16"/>
        </w:rPr>
        <w:separator/>
      </w:r>
    </w:p>
    <w:p w14:paraId="5D0A4EB8" w14:textId="77777777" w:rsidR="00C17E7D" w:rsidRPr="000F35ED" w:rsidRDefault="00C17E7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5C1CBC5" w14:textId="77777777" w:rsidR="00C17E7D" w:rsidRPr="000F35ED" w:rsidRDefault="00C17E7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7679A6" w14:textId="494E1AB4" w:rsidR="00AE4154" w:rsidRPr="00AE4154" w:rsidRDefault="00AE4154" w:rsidP="009D6ADC">
      <w:pPr>
        <w:pStyle w:val="FootnoteText"/>
        <w:ind w:firstLine="720"/>
        <w:jc w:val="both"/>
        <w:rPr>
          <w:rFonts w:ascii="Cambria" w:hAnsi="Cambria"/>
          <w:sz w:val="16"/>
          <w:szCs w:val="16"/>
          <w:lang w:val="es-419"/>
        </w:rPr>
      </w:pPr>
      <w:r w:rsidRPr="00AE4154">
        <w:rPr>
          <w:rStyle w:val="FootnoteReference"/>
          <w:rFonts w:ascii="Cambria" w:hAnsi="Cambria"/>
          <w:sz w:val="16"/>
          <w:szCs w:val="16"/>
        </w:rPr>
        <w:footnoteRef/>
      </w:r>
      <w:r w:rsidRPr="00AE4154">
        <w:rPr>
          <w:rFonts w:ascii="Cambria" w:hAnsi="Cambria"/>
          <w:sz w:val="16"/>
          <w:szCs w:val="16"/>
          <w:lang w:val="es-419"/>
        </w:rPr>
        <w:t xml:space="preserve"> </w:t>
      </w:r>
      <w:r w:rsidR="000B63E8">
        <w:rPr>
          <w:rFonts w:ascii="Cambria" w:hAnsi="Cambria"/>
          <w:sz w:val="16"/>
          <w:szCs w:val="16"/>
          <w:bdr w:val="none" w:sz="0" w:space="0" w:color="auto" w:frame="1"/>
          <w:lang w:val="es-ES"/>
        </w:rPr>
        <w:t xml:space="preserve">La petición refiere también a los familiares de </w:t>
      </w:r>
      <w:r w:rsidR="000B63E8" w:rsidRPr="000B63E8">
        <w:rPr>
          <w:rFonts w:ascii="Cambria" w:hAnsi="Cambria"/>
          <w:bCs/>
          <w:sz w:val="16"/>
          <w:szCs w:val="16"/>
          <w:bdr w:val="none" w:sz="0" w:space="0" w:color="auto" w:frame="1"/>
          <w:lang w:val="es-ES"/>
        </w:rPr>
        <w:t>Sagla Ernesto Ayala, San Pascual Ayala Gutiérrez, Luis Enrique Martínez Ayala, Gilberto Vásquez</w:t>
      </w:r>
      <w:r w:rsidR="000B63E8" w:rsidRPr="000B63E8">
        <w:rPr>
          <w:rFonts w:ascii="Cambria" w:hAnsi="Cambria"/>
          <w:bCs/>
          <w:sz w:val="16"/>
          <w:szCs w:val="16"/>
          <w:bdr w:val="none" w:sz="0" w:space="0" w:color="auto" w:frame="1"/>
          <w:lang w:val="es-UY"/>
        </w:rPr>
        <w:t xml:space="preserve"> y Casildo Ayala Ayala</w:t>
      </w:r>
      <w:r w:rsidR="000B63E8">
        <w:rPr>
          <w:rFonts w:ascii="Cambria" w:hAnsi="Cambria"/>
          <w:sz w:val="16"/>
          <w:szCs w:val="16"/>
          <w:bdr w:val="none" w:sz="0" w:space="0" w:color="auto" w:frame="1"/>
          <w:lang w:val="es-ES"/>
        </w:rPr>
        <w:t>, como presuntas víctimas, las que se individualizan mediante documento anexo.</w:t>
      </w:r>
    </w:p>
  </w:footnote>
  <w:footnote w:id="3">
    <w:p w14:paraId="66E930B8" w14:textId="7A99D19A" w:rsidR="004A6A54" w:rsidRPr="00AE4154" w:rsidRDefault="004A6A54" w:rsidP="009D6ADC">
      <w:pPr>
        <w:pStyle w:val="FootnoteText"/>
        <w:ind w:firstLine="720"/>
        <w:jc w:val="both"/>
        <w:rPr>
          <w:rFonts w:ascii="Cambria" w:hAnsi="Cambria"/>
          <w:sz w:val="16"/>
          <w:szCs w:val="16"/>
          <w:lang w:val="es-ES"/>
        </w:rPr>
      </w:pPr>
      <w:r w:rsidRPr="00AE4154">
        <w:rPr>
          <w:rStyle w:val="FootnoteReference"/>
          <w:rFonts w:ascii="Cambria" w:hAnsi="Cambria"/>
          <w:sz w:val="16"/>
          <w:szCs w:val="16"/>
        </w:rPr>
        <w:footnoteRef/>
      </w:r>
      <w:r w:rsidRPr="00AE4154">
        <w:rPr>
          <w:rFonts w:ascii="Cambria" w:hAnsi="Cambria"/>
          <w:sz w:val="16"/>
          <w:szCs w:val="16"/>
          <w:lang w:val="es-ES"/>
        </w:rPr>
        <w:t xml:space="preserve"> Conforme a lo dispuesto en el artículo 17.2.a del Reglamento de la Comisión, </w:t>
      </w:r>
      <w:r w:rsidR="0096689B" w:rsidRPr="00AE4154">
        <w:rPr>
          <w:rFonts w:ascii="Cambria" w:hAnsi="Cambria"/>
          <w:sz w:val="16"/>
          <w:szCs w:val="16"/>
          <w:lang w:val="es-ES"/>
        </w:rPr>
        <w:t>la</w:t>
      </w:r>
      <w:r w:rsidRPr="00AE4154">
        <w:rPr>
          <w:rFonts w:ascii="Cambria" w:hAnsi="Cambria"/>
          <w:sz w:val="16"/>
          <w:szCs w:val="16"/>
          <w:lang w:val="es-ES"/>
        </w:rPr>
        <w:t xml:space="preserve"> Comisionad</w:t>
      </w:r>
      <w:r w:rsidR="0096689B" w:rsidRPr="00AE4154">
        <w:rPr>
          <w:rFonts w:ascii="Cambria" w:hAnsi="Cambria"/>
          <w:sz w:val="16"/>
          <w:szCs w:val="16"/>
          <w:lang w:val="es-ES"/>
        </w:rPr>
        <w:t>a</w:t>
      </w:r>
      <w:r w:rsidRPr="00AE4154">
        <w:rPr>
          <w:rFonts w:ascii="Cambria" w:hAnsi="Cambria"/>
          <w:sz w:val="16"/>
          <w:szCs w:val="16"/>
          <w:lang w:val="es-ES"/>
        </w:rPr>
        <w:t xml:space="preserve"> </w:t>
      </w:r>
      <w:r w:rsidR="0096689B" w:rsidRPr="00AE4154">
        <w:rPr>
          <w:rFonts w:ascii="Cambria" w:hAnsi="Cambria"/>
          <w:sz w:val="16"/>
          <w:szCs w:val="16"/>
          <w:lang w:val="es-ES"/>
        </w:rPr>
        <w:t>Esmeralda Arosemena de Troitiño</w:t>
      </w:r>
      <w:r w:rsidRPr="00AE4154">
        <w:rPr>
          <w:rFonts w:ascii="Cambria" w:hAnsi="Cambria"/>
          <w:sz w:val="16"/>
          <w:szCs w:val="16"/>
          <w:lang w:val="es-ES"/>
        </w:rPr>
        <w:t xml:space="preserve">, de nacionalidad </w:t>
      </w:r>
      <w:r w:rsidR="0096689B" w:rsidRPr="00AE4154">
        <w:rPr>
          <w:rFonts w:ascii="Cambria" w:hAnsi="Cambria"/>
          <w:sz w:val="16"/>
          <w:szCs w:val="16"/>
          <w:lang w:val="es-ES"/>
        </w:rPr>
        <w:t>panameña</w:t>
      </w:r>
      <w:r w:rsidRPr="00AE4154">
        <w:rPr>
          <w:rFonts w:ascii="Cambria" w:hAnsi="Cambria"/>
          <w:sz w:val="16"/>
          <w:szCs w:val="16"/>
          <w:lang w:val="es-ES"/>
        </w:rPr>
        <w:t>, no participó en el debate ni en la decisión del presente asunto.</w:t>
      </w:r>
    </w:p>
  </w:footnote>
  <w:footnote w:id="4">
    <w:p w14:paraId="67D7FEAA" w14:textId="518D99E2" w:rsidR="00715E83" w:rsidRPr="0096689B" w:rsidRDefault="00715E83" w:rsidP="009D6ADC">
      <w:pPr>
        <w:pStyle w:val="FootnoteText"/>
        <w:ind w:firstLine="720"/>
        <w:jc w:val="both"/>
        <w:rPr>
          <w:rFonts w:ascii="Cambria" w:hAnsi="Cambria"/>
          <w:sz w:val="16"/>
          <w:szCs w:val="16"/>
          <w:lang w:val="es-419"/>
        </w:rPr>
      </w:pPr>
      <w:r w:rsidRPr="00AE4154">
        <w:rPr>
          <w:rStyle w:val="FootnoteReference"/>
          <w:rFonts w:ascii="Cambria" w:hAnsi="Cambria"/>
          <w:sz w:val="16"/>
          <w:szCs w:val="16"/>
        </w:rPr>
        <w:footnoteRef/>
      </w:r>
      <w:r w:rsidRPr="00AE4154">
        <w:rPr>
          <w:rFonts w:ascii="Cambria" w:hAnsi="Cambria"/>
          <w:sz w:val="16"/>
          <w:szCs w:val="16"/>
          <w:lang w:val="es-419"/>
        </w:rPr>
        <w:t xml:space="preserve"> En adelante “</w:t>
      </w:r>
      <w:r w:rsidRPr="00B91776">
        <w:rPr>
          <w:rFonts w:ascii="Cambria" w:hAnsi="Cambria"/>
          <w:sz w:val="16"/>
          <w:szCs w:val="16"/>
          <w:lang w:val="es-419"/>
        </w:rPr>
        <w:t>la Convención” o “Convención</w:t>
      </w:r>
      <w:r w:rsidRPr="0096689B">
        <w:rPr>
          <w:rFonts w:ascii="Cambria" w:hAnsi="Cambria"/>
          <w:sz w:val="16"/>
          <w:szCs w:val="16"/>
          <w:lang w:val="es-419"/>
        </w:rPr>
        <w:t>”.</w:t>
      </w:r>
    </w:p>
  </w:footnote>
  <w:footnote w:id="5">
    <w:p w14:paraId="6AA1611B" w14:textId="00D12A43" w:rsidR="00B91776" w:rsidRPr="0096689B" w:rsidRDefault="00B91776" w:rsidP="009D6ADC">
      <w:pPr>
        <w:pStyle w:val="FootnoteText"/>
        <w:ind w:firstLine="720"/>
        <w:jc w:val="both"/>
        <w:rPr>
          <w:rFonts w:ascii="Cambria" w:hAnsi="Cambria"/>
          <w:sz w:val="16"/>
          <w:szCs w:val="16"/>
          <w:lang w:val="es-419"/>
        </w:rPr>
      </w:pPr>
      <w:r w:rsidRPr="0096689B">
        <w:rPr>
          <w:rStyle w:val="FootnoteReference"/>
          <w:rFonts w:ascii="Cambria" w:hAnsi="Cambria"/>
          <w:sz w:val="16"/>
          <w:szCs w:val="16"/>
        </w:rPr>
        <w:footnoteRef/>
      </w:r>
      <w:r w:rsidRPr="0096689B">
        <w:rPr>
          <w:rFonts w:ascii="Cambria" w:hAnsi="Cambria"/>
          <w:sz w:val="16"/>
          <w:szCs w:val="16"/>
          <w:lang w:val="es-419"/>
        </w:rPr>
        <w:t xml:space="preserve"> En adelante “la Declaración” o “Declaración”.</w:t>
      </w:r>
    </w:p>
  </w:footnote>
  <w:footnote w:id="6">
    <w:p w14:paraId="1AFEF3B0" w14:textId="5C61BA58" w:rsidR="008E3BFE" w:rsidRPr="00B91776" w:rsidRDefault="008E3BFE" w:rsidP="009D6ADC">
      <w:pPr>
        <w:pStyle w:val="FootnoteText"/>
        <w:ind w:firstLine="720"/>
        <w:jc w:val="both"/>
        <w:rPr>
          <w:rFonts w:ascii="Cambria" w:hAnsi="Cambria"/>
          <w:sz w:val="16"/>
          <w:szCs w:val="16"/>
          <w:lang w:val="es-ES"/>
        </w:rPr>
      </w:pPr>
      <w:r w:rsidRPr="0096689B">
        <w:rPr>
          <w:rStyle w:val="FootnoteReference"/>
          <w:rFonts w:ascii="Cambria" w:hAnsi="Cambria"/>
          <w:sz w:val="16"/>
          <w:szCs w:val="16"/>
        </w:rPr>
        <w:footnoteRef/>
      </w:r>
      <w:r w:rsidRPr="0096689B">
        <w:rPr>
          <w:rFonts w:ascii="Cambria" w:hAnsi="Cambria"/>
          <w:sz w:val="16"/>
          <w:szCs w:val="16"/>
          <w:lang w:val="es-ES"/>
        </w:rPr>
        <w:t xml:space="preserve"> Las observaciones de cada parte fueron debidamente trasladadas a la parte contraria.</w:t>
      </w:r>
      <w:r w:rsidR="009A56CE" w:rsidRPr="0096689B">
        <w:rPr>
          <w:rFonts w:ascii="Cambria" w:hAnsi="Cambria"/>
          <w:sz w:val="16"/>
          <w:szCs w:val="16"/>
          <w:lang w:val="es-ES"/>
        </w:rPr>
        <w:t xml:space="preserve"> </w:t>
      </w:r>
    </w:p>
  </w:footnote>
  <w:footnote w:id="7">
    <w:p w14:paraId="538AFFA3" w14:textId="6838575A" w:rsidR="00557EDA" w:rsidRDefault="00557EDA" w:rsidP="009D6ADC">
      <w:pPr>
        <w:pStyle w:val="FootnoteText"/>
        <w:ind w:firstLine="720"/>
        <w:jc w:val="both"/>
        <w:rPr>
          <w:rFonts w:ascii="Cambria" w:hAnsi="Cambria"/>
          <w:sz w:val="16"/>
          <w:szCs w:val="16"/>
          <w:lang w:val="es-VE"/>
        </w:rPr>
      </w:pPr>
      <w:r>
        <w:rPr>
          <w:rStyle w:val="FootnoteReference"/>
          <w:rFonts w:ascii="Cambria" w:hAnsi="Cambria"/>
          <w:sz w:val="16"/>
          <w:szCs w:val="16"/>
        </w:rPr>
        <w:footnoteRef/>
      </w:r>
      <w:r>
        <w:rPr>
          <w:rFonts w:ascii="Cambria" w:hAnsi="Cambria"/>
          <w:sz w:val="16"/>
          <w:szCs w:val="16"/>
          <w:lang w:val="es-ES"/>
        </w:rPr>
        <w:t xml:space="preserve"> CIDH, Informe No. 71/12. Petición 1073-05. Admisibilidad. Habitantes del conjunto habitacional “Barão de Mauá”, Brasil, 7 de Julio de 2012, párr. 22.</w:t>
      </w:r>
    </w:p>
  </w:footnote>
  <w:footnote w:id="8">
    <w:p w14:paraId="3586B856" w14:textId="77777777" w:rsidR="00496513" w:rsidRDefault="00496513" w:rsidP="009D6ADC">
      <w:pPr>
        <w:pStyle w:val="FootnoteText"/>
        <w:ind w:firstLine="720"/>
        <w:jc w:val="both"/>
        <w:rPr>
          <w:rFonts w:ascii="Cambria" w:hAnsi="Cambria"/>
          <w:sz w:val="16"/>
          <w:szCs w:val="16"/>
          <w:lang w:val="es-VE"/>
        </w:rPr>
      </w:pPr>
      <w:r>
        <w:rPr>
          <w:rStyle w:val="FootnoteReference"/>
          <w:rFonts w:ascii="Cambria" w:hAnsi="Cambria"/>
          <w:sz w:val="16"/>
          <w:szCs w:val="16"/>
        </w:rPr>
        <w:footnoteRef/>
      </w:r>
      <w:r>
        <w:rPr>
          <w:rFonts w:ascii="Cambria" w:hAnsi="Cambria"/>
          <w:sz w:val="16"/>
          <w:szCs w:val="16"/>
          <w:lang w:val="es-VE"/>
        </w:rPr>
        <w:t xml:space="preserve"> CIDH, Informe No. 309/20. Petición 151-10. Admisibilidad. Nancy del Carmen Apraez Coral, Carlos Alberto Apraez y familia. </w:t>
      </w:r>
      <w:r w:rsidRPr="00496513">
        <w:rPr>
          <w:rFonts w:ascii="Cambria" w:hAnsi="Cambria"/>
          <w:sz w:val="16"/>
          <w:szCs w:val="16"/>
          <w:lang w:val="es-419"/>
        </w:rPr>
        <w:t xml:space="preserve">Colombia. 16 de octubre de 2020, párr. 20; y </w:t>
      </w:r>
      <w:r>
        <w:rPr>
          <w:rFonts w:ascii="Cambria" w:hAnsi="Cambria"/>
          <w:sz w:val="16"/>
          <w:szCs w:val="16"/>
          <w:lang w:val="es-VE"/>
        </w:rPr>
        <w:t xml:space="preserve">CIDH, Informe No. 81/18. Petición 190-07. Admisibilidad. Edgar José Sánchez Duarte. Colombia. </w:t>
      </w:r>
      <w:r w:rsidRPr="00496513">
        <w:rPr>
          <w:rFonts w:ascii="Cambria" w:hAnsi="Cambria"/>
          <w:sz w:val="16"/>
          <w:szCs w:val="16"/>
          <w:lang w:val="es-419"/>
        </w:rPr>
        <w:t>7 de julio de 2018, párr. 13.</w:t>
      </w:r>
    </w:p>
  </w:footnote>
  <w:footnote w:id="9">
    <w:p w14:paraId="32A5E34E" w14:textId="77777777" w:rsidR="00F71EF9" w:rsidRPr="004045EE" w:rsidRDefault="00F71EF9" w:rsidP="009D6ADC">
      <w:pPr>
        <w:pStyle w:val="FootnoteText"/>
        <w:ind w:firstLine="720"/>
        <w:jc w:val="both"/>
        <w:rPr>
          <w:rFonts w:ascii="Cambria" w:hAnsi="Cambria"/>
          <w:sz w:val="16"/>
          <w:szCs w:val="16"/>
          <w:lang w:val="es-VE"/>
        </w:rPr>
      </w:pPr>
      <w:r w:rsidRPr="009E1B5A">
        <w:rPr>
          <w:rStyle w:val="FootnoteReference"/>
          <w:rFonts w:ascii="Cambria" w:hAnsi="Cambria"/>
          <w:sz w:val="16"/>
          <w:szCs w:val="16"/>
        </w:rPr>
        <w:footnoteRef/>
      </w:r>
      <w:r>
        <w:rPr>
          <w:rFonts w:ascii="Cambria" w:hAnsi="Cambria"/>
          <w:sz w:val="16"/>
          <w:szCs w:val="16"/>
          <w:lang w:val="es-VE"/>
        </w:rPr>
        <w:t xml:space="preserve"> </w:t>
      </w:r>
      <w:r w:rsidRPr="009E1B5A">
        <w:rPr>
          <w:rFonts w:ascii="Cambria" w:hAnsi="Cambria"/>
          <w:sz w:val="16"/>
          <w:szCs w:val="16"/>
          <w:lang w:val="es-VE"/>
        </w:rPr>
        <w:t xml:space="preserve">CIDH, Informe No.74/14, Petición 1294-05. Admisibilidad. </w:t>
      </w:r>
      <w:r w:rsidRPr="00D60AC2">
        <w:rPr>
          <w:rFonts w:ascii="Cambria" w:hAnsi="Cambria"/>
          <w:sz w:val="16"/>
          <w:szCs w:val="16"/>
          <w:lang w:val="es-VE"/>
        </w:rPr>
        <w:t xml:space="preserve">Mário de Almeida Coelho Filho y de sus familiares. </w:t>
      </w:r>
      <w:r w:rsidRPr="004045EE">
        <w:rPr>
          <w:rFonts w:ascii="Cambria" w:hAnsi="Cambria"/>
          <w:sz w:val="16"/>
          <w:szCs w:val="16"/>
          <w:lang w:val="es-VE"/>
        </w:rPr>
        <w:t xml:space="preserve">Brasil. 15 de agosto de 2014, párr. 38. </w:t>
      </w:r>
    </w:p>
  </w:footnote>
  <w:footnote w:id="10">
    <w:p w14:paraId="3D7B8EB8" w14:textId="77777777" w:rsidR="005E6066" w:rsidRDefault="005E6066" w:rsidP="009D6ADC">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CIDH, Informe No. 159/17, Petición 712-08. Admisibilidad. Sebastián Larroza Velázquez y familia. Paraguay. 30 de noviembre de 2017, párr. 14.</w:t>
      </w:r>
    </w:p>
  </w:footnote>
  <w:footnote w:id="11">
    <w:p w14:paraId="71CA7DD7" w14:textId="77777777" w:rsidR="005E6066" w:rsidRDefault="005E6066" w:rsidP="009D6ADC">
      <w:pPr>
        <w:pStyle w:val="FootnoteText"/>
        <w:jc w:val="both"/>
        <w:rPr>
          <w:rFonts w:ascii="Cambria" w:hAnsi="Cambria"/>
          <w:sz w:val="16"/>
          <w:szCs w:val="16"/>
          <w:lang w:val="es-ES"/>
        </w:rPr>
      </w:pPr>
      <w:r>
        <w:rPr>
          <w:rFonts w:ascii="Cambria" w:hAnsi="Cambria"/>
          <w:sz w:val="16"/>
          <w:szCs w:val="16"/>
          <w:lang w:val="es-VE"/>
        </w:rPr>
        <w:tab/>
      </w:r>
      <w:r>
        <w:rPr>
          <w:rStyle w:val="FootnoteReference"/>
          <w:rFonts w:ascii="Cambria" w:hAnsi="Cambria"/>
          <w:sz w:val="16"/>
          <w:szCs w:val="16"/>
        </w:rPr>
        <w:footnoteRef/>
      </w:r>
      <w:r>
        <w:rPr>
          <w:rFonts w:ascii="Cambria" w:hAnsi="Cambria"/>
          <w:sz w:val="16"/>
          <w:szCs w:val="16"/>
          <w:lang w:val="es-ES"/>
        </w:rPr>
        <w:t xml:space="preserve"> CIDH, Informe No. 7/19. Petición 18-07. Admisibilidad. Masacre de Bocas de Aracataca. Colombia. 3 de febrero de 2019,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361A5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53C10"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41110B"/>
    <w:multiLevelType w:val="hybridMultilevel"/>
    <w:tmpl w:val="C3948544"/>
    <w:lvl w:ilvl="0" w:tplc="481EFAD6">
      <w:start w:val="1"/>
      <w:numFmt w:val="decimal"/>
      <w:lvlText w:val="%1."/>
      <w:lvlJc w:val="left"/>
      <w:pPr>
        <w:ind w:left="1080" w:hanging="360"/>
      </w:pPr>
      <w:rPr>
        <w:rFonts w:ascii="Cambria" w:hAnsi="Cambria"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1632A50"/>
    <w:multiLevelType w:val="hybridMultilevel"/>
    <w:tmpl w:val="9ACE67A8"/>
    <w:lvl w:ilvl="0" w:tplc="BAEA1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4448CCC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FEF013C"/>
    <w:multiLevelType w:val="hybridMultilevel"/>
    <w:tmpl w:val="2334DEF2"/>
    <w:lvl w:ilvl="0" w:tplc="1F788650">
      <w:start w:val="1"/>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7F7767"/>
    <w:multiLevelType w:val="hybridMultilevel"/>
    <w:tmpl w:val="06BA53C4"/>
    <w:lvl w:ilvl="0" w:tplc="1FFC71F8">
      <w:start w:val="1"/>
      <w:numFmt w:val="upperRoman"/>
      <w:lvlText w:val="%1."/>
      <w:lvlJc w:val="left"/>
      <w:pPr>
        <w:ind w:left="1440" w:hanging="720"/>
      </w:pPr>
      <w:rPr>
        <w:rFonts w:hint="default"/>
        <w:b/>
        <w:bCs/>
        <w:lang w:val="es-A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78176463">
    <w:abstractNumId w:val="4"/>
  </w:num>
  <w:num w:numId="2" w16cid:durableId="617882355">
    <w:abstractNumId w:val="5"/>
  </w:num>
  <w:num w:numId="3" w16cid:durableId="662856629">
    <w:abstractNumId w:val="53"/>
  </w:num>
  <w:num w:numId="4" w16cid:durableId="447622026">
    <w:abstractNumId w:val="20"/>
  </w:num>
  <w:num w:numId="5" w16cid:durableId="1910649138">
    <w:abstractNumId w:val="45"/>
  </w:num>
  <w:num w:numId="6" w16cid:durableId="481701490">
    <w:abstractNumId w:val="25"/>
  </w:num>
  <w:num w:numId="7" w16cid:durableId="1343046711">
    <w:abstractNumId w:val="6"/>
  </w:num>
  <w:num w:numId="8" w16cid:durableId="1819959096">
    <w:abstractNumId w:val="16"/>
  </w:num>
  <w:num w:numId="9" w16cid:durableId="384179361">
    <w:abstractNumId w:val="40"/>
  </w:num>
  <w:num w:numId="10" w16cid:durableId="1654723712">
    <w:abstractNumId w:val="0"/>
  </w:num>
  <w:num w:numId="11" w16cid:durableId="1560943193">
    <w:abstractNumId w:val="35"/>
  </w:num>
  <w:num w:numId="12" w16cid:durableId="1356468471">
    <w:abstractNumId w:val="36"/>
  </w:num>
  <w:num w:numId="13" w16cid:durableId="24525457">
    <w:abstractNumId w:val="42"/>
  </w:num>
  <w:num w:numId="14" w16cid:durableId="1750692102">
    <w:abstractNumId w:val="1"/>
  </w:num>
  <w:num w:numId="15" w16cid:durableId="958335036">
    <w:abstractNumId w:val="3"/>
  </w:num>
  <w:num w:numId="16" w16cid:durableId="800000744">
    <w:abstractNumId w:val="7"/>
  </w:num>
  <w:num w:numId="17" w16cid:durableId="1474523902">
    <w:abstractNumId w:val="8"/>
  </w:num>
  <w:num w:numId="18" w16cid:durableId="920145313">
    <w:abstractNumId w:val="9"/>
  </w:num>
  <w:num w:numId="19" w16cid:durableId="1672223701">
    <w:abstractNumId w:val="10"/>
  </w:num>
  <w:num w:numId="20" w16cid:durableId="1777292042">
    <w:abstractNumId w:val="11"/>
  </w:num>
  <w:num w:numId="21" w16cid:durableId="651100865">
    <w:abstractNumId w:val="12"/>
  </w:num>
  <w:num w:numId="22" w16cid:durableId="2062626785">
    <w:abstractNumId w:val="13"/>
  </w:num>
  <w:num w:numId="23" w16cid:durableId="754280962">
    <w:abstractNumId w:val="14"/>
  </w:num>
  <w:num w:numId="24" w16cid:durableId="101267235">
    <w:abstractNumId w:val="15"/>
  </w:num>
  <w:num w:numId="25" w16cid:durableId="2109304981">
    <w:abstractNumId w:val="17"/>
  </w:num>
  <w:num w:numId="26" w16cid:durableId="1659310902">
    <w:abstractNumId w:val="18"/>
  </w:num>
  <w:num w:numId="27" w16cid:durableId="153498926">
    <w:abstractNumId w:val="21"/>
  </w:num>
  <w:num w:numId="28" w16cid:durableId="1087768278">
    <w:abstractNumId w:val="22"/>
  </w:num>
  <w:num w:numId="29" w16cid:durableId="1167669363">
    <w:abstractNumId w:val="23"/>
  </w:num>
  <w:num w:numId="30" w16cid:durableId="716052642">
    <w:abstractNumId w:val="24"/>
  </w:num>
  <w:num w:numId="31" w16cid:durableId="1638336829">
    <w:abstractNumId w:val="26"/>
  </w:num>
  <w:num w:numId="32" w16cid:durableId="519903593">
    <w:abstractNumId w:val="27"/>
  </w:num>
  <w:num w:numId="33" w16cid:durableId="77096488">
    <w:abstractNumId w:val="29"/>
  </w:num>
  <w:num w:numId="34" w16cid:durableId="502623517">
    <w:abstractNumId w:val="30"/>
  </w:num>
  <w:num w:numId="35" w16cid:durableId="1481652691">
    <w:abstractNumId w:val="31"/>
  </w:num>
  <w:num w:numId="36" w16cid:durableId="307904974">
    <w:abstractNumId w:val="32"/>
  </w:num>
  <w:num w:numId="37" w16cid:durableId="1782645110">
    <w:abstractNumId w:val="33"/>
  </w:num>
  <w:num w:numId="38" w16cid:durableId="773549675">
    <w:abstractNumId w:val="34"/>
  </w:num>
  <w:num w:numId="39" w16cid:durableId="269432025">
    <w:abstractNumId w:val="37"/>
  </w:num>
  <w:num w:numId="40" w16cid:durableId="987439884">
    <w:abstractNumId w:val="38"/>
  </w:num>
  <w:num w:numId="41" w16cid:durableId="986864357">
    <w:abstractNumId w:val="44"/>
  </w:num>
  <w:num w:numId="42" w16cid:durableId="308365435">
    <w:abstractNumId w:val="46"/>
  </w:num>
  <w:num w:numId="43" w16cid:durableId="1387073563">
    <w:abstractNumId w:val="47"/>
  </w:num>
  <w:num w:numId="44" w16cid:durableId="17509666">
    <w:abstractNumId w:val="51"/>
  </w:num>
  <w:num w:numId="45" w16cid:durableId="1241210640">
    <w:abstractNumId w:val="52"/>
  </w:num>
  <w:num w:numId="46" w16cid:durableId="1920140506">
    <w:abstractNumId w:val="54"/>
  </w:num>
  <w:num w:numId="47" w16cid:durableId="535238993">
    <w:abstractNumId w:val="55"/>
  </w:num>
  <w:num w:numId="48" w16cid:durableId="31152648">
    <w:abstractNumId w:val="56"/>
  </w:num>
  <w:num w:numId="49" w16cid:durableId="888151588">
    <w:abstractNumId w:val="57"/>
  </w:num>
  <w:num w:numId="50" w16cid:durableId="17320178">
    <w:abstractNumId w:val="58"/>
  </w:num>
  <w:num w:numId="51" w16cid:durableId="1182206884">
    <w:abstractNumId w:val="19"/>
  </w:num>
  <w:num w:numId="52" w16cid:durableId="1699046447">
    <w:abstractNumId w:val="39"/>
  </w:num>
  <w:num w:numId="53" w16cid:durableId="1637488443">
    <w:abstractNumId w:val="49"/>
  </w:num>
  <w:num w:numId="54" w16cid:durableId="81680719">
    <w:abstractNumId w:val="43"/>
  </w:num>
  <w:num w:numId="55" w16cid:durableId="1786726061">
    <w:abstractNumId w:val="41"/>
  </w:num>
  <w:num w:numId="56" w16cid:durableId="1194003702">
    <w:abstractNumId w:val="2"/>
  </w:num>
  <w:num w:numId="57" w16cid:durableId="850610342">
    <w:abstractNumId w:val="50"/>
  </w:num>
  <w:num w:numId="58" w16cid:durableId="790249423">
    <w:abstractNumId w:val="28"/>
  </w:num>
  <w:num w:numId="59" w16cid:durableId="1468938869">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NjEzNjO1MDO3NDRX0lEKTi0uzszPAykwqgUA8jQdbiwAAAA="/>
  </w:docVars>
  <w:rsids>
    <w:rsidRoot w:val="006B2D5C"/>
    <w:rsid w:val="0000036F"/>
    <w:rsid w:val="00000CDA"/>
    <w:rsid w:val="00006E1F"/>
    <w:rsid w:val="000070D7"/>
    <w:rsid w:val="000074CE"/>
    <w:rsid w:val="0001788C"/>
    <w:rsid w:val="000316ED"/>
    <w:rsid w:val="000337EF"/>
    <w:rsid w:val="00040C3A"/>
    <w:rsid w:val="000419AD"/>
    <w:rsid w:val="000433C9"/>
    <w:rsid w:val="0004410D"/>
    <w:rsid w:val="000445E9"/>
    <w:rsid w:val="00045AE3"/>
    <w:rsid w:val="0006026A"/>
    <w:rsid w:val="00067DCA"/>
    <w:rsid w:val="00071174"/>
    <w:rsid w:val="000716C5"/>
    <w:rsid w:val="00075E23"/>
    <w:rsid w:val="000770AA"/>
    <w:rsid w:val="000773FD"/>
    <w:rsid w:val="0009344A"/>
    <w:rsid w:val="000A392E"/>
    <w:rsid w:val="000A575F"/>
    <w:rsid w:val="000A7AD1"/>
    <w:rsid w:val="000B63E8"/>
    <w:rsid w:val="000C29F3"/>
    <w:rsid w:val="000D05CB"/>
    <w:rsid w:val="000D10DB"/>
    <w:rsid w:val="000D4920"/>
    <w:rsid w:val="000D5359"/>
    <w:rsid w:val="000E3AB8"/>
    <w:rsid w:val="000E5EB5"/>
    <w:rsid w:val="000F35ED"/>
    <w:rsid w:val="000F40DD"/>
    <w:rsid w:val="001004FE"/>
    <w:rsid w:val="00107131"/>
    <w:rsid w:val="0010736F"/>
    <w:rsid w:val="00113C5E"/>
    <w:rsid w:val="00113F73"/>
    <w:rsid w:val="00114772"/>
    <w:rsid w:val="00121CC2"/>
    <w:rsid w:val="00131425"/>
    <w:rsid w:val="00133EE5"/>
    <w:rsid w:val="0015601A"/>
    <w:rsid w:val="00167A34"/>
    <w:rsid w:val="00185307"/>
    <w:rsid w:val="00192DFB"/>
    <w:rsid w:val="00197193"/>
    <w:rsid w:val="001A520D"/>
    <w:rsid w:val="001A7870"/>
    <w:rsid w:val="001B0D93"/>
    <w:rsid w:val="001B3A00"/>
    <w:rsid w:val="001B478B"/>
    <w:rsid w:val="001C1B41"/>
    <w:rsid w:val="001C227B"/>
    <w:rsid w:val="001C79BE"/>
    <w:rsid w:val="001D65EF"/>
    <w:rsid w:val="001D6858"/>
    <w:rsid w:val="001D7F96"/>
    <w:rsid w:val="001E1052"/>
    <w:rsid w:val="001E49E7"/>
    <w:rsid w:val="001E7213"/>
    <w:rsid w:val="001F7201"/>
    <w:rsid w:val="00201A9B"/>
    <w:rsid w:val="00216A55"/>
    <w:rsid w:val="00223A29"/>
    <w:rsid w:val="002250A3"/>
    <w:rsid w:val="00227335"/>
    <w:rsid w:val="00232FCB"/>
    <w:rsid w:val="00235217"/>
    <w:rsid w:val="00237367"/>
    <w:rsid w:val="0024278B"/>
    <w:rsid w:val="00246D1F"/>
    <w:rsid w:val="00247403"/>
    <w:rsid w:val="00247542"/>
    <w:rsid w:val="00266B61"/>
    <w:rsid w:val="0026712A"/>
    <w:rsid w:val="00267C3F"/>
    <w:rsid w:val="002704DB"/>
    <w:rsid w:val="002862F0"/>
    <w:rsid w:val="002A0AAE"/>
    <w:rsid w:val="002A5820"/>
    <w:rsid w:val="002C30AD"/>
    <w:rsid w:val="002D2B26"/>
    <w:rsid w:val="002D7266"/>
    <w:rsid w:val="002D7EA2"/>
    <w:rsid w:val="002E187C"/>
    <w:rsid w:val="002F2F06"/>
    <w:rsid w:val="00302733"/>
    <w:rsid w:val="00305835"/>
    <w:rsid w:val="00306F33"/>
    <w:rsid w:val="0031380D"/>
    <w:rsid w:val="00314078"/>
    <w:rsid w:val="00314DC5"/>
    <w:rsid w:val="0031535D"/>
    <w:rsid w:val="00322F38"/>
    <w:rsid w:val="003239B8"/>
    <w:rsid w:val="0033169F"/>
    <w:rsid w:val="00344977"/>
    <w:rsid w:val="00346C95"/>
    <w:rsid w:val="00356185"/>
    <w:rsid w:val="00357A9F"/>
    <w:rsid w:val="00360380"/>
    <w:rsid w:val="00361A5C"/>
    <w:rsid w:val="00362F92"/>
    <w:rsid w:val="00373B60"/>
    <w:rsid w:val="0037519E"/>
    <w:rsid w:val="00383939"/>
    <w:rsid w:val="003868CF"/>
    <w:rsid w:val="00386CF0"/>
    <w:rsid w:val="00394073"/>
    <w:rsid w:val="003A05AA"/>
    <w:rsid w:val="003B70FB"/>
    <w:rsid w:val="003C112C"/>
    <w:rsid w:val="003C676B"/>
    <w:rsid w:val="003D3BC2"/>
    <w:rsid w:val="003E1E63"/>
    <w:rsid w:val="003E2A2A"/>
    <w:rsid w:val="003E6CA1"/>
    <w:rsid w:val="003E789B"/>
    <w:rsid w:val="003F4B01"/>
    <w:rsid w:val="003F5154"/>
    <w:rsid w:val="00400B34"/>
    <w:rsid w:val="00405F9C"/>
    <w:rsid w:val="004065A8"/>
    <w:rsid w:val="004142EE"/>
    <w:rsid w:val="004165C2"/>
    <w:rsid w:val="004241A0"/>
    <w:rsid w:val="00435739"/>
    <w:rsid w:val="00441ECB"/>
    <w:rsid w:val="00445193"/>
    <w:rsid w:val="00455A27"/>
    <w:rsid w:val="00462C1B"/>
    <w:rsid w:val="00463E91"/>
    <w:rsid w:val="00467B7E"/>
    <w:rsid w:val="00473BB4"/>
    <w:rsid w:val="00477592"/>
    <w:rsid w:val="0048680C"/>
    <w:rsid w:val="00486F1C"/>
    <w:rsid w:val="0049419D"/>
    <w:rsid w:val="00496513"/>
    <w:rsid w:val="004A057B"/>
    <w:rsid w:val="004A212B"/>
    <w:rsid w:val="004A3EC6"/>
    <w:rsid w:val="004A6A54"/>
    <w:rsid w:val="004B421C"/>
    <w:rsid w:val="004C0EA1"/>
    <w:rsid w:val="004C20D2"/>
    <w:rsid w:val="004C2312"/>
    <w:rsid w:val="004C4B62"/>
    <w:rsid w:val="004C54C9"/>
    <w:rsid w:val="004D4ABA"/>
    <w:rsid w:val="004D6025"/>
    <w:rsid w:val="004E2649"/>
    <w:rsid w:val="004E4B38"/>
    <w:rsid w:val="004F626F"/>
    <w:rsid w:val="00501399"/>
    <w:rsid w:val="005047ED"/>
    <w:rsid w:val="0050633D"/>
    <w:rsid w:val="00507BC4"/>
    <w:rsid w:val="005128E4"/>
    <w:rsid w:val="005133A0"/>
    <w:rsid w:val="005133DB"/>
    <w:rsid w:val="00514504"/>
    <w:rsid w:val="00521E1F"/>
    <w:rsid w:val="00525560"/>
    <w:rsid w:val="00533527"/>
    <w:rsid w:val="00535922"/>
    <w:rsid w:val="00544C49"/>
    <w:rsid w:val="005516A1"/>
    <w:rsid w:val="005559EF"/>
    <w:rsid w:val="00556B68"/>
    <w:rsid w:val="00557EDA"/>
    <w:rsid w:val="00563557"/>
    <w:rsid w:val="00565B9D"/>
    <w:rsid w:val="0057402A"/>
    <w:rsid w:val="005771D0"/>
    <w:rsid w:val="005826DA"/>
    <w:rsid w:val="00591420"/>
    <w:rsid w:val="0059191A"/>
    <w:rsid w:val="005921FF"/>
    <w:rsid w:val="00597CE5"/>
    <w:rsid w:val="005A1732"/>
    <w:rsid w:val="005A24ED"/>
    <w:rsid w:val="005A351B"/>
    <w:rsid w:val="005A6D0E"/>
    <w:rsid w:val="005B0B92"/>
    <w:rsid w:val="005B52B0"/>
    <w:rsid w:val="005B6806"/>
    <w:rsid w:val="005C4225"/>
    <w:rsid w:val="005D6F1A"/>
    <w:rsid w:val="005D7552"/>
    <w:rsid w:val="005E6066"/>
    <w:rsid w:val="005F0DAD"/>
    <w:rsid w:val="005F0F33"/>
    <w:rsid w:val="00600DEB"/>
    <w:rsid w:val="0060476D"/>
    <w:rsid w:val="006049C3"/>
    <w:rsid w:val="00604BF5"/>
    <w:rsid w:val="00627C9F"/>
    <w:rsid w:val="006311E9"/>
    <w:rsid w:val="00632354"/>
    <w:rsid w:val="00635421"/>
    <w:rsid w:val="00641776"/>
    <w:rsid w:val="00642147"/>
    <w:rsid w:val="00642810"/>
    <w:rsid w:val="00652333"/>
    <w:rsid w:val="00663C9A"/>
    <w:rsid w:val="00677786"/>
    <w:rsid w:val="0068009E"/>
    <w:rsid w:val="00686173"/>
    <w:rsid w:val="00692219"/>
    <w:rsid w:val="00693EE9"/>
    <w:rsid w:val="006A17D2"/>
    <w:rsid w:val="006A5359"/>
    <w:rsid w:val="006A73E6"/>
    <w:rsid w:val="006B2D5C"/>
    <w:rsid w:val="006C0ECF"/>
    <w:rsid w:val="006C4EB1"/>
    <w:rsid w:val="006E0166"/>
    <w:rsid w:val="006E2FFB"/>
    <w:rsid w:val="006E66FB"/>
    <w:rsid w:val="006E7B34"/>
    <w:rsid w:val="006F17AD"/>
    <w:rsid w:val="006F1D06"/>
    <w:rsid w:val="0070697F"/>
    <w:rsid w:val="007103C4"/>
    <w:rsid w:val="00715E83"/>
    <w:rsid w:val="0072199C"/>
    <w:rsid w:val="00722C9F"/>
    <w:rsid w:val="007253B8"/>
    <w:rsid w:val="00726523"/>
    <w:rsid w:val="00727C36"/>
    <w:rsid w:val="00730502"/>
    <w:rsid w:val="00733F00"/>
    <w:rsid w:val="007350F9"/>
    <w:rsid w:val="0073741F"/>
    <w:rsid w:val="0074251F"/>
    <w:rsid w:val="00744C2D"/>
    <w:rsid w:val="0076643F"/>
    <w:rsid w:val="0077683F"/>
    <w:rsid w:val="00777F63"/>
    <w:rsid w:val="007858FF"/>
    <w:rsid w:val="00787AF3"/>
    <w:rsid w:val="007A37FA"/>
    <w:rsid w:val="007A5817"/>
    <w:rsid w:val="007B05C4"/>
    <w:rsid w:val="007B3076"/>
    <w:rsid w:val="007B60E9"/>
    <w:rsid w:val="007B6CC3"/>
    <w:rsid w:val="007B76D3"/>
    <w:rsid w:val="007C3334"/>
    <w:rsid w:val="007D2B98"/>
    <w:rsid w:val="007E21BC"/>
    <w:rsid w:val="007E2274"/>
    <w:rsid w:val="007E7C82"/>
    <w:rsid w:val="007F02F1"/>
    <w:rsid w:val="007F2AA1"/>
    <w:rsid w:val="007F588D"/>
    <w:rsid w:val="00801BC9"/>
    <w:rsid w:val="00803F1C"/>
    <w:rsid w:val="00805B2E"/>
    <w:rsid w:val="0080600E"/>
    <w:rsid w:val="00814688"/>
    <w:rsid w:val="00817612"/>
    <w:rsid w:val="008203DA"/>
    <w:rsid w:val="00832848"/>
    <w:rsid w:val="008338A4"/>
    <w:rsid w:val="00834D49"/>
    <w:rsid w:val="00837C45"/>
    <w:rsid w:val="00841549"/>
    <w:rsid w:val="00844730"/>
    <w:rsid w:val="008457C2"/>
    <w:rsid w:val="00857A82"/>
    <w:rsid w:val="00873836"/>
    <w:rsid w:val="00875687"/>
    <w:rsid w:val="00885737"/>
    <w:rsid w:val="00887661"/>
    <w:rsid w:val="00890650"/>
    <w:rsid w:val="008944DC"/>
    <w:rsid w:val="00897E12"/>
    <w:rsid w:val="008A7E0F"/>
    <w:rsid w:val="008B12F5"/>
    <w:rsid w:val="008B162C"/>
    <w:rsid w:val="008B219F"/>
    <w:rsid w:val="008C06AF"/>
    <w:rsid w:val="008C5E2D"/>
    <w:rsid w:val="008D768D"/>
    <w:rsid w:val="008E20F7"/>
    <w:rsid w:val="008E3759"/>
    <w:rsid w:val="008E3BFE"/>
    <w:rsid w:val="008F0682"/>
    <w:rsid w:val="008F1912"/>
    <w:rsid w:val="008F6C81"/>
    <w:rsid w:val="008F6FE1"/>
    <w:rsid w:val="0090270B"/>
    <w:rsid w:val="009041DC"/>
    <w:rsid w:val="00904BBB"/>
    <w:rsid w:val="009104B5"/>
    <w:rsid w:val="00917B5A"/>
    <w:rsid w:val="00920A58"/>
    <w:rsid w:val="00920A8C"/>
    <w:rsid w:val="009242F0"/>
    <w:rsid w:val="0092585D"/>
    <w:rsid w:val="00934A2C"/>
    <w:rsid w:val="009416C6"/>
    <w:rsid w:val="00941D63"/>
    <w:rsid w:val="00942381"/>
    <w:rsid w:val="009464CB"/>
    <w:rsid w:val="00947243"/>
    <w:rsid w:val="00953C1F"/>
    <w:rsid w:val="0096689B"/>
    <w:rsid w:val="0096706E"/>
    <w:rsid w:val="00972DC4"/>
    <w:rsid w:val="00974491"/>
    <w:rsid w:val="00975C4E"/>
    <w:rsid w:val="0097704B"/>
    <w:rsid w:val="00981FBA"/>
    <w:rsid w:val="00997BC5"/>
    <w:rsid w:val="009A0FD5"/>
    <w:rsid w:val="009A4F41"/>
    <w:rsid w:val="009A56CE"/>
    <w:rsid w:val="009B381B"/>
    <w:rsid w:val="009B5847"/>
    <w:rsid w:val="009D1753"/>
    <w:rsid w:val="009D6ADC"/>
    <w:rsid w:val="009D7611"/>
    <w:rsid w:val="009E0B61"/>
    <w:rsid w:val="009E53DE"/>
    <w:rsid w:val="009F2AEA"/>
    <w:rsid w:val="009F7CCD"/>
    <w:rsid w:val="00A00161"/>
    <w:rsid w:val="00A067D9"/>
    <w:rsid w:val="00A077EF"/>
    <w:rsid w:val="00A11212"/>
    <w:rsid w:val="00A11E44"/>
    <w:rsid w:val="00A15562"/>
    <w:rsid w:val="00A20CC0"/>
    <w:rsid w:val="00A30100"/>
    <w:rsid w:val="00A328B3"/>
    <w:rsid w:val="00A3538D"/>
    <w:rsid w:val="00A50FCF"/>
    <w:rsid w:val="00A528D1"/>
    <w:rsid w:val="00A610CD"/>
    <w:rsid w:val="00A758AA"/>
    <w:rsid w:val="00A90AF3"/>
    <w:rsid w:val="00A9516A"/>
    <w:rsid w:val="00A95388"/>
    <w:rsid w:val="00A9761E"/>
    <w:rsid w:val="00AA09A2"/>
    <w:rsid w:val="00AA7996"/>
    <w:rsid w:val="00AB65A9"/>
    <w:rsid w:val="00AC19CB"/>
    <w:rsid w:val="00AE4154"/>
    <w:rsid w:val="00AE5488"/>
    <w:rsid w:val="00AE6F91"/>
    <w:rsid w:val="00AF3FAB"/>
    <w:rsid w:val="00AF40F1"/>
    <w:rsid w:val="00AF5571"/>
    <w:rsid w:val="00B04818"/>
    <w:rsid w:val="00B07341"/>
    <w:rsid w:val="00B30539"/>
    <w:rsid w:val="00B314DB"/>
    <w:rsid w:val="00B361F2"/>
    <w:rsid w:val="00B3718B"/>
    <w:rsid w:val="00B3745F"/>
    <w:rsid w:val="00B4632A"/>
    <w:rsid w:val="00B50F66"/>
    <w:rsid w:val="00B52F1F"/>
    <w:rsid w:val="00B530F1"/>
    <w:rsid w:val="00B63682"/>
    <w:rsid w:val="00B716D1"/>
    <w:rsid w:val="00B91776"/>
    <w:rsid w:val="00B93D7F"/>
    <w:rsid w:val="00BA276C"/>
    <w:rsid w:val="00BA2B09"/>
    <w:rsid w:val="00BA47CA"/>
    <w:rsid w:val="00BA49C5"/>
    <w:rsid w:val="00BB019D"/>
    <w:rsid w:val="00BB306F"/>
    <w:rsid w:val="00BB4E15"/>
    <w:rsid w:val="00BC4A99"/>
    <w:rsid w:val="00BD0FF5"/>
    <w:rsid w:val="00BD4B89"/>
    <w:rsid w:val="00BD5922"/>
    <w:rsid w:val="00BF02CB"/>
    <w:rsid w:val="00BF062D"/>
    <w:rsid w:val="00BF6FD8"/>
    <w:rsid w:val="00C001EE"/>
    <w:rsid w:val="00C03680"/>
    <w:rsid w:val="00C054DF"/>
    <w:rsid w:val="00C070CA"/>
    <w:rsid w:val="00C1788C"/>
    <w:rsid w:val="00C17E7D"/>
    <w:rsid w:val="00C2103D"/>
    <w:rsid w:val="00C21762"/>
    <w:rsid w:val="00C21FEF"/>
    <w:rsid w:val="00C2374D"/>
    <w:rsid w:val="00C23BA4"/>
    <w:rsid w:val="00C24543"/>
    <w:rsid w:val="00C256A2"/>
    <w:rsid w:val="00C25ADB"/>
    <w:rsid w:val="00C30CA9"/>
    <w:rsid w:val="00C35CC5"/>
    <w:rsid w:val="00C41716"/>
    <w:rsid w:val="00C42824"/>
    <w:rsid w:val="00C51515"/>
    <w:rsid w:val="00C53C10"/>
    <w:rsid w:val="00C5660B"/>
    <w:rsid w:val="00C6413E"/>
    <w:rsid w:val="00C66B72"/>
    <w:rsid w:val="00C865C3"/>
    <w:rsid w:val="00C87AC4"/>
    <w:rsid w:val="00C92407"/>
    <w:rsid w:val="00C9567A"/>
    <w:rsid w:val="00CB0A72"/>
    <w:rsid w:val="00CB212D"/>
    <w:rsid w:val="00CB2660"/>
    <w:rsid w:val="00CB71AE"/>
    <w:rsid w:val="00CB773A"/>
    <w:rsid w:val="00CC5E90"/>
    <w:rsid w:val="00CD02E4"/>
    <w:rsid w:val="00CD046C"/>
    <w:rsid w:val="00CD4158"/>
    <w:rsid w:val="00CE076C"/>
    <w:rsid w:val="00CE3371"/>
    <w:rsid w:val="00CE35AF"/>
    <w:rsid w:val="00CE5199"/>
    <w:rsid w:val="00CE66D5"/>
    <w:rsid w:val="00CF637A"/>
    <w:rsid w:val="00D02487"/>
    <w:rsid w:val="00D0338B"/>
    <w:rsid w:val="00D059DE"/>
    <w:rsid w:val="00D05ABD"/>
    <w:rsid w:val="00D07384"/>
    <w:rsid w:val="00D13FCE"/>
    <w:rsid w:val="00D306D1"/>
    <w:rsid w:val="00D30800"/>
    <w:rsid w:val="00D34786"/>
    <w:rsid w:val="00D37BFC"/>
    <w:rsid w:val="00D40107"/>
    <w:rsid w:val="00D47A8E"/>
    <w:rsid w:val="00D52D14"/>
    <w:rsid w:val="00D536BC"/>
    <w:rsid w:val="00D6034F"/>
    <w:rsid w:val="00D60AC2"/>
    <w:rsid w:val="00D712D3"/>
    <w:rsid w:val="00D71422"/>
    <w:rsid w:val="00D72DC6"/>
    <w:rsid w:val="00D7558D"/>
    <w:rsid w:val="00D81D92"/>
    <w:rsid w:val="00D8370C"/>
    <w:rsid w:val="00D876F9"/>
    <w:rsid w:val="00DA7B5F"/>
    <w:rsid w:val="00DB1B45"/>
    <w:rsid w:val="00DC11E7"/>
    <w:rsid w:val="00DC24E3"/>
    <w:rsid w:val="00DC2788"/>
    <w:rsid w:val="00DC56E6"/>
    <w:rsid w:val="00DC6EAD"/>
    <w:rsid w:val="00DC7023"/>
    <w:rsid w:val="00DC769A"/>
    <w:rsid w:val="00DD3C6A"/>
    <w:rsid w:val="00DD3D86"/>
    <w:rsid w:val="00DD4AD2"/>
    <w:rsid w:val="00DD568E"/>
    <w:rsid w:val="00DD603F"/>
    <w:rsid w:val="00DE2862"/>
    <w:rsid w:val="00DF1EC4"/>
    <w:rsid w:val="00E0340B"/>
    <w:rsid w:val="00E04A90"/>
    <w:rsid w:val="00E0551F"/>
    <w:rsid w:val="00E06CEE"/>
    <w:rsid w:val="00E219C7"/>
    <w:rsid w:val="00E4118C"/>
    <w:rsid w:val="00E423F4"/>
    <w:rsid w:val="00E43157"/>
    <w:rsid w:val="00E461CE"/>
    <w:rsid w:val="00E565D6"/>
    <w:rsid w:val="00E573E4"/>
    <w:rsid w:val="00E64C3D"/>
    <w:rsid w:val="00E64C98"/>
    <w:rsid w:val="00E720CA"/>
    <w:rsid w:val="00E733AD"/>
    <w:rsid w:val="00E76D39"/>
    <w:rsid w:val="00E84EB5"/>
    <w:rsid w:val="00E85662"/>
    <w:rsid w:val="00E86C89"/>
    <w:rsid w:val="00E8789F"/>
    <w:rsid w:val="00E97B71"/>
    <w:rsid w:val="00EA1C1D"/>
    <w:rsid w:val="00EA3D34"/>
    <w:rsid w:val="00EA591B"/>
    <w:rsid w:val="00EB454D"/>
    <w:rsid w:val="00EC341F"/>
    <w:rsid w:val="00ED3484"/>
    <w:rsid w:val="00ED549D"/>
    <w:rsid w:val="00ED5E10"/>
    <w:rsid w:val="00ED76BE"/>
    <w:rsid w:val="00EE00E9"/>
    <w:rsid w:val="00EF0048"/>
    <w:rsid w:val="00EF1AAA"/>
    <w:rsid w:val="00EF619B"/>
    <w:rsid w:val="00EF75F1"/>
    <w:rsid w:val="00F00B55"/>
    <w:rsid w:val="00F02AD1"/>
    <w:rsid w:val="00F20281"/>
    <w:rsid w:val="00F2081F"/>
    <w:rsid w:val="00F22388"/>
    <w:rsid w:val="00F253CC"/>
    <w:rsid w:val="00F25DC8"/>
    <w:rsid w:val="00F3196C"/>
    <w:rsid w:val="00F32ADD"/>
    <w:rsid w:val="00F32D35"/>
    <w:rsid w:val="00F36066"/>
    <w:rsid w:val="00F37106"/>
    <w:rsid w:val="00F40CEF"/>
    <w:rsid w:val="00F44E25"/>
    <w:rsid w:val="00F519CF"/>
    <w:rsid w:val="00F53A4E"/>
    <w:rsid w:val="00F56BA5"/>
    <w:rsid w:val="00F56ECB"/>
    <w:rsid w:val="00F60B69"/>
    <w:rsid w:val="00F60E22"/>
    <w:rsid w:val="00F71EF9"/>
    <w:rsid w:val="00F81395"/>
    <w:rsid w:val="00F81BB8"/>
    <w:rsid w:val="00F85AF2"/>
    <w:rsid w:val="00F90687"/>
    <w:rsid w:val="00F90C64"/>
    <w:rsid w:val="00F917D1"/>
    <w:rsid w:val="00F9653B"/>
    <w:rsid w:val="00FB62CF"/>
    <w:rsid w:val="00FD3C3B"/>
    <w:rsid w:val="00FE07DD"/>
    <w:rsid w:val="00FE6B45"/>
    <w:rsid w:val="00FF55F3"/>
    <w:rsid w:val="00FF5851"/>
    <w:rsid w:val="00FF7B79"/>
    <w:rsid w:val="00FF7D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71EF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4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274">
      <w:bodyDiv w:val="1"/>
      <w:marLeft w:val="0"/>
      <w:marRight w:val="0"/>
      <w:marTop w:val="0"/>
      <w:marBottom w:val="0"/>
      <w:divBdr>
        <w:top w:val="none" w:sz="0" w:space="0" w:color="auto"/>
        <w:left w:val="none" w:sz="0" w:space="0" w:color="auto"/>
        <w:bottom w:val="none" w:sz="0" w:space="0" w:color="auto"/>
        <w:right w:val="none" w:sz="0" w:space="0" w:color="auto"/>
      </w:divBdr>
    </w:div>
    <w:div w:id="93062402">
      <w:bodyDiv w:val="1"/>
      <w:marLeft w:val="0"/>
      <w:marRight w:val="0"/>
      <w:marTop w:val="0"/>
      <w:marBottom w:val="0"/>
      <w:divBdr>
        <w:top w:val="none" w:sz="0" w:space="0" w:color="auto"/>
        <w:left w:val="none" w:sz="0" w:space="0" w:color="auto"/>
        <w:bottom w:val="none" w:sz="0" w:space="0" w:color="auto"/>
        <w:right w:val="none" w:sz="0" w:space="0" w:color="auto"/>
      </w:divBdr>
    </w:div>
    <w:div w:id="411778254">
      <w:bodyDiv w:val="1"/>
      <w:marLeft w:val="0"/>
      <w:marRight w:val="0"/>
      <w:marTop w:val="0"/>
      <w:marBottom w:val="0"/>
      <w:divBdr>
        <w:top w:val="none" w:sz="0" w:space="0" w:color="auto"/>
        <w:left w:val="none" w:sz="0" w:space="0" w:color="auto"/>
        <w:bottom w:val="none" w:sz="0" w:space="0" w:color="auto"/>
        <w:right w:val="none" w:sz="0" w:space="0" w:color="auto"/>
      </w:divBdr>
    </w:div>
    <w:div w:id="563759984">
      <w:bodyDiv w:val="1"/>
      <w:marLeft w:val="0"/>
      <w:marRight w:val="0"/>
      <w:marTop w:val="0"/>
      <w:marBottom w:val="0"/>
      <w:divBdr>
        <w:top w:val="none" w:sz="0" w:space="0" w:color="auto"/>
        <w:left w:val="none" w:sz="0" w:space="0" w:color="auto"/>
        <w:bottom w:val="none" w:sz="0" w:space="0" w:color="auto"/>
        <w:right w:val="none" w:sz="0" w:space="0" w:color="auto"/>
      </w:divBdr>
    </w:div>
    <w:div w:id="72183468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87476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5470838">
      <w:bodyDiv w:val="1"/>
      <w:marLeft w:val="0"/>
      <w:marRight w:val="0"/>
      <w:marTop w:val="0"/>
      <w:marBottom w:val="0"/>
      <w:divBdr>
        <w:top w:val="none" w:sz="0" w:space="0" w:color="auto"/>
        <w:left w:val="none" w:sz="0" w:space="0" w:color="auto"/>
        <w:bottom w:val="none" w:sz="0" w:space="0" w:color="auto"/>
        <w:right w:val="none" w:sz="0" w:space="0" w:color="auto"/>
      </w:divBdr>
    </w:div>
    <w:div w:id="212221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33778"/>
    <w:rsid w:val="0025245B"/>
    <w:rsid w:val="002A3923"/>
    <w:rsid w:val="002B28B4"/>
    <w:rsid w:val="00394049"/>
    <w:rsid w:val="003B0C71"/>
    <w:rsid w:val="004B5BBB"/>
    <w:rsid w:val="004D5CB0"/>
    <w:rsid w:val="004F2DF8"/>
    <w:rsid w:val="00517E2A"/>
    <w:rsid w:val="0056242A"/>
    <w:rsid w:val="005D5C28"/>
    <w:rsid w:val="006D3128"/>
    <w:rsid w:val="006F24A1"/>
    <w:rsid w:val="00875B8A"/>
    <w:rsid w:val="008953BC"/>
    <w:rsid w:val="009A261B"/>
    <w:rsid w:val="009B7B3A"/>
    <w:rsid w:val="009E662F"/>
    <w:rsid w:val="00AA2E17"/>
    <w:rsid w:val="00AC15A4"/>
    <w:rsid w:val="00B0336C"/>
    <w:rsid w:val="00D241E9"/>
    <w:rsid w:val="00D54069"/>
    <w:rsid w:val="00D7750D"/>
    <w:rsid w:val="00EB3B9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3741</Words>
  <Characters>21324</Characters>
  <Application>Microsoft Office Word</Application>
  <DocSecurity>0</DocSecurity>
  <Lines>177</Lines>
  <Paragraphs>50</Paragraphs>
  <ScaleCrop>false</ScaleCrop>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2022-11-19T13:42:00Z</dcterms:created>
  <dcterms:modified xsi:type="dcterms:W3CDTF">2022-11-19T13:42:00Z</dcterms:modified>
</cp:coreProperties>
</file>