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BCED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0CB53F4B">
                <wp:simplePos x="0" y="0"/>
                <wp:positionH relativeFrom="column">
                  <wp:posOffset>1352550</wp:posOffset>
                </wp:positionH>
                <wp:positionV relativeFrom="paragraph">
                  <wp:posOffset>107315</wp:posOffset>
                </wp:positionV>
                <wp:extent cx="4441190" cy="2185416"/>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5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4D74143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94958">
                              <w:rPr>
                                <w:rFonts w:asciiTheme="majorHAnsi" w:hAnsiTheme="majorHAnsi" w:cs="Arial"/>
                                <w:b/>
                                <w:bCs/>
                                <w:color w:val="0D0D0D" w:themeColor="text1" w:themeTint="F2"/>
                                <w:sz w:val="36"/>
                                <w:szCs w:val="22"/>
                                <w:lang w:val="es-ES_tradnl"/>
                              </w:rPr>
                              <w:t>201</w:t>
                            </w:r>
                            <w:r w:rsidR="007B05C4">
                              <w:rPr>
                                <w:rFonts w:asciiTheme="majorHAnsi" w:hAnsiTheme="majorHAnsi" w:cs="Arial"/>
                                <w:b/>
                                <w:bCs/>
                                <w:color w:val="0D0D0D" w:themeColor="text1" w:themeTint="F2"/>
                                <w:sz w:val="36"/>
                                <w:szCs w:val="22"/>
                                <w:lang w:val="es-ES_tradnl"/>
                              </w:rPr>
                              <w:t>/</w:t>
                            </w:r>
                            <w:r w:rsidR="00D0014D">
                              <w:rPr>
                                <w:rFonts w:asciiTheme="majorHAnsi" w:hAnsiTheme="majorHAnsi" w:cs="Arial"/>
                                <w:b/>
                                <w:bCs/>
                                <w:color w:val="0D0D0D" w:themeColor="text1" w:themeTint="F2"/>
                                <w:sz w:val="36"/>
                                <w:szCs w:val="22"/>
                                <w:lang w:val="es-ES_tradnl"/>
                              </w:rPr>
                              <w:t>22</w:t>
                            </w:r>
                          </w:p>
                          <w:p w14:paraId="45F30ECA" w14:textId="5337FFB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67278">
                              <w:rPr>
                                <w:rFonts w:asciiTheme="majorHAnsi" w:hAnsiTheme="majorHAnsi" w:cs="Arial"/>
                                <w:b/>
                                <w:color w:val="0D0D0D" w:themeColor="text1" w:themeTint="F2"/>
                                <w:sz w:val="36"/>
                                <w:szCs w:val="22"/>
                                <w:lang w:val="es-ES_tradnl"/>
                              </w:rPr>
                              <w:t>1703</w:t>
                            </w:r>
                            <w:r w:rsidR="00246D1F" w:rsidRPr="004E2649">
                              <w:rPr>
                                <w:rFonts w:asciiTheme="majorHAnsi" w:hAnsiTheme="majorHAnsi" w:cs="Arial"/>
                                <w:b/>
                                <w:color w:val="0D0D0D" w:themeColor="text1" w:themeTint="F2"/>
                                <w:sz w:val="36"/>
                                <w:szCs w:val="22"/>
                                <w:lang w:val="es-ES_tradnl"/>
                              </w:rPr>
                              <w:t>-</w:t>
                            </w:r>
                            <w:r w:rsidR="00467278">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188B4303" w14:textId="6B82DFE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343754D3" w14:textId="388C6F06" w:rsidR="00AC688E" w:rsidRDefault="00AC688E" w:rsidP="00F56ECB">
                            <w:pPr>
                              <w:spacing w:line="276" w:lineRule="auto"/>
                              <w:rPr>
                                <w:rFonts w:asciiTheme="majorHAnsi" w:hAnsiTheme="majorHAnsi" w:cs="Arial"/>
                                <w:color w:val="0D0D0D" w:themeColor="text1" w:themeTint="F2"/>
                                <w:szCs w:val="22"/>
                                <w:lang w:val="es-ES_tradnl"/>
                              </w:rPr>
                            </w:pPr>
                            <w:r w:rsidRPr="00D0014D">
                              <w:rPr>
                                <w:rFonts w:asciiTheme="majorHAnsi" w:hAnsiTheme="majorHAnsi" w:cs="Arial"/>
                                <w:bCs/>
                                <w:color w:val="0D0D0D" w:themeColor="text1" w:themeTint="F2"/>
                                <w:szCs w:val="22"/>
                                <w:lang w:val="es-US"/>
                              </w:rPr>
                              <w:t>HERNANDO RAMÍREZ ARBOLEDA</w:t>
                            </w:r>
                            <w:r w:rsidRPr="00AC688E">
                              <w:rPr>
                                <w:rFonts w:asciiTheme="majorHAnsi" w:hAnsiTheme="majorHAnsi" w:cs="Arial"/>
                                <w:color w:val="0D0D0D" w:themeColor="text1" w:themeTint="F2"/>
                                <w:szCs w:val="22"/>
                                <w:lang w:val="es-ES_tradnl"/>
                              </w:rPr>
                              <w:t xml:space="preserve"> </w:t>
                            </w:r>
                          </w:p>
                          <w:p w14:paraId="0B9F7D22" w14:textId="11603E01" w:rsidR="005B52B0" w:rsidRPr="00F56ECB" w:rsidRDefault="00467278"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COLOMBIA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" filled="f" stroked="f" strokeweight=".5pt">
                <v:textbox>
                  <w:txbxContent>
                    <w:p w14:paraId="7D7328D9" w14:textId="4D74143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94958">
                        <w:rPr>
                          <w:rFonts w:asciiTheme="majorHAnsi" w:hAnsiTheme="majorHAnsi" w:cs="Arial"/>
                          <w:b/>
                          <w:bCs/>
                          <w:color w:val="0D0D0D" w:themeColor="text1" w:themeTint="F2"/>
                          <w:sz w:val="36"/>
                          <w:szCs w:val="22"/>
                          <w:lang w:val="es-ES_tradnl"/>
                        </w:rPr>
                        <w:t>201</w:t>
                      </w:r>
                      <w:r w:rsidR="007B05C4">
                        <w:rPr>
                          <w:rFonts w:asciiTheme="majorHAnsi" w:hAnsiTheme="majorHAnsi" w:cs="Arial"/>
                          <w:b/>
                          <w:bCs/>
                          <w:color w:val="0D0D0D" w:themeColor="text1" w:themeTint="F2"/>
                          <w:sz w:val="36"/>
                          <w:szCs w:val="22"/>
                          <w:lang w:val="es-ES_tradnl"/>
                        </w:rPr>
                        <w:t>/</w:t>
                      </w:r>
                      <w:r w:rsidR="00D0014D">
                        <w:rPr>
                          <w:rFonts w:asciiTheme="majorHAnsi" w:hAnsiTheme="majorHAnsi" w:cs="Arial"/>
                          <w:b/>
                          <w:bCs/>
                          <w:color w:val="0D0D0D" w:themeColor="text1" w:themeTint="F2"/>
                          <w:sz w:val="36"/>
                          <w:szCs w:val="22"/>
                          <w:lang w:val="es-ES_tradnl"/>
                        </w:rPr>
                        <w:t>22</w:t>
                      </w:r>
                    </w:p>
                    <w:p w14:paraId="45F30ECA" w14:textId="5337FFB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67278">
                        <w:rPr>
                          <w:rFonts w:asciiTheme="majorHAnsi" w:hAnsiTheme="majorHAnsi" w:cs="Arial"/>
                          <w:b/>
                          <w:color w:val="0D0D0D" w:themeColor="text1" w:themeTint="F2"/>
                          <w:sz w:val="36"/>
                          <w:szCs w:val="22"/>
                          <w:lang w:val="es-ES_tradnl"/>
                        </w:rPr>
                        <w:t>1703</w:t>
                      </w:r>
                      <w:r w:rsidR="00246D1F" w:rsidRPr="004E2649">
                        <w:rPr>
                          <w:rFonts w:asciiTheme="majorHAnsi" w:hAnsiTheme="majorHAnsi" w:cs="Arial"/>
                          <w:b/>
                          <w:color w:val="0D0D0D" w:themeColor="text1" w:themeTint="F2"/>
                          <w:sz w:val="36"/>
                          <w:szCs w:val="22"/>
                          <w:lang w:val="es-ES_tradnl"/>
                        </w:rPr>
                        <w:t>-</w:t>
                      </w:r>
                      <w:r w:rsidR="00467278">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188B4303" w14:textId="6B82DFE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343754D3" w14:textId="388C6F06" w:rsidR="00AC688E" w:rsidRDefault="00AC688E" w:rsidP="00F56ECB">
                      <w:pPr>
                        <w:spacing w:line="276" w:lineRule="auto"/>
                        <w:rPr>
                          <w:rFonts w:asciiTheme="majorHAnsi" w:hAnsiTheme="majorHAnsi" w:cs="Arial"/>
                          <w:color w:val="0D0D0D" w:themeColor="text1" w:themeTint="F2"/>
                          <w:szCs w:val="22"/>
                          <w:lang w:val="es-ES_tradnl"/>
                        </w:rPr>
                      </w:pPr>
                      <w:r w:rsidRPr="00D0014D">
                        <w:rPr>
                          <w:rFonts w:asciiTheme="majorHAnsi" w:hAnsiTheme="majorHAnsi" w:cs="Arial"/>
                          <w:bCs/>
                          <w:color w:val="0D0D0D" w:themeColor="text1" w:themeTint="F2"/>
                          <w:szCs w:val="22"/>
                          <w:lang w:val="es-US"/>
                        </w:rPr>
                        <w:t>HERNANDO RAMÍREZ ARBOLEDA</w:t>
                      </w:r>
                      <w:r w:rsidRPr="00AC688E">
                        <w:rPr>
                          <w:rFonts w:asciiTheme="majorHAnsi" w:hAnsiTheme="majorHAnsi" w:cs="Arial"/>
                          <w:color w:val="0D0D0D" w:themeColor="text1" w:themeTint="F2"/>
                          <w:szCs w:val="22"/>
                          <w:lang w:val="es-ES_tradnl"/>
                        </w:rPr>
                        <w:t xml:space="preserve"> </w:t>
                      </w:r>
                    </w:p>
                    <w:p w14:paraId="0B9F7D22" w14:textId="11603E01" w:rsidR="005B52B0" w:rsidRPr="00F56ECB" w:rsidRDefault="00467278"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COLOMBIA </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7938CE9B"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767B1AFD"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Doc.</w:t>
                            </w:r>
                            <w:r w:rsidR="00494958">
                              <w:rPr>
                                <w:rFonts w:asciiTheme="minorHAnsi" w:hAnsiTheme="minorHAnsi"/>
                                <w:color w:val="FFFFFF" w:themeColor="background1"/>
                                <w:sz w:val="22"/>
                                <w:lang w:val="pt-BR"/>
                              </w:rPr>
                              <w:t xml:space="preserve"> 204</w:t>
                            </w:r>
                            <w:r w:rsidRPr="004E2649">
                              <w:rPr>
                                <w:rFonts w:asciiTheme="minorHAnsi" w:hAnsiTheme="minorHAnsi"/>
                                <w:color w:val="FFFFFF" w:themeColor="background1"/>
                                <w:sz w:val="22"/>
                                <w:lang w:val="pt-BR"/>
                              </w:rPr>
                              <w:t xml:space="preserve"> </w:t>
                            </w:r>
                          </w:p>
                          <w:p w14:paraId="4061DBBD" w14:textId="41EB6DB2" w:rsidR="00627C9F" w:rsidRPr="00D42C35" w:rsidRDefault="00494958" w:rsidP="007A5817">
                            <w:pPr>
                              <w:spacing w:line="276" w:lineRule="auto"/>
                              <w:jc w:val="right"/>
                              <w:rPr>
                                <w:rFonts w:asciiTheme="minorHAnsi" w:hAnsiTheme="minorHAnsi"/>
                                <w:color w:val="FFFFFF" w:themeColor="background1"/>
                                <w:sz w:val="22"/>
                                <w:lang w:val="pt-BR"/>
                              </w:rPr>
                            </w:pPr>
                            <w:r w:rsidRPr="00D42C35">
                              <w:rPr>
                                <w:rFonts w:asciiTheme="minorHAnsi" w:hAnsiTheme="minorHAnsi"/>
                                <w:color w:val="FFFFFF" w:themeColor="background1"/>
                                <w:sz w:val="22"/>
                                <w:lang w:val="pt-BR"/>
                              </w:rPr>
                              <w:t>13 agosto</w:t>
                            </w:r>
                            <w:r w:rsidR="00627C9F" w:rsidRPr="00D42C35">
                              <w:rPr>
                                <w:rFonts w:asciiTheme="minorHAnsi" w:hAnsiTheme="minorHAnsi"/>
                                <w:color w:val="FFFFFF" w:themeColor="background1"/>
                                <w:sz w:val="22"/>
                                <w:lang w:val="pt-BR"/>
                              </w:rPr>
                              <w:t xml:space="preserve"> 20</w:t>
                            </w:r>
                            <w:r w:rsidR="00C23BA4" w:rsidRPr="00D42C35">
                              <w:rPr>
                                <w:rFonts w:asciiTheme="minorHAnsi" w:hAnsiTheme="minorHAnsi"/>
                                <w:color w:val="FFFFFF" w:themeColor="background1"/>
                                <w:sz w:val="22"/>
                                <w:lang w:val="pt-BR"/>
                              </w:rPr>
                              <w:t>2</w:t>
                            </w:r>
                            <w:r w:rsidR="00D0014D" w:rsidRPr="00D42C35">
                              <w:rPr>
                                <w:rFonts w:asciiTheme="minorHAnsi" w:hAnsiTheme="minorHAnsi"/>
                                <w:color w:val="FFFFFF" w:themeColor="background1"/>
                                <w:sz w:val="22"/>
                                <w:lang w:val="pt-BR"/>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7938CE9B"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767B1AFD"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Doc.</w:t>
                      </w:r>
                      <w:r w:rsidR="00494958">
                        <w:rPr>
                          <w:rFonts w:asciiTheme="minorHAnsi" w:hAnsiTheme="minorHAnsi"/>
                          <w:color w:val="FFFFFF" w:themeColor="background1"/>
                          <w:sz w:val="22"/>
                          <w:lang w:val="pt-BR"/>
                        </w:rPr>
                        <w:t xml:space="preserve"> 204</w:t>
                      </w:r>
                      <w:r w:rsidRPr="004E2649">
                        <w:rPr>
                          <w:rFonts w:asciiTheme="minorHAnsi" w:hAnsiTheme="minorHAnsi"/>
                          <w:color w:val="FFFFFF" w:themeColor="background1"/>
                          <w:sz w:val="22"/>
                          <w:lang w:val="pt-BR"/>
                        </w:rPr>
                        <w:t xml:space="preserve"> </w:t>
                      </w:r>
                    </w:p>
                    <w:p w14:paraId="4061DBBD" w14:textId="41EB6DB2" w:rsidR="00627C9F" w:rsidRPr="00D42C35" w:rsidRDefault="00494958" w:rsidP="007A5817">
                      <w:pPr>
                        <w:spacing w:line="276" w:lineRule="auto"/>
                        <w:jc w:val="right"/>
                        <w:rPr>
                          <w:rFonts w:asciiTheme="minorHAnsi" w:hAnsiTheme="minorHAnsi"/>
                          <w:color w:val="FFFFFF" w:themeColor="background1"/>
                          <w:sz w:val="22"/>
                          <w:lang w:val="pt-BR"/>
                        </w:rPr>
                      </w:pPr>
                      <w:r w:rsidRPr="00D42C35">
                        <w:rPr>
                          <w:rFonts w:asciiTheme="minorHAnsi" w:hAnsiTheme="minorHAnsi"/>
                          <w:color w:val="FFFFFF" w:themeColor="background1"/>
                          <w:sz w:val="22"/>
                          <w:lang w:val="pt-BR"/>
                        </w:rPr>
                        <w:t>13 agosto</w:t>
                      </w:r>
                      <w:r w:rsidR="00627C9F" w:rsidRPr="00D42C35">
                        <w:rPr>
                          <w:rFonts w:asciiTheme="minorHAnsi" w:hAnsiTheme="minorHAnsi"/>
                          <w:color w:val="FFFFFF" w:themeColor="background1"/>
                          <w:sz w:val="22"/>
                          <w:lang w:val="pt-BR"/>
                        </w:rPr>
                        <w:t xml:space="preserve"> 20</w:t>
                      </w:r>
                      <w:r w:rsidR="00C23BA4" w:rsidRPr="00D42C35">
                        <w:rPr>
                          <w:rFonts w:asciiTheme="minorHAnsi" w:hAnsiTheme="minorHAnsi"/>
                          <w:color w:val="FFFFFF" w:themeColor="background1"/>
                          <w:sz w:val="22"/>
                          <w:lang w:val="pt-BR"/>
                        </w:rPr>
                        <w:t>2</w:t>
                      </w:r>
                      <w:r w:rsidR="00D0014D" w:rsidRPr="00D42C35">
                        <w:rPr>
                          <w:rFonts w:asciiTheme="minorHAnsi" w:hAnsiTheme="minorHAnsi"/>
                          <w:color w:val="FFFFFF" w:themeColor="background1"/>
                          <w:sz w:val="22"/>
                          <w:lang w:val="pt-BR"/>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69FC71F8">
                <wp:simplePos x="0" y="0"/>
                <wp:positionH relativeFrom="column">
                  <wp:posOffset>1341755</wp:posOffset>
                </wp:positionH>
                <wp:positionV relativeFrom="paragraph">
                  <wp:posOffset>22860</wp:posOffset>
                </wp:positionV>
                <wp:extent cx="4933950" cy="667512"/>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75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24108E9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63765F">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63765F">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467278">
                              <w:rPr>
                                <w:rFonts w:asciiTheme="majorHAnsi" w:hAnsiTheme="majorHAnsi"/>
                                <w:color w:val="0D0D0D" w:themeColor="text1" w:themeTint="F2"/>
                                <w:sz w:val="18"/>
                                <w:szCs w:val="22"/>
                                <w:lang w:val="es-ES"/>
                              </w:rPr>
                              <w:t>2</w:t>
                            </w:r>
                            <w:r w:rsidR="0063765F">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" filled="f" stroked="f" strokeweight=".5pt">
                <v:textbox>
                  <w:txbxContent>
                    <w:p w14:paraId="179E1DD7" w14:textId="24108E9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63765F">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63765F">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467278">
                        <w:rPr>
                          <w:rFonts w:asciiTheme="majorHAnsi" w:hAnsiTheme="majorHAnsi"/>
                          <w:color w:val="0D0D0D" w:themeColor="text1" w:themeTint="F2"/>
                          <w:sz w:val="18"/>
                          <w:szCs w:val="22"/>
                          <w:lang w:val="es-ES"/>
                        </w:rPr>
                        <w:t>2</w:t>
                      </w:r>
                      <w:r w:rsidR="0063765F">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B5BCFE" w14:textId="77777777" w:rsidR="0063765F"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3765F" w:rsidRPr="0063765F">
                              <w:rPr>
                                <w:rFonts w:asciiTheme="majorHAnsi" w:hAnsiTheme="majorHAnsi"/>
                                <w:color w:val="595959" w:themeColor="text1" w:themeTint="A6"/>
                                <w:sz w:val="18"/>
                                <w:szCs w:val="18"/>
                                <w:lang w:val="pt-BR"/>
                              </w:rPr>
                              <w:t>201</w:t>
                            </w:r>
                            <w:r w:rsidR="007B05C4" w:rsidRPr="0063765F">
                              <w:rPr>
                                <w:rFonts w:asciiTheme="majorHAnsi" w:hAnsiTheme="majorHAnsi"/>
                                <w:color w:val="595959" w:themeColor="text1" w:themeTint="A6"/>
                                <w:sz w:val="18"/>
                                <w:szCs w:val="18"/>
                                <w:lang w:val="pt-BR"/>
                              </w:rPr>
                              <w:t>/</w:t>
                            </w:r>
                            <w:r w:rsidR="0063765F" w:rsidRPr="0063765F">
                              <w:rPr>
                                <w:rFonts w:asciiTheme="majorHAnsi" w:hAnsiTheme="majorHAnsi"/>
                                <w:color w:val="595959" w:themeColor="text1" w:themeTint="A6"/>
                                <w:sz w:val="18"/>
                                <w:szCs w:val="18"/>
                                <w:lang w:val="pt-BR"/>
                              </w:rPr>
                              <w:t>22</w:t>
                            </w:r>
                            <w:r w:rsidRPr="0063765F">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467278">
                              <w:rPr>
                                <w:rFonts w:asciiTheme="majorHAnsi" w:hAnsiTheme="majorHAnsi"/>
                                <w:color w:val="595959" w:themeColor="text1" w:themeTint="A6"/>
                                <w:sz w:val="18"/>
                                <w:szCs w:val="18"/>
                                <w:lang w:val="es-ES"/>
                              </w:rPr>
                              <w:t>1703</w:t>
                            </w:r>
                            <w:r w:rsidR="000433C9">
                              <w:rPr>
                                <w:rFonts w:asciiTheme="majorHAnsi" w:hAnsiTheme="majorHAnsi"/>
                                <w:color w:val="595959" w:themeColor="text1" w:themeTint="A6"/>
                                <w:sz w:val="18"/>
                                <w:szCs w:val="18"/>
                                <w:lang w:val="es-ES"/>
                              </w:rPr>
                              <w:t>-</w:t>
                            </w:r>
                            <w:r w:rsidR="00467278">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p>
                          <w:p w14:paraId="7FD77785" w14:textId="6DD30A1F" w:rsidR="00113F73" w:rsidRPr="007B05C4" w:rsidRDefault="00AC688E" w:rsidP="00113F73">
                            <w:pPr>
                              <w:spacing w:line="276" w:lineRule="auto"/>
                              <w:rPr>
                                <w:rFonts w:asciiTheme="majorHAnsi" w:hAnsiTheme="majorHAnsi"/>
                                <w:color w:val="595959" w:themeColor="text1" w:themeTint="A6"/>
                                <w:sz w:val="18"/>
                                <w:szCs w:val="18"/>
                                <w:lang w:val="es-ES"/>
                              </w:rPr>
                            </w:pPr>
                            <w:r w:rsidRPr="00AC688E">
                              <w:rPr>
                                <w:rFonts w:asciiTheme="majorHAnsi" w:hAnsiTheme="majorHAnsi"/>
                                <w:bCs/>
                                <w:color w:val="595959" w:themeColor="text1" w:themeTint="A6"/>
                                <w:sz w:val="18"/>
                                <w:szCs w:val="18"/>
                                <w:lang w:val="es-ES"/>
                              </w:rPr>
                              <w:t>Hernando Ramírez Arboleda</w:t>
                            </w:r>
                            <w:r w:rsidR="00113F73" w:rsidRPr="00890650">
                              <w:rPr>
                                <w:rFonts w:asciiTheme="majorHAnsi" w:hAnsiTheme="majorHAnsi"/>
                                <w:color w:val="595959" w:themeColor="text1" w:themeTint="A6"/>
                                <w:sz w:val="18"/>
                                <w:szCs w:val="18"/>
                                <w:lang w:val="es-ES_tradnl"/>
                              </w:rPr>
                              <w:t xml:space="preserve">. </w:t>
                            </w:r>
                            <w:r w:rsidR="00467278">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63765F">
                              <w:rPr>
                                <w:rFonts w:asciiTheme="majorHAnsi" w:hAnsiTheme="majorHAnsi"/>
                                <w:color w:val="595959" w:themeColor="text1" w:themeTint="A6"/>
                                <w:sz w:val="18"/>
                                <w:szCs w:val="18"/>
                                <w:lang w:val="es-ES"/>
                              </w:rPr>
                              <w:t>13 de agosto de 2022</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2EB5BCFE" w14:textId="77777777" w:rsidR="0063765F"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3765F" w:rsidRPr="0063765F">
                        <w:rPr>
                          <w:rFonts w:asciiTheme="majorHAnsi" w:hAnsiTheme="majorHAnsi"/>
                          <w:color w:val="595959" w:themeColor="text1" w:themeTint="A6"/>
                          <w:sz w:val="18"/>
                          <w:szCs w:val="18"/>
                          <w:lang w:val="pt-BR"/>
                        </w:rPr>
                        <w:t>201</w:t>
                      </w:r>
                      <w:r w:rsidR="007B05C4" w:rsidRPr="0063765F">
                        <w:rPr>
                          <w:rFonts w:asciiTheme="majorHAnsi" w:hAnsiTheme="majorHAnsi"/>
                          <w:color w:val="595959" w:themeColor="text1" w:themeTint="A6"/>
                          <w:sz w:val="18"/>
                          <w:szCs w:val="18"/>
                          <w:lang w:val="pt-BR"/>
                        </w:rPr>
                        <w:t>/</w:t>
                      </w:r>
                      <w:r w:rsidR="0063765F" w:rsidRPr="0063765F">
                        <w:rPr>
                          <w:rFonts w:asciiTheme="majorHAnsi" w:hAnsiTheme="majorHAnsi"/>
                          <w:color w:val="595959" w:themeColor="text1" w:themeTint="A6"/>
                          <w:sz w:val="18"/>
                          <w:szCs w:val="18"/>
                          <w:lang w:val="pt-BR"/>
                        </w:rPr>
                        <w:t>22</w:t>
                      </w:r>
                      <w:r w:rsidRPr="0063765F">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467278">
                        <w:rPr>
                          <w:rFonts w:asciiTheme="majorHAnsi" w:hAnsiTheme="majorHAnsi"/>
                          <w:color w:val="595959" w:themeColor="text1" w:themeTint="A6"/>
                          <w:sz w:val="18"/>
                          <w:szCs w:val="18"/>
                          <w:lang w:val="es-ES"/>
                        </w:rPr>
                        <w:t>1703</w:t>
                      </w:r>
                      <w:r w:rsidR="000433C9">
                        <w:rPr>
                          <w:rFonts w:asciiTheme="majorHAnsi" w:hAnsiTheme="majorHAnsi"/>
                          <w:color w:val="595959" w:themeColor="text1" w:themeTint="A6"/>
                          <w:sz w:val="18"/>
                          <w:szCs w:val="18"/>
                          <w:lang w:val="es-ES"/>
                        </w:rPr>
                        <w:t>-</w:t>
                      </w:r>
                      <w:r w:rsidR="00467278">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p>
                    <w:p w14:paraId="7FD77785" w14:textId="6DD30A1F" w:rsidR="00113F73" w:rsidRPr="007B05C4" w:rsidRDefault="00AC688E" w:rsidP="00113F73">
                      <w:pPr>
                        <w:spacing w:line="276" w:lineRule="auto"/>
                        <w:rPr>
                          <w:rFonts w:asciiTheme="majorHAnsi" w:hAnsiTheme="majorHAnsi"/>
                          <w:color w:val="595959" w:themeColor="text1" w:themeTint="A6"/>
                          <w:sz w:val="18"/>
                          <w:szCs w:val="18"/>
                          <w:lang w:val="es-ES"/>
                        </w:rPr>
                      </w:pPr>
                      <w:r w:rsidRPr="00AC688E">
                        <w:rPr>
                          <w:rFonts w:asciiTheme="majorHAnsi" w:hAnsiTheme="majorHAnsi"/>
                          <w:bCs/>
                          <w:color w:val="595959" w:themeColor="text1" w:themeTint="A6"/>
                          <w:sz w:val="18"/>
                          <w:szCs w:val="18"/>
                          <w:lang w:val="es-ES"/>
                        </w:rPr>
                        <w:t>Hernando Ramírez Arboleda</w:t>
                      </w:r>
                      <w:r w:rsidR="00113F73" w:rsidRPr="00890650">
                        <w:rPr>
                          <w:rFonts w:asciiTheme="majorHAnsi" w:hAnsiTheme="majorHAnsi"/>
                          <w:color w:val="595959" w:themeColor="text1" w:themeTint="A6"/>
                          <w:sz w:val="18"/>
                          <w:szCs w:val="18"/>
                          <w:lang w:val="es-ES_tradnl"/>
                        </w:rPr>
                        <w:t xml:space="preserve">. </w:t>
                      </w:r>
                      <w:r w:rsidR="00467278">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63765F">
                        <w:rPr>
                          <w:rFonts w:asciiTheme="majorHAnsi" w:hAnsiTheme="majorHAnsi"/>
                          <w:color w:val="595959" w:themeColor="text1" w:themeTint="A6"/>
                          <w:sz w:val="18"/>
                          <w:szCs w:val="18"/>
                          <w:lang w:val="es-ES"/>
                        </w:rPr>
                        <w:t>13 de agosto de 2022</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02010991"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1F9479E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CD8ADE7" w:rsidR="0070697F" w:rsidRDefault="0063765F"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13BB8C8B">
                <wp:simplePos x="0" y="0"/>
                <wp:positionH relativeFrom="column">
                  <wp:posOffset>1295400</wp:posOffset>
                </wp:positionH>
                <wp:positionV relativeFrom="paragraph">
                  <wp:posOffset>570593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2pt;margin-top:44.9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990DBA">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07DAAE2E" w14:textId="2188DE33" w:rsidR="003239B8" w:rsidRPr="000D05CB" w:rsidRDefault="00BD6300" w:rsidP="00990DBA">
            <w:pPr>
              <w:jc w:val="both"/>
              <w:rPr>
                <w:rFonts w:ascii="Cambria" w:hAnsi="Cambria"/>
                <w:bCs/>
                <w:sz w:val="20"/>
                <w:szCs w:val="20"/>
              </w:rPr>
            </w:pPr>
            <w:r>
              <w:rPr>
                <w:rFonts w:ascii="Cambria" w:hAnsi="Cambria"/>
                <w:bCs/>
                <w:sz w:val="20"/>
                <w:szCs w:val="20"/>
              </w:rPr>
              <w:t>Hernando Ramírez Arboleda</w:t>
            </w:r>
          </w:p>
        </w:tc>
      </w:tr>
      <w:tr w:rsidR="003239B8" w:rsidRPr="001E49E7"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0D05CB" w:rsidRDefault="00014012" w:rsidP="00990DBA">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DB7A6A">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143D44A8" w14:textId="26B4B5A3" w:rsidR="003239B8" w:rsidRPr="000D05CB" w:rsidRDefault="00BD6300" w:rsidP="00990DBA">
            <w:pPr>
              <w:jc w:val="both"/>
              <w:rPr>
                <w:rFonts w:ascii="Cambria" w:hAnsi="Cambria"/>
                <w:bCs/>
                <w:sz w:val="20"/>
                <w:szCs w:val="20"/>
                <w:lang w:val="es-ES"/>
              </w:rPr>
            </w:pPr>
            <w:r>
              <w:rPr>
                <w:rFonts w:ascii="Cambria" w:hAnsi="Cambria"/>
                <w:bCs/>
                <w:sz w:val="20"/>
                <w:szCs w:val="20"/>
                <w:lang w:val="es-ES"/>
              </w:rPr>
              <w:t xml:space="preserve">Hernando Ramírez Arboleda </w:t>
            </w:r>
          </w:p>
        </w:tc>
      </w:tr>
      <w:tr w:rsidR="003239B8"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990DBA">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5D0EC05D" w14:textId="1B7779DE" w:rsidR="003239B8" w:rsidRPr="000D05CB" w:rsidRDefault="00467278" w:rsidP="00990DBA">
            <w:pPr>
              <w:jc w:val="both"/>
              <w:rPr>
                <w:rFonts w:ascii="Cambria" w:hAnsi="Cambria"/>
                <w:bCs/>
                <w:sz w:val="20"/>
                <w:szCs w:val="20"/>
              </w:rPr>
            </w:pPr>
            <w:r>
              <w:rPr>
                <w:rFonts w:ascii="Cambria" w:hAnsi="Cambria"/>
                <w:bCs/>
                <w:sz w:val="20"/>
                <w:szCs w:val="20"/>
              </w:rPr>
              <w:t>Colombia</w:t>
            </w:r>
            <w:r w:rsidR="004A6A54" w:rsidRPr="000D05CB">
              <w:rPr>
                <w:rStyle w:val="FootnoteReference"/>
                <w:rFonts w:ascii="Cambria" w:hAnsi="Cambria"/>
                <w:bCs/>
                <w:sz w:val="20"/>
                <w:szCs w:val="20"/>
              </w:rPr>
              <w:footnoteReference w:id="2"/>
            </w:r>
          </w:p>
        </w:tc>
      </w:tr>
      <w:tr w:rsidR="00223A29" w:rsidRPr="00F579EA"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52B28392" w14:textId="2FC277EE" w:rsidR="00223A29" w:rsidRPr="00F579EA" w:rsidRDefault="00F579EA" w:rsidP="00990DBA">
            <w:pPr>
              <w:jc w:val="both"/>
              <w:rPr>
                <w:rFonts w:ascii="Cambria" w:hAnsi="Cambria"/>
                <w:bCs/>
                <w:sz w:val="20"/>
                <w:szCs w:val="20"/>
                <w:lang w:val="es-ES"/>
              </w:rPr>
            </w:pPr>
            <w:r>
              <w:rPr>
                <w:rFonts w:ascii="Cambria" w:hAnsi="Cambria"/>
                <w:bCs/>
                <w:sz w:val="20"/>
                <w:szCs w:val="20"/>
                <w:lang w:val="es-ES"/>
              </w:rPr>
              <w:t>N</w:t>
            </w:r>
            <w:r w:rsidRPr="00F579EA">
              <w:rPr>
                <w:rFonts w:ascii="Cambria" w:hAnsi="Cambria"/>
                <w:bCs/>
                <w:sz w:val="20"/>
                <w:szCs w:val="20"/>
                <w:lang w:val="es-ES"/>
              </w:rPr>
              <w:t>o se especifica artículos alegados</w:t>
            </w:r>
            <w:r w:rsidR="007415A3">
              <w:rPr>
                <w:rFonts w:ascii="Cambria" w:hAnsi="Cambria"/>
                <w:bCs/>
                <w:sz w:val="20"/>
                <w:szCs w:val="20"/>
                <w:lang w:val="es-ES"/>
              </w:rPr>
              <w:t xml:space="preserve"> </w:t>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51692E"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6883A5F8" w14:textId="0F450378" w:rsidR="004C2312" w:rsidRPr="003239B8" w:rsidRDefault="0051692E" w:rsidP="00990DBA">
            <w:pPr>
              <w:jc w:val="both"/>
              <w:rPr>
                <w:rFonts w:ascii="Cambria" w:hAnsi="Cambria"/>
                <w:bCs/>
                <w:sz w:val="20"/>
                <w:szCs w:val="20"/>
                <w:lang w:val="es-ES"/>
              </w:rPr>
            </w:pPr>
            <w:r>
              <w:rPr>
                <w:rFonts w:ascii="Cambria" w:hAnsi="Cambria"/>
                <w:bCs/>
                <w:sz w:val="20"/>
                <w:szCs w:val="20"/>
                <w:lang w:val="es-ES"/>
              </w:rPr>
              <w:t>22 de diciembre de 2009</w:t>
            </w:r>
          </w:p>
        </w:tc>
      </w:tr>
      <w:tr w:rsidR="00131425" w:rsidRPr="004514A3"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47" w:type="dxa"/>
            <w:vAlign w:val="center"/>
          </w:tcPr>
          <w:p w14:paraId="65CBC29E" w14:textId="40E704CC" w:rsidR="00131425" w:rsidRPr="003239B8" w:rsidRDefault="00BD4B17" w:rsidP="00990DBA">
            <w:pPr>
              <w:jc w:val="both"/>
              <w:rPr>
                <w:rFonts w:ascii="Cambria" w:hAnsi="Cambria"/>
                <w:bCs/>
                <w:sz w:val="20"/>
                <w:szCs w:val="20"/>
                <w:lang w:val="es-ES"/>
              </w:rPr>
            </w:pPr>
            <w:r>
              <w:rPr>
                <w:rFonts w:ascii="Cambria" w:hAnsi="Cambria"/>
                <w:bCs/>
                <w:sz w:val="20"/>
                <w:szCs w:val="20"/>
                <w:lang w:val="es-ES"/>
              </w:rPr>
              <w:t>21 de abril</w:t>
            </w:r>
            <w:r w:rsidR="00AC18CB">
              <w:rPr>
                <w:rFonts w:ascii="Cambria" w:hAnsi="Cambria"/>
                <w:bCs/>
                <w:sz w:val="20"/>
                <w:szCs w:val="20"/>
                <w:lang w:val="es-ES"/>
              </w:rPr>
              <w:t>, 13 y 31 de mayo</w:t>
            </w:r>
            <w:r w:rsidR="008721EA">
              <w:rPr>
                <w:rFonts w:ascii="Cambria" w:hAnsi="Cambria"/>
                <w:bCs/>
                <w:sz w:val="20"/>
                <w:szCs w:val="20"/>
                <w:lang w:val="es-ES"/>
              </w:rPr>
              <w:t>, 10, 12, 17 y 23 de junio</w:t>
            </w:r>
            <w:r w:rsidR="00DF22A8">
              <w:rPr>
                <w:rFonts w:ascii="Cambria" w:hAnsi="Cambria"/>
                <w:bCs/>
                <w:sz w:val="20"/>
                <w:szCs w:val="20"/>
                <w:lang w:val="es-ES"/>
              </w:rPr>
              <w:t>, 24 de julio y 25 de agosto</w:t>
            </w:r>
            <w:r w:rsidR="008721EA">
              <w:rPr>
                <w:rFonts w:ascii="Cambria" w:hAnsi="Cambria"/>
                <w:bCs/>
                <w:sz w:val="20"/>
                <w:szCs w:val="20"/>
                <w:lang w:val="es-ES"/>
              </w:rPr>
              <w:t xml:space="preserve"> </w:t>
            </w:r>
            <w:r>
              <w:rPr>
                <w:rFonts w:ascii="Cambria" w:hAnsi="Cambria"/>
                <w:bCs/>
                <w:sz w:val="20"/>
                <w:szCs w:val="20"/>
                <w:lang w:val="es-ES"/>
              </w:rPr>
              <w:t xml:space="preserve">de 2010, </w:t>
            </w:r>
            <w:r w:rsidR="00632131">
              <w:rPr>
                <w:rFonts w:ascii="Cambria" w:hAnsi="Cambria"/>
                <w:bCs/>
                <w:sz w:val="20"/>
                <w:szCs w:val="20"/>
                <w:lang w:val="es-ES"/>
              </w:rPr>
              <w:t>23 de enero, 29 de mayo</w:t>
            </w:r>
            <w:r w:rsidR="005262B3">
              <w:rPr>
                <w:rFonts w:ascii="Cambria" w:hAnsi="Cambria"/>
                <w:bCs/>
                <w:sz w:val="20"/>
                <w:szCs w:val="20"/>
                <w:lang w:val="es-ES"/>
              </w:rPr>
              <w:t xml:space="preserve">, 2 </w:t>
            </w:r>
            <w:r w:rsidR="00733158">
              <w:rPr>
                <w:rFonts w:ascii="Cambria" w:hAnsi="Cambria"/>
                <w:bCs/>
                <w:sz w:val="20"/>
                <w:szCs w:val="20"/>
                <w:lang w:val="es-ES"/>
              </w:rPr>
              <w:t xml:space="preserve">y 9 </w:t>
            </w:r>
            <w:r w:rsidR="005262B3">
              <w:rPr>
                <w:rFonts w:ascii="Cambria" w:hAnsi="Cambria"/>
                <w:bCs/>
                <w:sz w:val="20"/>
                <w:szCs w:val="20"/>
                <w:lang w:val="es-ES"/>
              </w:rPr>
              <w:t>de octubre</w:t>
            </w:r>
            <w:r w:rsidR="00FC0343">
              <w:rPr>
                <w:rFonts w:ascii="Cambria" w:hAnsi="Cambria"/>
                <w:bCs/>
                <w:sz w:val="20"/>
                <w:szCs w:val="20"/>
                <w:lang w:val="es-ES"/>
              </w:rPr>
              <w:t xml:space="preserve"> y 25 de diciembre </w:t>
            </w:r>
            <w:r w:rsidR="00632131">
              <w:rPr>
                <w:rFonts w:ascii="Cambria" w:hAnsi="Cambria"/>
                <w:bCs/>
                <w:sz w:val="20"/>
                <w:szCs w:val="20"/>
                <w:lang w:val="es-ES"/>
              </w:rPr>
              <w:t>de 2011</w:t>
            </w:r>
            <w:r w:rsidR="00FC0343">
              <w:rPr>
                <w:rFonts w:ascii="Cambria" w:hAnsi="Cambria"/>
                <w:bCs/>
                <w:sz w:val="20"/>
                <w:szCs w:val="20"/>
                <w:lang w:val="es-ES"/>
              </w:rPr>
              <w:t xml:space="preserve">, </w:t>
            </w:r>
            <w:r w:rsidR="00071762">
              <w:rPr>
                <w:rFonts w:ascii="Cambria" w:hAnsi="Cambria"/>
                <w:bCs/>
                <w:sz w:val="20"/>
                <w:szCs w:val="20"/>
                <w:lang w:val="es-ES"/>
              </w:rPr>
              <w:t>20 y 22 de febrero</w:t>
            </w:r>
            <w:r w:rsidR="00352BDD">
              <w:rPr>
                <w:rFonts w:ascii="Cambria" w:hAnsi="Cambria"/>
                <w:bCs/>
                <w:sz w:val="20"/>
                <w:szCs w:val="20"/>
                <w:lang w:val="es-ES"/>
              </w:rPr>
              <w:t xml:space="preserve">, </w:t>
            </w:r>
            <w:r w:rsidR="00D5752D">
              <w:rPr>
                <w:rFonts w:ascii="Cambria" w:hAnsi="Cambria"/>
                <w:bCs/>
                <w:sz w:val="20"/>
                <w:szCs w:val="20"/>
                <w:lang w:val="es-ES"/>
              </w:rPr>
              <w:t>9 de junio</w:t>
            </w:r>
            <w:r w:rsidR="006125A8">
              <w:rPr>
                <w:rFonts w:ascii="Cambria" w:hAnsi="Cambria"/>
                <w:bCs/>
                <w:sz w:val="20"/>
                <w:szCs w:val="20"/>
                <w:lang w:val="es-ES"/>
              </w:rPr>
              <w:t xml:space="preserve"> y</w:t>
            </w:r>
            <w:r w:rsidR="00D5752D">
              <w:rPr>
                <w:rFonts w:ascii="Cambria" w:hAnsi="Cambria"/>
                <w:bCs/>
                <w:sz w:val="20"/>
                <w:szCs w:val="20"/>
                <w:lang w:val="es-ES"/>
              </w:rPr>
              <w:t xml:space="preserve"> 4 de octubre </w:t>
            </w:r>
            <w:r w:rsidR="00071762">
              <w:rPr>
                <w:rFonts w:ascii="Cambria" w:hAnsi="Cambria"/>
                <w:bCs/>
                <w:sz w:val="20"/>
                <w:szCs w:val="20"/>
                <w:lang w:val="es-ES"/>
              </w:rPr>
              <w:t>de 2012</w:t>
            </w:r>
            <w:r w:rsidR="006125A8">
              <w:rPr>
                <w:rFonts w:ascii="Cambria" w:hAnsi="Cambria"/>
                <w:bCs/>
                <w:sz w:val="20"/>
                <w:szCs w:val="20"/>
                <w:lang w:val="es-ES"/>
              </w:rPr>
              <w:t>, 7 de febrero</w:t>
            </w:r>
            <w:r w:rsidR="000D457C">
              <w:rPr>
                <w:rFonts w:ascii="Cambria" w:hAnsi="Cambria"/>
                <w:bCs/>
                <w:sz w:val="20"/>
                <w:szCs w:val="20"/>
                <w:lang w:val="es-ES"/>
              </w:rPr>
              <w:t xml:space="preserve">, </w:t>
            </w:r>
            <w:r w:rsidR="007D6F69">
              <w:rPr>
                <w:rFonts w:ascii="Cambria" w:hAnsi="Cambria"/>
                <w:bCs/>
                <w:sz w:val="20"/>
                <w:szCs w:val="20"/>
                <w:lang w:val="es-ES"/>
              </w:rPr>
              <w:t xml:space="preserve">1 y </w:t>
            </w:r>
            <w:r w:rsidR="000D457C">
              <w:rPr>
                <w:rFonts w:ascii="Cambria" w:hAnsi="Cambria"/>
                <w:bCs/>
                <w:sz w:val="20"/>
                <w:szCs w:val="20"/>
                <w:lang w:val="es-ES"/>
              </w:rPr>
              <w:t xml:space="preserve">3 de abril, </w:t>
            </w:r>
            <w:r w:rsidR="007D6F69">
              <w:rPr>
                <w:rFonts w:ascii="Cambria" w:hAnsi="Cambria"/>
                <w:bCs/>
                <w:sz w:val="20"/>
                <w:szCs w:val="20"/>
                <w:lang w:val="es-ES"/>
              </w:rPr>
              <w:t xml:space="preserve">26 </w:t>
            </w:r>
            <w:r w:rsidR="00175301">
              <w:rPr>
                <w:rFonts w:ascii="Cambria" w:hAnsi="Cambria"/>
                <w:bCs/>
                <w:sz w:val="20"/>
                <w:szCs w:val="20"/>
                <w:lang w:val="es-ES"/>
              </w:rPr>
              <w:t xml:space="preserve">y 28 </w:t>
            </w:r>
            <w:r w:rsidR="007D6F69">
              <w:rPr>
                <w:rFonts w:ascii="Cambria" w:hAnsi="Cambria"/>
                <w:bCs/>
                <w:sz w:val="20"/>
                <w:szCs w:val="20"/>
                <w:lang w:val="es-ES"/>
              </w:rPr>
              <w:t xml:space="preserve">de mayo, </w:t>
            </w:r>
            <w:r w:rsidR="000D457C">
              <w:rPr>
                <w:rFonts w:ascii="Cambria" w:hAnsi="Cambria"/>
                <w:bCs/>
                <w:sz w:val="20"/>
                <w:szCs w:val="20"/>
                <w:lang w:val="es-ES"/>
              </w:rPr>
              <w:t>29 de julio</w:t>
            </w:r>
            <w:r w:rsidR="0087091D">
              <w:rPr>
                <w:rFonts w:ascii="Cambria" w:hAnsi="Cambria"/>
                <w:bCs/>
                <w:sz w:val="20"/>
                <w:szCs w:val="20"/>
                <w:lang w:val="es-ES"/>
              </w:rPr>
              <w:t xml:space="preserve"> y </w:t>
            </w:r>
            <w:r w:rsidR="00CF6FC7">
              <w:rPr>
                <w:rFonts w:ascii="Cambria" w:hAnsi="Cambria"/>
                <w:bCs/>
                <w:sz w:val="20"/>
                <w:szCs w:val="20"/>
                <w:lang w:val="es-ES"/>
              </w:rPr>
              <w:t>27 de diciembre</w:t>
            </w:r>
            <w:r w:rsidR="000D457C">
              <w:rPr>
                <w:rFonts w:ascii="Cambria" w:hAnsi="Cambria"/>
                <w:bCs/>
                <w:sz w:val="20"/>
                <w:szCs w:val="20"/>
                <w:lang w:val="es-ES"/>
              </w:rPr>
              <w:t xml:space="preserve"> </w:t>
            </w:r>
            <w:r w:rsidR="006125A8">
              <w:rPr>
                <w:rFonts w:ascii="Cambria" w:hAnsi="Cambria"/>
                <w:bCs/>
                <w:sz w:val="20"/>
                <w:szCs w:val="20"/>
                <w:lang w:val="es-ES"/>
              </w:rPr>
              <w:t>de 2013</w:t>
            </w:r>
            <w:r w:rsidR="000D457C">
              <w:rPr>
                <w:rFonts w:ascii="Cambria" w:hAnsi="Cambria"/>
                <w:bCs/>
                <w:sz w:val="20"/>
                <w:szCs w:val="20"/>
                <w:lang w:val="es-ES"/>
              </w:rPr>
              <w:t xml:space="preserve">, </w:t>
            </w:r>
            <w:r w:rsidR="00E57067">
              <w:rPr>
                <w:rFonts w:ascii="Cambria" w:hAnsi="Cambria"/>
                <w:bCs/>
                <w:sz w:val="20"/>
                <w:szCs w:val="20"/>
                <w:lang w:val="es-ES"/>
              </w:rPr>
              <w:t>21 de enero</w:t>
            </w:r>
            <w:r w:rsidR="000A655F">
              <w:rPr>
                <w:rFonts w:ascii="Cambria" w:hAnsi="Cambria"/>
                <w:bCs/>
                <w:sz w:val="20"/>
                <w:szCs w:val="20"/>
                <w:lang w:val="es-ES"/>
              </w:rPr>
              <w:t>, 28 de abril</w:t>
            </w:r>
            <w:r w:rsidR="0087091D">
              <w:rPr>
                <w:rFonts w:ascii="Cambria" w:hAnsi="Cambria"/>
                <w:bCs/>
                <w:sz w:val="20"/>
                <w:szCs w:val="20"/>
                <w:lang w:val="es-ES"/>
              </w:rPr>
              <w:t xml:space="preserve"> y </w:t>
            </w:r>
            <w:r w:rsidR="000A655F">
              <w:rPr>
                <w:rFonts w:ascii="Cambria" w:hAnsi="Cambria"/>
                <w:bCs/>
                <w:sz w:val="20"/>
                <w:szCs w:val="20"/>
                <w:lang w:val="es-ES"/>
              </w:rPr>
              <w:t>10 de junio</w:t>
            </w:r>
            <w:r w:rsidR="00E57067">
              <w:rPr>
                <w:rFonts w:ascii="Cambria" w:hAnsi="Cambria"/>
                <w:bCs/>
                <w:sz w:val="20"/>
                <w:szCs w:val="20"/>
                <w:lang w:val="es-ES"/>
              </w:rPr>
              <w:t xml:space="preserve"> de 2014</w:t>
            </w:r>
            <w:r w:rsidR="009C0483">
              <w:rPr>
                <w:rFonts w:ascii="Cambria" w:hAnsi="Cambria"/>
                <w:bCs/>
                <w:sz w:val="20"/>
                <w:szCs w:val="20"/>
                <w:lang w:val="es-ES"/>
              </w:rPr>
              <w:t xml:space="preserve"> y</w:t>
            </w:r>
            <w:r w:rsidR="0087091D">
              <w:rPr>
                <w:rFonts w:ascii="Cambria" w:hAnsi="Cambria"/>
                <w:bCs/>
                <w:sz w:val="20"/>
                <w:szCs w:val="20"/>
                <w:lang w:val="es-ES"/>
              </w:rPr>
              <w:t xml:space="preserve"> </w:t>
            </w:r>
            <w:r w:rsidR="00741155">
              <w:rPr>
                <w:rFonts w:ascii="Cambria" w:hAnsi="Cambria"/>
                <w:bCs/>
                <w:sz w:val="20"/>
                <w:szCs w:val="20"/>
                <w:lang w:val="es-ES"/>
              </w:rPr>
              <w:t>7</w:t>
            </w:r>
            <w:r w:rsidR="0087091D">
              <w:rPr>
                <w:rFonts w:ascii="Cambria" w:hAnsi="Cambria"/>
                <w:bCs/>
                <w:sz w:val="20"/>
                <w:szCs w:val="20"/>
                <w:lang w:val="es-ES"/>
              </w:rPr>
              <w:t xml:space="preserve"> de </w:t>
            </w:r>
            <w:r w:rsidR="00741155">
              <w:rPr>
                <w:rFonts w:ascii="Cambria" w:hAnsi="Cambria"/>
                <w:bCs/>
                <w:sz w:val="20"/>
                <w:szCs w:val="20"/>
                <w:lang w:val="es-ES"/>
              </w:rPr>
              <w:t>enero</w:t>
            </w:r>
            <w:r w:rsidR="0002344B">
              <w:rPr>
                <w:rFonts w:ascii="Cambria" w:hAnsi="Cambria"/>
                <w:bCs/>
                <w:sz w:val="20"/>
                <w:szCs w:val="20"/>
                <w:lang w:val="es-ES"/>
              </w:rPr>
              <w:t xml:space="preserve"> </w:t>
            </w:r>
            <w:r w:rsidR="0087091D">
              <w:rPr>
                <w:rFonts w:ascii="Cambria" w:hAnsi="Cambria"/>
                <w:bCs/>
                <w:sz w:val="20"/>
                <w:szCs w:val="20"/>
                <w:lang w:val="es-ES"/>
              </w:rPr>
              <w:t>de 2015</w:t>
            </w:r>
          </w:p>
        </w:tc>
      </w:tr>
      <w:tr w:rsidR="004C2312" w:rsidRPr="00467278"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58485921" w14:textId="7B2D6F73" w:rsidR="004C2312" w:rsidRPr="003239B8" w:rsidRDefault="0002344B" w:rsidP="00990DBA">
            <w:pPr>
              <w:jc w:val="both"/>
              <w:rPr>
                <w:rFonts w:ascii="Cambria" w:hAnsi="Cambria"/>
                <w:bCs/>
                <w:sz w:val="20"/>
                <w:szCs w:val="20"/>
                <w:lang w:val="es-ES"/>
              </w:rPr>
            </w:pPr>
            <w:r>
              <w:rPr>
                <w:rFonts w:ascii="Cambria" w:hAnsi="Cambria"/>
                <w:bCs/>
                <w:sz w:val="20"/>
                <w:szCs w:val="20"/>
                <w:lang w:val="es-ES"/>
              </w:rPr>
              <w:t>7 de abril de 2015</w:t>
            </w:r>
          </w:p>
        </w:tc>
      </w:tr>
      <w:tr w:rsidR="004C2312" w:rsidRPr="004A6A54"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6B47064C" w14:textId="17B2468A" w:rsidR="004C2312" w:rsidRPr="003239B8" w:rsidRDefault="00B577FD" w:rsidP="00990DBA">
            <w:pPr>
              <w:jc w:val="both"/>
              <w:rPr>
                <w:rFonts w:ascii="Cambria" w:hAnsi="Cambria"/>
                <w:bCs/>
                <w:sz w:val="20"/>
                <w:szCs w:val="20"/>
                <w:lang w:val="es-ES"/>
              </w:rPr>
            </w:pPr>
            <w:r>
              <w:rPr>
                <w:rFonts w:ascii="Cambria" w:hAnsi="Cambria"/>
                <w:bCs/>
                <w:sz w:val="20"/>
                <w:szCs w:val="20"/>
                <w:lang w:val="es-ES"/>
              </w:rPr>
              <w:t>1</w:t>
            </w:r>
            <w:r w:rsidR="00B46239">
              <w:rPr>
                <w:rFonts w:ascii="Cambria" w:hAnsi="Cambria"/>
                <w:bCs/>
                <w:sz w:val="20"/>
                <w:szCs w:val="20"/>
                <w:lang w:val="es-ES"/>
              </w:rPr>
              <w:t>8</w:t>
            </w:r>
            <w:r>
              <w:rPr>
                <w:rFonts w:ascii="Cambria" w:hAnsi="Cambria"/>
                <w:bCs/>
                <w:sz w:val="20"/>
                <w:szCs w:val="20"/>
                <w:lang w:val="es-ES"/>
              </w:rPr>
              <w:t xml:space="preserve"> de febrero de 2016</w:t>
            </w:r>
          </w:p>
        </w:tc>
      </w:tr>
      <w:tr w:rsidR="004C2312" w:rsidRPr="004514A3"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47" w:type="dxa"/>
            <w:vAlign w:val="center"/>
          </w:tcPr>
          <w:p w14:paraId="66A99206" w14:textId="2C4213AA" w:rsidR="004C2312" w:rsidRPr="003239B8" w:rsidRDefault="00404A74" w:rsidP="00990DBA">
            <w:pPr>
              <w:jc w:val="both"/>
              <w:rPr>
                <w:rFonts w:ascii="Cambria" w:hAnsi="Cambria"/>
                <w:bCs/>
                <w:sz w:val="20"/>
                <w:szCs w:val="20"/>
                <w:lang w:val="es-ES"/>
              </w:rPr>
            </w:pPr>
            <w:r>
              <w:rPr>
                <w:rFonts w:ascii="Cambria" w:hAnsi="Cambria"/>
                <w:bCs/>
                <w:sz w:val="20"/>
                <w:szCs w:val="20"/>
                <w:lang w:val="es-ES"/>
              </w:rPr>
              <w:t xml:space="preserve">24 de </w:t>
            </w:r>
            <w:r w:rsidR="00CF6F5B">
              <w:rPr>
                <w:rFonts w:ascii="Cambria" w:hAnsi="Cambria"/>
                <w:bCs/>
                <w:sz w:val="20"/>
                <w:szCs w:val="20"/>
                <w:lang w:val="es-ES"/>
              </w:rPr>
              <w:t>mayo</w:t>
            </w:r>
            <w:r w:rsidR="009C0483">
              <w:rPr>
                <w:rFonts w:ascii="Cambria" w:hAnsi="Cambria"/>
                <w:bCs/>
                <w:sz w:val="20"/>
                <w:szCs w:val="20"/>
                <w:lang w:val="es-ES"/>
              </w:rPr>
              <w:t>, 15 y 20 de julio,</w:t>
            </w:r>
            <w:r w:rsidR="00CF6F5B">
              <w:rPr>
                <w:rFonts w:ascii="Cambria" w:hAnsi="Cambria"/>
                <w:bCs/>
                <w:sz w:val="20"/>
                <w:szCs w:val="20"/>
                <w:lang w:val="es-ES"/>
              </w:rPr>
              <w:t xml:space="preserve"> </w:t>
            </w:r>
            <w:r w:rsidR="00593BF7">
              <w:rPr>
                <w:rFonts w:ascii="Cambria" w:hAnsi="Cambria"/>
                <w:bCs/>
                <w:sz w:val="20"/>
                <w:szCs w:val="20"/>
                <w:lang w:val="es-ES"/>
              </w:rPr>
              <w:t xml:space="preserve">6 </w:t>
            </w:r>
            <w:r w:rsidR="000D6923">
              <w:rPr>
                <w:rFonts w:ascii="Cambria" w:hAnsi="Cambria"/>
                <w:bCs/>
                <w:sz w:val="20"/>
                <w:szCs w:val="20"/>
                <w:lang w:val="es-ES"/>
              </w:rPr>
              <w:t xml:space="preserve">y 25 </w:t>
            </w:r>
            <w:r w:rsidR="00593BF7">
              <w:rPr>
                <w:rFonts w:ascii="Cambria" w:hAnsi="Cambria"/>
                <w:bCs/>
                <w:sz w:val="20"/>
                <w:szCs w:val="20"/>
                <w:lang w:val="es-ES"/>
              </w:rPr>
              <w:t>de agosto</w:t>
            </w:r>
            <w:r w:rsidR="000D6923">
              <w:rPr>
                <w:rFonts w:ascii="Cambria" w:hAnsi="Cambria"/>
                <w:bCs/>
                <w:sz w:val="20"/>
                <w:szCs w:val="20"/>
                <w:lang w:val="es-ES"/>
              </w:rPr>
              <w:t>, 23 de septiembre</w:t>
            </w:r>
            <w:r w:rsidR="00156D32">
              <w:rPr>
                <w:rFonts w:ascii="Cambria" w:hAnsi="Cambria"/>
                <w:bCs/>
                <w:sz w:val="20"/>
                <w:szCs w:val="20"/>
                <w:lang w:val="es-ES"/>
              </w:rPr>
              <w:t>, 15 de octubre,</w:t>
            </w:r>
            <w:r w:rsidR="000D6923">
              <w:rPr>
                <w:rFonts w:ascii="Cambria" w:hAnsi="Cambria"/>
                <w:bCs/>
                <w:sz w:val="20"/>
                <w:szCs w:val="20"/>
                <w:lang w:val="es-ES"/>
              </w:rPr>
              <w:t xml:space="preserve"> </w:t>
            </w:r>
            <w:r w:rsidR="00C049E4">
              <w:rPr>
                <w:rFonts w:ascii="Cambria" w:hAnsi="Cambria"/>
                <w:bCs/>
                <w:sz w:val="20"/>
                <w:szCs w:val="20"/>
                <w:lang w:val="es-ES"/>
              </w:rPr>
              <w:t>11 de noviembre</w:t>
            </w:r>
            <w:r w:rsidR="007366B4">
              <w:rPr>
                <w:rFonts w:ascii="Cambria" w:hAnsi="Cambria"/>
                <w:bCs/>
                <w:sz w:val="20"/>
                <w:szCs w:val="20"/>
                <w:lang w:val="es-ES"/>
              </w:rPr>
              <w:t xml:space="preserve">, 4,16, 23 </w:t>
            </w:r>
            <w:r w:rsidR="00AA0AF1">
              <w:rPr>
                <w:rFonts w:ascii="Cambria" w:hAnsi="Cambria"/>
                <w:bCs/>
                <w:sz w:val="20"/>
                <w:szCs w:val="20"/>
                <w:lang w:val="es-ES"/>
              </w:rPr>
              <w:t xml:space="preserve">y 30 </w:t>
            </w:r>
            <w:r w:rsidR="007366B4">
              <w:rPr>
                <w:rFonts w:ascii="Cambria" w:hAnsi="Cambria"/>
                <w:bCs/>
                <w:sz w:val="20"/>
                <w:szCs w:val="20"/>
                <w:lang w:val="es-ES"/>
              </w:rPr>
              <w:t xml:space="preserve">de diciembre </w:t>
            </w:r>
            <w:r w:rsidR="00CF6F5B">
              <w:rPr>
                <w:rFonts w:ascii="Cambria" w:hAnsi="Cambria"/>
                <w:bCs/>
                <w:sz w:val="20"/>
                <w:szCs w:val="20"/>
                <w:lang w:val="es-ES"/>
              </w:rPr>
              <w:t>de 2015</w:t>
            </w:r>
            <w:r w:rsidR="009C0483">
              <w:rPr>
                <w:rFonts w:ascii="Cambria" w:hAnsi="Cambria"/>
                <w:bCs/>
                <w:sz w:val="20"/>
                <w:szCs w:val="20"/>
                <w:lang w:val="es-ES"/>
              </w:rPr>
              <w:t xml:space="preserve">, </w:t>
            </w:r>
            <w:r w:rsidR="00AA0AF1">
              <w:rPr>
                <w:rFonts w:ascii="Cambria" w:hAnsi="Cambria"/>
                <w:bCs/>
                <w:sz w:val="20"/>
                <w:szCs w:val="20"/>
                <w:lang w:val="es-ES"/>
              </w:rPr>
              <w:t>27 de enero</w:t>
            </w:r>
            <w:r w:rsidR="00B577FD">
              <w:rPr>
                <w:rFonts w:ascii="Cambria" w:hAnsi="Cambria"/>
                <w:bCs/>
                <w:sz w:val="20"/>
                <w:szCs w:val="20"/>
                <w:lang w:val="es-ES"/>
              </w:rPr>
              <w:t>, 8 de febrero</w:t>
            </w:r>
            <w:r w:rsidR="00502E0D">
              <w:rPr>
                <w:rFonts w:ascii="Cambria" w:hAnsi="Cambria"/>
                <w:bCs/>
                <w:sz w:val="20"/>
                <w:szCs w:val="20"/>
                <w:lang w:val="es-ES"/>
              </w:rPr>
              <w:t>, 14 de marzo, 25 de abril</w:t>
            </w:r>
            <w:r w:rsidR="00B46239">
              <w:rPr>
                <w:rFonts w:ascii="Cambria" w:hAnsi="Cambria"/>
                <w:bCs/>
                <w:sz w:val="20"/>
                <w:szCs w:val="20"/>
                <w:lang w:val="es-ES"/>
              </w:rPr>
              <w:t>, 24</w:t>
            </w:r>
            <w:r w:rsidR="00AF290D">
              <w:rPr>
                <w:rFonts w:ascii="Cambria" w:hAnsi="Cambria"/>
                <w:bCs/>
                <w:sz w:val="20"/>
                <w:szCs w:val="20"/>
                <w:lang w:val="es-ES"/>
              </w:rPr>
              <w:t>,</w:t>
            </w:r>
            <w:r w:rsidR="0075470B">
              <w:rPr>
                <w:rFonts w:ascii="Cambria" w:hAnsi="Cambria"/>
                <w:bCs/>
                <w:sz w:val="20"/>
                <w:szCs w:val="20"/>
                <w:lang w:val="es-ES"/>
              </w:rPr>
              <w:t xml:space="preserve"> 25</w:t>
            </w:r>
            <w:r w:rsidR="00AF290D">
              <w:rPr>
                <w:rFonts w:ascii="Cambria" w:hAnsi="Cambria"/>
                <w:bCs/>
                <w:sz w:val="20"/>
                <w:szCs w:val="20"/>
                <w:lang w:val="es-ES"/>
              </w:rPr>
              <w:t xml:space="preserve"> y 26</w:t>
            </w:r>
            <w:r w:rsidR="0075470B">
              <w:rPr>
                <w:rFonts w:ascii="Cambria" w:hAnsi="Cambria"/>
                <w:bCs/>
                <w:sz w:val="20"/>
                <w:szCs w:val="20"/>
                <w:lang w:val="es-ES"/>
              </w:rPr>
              <w:t xml:space="preserve"> </w:t>
            </w:r>
            <w:r w:rsidR="00B46239">
              <w:rPr>
                <w:rFonts w:ascii="Cambria" w:hAnsi="Cambria"/>
                <w:bCs/>
                <w:sz w:val="20"/>
                <w:szCs w:val="20"/>
                <w:lang w:val="es-ES"/>
              </w:rPr>
              <w:t>de mayo</w:t>
            </w:r>
            <w:r w:rsidR="00B007F4">
              <w:rPr>
                <w:rFonts w:ascii="Cambria" w:hAnsi="Cambria"/>
                <w:bCs/>
                <w:sz w:val="20"/>
                <w:szCs w:val="20"/>
                <w:lang w:val="es-ES"/>
              </w:rPr>
              <w:t>, 17 de junio, 6</w:t>
            </w:r>
            <w:r w:rsidR="006874C8">
              <w:rPr>
                <w:rFonts w:ascii="Cambria" w:hAnsi="Cambria"/>
                <w:bCs/>
                <w:sz w:val="20"/>
                <w:szCs w:val="20"/>
                <w:lang w:val="es-ES"/>
              </w:rPr>
              <w:t>, 20</w:t>
            </w:r>
            <w:r w:rsidR="0035423C">
              <w:rPr>
                <w:rFonts w:ascii="Cambria" w:hAnsi="Cambria"/>
                <w:bCs/>
                <w:sz w:val="20"/>
                <w:szCs w:val="20"/>
                <w:lang w:val="es-ES"/>
              </w:rPr>
              <w:t xml:space="preserve">, </w:t>
            </w:r>
            <w:r w:rsidR="006874C8">
              <w:rPr>
                <w:rFonts w:ascii="Cambria" w:hAnsi="Cambria"/>
                <w:bCs/>
                <w:sz w:val="20"/>
                <w:szCs w:val="20"/>
                <w:lang w:val="es-ES"/>
              </w:rPr>
              <w:t>27</w:t>
            </w:r>
            <w:r w:rsidR="0035423C">
              <w:rPr>
                <w:rFonts w:ascii="Cambria" w:hAnsi="Cambria"/>
                <w:bCs/>
                <w:sz w:val="20"/>
                <w:szCs w:val="20"/>
                <w:lang w:val="es-ES"/>
              </w:rPr>
              <w:t>, 28</w:t>
            </w:r>
            <w:r w:rsidR="006874C8">
              <w:rPr>
                <w:rFonts w:ascii="Cambria" w:hAnsi="Cambria"/>
                <w:bCs/>
                <w:sz w:val="20"/>
                <w:szCs w:val="20"/>
                <w:lang w:val="es-ES"/>
              </w:rPr>
              <w:t xml:space="preserve"> </w:t>
            </w:r>
            <w:r w:rsidR="0035423C">
              <w:rPr>
                <w:rFonts w:ascii="Cambria" w:hAnsi="Cambria"/>
                <w:bCs/>
                <w:sz w:val="20"/>
                <w:szCs w:val="20"/>
                <w:lang w:val="es-ES"/>
              </w:rPr>
              <w:t xml:space="preserve">y 29 </w:t>
            </w:r>
            <w:r w:rsidR="00B007F4">
              <w:rPr>
                <w:rFonts w:ascii="Cambria" w:hAnsi="Cambria"/>
                <w:bCs/>
                <w:sz w:val="20"/>
                <w:szCs w:val="20"/>
                <w:lang w:val="es-ES"/>
              </w:rPr>
              <w:t>de septiembre</w:t>
            </w:r>
            <w:r w:rsidR="00DB2A2D">
              <w:rPr>
                <w:rFonts w:ascii="Cambria" w:hAnsi="Cambria"/>
                <w:bCs/>
                <w:sz w:val="20"/>
                <w:szCs w:val="20"/>
                <w:lang w:val="es-ES"/>
              </w:rPr>
              <w:t>, 19 y 28 de octubre</w:t>
            </w:r>
            <w:r w:rsidR="00F353AC">
              <w:rPr>
                <w:rFonts w:ascii="Cambria" w:hAnsi="Cambria"/>
                <w:bCs/>
                <w:sz w:val="20"/>
                <w:szCs w:val="20"/>
                <w:lang w:val="es-ES"/>
              </w:rPr>
              <w:t xml:space="preserve"> y </w:t>
            </w:r>
            <w:r w:rsidR="00DB2A2D">
              <w:rPr>
                <w:rFonts w:ascii="Cambria" w:hAnsi="Cambria"/>
                <w:bCs/>
                <w:sz w:val="20"/>
                <w:szCs w:val="20"/>
                <w:lang w:val="es-ES"/>
              </w:rPr>
              <w:t xml:space="preserve">21 de diciembre </w:t>
            </w:r>
            <w:r w:rsidR="00AA0AF1">
              <w:rPr>
                <w:rFonts w:ascii="Cambria" w:hAnsi="Cambria"/>
                <w:bCs/>
                <w:sz w:val="20"/>
                <w:szCs w:val="20"/>
                <w:lang w:val="es-ES"/>
              </w:rPr>
              <w:t>de 2016</w:t>
            </w:r>
            <w:r w:rsidR="00F353AC">
              <w:rPr>
                <w:rFonts w:ascii="Cambria" w:hAnsi="Cambria"/>
                <w:bCs/>
                <w:sz w:val="20"/>
                <w:szCs w:val="20"/>
                <w:lang w:val="es-ES"/>
              </w:rPr>
              <w:t>, 3 y 24 de marzo, 3 de abril</w:t>
            </w:r>
            <w:r w:rsidR="005108C1">
              <w:rPr>
                <w:rFonts w:ascii="Cambria" w:hAnsi="Cambria"/>
                <w:bCs/>
                <w:sz w:val="20"/>
                <w:szCs w:val="20"/>
                <w:lang w:val="es-ES"/>
              </w:rPr>
              <w:t>, 23 de mayo</w:t>
            </w:r>
            <w:r w:rsidR="00C930FF">
              <w:rPr>
                <w:rFonts w:ascii="Cambria" w:hAnsi="Cambria"/>
                <w:bCs/>
                <w:sz w:val="20"/>
                <w:szCs w:val="20"/>
                <w:lang w:val="es-ES"/>
              </w:rPr>
              <w:t>, 5</w:t>
            </w:r>
            <w:r w:rsidR="00CA352E">
              <w:rPr>
                <w:rFonts w:ascii="Cambria" w:hAnsi="Cambria"/>
                <w:bCs/>
                <w:sz w:val="20"/>
                <w:szCs w:val="20"/>
                <w:lang w:val="es-ES"/>
              </w:rPr>
              <w:t xml:space="preserve"> y 21</w:t>
            </w:r>
            <w:r w:rsidR="00C930FF">
              <w:rPr>
                <w:rFonts w:ascii="Cambria" w:hAnsi="Cambria"/>
                <w:bCs/>
                <w:sz w:val="20"/>
                <w:szCs w:val="20"/>
                <w:lang w:val="es-ES"/>
              </w:rPr>
              <w:t xml:space="preserve"> de julio</w:t>
            </w:r>
            <w:r w:rsidR="00CA352E">
              <w:rPr>
                <w:rFonts w:ascii="Cambria" w:hAnsi="Cambria"/>
                <w:bCs/>
                <w:sz w:val="20"/>
                <w:szCs w:val="20"/>
                <w:lang w:val="es-ES"/>
              </w:rPr>
              <w:t>, 30 de agosto</w:t>
            </w:r>
            <w:r w:rsidR="005030FA">
              <w:rPr>
                <w:rFonts w:ascii="Cambria" w:hAnsi="Cambria"/>
                <w:bCs/>
                <w:sz w:val="20"/>
                <w:szCs w:val="20"/>
                <w:lang w:val="es-ES"/>
              </w:rPr>
              <w:t>, 26 y 28 de diciembre</w:t>
            </w:r>
            <w:r w:rsidR="00F353AC">
              <w:rPr>
                <w:rFonts w:ascii="Cambria" w:hAnsi="Cambria"/>
                <w:bCs/>
                <w:sz w:val="20"/>
                <w:szCs w:val="20"/>
                <w:lang w:val="es-ES"/>
              </w:rPr>
              <w:t xml:space="preserve"> de 2017, </w:t>
            </w:r>
            <w:r w:rsidR="007E4155">
              <w:rPr>
                <w:rFonts w:ascii="Cambria" w:hAnsi="Cambria"/>
                <w:bCs/>
                <w:sz w:val="20"/>
                <w:szCs w:val="20"/>
                <w:lang w:val="es-ES"/>
              </w:rPr>
              <w:t xml:space="preserve">3 </w:t>
            </w:r>
            <w:r w:rsidR="00E93A74">
              <w:rPr>
                <w:rFonts w:ascii="Cambria" w:hAnsi="Cambria"/>
                <w:bCs/>
                <w:sz w:val="20"/>
                <w:szCs w:val="20"/>
                <w:lang w:val="es-ES"/>
              </w:rPr>
              <w:t xml:space="preserve">y 22 </w:t>
            </w:r>
            <w:r w:rsidR="007E4155">
              <w:rPr>
                <w:rFonts w:ascii="Cambria" w:hAnsi="Cambria"/>
                <w:bCs/>
                <w:sz w:val="20"/>
                <w:szCs w:val="20"/>
                <w:lang w:val="es-ES"/>
              </w:rPr>
              <w:t xml:space="preserve">enero,  </w:t>
            </w:r>
            <w:r w:rsidR="00E93A74">
              <w:rPr>
                <w:rFonts w:ascii="Cambria" w:hAnsi="Cambria"/>
                <w:bCs/>
                <w:sz w:val="20"/>
                <w:szCs w:val="20"/>
                <w:lang w:val="es-ES"/>
              </w:rPr>
              <w:t>2 y 28 de marzo</w:t>
            </w:r>
            <w:r w:rsidR="00345A31">
              <w:rPr>
                <w:rFonts w:ascii="Cambria" w:hAnsi="Cambria"/>
                <w:bCs/>
                <w:sz w:val="20"/>
                <w:szCs w:val="20"/>
                <w:lang w:val="es-ES"/>
              </w:rPr>
              <w:t>, 16, 21,  de mayo</w:t>
            </w:r>
            <w:r w:rsidR="00245C6F">
              <w:rPr>
                <w:rFonts w:ascii="Cambria" w:hAnsi="Cambria"/>
                <w:bCs/>
                <w:sz w:val="20"/>
                <w:szCs w:val="20"/>
                <w:lang w:val="es-ES"/>
              </w:rPr>
              <w:t>, 6, 11</w:t>
            </w:r>
            <w:r w:rsidR="00BA0B14">
              <w:rPr>
                <w:rFonts w:ascii="Cambria" w:hAnsi="Cambria"/>
                <w:bCs/>
                <w:sz w:val="20"/>
                <w:szCs w:val="20"/>
                <w:lang w:val="es-ES"/>
              </w:rPr>
              <w:t>, 31</w:t>
            </w:r>
            <w:r w:rsidR="00245C6F">
              <w:rPr>
                <w:rFonts w:ascii="Cambria" w:hAnsi="Cambria"/>
                <w:bCs/>
                <w:sz w:val="20"/>
                <w:szCs w:val="20"/>
                <w:lang w:val="es-ES"/>
              </w:rPr>
              <w:t xml:space="preserve"> de julio</w:t>
            </w:r>
            <w:r w:rsidR="00B023A3">
              <w:rPr>
                <w:rFonts w:ascii="Cambria" w:hAnsi="Cambria"/>
                <w:bCs/>
                <w:sz w:val="20"/>
                <w:szCs w:val="20"/>
                <w:lang w:val="es-ES"/>
              </w:rPr>
              <w:t>, 6 de septiembre</w:t>
            </w:r>
            <w:r w:rsidR="00F0710D">
              <w:rPr>
                <w:rFonts w:ascii="Cambria" w:hAnsi="Cambria"/>
                <w:bCs/>
                <w:sz w:val="20"/>
                <w:szCs w:val="20"/>
                <w:lang w:val="es-ES"/>
              </w:rPr>
              <w:t>, 14 de noviembre</w:t>
            </w:r>
            <w:r w:rsidR="00E93A74">
              <w:rPr>
                <w:rFonts w:ascii="Cambria" w:hAnsi="Cambria"/>
                <w:bCs/>
                <w:sz w:val="20"/>
                <w:szCs w:val="20"/>
                <w:lang w:val="es-ES"/>
              </w:rPr>
              <w:t xml:space="preserve"> </w:t>
            </w:r>
            <w:r w:rsidR="007E4155">
              <w:rPr>
                <w:rFonts w:ascii="Cambria" w:hAnsi="Cambria"/>
                <w:bCs/>
                <w:sz w:val="20"/>
                <w:szCs w:val="20"/>
                <w:lang w:val="es-ES"/>
              </w:rPr>
              <w:t>de 2018</w:t>
            </w:r>
            <w:r w:rsidR="00E738B3">
              <w:rPr>
                <w:rFonts w:ascii="Cambria" w:hAnsi="Cambria"/>
                <w:bCs/>
                <w:sz w:val="20"/>
                <w:szCs w:val="20"/>
                <w:lang w:val="es-ES"/>
              </w:rPr>
              <w:t>, 1 de abril</w:t>
            </w:r>
            <w:r w:rsidR="005723AA">
              <w:rPr>
                <w:rFonts w:ascii="Cambria" w:hAnsi="Cambria"/>
                <w:bCs/>
                <w:sz w:val="20"/>
                <w:szCs w:val="20"/>
                <w:lang w:val="es-ES"/>
              </w:rPr>
              <w:t>, 25 de noviembre</w:t>
            </w:r>
            <w:r w:rsidR="0039155C">
              <w:rPr>
                <w:rFonts w:ascii="Cambria" w:hAnsi="Cambria"/>
                <w:bCs/>
                <w:sz w:val="20"/>
                <w:szCs w:val="20"/>
                <w:lang w:val="es-ES"/>
              </w:rPr>
              <w:t xml:space="preserve"> y </w:t>
            </w:r>
            <w:r w:rsidR="003E47CE">
              <w:rPr>
                <w:rFonts w:ascii="Cambria" w:hAnsi="Cambria"/>
                <w:bCs/>
                <w:sz w:val="20"/>
                <w:szCs w:val="20"/>
                <w:lang w:val="es-ES"/>
              </w:rPr>
              <w:t>2 de diciembre</w:t>
            </w:r>
            <w:r w:rsidR="00E738B3">
              <w:rPr>
                <w:rFonts w:ascii="Cambria" w:hAnsi="Cambria"/>
                <w:bCs/>
                <w:sz w:val="20"/>
                <w:szCs w:val="20"/>
                <w:lang w:val="es-ES"/>
              </w:rPr>
              <w:t xml:space="preserve"> de 2019</w:t>
            </w:r>
            <w:r w:rsidR="0039155C">
              <w:rPr>
                <w:rFonts w:ascii="Cambria" w:hAnsi="Cambria"/>
                <w:bCs/>
                <w:sz w:val="20"/>
                <w:szCs w:val="20"/>
                <w:lang w:val="es-ES"/>
              </w:rPr>
              <w:t>, 6 de abril</w:t>
            </w:r>
            <w:r w:rsidR="00451D3E">
              <w:rPr>
                <w:rFonts w:ascii="Cambria" w:hAnsi="Cambria"/>
                <w:bCs/>
                <w:sz w:val="20"/>
                <w:szCs w:val="20"/>
                <w:lang w:val="es-ES"/>
              </w:rPr>
              <w:t>, 28 de jul</w:t>
            </w:r>
            <w:r w:rsidR="009F022D">
              <w:rPr>
                <w:rFonts w:ascii="Cambria" w:hAnsi="Cambria"/>
                <w:bCs/>
                <w:sz w:val="20"/>
                <w:szCs w:val="20"/>
                <w:lang w:val="es-ES"/>
              </w:rPr>
              <w:t>i</w:t>
            </w:r>
            <w:r w:rsidR="00451D3E">
              <w:rPr>
                <w:rFonts w:ascii="Cambria" w:hAnsi="Cambria"/>
                <w:bCs/>
                <w:sz w:val="20"/>
                <w:szCs w:val="20"/>
                <w:lang w:val="es-ES"/>
              </w:rPr>
              <w:t>o</w:t>
            </w:r>
            <w:r w:rsidR="009F022D">
              <w:rPr>
                <w:rFonts w:ascii="Cambria" w:hAnsi="Cambria"/>
                <w:bCs/>
                <w:sz w:val="20"/>
                <w:szCs w:val="20"/>
                <w:lang w:val="es-ES"/>
              </w:rPr>
              <w:t>, 5 y 10 de agosto,</w:t>
            </w:r>
            <w:r w:rsidR="0039155C">
              <w:rPr>
                <w:rFonts w:ascii="Cambria" w:hAnsi="Cambria"/>
                <w:bCs/>
                <w:sz w:val="20"/>
                <w:szCs w:val="20"/>
                <w:lang w:val="es-ES"/>
              </w:rPr>
              <w:t xml:space="preserve"> </w:t>
            </w:r>
            <w:r w:rsidR="009F022D">
              <w:rPr>
                <w:rFonts w:ascii="Cambria" w:hAnsi="Cambria"/>
                <w:bCs/>
                <w:sz w:val="20"/>
                <w:szCs w:val="20"/>
                <w:lang w:val="es-ES"/>
              </w:rPr>
              <w:t xml:space="preserve">9 </w:t>
            </w:r>
            <w:r w:rsidR="00B65828">
              <w:rPr>
                <w:rFonts w:ascii="Cambria" w:hAnsi="Cambria"/>
                <w:bCs/>
                <w:sz w:val="20"/>
                <w:szCs w:val="20"/>
                <w:lang w:val="es-ES"/>
              </w:rPr>
              <w:t xml:space="preserve">y 23 </w:t>
            </w:r>
            <w:r w:rsidR="009F022D">
              <w:rPr>
                <w:rFonts w:ascii="Cambria" w:hAnsi="Cambria"/>
                <w:bCs/>
                <w:sz w:val="20"/>
                <w:szCs w:val="20"/>
                <w:lang w:val="es-ES"/>
              </w:rPr>
              <w:t xml:space="preserve">de noviembre </w:t>
            </w:r>
            <w:r w:rsidR="0039155C">
              <w:rPr>
                <w:rFonts w:ascii="Cambria" w:hAnsi="Cambria"/>
                <w:bCs/>
                <w:sz w:val="20"/>
                <w:szCs w:val="20"/>
                <w:lang w:val="es-ES"/>
              </w:rPr>
              <w:t>de 2020</w:t>
            </w:r>
            <w:r w:rsidR="00FE4711">
              <w:rPr>
                <w:rFonts w:ascii="Cambria" w:hAnsi="Cambria"/>
                <w:bCs/>
                <w:sz w:val="20"/>
                <w:szCs w:val="20"/>
                <w:lang w:val="es-ES"/>
              </w:rPr>
              <w:t xml:space="preserve">, 17 de febrero, 11 </w:t>
            </w:r>
            <w:r w:rsidR="00EF685B">
              <w:rPr>
                <w:rFonts w:ascii="Cambria" w:hAnsi="Cambria"/>
                <w:bCs/>
                <w:sz w:val="20"/>
                <w:szCs w:val="20"/>
                <w:lang w:val="es-ES"/>
              </w:rPr>
              <w:t xml:space="preserve">y 30 </w:t>
            </w:r>
            <w:r w:rsidR="00FE4711">
              <w:rPr>
                <w:rFonts w:ascii="Cambria" w:hAnsi="Cambria"/>
                <w:bCs/>
                <w:sz w:val="20"/>
                <w:szCs w:val="20"/>
                <w:lang w:val="es-ES"/>
              </w:rPr>
              <w:t>de marzo</w:t>
            </w:r>
            <w:r w:rsidR="004D3358">
              <w:rPr>
                <w:rFonts w:ascii="Cambria" w:hAnsi="Cambria"/>
                <w:bCs/>
                <w:sz w:val="20"/>
                <w:szCs w:val="20"/>
                <w:lang w:val="es-ES"/>
              </w:rPr>
              <w:t>, 7 y 25 de mayo, 21 de junio</w:t>
            </w:r>
            <w:r w:rsidR="00FC0529">
              <w:rPr>
                <w:rFonts w:ascii="Cambria" w:hAnsi="Cambria"/>
                <w:bCs/>
                <w:sz w:val="20"/>
                <w:szCs w:val="20"/>
                <w:lang w:val="es-ES"/>
              </w:rPr>
              <w:t xml:space="preserve"> </w:t>
            </w:r>
            <w:r w:rsidR="00FE4711">
              <w:rPr>
                <w:rFonts w:ascii="Cambria" w:hAnsi="Cambria"/>
                <w:bCs/>
                <w:sz w:val="20"/>
                <w:szCs w:val="20"/>
                <w:lang w:val="es-ES"/>
              </w:rPr>
              <w:t>de 20</w:t>
            </w:r>
            <w:r w:rsidR="004D3358">
              <w:rPr>
                <w:rFonts w:ascii="Cambria" w:hAnsi="Cambria"/>
                <w:bCs/>
                <w:sz w:val="20"/>
                <w:szCs w:val="20"/>
                <w:lang w:val="es-ES"/>
              </w:rPr>
              <w:t>21</w:t>
            </w:r>
            <w:r w:rsidR="00FC0529">
              <w:rPr>
                <w:rFonts w:ascii="Cambria" w:hAnsi="Cambria"/>
                <w:bCs/>
                <w:sz w:val="20"/>
                <w:szCs w:val="20"/>
                <w:lang w:val="es-ES"/>
              </w:rPr>
              <w:t xml:space="preserve"> y 10 de septiembre de 2021, 25 de febrero</w:t>
            </w:r>
            <w:r w:rsidR="00CE7E19">
              <w:rPr>
                <w:rFonts w:ascii="Cambria" w:hAnsi="Cambria"/>
                <w:bCs/>
                <w:sz w:val="20"/>
                <w:szCs w:val="20"/>
                <w:lang w:val="es-ES"/>
              </w:rPr>
              <w:t xml:space="preserve">, 2, 24 de marzo, 3, 22 </w:t>
            </w:r>
            <w:r w:rsidR="00B06899">
              <w:rPr>
                <w:rFonts w:ascii="Cambria" w:hAnsi="Cambria"/>
                <w:bCs/>
                <w:sz w:val="20"/>
                <w:szCs w:val="20"/>
                <w:lang w:val="es-ES"/>
              </w:rPr>
              <w:t xml:space="preserve">y 30 </w:t>
            </w:r>
            <w:r w:rsidR="00CE7E19">
              <w:rPr>
                <w:rFonts w:ascii="Cambria" w:hAnsi="Cambria"/>
                <w:bCs/>
                <w:sz w:val="20"/>
                <w:szCs w:val="20"/>
                <w:lang w:val="es-ES"/>
              </w:rPr>
              <w:t>de junio</w:t>
            </w:r>
            <w:r w:rsidR="009E4232">
              <w:rPr>
                <w:rFonts w:ascii="Cambria" w:hAnsi="Cambria"/>
                <w:bCs/>
                <w:sz w:val="20"/>
                <w:szCs w:val="20"/>
                <w:lang w:val="es-ES"/>
              </w:rPr>
              <w:t xml:space="preserve"> </w:t>
            </w:r>
            <w:r w:rsidR="00FC0529">
              <w:rPr>
                <w:rFonts w:ascii="Cambria" w:hAnsi="Cambria"/>
                <w:bCs/>
                <w:sz w:val="20"/>
                <w:szCs w:val="20"/>
                <w:lang w:val="es-ES"/>
              </w:rPr>
              <w:t>de 2022</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3745F" w:rsidRDefault="003239B8" w:rsidP="00990DBA">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1E494D5D" w14:textId="3B4BC641" w:rsidR="003239B8" w:rsidRPr="00B3745F" w:rsidRDefault="002F01C0" w:rsidP="00990DBA">
            <w:pPr>
              <w:rPr>
                <w:rFonts w:ascii="Cambria" w:hAnsi="Cambria"/>
                <w:bCs/>
                <w:sz w:val="20"/>
                <w:szCs w:val="20"/>
              </w:rPr>
            </w:pPr>
            <w:r>
              <w:rPr>
                <w:rFonts w:ascii="Cambria" w:hAnsi="Cambria"/>
                <w:bCs/>
                <w:sz w:val="20"/>
                <w:szCs w:val="20"/>
              </w:rPr>
              <w:t>Sí</w:t>
            </w:r>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3745F" w:rsidRDefault="003239B8" w:rsidP="00990DBA">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77C8256A" w14:textId="59A95DBD" w:rsidR="003239B8" w:rsidRPr="00B3745F" w:rsidRDefault="002F01C0" w:rsidP="00990DBA">
            <w:pPr>
              <w:rPr>
                <w:rFonts w:ascii="Cambria" w:hAnsi="Cambria"/>
                <w:bCs/>
                <w:sz w:val="20"/>
                <w:szCs w:val="20"/>
              </w:rPr>
            </w:pPr>
            <w:r>
              <w:rPr>
                <w:rFonts w:ascii="Cambria" w:hAnsi="Cambria"/>
                <w:bCs/>
                <w:sz w:val="20"/>
                <w:szCs w:val="20"/>
              </w:rPr>
              <w:t>Sí</w:t>
            </w:r>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3745F" w:rsidRDefault="003239B8" w:rsidP="00990DBA">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523F6BD6" w14:textId="377D8662" w:rsidR="003239B8" w:rsidRPr="00B3745F" w:rsidRDefault="002F01C0" w:rsidP="00990DBA">
            <w:pPr>
              <w:rPr>
                <w:rFonts w:ascii="Cambria" w:hAnsi="Cambria"/>
                <w:bCs/>
                <w:sz w:val="20"/>
                <w:szCs w:val="20"/>
              </w:rPr>
            </w:pPr>
            <w:r>
              <w:rPr>
                <w:rFonts w:ascii="Cambria" w:hAnsi="Cambria"/>
                <w:bCs/>
                <w:sz w:val="20"/>
                <w:szCs w:val="20"/>
              </w:rPr>
              <w:t>Sí</w:t>
            </w:r>
          </w:p>
        </w:tc>
      </w:tr>
      <w:tr w:rsidR="003239B8" w:rsidRPr="004514A3"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3745F" w:rsidRDefault="003239B8" w:rsidP="00990DBA">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257C8337" w14:textId="4DE8F391" w:rsidR="003239B8" w:rsidRPr="00B3745F" w:rsidRDefault="00B30AC8" w:rsidP="00990DBA">
            <w:pPr>
              <w:jc w:val="both"/>
              <w:rPr>
                <w:rFonts w:ascii="Cambria" w:hAnsi="Cambria"/>
                <w:bCs/>
                <w:sz w:val="20"/>
                <w:szCs w:val="20"/>
                <w:lang w:val="es-ES"/>
              </w:rPr>
            </w:pPr>
            <w:r>
              <w:rPr>
                <w:rFonts w:ascii="Cambria" w:hAnsi="Cambria"/>
                <w:bCs/>
                <w:sz w:val="20"/>
                <w:szCs w:val="20"/>
                <w:lang w:val="es-ES"/>
              </w:rPr>
              <w:t xml:space="preserve">Sí, </w:t>
            </w:r>
            <w:r w:rsidR="00DF534C">
              <w:rPr>
                <w:rFonts w:ascii="Cambria" w:hAnsi="Cambria"/>
                <w:bCs/>
                <w:sz w:val="20"/>
                <w:szCs w:val="20"/>
                <w:lang w:val="es-ES"/>
              </w:rPr>
              <w:t>en la Convención Americana sobre Derechos Humanos</w:t>
            </w:r>
            <w:r w:rsidR="00DF534C">
              <w:rPr>
                <w:rStyle w:val="FootnoteReference"/>
                <w:rFonts w:ascii="Cambria" w:hAnsi="Cambria"/>
                <w:bCs/>
                <w:sz w:val="20"/>
                <w:szCs w:val="20"/>
                <w:lang w:val="es-ES"/>
              </w:rPr>
              <w:footnoteReference w:id="4"/>
            </w:r>
            <w:r w:rsidR="00DF534C">
              <w:rPr>
                <w:rFonts w:ascii="Cambria" w:hAnsi="Cambria"/>
                <w:bCs/>
                <w:sz w:val="20"/>
                <w:szCs w:val="20"/>
                <w:lang w:val="es-ES"/>
              </w:rPr>
              <w:t xml:space="preserve"> </w:t>
            </w:r>
            <w:r>
              <w:rPr>
                <w:rFonts w:ascii="Cambria" w:hAnsi="Cambria"/>
                <w:bCs/>
                <w:sz w:val="20"/>
                <w:szCs w:val="20"/>
                <w:lang w:val="es-ES"/>
              </w:rPr>
              <w:t>(instrumento de ratificación depositado el 31 de julio de 1973)</w:t>
            </w:r>
          </w:p>
        </w:tc>
      </w:tr>
    </w:tbl>
    <w:p w14:paraId="299A3868" w14:textId="64266F70"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BB1E43" w:rsidRPr="003239B8">
        <w:rPr>
          <w:rFonts w:asciiTheme="majorHAnsi" w:hAnsiTheme="majorHAnsi"/>
          <w:b/>
          <w:bCs/>
          <w:sz w:val="20"/>
          <w:szCs w:val="20"/>
          <w:lang w:val="es-ES"/>
        </w:rPr>
        <w:t>INTERNACIONAL</w:t>
      </w:r>
      <w:r w:rsidR="00BB1E43">
        <w:rPr>
          <w:rFonts w:asciiTheme="majorHAnsi" w:hAnsiTheme="majorHAnsi"/>
          <w:b/>
          <w:bCs/>
          <w:sz w:val="20"/>
          <w:szCs w:val="20"/>
          <w:lang w:val="es-ES"/>
        </w:rPr>
        <w:t xml:space="preserve">, </w:t>
      </w:r>
      <w:r w:rsidR="00BB1E43"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467278"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C24E3" w:rsidRDefault="00EE00E9" w:rsidP="00990DBA">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688C469A" w:rsidR="00EE00E9" w:rsidRPr="00DC24E3" w:rsidRDefault="00DF534C" w:rsidP="00990DBA">
            <w:pPr>
              <w:jc w:val="both"/>
              <w:rPr>
                <w:rFonts w:ascii="Cambria" w:hAnsi="Cambria"/>
                <w:bCs/>
                <w:sz w:val="20"/>
                <w:szCs w:val="20"/>
                <w:lang w:val="es-ES"/>
              </w:rPr>
            </w:pPr>
            <w:r>
              <w:rPr>
                <w:rFonts w:ascii="Cambria" w:hAnsi="Cambria"/>
                <w:bCs/>
                <w:sz w:val="20"/>
                <w:szCs w:val="20"/>
                <w:lang w:val="es-ES"/>
              </w:rPr>
              <w:t>No</w:t>
            </w:r>
          </w:p>
        </w:tc>
      </w:tr>
      <w:tr w:rsidR="003239B8" w:rsidRPr="002021CE"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DC24E3" w:rsidRDefault="003239B8" w:rsidP="00990DBA">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4DAE9D4D" w14:textId="2C461FA5" w:rsidR="003239B8" w:rsidRPr="00DC24E3" w:rsidRDefault="00AC688E" w:rsidP="00990DBA">
            <w:pPr>
              <w:jc w:val="both"/>
              <w:rPr>
                <w:rFonts w:ascii="Cambria" w:hAnsi="Cambria"/>
                <w:bCs/>
                <w:sz w:val="20"/>
                <w:szCs w:val="20"/>
              </w:rPr>
            </w:pPr>
            <w:r>
              <w:rPr>
                <w:rFonts w:ascii="Cambria" w:hAnsi="Cambria"/>
                <w:bCs/>
                <w:sz w:val="20"/>
                <w:szCs w:val="20"/>
              </w:rPr>
              <w:t>Ninguno</w:t>
            </w:r>
          </w:p>
        </w:tc>
      </w:tr>
      <w:tr w:rsidR="003239B8" w:rsidRPr="004514A3"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C24E3" w:rsidRDefault="003239B8" w:rsidP="00990DBA">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7F7C1A19" w14:textId="29416BF1" w:rsidR="003239B8" w:rsidRPr="00DC24E3" w:rsidRDefault="00AC688E" w:rsidP="00990DBA">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4514A3"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C24E3" w:rsidRDefault="003239B8" w:rsidP="00990DBA">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2AF0FC69" w14:textId="750DF9B5" w:rsidR="003239B8" w:rsidRPr="00AC688E" w:rsidRDefault="00AC688E" w:rsidP="00990DBA">
            <w:pPr>
              <w:rPr>
                <w:rFonts w:ascii="Cambria" w:hAnsi="Cambria"/>
                <w:bCs/>
                <w:sz w:val="20"/>
                <w:szCs w:val="20"/>
                <w:lang w:val="es-ES"/>
              </w:rPr>
            </w:pPr>
            <w:r>
              <w:rPr>
                <w:rFonts w:ascii="Cambria" w:hAnsi="Cambria"/>
                <w:bCs/>
                <w:sz w:val="20"/>
                <w:szCs w:val="20"/>
                <w:lang w:val="es-ES"/>
              </w:rPr>
              <w:t>Sí, en los términos de la sección VI</w:t>
            </w:r>
          </w:p>
        </w:tc>
      </w:tr>
    </w:tbl>
    <w:p w14:paraId="56FD5D57" w14:textId="252B1FD5" w:rsidR="003239B8" w:rsidRPr="00066E7D" w:rsidRDefault="00223A29" w:rsidP="003239B8">
      <w:pPr>
        <w:spacing w:before="240" w:after="240"/>
        <w:ind w:firstLine="720"/>
        <w:jc w:val="both"/>
        <w:rPr>
          <w:rFonts w:asciiTheme="majorHAnsi" w:hAnsiTheme="majorHAnsi"/>
          <w:b/>
          <w:sz w:val="20"/>
          <w:szCs w:val="20"/>
          <w:lang w:val="es-ES_tradnl"/>
        </w:rPr>
      </w:pPr>
      <w:r w:rsidRPr="00066E7D">
        <w:rPr>
          <w:rFonts w:asciiTheme="majorHAnsi" w:hAnsiTheme="majorHAnsi"/>
          <w:b/>
          <w:sz w:val="20"/>
          <w:szCs w:val="20"/>
          <w:lang w:val="es-ES_tradnl"/>
        </w:rPr>
        <w:lastRenderedPageBreak/>
        <w:t xml:space="preserve">V. </w:t>
      </w:r>
      <w:r w:rsidRPr="00066E7D">
        <w:rPr>
          <w:rFonts w:asciiTheme="majorHAnsi" w:hAnsiTheme="majorHAnsi"/>
          <w:b/>
          <w:sz w:val="20"/>
          <w:szCs w:val="20"/>
          <w:lang w:val="es-ES_tradnl"/>
        </w:rPr>
        <w:tab/>
      </w:r>
      <w:r w:rsidR="004241A0" w:rsidRPr="00066E7D">
        <w:rPr>
          <w:rFonts w:asciiTheme="majorHAnsi" w:hAnsiTheme="majorHAnsi"/>
          <w:b/>
          <w:sz w:val="20"/>
          <w:szCs w:val="20"/>
          <w:lang w:val="es-ES_tradnl"/>
        </w:rPr>
        <w:t>POSICIÓN DE LAS PARTES</w:t>
      </w:r>
      <w:r w:rsidR="003239B8" w:rsidRPr="00066E7D">
        <w:rPr>
          <w:rFonts w:asciiTheme="majorHAnsi" w:hAnsiTheme="majorHAnsi"/>
          <w:b/>
          <w:sz w:val="20"/>
          <w:szCs w:val="20"/>
          <w:lang w:val="es-ES_tradnl"/>
        </w:rPr>
        <w:t xml:space="preserve"> </w:t>
      </w:r>
    </w:p>
    <w:p w14:paraId="553CD367" w14:textId="0CE377FB" w:rsidR="003523C6" w:rsidRPr="00066E7D" w:rsidRDefault="001B478B" w:rsidP="006411CB">
      <w:pPr>
        <w:spacing w:before="240" w:after="240"/>
        <w:ind w:firstLine="720"/>
        <w:jc w:val="both"/>
        <w:rPr>
          <w:rFonts w:ascii="Cambria" w:hAnsi="Cambria"/>
          <w:bCs/>
          <w:sz w:val="20"/>
          <w:szCs w:val="20"/>
          <w:lang w:val="es-ES_tradnl"/>
        </w:rPr>
      </w:pPr>
      <w:r w:rsidRPr="00066E7D">
        <w:rPr>
          <w:rFonts w:asciiTheme="majorHAnsi" w:hAnsiTheme="majorHAnsi"/>
          <w:bCs/>
          <w:sz w:val="20"/>
          <w:szCs w:val="20"/>
          <w:lang w:val="es-ES_tradnl"/>
        </w:rPr>
        <w:t>1.</w:t>
      </w:r>
      <w:r w:rsidRPr="00066E7D">
        <w:rPr>
          <w:rFonts w:asciiTheme="majorHAnsi" w:hAnsiTheme="majorHAnsi"/>
          <w:bCs/>
          <w:sz w:val="20"/>
          <w:szCs w:val="20"/>
          <w:lang w:val="es-ES_tradnl"/>
        </w:rPr>
        <w:tab/>
      </w:r>
      <w:r w:rsidR="003523C6" w:rsidRPr="00066E7D">
        <w:rPr>
          <w:rFonts w:asciiTheme="majorHAnsi" w:hAnsiTheme="majorHAnsi"/>
          <w:bCs/>
          <w:sz w:val="20"/>
          <w:szCs w:val="20"/>
          <w:lang w:val="es-ES_tradnl"/>
        </w:rPr>
        <w:t xml:space="preserve">El Sr. </w:t>
      </w:r>
      <w:r w:rsidR="003523C6" w:rsidRPr="00066E7D">
        <w:rPr>
          <w:rFonts w:ascii="Cambria" w:hAnsi="Cambria"/>
          <w:bCs/>
          <w:sz w:val="20"/>
          <w:szCs w:val="20"/>
          <w:lang w:val="es-ES_tradnl"/>
        </w:rPr>
        <w:t xml:space="preserve">Hernando Ramírez Arboleda </w:t>
      </w:r>
      <w:r w:rsidR="00D0014D" w:rsidRPr="00066E7D">
        <w:rPr>
          <w:rFonts w:ascii="Cambria" w:hAnsi="Cambria"/>
          <w:bCs/>
          <w:sz w:val="20"/>
          <w:szCs w:val="20"/>
          <w:lang w:val="es-ES_tradnl"/>
        </w:rPr>
        <w:t>alega</w:t>
      </w:r>
      <w:r w:rsidR="003523C6" w:rsidRPr="00066E7D">
        <w:rPr>
          <w:rFonts w:ascii="Cambria" w:hAnsi="Cambria"/>
          <w:bCs/>
          <w:sz w:val="20"/>
          <w:szCs w:val="20"/>
          <w:lang w:val="es-ES_tradnl"/>
        </w:rPr>
        <w:t xml:space="preserve"> </w:t>
      </w:r>
      <w:r w:rsidR="00542EF1" w:rsidRPr="00066E7D">
        <w:rPr>
          <w:rFonts w:ascii="Cambria" w:hAnsi="Cambria"/>
          <w:bCs/>
          <w:sz w:val="20"/>
          <w:szCs w:val="20"/>
          <w:lang w:val="es-ES_tradnl"/>
        </w:rPr>
        <w:t>la responsabilidad internacional de</w:t>
      </w:r>
      <w:r w:rsidR="009679D4" w:rsidRPr="00066E7D">
        <w:rPr>
          <w:rFonts w:ascii="Cambria" w:hAnsi="Cambria"/>
          <w:bCs/>
          <w:sz w:val="20"/>
          <w:szCs w:val="20"/>
          <w:lang w:val="es-ES_tradnl"/>
        </w:rPr>
        <w:t>l Estado c</w:t>
      </w:r>
      <w:r w:rsidR="00542EF1" w:rsidRPr="00066E7D">
        <w:rPr>
          <w:rFonts w:ascii="Cambria" w:hAnsi="Cambria"/>
          <w:bCs/>
          <w:sz w:val="20"/>
          <w:szCs w:val="20"/>
          <w:lang w:val="es-ES_tradnl"/>
        </w:rPr>
        <w:t>olombia</w:t>
      </w:r>
      <w:r w:rsidR="009679D4" w:rsidRPr="00066E7D">
        <w:rPr>
          <w:rFonts w:ascii="Cambria" w:hAnsi="Cambria"/>
          <w:bCs/>
          <w:sz w:val="20"/>
          <w:szCs w:val="20"/>
          <w:lang w:val="es-ES_tradnl"/>
        </w:rPr>
        <w:t>no</w:t>
      </w:r>
      <w:r w:rsidR="00542EF1" w:rsidRPr="00066E7D">
        <w:rPr>
          <w:rFonts w:ascii="Cambria" w:hAnsi="Cambria"/>
          <w:bCs/>
          <w:sz w:val="20"/>
          <w:szCs w:val="20"/>
          <w:lang w:val="es-ES_tradnl"/>
        </w:rPr>
        <w:t xml:space="preserve"> por </w:t>
      </w:r>
      <w:r w:rsidR="00BB0DE3" w:rsidRPr="00066E7D">
        <w:rPr>
          <w:rFonts w:ascii="Cambria" w:hAnsi="Cambria"/>
          <w:bCs/>
          <w:sz w:val="20"/>
          <w:szCs w:val="20"/>
          <w:lang w:val="es-ES_tradnl"/>
        </w:rPr>
        <w:t>su supuesto</w:t>
      </w:r>
      <w:r w:rsidR="000631D2" w:rsidRPr="00066E7D">
        <w:rPr>
          <w:rFonts w:ascii="Cambria" w:hAnsi="Cambria"/>
          <w:bCs/>
          <w:sz w:val="20"/>
          <w:szCs w:val="20"/>
          <w:lang w:val="es-ES_tradnl"/>
        </w:rPr>
        <w:t xml:space="preserve"> </w:t>
      </w:r>
      <w:r w:rsidR="009212C9" w:rsidRPr="00066E7D">
        <w:rPr>
          <w:rFonts w:ascii="Cambria" w:hAnsi="Cambria"/>
          <w:bCs/>
          <w:sz w:val="20"/>
          <w:szCs w:val="20"/>
          <w:lang w:val="es-ES_tradnl"/>
        </w:rPr>
        <w:t xml:space="preserve">incumplimiento de las órdenes judiciales </w:t>
      </w:r>
      <w:r w:rsidR="006411CB" w:rsidRPr="00066E7D">
        <w:rPr>
          <w:rFonts w:ascii="Cambria" w:hAnsi="Cambria"/>
          <w:bCs/>
          <w:sz w:val="20"/>
          <w:szCs w:val="20"/>
          <w:lang w:val="es-ES_tradnl"/>
        </w:rPr>
        <w:t xml:space="preserve">que establecieron </w:t>
      </w:r>
      <w:r w:rsidR="00B22F80" w:rsidRPr="00066E7D">
        <w:rPr>
          <w:rFonts w:ascii="Cambria" w:hAnsi="Cambria"/>
          <w:bCs/>
          <w:sz w:val="20"/>
          <w:szCs w:val="20"/>
          <w:lang w:val="es-ES_tradnl"/>
        </w:rPr>
        <w:t>su</w:t>
      </w:r>
      <w:r w:rsidR="006411CB" w:rsidRPr="00066E7D">
        <w:rPr>
          <w:rFonts w:ascii="Cambria" w:hAnsi="Cambria"/>
          <w:bCs/>
          <w:sz w:val="20"/>
          <w:szCs w:val="20"/>
          <w:lang w:val="es-ES_tradnl"/>
        </w:rPr>
        <w:t xml:space="preserve"> reintegro al cargo en la </w:t>
      </w:r>
      <w:r w:rsidR="006411CB" w:rsidRPr="00066E7D">
        <w:rPr>
          <w:rFonts w:asciiTheme="majorHAnsi" w:hAnsiTheme="majorHAnsi"/>
          <w:bCs/>
          <w:sz w:val="20"/>
          <w:szCs w:val="20"/>
          <w:lang w:val="es-ES_tradnl"/>
        </w:rPr>
        <w:t xml:space="preserve">Caja de </w:t>
      </w:r>
      <w:r w:rsidR="00B22F80" w:rsidRPr="00066E7D">
        <w:rPr>
          <w:rFonts w:asciiTheme="majorHAnsi" w:hAnsiTheme="majorHAnsi"/>
          <w:bCs/>
          <w:sz w:val="20"/>
          <w:szCs w:val="20"/>
          <w:lang w:val="es-ES_tradnl"/>
        </w:rPr>
        <w:t>Crédito</w:t>
      </w:r>
      <w:r w:rsidR="006411CB" w:rsidRPr="00066E7D">
        <w:rPr>
          <w:rFonts w:asciiTheme="majorHAnsi" w:hAnsiTheme="majorHAnsi"/>
          <w:bCs/>
          <w:sz w:val="20"/>
          <w:szCs w:val="20"/>
          <w:lang w:val="es-ES_tradnl"/>
        </w:rPr>
        <w:t xml:space="preserve"> </w:t>
      </w:r>
      <w:r w:rsidR="00B22F80" w:rsidRPr="00066E7D">
        <w:rPr>
          <w:rFonts w:asciiTheme="majorHAnsi" w:hAnsiTheme="majorHAnsi"/>
          <w:bCs/>
          <w:sz w:val="20"/>
          <w:szCs w:val="20"/>
          <w:lang w:val="es-ES_tradnl"/>
        </w:rPr>
        <w:t>Agrario,</w:t>
      </w:r>
      <w:r w:rsidR="006411CB" w:rsidRPr="00066E7D">
        <w:rPr>
          <w:rFonts w:asciiTheme="majorHAnsi" w:hAnsiTheme="majorHAnsi"/>
          <w:bCs/>
          <w:sz w:val="20"/>
          <w:szCs w:val="20"/>
          <w:lang w:val="es-ES_tradnl"/>
        </w:rPr>
        <w:t xml:space="preserve"> Industrial y Minero (en adelante Caja Agraria) luego de </w:t>
      </w:r>
      <w:r w:rsidR="00B22F80" w:rsidRPr="00066E7D">
        <w:rPr>
          <w:rFonts w:asciiTheme="majorHAnsi" w:hAnsiTheme="majorHAnsi"/>
          <w:bCs/>
          <w:sz w:val="20"/>
          <w:szCs w:val="20"/>
          <w:lang w:val="es-ES_tradnl"/>
        </w:rPr>
        <w:t xml:space="preserve">ser </w:t>
      </w:r>
      <w:r w:rsidR="000631D2" w:rsidRPr="00066E7D">
        <w:rPr>
          <w:rFonts w:asciiTheme="majorHAnsi" w:hAnsiTheme="majorHAnsi"/>
          <w:bCs/>
          <w:sz w:val="20"/>
          <w:szCs w:val="20"/>
          <w:lang w:val="es-ES_tradnl"/>
        </w:rPr>
        <w:t>despedido</w:t>
      </w:r>
      <w:r w:rsidR="00B22F80" w:rsidRPr="00066E7D">
        <w:rPr>
          <w:rFonts w:asciiTheme="majorHAnsi" w:hAnsiTheme="majorHAnsi"/>
          <w:bCs/>
          <w:sz w:val="20"/>
          <w:szCs w:val="20"/>
          <w:lang w:val="es-ES_tradnl"/>
        </w:rPr>
        <w:t xml:space="preserve"> a pesar de </w:t>
      </w:r>
      <w:r w:rsidR="00BB0DE3" w:rsidRPr="00066E7D">
        <w:rPr>
          <w:rFonts w:asciiTheme="majorHAnsi" w:hAnsiTheme="majorHAnsi"/>
          <w:bCs/>
          <w:sz w:val="20"/>
          <w:szCs w:val="20"/>
          <w:lang w:val="es-ES_tradnl"/>
        </w:rPr>
        <w:t>su</w:t>
      </w:r>
      <w:r w:rsidR="00B22F80" w:rsidRPr="00066E7D">
        <w:rPr>
          <w:rFonts w:asciiTheme="majorHAnsi" w:hAnsiTheme="majorHAnsi"/>
          <w:bCs/>
          <w:sz w:val="20"/>
          <w:szCs w:val="20"/>
          <w:lang w:val="es-ES_tradnl"/>
        </w:rPr>
        <w:t xml:space="preserve"> </w:t>
      </w:r>
      <w:r w:rsidR="00030D7A" w:rsidRPr="00066E7D">
        <w:rPr>
          <w:rFonts w:asciiTheme="majorHAnsi" w:hAnsiTheme="majorHAnsi"/>
          <w:bCs/>
          <w:sz w:val="20"/>
          <w:szCs w:val="20"/>
          <w:lang w:val="es-ES_tradnl"/>
        </w:rPr>
        <w:t>fuero sindical.</w:t>
      </w:r>
      <w:r w:rsidR="006411CB" w:rsidRPr="00066E7D">
        <w:rPr>
          <w:rFonts w:ascii="Cambria" w:hAnsi="Cambria"/>
          <w:bCs/>
          <w:sz w:val="20"/>
          <w:szCs w:val="20"/>
          <w:lang w:val="es-ES_tradnl"/>
        </w:rPr>
        <w:t xml:space="preserve"> </w:t>
      </w:r>
    </w:p>
    <w:p w14:paraId="625F6FAD" w14:textId="3917F7ED" w:rsidR="009C629E" w:rsidRPr="00066E7D" w:rsidRDefault="006C67DA" w:rsidP="007469AF">
      <w:pPr>
        <w:spacing w:before="240" w:after="240"/>
        <w:ind w:firstLine="720"/>
        <w:jc w:val="both"/>
        <w:rPr>
          <w:rFonts w:asciiTheme="majorHAnsi" w:hAnsiTheme="majorHAnsi"/>
          <w:bCs/>
          <w:sz w:val="20"/>
          <w:szCs w:val="20"/>
          <w:lang w:val="es-ES_tradnl"/>
        </w:rPr>
      </w:pPr>
      <w:r w:rsidRPr="00066E7D">
        <w:rPr>
          <w:rFonts w:asciiTheme="majorHAnsi" w:hAnsiTheme="majorHAnsi"/>
          <w:bCs/>
          <w:sz w:val="20"/>
          <w:szCs w:val="20"/>
          <w:lang w:val="es-ES_tradnl"/>
        </w:rPr>
        <w:t>2</w:t>
      </w:r>
      <w:r w:rsidR="00A07158" w:rsidRPr="00066E7D">
        <w:rPr>
          <w:rFonts w:asciiTheme="majorHAnsi" w:hAnsiTheme="majorHAnsi"/>
          <w:bCs/>
          <w:sz w:val="20"/>
          <w:szCs w:val="20"/>
          <w:lang w:val="es-ES_tradnl"/>
        </w:rPr>
        <w:t>.</w:t>
      </w:r>
      <w:r w:rsidR="00A07158" w:rsidRPr="00066E7D">
        <w:rPr>
          <w:rFonts w:asciiTheme="majorHAnsi" w:hAnsiTheme="majorHAnsi"/>
          <w:bCs/>
          <w:sz w:val="20"/>
          <w:szCs w:val="20"/>
          <w:lang w:val="es-ES_tradnl"/>
        </w:rPr>
        <w:tab/>
        <w:t xml:space="preserve">El </w:t>
      </w:r>
      <w:r w:rsidR="00BB0DE3" w:rsidRPr="00066E7D">
        <w:rPr>
          <w:rFonts w:asciiTheme="majorHAnsi" w:hAnsiTheme="majorHAnsi"/>
          <w:bCs/>
          <w:sz w:val="20"/>
          <w:szCs w:val="20"/>
          <w:lang w:val="es-ES_tradnl"/>
        </w:rPr>
        <w:t xml:space="preserve">peticionario narra que el </w:t>
      </w:r>
      <w:r w:rsidR="00A07158" w:rsidRPr="00066E7D">
        <w:rPr>
          <w:rFonts w:asciiTheme="majorHAnsi" w:hAnsiTheme="majorHAnsi"/>
          <w:bCs/>
          <w:sz w:val="20"/>
          <w:szCs w:val="20"/>
          <w:lang w:val="es-ES_tradnl"/>
        </w:rPr>
        <w:t>27 de junio de 1999, habría sido despedido injustamente de la Caja</w:t>
      </w:r>
      <w:r w:rsidR="009A2914" w:rsidRPr="00066E7D">
        <w:rPr>
          <w:rFonts w:asciiTheme="majorHAnsi" w:hAnsiTheme="majorHAnsi"/>
          <w:bCs/>
          <w:sz w:val="20"/>
          <w:szCs w:val="20"/>
          <w:lang w:val="es-ES_tradnl"/>
        </w:rPr>
        <w:t xml:space="preserve"> de </w:t>
      </w:r>
      <w:r w:rsidR="006411CB" w:rsidRPr="00066E7D">
        <w:rPr>
          <w:rFonts w:asciiTheme="majorHAnsi" w:hAnsiTheme="majorHAnsi"/>
          <w:bCs/>
          <w:sz w:val="20"/>
          <w:szCs w:val="20"/>
          <w:lang w:val="es-ES_tradnl"/>
        </w:rPr>
        <w:t xml:space="preserve">Agraria </w:t>
      </w:r>
      <w:r w:rsidR="00132ACE" w:rsidRPr="00066E7D">
        <w:rPr>
          <w:rFonts w:asciiTheme="majorHAnsi" w:hAnsiTheme="majorHAnsi"/>
          <w:bCs/>
          <w:sz w:val="20"/>
          <w:szCs w:val="20"/>
          <w:lang w:val="es-ES_tradnl"/>
        </w:rPr>
        <w:t xml:space="preserve">a </w:t>
      </w:r>
      <w:r w:rsidR="00B22F80" w:rsidRPr="00066E7D">
        <w:rPr>
          <w:rFonts w:asciiTheme="majorHAnsi" w:hAnsiTheme="majorHAnsi"/>
          <w:bCs/>
          <w:sz w:val="20"/>
          <w:szCs w:val="20"/>
          <w:lang w:val="es-ES_tradnl"/>
        </w:rPr>
        <w:t>través</w:t>
      </w:r>
      <w:r w:rsidR="00B231EC" w:rsidRPr="00066E7D">
        <w:rPr>
          <w:rFonts w:asciiTheme="majorHAnsi" w:hAnsiTheme="majorHAnsi"/>
          <w:bCs/>
          <w:sz w:val="20"/>
          <w:szCs w:val="20"/>
          <w:lang w:val="es-ES_tradnl"/>
        </w:rPr>
        <w:t xml:space="preserve"> del Decreto 1065</w:t>
      </w:r>
      <w:r w:rsidR="00350DCB" w:rsidRPr="00066E7D">
        <w:rPr>
          <w:rFonts w:asciiTheme="majorHAnsi" w:hAnsiTheme="majorHAnsi"/>
          <w:bCs/>
          <w:sz w:val="20"/>
          <w:szCs w:val="20"/>
          <w:lang w:val="es-ES_tradnl"/>
        </w:rPr>
        <w:t xml:space="preserve"> </w:t>
      </w:r>
      <w:r w:rsidR="00B8587B" w:rsidRPr="00066E7D">
        <w:rPr>
          <w:rFonts w:asciiTheme="majorHAnsi" w:hAnsiTheme="majorHAnsi"/>
          <w:bCs/>
          <w:sz w:val="20"/>
          <w:szCs w:val="20"/>
          <w:lang w:val="es-ES_tradnl"/>
        </w:rPr>
        <w:t xml:space="preserve">de </w:t>
      </w:r>
      <w:r w:rsidR="00132ACE" w:rsidRPr="00066E7D">
        <w:rPr>
          <w:rFonts w:asciiTheme="majorHAnsi" w:hAnsiTheme="majorHAnsi"/>
          <w:bCs/>
          <w:sz w:val="20"/>
          <w:szCs w:val="20"/>
          <w:lang w:val="es-ES_tradnl"/>
        </w:rPr>
        <w:t>1999,</w:t>
      </w:r>
      <w:r w:rsidR="00B8587B" w:rsidRPr="00066E7D">
        <w:rPr>
          <w:rFonts w:asciiTheme="majorHAnsi" w:hAnsiTheme="majorHAnsi"/>
          <w:bCs/>
          <w:sz w:val="20"/>
          <w:szCs w:val="20"/>
          <w:lang w:val="es-ES_tradnl"/>
        </w:rPr>
        <w:t xml:space="preserve"> </w:t>
      </w:r>
      <w:r w:rsidR="00B231EC" w:rsidRPr="00066E7D">
        <w:rPr>
          <w:rFonts w:asciiTheme="majorHAnsi" w:hAnsiTheme="majorHAnsi"/>
          <w:bCs/>
          <w:sz w:val="20"/>
          <w:szCs w:val="20"/>
          <w:lang w:val="es-ES_tradnl"/>
        </w:rPr>
        <w:t xml:space="preserve">que </w:t>
      </w:r>
      <w:r w:rsidR="00B8587B" w:rsidRPr="00066E7D">
        <w:rPr>
          <w:rFonts w:asciiTheme="majorHAnsi" w:hAnsiTheme="majorHAnsi"/>
          <w:bCs/>
          <w:sz w:val="20"/>
          <w:szCs w:val="20"/>
          <w:lang w:val="es-ES_tradnl"/>
        </w:rPr>
        <w:t>estableció la liquidación de la empresa y</w:t>
      </w:r>
      <w:r w:rsidR="00A07158" w:rsidRPr="00066E7D">
        <w:rPr>
          <w:rFonts w:asciiTheme="majorHAnsi" w:hAnsiTheme="majorHAnsi"/>
          <w:bCs/>
          <w:sz w:val="20"/>
          <w:szCs w:val="20"/>
          <w:lang w:val="es-ES_tradnl"/>
        </w:rPr>
        <w:t xml:space="preserve"> su cierre</w:t>
      </w:r>
      <w:r w:rsidR="00132ACE" w:rsidRPr="00066E7D">
        <w:rPr>
          <w:rFonts w:asciiTheme="majorHAnsi" w:hAnsiTheme="majorHAnsi"/>
          <w:bCs/>
          <w:sz w:val="20"/>
          <w:szCs w:val="20"/>
          <w:lang w:val="es-ES_tradnl"/>
        </w:rPr>
        <w:t xml:space="preserve">, a pesar de estar </w:t>
      </w:r>
      <w:r w:rsidR="00350DCB" w:rsidRPr="00066E7D">
        <w:rPr>
          <w:rFonts w:asciiTheme="majorHAnsi" w:hAnsiTheme="majorHAnsi"/>
          <w:bCs/>
          <w:sz w:val="20"/>
          <w:szCs w:val="20"/>
          <w:lang w:val="es-ES_tradnl"/>
        </w:rPr>
        <w:t>amparado por el fuero sindical</w:t>
      </w:r>
      <w:r w:rsidR="00132ACE" w:rsidRPr="00066E7D">
        <w:rPr>
          <w:rFonts w:asciiTheme="majorHAnsi" w:hAnsiTheme="majorHAnsi"/>
          <w:bCs/>
          <w:sz w:val="20"/>
          <w:szCs w:val="20"/>
          <w:lang w:val="es-ES_tradnl"/>
        </w:rPr>
        <w:t>,</w:t>
      </w:r>
      <w:r w:rsidR="00350DCB" w:rsidRPr="00066E7D">
        <w:rPr>
          <w:rFonts w:asciiTheme="majorHAnsi" w:hAnsiTheme="majorHAnsi"/>
          <w:bCs/>
          <w:sz w:val="20"/>
          <w:szCs w:val="20"/>
          <w:lang w:val="es-ES_tradnl"/>
        </w:rPr>
        <w:t xml:space="preserve"> </w:t>
      </w:r>
      <w:r w:rsidR="001F2D96" w:rsidRPr="00066E7D">
        <w:rPr>
          <w:rFonts w:asciiTheme="majorHAnsi" w:hAnsiTheme="majorHAnsi"/>
          <w:bCs/>
          <w:sz w:val="20"/>
          <w:szCs w:val="20"/>
          <w:lang w:val="es-ES_tradnl"/>
        </w:rPr>
        <w:t xml:space="preserve">garantía </w:t>
      </w:r>
      <w:r w:rsidR="00BB1E43" w:rsidRPr="00066E7D">
        <w:rPr>
          <w:rFonts w:asciiTheme="majorHAnsi" w:hAnsiTheme="majorHAnsi"/>
          <w:bCs/>
          <w:sz w:val="20"/>
          <w:szCs w:val="20"/>
          <w:lang w:val="es-ES_tradnl"/>
        </w:rPr>
        <w:t xml:space="preserve">de la </w:t>
      </w:r>
      <w:r w:rsidR="001F2D96" w:rsidRPr="00066E7D">
        <w:rPr>
          <w:rFonts w:asciiTheme="majorHAnsi" w:hAnsiTheme="majorHAnsi"/>
          <w:bCs/>
          <w:sz w:val="20"/>
          <w:szCs w:val="20"/>
          <w:lang w:val="es-ES_tradnl"/>
        </w:rPr>
        <w:t xml:space="preserve">que gozan algunos trabajadores </w:t>
      </w:r>
      <w:r w:rsidR="007469AF" w:rsidRPr="00066E7D">
        <w:rPr>
          <w:rFonts w:asciiTheme="majorHAnsi" w:hAnsiTheme="majorHAnsi"/>
          <w:bCs/>
          <w:sz w:val="20"/>
          <w:szCs w:val="20"/>
          <w:lang w:val="es-ES_tradnl"/>
        </w:rPr>
        <w:t>de no ser despedidos sin justa causa, previamente califica</w:t>
      </w:r>
      <w:r w:rsidR="0044126B" w:rsidRPr="00066E7D">
        <w:rPr>
          <w:rFonts w:asciiTheme="majorHAnsi" w:hAnsiTheme="majorHAnsi"/>
          <w:bCs/>
          <w:sz w:val="20"/>
          <w:szCs w:val="20"/>
          <w:lang w:val="es-ES_tradnl"/>
        </w:rPr>
        <w:t>ción</w:t>
      </w:r>
      <w:r w:rsidR="007469AF" w:rsidRPr="00066E7D">
        <w:rPr>
          <w:rFonts w:asciiTheme="majorHAnsi" w:hAnsiTheme="majorHAnsi"/>
          <w:bCs/>
          <w:sz w:val="20"/>
          <w:szCs w:val="20"/>
          <w:lang w:val="es-ES_tradnl"/>
        </w:rPr>
        <w:t xml:space="preserve"> </w:t>
      </w:r>
      <w:r w:rsidR="0044126B" w:rsidRPr="00066E7D">
        <w:rPr>
          <w:rFonts w:asciiTheme="majorHAnsi" w:hAnsiTheme="majorHAnsi"/>
          <w:bCs/>
          <w:sz w:val="20"/>
          <w:szCs w:val="20"/>
          <w:lang w:val="es-ES_tradnl"/>
        </w:rPr>
        <w:t>de</w:t>
      </w:r>
      <w:r w:rsidR="007469AF" w:rsidRPr="00066E7D">
        <w:rPr>
          <w:rFonts w:asciiTheme="majorHAnsi" w:hAnsiTheme="majorHAnsi"/>
          <w:bCs/>
          <w:sz w:val="20"/>
          <w:szCs w:val="20"/>
          <w:lang w:val="es-ES_tradnl"/>
        </w:rPr>
        <w:t xml:space="preserve"> </w:t>
      </w:r>
      <w:r w:rsidR="0044126B" w:rsidRPr="00066E7D">
        <w:rPr>
          <w:rFonts w:asciiTheme="majorHAnsi" w:hAnsiTheme="majorHAnsi"/>
          <w:bCs/>
          <w:sz w:val="20"/>
          <w:szCs w:val="20"/>
          <w:lang w:val="es-ES_tradnl"/>
        </w:rPr>
        <w:t xml:space="preserve">un </w:t>
      </w:r>
      <w:r w:rsidR="007469AF" w:rsidRPr="00066E7D">
        <w:rPr>
          <w:rFonts w:asciiTheme="majorHAnsi" w:hAnsiTheme="majorHAnsi"/>
          <w:bCs/>
          <w:sz w:val="20"/>
          <w:szCs w:val="20"/>
          <w:lang w:val="es-ES_tradnl"/>
        </w:rPr>
        <w:t>juez de trabajo.</w:t>
      </w:r>
      <w:r w:rsidR="004261A0" w:rsidRPr="00066E7D">
        <w:rPr>
          <w:rFonts w:asciiTheme="majorHAnsi" w:hAnsiTheme="majorHAnsi"/>
          <w:bCs/>
          <w:sz w:val="20"/>
          <w:szCs w:val="20"/>
          <w:lang w:val="es-ES_tradnl"/>
        </w:rPr>
        <w:t xml:space="preserve"> </w:t>
      </w:r>
      <w:r w:rsidR="00130095" w:rsidRPr="00066E7D">
        <w:rPr>
          <w:rFonts w:asciiTheme="majorHAnsi" w:hAnsiTheme="majorHAnsi"/>
          <w:bCs/>
          <w:sz w:val="20"/>
          <w:szCs w:val="20"/>
          <w:lang w:val="es-ES_tradnl"/>
        </w:rPr>
        <w:t>Por lo tanto, p</w:t>
      </w:r>
      <w:r w:rsidR="004261A0" w:rsidRPr="00066E7D">
        <w:rPr>
          <w:rFonts w:asciiTheme="majorHAnsi" w:hAnsiTheme="majorHAnsi"/>
          <w:bCs/>
          <w:sz w:val="20"/>
          <w:szCs w:val="20"/>
          <w:lang w:val="es-ES_tradnl"/>
        </w:rPr>
        <w:t xml:space="preserve">resentó una demanda de reintegro que fue resuelta </w:t>
      </w:r>
      <w:r w:rsidR="00130095" w:rsidRPr="00066E7D">
        <w:rPr>
          <w:rFonts w:asciiTheme="majorHAnsi" w:hAnsiTheme="majorHAnsi"/>
          <w:bCs/>
          <w:sz w:val="20"/>
          <w:szCs w:val="20"/>
          <w:lang w:val="es-ES_tradnl"/>
        </w:rPr>
        <w:t xml:space="preserve">favorablemente </w:t>
      </w:r>
      <w:r w:rsidR="004261A0" w:rsidRPr="00066E7D">
        <w:rPr>
          <w:rFonts w:asciiTheme="majorHAnsi" w:hAnsiTheme="majorHAnsi"/>
          <w:bCs/>
          <w:sz w:val="20"/>
          <w:szCs w:val="20"/>
          <w:lang w:val="es-ES_tradnl"/>
        </w:rPr>
        <w:t>por el Juzgado Séptimo Laboral de Bogotá el 29 de noviembre de</w:t>
      </w:r>
      <w:r w:rsidR="00AB3CAF" w:rsidRPr="00066E7D">
        <w:rPr>
          <w:rFonts w:asciiTheme="majorHAnsi" w:hAnsiTheme="majorHAnsi"/>
          <w:bCs/>
          <w:sz w:val="20"/>
          <w:szCs w:val="20"/>
          <w:lang w:val="es-ES_tradnl"/>
        </w:rPr>
        <w:t>l</w:t>
      </w:r>
      <w:r w:rsidR="004261A0" w:rsidRPr="00066E7D">
        <w:rPr>
          <w:rFonts w:asciiTheme="majorHAnsi" w:hAnsiTheme="majorHAnsi"/>
          <w:bCs/>
          <w:sz w:val="20"/>
          <w:szCs w:val="20"/>
          <w:lang w:val="es-ES_tradnl"/>
        </w:rPr>
        <w:t xml:space="preserve"> 2000, y que fue ratificada el 13 de julio de 2001 por el Tribunal Superior de Bogotá.</w:t>
      </w:r>
      <w:r w:rsidR="009A1319" w:rsidRPr="00066E7D">
        <w:rPr>
          <w:rFonts w:asciiTheme="majorHAnsi" w:hAnsiTheme="majorHAnsi"/>
          <w:bCs/>
          <w:sz w:val="20"/>
          <w:szCs w:val="20"/>
          <w:lang w:val="es-ES_tradnl"/>
        </w:rPr>
        <w:t xml:space="preserve"> Sin embargo, la Caja Agraria expidió la </w:t>
      </w:r>
      <w:r w:rsidR="008A50CC" w:rsidRPr="00066E7D">
        <w:rPr>
          <w:rFonts w:asciiTheme="majorHAnsi" w:hAnsiTheme="majorHAnsi"/>
          <w:bCs/>
          <w:sz w:val="20"/>
          <w:szCs w:val="20"/>
          <w:lang w:val="es-ES_tradnl"/>
        </w:rPr>
        <w:t>r</w:t>
      </w:r>
      <w:r w:rsidR="009A1319" w:rsidRPr="00066E7D">
        <w:rPr>
          <w:rFonts w:asciiTheme="majorHAnsi" w:hAnsiTheme="majorHAnsi"/>
          <w:bCs/>
          <w:sz w:val="20"/>
          <w:szCs w:val="20"/>
          <w:lang w:val="es-ES_tradnl"/>
        </w:rPr>
        <w:t xml:space="preserve">esolución 2875 del 28 de junio de 2002, mediante la </w:t>
      </w:r>
      <w:r w:rsidR="0087014B" w:rsidRPr="00066E7D">
        <w:rPr>
          <w:rFonts w:asciiTheme="majorHAnsi" w:hAnsiTheme="majorHAnsi"/>
          <w:bCs/>
          <w:sz w:val="20"/>
          <w:szCs w:val="20"/>
          <w:lang w:val="es-ES_tradnl"/>
        </w:rPr>
        <w:t>cual</w:t>
      </w:r>
      <w:r w:rsidR="009A1319" w:rsidRPr="00066E7D">
        <w:rPr>
          <w:rFonts w:asciiTheme="majorHAnsi" w:hAnsiTheme="majorHAnsi"/>
          <w:bCs/>
          <w:sz w:val="20"/>
          <w:szCs w:val="20"/>
          <w:lang w:val="es-ES_tradnl"/>
        </w:rPr>
        <w:t xml:space="preserve"> declaró unilateralmente la imposibilidad de </w:t>
      </w:r>
      <w:r w:rsidR="005C7E51" w:rsidRPr="00066E7D">
        <w:rPr>
          <w:rFonts w:asciiTheme="majorHAnsi" w:hAnsiTheme="majorHAnsi"/>
          <w:bCs/>
          <w:sz w:val="20"/>
          <w:szCs w:val="20"/>
          <w:lang w:val="es-ES_tradnl"/>
        </w:rPr>
        <w:t>reintegro, y ordenó el pago de los salarios</w:t>
      </w:r>
      <w:r w:rsidR="00E21FDC" w:rsidRPr="00066E7D">
        <w:rPr>
          <w:rFonts w:asciiTheme="majorHAnsi" w:hAnsiTheme="majorHAnsi"/>
          <w:bCs/>
          <w:sz w:val="20"/>
          <w:szCs w:val="20"/>
          <w:lang w:val="es-ES_tradnl"/>
        </w:rPr>
        <w:t xml:space="preserve"> sin ningún aumento</w:t>
      </w:r>
      <w:r w:rsidR="0087014B" w:rsidRPr="00066E7D">
        <w:rPr>
          <w:rFonts w:asciiTheme="majorHAnsi" w:hAnsiTheme="majorHAnsi"/>
          <w:bCs/>
          <w:sz w:val="20"/>
          <w:szCs w:val="20"/>
          <w:lang w:val="es-ES_tradnl"/>
        </w:rPr>
        <w:t xml:space="preserve">. </w:t>
      </w:r>
    </w:p>
    <w:p w14:paraId="15C5251D" w14:textId="4BE0428F" w:rsidR="00157EE7" w:rsidRPr="00066E7D" w:rsidRDefault="006C67DA" w:rsidP="000160D7">
      <w:pPr>
        <w:spacing w:before="240" w:after="240"/>
        <w:ind w:firstLine="720"/>
        <w:jc w:val="both"/>
        <w:rPr>
          <w:rFonts w:asciiTheme="majorHAnsi" w:hAnsiTheme="majorHAnsi"/>
          <w:bCs/>
          <w:sz w:val="20"/>
          <w:szCs w:val="20"/>
          <w:lang w:val="es-ES_tradnl"/>
        </w:rPr>
      </w:pPr>
      <w:r w:rsidRPr="00066E7D">
        <w:rPr>
          <w:rFonts w:asciiTheme="majorHAnsi" w:hAnsiTheme="majorHAnsi"/>
          <w:bCs/>
          <w:sz w:val="20"/>
          <w:szCs w:val="20"/>
          <w:lang w:val="es-ES_tradnl"/>
        </w:rPr>
        <w:t>3</w:t>
      </w:r>
      <w:r w:rsidR="009C629E" w:rsidRPr="00066E7D">
        <w:rPr>
          <w:rFonts w:asciiTheme="majorHAnsi" w:hAnsiTheme="majorHAnsi"/>
          <w:bCs/>
          <w:sz w:val="20"/>
          <w:szCs w:val="20"/>
          <w:lang w:val="es-ES_tradnl"/>
        </w:rPr>
        <w:t>.</w:t>
      </w:r>
      <w:r w:rsidR="009C629E" w:rsidRPr="00066E7D">
        <w:rPr>
          <w:rFonts w:asciiTheme="majorHAnsi" w:hAnsiTheme="majorHAnsi"/>
          <w:bCs/>
          <w:sz w:val="20"/>
          <w:szCs w:val="20"/>
          <w:lang w:val="es-ES_tradnl"/>
        </w:rPr>
        <w:tab/>
        <w:t>Ante el incumplimiento de la decisión</w:t>
      </w:r>
      <w:r w:rsidR="000160D7" w:rsidRPr="00066E7D">
        <w:rPr>
          <w:rFonts w:asciiTheme="majorHAnsi" w:hAnsiTheme="majorHAnsi"/>
          <w:bCs/>
          <w:sz w:val="20"/>
          <w:szCs w:val="20"/>
          <w:lang w:val="es-ES_tradnl"/>
        </w:rPr>
        <w:t xml:space="preserve"> del </w:t>
      </w:r>
      <w:r w:rsidR="007E4132" w:rsidRPr="00066E7D">
        <w:rPr>
          <w:rFonts w:asciiTheme="majorHAnsi" w:hAnsiTheme="majorHAnsi"/>
          <w:bCs/>
          <w:sz w:val="20"/>
          <w:szCs w:val="20"/>
          <w:lang w:val="es-ES_tradnl"/>
        </w:rPr>
        <w:t xml:space="preserve">13 de julio de 2001 de </w:t>
      </w:r>
      <w:r w:rsidR="000160D7" w:rsidRPr="00066E7D">
        <w:rPr>
          <w:rFonts w:asciiTheme="majorHAnsi" w:hAnsiTheme="majorHAnsi"/>
          <w:bCs/>
          <w:sz w:val="20"/>
          <w:szCs w:val="20"/>
          <w:lang w:val="es-ES_tradnl"/>
        </w:rPr>
        <w:t>Tribunal Superior de Bogotá</w:t>
      </w:r>
      <w:r w:rsidR="009C629E" w:rsidRPr="00066E7D">
        <w:rPr>
          <w:rFonts w:asciiTheme="majorHAnsi" w:hAnsiTheme="majorHAnsi"/>
          <w:bCs/>
          <w:sz w:val="20"/>
          <w:szCs w:val="20"/>
          <w:lang w:val="es-ES_tradnl"/>
        </w:rPr>
        <w:t xml:space="preserve">, </w:t>
      </w:r>
      <w:r w:rsidR="0087014B" w:rsidRPr="00066E7D">
        <w:rPr>
          <w:rFonts w:asciiTheme="majorHAnsi" w:hAnsiTheme="majorHAnsi"/>
          <w:bCs/>
          <w:sz w:val="20"/>
          <w:szCs w:val="20"/>
          <w:lang w:val="es-ES_tradnl"/>
        </w:rPr>
        <w:t xml:space="preserve">presentó una acción de tutela </w:t>
      </w:r>
      <w:r w:rsidR="009C629E" w:rsidRPr="00066E7D">
        <w:rPr>
          <w:rFonts w:asciiTheme="majorHAnsi" w:hAnsiTheme="majorHAnsi"/>
          <w:bCs/>
          <w:sz w:val="20"/>
          <w:szCs w:val="20"/>
          <w:lang w:val="es-ES_tradnl"/>
        </w:rPr>
        <w:t>que fue revisada</w:t>
      </w:r>
      <w:r w:rsidR="00C269EF" w:rsidRPr="00066E7D">
        <w:rPr>
          <w:rFonts w:asciiTheme="majorHAnsi" w:hAnsiTheme="majorHAnsi"/>
          <w:bCs/>
          <w:sz w:val="20"/>
          <w:szCs w:val="20"/>
          <w:lang w:val="es-ES_tradnl"/>
        </w:rPr>
        <w:t xml:space="preserve"> </w:t>
      </w:r>
      <w:r w:rsidR="000160D7" w:rsidRPr="00066E7D">
        <w:rPr>
          <w:rFonts w:asciiTheme="majorHAnsi" w:hAnsiTheme="majorHAnsi"/>
          <w:bCs/>
          <w:sz w:val="20"/>
          <w:szCs w:val="20"/>
          <w:lang w:val="es-ES_tradnl"/>
        </w:rPr>
        <w:t xml:space="preserve">en última instancia por </w:t>
      </w:r>
      <w:r w:rsidR="00C269EF" w:rsidRPr="00066E7D">
        <w:rPr>
          <w:rFonts w:asciiTheme="majorHAnsi" w:hAnsiTheme="majorHAnsi"/>
          <w:bCs/>
          <w:sz w:val="20"/>
          <w:szCs w:val="20"/>
          <w:lang w:val="es-ES_tradnl"/>
        </w:rPr>
        <w:t xml:space="preserve">la Corte Constitucional, </w:t>
      </w:r>
      <w:r w:rsidR="007E4132" w:rsidRPr="00066E7D">
        <w:rPr>
          <w:rFonts w:asciiTheme="majorHAnsi" w:hAnsiTheme="majorHAnsi"/>
          <w:bCs/>
          <w:sz w:val="20"/>
          <w:szCs w:val="20"/>
          <w:lang w:val="es-ES_tradnl"/>
        </w:rPr>
        <w:t xml:space="preserve">y </w:t>
      </w:r>
      <w:r w:rsidR="007761FA" w:rsidRPr="00066E7D">
        <w:rPr>
          <w:rFonts w:asciiTheme="majorHAnsi" w:hAnsiTheme="majorHAnsi"/>
          <w:bCs/>
          <w:sz w:val="20"/>
          <w:szCs w:val="20"/>
          <w:lang w:val="es-ES_tradnl"/>
        </w:rPr>
        <w:t xml:space="preserve">que ordenó </w:t>
      </w:r>
      <w:r w:rsidR="000160D7" w:rsidRPr="00066E7D">
        <w:rPr>
          <w:rFonts w:asciiTheme="majorHAnsi" w:hAnsiTheme="majorHAnsi"/>
          <w:bCs/>
          <w:sz w:val="20"/>
          <w:szCs w:val="20"/>
          <w:lang w:val="es-ES_tradnl"/>
        </w:rPr>
        <w:t xml:space="preserve">el 4 de abril de 2005 </w:t>
      </w:r>
      <w:r w:rsidR="007761FA" w:rsidRPr="00066E7D">
        <w:rPr>
          <w:rFonts w:asciiTheme="majorHAnsi" w:hAnsiTheme="majorHAnsi"/>
          <w:bCs/>
          <w:sz w:val="20"/>
          <w:szCs w:val="20"/>
          <w:lang w:val="es-ES_tradnl"/>
        </w:rPr>
        <w:t xml:space="preserve">a la Caja Agraria </w:t>
      </w:r>
      <w:r w:rsidR="000160D7" w:rsidRPr="00066E7D">
        <w:rPr>
          <w:rFonts w:asciiTheme="majorHAnsi" w:hAnsiTheme="majorHAnsi"/>
          <w:bCs/>
          <w:sz w:val="20"/>
          <w:szCs w:val="20"/>
          <w:lang w:val="es-ES_tradnl"/>
        </w:rPr>
        <w:t>el cumplimiento del fallo</w:t>
      </w:r>
      <w:r w:rsidR="007761FA" w:rsidRPr="00066E7D">
        <w:rPr>
          <w:rFonts w:asciiTheme="majorHAnsi" w:hAnsiTheme="majorHAnsi"/>
          <w:bCs/>
          <w:sz w:val="20"/>
          <w:szCs w:val="20"/>
          <w:lang w:val="es-ES_tradnl"/>
        </w:rPr>
        <w:t>.</w:t>
      </w:r>
      <w:r w:rsidR="001B5D8C" w:rsidRPr="00066E7D">
        <w:rPr>
          <w:rFonts w:asciiTheme="majorHAnsi" w:hAnsiTheme="majorHAnsi"/>
          <w:bCs/>
          <w:sz w:val="20"/>
          <w:szCs w:val="20"/>
          <w:lang w:val="es-ES_tradnl"/>
        </w:rPr>
        <w:t xml:space="preserve"> Añade que la </w:t>
      </w:r>
      <w:r w:rsidR="007E4132" w:rsidRPr="00066E7D">
        <w:rPr>
          <w:rFonts w:asciiTheme="majorHAnsi" w:hAnsiTheme="majorHAnsi"/>
          <w:bCs/>
          <w:sz w:val="20"/>
          <w:szCs w:val="20"/>
          <w:lang w:val="es-ES_tradnl"/>
        </w:rPr>
        <w:t>Caja Agraria</w:t>
      </w:r>
      <w:r w:rsidR="001B5D8C" w:rsidRPr="00066E7D">
        <w:rPr>
          <w:rFonts w:asciiTheme="majorHAnsi" w:hAnsiTheme="majorHAnsi"/>
          <w:bCs/>
          <w:sz w:val="20"/>
          <w:szCs w:val="20"/>
          <w:lang w:val="es-ES_tradnl"/>
        </w:rPr>
        <w:t xml:space="preserve"> para no reintegrarlo inició un proceso ordinario laboral, con el fin de demostrar la imposibilidad del reintegro, decisión que fue resuelta por el Juzgado Segundo de Manizales</w:t>
      </w:r>
      <w:r w:rsidR="005E7AD9" w:rsidRPr="00066E7D">
        <w:rPr>
          <w:rFonts w:asciiTheme="majorHAnsi" w:hAnsiTheme="majorHAnsi"/>
          <w:bCs/>
          <w:sz w:val="20"/>
          <w:szCs w:val="20"/>
          <w:lang w:val="es-ES_tradnl"/>
        </w:rPr>
        <w:t xml:space="preserve"> el 20 de </w:t>
      </w:r>
      <w:r w:rsidR="006D67A8" w:rsidRPr="00066E7D">
        <w:rPr>
          <w:rFonts w:asciiTheme="majorHAnsi" w:hAnsiTheme="majorHAnsi"/>
          <w:bCs/>
          <w:sz w:val="20"/>
          <w:szCs w:val="20"/>
          <w:lang w:val="es-ES_tradnl"/>
        </w:rPr>
        <w:t xml:space="preserve">abril de </w:t>
      </w:r>
      <w:r w:rsidR="005E7AD9" w:rsidRPr="00066E7D">
        <w:rPr>
          <w:rFonts w:asciiTheme="majorHAnsi" w:hAnsiTheme="majorHAnsi"/>
          <w:bCs/>
          <w:sz w:val="20"/>
          <w:szCs w:val="20"/>
          <w:lang w:val="es-ES_tradnl"/>
        </w:rPr>
        <w:t>2007, y mediante la cual se absolvió a la presunta víctima de todas las reclamaciones, y se condenó en costas a la Caja Agraria</w:t>
      </w:r>
      <w:r w:rsidR="001E671C" w:rsidRPr="00066E7D">
        <w:rPr>
          <w:rFonts w:asciiTheme="majorHAnsi" w:hAnsiTheme="majorHAnsi"/>
          <w:bCs/>
          <w:sz w:val="20"/>
          <w:szCs w:val="20"/>
          <w:lang w:val="es-ES_tradnl"/>
        </w:rPr>
        <w:t>, demostrando que no hay imposibilidad para que se constituya el reintegro</w:t>
      </w:r>
      <w:r w:rsidR="00592D83" w:rsidRPr="00066E7D">
        <w:rPr>
          <w:rFonts w:asciiTheme="majorHAnsi" w:hAnsiTheme="majorHAnsi"/>
          <w:bCs/>
          <w:sz w:val="20"/>
          <w:szCs w:val="20"/>
          <w:lang w:val="es-ES_tradnl"/>
        </w:rPr>
        <w:t>, porque “</w:t>
      </w:r>
      <w:r w:rsidR="00592D83" w:rsidRPr="00066E7D">
        <w:rPr>
          <w:rFonts w:asciiTheme="majorHAnsi" w:hAnsiTheme="majorHAnsi"/>
          <w:bCs/>
          <w:i/>
          <w:iCs/>
          <w:sz w:val="20"/>
          <w:szCs w:val="20"/>
          <w:lang w:val="es-ES_tradnl"/>
        </w:rPr>
        <w:t>en aras de la autonomía de la voluntad del demandado […] es el trabajador el llamado a determinar cuando entra a disfrutar de su pensión</w:t>
      </w:r>
      <w:r w:rsidR="00592D83" w:rsidRPr="00066E7D">
        <w:rPr>
          <w:rFonts w:asciiTheme="majorHAnsi" w:hAnsiTheme="majorHAnsi"/>
          <w:bCs/>
          <w:sz w:val="20"/>
          <w:szCs w:val="20"/>
          <w:lang w:val="es-ES_tradnl"/>
        </w:rPr>
        <w:t>”</w:t>
      </w:r>
      <w:r w:rsidR="005F0060" w:rsidRPr="00066E7D">
        <w:rPr>
          <w:rFonts w:asciiTheme="majorHAnsi" w:hAnsiTheme="majorHAnsi"/>
          <w:bCs/>
          <w:sz w:val="20"/>
          <w:szCs w:val="20"/>
          <w:lang w:val="es-ES_tradnl"/>
        </w:rPr>
        <w:t xml:space="preserve">. Señala que solicitó la pensión por riesgos de salud, </w:t>
      </w:r>
      <w:r w:rsidR="00361D68" w:rsidRPr="00066E7D">
        <w:rPr>
          <w:rFonts w:asciiTheme="majorHAnsi" w:hAnsiTheme="majorHAnsi"/>
          <w:bCs/>
          <w:sz w:val="20"/>
          <w:szCs w:val="20"/>
          <w:lang w:val="es-ES_tradnl"/>
        </w:rPr>
        <w:t xml:space="preserve">porque no se </w:t>
      </w:r>
      <w:r w:rsidR="00DC2352" w:rsidRPr="00066E7D">
        <w:rPr>
          <w:rFonts w:asciiTheme="majorHAnsi" w:hAnsiTheme="majorHAnsi"/>
          <w:bCs/>
          <w:sz w:val="20"/>
          <w:szCs w:val="20"/>
          <w:lang w:val="es-ES_tradnl"/>
        </w:rPr>
        <w:t>cumplió con</w:t>
      </w:r>
      <w:r w:rsidR="00361D68" w:rsidRPr="00066E7D">
        <w:rPr>
          <w:rFonts w:asciiTheme="majorHAnsi" w:hAnsiTheme="majorHAnsi"/>
          <w:bCs/>
          <w:sz w:val="20"/>
          <w:szCs w:val="20"/>
          <w:lang w:val="es-ES_tradnl"/>
        </w:rPr>
        <w:t xml:space="preserve"> la orden de reintegro, </w:t>
      </w:r>
      <w:r w:rsidR="00324C98" w:rsidRPr="00066E7D">
        <w:rPr>
          <w:rFonts w:asciiTheme="majorHAnsi" w:hAnsiTheme="majorHAnsi"/>
          <w:bCs/>
          <w:sz w:val="20"/>
          <w:szCs w:val="20"/>
          <w:lang w:val="es-ES_tradnl"/>
        </w:rPr>
        <w:t xml:space="preserve">y no tenía ningún sustento económico para </w:t>
      </w:r>
      <w:r w:rsidR="00407B06" w:rsidRPr="00066E7D">
        <w:rPr>
          <w:rFonts w:asciiTheme="majorHAnsi" w:hAnsiTheme="majorHAnsi"/>
          <w:bCs/>
          <w:sz w:val="20"/>
          <w:szCs w:val="20"/>
          <w:lang w:val="es-ES_tradnl"/>
        </w:rPr>
        <w:t>mantener</w:t>
      </w:r>
      <w:r w:rsidR="00324C98" w:rsidRPr="00066E7D">
        <w:rPr>
          <w:rFonts w:asciiTheme="majorHAnsi" w:hAnsiTheme="majorHAnsi"/>
          <w:bCs/>
          <w:sz w:val="20"/>
          <w:szCs w:val="20"/>
          <w:lang w:val="es-ES_tradnl"/>
        </w:rPr>
        <w:t xml:space="preserve"> a su núcleo familiar. </w:t>
      </w:r>
      <w:r w:rsidR="005F0060" w:rsidRPr="00066E7D">
        <w:rPr>
          <w:rFonts w:asciiTheme="majorHAnsi" w:hAnsiTheme="majorHAnsi"/>
          <w:bCs/>
          <w:sz w:val="20"/>
          <w:szCs w:val="20"/>
          <w:lang w:val="es-ES_tradnl"/>
        </w:rPr>
        <w:t xml:space="preserve"> </w:t>
      </w:r>
    </w:p>
    <w:p w14:paraId="004F6E9A" w14:textId="318DE960" w:rsidR="00DD3960" w:rsidRPr="00066E7D" w:rsidRDefault="006C67DA" w:rsidP="009740D3">
      <w:pPr>
        <w:spacing w:before="240" w:after="240"/>
        <w:ind w:firstLine="720"/>
        <w:jc w:val="both"/>
        <w:rPr>
          <w:rFonts w:asciiTheme="majorHAnsi" w:hAnsiTheme="majorHAnsi"/>
          <w:bCs/>
          <w:sz w:val="20"/>
          <w:szCs w:val="20"/>
          <w:lang w:val="es-ES_tradnl"/>
        </w:rPr>
      </w:pPr>
      <w:r w:rsidRPr="00066E7D">
        <w:rPr>
          <w:rFonts w:asciiTheme="majorHAnsi" w:hAnsiTheme="majorHAnsi"/>
          <w:bCs/>
          <w:sz w:val="20"/>
          <w:szCs w:val="20"/>
          <w:lang w:val="es-ES_tradnl"/>
        </w:rPr>
        <w:t>4</w:t>
      </w:r>
      <w:r w:rsidR="00157EE7" w:rsidRPr="00066E7D">
        <w:rPr>
          <w:rFonts w:asciiTheme="majorHAnsi" w:hAnsiTheme="majorHAnsi"/>
          <w:bCs/>
          <w:sz w:val="20"/>
          <w:szCs w:val="20"/>
          <w:lang w:val="es-ES_tradnl"/>
        </w:rPr>
        <w:t>.</w:t>
      </w:r>
      <w:r w:rsidR="00157EE7" w:rsidRPr="00066E7D">
        <w:rPr>
          <w:rFonts w:asciiTheme="majorHAnsi" w:hAnsiTheme="majorHAnsi"/>
          <w:bCs/>
          <w:sz w:val="20"/>
          <w:szCs w:val="20"/>
          <w:lang w:val="es-ES_tradnl"/>
        </w:rPr>
        <w:tab/>
        <w:t xml:space="preserve">Al </w:t>
      </w:r>
      <w:r w:rsidR="007B6E64" w:rsidRPr="00066E7D">
        <w:rPr>
          <w:rFonts w:asciiTheme="majorHAnsi" w:hAnsiTheme="majorHAnsi"/>
          <w:bCs/>
          <w:sz w:val="20"/>
          <w:szCs w:val="20"/>
          <w:lang w:val="es-ES_tradnl"/>
        </w:rPr>
        <w:t>negarse</w:t>
      </w:r>
      <w:r w:rsidR="00157EE7" w:rsidRPr="00066E7D">
        <w:rPr>
          <w:rFonts w:asciiTheme="majorHAnsi" w:hAnsiTheme="majorHAnsi"/>
          <w:bCs/>
          <w:sz w:val="20"/>
          <w:szCs w:val="20"/>
          <w:lang w:val="es-ES_tradnl"/>
        </w:rPr>
        <w:t xml:space="preserve"> el cumplimiento de la</w:t>
      </w:r>
      <w:r w:rsidR="007B6E64" w:rsidRPr="00066E7D">
        <w:rPr>
          <w:rFonts w:asciiTheme="majorHAnsi" w:hAnsiTheme="majorHAnsi"/>
          <w:bCs/>
          <w:sz w:val="20"/>
          <w:szCs w:val="20"/>
          <w:lang w:val="es-ES_tradnl"/>
        </w:rPr>
        <w:t xml:space="preserve">s órdenes judiciales, el peticionario presentó </w:t>
      </w:r>
      <w:r w:rsidR="003C505F" w:rsidRPr="00066E7D">
        <w:rPr>
          <w:rFonts w:asciiTheme="majorHAnsi" w:hAnsiTheme="majorHAnsi"/>
          <w:bCs/>
          <w:sz w:val="20"/>
          <w:szCs w:val="20"/>
          <w:lang w:val="es-ES_tradnl"/>
        </w:rPr>
        <w:t xml:space="preserve">un </w:t>
      </w:r>
      <w:r w:rsidR="007B6E64" w:rsidRPr="00066E7D">
        <w:rPr>
          <w:rFonts w:asciiTheme="majorHAnsi" w:hAnsiTheme="majorHAnsi"/>
          <w:bCs/>
          <w:sz w:val="20"/>
          <w:szCs w:val="20"/>
          <w:lang w:val="es-ES_tradnl"/>
        </w:rPr>
        <w:t>incidente de desacato, que fu</w:t>
      </w:r>
      <w:r w:rsidR="008920A4" w:rsidRPr="00066E7D">
        <w:rPr>
          <w:rFonts w:asciiTheme="majorHAnsi" w:hAnsiTheme="majorHAnsi"/>
          <w:bCs/>
          <w:sz w:val="20"/>
          <w:szCs w:val="20"/>
          <w:lang w:val="es-ES_tradnl"/>
        </w:rPr>
        <w:t>e</w:t>
      </w:r>
      <w:r w:rsidR="007B6E64" w:rsidRPr="00066E7D">
        <w:rPr>
          <w:rFonts w:asciiTheme="majorHAnsi" w:hAnsiTheme="majorHAnsi"/>
          <w:bCs/>
          <w:sz w:val="20"/>
          <w:szCs w:val="20"/>
          <w:lang w:val="es-ES_tradnl"/>
        </w:rPr>
        <w:t xml:space="preserve"> resuelto por el Juzgado Segundo de Menores de Manizales el 18 de septiembre de 2007, </w:t>
      </w:r>
      <w:r w:rsidR="008E5FBA" w:rsidRPr="00066E7D">
        <w:rPr>
          <w:rFonts w:asciiTheme="majorHAnsi" w:hAnsiTheme="majorHAnsi"/>
          <w:bCs/>
          <w:sz w:val="20"/>
          <w:szCs w:val="20"/>
          <w:lang w:val="es-ES_tradnl"/>
        </w:rPr>
        <w:t xml:space="preserve">y </w:t>
      </w:r>
      <w:r w:rsidR="007B6E64" w:rsidRPr="00066E7D">
        <w:rPr>
          <w:rFonts w:asciiTheme="majorHAnsi" w:hAnsiTheme="majorHAnsi"/>
          <w:bCs/>
          <w:sz w:val="20"/>
          <w:szCs w:val="20"/>
          <w:lang w:val="es-ES_tradnl"/>
        </w:rPr>
        <w:t>que declaró que el liquidador de la Caja Agraria incumplió con la sentencia proferida por la Corte Constitucional</w:t>
      </w:r>
      <w:r w:rsidR="00AA7AAD" w:rsidRPr="00066E7D">
        <w:rPr>
          <w:rFonts w:asciiTheme="majorHAnsi" w:hAnsiTheme="majorHAnsi"/>
          <w:bCs/>
          <w:sz w:val="20"/>
          <w:szCs w:val="20"/>
          <w:lang w:val="es-ES_tradnl"/>
        </w:rPr>
        <w:t>, y</w:t>
      </w:r>
      <w:r w:rsidR="00C251DA" w:rsidRPr="00066E7D">
        <w:rPr>
          <w:rFonts w:asciiTheme="majorHAnsi" w:hAnsiTheme="majorHAnsi"/>
          <w:bCs/>
          <w:sz w:val="20"/>
          <w:szCs w:val="20"/>
          <w:lang w:val="es-ES_tradnl"/>
        </w:rPr>
        <w:t>, por lo tanto,</w:t>
      </w:r>
      <w:r w:rsidR="00AA7AAD" w:rsidRPr="00066E7D">
        <w:rPr>
          <w:rFonts w:asciiTheme="majorHAnsi" w:hAnsiTheme="majorHAnsi"/>
          <w:bCs/>
          <w:sz w:val="20"/>
          <w:szCs w:val="20"/>
          <w:lang w:val="es-ES_tradnl"/>
        </w:rPr>
        <w:t xml:space="preserve"> </w:t>
      </w:r>
      <w:r w:rsidR="0032237B" w:rsidRPr="00066E7D">
        <w:rPr>
          <w:rFonts w:asciiTheme="majorHAnsi" w:hAnsiTheme="majorHAnsi"/>
          <w:bCs/>
          <w:sz w:val="20"/>
          <w:szCs w:val="20"/>
          <w:lang w:val="es-ES_tradnl"/>
        </w:rPr>
        <w:t xml:space="preserve">lo </w:t>
      </w:r>
      <w:r w:rsidR="00AA7AAD" w:rsidRPr="00066E7D">
        <w:rPr>
          <w:rFonts w:asciiTheme="majorHAnsi" w:hAnsiTheme="majorHAnsi"/>
          <w:bCs/>
          <w:sz w:val="20"/>
          <w:szCs w:val="20"/>
          <w:lang w:val="es-ES_tradnl"/>
        </w:rPr>
        <w:t>sancionó</w:t>
      </w:r>
      <w:r w:rsidR="002F267A" w:rsidRPr="00066E7D">
        <w:rPr>
          <w:rFonts w:asciiTheme="majorHAnsi" w:hAnsiTheme="majorHAnsi"/>
          <w:bCs/>
          <w:sz w:val="20"/>
          <w:szCs w:val="20"/>
          <w:lang w:val="es-ES_tradnl"/>
        </w:rPr>
        <w:t xml:space="preserve">. Esta decisión fue ratificada </w:t>
      </w:r>
      <w:r w:rsidR="0032237B" w:rsidRPr="00066E7D">
        <w:rPr>
          <w:rFonts w:asciiTheme="majorHAnsi" w:hAnsiTheme="majorHAnsi"/>
          <w:bCs/>
          <w:sz w:val="20"/>
          <w:szCs w:val="20"/>
          <w:lang w:val="es-ES_tradnl"/>
        </w:rPr>
        <w:t>el</w:t>
      </w:r>
      <w:r w:rsidR="002F267A" w:rsidRPr="00066E7D">
        <w:rPr>
          <w:rFonts w:asciiTheme="majorHAnsi" w:hAnsiTheme="majorHAnsi"/>
          <w:bCs/>
          <w:sz w:val="20"/>
          <w:szCs w:val="20"/>
          <w:lang w:val="es-ES_tradnl"/>
        </w:rPr>
        <w:t xml:space="preserve"> 4 de octubre de </w:t>
      </w:r>
      <w:r w:rsidR="00F157F2" w:rsidRPr="00066E7D">
        <w:rPr>
          <w:rFonts w:asciiTheme="majorHAnsi" w:hAnsiTheme="majorHAnsi"/>
          <w:bCs/>
          <w:sz w:val="20"/>
          <w:szCs w:val="20"/>
          <w:lang w:val="es-ES_tradnl"/>
        </w:rPr>
        <w:t>2007,</w:t>
      </w:r>
      <w:r w:rsidR="002F267A" w:rsidRPr="00066E7D">
        <w:rPr>
          <w:rFonts w:asciiTheme="majorHAnsi" w:hAnsiTheme="majorHAnsi"/>
          <w:bCs/>
          <w:sz w:val="20"/>
          <w:szCs w:val="20"/>
          <w:lang w:val="es-ES_tradnl"/>
        </w:rPr>
        <w:t xml:space="preserve"> por el Tribunal Superior de Manizales. </w:t>
      </w:r>
      <w:r w:rsidR="00AA4BCC" w:rsidRPr="00066E7D">
        <w:rPr>
          <w:rFonts w:asciiTheme="majorHAnsi" w:hAnsiTheme="majorHAnsi"/>
          <w:bCs/>
          <w:sz w:val="20"/>
          <w:szCs w:val="20"/>
          <w:lang w:val="es-ES_tradnl"/>
        </w:rPr>
        <w:t xml:space="preserve">El peticionario narra que el liquidador, para no ser sancionado, le </w:t>
      </w:r>
      <w:r w:rsidR="0032237B" w:rsidRPr="00066E7D">
        <w:rPr>
          <w:rFonts w:asciiTheme="majorHAnsi" w:hAnsiTheme="majorHAnsi"/>
          <w:bCs/>
          <w:sz w:val="20"/>
          <w:szCs w:val="20"/>
          <w:lang w:val="es-ES_tradnl"/>
        </w:rPr>
        <w:t>ofreció</w:t>
      </w:r>
      <w:r w:rsidR="00AA4BCC" w:rsidRPr="00066E7D">
        <w:rPr>
          <w:rFonts w:asciiTheme="majorHAnsi" w:hAnsiTheme="majorHAnsi"/>
          <w:bCs/>
          <w:sz w:val="20"/>
          <w:szCs w:val="20"/>
          <w:lang w:val="es-ES_tradnl"/>
        </w:rPr>
        <w:t xml:space="preserve"> un cargo en una empresa de servicios temporales, rebajándole el sueldo</w:t>
      </w:r>
      <w:r w:rsidR="00DD3960" w:rsidRPr="00066E7D">
        <w:rPr>
          <w:rFonts w:asciiTheme="majorHAnsi" w:hAnsiTheme="majorHAnsi"/>
          <w:bCs/>
          <w:sz w:val="20"/>
          <w:szCs w:val="20"/>
          <w:lang w:val="es-ES_tradnl"/>
        </w:rPr>
        <w:t xml:space="preserve">, la </w:t>
      </w:r>
      <w:r w:rsidR="00AA4BCC" w:rsidRPr="00066E7D">
        <w:rPr>
          <w:rFonts w:asciiTheme="majorHAnsi" w:hAnsiTheme="majorHAnsi"/>
          <w:bCs/>
          <w:sz w:val="20"/>
          <w:szCs w:val="20"/>
          <w:lang w:val="es-ES_tradnl"/>
        </w:rPr>
        <w:t>categoría y obligándolo a renunciar a la pensión.</w:t>
      </w:r>
      <w:r w:rsidR="00F55FC4" w:rsidRPr="00066E7D">
        <w:rPr>
          <w:rFonts w:asciiTheme="majorHAnsi" w:hAnsiTheme="majorHAnsi"/>
          <w:bCs/>
          <w:sz w:val="20"/>
          <w:szCs w:val="20"/>
          <w:lang w:val="es-ES_tradnl"/>
        </w:rPr>
        <w:t xml:space="preserve"> Ante el </w:t>
      </w:r>
      <w:r w:rsidR="00DD3960" w:rsidRPr="00066E7D">
        <w:rPr>
          <w:rFonts w:asciiTheme="majorHAnsi" w:hAnsiTheme="majorHAnsi"/>
          <w:bCs/>
          <w:sz w:val="20"/>
          <w:szCs w:val="20"/>
          <w:lang w:val="es-ES_tradnl"/>
        </w:rPr>
        <w:t>rechazó del ofrecimiento</w:t>
      </w:r>
      <w:r w:rsidR="00F55FC4" w:rsidRPr="00066E7D">
        <w:rPr>
          <w:rFonts w:asciiTheme="majorHAnsi" w:hAnsiTheme="majorHAnsi"/>
          <w:bCs/>
          <w:sz w:val="20"/>
          <w:szCs w:val="20"/>
          <w:lang w:val="es-ES_tradnl"/>
        </w:rPr>
        <w:t xml:space="preserve">, </w:t>
      </w:r>
      <w:r w:rsidR="00E34E55" w:rsidRPr="00066E7D">
        <w:rPr>
          <w:rFonts w:asciiTheme="majorHAnsi" w:hAnsiTheme="majorHAnsi"/>
          <w:bCs/>
          <w:sz w:val="20"/>
          <w:szCs w:val="20"/>
          <w:lang w:val="es-ES_tradnl"/>
        </w:rPr>
        <w:t>se</w:t>
      </w:r>
      <w:r w:rsidR="001E3D9D" w:rsidRPr="00066E7D">
        <w:rPr>
          <w:rFonts w:asciiTheme="majorHAnsi" w:hAnsiTheme="majorHAnsi"/>
          <w:bCs/>
          <w:sz w:val="20"/>
          <w:szCs w:val="20"/>
          <w:lang w:val="es-ES_tradnl"/>
        </w:rPr>
        <w:t xml:space="preserve"> ordenó </w:t>
      </w:r>
      <w:r w:rsidR="003A0B25" w:rsidRPr="00066E7D">
        <w:rPr>
          <w:rFonts w:asciiTheme="majorHAnsi" w:hAnsiTheme="majorHAnsi"/>
          <w:bCs/>
          <w:sz w:val="20"/>
          <w:szCs w:val="20"/>
          <w:lang w:val="es-ES_tradnl"/>
        </w:rPr>
        <w:t xml:space="preserve">mediante resolución </w:t>
      </w:r>
      <w:r w:rsidR="001E3D9D" w:rsidRPr="00066E7D">
        <w:rPr>
          <w:rFonts w:asciiTheme="majorHAnsi" w:hAnsiTheme="majorHAnsi"/>
          <w:bCs/>
          <w:sz w:val="20"/>
          <w:szCs w:val="20"/>
          <w:lang w:val="es-ES_tradnl"/>
        </w:rPr>
        <w:t xml:space="preserve">el reintegro a un cargo de igual o superior categoría. </w:t>
      </w:r>
    </w:p>
    <w:p w14:paraId="64F6E9D9" w14:textId="66871B55" w:rsidR="00990FDA" w:rsidRPr="00066E7D" w:rsidRDefault="00DD3960" w:rsidP="00CE5794">
      <w:pPr>
        <w:spacing w:before="240" w:after="240"/>
        <w:ind w:firstLine="720"/>
        <w:jc w:val="both"/>
        <w:rPr>
          <w:rFonts w:asciiTheme="majorHAnsi" w:hAnsiTheme="majorHAnsi"/>
          <w:bCs/>
          <w:sz w:val="20"/>
          <w:szCs w:val="20"/>
          <w:lang w:val="es-ES_tradnl"/>
        </w:rPr>
      </w:pPr>
      <w:r w:rsidRPr="00066E7D">
        <w:rPr>
          <w:rFonts w:asciiTheme="majorHAnsi" w:hAnsiTheme="majorHAnsi"/>
          <w:bCs/>
          <w:sz w:val="20"/>
          <w:szCs w:val="20"/>
          <w:lang w:val="es-ES_tradnl"/>
        </w:rPr>
        <w:t>5.</w:t>
      </w:r>
      <w:r w:rsidRPr="00066E7D">
        <w:rPr>
          <w:rFonts w:asciiTheme="majorHAnsi" w:hAnsiTheme="majorHAnsi"/>
          <w:bCs/>
          <w:sz w:val="20"/>
          <w:szCs w:val="20"/>
          <w:lang w:val="es-ES_tradnl"/>
        </w:rPr>
        <w:tab/>
      </w:r>
      <w:r w:rsidR="006D70F2" w:rsidRPr="00066E7D">
        <w:rPr>
          <w:rFonts w:asciiTheme="majorHAnsi" w:hAnsiTheme="majorHAnsi"/>
          <w:bCs/>
          <w:sz w:val="20"/>
          <w:szCs w:val="20"/>
          <w:lang w:val="es-ES_tradnl"/>
        </w:rPr>
        <w:t>L</w:t>
      </w:r>
      <w:r w:rsidR="00D37EBE" w:rsidRPr="00066E7D">
        <w:rPr>
          <w:rFonts w:asciiTheme="majorHAnsi" w:hAnsiTheme="majorHAnsi"/>
          <w:bCs/>
          <w:sz w:val="20"/>
          <w:szCs w:val="20"/>
          <w:lang w:val="es-ES_tradnl"/>
        </w:rPr>
        <w:t>a Caja Agraria presentó una tutela</w:t>
      </w:r>
      <w:r w:rsidR="00E23082" w:rsidRPr="00066E7D">
        <w:rPr>
          <w:rFonts w:asciiTheme="majorHAnsi" w:hAnsiTheme="majorHAnsi"/>
          <w:bCs/>
          <w:sz w:val="20"/>
          <w:szCs w:val="20"/>
          <w:lang w:val="es-ES_tradnl"/>
        </w:rPr>
        <w:t>, que fue resuelta por la Sala Civil de la Corte Suprema de Justicia</w:t>
      </w:r>
      <w:r w:rsidR="008920A4" w:rsidRPr="00066E7D">
        <w:rPr>
          <w:rFonts w:asciiTheme="majorHAnsi" w:hAnsiTheme="majorHAnsi"/>
          <w:bCs/>
          <w:sz w:val="20"/>
          <w:szCs w:val="20"/>
          <w:lang w:val="es-ES_tradnl"/>
        </w:rPr>
        <w:t xml:space="preserve"> el 13 de noviembre de 2007</w:t>
      </w:r>
      <w:r w:rsidR="006D70F2" w:rsidRPr="00066E7D">
        <w:rPr>
          <w:rFonts w:asciiTheme="majorHAnsi" w:hAnsiTheme="majorHAnsi"/>
          <w:bCs/>
          <w:sz w:val="20"/>
          <w:szCs w:val="20"/>
          <w:lang w:val="es-ES_tradnl"/>
        </w:rPr>
        <w:t>,</w:t>
      </w:r>
      <w:r w:rsidR="00D15446" w:rsidRPr="00066E7D">
        <w:rPr>
          <w:rFonts w:asciiTheme="majorHAnsi" w:hAnsiTheme="majorHAnsi"/>
          <w:bCs/>
          <w:sz w:val="20"/>
          <w:szCs w:val="20"/>
          <w:lang w:val="es-ES_tradnl"/>
        </w:rPr>
        <w:t xml:space="preserve"> </w:t>
      </w:r>
      <w:r w:rsidR="008920A4" w:rsidRPr="00066E7D">
        <w:rPr>
          <w:rFonts w:asciiTheme="majorHAnsi" w:hAnsiTheme="majorHAnsi"/>
          <w:bCs/>
          <w:sz w:val="20"/>
          <w:szCs w:val="20"/>
          <w:lang w:val="es-ES_tradnl"/>
        </w:rPr>
        <w:t>y que dejó sin efecto la decisión que sancionó al liquidador de la Caja Agraria.</w:t>
      </w:r>
      <w:r w:rsidR="00D96A2D" w:rsidRPr="00066E7D">
        <w:rPr>
          <w:rFonts w:asciiTheme="majorHAnsi" w:hAnsiTheme="majorHAnsi"/>
          <w:bCs/>
          <w:sz w:val="20"/>
          <w:szCs w:val="20"/>
          <w:lang w:val="es-ES_tradnl"/>
        </w:rPr>
        <w:t xml:space="preserve"> </w:t>
      </w:r>
      <w:r w:rsidR="00D15446" w:rsidRPr="00066E7D">
        <w:rPr>
          <w:rFonts w:asciiTheme="majorHAnsi" w:hAnsiTheme="majorHAnsi"/>
          <w:bCs/>
          <w:sz w:val="20"/>
          <w:szCs w:val="20"/>
          <w:lang w:val="es-ES_tradnl"/>
        </w:rPr>
        <w:t>E</w:t>
      </w:r>
      <w:r w:rsidR="00D96A2D" w:rsidRPr="00066E7D">
        <w:rPr>
          <w:rFonts w:asciiTheme="majorHAnsi" w:hAnsiTheme="majorHAnsi"/>
          <w:bCs/>
          <w:sz w:val="20"/>
          <w:szCs w:val="20"/>
          <w:lang w:val="es-ES_tradnl"/>
        </w:rPr>
        <w:t xml:space="preserve">l peticionario </w:t>
      </w:r>
      <w:r w:rsidR="00D15446" w:rsidRPr="00066E7D">
        <w:rPr>
          <w:rFonts w:asciiTheme="majorHAnsi" w:hAnsiTheme="majorHAnsi"/>
          <w:bCs/>
          <w:sz w:val="20"/>
          <w:szCs w:val="20"/>
          <w:lang w:val="es-ES_tradnl"/>
        </w:rPr>
        <w:t xml:space="preserve">impugnó la decisión mediante </w:t>
      </w:r>
      <w:r w:rsidR="00812011" w:rsidRPr="00066E7D">
        <w:rPr>
          <w:rFonts w:asciiTheme="majorHAnsi" w:hAnsiTheme="majorHAnsi"/>
          <w:bCs/>
          <w:sz w:val="20"/>
          <w:szCs w:val="20"/>
          <w:lang w:val="es-ES_tradnl"/>
        </w:rPr>
        <w:t xml:space="preserve">un </w:t>
      </w:r>
      <w:r w:rsidR="00D15446" w:rsidRPr="00066E7D">
        <w:rPr>
          <w:rFonts w:asciiTheme="majorHAnsi" w:hAnsiTheme="majorHAnsi"/>
          <w:bCs/>
          <w:sz w:val="20"/>
          <w:szCs w:val="20"/>
          <w:lang w:val="es-ES_tradnl"/>
        </w:rPr>
        <w:t>recurso de apelación</w:t>
      </w:r>
      <w:r w:rsidR="00812011" w:rsidRPr="00066E7D">
        <w:rPr>
          <w:rFonts w:asciiTheme="majorHAnsi" w:hAnsiTheme="majorHAnsi"/>
          <w:bCs/>
          <w:sz w:val="20"/>
          <w:szCs w:val="20"/>
          <w:lang w:val="es-ES_tradnl"/>
        </w:rPr>
        <w:t xml:space="preserve">, </w:t>
      </w:r>
      <w:r w:rsidR="00D96A2D" w:rsidRPr="00066E7D">
        <w:rPr>
          <w:rFonts w:asciiTheme="majorHAnsi" w:hAnsiTheme="majorHAnsi"/>
          <w:bCs/>
          <w:sz w:val="20"/>
          <w:szCs w:val="20"/>
          <w:lang w:val="es-ES_tradnl"/>
        </w:rPr>
        <w:t xml:space="preserve">resuelto por la Sala Penal de la Corte Suprema de Justicia el 11 de diciembre de </w:t>
      </w:r>
      <w:r w:rsidR="008A6A60" w:rsidRPr="00066E7D">
        <w:rPr>
          <w:rFonts w:asciiTheme="majorHAnsi" w:hAnsiTheme="majorHAnsi"/>
          <w:bCs/>
          <w:sz w:val="20"/>
          <w:szCs w:val="20"/>
          <w:lang w:val="es-ES_tradnl"/>
        </w:rPr>
        <w:t>2008,</w:t>
      </w:r>
      <w:r w:rsidR="00812011" w:rsidRPr="00066E7D">
        <w:rPr>
          <w:rFonts w:asciiTheme="majorHAnsi" w:hAnsiTheme="majorHAnsi"/>
          <w:bCs/>
          <w:sz w:val="20"/>
          <w:szCs w:val="20"/>
          <w:lang w:val="es-ES_tradnl"/>
        </w:rPr>
        <w:t xml:space="preserve"> </w:t>
      </w:r>
      <w:r w:rsidR="00D15446" w:rsidRPr="00066E7D">
        <w:rPr>
          <w:rFonts w:asciiTheme="majorHAnsi" w:hAnsiTheme="majorHAnsi"/>
          <w:bCs/>
          <w:sz w:val="20"/>
          <w:szCs w:val="20"/>
          <w:lang w:val="es-ES_tradnl"/>
        </w:rPr>
        <w:t xml:space="preserve">que confirmó </w:t>
      </w:r>
      <w:r w:rsidR="00D96A2D" w:rsidRPr="00066E7D">
        <w:rPr>
          <w:rFonts w:asciiTheme="majorHAnsi" w:hAnsiTheme="majorHAnsi"/>
          <w:bCs/>
          <w:sz w:val="20"/>
          <w:szCs w:val="20"/>
          <w:lang w:val="es-ES_tradnl"/>
        </w:rPr>
        <w:t>la suspensión de las sanciones</w:t>
      </w:r>
      <w:r w:rsidR="00224A82" w:rsidRPr="00066E7D">
        <w:rPr>
          <w:rFonts w:asciiTheme="majorHAnsi" w:hAnsiTheme="majorHAnsi"/>
          <w:bCs/>
          <w:sz w:val="20"/>
          <w:szCs w:val="20"/>
          <w:lang w:val="es-ES_tradnl"/>
        </w:rPr>
        <w:t xml:space="preserve"> y le </w:t>
      </w:r>
      <w:r w:rsidR="00C508B2" w:rsidRPr="00066E7D">
        <w:rPr>
          <w:rFonts w:asciiTheme="majorHAnsi" w:hAnsiTheme="majorHAnsi"/>
          <w:bCs/>
          <w:sz w:val="20"/>
          <w:szCs w:val="20"/>
          <w:lang w:val="es-ES_tradnl"/>
        </w:rPr>
        <w:t>permitió</w:t>
      </w:r>
      <w:r w:rsidR="00224A82" w:rsidRPr="00066E7D">
        <w:rPr>
          <w:rFonts w:asciiTheme="majorHAnsi" w:hAnsiTheme="majorHAnsi"/>
          <w:bCs/>
          <w:sz w:val="20"/>
          <w:szCs w:val="20"/>
          <w:lang w:val="es-ES_tradnl"/>
        </w:rPr>
        <w:t xml:space="preserve"> acudir ante el juzgador para obtener </w:t>
      </w:r>
      <w:r w:rsidR="0015561A" w:rsidRPr="00066E7D">
        <w:rPr>
          <w:rFonts w:asciiTheme="majorHAnsi" w:hAnsiTheme="majorHAnsi"/>
          <w:bCs/>
          <w:sz w:val="20"/>
          <w:szCs w:val="20"/>
          <w:lang w:val="es-ES_tradnl"/>
        </w:rPr>
        <w:t>el pago de la indemnización.</w:t>
      </w:r>
      <w:r w:rsidR="00CA52D2" w:rsidRPr="00066E7D">
        <w:rPr>
          <w:rFonts w:asciiTheme="majorHAnsi" w:hAnsiTheme="majorHAnsi"/>
          <w:bCs/>
          <w:sz w:val="20"/>
          <w:szCs w:val="20"/>
          <w:lang w:val="es-ES_tradnl"/>
        </w:rPr>
        <w:t xml:space="preserve"> Por lo tanto, </w:t>
      </w:r>
      <w:r w:rsidR="00866F5D" w:rsidRPr="00066E7D">
        <w:rPr>
          <w:rFonts w:asciiTheme="majorHAnsi" w:hAnsiTheme="majorHAnsi"/>
          <w:bCs/>
          <w:sz w:val="20"/>
          <w:szCs w:val="20"/>
          <w:lang w:val="es-ES_tradnl"/>
        </w:rPr>
        <w:t xml:space="preserve">presentó </w:t>
      </w:r>
      <w:r w:rsidR="00812011" w:rsidRPr="00066E7D">
        <w:rPr>
          <w:rFonts w:asciiTheme="majorHAnsi" w:hAnsiTheme="majorHAnsi"/>
          <w:bCs/>
          <w:sz w:val="20"/>
          <w:szCs w:val="20"/>
          <w:lang w:val="es-ES_tradnl"/>
        </w:rPr>
        <w:t xml:space="preserve">un </w:t>
      </w:r>
      <w:r w:rsidR="00866F5D" w:rsidRPr="00066E7D">
        <w:rPr>
          <w:rFonts w:asciiTheme="majorHAnsi" w:hAnsiTheme="majorHAnsi"/>
          <w:bCs/>
          <w:sz w:val="20"/>
          <w:szCs w:val="20"/>
          <w:lang w:val="es-ES_tradnl"/>
        </w:rPr>
        <w:t xml:space="preserve">incidente de desacato </w:t>
      </w:r>
      <w:r w:rsidR="00B45D6E" w:rsidRPr="00066E7D">
        <w:rPr>
          <w:rFonts w:asciiTheme="majorHAnsi" w:hAnsiTheme="majorHAnsi"/>
          <w:bCs/>
          <w:sz w:val="20"/>
          <w:szCs w:val="20"/>
          <w:lang w:val="es-ES_tradnl"/>
        </w:rPr>
        <w:t>que fue resuelt</w:t>
      </w:r>
      <w:r w:rsidR="00FD18A6" w:rsidRPr="00066E7D">
        <w:rPr>
          <w:rFonts w:asciiTheme="majorHAnsi" w:hAnsiTheme="majorHAnsi"/>
          <w:bCs/>
          <w:sz w:val="20"/>
          <w:szCs w:val="20"/>
          <w:lang w:val="es-ES_tradnl"/>
        </w:rPr>
        <w:t>o</w:t>
      </w:r>
      <w:r w:rsidR="00B45D6E" w:rsidRPr="00066E7D">
        <w:rPr>
          <w:rFonts w:asciiTheme="majorHAnsi" w:hAnsiTheme="majorHAnsi"/>
          <w:bCs/>
          <w:sz w:val="20"/>
          <w:szCs w:val="20"/>
          <w:lang w:val="es-ES_tradnl"/>
        </w:rPr>
        <w:t xml:space="preserve"> el </w:t>
      </w:r>
      <w:r w:rsidR="00DC65A8" w:rsidRPr="00066E7D">
        <w:rPr>
          <w:rFonts w:asciiTheme="majorHAnsi" w:hAnsiTheme="majorHAnsi"/>
          <w:bCs/>
          <w:sz w:val="20"/>
          <w:szCs w:val="20"/>
          <w:lang w:val="es-ES_tradnl"/>
        </w:rPr>
        <w:t xml:space="preserve">12 de marzo de 2009 por el Juzgado Penal del Circuito para Adolescentes de </w:t>
      </w:r>
      <w:r w:rsidR="00511EB8" w:rsidRPr="00066E7D">
        <w:rPr>
          <w:rFonts w:asciiTheme="majorHAnsi" w:hAnsiTheme="majorHAnsi"/>
          <w:bCs/>
          <w:sz w:val="20"/>
          <w:szCs w:val="20"/>
          <w:lang w:val="es-ES_tradnl"/>
        </w:rPr>
        <w:t>Manizales</w:t>
      </w:r>
      <w:r w:rsidR="00DC65A8" w:rsidRPr="00066E7D">
        <w:rPr>
          <w:rFonts w:asciiTheme="majorHAnsi" w:hAnsiTheme="majorHAnsi"/>
          <w:bCs/>
          <w:sz w:val="20"/>
          <w:szCs w:val="20"/>
          <w:lang w:val="es-ES_tradnl"/>
        </w:rPr>
        <w:t>, y que decidió no imponer sanción alguna y archivar las diligencias.</w:t>
      </w:r>
      <w:r w:rsidR="00812011" w:rsidRPr="00066E7D">
        <w:rPr>
          <w:rFonts w:asciiTheme="majorHAnsi" w:hAnsiTheme="majorHAnsi"/>
          <w:bCs/>
          <w:sz w:val="20"/>
          <w:szCs w:val="20"/>
          <w:lang w:val="es-ES_tradnl"/>
        </w:rPr>
        <w:t xml:space="preserve"> </w:t>
      </w:r>
      <w:r w:rsidR="00511EB8" w:rsidRPr="00066E7D">
        <w:rPr>
          <w:rFonts w:asciiTheme="majorHAnsi" w:hAnsiTheme="majorHAnsi"/>
          <w:bCs/>
          <w:sz w:val="20"/>
          <w:szCs w:val="20"/>
          <w:lang w:val="es-ES_tradnl"/>
        </w:rPr>
        <w:t>Señala que presentó tutela contra el Ju</w:t>
      </w:r>
      <w:r w:rsidR="002418B9" w:rsidRPr="00066E7D">
        <w:rPr>
          <w:rFonts w:asciiTheme="majorHAnsi" w:hAnsiTheme="majorHAnsi"/>
          <w:bCs/>
          <w:sz w:val="20"/>
          <w:szCs w:val="20"/>
          <w:lang w:val="es-ES_tradnl"/>
        </w:rPr>
        <w:t>ez</w:t>
      </w:r>
      <w:r w:rsidR="00511EB8" w:rsidRPr="00066E7D">
        <w:rPr>
          <w:rFonts w:asciiTheme="majorHAnsi" w:hAnsiTheme="majorHAnsi"/>
          <w:bCs/>
          <w:sz w:val="20"/>
          <w:szCs w:val="20"/>
          <w:lang w:val="es-ES_tradnl"/>
        </w:rPr>
        <w:t xml:space="preserve"> Penal del Circuito de Manizales</w:t>
      </w:r>
      <w:r w:rsidR="001B6995" w:rsidRPr="00066E7D">
        <w:rPr>
          <w:rFonts w:asciiTheme="majorHAnsi" w:hAnsiTheme="majorHAnsi"/>
          <w:bCs/>
          <w:sz w:val="20"/>
          <w:szCs w:val="20"/>
          <w:lang w:val="es-ES_tradnl"/>
        </w:rPr>
        <w:t xml:space="preserve">, en la que solicitó la protección de los derechos fundamentales al debido proceso, acceso a la justicia, igualdad y </w:t>
      </w:r>
      <w:r w:rsidR="00CE5794" w:rsidRPr="00066E7D">
        <w:rPr>
          <w:rFonts w:asciiTheme="majorHAnsi" w:hAnsiTheme="majorHAnsi"/>
          <w:bCs/>
          <w:sz w:val="20"/>
          <w:szCs w:val="20"/>
          <w:lang w:val="es-ES_tradnl"/>
        </w:rPr>
        <w:t xml:space="preserve">al </w:t>
      </w:r>
      <w:r w:rsidR="001B6995" w:rsidRPr="00066E7D">
        <w:rPr>
          <w:rFonts w:asciiTheme="majorHAnsi" w:hAnsiTheme="majorHAnsi"/>
          <w:bCs/>
          <w:sz w:val="20"/>
          <w:szCs w:val="20"/>
          <w:lang w:val="es-ES_tradnl"/>
        </w:rPr>
        <w:t>cumplimiento a providencias judiciales</w:t>
      </w:r>
      <w:r w:rsidR="006D70F2" w:rsidRPr="00066E7D">
        <w:rPr>
          <w:rFonts w:asciiTheme="majorHAnsi" w:hAnsiTheme="majorHAnsi"/>
          <w:bCs/>
          <w:sz w:val="20"/>
          <w:szCs w:val="20"/>
          <w:lang w:val="es-ES_tradnl"/>
        </w:rPr>
        <w:t>;</w:t>
      </w:r>
      <w:r w:rsidR="001E71B7" w:rsidRPr="00066E7D">
        <w:rPr>
          <w:rFonts w:asciiTheme="majorHAnsi" w:hAnsiTheme="majorHAnsi"/>
          <w:bCs/>
          <w:sz w:val="20"/>
          <w:szCs w:val="20"/>
          <w:lang w:val="es-ES_tradnl"/>
        </w:rPr>
        <w:t xml:space="preserve"> sin embargo, el 15 de </w:t>
      </w:r>
      <w:r w:rsidR="00BF20E8" w:rsidRPr="00066E7D">
        <w:rPr>
          <w:rFonts w:asciiTheme="majorHAnsi" w:hAnsiTheme="majorHAnsi"/>
          <w:bCs/>
          <w:sz w:val="20"/>
          <w:szCs w:val="20"/>
          <w:lang w:val="es-ES_tradnl"/>
        </w:rPr>
        <w:t>diciembre</w:t>
      </w:r>
      <w:r w:rsidR="001E71B7" w:rsidRPr="00066E7D">
        <w:rPr>
          <w:rFonts w:asciiTheme="majorHAnsi" w:hAnsiTheme="majorHAnsi"/>
          <w:bCs/>
          <w:sz w:val="20"/>
          <w:szCs w:val="20"/>
          <w:lang w:val="es-ES_tradnl"/>
        </w:rPr>
        <w:t xml:space="preserve"> de 20</w:t>
      </w:r>
      <w:r w:rsidR="00BF20E8" w:rsidRPr="00066E7D">
        <w:rPr>
          <w:rFonts w:asciiTheme="majorHAnsi" w:hAnsiTheme="majorHAnsi"/>
          <w:bCs/>
          <w:sz w:val="20"/>
          <w:szCs w:val="20"/>
          <w:lang w:val="es-ES_tradnl"/>
        </w:rPr>
        <w:t>11</w:t>
      </w:r>
      <w:r w:rsidR="001E71B7" w:rsidRPr="00066E7D">
        <w:rPr>
          <w:rFonts w:asciiTheme="majorHAnsi" w:hAnsiTheme="majorHAnsi"/>
          <w:bCs/>
          <w:sz w:val="20"/>
          <w:szCs w:val="20"/>
          <w:lang w:val="es-ES_tradnl"/>
        </w:rPr>
        <w:t xml:space="preserve"> el Tribunal Superior de Manizales negó la tutela, acusando al peticionario de temeridad, por no haber declarado que anteriormente interpuso otra acción de tutela con las mismas pretensiones. </w:t>
      </w:r>
      <w:r w:rsidR="00755332" w:rsidRPr="00066E7D">
        <w:rPr>
          <w:rFonts w:asciiTheme="majorHAnsi" w:hAnsiTheme="majorHAnsi"/>
          <w:bCs/>
          <w:sz w:val="20"/>
          <w:szCs w:val="20"/>
          <w:lang w:val="es-ES_tradnl"/>
        </w:rPr>
        <w:t xml:space="preserve">El fallo fue confirmado por la Corte Suprema de Justicia </w:t>
      </w:r>
      <w:r w:rsidR="00333077" w:rsidRPr="00066E7D">
        <w:rPr>
          <w:rFonts w:asciiTheme="majorHAnsi" w:hAnsiTheme="majorHAnsi"/>
          <w:bCs/>
          <w:sz w:val="20"/>
          <w:szCs w:val="20"/>
          <w:lang w:val="es-ES_tradnl"/>
        </w:rPr>
        <w:t>el 16 de febrero de 20</w:t>
      </w:r>
      <w:r w:rsidR="00BF20E8" w:rsidRPr="00066E7D">
        <w:rPr>
          <w:rFonts w:asciiTheme="majorHAnsi" w:hAnsiTheme="majorHAnsi"/>
          <w:bCs/>
          <w:sz w:val="20"/>
          <w:szCs w:val="20"/>
          <w:lang w:val="es-ES_tradnl"/>
        </w:rPr>
        <w:t>12</w:t>
      </w:r>
      <w:r w:rsidR="00333077" w:rsidRPr="00066E7D">
        <w:rPr>
          <w:rFonts w:asciiTheme="majorHAnsi" w:hAnsiTheme="majorHAnsi"/>
          <w:bCs/>
          <w:sz w:val="20"/>
          <w:szCs w:val="20"/>
          <w:lang w:val="es-ES_tradnl"/>
        </w:rPr>
        <w:t>.</w:t>
      </w:r>
      <w:r w:rsidR="00CC4826" w:rsidRPr="00066E7D">
        <w:rPr>
          <w:rFonts w:asciiTheme="majorHAnsi" w:hAnsiTheme="majorHAnsi"/>
          <w:bCs/>
          <w:sz w:val="20"/>
          <w:szCs w:val="20"/>
          <w:lang w:val="es-ES_tradnl"/>
        </w:rPr>
        <w:t xml:space="preserve"> </w:t>
      </w:r>
      <w:r w:rsidR="006629F0" w:rsidRPr="00066E7D">
        <w:rPr>
          <w:rFonts w:asciiTheme="majorHAnsi" w:hAnsiTheme="majorHAnsi"/>
          <w:bCs/>
          <w:sz w:val="20"/>
          <w:szCs w:val="20"/>
          <w:lang w:val="es-ES_tradnl"/>
        </w:rPr>
        <w:t>Asimismo</w:t>
      </w:r>
      <w:r w:rsidR="0009795C" w:rsidRPr="00066E7D">
        <w:rPr>
          <w:rFonts w:asciiTheme="majorHAnsi" w:hAnsiTheme="majorHAnsi"/>
          <w:bCs/>
          <w:sz w:val="20"/>
          <w:szCs w:val="20"/>
          <w:lang w:val="es-ES_tradnl"/>
        </w:rPr>
        <w:t>,</w:t>
      </w:r>
      <w:r w:rsidR="00CC4826" w:rsidRPr="00066E7D">
        <w:rPr>
          <w:rFonts w:asciiTheme="majorHAnsi" w:hAnsiTheme="majorHAnsi"/>
          <w:bCs/>
          <w:sz w:val="20"/>
          <w:szCs w:val="20"/>
          <w:lang w:val="es-ES_tradnl"/>
        </w:rPr>
        <w:t xml:space="preserve"> </w:t>
      </w:r>
      <w:r w:rsidR="00BF20E8" w:rsidRPr="00066E7D">
        <w:rPr>
          <w:rFonts w:asciiTheme="majorHAnsi" w:hAnsiTheme="majorHAnsi"/>
          <w:bCs/>
          <w:sz w:val="20"/>
          <w:szCs w:val="20"/>
          <w:lang w:val="es-ES_tradnl"/>
        </w:rPr>
        <w:t xml:space="preserve">indica que </w:t>
      </w:r>
      <w:r w:rsidR="00CC4826" w:rsidRPr="00066E7D">
        <w:rPr>
          <w:rFonts w:asciiTheme="majorHAnsi" w:hAnsiTheme="majorHAnsi"/>
          <w:bCs/>
          <w:sz w:val="20"/>
          <w:szCs w:val="20"/>
          <w:lang w:val="es-ES_tradnl"/>
        </w:rPr>
        <w:t>inició un proceso disciplinario ante la Sala Jurisdiccional Disciplinaria del Consejo Seccional de la Judicatura de Caldas, a efectos de investigar la posible infracción en la que pudo incurrir el Juzgado Penal del Circuito para Adolescentes de Manizales</w:t>
      </w:r>
      <w:r w:rsidR="0009795C" w:rsidRPr="00066E7D">
        <w:rPr>
          <w:rFonts w:asciiTheme="majorHAnsi" w:hAnsiTheme="majorHAnsi"/>
          <w:bCs/>
          <w:sz w:val="20"/>
          <w:szCs w:val="20"/>
          <w:lang w:val="es-ES_tradnl"/>
        </w:rPr>
        <w:t xml:space="preserve">. </w:t>
      </w:r>
    </w:p>
    <w:p w14:paraId="7B1C5EAF" w14:textId="73748EBA" w:rsidR="00D53760" w:rsidRPr="00066E7D" w:rsidRDefault="00CE5794" w:rsidP="00990FDA">
      <w:pPr>
        <w:spacing w:before="240" w:after="240"/>
        <w:ind w:firstLine="720"/>
        <w:jc w:val="both"/>
        <w:rPr>
          <w:rFonts w:asciiTheme="majorHAnsi" w:hAnsiTheme="majorHAnsi"/>
          <w:bCs/>
          <w:sz w:val="20"/>
          <w:szCs w:val="20"/>
          <w:lang w:val="es-ES_tradnl"/>
        </w:rPr>
      </w:pPr>
      <w:r w:rsidRPr="00066E7D">
        <w:rPr>
          <w:rFonts w:asciiTheme="majorHAnsi" w:hAnsiTheme="majorHAnsi"/>
          <w:bCs/>
          <w:sz w:val="20"/>
          <w:szCs w:val="20"/>
          <w:lang w:val="es-ES_tradnl"/>
        </w:rPr>
        <w:t>6</w:t>
      </w:r>
      <w:r w:rsidR="00990FDA" w:rsidRPr="00066E7D">
        <w:rPr>
          <w:rFonts w:asciiTheme="majorHAnsi" w:hAnsiTheme="majorHAnsi"/>
          <w:bCs/>
          <w:sz w:val="20"/>
          <w:szCs w:val="20"/>
          <w:lang w:val="es-ES_tradnl"/>
        </w:rPr>
        <w:t>.</w:t>
      </w:r>
      <w:r w:rsidR="00990FDA" w:rsidRPr="00066E7D">
        <w:rPr>
          <w:rFonts w:asciiTheme="majorHAnsi" w:hAnsiTheme="majorHAnsi"/>
          <w:bCs/>
          <w:sz w:val="20"/>
          <w:szCs w:val="20"/>
          <w:lang w:val="es-ES_tradnl"/>
        </w:rPr>
        <w:tab/>
        <w:t xml:space="preserve">El peticionario recalca, que ha presentado varias insistencias ante la Corte Constitucional solicitando el cumplimiento de la sentencia T-323 de 2005, y </w:t>
      </w:r>
      <w:r w:rsidR="00DD3522" w:rsidRPr="00066E7D">
        <w:rPr>
          <w:rFonts w:asciiTheme="majorHAnsi" w:hAnsiTheme="majorHAnsi"/>
          <w:bCs/>
          <w:sz w:val="20"/>
          <w:szCs w:val="20"/>
          <w:lang w:val="es-ES_tradnl"/>
        </w:rPr>
        <w:t xml:space="preserve">que </w:t>
      </w:r>
      <w:r w:rsidR="00990FDA" w:rsidRPr="00066E7D">
        <w:rPr>
          <w:rFonts w:asciiTheme="majorHAnsi" w:hAnsiTheme="majorHAnsi"/>
          <w:bCs/>
          <w:sz w:val="20"/>
          <w:szCs w:val="20"/>
          <w:lang w:val="es-ES_tradnl"/>
        </w:rPr>
        <w:t xml:space="preserve">estas han sido remitidas, por competencia, al Juzgado Segundo de Menores de </w:t>
      </w:r>
      <w:r w:rsidR="00CE2D21" w:rsidRPr="00066E7D">
        <w:rPr>
          <w:rFonts w:asciiTheme="majorHAnsi" w:hAnsiTheme="majorHAnsi"/>
          <w:bCs/>
          <w:sz w:val="20"/>
          <w:szCs w:val="20"/>
          <w:lang w:val="es-ES_tradnl"/>
        </w:rPr>
        <w:t>Manizales,</w:t>
      </w:r>
      <w:r w:rsidR="00990FDA" w:rsidRPr="00066E7D">
        <w:rPr>
          <w:rFonts w:asciiTheme="majorHAnsi" w:hAnsiTheme="majorHAnsi"/>
          <w:bCs/>
          <w:sz w:val="20"/>
          <w:szCs w:val="20"/>
          <w:lang w:val="es-ES_tradnl"/>
        </w:rPr>
        <w:t xml:space="preserve"> que resolvió mediante auto del 17 de junio de 2011 abstenerse de </w:t>
      </w:r>
      <w:r w:rsidR="00990FDA" w:rsidRPr="00066E7D">
        <w:rPr>
          <w:rFonts w:asciiTheme="majorHAnsi" w:hAnsiTheme="majorHAnsi"/>
          <w:bCs/>
          <w:sz w:val="20"/>
          <w:szCs w:val="20"/>
          <w:lang w:val="es-ES_tradnl"/>
        </w:rPr>
        <w:lastRenderedPageBreak/>
        <w:t xml:space="preserve">requerir el cumplimiento de la sentencia, indicando que se impide cualquier otro pronunciamiento con respecto a la solicitud que fue presentada veinticinco veces ante diversas autoridades judiciales, y, destacando que el peticionario ya no busca un reintegro, sino una indemnización que se cumplió a través la resolución No. 2875 del 28 de junio de 2002. </w:t>
      </w:r>
      <w:r w:rsidR="000D14A0" w:rsidRPr="00066E7D">
        <w:rPr>
          <w:rFonts w:asciiTheme="majorHAnsi" w:hAnsiTheme="majorHAnsi"/>
          <w:bCs/>
          <w:sz w:val="20"/>
          <w:szCs w:val="20"/>
          <w:lang w:val="es-ES_tradnl"/>
        </w:rPr>
        <w:t xml:space="preserve">Paralelamente, </w:t>
      </w:r>
      <w:r w:rsidR="009D5C4F" w:rsidRPr="00066E7D">
        <w:rPr>
          <w:rFonts w:asciiTheme="majorHAnsi" w:hAnsiTheme="majorHAnsi"/>
          <w:bCs/>
          <w:sz w:val="20"/>
          <w:szCs w:val="20"/>
          <w:lang w:val="es-ES_tradnl"/>
        </w:rPr>
        <w:t xml:space="preserve">el </w:t>
      </w:r>
      <w:r w:rsidR="00AE5265" w:rsidRPr="00066E7D">
        <w:rPr>
          <w:rFonts w:asciiTheme="majorHAnsi" w:hAnsiTheme="majorHAnsi"/>
          <w:bCs/>
          <w:sz w:val="20"/>
          <w:szCs w:val="20"/>
          <w:lang w:val="es-ES_tradnl"/>
        </w:rPr>
        <w:t>J</w:t>
      </w:r>
      <w:r w:rsidR="009D5C4F" w:rsidRPr="00066E7D">
        <w:rPr>
          <w:rFonts w:asciiTheme="majorHAnsi" w:hAnsiTheme="majorHAnsi"/>
          <w:bCs/>
          <w:sz w:val="20"/>
          <w:szCs w:val="20"/>
          <w:lang w:val="es-ES_tradnl"/>
        </w:rPr>
        <w:t xml:space="preserve">uez </w:t>
      </w:r>
      <w:r w:rsidR="00AE5265" w:rsidRPr="00066E7D">
        <w:rPr>
          <w:rFonts w:asciiTheme="majorHAnsi" w:hAnsiTheme="majorHAnsi"/>
          <w:bCs/>
          <w:sz w:val="20"/>
          <w:szCs w:val="20"/>
          <w:lang w:val="es-ES_tradnl"/>
        </w:rPr>
        <w:t>P</w:t>
      </w:r>
      <w:r w:rsidR="009D5C4F" w:rsidRPr="00066E7D">
        <w:rPr>
          <w:rFonts w:asciiTheme="majorHAnsi" w:hAnsiTheme="majorHAnsi"/>
          <w:bCs/>
          <w:sz w:val="20"/>
          <w:szCs w:val="20"/>
          <w:lang w:val="es-ES_tradnl"/>
        </w:rPr>
        <w:t xml:space="preserve">rimero </w:t>
      </w:r>
      <w:r w:rsidR="00AE5265" w:rsidRPr="00066E7D">
        <w:rPr>
          <w:rFonts w:asciiTheme="majorHAnsi" w:hAnsiTheme="majorHAnsi"/>
          <w:bCs/>
          <w:sz w:val="20"/>
          <w:szCs w:val="20"/>
          <w:lang w:val="es-ES_tradnl"/>
        </w:rPr>
        <w:t>P</w:t>
      </w:r>
      <w:r w:rsidR="009D5C4F" w:rsidRPr="00066E7D">
        <w:rPr>
          <w:rFonts w:asciiTheme="majorHAnsi" w:hAnsiTheme="majorHAnsi"/>
          <w:bCs/>
          <w:sz w:val="20"/>
          <w:szCs w:val="20"/>
          <w:lang w:val="es-ES_tradnl"/>
        </w:rPr>
        <w:t xml:space="preserve">enal del Circuito para Adolescentes de Manizales, presentó una denuncia penal </w:t>
      </w:r>
      <w:r w:rsidR="006B4D67" w:rsidRPr="00066E7D">
        <w:rPr>
          <w:rFonts w:asciiTheme="majorHAnsi" w:hAnsiTheme="majorHAnsi"/>
          <w:bCs/>
          <w:sz w:val="20"/>
          <w:szCs w:val="20"/>
          <w:lang w:val="es-ES_tradnl"/>
        </w:rPr>
        <w:t xml:space="preserve">por temeridad </w:t>
      </w:r>
      <w:r w:rsidR="009D5C4F" w:rsidRPr="00066E7D">
        <w:rPr>
          <w:rFonts w:asciiTheme="majorHAnsi" w:hAnsiTheme="majorHAnsi"/>
          <w:bCs/>
          <w:sz w:val="20"/>
          <w:szCs w:val="20"/>
          <w:lang w:val="es-ES_tradnl"/>
        </w:rPr>
        <w:t xml:space="preserve">contra el peticionario, </w:t>
      </w:r>
      <w:r w:rsidR="00656706" w:rsidRPr="00066E7D">
        <w:rPr>
          <w:rFonts w:asciiTheme="majorHAnsi" w:hAnsiTheme="majorHAnsi"/>
          <w:bCs/>
          <w:sz w:val="20"/>
          <w:szCs w:val="20"/>
          <w:lang w:val="es-ES_tradnl"/>
        </w:rPr>
        <w:t xml:space="preserve">que fue decidida </w:t>
      </w:r>
      <w:r w:rsidR="00816C8D" w:rsidRPr="00066E7D">
        <w:rPr>
          <w:rFonts w:asciiTheme="majorHAnsi" w:hAnsiTheme="majorHAnsi"/>
          <w:bCs/>
          <w:sz w:val="20"/>
          <w:szCs w:val="20"/>
          <w:lang w:val="es-ES_tradnl"/>
        </w:rPr>
        <w:t xml:space="preserve">en primera instancia </w:t>
      </w:r>
      <w:r w:rsidR="00656706" w:rsidRPr="00066E7D">
        <w:rPr>
          <w:rFonts w:asciiTheme="majorHAnsi" w:hAnsiTheme="majorHAnsi"/>
          <w:bCs/>
          <w:sz w:val="20"/>
          <w:szCs w:val="20"/>
          <w:lang w:val="es-ES_tradnl"/>
        </w:rPr>
        <w:t>por el Juzgado Tercero Penal Municipal con Función de Conocimiento de Manizales</w:t>
      </w:r>
      <w:r w:rsidR="00816C8D" w:rsidRPr="00066E7D">
        <w:rPr>
          <w:rFonts w:asciiTheme="majorHAnsi" w:hAnsiTheme="majorHAnsi"/>
          <w:bCs/>
          <w:sz w:val="20"/>
          <w:szCs w:val="20"/>
          <w:lang w:val="es-ES_tradnl"/>
        </w:rPr>
        <w:t xml:space="preserve">, </w:t>
      </w:r>
      <w:r w:rsidR="00AF1777" w:rsidRPr="00066E7D">
        <w:rPr>
          <w:rFonts w:asciiTheme="majorHAnsi" w:hAnsiTheme="majorHAnsi"/>
          <w:bCs/>
          <w:sz w:val="20"/>
          <w:szCs w:val="20"/>
          <w:lang w:val="es-ES_tradnl"/>
        </w:rPr>
        <w:t>en la que se condenó al peticionario por los delitos de injuria y calumnia</w:t>
      </w:r>
      <w:r w:rsidR="009D5C4F" w:rsidRPr="00066E7D">
        <w:rPr>
          <w:rFonts w:asciiTheme="majorHAnsi" w:hAnsiTheme="majorHAnsi"/>
          <w:bCs/>
          <w:sz w:val="20"/>
          <w:szCs w:val="20"/>
          <w:lang w:val="es-ES_tradnl"/>
        </w:rPr>
        <w:t xml:space="preserve"> a veintidós meses de prisión</w:t>
      </w:r>
      <w:r w:rsidR="00230780" w:rsidRPr="00066E7D">
        <w:rPr>
          <w:rFonts w:asciiTheme="majorHAnsi" w:hAnsiTheme="majorHAnsi"/>
          <w:bCs/>
          <w:sz w:val="20"/>
          <w:szCs w:val="20"/>
          <w:lang w:val="es-ES_tradnl"/>
        </w:rPr>
        <w:t xml:space="preserve">, </w:t>
      </w:r>
      <w:r w:rsidR="00CB4F8A" w:rsidRPr="00066E7D">
        <w:rPr>
          <w:rFonts w:asciiTheme="majorHAnsi" w:hAnsiTheme="majorHAnsi"/>
          <w:bCs/>
          <w:sz w:val="20"/>
          <w:szCs w:val="20"/>
          <w:lang w:val="es-ES_tradnl"/>
        </w:rPr>
        <w:t xml:space="preserve">pero fue absuelto </w:t>
      </w:r>
      <w:r w:rsidR="00CE2D21" w:rsidRPr="00066E7D">
        <w:rPr>
          <w:rFonts w:asciiTheme="majorHAnsi" w:hAnsiTheme="majorHAnsi"/>
          <w:bCs/>
          <w:sz w:val="20"/>
          <w:szCs w:val="20"/>
          <w:lang w:val="es-ES_tradnl"/>
        </w:rPr>
        <w:t xml:space="preserve">posteriormente </w:t>
      </w:r>
      <w:r w:rsidR="00990FDA" w:rsidRPr="00066E7D">
        <w:rPr>
          <w:rFonts w:asciiTheme="majorHAnsi" w:hAnsiTheme="majorHAnsi"/>
          <w:bCs/>
          <w:sz w:val="20"/>
          <w:szCs w:val="20"/>
          <w:lang w:val="es-ES_tradnl"/>
        </w:rPr>
        <w:t xml:space="preserve">por la Corte Suprema de Justicia </w:t>
      </w:r>
      <w:r w:rsidR="00CB4F8A" w:rsidRPr="00066E7D">
        <w:rPr>
          <w:rFonts w:asciiTheme="majorHAnsi" w:hAnsiTheme="majorHAnsi"/>
          <w:bCs/>
          <w:sz w:val="20"/>
          <w:szCs w:val="20"/>
          <w:lang w:val="es-ES_tradnl"/>
        </w:rPr>
        <w:t>el 23 de octubre de 2018.</w:t>
      </w:r>
    </w:p>
    <w:p w14:paraId="035F8174" w14:textId="3FB7E9C5" w:rsidR="006D67A8" w:rsidRPr="00066E7D" w:rsidRDefault="006C67DA" w:rsidP="007469AF">
      <w:pPr>
        <w:spacing w:before="240" w:after="240"/>
        <w:ind w:firstLine="720"/>
        <w:jc w:val="both"/>
        <w:rPr>
          <w:rFonts w:asciiTheme="majorHAnsi" w:hAnsiTheme="majorHAnsi"/>
          <w:bCs/>
          <w:sz w:val="20"/>
          <w:szCs w:val="20"/>
          <w:lang w:val="es-ES_tradnl"/>
        </w:rPr>
      </w:pPr>
      <w:r w:rsidRPr="00066E7D">
        <w:rPr>
          <w:rFonts w:asciiTheme="majorHAnsi" w:hAnsiTheme="majorHAnsi"/>
          <w:bCs/>
          <w:sz w:val="20"/>
          <w:szCs w:val="20"/>
          <w:lang w:val="es-ES_tradnl"/>
        </w:rPr>
        <w:t>7</w:t>
      </w:r>
      <w:r w:rsidR="006D67A8" w:rsidRPr="00066E7D">
        <w:rPr>
          <w:rFonts w:asciiTheme="majorHAnsi" w:hAnsiTheme="majorHAnsi"/>
          <w:bCs/>
          <w:sz w:val="20"/>
          <w:szCs w:val="20"/>
          <w:lang w:val="es-ES_tradnl"/>
        </w:rPr>
        <w:t>.</w:t>
      </w:r>
      <w:r w:rsidR="006D67A8" w:rsidRPr="00066E7D">
        <w:rPr>
          <w:rFonts w:asciiTheme="majorHAnsi" w:hAnsiTheme="majorHAnsi"/>
          <w:bCs/>
          <w:sz w:val="20"/>
          <w:szCs w:val="20"/>
          <w:lang w:val="es-ES_tradnl"/>
        </w:rPr>
        <w:tab/>
        <w:t>El peticionario alega que a la fecha no se ha demostrado</w:t>
      </w:r>
      <w:r w:rsidR="00B9040D" w:rsidRPr="00066E7D">
        <w:rPr>
          <w:rFonts w:asciiTheme="majorHAnsi" w:hAnsiTheme="majorHAnsi"/>
          <w:bCs/>
          <w:sz w:val="20"/>
          <w:szCs w:val="20"/>
          <w:lang w:val="es-ES_tradnl"/>
        </w:rPr>
        <w:t xml:space="preserve"> por ninguna autoridad judicial la imposibilidad de </w:t>
      </w:r>
      <w:r w:rsidR="00BF442B" w:rsidRPr="00066E7D">
        <w:rPr>
          <w:rFonts w:asciiTheme="majorHAnsi" w:hAnsiTheme="majorHAnsi"/>
          <w:bCs/>
          <w:sz w:val="20"/>
          <w:szCs w:val="20"/>
          <w:lang w:val="es-ES_tradnl"/>
        </w:rPr>
        <w:t>un reintegro al</w:t>
      </w:r>
      <w:r w:rsidR="00B9040D" w:rsidRPr="00066E7D">
        <w:rPr>
          <w:rFonts w:asciiTheme="majorHAnsi" w:hAnsiTheme="majorHAnsi"/>
          <w:bCs/>
          <w:sz w:val="20"/>
          <w:szCs w:val="20"/>
          <w:lang w:val="es-ES_tradnl"/>
        </w:rPr>
        <w:t xml:space="preserve"> cargo que ejerció</w:t>
      </w:r>
      <w:r w:rsidR="000B5621" w:rsidRPr="00066E7D">
        <w:rPr>
          <w:rFonts w:asciiTheme="majorHAnsi" w:hAnsiTheme="majorHAnsi"/>
          <w:bCs/>
          <w:sz w:val="20"/>
          <w:szCs w:val="20"/>
          <w:lang w:val="es-ES_tradnl"/>
        </w:rPr>
        <w:t xml:space="preserve">, </w:t>
      </w:r>
      <w:r w:rsidR="00BF442B" w:rsidRPr="00066E7D">
        <w:rPr>
          <w:rFonts w:asciiTheme="majorHAnsi" w:hAnsiTheme="majorHAnsi"/>
          <w:bCs/>
          <w:sz w:val="20"/>
          <w:szCs w:val="20"/>
          <w:lang w:val="es-ES_tradnl"/>
        </w:rPr>
        <w:t>como</w:t>
      </w:r>
      <w:r w:rsidR="000B5621" w:rsidRPr="00066E7D">
        <w:rPr>
          <w:rFonts w:asciiTheme="majorHAnsi" w:hAnsiTheme="majorHAnsi"/>
          <w:bCs/>
          <w:sz w:val="20"/>
          <w:szCs w:val="20"/>
          <w:lang w:val="es-ES_tradnl"/>
        </w:rPr>
        <w:t xml:space="preserve"> tampoco se le ha pagado la indemnización sustitutiva.</w:t>
      </w:r>
      <w:r w:rsidR="005D01BA" w:rsidRPr="00066E7D">
        <w:rPr>
          <w:rFonts w:asciiTheme="majorHAnsi" w:hAnsiTheme="majorHAnsi"/>
          <w:bCs/>
          <w:sz w:val="20"/>
          <w:szCs w:val="20"/>
          <w:lang w:val="es-ES_tradnl"/>
        </w:rPr>
        <w:t xml:space="preserve"> </w:t>
      </w:r>
      <w:r w:rsidR="000172CF" w:rsidRPr="00066E7D">
        <w:rPr>
          <w:rFonts w:asciiTheme="majorHAnsi" w:hAnsiTheme="majorHAnsi"/>
          <w:bCs/>
          <w:sz w:val="20"/>
          <w:szCs w:val="20"/>
          <w:lang w:val="es-ES_tradnl"/>
        </w:rPr>
        <w:t xml:space="preserve">Destaca que no se diferencia entre </w:t>
      </w:r>
      <w:r w:rsidR="00BF442B" w:rsidRPr="00066E7D">
        <w:rPr>
          <w:rFonts w:asciiTheme="majorHAnsi" w:hAnsiTheme="majorHAnsi"/>
          <w:bCs/>
          <w:sz w:val="20"/>
          <w:szCs w:val="20"/>
          <w:lang w:val="es-ES_tradnl"/>
        </w:rPr>
        <w:t xml:space="preserve">el </w:t>
      </w:r>
      <w:r w:rsidR="000172CF" w:rsidRPr="00066E7D">
        <w:rPr>
          <w:rFonts w:asciiTheme="majorHAnsi" w:hAnsiTheme="majorHAnsi"/>
          <w:bCs/>
          <w:sz w:val="20"/>
          <w:szCs w:val="20"/>
          <w:lang w:val="es-ES_tradnl"/>
        </w:rPr>
        <w:t xml:space="preserve">cumplimiento y </w:t>
      </w:r>
      <w:r w:rsidR="00BF442B" w:rsidRPr="00066E7D">
        <w:rPr>
          <w:rFonts w:asciiTheme="majorHAnsi" w:hAnsiTheme="majorHAnsi"/>
          <w:bCs/>
          <w:sz w:val="20"/>
          <w:szCs w:val="20"/>
          <w:lang w:val="es-ES_tradnl"/>
        </w:rPr>
        <w:t xml:space="preserve">el </w:t>
      </w:r>
      <w:r w:rsidR="000172CF" w:rsidRPr="00066E7D">
        <w:rPr>
          <w:rFonts w:asciiTheme="majorHAnsi" w:hAnsiTheme="majorHAnsi"/>
          <w:bCs/>
          <w:sz w:val="20"/>
          <w:szCs w:val="20"/>
          <w:lang w:val="es-ES_tradnl"/>
        </w:rPr>
        <w:t xml:space="preserve">desacato, </w:t>
      </w:r>
      <w:r w:rsidR="00BF442B" w:rsidRPr="00066E7D">
        <w:rPr>
          <w:rFonts w:asciiTheme="majorHAnsi" w:hAnsiTheme="majorHAnsi"/>
          <w:bCs/>
          <w:sz w:val="20"/>
          <w:szCs w:val="20"/>
          <w:lang w:val="es-ES_tradnl"/>
        </w:rPr>
        <w:t>ni</w:t>
      </w:r>
      <w:r w:rsidR="000172CF" w:rsidRPr="00066E7D">
        <w:rPr>
          <w:rFonts w:asciiTheme="majorHAnsi" w:hAnsiTheme="majorHAnsi"/>
          <w:bCs/>
          <w:sz w:val="20"/>
          <w:szCs w:val="20"/>
          <w:lang w:val="es-ES_tradnl"/>
        </w:rPr>
        <w:t xml:space="preserve"> </w:t>
      </w:r>
      <w:r w:rsidR="00805741" w:rsidRPr="00066E7D">
        <w:rPr>
          <w:rFonts w:asciiTheme="majorHAnsi" w:hAnsiTheme="majorHAnsi"/>
          <w:bCs/>
          <w:sz w:val="20"/>
          <w:szCs w:val="20"/>
          <w:lang w:val="es-ES_tradnl"/>
        </w:rPr>
        <w:t xml:space="preserve">entre </w:t>
      </w:r>
      <w:r w:rsidR="00BF442B" w:rsidRPr="00066E7D">
        <w:rPr>
          <w:rFonts w:asciiTheme="majorHAnsi" w:hAnsiTheme="majorHAnsi"/>
          <w:bCs/>
          <w:sz w:val="20"/>
          <w:szCs w:val="20"/>
          <w:lang w:val="es-ES_tradnl"/>
        </w:rPr>
        <w:t xml:space="preserve">el </w:t>
      </w:r>
      <w:r w:rsidR="000172CF" w:rsidRPr="00066E7D">
        <w:rPr>
          <w:rFonts w:asciiTheme="majorHAnsi" w:hAnsiTheme="majorHAnsi"/>
          <w:bCs/>
          <w:sz w:val="20"/>
          <w:szCs w:val="20"/>
          <w:lang w:val="es-ES_tradnl"/>
        </w:rPr>
        <w:t xml:space="preserve">despido injusto </w:t>
      </w:r>
      <w:r w:rsidR="00805741" w:rsidRPr="00066E7D">
        <w:rPr>
          <w:rFonts w:asciiTheme="majorHAnsi" w:hAnsiTheme="majorHAnsi"/>
          <w:bCs/>
          <w:sz w:val="20"/>
          <w:szCs w:val="20"/>
          <w:lang w:val="es-ES_tradnl"/>
        </w:rPr>
        <w:t xml:space="preserve">y </w:t>
      </w:r>
      <w:r w:rsidR="00E406C7" w:rsidRPr="00066E7D">
        <w:rPr>
          <w:rFonts w:asciiTheme="majorHAnsi" w:hAnsiTheme="majorHAnsi"/>
          <w:bCs/>
          <w:sz w:val="20"/>
          <w:szCs w:val="20"/>
          <w:lang w:val="es-ES_tradnl"/>
        </w:rPr>
        <w:t>la</w:t>
      </w:r>
      <w:r w:rsidR="00BF442B" w:rsidRPr="00066E7D">
        <w:rPr>
          <w:rFonts w:asciiTheme="majorHAnsi" w:hAnsiTheme="majorHAnsi"/>
          <w:bCs/>
          <w:sz w:val="20"/>
          <w:szCs w:val="20"/>
          <w:lang w:val="es-ES_tradnl"/>
        </w:rPr>
        <w:t xml:space="preserve"> </w:t>
      </w:r>
      <w:r w:rsidR="000172CF" w:rsidRPr="00066E7D">
        <w:rPr>
          <w:rFonts w:asciiTheme="majorHAnsi" w:hAnsiTheme="majorHAnsi"/>
          <w:bCs/>
          <w:sz w:val="20"/>
          <w:szCs w:val="20"/>
          <w:lang w:val="es-ES_tradnl"/>
        </w:rPr>
        <w:t xml:space="preserve">indemnización sustitutiva </w:t>
      </w:r>
      <w:r w:rsidR="000D14A0" w:rsidRPr="00066E7D">
        <w:rPr>
          <w:rFonts w:asciiTheme="majorHAnsi" w:hAnsiTheme="majorHAnsi"/>
          <w:bCs/>
          <w:sz w:val="20"/>
          <w:szCs w:val="20"/>
          <w:lang w:val="es-ES_tradnl"/>
        </w:rPr>
        <w:t>por el reintegro</w:t>
      </w:r>
      <w:r w:rsidR="000172CF" w:rsidRPr="00066E7D">
        <w:rPr>
          <w:rFonts w:asciiTheme="majorHAnsi" w:hAnsiTheme="majorHAnsi"/>
          <w:bCs/>
          <w:sz w:val="20"/>
          <w:szCs w:val="20"/>
          <w:lang w:val="es-ES_tradnl"/>
        </w:rPr>
        <w:t xml:space="preserve"> por fuero sindical. </w:t>
      </w:r>
      <w:r w:rsidR="00E406C7" w:rsidRPr="00066E7D">
        <w:rPr>
          <w:rFonts w:asciiTheme="majorHAnsi" w:hAnsiTheme="majorHAnsi"/>
          <w:bCs/>
          <w:sz w:val="20"/>
          <w:szCs w:val="20"/>
          <w:lang w:val="es-ES_tradnl"/>
        </w:rPr>
        <w:t xml:space="preserve">Concluye que la violación a sus </w:t>
      </w:r>
      <w:r w:rsidR="00E60707" w:rsidRPr="00066E7D">
        <w:rPr>
          <w:rFonts w:asciiTheme="majorHAnsi" w:hAnsiTheme="majorHAnsi"/>
          <w:bCs/>
          <w:sz w:val="20"/>
          <w:szCs w:val="20"/>
          <w:lang w:val="es-ES_tradnl"/>
        </w:rPr>
        <w:t>derechos,</w:t>
      </w:r>
      <w:r w:rsidR="00E406C7" w:rsidRPr="00066E7D">
        <w:rPr>
          <w:rFonts w:asciiTheme="majorHAnsi" w:hAnsiTheme="majorHAnsi"/>
          <w:bCs/>
          <w:sz w:val="20"/>
          <w:szCs w:val="20"/>
          <w:lang w:val="es-ES_tradnl"/>
        </w:rPr>
        <w:t xml:space="preserve"> a la igualdad, </w:t>
      </w:r>
      <w:r w:rsidR="00AB7A9B" w:rsidRPr="00066E7D">
        <w:rPr>
          <w:rFonts w:asciiTheme="majorHAnsi" w:hAnsiTheme="majorHAnsi"/>
          <w:bCs/>
          <w:sz w:val="20"/>
          <w:szCs w:val="20"/>
          <w:lang w:val="es-ES_tradnl"/>
        </w:rPr>
        <w:t xml:space="preserve">al </w:t>
      </w:r>
      <w:r w:rsidR="00E406C7" w:rsidRPr="00066E7D">
        <w:rPr>
          <w:rFonts w:asciiTheme="majorHAnsi" w:hAnsiTheme="majorHAnsi"/>
          <w:bCs/>
          <w:sz w:val="20"/>
          <w:szCs w:val="20"/>
          <w:lang w:val="es-ES_tradnl"/>
        </w:rPr>
        <w:t xml:space="preserve">debido proceso, </w:t>
      </w:r>
      <w:r w:rsidR="00AB7A9B" w:rsidRPr="00066E7D">
        <w:rPr>
          <w:rFonts w:asciiTheme="majorHAnsi" w:hAnsiTheme="majorHAnsi"/>
          <w:bCs/>
          <w:sz w:val="20"/>
          <w:szCs w:val="20"/>
          <w:lang w:val="es-ES_tradnl"/>
        </w:rPr>
        <w:t xml:space="preserve">a la </w:t>
      </w:r>
      <w:r w:rsidR="00E406C7" w:rsidRPr="00066E7D">
        <w:rPr>
          <w:rFonts w:asciiTheme="majorHAnsi" w:hAnsiTheme="majorHAnsi"/>
          <w:bCs/>
          <w:sz w:val="20"/>
          <w:szCs w:val="20"/>
          <w:lang w:val="es-ES_tradnl"/>
        </w:rPr>
        <w:t xml:space="preserve">subsistencia digna, a la vida, al mínimo vital, </w:t>
      </w:r>
      <w:r w:rsidR="008F1DA0" w:rsidRPr="00066E7D">
        <w:rPr>
          <w:rFonts w:asciiTheme="majorHAnsi" w:hAnsiTheme="majorHAnsi"/>
          <w:bCs/>
          <w:sz w:val="20"/>
          <w:szCs w:val="20"/>
          <w:lang w:val="es-ES_tradnl"/>
        </w:rPr>
        <w:t>a la propiedad, a la defensa</w:t>
      </w:r>
      <w:r w:rsidR="00AB7A9B" w:rsidRPr="00066E7D">
        <w:rPr>
          <w:rFonts w:asciiTheme="majorHAnsi" w:hAnsiTheme="majorHAnsi"/>
          <w:bCs/>
          <w:sz w:val="20"/>
          <w:szCs w:val="20"/>
          <w:lang w:val="es-ES_tradnl"/>
        </w:rPr>
        <w:t xml:space="preserve"> y</w:t>
      </w:r>
      <w:r w:rsidR="008F1DA0" w:rsidRPr="00066E7D">
        <w:rPr>
          <w:rFonts w:asciiTheme="majorHAnsi" w:hAnsiTheme="majorHAnsi"/>
          <w:bCs/>
          <w:sz w:val="20"/>
          <w:szCs w:val="20"/>
          <w:lang w:val="es-ES_tradnl"/>
        </w:rPr>
        <w:t xml:space="preserve"> </w:t>
      </w:r>
      <w:r w:rsidR="00AB7A9B" w:rsidRPr="00066E7D">
        <w:rPr>
          <w:rFonts w:asciiTheme="majorHAnsi" w:hAnsiTheme="majorHAnsi"/>
          <w:bCs/>
          <w:sz w:val="20"/>
          <w:szCs w:val="20"/>
          <w:lang w:val="es-ES_tradnl"/>
        </w:rPr>
        <w:t xml:space="preserve">al </w:t>
      </w:r>
      <w:r w:rsidR="00805741" w:rsidRPr="00066E7D">
        <w:rPr>
          <w:rFonts w:asciiTheme="majorHAnsi" w:hAnsiTheme="majorHAnsi"/>
          <w:bCs/>
          <w:sz w:val="20"/>
          <w:szCs w:val="20"/>
          <w:lang w:val="es-ES_tradnl"/>
        </w:rPr>
        <w:t>acceso</w:t>
      </w:r>
      <w:r w:rsidR="008F1DA0" w:rsidRPr="00066E7D">
        <w:rPr>
          <w:rFonts w:asciiTheme="majorHAnsi" w:hAnsiTheme="majorHAnsi"/>
          <w:bCs/>
          <w:sz w:val="20"/>
          <w:szCs w:val="20"/>
          <w:lang w:val="es-ES_tradnl"/>
        </w:rPr>
        <w:t xml:space="preserve"> a la justicia</w:t>
      </w:r>
      <w:r w:rsidR="00AB7A9B" w:rsidRPr="00066E7D">
        <w:rPr>
          <w:rFonts w:asciiTheme="majorHAnsi" w:hAnsiTheme="majorHAnsi"/>
          <w:bCs/>
          <w:sz w:val="20"/>
          <w:szCs w:val="20"/>
          <w:lang w:val="es-ES_tradnl"/>
        </w:rPr>
        <w:t xml:space="preserve"> </w:t>
      </w:r>
      <w:r w:rsidR="00E406C7" w:rsidRPr="00066E7D">
        <w:rPr>
          <w:rFonts w:asciiTheme="majorHAnsi" w:hAnsiTheme="majorHAnsi"/>
          <w:bCs/>
          <w:sz w:val="20"/>
          <w:szCs w:val="20"/>
          <w:lang w:val="es-ES_tradnl"/>
        </w:rPr>
        <w:t>se mantiene hasta la fecha</w:t>
      </w:r>
      <w:r w:rsidR="001B387E" w:rsidRPr="00066E7D">
        <w:rPr>
          <w:rFonts w:asciiTheme="majorHAnsi" w:hAnsiTheme="majorHAnsi"/>
          <w:bCs/>
          <w:sz w:val="20"/>
          <w:szCs w:val="20"/>
          <w:lang w:val="es-ES_tradnl"/>
        </w:rPr>
        <w:t xml:space="preserve">, resaltando </w:t>
      </w:r>
      <w:r w:rsidR="00AB7A9B" w:rsidRPr="00066E7D">
        <w:rPr>
          <w:rFonts w:asciiTheme="majorHAnsi" w:hAnsiTheme="majorHAnsi"/>
          <w:bCs/>
          <w:sz w:val="20"/>
          <w:szCs w:val="20"/>
          <w:lang w:val="es-ES_tradnl"/>
        </w:rPr>
        <w:t xml:space="preserve">que </w:t>
      </w:r>
      <w:r w:rsidR="008F79DC" w:rsidRPr="00066E7D">
        <w:rPr>
          <w:rFonts w:asciiTheme="majorHAnsi" w:hAnsiTheme="majorHAnsi"/>
          <w:bCs/>
          <w:sz w:val="20"/>
          <w:szCs w:val="20"/>
          <w:lang w:val="es-ES_tradnl"/>
        </w:rPr>
        <w:t xml:space="preserve">actualmente </w:t>
      </w:r>
      <w:r w:rsidR="00AB7A9B" w:rsidRPr="00066E7D">
        <w:rPr>
          <w:rFonts w:asciiTheme="majorHAnsi" w:hAnsiTheme="majorHAnsi"/>
          <w:bCs/>
          <w:sz w:val="20"/>
          <w:szCs w:val="20"/>
          <w:lang w:val="es-ES_tradnl"/>
        </w:rPr>
        <w:t xml:space="preserve">se encuentra en indefensión total porque </w:t>
      </w:r>
      <w:r w:rsidR="00805741" w:rsidRPr="00066E7D">
        <w:rPr>
          <w:rFonts w:asciiTheme="majorHAnsi" w:hAnsiTheme="majorHAnsi"/>
          <w:bCs/>
          <w:sz w:val="20"/>
          <w:szCs w:val="20"/>
          <w:lang w:val="es-ES_tradnl"/>
        </w:rPr>
        <w:t xml:space="preserve">contra la sentencia </w:t>
      </w:r>
      <w:r w:rsidR="008F79DC" w:rsidRPr="00066E7D">
        <w:rPr>
          <w:rFonts w:asciiTheme="majorHAnsi" w:hAnsiTheme="majorHAnsi"/>
          <w:bCs/>
          <w:sz w:val="20"/>
          <w:szCs w:val="20"/>
          <w:lang w:val="es-ES_tradnl"/>
        </w:rPr>
        <w:t>que</w:t>
      </w:r>
      <w:r w:rsidR="00805741" w:rsidRPr="00066E7D">
        <w:rPr>
          <w:rFonts w:asciiTheme="majorHAnsi" w:hAnsiTheme="majorHAnsi"/>
          <w:bCs/>
          <w:sz w:val="20"/>
          <w:szCs w:val="20"/>
          <w:lang w:val="es-ES_tradnl"/>
        </w:rPr>
        <w:t xml:space="preserve"> </w:t>
      </w:r>
      <w:r w:rsidR="001B387E" w:rsidRPr="00066E7D">
        <w:rPr>
          <w:rFonts w:asciiTheme="majorHAnsi" w:hAnsiTheme="majorHAnsi"/>
          <w:bCs/>
          <w:sz w:val="20"/>
          <w:szCs w:val="20"/>
          <w:lang w:val="es-ES_tradnl"/>
        </w:rPr>
        <w:t>decidió</w:t>
      </w:r>
      <w:r w:rsidR="008F79DC" w:rsidRPr="00066E7D">
        <w:rPr>
          <w:rFonts w:asciiTheme="majorHAnsi" w:hAnsiTheme="majorHAnsi"/>
          <w:bCs/>
          <w:sz w:val="20"/>
          <w:szCs w:val="20"/>
          <w:lang w:val="es-ES_tradnl"/>
        </w:rPr>
        <w:t xml:space="preserve"> </w:t>
      </w:r>
      <w:r w:rsidR="00635AFC" w:rsidRPr="00066E7D">
        <w:rPr>
          <w:rFonts w:asciiTheme="majorHAnsi" w:hAnsiTheme="majorHAnsi"/>
          <w:bCs/>
          <w:sz w:val="20"/>
          <w:szCs w:val="20"/>
          <w:lang w:val="es-ES_tradnl"/>
        </w:rPr>
        <w:t xml:space="preserve">desfavorablemente el incidente de desacato </w:t>
      </w:r>
      <w:r w:rsidR="00805741" w:rsidRPr="00066E7D">
        <w:rPr>
          <w:rFonts w:asciiTheme="majorHAnsi" w:hAnsiTheme="majorHAnsi"/>
          <w:bCs/>
          <w:sz w:val="20"/>
          <w:szCs w:val="20"/>
          <w:lang w:val="es-ES_tradnl"/>
        </w:rPr>
        <w:t>no procede recurso alguno</w:t>
      </w:r>
      <w:r w:rsidR="001B387E" w:rsidRPr="00066E7D">
        <w:rPr>
          <w:rFonts w:asciiTheme="majorHAnsi" w:hAnsiTheme="majorHAnsi"/>
          <w:bCs/>
          <w:sz w:val="20"/>
          <w:szCs w:val="20"/>
          <w:lang w:val="es-ES_tradnl"/>
        </w:rPr>
        <w:t>;</w:t>
      </w:r>
      <w:r w:rsidR="00805741" w:rsidRPr="00066E7D">
        <w:rPr>
          <w:rFonts w:asciiTheme="majorHAnsi" w:hAnsiTheme="majorHAnsi"/>
          <w:bCs/>
          <w:sz w:val="20"/>
          <w:szCs w:val="20"/>
          <w:lang w:val="es-ES_tradnl"/>
        </w:rPr>
        <w:t xml:space="preserve"> </w:t>
      </w:r>
      <w:r w:rsidR="00635AFC" w:rsidRPr="00066E7D">
        <w:rPr>
          <w:rFonts w:asciiTheme="majorHAnsi" w:hAnsiTheme="majorHAnsi"/>
          <w:bCs/>
          <w:sz w:val="20"/>
          <w:szCs w:val="20"/>
          <w:lang w:val="es-ES_tradnl"/>
        </w:rPr>
        <w:t xml:space="preserve">y porque </w:t>
      </w:r>
      <w:r w:rsidR="00805741" w:rsidRPr="00066E7D">
        <w:rPr>
          <w:rFonts w:asciiTheme="majorHAnsi" w:hAnsiTheme="majorHAnsi"/>
          <w:bCs/>
          <w:sz w:val="20"/>
          <w:szCs w:val="20"/>
          <w:lang w:val="es-ES_tradnl"/>
        </w:rPr>
        <w:t xml:space="preserve">al ser sancionado por temeridad, </w:t>
      </w:r>
      <w:r w:rsidR="00AB7A9B" w:rsidRPr="00066E7D">
        <w:rPr>
          <w:rFonts w:asciiTheme="majorHAnsi" w:hAnsiTheme="majorHAnsi"/>
          <w:bCs/>
          <w:sz w:val="20"/>
          <w:szCs w:val="20"/>
          <w:lang w:val="es-ES_tradnl"/>
        </w:rPr>
        <w:t>se l</w:t>
      </w:r>
      <w:r w:rsidR="001B387E" w:rsidRPr="00066E7D">
        <w:rPr>
          <w:rFonts w:asciiTheme="majorHAnsi" w:hAnsiTheme="majorHAnsi"/>
          <w:bCs/>
          <w:sz w:val="20"/>
          <w:szCs w:val="20"/>
          <w:lang w:val="es-ES_tradnl"/>
        </w:rPr>
        <w:t>e</w:t>
      </w:r>
      <w:r w:rsidR="00AB7A9B" w:rsidRPr="00066E7D">
        <w:rPr>
          <w:rFonts w:asciiTheme="majorHAnsi" w:hAnsiTheme="majorHAnsi"/>
          <w:bCs/>
          <w:sz w:val="20"/>
          <w:szCs w:val="20"/>
          <w:lang w:val="es-ES_tradnl"/>
        </w:rPr>
        <w:t xml:space="preserve"> </w:t>
      </w:r>
      <w:r w:rsidR="003C26BB" w:rsidRPr="00066E7D">
        <w:rPr>
          <w:rFonts w:asciiTheme="majorHAnsi" w:hAnsiTheme="majorHAnsi"/>
          <w:bCs/>
          <w:sz w:val="20"/>
          <w:szCs w:val="20"/>
          <w:lang w:val="es-ES_tradnl"/>
        </w:rPr>
        <w:t>cerró</w:t>
      </w:r>
      <w:r w:rsidR="00805741" w:rsidRPr="00066E7D">
        <w:rPr>
          <w:rFonts w:asciiTheme="majorHAnsi" w:hAnsiTheme="majorHAnsi"/>
          <w:bCs/>
          <w:sz w:val="20"/>
          <w:szCs w:val="20"/>
          <w:lang w:val="es-ES_tradnl"/>
        </w:rPr>
        <w:t xml:space="preserve"> la posibilidad de recurrir ante los entes judiciales.</w:t>
      </w:r>
      <w:r w:rsidR="00AB7A9B" w:rsidRPr="00066E7D">
        <w:rPr>
          <w:rFonts w:asciiTheme="majorHAnsi" w:hAnsiTheme="majorHAnsi"/>
          <w:bCs/>
          <w:sz w:val="20"/>
          <w:szCs w:val="20"/>
          <w:lang w:val="es-ES_tradnl"/>
        </w:rPr>
        <w:t xml:space="preserve"> </w:t>
      </w:r>
    </w:p>
    <w:p w14:paraId="45CCD088" w14:textId="37CEA9A5" w:rsidR="00E5175C" w:rsidRPr="00066E7D" w:rsidRDefault="006C67DA" w:rsidP="00E60707">
      <w:pPr>
        <w:spacing w:before="240" w:after="240"/>
        <w:ind w:firstLine="720"/>
        <w:jc w:val="both"/>
        <w:rPr>
          <w:rFonts w:asciiTheme="majorHAnsi" w:hAnsiTheme="majorHAnsi"/>
          <w:bCs/>
          <w:sz w:val="20"/>
          <w:szCs w:val="20"/>
          <w:lang w:val="es-ES_tradnl"/>
        </w:rPr>
      </w:pPr>
      <w:r w:rsidRPr="00066E7D">
        <w:rPr>
          <w:rFonts w:asciiTheme="majorHAnsi" w:hAnsiTheme="majorHAnsi"/>
          <w:bCs/>
          <w:sz w:val="20"/>
          <w:szCs w:val="20"/>
          <w:lang w:val="es-ES_tradnl"/>
        </w:rPr>
        <w:t>8</w:t>
      </w:r>
      <w:r w:rsidR="00856AAC" w:rsidRPr="00066E7D">
        <w:rPr>
          <w:rFonts w:asciiTheme="majorHAnsi" w:hAnsiTheme="majorHAnsi"/>
          <w:bCs/>
          <w:sz w:val="20"/>
          <w:szCs w:val="20"/>
          <w:lang w:val="es-ES_tradnl"/>
        </w:rPr>
        <w:t>.</w:t>
      </w:r>
      <w:r w:rsidR="00856AAC" w:rsidRPr="00066E7D">
        <w:rPr>
          <w:rFonts w:asciiTheme="majorHAnsi" w:hAnsiTheme="majorHAnsi"/>
          <w:bCs/>
          <w:sz w:val="20"/>
          <w:szCs w:val="20"/>
          <w:lang w:val="es-ES_tradnl"/>
        </w:rPr>
        <w:tab/>
        <w:t>El Estado</w:t>
      </w:r>
      <w:r w:rsidR="00A1049F" w:rsidRPr="00066E7D">
        <w:rPr>
          <w:rFonts w:asciiTheme="majorHAnsi" w:hAnsiTheme="majorHAnsi"/>
          <w:bCs/>
          <w:sz w:val="20"/>
          <w:szCs w:val="20"/>
          <w:lang w:val="es-ES_tradnl"/>
        </w:rPr>
        <w:t xml:space="preserve"> colombiano, por su parte,</w:t>
      </w:r>
      <w:r w:rsidR="00856AAC" w:rsidRPr="00066E7D">
        <w:rPr>
          <w:rFonts w:asciiTheme="majorHAnsi" w:hAnsiTheme="majorHAnsi"/>
          <w:bCs/>
          <w:sz w:val="20"/>
          <w:szCs w:val="20"/>
          <w:lang w:val="es-ES_tradnl"/>
        </w:rPr>
        <w:t xml:space="preserve"> </w:t>
      </w:r>
      <w:r w:rsidR="00A1049F" w:rsidRPr="00066E7D">
        <w:rPr>
          <w:rFonts w:asciiTheme="majorHAnsi" w:hAnsiTheme="majorHAnsi"/>
          <w:bCs/>
          <w:sz w:val="20"/>
          <w:szCs w:val="20"/>
          <w:lang w:val="es-ES_tradnl"/>
        </w:rPr>
        <w:t>alega</w:t>
      </w:r>
      <w:r w:rsidR="00856AAC" w:rsidRPr="00066E7D">
        <w:rPr>
          <w:rFonts w:asciiTheme="majorHAnsi" w:hAnsiTheme="majorHAnsi"/>
          <w:bCs/>
          <w:sz w:val="20"/>
          <w:szCs w:val="20"/>
          <w:lang w:val="es-ES_tradnl"/>
        </w:rPr>
        <w:t xml:space="preserve"> que el peticionario adelantó procedimientos legales y acciones judiciales </w:t>
      </w:r>
      <w:r w:rsidR="00F16409" w:rsidRPr="00066E7D">
        <w:rPr>
          <w:rFonts w:asciiTheme="majorHAnsi" w:hAnsiTheme="majorHAnsi"/>
          <w:bCs/>
          <w:sz w:val="20"/>
          <w:szCs w:val="20"/>
          <w:lang w:val="es-ES_tradnl"/>
        </w:rPr>
        <w:t>que</w:t>
      </w:r>
      <w:r w:rsidR="00C35912" w:rsidRPr="00066E7D">
        <w:rPr>
          <w:rFonts w:asciiTheme="majorHAnsi" w:hAnsiTheme="majorHAnsi"/>
          <w:bCs/>
          <w:sz w:val="20"/>
          <w:szCs w:val="20"/>
          <w:lang w:val="es-ES_tradnl"/>
        </w:rPr>
        <w:t xml:space="preserve"> han variado los supuestos de hecho que dieron origen a las decisiones judiciales </w:t>
      </w:r>
      <w:r w:rsidR="00F16409" w:rsidRPr="00066E7D">
        <w:rPr>
          <w:rFonts w:asciiTheme="majorHAnsi" w:hAnsiTheme="majorHAnsi"/>
          <w:bCs/>
          <w:sz w:val="20"/>
          <w:szCs w:val="20"/>
          <w:lang w:val="es-ES_tradnl"/>
        </w:rPr>
        <w:t xml:space="preserve">por las cuales alega una supuesta vulneración a sus derechos. En este orden de ideas, </w:t>
      </w:r>
      <w:r w:rsidR="00A1049F" w:rsidRPr="00066E7D">
        <w:rPr>
          <w:rFonts w:asciiTheme="majorHAnsi" w:hAnsiTheme="majorHAnsi"/>
          <w:bCs/>
          <w:sz w:val="20"/>
          <w:szCs w:val="20"/>
          <w:lang w:val="es-ES_tradnl"/>
        </w:rPr>
        <w:t xml:space="preserve">el peticionario </w:t>
      </w:r>
      <w:r w:rsidR="00F16409" w:rsidRPr="00066E7D">
        <w:rPr>
          <w:rFonts w:asciiTheme="majorHAnsi" w:hAnsiTheme="majorHAnsi"/>
          <w:bCs/>
          <w:sz w:val="20"/>
          <w:szCs w:val="20"/>
          <w:lang w:val="es-ES_tradnl"/>
        </w:rPr>
        <w:t xml:space="preserve">pretende </w:t>
      </w:r>
      <w:r w:rsidR="00112396" w:rsidRPr="00066E7D">
        <w:rPr>
          <w:rFonts w:asciiTheme="majorHAnsi" w:hAnsiTheme="majorHAnsi"/>
          <w:bCs/>
          <w:sz w:val="20"/>
          <w:szCs w:val="20"/>
          <w:lang w:val="es-ES_tradnl"/>
        </w:rPr>
        <w:t xml:space="preserve">que se extienda en el tiempo los efectos de la sentencia decidida el 13 de julio de 2001 por el Tribunal Superior de Bogotá </w:t>
      </w:r>
      <w:r w:rsidR="00C0627C" w:rsidRPr="00066E7D">
        <w:rPr>
          <w:rFonts w:asciiTheme="majorHAnsi" w:hAnsiTheme="majorHAnsi"/>
          <w:bCs/>
          <w:sz w:val="20"/>
          <w:szCs w:val="20"/>
          <w:lang w:val="es-ES_tradnl"/>
        </w:rPr>
        <w:t>y la</w:t>
      </w:r>
      <w:r w:rsidR="00112396" w:rsidRPr="00066E7D">
        <w:rPr>
          <w:rFonts w:asciiTheme="majorHAnsi" w:hAnsiTheme="majorHAnsi"/>
          <w:bCs/>
          <w:sz w:val="20"/>
          <w:szCs w:val="20"/>
          <w:lang w:val="es-ES_tradnl"/>
        </w:rPr>
        <w:t xml:space="preserve"> sentencia T-323 de 2005</w:t>
      </w:r>
      <w:r w:rsidR="00E60707" w:rsidRPr="00066E7D">
        <w:rPr>
          <w:rFonts w:asciiTheme="majorHAnsi" w:hAnsiTheme="majorHAnsi"/>
          <w:bCs/>
          <w:sz w:val="20"/>
          <w:szCs w:val="20"/>
          <w:lang w:val="es-ES_tradnl"/>
        </w:rPr>
        <w:t xml:space="preserve">, situación que es contraria a </w:t>
      </w:r>
      <w:r w:rsidR="00BB7D73" w:rsidRPr="00066E7D">
        <w:rPr>
          <w:rFonts w:asciiTheme="majorHAnsi" w:hAnsiTheme="majorHAnsi"/>
          <w:bCs/>
          <w:sz w:val="20"/>
          <w:szCs w:val="20"/>
          <w:lang w:val="es-ES_tradnl"/>
        </w:rPr>
        <w:t>la lealtad procesal.</w:t>
      </w:r>
      <w:r w:rsidR="005D6331" w:rsidRPr="00066E7D">
        <w:rPr>
          <w:rFonts w:asciiTheme="majorHAnsi" w:hAnsiTheme="majorHAnsi"/>
          <w:bCs/>
          <w:sz w:val="20"/>
          <w:szCs w:val="20"/>
          <w:lang w:val="es-ES_tradnl"/>
        </w:rPr>
        <w:t xml:space="preserve"> </w:t>
      </w:r>
      <w:r w:rsidR="00E60707" w:rsidRPr="00066E7D">
        <w:rPr>
          <w:rFonts w:asciiTheme="majorHAnsi" w:hAnsiTheme="majorHAnsi"/>
          <w:bCs/>
          <w:sz w:val="20"/>
          <w:szCs w:val="20"/>
          <w:lang w:val="es-ES_tradnl"/>
        </w:rPr>
        <w:t>Por ende, c</w:t>
      </w:r>
      <w:r w:rsidR="00E5175C" w:rsidRPr="00066E7D">
        <w:rPr>
          <w:rFonts w:asciiTheme="majorHAnsi" w:hAnsiTheme="majorHAnsi"/>
          <w:bCs/>
          <w:sz w:val="20"/>
          <w:szCs w:val="20"/>
          <w:lang w:val="es-ES_tradnl"/>
        </w:rPr>
        <w:t>on la finalidad de sustentar la solicitud de inadmisibilidad de la petición</w:t>
      </w:r>
      <w:r w:rsidR="00671E3C" w:rsidRPr="00066E7D">
        <w:rPr>
          <w:rFonts w:asciiTheme="majorHAnsi" w:hAnsiTheme="majorHAnsi"/>
          <w:bCs/>
          <w:sz w:val="20"/>
          <w:szCs w:val="20"/>
          <w:lang w:val="es-ES_tradnl"/>
        </w:rPr>
        <w:t xml:space="preserve">, </w:t>
      </w:r>
      <w:r w:rsidR="00E60707" w:rsidRPr="00066E7D">
        <w:rPr>
          <w:rFonts w:asciiTheme="majorHAnsi" w:hAnsiTheme="majorHAnsi"/>
          <w:bCs/>
          <w:sz w:val="20"/>
          <w:szCs w:val="20"/>
          <w:lang w:val="es-ES_tradnl"/>
        </w:rPr>
        <w:t xml:space="preserve">Colombia </w:t>
      </w:r>
      <w:r w:rsidR="00671E3C" w:rsidRPr="00066E7D">
        <w:rPr>
          <w:rFonts w:asciiTheme="majorHAnsi" w:hAnsiTheme="majorHAnsi"/>
          <w:bCs/>
          <w:sz w:val="20"/>
          <w:szCs w:val="20"/>
          <w:lang w:val="es-ES_tradnl"/>
        </w:rPr>
        <w:t>hace un recuento de las principales acciones judiciales y procedimientos que se adelantaron durante el proceso</w:t>
      </w:r>
      <w:r w:rsidR="0092149D" w:rsidRPr="00066E7D">
        <w:rPr>
          <w:rFonts w:asciiTheme="majorHAnsi" w:hAnsiTheme="majorHAnsi"/>
          <w:bCs/>
          <w:sz w:val="20"/>
          <w:szCs w:val="20"/>
          <w:lang w:val="es-ES_tradnl"/>
        </w:rPr>
        <w:t>:</w:t>
      </w:r>
      <w:r w:rsidR="00E5175C" w:rsidRPr="00066E7D">
        <w:rPr>
          <w:rFonts w:asciiTheme="majorHAnsi" w:hAnsiTheme="majorHAnsi"/>
          <w:bCs/>
          <w:sz w:val="20"/>
          <w:szCs w:val="20"/>
          <w:lang w:val="es-ES_tradnl"/>
        </w:rPr>
        <w:t xml:space="preserve"> </w:t>
      </w:r>
    </w:p>
    <w:p w14:paraId="5D4DA40B" w14:textId="39337072" w:rsidR="00983A67" w:rsidRPr="00066E7D" w:rsidRDefault="00983A67" w:rsidP="00A1049F">
      <w:pPr>
        <w:spacing w:before="240" w:after="240"/>
        <w:ind w:firstLine="720"/>
        <w:jc w:val="both"/>
        <w:rPr>
          <w:rFonts w:asciiTheme="majorHAnsi" w:hAnsiTheme="majorHAnsi"/>
          <w:bCs/>
          <w:sz w:val="20"/>
          <w:szCs w:val="20"/>
          <w:lang w:val="es-ES_tradnl"/>
        </w:rPr>
      </w:pPr>
      <w:r w:rsidRPr="00066E7D">
        <w:rPr>
          <w:rFonts w:asciiTheme="majorHAnsi" w:hAnsiTheme="majorHAnsi"/>
          <w:bCs/>
          <w:sz w:val="20"/>
          <w:szCs w:val="20"/>
          <w:lang w:val="es-ES_tradnl"/>
        </w:rPr>
        <w:t xml:space="preserve">(i) </w:t>
      </w:r>
      <w:r w:rsidR="00A1049F" w:rsidRPr="00066E7D">
        <w:rPr>
          <w:rFonts w:asciiTheme="majorHAnsi" w:hAnsiTheme="majorHAnsi"/>
          <w:bCs/>
          <w:sz w:val="20"/>
          <w:szCs w:val="20"/>
          <w:lang w:val="es-ES_tradnl"/>
        </w:rPr>
        <w:tab/>
      </w:r>
      <w:r w:rsidRPr="00066E7D">
        <w:rPr>
          <w:rFonts w:asciiTheme="majorHAnsi" w:hAnsiTheme="majorHAnsi"/>
          <w:bCs/>
          <w:sz w:val="20"/>
          <w:szCs w:val="20"/>
          <w:lang w:val="es-ES_tradnl"/>
        </w:rPr>
        <w:t>Sentencia del 28 de junio de 1999 fallada por el Juzgado Segundo Laboral del Circuito de Bogotá, que condenó a la Caja Agraria a pagarle la pensión de jubilación a la pres</w:t>
      </w:r>
      <w:r w:rsidR="004509A4" w:rsidRPr="00066E7D">
        <w:rPr>
          <w:rFonts w:asciiTheme="majorHAnsi" w:hAnsiTheme="majorHAnsi"/>
          <w:bCs/>
          <w:sz w:val="20"/>
          <w:szCs w:val="20"/>
          <w:lang w:val="es-ES_tradnl"/>
        </w:rPr>
        <w:t>u</w:t>
      </w:r>
      <w:r w:rsidRPr="00066E7D">
        <w:rPr>
          <w:rFonts w:asciiTheme="majorHAnsi" w:hAnsiTheme="majorHAnsi"/>
          <w:bCs/>
          <w:sz w:val="20"/>
          <w:szCs w:val="20"/>
          <w:lang w:val="es-ES_tradnl"/>
        </w:rPr>
        <w:t>nt</w:t>
      </w:r>
      <w:r w:rsidR="004509A4" w:rsidRPr="00066E7D">
        <w:rPr>
          <w:rFonts w:asciiTheme="majorHAnsi" w:hAnsiTheme="majorHAnsi"/>
          <w:bCs/>
          <w:sz w:val="20"/>
          <w:szCs w:val="20"/>
          <w:lang w:val="es-ES_tradnl"/>
        </w:rPr>
        <w:t>a</w:t>
      </w:r>
      <w:r w:rsidRPr="00066E7D">
        <w:rPr>
          <w:rFonts w:asciiTheme="majorHAnsi" w:hAnsiTheme="majorHAnsi"/>
          <w:bCs/>
          <w:sz w:val="20"/>
          <w:szCs w:val="20"/>
          <w:lang w:val="es-ES_tradnl"/>
        </w:rPr>
        <w:t xml:space="preserve"> víctima. Esta decisión fue confirmada el 30 de abril de 2004 por el Tribunal Superior del Distrito Judicial de Bogotá. </w:t>
      </w:r>
    </w:p>
    <w:p w14:paraId="2F683F2C" w14:textId="056D8A47" w:rsidR="005A4A65" w:rsidRPr="00066E7D" w:rsidRDefault="00E5175C" w:rsidP="00A1049F">
      <w:pPr>
        <w:spacing w:before="240" w:after="240"/>
        <w:ind w:firstLine="720"/>
        <w:jc w:val="both"/>
        <w:rPr>
          <w:rFonts w:asciiTheme="majorHAnsi" w:hAnsiTheme="majorHAnsi"/>
          <w:bCs/>
          <w:sz w:val="20"/>
          <w:szCs w:val="20"/>
          <w:lang w:val="es-ES_tradnl"/>
        </w:rPr>
      </w:pPr>
      <w:r w:rsidRPr="00066E7D">
        <w:rPr>
          <w:rFonts w:asciiTheme="majorHAnsi" w:hAnsiTheme="majorHAnsi"/>
          <w:bCs/>
          <w:sz w:val="20"/>
          <w:szCs w:val="20"/>
          <w:lang w:val="es-ES_tradnl"/>
        </w:rPr>
        <w:t>(</w:t>
      </w:r>
      <w:r w:rsidR="00B65516" w:rsidRPr="00066E7D">
        <w:rPr>
          <w:rFonts w:asciiTheme="majorHAnsi" w:hAnsiTheme="majorHAnsi"/>
          <w:bCs/>
          <w:sz w:val="20"/>
          <w:szCs w:val="20"/>
          <w:lang w:val="es-ES_tradnl"/>
        </w:rPr>
        <w:t>i</w:t>
      </w:r>
      <w:r w:rsidR="00983A67" w:rsidRPr="00066E7D">
        <w:rPr>
          <w:rFonts w:asciiTheme="majorHAnsi" w:hAnsiTheme="majorHAnsi"/>
          <w:bCs/>
          <w:sz w:val="20"/>
          <w:szCs w:val="20"/>
          <w:lang w:val="es-ES_tradnl"/>
        </w:rPr>
        <w:t>i</w:t>
      </w:r>
      <w:r w:rsidRPr="00066E7D">
        <w:rPr>
          <w:rFonts w:asciiTheme="majorHAnsi" w:hAnsiTheme="majorHAnsi"/>
          <w:bCs/>
          <w:sz w:val="20"/>
          <w:szCs w:val="20"/>
          <w:lang w:val="es-ES_tradnl"/>
        </w:rPr>
        <w:t xml:space="preserve">) </w:t>
      </w:r>
      <w:r w:rsidR="006B7F98" w:rsidRPr="00066E7D">
        <w:rPr>
          <w:rFonts w:asciiTheme="majorHAnsi" w:hAnsiTheme="majorHAnsi"/>
          <w:bCs/>
          <w:sz w:val="20"/>
          <w:szCs w:val="20"/>
          <w:lang w:val="es-ES_tradnl"/>
        </w:rPr>
        <w:t xml:space="preserve"> </w:t>
      </w:r>
      <w:r w:rsidR="00A1049F" w:rsidRPr="00066E7D">
        <w:rPr>
          <w:rFonts w:asciiTheme="majorHAnsi" w:hAnsiTheme="majorHAnsi"/>
          <w:bCs/>
          <w:sz w:val="20"/>
          <w:szCs w:val="20"/>
          <w:lang w:val="es-ES_tradnl"/>
        </w:rPr>
        <w:tab/>
      </w:r>
      <w:r w:rsidR="0092149D" w:rsidRPr="00066E7D">
        <w:rPr>
          <w:rFonts w:asciiTheme="majorHAnsi" w:hAnsiTheme="majorHAnsi"/>
          <w:bCs/>
          <w:sz w:val="20"/>
          <w:szCs w:val="20"/>
          <w:lang w:val="es-ES_tradnl"/>
        </w:rPr>
        <w:t xml:space="preserve">Sentencia del </w:t>
      </w:r>
      <w:r w:rsidR="00481937" w:rsidRPr="00066E7D">
        <w:rPr>
          <w:rFonts w:asciiTheme="majorHAnsi" w:hAnsiTheme="majorHAnsi"/>
          <w:bCs/>
          <w:sz w:val="20"/>
          <w:szCs w:val="20"/>
          <w:lang w:val="es-ES_tradnl"/>
        </w:rPr>
        <w:t xml:space="preserve">29 de </w:t>
      </w:r>
      <w:r w:rsidR="005969C1" w:rsidRPr="00066E7D">
        <w:rPr>
          <w:rFonts w:asciiTheme="majorHAnsi" w:hAnsiTheme="majorHAnsi"/>
          <w:bCs/>
          <w:sz w:val="20"/>
          <w:szCs w:val="20"/>
          <w:lang w:val="es-ES_tradnl"/>
        </w:rPr>
        <w:t>noviembre</w:t>
      </w:r>
      <w:r w:rsidR="00481937" w:rsidRPr="00066E7D">
        <w:rPr>
          <w:rFonts w:asciiTheme="majorHAnsi" w:hAnsiTheme="majorHAnsi"/>
          <w:bCs/>
          <w:sz w:val="20"/>
          <w:szCs w:val="20"/>
          <w:lang w:val="es-ES_tradnl"/>
        </w:rPr>
        <w:t xml:space="preserve"> de 2000,</w:t>
      </w:r>
      <w:r w:rsidR="0049442A" w:rsidRPr="00066E7D">
        <w:rPr>
          <w:rFonts w:asciiTheme="majorHAnsi" w:hAnsiTheme="majorHAnsi"/>
          <w:bCs/>
          <w:sz w:val="20"/>
          <w:szCs w:val="20"/>
          <w:lang w:val="es-ES_tradnl"/>
        </w:rPr>
        <w:t xml:space="preserve"> </w:t>
      </w:r>
      <w:r w:rsidR="004A27AC" w:rsidRPr="00066E7D">
        <w:rPr>
          <w:rFonts w:asciiTheme="majorHAnsi" w:hAnsiTheme="majorHAnsi"/>
          <w:bCs/>
          <w:sz w:val="20"/>
          <w:szCs w:val="20"/>
          <w:lang w:val="es-ES_tradnl"/>
        </w:rPr>
        <w:t xml:space="preserve">promulgada por el Juzgado Séptimo Laboral del Circuito de Bogotá, que </w:t>
      </w:r>
      <w:r w:rsidR="0049442A" w:rsidRPr="00066E7D">
        <w:rPr>
          <w:rFonts w:asciiTheme="majorHAnsi" w:hAnsiTheme="majorHAnsi"/>
          <w:bCs/>
          <w:sz w:val="20"/>
          <w:szCs w:val="20"/>
          <w:lang w:val="es-ES_tradnl"/>
        </w:rPr>
        <w:t xml:space="preserve">resolvió el proceso especial </w:t>
      </w:r>
      <w:r w:rsidR="0068618F" w:rsidRPr="00066E7D">
        <w:rPr>
          <w:rFonts w:asciiTheme="majorHAnsi" w:hAnsiTheme="majorHAnsi"/>
          <w:bCs/>
          <w:sz w:val="20"/>
          <w:szCs w:val="20"/>
          <w:lang w:val="es-ES_tradnl"/>
        </w:rPr>
        <w:t xml:space="preserve">de fuero sindical – acción de reintegro, </w:t>
      </w:r>
      <w:r w:rsidR="0049442A" w:rsidRPr="00066E7D">
        <w:rPr>
          <w:rFonts w:asciiTheme="majorHAnsi" w:hAnsiTheme="majorHAnsi"/>
          <w:bCs/>
          <w:sz w:val="20"/>
          <w:szCs w:val="20"/>
          <w:lang w:val="es-ES_tradnl"/>
        </w:rPr>
        <w:t>iniciado por la presunta víctima</w:t>
      </w:r>
      <w:r w:rsidR="004A27AC" w:rsidRPr="00066E7D">
        <w:rPr>
          <w:rFonts w:asciiTheme="majorHAnsi" w:hAnsiTheme="majorHAnsi"/>
          <w:bCs/>
          <w:sz w:val="20"/>
          <w:szCs w:val="20"/>
          <w:lang w:val="es-ES_tradnl"/>
        </w:rPr>
        <w:t xml:space="preserve"> contra la Caja Agraria</w:t>
      </w:r>
      <w:r w:rsidR="00232669" w:rsidRPr="00066E7D">
        <w:rPr>
          <w:rFonts w:asciiTheme="majorHAnsi" w:hAnsiTheme="majorHAnsi"/>
          <w:bCs/>
          <w:sz w:val="20"/>
          <w:szCs w:val="20"/>
          <w:lang w:val="es-ES_tradnl"/>
        </w:rPr>
        <w:t xml:space="preserve">, y en la que condenó a la misma </w:t>
      </w:r>
      <w:r w:rsidR="00891AD5" w:rsidRPr="00066E7D">
        <w:rPr>
          <w:rFonts w:asciiTheme="majorHAnsi" w:hAnsiTheme="majorHAnsi"/>
          <w:bCs/>
          <w:sz w:val="20"/>
          <w:szCs w:val="20"/>
          <w:lang w:val="es-ES_tradnl"/>
        </w:rPr>
        <w:t xml:space="preserve">y al Banco Agrario solidariamente, </w:t>
      </w:r>
      <w:r w:rsidR="00232669" w:rsidRPr="00066E7D">
        <w:rPr>
          <w:rFonts w:asciiTheme="majorHAnsi" w:hAnsiTheme="majorHAnsi"/>
          <w:bCs/>
          <w:sz w:val="20"/>
          <w:szCs w:val="20"/>
          <w:lang w:val="es-ES_tradnl"/>
        </w:rPr>
        <w:t>a reintegrar a la presunta víctima al mismo cargo que desempeñaba</w:t>
      </w:r>
      <w:r w:rsidR="00891AD5" w:rsidRPr="00066E7D">
        <w:rPr>
          <w:rFonts w:asciiTheme="majorHAnsi" w:hAnsiTheme="majorHAnsi"/>
          <w:bCs/>
          <w:sz w:val="20"/>
          <w:szCs w:val="20"/>
          <w:lang w:val="es-ES_tradnl"/>
        </w:rPr>
        <w:t>, así como al pago de los salarios dejados de percibir desde la fecha del despido</w:t>
      </w:r>
      <w:r w:rsidR="0066020F" w:rsidRPr="00066E7D">
        <w:rPr>
          <w:rFonts w:asciiTheme="majorHAnsi" w:hAnsiTheme="majorHAnsi"/>
          <w:bCs/>
          <w:sz w:val="20"/>
          <w:szCs w:val="20"/>
          <w:lang w:val="es-ES_tradnl"/>
        </w:rPr>
        <w:t xml:space="preserve">, con los respectivos aumentos legales. Esta decisión fue confirmada parcialmente </w:t>
      </w:r>
      <w:r w:rsidR="0092149D" w:rsidRPr="00066E7D">
        <w:rPr>
          <w:rFonts w:asciiTheme="majorHAnsi" w:hAnsiTheme="majorHAnsi"/>
          <w:bCs/>
          <w:sz w:val="20"/>
          <w:szCs w:val="20"/>
          <w:lang w:val="es-ES_tradnl"/>
        </w:rPr>
        <w:t>13 de julio de 2001 del Tribunal Superior de Bogotá</w:t>
      </w:r>
      <w:r w:rsidR="003C449B" w:rsidRPr="00066E7D">
        <w:rPr>
          <w:rFonts w:asciiTheme="majorHAnsi" w:hAnsiTheme="majorHAnsi"/>
          <w:bCs/>
          <w:sz w:val="20"/>
          <w:szCs w:val="20"/>
          <w:lang w:val="es-ES_tradnl"/>
        </w:rPr>
        <w:t>, que decidió la acción de reintegro por fuero sindical</w:t>
      </w:r>
      <w:r w:rsidR="0066020F" w:rsidRPr="00066E7D">
        <w:rPr>
          <w:rFonts w:asciiTheme="majorHAnsi" w:hAnsiTheme="majorHAnsi"/>
          <w:bCs/>
          <w:sz w:val="20"/>
          <w:szCs w:val="20"/>
          <w:lang w:val="es-ES_tradnl"/>
        </w:rPr>
        <w:t xml:space="preserve">, y absolvió al Banco Agrario. </w:t>
      </w:r>
    </w:p>
    <w:p w14:paraId="7B57CB22" w14:textId="565E767F" w:rsidR="00481937" w:rsidRPr="00066E7D" w:rsidRDefault="00481937" w:rsidP="00A1049F">
      <w:pPr>
        <w:spacing w:before="240" w:after="240"/>
        <w:ind w:firstLine="720"/>
        <w:jc w:val="both"/>
        <w:rPr>
          <w:rFonts w:asciiTheme="majorHAnsi" w:hAnsiTheme="majorHAnsi"/>
          <w:bCs/>
          <w:sz w:val="20"/>
          <w:szCs w:val="20"/>
          <w:lang w:val="es-ES_tradnl"/>
        </w:rPr>
      </w:pPr>
      <w:r w:rsidRPr="00066E7D">
        <w:rPr>
          <w:rFonts w:asciiTheme="majorHAnsi" w:hAnsiTheme="majorHAnsi"/>
          <w:bCs/>
          <w:sz w:val="20"/>
          <w:szCs w:val="20"/>
          <w:lang w:val="es-ES_tradnl"/>
        </w:rPr>
        <w:t>(</w:t>
      </w:r>
      <w:r w:rsidR="00B65516" w:rsidRPr="00066E7D">
        <w:rPr>
          <w:rFonts w:asciiTheme="majorHAnsi" w:hAnsiTheme="majorHAnsi"/>
          <w:bCs/>
          <w:sz w:val="20"/>
          <w:szCs w:val="20"/>
          <w:lang w:val="es-ES_tradnl"/>
        </w:rPr>
        <w:t>iii</w:t>
      </w:r>
      <w:r w:rsidRPr="00066E7D">
        <w:rPr>
          <w:rFonts w:asciiTheme="majorHAnsi" w:hAnsiTheme="majorHAnsi"/>
          <w:bCs/>
          <w:sz w:val="20"/>
          <w:szCs w:val="20"/>
          <w:lang w:val="es-ES_tradnl"/>
        </w:rPr>
        <w:t xml:space="preserve">) </w:t>
      </w:r>
      <w:r w:rsidR="00A1049F" w:rsidRPr="00066E7D">
        <w:rPr>
          <w:rFonts w:asciiTheme="majorHAnsi" w:hAnsiTheme="majorHAnsi"/>
          <w:bCs/>
          <w:sz w:val="20"/>
          <w:szCs w:val="20"/>
          <w:lang w:val="es-ES_tradnl"/>
        </w:rPr>
        <w:tab/>
      </w:r>
      <w:r w:rsidRPr="00066E7D">
        <w:rPr>
          <w:rFonts w:asciiTheme="majorHAnsi" w:hAnsiTheme="majorHAnsi"/>
          <w:bCs/>
          <w:sz w:val="20"/>
          <w:szCs w:val="20"/>
          <w:lang w:val="es-ES_tradnl"/>
        </w:rPr>
        <w:t>Sentencia T-323 de</w:t>
      </w:r>
      <w:r w:rsidR="000B54BB" w:rsidRPr="00066E7D">
        <w:rPr>
          <w:rFonts w:asciiTheme="majorHAnsi" w:hAnsiTheme="majorHAnsi"/>
          <w:bCs/>
          <w:sz w:val="20"/>
          <w:szCs w:val="20"/>
          <w:lang w:val="es-ES_tradnl"/>
        </w:rPr>
        <w:t>l 4 de abril</w:t>
      </w:r>
      <w:r w:rsidRPr="00066E7D">
        <w:rPr>
          <w:rFonts w:asciiTheme="majorHAnsi" w:hAnsiTheme="majorHAnsi"/>
          <w:bCs/>
          <w:sz w:val="20"/>
          <w:szCs w:val="20"/>
          <w:lang w:val="es-ES_tradnl"/>
        </w:rPr>
        <w:t xml:space="preserve"> 2005</w:t>
      </w:r>
      <w:r w:rsidR="000B54BB" w:rsidRPr="00066E7D">
        <w:rPr>
          <w:rFonts w:asciiTheme="majorHAnsi" w:hAnsiTheme="majorHAnsi"/>
          <w:bCs/>
          <w:sz w:val="20"/>
          <w:szCs w:val="20"/>
          <w:lang w:val="es-ES_tradnl"/>
        </w:rPr>
        <w:t xml:space="preserve"> decidida</w:t>
      </w:r>
      <w:r w:rsidRPr="00066E7D">
        <w:rPr>
          <w:rFonts w:asciiTheme="majorHAnsi" w:hAnsiTheme="majorHAnsi"/>
          <w:bCs/>
          <w:sz w:val="20"/>
          <w:szCs w:val="20"/>
          <w:lang w:val="es-ES_tradnl"/>
        </w:rPr>
        <w:t xml:space="preserve"> </w:t>
      </w:r>
      <w:r w:rsidR="000B54BB" w:rsidRPr="00066E7D">
        <w:rPr>
          <w:rFonts w:asciiTheme="majorHAnsi" w:hAnsiTheme="majorHAnsi"/>
          <w:bCs/>
          <w:sz w:val="20"/>
          <w:szCs w:val="20"/>
          <w:lang w:val="es-ES_tradnl"/>
        </w:rPr>
        <w:t xml:space="preserve">por la </w:t>
      </w:r>
      <w:r w:rsidRPr="00066E7D">
        <w:rPr>
          <w:rFonts w:asciiTheme="majorHAnsi" w:hAnsiTheme="majorHAnsi"/>
          <w:bCs/>
          <w:sz w:val="20"/>
          <w:szCs w:val="20"/>
          <w:lang w:val="es-ES_tradnl"/>
        </w:rPr>
        <w:t>Corte Constitucional</w:t>
      </w:r>
      <w:r w:rsidR="00834504" w:rsidRPr="00066E7D">
        <w:rPr>
          <w:rFonts w:asciiTheme="majorHAnsi" w:hAnsiTheme="majorHAnsi"/>
          <w:bCs/>
          <w:sz w:val="20"/>
          <w:szCs w:val="20"/>
          <w:lang w:val="es-ES_tradnl"/>
        </w:rPr>
        <w:t xml:space="preserve">, resuelve la tutela presentada por la presunta víctima, mediante la cual solicita </w:t>
      </w:r>
      <w:r w:rsidR="00554682" w:rsidRPr="00066E7D">
        <w:rPr>
          <w:rFonts w:asciiTheme="majorHAnsi" w:hAnsiTheme="majorHAnsi"/>
          <w:bCs/>
          <w:sz w:val="20"/>
          <w:szCs w:val="20"/>
          <w:lang w:val="es-ES_tradnl"/>
        </w:rPr>
        <w:t>el</w:t>
      </w:r>
      <w:r w:rsidR="00B838C6" w:rsidRPr="00066E7D">
        <w:rPr>
          <w:rFonts w:asciiTheme="majorHAnsi" w:hAnsiTheme="majorHAnsi"/>
          <w:bCs/>
          <w:sz w:val="20"/>
          <w:szCs w:val="20"/>
          <w:lang w:val="es-ES_tradnl"/>
        </w:rPr>
        <w:t xml:space="preserve"> cumplimiento </w:t>
      </w:r>
      <w:r w:rsidR="00554682" w:rsidRPr="00066E7D">
        <w:rPr>
          <w:rFonts w:asciiTheme="majorHAnsi" w:hAnsiTheme="majorHAnsi"/>
          <w:bCs/>
          <w:sz w:val="20"/>
          <w:szCs w:val="20"/>
          <w:lang w:val="es-ES_tradnl"/>
        </w:rPr>
        <w:t>de</w:t>
      </w:r>
      <w:r w:rsidR="00B838C6" w:rsidRPr="00066E7D">
        <w:rPr>
          <w:rFonts w:asciiTheme="majorHAnsi" w:hAnsiTheme="majorHAnsi"/>
          <w:bCs/>
          <w:sz w:val="20"/>
          <w:szCs w:val="20"/>
          <w:lang w:val="es-ES_tradnl"/>
        </w:rPr>
        <w:t xml:space="preserve"> la sente</w:t>
      </w:r>
      <w:r w:rsidR="000B54BB" w:rsidRPr="00066E7D">
        <w:rPr>
          <w:rFonts w:asciiTheme="majorHAnsi" w:hAnsiTheme="majorHAnsi"/>
          <w:bCs/>
          <w:sz w:val="20"/>
          <w:szCs w:val="20"/>
          <w:lang w:val="es-ES_tradnl"/>
        </w:rPr>
        <w:t>n</w:t>
      </w:r>
      <w:r w:rsidR="00B838C6" w:rsidRPr="00066E7D">
        <w:rPr>
          <w:rFonts w:asciiTheme="majorHAnsi" w:hAnsiTheme="majorHAnsi"/>
          <w:bCs/>
          <w:sz w:val="20"/>
          <w:szCs w:val="20"/>
          <w:lang w:val="es-ES_tradnl"/>
        </w:rPr>
        <w:t>cia emitida por el Tribunal Superior de Bogotá el 13 de julio de 2001</w:t>
      </w:r>
      <w:r w:rsidR="006F4787" w:rsidRPr="00066E7D">
        <w:rPr>
          <w:rFonts w:asciiTheme="majorHAnsi" w:hAnsiTheme="majorHAnsi"/>
          <w:bCs/>
          <w:sz w:val="20"/>
          <w:szCs w:val="20"/>
          <w:lang w:val="es-ES_tradnl"/>
        </w:rPr>
        <w:t xml:space="preserve"> que ordena el reintegro a un cargo de igual o mayor categoría.</w:t>
      </w:r>
      <w:r w:rsidR="00554682" w:rsidRPr="00066E7D">
        <w:rPr>
          <w:rFonts w:asciiTheme="majorHAnsi" w:hAnsiTheme="majorHAnsi"/>
          <w:bCs/>
          <w:sz w:val="20"/>
          <w:szCs w:val="20"/>
          <w:lang w:val="es-ES_tradnl"/>
        </w:rPr>
        <w:t xml:space="preserve"> </w:t>
      </w:r>
      <w:r w:rsidR="006F4787" w:rsidRPr="00066E7D">
        <w:rPr>
          <w:rFonts w:asciiTheme="majorHAnsi" w:hAnsiTheme="majorHAnsi"/>
          <w:bCs/>
          <w:sz w:val="20"/>
          <w:szCs w:val="20"/>
          <w:lang w:val="es-ES_tradnl"/>
        </w:rPr>
        <w:t>O</w:t>
      </w:r>
      <w:r w:rsidR="00C65813" w:rsidRPr="00066E7D">
        <w:rPr>
          <w:rFonts w:asciiTheme="majorHAnsi" w:hAnsiTheme="majorHAnsi"/>
          <w:bCs/>
          <w:sz w:val="20"/>
          <w:szCs w:val="20"/>
          <w:lang w:val="es-ES_tradnl"/>
        </w:rPr>
        <w:t xml:space="preserve">rdena que se revoque la sentencia de segunda instancia proferida el 13 de octubre por la Sala de Decisión Civil – Familia del Tribunal Superior de </w:t>
      </w:r>
      <w:r w:rsidR="00554682" w:rsidRPr="00066E7D">
        <w:rPr>
          <w:rFonts w:asciiTheme="majorHAnsi" w:hAnsiTheme="majorHAnsi"/>
          <w:bCs/>
          <w:sz w:val="20"/>
          <w:szCs w:val="20"/>
          <w:lang w:val="es-ES_tradnl"/>
        </w:rPr>
        <w:t>Manizales,</w:t>
      </w:r>
      <w:r w:rsidR="00C65813" w:rsidRPr="00066E7D">
        <w:rPr>
          <w:rFonts w:asciiTheme="majorHAnsi" w:hAnsiTheme="majorHAnsi"/>
          <w:bCs/>
          <w:sz w:val="20"/>
          <w:szCs w:val="20"/>
          <w:lang w:val="es-ES_tradnl"/>
        </w:rPr>
        <w:t xml:space="preserve"> que negó la tutela presentada contra la Caja Agraria</w:t>
      </w:r>
      <w:r w:rsidR="00BD140B" w:rsidRPr="00066E7D">
        <w:rPr>
          <w:rFonts w:asciiTheme="majorHAnsi" w:hAnsiTheme="majorHAnsi"/>
          <w:bCs/>
          <w:sz w:val="20"/>
          <w:szCs w:val="20"/>
          <w:lang w:val="es-ES_tradnl"/>
        </w:rPr>
        <w:t xml:space="preserve">, y se cumpla con </w:t>
      </w:r>
      <w:r w:rsidR="006F4787" w:rsidRPr="00066E7D">
        <w:rPr>
          <w:rFonts w:asciiTheme="majorHAnsi" w:hAnsiTheme="majorHAnsi"/>
          <w:bCs/>
          <w:sz w:val="20"/>
          <w:szCs w:val="20"/>
          <w:lang w:val="es-ES_tradnl"/>
        </w:rPr>
        <w:t>lo ordenado por el tribunal</w:t>
      </w:r>
      <w:r w:rsidR="00554682" w:rsidRPr="00066E7D">
        <w:rPr>
          <w:rFonts w:asciiTheme="majorHAnsi" w:hAnsiTheme="majorHAnsi"/>
          <w:bCs/>
          <w:sz w:val="20"/>
          <w:szCs w:val="20"/>
          <w:lang w:val="es-ES_tradnl"/>
        </w:rPr>
        <w:t>.</w:t>
      </w:r>
    </w:p>
    <w:p w14:paraId="1C86EAC2" w14:textId="00F4C287" w:rsidR="008E0CBF" w:rsidRPr="00066E7D" w:rsidRDefault="008E0CBF" w:rsidP="00A1049F">
      <w:pPr>
        <w:spacing w:before="240" w:after="240"/>
        <w:ind w:firstLine="720"/>
        <w:jc w:val="both"/>
        <w:rPr>
          <w:rFonts w:asciiTheme="majorHAnsi" w:hAnsiTheme="majorHAnsi"/>
          <w:bCs/>
          <w:sz w:val="20"/>
          <w:szCs w:val="20"/>
          <w:lang w:val="es-ES_tradnl"/>
        </w:rPr>
      </w:pPr>
      <w:r w:rsidRPr="00066E7D">
        <w:rPr>
          <w:rFonts w:asciiTheme="majorHAnsi" w:hAnsiTheme="majorHAnsi"/>
          <w:bCs/>
          <w:sz w:val="20"/>
          <w:szCs w:val="20"/>
          <w:lang w:val="es-ES_tradnl"/>
        </w:rPr>
        <w:t>(</w:t>
      </w:r>
      <w:r w:rsidR="00B65516" w:rsidRPr="00066E7D">
        <w:rPr>
          <w:rFonts w:asciiTheme="majorHAnsi" w:hAnsiTheme="majorHAnsi"/>
          <w:bCs/>
          <w:sz w:val="20"/>
          <w:szCs w:val="20"/>
          <w:lang w:val="es-ES_tradnl"/>
        </w:rPr>
        <w:t>iv</w:t>
      </w:r>
      <w:r w:rsidRPr="00066E7D">
        <w:rPr>
          <w:rFonts w:asciiTheme="majorHAnsi" w:hAnsiTheme="majorHAnsi"/>
          <w:bCs/>
          <w:sz w:val="20"/>
          <w:szCs w:val="20"/>
          <w:lang w:val="es-ES_tradnl"/>
        </w:rPr>
        <w:t xml:space="preserve">) </w:t>
      </w:r>
      <w:r w:rsidR="00A1049F" w:rsidRPr="00066E7D">
        <w:rPr>
          <w:rFonts w:asciiTheme="majorHAnsi" w:hAnsiTheme="majorHAnsi"/>
          <w:bCs/>
          <w:sz w:val="20"/>
          <w:szCs w:val="20"/>
          <w:lang w:val="es-ES_tradnl"/>
        </w:rPr>
        <w:tab/>
      </w:r>
      <w:r w:rsidRPr="00066E7D">
        <w:rPr>
          <w:rFonts w:asciiTheme="majorHAnsi" w:hAnsiTheme="majorHAnsi"/>
          <w:bCs/>
          <w:sz w:val="20"/>
          <w:szCs w:val="20"/>
          <w:lang w:val="es-ES_tradnl"/>
        </w:rPr>
        <w:t xml:space="preserve">Sentencia del 20 de abril de 2007 decidida por el Juzgado Segundo Laboral de Manizales, </w:t>
      </w:r>
      <w:r w:rsidR="009B3C4E" w:rsidRPr="00066E7D">
        <w:rPr>
          <w:rFonts w:asciiTheme="majorHAnsi" w:hAnsiTheme="majorHAnsi"/>
          <w:bCs/>
          <w:sz w:val="20"/>
          <w:szCs w:val="20"/>
          <w:lang w:val="es-ES_tradnl"/>
        </w:rPr>
        <w:t xml:space="preserve">que </w:t>
      </w:r>
      <w:r w:rsidR="00912FCA" w:rsidRPr="00066E7D">
        <w:rPr>
          <w:rFonts w:asciiTheme="majorHAnsi" w:hAnsiTheme="majorHAnsi"/>
          <w:bCs/>
          <w:sz w:val="20"/>
          <w:szCs w:val="20"/>
          <w:lang w:val="es-ES_tradnl"/>
        </w:rPr>
        <w:t xml:space="preserve">resolvió el proceso ordinario laboral iniciado por la Caja Agraria </w:t>
      </w:r>
      <w:r w:rsidR="00990DBA" w:rsidRPr="00066E7D">
        <w:rPr>
          <w:rFonts w:asciiTheme="majorHAnsi" w:hAnsiTheme="majorHAnsi"/>
          <w:bCs/>
          <w:sz w:val="20"/>
          <w:szCs w:val="20"/>
          <w:lang w:val="es-ES_tradnl"/>
        </w:rPr>
        <w:t xml:space="preserve">contra </w:t>
      </w:r>
      <w:r w:rsidR="009B3C4E" w:rsidRPr="00066E7D">
        <w:rPr>
          <w:rFonts w:asciiTheme="majorHAnsi" w:hAnsiTheme="majorHAnsi"/>
          <w:bCs/>
          <w:sz w:val="20"/>
          <w:szCs w:val="20"/>
          <w:lang w:val="es-ES_tradnl"/>
        </w:rPr>
        <w:t>la presunta víctima</w:t>
      </w:r>
      <w:r w:rsidR="00990DBA" w:rsidRPr="00066E7D">
        <w:rPr>
          <w:rFonts w:asciiTheme="majorHAnsi" w:hAnsiTheme="majorHAnsi"/>
          <w:bCs/>
          <w:sz w:val="20"/>
          <w:szCs w:val="20"/>
          <w:lang w:val="es-ES_tradnl"/>
        </w:rPr>
        <w:t xml:space="preserve"> con el fin de demostrar la imposibilidad de reintegro</w:t>
      </w:r>
      <w:r w:rsidR="00442FF0" w:rsidRPr="00066E7D">
        <w:rPr>
          <w:rFonts w:asciiTheme="majorHAnsi" w:hAnsiTheme="majorHAnsi"/>
          <w:bCs/>
          <w:sz w:val="20"/>
          <w:szCs w:val="20"/>
          <w:lang w:val="es-ES_tradnl"/>
        </w:rPr>
        <w:t>.</w:t>
      </w:r>
      <w:r w:rsidR="00990DBA" w:rsidRPr="00066E7D">
        <w:rPr>
          <w:rFonts w:asciiTheme="majorHAnsi" w:hAnsiTheme="majorHAnsi"/>
          <w:bCs/>
          <w:sz w:val="20"/>
          <w:szCs w:val="20"/>
          <w:lang w:val="es-ES_tradnl"/>
        </w:rPr>
        <w:t xml:space="preserve"> </w:t>
      </w:r>
      <w:r w:rsidR="00442FF0" w:rsidRPr="00066E7D">
        <w:rPr>
          <w:rFonts w:asciiTheme="majorHAnsi" w:hAnsiTheme="majorHAnsi"/>
          <w:bCs/>
          <w:sz w:val="20"/>
          <w:szCs w:val="20"/>
          <w:lang w:val="es-ES_tradnl"/>
        </w:rPr>
        <w:t xml:space="preserve">En la decisión </w:t>
      </w:r>
      <w:r w:rsidR="00990DBA" w:rsidRPr="00066E7D">
        <w:rPr>
          <w:rFonts w:asciiTheme="majorHAnsi" w:hAnsiTheme="majorHAnsi"/>
          <w:bCs/>
          <w:sz w:val="20"/>
          <w:szCs w:val="20"/>
          <w:lang w:val="es-ES_tradnl"/>
        </w:rPr>
        <w:t xml:space="preserve">absolvió al peticionario de todos los cargos, y </w:t>
      </w:r>
      <w:r w:rsidR="009B3C4E" w:rsidRPr="00066E7D">
        <w:rPr>
          <w:rFonts w:asciiTheme="majorHAnsi" w:hAnsiTheme="majorHAnsi"/>
          <w:bCs/>
          <w:sz w:val="20"/>
          <w:szCs w:val="20"/>
          <w:lang w:val="es-ES_tradnl"/>
        </w:rPr>
        <w:t xml:space="preserve">condenó a </w:t>
      </w:r>
      <w:r w:rsidR="00F30985" w:rsidRPr="00066E7D">
        <w:rPr>
          <w:rFonts w:asciiTheme="majorHAnsi" w:hAnsiTheme="majorHAnsi"/>
          <w:bCs/>
          <w:sz w:val="20"/>
          <w:szCs w:val="20"/>
          <w:lang w:val="es-ES_tradnl"/>
        </w:rPr>
        <w:t xml:space="preserve">las </w:t>
      </w:r>
      <w:r w:rsidR="009B3C4E" w:rsidRPr="00066E7D">
        <w:rPr>
          <w:rFonts w:asciiTheme="majorHAnsi" w:hAnsiTheme="majorHAnsi"/>
          <w:bCs/>
          <w:sz w:val="20"/>
          <w:szCs w:val="20"/>
          <w:lang w:val="es-ES_tradnl"/>
        </w:rPr>
        <w:t>costas a la Caja Agraria</w:t>
      </w:r>
      <w:r w:rsidR="00990DBA" w:rsidRPr="00066E7D">
        <w:rPr>
          <w:rFonts w:asciiTheme="majorHAnsi" w:hAnsiTheme="majorHAnsi"/>
          <w:bCs/>
          <w:sz w:val="20"/>
          <w:szCs w:val="20"/>
          <w:lang w:val="es-ES_tradnl"/>
        </w:rPr>
        <w:t>.</w:t>
      </w:r>
    </w:p>
    <w:p w14:paraId="7EA10913" w14:textId="48D76718" w:rsidR="00930EEB" w:rsidRPr="00066E7D" w:rsidRDefault="00205234" w:rsidP="00A1049F">
      <w:pPr>
        <w:spacing w:before="240" w:after="240"/>
        <w:ind w:firstLine="720"/>
        <w:jc w:val="both"/>
        <w:rPr>
          <w:rFonts w:asciiTheme="majorHAnsi" w:hAnsiTheme="majorHAnsi"/>
          <w:bCs/>
          <w:sz w:val="20"/>
          <w:szCs w:val="20"/>
          <w:lang w:val="es-ES_tradnl"/>
        </w:rPr>
      </w:pPr>
      <w:r w:rsidRPr="00066E7D">
        <w:rPr>
          <w:rFonts w:asciiTheme="majorHAnsi" w:hAnsiTheme="majorHAnsi"/>
          <w:bCs/>
          <w:sz w:val="20"/>
          <w:szCs w:val="20"/>
          <w:lang w:val="es-ES_tradnl"/>
        </w:rPr>
        <w:t>(</w:t>
      </w:r>
      <w:r w:rsidR="00B65516" w:rsidRPr="00066E7D">
        <w:rPr>
          <w:rFonts w:asciiTheme="majorHAnsi" w:hAnsiTheme="majorHAnsi"/>
          <w:bCs/>
          <w:sz w:val="20"/>
          <w:szCs w:val="20"/>
          <w:lang w:val="es-ES_tradnl"/>
        </w:rPr>
        <w:t>v</w:t>
      </w:r>
      <w:r w:rsidRPr="00066E7D">
        <w:rPr>
          <w:rFonts w:asciiTheme="majorHAnsi" w:hAnsiTheme="majorHAnsi"/>
          <w:bCs/>
          <w:sz w:val="20"/>
          <w:szCs w:val="20"/>
          <w:lang w:val="es-ES_tradnl"/>
        </w:rPr>
        <w:t xml:space="preserve">) </w:t>
      </w:r>
      <w:r w:rsidR="00A1049F" w:rsidRPr="00066E7D">
        <w:rPr>
          <w:rFonts w:asciiTheme="majorHAnsi" w:hAnsiTheme="majorHAnsi"/>
          <w:bCs/>
          <w:sz w:val="20"/>
          <w:szCs w:val="20"/>
          <w:lang w:val="es-ES_tradnl"/>
        </w:rPr>
        <w:tab/>
      </w:r>
      <w:r w:rsidRPr="00066E7D">
        <w:rPr>
          <w:rFonts w:asciiTheme="majorHAnsi" w:hAnsiTheme="majorHAnsi"/>
          <w:bCs/>
          <w:sz w:val="20"/>
          <w:szCs w:val="20"/>
          <w:lang w:val="es-ES_tradnl"/>
        </w:rPr>
        <w:t xml:space="preserve">Sentencia del Juzgado Segundo Laboral de Manizales del 30 de junio de 2005, que resolvió </w:t>
      </w:r>
      <w:r w:rsidR="0059376A" w:rsidRPr="00066E7D">
        <w:rPr>
          <w:rFonts w:asciiTheme="majorHAnsi" w:hAnsiTheme="majorHAnsi"/>
          <w:bCs/>
          <w:sz w:val="20"/>
          <w:szCs w:val="20"/>
          <w:lang w:val="es-ES_tradnl"/>
        </w:rPr>
        <w:t xml:space="preserve">el incidente de desacato </w:t>
      </w:r>
      <w:r w:rsidR="001C320F" w:rsidRPr="00066E7D">
        <w:rPr>
          <w:rFonts w:asciiTheme="majorHAnsi" w:hAnsiTheme="majorHAnsi"/>
          <w:bCs/>
          <w:sz w:val="20"/>
          <w:szCs w:val="20"/>
          <w:lang w:val="es-ES_tradnl"/>
        </w:rPr>
        <w:t xml:space="preserve">presentado por la presunta víctima y sostuvo </w:t>
      </w:r>
      <w:r w:rsidRPr="00066E7D">
        <w:rPr>
          <w:rFonts w:asciiTheme="majorHAnsi" w:hAnsiTheme="majorHAnsi"/>
          <w:bCs/>
          <w:sz w:val="20"/>
          <w:szCs w:val="20"/>
          <w:lang w:val="es-ES_tradnl"/>
        </w:rPr>
        <w:t xml:space="preserve">que se </w:t>
      </w:r>
      <w:r w:rsidR="0059376A" w:rsidRPr="00066E7D">
        <w:rPr>
          <w:rFonts w:asciiTheme="majorHAnsi" w:hAnsiTheme="majorHAnsi"/>
          <w:bCs/>
          <w:sz w:val="20"/>
          <w:szCs w:val="20"/>
          <w:lang w:val="es-ES_tradnl"/>
        </w:rPr>
        <w:t>cumplieron</w:t>
      </w:r>
      <w:r w:rsidRPr="00066E7D">
        <w:rPr>
          <w:rFonts w:asciiTheme="majorHAnsi" w:hAnsiTheme="majorHAnsi"/>
          <w:bCs/>
          <w:sz w:val="20"/>
          <w:szCs w:val="20"/>
          <w:lang w:val="es-ES_tradnl"/>
        </w:rPr>
        <w:t xml:space="preserve"> a la</w:t>
      </w:r>
      <w:r w:rsidR="0059376A" w:rsidRPr="00066E7D">
        <w:rPr>
          <w:rFonts w:asciiTheme="majorHAnsi" w:hAnsiTheme="majorHAnsi"/>
          <w:bCs/>
          <w:sz w:val="20"/>
          <w:szCs w:val="20"/>
          <w:lang w:val="es-ES_tradnl"/>
        </w:rPr>
        <w:t>s</w:t>
      </w:r>
      <w:r w:rsidRPr="00066E7D">
        <w:rPr>
          <w:rFonts w:asciiTheme="majorHAnsi" w:hAnsiTheme="majorHAnsi"/>
          <w:bCs/>
          <w:sz w:val="20"/>
          <w:szCs w:val="20"/>
          <w:lang w:val="es-ES_tradnl"/>
        </w:rPr>
        <w:t xml:space="preserve"> </w:t>
      </w:r>
      <w:r w:rsidR="0059376A" w:rsidRPr="00066E7D">
        <w:rPr>
          <w:rFonts w:asciiTheme="majorHAnsi" w:hAnsiTheme="majorHAnsi"/>
          <w:bCs/>
          <w:sz w:val="20"/>
          <w:szCs w:val="20"/>
          <w:lang w:val="es-ES_tradnl"/>
        </w:rPr>
        <w:t>ó</w:t>
      </w:r>
      <w:r w:rsidRPr="00066E7D">
        <w:rPr>
          <w:rFonts w:asciiTheme="majorHAnsi" w:hAnsiTheme="majorHAnsi"/>
          <w:bCs/>
          <w:sz w:val="20"/>
          <w:szCs w:val="20"/>
          <w:lang w:val="es-ES_tradnl"/>
        </w:rPr>
        <w:t>rden</w:t>
      </w:r>
      <w:r w:rsidR="0059376A" w:rsidRPr="00066E7D">
        <w:rPr>
          <w:rFonts w:asciiTheme="majorHAnsi" w:hAnsiTheme="majorHAnsi"/>
          <w:bCs/>
          <w:sz w:val="20"/>
          <w:szCs w:val="20"/>
          <w:lang w:val="es-ES_tradnl"/>
        </w:rPr>
        <w:t>es</w:t>
      </w:r>
      <w:r w:rsidRPr="00066E7D">
        <w:rPr>
          <w:rFonts w:asciiTheme="majorHAnsi" w:hAnsiTheme="majorHAnsi"/>
          <w:bCs/>
          <w:sz w:val="20"/>
          <w:szCs w:val="20"/>
          <w:lang w:val="es-ES_tradnl"/>
        </w:rPr>
        <w:t xml:space="preserve"> de la sentencia T-323 de 2005</w:t>
      </w:r>
      <w:r w:rsidR="001C320F" w:rsidRPr="00066E7D">
        <w:rPr>
          <w:rFonts w:asciiTheme="majorHAnsi" w:hAnsiTheme="majorHAnsi"/>
          <w:bCs/>
          <w:sz w:val="20"/>
          <w:szCs w:val="20"/>
          <w:lang w:val="es-ES_tradnl"/>
        </w:rPr>
        <w:t>.</w:t>
      </w:r>
    </w:p>
    <w:p w14:paraId="5080183A" w14:textId="0A9AEA73" w:rsidR="00C35711" w:rsidRPr="00066E7D" w:rsidRDefault="00C35711" w:rsidP="00A1049F">
      <w:pPr>
        <w:spacing w:before="240" w:after="240"/>
        <w:ind w:firstLine="720"/>
        <w:jc w:val="both"/>
        <w:rPr>
          <w:rFonts w:asciiTheme="majorHAnsi" w:hAnsiTheme="majorHAnsi"/>
          <w:bCs/>
          <w:sz w:val="20"/>
          <w:szCs w:val="20"/>
          <w:lang w:val="es-ES_tradnl"/>
        </w:rPr>
      </w:pPr>
      <w:r w:rsidRPr="00066E7D">
        <w:rPr>
          <w:rFonts w:asciiTheme="majorHAnsi" w:hAnsiTheme="majorHAnsi"/>
          <w:bCs/>
          <w:sz w:val="20"/>
          <w:szCs w:val="20"/>
          <w:lang w:val="es-ES_tradnl"/>
        </w:rPr>
        <w:lastRenderedPageBreak/>
        <w:t>(</w:t>
      </w:r>
      <w:r w:rsidR="00B65516" w:rsidRPr="00066E7D">
        <w:rPr>
          <w:rFonts w:asciiTheme="majorHAnsi" w:hAnsiTheme="majorHAnsi"/>
          <w:bCs/>
          <w:sz w:val="20"/>
          <w:szCs w:val="20"/>
          <w:lang w:val="es-ES_tradnl"/>
        </w:rPr>
        <w:t>vi</w:t>
      </w:r>
      <w:r w:rsidRPr="00066E7D">
        <w:rPr>
          <w:rFonts w:asciiTheme="majorHAnsi" w:hAnsiTheme="majorHAnsi"/>
          <w:bCs/>
          <w:sz w:val="20"/>
          <w:szCs w:val="20"/>
          <w:lang w:val="es-ES_tradnl"/>
        </w:rPr>
        <w:t xml:space="preserve">) </w:t>
      </w:r>
      <w:r w:rsidR="00A1049F" w:rsidRPr="00066E7D">
        <w:rPr>
          <w:rFonts w:asciiTheme="majorHAnsi" w:hAnsiTheme="majorHAnsi"/>
          <w:bCs/>
          <w:sz w:val="20"/>
          <w:szCs w:val="20"/>
          <w:lang w:val="es-ES_tradnl"/>
        </w:rPr>
        <w:tab/>
      </w:r>
      <w:r w:rsidRPr="00066E7D">
        <w:rPr>
          <w:rFonts w:asciiTheme="majorHAnsi" w:hAnsiTheme="majorHAnsi"/>
          <w:bCs/>
          <w:sz w:val="20"/>
          <w:szCs w:val="20"/>
          <w:lang w:val="es-ES_tradnl"/>
        </w:rPr>
        <w:t xml:space="preserve">Auto </w:t>
      </w:r>
      <w:r w:rsidR="001A64E6" w:rsidRPr="00066E7D">
        <w:rPr>
          <w:rFonts w:asciiTheme="majorHAnsi" w:hAnsiTheme="majorHAnsi"/>
          <w:bCs/>
          <w:sz w:val="20"/>
          <w:szCs w:val="20"/>
          <w:lang w:val="es-ES_tradnl"/>
        </w:rPr>
        <w:t>256 de 2007</w:t>
      </w:r>
      <w:r w:rsidR="0063798F" w:rsidRPr="00066E7D">
        <w:rPr>
          <w:rFonts w:asciiTheme="majorHAnsi" w:hAnsiTheme="majorHAnsi"/>
          <w:bCs/>
          <w:sz w:val="20"/>
          <w:szCs w:val="20"/>
          <w:lang w:val="es-ES_tradnl"/>
        </w:rPr>
        <w:t xml:space="preserve"> </w:t>
      </w:r>
      <w:r w:rsidR="00A01B39" w:rsidRPr="00066E7D">
        <w:rPr>
          <w:rFonts w:asciiTheme="majorHAnsi" w:hAnsiTheme="majorHAnsi"/>
          <w:bCs/>
          <w:sz w:val="20"/>
          <w:szCs w:val="20"/>
          <w:lang w:val="es-ES_tradnl"/>
        </w:rPr>
        <w:t>expedido</w:t>
      </w:r>
      <w:r w:rsidRPr="00066E7D">
        <w:rPr>
          <w:rFonts w:asciiTheme="majorHAnsi" w:hAnsiTheme="majorHAnsi"/>
          <w:bCs/>
          <w:sz w:val="20"/>
          <w:szCs w:val="20"/>
          <w:lang w:val="es-ES_tradnl"/>
        </w:rPr>
        <w:t xml:space="preserve"> por la Corte Constitucional</w:t>
      </w:r>
      <w:r w:rsidR="0063798F" w:rsidRPr="00066E7D">
        <w:rPr>
          <w:rFonts w:asciiTheme="majorHAnsi" w:hAnsiTheme="majorHAnsi"/>
          <w:bCs/>
          <w:sz w:val="20"/>
          <w:szCs w:val="20"/>
          <w:lang w:val="es-ES_tradnl"/>
        </w:rPr>
        <w:t xml:space="preserve"> el 25 de septiembre de 2007</w:t>
      </w:r>
      <w:r w:rsidRPr="00066E7D">
        <w:rPr>
          <w:rFonts w:asciiTheme="majorHAnsi" w:hAnsiTheme="majorHAnsi"/>
          <w:bCs/>
          <w:sz w:val="20"/>
          <w:szCs w:val="20"/>
          <w:lang w:val="es-ES_tradnl"/>
        </w:rPr>
        <w:t>, que resolvió el recurso de petición presentado por</w:t>
      </w:r>
      <w:r w:rsidR="00BE254B" w:rsidRPr="00066E7D">
        <w:rPr>
          <w:rFonts w:asciiTheme="majorHAnsi" w:hAnsiTheme="majorHAnsi"/>
          <w:bCs/>
          <w:sz w:val="20"/>
          <w:szCs w:val="20"/>
          <w:lang w:val="es-ES_tradnl"/>
        </w:rPr>
        <w:t xml:space="preserve"> la presunta víctima, y mediante el cual rechazó la solicitud de asumir el conocimiento de la sentencia T-323 de 2005 y la</w:t>
      </w:r>
      <w:r w:rsidR="001F4D38" w:rsidRPr="00066E7D">
        <w:rPr>
          <w:rFonts w:asciiTheme="majorHAnsi" w:hAnsiTheme="majorHAnsi"/>
          <w:bCs/>
          <w:sz w:val="20"/>
          <w:szCs w:val="20"/>
          <w:lang w:val="es-ES_tradnl"/>
        </w:rPr>
        <w:t xml:space="preserve"> </w:t>
      </w:r>
      <w:r w:rsidR="00491C2C" w:rsidRPr="00066E7D">
        <w:rPr>
          <w:rFonts w:asciiTheme="majorHAnsi" w:hAnsiTheme="majorHAnsi"/>
          <w:bCs/>
          <w:sz w:val="20"/>
          <w:szCs w:val="20"/>
          <w:lang w:val="es-ES_tradnl"/>
        </w:rPr>
        <w:t xml:space="preserve">providencia proferida </w:t>
      </w:r>
      <w:r w:rsidR="003C2825" w:rsidRPr="00066E7D">
        <w:rPr>
          <w:rFonts w:asciiTheme="majorHAnsi" w:hAnsiTheme="majorHAnsi"/>
          <w:bCs/>
          <w:sz w:val="20"/>
          <w:szCs w:val="20"/>
          <w:lang w:val="es-ES_tradnl"/>
        </w:rPr>
        <w:t xml:space="preserve">por el Tribunal Superior de Bogotá el 13 de julio de 2001. </w:t>
      </w:r>
    </w:p>
    <w:p w14:paraId="7A9F7E3D" w14:textId="7420FDD7" w:rsidR="00930EEB" w:rsidRPr="00066E7D" w:rsidRDefault="00930EEB" w:rsidP="00A1049F">
      <w:pPr>
        <w:spacing w:before="240" w:after="240"/>
        <w:ind w:firstLine="720"/>
        <w:jc w:val="both"/>
        <w:rPr>
          <w:rFonts w:asciiTheme="majorHAnsi" w:hAnsiTheme="majorHAnsi"/>
          <w:bCs/>
          <w:sz w:val="20"/>
          <w:szCs w:val="20"/>
          <w:lang w:val="es-ES_tradnl"/>
        </w:rPr>
      </w:pPr>
      <w:r w:rsidRPr="00066E7D">
        <w:rPr>
          <w:rFonts w:asciiTheme="majorHAnsi" w:hAnsiTheme="majorHAnsi"/>
          <w:bCs/>
          <w:sz w:val="20"/>
          <w:szCs w:val="20"/>
          <w:lang w:val="es-ES_tradnl"/>
        </w:rPr>
        <w:t>(</w:t>
      </w:r>
      <w:r w:rsidR="00B65516" w:rsidRPr="00066E7D">
        <w:rPr>
          <w:rFonts w:asciiTheme="majorHAnsi" w:hAnsiTheme="majorHAnsi"/>
          <w:bCs/>
          <w:sz w:val="20"/>
          <w:szCs w:val="20"/>
          <w:lang w:val="es-ES_tradnl"/>
        </w:rPr>
        <w:t>vii</w:t>
      </w:r>
      <w:r w:rsidRPr="00066E7D">
        <w:rPr>
          <w:rFonts w:asciiTheme="majorHAnsi" w:hAnsiTheme="majorHAnsi"/>
          <w:bCs/>
          <w:sz w:val="20"/>
          <w:szCs w:val="20"/>
          <w:lang w:val="es-ES_tradnl"/>
        </w:rPr>
        <w:t xml:space="preserve">) </w:t>
      </w:r>
      <w:r w:rsidR="00A1049F" w:rsidRPr="00066E7D">
        <w:rPr>
          <w:rFonts w:asciiTheme="majorHAnsi" w:hAnsiTheme="majorHAnsi"/>
          <w:bCs/>
          <w:sz w:val="20"/>
          <w:szCs w:val="20"/>
          <w:lang w:val="es-ES_tradnl"/>
        </w:rPr>
        <w:tab/>
      </w:r>
      <w:r w:rsidRPr="00066E7D">
        <w:rPr>
          <w:rFonts w:asciiTheme="majorHAnsi" w:hAnsiTheme="majorHAnsi"/>
          <w:bCs/>
          <w:sz w:val="20"/>
          <w:szCs w:val="20"/>
          <w:lang w:val="es-ES_tradnl"/>
        </w:rPr>
        <w:t>Sentencia del 18 de septiembre de 2007 resuelta por el Juzgado Segundo de Menores de Manizales, que resolvió el segundo incidente de desacato presentado por la presunta víctima</w:t>
      </w:r>
      <w:r w:rsidR="006A47F3" w:rsidRPr="00066E7D">
        <w:rPr>
          <w:rFonts w:asciiTheme="majorHAnsi" w:hAnsiTheme="majorHAnsi"/>
          <w:bCs/>
          <w:sz w:val="20"/>
          <w:szCs w:val="20"/>
          <w:lang w:val="es-ES_tradnl"/>
        </w:rPr>
        <w:t>,</w:t>
      </w:r>
      <w:r w:rsidRPr="00066E7D">
        <w:rPr>
          <w:rFonts w:asciiTheme="majorHAnsi" w:hAnsiTheme="majorHAnsi"/>
          <w:bCs/>
          <w:sz w:val="20"/>
          <w:szCs w:val="20"/>
          <w:lang w:val="es-ES_tradnl"/>
        </w:rPr>
        <w:t xml:space="preserve"> y sancionó al liquidador de la Caja Agraria por el incumplimiento de las órdenes de sentencia T-323 de 2005. La decisión fue confirmada en consulta el 4 de octubre de 2007 por el Tribunal Superior del Distrito Judicial de Manizales.</w:t>
      </w:r>
    </w:p>
    <w:p w14:paraId="3BBE347A" w14:textId="65FA1BAC" w:rsidR="007708ED" w:rsidRPr="00066E7D" w:rsidRDefault="008F5736" w:rsidP="00A1049F">
      <w:pPr>
        <w:spacing w:before="240" w:after="240"/>
        <w:ind w:firstLine="720"/>
        <w:jc w:val="both"/>
        <w:rPr>
          <w:rFonts w:asciiTheme="majorHAnsi" w:hAnsiTheme="majorHAnsi"/>
          <w:bCs/>
          <w:sz w:val="20"/>
          <w:szCs w:val="20"/>
          <w:lang w:val="es-ES_tradnl"/>
        </w:rPr>
      </w:pPr>
      <w:r w:rsidRPr="00066E7D">
        <w:rPr>
          <w:rFonts w:asciiTheme="majorHAnsi" w:hAnsiTheme="majorHAnsi"/>
          <w:bCs/>
          <w:sz w:val="20"/>
          <w:szCs w:val="20"/>
          <w:lang w:val="es-ES_tradnl"/>
        </w:rPr>
        <w:t>(</w:t>
      </w:r>
      <w:r w:rsidR="00B65516" w:rsidRPr="00066E7D">
        <w:rPr>
          <w:rFonts w:asciiTheme="majorHAnsi" w:hAnsiTheme="majorHAnsi"/>
          <w:bCs/>
          <w:sz w:val="20"/>
          <w:szCs w:val="20"/>
          <w:lang w:val="es-ES_tradnl"/>
        </w:rPr>
        <w:t>viii</w:t>
      </w:r>
      <w:r w:rsidRPr="00066E7D">
        <w:rPr>
          <w:rFonts w:asciiTheme="majorHAnsi" w:hAnsiTheme="majorHAnsi"/>
          <w:bCs/>
          <w:sz w:val="20"/>
          <w:szCs w:val="20"/>
          <w:lang w:val="es-ES_tradnl"/>
        </w:rPr>
        <w:t xml:space="preserve">) </w:t>
      </w:r>
      <w:r w:rsidR="00A1049F" w:rsidRPr="00066E7D">
        <w:rPr>
          <w:rFonts w:asciiTheme="majorHAnsi" w:hAnsiTheme="majorHAnsi"/>
          <w:bCs/>
          <w:sz w:val="20"/>
          <w:szCs w:val="20"/>
          <w:lang w:val="es-ES_tradnl"/>
        </w:rPr>
        <w:tab/>
      </w:r>
      <w:r w:rsidR="007708ED" w:rsidRPr="00066E7D">
        <w:rPr>
          <w:rFonts w:asciiTheme="majorHAnsi" w:hAnsiTheme="majorHAnsi"/>
          <w:bCs/>
          <w:sz w:val="20"/>
          <w:szCs w:val="20"/>
          <w:lang w:val="es-ES_tradnl"/>
        </w:rPr>
        <w:t xml:space="preserve">Sentencia decidida </w:t>
      </w:r>
      <w:r w:rsidR="006653B6" w:rsidRPr="00066E7D">
        <w:rPr>
          <w:rFonts w:asciiTheme="majorHAnsi" w:hAnsiTheme="majorHAnsi"/>
          <w:bCs/>
          <w:sz w:val="20"/>
          <w:szCs w:val="20"/>
          <w:lang w:val="es-ES_tradnl"/>
        </w:rPr>
        <w:t xml:space="preserve">en primera instancia </w:t>
      </w:r>
      <w:r w:rsidR="007708ED" w:rsidRPr="00066E7D">
        <w:rPr>
          <w:rFonts w:asciiTheme="majorHAnsi" w:hAnsiTheme="majorHAnsi"/>
          <w:bCs/>
          <w:sz w:val="20"/>
          <w:szCs w:val="20"/>
          <w:lang w:val="es-ES_tradnl"/>
        </w:rPr>
        <w:t xml:space="preserve">por la </w:t>
      </w:r>
      <w:r w:rsidR="006A47F3" w:rsidRPr="00066E7D">
        <w:rPr>
          <w:rFonts w:asciiTheme="majorHAnsi" w:hAnsiTheme="majorHAnsi"/>
          <w:bCs/>
          <w:sz w:val="20"/>
          <w:szCs w:val="20"/>
          <w:lang w:val="es-ES_tradnl"/>
        </w:rPr>
        <w:t xml:space="preserve">Sala de Casación Civil de la </w:t>
      </w:r>
      <w:r w:rsidR="007708ED" w:rsidRPr="00066E7D">
        <w:rPr>
          <w:rFonts w:asciiTheme="majorHAnsi" w:hAnsiTheme="majorHAnsi"/>
          <w:bCs/>
          <w:sz w:val="20"/>
          <w:szCs w:val="20"/>
          <w:lang w:val="es-ES_tradnl"/>
        </w:rPr>
        <w:t>Corte Suprema de Justicia</w:t>
      </w:r>
      <w:r w:rsidR="006A47F3" w:rsidRPr="00066E7D">
        <w:rPr>
          <w:rFonts w:asciiTheme="majorHAnsi" w:hAnsiTheme="majorHAnsi"/>
          <w:bCs/>
          <w:sz w:val="20"/>
          <w:szCs w:val="20"/>
          <w:lang w:val="es-ES_tradnl"/>
        </w:rPr>
        <w:t xml:space="preserve">, </w:t>
      </w:r>
      <w:r w:rsidR="007708ED" w:rsidRPr="00066E7D">
        <w:rPr>
          <w:rFonts w:asciiTheme="majorHAnsi" w:hAnsiTheme="majorHAnsi"/>
          <w:bCs/>
          <w:sz w:val="20"/>
          <w:szCs w:val="20"/>
          <w:lang w:val="es-ES_tradnl"/>
        </w:rPr>
        <w:t>el 13 de noviembre de 2007, y en segunda instancia por la Sala Laboral de la Corte Suprema de Justicia el 18 de enero de 2008</w:t>
      </w:r>
      <w:r w:rsidR="006653B6" w:rsidRPr="00066E7D">
        <w:rPr>
          <w:rFonts w:asciiTheme="majorHAnsi" w:hAnsiTheme="majorHAnsi"/>
          <w:bCs/>
          <w:sz w:val="20"/>
          <w:szCs w:val="20"/>
          <w:lang w:val="es-ES_tradnl"/>
        </w:rPr>
        <w:t xml:space="preserve">, y </w:t>
      </w:r>
      <w:r w:rsidR="007708ED" w:rsidRPr="00066E7D">
        <w:rPr>
          <w:rFonts w:asciiTheme="majorHAnsi" w:hAnsiTheme="majorHAnsi"/>
          <w:bCs/>
          <w:sz w:val="20"/>
          <w:szCs w:val="20"/>
          <w:lang w:val="es-ES_tradnl"/>
        </w:rPr>
        <w:t xml:space="preserve">que </w:t>
      </w:r>
      <w:r w:rsidR="005058AF" w:rsidRPr="00066E7D">
        <w:rPr>
          <w:rFonts w:asciiTheme="majorHAnsi" w:hAnsiTheme="majorHAnsi"/>
          <w:bCs/>
          <w:sz w:val="20"/>
          <w:szCs w:val="20"/>
          <w:lang w:val="es-ES_tradnl"/>
        </w:rPr>
        <w:t>resolvió la tutela presentada por el liquidador de la Caja Agraria</w:t>
      </w:r>
      <w:r w:rsidR="006A47F3" w:rsidRPr="00066E7D">
        <w:rPr>
          <w:rFonts w:asciiTheme="majorHAnsi" w:hAnsiTheme="majorHAnsi"/>
          <w:bCs/>
          <w:sz w:val="20"/>
          <w:szCs w:val="20"/>
          <w:lang w:val="es-ES_tradnl"/>
        </w:rPr>
        <w:t>,</w:t>
      </w:r>
      <w:r w:rsidR="005058AF" w:rsidRPr="00066E7D">
        <w:rPr>
          <w:rFonts w:asciiTheme="majorHAnsi" w:hAnsiTheme="majorHAnsi"/>
          <w:bCs/>
          <w:sz w:val="20"/>
          <w:szCs w:val="20"/>
          <w:lang w:val="es-ES_tradnl"/>
        </w:rPr>
        <w:t xml:space="preserve"> mediante la </w:t>
      </w:r>
      <w:r w:rsidR="004025EF" w:rsidRPr="00066E7D">
        <w:rPr>
          <w:rFonts w:asciiTheme="majorHAnsi" w:hAnsiTheme="majorHAnsi"/>
          <w:bCs/>
          <w:sz w:val="20"/>
          <w:szCs w:val="20"/>
          <w:lang w:val="es-ES_tradnl"/>
        </w:rPr>
        <w:t>que</w:t>
      </w:r>
      <w:r w:rsidR="005058AF" w:rsidRPr="00066E7D">
        <w:rPr>
          <w:rFonts w:asciiTheme="majorHAnsi" w:hAnsiTheme="majorHAnsi"/>
          <w:bCs/>
          <w:sz w:val="20"/>
          <w:szCs w:val="20"/>
          <w:lang w:val="es-ES_tradnl"/>
        </w:rPr>
        <w:t xml:space="preserve"> </w:t>
      </w:r>
      <w:r w:rsidR="007708ED" w:rsidRPr="00066E7D">
        <w:rPr>
          <w:rFonts w:asciiTheme="majorHAnsi" w:hAnsiTheme="majorHAnsi"/>
          <w:bCs/>
          <w:sz w:val="20"/>
          <w:szCs w:val="20"/>
          <w:lang w:val="es-ES_tradnl"/>
        </w:rPr>
        <w:t>dejó sin efecto la sanción al liquidador de la Caja Agraria, al sustentar que no es posible reintegrar a la presunta víctima, porque el cargo que ocupaba no existe, y nadie puede ser obligado a lo imposible.</w:t>
      </w:r>
    </w:p>
    <w:p w14:paraId="673BF7A6" w14:textId="470495B0" w:rsidR="007F6355" w:rsidRPr="00066E7D" w:rsidRDefault="007F6355" w:rsidP="00A1049F">
      <w:pPr>
        <w:spacing w:before="240" w:after="240"/>
        <w:ind w:firstLine="720"/>
        <w:jc w:val="both"/>
        <w:rPr>
          <w:rFonts w:asciiTheme="majorHAnsi" w:hAnsiTheme="majorHAnsi"/>
          <w:bCs/>
          <w:sz w:val="20"/>
          <w:szCs w:val="20"/>
          <w:lang w:val="es-ES_tradnl"/>
        </w:rPr>
      </w:pPr>
      <w:r w:rsidRPr="00066E7D">
        <w:rPr>
          <w:rFonts w:asciiTheme="majorHAnsi" w:hAnsiTheme="majorHAnsi"/>
          <w:bCs/>
          <w:sz w:val="20"/>
          <w:szCs w:val="20"/>
          <w:lang w:val="es-ES_tradnl"/>
        </w:rPr>
        <w:t>(</w:t>
      </w:r>
      <w:r w:rsidR="00B65516" w:rsidRPr="00066E7D">
        <w:rPr>
          <w:rFonts w:asciiTheme="majorHAnsi" w:hAnsiTheme="majorHAnsi"/>
          <w:bCs/>
          <w:sz w:val="20"/>
          <w:szCs w:val="20"/>
          <w:lang w:val="es-ES_tradnl"/>
        </w:rPr>
        <w:t>ix</w:t>
      </w:r>
      <w:r w:rsidRPr="00066E7D">
        <w:rPr>
          <w:rFonts w:asciiTheme="majorHAnsi" w:hAnsiTheme="majorHAnsi"/>
          <w:bCs/>
          <w:sz w:val="20"/>
          <w:szCs w:val="20"/>
          <w:lang w:val="es-ES_tradnl"/>
        </w:rPr>
        <w:t xml:space="preserve">) </w:t>
      </w:r>
      <w:r w:rsidR="00A1049F" w:rsidRPr="00066E7D">
        <w:rPr>
          <w:rFonts w:asciiTheme="majorHAnsi" w:hAnsiTheme="majorHAnsi"/>
          <w:bCs/>
          <w:sz w:val="20"/>
          <w:szCs w:val="20"/>
          <w:lang w:val="es-ES_tradnl"/>
        </w:rPr>
        <w:tab/>
      </w:r>
      <w:r w:rsidRPr="00066E7D">
        <w:rPr>
          <w:rFonts w:asciiTheme="majorHAnsi" w:hAnsiTheme="majorHAnsi"/>
          <w:bCs/>
          <w:sz w:val="20"/>
          <w:szCs w:val="20"/>
          <w:lang w:val="es-ES_tradnl"/>
        </w:rPr>
        <w:t xml:space="preserve">Sentencia del 18 de enero de 2008 decidida por la </w:t>
      </w:r>
      <w:r w:rsidR="00502EAC" w:rsidRPr="00066E7D">
        <w:rPr>
          <w:rFonts w:asciiTheme="majorHAnsi" w:hAnsiTheme="majorHAnsi"/>
          <w:bCs/>
          <w:sz w:val="20"/>
          <w:szCs w:val="20"/>
          <w:lang w:val="es-ES_tradnl"/>
        </w:rPr>
        <w:t xml:space="preserve">Sala Laboral de la </w:t>
      </w:r>
      <w:r w:rsidRPr="00066E7D">
        <w:rPr>
          <w:rFonts w:asciiTheme="majorHAnsi" w:hAnsiTheme="majorHAnsi"/>
          <w:bCs/>
          <w:sz w:val="20"/>
          <w:szCs w:val="20"/>
          <w:lang w:val="es-ES_tradnl"/>
        </w:rPr>
        <w:t>Corte Suprema de Justicia,</w:t>
      </w:r>
      <w:r w:rsidR="00502EAC" w:rsidRPr="00066E7D">
        <w:rPr>
          <w:rFonts w:asciiTheme="majorHAnsi" w:hAnsiTheme="majorHAnsi"/>
          <w:bCs/>
          <w:sz w:val="20"/>
          <w:szCs w:val="20"/>
          <w:lang w:val="es-ES_tradnl"/>
        </w:rPr>
        <w:t xml:space="preserve"> </w:t>
      </w:r>
      <w:r w:rsidRPr="00066E7D">
        <w:rPr>
          <w:rFonts w:asciiTheme="majorHAnsi" w:hAnsiTheme="majorHAnsi"/>
          <w:bCs/>
          <w:sz w:val="20"/>
          <w:szCs w:val="20"/>
          <w:lang w:val="es-ES_tradnl"/>
        </w:rPr>
        <w:t xml:space="preserve">que negó el incidente de nulidad </w:t>
      </w:r>
      <w:r w:rsidR="00490CFE" w:rsidRPr="00066E7D">
        <w:rPr>
          <w:rFonts w:asciiTheme="majorHAnsi" w:hAnsiTheme="majorHAnsi"/>
          <w:bCs/>
          <w:sz w:val="20"/>
          <w:szCs w:val="20"/>
          <w:lang w:val="es-ES_tradnl"/>
        </w:rPr>
        <w:t xml:space="preserve">contra todo lo actuado, </w:t>
      </w:r>
      <w:r w:rsidR="003839AE" w:rsidRPr="00066E7D">
        <w:rPr>
          <w:rFonts w:asciiTheme="majorHAnsi" w:hAnsiTheme="majorHAnsi"/>
          <w:bCs/>
          <w:sz w:val="20"/>
          <w:szCs w:val="20"/>
          <w:lang w:val="es-ES_tradnl"/>
        </w:rPr>
        <w:t xml:space="preserve">que fue </w:t>
      </w:r>
      <w:r w:rsidRPr="00066E7D">
        <w:rPr>
          <w:rFonts w:asciiTheme="majorHAnsi" w:hAnsiTheme="majorHAnsi"/>
          <w:bCs/>
          <w:sz w:val="20"/>
          <w:szCs w:val="20"/>
          <w:lang w:val="es-ES_tradnl"/>
        </w:rPr>
        <w:t>presentado por la presunta víctima</w:t>
      </w:r>
      <w:r w:rsidR="003839AE" w:rsidRPr="00066E7D">
        <w:rPr>
          <w:rFonts w:asciiTheme="majorHAnsi" w:hAnsiTheme="majorHAnsi"/>
          <w:bCs/>
          <w:sz w:val="20"/>
          <w:szCs w:val="20"/>
          <w:lang w:val="es-ES_tradnl"/>
        </w:rPr>
        <w:t>,</w:t>
      </w:r>
      <w:r w:rsidRPr="00066E7D">
        <w:rPr>
          <w:rFonts w:asciiTheme="majorHAnsi" w:hAnsiTheme="majorHAnsi"/>
          <w:bCs/>
          <w:sz w:val="20"/>
          <w:szCs w:val="20"/>
          <w:lang w:val="es-ES_tradnl"/>
        </w:rPr>
        <w:t xml:space="preserve"> en el que alegó la omisión de su vinculación a la acción</w:t>
      </w:r>
      <w:r w:rsidR="00442FF0" w:rsidRPr="00066E7D">
        <w:rPr>
          <w:rFonts w:asciiTheme="majorHAnsi" w:hAnsiTheme="majorHAnsi"/>
          <w:bCs/>
          <w:sz w:val="20"/>
          <w:szCs w:val="20"/>
          <w:lang w:val="es-ES_tradnl"/>
        </w:rPr>
        <w:t>.</w:t>
      </w:r>
      <w:r w:rsidRPr="00066E7D">
        <w:rPr>
          <w:rFonts w:asciiTheme="majorHAnsi" w:hAnsiTheme="majorHAnsi"/>
          <w:bCs/>
          <w:sz w:val="20"/>
          <w:szCs w:val="20"/>
          <w:lang w:val="es-ES_tradnl"/>
        </w:rPr>
        <w:t xml:space="preserve"> </w:t>
      </w:r>
      <w:r w:rsidR="00442FF0" w:rsidRPr="00066E7D">
        <w:rPr>
          <w:rFonts w:asciiTheme="majorHAnsi" w:hAnsiTheme="majorHAnsi"/>
          <w:bCs/>
          <w:sz w:val="20"/>
          <w:szCs w:val="20"/>
          <w:lang w:val="es-ES_tradnl"/>
        </w:rPr>
        <w:t>E</w:t>
      </w:r>
      <w:r w:rsidRPr="00066E7D">
        <w:rPr>
          <w:rFonts w:asciiTheme="majorHAnsi" w:hAnsiTheme="majorHAnsi"/>
          <w:bCs/>
          <w:sz w:val="20"/>
          <w:szCs w:val="20"/>
          <w:lang w:val="es-ES_tradnl"/>
        </w:rPr>
        <w:t xml:space="preserve">l tribunal destacó que el auto admisorio de la acción de tutela ordenó vincular al promotor del incidente de desacato. Por lo tanto, confirma el fallo de tutela.  </w:t>
      </w:r>
    </w:p>
    <w:p w14:paraId="3251AD2A" w14:textId="15EF529D" w:rsidR="00A01B39" w:rsidRPr="00066E7D" w:rsidRDefault="00B71460" w:rsidP="00A1049F">
      <w:pPr>
        <w:spacing w:before="240" w:after="240"/>
        <w:ind w:firstLine="720"/>
        <w:jc w:val="both"/>
        <w:rPr>
          <w:rFonts w:asciiTheme="majorHAnsi" w:hAnsiTheme="majorHAnsi"/>
          <w:bCs/>
          <w:sz w:val="20"/>
          <w:szCs w:val="20"/>
          <w:lang w:val="es-ES_tradnl"/>
        </w:rPr>
      </w:pPr>
      <w:r w:rsidRPr="00066E7D">
        <w:rPr>
          <w:rFonts w:asciiTheme="majorHAnsi" w:hAnsiTheme="majorHAnsi"/>
          <w:bCs/>
          <w:sz w:val="20"/>
          <w:szCs w:val="20"/>
          <w:lang w:val="es-ES_tradnl"/>
        </w:rPr>
        <w:t>(</w:t>
      </w:r>
      <w:r w:rsidR="00B65516" w:rsidRPr="00066E7D">
        <w:rPr>
          <w:rFonts w:asciiTheme="majorHAnsi" w:hAnsiTheme="majorHAnsi"/>
          <w:bCs/>
          <w:sz w:val="20"/>
          <w:szCs w:val="20"/>
          <w:lang w:val="es-ES_tradnl"/>
        </w:rPr>
        <w:t>x</w:t>
      </w:r>
      <w:r w:rsidRPr="00066E7D">
        <w:rPr>
          <w:rFonts w:asciiTheme="majorHAnsi" w:hAnsiTheme="majorHAnsi"/>
          <w:bCs/>
          <w:sz w:val="20"/>
          <w:szCs w:val="20"/>
          <w:lang w:val="es-ES_tradnl"/>
        </w:rPr>
        <w:t xml:space="preserve">) </w:t>
      </w:r>
      <w:r w:rsidR="00A1049F" w:rsidRPr="00066E7D">
        <w:rPr>
          <w:rFonts w:asciiTheme="majorHAnsi" w:hAnsiTheme="majorHAnsi"/>
          <w:bCs/>
          <w:sz w:val="20"/>
          <w:szCs w:val="20"/>
          <w:lang w:val="es-ES_tradnl"/>
        </w:rPr>
        <w:tab/>
      </w:r>
      <w:r w:rsidR="00A01B39" w:rsidRPr="00066E7D">
        <w:rPr>
          <w:rFonts w:asciiTheme="majorHAnsi" w:hAnsiTheme="majorHAnsi"/>
          <w:bCs/>
          <w:sz w:val="20"/>
          <w:szCs w:val="20"/>
          <w:lang w:val="es-ES_tradnl"/>
        </w:rPr>
        <w:t xml:space="preserve">Auto </w:t>
      </w:r>
      <w:r w:rsidR="004E52A8" w:rsidRPr="00066E7D">
        <w:rPr>
          <w:rFonts w:asciiTheme="majorHAnsi" w:hAnsiTheme="majorHAnsi"/>
          <w:bCs/>
          <w:sz w:val="20"/>
          <w:szCs w:val="20"/>
          <w:lang w:val="es-ES_tradnl"/>
        </w:rPr>
        <w:t xml:space="preserve">de sustanciación </w:t>
      </w:r>
      <w:r w:rsidR="00A01B39" w:rsidRPr="00066E7D">
        <w:rPr>
          <w:rFonts w:asciiTheme="majorHAnsi" w:hAnsiTheme="majorHAnsi"/>
          <w:bCs/>
          <w:sz w:val="20"/>
          <w:szCs w:val="20"/>
          <w:lang w:val="es-ES_tradnl"/>
        </w:rPr>
        <w:t xml:space="preserve">No. 772 expedido por el Juzgado Segundo de Menores de Manizales el 10 de junio de 2008, </w:t>
      </w:r>
      <w:r w:rsidR="00502EAC" w:rsidRPr="00066E7D">
        <w:rPr>
          <w:rFonts w:asciiTheme="majorHAnsi" w:hAnsiTheme="majorHAnsi"/>
          <w:bCs/>
          <w:sz w:val="20"/>
          <w:szCs w:val="20"/>
          <w:lang w:val="es-ES_tradnl"/>
        </w:rPr>
        <w:t>que</w:t>
      </w:r>
      <w:r w:rsidR="00182ABF" w:rsidRPr="00066E7D">
        <w:rPr>
          <w:rFonts w:asciiTheme="majorHAnsi" w:hAnsiTheme="majorHAnsi"/>
          <w:bCs/>
          <w:sz w:val="20"/>
          <w:szCs w:val="20"/>
          <w:lang w:val="es-ES_tradnl"/>
        </w:rPr>
        <w:t xml:space="preserve"> rechazó el tercer incidente de desacato presentado por la presunta víctima</w:t>
      </w:r>
      <w:r w:rsidR="00F629AB" w:rsidRPr="00066E7D">
        <w:rPr>
          <w:rFonts w:asciiTheme="majorHAnsi" w:hAnsiTheme="majorHAnsi"/>
          <w:bCs/>
          <w:sz w:val="20"/>
          <w:szCs w:val="20"/>
          <w:lang w:val="es-ES_tradnl"/>
        </w:rPr>
        <w:t xml:space="preserve"> que alegó el cumpl</w:t>
      </w:r>
      <w:r w:rsidR="007248B5" w:rsidRPr="00066E7D">
        <w:rPr>
          <w:rFonts w:asciiTheme="majorHAnsi" w:hAnsiTheme="majorHAnsi"/>
          <w:bCs/>
          <w:sz w:val="20"/>
          <w:szCs w:val="20"/>
          <w:lang w:val="es-ES_tradnl"/>
        </w:rPr>
        <w:t>i</w:t>
      </w:r>
      <w:r w:rsidR="00F629AB" w:rsidRPr="00066E7D">
        <w:rPr>
          <w:rFonts w:asciiTheme="majorHAnsi" w:hAnsiTheme="majorHAnsi"/>
          <w:bCs/>
          <w:sz w:val="20"/>
          <w:szCs w:val="20"/>
          <w:lang w:val="es-ES_tradnl"/>
        </w:rPr>
        <w:t xml:space="preserve">miento de la sentencia T-323 de 2005 y </w:t>
      </w:r>
      <w:r w:rsidR="00A732FF" w:rsidRPr="00066E7D">
        <w:rPr>
          <w:rFonts w:asciiTheme="majorHAnsi" w:hAnsiTheme="majorHAnsi"/>
          <w:bCs/>
          <w:sz w:val="20"/>
          <w:szCs w:val="20"/>
          <w:lang w:val="es-ES_tradnl"/>
        </w:rPr>
        <w:t xml:space="preserve">la sentencia del 13 de julio de 2001 promulgada por el Tribunal Superior de Bogotá. </w:t>
      </w:r>
    </w:p>
    <w:p w14:paraId="5C6ED545" w14:textId="19410410" w:rsidR="001570BF" w:rsidRPr="00066E7D" w:rsidRDefault="00CC01A2" w:rsidP="00A1049F">
      <w:pPr>
        <w:spacing w:before="240" w:after="240"/>
        <w:ind w:firstLine="720"/>
        <w:jc w:val="both"/>
        <w:rPr>
          <w:rFonts w:asciiTheme="majorHAnsi" w:hAnsiTheme="majorHAnsi"/>
          <w:bCs/>
          <w:sz w:val="20"/>
          <w:szCs w:val="20"/>
          <w:lang w:val="es-ES_tradnl"/>
        </w:rPr>
      </w:pPr>
      <w:r w:rsidRPr="00066E7D">
        <w:rPr>
          <w:rFonts w:asciiTheme="majorHAnsi" w:hAnsiTheme="majorHAnsi"/>
          <w:bCs/>
          <w:sz w:val="20"/>
          <w:szCs w:val="20"/>
          <w:lang w:val="es-ES_tradnl"/>
        </w:rPr>
        <w:t>(</w:t>
      </w:r>
      <w:r w:rsidR="00B65516" w:rsidRPr="00066E7D">
        <w:rPr>
          <w:rFonts w:asciiTheme="majorHAnsi" w:hAnsiTheme="majorHAnsi"/>
          <w:bCs/>
          <w:sz w:val="20"/>
          <w:szCs w:val="20"/>
          <w:lang w:val="es-ES_tradnl"/>
        </w:rPr>
        <w:t>xi</w:t>
      </w:r>
      <w:r w:rsidRPr="00066E7D">
        <w:rPr>
          <w:rFonts w:asciiTheme="majorHAnsi" w:hAnsiTheme="majorHAnsi"/>
          <w:bCs/>
          <w:sz w:val="20"/>
          <w:szCs w:val="20"/>
          <w:lang w:val="es-ES_tradnl"/>
        </w:rPr>
        <w:t xml:space="preserve">) </w:t>
      </w:r>
      <w:r w:rsidR="00A1049F" w:rsidRPr="00066E7D">
        <w:rPr>
          <w:rFonts w:asciiTheme="majorHAnsi" w:hAnsiTheme="majorHAnsi"/>
          <w:bCs/>
          <w:sz w:val="20"/>
          <w:szCs w:val="20"/>
          <w:lang w:val="es-ES_tradnl"/>
        </w:rPr>
        <w:tab/>
      </w:r>
      <w:r w:rsidRPr="00066E7D">
        <w:rPr>
          <w:rFonts w:asciiTheme="majorHAnsi" w:hAnsiTheme="majorHAnsi"/>
          <w:bCs/>
          <w:sz w:val="20"/>
          <w:szCs w:val="20"/>
          <w:lang w:val="es-ES_tradnl"/>
        </w:rPr>
        <w:t xml:space="preserve">Sentencia del 25 de abril de 2008 del Juzgado Tercero Laboral de Manizales, negó </w:t>
      </w:r>
      <w:r w:rsidR="00FF788A" w:rsidRPr="00066E7D">
        <w:rPr>
          <w:rFonts w:asciiTheme="majorHAnsi" w:hAnsiTheme="majorHAnsi"/>
          <w:bCs/>
          <w:sz w:val="20"/>
          <w:szCs w:val="20"/>
          <w:lang w:val="es-ES_tradnl"/>
        </w:rPr>
        <w:t xml:space="preserve">la tutela presentada por la presunta víctima, mediante la cual solicitó el reconocimiento de una relación laboral </w:t>
      </w:r>
      <w:r w:rsidR="00973EA7" w:rsidRPr="00066E7D">
        <w:rPr>
          <w:rFonts w:asciiTheme="majorHAnsi" w:hAnsiTheme="majorHAnsi"/>
          <w:bCs/>
          <w:sz w:val="20"/>
          <w:szCs w:val="20"/>
          <w:lang w:val="es-ES_tradnl"/>
        </w:rPr>
        <w:t>con</w:t>
      </w:r>
      <w:r w:rsidR="00FF788A" w:rsidRPr="00066E7D">
        <w:rPr>
          <w:rFonts w:asciiTheme="majorHAnsi" w:hAnsiTheme="majorHAnsi"/>
          <w:bCs/>
          <w:sz w:val="20"/>
          <w:szCs w:val="20"/>
          <w:lang w:val="es-ES_tradnl"/>
        </w:rPr>
        <w:t xml:space="preserve"> la Caja Agraria. La decisión fue confirmada </w:t>
      </w:r>
      <w:r w:rsidR="00973EA7" w:rsidRPr="00066E7D">
        <w:rPr>
          <w:rFonts w:asciiTheme="majorHAnsi" w:hAnsiTheme="majorHAnsi"/>
          <w:bCs/>
          <w:sz w:val="20"/>
          <w:szCs w:val="20"/>
          <w:lang w:val="es-ES_tradnl"/>
        </w:rPr>
        <w:t>el 31 de julio</w:t>
      </w:r>
      <w:r w:rsidR="00D52FDA" w:rsidRPr="00066E7D">
        <w:rPr>
          <w:rFonts w:asciiTheme="majorHAnsi" w:hAnsiTheme="majorHAnsi"/>
          <w:bCs/>
          <w:sz w:val="20"/>
          <w:szCs w:val="20"/>
          <w:lang w:val="es-ES_tradnl"/>
        </w:rPr>
        <w:t xml:space="preserve"> </w:t>
      </w:r>
      <w:r w:rsidR="00973EA7" w:rsidRPr="00066E7D">
        <w:rPr>
          <w:rFonts w:asciiTheme="majorHAnsi" w:hAnsiTheme="majorHAnsi"/>
          <w:bCs/>
          <w:sz w:val="20"/>
          <w:szCs w:val="20"/>
          <w:lang w:val="es-ES_tradnl"/>
        </w:rPr>
        <w:t xml:space="preserve">de 2008, por </w:t>
      </w:r>
      <w:r w:rsidR="00502EAC" w:rsidRPr="00066E7D">
        <w:rPr>
          <w:rFonts w:asciiTheme="majorHAnsi" w:hAnsiTheme="majorHAnsi"/>
          <w:bCs/>
          <w:sz w:val="20"/>
          <w:szCs w:val="20"/>
          <w:lang w:val="es-ES_tradnl"/>
        </w:rPr>
        <w:t>la Sala de Decisión d</w:t>
      </w:r>
      <w:r w:rsidR="00973EA7" w:rsidRPr="00066E7D">
        <w:rPr>
          <w:rFonts w:asciiTheme="majorHAnsi" w:hAnsiTheme="majorHAnsi"/>
          <w:bCs/>
          <w:sz w:val="20"/>
          <w:szCs w:val="20"/>
          <w:lang w:val="es-ES_tradnl"/>
        </w:rPr>
        <w:t xml:space="preserve">el Tribunal Superior de Manizales, que indicó que no se puede sustentar la relación laboral, porque el señor se encuentra pensionado con la entidad. </w:t>
      </w:r>
    </w:p>
    <w:p w14:paraId="763AEBE3" w14:textId="6E45A809" w:rsidR="00500742" w:rsidRPr="00066E7D" w:rsidRDefault="001570BF" w:rsidP="00A1049F">
      <w:pPr>
        <w:spacing w:before="240" w:after="240"/>
        <w:ind w:firstLine="720"/>
        <w:jc w:val="both"/>
        <w:rPr>
          <w:rFonts w:asciiTheme="majorHAnsi" w:hAnsiTheme="majorHAnsi"/>
          <w:bCs/>
          <w:sz w:val="20"/>
          <w:szCs w:val="20"/>
          <w:lang w:val="es-ES_tradnl"/>
        </w:rPr>
      </w:pPr>
      <w:r w:rsidRPr="00066E7D">
        <w:rPr>
          <w:rFonts w:asciiTheme="majorHAnsi" w:hAnsiTheme="majorHAnsi"/>
          <w:bCs/>
          <w:sz w:val="20"/>
          <w:szCs w:val="20"/>
          <w:lang w:val="es-ES_tradnl"/>
        </w:rPr>
        <w:t>(</w:t>
      </w:r>
      <w:r w:rsidR="00B65516" w:rsidRPr="00066E7D">
        <w:rPr>
          <w:rFonts w:asciiTheme="majorHAnsi" w:hAnsiTheme="majorHAnsi"/>
          <w:bCs/>
          <w:sz w:val="20"/>
          <w:szCs w:val="20"/>
          <w:lang w:val="es-ES_tradnl"/>
        </w:rPr>
        <w:t>xii</w:t>
      </w:r>
      <w:r w:rsidRPr="00066E7D">
        <w:rPr>
          <w:rFonts w:asciiTheme="majorHAnsi" w:hAnsiTheme="majorHAnsi"/>
          <w:bCs/>
          <w:sz w:val="20"/>
          <w:szCs w:val="20"/>
          <w:lang w:val="es-ES_tradnl"/>
        </w:rPr>
        <w:t>)</w:t>
      </w:r>
      <w:r w:rsidR="004B41F9" w:rsidRPr="00066E7D">
        <w:rPr>
          <w:rFonts w:asciiTheme="majorHAnsi" w:hAnsiTheme="majorHAnsi"/>
          <w:bCs/>
          <w:sz w:val="20"/>
          <w:szCs w:val="20"/>
          <w:lang w:val="es-ES_tradnl"/>
        </w:rPr>
        <w:t xml:space="preserve"> </w:t>
      </w:r>
      <w:r w:rsidR="00A1049F" w:rsidRPr="00066E7D">
        <w:rPr>
          <w:rFonts w:asciiTheme="majorHAnsi" w:hAnsiTheme="majorHAnsi"/>
          <w:bCs/>
          <w:sz w:val="20"/>
          <w:szCs w:val="20"/>
          <w:lang w:val="es-ES_tradnl"/>
        </w:rPr>
        <w:tab/>
      </w:r>
      <w:r w:rsidRPr="00066E7D">
        <w:rPr>
          <w:rFonts w:asciiTheme="majorHAnsi" w:hAnsiTheme="majorHAnsi"/>
          <w:bCs/>
          <w:sz w:val="20"/>
          <w:szCs w:val="20"/>
          <w:lang w:val="es-ES_tradnl"/>
        </w:rPr>
        <w:t>Auto 200 de 2008 expedido por la Corte Constitucional el 25 de agosto de 200</w:t>
      </w:r>
      <w:r w:rsidR="00C2771C" w:rsidRPr="00066E7D">
        <w:rPr>
          <w:rFonts w:asciiTheme="majorHAnsi" w:hAnsiTheme="majorHAnsi"/>
          <w:bCs/>
          <w:sz w:val="20"/>
          <w:szCs w:val="20"/>
          <w:lang w:val="es-ES_tradnl"/>
        </w:rPr>
        <w:t>8</w:t>
      </w:r>
      <w:r w:rsidRPr="00066E7D">
        <w:rPr>
          <w:rFonts w:asciiTheme="majorHAnsi" w:hAnsiTheme="majorHAnsi"/>
          <w:bCs/>
          <w:sz w:val="20"/>
          <w:szCs w:val="20"/>
          <w:lang w:val="es-ES_tradnl"/>
        </w:rPr>
        <w:t xml:space="preserve">, </w:t>
      </w:r>
      <w:r w:rsidR="00502EAC" w:rsidRPr="00066E7D">
        <w:rPr>
          <w:rFonts w:asciiTheme="majorHAnsi" w:hAnsiTheme="majorHAnsi"/>
          <w:bCs/>
          <w:sz w:val="20"/>
          <w:szCs w:val="20"/>
          <w:lang w:val="es-ES_tradnl"/>
        </w:rPr>
        <w:t xml:space="preserve">que </w:t>
      </w:r>
      <w:r w:rsidRPr="00066E7D">
        <w:rPr>
          <w:rFonts w:asciiTheme="majorHAnsi" w:hAnsiTheme="majorHAnsi"/>
          <w:bCs/>
          <w:sz w:val="20"/>
          <w:szCs w:val="20"/>
          <w:lang w:val="es-ES_tradnl"/>
        </w:rPr>
        <w:t xml:space="preserve">rechazó </w:t>
      </w:r>
      <w:r w:rsidR="00A8212B" w:rsidRPr="00066E7D">
        <w:rPr>
          <w:rFonts w:asciiTheme="majorHAnsi" w:hAnsiTheme="majorHAnsi"/>
          <w:bCs/>
          <w:sz w:val="20"/>
          <w:szCs w:val="20"/>
          <w:lang w:val="es-ES_tradnl"/>
        </w:rPr>
        <w:t xml:space="preserve">por improcedente </w:t>
      </w:r>
      <w:r w:rsidRPr="00066E7D">
        <w:rPr>
          <w:rFonts w:asciiTheme="majorHAnsi" w:hAnsiTheme="majorHAnsi"/>
          <w:bCs/>
          <w:sz w:val="20"/>
          <w:szCs w:val="20"/>
          <w:lang w:val="es-ES_tradnl"/>
        </w:rPr>
        <w:t>la</w:t>
      </w:r>
      <w:r w:rsidR="00B26E78" w:rsidRPr="00066E7D">
        <w:rPr>
          <w:rFonts w:asciiTheme="majorHAnsi" w:hAnsiTheme="majorHAnsi"/>
          <w:bCs/>
          <w:sz w:val="20"/>
          <w:szCs w:val="20"/>
          <w:lang w:val="es-ES_tradnl"/>
        </w:rPr>
        <w:t>s</w:t>
      </w:r>
      <w:r w:rsidRPr="00066E7D">
        <w:rPr>
          <w:rFonts w:asciiTheme="majorHAnsi" w:hAnsiTheme="majorHAnsi"/>
          <w:bCs/>
          <w:sz w:val="20"/>
          <w:szCs w:val="20"/>
          <w:lang w:val="es-ES_tradnl"/>
        </w:rPr>
        <w:t xml:space="preserve"> solicitud</w:t>
      </w:r>
      <w:r w:rsidR="00B26E78" w:rsidRPr="00066E7D">
        <w:rPr>
          <w:rFonts w:asciiTheme="majorHAnsi" w:hAnsiTheme="majorHAnsi"/>
          <w:bCs/>
          <w:sz w:val="20"/>
          <w:szCs w:val="20"/>
          <w:lang w:val="es-ES_tradnl"/>
        </w:rPr>
        <w:t>es</w:t>
      </w:r>
      <w:r w:rsidRPr="00066E7D">
        <w:rPr>
          <w:rFonts w:asciiTheme="majorHAnsi" w:hAnsiTheme="majorHAnsi"/>
          <w:bCs/>
          <w:sz w:val="20"/>
          <w:szCs w:val="20"/>
          <w:lang w:val="es-ES_tradnl"/>
        </w:rPr>
        <w:t xml:space="preserve"> de </w:t>
      </w:r>
      <w:r w:rsidR="00A8212B" w:rsidRPr="00066E7D">
        <w:rPr>
          <w:rFonts w:asciiTheme="majorHAnsi" w:hAnsiTheme="majorHAnsi"/>
          <w:bCs/>
          <w:sz w:val="20"/>
          <w:szCs w:val="20"/>
          <w:lang w:val="es-ES_tradnl"/>
        </w:rPr>
        <w:t>asumir el conocimiento del cumplimiento de la sentencia T-323 de 2005</w:t>
      </w:r>
      <w:r w:rsidR="001A64E6" w:rsidRPr="00066E7D">
        <w:rPr>
          <w:rFonts w:asciiTheme="majorHAnsi" w:hAnsiTheme="majorHAnsi"/>
          <w:bCs/>
          <w:sz w:val="20"/>
          <w:szCs w:val="20"/>
          <w:lang w:val="es-ES_tradnl"/>
        </w:rPr>
        <w:t xml:space="preserve"> y de revocar las decisiones proferidas por la Sala Laboral de la Corte Suprema de Justicia</w:t>
      </w:r>
      <w:r w:rsidR="00500742" w:rsidRPr="00066E7D">
        <w:rPr>
          <w:rFonts w:asciiTheme="majorHAnsi" w:hAnsiTheme="majorHAnsi"/>
          <w:bCs/>
          <w:sz w:val="20"/>
          <w:szCs w:val="20"/>
          <w:lang w:val="es-ES_tradnl"/>
        </w:rPr>
        <w:t>.</w:t>
      </w:r>
    </w:p>
    <w:p w14:paraId="2F0CC4DA" w14:textId="014C5364" w:rsidR="000F7347" w:rsidRPr="00066E7D" w:rsidRDefault="000F7347" w:rsidP="00A1049F">
      <w:pPr>
        <w:spacing w:before="240" w:after="240"/>
        <w:ind w:firstLine="720"/>
        <w:jc w:val="both"/>
        <w:rPr>
          <w:rFonts w:asciiTheme="majorHAnsi" w:hAnsiTheme="majorHAnsi"/>
          <w:bCs/>
          <w:sz w:val="20"/>
          <w:szCs w:val="20"/>
          <w:lang w:val="es-ES_tradnl"/>
        </w:rPr>
      </w:pPr>
      <w:r w:rsidRPr="00066E7D">
        <w:rPr>
          <w:rFonts w:asciiTheme="majorHAnsi" w:hAnsiTheme="majorHAnsi"/>
          <w:bCs/>
          <w:sz w:val="20"/>
          <w:szCs w:val="20"/>
          <w:lang w:val="es-ES_tradnl"/>
        </w:rPr>
        <w:t>(</w:t>
      </w:r>
      <w:r w:rsidR="00B65516" w:rsidRPr="00066E7D">
        <w:rPr>
          <w:rFonts w:asciiTheme="majorHAnsi" w:hAnsiTheme="majorHAnsi"/>
          <w:bCs/>
          <w:sz w:val="20"/>
          <w:szCs w:val="20"/>
          <w:lang w:val="es-ES_tradnl"/>
        </w:rPr>
        <w:t>xiii</w:t>
      </w:r>
      <w:r w:rsidRPr="00066E7D">
        <w:rPr>
          <w:rFonts w:asciiTheme="majorHAnsi" w:hAnsiTheme="majorHAnsi"/>
          <w:bCs/>
          <w:sz w:val="20"/>
          <w:szCs w:val="20"/>
          <w:lang w:val="es-ES_tradnl"/>
        </w:rPr>
        <w:t xml:space="preserve">) </w:t>
      </w:r>
      <w:r w:rsidR="00A1049F" w:rsidRPr="00066E7D">
        <w:rPr>
          <w:rFonts w:asciiTheme="majorHAnsi" w:hAnsiTheme="majorHAnsi"/>
          <w:bCs/>
          <w:sz w:val="20"/>
          <w:szCs w:val="20"/>
          <w:lang w:val="es-ES_tradnl"/>
        </w:rPr>
        <w:tab/>
      </w:r>
      <w:r w:rsidRPr="00066E7D">
        <w:rPr>
          <w:rFonts w:asciiTheme="majorHAnsi" w:hAnsiTheme="majorHAnsi"/>
          <w:bCs/>
          <w:sz w:val="20"/>
          <w:szCs w:val="20"/>
          <w:lang w:val="es-ES_tradnl"/>
        </w:rPr>
        <w:t xml:space="preserve">Sentencia del 30 de octubre de 2008 decidida por la </w:t>
      </w:r>
      <w:r w:rsidR="0075515D" w:rsidRPr="00066E7D">
        <w:rPr>
          <w:rFonts w:asciiTheme="majorHAnsi" w:hAnsiTheme="majorHAnsi"/>
          <w:bCs/>
          <w:sz w:val="20"/>
          <w:szCs w:val="20"/>
          <w:lang w:val="es-ES_tradnl"/>
        </w:rPr>
        <w:t xml:space="preserve">Sala Laboral de la </w:t>
      </w:r>
      <w:r w:rsidRPr="00066E7D">
        <w:rPr>
          <w:rFonts w:asciiTheme="majorHAnsi" w:hAnsiTheme="majorHAnsi"/>
          <w:bCs/>
          <w:sz w:val="20"/>
          <w:szCs w:val="20"/>
          <w:lang w:val="es-ES_tradnl"/>
        </w:rPr>
        <w:t xml:space="preserve">Corte Suprema de Justicia, que negó la tutela presentada contra la decisión de la </w:t>
      </w:r>
      <w:r w:rsidR="00ED4D94" w:rsidRPr="00066E7D">
        <w:rPr>
          <w:rFonts w:asciiTheme="majorHAnsi" w:hAnsiTheme="majorHAnsi"/>
          <w:bCs/>
          <w:sz w:val="20"/>
          <w:szCs w:val="20"/>
          <w:lang w:val="es-ES_tradnl"/>
        </w:rPr>
        <w:t>Sala de Casación Civil</w:t>
      </w:r>
      <w:r w:rsidR="00264885" w:rsidRPr="00066E7D">
        <w:rPr>
          <w:rFonts w:asciiTheme="majorHAnsi" w:hAnsiTheme="majorHAnsi"/>
          <w:bCs/>
          <w:sz w:val="20"/>
          <w:szCs w:val="20"/>
          <w:lang w:val="es-ES_tradnl"/>
        </w:rPr>
        <w:t xml:space="preserve"> </w:t>
      </w:r>
      <w:r w:rsidR="00ED4D94" w:rsidRPr="00066E7D">
        <w:rPr>
          <w:rFonts w:asciiTheme="majorHAnsi" w:hAnsiTheme="majorHAnsi"/>
          <w:bCs/>
          <w:sz w:val="20"/>
          <w:szCs w:val="20"/>
          <w:lang w:val="es-ES_tradnl"/>
        </w:rPr>
        <w:t xml:space="preserve">de la </w:t>
      </w:r>
      <w:r w:rsidRPr="00066E7D">
        <w:rPr>
          <w:rFonts w:asciiTheme="majorHAnsi" w:hAnsiTheme="majorHAnsi"/>
          <w:bCs/>
          <w:sz w:val="20"/>
          <w:szCs w:val="20"/>
          <w:lang w:val="es-ES_tradnl"/>
        </w:rPr>
        <w:t>Corte Suprema de Justicia del 18 de enero de 2008</w:t>
      </w:r>
      <w:r w:rsidR="00ED4D94" w:rsidRPr="00066E7D">
        <w:rPr>
          <w:rFonts w:asciiTheme="majorHAnsi" w:hAnsiTheme="majorHAnsi"/>
          <w:bCs/>
          <w:sz w:val="20"/>
          <w:szCs w:val="20"/>
          <w:lang w:val="es-ES_tradnl"/>
        </w:rPr>
        <w:t>,</w:t>
      </w:r>
      <w:r w:rsidRPr="00066E7D">
        <w:rPr>
          <w:rFonts w:asciiTheme="majorHAnsi" w:hAnsiTheme="majorHAnsi"/>
          <w:bCs/>
          <w:sz w:val="20"/>
          <w:szCs w:val="20"/>
          <w:lang w:val="es-ES_tradnl"/>
        </w:rPr>
        <w:t xml:space="preserve"> </w:t>
      </w:r>
      <w:r w:rsidR="00ED4D94" w:rsidRPr="00066E7D">
        <w:rPr>
          <w:rFonts w:asciiTheme="majorHAnsi" w:hAnsiTheme="majorHAnsi"/>
          <w:bCs/>
          <w:sz w:val="20"/>
          <w:szCs w:val="20"/>
          <w:lang w:val="es-ES_tradnl"/>
        </w:rPr>
        <w:t xml:space="preserve">y </w:t>
      </w:r>
      <w:r w:rsidRPr="00066E7D">
        <w:rPr>
          <w:rFonts w:asciiTheme="majorHAnsi" w:hAnsiTheme="majorHAnsi"/>
          <w:bCs/>
          <w:sz w:val="20"/>
          <w:szCs w:val="20"/>
          <w:lang w:val="es-ES_tradnl"/>
        </w:rPr>
        <w:t xml:space="preserve">que fue confirmada en segunda instancia por la </w:t>
      </w:r>
      <w:r w:rsidR="00264885" w:rsidRPr="00066E7D">
        <w:rPr>
          <w:rFonts w:asciiTheme="majorHAnsi" w:hAnsiTheme="majorHAnsi"/>
          <w:bCs/>
          <w:sz w:val="20"/>
          <w:szCs w:val="20"/>
          <w:lang w:val="es-ES_tradnl"/>
        </w:rPr>
        <w:t xml:space="preserve">Sala Penal de la </w:t>
      </w:r>
      <w:r w:rsidRPr="00066E7D">
        <w:rPr>
          <w:rFonts w:asciiTheme="majorHAnsi" w:hAnsiTheme="majorHAnsi"/>
          <w:bCs/>
          <w:sz w:val="20"/>
          <w:szCs w:val="20"/>
          <w:lang w:val="es-ES_tradnl"/>
        </w:rPr>
        <w:t>Corte Suprema de Justicia</w:t>
      </w:r>
      <w:r w:rsidR="00264885" w:rsidRPr="00066E7D">
        <w:rPr>
          <w:rFonts w:asciiTheme="majorHAnsi" w:hAnsiTheme="majorHAnsi"/>
          <w:bCs/>
          <w:sz w:val="20"/>
          <w:szCs w:val="20"/>
          <w:lang w:val="es-ES_tradnl"/>
        </w:rPr>
        <w:t xml:space="preserve"> </w:t>
      </w:r>
      <w:r w:rsidRPr="00066E7D">
        <w:rPr>
          <w:rFonts w:asciiTheme="majorHAnsi" w:hAnsiTheme="majorHAnsi"/>
          <w:bCs/>
          <w:sz w:val="20"/>
          <w:szCs w:val="20"/>
          <w:lang w:val="es-ES_tradnl"/>
        </w:rPr>
        <w:t xml:space="preserve">el 11 de diciembre de 2008.  </w:t>
      </w:r>
    </w:p>
    <w:p w14:paraId="2B1359A9" w14:textId="6827C904" w:rsidR="00B35CD5" w:rsidRPr="00066E7D" w:rsidRDefault="00500742" w:rsidP="00A1049F">
      <w:pPr>
        <w:spacing w:before="240" w:after="240"/>
        <w:ind w:firstLine="720"/>
        <w:jc w:val="both"/>
        <w:rPr>
          <w:rFonts w:asciiTheme="majorHAnsi" w:hAnsiTheme="majorHAnsi"/>
          <w:bCs/>
          <w:sz w:val="20"/>
          <w:szCs w:val="20"/>
          <w:lang w:val="es-ES_tradnl"/>
        </w:rPr>
      </w:pPr>
      <w:r w:rsidRPr="00066E7D">
        <w:rPr>
          <w:rFonts w:asciiTheme="majorHAnsi" w:hAnsiTheme="majorHAnsi"/>
          <w:bCs/>
          <w:sz w:val="20"/>
          <w:szCs w:val="20"/>
          <w:lang w:val="es-ES_tradnl"/>
        </w:rPr>
        <w:t>(</w:t>
      </w:r>
      <w:r w:rsidR="00B65516" w:rsidRPr="00066E7D">
        <w:rPr>
          <w:rFonts w:asciiTheme="majorHAnsi" w:hAnsiTheme="majorHAnsi"/>
          <w:bCs/>
          <w:sz w:val="20"/>
          <w:szCs w:val="20"/>
          <w:lang w:val="es-ES_tradnl"/>
        </w:rPr>
        <w:t>x</w:t>
      </w:r>
      <w:r w:rsidR="00D84C9C" w:rsidRPr="00066E7D">
        <w:rPr>
          <w:rFonts w:asciiTheme="majorHAnsi" w:hAnsiTheme="majorHAnsi"/>
          <w:bCs/>
          <w:sz w:val="20"/>
          <w:szCs w:val="20"/>
          <w:lang w:val="es-ES_tradnl"/>
        </w:rPr>
        <w:t>iv</w:t>
      </w:r>
      <w:r w:rsidRPr="00066E7D">
        <w:rPr>
          <w:rFonts w:asciiTheme="majorHAnsi" w:hAnsiTheme="majorHAnsi"/>
          <w:bCs/>
          <w:sz w:val="20"/>
          <w:szCs w:val="20"/>
          <w:lang w:val="es-ES_tradnl"/>
        </w:rPr>
        <w:t>)</w:t>
      </w:r>
      <w:r w:rsidR="004B41F9" w:rsidRPr="00066E7D">
        <w:rPr>
          <w:rFonts w:asciiTheme="majorHAnsi" w:hAnsiTheme="majorHAnsi"/>
          <w:bCs/>
          <w:sz w:val="20"/>
          <w:szCs w:val="20"/>
          <w:lang w:val="es-ES_tradnl"/>
        </w:rPr>
        <w:t xml:space="preserve"> </w:t>
      </w:r>
      <w:r w:rsidR="00A1049F" w:rsidRPr="00066E7D">
        <w:rPr>
          <w:rFonts w:asciiTheme="majorHAnsi" w:hAnsiTheme="majorHAnsi"/>
          <w:bCs/>
          <w:sz w:val="20"/>
          <w:szCs w:val="20"/>
          <w:lang w:val="es-ES_tradnl"/>
        </w:rPr>
        <w:tab/>
      </w:r>
      <w:r w:rsidR="00B35CD5" w:rsidRPr="00066E7D">
        <w:rPr>
          <w:rFonts w:asciiTheme="majorHAnsi" w:hAnsiTheme="majorHAnsi"/>
          <w:bCs/>
          <w:sz w:val="20"/>
          <w:szCs w:val="20"/>
          <w:lang w:val="es-ES_tradnl"/>
        </w:rPr>
        <w:t xml:space="preserve">Auto interlocutorio del 12 de marzo de 2009, emitido por el Juzgado Penal del Circuito para </w:t>
      </w:r>
      <w:r w:rsidR="00B95A37" w:rsidRPr="00066E7D">
        <w:rPr>
          <w:rFonts w:asciiTheme="majorHAnsi" w:hAnsiTheme="majorHAnsi"/>
          <w:bCs/>
          <w:sz w:val="20"/>
          <w:szCs w:val="20"/>
          <w:lang w:val="es-ES_tradnl"/>
        </w:rPr>
        <w:t>Adolescentes</w:t>
      </w:r>
      <w:r w:rsidR="00B35CD5" w:rsidRPr="00066E7D">
        <w:rPr>
          <w:rFonts w:asciiTheme="majorHAnsi" w:hAnsiTheme="majorHAnsi"/>
          <w:bCs/>
          <w:sz w:val="20"/>
          <w:szCs w:val="20"/>
          <w:lang w:val="es-ES_tradnl"/>
        </w:rPr>
        <w:t xml:space="preserve">, que resolvió el cuarto incidente de desacato presentado por la presunta </w:t>
      </w:r>
      <w:r w:rsidR="00B95A37" w:rsidRPr="00066E7D">
        <w:rPr>
          <w:rFonts w:asciiTheme="majorHAnsi" w:hAnsiTheme="majorHAnsi"/>
          <w:bCs/>
          <w:sz w:val="20"/>
          <w:szCs w:val="20"/>
          <w:lang w:val="es-ES_tradnl"/>
        </w:rPr>
        <w:t>víctima,</w:t>
      </w:r>
      <w:r w:rsidR="00B35CD5" w:rsidRPr="00066E7D">
        <w:rPr>
          <w:rFonts w:asciiTheme="majorHAnsi" w:hAnsiTheme="majorHAnsi"/>
          <w:bCs/>
          <w:sz w:val="20"/>
          <w:szCs w:val="20"/>
          <w:lang w:val="es-ES_tradnl"/>
        </w:rPr>
        <w:t xml:space="preserve"> </w:t>
      </w:r>
      <w:r w:rsidR="004B41F9" w:rsidRPr="00066E7D">
        <w:rPr>
          <w:rFonts w:asciiTheme="majorHAnsi" w:hAnsiTheme="majorHAnsi"/>
          <w:bCs/>
          <w:sz w:val="20"/>
          <w:szCs w:val="20"/>
          <w:lang w:val="es-ES_tradnl"/>
        </w:rPr>
        <w:t xml:space="preserve">con fundamento en las consideraciones de la </w:t>
      </w:r>
      <w:r w:rsidR="00ED4D94" w:rsidRPr="00066E7D">
        <w:rPr>
          <w:rFonts w:asciiTheme="majorHAnsi" w:hAnsiTheme="majorHAnsi"/>
          <w:bCs/>
          <w:sz w:val="20"/>
          <w:szCs w:val="20"/>
          <w:lang w:val="es-ES_tradnl"/>
        </w:rPr>
        <w:t xml:space="preserve">Sala Penal de la </w:t>
      </w:r>
      <w:r w:rsidR="004B41F9" w:rsidRPr="00066E7D">
        <w:rPr>
          <w:rFonts w:asciiTheme="majorHAnsi" w:hAnsiTheme="majorHAnsi"/>
          <w:bCs/>
          <w:sz w:val="20"/>
          <w:szCs w:val="20"/>
          <w:lang w:val="es-ES_tradnl"/>
        </w:rPr>
        <w:t>Corte Suprema de Justicia</w:t>
      </w:r>
      <w:r w:rsidR="00ED4D94" w:rsidRPr="00066E7D">
        <w:rPr>
          <w:rFonts w:asciiTheme="majorHAnsi" w:hAnsiTheme="majorHAnsi"/>
          <w:bCs/>
          <w:sz w:val="20"/>
          <w:szCs w:val="20"/>
          <w:lang w:val="es-ES_tradnl"/>
        </w:rPr>
        <w:t xml:space="preserve">, </w:t>
      </w:r>
      <w:r w:rsidR="004B41F9" w:rsidRPr="00066E7D">
        <w:rPr>
          <w:rFonts w:asciiTheme="majorHAnsi" w:hAnsiTheme="majorHAnsi"/>
          <w:bCs/>
          <w:sz w:val="20"/>
          <w:szCs w:val="20"/>
          <w:lang w:val="es-ES_tradnl"/>
        </w:rPr>
        <w:t xml:space="preserve">y mediante el cual decidió no imponer sanción alguna y archivar las diligencias. </w:t>
      </w:r>
      <w:r w:rsidR="00075D26" w:rsidRPr="00066E7D">
        <w:rPr>
          <w:rFonts w:asciiTheme="majorHAnsi" w:hAnsiTheme="majorHAnsi"/>
          <w:bCs/>
          <w:sz w:val="20"/>
          <w:szCs w:val="20"/>
          <w:lang w:val="es-ES_tradnl"/>
        </w:rPr>
        <w:t xml:space="preserve">El 18 de marzo de </w:t>
      </w:r>
      <w:r w:rsidR="00B95A37" w:rsidRPr="00066E7D">
        <w:rPr>
          <w:rFonts w:asciiTheme="majorHAnsi" w:hAnsiTheme="majorHAnsi"/>
          <w:bCs/>
          <w:sz w:val="20"/>
          <w:szCs w:val="20"/>
          <w:lang w:val="es-ES_tradnl"/>
        </w:rPr>
        <w:t>2009,</w:t>
      </w:r>
      <w:r w:rsidR="00075D26" w:rsidRPr="00066E7D">
        <w:rPr>
          <w:rFonts w:asciiTheme="majorHAnsi" w:hAnsiTheme="majorHAnsi"/>
          <w:bCs/>
          <w:sz w:val="20"/>
          <w:szCs w:val="20"/>
          <w:lang w:val="es-ES_tradnl"/>
        </w:rPr>
        <w:t xml:space="preserve"> el mismo tribunal negó el recurso de reposición y apelación presentado por la presunta víctima contra la decisión.</w:t>
      </w:r>
    </w:p>
    <w:p w14:paraId="19631B35" w14:textId="5957864E" w:rsidR="0056730F" w:rsidRPr="00066E7D" w:rsidRDefault="0056730F" w:rsidP="00A1049F">
      <w:pPr>
        <w:spacing w:before="240" w:after="240"/>
        <w:ind w:firstLine="720"/>
        <w:jc w:val="both"/>
        <w:rPr>
          <w:rFonts w:asciiTheme="majorHAnsi" w:hAnsiTheme="majorHAnsi"/>
          <w:bCs/>
          <w:sz w:val="20"/>
          <w:szCs w:val="20"/>
          <w:lang w:val="es-ES_tradnl"/>
        </w:rPr>
      </w:pPr>
      <w:r w:rsidRPr="00066E7D">
        <w:rPr>
          <w:rFonts w:asciiTheme="majorHAnsi" w:hAnsiTheme="majorHAnsi"/>
          <w:bCs/>
          <w:sz w:val="20"/>
          <w:szCs w:val="20"/>
          <w:lang w:val="es-ES_tradnl"/>
        </w:rPr>
        <w:t>(</w:t>
      </w:r>
      <w:r w:rsidR="00D84C9C" w:rsidRPr="00066E7D">
        <w:rPr>
          <w:rFonts w:asciiTheme="majorHAnsi" w:hAnsiTheme="majorHAnsi"/>
          <w:bCs/>
          <w:sz w:val="20"/>
          <w:szCs w:val="20"/>
          <w:lang w:val="es-ES_tradnl"/>
        </w:rPr>
        <w:t>xv</w:t>
      </w:r>
      <w:r w:rsidRPr="00066E7D">
        <w:rPr>
          <w:rFonts w:asciiTheme="majorHAnsi" w:hAnsiTheme="majorHAnsi"/>
          <w:bCs/>
          <w:sz w:val="20"/>
          <w:szCs w:val="20"/>
          <w:lang w:val="es-ES_tradnl"/>
        </w:rPr>
        <w:t xml:space="preserve">) </w:t>
      </w:r>
      <w:r w:rsidR="00A1049F" w:rsidRPr="00066E7D">
        <w:rPr>
          <w:rFonts w:asciiTheme="majorHAnsi" w:hAnsiTheme="majorHAnsi"/>
          <w:bCs/>
          <w:sz w:val="20"/>
          <w:szCs w:val="20"/>
          <w:lang w:val="es-ES_tradnl"/>
        </w:rPr>
        <w:tab/>
      </w:r>
      <w:r w:rsidR="00F3756B" w:rsidRPr="00066E7D">
        <w:rPr>
          <w:rFonts w:asciiTheme="majorHAnsi" w:hAnsiTheme="majorHAnsi"/>
          <w:bCs/>
          <w:sz w:val="20"/>
          <w:szCs w:val="20"/>
          <w:lang w:val="es-ES_tradnl"/>
        </w:rPr>
        <w:t xml:space="preserve">Recursos de petición e incidentes por desacato presentados por la presunta víctima ante el Juzgado Penal del Circuito para </w:t>
      </w:r>
      <w:r w:rsidR="004A70E8" w:rsidRPr="00066E7D">
        <w:rPr>
          <w:rFonts w:asciiTheme="majorHAnsi" w:hAnsiTheme="majorHAnsi"/>
          <w:bCs/>
          <w:sz w:val="20"/>
          <w:szCs w:val="20"/>
          <w:lang w:val="es-ES_tradnl"/>
        </w:rPr>
        <w:t>Adolescentes</w:t>
      </w:r>
      <w:r w:rsidR="00F3756B" w:rsidRPr="00066E7D">
        <w:rPr>
          <w:rFonts w:asciiTheme="majorHAnsi" w:hAnsiTheme="majorHAnsi"/>
          <w:bCs/>
          <w:sz w:val="20"/>
          <w:szCs w:val="20"/>
          <w:lang w:val="es-ES_tradnl"/>
        </w:rPr>
        <w:t xml:space="preserve"> de Manizales, </w:t>
      </w:r>
      <w:r w:rsidR="00224AA6" w:rsidRPr="00066E7D">
        <w:rPr>
          <w:rFonts w:asciiTheme="majorHAnsi" w:hAnsiTheme="majorHAnsi"/>
          <w:bCs/>
          <w:sz w:val="20"/>
          <w:szCs w:val="20"/>
          <w:lang w:val="es-ES_tradnl"/>
        </w:rPr>
        <w:t xml:space="preserve">el 12 de febrero, </w:t>
      </w:r>
      <w:r w:rsidR="00F3756B" w:rsidRPr="00066E7D">
        <w:rPr>
          <w:rFonts w:asciiTheme="majorHAnsi" w:hAnsiTheme="majorHAnsi"/>
          <w:bCs/>
          <w:sz w:val="20"/>
          <w:szCs w:val="20"/>
          <w:lang w:val="es-ES_tradnl"/>
        </w:rPr>
        <w:t>30 de marzo, 13 de abril, 22 de abril, 7 de mayo, 9 de junio y 8 de julio de 2009</w:t>
      </w:r>
      <w:r w:rsidR="00224AA6" w:rsidRPr="00066E7D">
        <w:rPr>
          <w:rFonts w:asciiTheme="majorHAnsi" w:hAnsiTheme="majorHAnsi"/>
          <w:bCs/>
          <w:sz w:val="20"/>
          <w:szCs w:val="20"/>
          <w:lang w:val="es-ES_tradnl"/>
        </w:rPr>
        <w:t xml:space="preserve">, solicitando que al menos se ordene el pago de la indemnización. </w:t>
      </w:r>
      <w:r w:rsidR="00266CBB" w:rsidRPr="00066E7D">
        <w:rPr>
          <w:rFonts w:asciiTheme="majorHAnsi" w:hAnsiTheme="majorHAnsi"/>
          <w:bCs/>
          <w:sz w:val="20"/>
          <w:szCs w:val="20"/>
          <w:lang w:val="es-ES_tradnl"/>
        </w:rPr>
        <w:t xml:space="preserve">Los derechos de petición fueron resueltos </w:t>
      </w:r>
      <w:r w:rsidR="0087792B" w:rsidRPr="00066E7D">
        <w:rPr>
          <w:rFonts w:asciiTheme="majorHAnsi" w:hAnsiTheme="majorHAnsi"/>
          <w:bCs/>
          <w:sz w:val="20"/>
          <w:szCs w:val="20"/>
          <w:lang w:val="es-ES_tradnl"/>
        </w:rPr>
        <w:t xml:space="preserve">y en ellos se le contestó que la Caja Agraria fue liquidada por medio de la </w:t>
      </w:r>
      <w:r w:rsidR="00572B57" w:rsidRPr="00066E7D">
        <w:rPr>
          <w:rFonts w:asciiTheme="majorHAnsi" w:hAnsiTheme="majorHAnsi"/>
          <w:bCs/>
          <w:sz w:val="20"/>
          <w:szCs w:val="20"/>
          <w:lang w:val="es-ES_tradnl"/>
        </w:rPr>
        <w:t>r</w:t>
      </w:r>
      <w:r w:rsidR="0087792B" w:rsidRPr="00066E7D">
        <w:rPr>
          <w:rFonts w:asciiTheme="majorHAnsi" w:hAnsiTheme="majorHAnsi"/>
          <w:bCs/>
          <w:sz w:val="20"/>
          <w:szCs w:val="20"/>
          <w:lang w:val="es-ES_tradnl"/>
        </w:rPr>
        <w:t xml:space="preserve">esolución </w:t>
      </w:r>
      <w:r w:rsidR="00B37658" w:rsidRPr="00066E7D">
        <w:rPr>
          <w:rFonts w:asciiTheme="majorHAnsi" w:hAnsiTheme="majorHAnsi"/>
          <w:bCs/>
          <w:sz w:val="20"/>
          <w:szCs w:val="20"/>
          <w:lang w:val="es-ES_tradnl"/>
        </w:rPr>
        <w:t xml:space="preserve">No. </w:t>
      </w:r>
      <w:r w:rsidR="0087792B" w:rsidRPr="00066E7D">
        <w:rPr>
          <w:rFonts w:asciiTheme="majorHAnsi" w:hAnsiTheme="majorHAnsi"/>
          <w:bCs/>
          <w:sz w:val="20"/>
          <w:szCs w:val="20"/>
          <w:lang w:val="es-ES_tradnl"/>
        </w:rPr>
        <w:t>3137 del 28 de julio de 2008</w:t>
      </w:r>
      <w:r w:rsidR="00B37658" w:rsidRPr="00066E7D">
        <w:rPr>
          <w:rFonts w:asciiTheme="majorHAnsi" w:hAnsiTheme="majorHAnsi"/>
          <w:bCs/>
          <w:sz w:val="20"/>
          <w:szCs w:val="20"/>
          <w:lang w:val="es-ES_tradnl"/>
        </w:rPr>
        <w:t>,</w:t>
      </w:r>
      <w:r w:rsidR="0087792B" w:rsidRPr="00066E7D">
        <w:rPr>
          <w:rFonts w:asciiTheme="majorHAnsi" w:hAnsiTheme="majorHAnsi"/>
          <w:bCs/>
          <w:sz w:val="20"/>
          <w:szCs w:val="20"/>
          <w:lang w:val="es-ES_tradnl"/>
        </w:rPr>
        <w:t xml:space="preserve"> por lo </w:t>
      </w:r>
      <w:r w:rsidR="00B37658" w:rsidRPr="00066E7D">
        <w:rPr>
          <w:rFonts w:asciiTheme="majorHAnsi" w:hAnsiTheme="majorHAnsi"/>
          <w:bCs/>
          <w:sz w:val="20"/>
          <w:szCs w:val="20"/>
          <w:lang w:val="es-ES_tradnl"/>
        </w:rPr>
        <w:t>cual</w:t>
      </w:r>
      <w:r w:rsidR="0087792B" w:rsidRPr="00066E7D">
        <w:rPr>
          <w:rFonts w:asciiTheme="majorHAnsi" w:hAnsiTheme="majorHAnsi"/>
          <w:bCs/>
          <w:sz w:val="20"/>
          <w:szCs w:val="20"/>
          <w:lang w:val="es-ES_tradnl"/>
        </w:rPr>
        <w:t xml:space="preserve"> no procede el reintegro, y que en la sentencia T-323 de 2005 no se ordenó indemnización alguna. El 1 y 17 de abril</w:t>
      </w:r>
      <w:r w:rsidR="007D67B1" w:rsidRPr="00066E7D">
        <w:rPr>
          <w:rFonts w:asciiTheme="majorHAnsi" w:hAnsiTheme="majorHAnsi"/>
          <w:bCs/>
          <w:sz w:val="20"/>
          <w:szCs w:val="20"/>
          <w:lang w:val="es-ES_tradnl"/>
        </w:rPr>
        <w:t xml:space="preserve"> de 2009, luego de insistencia </w:t>
      </w:r>
      <w:r w:rsidR="00B37658" w:rsidRPr="00066E7D">
        <w:rPr>
          <w:rFonts w:asciiTheme="majorHAnsi" w:hAnsiTheme="majorHAnsi"/>
          <w:bCs/>
          <w:sz w:val="20"/>
          <w:szCs w:val="20"/>
          <w:lang w:val="es-ES_tradnl"/>
        </w:rPr>
        <w:t>por parte</w:t>
      </w:r>
      <w:r w:rsidR="007D67B1" w:rsidRPr="00066E7D">
        <w:rPr>
          <w:rFonts w:asciiTheme="majorHAnsi" w:hAnsiTheme="majorHAnsi"/>
          <w:bCs/>
          <w:sz w:val="20"/>
          <w:szCs w:val="20"/>
          <w:lang w:val="es-ES_tradnl"/>
        </w:rPr>
        <w:t xml:space="preserve"> </w:t>
      </w:r>
      <w:r w:rsidR="00B37658" w:rsidRPr="00066E7D">
        <w:rPr>
          <w:rFonts w:asciiTheme="majorHAnsi" w:hAnsiTheme="majorHAnsi"/>
          <w:bCs/>
          <w:sz w:val="20"/>
          <w:szCs w:val="20"/>
          <w:lang w:val="es-ES_tradnl"/>
        </w:rPr>
        <w:t xml:space="preserve">de </w:t>
      </w:r>
      <w:r w:rsidR="007D67B1" w:rsidRPr="00066E7D">
        <w:rPr>
          <w:rFonts w:asciiTheme="majorHAnsi" w:hAnsiTheme="majorHAnsi"/>
          <w:bCs/>
          <w:sz w:val="20"/>
          <w:szCs w:val="20"/>
          <w:lang w:val="es-ES_tradnl"/>
        </w:rPr>
        <w:t>la presunta víctima, se le informó que los inc</w:t>
      </w:r>
      <w:r w:rsidR="00B37658" w:rsidRPr="00066E7D">
        <w:rPr>
          <w:rFonts w:asciiTheme="majorHAnsi" w:hAnsiTheme="majorHAnsi"/>
          <w:bCs/>
          <w:sz w:val="20"/>
          <w:szCs w:val="20"/>
          <w:lang w:val="es-ES_tradnl"/>
        </w:rPr>
        <w:t>i</w:t>
      </w:r>
      <w:r w:rsidR="007D67B1" w:rsidRPr="00066E7D">
        <w:rPr>
          <w:rFonts w:asciiTheme="majorHAnsi" w:hAnsiTheme="majorHAnsi"/>
          <w:bCs/>
          <w:sz w:val="20"/>
          <w:szCs w:val="20"/>
          <w:lang w:val="es-ES_tradnl"/>
        </w:rPr>
        <w:t xml:space="preserve">dentes de desacato estaban previstos para el cumplimiento de la </w:t>
      </w:r>
      <w:r w:rsidR="007D67B1" w:rsidRPr="00066E7D">
        <w:rPr>
          <w:rFonts w:asciiTheme="majorHAnsi" w:hAnsiTheme="majorHAnsi"/>
          <w:bCs/>
          <w:sz w:val="20"/>
          <w:szCs w:val="20"/>
          <w:lang w:val="es-ES_tradnl"/>
        </w:rPr>
        <w:lastRenderedPageBreak/>
        <w:t>tutela y no para interponer sanciones</w:t>
      </w:r>
      <w:r w:rsidR="00A61013" w:rsidRPr="00066E7D">
        <w:rPr>
          <w:rFonts w:asciiTheme="majorHAnsi" w:hAnsiTheme="majorHAnsi"/>
          <w:bCs/>
          <w:sz w:val="20"/>
          <w:szCs w:val="20"/>
          <w:lang w:val="es-ES_tradnl"/>
        </w:rPr>
        <w:t xml:space="preserve">, </w:t>
      </w:r>
      <w:r w:rsidR="00B37658" w:rsidRPr="00066E7D">
        <w:rPr>
          <w:rFonts w:asciiTheme="majorHAnsi" w:hAnsiTheme="majorHAnsi"/>
          <w:bCs/>
          <w:sz w:val="20"/>
          <w:szCs w:val="20"/>
          <w:lang w:val="es-ES_tradnl"/>
        </w:rPr>
        <w:t xml:space="preserve">además se le </w:t>
      </w:r>
      <w:r w:rsidR="00A61013" w:rsidRPr="00066E7D">
        <w:rPr>
          <w:rFonts w:asciiTheme="majorHAnsi" w:hAnsiTheme="majorHAnsi"/>
          <w:bCs/>
          <w:sz w:val="20"/>
          <w:szCs w:val="20"/>
          <w:lang w:val="es-ES_tradnl"/>
        </w:rPr>
        <w:t xml:space="preserve">aclaró que contra el incidente de desacato no procede recurso alguno. </w:t>
      </w:r>
    </w:p>
    <w:p w14:paraId="64771129" w14:textId="0DC83A34" w:rsidR="00390002" w:rsidRPr="00066E7D" w:rsidRDefault="00390002" w:rsidP="00A1049F">
      <w:pPr>
        <w:spacing w:before="240" w:after="240"/>
        <w:ind w:firstLine="720"/>
        <w:jc w:val="both"/>
        <w:rPr>
          <w:rFonts w:asciiTheme="majorHAnsi" w:hAnsiTheme="majorHAnsi"/>
          <w:bCs/>
          <w:sz w:val="20"/>
          <w:szCs w:val="20"/>
          <w:lang w:val="es-ES_tradnl"/>
        </w:rPr>
      </w:pPr>
      <w:r w:rsidRPr="00066E7D">
        <w:rPr>
          <w:rFonts w:asciiTheme="majorHAnsi" w:hAnsiTheme="majorHAnsi"/>
          <w:bCs/>
          <w:sz w:val="20"/>
          <w:szCs w:val="20"/>
          <w:lang w:val="es-ES_tradnl"/>
        </w:rPr>
        <w:t>(</w:t>
      </w:r>
      <w:r w:rsidR="00D84C9C" w:rsidRPr="00066E7D">
        <w:rPr>
          <w:rFonts w:asciiTheme="majorHAnsi" w:hAnsiTheme="majorHAnsi"/>
          <w:bCs/>
          <w:sz w:val="20"/>
          <w:szCs w:val="20"/>
          <w:lang w:val="es-ES_tradnl"/>
        </w:rPr>
        <w:t>xvi</w:t>
      </w:r>
      <w:r w:rsidRPr="00066E7D">
        <w:rPr>
          <w:rFonts w:asciiTheme="majorHAnsi" w:hAnsiTheme="majorHAnsi"/>
          <w:bCs/>
          <w:sz w:val="20"/>
          <w:szCs w:val="20"/>
          <w:lang w:val="es-ES_tradnl"/>
        </w:rPr>
        <w:t>)</w:t>
      </w:r>
      <w:r w:rsidR="001933E3" w:rsidRPr="00066E7D">
        <w:rPr>
          <w:rFonts w:asciiTheme="majorHAnsi" w:hAnsiTheme="majorHAnsi"/>
          <w:bCs/>
          <w:sz w:val="20"/>
          <w:szCs w:val="20"/>
          <w:lang w:val="es-ES_tradnl"/>
        </w:rPr>
        <w:t xml:space="preserve"> </w:t>
      </w:r>
      <w:r w:rsidR="00A1049F" w:rsidRPr="00066E7D">
        <w:rPr>
          <w:rFonts w:asciiTheme="majorHAnsi" w:hAnsiTheme="majorHAnsi"/>
          <w:bCs/>
          <w:sz w:val="20"/>
          <w:szCs w:val="20"/>
          <w:lang w:val="es-ES_tradnl"/>
        </w:rPr>
        <w:tab/>
      </w:r>
      <w:r w:rsidR="00714AB2" w:rsidRPr="00066E7D">
        <w:rPr>
          <w:rFonts w:asciiTheme="majorHAnsi" w:hAnsiTheme="majorHAnsi"/>
          <w:bCs/>
          <w:sz w:val="20"/>
          <w:szCs w:val="20"/>
          <w:lang w:val="es-ES_tradnl"/>
        </w:rPr>
        <w:t>Sentencia de</w:t>
      </w:r>
      <w:r w:rsidR="001933E3" w:rsidRPr="00066E7D">
        <w:rPr>
          <w:rFonts w:asciiTheme="majorHAnsi" w:hAnsiTheme="majorHAnsi"/>
          <w:bCs/>
          <w:sz w:val="20"/>
          <w:szCs w:val="20"/>
          <w:lang w:val="es-ES_tradnl"/>
        </w:rPr>
        <w:t xml:space="preserve">l 17 de septiembre de 2009, la Sala de Casación Penal de </w:t>
      </w:r>
      <w:r w:rsidR="00E47CD6" w:rsidRPr="00066E7D">
        <w:rPr>
          <w:rFonts w:asciiTheme="majorHAnsi" w:hAnsiTheme="majorHAnsi"/>
          <w:bCs/>
          <w:sz w:val="20"/>
          <w:szCs w:val="20"/>
          <w:lang w:val="es-ES_tradnl"/>
        </w:rPr>
        <w:t xml:space="preserve">la Corte Suprema de Justicia negó </w:t>
      </w:r>
      <w:r w:rsidR="008A52CA" w:rsidRPr="00066E7D">
        <w:rPr>
          <w:rFonts w:asciiTheme="majorHAnsi" w:hAnsiTheme="majorHAnsi"/>
          <w:bCs/>
          <w:sz w:val="20"/>
          <w:szCs w:val="20"/>
          <w:lang w:val="es-ES_tradnl"/>
        </w:rPr>
        <w:t>la tutela presentada por la presunta víctima</w:t>
      </w:r>
      <w:r w:rsidR="002364E6" w:rsidRPr="00066E7D">
        <w:rPr>
          <w:rFonts w:asciiTheme="majorHAnsi" w:hAnsiTheme="majorHAnsi"/>
          <w:bCs/>
          <w:sz w:val="20"/>
          <w:szCs w:val="20"/>
          <w:lang w:val="es-ES_tradnl"/>
        </w:rPr>
        <w:t xml:space="preserve"> contra el Juzgado Penal del Circuito para Adole</w:t>
      </w:r>
      <w:r w:rsidR="002E6026" w:rsidRPr="00066E7D">
        <w:rPr>
          <w:rFonts w:asciiTheme="majorHAnsi" w:hAnsiTheme="majorHAnsi"/>
          <w:bCs/>
          <w:sz w:val="20"/>
          <w:szCs w:val="20"/>
          <w:lang w:val="es-ES_tradnl"/>
        </w:rPr>
        <w:t>s</w:t>
      </w:r>
      <w:r w:rsidR="002364E6" w:rsidRPr="00066E7D">
        <w:rPr>
          <w:rFonts w:asciiTheme="majorHAnsi" w:hAnsiTheme="majorHAnsi"/>
          <w:bCs/>
          <w:sz w:val="20"/>
          <w:szCs w:val="20"/>
          <w:lang w:val="es-ES_tradnl"/>
        </w:rPr>
        <w:t xml:space="preserve">centes de Manizales por negar el incidente de desacato. El tribunal </w:t>
      </w:r>
      <w:r w:rsidR="003A4930" w:rsidRPr="00066E7D">
        <w:rPr>
          <w:rFonts w:asciiTheme="majorHAnsi" w:hAnsiTheme="majorHAnsi"/>
          <w:bCs/>
          <w:sz w:val="20"/>
          <w:szCs w:val="20"/>
          <w:lang w:val="es-ES_tradnl"/>
        </w:rPr>
        <w:t>concluyó que</w:t>
      </w:r>
      <w:r w:rsidR="002364E6" w:rsidRPr="00066E7D">
        <w:rPr>
          <w:rFonts w:asciiTheme="majorHAnsi" w:hAnsiTheme="majorHAnsi"/>
          <w:bCs/>
          <w:sz w:val="20"/>
          <w:szCs w:val="20"/>
          <w:lang w:val="es-ES_tradnl"/>
        </w:rPr>
        <w:t xml:space="preserve"> la decisión no fue arbitraria, ni contraria a derechos, por lo </w:t>
      </w:r>
      <w:r w:rsidR="00F111A9" w:rsidRPr="00066E7D">
        <w:rPr>
          <w:rFonts w:asciiTheme="majorHAnsi" w:hAnsiTheme="majorHAnsi"/>
          <w:bCs/>
          <w:sz w:val="20"/>
          <w:szCs w:val="20"/>
          <w:lang w:val="es-ES_tradnl"/>
        </w:rPr>
        <w:t>tanto,</w:t>
      </w:r>
      <w:r w:rsidR="002364E6" w:rsidRPr="00066E7D">
        <w:rPr>
          <w:rFonts w:asciiTheme="majorHAnsi" w:hAnsiTheme="majorHAnsi"/>
          <w:bCs/>
          <w:sz w:val="20"/>
          <w:szCs w:val="20"/>
          <w:lang w:val="es-ES_tradnl"/>
        </w:rPr>
        <w:t xml:space="preserve"> no es </w:t>
      </w:r>
      <w:r w:rsidR="00F111A9" w:rsidRPr="00066E7D">
        <w:rPr>
          <w:rFonts w:asciiTheme="majorHAnsi" w:hAnsiTheme="majorHAnsi"/>
          <w:bCs/>
          <w:sz w:val="20"/>
          <w:szCs w:val="20"/>
          <w:lang w:val="es-ES_tradnl"/>
        </w:rPr>
        <w:t>susceptible</w:t>
      </w:r>
      <w:r w:rsidR="002364E6" w:rsidRPr="00066E7D">
        <w:rPr>
          <w:rFonts w:asciiTheme="majorHAnsi" w:hAnsiTheme="majorHAnsi"/>
          <w:bCs/>
          <w:sz w:val="20"/>
          <w:szCs w:val="20"/>
          <w:lang w:val="es-ES_tradnl"/>
        </w:rPr>
        <w:t xml:space="preserve"> de catalogarse como una vía de hecho transgresora</w:t>
      </w:r>
      <w:r w:rsidR="00192C01" w:rsidRPr="00066E7D">
        <w:rPr>
          <w:rFonts w:asciiTheme="majorHAnsi" w:hAnsiTheme="majorHAnsi"/>
          <w:bCs/>
          <w:sz w:val="20"/>
          <w:szCs w:val="20"/>
          <w:lang w:val="es-ES_tradnl"/>
        </w:rPr>
        <w:t xml:space="preserve"> de las garantías fundamentales invocadas por el accionante</w:t>
      </w:r>
      <w:r w:rsidR="0083208C" w:rsidRPr="00066E7D">
        <w:rPr>
          <w:rFonts w:asciiTheme="majorHAnsi" w:hAnsiTheme="majorHAnsi"/>
          <w:bCs/>
          <w:sz w:val="20"/>
          <w:szCs w:val="20"/>
          <w:lang w:val="es-ES_tradnl"/>
        </w:rPr>
        <w:t xml:space="preserve">, además indicó que mediante </w:t>
      </w:r>
      <w:r w:rsidR="002B6A71" w:rsidRPr="00066E7D">
        <w:rPr>
          <w:rFonts w:asciiTheme="majorHAnsi" w:hAnsiTheme="majorHAnsi"/>
          <w:bCs/>
          <w:sz w:val="20"/>
          <w:szCs w:val="20"/>
          <w:lang w:val="es-ES_tradnl"/>
        </w:rPr>
        <w:t>r</w:t>
      </w:r>
      <w:r w:rsidR="0083208C" w:rsidRPr="00066E7D">
        <w:rPr>
          <w:rFonts w:asciiTheme="majorHAnsi" w:hAnsiTheme="majorHAnsi"/>
          <w:bCs/>
          <w:sz w:val="20"/>
          <w:szCs w:val="20"/>
          <w:lang w:val="es-ES_tradnl"/>
        </w:rPr>
        <w:t>esolución No. 2875 del 28 de junio de 2002, se ordenó el pago a favor de salarios que dejó de percibir desde el 28 de junio de 1999 hasta el 28 de junio 2002</w:t>
      </w:r>
      <w:r w:rsidR="006958EB" w:rsidRPr="00066E7D">
        <w:rPr>
          <w:rFonts w:asciiTheme="majorHAnsi" w:hAnsiTheme="majorHAnsi"/>
          <w:bCs/>
          <w:sz w:val="20"/>
          <w:szCs w:val="20"/>
          <w:lang w:val="es-ES_tradnl"/>
        </w:rPr>
        <w:t>, más una bonificación ante la imposibilidad de su reintegro.</w:t>
      </w:r>
      <w:r w:rsidR="0098502D" w:rsidRPr="00066E7D">
        <w:rPr>
          <w:rFonts w:asciiTheme="majorHAnsi" w:hAnsiTheme="majorHAnsi"/>
          <w:bCs/>
          <w:sz w:val="20"/>
          <w:szCs w:val="20"/>
          <w:lang w:val="es-ES_tradnl"/>
        </w:rPr>
        <w:t xml:space="preserve"> Asimismo, destacó que la presunta víctima ostenta la calidad de pensionado desde el 29 de junio de 2002</w:t>
      </w:r>
      <w:r w:rsidR="00060CD0" w:rsidRPr="00066E7D">
        <w:rPr>
          <w:rFonts w:asciiTheme="majorHAnsi" w:hAnsiTheme="majorHAnsi"/>
          <w:bCs/>
          <w:sz w:val="20"/>
          <w:szCs w:val="20"/>
          <w:lang w:val="es-ES_tradnl"/>
        </w:rPr>
        <w:t xml:space="preserve"> </w:t>
      </w:r>
      <w:r w:rsidR="0098502D" w:rsidRPr="00066E7D">
        <w:rPr>
          <w:rFonts w:asciiTheme="majorHAnsi" w:hAnsiTheme="majorHAnsi"/>
          <w:bCs/>
          <w:sz w:val="20"/>
          <w:szCs w:val="20"/>
          <w:lang w:val="es-ES_tradnl"/>
        </w:rPr>
        <w:t>por el reconocimiento</w:t>
      </w:r>
      <w:r w:rsidR="002B6A71" w:rsidRPr="00066E7D">
        <w:rPr>
          <w:rFonts w:asciiTheme="majorHAnsi" w:hAnsiTheme="majorHAnsi"/>
          <w:bCs/>
          <w:sz w:val="20"/>
          <w:szCs w:val="20"/>
          <w:lang w:val="es-ES_tradnl"/>
        </w:rPr>
        <w:t>, con efectos retroactivos,</w:t>
      </w:r>
      <w:r w:rsidR="0098502D" w:rsidRPr="00066E7D">
        <w:rPr>
          <w:rFonts w:asciiTheme="majorHAnsi" w:hAnsiTheme="majorHAnsi"/>
          <w:bCs/>
          <w:sz w:val="20"/>
          <w:szCs w:val="20"/>
          <w:lang w:val="es-ES_tradnl"/>
        </w:rPr>
        <w:t xml:space="preserve"> que le hizo la Caja Agraria</w:t>
      </w:r>
      <w:r w:rsidR="002B6A71" w:rsidRPr="00066E7D">
        <w:rPr>
          <w:rFonts w:asciiTheme="majorHAnsi" w:hAnsiTheme="majorHAnsi"/>
          <w:bCs/>
          <w:sz w:val="20"/>
          <w:szCs w:val="20"/>
          <w:lang w:val="es-ES_tradnl"/>
        </w:rPr>
        <w:t xml:space="preserve"> </w:t>
      </w:r>
      <w:r w:rsidR="0098502D" w:rsidRPr="00066E7D">
        <w:rPr>
          <w:rFonts w:asciiTheme="majorHAnsi" w:hAnsiTheme="majorHAnsi"/>
          <w:bCs/>
          <w:sz w:val="20"/>
          <w:szCs w:val="20"/>
          <w:lang w:val="es-ES_tradnl"/>
        </w:rPr>
        <w:t xml:space="preserve">mediante la </w:t>
      </w:r>
      <w:r w:rsidR="002B6A71" w:rsidRPr="00066E7D">
        <w:rPr>
          <w:rFonts w:asciiTheme="majorHAnsi" w:hAnsiTheme="majorHAnsi"/>
          <w:bCs/>
          <w:sz w:val="20"/>
          <w:szCs w:val="20"/>
          <w:lang w:val="es-ES_tradnl"/>
        </w:rPr>
        <w:t>r</w:t>
      </w:r>
      <w:r w:rsidR="0098502D" w:rsidRPr="00066E7D">
        <w:rPr>
          <w:rFonts w:asciiTheme="majorHAnsi" w:hAnsiTheme="majorHAnsi"/>
          <w:bCs/>
          <w:sz w:val="20"/>
          <w:szCs w:val="20"/>
          <w:lang w:val="es-ES_tradnl"/>
        </w:rPr>
        <w:t>esolución No. 4081 del 18 de octubre de 2005</w:t>
      </w:r>
      <w:r w:rsidR="00814FB6" w:rsidRPr="00066E7D">
        <w:rPr>
          <w:rFonts w:asciiTheme="majorHAnsi" w:hAnsiTheme="majorHAnsi"/>
          <w:bCs/>
          <w:sz w:val="20"/>
          <w:szCs w:val="20"/>
          <w:lang w:val="es-ES_tradnl"/>
        </w:rPr>
        <w:t>.</w:t>
      </w:r>
    </w:p>
    <w:p w14:paraId="52FB3C82" w14:textId="556D8487" w:rsidR="00C32953" w:rsidRPr="00066E7D" w:rsidRDefault="00714AB2" w:rsidP="00A1049F">
      <w:pPr>
        <w:spacing w:before="240" w:after="240"/>
        <w:ind w:firstLine="720"/>
        <w:jc w:val="both"/>
        <w:rPr>
          <w:rFonts w:asciiTheme="majorHAnsi" w:hAnsiTheme="majorHAnsi"/>
          <w:bCs/>
          <w:sz w:val="20"/>
          <w:szCs w:val="20"/>
          <w:lang w:val="es-ES_tradnl"/>
        </w:rPr>
      </w:pPr>
      <w:r w:rsidRPr="00066E7D">
        <w:rPr>
          <w:rFonts w:asciiTheme="majorHAnsi" w:hAnsiTheme="majorHAnsi"/>
          <w:bCs/>
          <w:sz w:val="20"/>
          <w:szCs w:val="20"/>
          <w:lang w:val="es-ES_tradnl"/>
        </w:rPr>
        <w:t>(</w:t>
      </w:r>
      <w:r w:rsidR="00D84C9C" w:rsidRPr="00066E7D">
        <w:rPr>
          <w:rFonts w:asciiTheme="majorHAnsi" w:hAnsiTheme="majorHAnsi"/>
          <w:bCs/>
          <w:sz w:val="20"/>
          <w:szCs w:val="20"/>
          <w:lang w:val="es-ES_tradnl"/>
        </w:rPr>
        <w:t>xvii</w:t>
      </w:r>
      <w:r w:rsidRPr="00066E7D">
        <w:rPr>
          <w:rFonts w:asciiTheme="majorHAnsi" w:hAnsiTheme="majorHAnsi"/>
          <w:bCs/>
          <w:sz w:val="20"/>
          <w:szCs w:val="20"/>
          <w:lang w:val="es-ES_tradnl"/>
        </w:rPr>
        <w:t xml:space="preserve">) </w:t>
      </w:r>
      <w:r w:rsidR="00A1049F" w:rsidRPr="00066E7D">
        <w:rPr>
          <w:rFonts w:asciiTheme="majorHAnsi" w:hAnsiTheme="majorHAnsi"/>
          <w:bCs/>
          <w:sz w:val="20"/>
          <w:szCs w:val="20"/>
          <w:lang w:val="es-ES_tradnl"/>
        </w:rPr>
        <w:tab/>
      </w:r>
      <w:r w:rsidRPr="00066E7D">
        <w:rPr>
          <w:rFonts w:asciiTheme="majorHAnsi" w:hAnsiTheme="majorHAnsi"/>
          <w:bCs/>
          <w:sz w:val="20"/>
          <w:szCs w:val="20"/>
          <w:lang w:val="es-ES_tradnl"/>
        </w:rPr>
        <w:t>El 1</w:t>
      </w:r>
      <w:r w:rsidR="00BF13AE" w:rsidRPr="00066E7D">
        <w:rPr>
          <w:rFonts w:asciiTheme="majorHAnsi" w:hAnsiTheme="majorHAnsi"/>
          <w:bCs/>
          <w:sz w:val="20"/>
          <w:szCs w:val="20"/>
          <w:lang w:val="es-ES_tradnl"/>
        </w:rPr>
        <w:t xml:space="preserve">5 </w:t>
      </w:r>
      <w:r w:rsidRPr="00066E7D">
        <w:rPr>
          <w:rFonts w:asciiTheme="majorHAnsi" w:hAnsiTheme="majorHAnsi"/>
          <w:bCs/>
          <w:sz w:val="20"/>
          <w:szCs w:val="20"/>
          <w:lang w:val="es-ES_tradnl"/>
        </w:rPr>
        <w:t xml:space="preserve">de </w:t>
      </w:r>
      <w:r w:rsidR="00BF13AE" w:rsidRPr="00066E7D">
        <w:rPr>
          <w:rFonts w:asciiTheme="majorHAnsi" w:hAnsiTheme="majorHAnsi"/>
          <w:bCs/>
          <w:sz w:val="20"/>
          <w:szCs w:val="20"/>
          <w:lang w:val="es-ES_tradnl"/>
        </w:rPr>
        <w:t>febrero</w:t>
      </w:r>
      <w:r w:rsidRPr="00066E7D">
        <w:rPr>
          <w:rFonts w:asciiTheme="majorHAnsi" w:hAnsiTheme="majorHAnsi"/>
          <w:bCs/>
          <w:sz w:val="20"/>
          <w:szCs w:val="20"/>
          <w:lang w:val="es-ES_tradnl"/>
        </w:rPr>
        <w:t xml:space="preserve"> de </w:t>
      </w:r>
      <w:r w:rsidR="00BF13AE" w:rsidRPr="00066E7D">
        <w:rPr>
          <w:rFonts w:asciiTheme="majorHAnsi" w:hAnsiTheme="majorHAnsi"/>
          <w:bCs/>
          <w:sz w:val="20"/>
          <w:szCs w:val="20"/>
          <w:lang w:val="es-ES_tradnl"/>
        </w:rPr>
        <w:t>2010</w:t>
      </w:r>
      <w:r w:rsidRPr="00066E7D">
        <w:rPr>
          <w:rFonts w:asciiTheme="majorHAnsi" w:hAnsiTheme="majorHAnsi"/>
          <w:bCs/>
          <w:sz w:val="20"/>
          <w:szCs w:val="20"/>
          <w:lang w:val="es-ES_tradnl"/>
        </w:rPr>
        <w:t xml:space="preserve">, la Sala de Casación </w:t>
      </w:r>
      <w:r w:rsidR="00BF13AE" w:rsidRPr="00066E7D">
        <w:rPr>
          <w:rFonts w:asciiTheme="majorHAnsi" w:hAnsiTheme="majorHAnsi"/>
          <w:bCs/>
          <w:sz w:val="20"/>
          <w:szCs w:val="20"/>
          <w:lang w:val="es-ES_tradnl"/>
        </w:rPr>
        <w:t>Civil</w:t>
      </w:r>
      <w:r w:rsidRPr="00066E7D">
        <w:rPr>
          <w:rFonts w:asciiTheme="majorHAnsi" w:hAnsiTheme="majorHAnsi"/>
          <w:bCs/>
          <w:sz w:val="20"/>
          <w:szCs w:val="20"/>
          <w:lang w:val="es-ES_tradnl"/>
        </w:rPr>
        <w:t xml:space="preserve"> de la Corte Suprema de Justicia, </w:t>
      </w:r>
      <w:r w:rsidR="00210CAD" w:rsidRPr="00066E7D">
        <w:rPr>
          <w:rFonts w:asciiTheme="majorHAnsi" w:hAnsiTheme="majorHAnsi"/>
          <w:bCs/>
          <w:sz w:val="20"/>
          <w:szCs w:val="20"/>
          <w:lang w:val="es-ES_tradnl"/>
        </w:rPr>
        <w:t>deci</w:t>
      </w:r>
      <w:r w:rsidR="00BF13AE" w:rsidRPr="00066E7D">
        <w:rPr>
          <w:rFonts w:asciiTheme="majorHAnsi" w:hAnsiTheme="majorHAnsi"/>
          <w:bCs/>
          <w:sz w:val="20"/>
          <w:szCs w:val="20"/>
          <w:lang w:val="es-ES_tradnl"/>
        </w:rPr>
        <w:t xml:space="preserve">dió el recurso de apelación que presentó la presunta víctima contra la decisión del 17 de septiembre de 2009, emitida por la Sala </w:t>
      </w:r>
      <w:r w:rsidR="00B75A73" w:rsidRPr="00066E7D">
        <w:rPr>
          <w:rFonts w:asciiTheme="majorHAnsi" w:hAnsiTheme="majorHAnsi"/>
          <w:bCs/>
          <w:sz w:val="20"/>
          <w:szCs w:val="20"/>
          <w:lang w:val="es-ES_tradnl"/>
        </w:rPr>
        <w:t>Penal de la Corte Suprema de Justicia</w:t>
      </w:r>
      <w:r w:rsidR="00AF4F68" w:rsidRPr="00066E7D">
        <w:rPr>
          <w:rFonts w:asciiTheme="majorHAnsi" w:hAnsiTheme="majorHAnsi"/>
          <w:bCs/>
          <w:sz w:val="20"/>
          <w:szCs w:val="20"/>
          <w:lang w:val="es-ES_tradnl"/>
        </w:rPr>
        <w:t xml:space="preserve">, y confirmó la decisión. </w:t>
      </w:r>
      <w:r w:rsidR="00A262F2" w:rsidRPr="00066E7D">
        <w:rPr>
          <w:rFonts w:asciiTheme="majorHAnsi" w:hAnsiTheme="majorHAnsi"/>
          <w:bCs/>
          <w:sz w:val="20"/>
          <w:szCs w:val="20"/>
          <w:lang w:val="es-ES_tradnl"/>
        </w:rPr>
        <w:t>Los principales argumentos de la decisión fueron</w:t>
      </w:r>
      <w:r w:rsidR="00F111A9" w:rsidRPr="00066E7D">
        <w:rPr>
          <w:rFonts w:asciiTheme="majorHAnsi" w:hAnsiTheme="majorHAnsi"/>
          <w:bCs/>
          <w:sz w:val="20"/>
          <w:szCs w:val="20"/>
          <w:lang w:val="es-ES_tradnl"/>
        </w:rPr>
        <w:t xml:space="preserve"> que</w:t>
      </w:r>
      <w:r w:rsidR="00A262F2" w:rsidRPr="00066E7D">
        <w:rPr>
          <w:rFonts w:asciiTheme="majorHAnsi" w:hAnsiTheme="majorHAnsi"/>
          <w:bCs/>
          <w:sz w:val="20"/>
          <w:szCs w:val="20"/>
          <w:lang w:val="es-ES_tradnl"/>
        </w:rPr>
        <w:t xml:space="preserve">: i) no procede una </w:t>
      </w:r>
      <w:r w:rsidR="00B82BA1" w:rsidRPr="00066E7D">
        <w:rPr>
          <w:rFonts w:asciiTheme="majorHAnsi" w:hAnsiTheme="majorHAnsi"/>
          <w:bCs/>
          <w:sz w:val="20"/>
          <w:szCs w:val="20"/>
          <w:lang w:val="es-ES_tradnl"/>
        </w:rPr>
        <w:t>acción de tutela contra una decisión que resuelve un incidente de desacato</w:t>
      </w:r>
      <w:r w:rsidR="0045487F" w:rsidRPr="00066E7D">
        <w:rPr>
          <w:rFonts w:asciiTheme="majorHAnsi" w:hAnsiTheme="majorHAnsi"/>
          <w:bCs/>
          <w:sz w:val="20"/>
          <w:szCs w:val="20"/>
          <w:lang w:val="es-ES_tradnl"/>
        </w:rPr>
        <w:t xml:space="preserve">; ii) </w:t>
      </w:r>
      <w:r w:rsidR="00B82BA1" w:rsidRPr="00066E7D">
        <w:rPr>
          <w:rFonts w:asciiTheme="majorHAnsi" w:hAnsiTheme="majorHAnsi"/>
          <w:bCs/>
          <w:sz w:val="20"/>
          <w:szCs w:val="20"/>
          <w:lang w:val="es-ES_tradnl"/>
        </w:rPr>
        <w:t xml:space="preserve">no se evidencia en las </w:t>
      </w:r>
      <w:r w:rsidR="00F111A9" w:rsidRPr="00066E7D">
        <w:rPr>
          <w:rFonts w:asciiTheme="majorHAnsi" w:hAnsiTheme="majorHAnsi"/>
          <w:bCs/>
          <w:sz w:val="20"/>
          <w:szCs w:val="20"/>
          <w:lang w:val="es-ES_tradnl"/>
        </w:rPr>
        <w:t>actuaciones</w:t>
      </w:r>
      <w:r w:rsidR="00B82BA1" w:rsidRPr="00066E7D">
        <w:rPr>
          <w:rFonts w:asciiTheme="majorHAnsi" w:hAnsiTheme="majorHAnsi"/>
          <w:bCs/>
          <w:sz w:val="20"/>
          <w:szCs w:val="20"/>
          <w:lang w:val="es-ES_tradnl"/>
        </w:rPr>
        <w:t xml:space="preserve"> adelantadas una situación de desconocimiento del debido proceso; </w:t>
      </w:r>
      <w:r w:rsidR="0045487F" w:rsidRPr="00066E7D">
        <w:rPr>
          <w:rFonts w:asciiTheme="majorHAnsi" w:hAnsiTheme="majorHAnsi"/>
          <w:bCs/>
          <w:sz w:val="20"/>
          <w:szCs w:val="20"/>
          <w:lang w:val="es-ES_tradnl"/>
        </w:rPr>
        <w:t>i</w:t>
      </w:r>
      <w:r w:rsidR="00B82BA1" w:rsidRPr="00066E7D">
        <w:rPr>
          <w:rFonts w:asciiTheme="majorHAnsi" w:hAnsiTheme="majorHAnsi"/>
          <w:bCs/>
          <w:sz w:val="20"/>
          <w:szCs w:val="20"/>
          <w:lang w:val="es-ES_tradnl"/>
        </w:rPr>
        <w:t>ii)</w:t>
      </w:r>
      <w:r w:rsidR="00E707EE" w:rsidRPr="00066E7D">
        <w:rPr>
          <w:rFonts w:asciiTheme="majorHAnsi" w:hAnsiTheme="majorHAnsi"/>
          <w:bCs/>
          <w:sz w:val="20"/>
          <w:szCs w:val="20"/>
          <w:lang w:val="es-ES_tradnl"/>
        </w:rPr>
        <w:t xml:space="preserve"> no hay nuevos eventos que justifiquen la presentación de la tutela; i</w:t>
      </w:r>
      <w:r w:rsidR="0045487F" w:rsidRPr="00066E7D">
        <w:rPr>
          <w:rFonts w:asciiTheme="majorHAnsi" w:hAnsiTheme="majorHAnsi"/>
          <w:bCs/>
          <w:sz w:val="20"/>
          <w:szCs w:val="20"/>
          <w:lang w:val="es-ES_tradnl"/>
        </w:rPr>
        <w:t>v</w:t>
      </w:r>
      <w:r w:rsidR="00E707EE" w:rsidRPr="00066E7D">
        <w:rPr>
          <w:rFonts w:asciiTheme="majorHAnsi" w:hAnsiTheme="majorHAnsi"/>
          <w:bCs/>
          <w:sz w:val="20"/>
          <w:szCs w:val="20"/>
          <w:lang w:val="es-ES_tradnl"/>
        </w:rPr>
        <w:t xml:space="preserve">) </w:t>
      </w:r>
      <w:r w:rsidR="00AF4F68" w:rsidRPr="00066E7D">
        <w:rPr>
          <w:rFonts w:asciiTheme="majorHAnsi" w:hAnsiTheme="majorHAnsi"/>
          <w:bCs/>
          <w:sz w:val="20"/>
          <w:szCs w:val="20"/>
          <w:lang w:val="es-ES_tradnl"/>
        </w:rPr>
        <w:t>no se cumple con el requisito de inmediatez</w:t>
      </w:r>
      <w:r w:rsidR="00C32953" w:rsidRPr="00066E7D">
        <w:rPr>
          <w:rFonts w:asciiTheme="majorHAnsi" w:hAnsiTheme="majorHAnsi"/>
          <w:bCs/>
          <w:sz w:val="20"/>
          <w:szCs w:val="20"/>
          <w:lang w:val="es-ES_tradnl"/>
        </w:rPr>
        <w:t>.</w:t>
      </w:r>
    </w:p>
    <w:p w14:paraId="06DD0216" w14:textId="65820C40" w:rsidR="00714AB2" w:rsidRPr="00066E7D" w:rsidRDefault="00C32953" w:rsidP="00A1049F">
      <w:pPr>
        <w:spacing w:before="240" w:after="240"/>
        <w:ind w:firstLine="720"/>
        <w:jc w:val="both"/>
        <w:rPr>
          <w:rFonts w:asciiTheme="majorHAnsi" w:hAnsiTheme="majorHAnsi"/>
          <w:bCs/>
          <w:sz w:val="20"/>
          <w:szCs w:val="20"/>
          <w:lang w:val="es-ES_tradnl"/>
        </w:rPr>
      </w:pPr>
      <w:r w:rsidRPr="00066E7D">
        <w:rPr>
          <w:rFonts w:asciiTheme="majorHAnsi" w:hAnsiTheme="majorHAnsi"/>
          <w:bCs/>
          <w:sz w:val="20"/>
          <w:szCs w:val="20"/>
          <w:lang w:val="es-ES_tradnl"/>
        </w:rPr>
        <w:t>(</w:t>
      </w:r>
      <w:r w:rsidR="00D84C9C" w:rsidRPr="00066E7D">
        <w:rPr>
          <w:rFonts w:asciiTheme="majorHAnsi" w:hAnsiTheme="majorHAnsi"/>
          <w:bCs/>
          <w:sz w:val="20"/>
          <w:szCs w:val="20"/>
          <w:lang w:val="es-ES_tradnl"/>
        </w:rPr>
        <w:t>xviii</w:t>
      </w:r>
      <w:r w:rsidRPr="00066E7D">
        <w:rPr>
          <w:rFonts w:asciiTheme="majorHAnsi" w:hAnsiTheme="majorHAnsi"/>
          <w:bCs/>
          <w:sz w:val="20"/>
          <w:szCs w:val="20"/>
          <w:lang w:val="es-ES_tradnl"/>
        </w:rPr>
        <w:t xml:space="preserve">) </w:t>
      </w:r>
      <w:r w:rsidR="00A1049F" w:rsidRPr="00066E7D">
        <w:rPr>
          <w:rFonts w:asciiTheme="majorHAnsi" w:hAnsiTheme="majorHAnsi"/>
          <w:bCs/>
          <w:sz w:val="20"/>
          <w:szCs w:val="20"/>
          <w:lang w:val="es-ES_tradnl"/>
        </w:rPr>
        <w:tab/>
      </w:r>
      <w:r w:rsidR="007932AC" w:rsidRPr="00066E7D">
        <w:rPr>
          <w:rFonts w:asciiTheme="majorHAnsi" w:hAnsiTheme="majorHAnsi"/>
          <w:bCs/>
          <w:sz w:val="20"/>
          <w:szCs w:val="20"/>
          <w:lang w:val="es-ES_tradnl"/>
        </w:rPr>
        <w:t>El 12 de marzo de 2010, la Sala Jurisdiccional Disciplinaria del Consejo Seccional de la Judicatura de Caldas resolvió</w:t>
      </w:r>
      <w:r w:rsidR="004738CA" w:rsidRPr="00066E7D">
        <w:rPr>
          <w:rFonts w:asciiTheme="majorHAnsi" w:hAnsiTheme="majorHAnsi"/>
          <w:bCs/>
          <w:sz w:val="20"/>
          <w:szCs w:val="20"/>
          <w:lang w:val="es-ES_tradnl"/>
        </w:rPr>
        <w:t xml:space="preserve"> </w:t>
      </w:r>
      <w:r w:rsidR="00F34172" w:rsidRPr="00066E7D">
        <w:rPr>
          <w:rFonts w:asciiTheme="majorHAnsi" w:hAnsiTheme="majorHAnsi"/>
          <w:bCs/>
          <w:sz w:val="20"/>
          <w:szCs w:val="20"/>
          <w:lang w:val="es-ES_tradnl"/>
        </w:rPr>
        <w:t>la indagación preliminar seguida contra la Jueza Penal del Circuito de Adolescentes de Conocimiento de Manizales</w:t>
      </w:r>
      <w:r w:rsidR="002C1C20" w:rsidRPr="00066E7D">
        <w:rPr>
          <w:rFonts w:asciiTheme="majorHAnsi" w:hAnsiTheme="majorHAnsi"/>
          <w:bCs/>
          <w:sz w:val="20"/>
          <w:szCs w:val="20"/>
          <w:lang w:val="es-ES_tradnl"/>
        </w:rPr>
        <w:t xml:space="preserve"> que conoció los incidentes de desacato, y</w:t>
      </w:r>
      <w:r w:rsidR="00060CD0" w:rsidRPr="00066E7D">
        <w:rPr>
          <w:rFonts w:asciiTheme="majorHAnsi" w:hAnsiTheme="majorHAnsi"/>
          <w:bCs/>
          <w:sz w:val="20"/>
          <w:szCs w:val="20"/>
          <w:lang w:val="es-ES_tradnl"/>
        </w:rPr>
        <w:t>,</w:t>
      </w:r>
      <w:r w:rsidR="002C1C20" w:rsidRPr="00066E7D">
        <w:rPr>
          <w:rFonts w:asciiTheme="majorHAnsi" w:hAnsiTheme="majorHAnsi"/>
          <w:bCs/>
          <w:sz w:val="20"/>
          <w:szCs w:val="20"/>
          <w:lang w:val="es-ES_tradnl"/>
        </w:rPr>
        <w:t xml:space="preserve"> que fue </w:t>
      </w:r>
      <w:r w:rsidR="00E03AC1" w:rsidRPr="00066E7D">
        <w:rPr>
          <w:rFonts w:asciiTheme="majorHAnsi" w:hAnsiTheme="majorHAnsi"/>
          <w:bCs/>
          <w:sz w:val="20"/>
          <w:szCs w:val="20"/>
          <w:lang w:val="es-ES_tradnl"/>
        </w:rPr>
        <w:t xml:space="preserve">iniciada por </w:t>
      </w:r>
      <w:r w:rsidR="007932AC" w:rsidRPr="00066E7D">
        <w:rPr>
          <w:rFonts w:asciiTheme="majorHAnsi" w:hAnsiTheme="majorHAnsi"/>
          <w:bCs/>
          <w:sz w:val="20"/>
          <w:szCs w:val="20"/>
          <w:lang w:val="es-ES_tradnl"/>
        </w:rPr>
        <w:t xml:space="preserve">la queja disciplinaria </w:t>
      </w:r>
      <w:r w:rsidR="00E03AC1" w:rsidRPr="00066E7D">
        <w:rPr>
          <w:rFonts w:asciiTheme="majorHAnsi" w:hAnsiTheme="majorHAnsi"/>
          <w:bCs/>
          <w:sz w:val="20"/>
          <w:szCs w:val="20"/>
          <w:lang w:val="es-ES_tradnl"/>
        </w:rPr>
        <w:t xml:space="preserve">que presentó </w:t>
      </w:r>
      <w:r w:rsidR="007932AC" w:rsidRPr="00066E7D">
        <w:rPr>
          <w:rFonts w:asciiTheme="majorHAnsi" w:hAnsiTheme="majorHAnsi"/>
          <w:bCs/>
          <w:sz w:val="20"/>
          <w:szCs w:val="20"/>
          <w:lang w:val="es-ES_tradnl"/>
        </w:rPr>
        <w:t>la presunta víctima</w:t>
      </w:r>
      <w:r w:rsidR="00E03AC1" w:rsidRPr="00066E7D">
        <w:rPr>
          <w:rFonts w:asciiTheme="majorHAnsi" w:hAnsiTheme="majorHAnsi"/>
          <w:bCs/>
          <w:sz w:val="20"/>
          <w:szCs w:val="20"/>
          <w:lang w:val="es-ES_tradnl"/>
        </w:rPr>
        <w:t xml:space="preserve">. </w:t>
      </w:r>
      <w:r w:rsidR="004738CA" w:rsidRPr="00066E7D">
        <w:rPr>
          <w:rFonts w:asciiTheme="majorHAnsi" w:hAnsiTheme="majorHAnsi"/>
          <w:bCs/>
          <w:sz w:val="20"/>
          <w:szCs w:val="20"/>
          <w:lang w:val="es-ES_tradnl"/>
        </w:rPr>
        <w:t xml:space="preserve">La Sala sostuvo que </w:t>
      </w:r>
      <w:r w:rsidR="002C1C20" w:rsidRPr="00066E7D">
        <w:rPr>
          <w:rFonts w:asciiTheme="majorHAnsi" w:hAnsiTheme="majorHAnsi"/>
          <w:bCs/>
          <w:sz w:val="20"/>
          <w:szCs w:val="20"/>
          <w:lang w:val="es-ES_tradnl"/>
        </w:rPr>
        <w:t>la decisión tomada por la funcionaria fue ajustada a derecho</w:t>
      </w:r>
      <w:r w:rsidR="009B0388" w:rsidRPr="00066E7D">
        <w:rPr>
          <w:rFonts w:asciiTheme="majorHAnsi" w:hAnsiTheme="majorHAnsi"/>
          <w:bCs/>
          <w:sz w:val="20"/>
          <w:szCs w:val="20"/>
          <w:lang w:val="es-ES_tradnl"/>
        </w:rPr>
        <w:t xml:space="preserve"> porque la Caja Agraria promovió el proceso ordinario que le permitió demostrar que era imposible realizar el reintegro.</w:t>
      </w:r>
      <w:r w:rsidR="00BA5202" w:rsidRPr="00066E7D">
        <w:rPr>
          <w:rFonts w:asciiTheme="majorHAnsi" w:hAnsiTheme="majorHAnsi"/>
          <w:bCs/>
          <w:sz w:val="20"/>
          <w:szCs w:val="20"/>
          <w:lang w:val="es-ES_tradnl"/>
        </w:rPr>
        <w:t xml:space="preserve"> La decisión fue apelada y confirmada </w:t>
      </w:r>
      <w:r w:rsidR="00A66E74" w:rsidRPr="00066E7D">
        <w:rPr>
          <w:rFonts w:asciiTheme="majorHAnsi" w:hAnsiTheme="majorHAnsi"/>
          <w:bCs/>
          <w:sz w:val="20"/>
          <w:szCs w:val="20"/>
          <w:lang w:val="es-ES_tradnl"/>
        </w:rPr>
        <w:t xml:space="preserve">el 2 de junio de 2010 </w:t>
      </w:r>
      <w:r w:rsidR="00BA5202" w:rsidRPr="00066E7D">
        <w:rPr>
          <w:rFonts w:asciiTheme="majorHAnsi" w:hAnsiTheme="majorHAnsi"/>
          <w:bCs/>
          <w:sz w:val="20"/>
          <w:szCs w:val="20"/>
          <w:lang w:val="es-ES_tradnl"/>
        </w:rPr>
        <w:t xml:space="preserve">por la Sala Jurisdiccional Disciplinaria </w:t>
      </w:r>
      <w:r w:rsidR="00601550" w:rsidRPr="00066E7D">
        <w:rPr>
          <w:rFonts w:asciiTheme="majorHAnsi" w:hAnsiTheme="majorHAnsi"/>
          <w:bCs/>
          <w:sz w:val="20"/>
          <w:szCs w:val="20"/>
          <w:lang w:val="es-ES_tradnl"/>
        </w:rPr>
        <w:t>del Consejo</w:t>
      </w:r>
      <w:r w:rsidR="00BA5202" w:rsidRPr="00066E7D">
        <w:rPr>
          <w:rFonts w:asciiTheme="majorHAnsi" w:hAnsiTheme="majorHAnsi"/>
          <w:bCs/>
          <w:sz w:val="20"/>
          <w:szCs w:val="20"/>
          <w:lang w:val="es-ES_tradnl"/>
        </w:rPr>
        <w:t xml:space="preserve"> Superior de la Judicatura</w:t>
      </w:r>
      <w:r w:rsidR="00A66E74" w:rsidRPr="00066E7D">
        <w:rPr>
          <w:rFonts w:asciiTheme="majorHAnsi" w:hAnsiTheme="majorHAnsi"/>
          <w:bCs/>
          <w:sz w:val="20"/>
          <w:szCs w:val="20"/>
          <w:lang w:val="es-ES_tradnl"/>
        </w:rPr>
        <w:t>.</w:t>
      </w:r>
    </w:p>
    <w:p w14:paraId="20DB1BD7" w14:textId="0A3809A1" w:rsidR="006063CF" w:rsidRPr="00066E7D" w:rsidRDefault="006C67DA" w:rsidP="00974D9C">
      <w:pPr>
        <w:spacing w:before="240" w:after="240"/>
        <w:ind w:firstLine="720"/>
        <w:jc w:val="both"/>
        <w:rPr>
          <w:rFonts w:asciiTheme="majorHAnsi" w:hAnsiTheme="majorHAnsi"/>
          <w:bCs/>
          <w:sz w:val="20"/>
          <w:szCs w:val="20"/>
          <w:lang w:val="es-ES_tradnl"/>
        </w:rPr>
      </w:pPr>
      <w:r w:rsidRPr="00066E7D">
        <w:rPr>
          <w:rFonts w:asciiTheme="majorHAnsi" w:hAnsiTheme="majorHAnsi"/>
          <w:bCs/>
          <w:sz w:val="20"/>
          <w:szCs w:val="20"/>
          <w:lang w:val="es-ES_tradnl"/>
        </w:rPr>
        <w:t>9</w:t>
      </w:r>
      <w:r w:rsidR="004644EE" w:rsidRPr="00066E7D">
        <w:rPr>
          <w:rFonts w:asciiTheme="majorHAnsi" w:hAnsiTheme="majorHAnsi"/>
          <w:bCs/>
          <w:sz w:val="20"/>
          <w:szCs w:val="20"/>
          <w:lang w:val="es-ES_tradnl"/>
        </w:rPr>
        <w:t>.</w:t>
      </w:r>
      <w:r w:rsidR="00974D9C" w:rsidRPr="00066E7D">
        <w:rPr>
          <w:rFonts w:asciiTheme="majorHAnsi" w:hAnsiTheme="majorHAnsi"/>
          <w:bCs/>
          <w:sz w:val="20"/>
          <w:szCs w:val="20"/>
          <w:lang w:val="es-ES_tradnl"/>
        </w:rPr>
        <w:tab/>
      </w:r>
      <w:r w:rsidR="004644EE" w:rsidRPr="00066E7D">
        <w:rPr>
          <w:rFonts w:asciiTheme="majorHAnsi" w:hAnsiTheme="majorHAnsi"/>
          <w:bCs/>
          <w:sz w:val="20"/>
          <w:szCs w:val="20"/>
          <w:lang w:val="es-ES_tradnl"/>
        </w:rPr>
        <w:t xml:space="preserve">El Estado alega que </w:t>
      </w:r>
      <w:r w:rsidR="00974D9C" w:rsidRPr="00066E7D">
        <w:rPr>
          <w:rFonts w:asciiTheme="majorHAnsi" w:hAnsiTheme="majorHAnsi"/>
          <w:bCs/>
          <w:sz w:val="20"/>
          <w:szCs w:val="20"/>
          <w:lang w:val="es-ES_tradnl"/>
        </w:rPr>
        <w:t xml:space="preserve">los hechos </w:t>
      </w:r>
      <w:r w:rsidR="005F00F0" w:rsidRPr="00066E7D">
        <w:rPr>
          <w:rFonts w:asciiTheme="majorHAnsi" w:hAnsiTheme="majorHAnsi"/>
          <w:bCs/>
          <w:sz w:val="20"/>
          <w:szCs w:val="20"/>
          <w:lang w:val="es-ES_tradnl"/>
        </w:rPr>
        <w:t>planteados en la petición</w:t>
      </w:r>
      <w:r w:rsidR="00974D9C" w:rsidRPr="00066E7D">
        <w:rPr>
          <w:rFonts w:asciiTheme="majorHAnsi" w:hAnsiTheme="majorHAnsi"/>
          <w:bCs/>
          <w:sz w:val="20"/>
          <w:szCs w:val="20"/>
          <w:lang w:val="es-ES_tradnl"/>
        </w:rPr>
        <w:t xml:space="preserve"> son inadmisibles porque el asunto fue resuelto en sede interna con respecto a</w:t>
      </w:r>
      <w:r w:rsidR="008D7658" w:rsidRPr="00066E7D">
        <w:rPr>
          <w:rFonts w:asciiTheme="majorHAnsi" w:hAnsiTheme="majorHAnsi"/>
          <w:bCs/>
          <w:sz w:val="20"/>
          <w:szCs w:val="20"/>
          <w:lang w:val="es-ES_tradnl"/>
        </w:rPr>
        <w:t xml:space="preserve"> las garantías procesales, y porque el aparente incumplimiento de la sentencia T-323 de 2005 es consecuencia de la liquidación de la Caja Agraria</w:t>
      </w:r>
      <w:r w:rsidR="0033724C" w:rsidRPr="00066E7D">
        <w:rPr>
          <w:rFonts w:asciiTheme="majorHAnsi" w:hAnsiTheme="majorHAnsi"/>
          <w:bCs/>
          <w:sz w:val="20"/>
          <w:szCs w:val="20"/>
          <w:lang w:val="es-ES_tradnl"/>
        </w:rPr>
        <w:t xml:space="preserve"> </w:t>
      </w:r>
      <w:r w:rsidR="008D7658" w:rsidRPr="00066E7D">
        <w:rPr>
          <w:rFonts w:asciiTheme="majorHAnsi" w:hAnsiTheme="majorHAnsi"/>
          <w:bCs/>
          <w:sz w:val="20"/>
          <w:szCs w:val="20"/>
          <w:lang w:val="es-ES_tradnl"/>
        </w:rPr>
        <w:t>por las actuaciones judiciales que inició la presunta víctima con posterioridad a la decisión, y que le reconocieron el derecho a la pensión.</w:t>
      </w:r>
      <w:r w:rsidR="00D16B6E" w:rsidRPr="00066E7D">
        <w:rPr>
          <w:rFonts w:asciiTheme="majorHAnsi" w:hAnsiTheme="majorHAnsi"/>
          <w:bCs/>
          <w:sz w:val="20"/>
          <w:szCs w:val="20"/>
          <w:lang w:val="es-ES_tradnl"/>
        </w:rPr>
        <w:t xml:space="preserve"> </w:t>
      </w:r>
    </w:p>
    <w:p w14:paraId="4351C13C" w14:textId="3FA0D686" w:rsidR="00BA5202" w:rsidRPr="00066E7D" w:rsidRDefault="006C67DA" w:rsidP="00974D9C">
      <w:pPr>
        <w:spacing w:before="240" w:after="240"/>
        <w:ind w:firstLine="720"/>
        <w:jc w:val="both"/>
        <w:rPr>
          <w:rFonts w:asciiTheme="majorHAnsi" w:hAnsiTheme="majorHAnsi"/>
          <w:bCs/>
          <w:sz w:val="20"/>
          <w:szCs w:val="20"/>
          <w:lang w:val="es-ES_tradnl"/>
        </w:rPr>
      </w:pPr>
      <w:r w:rsidRPr="00066E7D">
        <w:rPr>
          <w:rFonts w:asciiTheme="majorHAnsi" w:hAnsiTheme="majorHAnsi"/>
          <w:bCs/>
          <w:sz w:val="20"/>
          <w:szCs w:val="20"/>
          <w:lang w:val="es-ES_tradnl"/>
        </w:rPr>
        <w:t>10</w:t>
      </w:r>
      <w:r w:rsidR="006063CF" w:rsidRPr="00066E7D">
        <w:rPr>
          <w:rFonts w:asciiTheme="majorHAnsi" w:hAnsiTheme="majorHAnsi"/>
          <w:bCs/>
          <w:sz w:val="20"/>
          <w:szCs w:val="20"/>
          <w:lang w:val="es-ES_tradnl"/>
        </w:rPr>
        <w:t>.</w:t>
      </w:r>
      <w:r w:rsidR="006063CF" w:rsidRPr="00066E7D">
        <w:rPr>
          <w:rFonts w:asciiTheme="majorHAnsi" w:hAnsiTheme="majorHAnsi"/>
          <w:bCs/>
          <w:sz w:val="20"/>
          <w:szCs w:val="20"/>
          <w:lang w:val="es-ES_tradnl"/>
        </w:rPr>
        <w:tab/>
      </w:r>
      <w:r w:rsidR="009168BA" w:rsidRPr="00066E7D">
        <w:rPr>
          <w:rFonts w:asciiTheme="majorHAnsi" w:hAnsiTheme="majorHAnsi"/>
          <w:bCs/>
          <w:sz w:val="20"/>
          <w:szCs w:val="20"/>
          <w:lang w:val="es-ES_tradnl"/>
        </w:rPr>
        <w:t>Destaca que el artículo 47.b) de la Convención comprende dos presupuestos para que</w:t>
      </w:r>
      <w:r w:rsidR="00136B7F" w:rsidRPr="00066E7D">
        <w:rPr>
          <w:rFonts w:asciiTheme="majorHAnsi" w:hAnsiTheme="majorHAnsi"/>
          <w:bCs/>
          <w:sz w:val="20"/>
          <w:szCs w:val="20"/>
          <w:lang w:val="es-ES_tradnl"/>
        </w:rPr>
        <w:t xml:space="preserve"> se cumpla con el criterio de admisibilidad: i) que los hechos puedan caracterizar </w:t>
      </w:r>
      <w:r w:rsidR="00136B7F" w:rsidRPr="00066E7D">
        <w:rPr>
          <w:rFonts w:asciiTheme="majorHAnsi" w:hAnsiTheme="majorHAnsi"/>
          <w:bCs/>
          <w:i/>
          <w:iCs/>
          <w:sz w:val="20"/>
          <w:szCs w:val="20"/>
          <w:lang w:val="es-ES_tradnl"/>
        </w:rPr>
        <w:t>prima facie</w:t>
      </w:r>
      <w:r w:rsidR="009168BA" w:rsidRPr="00066E7D">
        <w:rPr>
          <w:rFonts w:asciiTheme="majorHAnsi" w:hAnsiTheme="majorHAnsi"/>
          <w:bCs/>
          <w:sz w:val="20"/>
          <w:szCs w:val="20"/>
          <w:lang w:val="es-ES_tradnl"/>
        </w:rPr>
        <w:t xml:space="preserve"> </w:t>
      </w:r>
      <w:r w:rsidR="00136B7F" w:rsidRPr="00066E7D">
        <w:rPr>
          <w:rFonts w:asciiTheme="majorHAnsi" w:hAnsiTheme="majorHAnsi"/>
          <w:bCs/>
          <w:sz w:val="20"/>
          <w:szCs w:val="20"/>
          <w:lang w:val="es-ES_tradnl"/>
        </w:rPr>
        <w:t>una violación a los derechos humanos consagrados en la Convención; y ii) que los hechos le sean potencialmente atribuibles al Estado</w:t>
      </w:r>
      <w:r w:rsidR="0056401C" w:rsidRPr="00066E7D">
        <w:rPr>
          <w:rFonts w:asciiTheme="majorHAnsi" w:hAnsiTheme="majorHAnsi"/>
          <w:bCs/>
          <w:sz w:val="20"/>
          <w:szCs w:val="20"/>
          <w:lang w:val="es-ES_tradnl"/>
        </w:rPr>
        <w:t xml:space="preserve">. </w:t>
      </w:r>
      <w:r w:rsidR="009A738D" w:rsidRPr="00066E7D">
        <w:rPr>
          <w:rFonts w:asciiTheme="majorHAnsi" w:hAnsiTheme="majorHAnsi"/>
          <w:bCs/>
          <w:sz w:val="20"/>
          <w:szCs w:val="20"/>
          <w:lang w:val="es-ES_tradnl"/>
        </w:rPr>
        <w:t>Además,</w:t>
      </w:r>
      <w:r w:rsidR="0056401C" w:rsidRPr="00066E7D">
        <w:rPr>
          <w:rFonts w:asciiTheme="majorHAnsi" w:hAnsiTheme="majorHAnsi"/>
          <w:bCs/>
          <w:sz w:val="20"/>
          <w:szCs w:val="20"/>
          <w:lang w:val="es-ES_tradnl"/>
        </w:rPr>
        <w:t xml:space="preserve"> resalta que de acuerdo con el artículo 47.c) de la Convención, debe existir un mínimo probatorio que logre hacer viable la solicitud.</w:t>
      </w:r>
      <w:r w:rsidR="00974D9C" w:rsidRPr="00066E7D">
        <w:rPr>
          <w:rFonts w:asciiTheme="majorHAnsi" w:hAnsiTheme="majorHAnsi"/>
          <w:bCs/>
          <w:sz w:val="20"/>
          <w:szCs w:val="20"/>
          <w:lang w:val="es-ES_tradnl"/>
        </w:rPr>
        <w:t xml:space="preserve"> </w:t>
      </w:r>
    </w:p>
    <w:p w14:paraId="189AF267" w14:textId="1AA018FA" w:rsidR="00FB6DB5" w:rsidRPr="00066E7D" w:rsidRDefault="006C67DA" w:rsidP="004A5FCB">
      <w:pPr>
        <w:spacing w:before="240" w:after="240"/>
        <w:ind w:firstLine="720"/>
        <w:jc w:val="both"/>
        <w:rPr>
          <w:rFonts w:asciiTheme="majorHAnsi" w:hAnsiTheme="majorHAnsi"/>
          <w:bCs/>
          <w:sz w:val="20"/>
          <w:szCs w:val="20"/>
          <w:lang w:val="es-ES_tradnl"/>
        </w:rPr>
      </w:pPr>
      <w:r w:rsidRPr="00066E7D">
        <w:rPr>
          <w:rFonts w:asciiTheme="majorHAnsi" w:hAnsiTheme="majorHAnsi"/>
          <w:bCs/>
          <w:sz w:val="20"/>
          <w:szCs w:val="20"/>
          <w:lang w:val="es-ES_tradnl"/>
        </w:rPr>
        <w:t>11</w:t>
      </w:r>
      <w:r w:rsidR="006063CF" w:rsidRPr="00066E7D">
        <w:rPr>
          <w:rFonts w:asciiTheme="majorHAnsi" w:hAnsiTheme="majorHAnsi"/>
          <w:bCs/>
          <w:sz w:val="20"/>
          <w:szCs w:val="20"/>
          <w:lang w:val="es-ES_tradnl"/>
        </w:rPr>
        <w:t>.</w:t>
      </w:r>
      <w:r w:rsidRPr="00066E7D">
        <w:rPr>
          <w:rFonts w:asciiTheme="majorHAnsi" w:hAnsiTheme="majorHAnsi"/>
          <w:bCs/>
          <w:sz w:val="20"/>
          <w:szCs w:val="20"/>
          <w:lang w:val="es-ES_tradnl"/>
        </w:rPr>
        <w:tab/>
      </w:r>
      <w:r w:rsidR="00FB6DB5" w:rsidRPr="00066E7D">
        <w:rPr>
          <w:rFonts w:asciiTheme="majorHAnsi" w:hAnsiTheme="majorHAnsi"/>
          <w:bCs/>
          <w:sz w:val="20"/>
          <w:szCs w:val="20"/>
          <w:lang w:val="es-ES_tradnl"/>
        </w:rPr>
        <w:t>I</w:t>
      </w:r>
      <w:r w:rsidR="001072A3" w:rsidRPr="00066E7D">
        <w:rPr>
          <w:rFonts w:asciiTheme="majorHAnsi" w:hAnsiTheme="majorHAnsi"/>
          <w:bCs/>
          <w:sz w:val="20"/>
          <w:szCs w:val="20"/>
          <w:lang w:val="es-ES_tradnl"/>
        </w:rPr>
        <w:t>ndica que la presunta víctima a través de acciones de tutela e incidentes de desacato puso en conocimiento de las autoridades judiciales el incumplimiento de la sentencia del 13 de julio de 2001 y la T-323 de 2005</w:t>
      </w:r>
      <w:r w:rsidR="00E81BC2" w:rsidRPr="00066E7D">
        <w:rPr>
          <w:rFonts w:asciiTheme="majorHAnsi" w:hAnsiTheme="majorHAnsi"/>
          <w:bCs/>
          <w:sz w:val="20"/>
          <w:szCs w:val="20"/>
          <w:lang w:val="es-ES_tradnl"/>
        </w:rPr>
        <w:t>. Sin embargo, señala que de manera paralela adelantó un proceso laboral con el fin de obtener la pensión por jubilación</w:t>
      </w:r>
      <w:r w:rsidR="008121BA" w:rsidRPr="00066E7D">
        <w:rPr>
          <w:rFonts w:asciiTheme="majorHAnsi" w:hAnsiTheme="majorHAnsi"/>
          <w:bCs/>
          <w:sz w:val="20"/>
          <w:szCs w:val="20"/>
          <w:lang w:val="es-ES_tradnl"/>
        </w:rPr>
        <w:t xml:space="preserve">, que en efecto le fue concedida </w:t>
      </w:r>
      <w:r w:rsidR="00C704B8" w:rsidRPr="00066E7D">
        <w:rPr>
          <w:rFonts w:asciiTheme="majorHAnsi" w:hAnsiTheme="majorHAnsi"/>
          <w:bCs/>
          <w:sz w:val="20"/>
          <w:szCs w:val="20"/>
          <w:lang w:val="es-ES_tradnl"/>
        </w:rPr>
        <w:t xml:space="preserve">mediante la </w:t>
      </w:r>
      <w:r w:rsidR="009A738D" w:rsidRPr="00066E7D">
        <w:rPr>
          <w:rFonts w:asciiTheme="majorHAnsi" w:hAnsiTheme="majorHAnsi"/>
          <w:bCs/>
          <w:sz w:val="20"/>
          <w:szCs w:val="20"/>
          <w:lang w:val="es-ES_tradnl"/>
        </w:rPr>
        <w:t>r</w:t>
      </w:r>
      <w:r w:rsidR="00C704B8" w:rsidRPr="00066E7D">
        <w:rPr>
          <w:rFonts w:asciiTheme="majorHAnsi" w:hAnsiTheme="majorHAnsi"/>
          <w:bCs/>
          <w:sz w:val="20"/>
          <w:szCs w:val="20"/>
          <w:lang w:val="es-ES_tradnl"/>
        </w:rPr>
        <w:t xml:space="preserve">esolución No. 4081 del 18 de octubre de 2005, </w:t>
      </w:r>
      <w:r w:rsidR="008121BA" w:rsidRPr="00066E7D">
        <w:rPr>
          <w:rFonts w:asciiTheme="majorHAnsi" w:hAnsiTheme="majorHAnsi"/>
          <w:bCs/>
          <w:sz w:val="20"/>
          <w:szCs w:val="20"/>
          <w:lang w:val="es-ES_tradnl"/>
        </w:rPr>
        <w:t xml:space="preserve">y cancelada con efectos retroactivos y futuros. </w:t>
      </w:r>
      <w:r w:rsidR="00F0793D" w:rsidRPr="00066E7D">
        <w:rPr>
          <w:rFonts w:asciiTheme="majorHAnsi" w:hAnsiTheme="majorHAnsi"/>
          <w:bCs/>
          <w:sz w:val="20"/>
          <w:szCs w:val="20"/>
          <w:lang w:val="es-ES_tradnl"/>
        </w:rPr>
        <w:t>En este orden de idea</w:t>
      </w:r>
      <w:r w:rsidR="006D6001" w:rsidRPr="00066E7D">
        <w:rPr>
          <w:rFonts w:asciiTheme="majorHAnsi" w:hAnsiTheme="majorHAnsi"/>
          <w:bCs/>
          <w:sz w:val="20"/>
          <w:szCs w:val="20"/>
          <w:lang w:val="es-ES_tradnl"/>
        </w:rPr>
        <w:t>s</w:t>
      </w:r>
      <w:r w:rsidR="00F0793D" w:rsidRPr="00066E7D">
        <w:rPr>
          <w:rFonts w:asciiTheme="majorHAnsi" w:hAnsiTheme="majorHAnsi"/>
          <w:bCs/>
          <w:sz w:val="20"/>
          <w:szCs w:val="20"/>
          <w:lang w:val="es-ES_tradnl"/>
        </w:rPr>
        <w:t xml:space="preserve">, la situación </w:t>
      </w:r>
      <w:r w:rsidR="008121BA" w:rsidRPr="00066E7D">
        <w:rPr>
          <w:rFonts w:asciiTheme="majorHAnsi" w:hAnsiTheme="majorHAnsi"/>
          <w:bCs/>
          <w:sz w:val="20"/>
          <w:szCs w:val="20"/>
          <w:lang w:val="es-ES_tradnl"/>
        </w:rPr>
        <w:t xml:space="preserve">que podría haber caracterizado violaciones a la Convención cambió por actuación e iniciativa del peticionario, y </w:t>
      </w:r>
      <w:r w:rsidR="00AC7F1B" w:rsidRPr="00066E7D">
        <w:rPr>
          <w:rFonts w:asciiTheme="majorHAnsi" w:hAnsiTheme="majorHAnsi"/>
          <w:bCs/>
          <w:sz w:val="20"/>
          <w:szCs w:val="20"/>
          <w:lang w:val="es-ES_tradnl"/>
        </w:rPr>
        <w:t>actualmente la ejecución de la sentencia T-323 de 2005 de la Corte Constitucional es de imposible cumplimiento</w:t>
      </w:r>
      <w:r w:rsidR="006D6001" w:rsidRPr="00066E7D">
        <w:rPr>
          <w:rFonts w:asciiTheme="majorHAnsi" w:hAnsiTheme="majorHAnsi"/>
          <w:bCs/>
          <w:sz w:val="20"/>
          <w:szCs w:val="20"/>
          <w:lang w:val="es-ES_tradnl"/>
        </w:rPr>
        <w:t>. E</w:t>
      </w:r>
      <w:r w:rsidR="007B40FE" w:rsidRPr="00066E7D">
        <w:rPr>
          <w:rFonts w:asciiTheme="majorHAnsi" w:hAnsiTheme="majorHAnsi"/>
          <w:bCs/>
          <w:sz w:val="20"/>
          <w:szCs w:val="20"/>
          <w:lang w:val="es-ES_tradnl"/>
        </w:rPr>
        <w:t xml:space="preserve">l Estado destaca que la presunta víctima no solo tuvo acceso efectivo a la justicia, puesto que cada una de las autoridades </w:t>
      </w:r>
      <w:r w:rsidR="00133660" w:rsidRPr="00066E7D">
        <w:rPr>
          <w:rFonts w:asciiTheme="majorHAnsi" w:hAnsiTheme="majorHAnsi"/>
          <w:bCs/>
          <w:sz w:val="20"/>
          <w:szCs w:val="20"/>
          <w:lang w:val="es-ES_tradnl"/>
        </w:rPr>
        <w:t xml:space="preserve">judiciales </w:t>
      </w:r>
      <w:r w:rsidR="007041AC" w:rsidRPr="00066E7D">
        <w:rPr>
          <w:rFonts w:asciiTheme="majorHAnsi" w:hAnsiTheme="majorHAnsi"/>
          <w:bCs/>
          <w:sz w:val="20"/>
          <w:szCs w:val="20"/>
          <w:lang w:val="es-ES_tradnl"/>
        </w:rPr>
        <w:t>actuaron</w:t>
      </w:r>
      <w:r w:rsidR="00133660" w:rsidRPr="00066E7D">
        <w:rPr>
          <w:rFonts w:asciiTheme="majorHAnsi" w:hAnsiTheme="majorHAnsi"/>
          <w:bCs/>
          <w:sz w:val="20"/>
          <w:szCs w:val="20"/>
          <w:lang w:val="es-ES_tradnl"/>
        </w:rPr>
        <w:t xml:space="preserve"> con competencia para proferir las providencias reprochadas, decisiones que fueron debidamente </w:t>
      </w:r>
      <w:r w:rsidR="00066E7D" w:rsidRPr="00066E7D">
        <w:rPr>
          <w:rFonts w:asciiTheme="majorHAnsi" w:hAnsiTheme="majorHAnsi"/>
          <w:bCs/>
          <w:sz w:val="20"/>
          <w:szCs w:val="20"/>
          <w:lang w:val="es-ES_tradnl"/>
        </w:rPr>
        <w:t>motivadas, sin</w:t>
      </w:r>
      <w:r w:rsidR="008C5260" w:rsidRPr="00066E7D">
        <w:rPr>
          <w:rFonts w:asciiTheme="majorHAnsi" w:hAnsiTheme="majorHAnsi"/>
          <w:bCs/>
          <w:sz w:val="20"/>
          <w:szCs w:val="20"/>
          <w:lang w:val="es-ES_tradnl"/>
        </w:rPr>
        <w:t xml:space="preserve"> que se observe ningún capricho o arbitrariedad en </w:t>
      </w:r>
      <w:r w:rsidR="007041AC" w:rsidRPr="00066E7D">
        <w:rPr>
          <w:rFonts w:asciiTheme="majorHAnsi" w:hAnsiTheme="majorHAnsi"/>
          <w:bCs/>
          <w:sz w:val="20"/>
          <w:szCs w:val="20"/>
          <w:lang w:val="es-ES_tradnl"/>
        </w:rPr>
        <w:t>la decisión</w:t>
      </w:r>
      <w:r w:rsidR="008C5260" w:rsidRPr="00066E7D">
        <w:rPr>
          <w:rFonts w:asciiTheme="majorHAnsi" w:hAnsiTheme="majorHAnsi"/>
          <w:bCs/>
          <w:sz w:val="20"/>
          <w:szCs w:val="20"/>
          <w:lang w:val="es-ES_tradnl"/>
        </w:rPr>
        <w:t xml:space="preserve"> de negar</w:t>
      </w:r>
      <w:r w:rsidR="00A316C2" w:rsidRPr="00066E7D">
        <w:rPr>
          <w:rFonts w:asciiTheme="majorHAnsi" w:hAnsiTheme="majorHAnsi"/>
          <w:bCs/>
          <w:sz w:val="20"/>
          <w:szCs w:val="20"/>
          <w:lang w:val="es-ES_tradnl"/>
        </w:rPr>
        <w:t xml:space="preserve"> </w:t>
      </w:r>
      <w:r w:rsidR="00CB6849" w:rsidRPr="00066E7D">
        <w:rPr>
          <w:rFonts w:asciiTheme="majorHAnsi" w:hAnsiTheme="majorHAnsi"/>
          <w:bCs/>
          <w:sz w:val="20"/>
          <w:szCs w:val="20"/>
          <w:lang w:val="es-ES_tradnl"/>
        </w:rPr>
        <w:t>las pretensiones del demandante. E</w:t>
      </w:r>
      <w:r w:rsidR="006D6001" w:rsidRPr="00066E7D">
        <w:rPr>
          <w:rFonts w:asciiTheme="majorHAnsi" w:hAnsiTheme="majorHAnsi"/>
          <w:bCs/>
          <w:sz w:val="20"/>
          <w:szCs w:val="20"/>
          <w:lang w:val="es-ES_tradnl"/>
        </w:rPr>
        <w:t xml:space="preserve">n </w:t>
      </w:r>
      <w:r w:rsidR="007041AC" w:rsidRPr="00066E7D">
        <w:rPr>
          <w:rFonts w:asciiTheme="majorHAnsi" w:hAnsiTheme="majorHAnsi"/>
          <w:bCs/>
          <w:sz w:val="20"/>
          <w:szCs w:val="20"/>
          <w:lang w:val="es-ES_tradnl"/>
        </w:rPr>
        <w:t>conclusión,</w:t>
      </w:r>
      <w:r w:rsidR="00CB6849" w:rsidRPr="00066E7D">
        <w:rPr>
          <w:rFonts w:asciiTheme="majorHAnsi" w:hAnsiTheme="majorHAnsi"/>
          <w:bCs/>
          <w:sz w:val="20"/>
          <w:szCs w:val="20"/>
          <w:lang w:val="es-ES_tradnl"/>
        </w:rPr>
        <w:t xml:space="preserve"> </w:t>
      </w:r>
      <w:r w:rsidR="00494729" w:rsidRPr="00066E7D">
        <w:rPr>
          <w:rFonts w:asciiTheme="majorHAnsi" w:hAnsiTheme="majorHAnsi"/>
          <w:bCs/>
          <w:sz w:val="20"/>
          <w:szCs w:val="20"/>
          <w:lang w:val="es-ES_tradnl"/>
        </w:rPr>
        <w:t>no hay una caracterización de una violación a los derechos consagrados en la Convención</w:t>
      </w:r>
      <w:r w:rsidR="00CB6849" w:rsidRPr="00066E7D">
        <w:rPr>
          <w:rFonts w:asciiTheme="majorHAnsi" w:hAnsiTheme="majorHAnsi"/>
          <w:bCs/>
          <w:sz w:val="20"/>
          <w:szCs w:val="20"/>
          <w:lang w:val="es-ES_tradnl"/>
        </w:rPr>
        <w:t xml:space="preserve">, </w:t>
      </w:r>
      <w:r w:rsidR="004A5FCB" w:rsidRPr="00066E7D">
        <w:rPr>
          <w:rFonts w:asciiTheme="majorHAnsi" w:hAnsiTheme="majorHAnsi"/>
          <w:bCs/>
          <w:sz w:val="20"/>
          <w:szCs w:val="20"/>
          <w:lang w:val="es-ES_tradnl"/>
        </w:rPr>
        <w:t>y</w:t>
      </w:r>
      <w:r w:rsidR="007041AC" w:rsidRPr="00066E7D">
        <w:rPr>
          <w:rFonts w:asciiTheme="majorHAnsi" w:hAnsiTheme="majorHAnsi"/>
          <w:bCs/>
          <w:sz w:val="20"/>
          <w:szCs w:val="20"/>
          <w:lang w:val="es-ES_tradnl"/>
        </w:rPr>
        <w:t>, por</w:t>
      </w:r>
      <w:r w:rsidR="00360B08" w:rsidRPr="00066E7D">
        <w:rPr>
          <w:rFonts w:asciiTheme="majorHAnsi" w:hAnsiTheme="majorHAnsi"/>
          <w:bCs/>
          <w:sz w:val="20"/>
          <w:szCs w:val="20"/>
          <w:lang w:val="es-ES_tradnl"/>
        </w:rPr>
        <w:t xml:space="preserve"> lo tanto, se </w:t>
      </w:r>
      <w:r w:rsidR="000E62C1" w:rsidRPr="00066E7D">
        <w:rPr>
          <w:rFonts w:asciiTheme="majorHAnsi" w:hAnsiTheme="majorHAnsi"/>
          <w:bCs/>
          <w:sz w:val="20"/>
          <w:szCs w:val="20"/>
          <w:lang w:val="es-ES_tradnl"/>
        </w:rPr>
        <w:t xml:space="preserve">aplicaría </w:t>
      </w:r>
      <w:r w:rsidR="004A5FCB" w:rsidRPr="00066E7D">
        <w:rPr>
          <w:rFonts w:asciiTheme="majorHAnsi" w:hAnsiTheme="majorHAnsi"/>
          <w:bCs/>
          <w:sz w:val="20"/>
          <w:szCs w:val="20"/>
          <w:lang w:val="es-ES_tradnl"/>
        </w:rPr>
        <w:t xml:space="preserve">lo dispuesto </w:t>
      </w:r>
      <w:r w:rsidR="00360B08" w:rsidRPr="00066E7D">
        <w:rPr>
          <w:rFonts w:asciiTheme="majorHAnsi" w:hAnsiTheme="majorHAnsi"/>
          <w:bCs/>
          <w:sz w:val="20"/>
          <w:szCs w:val="20"/>
          <w:lang w:val="es-ES_tradnl"/>
        </w:rPr>
        <w:t>el artículo 47</w:t>
      </w:r>
      <w:r w:rsidR="000E62C1" w:rsidRPr="00066E7D">
        <w:rPr>
          <w:rFonts w:asciiTheme="majorHAnsi" w:hAnsiTheme="majorHAnsi"/>
          <w:bCs/>
          <w:sz w:val="20"/>
          <w:szCs w:val="20"/>
          <w:lang w:val="es-ES_tradnl"/>
        </w:rPr>
        <w:t>.b</w:t>
      </w:r>
      <w:r w:rsidR="00FB6DB5" w:rsidRPr="00066E7D">
        <w:rPr>
          <w:rFonts w:asciiTheme="majorHAnsi" w:hAnsiTheme="majorHAnsi"/>
          <w:bCs/>
          <w:sz w:val="20"/>
          <w:szCs w:val="20"/>
          <w:lang w:val="es-ES_tradnl"/>
        </w:rPr>
        <w:t>) de la Convención.</w:t>
      </w:r>
    </w:p>
    <w:p w14:paraId="5E4696AD" w14:textId="455E78C8" w:rsidR="008F5736" w:rsidRPr="00066E7D" w:rsidRDefault="006C67DA" w:rsidP="00933776">
      <w:pPr>
        <w:spacing w:before="240" w:after="240"/>
        <w:ind w:firstLine="720"/>
        <w:jc w:val="both"/>
        <w:rPr>
          <w:rFonts w:asciiTheme="majorHAnsi" w:hAnsiTheme="majorHAnsi"/>
          <w:bCs/>
          <w:sz w:val="20"/>
          <w:szCs w:val="20"/>
          <w:lang w:val="es-ES_tradnl"/>
        </w:rPr>
      </w:pPr>
      <w:r w:rsidRPr="00066E7D">
        <w:rPr>
          <w:rFonts w:asciiTheme="majorHAnsi" w:hAnsiTheme="majorHAnsi"/>
          <w:bCs/>
          <w:sz w:val="20"/>
          <w:szCs w:val="20"/>
          <w:lang w:val="es-ES_tradnl"/>
        </w:rPr>
        <w:lastRenderedPageBreak/>
        <w:t>12</w:t>
      </w:r>
      <w:r w:rsidR="00360B08" w:rsidRPr="00066E7D">
        <w:rPr>
          <w:rFonts w:asciiTheme="majorHAnsi" w:hAnsiTheme="majorHAnsi"/>
          <w:bCs/>
          <w:sz w:val="20"/>
          <w:szCs w:val="20"/>
          <w:lang w:val="es-ES_tradnl"/>
        </w:rPr>
        <w:t>.</w:t>
      </w:r>
      <w:r w:rsidRPr="00066E7D">
        <w:rPr>
          <w:rFonts w:asciiTheme="majorHAnsi" w:hAnsiTheme="majorHAnsi"/>
          <w:bCs/>
          <w:sz w:val="20"/>
          <w:szCs w:val="20"/>
          <w:lang w:val="es-ES_tradnl"/>
        </w:rPr>
        <w:tab/>
      </w:r>
      <w:r w:rsidR="007041AC" w:rsidRPr="00066E7D">
        <w:rPr>
          <w:rFonts w:asciiTheme="majorHAnsi" w:hAnsiTheme="majorHAnsi"/>
          <w:bCs/>
          <w:sz w:val="20"/>
          <w:szCs w:val="20"/>
          <w:lang w:val="es-ES_tradnl"/>
        </w:rPr>
        <w:t>Finalmente</w:t>
      </w:r>
      <w:r w:rsidR="00A211A5" w:rsidRPr="00066E7D">
        <w:rPr>
          <w:rFonts w:asciiTheme="majorHAnsi" w:hAnsiTheme="majorHAnsi"/>
          <w:bCs/>
          <w:sz w:val="20"/>
          <w:szCs w:val="20"/>
          <w:lang w:val="es-ES_tradnl"/>
        </w:rPr>
        <w:t>,</w:t>
      </w:r>
      <w:r w:rsidR="00933776" w:rsidRPr="00066E7D">
        <w:rPr>
          <w:rFonts w:asciiTheme="majorHAnsi" w:hAnsiTheme="majorHAnsi"/>
          <w:bCs/>
          <w:sz w:val="20"/>
          <w:szCs w:val="20"/>
          <w:lang w:val="es-ES_tradnl"/>
        </w:rPr>
        <w:t xml:space="preserve"> </w:t>
      </w:r>
      <w:r w:rsidR="00360B08" w:rsidRPr="00066E7D">
        <w:rPr>
          <w:rFonts w:asciiTheme="majorHAnsi" w:hAnsiTheme="majorHAnsi"/>
          <w:bCs/>
          <w:sz w:val="20"/>
          <w:szCs w:val="20"/>
          <w:lang w:val="es-ES_tradnl"/>
        </w:rPr>
        <w:t xml:space="preserve">alega que </w:t>
      </w:r>
      <w:r w:rsidR="00FB283F" w:rsidRPr="00066E7D">
        <w:rPr>
          <w:rFonts w:asciiTheme="majorHAnsi" w:hAnsiTheme="majorHAnsi"/>
          <w:bCs/>
          <w:sz w:val="20"/>
          <w:szCs w:val="20"/>
          <w:lang w:val="es-ES_tradnl"/>
        </w:rPr>
        <w:t>el caso fue resuelto en sede interna</w:t>
      </w:r>
      <w:r w:rsidR="00933776" w:rsidRPr="00066E7D">
        <w:rPr>
          <w:rFonts w:asciiTheme="majorHAnsi" w:hAnsiTheme="majorHAnsi"/>
          <w:bCs/>
          <w:sz w:val="20"/>
          <w:szCs w:val="20"/>
          <w:lang w:val="es-ES_tradnl"/>
        </w:rPr>
        <w:t xml:space="preserve">, </w:t>
      </w:r>
      <w:r w:rsidR="00FB283F" w:rsidRPr="00066E7D">
        <w:rPr>
          <w:rFonts w:asciiTheme="majorHAnsi" w:hAnsiTheme="majorHAnsi"/>
          <w:bCs/>
          <w:sz w:val="20"/>
          <w:szCs w:val="20"/>
          <w:lang w:val="es-ES_tradnl"/>
        </w:rPr>
        <w:t xml:space="preserve">decisión </w:t>
      </w:r>
      <w:r w:rsidR="00933776" w:rsidRPr="00066E7D">
        <w:rPr>
          <w:rFonts w:asciiTheme="majorHAnsi" w:hAnsiTheme="majorHAnsi"/>
          <w:bCs/>
          <w:sz w:val="20"/>
          <w:szCs w:val="20"/>
          <w:lang w:val="es-ES_tradnl"/>
        </w:rPr>
        <w:t xml:space="preserve">que </w:t>
      </w:r>
      <w:r w:rsidR="00FB283F" w:rsidRPr="00066E7D">
        <w:rPr>
          <w:rFonts w:asciiTheme="majorHAnsi" w:hAnsiTheme="majorHAnsi"/>
          <w:bCs/>
          <w:sz w:val="20"/>
          <w:szCs w:val="20"/>
          <w:lang w:val="es-ES_tradnl"/>
        </w:rPr>
        <w:t xml:space="preserve">se </w:t>
      </w:r>
      <w:r w:rsidR="00933776" w:rsidRPr="00066E7D">
        <w:rPr>
          <w:rFonts w:asciiTheme="majorHAnsi" w:hAnsiTheme="majorHAnsi"/>
          <w:bCs/>
          <w:sz w:val="20"/>
          <w:szCs w:val="20"/>
          <w:lang w:val="es-ES_tradnl"/>
        </w:rPr>
        <w:t>encuentra</w:t>
      </w:r>
      <w:r w:rsidR="00FB283F" w:rsidRPr="00066E7D">
        <w:rPr>
          <w:rFonts w:asciiTheme="majorHAnsi" w:hAnsiTheme="majorHAnsi"/>
          <w:bCs/>
          <w:sz w:val="20"/>
          <w:szCs w:val="20"/>
          <w:lang w:val="es-ES_tradnl"/>
        </w:rPr>
        <w:t xml:space="preserve"> cobijada por el principio de cosa juzgada, </w:t>
      </w:r>
      <w:r w:rsidR="007041AC" w:rsidRPr="00066E7D">
        <w:rPr>
          <w:rFonts w:asciiTheme="majorHAnsi" w:hAnsiTheme="majorHAnsi"/>
          <w:bCs/>
          <w:sz w:val="20"/>
          <w:szCs w:val="20"/>
          <w:lang w:val="es-ES_tradnl"/>
        </w:rPr>
        <w:t>por ende</w:t>
      </w:r>
      <w:r w:rsidR="00D24DC7" w:rsidRPr="00066E7D">
        <w:rPr>
          <w:rFonts w:asciiTheme="majorHAnsi" w:hAnsiTheme="majorHAnsi"/>
          <w:bCs/>
          <w:sz w:val="20"/>
          <w:szCs w:val="20"/>
          <w:lang w:val="es-ES_tradnl"/>
        </w:rPr>
        <w:t>,</w:t>
      </w:r>
      <w:r w:rsidR="00933776" w:rsidRPr="00066E7D">
        <w:rPr>
          <w:rFonts w:asciiTheme="majorHAnsi" w:hAnsiTheme="majorHAnsi"/>
          <w:bCs/>
          <w:sz w:val="20"/>
          <w:szCs w:val="20"/>
          <w:lang w:val="es-ES_tradnl"/>
        </w:rPr>
        <w:t xml:space="preserve"> </w:t>
      </w:r>
      <w:r w:rsidR="00FB283F" w:rsidRPr="00066E7D">
        <w:rPr>
          <w:rFonts w:asciiTheme="majorHAnsi" w:hAnsiTheme="majorHAnsi"/>
          <w:bCs/>
          <w:sz w:val="20"/>
          <w:szCs w:val="20"/>
          <w:lang w:val="es-ES_tradnl"/>
        </w:rPr>
        <w:t>si la Comisión llegara a conocer del presente caso, se configuraría</w:t>
      </w:r>
      <w:r w:rsidR="00360B08" w:rsidRPr="00066E7D">
        <w:rPr>
          <w:rFonts w:asciiTheme="majorHAnsi" w:hAnsiTheme="majorHAnsi"/>
          <w:bCs/>
          <w:sz w:val="20"/>
          <w:szCs w:val="20"/>
          <w:lang w:val="es-ES_tradnl"/>
        </w:rPr>
        <w:t xml:space="preserve"> la </w:t>
      </w:r>
      <w:r w:rsidR="00FB283F" w:rsidRPr="00066E7D">
        <w:rPr>
          <w:rFonts w:asciiTheme="majorHAnsi" w:hAnsiTheme="majorHAnsi"/>
          <w:bCs/>
          <w:sz w:val="20"/>
          <w:szCs w:val="20"/>
          <w:lang w:val="es-ES_tradnl"/>
        </w:rPr>
        <w:t xml:space="preserve">fórmula de la </w:t>
      </w:r>
      <w:r w:rsidR="00360B08" w:rsidRPr="00066E7D">
        <w:rPr>
          <w:rFonts w:asciiTheme="majorHAnsi" w:hAnsiTheme="majorHAnsi"/>
          <w:bCs/>
          <w:sz w:val="20"/>
          <w:szCs w:val="20"/>
          <w:lang w:val="es-ES_tradnl"/>
        </w:rPr>
        <w:t>cuarta instancia</w:t>
      </w:r>
      <w:r w:rsidR="00933776" w:rsidRPr="00066E7D">
        <w:rPr>
          <w:rFonts w:asciiTheme="majorHAnsi" w:hAnsiTheme="majorHAnsi"/>
          <w:bCs/>
          <w:sz w:val="20"/>
          <w:szCs w:val="20"/>
          <w:lang w:val="es-ES_tradnl"/>
        </w:rPr>
        <w:t xml:space="preserve">. Concluye que </w:t>
      </w:r>
      <w:r w:rsidR="002F51EE" w:rsidRPr="00066E7D">
        <w:rPr>
          <w:rFonts w:asciiTheme="majorHAnsi" w:hAnsiTheme="majorHAnsi"/>
          <w:bCs/>
          <w:sz w:val="20"/>
          <w:szCs w:val="20"/>
          <w:lang w:val="es-ES_tradnl"/>
        </w:rPr>
        <w:t xml:space="preserve">la petición fue presentada extemporáneamente porque el caso fue resuelto de manera definitiva el 18 de enero de 2008 con la decisión de la Sala de Casación Laboral de la Corte Suprema de </w:t>
      </w:r>
      <w:r w:rsidR="00F83B4A" w:rsidRPr="00066E7D">
        <w:rPr>
          <w:rFonts w:asciiTheme="majorHAnsi" w:hAnsiTheme="majorHAnsi"/>
          <w:bCs/>
          <w:sz w:val="20"/>
          <w:szCs w:val="20"/>
          <w:lang w:val="es-ES_tradnl"/>
        </w:rPr>
        <w:t>Justicia, por</w:t>
      </w:r>
      <w:r w:rsidR="00933776" w:rsidRPr="00066E7D">
        <w:rPr>
          <w:rFonts w:asciiTheme="majorHAnsi" w:hAnsiTheme="majorHAnsi"/>
          <w:bCs/>
          <w:sz w:val="20"/>
          <w:szCs w:val="20"/>
          <w:lang w:val="es-ES_tradnl"/>
        </w:rPr>
        <w:t>que</w:t>
      </w:r>
      <w:r w:rsidR="002F51EE" w:rsidRPr="00066E7D">
        <w:rPr>
          <w:rFonts w:asciiTheme="majorHAnsi" w:hAnsiTheme="majorHAnsi"/>
          <w:bCs/>
          <w:sz w:val="20"/>
          <w:szCs w:val="20"/>
          <w:lang w:val="es-ES_tradnl"/>
        </w:rPr>
        <w:t xml:space="preserve"> los recursos presentados con posterioridad </w:t>
      </w:r>
      <w:r w:rsidR="00F83B4A" w:rsidRPr="00066E7D">
        <w:rPr>
          <w:rFonts w:asciiTheme="majorHAnsi" w:hAnsiTheme="majorHAnsi"/>
          <w:bCs/>
          <w:sz w:val="20"/>
          <w:szCs w:val="20"/>
          <w:lang w:val="es-ES_tradnl"/>
        </w:rPr>
        <w:t>fueron</w:t>
      </w:r>
      <w:r w:rsidR="002F51EE" w:rsidRPr="00066E7D">
        <w:rPr>
          <w:rFonts w:asciiTheme="majorHAnsi" w:hAnsiTheme="majorHAnsi"/>
          <w:bCs/>
          <w:sz w:val="20"/>
          <w:szCs w:val="20"/>
          <w:lang w:val="es-ES_tradnl"/>
        </w:rPr>
        <w:t xml:space="preserve"> </w:t>
      </w:r>
      <w:r w:rsidR="00D24DC7" w:rsidRPr="00066E7D">
        <w:rPr>
          <w:rFonts w:asciiTheme="majorHAnsi" w:hAnsiTheme="majorHAnsi"/>
          <w:bCs/>
          <w:sz w:val="20"/>
          <w:szCs w:val="20"/>
          <w:lang w:val="es-ES_tradnl"/>
        </w:rPr>
        <w:t xml:space="preserve">un </w:t>
      </w:r>
      <w:r w:rsidR="002F51EE" w:rsidRPr="00066E7D">
        <w:rPr>
          <w:rFonts w:asciiTheme="majorHAnsi" w:hAnsiTheme="majorHAnsi"/>
          <w:bCs/>
          <w:sz w:val="20"/>
          <w:szCs w:val="20"/>
          <w:lang w:val="es-ES_tradnl"/>
        </w:rPr>
        <w:t>ejercicio abusivo del derecho al acceso a la justicia</w:t>
      </w:r>
      <w:r w:rsidR="00D24DC7" w:rsidRPr="00066E7D">
        <w:rPr>
          <w:rFonts w:asciiTheme="majorHAnsi" w:hAnsiTheme="majorHAnsi"/>
          <w:bCs/>
          <w:sz w:val="20"/>
          <w:szCs w:val="20"/>
          <w:lang w:val="es-ES_tradnl"/>
        </w:rPr>
        <w:t>.</w:t>
      </w:r>
      <w:r w:rsidR="002F51EE" w:rsidRPr="00066E7D">
        <w:rPr>
          <w:rFonts w:asciiTheme="majorHAnsi" w:hAnsiTheme="majorHAnsi"/>
          <w:bCs/>
          <w:sz w:val="20"/>
          <w:szCs w:val="20"/>
          <w:lang w:val="es-ES_tradnl"/>
        </w:rPr>
        <w:t xml:space="preserve"> </w:t>
      </w:r>
      <w:r w:rsidR="00F83B4A" w:rsidRPr="00066E7D">
        <w:rPr>
          <w:rFonts w:asciiTheme="majorHAnsi" w:hAnsiTheme="majorHAnsi"/>
          <w:bCs/>
          <w:sz w:val="20"/>
          <w:szCs w:val="20"/>
          <w:lang w:val="es-ES_tradnl"/>
        </w:rPr>
        <w:t>De este modo</w:t>
      </w:r>
      <w:r w:rsidR="002F51EE" w:rsidRPr="00066E7D">
        <w:rPr>
          <w:rFonts w:asciiTheme="majorHAnsi" w:hAnsiTheme="majorHAnsi"/>
          <w:bCs/>
          <w:sz w:val="20"/>
          <w:szCs w:val="20"/>
          <w:lang w:val="es-ES_tradnl"/>
        </w:rPr>
        <w:t>,</w:t>
      </w:r>
      <w:r w:rsidR="00D5166C" w:rsidRPr="00066E7D">
        <w:rPr>
          <w:rFonts w:asciiTheme="majorHAnsi" w:hAnsiTheme="majorHAnsi"/>
          <w:bCs/>
          <w:sz w:val="20"/>
          <w:szCs w:val="20"/>
          <w:lang w:val="es-ES_tradnl"/>
        </w:rPr>
        <w:t xml:space="preserve"> no se cumple con </w:t>
      </w:r>
      <w:r w:rsidR="002F51EE" w:rsidRPr="00066E7D">
        <w:rPr>
          <w:rFonts w:asciiTheme="majorHAnsi" w:hAnsiTheme="majorHAnsi"/>
          <w:bCs/>
          <w:sz w:val="20"/>
          <w:szCs w:val="20"/>
          <w:lang w:val="es-ES_tradnl"/>
        </w:rPr>
        <w:t xml:space="preserve">lo dispuesto en el artículo 46.b) de la Convención porque la petición fue presentada el 22 de diciembre de 2009, lo que es equivalente a un año y once meses después del fallo. </w:t>
      </w:r>
    </w:p>
    <w:p w14:paraId="51F68C92" w14:textId="77777777" w:rsidR="003239B8" w:rsidRPr="00066E7D" w:rsidRDefault="003239B8" w:rsidP="003239B8">
      <w:pPr>
        <w:spacing w:before="240" w:after="240"/>
        <w:ind w:firstLine="720"/>
        <w:jc w:val="both"/>
        <w:rPr>
          <w:rFonts w:ascii="Cambria" w:hAnsi="Cambria"/>
          <w:sz w:val="20"/>
          <w:szCs w:val="20"/>
          <w:lang w:val="es-ES_tradnl"/>
        </w:rPr>
      </w:pPr>
      <w:r w:rsidRPr="00066E7D">
        <w:rPr>
          <w:rFonts w:asciiTheme="majorHAnsi" w:eastAsia="Cambria" w:hAnsiTheme="majorHAnsi" w:cs="Cambria"/>
          <w:b/>
          <w:bCs/>
          <w:color w:val="000000"/>
          <w:sz w:val="20"/>
          <w:szCs w:val="20"/>
          <w:u w:color="000000"/>
          <w:lang w:val="es-ES_tradnl" w:eastAsia="es-ES"/>
        </w:rPr>
        <w:t>VI.</w:t>
      </w:r>
      <w:r w:rsidRPr="00066E7D">
        <w:rPr>
          <w:rFonts w:asciiTheme="majorHAnsi" w:eastAsia="Cambria" w:hAnsiTheme="majorHAnsi" w:cs="Cambria"/>
          <w:b/>
          <w:bCs/>
          <w:color w:val="000000"/>
          <w:sz w:val="20"/>
          <w:szCs w:val="20"/>
          <w:u w:color="000000"/>
          <w:lang w:val="es-ES_tradnl" w:eastAsia="es-ES"/>
        </w:rPr>
        <w:tab/>
      </w:r>
      <w:r w:rsidR="004A6A54" w:rsidRPr="00066E7D">
        <w:rPr>
          <w:rFonts w:asciiTheme="majorHAnsi" w:hAnsiTheme="majorHAnsi"/>
          <w:b/>
          <w:bCs/>
          <w:sz w:val="20"/>
          <w:szCs w:val="20"/>
          <w:lang w:val="es-ES_tradnl"/>
        </w:rPr>
        <w:t xml:space="preserve">ANÁLISIS DE </w:t>
      </w:r>
      <w:r w:rsidR="00C21FEF" w:rsidRPr="00066E7D">
        <w:rPr>
          <w:rFonts w:asciiTheme="majorHAnsi" w:hAnsiTheme="majorHAnsi"/>
          <w:b/>
          <w:sz w:val="20"/>
          <w:szCs w:val="20"/>
          <w:lang w:val="es-ES_tradnl"/>
        </w:rPr>
        <w:t>AGOTAMIENTO DE LOS RECURSOS INTERNOS Y PLAZO DE PRESENTACIÓN</w:t>
      </w:r>
      <w:r w:rsidR="00C21FEF" w:rsidRPr="00066E7D">
        <w:rPr>
          <w:rFonts w:asciiTheme="majorHAnsi" w:eastAsia="Cambria" w:hAnsiTheme="majorHAnsi" w:cs="Cambria"/>
          <w:b/>
          <w:bCs/>
          <w:color w:val="000000"/>
          <w:sz w:val="20"/>
          <w:szCs w:val="20"/>
          <w:u w:color="000000"/>
          <w:lang w:val="es-ES_tradnl" w:eastAsia="es-ES"/>
        </w:rPr>
        <w:t xml:space="preserve"> </w:t>
      </w:r>
    </w:p>
    <w:p w14:paraId="2141C419" w14:textId="11A45A9D" w:rsidR="00513260" w:rsidRPr="00066E7D" w:rsidRDefault="006C67DA" w:rsidP="00FA45C8">
      <w:pPr>
        <w:suppressAutoHyphens/>
        <w:spacing w:after="240"/>
        <w:ind w:firstLine="720"/>
        <w:jc w:val="both"/>
        <w:rPr>
          <w:rFonts w:asciiTheme="majorHAnsi" w:hAnsiTheme="majorHAnsi"/>
          <w:sz w:val="20"/>
          <w:szCs w:val="20"/>
          <w:lang w:val="es-ES_tradnl"/>
        </w:rPr>
      </w:pPr>
      <w:r w:rsidRPr="00066E7D">
        <w:rPr>
          <w:rFonts w:asciiTheme="majorHAnsi" w:hAnsiTheme="majorHAnsi"/>
          <w:sz w:val="20"/>
          <w:szCs w:val="20"/>
          <w:lang w:val="es-ES_tradnl"/>
        </w:rPr>
        <w:t>13</w:t>
      </w:r>
      <w:r w:rsidR="00513260" w:rsidRPr="00066E7D">
        <w:rPr>
          <w:rFonts w:asciiTheme="majorHAnsi" w:hAnsiTheme="majorHAnsi"/>
          <w:sz w:val="20"/>
          <w:szCs w:val="20"/>
          <w:lang w:val="es-ES_tradnl"/>
        </w:rPr>
        <w:t>.</w:t>
      </w:r>
      <w:r w:rsidR="00513260" w:rsidRPr="00066E7D">
        <w:rPr>
          <w:rFonts w:asciiTheme="majorHAnsi" w:hAnsiTheme="majorHAnsi"/>
          <w:sz w:val="20"/>
          <w:szCs w:val="20"/>
          <w:lang w:val="es-ES_tradnl"/>
        </w:rPr>
        <w:tab/>
        <w:t>El peticionario sostiene que agotó todos los recursos internos</w:t>
      </w:r>
      <w:r w:rsidR="00C83CEC" w:rsidRPr="00066E7D">
        <w:rPr>
          <w:rFonts w:asciiTheme="majorHAnsi" w:hAnsiTheme="majorHAnsi"/>
          <w:sz w:val="20"/>
          <w:szCs w:val="20"/>
          <w:lang w:val="es-ES_tradnl"/>
        </w:rPr>
        <w:t xml:space="preserve"> con </w:t>
      </w:r>
      <w:r w:rsidR="00345A9B" w:rsidRPr="00066E7D">
        <w:rPr>
          <w:rFonts w:asciiTheme="majorHAnsi" w:hAnsiTheme="majorHAnsi"/>
          <w:sz w:val="20"/>
          <w:szCs w:val="20"/>
          <w:lang w:val="es-ES_tradnl"/>
        </w:rPr>
        <w:t xml:space="preserve">la acción de tutela </w:t>
      </w:r>
      <w:r w:rsidR="008B05A8" w:rsidRPr="00066E7D">
        <w:rPr>
          <w:rFonts w:asciiTheme="majorHAnsi" w:hAnsiTheme="majorHAnsi"/>
          <w:bCs/>
          <w:sz w:val="20"/>
          <w:szCs w:val="20"/>
          <w:lang w:val="es-ES_tradnl"/>
        </w:rPr>
        <w:t>contra el Juez Penal del Circuito de Manizales,</w:t>
      </w:r>
      <w:r w:rsidR="00C83CEC" w:rsidRPr="00066E7D">
        <w:rPr>
          <w:rFonts w:asciiTheme="majorHAnsi" w:hAnsiTheme="majorHAnsi"/>
          <w:bCs/>
          <w:sz w:val="20"/>
          <w:szCs w:val="20"/>
          <w:lang w:val="es-ES_tradnl"/>
        </w:rPr>
        <w:t xml:space="preserve"> que fue resuelta el 16 de febrero de 2012 por la Corte Suprema de Justicia</w:t>
      </w:r>
      <w:r w:rsidR="00ED60B8" w:rsidRPr="00066E7D">
        <w:rPr>
          <w:rFonts w:asciiTheme="majorHAnsi" w:hAnsiTheme="majorHAnsi"/>
          <w:bCs/>
          <w:sz w:val="20"/>
          <w:szCs w:val="20"/>
          <w:lang w:val="es-ES_tradnl"/>
        </w:rPr>
        <w:t xml:space="preserve">. </w:t>
      </w:r>
      <w:r w:rsidR="009D252F" w:rsidRPr="00066E7D">
        <w:rPr>
          <w:rFonts w:asciiTheme="majorHAnsi" w:hAnsiTheme="majorHAnsi"/>
          <w:sz w:val="20"/>
          <w:szCs w:val="20"/>
          <w:lang w:val="es-ES_tradnl"/>
        </w:rPr>
        <w:t>Así</w:t>
      </w:r>
      <w:r w:rsidR="008F7562" w:rsidRPr="00066E7D">
        <w:rPr>
          <w:rFonts w:asciiTheme="majorHAnsi" w:hAnsiTheme="majorHAnsi"/>
          <w:sz w:val="20"/>
          <w:szCs w:val="20"/>
          <w:lang w:val="es-ES_tradnl"/>
        </w:rPr>
        <w:t xml:space="preserve">, </w:t>
      </w:r>
      <w:r w:rsidR="009D252F" w:rsidRPr="00066E7D">
        <w:rPr>
          <w:rFonts w:asciiTheme="majorHAnsi" w:hAnsiTheme="majorHAnsi"/>
          <w:sz w:val="20"/>
          <w:szCs w:val="20"/>
          <w:lang w:val="es-ES_tradnl"/>
        </w:rPr>
        <w:t xml:space="preserve">como </w:t>
      </w:r>
      <w:r w:rsidR="00ED60B8" w:rsidRPr="00066E7D">
        <w:rPr>
          <w:rFonts w:asciiTheme="majorHAnsi" w:hAnsiTheme="majorHAnsi"/>
          <w:sz w:val="20"/>
          <w:szCs w:val="20"/>
          <w:lang w:val="es-ES_tradnl"/>
        </w:rPr>
        <w:t xml:space="preserve">con los </w:t>
      </w:r>
      <w:r w:rsidR="00CB2582" w:rsidRPr="00066E7D">
        <w:rPr>
          <w:rFonts w:asciiTheme="majorHAnsi" w:hAnsiTheme="majorHAnsi"/>
          <w:sz w:val="20"/>
          <w:szCs w:val="20"/>
          <w:lang w:val="es-ES_tradnl"/>
        </w:rPr>
        <w:t xml:space="preserve">incidentes de desacato y derechos de petición </w:t>
      </w:r>
      <w:r w:rsidR="009D252F" w:rsidRPr="00066E7D">
        <w:rPr>
          <w:rFonts w:asciiTheme="majorHAnsi" w:hAnsiTheme="majorHAnsi"/>
          <w:sz w:val="20"/>
          <w:szCs w:val="20"/>
          <w:lang w:val="es-ES_tradnl"/>
        </w:rPr>
        <w:t xml:space="preserve">que fueron negados </w:t>
      </w:r>
      <w:r w:rsidR="00ED60B8" w:rsidRPr="00066E7D">
        <w:rPr>
          <w:rFonts w:asciiTheme="majorHAnsi" w:hAnsiTheme="majorHAnsi"/>
          <w:sz w:val="20"/>
          <w:szCs w:val="20"/>
          <w:lang w:val="es-ES_tradnl"/>
        </w:rPr>
        <w:t xml:space="preserve">luego de ser </w:t>
      </w:r>
      <w:r w:rsidR="009D252F" w:rsidRPr="00066E7D">
        <w:rPr>
          <w:rFonts w:asciiTheme="majorHAnsi" w:hAnsiTheme="majorHAnsi"/>
          <w:sz w:val="20"/>
          <w:szCs w:val="20"/>
          <w:lang w:val="es-ES_tradnl"/>
        </w:rPr>
        <w:t xml:space="preserve">sancionado por temeridad. Por su parte, el Estado sostiene que la petición fue presentada extemporáneamente porque </w:t>
      </w:r>
      <w:r w:rsidR="00707D68" w:rsidRPr="00066E7D">
        <w:rPr>
          <w:rFonts w:asciiTheme="majorHAnsi" w:hAnsiTheme="majorHAnsi"/>
          <w:sz w:val="20"/>
          <w:szCs w:val="20"/>
          <w:lang w:val="es-ES_tradnl"/>
        </w:rPr>
        <w:t xml:space="preserve">la decisión definitiva fue emitida el 18 de enero de 2008 por la Sala de Casación Laboral de la Corte Suprema de Justicia, </w:t>
      </w:r>
      <w:r w:rsidR="00ED60B8" w:rsidRPr="00066E7D">
        <w:rPr>
          <w:rFonts w:asciiTheme="majorHAnsi" w:hAnsiTheme="majorHAnsi"/>
          <w:sz w:val="20"/>
          <w:szCs w:val="20"/>
          <w:lang w:val="es-ES_tradnl"/>
        </w:rPr>
        <w:t xml:space="preserve">y </w:t>
      </w:r>
      <w:r w:rsidR="001D1082" w:rsidRPr="00066E7D">
        <w:rPr>
          <w:rFonts w:asciiTheme="majorHAnsi" w:hAnsiTheme="majorHAnsi"/>
          <w:sz w:val="20"/>
          <w:szCs w:val="20"/>
          <w:lang w:val="es-ES_tradnl"/>
        </w:rPr>
        <w:t xml:space="preserve">resaltó que los recursos presentados con posterioridad </w:t>
      </w:r>
      <w:r w:rsidR="00ED60B8" w:rsidRPr="00066E7D">
        <w:rPr>
          <w:rFonts w:asciiTheme="majorHAnsi" w:hAnsiTheme="majorHAnsi"/>
          <w:sz w:val="20"/>
          <w:szCs w:val="20"/>
          <w:lang w:val="es-ES_tradnl"/>
        </w:rPr>
        <w:t>fueron</w:t>
      </w:r>
      <w:r w:rsidR="001D1082" w:rsidRPr="00066E7D">
        <w:rPr>
          <w:rFonts w:asciiTheme="majorHAnsi" w:hAnsiTheme="majorHAnsi"/>
          <w:sz w:val="20"/>
          <w:szCs w:val="20"/>
          <w:lang w:val="es-ES_tradnl"/>
        </w:rPr>
        <w:t xml:space="preserve"> </w:t>
      </w:r>
      <w:r w:rsidR="00ED60B8" w:rsidRPr="00066E7D">
        <w:rPr>
          <w:rFonts w:asciiTheme="majorHAnsi" w:hAnsiTheme="majorHAnsi"/>
          <w:sz w:val="20"/>
          <w:szCs w:val="20"/>
          <w:lang w:val="es-ES_tradnl"/>
        </w:rPr>
        <w:t xml:space="preserve">presentados </w:t>
      </w:r>
      <w:r w:rsidR="00FA45C8" w:rsidRPr="00066E7D">
        <w:rPr>
          <w:rFonts w:asciiTheme="majorHAnsi" w:hAnsiTheme="majorHAnsi"/>
          <w:sz w:val="20"/>
          <w:szCs w:val="20"/>
          <w:lang w:val="es-ES_tradnl"/>
        </w:rPr>
        <w:t xml:space="preserve">haciendo un uso excesivo del acceso a la justicia. </w:t>
      </w:r>
      <w:r w:rsidR="001D1082" w:rsidRPr="00066E7D">
        <w:rPr>
          <w:rFonts w:asciiTheme="majorHAnsi" w:hAnsiTheme="majorHAnsi"/>
          <w:sz w:val="20"/>
          <w:szCs w:val="20"/>
          <w:lang w:val="es-ES_tradnl"/>
        </w:rPr>
        <w:t xml:space="preserve">Por lo </w:t>
      </w:r>
      <w:r w:rsidR="00450034" w:rsidRPr="00066E7D">
        <w:rPr>
          <w:rFonts w:asciiTheme="majorHAnsi" w:hAnsiTheme="majorHAnsi"/>
          <w:sz w:val="20"/>
          <w:szCs w:val="20"/>
          <w:lang w:val="es-ES_tradnl"/>
        </w:rPr>
        <w:t>cual</w:t>
      </w:r>
      <w:r w:rsidR="001D1082" w:rsidRPr="00066E7D">
        <w:rPr>
          <w:rFonts w:asciiTheme="majorHAnsi" w:hAnsiTheme="majorHAnsi"/>
          <w:sz w:val="20"/>
          <w:szCs w:val="20"/>
          <w:lang w:val="es-ES_tradnl"/>
        </w:rPr>
        <w:t>, no cumpliría con los requisitos establecidos en el artículo 46.b) de la Convención.</w:t>
      </w:r>
    </w:p>
    <w:p w14:paraId="4CEBFBAD" w14:textId="73D522CA" w:rsidR="009A22C6" w:rsidRPr="00066E7D" w:rsidRDefault="006C67DA" w:rsidP="00AF422F">
      <w:pPr>
        <w:suppressAutoHyphens/>
        <w:spacing w:after="240"/>
        <w:ind w:firstLine="720"/>
        <w:jc w:val="both"/>
        <w:rPr>
          <w:rFonts w:asciiTheme="majorHAnsi" w:hAnsiTheme="majorHAnsi"/>
          <w:sz w:val="20"/>
          <w:szCs w:val="20"/>
          <w:lang w:val="es-ES_tradnl"/>
        </w:rPr>
      </w:pPr>
      <w:r w:rsidRPr="00066E7D">
        <w:rPr>
          <w:rFonts w:asciiTheme="majorHAnsi" w:hAnsiTheme="majorHAnsi"/>
          <w:sz w:val="20"/>
          <w:szCs w:val="20"/>
          <w:lang w:val="es-ES_tradnl"/>
        </w:rPr>
        <w:t>14</w:t>
      </w:r>
      <w:r w:rsidR="002E6418" w:rsidRPr="00066E7D">
        <w:rPr>
          <w:rFonts w:asciiTheme="majorHAnsi" w:hAnsiTheme="majorHAnsi"/>
          <w:sz w:val="20"/>
          <w:szCs w:val="20"/>
          <w:lang w:val="es-ES_tradnl"/>
        </w:rPr>
        <w:t>.</w:t>
      </w:r>
      <w:r w:rsidR="002E6418" w:rsidRPr="00066E7D">
        <w:rPr>
          <w:rFonts w:asciiTheme="majorHAnsi" w:hAnsiTheme="majorHAnsi"/>
          <w:sz w:val="20"/>
          <w:szCs w:val="20"/>
          <w:lang w:val="es-ES_tradnl"/>
        </w:rPr>
        <w:tab/>
      </w:r>
      <w:r w:rsidR="003E7370" w:rsidRPr="00066E7D">
        <w:rPr>
          <w:rFonts w:asciiTheme="majorHAnsi" w:hAnsiTheme="majorHAnsi"/>
          <w:sz w:val="20"/>
          <w:szCs w:val="20"/>
          <w:lang w:val="es-ES_tradnl"/>
        </w:rPr>
        <w:t xml:space="preserve">La Comisión </w:t>
      </w:r>
      <w:r w:rsidR="00EA039B" w:rsidRPr="00066E7D">
        <w:rPr>
          <w:rFonts w:asciiTheme="majorHAnsi" w:hAnsiTheme="majorHAnsi"/>
          <w:sz w:val="20"/>
          <w:szCs w:val="20"/>
          <w:lang w:val="es-ES_tradnl"/>
        </w:rPr>
        <w:t xml:space="preserve">observa que </w:t>
      </w:r>
      <w:r w:rsidR="003244AA" w:rsidRPr="00066E7D">
        <w:rPr>
          <w:rFonts w:asciiTheme="majorHAnsi" w:hAnsiTheme="majorHAnsi"/>
          <w:sz w:val="20"/>
          <w:szCs w:val="20"/>
          <w:lang w:val="es-ES_tradnl"/>
        </w:rPr>
        <w:t>en el presente caso el peticionario optó por agotar los recursos internos extraordinarios</w:t>
      </w:r>
      <w:r w:rsidR="00FA45C8" w:rsidRPr="00066E7D">
        <w:rPr>
          <w:rFonts w:asciiTheme="majorHAnsi" w:hAnsiTheme="majorHAnsi"/>
          <w:sz w:val="20"/>
          <w:szCs w:val="20"/>
          <w:lang w:val="es-ES_tradnl"/>
        </w:rPr>
        <w:t xml:space="preserve"> </w:t>
      </w:r>
      <w:r w:rsidR="00C23C52" w:rsidRPr="00066E7D">
        <w:rPr>
          <w:rFonts w:asciiTheme="majorHAnsi" w:hAnsiTheme="majorHAnsi"/>
          <w:sz w:val="20"/>
          <w:szCs w:val="20"/>
          <w:lang w:val="es-ES_tradnl"/>
        </w:rPr>
        <w:t xml:space="preserve">al presentar </w:t>
      </w:r>
      <w:r w:rsidR="00540306" w:rsidRPr="00066E7D">
        <w:rPr>
          <w:rFonts w:asciiTheme="majorHAnsi" w:hAnsiTheme="majorHAnsi"/>
          <w:sz w:val="20"/>
          <w:szCs w:val="20"/>
          <w:lang w:val="es-ES_tradnl"/>
        </w:rPr>
        <w:t>la acción de tutela contra el Juez Penal del Circuito de Manizales, decidida el 16 de febrero de 2012 por la Corte Suprema de Justicia</w:t>
      </w:r>
      <w:r w:rsidR="00411225" w:rsidRPr="00066E7D">
        <w:rPr>
          <w:rFonts w:asciiTheme="majorHAnsi" w:hAnsiTheme="majorHAnsi"/>
          <w:sz w:val="20"/>
          <w:szCs w:val="20"/>
          <w:lang w:val="es-ES_tradnl"/>
        </w:rPr>
        <w:t xml:space="preserve">. </w:t>
      </w:r>
      <w:r w:rsidR="00A92BED" w:rsidRPr="00066E7D">
        <w:rPr>
          <w:rFonts w:asciiTheme="majorHAnsi" w:hAnsiTheme="majorHAnsi"/>
          <w:sz w:val="20"/>
          <w:szCs w:val="20"/>
          <w:lang w:val="es-ES_tradnl"/>
        </w:rPr>
        <w:t xml:space="preserve">Asimismo, la Comisión destaca que el Estado ha alegado la extemporaneidad de la denuncia, </w:t>
      </w:r>
      <w:r w:rsidR="00FA45C8" w:rsidRPr="00066E7D">
        <w:rPr>
          <w:rFonts w:asciiTheme="majorHAnsi" w:hAnsiTheme="majorHAnsi"/>
          <w:sz w:val="20"/>
          <w:szCs w:val="20"/>
          <w:lang w:val="es-ES_tradnl"/>
        </w:rPr>
        <w:t>al sostener</w:t>
      </w:r>
      <w:r w:rsidR="00A92BED" w:rsidRPr="00066E7D">
        <w:rPr>
          <w:rFonts w:asciiTheme="majorHAnsi" w:hAnsiTheme="majorHAnsi"/>
          <w:sz w:val="20"/>
          <w:szCs w:val="20"/>
          <w:lang w:val="es-ES_tradnl"/>
        </w:rPr>
        <w:t xml:space="preserve"> </w:t>
      </w:r>
      <w:r w:rsidR="00FA45C8" w:rsidRPr="00066E7D">
        <w:rPr>
          <w:rFonts w:asciiTheme="majorHAnsi" w:hAnsiTheme="majorHAnsi"/>
          <w:sz w:val="20"/>
          <w:szCs w:val="20"/>
          <w:lang w:val="es-ES_tradnl"/>
        </w:rPr>
        <w:t xml:space="preserve">que </w:t>
      </w:r>
      <w:r w:rsidR="00A92BED" w:rsidRPr="00066E7D">
        <w:rPr>
          <w:rFonts w:asciiTheme="majorHAnsi" w:hAnsiTheme="majorHAnsi"/>
          <w:sz w:val="20"/>
          <w:szCs w:val="20"/>
          <w:lang w:val="es-ES_tradnl"/>
        </w:rPr>
        <w:t xml:space="preserve">el momento procesal en el que </w:t>
      </w:r>
      <w:r w:rsidR="00FA45C8" w:rsidRPr="00066E7D">
        <w:rPr>
          <w:rFonts w:asciiTheme="majorHAnsi" w:hAnsiTheme="majorHAnsi"/>
          <w:sz w:val="20"/>
          <w:szCs w:val="20"/>
          <w:lang w:val="es-ES_tradnl"/>
        </w:rPr>
        <w:t xml:space="preserve">se </w:t>
      </w:r>
      <w:r w:rsidR="00A92BED" w:rsidRPr="00066E7D">
        <w:rPr>
          <w:rFonts w:asciiTheme="majorHAnsi" w:hAnsiTheme="majorHAnsi"/>
          <w:sz w:val="20"/>
          <w:szCs w:val="20"/>
          <w:lang w:val="es-ES_tradnl"/>
        </w:rPr>
        <w:t xml:space="preserve">cerró el debate </w:t>
      </w:r>
      <w:r w:rsidR="00096C13" w:rsidRPr="00066E7D">
        <w:rPr>
          <w:rFonts w:asciiTheme="majorHAnsi" w:hAnsiTheme="majorHAnsi"/>
          <w:sz w:val="20"/>
          <w:szCs w:val="20"/>
          <w:lang w:val="es-ES_tradnl"/>
        </w:rPr>
        <w:t xml:space="preserve">sobre el cumplimiento de la sentencia se produjo con la decisión de fecha 18 de enero de 2008, fecha en que </w:t>
      </w:r>
      <w:r w:rsidR="00AF422F" w:rsidRPr="00066E7D">
        <w:rPr>
          <w:rFonts w:asciiTheme="majorHAnsi" w:hAnsiTheme="majorHAnsi"/>
          <w:sz w:val="20"/>
          <w:szCs w:val="20"/>
          <w:lang w:val="es-ES_tradnl"/>
        </w:rPr>
        <w:t xml:space="preserve">la </w:t>
      </w:r>
      <w:r w:rsidR="00AF422F" w:rsidRPr="00066E7D">
        <w:rPr>
          <w:rFonts w:asciiTheme="majorHAnsi" w:hAnsiTheme="majorHAnsi"/>
          <w:bCs/>
          <w:sz w:val="20"/>
          <w:szCs w:val="20"/>
          <w:lang w:val="es-ES_tradnl"/>
        </w:rPr>
        <w:t>Sala Laboral de la Corte Suprema de Justicia</w:t>
      </w:r>
      <w:r w:rsidR="00AF422F" w:rsidRPr="00066E7D">
        <w:rPr>
          <w:rFonts w:asciiTheme="majorHAnsi" w:hAnsiTheme="majorHAnsi"/>
          <w:sz w:val="20"/>
          <w:szCs w:val="20"/>
          <w:lang w:val="es-ES_tradnl"/>
        </w:rPr>
        <w:t xml:space="preserve"> </w:t>
      </w:r>
      <w:r w:rsidR="00096C13" w:rsidRPr="00066E7D">
        <w:rPr>
          <w:rFonts w:asciiTheme="majorHAnsi" w:hAnsiTheme="majorHAnsi"/>
          <w:bCs/>
          <w:sz w:val="20"/>
          <w:szCs w:val="20"/>
          <w:lang w:val="es-ES_tradnl"/>
        </w:rPr>
        <w:t xml:space="preserve">negó el incidente de nulidad </w:t>
      </w:r>
      <w:r w:rsidR="00490CFE" w:rsidRPr="00066E7D">
        <w:rPr>
          <w:rFonts w:asciiTheme="majorHAnsi" w:hAnsiTheme="majorHAnsi"/>
          <w:bCs/>
          <w:sz w:val="20"/>
          <w:szCs w:val="20"/>
          <w:lang w:val="es-ES_tradnl"/>
        </w:rPr>
        <w:t xml:space="preserve">presentado por el peticionario. </w:t>
      </w:r>
      <w:r w:rsidR="00B05641" w:rsidRPr="00066E7D">
        <w:rPr>
          <w:rFonts w:asciiTheme="majorHAnsi" w:hAnsiTheme="majorHAnsi"/>
          <w:bCs/>
          <w:sz w:val="20"/>
          <w:szCs w:val="20"/>
          <w:lang w:val="es-ES_tradnl"/>
        </w:rPr>
        <w:t xml:space="preserve">El Estado alega que la interposición de los demás recursos presentados posteriormente por el </w:t>
      </w:r>
      <w:r w:rsidR="00066E7D" w:rsidRPr="00066E7D">
        <w:rPr>
          <w:rFonts w:asciiTheme="majorHAnsi" w:hAnsiTheme="majorHAnsi"/>
          <w:bCs/>
          <w:sz w:val="20"/>
          <w:szCs w:val="20"/>
          <w:lang w:val="es-ES_tradnl"/>
        </w:rPr>
        <w:t>peticionario</w:t>
      </w:r>
      <w:r w:rsidR="00B05641" w:rsidRPr="00066E7D">
        <w:rPr>
          <w:rFonts w:asciiTheme="majorHAnsi" w:hAnsiTheme="majorHAnsi"/>
          <w:bCs/>
          <w:sz w:val="20"/>
          <w:szCs w:val="20"/>
          <w:lang w:val="es-ES_tradnl"/>
        </w:rPr>
        <w:t xml:space="preserve"> se hizo de manera temeraria</w:t>
      </w:r>
      <w:r w:rsidR="005F7117" w:rsidRPr="00066E7D">
        <w:rPr>
          <w:rFonts w:asciiTheme="majorHAnsi" w:hAnsiTheme="majorHAnsi"/>
          <w:bCs/>
          <w:sz w:val="20"/>
          <w:szCs w:val="20"/>
          <w:lang w:val="es-ES_tradnl"/>
        </w:rPr>
        <w:t xml:space="preserve">. Sobre este extremo, la Comisión considera que </w:t>
      </w:r>
      <w:r w:rsidR="0022369A" w:rsidRPr="00066E7D">
        <w:rPr>
          <w:rFonts w:asciiTheme="majorHAnsi" w:hAnsiTheme="majorHAnsi"/>
          <w:bCs/>
          <w:sz w:val="20"/>
          <w:szCs w:val="20"/>
          <w:lang w:val="es-ES_tradnl"/>
        </w:rPr>
        <w:t>l</w:t>
      </w:r>
      <w:r w:rsidR="0022369A" w:rsidRPr="00066E7D">
        <w:rPr>
          <w:rFonts w:asciiTheme="majorHAnsi" w:hAnsiTheme="majorHAnsi"/>
          <w:sz w:val="20"/>
          <w:szCs w:val="20"/>
          <w:lang w:val="es-ES_tradnl" w:eastAsia="es-ES"/>
        </w:rPr>
        <w:t>os recursos presentados con posterioridad al incidente de nulidad fuer</w:t>
      </w:r>
      <w:r w:rsidR="00791A6B" w:rsidRPr="00066E7D">
        <w:rPr>
          <w:rFonts w:asciiTheme="majorHAnsi" w:hAnsiTheme="majorHAnsi"/>
          <w:sz w:val="20"/>
          <w:szCs w:val="20"/>
          <w:lang w:val="es-ES_tradnl" w:eastAsia="es-ES"/>
        </w:rPr>
        <w:t>on</w:t>
      </w:r>
      <w:r w:rsidR="0022369A" w:rsidRPr="00066E7D">
        <w:rPr>
          <w:rFonts w:asciiTheme="majorHAnsi" w:hAnsiTheme="majorHAnsi"/>
          <w:sz w:val="20"/>
          <w:szCs w:val="20"/>
          <w:lang w:val="es-ES_tradnl" w:eastAsia="es-ES"/>
        </w:rPr>
        <w:t xml:space="preserve">, en su mayoría, admitidos a trámite por los tribunales estudiados en el fondo, </w:t>
      </w:r>
      <w:r w:rsidR="00791A6B" w:rsidRPr="00066E7D">
        <w:rPr>
          <w:rFonts w:asciiTheme="majorHAnsi" w:hAnsiTheme="majorHAnsi"/>
          <w:sz w:val="20"/>
          <w:szCs w:val="20"/>
          <w:lang w:val="es-ES_tradnl" w:eastAsia="es-ES"/>
        </w:rPr>
        <w:t xml:space="preserve">lo que </w:t>
      </w:r>
      <w:r w:rsidR="0022369A" w:rsidRPr="00066E7D">
        <w:rPr>
          <w:rFonts w:asciiTheme="majorHAnsi" w:hAnsiTheme="majorHAnsi"/>
          <w:sz w:val="20"/>
          <w:szCs w:val="20"/>
          <w:lang w:val="es-ES_tradnl" w:eastAsia="es-ES"/>
        </w:rPr>
        <w:t>conlleva a razonar que los mismos fueron vías idóneas ejercidas por la presunta víctima a efectos de plantear sus alegatos a nivel interno</w:t>
      </w:r>
      <w:r w:rsidR="00EB05AA" w:rsidRPr="00066E7D">
        <w:rPr>
          <w:rFonts w:asciiTheme="majorHAnsi" w:hAnsiTheme="majorHAnsi"/>
          <w:sz w:val="20"/>
          <w:szCs w:val="20"/>
          <w:lang w:val="es-ES_tradnl" w:eastAsia="es-ES"/>
        </w:rPr>
        <w:t xml:space="preserve"> sin que fueran una temeridad</w:t>
      </w:r>
      <w:r w:rsidR="0022369A" w:rsidRPr="00066E7D">
        <w:rPr>
          <w:rStyle w:val="FootnoteReference"/>
          <w:rFonts w:asciiTheme="majorHAnsi" w:hAnsiTheme="majorHAnsi"/>
          <w:sz w:val="20"/>
          <w:szCs w:val="20"/>
          <w:lang w:val="es-ES_tradnl"/>
        </w:rPr>
        <w:footnoteReference w:id="5"/>
      </w:r>
      <w:r w:rsidR="0022369A" w:rsidRPr="00066E7D">
        <w:rPr>
          <w:rFonts w:asciiTheme="majorHAnsi" w:hAnsiTheme="majorHAnsi"/>
          <w:sz w:val="20"/>
          <w:szCs w:val="20"/>
          <w:lang w:val="es-ES_tradnl" w:eastAsia="es-ES"/>
        </w:rPr>
        <w:t xml:space="preserve">. </w:t>
      </w:r>
      <w:r w:rsidR="00EB05AA" w:rsidRPr="00066E7D">
        <w:rPr>
          <w:rFonts w:asciiTheme="majorHAnsi" w:hAnsiTheme="majorHAnsi"/>
          <w:sz w:val="20"/>
          <w:szCs w:val="20"/>
          <w:lang w:val="es-ES_tradnl"/>
        </w:rPr>
        <w:t>De este modo</w:t>
      </w:r>
      <w:r w:rsidR="00AF422F" w:rsidRPr="00066E7D">
        <w:rPr>
          <w:rFonts w:asciiTheme="majorHAnsi" w:hAnsiTheme="majorHAnsi"/>
          <w:sz w:val="20"/>
          <w:szCs w:val="20"/>
          <w:lang w:val="es-ES_tradnl"/>
        </w:rPr>
        <w:t xml:space="preserve">, </w:t>
      </w:r>
      <w:r w:rsidR="00EB05AA" w:rsidRPr="00066E7D">
        <w:rPr>
          <w:rFonts w:asciiTheme="majorHAnsi" w:hAnsiTheme="majorHAnsi"/>
          <w:sz w:val="20"/>
          <w:szCs w:val="20"/>
          <w:lang w:val="es-ES_tradnl"/>
        </w:rPr>
        <w:t xml:space="preserve">la Comisión </w:t>
      </w:r>
      <w:r w:rsidR="00791A6B" w:rsidRPr="00066E7D">
        <w:rPr>
          <w:rFonts w:asciiTheme="majorHAnsi" w:hAnsiTheme="majorHAnsi"/>
          <w:sz w:val="20"/>
          <w:szCs w:val="20"/>
          <w:lang w:val="es-ES_tradnl"/>
        </w:rPr>
        <w:t>concluye</w:t>
      </w:r>
      <w:r w:rsidR="00AF422F" w:rsidRPr="00066E7D">
        <w:rPr>
          <w:rFonts w:asciiTheme="majorHAnsi" w:hAnsiTheme="majorHAnsi"/>
          <w:sz w:val="20"/>
          <w:szCs w:val="20"/>
          <w:lang w:val="es-ES_tradnl"/>
        </w:rPr>
        <w:t xml:space="preserve"> que se han agotado los recursos internos cumpliendo con los requisitos del artículo 46.</w:t>
      </w:r>
      <w:r w:rsidR="00DD4E3C" w:rsidRPr="00066E7D">
        <w:rPr>
          <w:rFonts w:asciiTheme="majorHAnsi" w:hAnsiTheme="majorHAnsi"/>
          <w:sz w:val="20"/>
          <w:szCs w:val="20"/>
          <w:lang w:val="es-ES_tradnl"/>
        </w:rPr>
        <w:t>1.</w:t>
      </w:r>
      <w:r w:rsidR="00AF422F" w:rsidRPr="00066E7D">
        <w:rPr>
          <w:rFonts w:asciiTheme="majorHAnsi" w:hAnsiTheme="majorHAnsi"/>
          <w:sz w:val="20"/>
          <w:szCs w:val="20"/>
          <w:lang w:val="es-ES_tradnl"/>
        </w:rPr>
        <w:t xml:space="preserve">a) de la Convención. </w:t>
      </w:r>
    </w:p>
    <w:p w14:paraId="776829BB" w14:textId="695AE11C" w:rsidR="000C1EB6" w:rsidRPr="00066E7D" w:rsidRDefault="006C67DA" w:rsidP="000C1EB6">
      <w:pPr>
        <w:suppressAutoHyphens/>
        <w:spacing w:after="240"/>
        <w:ind w:firstLine="720"/>
        <w:jc w:val="both"/>
        <w:rPr>
          <w:rFonts w:asciiTheme="majorHAnsi" w:eastAsia="Arial Unicode MS" w:hAnsiTheme="majorHAnsi"/>
          <w:sz w:val="20"/>
          <w:szCs w:val="20"/>
          <w:bdr w:val="nil"/>
          <w:lang w:val="es-ES_tradnl" w:eastAsia="es-ES"/>
        </w:rPr>
      </w:pPr>
      <w:r w:rsidRPr="00066E7D">
        <w:rPr>
          <w:rFonts w:asciiTheme="majorHAnsi" w:hAnsiTheme="majorHAnsi"/>
          <w:sz w:val="20"/>
          <w:szCs w:val="20"/>
          <w:lang w:val="es-ES_tradnl" w:eastAsia="es-ES"/>
        </w:rPr>
        <w:t>15</w:t>
      </w:r>
      <w:r w:rsidR="009A22C6" w:rsidRPr="00066E7D">
        <w:rPr>
          <w:rFonts w:asciiTheme="majorHAnsi" w:hAnsiTheme="majorHAnsi"/>
          <w:sz w:val="20"/>
          <w:szCs w:val="20"/>
          <w:lang w:val="es-ES_tradnl" w:eastAsia="es-ES"/>
        </w:rPr>
        <w:t>.</w:t>
      </w:r>
      <w:r w:rsidR="009A22C6" w:rsidRPr="00066E7D">
        <w:rPr>
          <w:rFonts w:asciiTheme="majorHAnsi" w:hAnsiTheme="majorHAnsi"/>
          <w:sz w:val="20"/>
          <w:szCs w:val="20"/>
          <w:lang w:val="es-ES_tradnl" w:eastAsia="es-ES"/>
        </w:rPr>
        <w:tab/>
      </w:r>
      <w:r w:rsidR="000C1EB6" w:rsidRPr="00066E7D">
        <w:rPr>
          <w:rFonts w:asciiTheme="majorHAnsi" w:eastAsia="Arial Unicode MS" w:hAnsiTheme="majorHAnsi"/>
          <w:sz w:val="20"/>
          <w:szCs w:val="20"/>
          <w:bdr w:val="nil"/>
          <w:lang w:val="es-ES_tradnl" w:eastAsia="es-ES"/>
        </w:rPr>
        <w:t xml:space="preserve">La petición fue presentada </w:t>
      </w:r>
      <w:r w:rsidR="00E340D3" w:rsidRPr="00066E7D">
        <w:rPr>
          <w:rFonts w:asciiTheme="majorHAnsi" w:eastAsia="Arial Unicode MS" w:hAnsiTheme="majorHAnsi"/>
          <w:sz w:val="20"/>
          <w:szCs w:val="20"/>
          <w:bdr w:val="nil"/>
          <w:lang w:val="es-ES_tradnl" w:eastAsia="es-ES"/>
        </w:rPr>
        <w:t>el</w:t>
      </w:r>
      <w:r w:rsidR="000C1EB6" w:rsidRPr="00066E7D">
        <w:rPr>
          <w:rFonts w:asciiTheme="majorHAnsi" w:eastAsia="Arial Unicode MS" w:hAnsiTheme="majorHAnsi"/>
          <w:sz w:val="20"/>
          <w:szCs w:val="20"/>
          <w:bdr w:val="nil"/>
          <w:lang w:val="es-ES_tradnl" w:eastAsia="es-ES"/>
        </w:rPr>
        <w:t xml:space="preserve"> </w:t>
      </w:r>
      <w:r w:rsidR="000C1EB6" w:rsidRPr="00066E7D">
        <w:rPr>
          <w:rFonts w:ascii="Cambria" w:hAnsi="Cambria"/>
          <w:bCs/>
          <w:sz w:val="20"/>
          <w:szCs w:val="20"/>
          <w:lang w:val="es-ES_tradnl"/>
        </w:rPr>
        <w:t>22 de diciembre de 2009</w:t>
      </w:r>
      <w:r w:rsidR="00EA6E46" w:rsidRPr="00066E7D">
        <w:rPr>
          <w:rFonts w:asciiTheme="majorHAnsi" w:eastAsia="Arial Unicode MS" w:hAnsiTheme="majorHAnsi"/>
          <w:sz w:val="20"/>
          <w:szCs w:val="20"/>
          <w:bdr w:val="nil"/>
          <w:lang w:val="es-ES_tradnl" w:eastAsia="es-ES"/>
        </w:rPr>
        <w:t xml:space="preserve"> y el último recurso </w:t>
      </w:r>
      <w:r w:rsidR="00DD4E3C" w:rsidRPr="00066E7D">
        <w:rPr>
          <w:rFonts w:asciiTheme="majorHAnsi" w:eastAsia="Arial Unicode MS" w:hAnsiTheme="majorHAnsi"/>
          <w:sz w:val="20"/>
          <w:szCs w:val="20"/>
          <w:bdr w:val="nil"/>
          <w:lang w:val="es-ES_tradnl" w:eastAsia="es-ES"/>
        </w:rPr>
        <w:t xml:space="preserve">que </w:t>
      </w:r>
      <w:r w:rsidR="00EA6E46" w:rsidRPr="00066E7D">
        <w:rPr>
          <w:rFonts w:asciiTheme="majorHAnsi" w:eastAsia="Arial Unicode MS" w:hAnsiTheme="majorHAnsi"/>
          <w:sz w:val="20"/>
          <w:szCs w:val="20"/>
          <w:bdr w:val="nil"/>
          <w:lang w:val="es-ES_tradnl" w:eastAsia="es-ES"/>
        </w:rPr>
        <w:t xml:space="preserve">fue decidido en este caso se dio el </w:t>
      </w:r>
      <w:r w:rsidR="00EA6E46" w:rsidRPr="00066E7D">
        <w:rPr>
          <w:rFonts w:asciiTheme="majorHAnsi" w:hAnsiTheme="majorHAnsi"/>
          <w:bCs/>
          <w:sz w:val="20"/>
          <w:szCs w:val="20"/>
          <w:lang w:val="es-ES_tradnl"/>
        </w:rPr>
        <w:t xml:space="preserve">16 de febrero de 2012; entonces </w:t>
      </w:r>
      <w:r w:rsidR="000C1EB6" w:rsidRPr="00066E7D">
        <w:rPr>
          <w:rFonts w:asciiTheme="majorHAnsi" w:eastAsia="Arial Unicode MS" w:hAnsiTheme="majorHAnsi"/>
          <w:sz w:val="20"/>
          <w:szCs w:val="20"/>
          <w:bdr w:val="nil"/>
          <w:lang w:val="es-ES_tradnl" w:eastAsia="es-ES"/>
        </w:rPr>
        <w:t xml:space="preserve">es aplicable la regla establecida por la Comisión Interamericana en anteriores pronunciamientos, según la cual el plazo de seis meses establecido en el artículo 46.1.b) de la Convención Americana se puede dar por cumplido cuando una petición relativa a la violación de garantías procesales se presenta durante las primeras etapas del proceso doméstico, y ese proceso se agota con posterioridad a </w:t>
      </w:r>
      <w:r w:rsidR="00DD4E3C" w:rsidRPr="00066E7D">
        <w:rPr>
          <w:rFonts w:asciiTheme="majorHAnsi" w:eastAsia="Arial Unicode MS" w:hAnsiTheme="majorHAnsi"/>
          <w:sz w:val="20"/>
          <w:szCs w:val="20"/>
          <w:bdr w:val="nil"/>
          <w:lang w:val="es-ES_tradnl" w:eastAsia="es-ES"/>
        </w:rPr>
        <w:t>la</w:t>
      </w:r>
      <w:r w:rsidR="000C1EB6" w:rsidRPr="00066E7D">
        <w:rPr>
          <w:rFonts w:asciiTheme="majorHAnsi" w:eastAsia="Arial Unicode MS" w:hAnsiTheme="majorHAnsi"/>
          <w:sz w:val="20"/>
          <w:szCs w:val="20"/>
          <w:bdr w:val="nil"/>
          <w:lang w:val="es-ES_tradnl" w:eastAsia="es-ES"/>
        </w:rPr>
        <w:t xml:space="preserve"> fecha de presentación, dado que el agotamiento de los recursos internos se valora con base en la situación vigente al momento de adoptar el informe de admisibilidad de la CIDH</w:t>
      </w:r>
      <w:r w:rsidR="00B935CD" w:rsidRPr="00066E7D">
        <w:rPr>
          <w:rStyle w:val="FootnoteReference"/>
          <w:rFonts w:asciiTheme="majorHAnsi" w:hAnsiTheme="majorHAnsi"/>
          <w:bCs/>
          <w:sz w:val="20"/>
          <w:szCs w:val="20"/>
          <w:lang w:val="es-ES_tradnl"/>
        </w:rPr>
        <w:footnoteReference w:id="6"/>
      </w:r>
      <w:r w:rsidR="000C1EB6" w:rsidRPr="00066E7D">
        <w:rPr>
          <w:rFonts w:asciiTheme="majorHAnsi" w:hAnsiTheme="majorHAnsi"/>
          <w:bCs/>
          <w:sz w:val="20"/>
          <w:szCs w:val="20"/>
          <w:lang w:val="es-ES_tradnl"/>
        </w:rPr>
        <w:t xml:space="preserve">. </w:t>
      </w:r>
    </w:p>
    <w:p w14:paraId="673598AF" w14:textId="77777777" w:rsidR="003239B8" w:rsidRPr="00066E7D" w:rsidRDefault="003239B8" w:rsidP="003239B8">
      <w:pPr>
        <w:pStyle w:val="ListParagraph"/>
        <w:spacing w:before="240" w:after="240"/>
        <w:jc w:val="both"/>
        <w:rPr>
          <w:rFonts w:asciiTheme="majorHAnsi" w:hAnsiTheme="majorHAnsi"/>
          <w:b/>
          <w:sz w:val="20"/>
          <w:szCs w:val="20"/>
          <w:lang w:val="es-ES_tradnl"/>
        </w:rPr>
      </w:pPr>
      <w:r w:rsidRPr="00066E7D">
        <w:rPr>
          <w:rFonts w:asciiTheme="majorHAnsi" w:hAnsiTheme="majorHAnsi"/>
          <w:b/>
          <w:bCs/>
          <w:sz w:val="20"/>
          <w:szCs w:val="20"/>
          <w:lang w:val="es-ES_tradnl"/>
        </w:rPr>
        <w:t>VII.</w:t>
      </w:r>
      <w:r w:rsidRPr="00066E7D">
        <w:rPr>
          <w:rFonts w:asciiTheme="majorHAnsi" w:hAnsiTheme="majorHAnsi"/>
          <w:b/>
          <w:bCs/>
          <w:sz w:val="20"/>
          <w:szCs w:val="20"/>
          <w:lang w:val="es-ES_tradnl"/>
        </w:rPr>
        <w:tab/>
      </w:r>
      <w:r w:rsidR="004A6A54" w:rsidRPr="00066E7D">
        <w:rPr>
          <w:rFonts w:asciiTheme="majorHAnsi" w:hAnsiTheme="majorHAnsi"/>
          <w:b/>
          <w:bCs/>
          <w:sz w:val="20"/>
          <w:szCs w:val="20"/>
          <w:lang w:val="es-ES_tradnl"/>
        </w:rPr>
        <w:t xml:space="preserve">ANÁLISIS DE </w:t>
      </w:r>
      <w:r w:rsidR="00C21FEF" w:rsidRPr="00066E7D">
        <w:rPr>
          <w:rFonts w:asciiTheme="majorHAnsi" w:hAnsiTheme="majorHAnsi"/>
          <w:b/>
          <w:bCs/>
          <w:sz w:val="20"/>
          <w:szCs w:val="20"/>
          <w:lang w:val="es-ES_tradnl"/>
        </w:rPr>
        <w:t>CARACTERIZACIÓN DE LOS HECHOS ALEGADOS</w:t>
      </w:r>
    </w:p>
    <w:p w14:paraId="2D8F5F63" w14:textId="6F5A55FA" w:rsidR="00034E4B" w:rsidRPr="00066E7D" w:rsidRDefault="006C67DA" w:rsidP="00724214">
      <w:pPr>
        <w:suppressAutoHyphens/>
        <w:spacing w:after="240"/>
        <w:ind w:firstLine="720"/>
        <w:jc w:val="both"/>
        <w:rPr>
          <w:rFonts w:asciiTheme="majorHAnsi" w:hAnsiTheme="majorHAnsi"/>
          <w:sz w:val="20"/>
          <w:szCs w:val="20"/>
          <w:lang w:val="es-ES_tradnl"/>
        </w:rPr>
      </w:pPr>
      <w:r w:rsidRPr="00066E7D">
        <w:rPr>
          <w:rFonts w:asciiTheme="majorHAnsi" w:hAnsiTheme="majorHAnsi"/>
          <w:sz w:val="20"/>
          <w:szCs w:val="20"/>
          <w:lang w:val="es-ES_tradnl"/>
        </w:rPr>
        <w:t>16</w:t>
      </w:r>
      <w:r w:rsidR="00724214" w:rsidRPr="00066E7D">
        <w:rPr>
          <w:rFonts w:asciiTheme="majorHAnsi" w:hAnsiTheme="majorHAnsi"/>
          <w:sz w:val="20"/>
          <w:szCs w:val="20"/>
          <w:lang w:val="es-ES_tradnl"/>
        </w:rPr>
        <w:t>.</w:t>
      </w:r>
      <w:r w:rsidR="008419B7" w:rsidRPr="00066E7D">
        <w:rPr>
          <w:rFonts w:asciiTheme="majorHAnsi" w:hAnsiTheme="majorHAnsi"/>
          <w:sz w:val="20"/>
          <w:szCs w:val="20"/>
          <w:lang w:val="es-ES_tradnl"/>
        </w:rPr>
        <w:tab/>
        <w:t xml:space="preserve">El peticionario </w:t>
      </w:r>
      <w:r w:rsidR="00034E4B" w:rsidRPr="00066E7D">
        <w:rPr>
          <w:rFonts w:asciiTheme="majorHAnsi" w:hAnsiTheme="majorHAnsi"/>
          <w:sz w:val="20"/>
          <w:szCs w:val="20"/>
          <w:lang w:val="es-ES_tradnl"/>
        </w:rPr>
        <w:t>alega</w:t>
      </w:r>
      <w:r w:rsidR="008419B7" w:rsidRPr="00066E7D">
        <w:rPr>
          <w:rFonts w:asciiTheme="majorHAnsi" w:hAnsiTheme="majorHAnsi"/>
          <w:sz w:val="20"/>
          <w:szCs w:val="20"/>
          <w:lang w:val="es-ES_tradnl"/>
        </w:rPr>
        <w:t xml:space="preserve"> </w:t>
      </w:r>
      <w:r w:rsidR="00034E4B" w:rsidRPr="00066E7D">
        <w:rPr>
          <w:rFonts w:asciiTheme="majorHAnsi" w:hAnsiTheme="majorHAnsi"/>
          <w:sz w:val="20"/>
          <w:szCs w:val="20"/>
          <w:lang w:val="es-ES_tradnl"/>
        </w:rPr>
        <w:t xml:space="preserve">la falta de cumplimiento de las órdenes establecidas por la Corte Constitucional en la sentencia T-323 de </w:t>
      </w:r>
      <w:r w:rsidR="007724F5" w:rsidRPr="00066E7D">
        <w:rPr>
          <w:rFonts w:asciiTheme="majorHAnsi" w:hAnsiTheme="majorHAnsi"/>
          <w:sz w:val="20"/>
          <w:szCs w:val="20"/>
          <w:lang w:val="es-ES_tradnl"/>
        </w:rPr>
        <w:t>2005,</w:t>
      </w:r>
      <w:r w:rsidR="00034E4B" w:rsidRPr="00066E7D">
        <w:rPr>
          <w:rFonts w:asciiTheme="majorHAnsi" w:hAnsiTheme="majorHAnsi"/>
          <w:sz w:val="20"/>
          <w:szCs w:val="20"/>
          <w:lang w:val="es-ES_tradnl"/>
        </w:rPr>
        <w:t xml:space="preserve"> que estableció el reintegro a la Caja Agraria</w:t>
      </w:r>
      <w:r w:rsidR="00902E8F" w:rsidRPr="00066E7D">
        <w:rPr>
          <w:rFonts w:asciiTheme="majorHAnsi" w:hAnsiTheme="majorHAnsi"/>
          <w:sz w:val="20"/>
          <w:szCs w:val="20"/>
          <w:lang w:val="es-ES_tradnl"/>
        </w:rPr>
        <w:t xml:space="preserve">, </w:t>
      </w:r>
      <w:r w:rsidR="00034E4B" w:rsidRPr="00066E7D">
        <w:rPr>
          <w:rFonts w:asciiTheme="majorHAnsi" w:hAnsiTheme="majorHAnsi"/>
          <w:sz w:val="20"/>
          <w:szCs w:val="20"/>
          <w:lang w:val="es-ES_tradnl"/>
        </w:rPr>
        <w:t xml:space="preserve">luego de que fuera despedido </w:t>
      </w:r>
      <w:r w:rsidR="00902E8F" w:rsidRPr="00066E7D">
        <w:rPr>
          <w:rFonts w:asciiTheme="majorHAnsi" w:hAnsiTheme="majorHAnsi"/>
          <w:sz w:val="20"/>
          <w:szCs w:val="20"/>
          <w:lang w:val="es-ES_tradnl"/>
        </w:rPr>
        <w:t xml:space="preserve">de la entidad liquidada, sin que se hubiera respetado la protección especial del fuero sindical. </w:t>
      </w:r>
    </w:p>
    <w:p w14:paraId="626143FB" w14:textId="6F70DF0A" w:rsidR="008419B7" w:rsidRPr="00066E7D" w:rsidRDefault="006C67DA" w:rsidP="00EC4EAB">
      <w:pPr>
        <w:suppressAutoHyphens/>
        <w:spacing w:after="240"/>
        <w:ind w:firstLine="720"/>
        <w:jc w:val="both"/>
        <w:rPr>
          <w:rFonts w:asciiTheme="majorHAnsi" w:hAnsiTheme="majorHAnsi"/>
          <w:sz w:val="20"/>
          <w:szCs w:val="20"/>
          <w:lang w:val="es-ES_tradnl"/>
        </w:rPr>
      </w:pPr>
      <w:r w:rsidRPr="00066E7D">
        <w:rPr>
          <w:rFonts w:asciiTheme="majorHAnsi" w:hAnsiTheme="majorHAnsi"/>
          <w:sz w:val="20"/>
          <w:szCs w:val="20"/>
          <w:lang w:val="es-ES_tradnl"/>
        </w:rPr>
        <w:t>17</w:t>
      </w:r>
      <w:r w:rsidR="007724F5" w:rsidRPr="00066E7D">
        <w:rPr>
          <w:rFonts w:asciiTheme="majorHAnsi" w:hAnsiTheme="majorHAnsi"/>
          <w:sz w:val="20"/>
          <w:szCs w:val="20"/>
          <w:lang w:val="es-ES_tradnl"/>
        </w:rPr>
        <w:t>.</w:t>
      </w:r>
      <w:r w:rsidR="007724F5" w:rsidRPr="00066E7D">
        <w:rPr>
          <w:rFonts w:asciiTheme="majorHAnsi" w:hAnsiTheme="majorHAnsi"/>
          <w:sz w:val="20"/>
          <w:szCs w:val="20"/>
          <w:lang w:val="es-ES_tradnl"/>
        </w:rPr>
        <w:tab/>
        <w:t xml:space="preserve">Colombia en su contestación </w:t>
      </w:r>
      <w:r w:rsidR="00EC4EAB" w:rsidRPr="00066E7D">
        <w:rPr>
          <w:rFonts w:asciiTheme="majorHAnsi" w:hAnsiTheme="majorHAnsi"/>
          <w:sz w:val="20"/>
          <w:szCs w:val="20"/>
          <w:lang w:val="es-ES_tradnl"/>
        </w:rPr>
        <w:t xml:space="preserve">ha alegado </w:t>
      </w:r>
      <w:r w:rsidR="00CD03F8" w:rsidRPr="00066E7D">
        <w:rPr>
          <w:rFonts w:asciiTheme="majorHAnsi" w:hAnsiTheme="majorHAnsi"/>
          <w:sz w:val="20"/>
          <w:szCs w:val="20"/>
          <w:lang w:val="es-ES_tradnl"/>
        </w:rPr>
        <w:t xml:space="preserve">la </w:t>
      </w:r>
      <w:r w:rsidR="00EC4EAB" w:rsidRPr="00066E7D">
        <w:rPr>
          <w:rFonts w:asciiTheme="majorHAnsi" w:hAnsiTheme="majorHAnsi"/>
          <w:sz w:val="20"/>
          <w:szCs w:val="20"/>
          <w:lang w:val="es-ES_tradnl"/>
        </w:rPr>
        <w:t xml:space="preserve">falta de caracterización de </w:t>
      </w:r>
      <w:r w:rsidR="00CD03F8" w:rsidRPr="00066E7D">
        <w:rPr>
          <w:rFonts w:asciiTheme="majorHAnsi" w:hAnsiTheme="majorHAnsi"/>
          <w:sz w:val="20"/>
          <w:szCs w:val="20"/>
          <w:lang w:val="es-ES_tradnl"/>
        </w:rPr>
        <w:t>violaciones</w:t>
      </w:r>
      <w:r w:rsidR="00EC4EAB" w:rsidRPr="00066E7D">
        <w:rPr>
          <w:rFonts w:asciiTheme="majorHAnsi" w:hAnsiTheme="majorHAnsi"/>
          <w:sz w:val="20"/>
          <w:szCs w:val="20"/>
          <w:lang w:val="es-ES_tradnl"/>
        </w:rPr>
        <w:t xml:space="preserve"> a los derechos establecidos en la Convención, así como ha formulado </w:t>
      </w:r>
      <w:r w:rsidR="007724F5" w:rsidRPr="00066E7D">
        <w:rPr>
          <w:rFonts w:asciiTheme="majorHAnsi" w:hAnsiTheme="majorHAnsi"/>
          <w:sz w:val="20"/>
          <w:szCs w:val="20"/>
          <w:lang w:val="es-ES_tradnl"/>
        </w:rPr>
        <w:t xml:space="preserve">la excepción de la así llamada “fórmula de la </w:t>
      </w:r>
      <w:r w:rsidR="007724F5" w:rsidRPr="00066E7D">
        <w:rPr>
          <w:rFonts w:asciiTheme="majorHAnsi" w:hAnsiTheme="majorHAnsi"/>
          <w:sz w:val="20"/>
          <w:szCs w:val="20"/>
          <w:lang w:val="es-ES_tradnl"/>
        </w:rPr>
        <w:lastRenderedPageBreak/>
        <w:t>cuarta instancia”,</w:t>
      </w:r>
      <w:r w:rsidR="001C4270" w:rsidRPr="00066E7D">
        <w:rPr>
          <w:rFonts w:asciiTheme="majorHAnsi" w:hAnsiTheme="majorHAnsi"/>
          <w:sz w:val="20"/>
          <w:szCs w:val="20"/>
          <w:lang w:val="es-ES_tradnl"/>
        </w:rPr>
        <w:t xml:space="preserve"> </w:t>
      </w:r>
      <w:r w:rsidR="007724F5" w:rsidRPr="00066E7D">
        <w:rPr>
          <w:rFonts w:asciiTheme="majorHAnsi" w:hAnsiTheme="majorHAnsi"/>
          <w:sz w:val="20"/>
          <w:szCs w:val="20"/>
          <w:lang w:val="es-ES_tradnl"/>
        </w:rPr>
        <w:t>al considerar que la parte peticionaria ha recurrido a la CIDH en tanto tribunal de alzada internacional para que examine el contenido, fundamentación jurídica, sustento probatorio y sentido de decisiones judiciales domésticas que se encuentran en firme y fueron adoptadas por funcionarios competentes con pleno respeto por las garantías judiciales y demás derechos humanos convencionalmente tutelados.</w:t>
      </w:r>
      <w:r w:rsidR="00EA0C4F" w:rsidRPr="00066E7D">
        <w:rPr>
          <w:rFonts w:asciiTheme="majorHAnsi" w:hAnsiTheme="majorHAnsi"/>
          <w:sz w:val="20"/>
          <w:szCs w:val="20"/>
          <w:lang w:val="es-ES_tradnl"/>
        </w:rPr>
        <w:t xml:space="preserve"> </w:t>
      </w:r>
    </w:p>
    <w:p w14:paraId="01DB0947" w14:textId="7E857176" w:rsidR="0017446E" w:rsidRPr="00066E7D" w:rsidRDefault="006C67DA" w:rsidP="0017446E">
      <w:pPr>
        <w:suppressAutoHyphens/>
        <w:spacing w:after="240"/>
        <w:ind w:firstLine="720"/>
        <w:jc w:val="both"/>
        <w:rPr>
          <w:rFonts w:asciiTheme="majorHAnsi" w:hAnsiTheme="majorHAnsi"/>
          <w:sz w:val="20"/>
          <w:szCs w:val="20"/>
          <w:lang w:val="es-ES_tradnl"/>
        </w:rPr>
      </w:pPr>
      <w:r w:rsidRPr="00066E7D">
        <w:rPr>
          <w:rFonts w:asciiTheme="majorHAnsi" w:hAnsiTheme="majorHAnsi"/>
          <w:sz w:val="20"/>
          <w:szCs w:val="20"/>
          <w:lang w:val="es-ES_tradnl"/>
        </w:rPr>
        <w:t>18</w:t>
      </w:r>
      <w:r w:rsidR="004450C6" w:rsidRPr="00066E7D">
        <w:rPr>
          <w:rFonts w:asciiTheme="majorHAnsi" w:hAnsiTheme="majorHAnsi"/>
          <w:sz w:val="20"/>
          <w:szCs w:val="20"/>
          <w:lang w:val="es-ES_tradnl"/>
        </w:rPr>
        <w:t>.</w:t>
      </w:r>
      <w:r w:rsidR="004450C6" w:rsidRPr="00066E7D">
        <w:rPr>
          <w:rFonts w:asciiTheme="majorHAnsi" w:hAnsiTheme="majorHAnsi"/>
          <w:sz w:val="20"/>
          <w:szCs w:val="20"/>
          <w:lang w:val="es-ES_tradnl"/>
        </w:rPr>
        <w:tab/>
      </w:r>
      <w:r w:rsidR="0039626B" w:rsidRPr="00066E7D">
        <w:rPr>
          <w:rFonts w:asciiTheme="majorHAnsi" w:hAnsiTheme="majorHAnsi"/>
          <w:sz w:val="20"/>
          <w:szCs w:val="20"/>
          <w:lang w:val="es-ES_tradnl"/>
        </w:rPr>
        <w:t>Con relación al objeto de esta petición, la Comisión considera pertinente recordar que ha adoptado una postura uniforme y consistente en el sentido de que sí es competente para declarar admisible una petición y decidir sobre su materia fondo en los casos relacionados con procesos internos que puedan violar los derechos amparados por la Convención Americana. Por el contrario, cuando una petición se dirige contra el contenido, la valoración probatoria o el razonamiento judicial plasmados en una sentencia en firme, adoptada con respeto por el debido proceso y las demás garantías plasmadas en la Convención, la CIDH carece de competencia, pues no está llamada a efectuar un nuevo examen, en sede interamericana, de lo resuelto a nivel doméstico por los jueces nacionales en ejercicio de sus atribuciones legítimas y dentro de la esfera de su propia jurisdicción</w:t>
      </w:r>
      <w:r w:rsidR="0039626B" w:rsidRPr="00066E7D">
        <w:rPr>
          <w:rStyle w:val="FootnoteReference"/>
          <w:rFonts w:asciiTheme="majorHAnsi" w:hAnsiTheme="majorHAnsi"/>
          <w:sz w:val="20"/>
          <w:szCs w:val="20"/>
          <w:lang w:val="es-ES_tradnl"/>
        </w:rPr>
        <w:footnoteReference w:id="7"/>
      </w:r>
      <w:r w:rsidR="001D7881" w:rsidRPr="00066E7D">
        <w:rPr>
          <w:rFonts w:asciiTheme="majorHAnsi" w:hAnsiTheme="majorHAnsi"/>
          <w:sz w:val="20"/>
          <w:szCs w:val="20"/>
          <w:lang w:val="es-ES_tradnl"/>
        </w:rPr>
        <w:t xml:space="preserve">. </w:t>
      </w:r>
      <w:r w:rsidR="0017446E" w:rsidRPr="00066E7D">
        <w:rPr>
          <w:rFonts w:asciiTheme="majorHAnsi" w:hAnsiTheme="majorHAnsi"/>
          <w:sz w:val="20"/>
          <w:szCs w:val="20"/>
          <w:lang w:val="es-ES_tradnl"/>
        </w:rPr>
        <w:t>La interpretación de la ley, el procedimiento pertinente y la valoración de la prueba es, entre otros, el ejercicio de la función de la jurisdicción interna, que no puede ser remplazado por la CIDH</w:t>
      </w:r>
      <w:r w:rsidR="0017446E" w:rsidRPr="00066E7D">
        <w:rPr>
          <w:rStyle w:val="FootnoteReference"/>
          <w:rFonts w:asciiTheme="majorHAnsi" w:hAnsiTheme="majorHAnsi"/>
          <w:sz w:val="20"/>
          <w:szCs w:val="20"/>
          <w:lang w:val="es-ES_tradnl"/>
        </w:rPr>
        <w:footnoteReference w:id="8"/>
      </w:r>
      <w:r w:rsidR="00C044F5" w:rsidRPr="00066E7D">
        <w:rPr>
          <w:rFonts w:asciiTheme="majorHAnsi" w:hAnsiTheme="majorHAnsi"/>
          <w:sz w:val="20"/>
          <w:szCs w:val="20"/>
          <w:lang w:val="es-ES_tradnl"/>
        </w:rPr>
        <w:t>.</w:t>
      </w:r>
    </w:p>
    <w:p w14:paraId="3FF546C3" w14:textId="24638885" w:rsidR="00B11D3C" w:rsidRPr="00066E7D" w:rsidRDefault="006C67DA" w:rsidP="005177AF">
      <w:pPr>
        <w:suppressAutoHyphens/>
        <w:spacing w:after="240"/>
        <w:ind w:firstLine="720"/>
        <w:jc w:val="both"/>
        <w:rPr>
          <w:rFonts w:asciiTheme="majorHAnsi" w:hAnsiTheme="majorHAnsi"/>
          <w:sz w:val="20"/>
          <w:szCs w:val="20"/>
          <w:lang w:val="es-ES_tradnl"/>
        </w:rPr>
      </w:pPr>
      <w:r w:rsidRPr="00066E7D">
        <w:rPr>
          <w:rFonts w:asciiTheme="majorHAnsi" w:hAnsiTheme="majorHAnsi"/>
          <w:sz w:val="20"/>
          <w:szCs w:val="20"/>
          <w:lang w:val="es-ES_tradnl"/>
        </w:rPr>
        <w:t>19</w:t>
      </w:r>
      <w:r w:rsidR="00C044F5" w:rsidRPr="00066E7D">
        <w:rPr>
          <w:rFonts w:asciiTheme="majorHAnsi" w:hAnsiTheme="majorHAnsi"/>
          <w:sz w:val="20"/>
          <w:szCs w:val="20"/>
          <w:lang w:val="es-ES_tradnl"/>
        </w:rPr>
        <w:t>.</w:t>
      </w:r>
      <w:r w:rsidR="00C044F5" w:rsidRPr="00066E7D">
        <w:rPr>
          <w:rFonts w:asciiTheme="majorHAnsi" w:hAnsiTheme="majorHAnsi"/>
          <w:sz w:val="20"/>
          <w:szCs w:val="20"/>
          <w:lang w:val="es-ES_tradnl"/>
        </w:rPr>
        <w:tab/>
        <w:t xml:space="preserve">En estrecha relación con lo anterior, </w:t>
      </w:r>
      <w:r w:rsidR="00066F47" w:rsidRPr="00066E7D">
        <w:rPr>
          <w:rFonts w:asciiTheme="majorHAnsi" w:hAnsiTheme="majorHAnsi"/>
          <w:sz w:val="20"/>
          <w:szCs w:val="20"/>
          <w:lang w:val="es-ES_tradnl"/>
        </w:rPr>
        <w:t xml:space="preserve">la Comisión Interamericana considera que los hechos denunciados por el peticionario no caracterizan </w:t>
      </w:r>
      <w:r w:rsidR="00066F47" w:rsidRPr="00066E7D">
        <w:rPr>
          <w:rFonts w:asciiTheme="majorHAnsi" w:hAnsiTheme="majorHAnsi"/>
          <w:i/>
          <w:iCs/>
          <w:sz w:val="20"/>
          <w:szCs w:val="20"/>
          <w:lang w:val="es-ES_tradnl"/>
        </w:rPr>
        <w:t>prima facie</w:t>
      </w:r>
      <w:r w:rsidR="00066F47" w:rsidRPr="00066E7D">
        <w:rPr>
          <w:rFonts w:asciiTheme="majorHAnsi" w:hAnsiTheme="majorHAnsi"/>
          <w:sz w:val="20"/>
          <w:szCs w:val="20"/>
          <w:lang w:val="es-ES_tradnl"/>
        </w:rPr>
        <w:t xml:space="preserve"> posibles violaciones de la Convención Americana, que sustenten el hecho de que la CIDH se pronuncie </w:t>
      </w:r>
      <w:r w:rsidR="00B22FC4" w:rsidRPr="00066E7D">
        <w:rPr>
          <w:rFonts w:asciiTheme="majorHAnsi" w:hAnsiTheme="majorHAnsi"/>
          <w:sz w:val="20"/>
          <w:szCs w:val="20"/>
          <w:lang w:val="es-ES_tradnl"/>
        </w:rPr>
        <w:t>sobre</w:t>
      </w:r>
      <w:r w:rsidR="00066F47" w:rsidRPr="00066E7D">
        <w:rPr>
          <w:rFonts w:asciiTheme="majorHAnsi" w:hAnsiTheme="majorHAnsi"/>
          <w:sz w:val="20"/>
          <w:szCs w:val="20"/>
          <w:lang w:val="es-ES_tradnl"/>
        </w:rPr>
        <w:t xml:space="preserve"> de</w:t>
      </w:r>
      <w:r w:rsidR="00AB0667" w:rsidRPr="00066E7D">
        <w:rPr>
          <w:rFonts w:asciiTheme="majorHAnsi" w:hAnsiTheme="majorHAnsi"/>
          <w:sz w:val="20"/>
          <w:szCs w:val="20"/>
          <w:lang w:val="es-ES_tradnl"/>
        </w:rPr>
        <w:t xml:space="preserve">l supuesto incumplimiento de las órdenes judiciales </w:t>
      </w:r>
      <w:r w:rsidR="00737784" w:rsidRPr="00066E7D">
        <w:rPr>
          <w:rFonts w:asciiTheme="majorHAnsi" w:hAnsiTheme="majorHAnsi"/>
          <w:sz w:val="20"/>
          <w:szCs w:val="20"/>
          <w:lang w:val="es-ES_tradnl"/>
        </w:rPr>
        <w:t>que ordenan el reintegro del Sr. Hernando Ramírez Arboleda a la Caja Agraria,</w:t>
      </w:r>
      <w:r w:rsidR="00B22FC4" w:rsidRPr="00066E7D">
        <w:rPr>
          <w:rFonts w:asciiTheme="majorHAnsi" w:hAnsiTheme="majorHAnsi"/>
          <w:sz w:val="20"/>
          <w:szCs w:val="20"/>
          <w:lang w:val="es-ES_tradnl"/>
        </w:rPr>
        <w:t xml:space="preserve"> porque los hechos que caracterizarían la violación a los derechos alegados han cambiado. A esta conclusión se </w:t>
      </w:r>
      <w:r w:rsidR="00AC688E" w:rsidRPr="00066E7D">
        <w:rPr>
          <w:rFonts w:asciiTheme="majorHAnsi" w:hAnsiTheme="majorHAnsi"/>
          <w:sz w:val="20"/>
          <w:szCs w:val="20"/>
          <w:lang w:val="es-ES_tradnl"/>
        </w:rPr>
        <w:t xml:space="preserve">ha </w:t>
      </w:r>
      <w:r w:rsidR="00B22FC4" w:rsidRPr="00066E7D">
        <w:rPr>
          <w:rFonts w:asciiTheme="majorHAnsi" w:hAnsiTheme="majorHAnsi"/>
          <w:sz w:val="20"/>
          <w:szCs w:val="20"/>
          <w:lang w:val="es-ES_tradnl"/>
        </w:rPr>
        <w:t>llega</w:t>
      </w:r>
      <w:r w:rsidR="00AC688E" w:rsidRPr="00066E7D">
        <w:rPr>
          <w:rFonts w:asciiTheme="majorHAnsi" w:hAnsiTheme="majorHAnsi"/>
          <w:sz w:val="20"/>
          <w:szCs w:val="20"/>
          <w:lang w:val="es-ES_tradnl"/>
        </w:rPr>
        <w:t>do</w:t>
      </w:r>
      <w:r w:rsidR="00B22FC4" w:rsidRPr="00066E7D">
        <w:rPr>
          <w:rFonts w:asciiTheme="majorHAnsi" w:hAnsiTheme="majorHAnsi"/>
          <w:sz w:val="20"/>
          <w:szCs w:val="20"/>
          <w:lang w:val="es-ES_tradnl"/>
        </w:rPr>
        <w:t xml:space="preserve"> porque </w:t>
      </w:r>
      <w:r w:rsidR="00F84669" w:rsidRPr="00066E7D">
        <w:rPr>
          <w:rFonts w:asciiTheme="majorHAnsi" w:hAnsiTheme="majorHAnsi"/>
          <w:sz w:val="20"/>
          <w:szCs w:val="20"/>
          <w:lang w:val="es-ES_tradnl"/>
        </w:rPr>
        <w:t xml:space="preserve">el peticionario inició dos procesos </w:t>
      </w:r>
      <w:r w:rsidR="00983A67" w:rsidRPr="00066E7D">
        <w:rPr>
          <w:rFonts w:asciiTheme="majorHAnsi" w:hAnsiTheme="majorHAnsi"/>
          <w:sz w:val="20"/>
          <w:szCs w:val="20"/>
          <w:lang w:val="es-ES_tradnl"/>
        </w:rPr>
        <w:t xml:space="preserve">paralelos, que son excluyentes entre sí. Por una </w:t>
      </w:r>
      <w:r w:rsidR="00B515E5" w:rsidRPr="00066E7D">
        <w:rPr>
          <w:rFonts w:asciiTheme="majorHAnsi" w:hAnsiTheme="majorHAnsi"/>
          <w:sz w:val="20"/>
          <w:szCs w:val="20"/>
          <w:lang w:val="es-ES_tradnl"/>
        </w:rPr>
        <w:t>parte,</w:t>
      </w:r>
      <w:r w:rsidR="00983A67" w:rsidRPr="00066E7D">
        <w:rPr>
          <w:rFonts w:asciiTheme="majorHAnsi" w:hAnsiTheme="majorHAnsi"/>
          <w:sz w:val="20"/>
          <w:szCs w:val="20"/>
          <w:lang w:val="es-ES_tradnl"/>
        </w:rPr>
        <w:t xml:space="preserve"> </w:t>
      </w:r>
      <w:r w:rsidR="00BA79A3" w:rsidRPr="00066E7D">
        <w:rPr>
          <w:rFonts w:asciiTheme="majorHAnsi" w:hAnsiTheme="majorHAnsi"/>
          <w:bCs/>
          <w:sz w:val="20"/>
          <w:szCs w:val="20"/>
          <w:lang w:val="es-ES_tradnl"/>
        </w:rPr>
        <w:t xml:space="preserve">inició una acción de reintegro </w:t>
      </w:r>
      <w:r w:rsidR="008071BC" w:rsidRPr="00066E7D">
        <w:rPr>
          <w:rFonts w:asciiTheme="majorHAnsi" w:hAnsiTheme="majorHAnsi"/>
          <w:bCs/>
          <w:sz w:val="20"/>
          <w:szCs w:val="20"/>
          <w:lang w:val="es-ES_tradnl"/>
        </w:rPr>
        <w:t>mediante la cual fue condenad</w:t>
      </w:r>
      <w:r w:rsidR="00737784" w:rsidRPr="00066E7D">
        <w:rPr>
          <w:rFonts w:asciiTheme="majorHAnsi" w:hAnsiTheme="majorHAnsi"/>
          <w:bCs/>
          <w:sz w:val="20"/>
          <w:szCs w:val="20"/>
          <w:lang w:val="es-ES_tradnl"/>
        </w:rPr>
        <w:t>a</w:t>
      </w:r>
      <w:r w:rsidR="008071BC" w:rsidRPr="00066E7D">
        <w:rPr>
          <w:rFonts w:asciiTheme="majorHAnsi" w:hAnsiTheme="majorHAnsi"/>
          <w:bCs/>
          <w:sz w:val="20"/>
          <w:szCs w:val="20"/>
          <w:lang w:val="es-ES_tradnl"/>
        </w:rPr>
        <w:t xml:space="preserve"> </w:t>
      </w:r>
      <w:r w:rsidR="004509A4" w:rsidRPr="00066E7D">
        <w:rPr>
          <w:rFonts w:asciiTheme="majorHAnsi" w:hAnsiTheme="majorHAnsi"/>
          <w:bCs/>
          <w:sz w:val="20"/>
          <w:szCs w:val="20"/>
          <w:lang w:val="es-ES_tradnl"/>
        </w:rPr>
        <w:t>Caja Agraria</w:t>
      </w:r>
      <w:r w:rsidR="008071BC" w:rsidRPr="00066E7D">
        <w:rPr>
          <w:rFonts w:asciiTheme="majorHAnsi" w:hAnsiTheme="majorHAnsi"/>
          <w:bCs/>
          <w:sz w:val="20"/>
          <w:szCs w:val="20"/>
          <w:lang w:val="es-ES_tradnl"/>
        </w:rPr>
        <w:t xml:space="preserve"> </w:t>
      </w:r>
      <w:r w:rsidR="001303ED" w:rsidRPr="00066E7D">
        <w:rPr>
          <w:rFonts w:asciiTheme="majorHAnsi" w:hAnsiTheme="majorHAnsi"/>
          <w:bCs/>
          <w:sz w:val="20"/>
          <w:szCs w:val="20"/>
          <w:lang w:val="es-ES_tradnl"/>
        </w:rPr>
        <w:t xml:space="preserve">el 13 de julio de 2001 por el Tribunal Superior de Bogotá </w:t>
      </w:r>
      <w:r w:rsidR="008071BC" w:rsidRPr="00066E7D">
        <w:rPr>
          <w:rFonts w:asciiTheme="majorHAnsi" w:hAnsiTheme="majorHAnsi"/>
          <w:bCs/>
          <w:sz w:val="20"/>
          <w:szCs w:val="20"/>
          <w:lang w:val="es-ES_tradnl"/>
        </w:rPr>
        <w:t>a reintegrarlo</w:t>
      </w:r>
      <w:r w:rsidR="001303ED" w:rsidRPr="00066E7D">
        <w:rPr>
          <w:rFonts w:asciiTheme="majorHAnsi" w:hAnsiTheme="majorHAnsi"/>
          <w:bCs/>
          <w:sz w:val="20"/>
          <w:szCs w:val="20"/>
          <w:lang w:val="es-ES_tradnl"/>
        </w:rPr>
        <w:t xml:space="preserve"> a su antigua posición o a una con mayores responsabilidades.</w:t>
      </w:r>
      <w:r w:rsidR="008071BC" w:rsidRPr="00066E7D">
        <w:rPr>
          <w:rFonts w:asciiTheme="majorHAnsi" w:hAnsiTheme="majorHAnsi"/>
          <w:bCs/>
          <w:sz w:val="20"/>
          <w:szCs w:val="20"/>
          <w:lang w:val="es-ES_tradnl"/>
        </w:rPr>
        <w:t xml:space="preserve"> </w:t>
      </w:r>
      <w:r w:rsidR="001303ED" w:rsidRPr="00066E7D">
        <w:rPr>
          <w:rFonts w:asciiTheme="majorHAnsi" w:hAnsiTheme="majorHAnsi"/>
          <w:bCs/>
          <w:sz w:val="20"/>
          <w:szCs w:val="20"/>
          <w:lang w:val="es-ES_tradnl"/>
        </w:rPr>
        <w:t>P</w:t>
      </w:r>
      <w:r w:rsidR="008071BC" w:rsidRPr="00066E7D">
        <w:rPr>
          <w:rFonts w:asciiTheme="majorHAnsi" w:hAnsiTheme="majorHAnsi"/>
          <w:bCs/>
          <w:sz w:val="20"/>
          <w:szCs w:val="20"/>
          <w:lang w:val="es-ES_tradnl"/>
        </w:rPr>
        <w:t xml:space="preserve">aralelamente inició </w:t>
      </w:r>
      <w:r w:rsidR="00BA79A3" w:rsidRPr="00066E7D">
        <w:rPr>
          <w:rFonts w:asciiTheme="majorHAnsi" w:hAnsiTheme="majorHAnsi"/>
          <w:sz w:val="20"/>
          <w:szCs w:val="20"/>
          <w:lang w:val="es-ES_tradnl"/>
        </w:rPr>
        <w:t xml:space="preserve">un proceso de reconocimiento de </w:t>
      </w:r>
      <w:r w:rsidR="001303ED" w:rsidRPr="00066E7D">
        <w:rPr>
          <w:rFonts w:asciiTheme="majorHAnsi" w:hAnsiTheme="majorHAnsi"/>
          <w:sz w:val="20"/>
          <w:szCs w:val="20"/>
          <w:lang w:val="es-ES_tradnl"/>
        </w:rPr>
        <w:t>la</w:t>
      </w:r>
      <w:r w:rsidR="008071BC" w:rsidRPr="00066E7D">
        <w:rPr>
          <w:rFonts w:asciiTheme="majorHAnsi" w:hAnsiTheme="majorHAnsi"/>
          <w:sz w:val="20"/>
          <w:szCs w:val="20"/>
          <w:lang w:val="es-ES_tradnl"/>
        </w:rPr>
        <w:t xml:space="preserve"> </w:t>
      </w:r>
      <w:r w:rsidR="00BA79A3" w:rsidRPr="00066E7D">
        <w:rPr>
          <w:rFonts w:asciiTheme="majorHAnsi" w:hAnsiTheme="majorHAnsi"/>
          <w:sz w:val="20"/>
          <w:szCs w:val="20"/>
          <w:lang w:val="es-ES_tradnl"/>
        </w:rPr>
        <w:t>pensión</w:t>
      </w:r>
      <w:r w:rsidR="001303ED" w:rsidRPr="00066E7D">
        <w:rPr>
          <w:rFonts w:asciiTheme="majorHAnsi" w:hAnsiTheme="majorHAnsi"/>
          <w:sz w:val="20"/>
          <w:szCs w:val="20"/>
          <w:lang w:val="es-ES_tradnl"/>
        </w:rPr>
        <w:t xml:space="preserve"> de jubilación</w:t>
      </w:r>
      <w:r w:rsidR="00BA79A3" w:rsidRPr="00066E7D">
        <w:rPr>
          <w:rFonts w:asciiTheme="majorHAnsi" w:hAnsiTheme="majorHAnsi"/>
          <w:sz w:val="20"/>
          <w:szCs w:val="20"/>
          <w:lang w:val="es-ES_tradnl"/>
        </w:rPr>
        <w:t>,</w:t>
      </w:r>
      <w:r w:rsidR="001303ED" w:rsidRPr="00066E7D">
        <w:rPr>
          <w:rFonts w:asciiTheme="majorHAnsi" w:hAnsiTheme="majorHAnsi"/>
          <w:sz w:val="20"/>
          <w:szCs w:val="20"/>
          <w:lang w:val="es-ES_tradnl"/>
        </w:rPr>
        <w:t xml:space="preserve"> y mediante </w:t>
      </w:r>
      <w:r w:rsidR="00E720C7" w:rsidRPr="00066E7D">
        <w:rPr>
          <w:rFonts w:asciiTheme="majorHAnsi" w:hAnsiTheme="majorHAnsi"/>
          <w:sz w:val="20"/>
          <w:szCs w:val="20"/>
          <w:lang w:val="es-ES_tradnl"/>
        </w:rPr>
        <w:t xml:space="preserve">decisión del 30 de abril de 2004, el </w:t>
      </w:r>
      <w:r w:rsidR="00E720C7" w:rsidRPr="00066E7D">
        <w:rPr>
          <w:rFonts w:asciiTheme="majorHAnsi" w:hAnsiTheme="majorHAnsi"/>
          <w:bCs/>
          <w:sz w:val="20"/>
          <w:szCs w:val="20"/>
          <w:lang w:val="es-ES_tradnl"/>
        </w:rPr>
        <w:t>Tribunal Superior del Distrito Judicial de Bogotá</w:t>
      </w:r>
      <w:r w:rsidR="00E720C7" w:rsidRPr="00066E7D">
        <w:rPr>
          <w:rFonts w:asciiTheme="majorHAnsi" w:hAnsiTheme="majorHAnsi"/>
          <w:sz w:val="20"/>
          <w:szCs w:val="20"/>
          <w:lang w:val="es-ES_tradnl"/>
        </w:rPr>
        <w:t xml:space="preserve"> condenó a la Caja Agraria</w:t>
      </w:r>
      <w:r w:rsidR="008B2D23" w:rsidRPr="00066E7D">
        <w:rPr>
          <w:rFonts w:asciiTheme="majorHAnsi" w:hAnsiTheme="majorHAnsi"/>
          <w:sz w:val="20"/>
          <w:szCs w:val="20"/>
          <w:lang w:val="es-ES_tradnl"/>
        </w:rPr>
        <w:t xml:space="preserve">. Adicionalmente, el peticionario contó con el pago </w:t>
      </w:r>
      <w:r w:rsidR="008B2D23" w:rsidRPr="00066E7D">
        <w:rPr>
          <w:rFonts w:asciiTheme="majorHAnsi" w:hAnsiTheme="majorHAnsi"/>
          <w:bCs/>
          <w:sz w:val="20"/>
          <w:szCs w:val="20"/>
          <w:lang w:val="es-ES_tradnl"/>
        </w:rPr>
        <w:t xml:space="preserve">de </w:t>
      </w:r>
      <w:r w:rsidR="00A378FD" w:rsidRPr="00066E7D">
        <w:rPr>
          <w:rFonts w:asciiTheme="majorHAnsi" w:hAnsiTheme="majorHAnsi"/>
          <w:bCs/>
          <w:sz w:val="20"/>
          <w:szCs w:val="20"/>
          <w:lang w:val="es-ES_tradnl"/>
        </w:rPr>
        <w:t xml:space="preserve">los </w:t>
      </w:r>
      <w:r w:rsidR="008B2D23" w:rsidRPr="00066E7D">
        <w:rPr>
          <w:rFonts w:asciiTheme="majorHAnsi" w:hAnsiTheme="majorHAnsi"/>
          <w:bCs/>
          <w:sz w:val="20"/>
          <w:szCs w:val="20"/>
          <w:lang w:val="es-ES_tradnl"/>
        </w:rPr>
        <w:t>salarios que dejó de percibir desde el 28 de junio de 1999 hasta el 28 de junio 2002, más una bonificación ante la imposibilidad de su reintegro que se ordenó en la resolución No. 2875 del 28 de junio de 2002.</w:t>
      </w:r>
      <w:r w:rsidR="00AC688E" w:rsidRPr="00066E7D">
        <w:rPr>
          <w:rFonts w:asciiTheme="majorHAnsi" w:hAnsiTheme="majorHAnsi"/>
          <w:bCs/>
          <w:sz w:val="20"/>
          <w:szCs w:val="20"/>
          <w:lang w:val="es-ES_tradnl"/>
        </w:rPr>
        <w:t xml:space="preserve"> </w:t>
      </w:r>
    </w:p>
    <w:p w14:paraId="0AD26ABD" w14:textId="605EA7B0" w:rsidR="005177AF" w:rsidRPr="00066E7D" w:rsidRDefault="005177AF" w:rsidP="00B22FC4">
      <w:pPr>
        <w:suppressAutoHyphens/>
        <w:spacing w:after="240"/>
        <w:ind w:firstLine="720"/>
        <w:jc w:val="both"/>
        <w:rPr>
          <w:rFonts w:asciiTheme="majorHAnsi" w:hAnsiTheme="majorHAnsi"/>
          <w:bCs/>
          <w:sz w:val="20"/>
          <w:szCs w:val="20"/>
          <w:lang w:val="es-ES_tradnl"/>
        </w:rPr>
      </w:pPr>
      <w:r w:rsidRPr="00066E7D">
        <w:rPr>
          <w:rFonts w:asciiTheme="majorHAnsi" w:hAnsiTheme="majorHAnsi"/>
          <w:bCs/>
          <w:sz w:val="20"/>
          <w:szCs w:val="20"/>
          <w:lang w:val="es-ES_tradnl"/>
        </w:rPr>
        <w:t>20.</w:t>
      </w:r>
      <w:r w:rsidRPr="00066E7D">
        <w:rPr>
          <w:rFonts w:asciiTheme="majorHAnsi" w:hAnsiTheme="majorHAnsi"/>
          <w:bCs/>
          <w:sz w:val="20"/>
          <w:szCs w:val="20"/>
          <w:lang w:val="es-ES_tradnl"/>
        </w:rPr>
        <w:tab/>
      </w:r>
      <w:r w:rsidR="001E4060" w:rsidRPr="00066E7D">
        <w:rPr>
          <w:rFonts w:asciiTheme="majorHAnsi" w:hAnsiTheme="majorHAnsi"/>
          <w:bCs/>
          <w:sz w:val="20"/>
          <w:szCs w:val="20"/>
          <w:lang w:val="es-ES_tradnl"/>
        </w:rPr>
        <w:t xml:space="preserve">Hechos que se observan </w:t>
      </w:r>
      <w:r w:rsidRPr="00066E7D">
        <w:rPr>
          <w:rFonts w:asciiTheme="majorHAnsi" w:hAnsiTheme="majorHAnsi"/>
          <w:bCs/>
          <w:sz w:val="20"/>
          <w:szCs w:val="20"/>
          <w:lang w:val="es-ES_tradnl"/>
        </w:rPr>
        <w:t>en las decisiones internas</w:t>
      </w:r>
      <w:r w:rsidR="001E4060" w:rsidRPr="00066E7D">
        <w:rPr>
          <w:rFonts w:asciiTheme="majorHAnsi" w:hAnsiTheme="majorHAnsi"/>
          <w:bCs/>
          <w:sz w:val="20"/>
          <w:szCs w:val="20"/>
          <w:lang w:val="es-ES_tradnl"/>
        </w:rPr>
        <w:t xml:space="preserve"> d</w:t>
      </w:r>
      <w:r w:rsidRPr="00066E7D">
        <w:rPr>
          <w:rFonts w:asciiTheme="majorHAnsi" w:hAnsiTheme="majorHAnsi"/>
          <w:bCs/>
          <w:sz w:val="20"/>
          <w:szCs w:val="20"/>
          <w:lang w:val="es-ES_tradnl"/>
        </w:rPr>
        <w:t>e</w:t>
      </w:r>
      <w:r w:rsidR="009363C7" w:rsidRPr="00066E7D">
        <w:rPr>
          <w:rFonts w:asciiTheme="majorHAnsi" w:hAnsiTheme="majorHAnsi"/>
          <w:bCs/>
          <w:sz w:val="20"/>
          <w:szCs w:val="20"/>
          <w:lang w:val="es-ES_tradnl"/>
        </w:rPr>
        <w:t>l 30 de octubre de 2008</w:t>
      </w:r>
      <w:r w:rsidR="001E4060" w:rsidRPr="00066E7D">
        <w:rPr>
          <w:rFonts w:asciiTheme="majorHAnsi" w:hAnsiTheme="majorHAnsi"/>
          <w:bCs/>
          <w:sz w:val="20"/>
          <w:szCs w:val="20"/>
          <w:lang w:val="es-ES_tradnl"/>
        </w:rPr>
        <w:t xml:space="preserve"> por </w:t>
      </w:r>
      <w:r w:rsidR="009363C7" w:rsidRPr="00066E7D">
        <w:rPr>
          <w:rFonts w:asciiTheme="majorHAnsi" w:hAnsiTheme="majorHAnsi"/>
          <w:bCs/>
          <w:sz w:val="20"/>
          <w:szCs w:val="20"/>
          <w:lang w:val="es-ES_tradnl"/>
        </w:rPr>
        <w:t xml:space="preserve">la Sala de Casación Laboral </w:t>
      </w:r>
      <w:r w:rsidR="004407CF" w:rsidRPr="00066E7D">
        <w:rPr>
          <w:rFonts w:asciiTheme="majorHAnsi" w:hAnsiTheme="majorHAnsi"/>
          <w:bCs/>
          <w:sz w:val="20"/>
          <w:szCs w:val="20"/>
          <w:lang w:val="es-ES_tradnl"/>
        </w:rPr>
        <w:t>de</w:t>
      </w:r>
      <w:r w:rsidRPr="00066E7D">
        <w:rPr>
          <w:rFonts w:asciiTheme="majorHAnsi" w:hAnsiTheme="majorHAnsi"/>
          <w:bCs/>
          <w:sz w:val="20"/>
          <w:szCs w:val="20"/>
          <w:lang w:val="es-ES_tradnl"/>
        </w:rPr>
        <w:t xml:space="preserve"> </w:t>
      </w:r>
      <w:r w:rsidR="004407CF" w:rsidRPr="00066E7D">
        <w:rPr>
          <w:rFonts w:asciiTheme="majorHAnsi" w:hAnsiTheme="majorHAnsi"/>
          <w:bCs/>
          <w:sz w:val="20"/>
          <w:szCs w:val="20"/>
          <w:lang w:val="es-ES_tradnl"/>
        </w:rPr>
        <w:t>la Corte Suprema de Justicia</w:t>
      </w:r>
      <w:r w:rsidR="00334EE6" w:rsidRPr="00066E7D">
        <w:rPr>
          <w:rFonts w:asciiTheme="majorHAnsi" w:hAnsiTheme="majorHAnsi"/>
          <w:bCs/>
          <w:sz w:val="20"/>
          <w:szCs w:val="20"/>
          <w:lang w:val="es-ES_tradnl"/>
        </w:rPr>
        <w:t xml:space="preserve"> </w:t>
      </w:r>
      <w:r w:rsidR="001E4060" w:rsidRPr="00066E7D">
        <w:rPr>
          <w:rFonts w:asciiTheme="majorHAnsi" w:hAnsiTheme="majorHAnsi"/>
          <w:bCs/>
          <w:sz w:val="20"/>
          <w:szCs w:val="20"/>
          <w:lang w:val="es-ES_tradnl"/>
        </w:rPr>
        <w:t xml:space="preserve">que </w:t>
      </w:r>
      <w:r w:rsidR="009363C7" w:rsidRPr="00066E7D">
        <w:rPr>
          <w:rFonts w:asciiTheme="majorHAnsi" w:hAnsiTheme="majorHAnsi"/>
          <w:bCs/>
          <w:sz w:val="20"/>
          <w:szCs w:val="20"/>
          <w:lang w:val="es-ES_tradnl"/>
        </w:rPr>
        <w:t xml:space="preserve">negó la tutela presentada </w:t>
      </w:r>
      <w:r w:rsidR="004407CF" w:rsidRPr="00066E7D">
        <w:rPr>
          <w:rFonts w:asciiTheme="majorHAnsi" w:hAnsiTheme="majorHAnsi"/>
          <w:bCs/>
          <w:sz w:val="20"/>
          <w:szCs w:val="20"/>
          <w:lang w:val="es-ES_tradnl"/>
        </w:rPr>
        <w:t>contra la sentencia del 13 de noviembre de 2007 de la Sala de Casación Civil de la Corte Suprema de Justicia</w:t>
      </w:r>
      <w:r w:rsidR="00CA61ED" w:rsidRPr="00066E7D">
        <w:rPr>
          <w:rFonts w:asciiTheme="majorHAnsi" w:hAnsiTheme="majorHAnsi"/>
          <w:bCs/>
          <w:sz w:val="20"/>
          <w:szCs w:val="20"/>
          <w:lang w:val="es-ES_tradnl"/>
        </w:rPr>
        <w:t>;</w:t>
      </w:r>
      <w:r w:rsidR="00334EE6" w:rsidRPr="00066E7D">
        <w:rPr>
          <w:rFonts w:asciiTheme="majorHAnsi" w:hAnsiTheme="majorHAnsi"/>
          <w:bCs/>
          <w:sz w:val="20"/>
          <w:szCs w:val="20"/>
          <w:lang w:val="es-ES_tradnl"/>
        </w:rPr>
        <w:t xml:space="preserve"> y la sentencia del 18 de enero de 2008 de la Sala de Casación Laboral de la Corte Suprema de Justicia, </w:t>
      </w:r>
      <w:r w:rsidR="001E4060" w:rsidRPr="00066E7D">
        <w:rPr>
          <w:rFonts w:asciiTheme="majorHAnsi" w:hAnsiTheme="majorHAnsi"/>
          <w:bCs/>
          <w:sz w:val="20"/>
          <w:szCs w:val="20"/>
          <w:lang w:val="es-ES_tradnl"/>
        </w:rPr>
        <w:t xml:space="preserve">que </w:t>
      </w:r>
      <w:r w:rsidR="00C70078" w:rsidRPr="00066E7D">
        <w:rPr>
          <w:rFonts w:asciiTheme="majorHAnsi" w:hAnsiTheme="majorHAnsi"/>
          <w:bCs/>
          <w:sz w:val="20"/>
          <w:szCs w:val="20"/>
          <w:lang w:val="es-ES_tradnl"/>
        </w:rPr>
        <w:t>sostuvo</w:t>
      </w:r>
      <w:r w:rsidR="001E4060" w:rsidRPr="00066E7D">
        <w:rPr>
          <w:rFonts w:asciiTheme="majorHAnsi" w:hAnsiTheme="majorHAnsi"/>
          <w:bCs/>
          <w:sz w:val="20"/>
          <w:szCs w:val="20"/>
          <w:lang w:val="es-ES_tradnl"/>
        </w:rPr>
        <w:t>:</w:t>
      </w:r>
    </w:p>
    <w:p w14:paraId="1AD920B6" w14:textId="10BECCEA" w:rsidR="00D967B2" w:rsidRPr="00066E7D" w:rsidRDefault="00C70078" w:rsidP="00F513E7">
      <w:pPr>
        <w:suppressAutoHyphens/>
        <w:spacing w:after="240"/>
        <w:ind w:left="720" w:right="720"/>
        <w:jc w:val="both"/>
        <w:rPr>
          <w:rFonts w:asciiTheme="majorHAnsi" w:hAnsiTheme="majorHAnsi"/>
          <w:bCs/>
          <w:sz w:val="20"/>
          <w:szCs w:val="20"/>
          <w:lang w:val="es-ES_tradnl"/>
        </w:rPr>
      </w:pPr>
      <w:r w:rsidRPr="00066E7D">
        <w:rPr>
          <w:rFonts w:asciiTheme="majorHAnsi" w:hAnsiTheme="majorHAnsi"/>
          <w:bCs/>
          <w:sz w:val="20"/>
          <w:szCs w:val="20"/>
          <w:lang w:val="es-ES_tradnl"/>
        </w:rPr>
        <w:t>el empleo al cual aspira que se le reinstale no existe como consecuencia del estado de liquidación de la Caja de Crédito Agrario, Industrial y Minero</w:t>
      </w:r>
      <w:r w:rsidR="00CF79C2" w:rsidRPr="00066E7D">
        <w:rPr>
          <w:rFonts w:asciiTheme="majorHAnsi" w:hAnsiTheme="majorHAnsi"/>
          <w:bCs/>
          <w:sz w:val="20"/>
          <w:szCs w:val="20"/>
          <w:lang w:val="es-ES_tradnl"/>
        </w:rPr>
        <w:t xml:space="preserve">, […] [y] aparece plenamente probado que él </w:t>
      </w:r>
      <w:r w:rsidR="009F0E4C" w:rsidRPr="00066E7D">
        <w:rPr>
          <w:rFonts w:asciiTheme="majorHAnsi" w:hAnsiTheme="majorHAnsi"/>
          <w:bCs/>
          <w:sz w:val="20"/>
          <w:szCs w:val="20"/>
          <w:lang w:val="es-ES_tradnl"/>
        </w:rPr>
        <w:t>se encuentra pensionado desde el 28 de junio de 1999</w:t>
      </w:r>
      <w:r w:rsidR="00956A72" w:rsidRPr="00066E7D">
        <w:rPr>
          <w:rFonts w:asciiTheme="majorHAnsi" w:hAnsiTheme="majorHAnsi"/>
          <w:bCs/>
          <w:sz w:val="20"/>
          <w:szCs w:val="20"/>
          <w:lang w:val="es-ES_tradnl"/>
        </w:rPr>
        <w:t xml:space="preserve">. </w:t>
      </w:r>
      <w:r w:rsidR="00013282" w:rsidRPr="00066E7D">
        <w:rPr>
          <w:rFonts w:asciiTheme="majorHAnsi" w:hAnsiTheme="majorHAnsi"/>
          <w:bCs/>
          <w:sz w:val="20"/>
          <w:szCs w:val="20"/>
          <w:lang w:val="es-ES_tradnl"/>
        </w:rPr>
        <w:t xml:space="preserve"> </w:t>
      </w:r>
      <w:r w:rsidR="00956A72" w:rsidRPr="00066E7D">
        <w:rPr>
          <w:rFonts w:asciiTheme="majorHAnsi" w:hAnsiTheme="majorHAnsi"/>
          <w:bCs/>
          <w:sz w:val="20"/>
          <w:szCs w:val="20"/>
          <w:lang w:val="es-ES_tradnl"/>
        </w:rPr>
        <w:t xml:space="preserve">[…] </w:t>
      </w:r>
      <w:r w:rsidR="00013282" w:rsidRPr="00066E7D">
        <w:rPr>
          <w:rFonts w:asciiTheme="majorHAnsi" w:hAnsiTheme="majorHAnsi"/>
          <w:bCs/>
          <w:sz w:val="20"/>
          <w:szCs w:val="20"/>
          <w:lang w:val="es-ES_tradnl"/>
        </w:rPr>
        <w:t>quedó plenamente establecida la imposibilidad jurídica de cumplir una orden de reintegro a un empleo respecto de alguien que desde el 28 de junio de 1999 disfruta de una pensión de jubilación, pues, c</w:t>
      </w:r>
      <w:r w:rsidR="005177AF" w:rsidRPr="00066E7D">
        <w:rPr>
          <w:rFonts w:asciiTheme="majorHAnsi" w:hAnsiTheme="majorHAnsi"/>
          <w:bCs/>
          <w:sz w:val="20"/>
          <w:szCs w:val="20"/>
          <w:lang w:val="es-ES_tradnl"/>
        </w:rPr>
        <w:t xml:space="preserve">omo el propio Hernando Ramírez Arboleda lo dice en el </w:t>
      </w:r>
      <w:r w:rsidR="00066E7D" w:rsidRPr="00066E7D">
        <w:rPr>
          <w:rFonts w:asciiTheme="majorHAnsi" w:hAnsiTheme="majorHAnsi"/>
          <w:bCs/>
          <w:sz w:val="20"/>
          <w:szCs w:val="20"/>
          <w:lang w:val="es-ES_tradnl"/>
        </w:rPr>
        <w:t>escrito</w:t>
      </w:r>
      <w:r w:rsidR="005177AF" w:rsidRPr="00066E7D">
        <w:rPr>
          <w:rFonts w:asciiTheme="majorHAnsi" w:hAnsiTheme="majorHAnsi"/>
          <w:bCs/>
          <w:sz w:val="20"/>
          <w:szCs w:val="20"/>
          <w:lang w:val="es-ES_tradnl"/>
        </w:rPr>
        <w:t xml:space="preserve"> que solicita tutela, la pensión que le fue reconocida judicialmente es irrenunciable.</w:t>
      </w:r>
    </w:p>
    <w:p w14:paraId="6EE017C6" w14:textId="2A53F377" w:rsidR="00AC688E" w:rsidRPr="00066E7D" w:rsidRDefault="001E4060" w:rsidP="00CA61ED">
      <w:pPr>
        <w:suppressAutoHyphens/>
        <w:spacing w:after="240"/>
        <w:ind w:firstLine="720"/>
        <w:jc w:val="both"/>
        <w:rPr>
          <w:rFonts w:asciiTheme="majorHAnsi" w:hAnsiTheme="majorHAnsi"/>
          <w:bCs/>
          <w:sz w:val="20"/>
          <w:szCs w:val="20"/>
          <w:lang w:val="es-ES_tradnl"/>
        </w:rPr>
      </w:pPr>
      <w:r w:rsidRPr="00066E7D">
        <w:rPr>
          <w:rFonts w:asciiTheme="majorHAnsi" w:hAnsiTheme="majorHAnsi"/>
          <w:bCs/>
          <w:sz w:val="20"/>
          <w:szCs w:val="20"/>
          <w:lang w:val="es-ES_tradnl"/>
        </w:rPr>
        <w:t>21.</w:t>
      </w:r>
      <w:r w:rsidRPr="00066E7D">
        <w:rPr>
          <w:rFonts w:asciiTheme="majorHAnsi" w:hAnsiTheme="majorHAnsi"/>
          <w:bCs/>
          <w:sz w:val="20"/>
          <w:szCs w:val="20"/>
          <w:lang w:val="es-ES_tradnl"/>
        </w:rPr>
        <w:tab/>
      </w:r>
      <w:r w:rsidR="00B52F0B" w:rsidRPr="00066E7D">
        <w:rPr>
          <w:rFonts w:asciiTheme="majorHAnsi" w:hAnsiTheme="majorHAnsi"/>
          <w:bCs/>
          <w:sz w:val="20"/>
          <w:szCs w:val="20"/>
          <w:lang w:val="es-ES_tradnl"/>
        </w:rPr>
        <w:t>Así como en la decisión de</w:t>
      </w:r>
      <w:r w:rsidR="00672B07" w:rsidRPr="00066E7D">
        <w:rPr>
          <w:rFonts w:asciiTheme="majorHAnsi" w:hAnsiTheme="majorHAnsi"/>
          <w:bCs/>
          <w:sz w:val="20"/>
          <w:szCs w:val="20"/>
          <w:lang w:val="es-ES_tradnl"/>
        </w:rPr>
        <w:t>l</w:t>
      </w:r>
      <w:r w:rsidR="003A7604" w:rsidRPr="00066E7D">
        <w:rPr>
          <w:rFonts w:asciiTheme="majorHAnsi" w:hAnsiTheme="majorHAnsi"/>
          <w:bCs/>
          <w:sz w:val="20"/>
          <w:szCs w:val="20"/>
          <w:lang w:val="es-ES_tradnl"/>
        </w:rPr>
        <w:t xml:space="preserve"> 17 de septiembre de 2009, </w:t>
      </w:r>
      <w:r w:rsidR="00B52F0B" w:rsidRPr="00066E7D">
        <w:rPr>
          <w:rFonts w:asciiTheme="majorHAnsi" w:hAnsiTheme="majorHAnsi"/>
          <w:bCs/>
          <w:sz w:val="20"/>
          <w:szCs w:val="20"/>
          <w:lang w:val="es-ES_tradnl"/>
        </w:rPr>
        <w:t xml:space="preserve">de </w:t>
      </w:r>
      <w:r w:rsidR="003A7604" w:rsidRPr="00066E7D">
        <w:rPr>
          <w:rFonts w:asciiTheme="majorHAnsi" w:hAnsiTheme="majorHAnsi"/>
          <w:bCs/>
          <w:sz w:val="20"/>
          <w:szCs w:val="20"/>
          <w:lang w:val="es-ES_tradnl"/>
        </w:rPr>
        <w:t xml:space="preserve">la Sala de Casación Penal </w:t>
      </w:r>
      <w:r w:rsidR="00D967B2" w:rsidRPr="00066E7D">
        <w:rPr>
          <w:rFonts w:asciiTheme="majorHAnsi" w:hAnsiTheme="majorHAnsi"/>
          <w:bCs/>
          <w:sz w:val="20"/>
          <w:szCs w:val="20"/>
          <w:lang w:val="es-ES_tradnl"/>
        </w:rPr>
        <w:t xml:space="preserve">de la Corte Suprema de Justicia </w:t>
      </w:r>
      <w:r w:rsidR="00672B07" w:rsidRPr="00066E7D">
        <w:rPr>
          <w:rFonts w:asciiTheme="majorHAnsi" w:hAnsiTheme="majorHAnsi"/>
          <w:bCs/>
          <w:sz w:val="20"/>
          <w:szCs w:val="20"/>
          <w:lang w:val="es-ES_tradnl"/>
        </w:rPr>
        <w:t>que negó</w:t>
      </w:r>
      <w:r w:rsidR="00B11D3C" w:rsidRPr="00066E7D">
        <w:rPr>
          <w:rFonts w:asciiTheme="majorHAnsi" w:hAnsiTheme="majorHAnsi"/>
          <w:bCs/>
          <w:sz w:val="20"/>
          <w:szCs w:val="20"/>
          <w:lang w:val="es-ES_tradnl"/>
        </w:rPr>
        <w:t xml:space="preserve"> la tutela </w:t>
      </w:r>
      <w:r w:rsidR="00B52F0B" w:rsidRPr="00066E7D">
        <w:rPr>
          <w:rFonts w:asciiTheme="majorHAnsi" w:hAnsiTheme="majorHAnsi"/>
          <w:bCs/>
          <w:sz w:val="20"/>
          <w:szCs w:val="20"/>
          <w:lang w:val="es-ES_tradnl"/>
        </w:rPr>
        <w:t xml:space="preserve">presentada </w:t>
      </w:r>
      <w:r w:rsidR="00B11D3C" w:rsidRPr="00066E7D">
        <w:rPr>
          <w:rFonts w:asciiTheme="majorHAnsi" w:hAnsiTheme="majorHAnsi"/>
          <w:bCs/>
          <w:sz w:val="20"/>
          <w:szCs w:val="20"/>
          <w:lang w:val="es-ES_tradnl"/>
        </w:rPr>
        <w:t>contra el Juzgado Penal del Circuito para Adolescentes de Manizales</w:t>
      </w:r>
      <w:r w:rsidR="00D967B2" w:rsidRPr="00066E7D">
        <w:rPr>
          <w:rFonts w:asciiTheme="majorHAnsi" w:hAnsiTheme="majorHAnsi"/>
          <w:bCs/>
          <w:sz w:val="20"/>
          <w:szCs w:val="20"/>
          <w:lang w:val="es-ES_tradnl"/>
        </w:rPr>
        <w:t xml:space="preserve"> </w:t>
      </w:r>
      <w:r w:rsidR="00B11D3C" w:rsidRPr="00066E7D">
        <w:rPr>
          <w:rFonts w:asciiTheme="majorHAnsi" w:hAnsiTheme="majorHAnsi"/>
          <w:bCs/>
          <w:sz w:val="20"/>
          <w:szCs w:val="20"/>
          <w:lang w:val="es-ES_tradnl"/>
        </w:rPr>
        <w:t>por negar el incidente de desacato</w:t>
      </w:r>
      <w:r w:rsidR="00B52F0B" w:rsidRPr="00066E7D">
        <w:rPr>
          <w:rFonts w:asciiTheme="majorHAnsi" w:hAnsiTheme="majorHAnsi"/>
          <w:bCs/>
          <w:sz w:val="20"/>
          <w:szCs w:val="20"/>
          <w:lang w:val="es-ES_tradnl"/>
        </w:rPr>
        <w:t xml:space="preserve">, y </w:t>
      </w:r>
      <w:r w:rsidR="00B11D3C" w:rsidRPr="00066E7D">
        <w:rPr>
          <w:rFonts w:asciiTheme="majorHAnsi" w:hAnsiTheme="majorHAnsi"/>
          <w:bCs/>
          <w:sz w:val="20"/>
          <w:szCs w:val="20"/>
          <w:lang w:val="es-ES_tradnl"/>
        </w:rPr>
        <w:t>en la que s</w:t>
      </w:r>
      <w:r w:rsidR="00672B07" w:rsidRPr="00066E7D">
        <w:rPr>
          <w:rFonts w:asciiTheme="majorHAnsi" w:hAnsiTheme="majorHAnsi"/>
          <w:bCs/>
          <w:sz w:val="20"/>
          <w:szCs w:val="20"/>
          <w:lang w:val="es-ES_tradnl"/>
        </w:rPr>
        <w:t>ostuvo que el accionante “</w:t>
      </w:r>
      <w:r w:rsidR="00672B07" w:rsidRPr="00066E7D">
        <w:rPr>
          <w:rFonts w:asciiTheme="majorHAnsi" w:hAnsiTheme="majorHAnsi"/>
          <w:bCs/>
          <w:i/>
          <w:iCs/>
          <w:sz w:val="20"/>
          <w:szCs w:val="20"/>
          <w:lang w:val="es-ES_tradnl"/>
        </w:rPr>
        <w:t xml:space="preserve">no puede pretender extender en el tiempo los efectos del fallo T-323 de 2005 emitido por la Corte Constitucional, cuando los supuestos de hecho han variado en consideración a las acciones ordinarias que ha ejercitado para obtener el reconocimiento de su </w:t>
      </w:r>
      <w:r w:rsidR="00672B07" w:rsidRPr="00066E7D">
        <w:rPr>
          <w:rFonts w:asciiTheme="majorHAnsi" w:hAnsiTheme="majorHAnsi"/>
          <w:bCs/>
          <w:i/>
          <w:iCs/>
          <w:sz w:val="20"/>
          <w:szCs w:val="20"/>
          <w:lang w:val="es-ES_tradnl"/>
        </w:rPr>
        <w:lastRenderedPageBreak/>
        <w:t>pretensión laboral</w:t>
      </w:r>
      <w:r w:rsidR="00672B07" w:rsidRPr="00066E7D">
        <w:rPr>
          <w:rFonts w:asciiTheme="majorHAnsi" w:hAnsiTheme="majorHAnsi"/>
          <w:bCs/>
          <w:sz w:val="20"/>
          <w:szCs w:val="20"/>
          <w:lang w:val="es-ES_tradnl"/>
        </w:rPr>
        <w:t>”</w:t>
      </w:r>
      <w:r w:rsidR="00B52F0B" w:rsidRPr="00066E7D">
        <w:rPr>
          <w:rFonts w:asciiTheme="majorHAnsi" w:hAnsiTheme="majorHAnsi"/>
          <w:bCs/>
          <w:sz w:val="20"/>
          <w:szCs w:val="20"/>
          <w:lang w:val="es-ES_tradnl"/>
        </w:rPr>
        <w:t xml:space="preserve">. </w:t>
      </w:r>
      <w:r w:rsidR="00AC688E" w:rsidRPr="00066E7D">
        <w:rPr>
          <w:rFonts w:asciiTheme="majorHAnsi" w:hAnsiTheme="majorHAnsi"/>
          <w:sz w:val="20"/>
          <w:szCs w:val="20"/>
          <w:lang w:val="es-ES_tradnl"/>
        </w:rPr>
        <w:t>En consecuencia, la Comisión concluye que la presente petición resulta inadmisible en los términos del artículo 47 de la Convención Americana sobre Derechos Humanos.</w:t>
      </w:r>
    </w:p>
    <w:p w14:paraId="445BF42E" w14:textId="77777777" w:rsidR="003239B8" w:rsidRPr="00066E7D" w:rsidRDefault="003239B8" w:rsidP="003239B8">
      <w:pPr>
        <w:pStyle w:val="ListParagraph"/>
        <w:spacing w:before="240" w:after="240"/>
        <w:jc w:val="both"/>
        <w:rPr>
          <w:rFonts w:asciiTheme="majorHAnsi" w:hAnsiTheme="majorHAnsi"/>
          <w:b/>
          <w:bCs/>
          <w:sz w:val="20"/>
          <w:szCs w:val="20"/>
          <w:lang w:val="es-ES_tradnl"/>
        </w:rPr>
      </w:pPr>
      <w:r w:rsidRPr="00066E7D">
        <w:rPr>
          <w:rFonts w:asciiTheme="majorHAnsi" w:hAnsiTheme="majorHAnsi"/>
          <w:b/>
          <w:bCs/>
          <w:sz w:val="20"/>
          <w:szCs w:val="20"/>
          <w:lang w:val="es-ES_tradnl"/>
        </w:rPr>
        <w:t xml:space="preserve">VIII. </w:t>
      </w:r>
      <w:r w:rsidRPr="00066E7D">
        <w:rPr>
          <w:rFonts w:asciiTheme="majorHAnsi" w:hAnsiTheme="majorHAnsi"/>
          <w:b/>
          <w:bCs/>
          <w:sz w:val="20"/>
          <w:szCs w:val="20"/>
          <w:lang w:val="es-ES_tradnl"/>
        </w:rPr>
        <w:tab/>
        <w:t>DECISIÓN</w:t>
      </w:r>
    </w:p>
    <w:p w14:paraId="7CCCB663" w14:textId="4FA012D9" w:rsidR="000419AD" w:rsidRPr="00066E7D" w:rsidRDefault="000419AD" w:rsidP="00305835">
      <w:pPr>
        <w:pStyle w:val="ListParagraph"/>
        <w:numPr>
          <w:ilvl w:val="0"/>
          <w:numId w:val="55"/>
        </w:numPr>
        <w:rPr>
          <w:rFonts w:eastAsia="Arial Unicode MS" w:cs="Times New Roman"/>
          <w:color w:val="000000" w:themeColor="text1"/>
          <w:sz w:val="20"/>
          <w:szCs w:val="20"/>
          <w:lang w:val="es-ES_tradnl" w:eastAsia="en-US"/>
        </w:rPr>
      </w:pPr>
      <w:r w:rsidRPr="00066E7D">
        <w:rPr>
          <w:rFonts w:eastAsia="Arial Unicode MS" w:cs="Times New Roman"/>
          <w:color w:val="000000" w:themeColor="text1"/>
          <w:sz w:val="20"/>
          <w:szCs w:val="20"/>
          <w:lang w:val="es-ES_tradnl" w:eastAsia="en-US"/>
        </w:rPr>
        <w:t>Declarar inadmisible la presente petición</w:t>
      </w:r>
      <w:r w:rsidR="00A758AA" w:rsidRPr="00066E7D">
        <w:rPr>
          <w:rFonts w:eastAsia="Arial Unicode MS" w:cs="Times New Roman"/>
          <w:color w:val="000000" w:themeColor="text1"/>
          <w:sz w:val="20"/>
          <w:szCs w:val="20"/>
          <w:lang w:val="es-ES_tradnl" w:eastAsia="en-US"/>
        </w:rPr>
        <w:t>;</w:t>
      </w:r>
      <w:r w:rsidR="004A6A54" w:rsidRPr="00066E7D">
        <w:rPr>
          <w:rFonts w:eastAsia="Arial Unicode MS" w:cs="Times New Roman"/>
          <w:color w:val="000000" w:themeColor="text1"/>
          <w:sz w:val="20"/>
          <w:szCs w:val="20"/>
          <w:lang w:val="es-ES_tradnl" w:eastAsia="en-US"/>
        </w:rPr>
        <w:t xml:space="preserve"> y</w:t>
      </w:r>
    </w:p>
    <w:p w14:paraId="547DFF8E" w14:textId="77777777" w:rsidR="000419AD" w:rsidRPr="00066E7D" w:rsidRDefault="000419AD" w:rsidP="000419AD">
      <w:pPr>
        <w:pStyle w:val="ListParagraph"/>
        <w:rPr>
          <w:rFonts w:eastAsia="Arial Unicode MS" w:cs="Times New Roman"/>
          <w:color w:val="auto"/>
          <w:sz w:val="20"/>
          <w:szCs w:val="20"/>
          <w:lang w:val="es-ES_tradnl" w:eastAsia="en-US"/>
        </w:rPr>
      </w:pPr>
    </w:p>
    <w:p w14:paraId="00C1D3B7" w14:textId="5DC0FC68" w:rsidR="008D768D" w:rsidRDefault="004A6A54" w:rsidP="00305835">
      <w:pPr>
        <w:numPr>
          <w:ilvl w:val="0"/>
          <w:numId w:val="55"/>
        </w:numPr>
        <w:suppressAutoHyphens/>
        <w:spacing w:after="240"/>
        <w:jc w:val="both"/>
        <w:rPr>
          <w:rFonts w:asciiTheme="majorHAnsi" w:hAnsiTheme="majorHAnsi"/>
          <w:sz w:val="20"/>
          <w:szCs w:val="20"/>
          <w:lang w:val="es-ES_tradnl"/>
        </w:rPr>
      </w:pPr>
      <w:r w:rsidRPr="00066E7D">
        <w:rPr>
          <w:rFonts w:asciiTheme="majorHAnsi" w:hAnsiTheme="majorHAnsi"/>
          <w:sz w:val="20"/>
          <w:szCs w:val="20"/>
          <w:lang w:val="es-ES_tradnl"/>
        </w:rPr>
        <w:t>Notificar a las partes la presente decisión; y publicar esta decisión e incluirla en su Informe Anual a la Asamblea General de la Organización de los Estados Americanos.</w:t>
      </w:r>
    </w:p>
    <w:p w14:paraId="65541718" w14:textId="7873193E" w:rsidR="00D42C35" w:rsidRPr="004514A3" w:rsidRDefault="00C0627C" w:rsidP="004514A3">
      <w:pPr>
        <w:ind w:firstLine="720"/>
        <w:jc w:val="both"/>
        <w:rPr>
          <w:rFonts w:asciiTheme="majorHAnsi" w:hAnsiTheme="majorHAnsi" w:cs="Arial"/>
          <w:noProof/>
          <w:spacing w:val="-2"/>
          <w:sz w:val="20"/>
          <w:szCs w:val="20"/>
          <w:lang w:val="es-CL"/>
        </w:rPr>
      </w:pPr>
      <w:bookmarkStart w:id="2" w:name="_Hlk95209781"/>
      <w:bookmarkStart w:id="3"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13</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004514A3">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2"/>
      <w:bookmarkEnd w:id="3"/>
    </w:p>
    <w:p w14:paraId="02C904B2" w14:textId="719FF724" w:rsidR="009A56CE" w:rsidRPr="00066E7D" w:rsidRDefault="009A56CE" w:rsidP="009A56CE">
      <w:pPr>
        <w:ind w:left="720"/>
        <w:jc w:val="both"/>
        <w:rPr>
          <w:rFonts w:ascii="Cambria" w:hAnsi="Cambria" w:cs="Calibri"/>
          <w:sz w:val="20"/>
          <w:szCs w:val="20"/>
          <w:lang w:val="es-ES_tradnl"/>
        </w:rPr>
      </w:pPr>
    </w:p>
    <w:sectPr w:rsidR="009A56CE" w:rsidRPr="00066E7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C5C65" w14:textId="77777777" w:rsidR="009D2E05" w:rsidRDefault="009D2E05">
      <w:r>
        <w:separator/>
      </w:r>
    </w:p>
  </w:endnote>
  <w:endnote w:type="continuationSeparator" w:id="0">
    <w:p w14:paraId="4337BD14" w14:textId="77777777" w:rsidR="009D2E05" w:rsidRDefault="009D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79FA5" w14:textId="77777777" w:rsidR="009D2E05" w:rsidRPr="000F35ED" w:rsidRDefault="009D2E0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64A67A0" w14:textId="77777777" w:rsidR="009D2E05" w:rsidRPr="000F35ED" w:rsidRDefault="009D2E05" w:rsidP="000F35ED">
      <w:pPr>
        <w:rPr>
          <w:rFonts w:asciiTheme="majorHAnsi" w:hAnsiTheme="majorHAnsi"/>
          <w:sz w:val="16"/>
          <w:szCs w:val="16"/>
        </w:rPr>
      </w:pPr>
      <w:r w:rsidRPr="000F35ED">
        <w:rPr>
          <w:rFonts w:asciiTheme="majorHAnsi" w:hAnsiTheme="majorHAnsi"/>
          <w:sz w:val="16"/>
          <w:szCs w:val="16"/>
        </w:rPr>
        <w:separator/>
      </w:r>
    </w:p>
    <w:p w14:paraId="5F763E5D" w14:textId="77777777" w:rsidR="009D2E05" w:rsidRPr="000F35ED" w:rsidRDefault="009D2E0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13E08AE" w14:textId="77777777" w:rsidR="009D2E05" w:rsidRPr="000F35ED" w:rsidRDefault="009D2E0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6E930B8" w14:textId="566E21E8" w:rsidR="004A6A54" w:rsidRPr="00DF534C" w:rsidRDefault="004A6A54" w:rsidP="00C0627C">
      <w:pPr>
        <w:pStyle w:val="FootnoteText"/>
        <w:ind w:firstLine="720"/>
        <w:jc w:val="both"/>
        <w:rPr>
          <w:rFonts w:asciiTheme="majorHAnsi" w:hAnsiTheme="majorHAnsi"/>
          <w:sz w:val="16"/>
          <w:szCs w:val="16"/>
          <w:lang w:val="es-ES"/>
        </w:rPr>
      </w:pPr>
      <w:r w:rsidRPr="00DF534C">
        <w:rPr>
          <w:rStyle w:val="FootnoteReference"/>
          <w:rFonts w:asciiTheme="majorHAnsi" w:hAnsiTheme="majorHAnsi"/>
          <w:sz w:val="16"/>
          <w:szCs w:val="16"/>
        </w:rPr>
        <w:footnoteRef/>
      </w:r>
      <w:r w:rsidRPr="00DF534C">
        <w:rPr>
          <w:rFonts w:asciiTheme="majorHAnsi" w:hAnsiTheme="majorHAnsi"/>
          <w:sz w:val="16"/>
          <w:szCs w:val="16"/>
          <w:lang w:val="es-ES"/>
        </w:rPr>
        <w:t xml:space="preserve"> Conforme a lo dispuesto en el artículo 17.2.a del Reglamento de la Comisión, el Comisionado </w:t>
      </w:r>
      <w:r w:rsidR="00467278" w:rsidRPr="00DF534C">
        <w:rPr>
          <w:rFonts w:asciiTheme="majorHAnsi" w:hAnsiTheme="majorHAnsi"/>
          <w:sz w:val="16"/>
          <w:szCs w:val="16"/>
          <w:lang w:val="es-ES"/>
        </w:rPr>
        <w:t>Carlos Bernal Pulido</w:t>
      </w:r>
      <w:r w:rsidRPr="00DF534C">
        <w:rPr>
          <w:rFonts w:asciiTheme="majorHAnsi" w:hAnsiTheme="majorHAnsi"/>
          <w:sz w:val="16"/>
          <w:szCs w:val="16"/>
          <w:lang w:val="es-ES"/>
        </w:rPr>
        <w:t xml:space="preserve">, de nacionalidad </w:t>
      </w:r>
      <w:r w:rsidR="00467278" w:rsidRPr="00DF534C">
        <w:rPr>
          <w:rFonts w:asciiTheme="majorHAnsi" w:hAnsiTheme="majorHAnsi"/>
          <w:sz w:val="16"/>
          <w:szCs w:val="16"/>
          <w:lang w:val="es-ES"/>
        </w:rPr>
        <w:t>colombiana</w:t>
      </w:r>
      <w:r w:rsidRPr="00DF534C">
        <w:rPr>
          <w:rFonts w:asciiTheme="majorHAnsi" w:hAnsiTheme="majorHAnsi"/>
          <w:sz w:val="16"/>
          <w:szCs w:val="16"/>
          <w:lang w:val="es-ES"/>
        </w:rPr>
        <w:t>, no participó en el debate ni en la decisión del presente asunto.</w:t>
      </w:r>
    </w:p>
  </w:footnote>
  <w:footnote w:id="3">
    <w:p w14:paraId="1AFEF3B0" w14:textId="7CD4D12C" w:rsidR="008E3BFE" w:rsidRPr="00DF534C" w:rsidRDefault="008E3BFE" w:rsidP="00306F33">
      <w:pPr>
        <w:pStyle w:val="FootnoteText"/>
        <w:ind w:firstLine="720"/>
        <w:jc w:val="both"/>
        <w:rPr>
          <w:rFonts w:asciiTheme="majorHAnsi" w:hAnsiTheme="majorHAnsi"/>
          <w:sz w:val="16"/>
          <w:szCs w:val="16"/>
          <w:lang w:val="es-ES"/>
        </w:rPr>
      </w:pPr>
      <w:r w:rsidRPr="00DF534C">
        <w:rPr>
          <w:rStyle w:val="FootnoteReference"/>
          <w:rFonts w:asciiTheme="majorHAnsi" w:hAnsiTheme="majorHAnsi"/>
          <w:sz w:val="16"/>
          <w:szCs w:val="16"/>
        </w:rPr>
        <w:footnoteRef/>
      </w:r>
      <w:r w:rsidRPr="00DF534C">
        <w:rPr>
          <w:rFonts w:asciiTheme="majorHAnsi" w:hAnsiTheme="majorHAnsi"/>
          <w:sz w:val="16"/>
          <w:szCs w:val="16"/>
          <w:lang w:val="es-ES"/>
        </w:rPr>
        <w:t xml:space="preserve"> Las observaciones de cada parte fueron debidamente trasladadas a la parte contraria.</w:t>
      </w:r>
      <w:r w:rsidR="009A56CE" w:rsidRPr="00DF534C">
        <w:rPr>
          <w:rFonts w:asciiTheme="majorHAnsi" w:hAnsiTheme="majorHAnsi"/>
          <w:sz w:val="16"/>
          <w:szCs w:val="16"/>
          <w:lang w:val="es-ES"/>
        </w:rPr>
        <w:t xml:space="preserve"> </w:t>
      </w:r>
    </w:p>
  </w:footnote>
  <w:footnote w:id="4">
    <w:p w14:paraId="1E2F07E8" w14:textId="77777777" w:rsidR="00DF534C" w:rsidRPr="007415A3" w:rsidRDefault="00DF534C" w:rsidP="00DF534C">
      <w:pPr>
        <w:pStyle w:val="FootnoteText"/>
        <w:ind w:firstLine="720"/>
        <w:rPr>
          <w:rFonts w:asciiTheme="majorHAnsi" w:hAnsiTheme="majorHAnsi"/>
          <w:sz w:val="16"/>
          <w:szCs w:val="16"/>
          <w:lang w:val="es-ES"/>
        </w:rPr>
      </w:pPr>
      <w:r w:rsidRPr="00DF534C">
        <w:rPr>
          <w:rStyle w:val="FootnoteReference"/>
          <w:rFonts w:asciiTheme="majorHAnsi" w:hAnsiTheme="majorHAnsi"/>
          <w:sz w:val="16"/>
          <w:szCs w:val="16"/>
        </w:rPr>
        <w:footnoteRef/>
      </w:r>
      <w:r w:rsidRPr="00DF534C">
        <w:rPr>
          <w:rFonts w:asciiTheme="majorHAnsi" w:hAnsiTheme="majorHAnsi"/>
          <w:sz w:val="16"/>
          <w:szCs w:val="16"/>
          <w:lang w:val="es-ES"/>
        </w:rPr>
        <w:t xml:space="preserve"> En adelante “la Convención Americana” o “la Convención”.</w:t>
      </w:r>
      <w:r w:rsidRPr="007415A3">
        <w:rPr>
          <w:rFonts w:asciiTheme="majorHAnsi" w:hAnsiTheme="majorHAnsi"/>
          <w:sz w:val="16"/>
          <w:szCs w:val="16"/>
          <w:lang w:val="es-ES"/>
        </w:rPr>
        <w:t xml:space="preserve"> </w:t>
      </w:r>
    </w:p>
  </w:footnote>
  <w:footnote w:id="5">
    <w:p w14:paraId="3BEED174" w14:textId="77777777" w:rsidR="0022369A" w:rsidRPr="009E4232" w:rsidRDefault="0022369A" w:rsidP="0022369A">
      <w:pPr>
        <w:pStyle w:val="FootnoteText"/>
        <w:ind w:firstLine="720"/>
        <w:rPr>
          <w:rFonts w:asciiTheme="majorHAnsi" w:hAnsiTheme="majorHAnsi"/>
          <w:sz w:val="16"/>
          <w:szCs w:val="16"/>
          <w:lang w:val="es-ES"/>
        </w:rPr>
      </w:pPr>
      <w:r w:rsidRPr="00EA039B">
        <w:rPr>
          <w:rStyle w:val="FootnoteReference"/>
          <w:rFonts w:asciiTheme="majorHAnsi" w:hAnsiTheme="majorHAnsi"/>
          <w:color w:val="000000" w:themeColor="text1"/>
          <w:sz w:val="16"/>
          <w:szCs w:val="16"/>
        </w:rPr>
        <w:footnoteRef/>
      </w:r>
      <w:r w:rsidRPr="00EA039B">
        <w:rPr>
          <w:rFonts w:asciiTheme="majorHAnsi" w:hAnsiTheme="majorHAnsi"/>
          <w:color w:val="000000" w:themeColor="text1"/>
          <w:sz w:val="16"/>
          <w:szCs w:val="16"/>
          <w:lang w:val="es-ES"/>
        </w:rPr>
        <w:t xml:space="preserve">  CIDH, Informe No. 27/16, Petición 30-04. Inadmisibilidad. Luis Alexsander Santillán Hermoza. Perú. 15 de abril de 2016, párrs. </w:t>
      </w:r>
      <w:r w:rsidRPr="009E4232">
        <w:rPr>
          <w:rFonts w:asciiTheme="majorHAnsi" w:hAnsiTheme="majorHAnsi"/>
          <w:color w:val="000000" w:themeColor="text1"/>
          <w:sz w:val="16"/>
          <w:szCs w:val="16"/>
          <w:lang w:val="es-ES"/>
        </w:rPr>
        <w:t>25 y 26.</w:t>
      </w:r>
    </w:p>
  </w:footnote>
  <w:footnote w:id="6">
    <w:p w14:paraId="56F6B626" w14:textId="63AE1EEC" w:rsidR="00B935CD" w:rsidRPr="009E4232" w:rsidRDefault="00B935CD" w:rsidP="0017446E">
      <w:pPr>
        <w:pStyle w:val="FootnoteText"/>
        <w:ind w:firstLine="720"/>
        <w:jc w:val="both"/>
        <w:rPr>
          <w:rFonts w:asciiTheme="majorHAnsi" w:hAnsiTheme="majorHAnsi"/>
          <w:sz w:val="16"/>
          <w:szCs w:val="16"/>
          <w:lang w:val="es-ES"/>
        </w:rPr>
      </w:pPr>
      <w:r w:rsidRPr="0017446E">
        <w:rPr>
          <w:rStyle w:val="FootnoteReference"/>
          <w:rFonts w:asciiTheme="majorHAnsi" w:hAnsiTheme="majorHAnsi"/>
          <w:sz w:val="16"/>
          <w:szCs w:val="16"/>
        </w:rPr>
        <w:footnoteRef/>
      </w:r>
      <w:r w:rsidRPr="0017446E">
        <w:rPr>
          <w:rFonts w:asciiTheme="majorHAnsi" w:hAnsiTheme="majorHAnsi"/>
          <w:sz w:val="16"/>
          <w:szCs w:val="16"/>
          <w:lang w:val="es-ES"/>
        </w:rPr>
        <w:t xml:space="preserve"> CIDH, Informe No. 57/17. Petición 406-04. Admisibilidad. </w:t>
      </w:r>
      <w:r w:rsidRPr="009E4232">
        <w:rPr>
          <w:rFonts w:asciiTheme="majorHAnsi" w:hAnsiTheme="majorHAnsi"/>
          <w:sz w:val="16"/>
          <w:szCs w:val="16"/>
          <w:lang w:val="es-ES"/>
        </w:rPr>
        <w:t>Washington David Espino Muñoz. República Dominicana. 5 de junio de 2017, párr. 30</w:t>
      </w:r>
    </w:p>
  </w:footnote>
  <w:footnote w:id="7">
    <w:p w14:paraId="5641C267" w14:textId="016A0DA4" w:rsidR="0039626B" w:rsidRPr="009E4232" w:rsidRDefault="0039626B" w:rsidP="0017446E">
      <w:pPr>
        <w:pStyle w:val="FootnoteText"/>
        <w:ind w:firstLine="720"/>
        <w:jc w:val="both"/>
        <w:rPr>
          <w:rFonts w:asciiTheme="majorHAnsi" w:hAnsiTheme="majorHAnsi"/>
          <w:sz w:val="16"/>
          <w:szCs w:val="16"/>
          <w:lang w:val="es-ES"/>
        </w:rPr>
      </w:pPr>
      <w:r w:rsidRPr="0017446E">
        <w:rPr>
          <w:rStyle w:val="FootnoteReference"/>
          <w:rFonts w:asciiTheme="majorHAnsi" w:hAnsiTheme="majorHAnsi"/>
          <w:sz w:val="16"/>
          <w:szCs w:val="16"/>
        </w:rPr>
        <w:footnoteRef/>
      </w:r>
      <w:r w:rsidRPr="0017446E">
        <w:rPr>
          <w:rFonts w:asciiTheme="majorHAnsi" w:hAnsiTheme="majorHAnsi"/>
          <w:sz w:val="16"/>
          <w:szCs w:val="16"/>
          <w:lang w:val="es-ES"/>
        </w:rPr>
        <w:t xml:space="preserve"> CIDH, Informe </w:t>
      </w:r>
      <w:r w:rsidR="0026442F" w:rsidRPr="0017446E">
        <w:rPr>
          <w:rFonts w:asciiTheme="majorHAnsi" w:hAnsiTheme="majorHAnsi"/>
          <w:sz w:val="16"/>
          <w:szCs w:val="16"/>
          <w:lang w:val="es-ES"/>
        </w:rPr>
        <w:t>84/22. Petición 2334-12. Inadmisibilidad. Diana Patricia Pérez Tobón y familiares. Colombia.</w:t>
      </w:r>
      <w:r w:rsidR="001D7881" w:rsidRPr="0017446E">
        <w:rPr>
          <w:rFonts w:asciiTheme="majorHAnsi" w:hAnsiTheme="majorHAnsi"/>
          <w:sz w:val="16"/>
          <w:szCs w:val="16"/>
          <w:lang w:val="es-ES"/>
        </w:rPr>
        <w:t xml:space="preserve">12 de abril de 2022, </w:t>
      </w:r>
      <w:r w:rsidR="0026442F" w:rsidRPr="0017446E">
        <w:rPr>
          <w:rFonts w:asciiTheme="majorHAnsi" w:hAnsiTheme="majorHAnsi"/>
          <w:sz w:val="16"/>
          <w:szCs w:val="16"/>
          <w:lang w:val="es-ES"/>
        </w:rPr>
        <w:t>p</w:t>
      </w:r>
      <w:r w:rsidR="001D7881" w:rsidRPr="0017446E">
        <w:rPr>
          <w:rFonts w:asciiTheme="majorHAnsi" w:hAnsiTheme="majorHAnsi"/>
          <w:sz w:val="16"/>
          <w:szCs w:val="16"/>
          <w:lang w:val="es-ES"/>
        </w:rPr>
        <w:t>á</w:t>
      </w:r>
      <w:r w:rsidR="0026442F" w:rsidRPr="0017446E">
        <w:rPr>
          <w:rFonts w:asciiTheme="majorHAnsi" w:hAnsiTheme="majorHAnsi"/>
          <w:sz w:val="16"/>
          <w:szCs w:val="16"/>
          <w:lang w:val="es-ES"/>
        </w:rPr>
        <w:t>rr.</w:t>
      </w:r>
      <w:r w:rsidR="001D7881" w:rsidRPr="0017446E">
        <w:rPr>
          <w:rFonts w:asciiTheme="majorHAnsi" w:hAnsiTheme="majorHAnsi"/>
          <w:sz w:val="16"/>
          <w:szCs w:val="16"/>
          <w:lang w:val="es-ES"/>
        </w:rPr>
        <w:t>17; Informe</w:t>
      </w:r>
      <w:r w:rsidRPr="0017446E">
        <w:rPr>
          <w:rFonts w:asciiTheme="majorHAnsi" w:hAnsiTheme="majorHAnsi"/>
          <w:sz w:val="16"/>
          <w:szCs w:val="16"/>
          <w:lang w:val="es-ES"/>
        </w:rPr>
        <w:t xml:space="preserve"> No. 122/19. Petición 1442-09. Admisibilidad. Luis Fernando Hernández Carvajal y otros. Colombia. 14 de julio de 2019; Informe No. 116/19. Petición 1780-10. Admisibilidad. Carlos Fernando Ballivián Jiménez. </w:t>
      </w:r>
      <w:r w:rsidRPr="009E4232">
        <w:rPr>
          <w:rFonts w:asciiTheme="majorHAnsi" w:hAnsiTheme="majorHAnsi"/>
          <w:sz w:val="16"/>
          <w:szCs w:val="16"/>
          <w:lang w:val="es-ES"/>
        </w:rPr>
        <w:t>Argentina. 3 de julio de 2019, párr. 16; Informe No. 111/19. Petición 335-08. Admisibilidad. Marcelo Gerardo Pereyra. Argentina. 7 de junio de 2019, párr. 13.</w:t>
      </w:r>
    </w:p>
  </w:footnote>
  <w:footnote w:id="8">
    <w:p w14:paraId="38F827E7" w14:textId="743A21D1" w:rsidR="0017446E" w:rsidRPr="00C044F5" w:rsidRDefault="0017446E" w:rsidP="0017446E">
      <w:pPr>
        <w:pStyle w:val="FootnoteText"/>
        <w:ind w:firstLine="720"/>
        <w:jc w:val="both"/>
        <w:rPr>
          <w:rFonts w:asciiTheme="majorHAnsi" w:hAnsiTheme="majorHAnsi"/>
          <w:sz w:val="16"/>
          <w:szCs w:val="16"/>
          <w:lang w:val="es-ES"/>
        </w:rPr>
      </w:pPr>
      <w:r w:rsidRPr="0017446E">
        <w:rPr>
          <w:rStyle w:val="FootnoteReference"/>
          <w:rFonts w:asciiTheme="majorHAnsi" w:hAnsiTheme="majorHAnsi"/>
          <w:sz w:val="16"/>
          <w:szCs w:val="16"/>
        </w:rPr>
        <w:footnoteRef/>
      </w:r>
      <w:r w:rsidRPr="0017446E">
        <w:rPr>
          <w:rFonts w:asciiTheme="majorHAnsi" w:hAnsiTheme="majorHAnsi"/>
          <w:sz w:val="16"/>
          <w:szCs w:val="16"/>
          <w:lang w:val="es-ES"/>
        </w:rPr>
        <w:t xml:space="preserve"> CIDH, Informe Nº 83/05 (Inadmisibilidad), Petición 644/00, Carlos Alberto López Urquía, Honduras, 24 de octubre de 2005, párr. </w:t>
      </w:r>
      <w:r w:rsidRPr="00C044F5">
        <w:rPr>
          <w:rFonts w:asciiTheme="majorHAnsi" w:hAnsiTheme="majorHAnsi"/>
          <w:sz w:val="16"/>
          <w:szCs w:val="16"/>
          <w:lang w:val="es-ES"/>
        </w:rPr>
        <w:t>72.</w:t>
      </w:r>
    </w:p>
    <w:p w14:paraId="5B60608A" w14:textId="231F8BC2" w:rsidR="0017446E" w:rsidRPr="00C044F5" w:rsidRDefault="0017446E" w:rsidP="0017446E">
      <w:pPr>
        <w:pStyle w:val="FootnoteText"/>
        <w:ind w:firstLine="720"/>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990DB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10148311"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r w:rsidR="00014012">
      <w:rPr>
        <w:noProof/>
        <w:sz w:val="22"/>
        <w:szCs w:val="22"/>
        <w:bdr w:val="nil"/>
      </w:rPr>
      <w:pict w14:anchorId="51FA72D7">
        <v:rect id="_x0000_i1025" alt="" style="width:468pt;height:.05pt;mso-width-percent:0;mso-height-percent:0;mso-width-percent:0;mso-height-percent:0" o:hralign="center" o:hrstd="t" o:hr="t" fillcolor="#a0a0a0" stroked="f"/>
      </w:pict>
    </w:r>
  </w:p>
  <w:p w14:paraId="24BB2C52" w14:textId="154B9277" w:rsidR="00040C3A" w:rsidRPr="00EC7D62" w:rsidRDefault="00040C3A" w:rsidP="00A50FCF">
    <w:pPr>
      <w:pStyle w:val="Header"/>
      <w:tabs>
        <w:tab w:val="clear" w:pos="4320"/>
        <w:tab w:val="clear" w:pos="8640"/>
      </w:tabs>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819805765">
    <w:abstractNumId w:val="3"/>
  </w:num>
  <w:num w:numId="2" w16cid:durableId="304940324">
    <w:abstractNumId w:val="4"/>
  </w:num>
  <w:num w:numId="3" w16cid:durableId="1238831571">
    <w:abstractNumId w:val="52"/>
  </w:num>
  <w:num w:numId="4" w16cid:durableId="1523543925">
    <w:abstractNumId w:val="19"/>
  </w:num>
  <w:num w:numId="5" w16cid:durableId="647056720">
    <w:abstractNumId w:val="46"/>
  </w:num>
  <w:num w:numId="6" w16cid:durableId="686179181">
    <w:abstractNumId w:val="26"/>
  </w:num>
  <w:num w:numId="7" w16cid:durableId="1192256740">
    <w:abstractNumId w:val="5"/>
  </w:num>
  <w:num w:numId="8" w16cid:durableId="145978747">
    <w:abstractNumId w:val="15"/>
  </w:num>
  <w:num w:numId="9" w16cid:durableId="1093933204">
    <w:abstractNumId w:val="41"/>
  </w:num>
  <w:num w:numId="10" w16cid:durableId="2062515509">
    <w:abstractNumId w:val="0"/>
  </w:num>
  <w:num w:numId="11" w16cid:durableId="738602107">
    <w:abstractNumId w:val="36"/>
  </w:num>
  <w:num w:numId="12" w16cid:durableId="1633638209">
    <w:abstractNumId w:val="37"/>
  </w:num>
  <w:num w:numId="13" w16cid:durableId="554394772">
    <w:abstractNumId w:val="43"/>
  </w:num>
  <w:num w:numId="14" w16cid:durableId="564921565">
    <w:abstractNumId w:val="1"/>
  </w:num>
  <w:num w:numId="15" w16cid:durableId="1195121704">
    <w:abstractNumId w:val="2"/>
  </w:num>
  <w:num w:numId="16" w16cid:durableId="531113358">
    <w:abstractNumId w:val="6"/>
  </w:num>
  <w:num w:numId="17" w16cid:durableId="262346287">
    <w:abstractNumId w:val="7"/>
  </w:num>
  <w:num w:numId="18" w16cid:durableId="92946546">
    <w:abstractNumId w:val="8"/>
  </w:num>
  <w:num w:numId="19" w16cid:durableId="929969604">
    <w:abstractNumId w:val="9"/>
  </w:num>
  <w:num w:numId="20" w16cid:durableId="360128557">
    <w:abstractNumId w:val="10"/>
  </w:num>
  <w:num w:numId="21" w16cid:durableId="1751003256">
    <w:abstractNumId w:val="11"/>
  </w:num>
  <w:num w:numId="22" w16cid:durableId="501623847">
    <w:abstractNumId w:val="12"/>
  </w:num>
  <w:num w:numId="23" w16cid:durableId="1828785168">
    <w:abstractNumId w:val="13"/>
  </w:num>
  <w:num w:numId="24" w16cid:durableId="685325116">
    <w:abstractNumId w:val="14"/>
  </w:num>
  <w:num w:numId="25" w16cid:durableId="1260023651">
    <w:abstractNumId w:val="16"/>
  </w:num>
  <w:num w:numId="26" w16cid:durableId="1568607467">
    <w:abstractNumId w:val="17"/>
  </w:num>
  <w:num w:numId="27" w16cid:durableId="2132047379">
    <w:abstractNumId w:val="20"/>
  </w:num>
  <w:num w:numId="28" w16cid:durableId="1702432064">
    <w:abstractNumId w:val="21"/>
  </w:num>
  <w:num w:numId="29" w16cid:durableId="1897929461">
    <w:abstractNumId w:val="22"/>
  </w:num>
  <w:num w:numId="30" w16cid:durableId="389577597">
    <w:abstractNumId w:val="24"/>
  </w:num>
  <w:num w:numId="31" w16cid:durableId="776757379">
    <w:abstractNumId w:val="27"/>
  </w:num>
  <w:num w:numId="32" w16cid:durableId="314459443">
    <w:abstractNumId w:val="28"/>
  </w:num>
  <w:num w:numId="33" w16cid:durableId="2023626231">
    <w:abstractNumId w:val="29"/>
  </w:num>
  <w:num w:numId="34" w16cid:durableId="854615509">
    <w:abstractNumId w:val="30"/>
  </w:num>
  <w:num w:numId="35" w16cid:durableId="242686311">
    <w:abstractNumId w:val="31"/>
  </w:num>
  <w:num w:numId="36" w16cid:durableId="1796367354">
    <w:abstractNumId w:val="32"/>
  </w:num>
  <w:num w:numId="37" w16cid:durableId="805202419">
    <w:abstractNumId w:val="33"/>
  </w:num>
  <w:num w:numId="38" w16cid:durableId="1923370217">
    <w:abstractNumId w:val="34"/>
  </w:num>
  <w:num w:numId="39" w16cid:durableId="1943217062">
    <w:abstractNumId w:val="38"/>
  </w:num>
  <w:num w:numId="40" w16cid:durableId="2044286124">
    <w:abstractNumId w:val="39"/>
  </w:num>
  <w:num w:numId="41" w16cid:durableId="2146701897">
    <w:abstractNumId w:val="45"/>
  </w:num>
  <w:num w:numId="42" w16cid:durableId="470828221">
    <w:abstractNumId w:val="47"/>
  </w:num>
  <w:num w:numId="43" w16cid:durableId="791050142">
    <w:abstractNumId w:val="48"/>
  </w:num>
  <w:num w:numId="44" w16cid:durableId="492644791">
    <w:abstractNumId w:val="50"/>
  </w:num>
  <w:num w:numId="45" w16cid:durableId="297805115">
    <w:abstractNumId w:val="51"/>
  </w:num>
  <w:num w:numId="46" w16cid:durableId="1362054683">
    <w:abstractNumId w:val="53"/>
  </w:num>
  <w:num w:numId="47" w16cid:durableId="1273971374">
    <w:abstractNumId w:val="54"/>
  </w:num>
  <w:num w:numId="48" w16cid:durableId="356272499">
    <w:abstractNumId w:val="55"/>
  </w:num>
  <w:num w:numId="49" w16cid:durableId="765613223">
    <w:abstractNumId w:val="56"/>
  </w:num>
  <w:num w:numId="50" w16cid:durableId="2113087408">
    <w:abstractNumId w:val="57"/>
  </w:num>
  <w:num w:numId="51" w16cid:durableId="1618759067">
    <w:abstractNumId w:val="18"/>
  </w:num>
  <w:num w:numId="52" w16cid:durableId="1534153382">
    <w:abstractNumId w:val="40"/>
  </w:num>
  <w:num w:numId="53" w16cid:durableId="1692222282">
    <w:abstractNumId w:val="49"/>
  </w:num>
  <w:num w:numId="54" w16cid:durableId="1721125014">
    <w:abstractNumId w:val="44"/>
  </w:num>
  <w:num w:numId="55" w16cid:durableId="544754262">
    <w:abstractNumId w:val="42"/>
  </w:num>
  <w:num w:numId="56" w16cid:durableId="1982268984">
    <w:abstractNumId w:val="25"/>
  </w:num>
  <w:num w:numId="57" w16cid:durableId="2085836915">
    <w:abstractNumId w:val="23"/>
  </w:num>
  <w:num w:numId="58" w16cid:durableId="1678119493">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5F85"/>
    <w:rsid w:val="00006E1F"/>
    <w:rsid w:val="000070D7"/>
    <w:rsid w:val="00013282"/>
    <w:rsid w:val="00014012"/>
    <w:rsid w:val="000160D7"/>
    <w:rsid w:val="000172CF"/>
    <w:rsid w:val="0001788C"/>
    <w:rsid w:val="0002344B"/>
    <w:rsid w:val="0002509C"/>
    <w:rsid w:val="00030D7A"/>
    <w:rsid w:val="000337EF"/>
    <w:rsid w:val="00034E4B"/>
    <w:rsid w:val="00040C3A"/>
    <w:rsid w:val="000419AD"/>
    <w:rsid w:val="000433C9"/>
    <w:rsid w:val="00045A21"/>
    <w:rsid w:val="00060CD0"/>
    <w:rsid w:val="000631D2"/>
    <w:rsid w:val="00066E7D"/>
    <w:rsid w:val="00066F47"/>
    <w:rsid w:val="00071174"/>
    <w:rsid w:val="000716C5"/>
    <w:rsid w:val="00071762"/>
    <w:rsid w:val="00075D26"/>
    <w:rsid w:val="00075E23"/>
    <w:rsid w:val="00077C4C"/>
    <w:rsid w:val="0009344A"/>
    <w:rsid w:val="00096399"/>
    <w:rsid w:val="00096C13"/>
    <w:rsid w:val="0009795C"/>
    <w:rsid w:val="000A392E"/>
    <w:rsid w:val="000A575F"/>
    <w:rsid w:val="000A655F"/>
    <w:rsid w:val="000B54BB"/>
    <w:rsid w:val="000B5621"/>
    <w:rsid w:val="000C1940"/>
    <w:rsid w:val="000C1EB6"/>
    <w:rsid w:val="000C499C"/>
    <w:rsid w:val="000D05CB"/>
    <w:rsid w:val="000D10DB"/>
    <w:rsid w:val="000D14A0"/>
    <w:rsid w:val="000D457C"/>
    <w:rsid w:val="000D6923"/>
    <w:rsid w:val="000E5EB5"/>
    <w:rsid w:val="000E62C1"/>
    <w:rsid w:val="000F35ED"/>
    <w:rsid w:val="000F3679"/>
    <w:rsid w:val="000F7347"/>
    <w:rsid w:val="001004FE"/>
    <w:rsid w:val="00107131"/>
    <w:rsid w:val="001072A3"/>
    <w:rsid w:val="0010736F"/>
    <w:rsid w:val="001113D9"/>
    <w:rsid w:val="00112396"/>
    <w:rsid w:val="00113F73"/>
    <w:rsid w:val="00121CC2"/>
    <w:rsid w:val="00121EA2"/>
    <w:rsid w:val="00130095"/>
    <w:rsid w:val="001303ED"/>
    <w:rsid w:val="00131425"/>
    <w:rsid w:val="00132ACE"/>
    <w:rsid w:val="00133660"/>
    <w:rsid w:val="00133EE5"/>
    <w:rsid w:val="00136B7F"/>
    <w:rsid w:val="0015561A"/>
    <w:rsid w:val="00156D32"/>
    <w:rsid w:val="001570BF"/>
    <w:rsid w:val="00157EE7"/>
    <w:rsid w:val="00160A9C"/>
    <w:rsid w:val="00167A34"/>
    <w:rsid w:val="0017446E"/>
    <w:rsid w:val="00175301"/>
    <w:rsid w:val="00182ABF"/>
    <w:rsid w:val="001846FA"/>
    <w:rsid w:val="00192C01"/>
    <w:rsid w:val="001933E3"/>
    <w:rsid w:val="001A520D"/>
    <w:rsid w:val="001A64E6"/>
    <w:rsid w:val="001A7870"/>
    <w:rsid w:val="001B387E"/>
    <w:rsid w:val="001B3A00"/>
    <w:rsid w:val="001B478B"/>
    <w:rsid w:val="001B5D8C"/>
    <w:rsid w:val="001B6995"/>
    <w:rsid w:val="001B7FDE"/>
    <w:rsid w:val="001C1026"/>
    <w:rsid w:val="001C1B41"/>
    <w:rsid w:val="001C320F"/>
    <w:rsid w:val="001C4270"/>
    <w:rsid w:val="001D1082"/>
    <w:rsid w:val="001D65EF"/>
    <w:rsid w:val="001D7881"/>
    <w:rsid w:val="001D7F96"/>
    <w:rsid w:val="001E3D9D"/>
    <w:rsid w:val="001E4060"/>
    <w:rsid w:val="001E49E7"/>
    <w:rsid w:val="001E671C"/>
    <w:rsid w:val="001E71B7"/>
    <w:rsid w:val="001F2D96"/>
    <w:rsid w:val="001F4D38"/>
    <w:rsid w:val="001F7201"/>
    <w:rsid w:val="00201E9D"/>
    <w:rsid w:val="002033A9"/>
    <w:rsid w:val="00205234"/>
    <w:rsid w:val="00210CAD"/>
    <w:rsid w:val="00215D49"/>
    <w:rsid w:val="0022369A"/>
    <w:rsid w:val="00223A29"/>
    <w:rsid w:val="00224A82"/>
    <w:rsid w:val="00224AA6"/>
    <w:rsid w:val="002250A3"/>
    <w:rsid w:val="00230780"/>
    <w:rsid w:val="00232669"/>
    <w:rsid w:val="00235217"/>
    <w:rsid w:val="002364E6"/>
    <w:rsid w:val="00236AB6"/>
    <w:rsid w:val="002418B9"/>
    <w:rsid w:val="00245C6F"/>
    <w:rsid w:val="00246D1F"/>
    <w:rsid w:val="002470B5"/>
    <w:rsid w:val="00247403"/>
    <w:rsid w:val="00247542"/>
    <w:rsid w:val="002562F6"/>
    <w:rsid w:val="0026442F"/>
    <w:rsid w:val="00264885"/>
    <w:rsid w:val="00266B61"/>
    <w:rsid w:val="00266CBB"/>
    <w:rsid w:val="0026712A"/>
    <w:rsid w:val="002704DB"/>
    <w:rsid w:val="00273411"/>
    <w:rsid w:val="00275025"/>
    <w:rsid w:val="002A0AAE"/>
    <w:rsid w:val="002A5820"/>
    <w:rsid w:val="002B6A71"/>
    <w:rsid w:val="002C15C7"/>
    <w:rsid w:val="002C1C20"/>
    <w:rsid w:val="002D2B26"/>
    <w:rsid w:val="002D7EA2"/>
    <w:rsid w:val="002E187C"/>
    <w:rsid w:val="002E6026"/>
    <w:rsid w:val="002E6418"/>
    <w:rsid w:val="002F01C0"/>
    <w:rsid w:val="002F267A"/>
    <w:rsid w:val="002F2C63"/>
    <w:rsid w:val="002F51EE"/>
    <w:rsid w:val="00302733"/>
    <w:rsid w:val="00305835"/>
    <w:rsid w:val="00306F33"/>
    <w:rsid w:val="00311E08"/>
    <w:rsid w:val="00314078"/>
    <w:rsid w:val="0031535D"/>
    <w:rsid w:val="0032237B"/>
    <w:rsid w:val="003239B8"/>
    <w:rsid w:val="003244AA"/>
    <w:rsid w:val="00324C98"/>
    <w:rsid w:val="00324E37"/>
    <w:rsid w:val="0033169F"/>
    <w:rsid w:val="00333077"/>
    <w:rsid w:val="00334EE6"/>
    <w:rsid w:val="0033724C"/>
    <w:rsid w:val="00344977"/>
    <w:rsid w:val="00345A31"/>
    <w:rsid w:val="00345A9B"/>
    <w:rsid w:val="00346C95"/>
    <w:rsid w:val="00350DCB"/>
    <w:rsid w:val="003523C6"/>
    <w:rsid w:val="00352BDD"/>
    <w:rsid w:val="0035423C"/>
    <w:rsid w:val="00356185"/>
    <w:rsid w:val="00357EBE"/>
    <w:rsid w:val="00360380"/>
    <w:rsid w:val="00360B08"/>
    <w:rsid w:val="00361D68"/>
    <w:rsid w:val="0037519E"/>
    <w:rsid w:val="003839AE"/>
    <w:rsid w:val="00386CF0"/>
    <w:rsid w:val="00390002"/>
    <w:rsid w:val="0039155C"/>
    <w:rsid w:val="00394073"/>
    <w:rsid w:val="0039626B"/>
    <w:rsid w:val="003A0B25"/>
    <w:rsid w:val="003A4930"/>
    <w:rsid w:val="003A7604"/>
    <w:rsid w:val="003B6E1D"/>
    <w:rsid w:val="003B70FB"/>
    <w:rsid w:val="003C26BB"/>
    <w:rsid w:val="003C2825"/>
    <w:rsid w:val="003C449B"/>
    <w:rsid w:val="003C505F"/>
    <w:rsid w:val="003C676B"/>
    <w:rsid w:val="003D3BC2"/>
    <w:rsid w:val="003D5E49"/>
    <w:rsid w:val="003E47CE"/>
    <w:rsid w:val="003E6CA1"/>
    <w:rsid w:val="003E7370"/>
    <w:rsid w:val="003F5154"/>
    <w:rsid w:val="003F5BA9"/>
    <w:rsid w:val="004025EF"/>
    <w:rsid w:val="00403668"/>
    <w:rsid w:val="00404A74"/>
    <w:rsid w:val="00405F9C"/>
    <w:rsid w:val="004065A8"/>
    <w:rsid w:val="00407B06"/>
    <w:rsid w:val="00411225"/>
    <w:rsid w:val="004165C2"/>
    <w:rsid w:val="004241A0"/>
    <w:rsid w:val="004261A0"/>
    <w:rsid w:val="004407CF"/>
    <w:rsid w:val="0044126B"/>
    <w:rsid w:val="00441ECB"/>
    <w:rsid w:val="00442FF0"/>
    <w:rsid w:val="004450C6"/>
    <w:rsid w:val="00445193"/>
    <w:rsid w:val="00446052"/>
    <w:rsid w:val="004461DB"/>
    <w:rsid w:val="00450034"/>
    <w:rsid w:val="004509A4"/>
    <w:rsid w:val="004514A3"/>
    <w:rsid w:val="00451D3E"/>
    <w:rsid w:val="0045306E"/>
    <w:rsid w:val="0045487F"/>
    <w:rsid w:val="00462C1B"/>
    <w:rsid w:val="004644EE"/>
    <w:rsid w:val="00467278"/>
    <w:rsid w:val="00467B7E"/>
    <w:rsid w:val="004738CA"/>
    <w:rsid w:val="00473BB4"/>
    <w:rsid w:val="00477592"/>
    <w:rsid w:val="004804D9"/>
    <w:rsid w:val="00481937"/>
    <w:rsid w:val="00486F1C"/>
    <w:rsid w:val="00490CFE"/>
    <w:rsid w:val="00491C2C"/>
    <w:rsid w:val="0049419D"/>
    <w:rsid w:val="0049442A"/>
    <w:rsid w:val="00494729"/>
    <w:rsid w:val="00494958"/>
    <w:rsid w:val="00494DF1"/>
    <w:rsid w:val="0049597F"/>
    <w:rsid w:val="004A057B"/>
    <w:rsid w:val="004A27AC"/>
    <w:rsid w:val="004A5FCB"/>
    <w:rsid w:val="004A6A54"/>
    <w:rsid w:val="004A70E8"/>
    <w:rsid w:val="004B41F9"/>
    <w:rsid w:val="004B421C"/>
    <w:rsid w:val="004C0FA1"/>
    <w:rsid w:val="004C20D2"/>
    <w:rsid w:val="004C2312"/>
    <w:rsid w:val="004C4B62"/>
    <w:rsid w:val="004C54C9"/>
    <w:rsid w:val="004C654D"/>
    <w:rsid w:val="004D278D"/>
    <w:rsid w:val="004D2CFA"/>
    <w:rsid w:val="004D3358"/>
    <w:rsid w:val="004D492F"/>
    <w:rsid w:val="004D4ABA"/>
    <w:rsid w:val="004D52E6"/>
    <w:rsid w:val="004D6025"/>
    <w:rsid w:val="004E2649"/>
    <w:rsid w:val="004E52A8"/>
    <w:rsid w:val="004F626F"/>
    <w:rsid w:val="00500742"/>
    <w:rsid w:val="00501399"/>
    <w:rsid w:val="00502E0D"/>
    <w:rsid w:val="00502EAC"/>
    <w:rsid w:val="005030FA"/>
    <w:rsid w:val="005047ED"/>
    <w:rsid w:val="005058AF"/>
    <w:rsid w:val="0050633D"/>
    <w:rsid w:val="00507BC4"/>
    <w:rsid w:val="005108C1"/>
    <w:rsid w:val="00511EB8"/>
    <w:rsid w:val="005128E4"/>
    <w:rsid w:val="00513260"/>
    <w:rsid w:val="005133DB"/>
    <w:rsid w:val="00514504"/>
    <w:rsid w:val="0051692E"/>
    <w:rsid w:val="005177AF"/>
    <w:rsid w:val="00521E1F"/>
    <w:rsid w:val="00525560"/>
    <w:rsid w:val="005262B3"/>
    <w:rsid w:val="00540306"/>
    <w:rsid w:val="00542EF1"/>
    <w:rsid w:val="00543B75"/>
    <w:rsid w:val="00544C49"/>
    <w:rsid w:val="005516A1"/>
    <w:rsid w:val="00554682"/>
    <w:rsid w:val="005559EF"/>
    <w:rsid w:val="00560138"/>
    <w:rsid w:val="00561DDC"/>
    <w:rsid w:val="00563557"/>
    <w:rsid w:val="0056401C"/>
    <w:rsid w:val="0056730F"/>
    <w:rsid w:val="005723AA"/>
    <w:rsid w:val="00572B57"/>
    <w:rsid w:val="0057402A"/>
    <w:rsid w:val="005771D0"/>
    <w:rsid w:val="00590063"/>
    <w:rsid w:val="0059191A"/>
    <w:rsid w:val="005921FF"/>
    <w:rsid w:val="00592D83"/>
    <w:rsid w:val="0059376A"/>
    <w:rsid w:val="00593BF7"/>
    <w:rsid w:val="005969C1"/>
    <w:rsid w:val="005A24ED"/>
    <w:rsid w:val="005A4A65"/>
    <w:rsid w:val="005A6D0E"/>
    <w:rsid w:val="005B52B0"/>
    <w:rsid w:val="005B6806"/>
    <w:rsid w:val="005C4225"/>
    <w:rsid w:val="005C7E51"/>
    <w:rsid w:val="005D01BA"/>
    <w:rsid w:val="005D6331"/>
    <w:rsid w:val="005E4658"/>
    <w:rsid w:val="005E7AD9"/>
    <w:rsid w:val="005F0060"/>
    <w:rsid w:val="005F00F0"/>
    <w:rsid w:val="005F0DAD"/>
    <w:rsid w:val="005F0F33"/>
    <w:rsid w:val="005F7117"/>
    <w:rsid w:val="00600DEB"/>
    <w:rsid w:val="00601550"/>
    <w:rsid w:val="006063CF"/>
    <w:rsid w:val="006125A8"/>
    <w:rsid w:val="00627C9F"/>
    <w:rsid w:val="006311E9"/>
    <w:rsid w:val="00632131"/>
    <w:rsid w:val="00632354"/>
    <w:rsid w:val="00634FDF"/>
    <w:rsid w:val="00635421"/>
    <w:rsid w:val="00635AFC"/>
    <w:rsid w:val="0063765F"/>
    <w:rsid w:val="0063788C"/>
    <w:rsid w:val="0063798F"/>
    <w:rsid w:val="006411CB"/>
    <w:rsid w:val="00642810"/>
    <w:rsid w:val="00652333"/>
    <w:rsid w:val="00656706"/>
    <w:rsid w:val="0066020F"/>
    <w:rsid w:val="006629F0"/>
    <w:rsid w:val="0066310A"/>
    <w:rsid w:val="006653B6"/>
    <w:rsid w:val="00671E3C"/>
    <w:rsid w:val="00672B07"/>
    <w:rsid w:val="0068009E"/>
    <w:rsid w:val="0068618F"/>
    <w:rsid w:val="006872EA"/>
    <w:rsid w:val="006874C8"/>
    <w:rsid w:val="00692219"/>
    <w:rsid w:val="006958EB"/>
    <w:rsid w:val="006A17D2"/>
    <w:rsid w:val="006A47F3"/>
    <w:rsid w:val="006A73E6"/>
    <w:rsid w:val="006B2D5C"/>
    <w:rsid w:val="006B4D67"/>
    <w:rsid w:val="006B7F98"/>
    <w:rsid w:val="006C0ECF"/>
    <w:rsid w:val="006C4EB1"/>
    <w:rsid w:val="006C67DA"/>
    <w:rsid w:val="006D6001"/>
    <w:rsid w:val="006D67A8"/>
    <w:rsid w:val="006D70F2"/>
    <w:rsid w:val="006E0166"/>
    <w:rsid w:val="006E2FFB"/>
    <w:rsid w:val="006E7B34"/>
    <w:rsid w:val="006F4787"/>
    <w:rsid w:val="007041AC"/>
    <w:rsid w:val="0070697F"/>
    <w:rsid w:val="00707D68"/>
    <w:rsid w:val="007103C4"/>
    <w:rsid w:val="00714AB2"/>
    <w:rsid w:val="00717C12"/>
    <w:rsid w:val="0072199C"/>
    <w:rsid w:val="00722C9F"/>
    <w:rsid w:val="00724214"/>
    <w:rsid w:val="007248B5"/>
    <w:rsid w:val="007253B8"/>
    <w:rsid w:val="00732490"/>
    <w:rsid w:val="00733158"/>
    <w:rsid w:val="007366B4"/>
    <w:rsid w:val="0073741F"/>
    <w:rsid w:val="00737784"/>
    <w:rsid w:val="00741155"/>
    <w:rsid w:val="007415A3"/>
    <w:rsid w:val="007469AF"/>
    <w:rsid w:val="00746C0D"/>
    <w:rsid w:val="0075470B"/>
    <w:rsid w:val="0075515D"/>
    <w:rsid w:val="00755332"/>
    <w:rsid w:val="0076643F"/>
    <w:rsid w:val="007708ED"/>
    <w:rsid w:val="007724F5"/>
    <w:rsid w:val="007761FA"/>
    <w:rsid w:val="00777F63"/>
    <w:rsid w:val="0078520F"/>
    <w:rsid w:val="00786E1F"/>
    <w:rsid w:val="00791A6B"/>
    <w:rsid w:val="007932AC"/>
    <w:rsid w:val="0079392B"/>
    <w:rsid w:val="007A5817"/>
    <w:rsid w:val="007B05C4"/>
    <w:rsid w:val="007B40FE"/>
    <w:rsid w:val="007B60E9"/>
    <w:rsid w:val="007B6CC3"/>
    <w:rsid w:val="007B6E64"/>
    <w:rsid w:val="007B76D3"/>
    <w:rsid w:val="007C3334"/>
    <w:rsid w:val="007D2B98"/>
    <w:rsid w:val="007D67B1"/>
    <w:rsid w:val="007D6F69"/>
    <w:rsid w:val="007E21BC"/>
    <w:rsid w:val="007E4132"/>
    <w:rsid w:val="007E4155"/>
    <w:rsid w:val="007E7C82"/>
    <w:rsid w:val="007F234E"/>
    <w:rsid w:val="007F2AA1"/>
    <w:rsid w:val="007F588D"/>
    <w:rsid w:val="007F6355"/>
    <w:rsid w:val="00803AFD"/>
    <w:rsid w:val="00803F1C"/>
    <w:rsid w:val="00805741"/>
    <w:rsid w:val="0080600E"/>
    <w:rsid w:val="008071BC"/>
    <w:rsid w:val="00812011"/>
    <w:rsid w:val="008121BA"/>
    <w:rsid w:val="00814688"/>
    <w:rsid w:val="00814FB6"/>
    <w:rsid w:val="00816C8D"/>
    <w:rsid w:val="00817612"/>
    <w:rsid w:val="008312B6"/>
    <w:rsid w:val="0083208C"/>
    <w:rsid w:val="008338A4"/>
    <w:rsid w:val="00834504"/>
    <w:rsid w:val="00834D49"/>
    <w:rsid w:val="00837C45"/>
    <w:rsid w:val="008419B7"/>
    <w:rsid w:val="00844730"/>
    <w:rsid w:val="008457C2"/>
    <w:rsid w:val="00856AAC"/>
    <w:rsid w:val="00857A82"/>
    <w:rsid w:val="00862B10"/>
    <w:rsid w:val="00866F5D"/>
    <w:rsid w:val="0087014B"/>
    <w:rsid w:val="0087091D"/>
    <w:rsid w:val="008721EA"/>
    <w:rsid w:val="00873836"/>
    <w:rsid w:val="0087792B"/>
    <w:rsid w:val="00885737"/>
    <w:rsid w:val="00890650"/>
    <w:rsid w:val="00891AD5"/>
    <w:rsid w:val="008920A4"/>
    <w:rsid w:val="008944DC"/>
    <w:rsid w:val="00896D3B"/>
    <w:rsid w:val="00897E12"/>
    <w:rsid w:val="008A50CC"/>
    <w:rsid w:val="008A52CA"/>
    <w:rsid w:val="008A6A60"/>
    <w:rsid w:val="008A7E0F"/>
    <w:rsid w:val="008B05A8"/>
    <w:rsid w:val="008B12F5"/>
    <w:rsid w:val="008B2CB9"/>
    <w:rsid w:val="008B2D23"/>
    <w:rsid w:val="008C5260"/>
    <w:rsid w:val="008C5E2D"/>
    <w:rsid w:val="008D7658"/>
    <w:rsid w:val="008D768D"/>
    <w:rsid w:val="008E0CBF"/>
    <w:rsid w:val="008E3759"/>
    <w:rsid w:val="008E3BFE"/>
    <w:rsid w:val="008E5FBA"/>
    <w:rsid w:val="008F1912"/>
    <w:rsid w:val="008F1DA0"/>
    <w:rsid w:val="008F5736"/>
    <w:rsid w:val="008F7562"/>
    <w:rsid w:val="008F79DC"/>
    <w:rsid w:val="0090142A"/>
    <w:rsid w:val="0090270B"/>
    <w:rsid w:val="00902E8F"/>
    <w:rsid w:val="009041DC"/>
    <w:rsid w:val="00912FCA"/>
    <w:rsid w:val="009168BA"/>
    <w:rsid w:val="00917B5A"/>
    <w:rsid w:val="00920A58"/>
    <w:rsid w:val="00920A8C"/>
    <w:rsid w:val="009212C9"/>
    <w:rsid w:val="0092149D"/>
    <w:rsid w:val="00925587"/>
    <w:rsid w:val="00930EEB"/>
    <w:rsid w:val="00933776"/>
    <w:rsid w:val="00934A2C"/>
    <w:rsid w:val="009358E8"/>
    <w:rsid w:val="009363C7"/>
    <w:rsid w:val="00956A72"/>
    <w:rsid w:val="00960ED1"/>
    <w:rsid w:val="0096706E"/>
    <w:rsid w:val="009679D4"/>
    <w:rsid w:val="00973EA7"/>
    <w:rsid w:val="009740D3"/>
    <w:rsid w:val="00974491"/>
    <w:rsid w:val="00974D9C"/>
    <w:rsid w:val="00975C4E"/>
    <w:rsid w:val="00981FBA"/>
    <w:rsid w:val="00983A67"/>
    <w:rsid w:val="0098502D"/>
    <w:rsid w:val="00990DBA"/>
    <w:rsid w:val="00990FDA"/>
    <w:rsid w:val="0099202E"/>
    <w:rsid w:val="00997BC5"/>
    <w:rsid w:val="009A1319"/>
    <w:rsid w:val="009A22C6"/>
    <w:rsid w:val="009A2914"/>
    <w:rsid w:val="009A4F41"/>
    <w:rsid w:val="009A56CE"/>
    <w:rsid w:val="009A738D"/>
    <w:rsid w:val="009B0388"/>
    <w:rsid w:val="009B2D29"/>
    <w:rsid w:val="009B381B"/>
    <w:rsid w:val="009B3C4E"/>
    <w:rsid w:val="009C0483"/>
    <w:rsid w:val="009C629E"/>
    <w:rsid w:val="009D1753"/>
    <w:rsid w:val="009D252F"/>
    <w:rsid w:val="009D2E05"/>
    <w:rsid w:val="009D5C4F"/>
    <w:rsid w:val="009D7611"/>
    <w:rsid w:val="009E0B61"/>
    <w:rsid w:val="009E4232"/>
    <w:rsid w:val="009E53DE"/>
    <w:rsid w:val="009F022D"/>
    <w:rsid w:val="009F0E4C"/>
    <w:rsid w:val="00A01B39"/>
    <w:rsid w:val="00A07158"/>
    <w:rsid w:val="00A1049F"/>
    <w:rsid w:val="00A11212"/>
    <w:rsid w:val="00A11E44"/>
    <w:rsid w:val="00A15562"/>
    <w:rsid w:val="00A211A5"/>
    <w:rsid w:val="00A262F2"/>
    <w:rsid w:val="00A30100"/>
    <w:rsid w:val="00A31103"/>
    <w:rsid w:val="00A316C2"/>
    <w:rsid w:val="00A328B3"/>
    <w:rsid w:val="00A339DF"/>
    <w:rsid w:val="00A378AE"/>
    <w:rsid w:val="00A378FD"/>
    <w:rsid w:val="00A50FCF"/>
    <w:rsid w:val="00A528D1"/>
    <w:rsid w:val="00A61013"/>
    <w:rsid w:val="00A610CD"/>
    <w:rsid w:val="00A66E74"/>
    <w:rsid w:val="00A732FF"/>
    <w:rsid w:val="00A758AA"/>
    <w:rsid w:val="00A8212B"/>
    <w:rsid w:val="00A92BED"/>
    <w:rsid w:val="00AA09A2"/>
    <w:rsid w:val="00AA0AF1"/>
    <w:rsid w:val="00AA4BCC"/>
    <w:rsid w:val="00AA7996"/>
    <w:rsid w:val="00AA7AAD"/>
    <w:rsid w:val="00AB0667"/>
    <w:rsid w:val="00AB3CAF"/>
    <w:rsid w:val="00AB7A9B"/>
    <w:rsid w:val="00AC18CB"/>
    <w:rsid w:val="00AC19CB"/>
    <w:rsid w:val="00AC688E"/>
    <w:rsid w:val="00AC7F1B"/>
    <w:rsid w:val="00AE025C"/>
    <w:rsid w:val="00AE0414"/>
    <w:rsid w:val="00AE5265"/>
    <w:rsid w:val="00AE5488"/>
    <w:rsid w:val="00AE6F91"/>
    <w:rsid w:val="00AF1777"/>
    <w:rsid w:val="00AF290D"/>
    <w:rsid w:val="00AF422F"/>
    <w:rsid w:val="00AF4F68"/>
    <w:rsid w:val="00AF5571"/>
    <w:rsid w:val="00B007F4"/>
    <w:rsid w:val="00B023A3"/>
    <w:rsid w:val="00B04818"/>
    <w:rsid w:val="00B05641"/>
    <w:rsid w:val="00B06899"/>
    <w:rsid w:val="00B07341"/>
    <w:rsid w:val="00B11D3C"/>
    <w:rsid w:val="00B1765C"/>
    <w:rsid w:val="00B22F80"/>
    <w:rsid w:val="00B22FC4"/>
    <w:rsid w:val="00B231EC"/>
    <w:rsid w:val="00B26E78"/>
    <w:rsid w:val="00B30539"/>
    <w:rsid w:val="00B30AC8"/>
    <w:rsid w:val="00B314DB"/>
    <w:rsid w:val="00B32518"/>
    <w:rsid w:val="00B35CD5"/>
    <w:rsid w:val="00B361F2"/>
    <w:rsid w:val="00B36292"/>
    <w:rsid w:val="00B3718B"/>
    <w:rsid w:val="00B3745F"/>
    <w:rsid w:val="00B37658"/>
    <w:rsid w:val="00B45D6E"/>
    <w:rsid w:val="00B46239"/>
    <w:rsid w:val="00B4632A"/>
    <w:rsid w:val="00B515E5"/>
    <w:rsid w:val="00B518DB"/>
    <w:rsid w:val="00B52F0B"/>
    <w:rsid w:val="00B530F1"/>
    <w:rsid w:val="00B577FD"/>
    <w:rsid w:val="00B65516"/>
    <w:rsid w:val="00B65828"/>
    <w:rsid w:val="00B71460"/>
    <w:rsid w:val="00B75A73"/>
    <w:rsid w:val="00B81CF5"/>
    <w:rsid w:val="00B82BA1"/>
    <w:rsid w:val="00B838C6"/>
    <w:rsid w:val="00B8587B"/>
    <w:rsid w:val="00B9040D"/>
    <w:rsid w:val="00B935CD"/>
    <w:rsid w:val="00B93D7F"/>
    <w:rsid w:val="00B95A37"/>
    <w:rsid w:val="00BA0B14"/>
    <w:rsid w:val="00BA1C3A"/>
    <w:rsid w:val="00BA276C"/>
    <w:rsid w:val="00BA5202"/>
    <w:rsid w:val="00BA79A3"/>
    <w:rsid w:val="00BB019D"/>
    <w:rsid w:val="00BB0DE3"/>
    <w:rsid w:val="00BB1E43"/>
    <w:rsid w:val="00BB306F"/>
    <w:rsid w:val="00BB315C"/>
    <w:rsid w:val="00BB7D73"/>
    <w:rsid w:val="00BC58A2"/>
    <w:rsid w:val="00BD0FF5"/>
    <w:rsid w:val="00BD10E6"/>
    <w:rsid w:val="00BD140B"/>
    <w:rsid w:val="00BD4B17"/>
    <w:rsid w:val="00BD4B89"/>
    <w:rsid w:val="00BD5922"/>
    <w:rsid w:val="00BD6300"/>
    <w:rsid w:val="00BE254B"/>
    <w:rsid w:val="00BF02CB"/>
    <w:rsid w:val="00BF13AE"/>
    <w:rsid w:val="00BF20E8"/>
    <w:rsid w:val="00BF442B"/>
    <w:rsid w:val="00BF6FD8"/>
    <w:rsid w:val="00C03680"/>
    <w:rsid w:val="00C044F5"/>
    <w:rsid w:val="00C049E4"/>
    <w:rsid w:val="00C054DF"/>
    <w:rsid w:val="00C0627C"/>
    <w:rsid w:val="00C21762"/>
    <w:rsid w:val="00C21FEF"/>
    <w:rsid w:val="00C23BA4"/>
    <w:rsid w:val="00C23C52"/>
    <w:rsid w:val="00C24543"/>
    <w:rsid w:val="00C251DA"/>
    <w:rsid w:val="00C256A2"/>
    <w:rsid w:val="00C25ADB"/>
    <w:rsid w:val="00C269EF"/>
    <w:rsid w:val="00C2771C"/>
    <w:rsid w:val="00C319A1"/>
    <w:rsid w:val="00C32953"/>
    <w:rsid w:val="00C35711"/>
    <w:rsid w:val="00C35912"/>
    <w:rsid w:val="00C508B2"/>
    <w:rsid w:val="00C51515"/>
    <w:rsid w:val="00C5660B"/>
    <w:rsid w:val="00C65813"/>
    <w:rsid w:val="00C66B72"/>
    <w:rsid w:val="00C70078"/>
    <w:rsid w:val="00C704B8"/>
    <w:rsid w:val="00C82AD0"/>
    <w:rsid w:val="00C83CEC"/>
    <w:rsid w:val="00C84801"/>
    <w:rsid w:val="00C87AC4"/>
    <w:rsid w:val="00C930FF"/>
    <w:rsid w:val="00C9567A"/>
    <w:rsid w:val="00CA352E"/>
    <w:rsid w:val="00CA52D2"/>
    <w:rsid w:val="00CA61ED"/>
    <w:rsid w:val="00CB212D"/>
    <w:rsid w:val="00CB2582"/>
    <w:rsid w:val="00CB2660"/>
    <w:rsid w:val="00CB4F8A"/>
    <w:rsid w:val="00CB6849"/>
    <w:rsid w:val="00CC01A2"/>
    <w:rsid w:val="00CC4826"/>
    <w:rsid w:val="00CC5E90"/>
    <w:rsid w:val="00CC64EB"/>
    <w:rsid w:val="00CC7EBE"/>
    <w:rsid w:val="00CD03F8"/>
    <w:rsid w:val="00CD046C"/>
    <w:rsid w:val="00CD49E6"/>
    <w:rsid w:val="00CE076C"/>
    <w:rsid w:val="00CE2D21"/>
    <w:rsid w:val="00CE5199"/>
    <w:rsid w:val="00CE5794"/>
    <w:rsid w:val="00CE66D5"/>
    <w:rsid w:val="00CE7E19"/>
    <w:rsid w:val="00CF637A"/>
    <w:rsid w:val="00CF6F5B"/>
    <w:rsid w:val="00CF6FC7"/>
    <w:rsid w:val="00CF79C2"/>
    <w:rsid w:val="00D0014D"/>
    <w:rsid w:val="00D059DE"/>
    <w:rsid w:val="00D05ABD"/>
    <w:rsid w:val="00D11C88"/>
    <w:rsid w:val="00D13FCE"/>
    <w:rsid w:val="00D15446"/>
    <w:rsid w:val="00D16B6E"/>
    <w:rsid w:val="00D24DC7"/>
    <w:rsid w:val="00D306D1"/>
    <w:rsid w:val="00D30800"/>
    <w:rsid w:val="00D34786"/>
    <w:rsid w:val="00D37BFC"/>
    <w:rsid w:val="00D37EBE"/>
    <w:rsid w:val="00D42C35"/>
    <w:rsid w:val="00D43C10"/>
    <w:rsid w:val="00D4791B"/>
    <w:rsid w:val="00D47A8E"/>
    <w:rsid w:val="00D5166C"/>
    <w:rsid w:val="00D52D14"/>
    <w:rsid w:val="00D52FDA"/>
    <w:rsid w:val="00D53760"/>
    <w:rsid w:val="00D5752D"/>
    <w:rsid w:val="00D60E43"/>
    <w:rsid w:val="00D66AD7"/>
    <w:rsid w:val="00D712D3"/>
    <w:rsid w:val="00D71422"/>
    <w:rsid w:val="00D72DC6"/>
    <w:rsid w:val="00D7558D"/>
    <w:rsid w:val="00D81D92"/>
    <w:rsid w:val="00D84C9C"/>
    <w:rsid w:val="00D876F9"/>
    <w:rsid w:val="00D967B2"/>
    <w:rsid w:val="00D96A2D"/>
    <w:rsid w:val="00D979DD"/>
    <w:rsid w:val="00DA7B5F"/>
    <w:rsid w:val="00DB1248"/>
    <w:rsid w:val="00DB2A2D"/>
    <w:rsid w:val="00DB7A6A"/>
    <w:rsid w:val="00DC01DF"/>
    <w:rsid w:val="00DC11E7"/>
    <w:rsid w:val="00DC2352"/>
    <w:rsid w:val="00DC24E3"/>
    <w:rsid w:val="00DC65A8"/>
    <w:rsid w:val="00DC7023"/>
    <w:rsid w:val="00DC769A"/>
    <w:rsid w:val="00DD3522"/>
    <w:rsid w:val="00DD3960"/>
    <w:rsid w:val="00DD3D86"/>
    <w:rsid w:val="00DD4AD2"/>
    <w:rsid w:val="00DD4E3C"/>
    <w:rsid w:val="00DE2862"/>
    <w:rsid w:val="00DF0219"/>
    <w:rsid w:val="00DF1EC4"/>
    <w:rsid w:val="00DF22A8"/>
    <w:rsid w:val="00DF534C"/>
    <w:rsid w:val="00E0340B"/>
    <w:rsid w:val="00E03AC1"/>
    <w:rsid w:val="00E04A90"/>
    <w:rsid w:val="00E04D8A"/>
    <w:rsid w:val="00E0551F"/>
    <w:rsid w:val="00E219C7"/>
    <w:rsid w:val="00E21FDC"/>
    <w:rsid w:val="00E23082"/>
    <w:rsid w:val="00E340D3"/>
    <w:rsid w:val="00E34E55"/>
    <w:rsid w:val="00E406C7"/>
    <w:rsid w:val="00E4118C"/>
    <w:rsid w:val="00E43157"/>
    <w:rsid w:val="00E461CE"/>
    <w:rsid w:val="00E47CD6"/>
    <w:rsid w:val="00E5175C"/>
    <w:rsid w:val="00E51DDA"/>
    <w:rsid w:val="00E57067"/>
    <w:rsid w:val="00E573E4"/>
    <w:rsid w:val="00E575E9"/>
    <w:rsid w:val="00E60707"/>
    <w:rsid w:val="00E64C3D"/>
    <w:rsid w:val="00E66E22"/>
    <w:rsid w:val="00E707EE"/>
    <w:rsid w:val="00E720C7"/>
    <w:rsid w:val="00E720CA"/>
    <w:rsid w:val="00E7295F"/>
    <w:rsid w:val="00E738B3"/>
    <w:rsid w:val="00E73A45"/>
    <w:rsid w:val="00E76B0B"/>
    <w:rsid w:val="00E81BC2"/>
    <w:rsid w:val="00E84EB5"/>
    <w:rsid w:val="00E85662"/>
    <w:rsid w:val="00E8789F"/>
    <w:rsid w:val="00E91FED"/>
    <w:rsid w:val="00E93A74"/>
    <w:rsid w:val="00E977FC"/>
    <w:rsid w:val="00E97B71"/>
    <w:rsid w:val="00EA039B"/>
    <w:rsid w:val="00EA0C4F"/>
    <w:rsid w:val="00EA3D34"/>
    <w:rsid w:val="00EA6E46"/>
    <w:rsid w:val="00EB05AA"/>
    <w:rsid w:val="00EB2E3F"/>
    <w:rsid w:val="00EB454D"/>
    <w:rsid w:val="00EC4EAB"/>
    <w:rsid w:val="00ED4D94"/>
    <w:rsid w:val="00ED549D"/>
    <w:rsid w:val="00ED5AA1"/>
    <w:rsid w:val="00ED5E10"/>
    <w:rsid w:val="00ED60B8"/>
    <w:rsid w:val="00ED76BE"/>
    <w:rsid w:val="00EE00E9"/>
    <w:rsid w:val="00EF1AAA"/>
    <w:rsid w:val="00EF619B"/>
    <w:rsid w:val="00EF685B"/>
    <w:rsid w:val="00F00B55"/>
    <w:rsid w:val="00F02AD1"/>
    <w:rsid w:val="00F0710D"/>
    <w:rsid w:val="00F0793D"/>
    <w:rsid w:val="00F111A9"/>
    <w:rsid w:val="00F157F2"/>
    <w:rsid w:val="00F16409"/>
    <w:rsid w:val="00F253CC"/>
    <w:rsid w:val="00F275DD"/>
    <w:rsid w:val="00F30985"/>
    <w:rsid w:val="00F34172"/>
    <w:rsid w:val="00F353AC"/>
    <w:rsid w:val="00F37106"/>
    <w:rsid w:val="00F3756B"/>
    <w:rsid w:val="00F42436"/>
    <w:rsid w:val="00F44E25"/>
    <w:rsid w:val="00F513E7"/>
    <w:rsid w:val="00F519CF"/>
    <w:rsid w:val="00F55FC4"/>
    <w:rsid w:val="00F56BA5"/>
    <w:rsid w:val="00F56ECB"/>
    <w:rsid w:val="00F579EA"/>
    <w:rsid w:val="00F60E22"/>
    <w:rsid w:val="00F629AB"/>
    <w:rsid w:val="00F769B0"/>
    <w:rsid w:val="00F81395"/>
    <w:rsid w:val="00F81BB8"/>
    <w:rsid w:val="00F83B4A"/>
    <w:rsid w:val="00F84669"/>
    <w:rsid w:val="00F90C64"/>
    <w:rsid w:val="00F917D1"/>
    <w:rsid w:val="00F9653B"/>
    <w:rsid w:val="00F9771C"/>
    <w:rsid w:val="00FA45C8"/>
    <w:rsid w:val="00FB283F"/>
    <w:rsid w:val="00FB62CF"/>
    <w:rsid w:val="00FB6DB5"/>
    <w:rsid w:val="00FC0061"/>
    <w:rsid w:val="00FC0343"/>
    <w:rsid w:val="00FC0529"/>
    <w:rsid w:val="00FD183F"/>
    <w:rsid w:val="00FD18A6"/>
    <w:rsid w:val="00FD19E9"/>
    <w:rsid w:val="00FD3C3B"/>
    <w:rsid w:val="00FE07DD"/>
    <w:rsid w:val="00FE163D"/>
    <w:rsid w:val="00FE4711"/>
    <w:rsid w:val="00FE6B45"/>
    <w:rsid w:val="00FF38CC"/>
    <w:rsid w:val="00FF55F3"/>
    <w:rsid w:val="00FF5851"/>
    <w:rsid w:val="00FF788A"/>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4F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eastAsia="en-US"/>
    </w:rPr>
  </w:style>
  <w:style w:type="paragraph" w:styleId="Heading1">
    <w:name w:val="heading 1"/>
    <w:basedOn w:val="Normal"/>
    <w:next w:val="Normal"/>
    <w:link w:val="Heading1Char"/>
    <w:uiPriority w:val="9"/>
    <w:qFormat/>
    <w:rsid w:val="00D81D92"/>
    <w:pPr>
      <w:keepNext/>
      <w:keepLines/>
      <w:numPr>
        <w:numId w:val="53"/>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eastAsia="Arial Unicode MS" w:hAnsi="Tahoma" w:cs="Tahoma"/>
      <w:sz w:val="16"/>
      <w:szCs w:val="16"/>
      <w:bdr w:val="nil"/>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pBdr>
        <w:top w:val="nil"/>
        <w:left w:val="nil"/>
        <w:bottom w:val="nil"/>
        <w:right w:val="nil"/>
        <w:between w:val="nil"/>
        <w:bar w:val="nil"/>
      </w:pBdr>
      <w:spacing w:after="120" w:line="480" w:lineRule="auto"/>
      <w:ind w:left="360"/>
    </w:pPr>
    <w:rPr>
      <w:rFonts w:eastAsia="Arial Unicode MS"/>
      <w:bdr w:val="nil"/>
    </w:r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rFonts w:eastAsia="Arial Unicode MS"/>
      <w:bdr w:val="nil"/>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19A1"/>
    <w:rPr>
      <w:sz w:val="16"/>
      <w:szCs w:val="16"/>
    </w:rPr>
  </w:style>
  <w:style w:type="paragraph" w:styleId="CommentText">
    <w:name w:val="annotation text"/>
    <w:basedOn w:val="Normal"/>
    <w:link w:val="CommentTextChar"/>
    <w:uiPriority w:val="99"/>
    <w:semiHidden/>
    <w:unhideWhenUsed/>
    <w:rsid w:val="00C319A1"/>
    <w:rPr>
      <w:sz w:val="20"/>
      <w:szCs w:val="20"/>
    </w:rPr>
  </w:style>
  <w:style w:type="character" w:customStyle="1" w:styleId="CommentTextChar">
    <w:name w:val="Comment Text Char"/>
    <w:basedOn w:val="DefaultParagraphFont"/>
    <w:link w:val="CommentText"/>
    <w:uiPriority w:val="99"/>
    <w:semiHidden/>
    <w:rsid w:val="00C319A1"/>
    <w:rPr>
      <w:rFonts w:eastAsia="Times New Roman"/>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C319A1"/>
    <w:rPr>
      <w:b/>
      <w:bCs/>
    </w:rPr>
  </w:style>
  <w:style w:type="character" w:customStyle="1" w:styleId="CommentSubjectChar">
    <w:name w:val="Comment Subject Char"/>
    <w:basedOn w:val="CommentTextChar"/>
    <w:link w:val="CommentSubject"/>
    <w:uiPriority w:val="99"/>
    <w:semiHidden/>
    <w:rsid w:val="00C319A1"/>
    <w:rPr>
      <w:rFonts w:eastAsia="Times New Roman"/>
      <w:b/>
      <w:bCs/>
      <w:bdr w:val="none" w:sz="0" w:space="0" w:color="auto"/>
      <w:lang w:val="en-US" w:eastAsia="en-US"/>
    </w:rPr>
  </w:style>
  <w:style w:type="paragraph" w:styleId="Revision">
    <w:name w:val="Revision"/>
    <w:hidden/>
    <w:uiPriority w:val="99"/>
    <w:semiHidden/>
    <w:rsid w:val="00C319A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4710">
      <w:bodyDiv w:val="1"/>
      <w:marLeft w:val="0"/>
      <w:marRight w:val="0"/>
      <w:marTop w:val="0"/>
      <w:marBottom w:val="0"/>
      <w:divBdr>
        <w:top w:val="none" w:sz="0" w:space="0" w:color="auto"/>
        <w:left w:val="none" w:sz="0" w:space="0" w:color="auto"/>
        <w:bottom w:val="none" w:sz="0" w:space="0" w:color="auto"/>
        <w:right w:val="none" w:sz="0" w:space="0" w:color="auto"/>
      </w:divBdr>
    </w:div>
    <w:div w:id="150760733">
      <w:bodyDiv w:val="1"/>
      <w:marLeft w:val="0"/>
      <w:marRight w:val="0"/>
      <w:marTop w:val="0"/>
      <w:marBottom w:val="0"/>
      <w:divBdr>
        <w:top w:val="none" w:sz="0" w:space="0" w:color="auto"/>
        <w:left w:val="none" w:sz="0" w:space="0" w:color="auto"/>
        <w:bottom w:val="none" w:sz="0" w:space="0" w:color="auto"/>
        <w:right w:val="none" w:sz="0" w:space="0" w:color="auto"/>
      </w:divBdr>
    </w:div>
    <w:div w:id="457532248">
      <w:bodyDiv w:val="1"/>
      <w:marLeft w:val="0"/>
      <w:marRight w:val="0"/>
      <w:marTop w:val="0"/>
      <w:marBottom w:val="0"/>
      <w:divBdr>
        <w:top w:val="none" w:sz="0" w:space="0" w:color="auto"/>
        <w:left w:val="none" w:sz="0" w:space="0" w:color="auto"/>
        <w:bottom w:val="none" w:sz="0" w:space="0" w:color="auto"/>
        <w:right w:val="none" w:sz="0" w:space="0" w:color="auto"/>
      </w:divBdr>
    </w:div>
    <w:div w:id="499467584">
      <w:bodyDiv w:val="1"/>
      <w:marLeft w:val="0"/>
      <w:marRight w:val="0"/>
      <w:marTop w:val="0"/>
      <w:marBottom w:val="0"/>
      <w:divBdr>
        <w:top w:val="none" w:sz="0" w:space="0" w:color="auto"/>
        <w:left w:val="none" w:sz="0" w:space="0" w:color="auto"/>
        <w:bottom w:val="none" w:sz="0" w:space="0" w:color="auto"/>
        <w:right w:val="none" w:sz="0" w:space="0" w:color="auto"/>
      </w:divBdr>
    </w:div>
    <w:div w:id="952324724">
      <w:bodyDiv w:val="1"/>
      <w:marLeft w:val="0"/>
      <w:marRight w:val="0"/>
      <w:marTop w:val="0"/>
      <w:marBottom w:val="0"/>
      <w:divBdr>
        <w:top w:val="none" w:sz="0" w:space="0" w:color="auto"/>
        <w:left w:val="none" w:sz="0" w:space="0" w:color="auto"/>
        <w:bottom w:val="none" w:sz="0" w:space="0" w:color="auto"/>
        <w:right w:val="none" w:sz="0" w:space="0" w:color="auto"/>
      </w:divBdr>
    </w:div>
    <w:div w:id="1184057958">
      <w:bodyDiv w:val="1"/>
      <w:marLeft w:val="0"/>
      <w:marRight w:val="0"/>
      <w:marTop w:val="0"/>
      <w:marBottom w:val="0"/>
      <w:divBdr>
        <w:top w:val="none" w:sz="0" w:space="0" w:color="auto"/>
        <w:left w:val="none" w:sz="0" w:space="0" w:color="auto"/>
        <w:bottom w:val="none" w:sz="0" w:space="0" w:color="auto"/>
        <w:right w:val="none" w:sz="0" w:space="0" w:color="auto"/>
      </w:divBdr>
    </w:div>
    <w:div w:id="1188524109">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74750293">
      <w:bodyDiv w:val="1"/>
      <w:marLeft w:val="0"/>
      <w:marRight w:val="0"/>
      <w:marTop w:val="0"/>
      <w:marBottom w:val="0"/>
      <w:divBdr>
        <w:top w:val="none" w:sz="0" w:space="0" w:color="auto"/>
        <w:left w:val="none" w:sz="0" w:space="0" w:color="auto"/>
        <w:bottom w:val="none" w:sz="0" w:space="0" w:color="auto"/>
        <w:right w:val="none" w:sz="0" w:space="0" w:color="auto"/>
      </w:divBdr>
    </w:div>
    <w:div w:id="1286813579">
      <w:bodyDiv w:val="1"/>
      <w:marLeft w:val="0"/>
      <w:marRight w:val="0"/>
      <w:marTop w:val="0"/>
      <w:marBottom w:val="0"/>
      <w:divBdr>
        <w:top w:val="none" w:sz="0" w:space="0" w:color="auto"/>
        <w:left w:val="none" w:sz="0" w:space="0" w:color="auto"/>
        <w:bottom w:val="none" w:sz="0" w:space="0" w:color="auto"/>
        <w:right w:val="none" w:sz="0" w:space="0" w:color="auto"/>
      </w:divBdr>
    </w:div>
    <w:div w:id="1351446904">
      <w:bodyDiv w:val="1"/>
      <w:marLeft w:val="0"/>
      <w:marRight w:val="0"/>
      <w:marTop w:val="0"/>
      <w:marBottom w:val="0"/>
      <w:divBdr>
        <w:top w:val="none" w:sz="0" w:space="0" w:color="auto"/>
        <w:left w:val="none" w:sz="0" w:space="0" w:color="auto"/>
        <w:bottom w:val="none" w:sz="0" w:space="0" w:color="auto"/>
        <w:right w:val="none" w:sz="0" w:space="0" w:color="auto"/>
      </w:divBdr>
    </w:div>
    <w:div w:id="1409618859">
      <w:bodyDiv w:val="1"/>
      <w:marLeft w:val="0"/>
      <w:marRight w:val="0"/>
      <w:marTop w:val="0"/>
      <w:marBottom w:val="0"/>
      <w:divBdr>
        <w:top w:val="none" w:sz="0" w:space="0" w:color="auto"/>
        <w:left w:val="none" w:sz="0" w:space="0" w:color="auto"/>
        <w:bottom w:val="none" w:sz="0" w:space="0" w:color="auto"/>
        <w:right w:val="none" w:sz="0" w:space="0" w:color="auto"/>
      </w:divBdr>
    </w:div>
    <w:div w:id="154810532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138837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roman"/>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84AFB"/>
    <w:rsid w:val="002A3923"/>
    <w:rsid w:val="00311E45"/>
    <w:rsid w:val="00392DD7"/>
    <w:rsid w:val="00394049"/>
    <w:rsid w:val="003B0C71"/>
    <w:rsid w:val="004B5BBB"/>
    <w:rsid w:val="004D6E27"/>
    <w:rsid w:val="004F2DF8"/>
    <w:rsid w:val="00517E2A"/>
    <w:rsid w:val="00545237"/>
    <w:rsid w:val="006D3128"/>
    <w:rsid w:val="006F24A1"/>
    <w:rsid w:val="00875B8A"/>
    <w:rsid w:val="008953BC"/>
    <w:rsid w:val="008F7162"/>
    <w:rsid w:val="00935813"/>
    <w:rsid w:val="009A261B"/>
    <w:rsid w:val="00AA2E17"/>
    <w:rsid w:val="00AC15A4"/>
    <w:rsid w:val="00B0336C"/>
    <w:rsid w:val="00BB39D6"/>
    <w:rsid w:val="00D241E9"/>
    <w:rsid w:val="00D7750D"/>
    <w:rsid w:val="00E14B8D"/>
    <w:rsid w:val="00E701DB"/>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8C9F90E-AF4E-A44E-9CBA-AAA2364A6381}">
  <we:reference id="wa104381727" version="1.0.0.9" store="en-US" storeType="OMEX"/>
  <we:alternateReferences>
    <we:reference id="wa104381727" version="1.0.0.9" store="WA10438172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4491</Words>
  <Characters>25604</Characters>
  <Application>Microsoft Office Word</Application>
  <DocSecurity>0</DocSecurity>
  <Lines>213</Lines>
  <Paragraphs>60</Paragraphs>
  <ScaleCrop>false</ScaleCrop>
  <Company/>
  <LinksUpToDate>false</LinksUpToDate>
  <CharactersWithSpaces>30035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2022-10-28T19:10:00Z</dcterms:created>
  <dcterms:modified xsi:type="dcterms:W3CDTF">2022-10-28T19:10:00Z</dcterms:modified>
</cp:coreProperties>
</file>