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F77BCB" w:rsidRDefault="00D306D1" w:rsidP="00627C9F">
      <w:pPr>
        <w:jc w:val="both"/>
        <w:rPr>
          <w:rFonts w:asciiTheme="majorHAnsi" w:hAnsiTheme="majorHAnsi" w:cs="Univers"/>
          <w:b/>
          <w:bCs/>
          <w:noProof/>
          <w:sz w:val="20"/>
          <w:szCs w:val="20"/>
          <w:lang w:val="es-ES"/>
        </w:rPr>
      </w:pPr>
      <w:r w:rsidRPr="00F77BCB">
        <w:rPr>
          <w:rFonts w:asciiTheme="majorHAnsi" w:hAnsiTheme="majorHAnsi"/>
          <w:noProof/>
          <w:sz w:val="20"/>
          <w:szCs w:val="20"/>
          <w:lang w:val="es-ES"/>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5E9C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77BCB">
        <w:rPr>
          <w:rFonts w:asciiTheme="majorHAnsi" w:hAnsiTheme="majorHAnsi"/>
          <w:noProof/>
          <w:sz w:val="20"/>
          <w:szCs w:val="20"/>
          <w:lang w:val="es-ES"/>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77BCB">
        <w:rPr>
          <w:rFonts w:asciiTheme="majorHAnsi" w:hAnsiTheme="majorHAnsi" w:cs="Univers"/>
          <w:b/>
          <w:bCs/>
          <w:noProof/>
          <w:sz w:val="20"/>
          <w:szCs w:val="20"/>
          <w:lang w:val="es-ES"/>
        </w:rPr>
        <w:t xml:space="preserve"> </w:t>
      </w:r>
    </w:p>
    <w:p w14:paraId="2A19A2D2" w14:textId="77777777" w:rsidR="00040C3A" w:rsidRPr="00F77BCB" w:rsidRDefault="00040C3A" w:rsidP="00040C3A">
      <w:pPr>
        <w:tabs>
          <w:tab w:val="center" w:pos="5400"/>
        </w:tabs>
        <w:suppressAutoHyphens/>
        <w:jc w:val="both"/>
        <w:rPr>
          <w:rFonts w:asciiTheme="majorHAnsi" w:hAnsiTheme="majorHAnsi"/>
          <w:noProof/>
          <w:sz w:val="20"/>
          <w:szCs w:val="20"/>
          <w:lang w:val="es-ES"/>
        </w:rPr>
      </w:pPr>
    </w:p>
    <w:p w14:paraId="34881221" w14:textId="77777777" w:rsidR="00040C3A" w:rsidRPr="00F77BCB" w:rsidRDefault="00040C3A" w:rsidP="00040C3A">
      <w:pPr>
        <w:tabs>
          <w:tab w:val="center" w:pos="5400"/>
        </w:tabs>
        <w:suppressAutoHyphens/>
        <w:jc w:val="both"/>
        <w:rPr>
          <w:rFonts w:asciiTheme="majorHAnsi" w:hAnsiTheme="majorHAnsi"/>
          <w:noProof/>
          <w:sz w:val="20"/>
          <w:szCs w:val="20"/>
          <w:lang w:val="es-ES"/>
        </w:rPr>
      </w:pPr>
    </w:p>
    <w:p w14:paraId="632C4C89" w14:textId="77777777" w:rsidR="005128E4" w:rsidRPr="00F77BCB" w:rsidRDefault="005128E4" w:rsidP="00040C3A">
      <w:pPr>
        <w:tabs>
          <w:tab w:val="center" w:pos="5400"/>
        </w:tabs>
        <w:suppressAutoHyphens/>
        <w:rPr>
          <w:rFonts w:asciiTheme="majorHAnsi" w:hAnsiTheme="majorHAnsi"/>
          <w:noProof/>
          <w:sz w:val="20"/>
          <w:szCs w:val="20"/>
          <w:lang w:val="es-ES"/>
        </w:rPr>
      </w:pPr>
    </w:p>
    <w:p w14:paraId="358107BA" w14:textId="77777777" w:rsidR="005128E4" w:rsidRPr="00F77BCB" w:rsidRDefault="005128E4" w:rsidP="00040C3A">
      <w:pPr>
        <w:tabs>
          <w:tab w:val="center" w:pos="5400"/>
        </w:tabs>
        <w:suppressAutoHyphens/>
        <w:rPr>
          <w:rFonts w:asciiTheme="majorHAnsi" w:hAnsiTheme="majorHAnsi"/>
          <w:noProof/>
          <w:sz w:val="20"/>
          <w:szCs w:val="20"/>
          <w:lang w:val="es-ES"/>
        </w:rPr>
      </w:pPr>
    </w:p>
    <w:p w14:paraId="321229E3" w14:textId="77777777" w:rsidR="005128E4" w:rsidRPr="00F77BCB" w:rsidRDefault="005128E4" w:rsidP="00040C3A">
      <w:pPr>
        <w:tabs>
          <w:tab w:val="center" w:pos="5400"/>
        </w:tabs>
        <w:suppressAutoHyphens/>
        <w:rPr>
          <w:rFonts w:asciiTheme="majorHAnsi" w:hAnsiTheme="majorHAnsi"/>
          <w:noProof/>
          <w:sz w:val="20"/>
          <w:szCs w:val="20"/>
          <w:lang w:val="es-ES"/>
        </w:rPr>
      </w:pPr>
    </w:p>
    <w:p w14:paraId="7DDDAF98" w14:textId="77777777" w:rsidR="00040C3A" w:rsidRPr="00F77BCB" w:rsidRDefault="00040C3A" w:rsidP="005128E4">
      <w:pPr>
        <w:tabs>
          <w:tab w:val="center" w:pos="5400"/>
        </w:tabs>
        <w:suppressAutoHyphens/>
        <w:jc w:val="center"/>
        <w:rPr>
          <w:rFonts w:asciiTheme="majorHAnsi" w:hAnsiTheme="majorHAnsi"/>
          <w:noProof/>
          <w:sz w:val="20"/>
          <w:szCs w:val="20"/>
          <w:lang w:val="es-ES"/>
        </w:rPr>
      </w:pPr>
    </w:p>
    <w:p w14:paraId="3CA65B05" w14:textId="77777777" w:rsidR="00040C3A" w:rsidRPr="00F77BCB" w:rsidRDefault="00040C3A" w:rsidP="005128E4">
      <w:pPr>
        <w:tabs>
          <w:tab w:val="center" w:pos="5400"/>
        </w:tabs>
        <w:suppressAutoHyphens/>
        <w:jc w:val="center"/>
        <w:rPr>
          <w:rFonts w:asciiTheme="majorHAnsi" w:hAnsiTheme="majorHAnsi"/>
          <w:noProof/>
          <w:sz w:val="20"/>
          <w:szCs w:val="20"/>
          <w:lang w:val="es-ES"/>
        </w:rPr>
      </w:pPr>
    </w:p>
    <w:p w14:paraId="54FEB1F2" w14:textId="77777777" w:rsidR="005B52B0" w:rsidRPr="00F77BCB" w:rsidRDefault="005B52B0" w:rsidP="005128E4">
      <w:pPr>
        <w:tabs>
          <w:tab w:val="center" w:pos="5400"/>
        </w:tabs>
        <w:suppressAutoHyphens/>
        <w:jc w:val="center"/>
        <w:rPr>
          <w:rFonts w:asciiTheme="majorHAnsi" w:hAnsiTheme="majorHAnsi"/>
          <w:noProof/>
          <w:sz w:val="20"/>
          <w:szCs w:val="20"/>
          <w:lang w:val="es-ES"/>
        </w:rPr>
      </w:pPr>
    </w:p>
    <w:p w14:paraId="49FD76AB" w14:textId="77777777" w:rsidR="005B52B0" w:rsidRPr="00F77BCB" w:rsidRDefault="005B52B0" w:rsidP="005128E4">
      <w:pPr>
        <w:tabs>
          <w:tab w:val="center" w:pos="5400"/>
        </w:tabs>
        <w:suppressAutoHyphens/>
        <w:jc w:val="center"/>
        <w:rPr>
          <w:rFonts w:asciiTheme="majorHAnsi" w:hAnsiTheme="majorHAnsi"/>
          <w:noProof/>
          <w:sz w:val="20"/>
          <w:szCs w:val="20"/>
          <w:lang w:val="es-ES"/>
        </w:rPr>
      </w:pPr>
    </w:p>
    <w:p w14:paraId="1BBE4B3A" w14:textId="77777777" w:rsidR="005B52B0" w:rsidRPr="00F77BCB" w:rsidRDefault="005B52B0" w:rsidP="005128E4">
      <w:pPr>
        <w:tabs>
          <w:tab w:val="center" w:pos="5400"/>
        </w:tabs>
        <w:suppressAutoHyphens/>
        <w:jc w:val="center"/>
        <w:rPr>
          <w:rFonts w:asciiTheme="majorHAnsi" w:hAnsiTheme="majorHAnsi"/>
          <w:noProof/>
          <w:sz w:val="20"/>
          <w:szCs w:val="20"/>
          <w:lang w:val="es-ES"/>
        </w:rPr>
      </w:pPr>
    </w:p>
    <w:p w14:paraId="6E58A006"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58FFE99C"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6CB1E102" w14:textId="77777777" w:rsidR="00040C3A" w:rsidRPr="00F77BCB" w:rsidRDefault="003D3BC2" w:rsidP="00040C3A">
      <w:pPr>
        <w:tabs>
          <w:tab w:val="center" w:pos="5400"/>
        </w:tabs>
        <w:suppressAutoHyphens/>
        <w:jc w:val="center"/>
        <w:rPr>
          <w:rFonts w:asciiTheme="majorHAnsi" w:hAnsiTheme="majorHAnsi"/>
          <w:noProof/>
          <w:sz w:val="20"/>
          <w:szCs w:val="20"/>
          <w:lang w:val="es-ES"/>
        </w:rPr>
      </w:pPr>
      <w:r w:rsidRPr="00F77BCB">
        <w:rPr>
          <w:rFonts w:asciiTheme="majorHAnsi" w:hAnsiTheme="majorHAnsi"/>
          <w:noProof/>
          <w:sz w:val="20"/>
          <w:szCs w:val="20"/>
          <w:lang w:val="es-ES"/>
        </w:rPr>
        <mc:AlternateContent>
          <mc:Choice Requires="wps">
            <w:drawing>
              <wp:anchor distT="0" distB="0" distL="114300" distR="114300" simplePos="0" relativeHeight="251669504" behindDoc="0" locked="0" layoutInCell="1" allowOverlap="1" wp14:anchorId="6DDCA1D5" wp14:editId="324E1585">
                <wp:simplePos x="0" y="0"/>
                <wp:positionH relativeFrom="column">
                  <wp:posOffset>1355271</wp:posOffset>
                </wp:positionH>
                <wp:positionV relativeFrom="paragraph">
                  <wp:posOffset>105591</wp:posOffset>
                </wp:positionV>
                <wp:extent cx="4963886"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63886"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4B5BC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0B02">
                              <w:rPr>
                                <w:rFonts w:asciiTheme="majorHAnsi" w:hAnsiTheme="majorHAnsi" w:cs="Arial"/>
                                <w:b/>
                                <w:bCs/>
                                <w:color w:val="0D0D0D" w:themeColor="text1" w:themeTint="F2"/>
                                <w:sz w:val="36"/>
                                <w:szCs w:val="22"/>
                                <w:lang w:val="es-ES_tradnl"/>
                              </w:rPr>
                              <w:t>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F67E1">
                              <w:rPr>
                                <w:rFonts w:asciiTheme="majorHAnsi" w:hAnsiTheme="majorHAnsi" w:cs="Arial"/>
                                <w:b/>
                                <w:bCs/>
                                <w:color w:val="0D0D0D" w:themeColor="text1" w:themeTint="F2"/>
                                <w:sz w:val="36"/>
                                <w:szCs w:val="22"/>
                                <w:lang w:val="es-ES_tradnl"/>
                              </w:rPr>
                              <w:t>2</w:t>
                            </w:r>
                          </w:p>
                          <w:p w14:paraId="0F4FF559" w14:textId="4EA17BD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149C">
                              <w:rPr>
                                <w:rFonts w:asciiTheme="majorHAnsi" w:hAnsiTheme="majorHAnsi" w:cs="Arial"/>
                                <w:b/>
                                <w:color w:val="0D0D0D" w:themeColor="text1" w:themeTint="F2"/>
                                <w:sz w:val="36"/>
                                <w:szCs w:val="22"/>
                                <w:lang w:val="es-ES_tradnl"/>
                              </w:rPr>
                              <w:t>210</w:t>
                            </w:r>
                            <w:r w:rsidR="00246D1F" w:rsidRPr="004E2649">
                              <w:rPr>
                                <w:rFonts w:asciiTheme="majorHAnsi" w:hAnsiTheme="majorHAnsi" w:cs="Arial"/>
                                <w:b/>
                                <w:color w:val="0D0D0D" w:themeColor="text1" w:themeTint="F2"/>
                                <w:sz w:val="36"/>
                                <w:szCs w:val="22"/>
                                <w:lang w:val="es-ES_tradnl"/>
                              </w:rPr>
                              <w:t>-</w:t>
                            </w:r>
                            <w:r w:rsidR="00B3149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75C450E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F462F4">
                              <w:rPr>
                                <w:rFonts w:asciiTheme="majorHAnsi" w:hAnsiTheme="majorHAnsi" w:cs="Arial"/>
                                <w:color w:val="0D0D0D" w:themeColor="text1" w:themeTint="F2"/>
                                <w:szCs w:val="22"/>
                                <w:lang w:val="es-ES_tradnl"/>
                              </w:rPr>
                              <w:t xml:space="preserve">INFORME DE </w:t>
                            </w:r>
                            <w:r w:rsidR="00F81CCE">
                              <w:rPr>
                                <w:rFonts w:asciiTheme="majorHAnsi" w:hAnsiTheme="majorHAnsi" w:cs="Arial"/>
                                <w:color w:val="0D0D0D" w:themeColor="text1" w:themeTint="F2"/>
                                <w:szCs w:val="22"/>
                                <w:lang w:val="es-ES_tradnl"/>
                              </w:rPr>
                              <w:t>IN</w:t>
                            </w:r>
                            <w:r w:rsidRPr="00F462F4">
                              <w:rPr>
                                <w:rFonts w:asciiTheme="majorHAnsi" w:hAnsiTheme="majorHAnsi" w:cs="Arial"/>
                                <w:color w:val="0D0D0D" w:themeColor="text1" w:themeTint="F2"/>
                                <w:szCs w:val="22"/>
                                <w:lang w:val="es-ES_tradnl"/>
                              </w:rPr>
                              <w:t>ADMISIBILIDAD</w:t>
                            </w:r>
                            <w:r w:rsidR="00F519CF" w:rsidRPr="00F462F4">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6D16CBB" w14:textId="5E826BE1" w:rsidR="00B3149C" w:rsidRDefault="00B3149C"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NICOLAS RODR</w:t>
                            </w:r>
                            <w:r w:rsidR="00F4158B">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GUEZ REDONDO</w:t>
                            </w:r>
                            <w:r w:rsidR="00F46E94">
                              <w:rPr>
                                <w:rFonts w:asciiTheme="majorHAnsi" w:hAnsiTheme="majorHAnsi" w:cs="Arial"/>
                                <w:color w:val="0D0D0D" w:themeColor="text1" w:themeTint="F2"/>
                                <w:szCs w:val="22"/>
                                <w:lang w:val="es-ES_tradnl"/>
                              </w:rPr>
                              <w:t xml:space="preserve">, </w:t>
                            </w:r>
                            <w:r w:rsidR="006D34D8">
                              <w:rPr>
                                <w:rFonts w:asciiTheme="majorHAnsi" w:hAnsiTheme="majorHAnsi" w:cs="Arial"/>
                                <w:color w:val="0D0D0D" w:themeColor="text1" w:themeTint="F2"/>
                                <w:szCs w:val="22"/>
                                <w:lang w:val="es-ES_tradnl"/>
                              </w:rPr>
                              <w:t>GABRIEL ENRIQUE MOJICA REDONDO</w:t>
                            </w:r>
                            <w:r w:rsidR="00F46E94">
                              <w:rPr>
                                <w:rFonts w:asciiTheme="majorHAnsi" w:hAnsiTheme="majorHAnsi" w:cs="Arial"/>
                                <w:color w:val="0D0D0D" w:themeColor="text1" w:themeTint="F2"/>
                                <w:szCs w:val="22"/>
                                <w:lang w:val="es-ES_tradnl"/>
                              </w:rPr>
                              <w:t xml:space="preserve"> Y DENIRIS BALETA BOTELLO</w:t>
                            </w:r>
                          </w:p>
                          <w:p w14:paraId="5CF377E5" w14:textId="3D3A0B54" w:rsidR="005B52B0" w:rsidRPr="00AE5488" w:rsidRDefault="004C1F19"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COLOMBIA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7pt;margin-top:8.3pt;width:390.8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" filled="f" stroked="f" strokeweight=".5pt">
                <v:textbox>
                  <w:txbxContent>
                    <w:p w14:paraId="784F251E" w14:textId="14B5BC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0B02">
                        <w:rPr>
                          <w:rFonts w:asciiTheme="majorHAnsi" w:hAnsiTheme="majorHAnsi" w:cs="Arial"/>
                          <w:b/>
                          <w:bCs/>
                          <w:color w:val="0D0D0D" w:themeColor="text1" w:themeTint="F2"/>
                          <w:sz w:val="36"/>
                          <w:szCs w:val="22"/>
                          <w:lang w:val="es-ES_tradnl"/>
                        </w:rPr>
                        <w:t>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F67E1">
                        <w:rPr>
                          <w:rFonts w:asciiTheme="majorHAnsi" w:hAnsiTheme="majorHAnsi" w:cs="Arial"/>
                          <w:b/>
                          <w:bCs/>
                          <w:color w:val="0D0D0D" w:themeColor="text1" w:themeTint="F2"/>
                          <w:sz w:val="36"/>
                          <w:szCs w:val="22"/>
                          <w:lang w:val="es-ES_tradnl"/>
                        </w:rPr>
                        <w:t>2</w:t>
                      </w:r>
                    </w:p>
                    <w:p w14:paraId="0F4FF559" w14:textId="4EA17BD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149C">
                        <w:rPr>
                          <w:rFonts w:asciiTheme="majorHAnsi" w:hAnsiTheme="majorHAnsi" w:cs="Arial"/>
                          <w:b/>
                          <w:color w:val="0D0D0D" w:themeColor="text1" w:themeTint="F2"/>
                          <w:sz w:val="36"/>
                          <w:szCs w:val="22"/>
                          <w:lang w:val="es-ES_tradnl"/>
                        </w:rPr>
                        <w:t>210</w:t>
                      </w:r>
                      <w:r w:rsidR="00246D1F" w:rsidRPr="004E2649">
                        <w:rPr>
                          <w:rFonts w:asciiTheme="majorHAnsi" w:hAnsiTheme="majorHAnsi" w:cs="Arial"/>
                          <w:b/>
                          <w:color w:val="0D0D0D" w:themeColor="text1" w:themeTint="F2"/>
                          <w:sz w:val="36"/>
                          <w:szCs w:val="22"/>
                          <w:lang w:val="es-ES_tradnl"/>
                        </w:rPr>
                        <w:t>-</w:t>
                      </w:r>
                      <w:r w:rsidR="00B3149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75C450E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F462F4">
                        <w:rPr>
                          <w:rFonts w:asciiTheme="majorHAnsi" w:hAnsiTheme="majorHAnsi" w:cs="Arial"/>
                          <w:color w:val="0D0D0D" w:themeColor="text1" w:themeTint="F2"/>
                          <w:szCs w:val="22"/>
                          <w:lang w:val="es-ES_tradnl"/>
                        </w:rPr>
                        <w:t xml:space="preserve">INFORME DE </w:t>
                      </w:r>
                      <w:r w:rsidR="00F81CCE">
                        <w:rPr>
                          <w:rFonts w:asciiTheme="majorHAnsi" w:hAnsiTheme="majorHAnsi" w:cs="Arial"/>
                          <w:color w:val="0D0D0D" w:themeColor="text1" w:themeTint="F2"/>
                          <w:szCs w:val="22"/>
                          <w:lang w:val="es-ES_tradnl"/>
                        </w:rPr>
                        <w:t>IN</w:t>
                      </w:r>
                      <w:r w:rsidRPr="00F462F4">
                        <w:rPr>
                          <w:rFonts w:asciiTheme="majorHAnsi" w:hAnsiTheme="majorHAnsi" w:cs="Arial"/>
                          <w:color w:val="0D0D0D" w:themeColor="text1" w:themeTint="F2"/>
                          <w:szCs w:val="22"/>
                          <w:lang w:val="es-ES_tradnl"/>
                        </w:rPr>
                        <w:t>ADMISIBILIDAD</w:t>
                      </w:r>
                      <w:r w:rsidR="00F519CF" w:rsidRPr="00F462F4">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6D16CBB" w14:textId="5E826BE1" w:rsidR="00B3149C" w:rsidRDefault="00B3149C"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NICOLAS RODR</w:t>
                      </w:r>
                      <w:r w:rsidR="00F4158B">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GUEZ REDONDO</w:t>
                      </w:r>
                      <w:r w:rsidR="00F46E94">
                        <w:rPr>
                          <w:rFonts w:asciiTheme="majorHAnsi" w:hAnsiTheme="majorHAnsi" w:cs="Arial"/>
                          <w:color w:val="0D0D0D" w:themeColor="text1" w:themeTint="F2"/>
                          <w:szCs w:val="22"/>
                          <w:lang w:val="es-ES_tradnl"/>
                        </w:rPr>
                        <w:t xml:space="preserve">, </w:t>
                      </w:r>
                      <w:r w:rsidR="006D34D8">
                        <w:rPr>
                          <w:rFonts w:asciiTheme="majorHAnsi" w:hAnsiTheme="majorHAnsi" w:cs="Arial"/>
                          <w:color w:val="0D0D0D" w:themeColor="text1" w:themeTint="F2"/>
                          <w:szCs w:val="22"/>
                          <w:lang w:val="es-ES_tradnl"/>
                        </w:rPr>
                        <w:t>GABRIEL ENRIQUE MOJICA REDONDO</w:t>
                      </w:r>
                      <w:r w:rsidR="00F46E94">
                        <w:rPr>
                          <w:rFonts w:asciiTheme="majorHAnsi" w:hAnsiTheme="majorHAnsi" w:cs="Arial"/>
                          <w:color w:val="0D0D0D" w:themeColor="text1" w:themeTint="F2"/>
                          <w:szCs w:val="22"/>
                          <w:lang w:val="es-ES_tradnl"/>
                        </w:rPr>
                        <w:t xml:space="preserve"> Y DENIRIS BALETA BOTELLO</w:t>
                      </w:r>
                    </w:p>
                    <w:p w14:paraId="5CF377E5" w14:textId="3D3A0B54" w:rsidR="005B52B0" w:rsidRPr="00AE5488" w:rsidRDefault="004C1F19"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COLOMBIA </w:t>
                      </w:r>
                    </w:p>
                  </w:txbxContent>
                </v:textbox>
              </v:shape>
            </w:pict>
          </mc:Fallback>
        </mc:AlternateContent>
      </w:r>
      <w:r w:rsidR="004E2649" w:rsidRPr="00F77BCB">
        <w:rPr>
          <w:rFonts w:asciiTheme="majorHAnsi" w:hAnsiTheme="majorHAnsi"/>
          <w:noProof/>
          <w:sz w:val="20"/>
          <w:szCs w:val="20"/>
          <w:lang w:val="es-ES"/>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11F24C4C" w:rsidR="00627C9F" w:rsidRPr="00DB2A71" w:rsidRDefault="00834D49" w:rsidP="007A5817">
                            <w:pPr>
                              <w:spacing w:line="276" w:lineRule="auto"/>
                              <w:jc w:val="right"/>
                              <w:rPr>
                                <w:rFonts w:asciiTheme="minorHAnsi" w:hAnsiTheme="minorHAnsi"/>
                                <w:color w:val="FFFFFF" w:themeColor="background1"/>
                                <w:sz w:val="22"/>
                                <w:lang w:val="es-419"/>
                              </w:rPr>
                            </w:pPr>
                            <w:r w:rsidRPr="00DB2A71">
                              <w:rPr>
                                <w:rFonts w:asciiTheme="minorHAnsi" w:hAnsiTheme="minorHAnsi"/>
                                <w:color w:val="FFFFFF" w:themeColor="background1"/>
                                <w:sz w:val="22"/>
                                <w:lang w:val="es-419"/>
                              </w:rPr>
                              <w:t>OEA/</w:t>
                            </w:r>
                            <w:proofErr w:type="spellStart"/>
                            <w:r w:rsidRPr="00DB2A71">
                              <w:rPr>
                                <w:rFonts w:asciiTheme="minorHAnsi" w:hAnsiTheme="minorHAnsi"/>
                                <w:color w:val="FFFFFF" w:themeColor="background1"/>
                                <w:sz w:val="22"/>
                                <w:lang w:val="es-419"/>
                              </w:rPr>
                              <w:t>Ser.L</w:t>
                            </w:r>
                            <w:proofErr w:type="spellEnd"/>
                            <w:r w:rsidRPr="00DB2A71">
                              <w:rPr>
                                <w:rFonts w:asciiTheme="minorHAnsi" w:hAnsiTheme="minorHAnsi"/>
                                <w:color w:val="FFFFFF" w:themeColor="background1"/>
                                <w:sz w:val="22"/>
                                <w:lang w:val="es-419"/>
                              </w:rPr>
                              <w:t>/V/II</w:t>
                            </w:r>
                          </w:p>
                          <w:p w14:paraId="1567378D" w14:textId="4A1E48FF" w:rsidR="00627C9F" w:rsidRPr="00DB2A71" w:rsidRDefault="00627C9F" w:rsidP="007A5817">
                            <w:pPr>
                              <w:spacing w:line="276" w:lineRule="auto"/>
                              <w:jc w:val="right"/>
                              <w:rPr>
                                <w:rFonts w:asciiTheme="minorHAnsi" w:hAnsiTheme="minorHAnsi"/>
                                <w:color w:val="FFFFFF" w:themeColor="background1"/>
                                <w:sz w:val="22"/>
                                <w:lang w:val="es-419"/>
                              </w:rPr>
                            </w:pPr>
                            <w:r w:rsidRPr="00DB2A71">
                              <w:rPr>
                                <w:rFonts w:asciiTheme="minorHAnsi" w:hAnsiTheme="minorHAnsi"/>
                                <w:color w:val="FFFFFF" w:themeColor="background1"/>
                                <w:sz w:val="22"/>
                                <w:lang w:val="es-419"/>
                              </w:rPr>
                              <w:t xml:space="preserve">Doc. </w:t>
                            </w:r>
                            <w:r w:rsidR="00B03D79" w:rsidRPr="00DB2A71">
                              <w:rPr>
                                <w:rFonts w:asciiTheme="minorHAnsi" w:hAnsiTheme="minorHAnsi"/>
                                <w:color w:val="FFFFFF" w:themeColor="background1"/>
                                <w:sz w:val="22"/>
                                <w:lang w:val="es-419"/>
                              </w:rPr>
                              <w:t>10</w:t>
                            </w:r>
                          </w:p>
                          <w:p w14:paraId="33CAE787" w14:textId="193D6EF8" w:rsidR="00627C9F" w:rsidRPr="00C25ADB" w:rsidRDefault="00B03D7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8F67E1">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9CF3"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11F24C4C" w:rsidR="00627C9F" w:rsidRPr="00DB2A71" w:rsidRDefault="00834D49" w:rsidP="007A5817">
                      <w:pPr>
                        <w:spacing w:line="276" w:lineRule="auto"/>
                        <w:jc w:val="right"/>
                        <w:rPr>
                          <w:rFonts w:asciiTheme="minorHAnsi" w:hAnsiTheme="minorHAnsi"/>
                          <w:color w:val="FFFFFF" w:themeColor="background1"/>
                          <w:sz w:val="22"/>
                          <w:lang w:val="es-419"/>
                        </w:rPr>
                      </w:pPr>
                      <w:r w:rsidRPr="00DB2A71">
                        <w:rPr>
                          <w:rFonts w:asciiTheme="minorHAnsi" w:hAnsiTheme="minorHAnsi"/>
                          <w:color w:val="FFFFFF" w:themeColor="background1"/>
                          <w:sz w:val="22"/>
                          <w:lang w:val="es-419"/>
                        </w:rPr>
                        <w:t>OEA/Ser.L/V/II</w:t>
                      </w:r>
                    </w:p>
                    <w:p w14:paraId="1567378D" w14:textId="4A1E48FF" w:rsidR="00627C9F" w:rsidRPr="00DB2A71" w:rsidRDefault="00627C9F" w:rsidP="007A5817">
                      <w:pPr>
                        <w:spacing w:line="276" w:lineRule="auto"/>
                        <w:jc w:val="right"/>
                        <w:rPr>
                          <w:rFonts w:asciiTheme="minorHAnsi" w:hAnsiTheme="minorHAnsi"/>
                          <w:color w:val="FFFFFF" w:themeColor="background1"/>
                          <w:sz w:val="22"/>
                          <w:lang w:val="es-419"/>
                        </w:rPr>
                      </w:pPr>
                      <w:r w:rsidRPr="00DB2A71">
                        <w:rPr>
                          <w:rFonts w:asciiTheme="minorHAnsi" w:hAnsiTheme="minorHAnsi"/>
                          <w:color w:val="FFFFFF" w:themeColor="background1"/>
                          <w:sz w:val="22"/>
                          <w:lang w:val="es-419"/>
                        </w:rPr>
                        <w:t xml:space="preserve">Doc. </w:t>
                      </w:r>
                      <w:r w:rsidR="00B03D79" w:rsidRPr="00DB2A71">
                        <w:rPr>
                          <w:rFonts w:asciiTheme="minorHAnsi" w:hAnsiTheme="minorHAnsi"/>
                          <w:color w:val="FFFFFF" w:themeColor="background1"/>
                          <w:sz w:val="22"/>
                          <w:lang w:val="es-419"/>
                        </w:rPr>
                        <w:t>10</w:t>
                      </w:r>
                    </w:p>
                    <w:p w14:paraId="33CAE787" w14:textId="193D6EF8" w:rsidR="00627C9F" w:rsidRPr="00C25ADB" w:rsidRDefault="00B03D7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8F67E1">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6EBE07B1"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0B39F509" w14:textId="77777777" w:rsidR="00040C3A" w:rsidRPr="00F77BCB" w:rsidRDefault="00040C3A" w:rsidP="00040C3A">
      <w:pPr>
        <w:tabs>
          <w:tab w:val="center" w:pos="5400"/>
        </w:tabs>
        <w:suppressAutoHyphens/>
        <w:jc w:val="center"/>
        <w:rPr>
          <w:rFonts w:asciiTheme="majorHAnsi" w:hAnsiTheme="majorHAnsi" w:cs="Arial"/>
          <w:noProof/>
          <w:sz w:val="20"/>
          <w:szCs w:val="20"/>
          <w:lang w:val="es-ES"/>
        </w:rPr>
      </w:pPr>
    </w:p>
    <w:p w14:paraId="497A04C1"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69153993"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6E4EB7F5"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5CF41FFF"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1C7C6C5B" w14:textId="77777777" w:rsidR="005128E4" w:rsidRPr="00F77BCB" w:rsidRDefault="005128E4" w:rsidP="00040C3A">
      <w:pPr>
        <w:tabs>
          <w:tab w:val="center" w:pos="5400"/>
        </w:tabs>
        <w:suppressAutoHyphens/>
        <w:jc w:val="center"/>
        <w:rPr>
          <w:rFonts w:asciiTheme="majorHAnsi" w:hAnsiTheme="majorHAnsi"/>
          <w:noProof/>
          <w:sz w:val="20"/>
          <w:szCs w:val="20"/>
          <w:lang w:val="es-ES"/>
        </w:rPr>
      </w:pPr>
    </w:p>
    <w:p w14:paraId="6C55960E"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2A6A7D5D" w14:textId="77777777" w:rsidR="005128E4" w:rsidRPr="00F77BCB" w:rsidRDefault="005128E4" w:rsidP="00040C3A">
      <w:pPr>
        <w:tabs>
          <w:tab w:val="center" w:pos="5400"/>
        </w:tabs>
        <w:suppressAutoHyphens/>
        <w:jc w:val="center"/>
        <w:rPr>
          <w:rFonts w:asciiTheme="majorHAnsi" w:hAnsiTheme="majorHAnsi"/>
          <w:noProof/>
          <w:sz w:val="20"/>
          <w:szCs w:val="20"/>
          <w:lang w:val="es-ES"/>
        </w:rPr>
      </w:pPr>
    </w:p>
    <w:p w14:paraId="52583060" w14:textId="77777777" w:rsidR="005128E4" w:rsidRPr="00F77BCB" w:rsidRDefault="005128E4" w:rsidP="00040C3A">
      <w:pPr>
        <w:tabs>
          <w:tab w:val="center" w:pos="5400"/>
        </w:tabs>
        <w:suppressAutoHyphens/>
        <w:jc w:val="center"/>
        <w:rPr>
          <w:rFonts w:asciiTheme="majorHAnsi" w:hAnsiTheme="majorHAnsi"/>
          <w:noProof/>
          <w:sz w:val="20"/>
          <w:szCs w:val="20"/>
          <w:lang w:val="es-ES"/>
        </w:rPr>
      </w:pPr>
    </w:p>
    <w:p w14:paraId="1C44B9AE" w14:textId="77777777" w:rsidR="005128E4" w:rsidRPr="00F77BCB" w:rsidRDefault="005128E4" w:rsidP="00040C3A">
      <w:pPr>
        <w:tabs>
          <w:tab w:val="center" w:pos="5400"/>
        </w:tabs>
        <w:suppressAutoHyphens/>
        <w:jc w:val="center"/>
        <w:rPr>
          <w:rFonts w:asciiTheme="majorHAnsi" w:hAnsiTheme="majorHAnsi"/>
          <w:noProof/>
          <w:sz w:val="20"/>
          <w:szCs w:val="20"/>
          <w:lang w:val="es-ES"/>
        </w:rPr>
      </w:pPr>
    </w:p>
    <w:p w14:paraId="139403C8"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3061D2A5" w14:textId="77777777" w:rsidR="00040C3A" w:rsidRPr="00F77BCB" w:rsidRDefault="00040C3A" w:rsidP="00040C3A">
      <w:pPr>
        <w:tabs>
          <w:tab w:val="center" w:pos="5400"/>
        </w:tabs>
        <w:suppressAutoHyphens/>
        <w:jc w:val="center"/>
        <w:rPr>
          <w:rFonts w:asciiTheme="majorHAnsi" w:hAnsiTheme="majorHAnsi"/>
          <w:noProof/>
          <w:sz w:val="20"/>
          <w:szCs w:val="20"/>
          <w:lang w:val="es-ES"/>
        </w:rPr>
      </w:pPr>
    </w:p>
    <w:p w14:paraId="33DAC641"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6AF47BEF"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4043753D"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76F570E9"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40F98CFC"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40A28094"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352B9039"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6348A81B"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756605FF"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660100F2"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4F8E20C0"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1A8B419D"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6B60F208"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0132207C"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7B14E705" w14:textId="77777777" w:rsidR="00A50FCF" w:rsidRPr="00F77BCB" w:rsidRDefault="0090270B" w:rsidP="00040C3A">
      <w:pPr>
        <w:tabs>
          <w:tab w:val="center" w:pos="5400"/>
        </w:tabs>
        <w:suppressAutoHyphens/>
        <w:jc w:val="center"/>
        <w:rPr>
          <w:rFonts w:asciiTheme="majorHAnsi" w:hAnsiTheme="majorHAnsi"/>
          <w:noProof/>
          <w:sz w:val="20"/>
          <w:szCs w:val="20"/>
          <w:lang w:val="es-ES"/>
        </w:rPr>
      </w:pPr>
      <w:r w:rsidRPr="00F77BCB">
        <w:rPr>
          <w:rFonts w:asciiTheme="majorHAnsi" w:hAnsiTheme="majorHAnsi"/>
          <w:noProof/>
          <w:sz w:val="20"/>
          <w:szCs w:val="20"/>
          <w:lang w:val="es-ES"/>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7EE4C7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0550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05508">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70AB">
                              <w:rPr>
                                <w:rFonts w:asciiTheme="majorHAnsi" w:hAnsiTheme="majorHAnsi"/>
                                <w:color w:val="0D0D0D" w:themeColor="text1" w:themeTint="F2"/>
                                <w:sz w:val="18"/>
                                <w:szCs w:val="22"/>
                                <w:lang w:val="es-ES"/>
                              </w:rPr>
                              <w:t>2</w:t>
                            </w:r>
                            <w:r w:rsidR="006E7528">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7EE4C7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0550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05508">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70AB">
                        <w:rPr>
                          <w:rFonts w:asciiTheme="majorHAnsi" w:hAnsiTheme="majorHAnsi"/>
                          <w:color w:val="0D0D0D" w:themeColor="text1" w:themeTint="F2"/>
                          <w:sz w:val="18"/>
                          <w:szCs w:val="22"/>
                          <w:lang w:val="es-ES"/>
                        </w:rPr>
                        <w:t>2</w:t>
                      </w:r>
                      <w:r w:rsidR="006E7528">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6563D1CF"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4174DE52"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3B81CDC0"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7DBF100B" w14:textId="77777777" w:rsidR="00A50FCF" w:rsidRPr="00F77BCB" w:rsidRDefault="0090270B" w:rsidP="00040C3A">
      <w:pPr>
        <w:tabs>
          <w:tab w:val="center" w:pos="5400"/>
        </w:tabs>
        <w:suppressAutoHyphens/>
        <w:jc w:val="center"/>
        <w:rPr>
          <w:rFonts w:asciiTheme="majorHAnsi" w:hAnsiTheme="majorHAnsi"/>
          <w:noProof/>
          <w:sz w:val="20"/>
          <w:szCs w:val="20"/>
          <w:lang w:val="es-ES"/>
        </w:rPr>
      </w:pPr>
      <w:r w:rsidRPr="00F77BCB">
        <w:rPr>
          <w:rFonts w:asciiTheme="majorHAnsi" w:hAnsiTheme="majorHAnsi"/>
          <w:noProof/>
          <w:sz w:val="20"/>
          <w:szCs w:val="20"/>
          <w:lang w:val="es-ES"/>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500955EC" w:rsidR="00113F73" w:rsidRPr="006D34D8" w:rsidRDefault="00113F73" w:rsidP="00113F73">
                            <w:pPr>
                              <w:spacing w:line="276" w:lineRule="auto"/>
                              <w:rPr>
                                <w:rFonts w:asciiTheme="majorHAnsi" w:hAnsiTheme="majorHAnsi"/>
                                <w:color w:val="595959" w:themeColor="text1" w:themeTint="A6"/>
                                <w:sz w:val="18"/>
                                <w:szCs w:val="18"/>
                                <w:lang w:val="es-US"/>
                              </w:rPr>
                            </w:pPr>
                            <w:r w:rsidRPr="00F462F4">
                              <w:rPr>
                                <w:rFonts w:asciiTheme="majorHAnsi" w:hAnsiTheme="majorHAnsi"/>
                                <w:b/>
                                <w:color w:val="595959" w:themeColor="text1" w:themeTint="A6"/>
                                <w:sz w:val="18"/>
                                <w:szCs w:val="18"/>
                                <w:lang w:val="pt-BR"/>
                              </w:rPr>
                              <w:t>Citar como:</w:t>
                            </w:r>
                            <w:r w:rsidRPr="00F462F4">
                              <w:rPr>
                                <w:rFonts w:asciiTheme="majorHAnsi" w:hAnsiTheme="majorHAnsi"/>
                                <w:color w:val="595959" w:themeColor="text1" w:themeTint="A6"/>
                                <w:sz w:val="18"/>
                                <w:szCs w:val="18"/>
                                <w:lang w:val="pt-BR"/>
                              </w:rPr>
                              <w:t xml:space="preserve"> CIDH, Informe No. </w:t>
                            </w:r>
                            <w:r w:rsidR="00F05508" w:rsidRPr="00F05508">
                              <w:rPr>
                                <w:rFonts w:asciiTheme="majorHAnsi" w:hAnsiTheme="majorHAnsi"/>
                                <w:color w:val="595959" w:themeColor="text1" w:themeTint="A6"/>
                                <w:sz w:val="18"/>
                                <w:szCs w:val="18"/>
                                <w:lang w:val="pt-BR"/>
                              </w:rPr>
                              <w:t>9</w:t>
                            </w:r>
                            <w:r w:rsidR="007B05C4" w:rsidRPr="00F05508">
                              <w:rPr>
                                <w:rFonts w:asciiTheme="majorHAnsi" w:hAnsiTheme="majorHAnsi"/>
                                <w:color w:val="595959" w:themeColor="text1" w:themeTint="A6"/>
                                <w:sz w:val="18"/>
                                <w:szCs w:val="18"/>
                                <w:lang w:val="pt-BR"/>
                              </w:rPr>
                              <w:t>/</w:t>
                            </w:r>
                            <w:r w:rsidR="00F05508" w:rsidRPr="00F05508">
                              <w:rPr>
                                <w:rFonts w:asciiTheme="majorHAnsi" w:hAnsiTheme="majorHAnsi"/>
                                <w:color w:val="595959" w:themeColor="text1" w:themeTint="A6"/>
                                <w:sz w:val="18"/>
                                <w:szCs w:val="18"/>
                                <w:lang w:val="pt-BR"/>
                              </w:rPr>
                              <w:t>22</w:t>
                            </w:r>
                            <w:r w:rsidRPr="00F05508">
                              <w:rPr>
                                <w:rFonts w:asciiTheme="majorHAnsi" w:hAnsiTheme="majorHAnsi"/>
                                <w:color w:val="595959" w:themeColor="text1" w:themeTint="A6"/>
                                <w:sz w:val="18"/>
                                <w:szCs w:val="18"/>
                                <w:lang w:val="pt-BR"/>
                              </w:rPr>
                              <w:t xml:space="preserve">. </w:t>
                            </w:r>
                            <w:proofErr w:type="spellStart"/>
                            <w:r w:rsidR="000433C9" w:rsidRPr="00F462F4">
                              <w:rPr>
                                <w:rFonts w:asciiTheme="majorHAnsi" w:hAnsiTheme="majorHAnsi"/>
                                <w:color w:val="595959" w:themeColor="text1" w:themeTint="A6"/>
                                <w:sz w:val="18"/>
                                <w:szCs w:val="18"/>
                                <w:lang w:val="es-ES_tradnl"/>
                              </w:rPr>
                              <w:t>Petici</w:t>
                            </w:r>
                            <w:r w:rsidR="000433C9" w:rsidRPr="00F462F4">
                              <w:rPr>
                                <w:rFonts w:asciiTheme="majorHAnsi" w:hAnsiTheme="majorHAnsi"/>
                                <w:color w:val="595959" w:themeColor="text1" w:themeTint="A6"/>
                                <w:sz w:val="18"/>
                                <w:szCs w:val="18"/>
                                <w:lang w:val="es-ES"/>
                              </w:rPr>
                              <w:t>ón</w:t>
                            </w:r>
                            <w:proofErr w:type="spellEnd"/>
                            <w:r w:rsidR="000433C9" w:rsidRPr="00F462F4">
                              <w:rPr>
                                <w:rFonts w:asciiTheme="majorHAnsi" w:hAnsiTheme="majorHAnsi"/>
                                <w:color w:val="595959" w:themeColor="text1" w:themeTint="A6"/>
                                <w:sz w:val="18"/>
                                <w:szCs w:val="18"/>
                                <w:lang w:val="es-ES"/>
                              </w:rPr>
                              <w:t xml:space="preserve"> </w:t>
                            </w:r>
                            <w:r w:rsidR="00B3149C" w:rsidRPr="00F462F4">
                              <w:rPr>
                                <w:rFonts w:asciiTheme="majorHAnsi" w:hAnsiTheme="majorHAnsi"/>
                                <w:color w:val="595959" w:themeColor="text1" w:themeTint="A6"/>
                                <w:sz w:val="18"/>
                                <w:szCs w:val="18"/>
                                <w:lang w:val="es-ES"/>
                              </w:rPr>
                              <w:t>210</w:t>
                            </w:r>
                            <w:r w:rsidR="000433C9" w:rsidRPr="00F462F4">
                              <w:rPr>
                                <w:rFonts w:asciiTheme="majorHAnsi" w:hAnsiTheme="majorHAnsi"/>
                                <w:color w:val="595959" w:themeColor="text1" w:themeTint="A6"/>
                                <w:sz w:val="18"/>
                                <w:szCs w:val="18"/>
                                <w:lang w:val="es-ES"/>
                              </w:rPr>
                              <w:t>-</w:t>
                            </w:r>
                            <w:r w:rsidR="00B3149C" w:rsidRPr="00F462F4">
                              <w:rPr>
                                <w:rFonts w:asciiTheme="majorHAnsi" w:hAnsiTheme="majorHAnsi"/>
                                <w:color w:val="595959" w:themeColor="text1" w:themeTint="A6"/>
                                <w:sz w:val="18"/>
                                <w:szCs w:val="18"/>
                                <w:lang w:val="es-ES"/>
                              </w:rPr>
                              <w:t>11</w:t>
                            </w:r>
                            <w:r w:rsidR="000433C9" w:rsidRPr="00F462F4">
                              <w:rPr>
                                <w:rFonts w:asciiTheme="majorHAnsi" w:hAnsiTheme="majorHAnsi"/>
                                <w:color w:val="595959" w:themeColor="text1" w:themeTint="A6"/>
                                <w:sz w:val="18"/>
                                <w:szCs w:val="18"/>
                                <w:lang w:val="es-ES"/>
                              </w:rPr>
                              <w:t xml:space="preserve">. </w:t>
                            </w:r>
                            <w:r w:rsidR="00A96503">
                              <w:rPr>
                                <w:rFonts w:asciiTheme="majorHAnsi" w:hAnsiTheme="majorHAnsi"/>
                                <w:color w:val="595959" w:themeColor="text1" w:themeTint="A6"/>
                                <w:sz w:val="18"/>
                                <w:szCs w:val="18"/>
                                <w:lang w:val="es-ES_tradnl"/>
                              </w:rPr>
                              <w:t>Ina</w:t>
                            </w:r>
                            <w:r w:rsidRPr="00F462F4">
                              <w:rPr>
                                <w:rFonts w:asciiTheme="majorHAnsi" w:hAnsiTheme="majorHAnsi"/>
                                <w:color w:val="595959" w:themeColor="text1" w:themeTint="A6"/>
                                <w:sz w:val="18"/>
                                <w:szCs w:val="18"/>
                                <w:lang w:val="es-ES_tradnl"/>
                              </w:rPr>
                              <w:t xml:space="preserve">dmisibilidad. </w:t>
                            </w:r>
                            <w:r w:rsidR="00B3149C" w:rsidRPr="00F462F4">
                              <w:rPr>
                                <w:rFonts w:asciiTheme="majorHAnsi" w:hAnsiTheme="majorHAnsi"/>
                                <w:color w:val="595959" w:themeColor="text1" w:themeTint="A6"/>
                                <w:sz w:val="18"/>
                                <w:szCs w:val="18"/>
                                <w:lang w:val="es-ES_tradnl"/>
                              </w:rPr>
                              <w:t>Nicolás Rodríguez Redondo</w:t>
                            </w:r>
                            <w:r w:rsidR="00F46E94">
                              <w:rPr>
                                <w:rFonts w:asciiTheme="majorHAnsi" w:hAnsiTheme="majorHAnsi"/>
                                <w:color w:val="595959" w:themeColor="text1" w:themeTint="A6"/>
                                <w:sz w:val="18"/>
                                <w:szCs w:val="18"/>
                                <w:lang w:val="es-ES_tradnl"/>
                              </w:rPr>
                              <w:t>,</w:t>
                            </w:r>
                            <w:r w:rsidR="006D34D8">
                              <w:rPr>
                                <w:rFonts w:asciiTheme="majorHAnsi" w:hAnsiTheme="majorHAnsi"/>
                                <w:color w:val="595959" w:themeColor="text1" w:themeTint="A6"/>
                                <w:sz w:val="18"/>
                                <w:szCs w:val="18"/>
                                <w:lang w:val="es-ES_tradnl"/>
                              </w:rPr>
                              <w:t xml:space="preserve"> Gabriel Enrique Mojica Redondo</w:t>
                            </w:r>
                            <w:r w:rsidR="00F46E94">
                              <w:rPr>
                                <w:rFonts w:asciiTheme="majorHAnsi" w:hAnsiTheme="majorHAnsi"/>
                                <w:color w:val="595959" w:themeColor="text1" w:themeTint="A6"/>
                                <w:sz w:val="18"/>
                                <w:szCs w:val="18"/>
                                <w:lang w:val="es-ES_tradnl"/>
                              </w:rPr>
                              <w:t xml:space="preserve"> y </w:t>
                            </w:r>
                            <w:proofErr w:type="spellStart"/>
                            <w:r w:rsidR="00F46E94">
                              <w:rPr>
                                <w:rFonts w:asciiTheme="majorHAnsi" w:hAnsiTheme="majorHAnsi"/>
                                <w:color w:val="595959" w:themeColor="text1" w:themeTint="A6"/>
                                <w:sz w:val="18"/>
                                <w:szCs w:val="18"/>
                                <w:lang w:val="es-ES_tradnl"/>
                              </w:rPr>
                              <w:t>Deniris</w:t>
                            </w:r>
                            <w:proofErr w:type="spellEnd"/>
                            <w:r w:rsidR="00F46E94">
                              <w:rPr>
                                <w:rFonts w:asciiTheme="majorHAnsi" w:hAnsiTheme="majorHAnsi"/>
                                <w:color w:val="595959" w:themeColor="text1" w:themeTint="A6"/>
                                <w:sz w:val="18"/>
                                <w:szCs w:val="18"/>
                                <w:lang w:val="es-ES_tradnl"/>
                              </w:rPr>
                              <w:t xml:space="preserve"> Baleta Botello</w:t>
                            </w:r>
                            <w:r w:rsidRPr="00F462F4">
                              <w:rPr>
                                <w:rFonts w:asciiTheme="majorHAnsi" w:hAnsiTheme="majorHAnsi"/>
                                <w:color w:val="595959" w:themeColor="text1" w:themeTint="A6"/>
                                <w:sz w:val="18"/>
                                <w:szCs w:val="18"/>
                                <w:lang w:val="es-ES_tradnl"/>
                              </w:rPr>
                              <w:t xml:space="preserve">. </w:t>
                            </w:r>
                            <w:r w:rsidR="00B3149C" w:rsidRPr="00F462F4">
                              <w:rPr>
                                <w:rFonts w:asciiTheme="majorHAnsi" w:hAnsiTheme="majorHAnsi"/>
                                <w:color w:val="595959" w:themeColor="text1" w:themeTint="A6"/>
                                <w:sz w:val="18"/>
                                <w:szCs w:val="18"/>
                                <w:lang w:val="es-ES_tradnl"/>
                              </w:rPr>
                              <w:t>Colombia</w:t>
                            </w:r>
                            <w:r w:rsidRPr="00F462F4">
                              <w:rPr>
                                <w:rFonts w:asciiTheme="majorHAnsi" w:hAnsiTheme="majorHAnsi"/>
                                <w:color w:val="595959" w:themeColor="text1" w:themeTint="A6"/>
                                <w:sz w:val="18"/>
                                <w:szCs w:val="18"/>
                                <w:lang w:val="es-ES_tradnl"/>
                              </w:rPr>
                              <w:t xml:space="preserve">. </w:t>
                            </w:r>
                            <w:r w:rsidR="00F05508">
                              <w:rPr>
                                <w:rFonts w:asciiTheme="majorHAnsi" w:hAnsiTheme="majorHAnsi"/>
                                <w:color w:val="595959" w:themeColor="text1" w:themeTint="A6"/>
                                <w:sz w:val="18"/>
                                <w:szCs w:val="18"/>
                                <w:lang w:val="es-ES"/>
                              </w:rPr>
                              <w:t>9 de febrero de 2022</w:t>
                            </w:r>
                            <w:r w:rsidRPr="00F462F4">
                              <w:rPr>
                                <w:rFonts w:asciiTheme="majorHAnsi" w:hAnsiTheme="majorHAnsi"/>
                                <w:color w:val="595959" w:themeColor="text1" w:themeTint="A6"/>
                                <w:sz w:val="18"/>
                                <w:szCs w:val="18"/>
                                <w:lang w:val="es-ES"/>
                              </w:rPr>
                              <w:t>.</w:t>
                            </w:r>
                            <w:r w:rsidR="00C432BA" w:rsidRPr="006D34D8">
                              <w:rPr>
                                <w:rFonts w:asciiTheme="majorHAnsi" w:hAnsiTheme="majorHAnsi"/>
                                <w:color w:val="595959" w:themeColor="text1" w:themeTint="A6"/>
                                <w:sz w:val="18"/>
                                <w:szCs w:val="18"/>
                                <w:lang w:val="es-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500955EC" w:rsidR="00113F73" w:rsidRPr="006D34D8" w:rsidRDefault="00113F73" w:rsidP="00113F73">
                      <w:pPr>
                        <w:spacing w:line="276" w:lineRule="auto"/>
                        <w:rPr>
                          <w:rFonts w:asciiTheme="majorHAnsi" w:hAnsiTheme="majorHAnsi"/>
                          <w:color w:val="595959" w:themeColor="text1" w:themeTint="A6"/>
                          <w:sz w:val="18"/>
                          <w:szCs w:val="18"/>
                          <w:lang w:val="es-US"/>
                        </w:rPr>
                      </w:pPr>
                      <w:r w:rsidRPr="00F462F4">
                        <w:rPr>
                          <w:rFonts w:asciiTheme="majorHAnsi" w:hAnsiTheme="majorHAnsi"/>
                          <w:b/>
                          <w:color w:val="595959" w:themeColor="text1" w:themeTint="A6"/>
                          <w:sz w:val="18"/>
                          <w:szCs w:val="18"/>
                          <w:lang w:val="pt-BR"/>
                        </w:rPr>
                        <w:t>Citar como:</w:t>
                      </w:r>
                      <w:r w:rsidRPr="00F462F4">
                        <w:rPr>
                          <w:rFonts w:asciiTheme="majorHAnsi" w:hAnsiTheme="majorHAnsi"/>
                          <w:color w:val="595959" w:themeColor="text1" w:themeTint="A6"/>
                          <w:sz w:val="18"/>
                          <w:szCs w:val="18"/>
                          <w:lang w:val="pt-BR"/>
                        </w:rPr>
                        <w:t xml:space="preserve"> CIDH, Informe No. </w:t>
                      </w:r>
                      <w:r w:rsidR="00F05508" w:rsidRPr="00F05508">
                        <w:rPr>
                          <w:rFonts w:asciiTheme="majorHAnsi" w:hAnsiTheme="majorHAnsi"/>
                          <w:color w:val="595959" w:themeColor="text1" w:themeTint="A6"/>
                          <w:sz w:val="18"/>
                          <w:szCs w:val="18"/>
                          <w:lang w:val="pt-BR"/>
                        </w:rPr>
                        <w:t>9</w:t>
                      </w:r>
                      <w:r w:rsidR="007B05C4" w:rsidRPr="00F05508">
                        <w:rPr>
                          <w:rFonts w:asciiTheme="majorHAnsi" w:hAnsiTheme="majorHAnsi"/>
                          <w:color w:val="595959" w:themeColor="text1" w:themeTint="A6"/>
                          <w:sz w:val="18"/>
                          <w:szCs w:val="18"/>
                          <w:lang w:val="pt-BR"/>
                        </w:rPr>
                        <w:t>/</w:t>
                      </w:r>
                      <w:r w:rsidR="00F05508" w:rsidRPr="00F05508">
                        <w:rPr>
                          <w:rFonts w:asciiTheme="majorHAnsi" w:hAnsiTheme="majorHAnsi"/>
                          <w:color w:val="595959" w:themeColor="text1" w:themeTint="A6"/>
                          <w:sz w:val="18"/>
                          <w:szCs w:val="18"/>
                          <w:lang w:val="pt-BR"/>
                        </w:rPr>
                        <w:t>22</w:t>
                      </w:r>
                      <w:r w:rsidRPr="00F05508">
                        <w:rPr>
                          <w:rFonts w:asciiTheme="majorHAnsi" w:hAnsiTheme="majorHAnsi"/>
                          <w:color w:val="595959" w:themeColor="text1" w:themeTint="A6"/>
                          <w:sz w:val="18"/>
                          <w:szCs w:val="18"/>
                          <w:lang w:val="pt-BR"/>
                        </w:rPr>
                        <w:t xml:space="preserve">. </w:t>
                      </w:r>
                      <w:proofErr w:type="spellStart"/>
                      <w:r w:rsidR="000433C9" w:rsidRPr="00F462F4">
                        <w:rPr>
                          <w:rFonts w:asciiTheme="majorHAnsi" w:hAnsiTheme="majorHAnsi"/>
                          <w:color w:val="595959" w:themeColor="text1" w:themeTint="A6"/>
                          <w:sz w:val="18"/>
                          <w:szCs w:val="18"/>
                          <w:lang w:val="es-ES_tradnl"/>
                        </w:rPr>
                        <w:t>Petici</w:t>
                      </w:r>
                      <w:r w:rsidR="000433C9" w:rsidRPr="00F462F4">
                        <w:rPr>
                          <w:rFonts w:asciiTheme="majorHAnsi" w:hAnsiTheme="majorHAnsi"/>
                          <w:color w:val="595959" w:themeColor="text1" w:themeTint="A6"/>
                          <w:sz w:val="18"/>
                          <w:szCs w:val="18"/>
                          <w:lang w:val="es-ES"/>
                        </w:rPr>
                        <w:t>ón</w:t>
                      </w:r>
                      <w:proofErr w:type="spellEnd"/>
                      <w:r w:rsidR="000433C9" w:rsidRPr="00F462F4">
                        <w:rPr>
                          <w:rFonts w:asciiTheme="majorHAnsi" w:hAnsiTheme="majorHAnsi"/>
                          <w:color w:val="595959" w:themeColor="text1" w:themeTint="A6"/>
                          <w:sz w:val="18"/>
                          <w:szCs w:val="18"/>
                          <w:lang w:val="es-ES"/>
                        </w:rPr>
                        <w:t xml:space="preserve"> </w:t>
                      </w:r>
                      <w:r w:rsidR="00B3149C" w:rsidRPr="00F462F4">
                        <w:rPr>
                          <w:rFonts w:asciiTheme="majorHAnsi" w:hAnsiTheme="majorHAnsi"/>
                          <w:color w:val="595959" w:themeColor="text1" w:themeTint="A6"/>
                          <w:sz w:val="18"/>
                          <w:szCs w:val="18"/>
                          <w:lang w:val="es-ES"/>
                        </w:rPr>
                        <w:t>210</w:t>
                      </w:r>
                      <w:r w:rsidR="000433C9" w:rsidRPr="00F462F4">
                        <w:rPr>
                          <w:rFonts w:asciiTheme="majorHAnsi" w:hAnsiTheme="majorHAnsi"/>
                          <w:color w:val="595959" w:themeColor="text1" w:themeTint="A6"/>
                          <w:sz w:val="18"/>
                          <w:szCs w:val="18"/>
                          <w:lang w:val="es-ES"/>
                        </w:rPr>
                        <w:t>-</w:t>
                      </w:r>
                      <w:r w:rsidR="00B3149C" w:rsidRPr="00F462F4">
                        <w:rPr>
                          <w:rFonts w:asciiTheme="majorHAnsi" w:hAnsiTheme="majorHAnsi"/>
                          <w:color w:val="595959" w:themeColor="text1" w:themeTint="A6"/>
                          <w:sz w:val="18"/>
                          <w:szCs w:val="18"/>
                          <w:lang w:val="es-ES"/>
                        </w:rPr>
                        <w:t>11</w:t>
                      </w:r>
                      <w:r w:rsidR="000433C9" w:rsidRPr="00F462F4">
                        <w:rPr>
                          <w:rFonts w:asciiTheme="majorHAnsi" w:hAnsiTheme="majorHAnsi"/>
                          <w:color w:val="595959" w:themeColor="text1" w:themeTint="A6"/>
                          <w:sz w:val="18"/>
                          <w:szCs w:val="18"/>
                          <w:lang w:val="es-ES"/>
                        </w:rPr>
                        <w:t xml:space="preserve">. </w:t>
                      </w:r>
                      <w:r w:rsidR="00A96503">
                        <w:rPr>
                          <w:rFonts w:asciiTheme="majorHAnsi" w:hAnsiTheme="majorHAnsi"/>
                          <w:color w:val="595959" w:themeColor="text1" w:themeTint="A6"/>
                          <w:sz w:val="18"/>
                          <w:szCs w:val="18"/>
                          <w:lang w:val="es-ES_tradnl"/>
                        </w:rPr>
                        <w:t>Ina</w:t>
                      </w:r>
                      <w:r w:rsidRPr="00F462F4">
                        <w:rPr>
                          <w:rFonts w:asciiTheme="majorHAnsi" w:hAnsiTheme="majorHAnsi"/>
                          <w:color w:val="595959" w:themeColor="text1" w:themeTint="A6"/>
                          <w:sz w:val="18"/>
                          <w:szCs w:val="18"/>
                          <w:lang w:val="es-ES_tradnl"/>
                        </w:rPr>
                        <w:t xml:space="preserve">dmisibilidad. </w:t>
                      </w:r>
                      <w:r w:rsidR="00B3149C" w:rsidRPr="00F462F4">
                        <w:rPr>
                          <w:rFonts w:asciiTheme="majorHAnsi" w:hAnsiTheme="majorHAnsi"/>
                          <w:color w:val="595959" w:themeColor="text1" w:themeTint="A6"/>
                          <w:sz w:val="18"/>
                          <w:szCs w:val="18"/>
                          <w:lang w:val="es-ES_tradnl"/>
                        </w:rPr>
                        <w:t>Nicolás Rodríguez Redondo</w:t>
                      </w:r>
                      <w:r w:rsidR="00F46E94">
                        <w:rPr>
                          <w:rFonts w:asciiTheme="majorHAnsi" w:hAnsiTheme="majorHAnsi"/>
                          <w:color w:val="595959" w:themeColor="text1" w:themeTint="A6"/>
                          <w:sz w:val="18"/>
                          <w:szCs w:val="18"/>
                          <w:lang w:val="es-ES_tradnl"/>
                        </w:rPr>
                        <w:t>,</w:t>
                      </w:r>
                      <w:r w:rsidR="006D34D8">
                        <w:rPr>
                          <w:rFonts w:asciiTheme="majorHAnsi" w:hAnsiTheme="majorHAnsi"/>
                          <w:color w:val="595959" w:themeColor="text1" w:themeTint="A6"/>
                          <w:sz w:val="18"/>
                          <w:szCs w:val="18"/>
                          <w:lang w:val="es-ES_tradnl"/>
                        </w:rPr>
                        <w:t xml:space="preserve"> Gabriel Enrique Mojica Redondo</w:t>
                      </w:r>
                      <w:r w:rsidR="00F46E94">
                        <w:rPr>
                          <w:rFonts w:asciiTheme="majorHAnsi" w:hAnsiTheme="majorHAnsi"/>
                          <w:color w:val="595959" w:themeColor="text1" w:themeTint="A6"/>
                          <w:sz w:val="18"/>
                          <w:szCs w:val="18"/>
                          <w:lang w:val="es-ES_tradnl"/>
                        </w:rPr>
                        <w:t xml:space="preserve"> y </w:t>
                      </w:r>
                      <w:proofErr w:type="spellStart"/>
                      <w:r w:rsidR="00F46E94">
                        <w:rPr>
                          <w:rFonts w:asciiTheme="majorHAnsi" w:hAnsiTheme="majorHAnsi"/>
                          <w:color w:val="595959" w:themeColor="text1" w:themeTint="A6"/>
                          <w:sz w:val="18"/>
                          <w:szCs w:val="18"/>
                          <w:lang w:val="es-ES_tradnl"/>
                        </w:rPr>
                        <w:t>Deniris</w:t>
                      </w:r>
                      <w:proofErr w:type="spellEnd"/>
                      <w:r w:rsidR="00F46E94">
                        <w:rPr>
                          <w:rFonts w:asciiTheme="majorHAnsi" w:hAnsiTheme="majorHAnsi"/>
                          <w:color w:val="595959" w:themeColor="text1" w:themeTint="A6"/>
                          <w:sz w:val="18"/>
                          <w:szCs w:val="18"/>
                          <w:lang w:val="es-ES_tradnl"/>
                        </w:rPr>
                        <w:t xml:space="preserve"> Baleta Botello</w:t>
                      </w:r>
                      <w:r w:rsidRPr="00F462F4">
                        <w:rPr>
                          <w:rFonts w:asciiTheme="majorHAnsi" w:hAnsiTheme="majorHAnsi"/>
                          <w:color w:val="595959" w:themeColor="text1" w:themeTint="A6"/>
                          <w:sz w:val="18"/>
                          <w:szCs w:val="18"/>
                          <w:lang w:val="es-ES_tradnl"/>
                        </w:rPr>
                        <w:t xml:space="preserve">. </w:t>
                      </w:r>
                      <w:r w:rsidR="00B3149C" w:rsidRPr="00F462F4">
                        <w:rPr>
                          <w:rFonts w:asciiTheme="majorHAnsi" w:hAnsiTheme="majorHAnsi"/>
                          <w:color w:val="595959" w:themeColor="text1" w:themeTint="A6"/>
                          <w:sz w:val="18"/>
                          <w:szCs w:val="18"/>
                          <w:lang w:val="es-ES_tradnl"/>
                        </w:rPr>
                        <w:t>Colombia</w:t>
                      </w:r>
                      <w:r w:rsidRPr="00F462F4">
                        <w:rPr>
                          <w:rFonts w:asciiTheme="majorHAnsi" w:hAnsiTheme="majorHAnsi"/>
                          <w:color w:val="595959" w:themeColor="text1" w:themeTint="A6"/>
                          <w:sz w:val="18"/>
                          <w:szCs w:val="18"/>
                          <w:lang w:val="es-ES_tradnl"/>
                        </w:rPr>
                        <w:t xml:space="preserve">. </w:t>
                      </w:r>
                      <w:r w:rsidR="00F05508">
                        <w:rPr>
                          <w:rFonts w:asciiTheme="majorHAnsi" w:hAnsiTheme="majorHAnsi"/>
                          <w:color w:val="595959" w:themeColor="text1" w:themeTint="A6"/>
                          <w:sz w:val="18"/>
                          <w:szCs w:val="18"/>
                          <w:lang w:val="es-ES"/>
                        </w:rPr>
                        <w:t>9 de febrero de 2022</w:t>
                      </w:r>
                      <w:r w:rsidRPr="00F462F4">
                        <w:rPr>
                          <w:rFonts w:asciiTheme="majorHAnsi" w:hAnsiTheme="majorHAnsi"/>
                          <w:color w:val="595959" w:themeColor="text1" w:themeTint="A6"/>
                          <w:sz w:val="18"/>
                          <w:szCs w:val="18"/>
                          <w:lang w:val="es-ES"/>
                        </w:rPr>
                        <w:t>.</w:t>
                      </w:r>
                      <w:r w:rsidR="00C432BA" w:rsidRPr="006D34D8">
                        <w:rPr>
                          <w:rFonts w:asciiTheme="majorHAnsi" w:hAnsiTheme="majorHAnsi"/>
                          <w:color w:val="595959" w:themeColor="text1" w:themeTint="A6"/>
                          <w:sz w:val="18"/>
                          <w:szCs w:val="18"/>
                          <w:lang w:val="es-US"/>
                        </w:rPr>
                        <w:t xml:space="preserve"> </w:t>
                      </w:r>
                    </w:p>
                  </w:txbxContent>
                </v:textbox>
              </v:shape>
            </w:pict>
          </mc:Fallback>
        </mc:AlternateContent>
      </w:r>
    </w:p>
    <w:p w14:paraId="25D77946" w14:textId="77777777" w:rsidR="00A50FCF" w:rsidRPr="00F77BCB" w:rsidRDefault="00A50FCF" w:rsidP="00040C3A">
      <w:pPr>
        <w:tabs>
          <w:tab w:val="center" w:pos="5400"/>
        </w:tabs>
        <w:suppressAutoHyphens/>
        <w:jc w:val="center"/>
        <w:rPr>
          <w:rFonts w:asciiTheme="majorHAnsi" w:hAnsiTheme="majorHAnsi"/>
          <w:noProof/>
          <w:sz w:val="20"/>
          <w:szCs w:val="20"/>
          <w:lang w:val="es-ES"/>
        </w:rPr>
      </w:pPr>
    </w:p>
    <w:p w14:paraId="56542EE5" w14:textId="465123B5" w:rsidR="0090270B" w:rsidRPr="00F77BCB" w:rsidRDefault="00D306D1" w:rsidP="005516A1">
      <w:pPr>
        <w:tabs>
          <w:tab w:val="center" w:pos="5400"/>
        </w:tabs>
        <w:suppressAutoHyphens/>
        <w:jc w:val="center"/>
        <w:rPr>
          <w:rFonts w:asciiTheme="majorHAnsi" w:hAnsiTheme="majorHAnsi"/>
          <w:b/>
          <w:noProof/>
          <w:sz w:val="20"/>
          <w:szCs w:val="20"/>
          <w:lang w:val="es-ES"/>
        </w:rPr>
      </w:pPr>
      <w:r w:rsidRPr="00F77BCB">
        <w:rPr>
          <w:rFonts w:asciiTheme="majorHAnsi" w:hAnsiTheme="majorHAnsi"/>
          <w:noProof/>
          <w:sz w:val="20"/>
          <w:szCs w:val="20"/>
          <w:lang w:val="es-ES"/>
        </w:rPr>
        <mc:AlternateContent>
          <mc:Choice Requires="wps">
            <w:drawing>
              <wp:anchor distT="0" distB="0" distL="114300" distR="114300" simplePos="0" relativeHeight="251682816" behindDoc="0" locked="0" layoutInCell="1" allowOverlap="1" wp14:anchorId="1A432075" wp14:editId="200835F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31D3A907" w:rsidR="0070697F" w:rsidRPr="00F77BCB" w:rsidRDefault="00386091" w:rsidP="005516A1">
      <w:pPr>
        <w:tabs>
          <w:tab w:val="center" w:pos="5400"/>
        </w:tabs>
        <w:suppressAutoHyphens/>
        <w:jc w:val="center"/>
        <w:rPr>
          <w:rFonts w:asciiTheme="majorHAnsi" w:hAnsiTheme="majorHAnsi"/>
          <w:b/>
          <w:noProof/>
          <w:sz w:val="20"/>
          <w:szCs w:val="20"/>
          <w:lang w:val="es-ES"/>
        </w:rPr>
        <w:sectPr w:rsidR="0070697F" w:rsidRPr="00F77BC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F77BCB">
        <w:rPr>
          <w:rFonts w:asciiTheme="majorHAnsi" w:hAnsiTheme="majorHAnsi"/>
          <w:noProof/>
          <w:sz w:val="20"/>
          <w:szCs w:val="20"/>
          <w:lang w:val="es-ES"/>
        </w:rPr>
        <mc:AlternateContent>
          <mc:Choice Requires="wps">
            <w:drawing>
              <wp:anchor distT="0" distB="0" distL="114300" distR="114300" simplePos="0" relativeHeight="251680768" behindDoc="0" locked="0" layoutInCell="1" allowOverlap="1" wp14:anchorId="03C956DF" wp14:editId="4425CF6E">
                <wp:simplePos x="0" y="0"/>
                <wp:positionH relativeFrom="column">
                  <wp:posOffset>1329690</wp:posOffset>
                </wp:positionH>
                <wp:positionV relativeFrom="paragraph">
                  <wp:posOffset>565513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4BB2782C" w:rsidR="00D72DC6" w:rsidRPr="00D72DC6" w:rsidRDefault="00386091" w:rsidP="00F02AD1">
                            <w:pPr>
                              <w:rPr>
                                <w:color w:val="FFFFFF" w:themeColor="background1"/>
                                <w14:textFill>
                                  <w14:noFill/>
                                </w14:textFill>
                              </w:rPr>
                            </w:pPr>
                            <w:r>
                              <w:rPr>
                                <w:noProof/>
                                <w:color w:val="FFFFFF" w:themeColor="background1"/>
                              </w:rPr>
                              <w:drawing>
                                <wp:inline distT="0" distB="0" distL="0" distR="0" wp14:anchorId="18B914D7" wp14:editId="0F61425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4.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Ojwgkni&#10;AAAACgEAAA8AAAAAAAAAAAAAAAAA1AQAAGRycy9kb3ducmV2LnhtbFBLBQYAAAAABAAEAPMAAADj&#10;BQAAAAA=&#10;" fillcolor="white [3201]" stroked="f" strokeweight=".5pt">
                <v:textbox>
                  <w:txbxContent>
                    <w:p w14:paraId="4DB6A101" w14:textId="4BB2782C" w:rsidR="00D72DC6" w:rsidRPr="00D72DC6" w:rsidRDefault="00386091" w:rsidP="00F02AD1">
                      <w:pPr>
                        <w:rPr>
                          <w:color w:val="FFFFFF" w:themeColor="background1"/>
                          <w14:textFill>
                            <w14:noFill/>
                          </w14:textFill>
                        </w:rPr>
                      </w:pPr>
                      <w:r>
                        <w:rPr>
                          <w:noProof/>
                          <w:color w:val="FFFFFF" w:themeColor="background1"/>
                        </w:rPr>
                        <w:drawing>
                          <wp:inline distT="0" distB="0" distL="0" distR="0" wp14:anchorId="18B914D7" wp14:editId="0F61425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F77BCB">
        <w:rPr>
          <w:rFonts w:asciiTheme="majorHAnsi" w:hAnsiTheme="majorHAnsi"/>
          <w:b/>
          <w:noProof/>
          <w:sz w:val="20"/>
          <w:szCs w:val="20"/>
          <w:lang w:val="es-ES"/>
        </w:rPr>
        <w:tab/>
      </w:r>
    </w:p>
    <w:p w14:paraId="3EFC3AE9" w14:textId="77777777" w:rsidR="003239B8" w:rsidRPr="00F77BCB" w:rsidRDefault="003239B8" w:rsidP="004A6A54">
      <w:pPr>
        <w:spacing w:after="240"/>
        <w:ind w:firstLine="720"/>
        <w:jc w:val="both"/>
        <w:rPr>
          <w:rFonts w:asciiTheme="majorHAnsi" w:hAnsiTheme="majorHAnsi"/>
          <w:b/>
          <w:bCs/>
          <w:noProof/>
          <w:sz w:val="20"/>
          <w:szCs w:val="20"/>
          <w:lang w:val="es-ES"/>
        </w:rPr>
      </w:pPr>
      <w:r w:rsidRPr="00F77BCB">
        <w:rPr>
          <w:rFonts w:asciiTheme="majorHAnsi" w:hAnsiTheme="majorHAnsi"/>
          <w:b/>
          <w:bCs/>
          <w:noProof/>
          <w:sz w:val="20"/>
          <w:szCs w:val="20"/>
          <w:lang w:val="es-ES"/>
        </w:rPr>
        <w:lastRenderedPageBreak/>
        <w:t>I.</w:t>
      </w:r>
      <w:r w:rsidRPr="00F77BCB">
        <w:rPr>
          <w:rFonts w:asciiTheme="majorHAnsi" w:hAnsiTheme="majorHAnsi"/>
          <w:b/>
          <w:bCs/>
          <w:noProof/>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7BCB"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F77BCB" w:rsidRDefault="003239B8"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Parte peticionaria:</w:t>
            </w:r>
          </w:p>
        </w:tc>
        <w:tc>
          <w:tcPr>
            <w:tcW w:w="5760" w:type="dxa"/>
            <w:vAlign w:val="center"/>
          </w:tcPr>
          <w:p w14:paraId="02AF6D42" w14:textId="6717C696" w:rsidR="003239B8" w:rsidRPr="00F77BCB" w:rsidRDefault="00B3149C" w:rsidP="008D2290">
            <w:pPr>
              <w:jc w:val="both"/>
              <w:rPr>
                <w:rFonts w:asciiTheme="majorHAnsi" w:hAnsiTheme="majorHAnsi"/>
                <w:bCs/>
                <w:noProof/>
                <w:sz w:val="20"/>
                <w:szCs w:val="20"/>
                <w:lang w:val="es-ES"/>
              </w:rPr>
            </w:pPr>
            <w:r w:rsidRPr="00F77BCB">
              <w:rPr>
                <w:rFonts w:asciiTheme="majorHAnsi" w:hAnsiTheme="majorHAnsi"/>
                <w:bCs/>
                <w:noProof/>
                <w:sz w:val="20"/>
                <w:szCs w:val="20"/>
                <w:lang w:val="es-ES"/>
              </w:rPr>
              <w:t>Gabriel Enrique Mojica Redondo</w:t>
            </w:r>
          </w:p>
        </w:tc>
      </w:tr>
      <w:tr w:rsidR="003239B8" w:rsidRPr="006E7528"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F77BCB" w:rsidRDefault="00551D60" w:rsidP="008D2290">
            <w:pPr>
              <w:jc w:val="center"/>
              <w:rPr>
                <w:rFonts w:asciiTheme="majorHAnsi" w:hAnsiTheme="majorHAnsi"/>
                <w:b/>
                <w:bCs/>
                <w:noProof/>
                <w:color w:val="FFFFFF" w:themeColor="background1"/>
                <w:sz w:val="20"/>
                <w:szCs w:val="20"/>
                <w:lang w:val="es-ES"/>
              </w:rPr>
            </w:pPr>
            <w:sdt>
              <w:sdtPr>
                <w:rPr>
                  <w:rFonts w:asciiTheme="majorHAnsi" w:hAnsiTheme="majorHAnsi"/>
                  <w:b/>
                  <w:bCs/>
                  <w:noProof/>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77BCB">
                  <w:rPr>
                    <w:rFonts w:asciiTheme="majorHAnsi" w:hAnsiTheme="majorHAnsi"/>
                    <w:b/>
                    <w:bCs/>
                    <w:noProof/>
                    <w:color w:val="FFFFFF" w:themeColor="background1"/>
                    <w:sz w:val="20"/>
                    <w:szCs w:val="20"/>
                    <w:lang w:val="es-ES"/>
                  </w:rPr>
                  <w:t>Presunta víctima</w:t>
                </w:r>
              </w:sdtContent>
            </w:sdt>
            <w:r w:rsidR="003239B8" w:rsidRPr="00F77BCB">
              <w:rPr>
                <w:rFonts w:asciiTheme="majorHAnsi" w:hAnsiTheme="majorHAnsi"/>
                <w:b/>
                <w:bCs/>
                <w:noProof/>
                <w:color w:val="FFFFFF" w:themeColor="background1"/>
                <w:sz w:val="20"/>
                <w:szCs w:val="20"/>
                <w:lang w:val="es-ES"/>
              </w:rPr>
              <w:t>:</w:t>
            </w:r>
          </w:p>
        </w:tc>
        <w:tc>
          <w:tcPr>
            <w:tcW w:w="5760" w:type="dxa"/>
            <w:vAlign w:val="center"/>
          </w:tcPr>
          <w:p w14:paraId="3883DE95" w14:textId="747EE1B9" w:rsidR="003239B8" w:rsidRPr="00F77BCB" w:rsidRDefault="00B3149C" w:rsidP="008D2290">
            <w:pPr>
              <w:jc w:val="both"/>
              <w:rPr>
                <w:rFonts w:asciiTheme="majorHAnsi" w:hAnsiTheme="majorHAnsi"/>
                <w:bCs/>
                <w:noProof/>
                <w:sz w:val="20"/>
                <w:szCs w:val="20"/>
                <w:lang w:val="es-ES"/>
              </w:rPr>
            </w:pPr>
            <w:r w:rsidRPr="00F77BCB">
              <w:rPr>
                <w:rFonts w:asciiTheme="majorHAnsi" w:hAnsiTheme="majorHAnsi"/>
                <w:bCs/>
                <w:noProof/>
                <w:sz w:val="20"/>
                <w:szCs w:val="20"/>
                <w:lang w:val="es-ES"/>
              </w:rPr>
              <w:t>Nicolás Rodríguez Redondo</w:t>
            </w:r>
            <w:r w:rsidR="00AA3C62">
              <w:rPr>
                <w:rFonts w:asciiTheme="majorHAnsi" w:hAnsiTheme="majorHAnsi"/>
                <w:bCs/>
                <w:noProof/>
                <w:sz w:val="20"/>
                <w:szCs w:val="20"/>
                <w:lang w:val="es-ES"/>
              </w:rPr>
              <w:t xml:space="preserve">, </w:t>
            </w:r>
            <w:r w:rsidR="006D34D8" w:rsidRPr="00F77BCB">
              <w:rPr>
                <w:rFonts w:asciiTheme="majorHAnsi" w:hAnsiTheme="majorHAnsi"/>
                <w:bCs/>
                <w:noProof/>
                <w:sz w:val="20"/>
                <w:szCs w:val="20"/>
                <w:lang w:val="es-ES"/>
              </w:rPr>
              <w:t>Gabriel Enrique Mojica Redondo</w:t>
            </w:r>
            <w:r w:rsidR="00AA3C62">
              <w:rPr>
                <w:rFonts w:asciiTheme="majorHAnsi" w:hAnsiTheme="majorHAnsi"/>
                <w:bCs/>
                <w:noProof/>
                <w:sz w:val="20"/>
                <w:szCs w:val="20"/>
                <w:lang w:val="es-ES"/>
              </w:rPr>
              <w:t xml:space="preserve"> y Deniris Baleta Botello</w:t>
            </w:r>
          </w:p>
        </w:tc>
      </w:tr>
      <w:tr w:rsidR="003239B8" w:rsidRPr="00F77BCB"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F77BCB" w:rsidRDefault="003239B8"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Estado denunciado:</w:t>
            </w:r>
          </w:p>
        </w:tc>
        <w:tc>
          <w:tcPr>
            <w:tcW w:w="5760" w:type="dxa"/>
            <w:vAlign w:val="center"/>
          </w:tcPr>
          <w:p w14:paraId="1E87A2E8" w14:textId="440DC612" w:rsidR="003239B8" w:rsidRPr="00F77BCB" w:rsidRDefault="00B3149C" w:rsidP="008D2290">
            <w:pPr>
              <w:jc w:val="both"/>
              <w:rPr>
                <w:rFonts w:asciiTheme="majorHAnsi" w:hAnsiTheme="majorHAnsi"/>
                <w:bCs/>
                <w:noProof/>
                <w:sz w:val="20"/>
                <w:szCs w:val="20"/>
                <w:lang w:val="es-ES"/>
              </w:rPr>
            </w:pPr>
            <w:r w:rsidRPr="00F77BCB">
              <w:rPr>
                <w:rFonts w:asciiTheme="majorHAnsi" w:hAnsiTheme="majorHAnsi"/>
                <w:bCs/>
                <w:noProof/>
                <w:sz w:val="20"/>
                <w:szCs w:val="20"/>
                <w:lang w:val="es-ES"/>
              </w:rPr>
              <w:t>Colombia</w:t>
            </w:r>
            <w:r w:rsidR="001E70AB" w:rsidRPr="007935A4">
              <w:rPr>
                <w:rStyle w:val="FootnoteReference"/>
                <w:rFonts w:asciiTheme="majorHAnsi" w:hAnsiTheme="majorHAnsi"/>
                <w:bCs/>
                <w:noProof/>
                <w:sz w:val="20"/>
                <w:szCs w:val="20"/>
                <w:lang w:val="es-ES"/>
              </w:rPr>
              <w:footnoteReference w:id="2"/>
            </w:r>
          </w:p>
        </w:tc>
      </w:tr>
      <w:tr w:rsidR="00223A29" w:rsidRPr="006E7528"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F77BCB" w:rsidRDefault="001B3A00" w:rsidP="00E4118C">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 xml:space="preserve">Derechos </w:t>
            </w:r>
            <w:r w:rsidR="00E4118C" w:rsidRPr="00F77BCB">
              <w:rPr>
                <w:rFonts w:asciiTheme="majorHAnsi" w:hAnsiTheme="majorHAnsi"/>
                <w:b/>
                <w:bCs/>
                <w:noProof/>
                <w:color w:val="FFFFFF" w:themeColor="background1"/>
                <w:sz w:val="20"/>
                <w:szCs w:val="20"/>
                <w:lang w:val="es-ES"/>
              </w:rPr>
              <w:t>invocados</w:t>
            </w:r>
            <w:r w:rsidRPr="00F77BCB">
              <w:rPr>
                <w:rFonts w:asciiTheme="majorHAnsi" w:hAnsiTheme="majorHAnsi"/>
                <w:b/>
                <w:bCs/>
                <w:noProof/>
                <w:color w:val="FFFFFF" w:themeColor="background1"/>
                <w:sz w:val="20"/>
                <w:szCs w:val="20"/>
                <w:lang w:val="es-ES"/>
              </w:rPr>
              <w:t>:</w:t>
            </w:r>
          </w:p>
        </w:tc>
        <w:tc>
          <w:tcPr>
            <w:tcW w:w="5760" w:type="dxa"/>
            <w:vAlign w:val="center"/>
          </w:tcPr>
          <w:p w14:paraId="0A2474B6" w14:textId="316950CB" w:rsidR="00223A29" w:rsidRPr="00F77BCB" w:rsidRDefault="00176A70" w:rsidP="008D2290">
            <w:pPr>
              <w:jc w:val="both"/>
              <w:rPr>
                <w:rFonts w:asciiTheme="majorHAnsi" w:hAnsiTheme="majorHAnsi"/>
                <w:bCs/>
                <w:noProof/>
                <w:sz w:val="20"/>
                <w:szCs w:val="20"/>
                <w:lang w:val="es-ES"/>
              </w:rPr>
            </w:pPr>
            <w:r w:rsidRPr="00F77BCB">
              <w:rPr>
                <w:rFonts w:asciiTheme="majorHAnsi" w:hAnsiTheme="majorHAnsi"/>
                <w:bCs/>
                <w:noProof/>
                <w:sz w:val="20"/>
                <w:szCs w:val="20"/>
                <w:lang w:val="es-ES"/>
              </w:rPr>
              <w:t>Artículos 4 (vida), 5 (integridad personal), 7 (libertad personal),</w:t>
            </w:r>
            <w:r w:rsidR="00397DD5">
              <w:rPr>
                <w:rFonts w:asciiTheme="majorHAnsi" w:hAnsiTheme="majorHAnsi"/>
                <w:bCs/>
                <w:noProof/>
                <w:sz w:val="20"/>
                <w:szCs w:val="20"/>
                <w:lang w:val="es-ES"/>
              </w:rPr>
              <w:t xml:space="preserve"> </w:t>
            </w:r>
            <w:r w:rsidR="00901A5A">
              <w:rPr>
                <w:rFonts w:asciiTheme="majorHAnsi" w:hAnsiTheme="majorHAnsi"/>
                <w:bCs/>
                <w:noProof/>
                <w:sz w:val="20"/>
                <w:szCs w:val="20"/>
                <w:lang w:val="es-ES"/>
              </w:rPr>
              <w:t xml:space="preserve">8 (prohición esclavitud y servidumbre), </w:t>
            </w:r>
            <w:r w:rsidRPr="00F77BCB">
              <w:rPr>
                <w:rFonts w:asciiTheme="majorHAnsi" w:hAnsiTheme="majorHAnsi"/>
                <w:bCs/>
                <w:noProof/>
                <w:sz w:val="20"/>
                <w:szCs w:val="20"/>
                <w:lang w:val="es-ES"/>
              </w:rPr>
              <w:t>17 (protección a la familia), 22 (circulación y residencia)</w:t>
            </w:r>
            <w:r w:rsidR="00901A5A">
              <w:rPr>
                <w:rFonts w:asciiTheme="majorHAnsi" w:hAnsiTheme="majorHAnsi"/>
                <w:bCs/>
                <w:noProof/>
                <w:sz w:val="20"/>
                <w:szCs w:val="20"/>
                <w:lang w:val="es-ES"/>
              </w:rPr>
              <w:t xml:space="preserve"> </w:t>
            </w:r>
            <w:r w:rsidR="00A70CEE" w:rsidRPr="00F77BCB">
              <w:rPr>
                <w:rFonts w:asciiTheme="majorHAnsi" w:hAnsiTheme="majorHAnsi"/>
                <w:bCs/>
                <w:noProof/>
                <w:sz w:val="20"/>
                <w:szCs w:val="20"/>
                <w:lang w:val="es-ES"/>
              </w:rPr>
              <w:t>de la Convención Americana sobre Derechos Humanos</w:t>
            </w:r>
            <w:r w:rsidR="00A70CEE" w:rsidRPr="00F77BCB">
              <w:rPr>
                <w:rStyle w:val="FootnoteReference"/>
                <w:rFonts w:asciiTheme="majorHAnsi" w:hAnsiTheme="majorHAnsi"/>
                <w:bCs/>
                <w:noProof/>
                <w:sz w:val="20"/>
                <w:szCs w:val="20"/>
                <w:lang w:val="es-ES"/>
              </w:rPr>
              <w:footnoteReference w:id="3"/>
            </w:r>
            <w:r w:rsidR="00A70CEE" w:rsidRPr="00F77BCB">
              <w:rPr>
                <w:rFonts w:asciiTheme="majorHAnsi" w:hAnsiTheme="majorHAnsi"/>
                <w:bCs/>
                <w:noProof/>
                <w:sz w:val="20"/>
                <w:szCs w:val="20"/>
                <w:lang w:val="es-ES"/>
              </w:rPr>
              <w:t xml:space="preserve"> </w:t>
            </w:r>
          </w:p>
        </w:tc>
      </w:tr>
    </w:tbl>
    <w:p w14:paraId="569F8256" w14:textId="77777777" w:rsidR="003239B8" w:rsidRPr="00F77BCB" w:rsidRDefault="003239B8" w:rsidP="003239B8">
      <w:pPr>
        <w:spacing w:before="240" w:after="240"/>
        <w:ind w:firstLine="720"/>
        <w:jc w:val="both"/>
        <w:rPr>
          <w:rFonts w:asciiTheme="majorHAnsi" w:hAnsiTheme="majorHAnsi"/>
          <w:b/>
          <w:bCs/>
          <w:noProof/>
          <w:sz w:val="20"/>
          <w:szCs w:val="20"/>
          <w:lang w:val="es-ES"/>
        </w:rPr>
      </w:pPr>
      <w:r w:rsidRPr="00F77BCB">
        <w:rPr>
          <w:rFonts w:asciiTheme="majorHAnsi" w:hAnsiTheme="majorHAnsi"/>
          <w:b/>
          <w:bCs/>
          <w:noProof/>
          <w:sz w:val="20"/>
          <w:szCs w:val="20"/>
          <w:lang w:val="es-ES"/>
        </w:rPr>
        <w:t>II.</w:t>
      </w:r>
      <w:r w:rsidRPr="00F77BCB">
        <w:rPr>
          <w:rFonts w:asciiTheme="majorHAnsi" w:hAnsiTheme="majorHAnsi"/>
          <w:b/>
          <w:bCs/>
          <w:noProof/>
          <w:sz w:val="20"/>
          <w:szCs w:val="20"/>
          <w:lang w:val="es-ES"/>
        </w:rPr>
        <w:tab/>
        <w:t>TRÁMITE ANTE LA CIDH</w:t>
      </w:r>
      <w:r w:rsidR="008E3BFE" w:rsidRPr="00F77BCB">
        <w:rPr>
          <w:rStyle w:val="FootnoteReference"/>
          <w:rFonts w:asciiTheme="majorHAnsi" w:hAnsiTheme="majorHAnsi"/>
          <w:b/>
          <w:noProof/>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77BCB"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F77BCB" w:rsidRDefault="004A6A54" w:rsidP="004A6A54">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P</w:t>
            </w:r>
            <w:r w:rsidR="004C2312" w:rsidRPr="00F77BCB">
              <w:rPr>
                <w:rFonts w:asciiTheme="majorHAnsi" w:hAnsiTheme="majorHAnsi"/>
                <w:b/>
                <w:bCs/>
                <w:noProof/>
                <w:color w:val="FFFFFF" w:themeColor="background1"/>
                <w:sz w:val="20"/>
                <w:szCs w:val="20"/>
                <w:lang w:val="es-ES"/>
              </w:rPr>
              <w:t>resentación de la petición:</w:t>
            </w:r>
          </w:p>
        </w:tc>
        <w:tc>
          <w:tcPr>
            <w:tcW w:w="5760" w:type="dxa"/>
            <w:vAlign w:val="center"/>
          </w:tcPr>
          <w:p w14:paraId="0867010C" w14:textId="5F023942" w:rsidR="004C2312" w:rsidRPr="00F77BCB" w:rsidRDefault="00B3149C" w:rsidP="002625EA">
            <w:pPr>
              <w:jc w:val="both"/>
              <w:rPr>
                <w:rFonts w:asciiTheme="majorHAnsi" w:hAnsiTheme="majorHAnsi"/>
                <w:bCs/>
                <w:noProof/>
                <w:sz w:val="20"/>
                <w:szCs w:val="20"/>
                <w:lang w:val="es-ES"/>
              </w:rPr>
            </w:pPr>
            <w:r w:rsidRPr="00F77BCB">
              <w:rPr>
                <w:rFonts w:asciiTheme="majorHAnsi" w:hAnsiTheme="majorHAnsi"/>
                <w:bCs/>
                <w:noProof/>
                <w:sz w:val="20"/>
                <w:szCs w:val="20"/>
                <w:lang w:val="es-ES"/>
              </w:rPr>
              <w:t>23 de febrero de 2011</w:t>
            </w:r>
          </w:p>
        </w:tc>
      </w:tr>
      <w:tr w:rsidR="00131425" w:rsidRPr="006E7528"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971B86" w:rsidRDefault="00131425" w:rsidP="004A6A54">
            <w:pPr>
              <w:jc w:val="center"/>
              <w:rPr>
                <w:rFonts w:asciiTheme="majorHAnsi" w:hAnsiTheme="majorHAnsi"/>
                <w:b/>
                <w:bCs/>
                <w:noProof/>
                <w:color w:val="FFFFFF" w:themeColor="background1"/>
                <w:sz w:val="20"/>
                <w:szCs w:val="20"/>
                <w:lang w:val="es-ES"/>
              </w:rPr>
            </w:pPr>
            <w:r w:rsidRPr="00971B86">
              <w:rPr>
                <w:rFonts w:asciiTheme="majorHAnsi" w:hAnsiTheme="majorHAnsi"/>
                <w:b/>
                <w:bCs/>
                <w:noProof/>
                <w:color w:val="FFFFFF" w:themeColor="background1"/>
                <w:sz w:val="20"/>
                <w:szCs w:val="20"/>
                <w:lang w:val="es-ES"/>
              </w:rPr>
              <w:t>Información adicional recibida durante la etapa de estudio:</w:t>
            </w:r>
          </w:p>
        </w:tc>
        <w:tc>
          <w:tcPr>
            <w:tcW w:w="5760" w:type="dxa"/>
            <w:vAlign w:val="center"/>
          </w:tcPr>
          <w:p w14:paraId="7E0E91EC" w14:textId="688C2794" w:rsidR="00131425" w:rsidRPr="00CE1426" w:rsidRDefault="006D6702" w:rsidP="002625EA">
            <w:pPr>
              <w:jc w:val="both"/>
              <w:rPr>
                <w:rFonts w:asciiTheme="majorHAnsi" w:hAnsiTheme="majorHAnsi"/>
                <w:bCs/>
                <w:noProof/>
                <w:sz w:val="20"/>
                <w:szCs w:val="20"/>
                <w:highlight w:val="yellow"/>
                <w:lang w:val="es-ES"/>
              </w:rPr>
            </w:pPr>
            <w:r w:rsidRPr="006D6702">
              <w:rPr>
                <w:rFonts w:asciiTheme="majorHAnsi" w:hAnsiTheme="majorHAnsi"/>
                <w:bCs/>
                <w:noProof/>
                <w:sz w:val="20"/>
                <w:szCs w:val="20"/>
                <w:lang w:val="es-ES"/>
              </w:rPr>
              <w:t>18 de marzo de 2011</w:t>
            </w:r>
            <w:r w:rsidR="00EE1A0A" w:rsidRPr="00924E2A">
              <w:rPr>
                <w:rFonts w:asciiTheme="majorHAnsi" w:hAnsiTheme="majorHAnsi"/>
                <w:bCs/>
                <w:noProof/>
                <w:sz w:val="20"/>
                <w:szCs w:val="20"/>
                <w:lang w:val="es-ES"/>
              </w:rPr>
              <w:t xml:space="preserve">, </w:t>
            </w:r>
            <w:r w:rsidR="009F563C">
              <w:rPr>
                <w:rFonts w:asciiTheme="majorHAnsi" w:hAnsiTheme="majorHAnsi"/>
                <w:bCs/>
                <w:noProof/>
                <w:sz w:val="20"/>
                <w:szCs w:val="20"/>
                <w:lang w:val="es-ES"/>
              </w:rPr>
              <w:t xml:space="preserve">28 de septiembre de 2013, </w:t>
            </w:r>
            <w:r w:rsidR="00924E2A" w:rsidRPr="00924E2A">
              <w:rPr>
                <w:rFonts w:asciiTheme="majorHAnsi" w:hAnsiTheme="majorHAnsi"/>
                <w:bCs/>
                <w:noProof/>
                <w:sz w:val="20"/>
                <w:szCs w:val="20"/>
                <w:lang w:val="es-ES"/>
              </w:rPr>
              <w:t>12</w:t>
            </w:r>
            <w:r w:rsidRPr="00924E2A">
              <w:rPr>
                <w:rFonts w:asciiTheme="majorHAnsi" w:hAnsiTheme="majorHAnsi"/>
                <w:bCs/>
                <w:noProof/>
                <w:sz w:val="20"/>
                <w:szCs w:val="20"/>
                <w:lang w:val="es-ES"/>
              </w:rPr>
              <w:t xml:space="preserve"> de marzo de 2015</w:t>
            </w:r>
          </w:p>
        </w:tc>
      </w:tr>
      <w:tr w:rsidR="004C2312" w:rsidRPr="00971B86"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971B86" w:rsidRDefault="004A6A54" w:rsidP="004A6A54">
            <w:pPr>
              <w:jc w:val="center"/>
              <w:rPr>
                <w:rFonts w:asciiTheme="majorHAnsi" w:hAnsiTheme="majorHAnsi"/>
                <w:b/>
                <w:bCs/>
                <w:noProof/>
                <w:color w:val="FFFFFF" w:themeColor="background1"/>
                <w:sz w:val="20"/>
                <w:szCs w:val="20"/>
                <w:lang w:val="es-ES"/>
              </w:rPr>
            </w:pPr>
            <w:r w:rsidRPr="00971B86">
              <w:rPr>
                <w:rFonts w:asciiTheme="majorHAnsi" w:hAnsiTheme="majorHAnsi"/>
                <w:b/>
                <w:noProof/>
                <w:color w:val="FFFFFF" w:themeColor="background1"/>
                <w:sz w:val="20"/>
                <w:szCs w:val="20"/>
                <w:lang w:val="es-ES"/>
              </w:rPr>
              <w:t>N</w:t>
            </w:r>
            <w:r w:rsidR="004C2312" w:rsidRPr="00971B86">
              <w:rPr>
                <w:rFonts w:asciiTheme="majorHAnsi" w:hAnsiTheme="majorHAnsi"/>
                <w:b/>
                <w:noProof/>
                <w:color w:val="FFFFFF" w:themeColor="background1"/>
                <w:sz w:val="20"/>
                <w:szCs w:val="20"/>
                <w:lang w:val="es-ES"/>
              </w:rPr>
              <w:t>otificación de la petición al Estado:</w:t>
            </w:r>
          </w:p>
        </w:tc>
        <w:tc>
          <w:tcPr>
            <w:tcW w:w="5760" w:type="dxa"/>
            <w:vAlign w:val="center"/>
          </w:tcPr>
          <w:p w14:paraId="35CDD610" w14:textId="0FAFE91A" w:rsidR="004C2312" w:rsidRPr="000144FA" w:rsidRDefault="00987BA9" w:rsidP="008D2290">
            <w:pPr>
              <w:jc w:val="both"/>
              <w:rPr>
                <w:rFonts w:asciiTheme="majorHAnsi" w:hAnsiTheme="majorHAnsi"/>
                <w:bCs/>
                <w:noProof/>
                <w:sz w:val="20"/>
                <w:szCs w:val="20"/>
                <w:highlight w:val="yellow"/>
              </w:rPr>
            </w:pPr>
            <w:r>
              <w:rPr>
                <w:rFonts w:asciiTheme="majorHAnsi" w:hAnsiTheme="majorHAnsi"/>
                <w:bCs/>
                <w:noProof/>
                <w:sz w:val="20"/>
                <w:szCs w:val="20"/>
                <w:lang w:val="es-ES"/>
              </w:rPr>
              <w:t xml:space="preserve">25 de septiembre de 2020 </w:t>
            </w:r>
          </w:p>
        </w:tc>
      </w:tr>
      <w:tr w:rsidR="004C2312" w:rsidRPr="00F77BCB"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971B86" w:rsidRDefault="004A6A54" w:rsidP="004A6A54">
            <w:pPr>
              <w:jc w:val="center"/>
              <w:rPr>
                <w:rFonts w:asciiTheme="majorHAnsi" w:hAnsiTheme="majorHAnsi"/>
                <w:b/>
                <w:bCs/>
                <w:noProof/>
                <w:color w:val="FFFFFF" w:themeColor="background1"/>
                <w:sz w:val="20"/>
                <w:szCs w:val="20"/>
                <w:lang w:val="es-ES"/>
              </w:rPr>
            </w:pPr>
            <w:r w:rsidRPr="00971B86">
              <w:rPr>
                <w:rFonts w:asciiTheme="majorHAnsi" w:hAnsiTheme="majorHAnsi"/>
                <w:b/>
                <w:noProof/>
                <w:color w:val="FFFFFF" w:themeColor="background1"/>
                <w:sz w:val="20"/>
                <w:szCs w:val="20"/>
                <w:lang w:val="es-ES"/>
              </w:rPr>
              <w:t>P</w:t>
            </w:r>
            <w:r w:rsidR="004C2312" w:rsidRPr="00971B86">
              <w:rPr>
                <w:rFonts w:asciiTheme="majorHAnsi" w:hAnsiTheme="majorHAnsi"/>
                <w:b/>
                <w:noProof/>
                <w:color w:val="FFFFFF" w:themeColor="background1"/>
                <w:sz w:val="20"/>
                <w:szCs w:val="20"/>
                <w:lang w:val="es-ES"/>
              </w:rPr>
              <w:t>rimera respuesta del Estado:</w:t>
            </w:r>
          </w:p>
        </w:tc>
        <w:tc>
          <w:tcPr>
            <w:tcW w:w="5760" w:type="dxa"/>
            <w:vAlign w:val="center"/>
          </w:tcPr>
          <w:p w14:paraId="480B8955" w14:textId="7AC80DB9" w:rsidR="004C2312" w:rsidRPr="00CE1426" w:rsidRDefault="003A7143" w:rsidP="008D2290">
            <w:pPr>
              <w:jc w:val="both"/>
              <w:rPr>
                <w:rFonts w:asciiTheme="majorHAnsi" w:hAnsiTheme="majorHAnsi"/>
                <w:bCs/>
                <w:noProof/>
                <w:sz w:val="20"/>
                <w:szCs w:val="20"/>
                <w:highlight w:val="yellow"/>
                <w:lang w:val="es-ES"/>
              </w:rPr>
            </w:pPr>
            <w:r>
              <w:rPr>
                <w:rFonts w:asciiTheme="majorHAnsi" w:hAnsiTheme="majorHAnsi"/>
                <w:bCs/>
                <w:noProof/>
                <w:sz w:val="20"/>
                <w:szCs w:val="20"/>
                <w:lang w:val="es-ES"/>
              </w:rPr>
              <w:t>5 de mayo de 2021</w:t>
            </w:r>
          </w:p>
        </w:tc>
      </w:tr>
      <w:tr w:rsidR="008F67E1" w:rsidRPr="006E7528" w14:paraId="2C5D5259" w14:textId="77777777" w:rsidTr="004A6A54">
        <w:tc>
          <w:tcPr>
            <w:tcW w:w="3600" w:type="dxa"/>
            <w:tcBorders>
              <w:top w:val="single" w:sz="6" w:space="0" w:color="auto"/>
              <w:bottom w:val="single" w:sz="6" w:space="0" w:color="auto"/>
            </w:tcBorders>
            <w:shd w:val="clear" w:color="auto" w:fill="386294"/>
            <w:vAlign w:val="center"/>
          </w:tcPr>
          <w:p w14:paraId="2D7A6DDB" w14:textId="543901A4" w:rsidR="008F67E1" w:rsidRPr="00971B86" w:rsidRDefault="008F67E1" w:rsidP="004A6A54">
            <w:pPr>
              <w:jc w:val="center"/>
              <w:rPr>
                <w:rFonts w:asciiTheme="majorHAnsi" w:hAnsiTheme="majorHAnsi"/>
                <w:b/>
                <w:noProof/>
                <w:color w:val="FFFFFF" w:themeColor="background1"/>
                <w:sz w:val="20"/>
                <w:szCs w:val="20"/>
                <w:lang w:val="es-ES"/>
              </w:rPr>
            </w:pPr>
            <w:r>
              <w:rPr>
                <w:rFonts w:asciiTheme="majorHAnsi" w:hAnsiTheme="majorHAnsi"/>
                <w:b/>
                <w:noProof/>
                <w:color w:val="FFFFFF" w:themeColor="background1"/>
                <w:sz w:val="20"/>
                <w:szCs w:val="20"/>
                <w:lang w:val="es-ES"/>
              </w:rPr>
              <w:t>Información adicional del peticionario</w:t>
            </w:r>
          </w:p>
        </w:tc>
        <w:tc>
          <w:tcPr>
            <w:tcW w:w="5760" w:type="dxa"/>
            <w:vAlign w:val="center"/>
          </w:tcPr>
          <w:p w14:paraId="4CD5424D" w14:textId="44D4EA94" w:rsidR="008F67E1" w:rsidRDefault="008F67E1" w:rsidP="008D2290">
            <w:pPr>
              <w:jc w:val="both"/>
              <w:rPr>
                <w:rFonts w:asciiTheme="majorHAnsi" w:hAnsiTheme="majorHAnsi"/>
                <w:bCs/>
                <w:noProof/>
                <w:sz w:val="20"/>
                <w:szCs w:val="20"/>
                <w:lang w:val="es-ES"/>
              </w:rPr>
            </w:pPr>
            <w:r w:rsidRPr="008177C3">
              <w:rPr>
                <w:rFonts w:asciiTheme="majorHAnsi" w:hAnsiTheme="majorHAnsi"/>
                <w:bCs/>
                <w:noProof/>
                <w:sz w:val="20"/>
                <w:szCs w:val="20"/>
                <w:lang w:val="es-ES"/>
              </w:rPr>
              <w:t>27 de mayo de 2021 y 14 de agosto de 2021</w:t>
            </w:r>
          </w:p>
        </w:tc>
      </w:tr>
    </w:tbl>
    <w:p w14:paraId="3B7DCE1F" w14:textId="77777777" w:rsidR="003239B8" w:rsidRPr="00F77BCB" w:rsidRDefault="003239B8" w:rsidP="003239B8">
      <w:pPr>
        <w:spacing w:before="240" w:after="240"/>
        <w:ind w:firstLine="720"/>
        <w:jc w:val="both"/>
        <w:rPr>
          <w:rFonts w:asciiTheme="majorHAnsi" w:hAnsiTheme="majorHAnsi"/>
          <w:b/>
          <w:bCs/>
          <w:noProof/>
          <w:sz w:val="20"/>
          <w:szCs w:val="20"/>
          <w:lang w:val="es-ES"/>
        </w:rPr>
      </w:pPr>
      <w:r w:rsidRPr="00F77BCB">
        <w:rPr>
          <w:rFonts w:asciiTheme="majorHAnsi" w:hAnsiTheme="majorHAnsi"/>
          <w:b/>
          <w:bCs/>
          <w:noProof/>
          <w:sz w:val="20"/>
          <w:szCs w:val="20"/>
          <w:lang w:val="es-ES"/>
        </w:rPr>
        <w:t xml:space="preserve">III. </w:t>
      </w:r>
      <w:r w:rsidRPr="00F77BCB">
        <w:rPr>
          <w:rFonts w:asciiTheme="majorHAnsi" w:hAnsiTheme="majorHAnsi"/>
          <w:b/>
          <w:bCs/>
          <w:noProof/>
          <w:sz w:val="20"/>
          <w:szCs w:val="20"/>
          <w:lang w:val="es-ES"/>
        </w:rPr>
        <w:tab/>
        <w:t>COMPETENCIA</w:t>
      </w:r>
      <w:r w:rsidR="00EE00E9" w:rsidRPr="00F77BCB">
        <w:rPr>
          <w:rFonts w:asciiTheme="majorHAnsi" w:hAnsiTheme="majorHAnsi"/>
          <w:b/>
          <w:bCs/>
          <w:noProof/>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F77BCB" w14:paraId="64BA7A26" w14:textId="77777777" w:rsidTr="008F67E1">
        <w:trPr>
          <w:cantSplit/>
        </w:trPr>
        <w:tc>
          <w:tcPr>
            <w:tcW w:w="3561" w:type="dxa"/>
            <w:tcBorders>
              <w:top w:val="single" w:sz="4" w:space="0" w:color="auto"/>
              <w:bottom w:val="single" w:sz="6" w:space="0" w:color="auto"/>
            </w:tcBorders>
            <w:shd w:val="clear" w:color="auto" w:fill="386294"/>
            <w:vAlign w:val="center"/>
          </w:tcPr>
          <w:p w14:paraId="64595D6A" w14:textId="77777777" w:rsidR="003239B8" w:rsidRPr="00F77BCB" w:rsidRDefault="003239B8" w:rsidP="008D2290">
            <w:pPr>
              <w:jc w:val="center"/>
              <w:rPr>
                <w:rFonts w:asciiTheme="majorHAnsi" w:hAnsiTheme="majorHAnsi"/>
                <w:b/>
                <w:bCs/>
                <w:i/>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Competencia</w:t>
            </w:r>
            <w:r w:rsidRPr="00F77BCB">
              <w:rPr>
                <w:rFonts w:asciiTheme="majorHAnsi" w:hAnsiTheme="majorHAnsi"/>
                <w:b/>
                <w:bCs/>
                <w:i/>
                <w:noProof/>
                <w:color w:val="FFFFFF" w:themeColor="background1"/>
                <w:sz w:val="20"/>
                <w:szCs w:val="20"/>
                <w:lang w:val="es-ES"/>
              </w:rPr>
              <w:t xml:space="preserve"> Ratione personae:</w:t>
            </w:r>
          </w:p>
        </w:tc>
        <w:tc>
          <w:tcPr>
            <w:tcW w:w="5776" w:type="dxa"/>
            <w:vAlign w:val="center"/>
          </w:tcPr>
          <w:p w14:paraId="5361A9C3" w14:textId="4AB91840" w:rsidR="003239B8" w:rsidRPr="00F77BCB" w:rsidRDefault="00780C06" w:rsidP="008D2290">
            <w:pPr>
              <w:rPr>
                <w:rFonts w:asciiTheme="majorHAnsi" w:hAnsiTheme="majorHAnsi"/>
                <w:bCs/>
                <w:noProof/>
                <w:sz w:val="20"/>
                <w:szCs w:val="20"/>
                <w:lang w:val="es-ES"/>
              </w:rPr>
            </w:pPr>
            <w:r>
              <w:rPr>
                <w:rFonts w:asciiTheme="majorHAnsi" w:hAnsiTheme="majorHAnsi"/>
                <w:bCs/>
                <w:noProof/>
                <w:sz w:val="20"/>
                <w:szCs w:val="20"/>
                <w:lang w:val="es-ES"/>
              </w:rPr>
              <w:t>Sí</w:t>
            </w:r>
          </w:p>
        </w:tc>
      </w:tr>
      <w:tr w:rsidR="003239B8" w:rsidRPr="00F77BCB" w14:paraId="3491D8B1" w14:textId="77777777" w:rsidTr="008F67E1">
        <w:trPr>
          <w:cantSplit/>
        </w:trPr>
        <w:tc>
          <w:tcPr>
            <w:tcW w:w="3561" w:type="dxa"/>
            <w:tcBorders>
              <w:top w:val="single" w:sz="6" w:space="0" w:color="auto"/>
              <w:bottom w:val="single" w:sz="6" w:space="0" w:color="auto"/>
            </w:tcBorders>
            <w:shd w:val="clear" w:color="auto" w:fill="386294"/>
            <w:vAlign w:val="center"/>
          </w:tcPr>
          <w:p w14:paraId="60ECFB9D" w14:textId="77777777" w:rsidR="003239B8" w:rsidRPr="00F77BCB" w:rsidRDefault="003239B8"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Competencia</w:t>
            </w:r>
            <w:r w:rsidRPr="00F77BCB">
              <w:rPr>
                <w:rFonts w:asciiTheme="majorHAnsi" w:hAnsiTheme="majorHAnsi"/>
                <w:b/>
                <w:bCs/>
                <w:i/>
                <w:noProof/>
                <w:color w:val="FFFFFF" w:themeColor="background1"/>
                <w:sz w:val="20"/>
                <w:szCs w:val="20"/>
                <w:lang w:val="es-ES"/>
              </w:rPr>
              <w:t xml:space="preserve"> Ratione loci</w:t>
            </w:r>
            <w:r w:rsidRPr="00F77BCB">
              <w:rPr>
                <w:rFonts w:asciiTheme="majorHAnsi" w:hAnsiTheme="majorHAnsi"/>
                <w:b/>
                <w:bCs/>
                <w:noProof/>
                <w:color w:val="FFFFFF" w:themeColor="background1"/>
                <w:sz w:val="20"/>
                <w:szCs w:val="20"/>
                <w:lang w:val="es-ES"/>
              </w:rPr>
              <w:t>:</w:t>
            </w:r>
          </w:p>
        </w:tc>
        <w:tc>
          <w:tcPr>
            <w:tcW w:w="5776" w:type="dxa"/>
            <w:vAlign w:val="center"/>
          </w:tcPr>
          <w:p w14:paraId="7E7DA0E1" w14:textId="479ED4FF" w:rsidR="003239B8" w:rsidRPr="00F77BCB" w:rsidRDefault="00780C06" w:rsidP="008D2290">
            <w:pPr>
              <w:rPr>
                <w:rFonts w:asciiTheme="majorHAnsi" w:hAnsiTheme="majorHAnsi"/>
                <w:bCs/>
                <w:noProof/>
                <w:sz w:val="20"/>
                <w:szCs w:val="20"/>
                <w:lang w:val="es-ES"/>
              </w:rPr>
            </w:pPr>
            <w:r>
              <w:rPr>
                <w:rFonts w:asciiTheme="majorHAnsi" w:hAnsiTheme="majorHAnsi"/>
                <w:bCs/>
                <w:noProof/>
                <w:sz w:val="20"/>
                <w:szCs w:val="20"/>
                <w:lang w:val="es-ES"/>
              </w:rPr>
              <w:t>Sí</w:t>
            </w:r>
          </w:p>
        </w:tc>
      </w:tr>
      <w:tr w:rsidR="003239B8" w:rsidRPr="00F77BCB" w14:paraId="249F473A" w14:textId="77777777" w:rsidTr="008F67E1">
        <w:trPr>
          <w:cantSplit/>
        </w:trPr>
        <w:tc>
          <w:tcPr>
            <w:tcW w:w="3561" w:type="dxa"/>
            <w:tcBorders>
              <w:top w:val="single" w:sz="6" w:space="0" w:color="auto"/>
              <w:bottom w:val="single" w:sz="6" w:space="0" w:color="auto"/>
            </w:tcBorders>
            <w:shd w:val="clear" w:color="auto" w:fill="386294"/>
            <w:vAlign w:val="center"/>
          </w:tcPr>
          <w:p w14:paraId="5A32C901" w14:textId="77777777" w:rsidR="003239B8" w:rsidRPr="00F77BCB" w:rsidRDefault="003239B8"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Competencia</w:t>
            </w:r>
            <w:r w:rsidRPr="00F77BCB">
              <w:rPr>
                <w:rFonts w:asciiTheme="majorHAnsi" w:hAnsiTheme="majorHAnsi"/>
                <w:b/>
                <w:bCs/>
                <w:i/>
                <w:noProof/>
                <w:color w:val="FFFFFF" w:themeColor="background1"/>
                <w:sz w:val="20"/>
                <w:szCs w:val="20"/>
                <w:lang w:val="es-ES"/>
              </w:rPr>
              <w:t xml:space="preserve"> Ratione temporis</w:t>
            </w:r>
            <w:r w:rsidRPr="00F77BCB">
              <w:rPr>
                <w:rFonts w:asciiTheme="majorHAnsi" w:hAnsiTheme="majorHAnsi"/>
                <w:b/>
                <w:bCs/>
                <w:noProof/>
                <w:color w:val="FFFFFF" w:themeColor="background1"/>
                <w:sz w:val="20"/>
                <w:szCs w:val="20"/>
                <w:lang w:val="es-ES"/>
              </w:rPr>
              <w:t>:</w:t>
            </w:r>
          </w:p>
        </w:tc>
        <w:tc>
          <w:tcPr>
            <w:tcW w:w="5776" w:type="dxa"/>
            <w:vAlign w:val="center"/>
          </w:tcPr>
          <w:p w14:paraId="695608DF" w14:textId="335E1AFF" w:rsidR="003239B8" w:rsidRPr="00F77BCB" w:rsidRDefault="00780C06" w:rsidP="008D2290">
            <w:pPr>
              <w:rPr>
                <w:rFonts w:asciiTheme="majorHAnsi" w:hAnsiTheme="majorHAnsi"/>
                <w:bCs/>
                <w:noProof/>
                <w:sz w:val="20"/>
                <w:szCs w:val="20"/>
                <w:lang w:val="es-ES"/>
              </w:rPr>
            </w:pPr>
            <w:r>
              <w:rPr>
                <w:rFonts w:asciiTheme="majorHAnsi" w:hAnsiTheme="majorHAnsi"/>
                <w:bCs/>
                <w:noProof/>
                <w:sz w:val="20"/>
                <w:szCs w:val="20"/>
                <w:lang w:val="es-ES"/>
              </w:rPr>
              <w:t>Sí</w:t>
            </w:r>
          </w:p>
        </w:tc>
      </w:tr>
      <w:tr w:rsidR="003239B8" w:rsidRPr="006E7528" w14:paraId="20EFB33C" w14:textId="77777777" w:rsidTr="008F67E1">
        <w:trPr>
          <w:cantSplit/>
        </w:trPr>
        <w:tc>
          <w:tcPr>
            <w:tcW w:w="3561" w:type="dxa"/>
            <w:tcBorders>
              <w:top w:val="single" w:sz="6" w:space="0" w:color="auto"/>
              <w:bottom w:val="single" w:sz="6" w:space="0" w:color="auto"/>
            </w:tcBorders>
            <w:shd w:val="clear" w:color="auto" w:fill="386294"/>
            <w:vAlign w:val="center"/>
          </w:tcPr>
          <w:p w14:paraId="0D7C4B59" w14:textId="77777777" w:rsidR="003239B8" w:rsidRPr="00F77BCB" w:rsidRDefault="003239B8"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Competencia</w:t>
            </w:r>
            <w:r w:rsidRPr="00F77BCB">
              <w:rPr>
                <w:rFonts w:asciiTheme="majorHAnsi" w:hAnsiTheme="majorHAnsi"/>
                <w:b/>
                <w:bCs/>
                <w:i/>
                <w:noProof/>
                <w:color w:val="FFFFFF" w:themeColor="background1"/>
                <w:sz w:val="20"/>
                <w:szCs w:val="20"/>
                <w:lang w:val="es-ES"/>
              </w:rPr>
              <w:t xml:space="preserve"> Ratione materia</w:t>
            </w:r>
            <w:r w:rsidR="00EE00E9" w:rsidRPr="00F77BCB">
              <w:rPr>
                <w:rFonts w:asciiTheme="majorHAnsi" w:hAnsiTheme="majorHAnsi"/>
                <w:b/>
                <w:bCs/>
                <w:i/>
                <w:noProof/>
                <w:color w:val="FFFFFF" w:themeColor="background1"/>
                <w:sz w:val="20"/>
                <w:szCs w:val="20"/>
                <w:lang w:val="es-ES"/>
              </w:rPr>
              <w:t>e</w:t>
            </w:r>
            <w:r w:rsidRPr="00F77BCB">
              <w:rPr>
                <w:rFonts w:asciiTheme="majorHAnsi" w:hAnsiTheme="majorHAnsi"/>
                <w:b/>
                <w:bCs/>
                <w:noProof/>
                <w:color w:val="FFFFFF" w:themeColor="background1"/>
                <w:sz w:val="20"/>
                <w:szCs w:val="20"/>
                <w:lang w:val="es-ES"/>
              </w:rPr>
              <w:t>:</w:t>
            </w:r>
          </w:p>
        </w:tc>
        <w:tc>
          <w:tcPr>
            <w:tcW w:w="5776" w:type="dxa"/>
            <w:vAlign w:val="center"/>
          </w:tcPr>
          <w:p w14:paraId="74634F8C" w14:textId="682B9FC1" w:rsidR="003239B8" w:rsidRPr="00F77BCB" w:rsidRDefault="00B3149C" w:rsidP="008D2290">
            <w:pPr>
              <w:jc w:val="both"/>
              <w:rPr>
                <w:rFonts w:asciiTheme="majorHAnsi" w:hAnsiTheme="majorHAnsi"/>
                <w:bCs/>
                <w:noProof/>
                <w:sz w:val="20"/>
                <w:szCs w:val="20"/>
                <w:lang w:val="es-ES"/>
              </w:rPr>
            </w:pPr>
            <w:r w:rsidRPr="00F77BCB">
              <w:rPr>
                <w:rFonts w:asciiTheme="majorHAnsi" w:hAnsiTheme="majorHAnsi"/>
                <w:bCs/>
                <w:noProof/>
                <w:sz w:val="20"/>
                <w:szCs w:val="20"/>
                <w:lang w:val="es-ES"/>
              </w:rPr>
              <w:t xml:space="preserve">Convención Americana (depósito de instrumento de ratificación realizado el </w:t>
            </w:r>
            <w:r w:rsidR="00F81AB0">
              <w:rPr>
                <w:rFonts w:asciiTheme="majorHAnsi" w:hAnsiTheme="majorHAnsi"/>
                <w:bCs/>
                <w:noProof/>
                <w:sz w:val="20"/>
                <w:szCs w:val="20"/>
                <w:lang w:val="es-ES"/>
              </w:rPr>
              <w:t>31</w:t>
            </w:r>
            <w:r w:rsidRPr="00F77BCB">
              <w:rPr>
                <w:rFonts w:asciiTheme="majorHAnsi" w:hAnsiTheme="majorHAnsi"/>
                <w:bCs/>
                <w:noProof/>
                <w:sz w:val="20"/>
                <w:szCs w:val="20"/>
                <w:lang w:val="es-ES"/>
              </w:rPr>
              <w:t xml:space="preserve"> de</w:t>
            </w:r>
            <w:r w:rsidR="00F81AB0">
              <w:rPr>
                <w:rFonts w:asciiTheme="majorHAnsi" w:hAnsiTheme="majorHAnsi"/>
                <w:bCs/>
                <w:noProof/>
                <w:sz w:val="20"/>
                <w:szCs w:val="20"/>
                <w:lang w:val="es-ES"/>
              </w:rPr>
              <w:t xml:space="preserve"> julio</w:t>
            </w:r>
            <w:r w:rsidRPr="00F77BCB">
              <w:rPr>
                <w:rFonts w:asciiTheme="majorHAnsi" w:hAnsiTheme="majorHAnsi"/>
                <w:bCs/>
                <w:noProof/>
                <w:sz w:val="20"/>
                <w:szCs w:val="20"/>
                <w:lang w:val="es-ES"/>
              </w:rPr>
              <w:t xml:space="preserve"> de 1973 )</w:t>
            </w:r>
          </w:p>
        </w:tc>
      </w:tr>
    </w:tbl>
    <w:p w14:paraId="26BBC490" w14:textId="77777777" w:rsidR="003239B8" w:rsidRPr="00F77BCB" w:rsidRDefault="003239B8" w:rsidP="003239B8">
      <w:pPr>
        <w:spacing w:before="240" w:after="240"/>
        <w:ind w:firstLine="720"/>
        <w:jc w:val="both"/>
        <w:rPr>
          <w:rFonts w:asciiTheme="majorHAnsi" w:hAnsiTheme="majorHAnsi"/>
          <w:b/>
          <w:bCs/>
          <w:noProof/>
          <w:sz w:val="20"/>
          <w:szCs w:val="20"/>
          <w:lang w:val="es-ES"/>
        </w:rPr>
      </w:pPr>
      <w:r w:rsidRPr="00F77BCB">
        <w:rPr>
          <w:rFonts w:asciiTheme="majorHAnsi" w:hAnsiTheme="majorHAnsi"/>
          <w:b/>
          <w:bCs/>
          <w:noProof/>
          <w:sz w:val="20"/>
          <w:szCs w:val="20"/>
          <w:lang w:val="es-ES"/>
        </w:rPr>
        <w:t xml:space="preserve">IV. </w:t>
      </w:r>
      <w:r w:rsidRPr="00F77BCB">
        <w:rPr>
          <w:rFonts w:asciiTheme="majorHAnsi" w:hAnsiTheme="majorHAnsi"/>
          <w:b/>
          <w:bCs/>
          <w:noProof/>
          <w:sz w:val="20"/>
          <w:szCs w:val="20"/>
          <w:lang w:val="es-ES"/>
        </w:rPr>
        <w:tab/>
      </w:r>
      <w:r w:rsidR="00EE00E9" w:rsidRPr="00F77BCB">
        <w:rPr>
          <w:rFonts w:asciiTheme="majorHAnsi" w:hAnsiTheme="majorHAnsi"/>
          <w:b/>
          <w:bCs/>
          <w:noProof/>
          <w:sz w:val="20"/>
          <w:szCs w:val="20"/>
          <w:lang w:val="es-ES"/>
        </w:rPr>
        <w:t>DUPLICACIÓN</w:t>
      </w:r>
      <w:r w:rsidR="00EE00E9" w:rsidRPr="00F77BCB">
        <w:rPr>
          <w:rFonts w:asciiTheme="majorHAnsi" w:hAnsiTheme="majorHAnsi"/>
          <w:b/>
          <w:bCs/>
          <w:noProof/>
          <w:color w:val="FFFFFF" w:themeColor="background1"/>
          <w:sz w:val="20"/>
          <w:szCs w:val="20"/>
          <w:lang w:val="es-ES"/>
        </w:rPr>
        <w:t xml:space="preserve"> </w:t>
      </w:r>
      <w:r w:rsidR="00EE00E9" w:rsidRPr="00F77BCB">
        <w:rPr>
          <w:rFonts w:asciiTheme="majorHAnsi" w:hAnsiTheme="majorHAnsi"/>
          <w:b/>
          <w:bCs/>
          <w:noProof/>
          <w:sz w:val="20"/>
          <w:szCs w:val="20"/>
          <w:lang w:val="es-ES"/>
        </w:rPr>
        <w:t>DE PROCEDIMIENTOS Y COSA JUZGADA</w:t>
      </w:r>
      <w:r w:rsidR="00EE00E9" w:rsidRPr="00F77BCB">
        <w:rPr>
          <w:rFonts w:asciiTheme="majorHAnsi" w:hAnsiTheme="majorHAnsi"/>
          <w:b/>
          <w:bCs/>
          <w:i/>
          <w:noProof/>
          <w:sz w:val="20"/>
          <w:szCs w:val="20"/>
          <w:lang w:val="es-ES"/>
        </w:rPr>
        <w:t xml:space="preserve"> </w:t>
      </w:r>
      <w:r w:rsidR="00EE00E9" w:rsidRPr="00F77BCB">
        <w:rPr>
          <w:rFonts w:asciiTheme="majorHAnsi" w:hAnsiTheme="majorHAnsi"/>
          <w:b/>
          <w:bCs/>
          <w:noProof/>
          <w:sz w:val="20"/>
          <w:szCs w:val="20"/>
          <w:lang w:val="es-ES"/>
        </w:rPr>
        <w:t xml:space="preserve">INTERNACIONAL, </w:t>
      </w:r>
      <w:r w:rsidRPr="00F77BCB">
        <w:rPr>
          <w:rFonts w:asciiTheme="majorHAnsi" w:hAnsiTheme="majorHAnsi"/>
          <w:b/>
          <w:bCs/>
          <w:noProof/>
          <w:sz w:val="20"/>
          <w:szCs w:val="20"/>
          <w:lang w:val="es-ES"/>
        </w:rPr>
        <w:t xml:space="preserve"> CARACTERIZACIÓN, </w:t>
      </w:r>
      <w:r w:rsidRPr="00F77BCB">
        <w:rPr>
          <w:rFonts w:asciiTheme="majorHAnsi" w:hAnsiTheme="majorHAnsi"/>
          <w:b/>
          <w:noProof/>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F77BCB" w14:paraId="0663E63A" w14:textId="77777777" w:rsidTr="008F67E1">
        <w:trPr>
          <w:cantSplit/>
        </w:trPr>
        <w:tc>
          <w:tcPr>
            <w:tcW w:w="3565" w:type="dxa"/>
            <w:tcBorders>
              <w:top w:val="single" w:sz="4" w:space="0" w:color="auto"/>
              <w:bottom w:val="single" w:sz="6" w:space="0" w:color="auto"/>
            </w:tcBorders>
            <w:shd w:val="clear" w:color="auto" w:fill="386294"/>
            <w:vAlign w:val="center"/>
          </w:tcPr>
          <w:p w14:paraId="0C7091E5" w14:textId="77777777" w:rsidR="00EE00E9" w:rsidRPr="00F77BCB" w:rsidRDefault="00EE00E9"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Duplicación de procedimientos y cosa juzgada internacional:</w:t>
            </w:r>
          </w:p>
        </w:tc>
        <w:tc>
          <w:tcPr>
            <w:tcW w:w="5772" w:type="dxa"/>
            <w:vAlign w:val="center"/>
          </w:tcPr>
          <w:p w14:paraId="5599BFE7" w14:textId="42C4AF27" w:rsidR="00EE00E9" w:rsidRPr="00F77BCB" w:rsidRDefault="00780C06" w:rsidP="008D2290">
            <w:pPr>
              <w:jc w:val="both"/>
              <w:rPr>
                <w:rFonts w:asciiTheme="majorHAnsi" w:hAnsiTheme="majorHAnsi"/>
                <w:bCs/>
                <w:noProof/>
                <w:sz w:val="20"/>
                <w:szCs w:val="20"/>
                <w:lang w:val="es-ES"/>
              </w:rPr>
            </w:pPr>
            <w:r>
              <w:rPr>
                <w:rFonts w:asciiTheme="majorHAnsi" w:hAnsiTheme="majorHAnsi"/>
                <w:bCs/>
                <w:noProof/>
                <w:sz w:val="20"/>
                <w:szCs w:val="20"/>
                <w:lang w:val="es-ES"/>
              </w:rPr>
              <w:t>No</w:t>
            </w:r>
          </w:p>
        </w:tc>
      </w:tr>
      <w:tr w:rsidR="003239B8" w:rsidRPr="00F81CCE" w14:paraId="578A0069" w14:textId="77777777" w:rsidTr="008F67E1">
        <w:trPr>
          <w:cantSplit/>
        </w:trPr>
        <w:tc>
          <w:tcPr>
            <w:tcW w:w="3565" w:type="dxa"/>
            <w:tcBorders>
              <w:top w:val="single" w:sz="4" w:space="0" w:color="auto"/>
              <w:bottom w:val="single" w:sz="6" w:space="0" w:color="auto"/>
            </w:tcBorders>
            <w:shd w:val="clear" w:color="auto" w:fill="386294"/>
            <w:vAlign w:val="center"/>
          </w:tcPr>
          <w:p w14:paraId="4183E25D" w14:textId="77777777" w:rsidR="003239B8" w:rsidRPr="00F77BCB" w:rsidRDefault="003239B8" w:rsidP="008D2290">
            <w:pPr>
              <w:jc w:val="center"/>
              <w:rPr>
                <w:rFonts w:asciiTheme="majorHAnsi" w:hAnsiTheme="majorHAnsi"/>
                <w:b/>
                <w:bCs/>
                <w:i/>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Derechos declarados admisibles</w:t>
            </w:r>
            <w:r w:rsidRPr="00F77BCB">
              <w:rPr>
                <w:rFonts w:asciiTheme="majorHAnsi" w:hAnsiTheme="majorHAnsi"/>
                <w:b/>
                <w:bCs/>
                <w:i/>
                <w:noProof/>
                <w:color w:val="FFFFFF" w:themeColor="background1"/>
                <w:sz w:val="20"/>
                <w:szCs w:val="20"/>
                <w:lang w:val="es-ES"/>
              </w:rPr>
              <w:t>:</w:t>
            </w:r>
          </w:p>
        </w:tc>
        <w:tc>
          <w:tcPr>
            <w:tcW w:w="5772" w:type="dxa"/>
            <w:vAlign w:val="center"/>
          </w:tcPr>
          <w:p w14:paraId="7B8FD276" w14:textId="726E801F" w:rsidR="003239B8" w:rsidRPr="00F77BCB" w:rsidRDefault="00F81CCE" w:rsidP="008D2290">
            <w:pPr>
              <w:jc w:val="both"/>
              <w:rPr>
                <w:rFonts w:asciiTheme="majorHAnsi" w:hAnsiTheme="majorHAnsi"/>
                <w:bCs/>
                <w:noProof/>
                <w:sz w:val="20"/>
                <w:szCs w:val="20"/>
                <w:lang w:val="es-ES"/>
              </w:rPr>
            </w:pPr>
            <w:r>
              <w:rPr>
                <w:rFonts w:asciiTheme="majorHAnsi" w:hAnsiTheme="majorHAnsi"/>
                <w:noProof/>
                <w:sz w:val="20"/>
                <w:szCs w:val="20"/>
                <w:lang w:val="es-ES"/>
              </w:rPr>
              <w:t>No aplica</w:t>
            </w:r>
          </w:p>
        </w:tc>
      </w:tr>
      <w:tr w:rsidR="003239B8" w:rsidRPr="006E7528" w14:paraId="29C846B7" w14:textId="77777777" w:rsidTr="008F67E1">
        <w:trPr>
          <w:cantSplit/>
        </w:trPr>
        <w:tc>
          <w:tcPr>
            <w:tcW w:w="3565" w:type="dxa"/>
            <w:tcBorders>
              <w:top w:val="single" w:sz="6" w:space="0" w:color="auto"/>
              <w:bottom w:val="single" w:sz="6" w:space="0" w:color="auto"/>
            </w:tcBorders>
            <w:shd w:val="clear" w:color="auto" w:fill="386294"/>
            <w:vAlign w:val="center"/>
          </w:tcPr>
          <w:p w14:paraId="643EAC9C" w14:textId="77777777" w:rsidR="003239B8" w:rsidRPr="00F77BCB" w:rsidRDefault="003239B8"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Agotamiento de recursos internos</w:t>
            </w:r>
            <w:r w:rsidR="00EE00E9" w:rsidRPr="00F77BCB">
              <w:rPr>
                <w:rFonts w:asciiTheme="majorHAnsi" w:hAnsiTheme="majorHAnsi"/>
                <w:b/>
                <w:bCs/>
                <w:noProof/>
                <w:color w:val="FFFFFF" w:themeColor="background1"/>
                <w:sz w:val="20"/>
                <w:szCs w:val="20"/>
                <w:lang w:val="es-ES"/>
              </w:rPr>
              <w:t xml:space="preserve"> o procedencia de una excepción</w:t>
            </w:r>
            <w:r w:rsidRPr="00F77BCB">
              <w:rPr>
                <w:rFonts w:asciiTheme="majorHAnsi" w:hAnsiTheme="majorHAnsi"/>
                <w:b/>
                <w:bCs/>
                <w:noProof/>
                <w:color w:val="FFFFFF" w:themeColor="background1"/>
                <w:sz w:val="20"/>
                <w:szCs w:val="20"/>
                <w:lang w:val="es-ES"/>
              </w:rPr>
              <w:t>:</w:t>
            </w:r>
          </w:p>
        </w:tc>
        <w:tc>
          <w:tcPr>
            <w:tcW w:w="5772" w:type="dxa"/>
            <w:vAlign w:val="center"/>
          </w:tcPr>
          <w:p w14:paraId="5370CF29" w14:textId="780DF8A6" w:rsidR="003239B8" w:rsidRPr="00F77BCB" w:rsidRDefault="008C61EA" w:rsidP="008D2290">
            <w:pPr>
              <w:rPr>
                <w:rFonts w:asciiTheme="majorHAnsi" w:hAnsiTheme="majorHAnsi"/>
                <w:bCs/>
                <w:noProof/>
                <w:sz w:val="20"/>
                <w:szCs w:val="20"/>
                <w:lang w:val="es-ES"/>
              </w:rPr>
            </w:pPr>
            <w:r>
              <w:rPr>
                <w:rFonts w:asciiTheme="majorHAnsi" w:hAnsiTheme="majorHAnsi"/>
                <w:bCs/>
                <w:noProof/>
                <w:sz w:val="20"/>
                <w:szCs w:val="20"/>
                <w:lang w:val="es-ES"/>
              </w:rPr>
              <w:t>No</w:t>
            </w:r>
            <w:r w:rsidR="00770FD0">
              <w:rPr>
                <w:rFonts w:asciiTheme="majorHAnsi" w:hAnsiTheme="majorHAnsi"/>
                <w:bCs/>
                <w:noProof/>
                <w:sz w:val="20"/>
                <w:szCs w:val="20"/>
                <w:lang w:val="es-ES"/>
              </w:rPr>
              <w:t xml:space="preserve"> se cumple este requisito</w:t>
            </w:r>
          </w:p>
        </w:tc>
      </w:tr>
      <w:tr w:rsidR="003239B8" w:rsidRPr="00F81CCE" w14:paraId="775CCD0C" w14:textId="77777777" w:rsidTr="008F67E1">
        <w:trPr>
          <w:cantSplit/>
        </w:trPr>
        <w:tc>
          <w:tcPr>
            <w:tcW w:w="3565" w:type="dxa"/>
            <w:tcBorders>
              <w:top w:val="single" w:sz="6" w:space="0" w:color="auto"/>
              <w:bottom w:val="single" w:sz="6" w:space="0" w:color="auto"/>
            </w:tcBorders>
            <w:shd w:val="clear" w:color="auto" w:fill="386294"/>
            <w:vAlign w:val="center"/>
          </w:tcPr>
          <w:p w14:paraId="034DA6C3" w14:textId="77777777" w:rsidR="003239B8" w:rsidRPr="00F77BCB" w:rsidRDefault="003239B8" w:rsidP="008D2290">
            <w:pPr>
              <w:jc w:val="center"/>
              <w:rPr>
                <w:rFonts w:asciiTheme="majorHAnsi" w:hAnsiTheme="majorHAnsi"/>
                <w:b/>
                <w:bCs/>
                <w:noProof/>
                <w:color w:val="FFFFFF" w:themeColor="background1"/>
                <w:sz w:val="20"/>
                <w:szCs w:val="20"/>
                <w:lang w:val="es-ES"/>
              </w:rPr>
            </w:pPr>
            <w:r w:rsidRPr="00F77BCB">
              <w:rPr>
                <w:rFonts w:asciiTheme="majorHAnsi" w:hAnsiTheme="majorHAnsi"/>
                <w:b/>
                <w:bCs/>
                <w:noProof/>
                <w:color w:val="FFFFFF" w:themeColor="background1"/>
                <w:sz w:val="20"/>
                <w:szCs w:val="20"/>
                <w:lang w:val="es-ES"/>
              </w:rPr>
              <w:t>Presentación dentro de plazo:</w:t>
            </w:r>
          </w:p>
        </w:tc>
        <w:tc>
          <w:tcPr>
            <w:tcW w:w="5772" w:type="dxa"/>
            <w:vAlign w:val="center"/>
          </w:tcPr>
          <w:p w14:paraId="550336DE" w14:textId="593EA490" w:rsidR="003239B8" w:rsidRPr="00F77BCB" w:rsidRDefault="00F81CCE" w:rsidP="008D2290">
            <w:pPr>
              <w:rPr>
                <w:rFonts w:asciiTheme="majorHAnsi" w:hAnsiTheme="majorHAnsi"/>
                <w:bCs/>
                <w:noProof/>
                <w:sz w:val="20"/>
                <w:szCs w:val="20"/>
                <w:lang w:val="es-ES"/>
              </w:rPr>
            </w:pPr>
            <w:r>
              <w:rPr>
                <w:rFonts w:asciiTheme="majorHAnsi" w:hAnsiTheme="majorHAnsi"/>
                <w:bCs/>
                <w:noProof/>
                <w:sz w:val="20"/>
                <w:szCs w:val="20"/>
                <w:lang w:val="es-ES"/>
              </w:rPr>
              <w:t>No aplica</w:t>
            </w:r>
          </w:p>
        </w:tc>
      </w:tr>
    </w:tbl>
    <w:p w14:paraId="3E333381" w14:textId="7B397560" w:rsidR="003239B8" w:rsidRPr="002865A7" w:rsidRDefault="00223A29" w:rsidP="008F67E1">
      <w:pPr>
        <w:spacing w:before="240" w:after="240"/>
        <w:ind w:firstLine="720"/>
        <w:jc w:val="both"/>
        <w:rPr>
          <w:rFonts w:asciiTheme="majorHAnsi" w:hAnsiTheme="majorHAnsi"/>
          <w:b/>
          <w:noProof/>
          <w:sz w:val="20"/>
          <w:szCs w:val="20"/>
          <w:lang w:val="es-ES_tradnl"/>
        </w:rPr>
      </w:pPr>
      <w:r w:rsidRPr="002865A7">
        <w:rPr>
          <w:rFonts w:asciiTheme="majorHAnsi" w:hAnsiTheme="majorHAnsi"/>
          <w:b/>
          <w:noProof/>
          <w:sz w:val="20"/>
          <w:szCs w:val="20"/>
          <w:lang w:val="es-ES_tradnl"/>
        </w:rPr>
        <w:t xml:space="preserve">V. </w:t>
      </w:r>
      <w:r w:rsidRPr="002865A7">
        <w:rPr>
          <w:rFonts w:asciiTheme="majorHAnsi" w:hAnsiTheme="majorHAnsi"/>
          <w:b/>
          <w:noProof/>
          <w:sz w:val="20"/>
          <w:szCs w:val="20"/>
          <w:lang w:val="es-ES_tradnl"/>
        </w:rPr>
        <w:tab/>
      </w:r>
      <w:r w:rsidR="003239B8" w:rsidRPr="002865A7">
        <w:rPr>
          <w:rFonts w:asciiTheme="majorHAnsi" w:hAnsiTheme="majorHAnsi"/>
          <w:b/>
          <w:noProof/>
          <w:sz w:val="20"/>
          <w:szCs w:val="20"/>
          <w:lang w:val="es-ES_tradnl"/>
        </w:rPr>
        <w:t xml:space="preserve">HECHOS ALEGADOS </w:t>
      </w:r>
    </w:p>
    <w:p w14:paraId="6CCB1DDE" w14:textId="4BA523B5" w:rsidR="00B3149C" w:rsidRPr="002865A7" w:rsidRDefault="001C1413" w:rsidP="001A38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ES_tradnl"/>
        </w:rPr>
      </w:pPr>
      <w:r w:rsidRPr="002865A7">
        <w:rPr>
          <w:rFonts w:asciiTheme="majorHAnsi" w:hAnsiTheme="majorHAnsi"/>
          <w:noProof/>
          <w:sz w:val="20"/>
          <w:szCs w:val="20"/>
          <w:lang w:val="es-ES_tradnl"/>
        </w:rPr>
        <w:t>1</w:t>
      </w:r>
      <w:r w:rsidR="00B3149C" w:rsidRPr="002865A7">
        <w:rPr>
          <w:rFonts w:asciiTheme="majorHAnsi" w:hAnsiTheme="majorHAnsi"/>
          <w:noProof/>
          <w:sz w:val="20"/>
          <w:szCs w:val="20"/>
          <w:lang w:val="es-ES_tradnl"/>
        </w:rPr>
        <w:t>.</w:t>
      </w:r>
      <w:r w:rsidR="00B3149C" w:rsidRPr="002865A7">
        <w:rPr>
          <w:rFonts w:asciiTheme="majorHAnsi" w:hAnsiTheme="majorHAnsi"/>
          <w:noProof/>
          <w:sz w:val="20"/>
          <w:szCs w:val="20"/>
          <w:lang w:val="es-ES_tradnl"/>
        </w:rPr>
        <w:tab/>
        <w:t xml:space="preserve">El Sr. Gabriel Enrique Mojica </w:t>
      </w:r>
      <w:r w:rsidR="001A38DC" w:rsidRPr="002865A7">
        <w:rPr>
          <w:rFonts w:asciiTheme="majorHAnsi" w:hAnsiTheme="majorHAnsi"/>
          <w:noProof/>
          <w:sz w:val="20"/>
          <w:szCs w:val="20"/>
          <w:lang w:val="es-ES_tradnl"/>
        </w:rPr>
        <w:t>Redond</w:t>
      </w:r>
      <w:r w:rsidR="00FC2EF3">
        <w:rPr>
          <w:rFonts w:asciiTheme="majorHAnsi" w:hAnsiTheme="majorHAnsi"/>
          <w:noProof/>
          <w:sz w:val="20"/>
          <w:szCs w:val="20"/>
          <w:lang w:val="es-ES_tradnl"/>
        </w:rPr>
        <w:t>o</w:t>
      </w:r>
      <w:r w:rsidR="001A38DC" w:rsidRPr="002865A7">
        <w:rPr>
          <w:rFonts w:asciiTheme="majorHAnsi" w:hAnsiTheme="majorHAnsi"/>
          <w:noProof/>
          <w:sz w:val="20"/>
          <w:szCs w:val="20"/>
          <w:lang w:val="es-ES_tradnl"/>
        </w:rPr>
        <w:t xml:space="preserve"> </w:t>
      </w:r>
      <w:r w:rsidR="00B3149C" w:rsidRPr="002865A7">
        <w:rPr>
          <w:rFonts w:asciiTheme="majorHAnsi" w:hAnsiTheme="majorHAnsi"/>
          <w:noProof/>
          <w:sz w:val="20"/>
          <w:szCs w:val="20"/>
          <w:lang w:val="es-ES_tradnl"/>
        </w:rPr>
        <w:t xml:space="preserve">alega la </w:t>
      </w:r>
      <w:r w:rsidR="001A38DC" w:rsidRPr="002865A7">
        <w:rPr>
          <w:rFonts w:asciiTheme="majorHAnsi" w:hAnsiTheme="majorHAnsi"/>
          <w:noProof/>
          <w:sz w:val="20"/>
          <w:szCs w:val="20"/>
          <w:lang w:val="es-ES_tradnl"/>
        </w:rPr>
        <w:t>vulneración de sus derechos y de</w:t>
      </w:r>
      <w:r w:rsidR="00AA3C62" w:rsidRPr="002865A7">
        <w:rPr>
          <w:rFonts w:asciiTheme="majorHAnsi" w:hAnsiTheme="majorHAnsi"/>
          <w:noProof/>
          <w:sz w:val="20"/>
          <w:szCs w:val="20"/>
          <w:lang w:val="es-ES_tradnl"/>
        </w:rPr>
        <w:t xml:space="preserve"> la Sra. </w:t>
      </w:r>
      <w:r w:rsidR="00AA3C62" w:rsidRPr="002865A7">
        <w:rPr>
          <w:rFonts w:asciiTheme="majorHAnsi" w:hAnsiTheme="majorHAnsi"/>
          <w:bCs/>
          <w:noProof/>
          <w:sz w:val="20"/>
          <w:szCs w:val="20"/>
          <w:lang w:val="es-ES_tradnl"/>
        </w:rPr>
        <w:t>Deniris Baleta Botello</w:t>
      </w:r>
      <w:r w:rsidR="00AA3C62" w:rsidRPr="002865A7">
        <w:rPr>
          <w:rFonts w:asciiTheme="majorHAnsi" w:hAnsiTheme="majorHAnsi"/>
          <w:noProof/>
          <w:sz w:val="20"/>
          <w:szCs w:val="20"/>
          <w:lang w:val="es-ES_tradnl"/>
        </w:rPr>
        <w:t xml:space="preserve"> y del </w:t>
      </w:r>
      <w:r w:rsidR="001A38DC" w:rsidRPr="002865A7">
        <w:rPr>
          <w:rFonts w:asciiTheme="majorHAnsi" w:hAnsiTheme="majorHAnsi"/>
          <w:noProof/>
          <w:sz w:val="20"/>
          <w:szCs w:val="20"/>
          <w:lang w:val="es-ES_tradnl"/>
        </w:rPr>
        <w:t>Sr. Nicolás Rodríguez Redondo (hermano)</w:t>
      </w:r>
      <w:r w:rsidR="00AA3C62" w:rsidRPr="002865A7">
        <w:rPr>
          <w:rFonts w:asciiTheme="majorHAnsi" w:hAnsiTheme="majorHAnsi"/>
          <w:noProof/>
          <w:sz w:val="20"/>
          <w:szCs w:val="20"/>
          <w:lang w:val="es-ES_tradnl"/>
        </w:rPr>
        <w:t xml:space="preserve">,  </w:t>
      </w:r>
      <w:r w:rsidR="001A38DC" w:rsidRPr="002865A7">
        <w:rPr>
          <w:rFonts w:asciiTheme="majorHAnsi" w:hAnsiTheme="majorHAnsi"/>
          <w:noProof/>
          <w:sz w:val="20"/>
          <w:szCs w:val="20"/>
          <w:lang w:val="es-ES_tradnl"/>
        </w:rPr>
        <w:t xml:space="preserve">por </w:t>
      </w:r>
      <w:r w:rsidR="00AA3C62" w:rsidRPr="002865A7">
        <w:rPr>
          <w:rFonts w:asciiTheme="majorHAnsi" w:hAnsiTheme="majorHAnsi"/>
          <w:noProof/>
          <w:sz w:val="20"/>
          <w:szCs w:val="20"/>
          <w:lang w:val="es-ES_tradnl"/>
        </w:rPr>
        <w:t xml:space="preserve">el Estado de </w:t>
      </w:r>
      <w:r w:rsidR="001A38DC" w:rsidRPr="002865A7">
        <w:rPr>
          <w:rFonts w:asciiTheme="majorHAnsi" w:hAnsiTheme="majorHAnsi"/>
          <w:noProof/>
          <w:sz w:val="20"/>
          <w:szCs w:val="20"/>
          <w:lang w:val="es-ES_tradnl"/>
        </w:rPr>
        <w:t>Colombia</w:t>
      </w:r>
      <w:r w:rsidR="00AA3C62" w:rsidRPr="002865A7">
        <w:rPr>
          <w:rFonts w:asciiTheme="majorHAnsi" w:hAnsiTheme="majorHAnsi"/>
          <w:noProof/>
          <w:sz w:val="20"/>
          <w:szCs w:val="20"/>
          <w:lang w:val="es-ES_tradnl"/>
        </w:rPr>
        <w:t xml:space="preserve"> </w:t>
      </w:r>
      <w:r w:rsidR="001A38DC" w:rsidRPr="002865A7">
        <w:rPr>
          <w:rFonts w:asciiTheme="majorHAnsi" w:hAnsiTheme="majorHAnsi"/>
          <w:noProof/>
          <w:sz w:val="20"/>
          <w:szCs w:val="20"/>
          <w:lang w:val="es-ES_tradnl"/>
        </w:rPr>
        <w:t xml:space="preserve">por el asesinato de éste último, </w:t>
      </w:r>
      <w:r w:rsidR="00B3149C" w:rsidRPr="002865A7">
        <w:rPr>
          <w:rFonts w:asciiTheme="majorHAnsi" w:hAnsiTheme="majorHAnsi"/>
          <w:noProof/>
          <w:sz w:val="20"/>
          <w:szCs w:val="20"/>
          <w:lang w:val="es-ES_tradnl"/>
        </w:rPr>
        <w:t>alegadamente a manos de las Autodefensas Unidas de Colombia (AUC)</w:t>
      </w:r>
      <w:r w:rsidR="00903716" w:rsidRPr="002865A7">
        <w:rPr>
          <w:rFonts w:asciiTheme="majorHAnsi" w:hAnsiTheme="majorHAnsi"/>
          <w:noProof/>
          <w:sz w:val="20"/>
          <w:szCs w:val="20"/>
          <w:lang w:val="es-ES_tradnl"/>
        </w:rPr>
        <w:t>.</w:t>
      </w:r>
    </w:p>
    <w:p w14:paraId="2545408B" w14:textId="281A0175" w:rsidR="00DC28EF" w:rsidRPr="002865A7" w:rsidRDefault="001C1413" w:rsidP="00C666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ES_tradnl"/>
        </w:rPr>
      </w:pPr>
      <w:r w:rsidRPr="002865A7">
        <w:rPr>
          <w:rFonts w:asciiTheme="majorHAnsi" w:hAnsiTheme="majorHAnsi"/>
          <w:noProof/>
          <w:sz w:val="20"/>
          <w:szCs w:val="20"/>
          <w:lang w:val="es-ES_tradnl"/>
        </w:rPr>
        <w:t>2</w:t>
      </w:r>
      <w:r w:rsidR="00B3149C" w:rsidRPr="002865A7">
        <w:rPr>
          <w:rFonts w:asciiTheme="majorHAnsi" w:hAnsiTheme="majorHAnsi"/>
          <w:noProof/>
          <w:sz w:val="20"/>
          <w:szCs w:val="20"/>
          <w:lang w:val="es-ES_tradnl"/>
        </w:rPr>
        <w:t>.</w:t>
      </w:r>
      <w:r w:rsidR="00B3149C" w:rsidRPr="002865A7">
        <w:rPr>
          <w:rFonts w:asciiTheme="majorHAnsi" w:hAnsiTheme="majorHAnsi"/>
          <w:noProof/>
          <w:sz w:val="20"/>
          <w:szCs w:val="20"/>
          <w:lang w:val="es-ES_tradnl"/>
        </w:rPr>
        <w:tab/>
      </w:r>
      <w:r w:rsidR="0089178A" w:rsidRPr="002865A7">
        <w:rPr>
          <w:rFonts w:asciiTheme="majorHAnsi" w:hAnsiTheme="majorHAnsi"/>
          <w:noProof/>
          <w:sz w:val="20"/>
          <w:szCs w:val="20"/>
          <w:lang w:val="es-ES_tradnl"/>
        </w:rPr>
        <w:t>El petic</w:t>
      </w:r>
      <w:r w:rsidR="00EC1FB6" w:rsidRPr="002865A7">
        <w:rPr>
          <w:rFonts w:asciiTheme="majorHAnsi" w:hAnsiTheme="majorHAnsi"/>
          <w:noProof/>
          <w:sz w:val="20"/>
          <w:szCs w:val="20"/>
          <w:lang w:val="es-ES_tradnl"/>
        </w:rPr>
        <w:t>i</w:t>
      </w:r>
      <w:r w:rsidR="0089178A" w:rsidRPr="002865A7">
        <w:rPr>
          <w:rFonts w:asciiTheme="majorHAnsi" w:hAnsiTheme="majorHAnsi"/>
          <w:noProof/>
          <w:sz w:val="20"/>
          <w:szCs w:val="20"/>
          <w:lang w:val="es-ES_tradnl"/>
        </w:rPr>
        <w:t>onario indica que e</w:t>
      </w:r>
      <w:r w:rsidR="00DC28EF" w:rsidRPr="002865A7">
        <w:rPr>
          <w:rFonts w:asciiTheme="majorHAnsi" w:hAnsiTheme="majorHAnsi"/>
          <w:noProof/>
          <w:sz w:val="20"/>
          <w:szCs w:val="20"/>
          <w:lang w:val="es-ES_tradnl"/>
        </w:rPr>
        <w:t xml:space="preserve">l </w:t>
      </w:r>
      <w:r w:rsidR="0099165D" w:rsidRPr="002865A7">
        <w:rPr>
          <w:rFonts w:asciiTheme="majorHAnsi" w:hAnsiTheme="majorHAnsi"/>
          <w:noProof/>
          <w:sz w:val="20"/>
          <w:szCs w:val="20"/>
          <w:lang w:val="es-ES_tradnl"/>
        </w:rPr>
        <w:t>29</w:t>
      </w:r>
      <w:r w:rsidR="001B452A" w:rsidRPr="002865A7">
        <w:rPr>
          <w:rFonts w:asciiTheme="majorHAnsi" w:hAnsiTheme="majorHAnsi"/>
          <w:noProof/>
          <w:sz w:val="20"/>
          <w:szCs w:val="20"/>
          <w:lang w:val="es-ES_tradnl"/>
        </w:rPr>
        <w:t xml:space="preserve"> de diciembre de </w:t>
      </w:r>
      <w:r w:rsidR="001935F6" w:rsidRPr="002865A7">
        <w:rPr>
          <w:rFonts w:asciiTheme="majorHAnsi" w:hAnsiTheme="majorHAnsi"/>
          <w:noProof/>
          <w:sz w:val="20"/>
          <w:szCs w:val="20"/>
          <w:lang w:val="es-ES_tradnl"/>
        </w:rPr>
        <w:t xml:space="preserve">2001 </w:t>
      </w:r>
      <w:r w:rsidR="00DC28EF" w:rsidRPr="002865A7">
        <w:rPr>
          <w:rFonts w:asciiTheme="majorHAnsi" w:hAnsiTheme="majorHAnsi"/>
          <w:noProof/>
          <w:sz w:val="20"/>
          <w:szCs w:val="20"/>
          <w:lang w:val="es-ES_tradnl"/>
        </w:rPr>
        <w:t xml:space="preserve">la presunta víctima </w:t>
      </w:r>
      <w:r w:rsidR="001935F6" w:rsidRPr="002865A7">
        <w:rPr>
          <w:rFonts w:asciiTheme="majorHAnsi" w:hAnsiTheme="majorHAnsi"/>
          <w:noProof/>
          <w:sz w:val="20"/>
          <w:szCs w:val="20"/>
          <w:lang w:val="es-ES_tradnl"/>
        </w:rPr>
        <w:t xml:space="preserve">estaría </w:t>
      </w:r>
      <w:r w:rsidR="00DC28EF" w:rsidRPr="002865A7">
        <w:rPr>
          <w:rFonts w:asciiTheme="majorHAnsi" w:hAnsiTheme="majorHAnsi"/>
          <w:noProof/>
          <w:sz w:val="20"/>
          <w:szCs w:val="20"/>
          <w:lang w:val="es-ES_tradnl"/>
        </w:rPr>
        <w:t>acompañando a</w:t>
      </w:r>
      <w:r w:rsidR="00E439BE" w:rsidRPr="002865A7">
        <w:rPr>
          <w:rFonts w:asciiTheme="majorHAnsi" w:hAnsiTheme="majorHAnsi"/>
          <w:noProof/>
          <w:sz w:val="20"/>
          <w:szCs w:val="20"/>
          <w:lang w:val="es-ES_tradnl"/>
        </w:rPr>
        <w:t xml:space="preserve"> un señor </w:t>
      </w:r>
      <w:r w:rsidR="00903716" w:rsidRPr="002865A7">
        <w:rPr>
          <w:rFonts w:asciiTheme="majorHAnsi" w:hAnsiTheme="majorHAnsi"/>
          <w:noProof/>
          <w:sz w:val="20"/>
          <w:szCs w:val="20"/>
          <w:lang w:val="es-ES_tradnl"/>
        </w:rPr>
        <w:t>en</w:t>
      </w:r>
      <w:r w:rsidR="00DC28EF" w:rsidRPr="002865A7">
        <w:rPr>
          <w:rFonts w:asciiTheme="majorHAnsi" w:hAnsiTheme="majorHAnsi"/>
          <w:noProof/>
          <w:sz w:val="20"/>
          <w:szCs w:val="20"/>
          <w:lang w:val="es-ES_tradnl"/>
        </w:rPr>
        <w:t xml:space="preserve"> una mudanza en el corregimiento de Río Seco</w:t>
      </w:r>
      <w:r w:rsidR="001935F6" w:rsidRPr="002865A7">
        <w:rPr>
          <w:rFonts w:asciiTheme="majorHAnsi" w:hAnsiTheme="majorHAnsi"/>
          <w:noProof/>
          <w:sz w:val="20"/>
          <w:szCs w:val="20"/>
          <w:lang w:val="es-ES_tradnl"/>
        </w:rPr>
        <w:t>, César. D</w:t>
      </w:r>
      <w:r w:rsidR="00DC28EF" w:rsidRPr="002865A7">
        <w:rPr>
          <w:rFonts w:asciiTheme="majorHAnsi" w:hAnsiTheme="majorHAnsi"/>
          <w:noProof/>
          <w:sz w:val="20"/>
          <w:szCs w:val="20"/>
          <w:lang w:val="es-ES_tradnl"/>
        </w:rPr>
        <w:t>urante el recorrido</w:t>
      </w:r>
      <w:r w:rsidR="003C1D7F" w:rsidRPr="002865A7">
        <w:rPr>
          <w:rFonts w:asciiTheme="majorHAnsi" w:hAnsiTheme="majorHAnsi"/>
          <w:noProof/>
          <w:sz w:val="20"/>
          <w:szCs w:val="20"/>
          <w:lang w:val="es-ES_tradnl"/>
        </w:rPr>
        <w:t xml:space="preserve">, en el sector de la trocha del </w:t>
      </w:r>
      <w:r w:rsidR="001B452A" w:rsidRPr="002865A7">
        <w:rPr>
          <w:rFonts w:asciiTheme="majorHAnsi" w:hAnsiTheme="majorHAnsi"/>
          <w:noProof/>
          <w:sz w:val="20"/>
          <w:szCs w:val="20"/>
          <w:lang w:val="es-ES_tradnl"/>
        </w:rPr>
        <w:t>J</w:t>
      </w:r>
      <w:r w:rsidR="003C1D7F" w:rsidRPr="002865A7">
        <w:rPr>
          <w:rFonts w:asciiTheme="majorHAnsi" w:hAnsiTheme="majorHAnsi"/>
          <w:noProof/>
          <w:sz w:val="20"/>
          <w:szCs w:val="20"/>
          <w:lang w:val="es-ES_tradnl"/>
        </w:rPr>
        <w:t>abo</w:t>
      </w:r>
      <w:r w:rsidR="001935F6" w:rsidRPr="002865A7">
        <w:rPr>
          <w:rFonts w:asciiTheme="majorHAnsi" w:hAnsiTheme="majorHAnsi"/>
          <w:noProof/>
          <w:sz w:val="20"/>
          <w:szCs w:val="20"/>
          <w:lang w:val="es-ES_tradnl"/>
        </w:rPr>
        <w:t xml:space="preserve"> l</w:t>
      </w:r>
      <w:r w:rsidR="00A56764" w:rsidRPr="002865A7">
        <w:rPr>
          <w:rFonts w:asciiTheme="majorHAnsi" w:hAnsiTheme="majorHAnsi"/>
          <w:noProof/>
          <w:sz w:val="20"/>
          <w:szCs w:val="20"/>
          <w:lang w:val="es-ES_tradnl"/>
        </w:rPr>
        <w:t>e</w:t>
      </w:r>
      <w:r w:rsidR="001935F6" w:rsidRPr="002865A7">
        <w:rPr>
          <w:rFonts w:asciiTheme="majorHAnsi" w:hAnsiTheme="majorHAnsi"/>
          <w:noProof/>
          <w:sz w:val="20"/>
          <w:szCs w:val="20"/>
          <w:lang w:val="es-ES_tradnl"/>
        </w:rPr>
        <w:t xml:space="preserve"> </w:t>
      </w:r>
      <w:r w:rsidR="00A56764" w:rsidRPr="002865A7">
        <w:rPr>
          <w:rFonts w:asciiTheme="majorHAnsi" w:hAnsiTheme="majorHAnsi"/>
          <w:noProof/>
          <w:sz w:val="20"/>
          <w:szCs w:val="20"/>
          <w:lang w:val="es-ES_tradnl"/>
        </w:rPr>
        <w:t>hab</w:t>
      </w:r>
      <w:r w:rsidR="003C1D7F" w:rsidRPr="002865A7">
        <w:rPr>
          <w:rFonts w:asciiTheme="majorHAnsi" w:hAnsiTheme="majorHAnsi"/>
          <w:noProof/>
          <w:sz w:val="20"/>
          <w:szCs w:val="20"/>
          <w:lang w:val="es-ES_tradnl"/>
        </w:rPr>
        <w:t xml:space="preserve">rían disparado desde </w:t>
      </w:r>
      <w:r w:rsidR="00A56764" w:rsidRPr="002865A7">
        <w:rPr>
          <w:rFonts w:asciiTheme="majorHAnsi" w:hAnsiTheme="majorHAnsi"/>
          <w:noProof/>
          <w:sz w:val="20"/>
          <w:szCs w:val="20"/>
          <w:lang w:val="es-ES_tradnl"/>
        </w:rPr>
        <w:t>motocicletas</w:t>
      </w:r>
      <w:r w:rsidR="002D0DED" w:rsidRPr="002865A7">
        <w:rPr>
          <w:rFonts w:asciiTheme="majorHAnsi" w:hAnsiTheme="majorHAnsi"/>
          <w:noProof/>
          <w:sz w:val="20"/>
          <w:szCs w:val="20"/>
          <w:lang w:val="es-ES_tradnl"/>
        </w:rPr>
        <w:t xml:space="preserve"> en donde también fallecieron los otros integrantes del vehículo.</w:t>
      </w:r>
      <w:r w:rsidR="00C05ED7" w:rsidRPr="002865A7">
        <w:rPr>
          <w:rFonts w:asciiTheme="majorHAnsi" w:hAnsiTheme="majorHAnsi"/>
          <w:noProof/>
          <w:sz w:val="20"/>
          <w:szCs w:val="20"/>
          <w:lang w:val="es-ES_tradnl"/>
        </w:rPr>
        <w:t xml:space="preserve"> </w:t>
      </w:r>
      <w:r w:rsidR="009A01AB" w:rsidRPr="002865A7">
        <w:rPr>
          <w:rFonts w:asciiTheme="majorHAnsi" w:hAnsiTheme="majorHAnsi"/>
          <w:noProof/>
          <w:sz w:val="20"/>
          <w:szCs w:val="20"/>
          <w:lang w:val="es-ES_tradnl"/>
        </w:rPr>
        <w:t>E</w:t>
      </w:r>
      <w:r w:rsidR="002501FC" w:rsidRPr="002865A7">
        <w:rPr>
          <w:rFonts w:asciiTheme="majorHAnsi" w:hAnsiTheme="majorHAnsi"/>
          <w:noProof/>
          <w:sz w:val="20"/>
          <w:szCs w:val="20"/>
          <w:lang w:val="es-ES_tradnl"/>
        </w:rPr>
        <w:t xml:space="preserve">l peticionario </w:t>
      </w:r>
      <w:r w:rsidR="00426924" w:rsidRPr="002865A7">
        <w:rPr>
          <w:rFonts w:asciiTheme="majorHAnsi" w:hAnsiTheme="majorHAnsi"/>
          <w:noProof/>
          <w:sz w:val="20"/>
          <w:szCs w:val="20"/>
          <w:lang w:val="es-ES_tradnl"/>
        </w:rPr>
        <w:t>detalla</w:t>
      </w:r>
      <w:r w:rsidR="002501FC" w:rsidRPr="002865A7">
        <w:rPr>
          <w:rFonts w:asciiTheme="majorHAnsi" w:hAnsiTheme="majorHAnsi"/>
          <w:noProof/>
          <w:sz w:val="20"/>
          <w:szCs w:val="20"/>
          <w:lang w:val="es-ES_tradnl"/>
        </w:rPr>
        <w:t xml:space="preserve"> </w:t>
      </w:r>
      <w:r w:rsidR="00176A70" w:rsidRPr="002865A7">
        <w:rPr>
          <w:rFonts w:asciiTheme="majorHAnsi" w:hAnsiTheme="majorHAnsi"/>
          <w:noProof/>
          <w:sz w:val="20"/>
          <w:szCs w:val="20"/>
          <w:lang w:val="es-ES_tradnl"/>
        </w:rPr>
        <w:t xml:space="preserve">que los cadáveres </w:t>
      </w:r>
      <w:r w:rsidR="002501FC" w:rsidRPr="002865A7">
        <w:rPr>
          <w:rFonts w:asciiTheme="majorHAnsi" w:hAnsiTheme="majorHAnsi"/>
          <w:noProof/>
          <w:sz w:val="20"/>
          <w:szCs w:val="20"/>
          <w:lang w:val="es-ES_tradnl"/>
        </w:rPr>
        <w:t>fueron</w:t>
      </w:r>
      <w:r w:rsidR="00176A70" w:rsidRPr="002865A7">
        <w:rPr>
          <w:rFonts w:asciiTheme="majorHAnsi" w:hAnsiTheme="majorHAnsi"/>
          <w:noProof/>
          <w:sz w:val="20"/>
          <w:szCs w:val="20"/>
          <w:lang w:val="es-ES_tradnl"/>
        </w:rPr>
        <w:t xml:space="preserve"> abandonados en el lugar</w:t>
      </w:r>
      <w:r w:rsidR="00426924" w:rsidRPr="002865A7">
        <w:rPr>
          <w:rFonts w:asciiTheme="majorHAnsi" w:hAnsiTheme="majorHAnsi"/>
          <w:noProof/>
          <w:sz w:val="20"/>
          <w:szCs w:val="20"/>
          <w:lang w:val="es-ES_tradnl"/>
        </w:rPr>
        <w:t xml:space="preserve"> y que los </w:t>
      </w:r>
      <w:r w:rsidR="00426924" w:rsidRPr="002865A7">
        <w:rPr>
          <w:rFonts w:asciiTheme="majorHAnsi" w:hAnsiTheme="majorHAnsi"/>
          <w:noProof/>
          <w:sz w:val="20"/>
          <w:szCs w:val="20"/>
          <w:lang w:val="es-ES_tradnl"/>
        </w:rPr>
        <w:lastRenderedPageBreak/>
        <w:t xml:space="preserve">responsables de los homicidios fueron hombres </w:t>
      </w:r>
      <w:r w:rsidR="006D34D8" w:rsidRPr="002865A7">
        <w:rPr>
          <w:rFonts w:asciiTheme="majorHAnsi" w:hAnsiTheme="majorHAnsi"/>
          <w:noProof/>
          <w:sz w:val="20"/>
          <w:szCs w:val="20"/>
          <w:lang w:val="es-ES_tradnl"/>
        </w:rPr>
        <w:t xml:space="preserve">Bloque Norte </w:t>
      </w:r>
      <w:r w:rsidR="00426924" w:rsidRPr="002865A7">
        <w:rPr>
          <w:rFonts w:asciiTheme="majorHAnsi" w:hAnsiTheme="majorHAnsi"/>
          <w:noProof/>
          <w:sz w:val="20"/>
          <w:szCs w:val="20"/>
          <w:lang w:val="es-ES_tradnl"/>
        </w:rPr>
        <w:t>de las AUC.</w:t>
      </w:r>
      <w:r w:rsidR="00D93848" w:rsidRPr="002865A7">
        <w:rPr>
          <w:rFonts w:asciiTheme="majorHAnsi" w:hAnsiTheme="majorHAnsi"/>
          <w:noProof/>
          <w:sz w:val="20"/>
          <w:szCs w:val="20"/>
          <w:lang w:val="es-ES_tradnl"/>
        </w:rPr>
        <w:t xml:space="preserve"> En relación con los recursos presentados sostiene que </w:t>
      </w:r>
      <w:r w:rsidR="00AC4D41" w:rsidRPr="002865A7">
        <w:rPr>
          <w:rFonts w:asciiTheme="majorHAnsi" w:hAnsiTheme="majorHAnsi"/>
          <w:noProof/>
          <w:sz w:val="20"/>
          <w:szCs w:val="20"/>
          <w:lang w:val="es-ES_tradnl"/>
        </w:rPr>
        <w:t xml:space="preserve">la Fiscalía </w:t>
      </w:r>
      <w:r w:rsidR="00C856B6" w:rsidRPr="002865A7">
        <w:rPr>
          <w:rFonts w:asciiTheme="majorHAnsi" w:hAnsiTheme="majorHAnsi"/>
          <w:noProof/>
          <w:sz w:val="20"/>
          <w:szCs w:val="20"/>
          <w:lang w:val="es-ES_tradnl"/>
        </w:rPr>
        <w:t>25</w:t>
      </w:r>
      <w:r w:rsidR="00AC4D41" w:rsidRPr="002865A7">
        <w:rPr>
          <w:rFonts w:asciiTheme="majorHAnsi" w:hAnsiTheme="majorHAnsi"/>
          <w:noProof/>
          <w:sz w:val="20"/>
          <w:szCs w:val="20"/>
          <w:lang w:val="es-ES_tradnl"/>
        </w:rPr>
        <w:t xml:space="preserve"> Delegada U.R.I </w:t>
      </w:r>
      <w:r w:rsidR="00C856B6" w:rsidRPr="002865A7">
        <w:rPr>
          <w:rFonts w:asciiTheme="majorHAnsi" w:hAnsiTheme="majorHAnsi"/>
          <w:noProof/>
          <w:sz w:val="20"/>
          <w:szCs w:val="20"/>
          <w:lang w:val="es-ES_tradnl"/>
        </w:rPr>
        <w:t xml:space="preserve">practicó la inspección del cadáver pero nunca </w:t>
      </w:r>
      <w:r w:rsidR="0097551C" w:rsidRPr="002865A7">
        <w:rPr>
          <w:rFonts w:asciiTheme="majorHAnsi" w:hAnsiTheme="majorHAnsi"/>
          <w:noProof/>
          <w:sz w:val="20"/>
          <w:szCs w:val="20"/>
          <w:lang w:val="es-ES_tradnl"/>
        </w:rPr>
        <w:t xml:space="preserve">se activó la noticia criminal y por lo tanto la Fiscalía General de la Nación </w:t>
      </w:r>
      <w:r w:rsidR="00B46C11" w:rsidRPr="002865A7">
        <w:rPr>
          <w:rFonts w:asciiTheme="majorHAnsi" w:hAnsiTheme="majorHAnsi"/>
          <w:noProof/>
          <w:sz w:val="20"/>
          <w:szCs w:val="20"/>
          <w:lang w:val="es-ES_tradnl"/>
        </w:rPr>
        <w:t xml:space="preserve">(FGN) </w:t>
      </w:r>
      <w:r w:rsidR="0097551C" w:rsidRPr="002865A7">
        <w:rPr>
          <w:rFonts w:asciiTheme="majorHAnsi" w:hAnsiTheme="majorHAnsi"/>
          <w:noProof/>
          <w:sz w:val="20"/>
          <w:szCs w:val="20"/>
          <w:lang w:val="es-ES_tradnl"/>
        </w:rPr>
        <w:t xml:space="preserve">no inició </w:t>
      </w:r>
      <w:r w:rsidR="00C856B6" w:rsidRPr="002865A7">
        <w:rPr>
          <w:rFonts w:asciiTheme="majorHAnsi" w:hAnsiTheme="majorHAnsi"/>
          <w:noProof/>
          <w:sz w:val="20"/>
          <w:szCs w:val="20"/>
          <w:lang w:val="es-ES_tradnl"/>
        </w:rPr>
        <w:t>la investigación penal</w:t>
      </w:r>
      <w:r w:rsidR="0097551C" w:rsidRPr="002865A7">
        <w:rPr>
          <w:rFonts w:asciiTheme="majorHAnsi" w:hAnsiTheme="majorHAnsi"/>
          <w:noProof/>
          <w:sz w:val="20"/>
          <w:szCs w:val="20"/>
          <w:lang w:val="es-ES_tradnl"/>
        </w:rPr>
        <w:t xml:space="preserve">; agrega </w:t>
      </w:r>
      <w:r w:rsidR="00C856B6" w:rsidRPr="002865A7">
        <w:rPr>
          <w:rFonts w:asciiTheme="majorHAnsi" w:hAnsiTheme="majorHAnsi"/>
          <w:noProof/>
          <w:sz w:val="20"/>
          <w:szCs w:val="20"/>
          <w:lang w:val="es-ES_tradnl"/>
        </w:rPr>
        <w:t xml:space="preserve">que acudió a la </w:t>
      </w:r>
      <w:r w:rsidR="000F088E" w:rsidRPr="002865A7">
        <w:rPr>
          <w:rFonts w:asciiTheme="majorHAnsi" w:hAnsiTheme="majorHAnsi"/>
          <w:noProof/>
          <w:sz w:val="20"/>
          <w:szCs w:val="20"/>
          <w:lang w:val="es-ES_tradnl"/>
        </w:rPr>
        <w:t>jurisdicción de J</w:t>
      </w:r>
      <w:r w:rsidR="00C856B6" w:rsidRPr="002865A7">
        <w:rPr>
          <w:rFonts w:asciiTheme="majorHAnsi" w:hAnsiTheme="majorHAnsi"/>
          <w:noProof/>
          <w:sz w:val="20"/>
          <w:szCs w:val="20"/>
          <w:lang w:val="es-ES_tradnl"/>
        </w:rPr>
        <w:t xml:space="preserve">usticia y Paz </w:t>
      </w:r>
      <w:r w:rsidR="00F11F52" w:rsidRPr="002865A7">
        <w:rPr>
          <w:rFonts w:asciiTheme="majorHAnsi" w:hAnsiTheme="majorHAnsi"/>
          <w:noProof/>
          <w:sz w:val="20"/>
          <w:szCs w:val="20"/>
          <w:lang w:val="es-ES_tradnl"/>
        </w:rPr>
        <w:t xml:space="preserve">e interpuso los recursos para solicitar reparaciones administrativas que no fueron favorables. </w:t>
      </w:r>
      <w:r w:rsidR="00176A70" w:rsidRPr="002865A7">
        <w:rPr>
          <w:rFonts w:asciiTheme="majorHAnsi" w:hAnsiTheme="majorHAnsi"/>
          <w:noProof/>
          <w:sz w:val="20"/>
          <w:szCs w:val="20"/>
          <w:lang w:val="es-ES_tradnl"/>
        </w:rPr>
        <w:t xml:space="preserve">Concluye que el Estado colombiano es responsable de la vulneración de los derechos de la presunta víctima por haber sido negligente en prestar seguridad jurídica a la ciudadanía en general.  </w:t>
      </w:r>
    </w:p>
    <w:p w14:paraId="3B1FE4EE" w14:textId="02F722AE" w:rsidR="0089178A" w:rsidRPr="002865A7" w:rsidRDefault="001C1413" w:rsidP="00B471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ES_tradnl"/>
        </w:rPr>
      </w:pPr>
      <w:r w:rsidRPr="002865A7">
        <w:rPr>
          <w:rFonts w:asciiTheme="majorHAnsi" w:hAnsiTheme="majorHAnsi"/>
          <w:noProof/>
          <w:sz w:val="20"/>
          <w:szCs w:val="20"/>
          <w:lang w:val="es-ES_tradnl"/>
        </w:rPr>
        <w:t>3</w:t>
      </w:r>
      <w:r w:rsidR="00B94CFC" w:rsidRPr="002865A7">
        <w:rPr>
          <w:rFonts w:asciiTheme="majorHAnsi" w:hAnsiTheme="majorHAnsi"/>
          <w:noProof/>
          <w:sz w:val="20"/>
          <w:szCs w:val="20"/>
          <w:lang w:val="es-ES_tradnl"/>
        </w:rPr>
        <w:t>.</w:t>
      </w:r>
      <w:r w:rsidR="00B94CFC" w:rsidRPr="002865A7">
        <w:rPr>
          <w:rFonts w:asciiTheme="majorHAnsi" w:hAnsiTheme="majorHAnsi"/>
          <w:noProof/>
          <w:sz w:val="20"/>
          <w:szCs w:val="20"/>
          <w:lang w:val="es-ES_tradnl"/>
        </w:rPr>
        <w:tab/>
      </w:r>
      <w:r w:rsidR="009B4188" w:rsidRPr="002865A7">
        <w:rPr>
          <w:rFonts w:asciiTheme="majorHAnsi" w:hAnsiTheme="majorHAnsi"/>
          <w:noProof/>
          <w:sz w:val="20"/>
          <w:szCs w:val="20"/>
          <w:lang w:val="es-ES_tradnl"/>
        </w:rPr>
        <w:t xml:space="preserve">El Estado sostiene </w:t>
      </w:r>
      <w:r w:rsidR="0099165D" w:rsidRPr="002865A7">
        <w:rPr>
          <w:rFonts w:asciiTheme="majorHAnsi" w:hAnsiTheme="majorHAnsi"/>
          <w:noProof/>
          <w:sz w:val="20"/>
          <w:szCs w:val="20"/>
          <w:lang w:val="es-ES_tradnl"/>
        </w:rPr>
        <w:t xml:space="preserve">que el 30 de diciembre de 2001 la </w:t>
      </w:r>
      <w:r w:rsidR="00B46C11" w:rsidRPr="002865A7">
        <w:rPr>
          <w:rFonts w:asciiTheme="majorHAnsi" w:hAnsiTheme="majorHAnsi"/>
          <w:noProof/>
          <w:sz w:val="20"/>
          <w:szCs w:val="20"/>
          <w:lang w:val="es-ES_tradnl"/>
        </w:rPr>
        <w:t xml:space="preserve">FGN </w:t>
      </w:r>
      <w:r w:rsidR="0099165D" w:rsidRPr="002865A7">
        <w:rPr>
          <w:rFonts w:asciiTheme="majorHAnsi" w:hAnsiTheme="majorHAnsi"/>
          <w:noProof/>
          <w:sz w:val="20"/>
          <w:szCs w:val="20"/>
          <w:lang w:val="es-ES_tradnl"/>
        </w:rPr>
        <w:t>abrió la investigación por el homicidio del Sr.</w:t>
      </w:r>
      <w:r w:rsidR="00211029" w:rsidRPr="002865A7">
        <w:rPr>
          <w:rFonts w:asciiTheme="majorHAnsi" w:hAnsiTheme="majorHAnsi"/>
          <w:noProof/>
          <w:sz w:val="20"/>
          <w:szCs w:val="20"/>
          <w:lang w:val="es-ES_tradnl"/>
        </w:rPr>
        <w:t xml:space="preserve"> </w:t>
      </w:r>
      <w:r w:rsidR="0099165D" w:rsidRPr="002865A7">
        <w:rPr>
          <w:rFonts w:asciiTheme="majorHAnsi" w:hAnsiTheme="majorHAnsi"/>
          <w:noProof/>
          <w:sz w:val="20"/>
          <w:szCs w:val="20"/>
          <w:lang w:val="es-ES_tradnl"/>
        </w:rPr>
        <w:t>Nicolás Rodríguez Redondo y acompañantes</w:t>
      </w:r>
      <w:r w:rsidR="00F86287" w:rsidRPr="002865A7">
        <w:rPr>
          <w:rFonts w:asciiTheme="majorHAnsi" w:hAnsiTheme="majorHAnsi"/>
          <w:noProof/>
          <w:sz w:val="20"/>
          <w:szCs w:val="20"/>
          <w:lang w:val="es-ES_tradnl"/>
        </w:rPr>
        <w:t xml:space="preserve"> en la que se ordenó inspección de cadáver </w:t>
      </w:r>
      <w:r w:rsidR="00971CB5" w:rsidRPr="002865A7">
        <w:rPr>
          <w:rFonts w:asciiTheme="majorHAnsi" w:hAnsiTheme="majorHAnsi"/>
          <w:noProof/>
          <w:sz w:val="20"/>
          <w:szCs w:val="20"/>
          <w:lang w:val="es-ES_tradnl"/>
        </w:rPr>
        <w:t>de</w:t>
      </w:r>
      <w:r w:rsidR="00F86287" w:rsidRPr="002865A7">
        <w:rPr>
          <w:rFonts w:asciiTheme="majorHAnsi" w:hAnsiTheme="majorHAnsi"/>
          <w:noProof/>
          <w:sz w:val="20"/>
          <w:szCs w:val="20"/>
          <w:lang w:val="es-ES_tradnl"/>
        </w:rPr>
        <w:t xml:space="preserve"> las víctimas</w:t>
      </w:r>
      <w:r w:rsidR="00971CB5" w:rsidRPr="002865A7">
        <w:rPr>
          <w:rFonts w:asciiTheme="majorHAnsi" w:hAnsiTheme="majorHAnsi"/>
          <w:noProof/>
          <w:sz w:val="20"/>
          <w:szCs w:val="20"/>
          <w:lang w:val="es-ES_tradnl"/>
        </w:rPr>
        <w:t>;</w:t>
      </w:r>
      <w:r w:rsidR="00F86287" w:rsidRPr="002865A7">
        <w:rPr>
          <w:rFonts w:asciiTheme="majorHAnsi" w:hAnsiTheme="majorHAnsi"/>
          <w:noProof/>
          <w:sz w:val="20"/>
          <w:szCs w:val="20"/>
          <w:lang w:val="es-ES_tradnl"/>
        </w:rPr>
        <w:t xml:space="preserve"> inscripción de cadáver a las víctimas</w:t>
      </w:r>
      <w:r w:rsidR="00971CB5" w:rsidRPr="002865A7">
        <w:rPr>
          <w:rFonts w:asciiTheme="majorHAnsi" w:hAnsiTheme="majorHAnsi"/>
          <w:noProof/>
          <w:sz w:val="20"/>
          <w:szCs w:val="20"/>
          <w:lang w:val="es-ES_tradnl"/>
        </w:rPr>
        <w:t>;</w:t>
      </w:r>
      <w:r w:rsidR="00F86287" w:rsidRPr="002865A7">
        <w:rPr>
          <w:rFonts w:asciiTheme="majorHAnsi" w:hAnsiTheme="majorHAnsi"/>
          <w:noProof/>
          <w:sz w:val="20"/>
          <w:szCs w:val="20"/>
          <w:lang w:val="es-ES_tradnl"/>
        </w:rPr>
        <w:t xml:space="preserve"> inscripción del registro de defunción ante la Registraduría Municipal del Estado Civil de Valledupar</w:t>
      </w:r>
      <w:r w:rsidR="00971CB5" w:rsidRPr="002865A7">
        <w:rPr>
          <w:rFonts w:asciiTheme="majorHAnsi" w:hAnsiTheme="majorHAnsi"/>
          <w:noProof/>
          <w:sz w:val="20"/>
          <w:szCs w:val="20"/>
          <w:lang w:val="es-ES_tradnl"/>
        </w:rPr>
        <w:t>;</w:t>
      </w:r>
      <w:r w:rsidR="00F86287" w:rsidRPr="002865A7">
        <w:rPr>
          <w:rFonts w:asciiTheme="majorHAnsi" w:hAnsiTheme="majorHAnsi"/>
          <w:noProof/>
          <w:sz w:val="20"/>
          <w:szCs w:val="20"/>
          <w:lang w:val="es-ES_tradnl"/>
        </w:rPr>
        <w:t xml:space="preserve"> y una misión de trabajo a la Unidad de la Policía Judicial Sijin</w:t>
      </w:r>
      <w:r w:rsidR="00211029" w:rsidRPr="002865A7">
        <w:rPr>
          <w:rFonts w:asciiTheme="majorHAnsi" w:hAnsiTheme="majorHAnsi"/>
          <w:noProof/>
          <w:sz w:val="20"/>
          <w:szCs w:val="20"/>
          <w:lang w:val="es-ES_tradnl"/>
        </w:rPr>
        <w:t>-Deces</w:t>
      </w:r>
      <w:r w:rsidR="00F86287" w:rsidRPr="002865A7">
        <w:rPr>
          <w:rFonts w:asciiTheme="majorHAnsi" w:hAnsiTheme="majorHAnsi"/>
          <w:noProof/>
          <w:sz w:val="20"/>
          <w:szCs w:val="20"/>
          <w:lang w:val="es-ES_tradnl"/>
        </w:rPr>
        <w:t>.</w:t>
      </w:r>
      <w:r w:rsidR="00211029" w:rsidRPr="002865A7">
        <w:rPr>
          <w:rFonts w:asciiTheme="majorHAnsi" w:hAnsiTheme="majorHAnsi"/>
          <w:noProof/>
          <w:sz w:val="20"/>
          <w:szCs w:val="20"/>
          <w:lang w:val="es-ES_tradnl"/>
        </w:rPr>
        <w:t xml:space="preserve"> </w:t>
      </w:r>
      <w:r w:rsidR="00AA1E36" w:rsidRPr="002865A7">
        <w:rPr>
          <w:rFonts w:asciiTheme="majorHAnsi" w:hAnsiTheme="majorHAnsi"/>
          <w:noProof/>
          <w:sz w:val="20"/>
          <w:szCs w:val="20"/>
          <w:lang w:val="es-ES_tradnl"/>
        </w:rPr>
        <w:t>Por su parte, l</w:t>
      </w:r>
      <w:r w:rsidR="00975A50" w:rsidRPr="002865A7">
        <w:rPr>
          <w:rFonts w:asciiTheme="majorHAnsi" w:hAnsiTheme="majorHAnsi"/>
          <w:noProof/>
          <w:sz w:val="20"/>
          <w:szCs w:val="20"/>
          <w:lang w:val="es-ES_tradnl"/>
        </w:rPr>
        <w:t xml:space="preserve">a Fiscalía Seccional </w:t>
      </w:r>
      <w:r w:rsidR="00AA1E36" w:rsidRPr="002865A7">
        <w:rPr>
          <w:rFonts w:asciiTheme="majorHAnsi" w:hAnsiTheme="majorHAnsi"/>
          <w:noProof/>
          <w:sz w:val="20"/>
          <w:szCs w:val="20"/>
          <w:lang w:val="es-ES_tradnl"/>
        </w:rPr>
        <w:t xml:space="preserve">escuchó </w:t>
      </w:r>
      <w:r w:rsidR="00211029" w:rsidRPr="002865A7">
        <w:rPr>
          <w:rFonts w:asciiTheme="majorHAnsi" w:hAnsiTheme="majorHAnsi"/>
          <w:noProof/>
          <w:sz w:val="20"/>
          <w:szCs w:val="20"/>
          <w:lang w:val="es-ES_tradnl"/>
        </w:rPr>
        <w:t>las declaraciones juradas de testigos que se presentaron voluntariamente a rendir declaración</w:t>
      </w:r>
      <w:r w:rsidR="00AA1E36" w:rsidRPr="002865A7">
        <w:rPr>
          <w:rFonts w:asciiTheme="majorHAnsi" w:hAnsiTheme="majorHAnsi"/>
          <w:noProof/>
          <w:sz w:val="20"/>
          <w:szCs w:val="20"/>
          <w:lang w:val="es-ES_tradnl"/>
        </w:rPr>
        <w:t xml:space="preserve"> y se ordenó otra misión de trabajo a la Unidad Investigativa del Cuerpo Técnico de Investigación (</w:t>
      </w:r>
      <w:r w:rsidR="00B46C11" w:rsidRPr="002865A7">
        <w:rPr>
          <w:rFonts w:asciiTheme="majorHAnsi" w:hAnsiTheme="majorHAnsi"/>
          <w:noProof/>
          <w:sz w:val="20"/>
          <w:szCs w:val="20"/>
          <w:lang w:val="es-ES_tradnl"/>
        </w:rPr>
        <w:t xml:space="preserve">CTI). Añade que el 22 de junio de 2004 </w:t>
      </w:r>
      <w:r w:rsidR="008A1F71" w:rsidRPr="002865A7">
        <w:rPr>
          <w:rFonts w:asciiTheme="majorHAnsi" w:hAnsiTheme="majorHAnsi"/>
          <w:noProof/>
          <w:sz w:val="20"/>
          <w:szCs w:val="20"/>
          <w:lang w:val="es-ES_tradnl"/>
        </w:rPr>
        <w:t xml:space="preserve">la FGN le reiteró a la la Unidad Investigativa del CTI que enviara los resultados de la investigación y decidió suspender la investigación </w:t>
      </w:r>
      <w:r w:rsidR="002E5C0A" w:rsidRPr="002865A7">
        <w:rPr>
          <w:rFonts w:asciiTheme="majorHAnsi" w:hAnsiTheme="majorHAnsi"/>
          <w:noProof/>
          <w:sz w:val="20"/>
          <w:szCs w:val="20"/>
          <w:lang w:val="es-ES_tradnl"/>
        </w:rPr>
        <w:t>por la falta de resultados significativos en las misiones de trabajo</w:t>
      </w:r>
      <w:r w:rsidR="00903716" w:rsidRPr="002865A7">
        <w:rPr>
          <w:rFonts w:asciiTheme="majorHAnsi" w:hAnsiTheme="majorHAnsi"/>
          <w:noProof/>
          <w:sz w:val="20"/>
          <w:szCs w:val="20"/>
          <w:lang w:val="es-ES_tradnl"/>
        </w:rPr>
        <w:t>,</w:t>
      </w:r>
      <w:r w:rsidR="002E5C0A" w:rsidRPr="002865A7">
        <w:rPr>
          <w:rFonts w:asciiTheme="majorHAnsi" w:hAnsiTheme="majorHAnsi"/>
          <w:noProof/>
          <w:sz w:val="20"/>
          <w:szCs w:val="20"/>
          <w:lang w:val="es-ES_tradnl"/>
        </w:rPr>
        <w:t xml:space="preserve"> y ante la imposibilidad de identificar a los autores o partícipes del delito</w:t>
      </w:r>
      <w:r w:rsidR="00903716" w:rsidRPr="002865A7">
        <w:rPr>
          <w:rFonts w:asciiTheme="majorHAnsi" w:hAnsiTheme="majorHAnsi"/>
          <w:noProof/>
          <w:sz w:val="20"/>
          <w:szCs w:val="20"/>
          <w:lang w:val="es-ES_tradnl"/>
        </w:rPr>
        <w:t>,</w:t>
      </w:r>
      <w:r w:rsidR="002E5C0A" w:rsidRPr="002865A7">
        <w:rPr>
          <w:rFonts w:asciiTheme="majorHAnsi" w:hAnsiTheme="majorHAnsi"/>
          <w:noProof/>
          <w:sz w:val="20"/>
          <w:szCs w:val="20"/>
          <w:lang w:val="es-ES_tradnl"/>
        </w:rPr>
        <w:t xml:space="preserve"> y concluyó que se estaba ante un hec</w:t>
      </w:r>
      <w:r w:rsidR="00DC2A73" w:rsidRPr="002865A7">
        <w:rPr>
          <w:rFonts w:asciiTheme="majorHAnsi" w:hAnsiTheme="majorHAnsi"/>
          <w:noProof/>
          <w:sz w:val="20"/>
          <w:szCs w:val="20"/>
          <w:lang w:val="es-ES_tradnl"/>
        </w:rPr>
        <w:t>h</w:t>
      </w:r>
      <w:r w:rsidR="002E5C0A" w:rsidRPr="002865A7">
        <w:rPr>
          <w:rFonts w:asciiTheme="majorHAnsi" w:hAnsiTheme="majorHAnsi"/>
          <w:noProof/>
          <w:sz w:val="20"/>
          <w:szCs w:val="20"/>
          <w:lang w:val="es-ES_tradnl"/>
        </w:rPr>
        <w:t xml:space="preserve">o de homicidio múltiple por lo que </w:t>
      </w:r>
      <w:r w:rsidR="00662158" w:rsidRPr="002865A7">
        <w:rPr>
          <w:rFonts w:asciiTheme="majorHAnsi" w:hAnsiTheme="majorHAnsi"/>
          <w:noProof/>
          <w:sz w:val="20"/>
          <w:szCs w:val="20"/>
          <w:lang w:val="es-ES_tradnl"/>
        </w:rPr>
        <w:t xml:space="preserve">la investigación y documentación se tornaron complejas. </w:t>
      </w:r>
      <w:r w:rsidR="00B4718A" w:rsidRPr="002865A7">
        <w:rPr>
          <w:rFonts w:asciiTheme="majorHAnsi" w:hAnsiTheme="majorHAnsi"/>
          <w:noProof/>
          <w:sz w:val="20"/>
          <w:szCs w:val="20"/>
          <w:lang w:val="es-ES_tradnl"/>
        </w:rPr>
        <w:t>As</w:t>
      </w:r>
      <w:r w:rsidR="00971CB5" w:rsidRPr="002865A7">
        <w:rPr>
          <w:rFonts w:asciiTheme="majorHAnsi" w:hAnsiTheme="majorHAnsi"/>
          <w:noProof/>
          <w:sz w:val="20"/>
          <w:szCs w:val="20"/>
          <w:lang w:val="es-ES_tradnl"/>
        </w:rPr>
        <w:t>i</w:t>
      </w:r>
      <w:r w:rsidR="00B4718A" w:rsidRPr="002865A7">
        <w:rPr>
          <w:rFonts w:asciiTheme="majorHAnsi" w:hAnsiTheme="majorHAnsi"/>
          <w:noProof/>
          <w:sz w:val="20"/>
          <w:szCs w:val="20"/>
          <w:lang w:val="es-ES_tradnl"/>
        </w:rPr>
        <w:t>mismo,</w:t>
      </w:r>
      <w:r w:rsidR="00971CB5" w:rsidRPr="002865A7">
        <w:rPr>
          <w:rFonts w:asciiTheme="majorHAnsi" w:hAnsiTheme="majorHAnsi"/>
          <w:noProof/>
          <w:sz w:val="20"/>
          <w:szCs w:val="20"/>
          <w:lang w:val="es-ES_tradnl"/>
        </w:rPr>
        <w:t xml:space="preserve"> Colombia</w:t>
      </w:r>
      <w:r w:rsidR="00B4718A" w:rsidRPr="002865A7">
        <w:rPr>
          <w:rFonts w:asciiTheme="majorHAnsi" w:hAnsiTheme="majorHAnsi"/>
          <w:noProof/>
          <w:sz w:val="20"/>
          <w:szCs w:val="20"/>
          <w:lang w:val="es-ES_tradnl"/>
        </w:rPr>
        <w:t xml:space="preserve"> destaca que el </w:t>
      </w:r>
      <w:r w:rsidR="00953F30" w:rsidRPr="002865A7">
        <w:rPr>
          <w:rFonts w:asciiTheme="majorHAnsi" w:hAnsiTheme="majorHAnsi"/>
          <w:noProof/>
          <w:sz w:val="20"/>
          <w:szCs w:val="20"/>
          <w:lang w:val="es-ES_tradnl"/>
        </w:rPr>
        <w:t xml:space="preserve">22 de abril de 2021 la Fiscalía 46 Delegada ante el Tribunal Justicia y Paz </w:t>
      </w:r>
      <w:r w:rsidR="00B4718A" w:rsidRPr="002865A7">
        <w:rPr>
          <w:rFonts w:asciiTheme="majorHAnsi" w:hAnsiTheme="majorHAnsi"/>
          <w:noProof/>
          <w:sz w:val="20"/>
          <w:szCs w:val="20"/>
          <w:lang w:val="es-ES_tradnl"/>
        </w:rPr>
        <w:t xml:space="preserve">habría informado que </w:t>
      </w:r>
      <w:r w:rsidR="00953F30" w:rsidRPr="002865A7">
        <w:rPr>
          <w:rFonts w:asciiTheme="majorHAnsi" w:hAnsiTheme="majorHAnsi"/>
          <w:noProof/>
          <w:sz w:val="20"/>
          <w:szCs w:val="20"/>
          <w:lang w:val="es-ES_tradnl"/>
        </w:rPr>
        <w:t xml:space="preserve">los hechos objeto </w:t>
      </w:r>
      <w:r w:rsidR="00CA7B40" w:rsidRPr="002865A7">
        <w:rPr>
          <w:rFonts w:asciiTheme="majorHAnsi" w:hAnsiTheme="majorHAnsi"/>
          <w:noProof/>
          <w:sz w:val="20"/>
          <w:szCs w:val="20"/>
          <w:lang w:val="es-ES_tradnl"/>
        </w:rPr>
        <w:t xml:space="preserve">del asunto </w:t>
      </w:r>
      <w:r w:rsidR="00CA7B40" w:rsidRPr="002865A7">
        <w:rPr>
          <w:rFonts w:asciiTheme="majorHAnsi" w:hAnsiTheme="majorHAnsi"/>
          <w:i/>
          <w:iCs/>
          <w:noProof/>
          <w:sz w:val="20"/>
          <w:szCs w:val="20"/>
          <w:lang w:val="es-ES_tradnl"/>
        </w:rPr>
        <w:t>sub examine</w:t>
      </w:r>
      <w:r w:rsidR="00CA7B40" w:rsidRPr="002865A7">
        <w:rPr>
          <w:rFonts w:asciiTheme="majorHAnsi" w:hAnsiTheme="majorHAnsi"/>
          <w:noProof/>
          <w:sz w:val="20"/>
          <w:szCs w:val="20"/>
          <w:lang w:val="es-ES_tradnl"/>
        </w:rPr>
        <w:t xml:space="preserve"> </w:t>
      </w:r>
      <w:r w:rsidR="00BE0069" w:rsidRPr="002865A7">
        <w:rPr>
          <w:rFonts w:asciiTheme="majorHAnsi" w:hAnsiTheme="majorHAnsi"/>
          <w:noProof/>
          <w:sz w:val="20"/>
          <w:szCs w:val="20"/>
          <w:lang w:val="es-ES_tradnl"/>
        </w:rPr>
        <w:t xml:space="preserve">se encuentran documentados, versionados y aceptados por el postulado Leonardo Enrique Sánchez Barbosa </w:t>
      </w:r>
      <w:r w:rsidR="00FF01A9" w:rsidRPr="002865A7">
        <w:rPr>
          <w:rFonts w:asciiTheme="majorHAnsi" w:hAnsiTheme="majorHAnsi"/>
          <w:noProof/>
          <w:sz w:val="20"/>
          <w:szCs w:val="20"/>
          <w:lang w:val="es-ES_tradnl"/>
        </w:rPr>
        <w:t xml:space="preserve">en </w:t>
      </w:r>
      <w:r w:rsidR="00B4718A" w:rsidRPr="002865A7">
        <w:rPr>
          <w:rFonts w:asciiTheme="majorHAnsi" w:hAnsiTheme="majorHAnsi"/>
          <w:noProof/>
          <w:sz w:val="20"/>
          <w:szCs w:val="20"/>
          <w:lang w:val="es-ES_tradnl"/>
        </w:rPr>
        <w:t xml:space="preserve">la </w:t>
      </w:r>
      <w:r w:rsidR="00FF01A9" w:rsidRPr="002865A7">
        <w:rPr>
          <w:rFonts w:asciiTheme="majorHAnsi" w:hAnsiTheme="majorHAnsi"/>
          <w:noProof/>
          <w:sz w:val="20"/>
          <w:szCs w:val="20"/>
          <w:lang w:val="es-ES_tradnl"/>
        </w:rPr>
        <w:t>diligencia realizada el 1 y 12 de noviembre de 2020</w:t>
      </w:r>
      <w:r w:rsidR="00B4718A" w:rsidRPr="002865A7">
        <w:rPr>
          <w:rFonts w:asciiTheme="majorHAnsi" w:hAnsiTheme="majorHAnsi"/>
          <w:noProof/>
          <w:sz w:val="20"/>
          <w:szCs w:val="20"/>
          <w:lang w:val="es-ES_tradnl"/>
        </w:rPr>
        <w:t xml:space="preserve">, y por lo tanto </w:t>
      </w:r>
      <w:r w:rsidR="00DB1FE5" w:rsidRPr="002865A7">
        <w:rPr>
          <w:rFonts w:asciiTheme="majorHAnsi" w:hAnsiTheme="majorHAnsi"/>
          <w:noProof/>
          <w:sz w:val="20"/>
          <w:szCs w:val="20"/>
          <w:lang w:val="es-ES_tradnl"/>
        </w:rPr>
        <w:t xml:space="preserve">en concordancia con la Ley 975 de 2005 y normas complementarias, </w:t>
      </w:r>
      <w:r w:rsidR="00B4718A" w:rsidRPr="002865A7">
        <w:rPr>
          <w:rFonts w:asciiTheme="majorHAnsi" w:hAnsiTheme="majorHAnsi"/>
          <w:noProof/>
          <w:sz w:val="20"/>
          <w:szCs w:val="20"/>
          <w:lang w:val="es-ES_tradnl"/>
        </w:rPr>
        <w:t xml:space="preserve">la </w:t>
      </w:r>
      <w:r w:rsidR="00FF01A9" w:rsidRPr="002865A7">
        <w:rPr>
          <w:rFonts w:asciiTheme="majorHAnsi" w:hAnsiTheme="majorHAnsi"/>
          <w:noProof/>
          <w:sz w:val="20"/>
          <w:szCs w:val="20"/>
          <w:lang w:val="es-ES_tradnl"/>
        </w:rPr>
        <w:t>Sala de Justicia y Paz con Funciones de Control de Garantías del Tribunal Superior del Distrito Judicial de Barranq</w:t>
      </w:r>
      <w:r w:rsidR="00DC2A73" w:rsidRPr="002865A7">
        <w:rPr>
          <w:rFonts w:asciiTheme="majorHAnsi" w:hAnsiTheme="majorHAnsi"/>
          <w:noProof/>
          <w:sz w:val="20"/>
          <w:szCs w:val="20"/>
          <w:lang w:val="es-ES_tradnl"/>
        </w:rPr>
        <w:t>u</w:t>
      </w:r>
      <w:r w:rsidR="00FF01A9" w:rsidRPr="002865A7">
        <w:rPr>
          <w:rFonts w:asciiTheme="majorHAnsi" w:hAnsiTheme="majorHAnsi"/>
          <w:noProof/>
          <w:sz w:val="20"/>
          <w:szCs w:val="20"/>
          <w:lang w:val="es-ES_tradnl"/>
        </w:rPr>
        <w:t xml:space="preserve">illa </w:t>
      </w:r>
      <w:r w:rsidR="00C9433B" w:rsidRPr="002865A7">
        <w:rPr>
          <w:rFonts w:asciiTheme="majorHAnsi" w:hAnsiTheme="majorHAnsi"/>
          <w:noProof/>
          <w:sz w:val="20"/>
          <w:szCs w:val="20"/>
          <w:lang w:val="es-ES_tradnl"/>
        </w:rPr>
        <w:t xml:space="preserve">fijó </w:t>
      </w:r>
      <w:r w:rsidR="00DB1FE5" w:rsidRPr="002865A7">
        <w:rPr>
          <w:rFonts w:asciiTheme="majorHAnsi" w:hAnsiTheme="majorHAnsi"/>
          <w:noProof/>
          <w:sz w:val="20"/>
          <w:szCs w:val="20"/>
          <w:lang w:val="es-ES_tradnl"/>
        </w:rPr>
        <w:t xml:space="preserve">el 9 de marzo de 2021 </w:t>
      </w:r>
      <w:r w:rsidR="00C9433B" w:rsidRPr="002865A7">
        <w:rPr>
          <w:rFonts w:asciiTheme="majorHAnsi" w:hAnsiTheme="majorHAnsi"/>
          <w:noProof/>
          <w:sz w:val="20"/>
          <w:szCs w:val="20"/>
          <w:lang w:val="es-ES_tradnl"/>
        </w:rPr>
        <w:t>como fecha para la audiencia de imputación</w:t>
      </w:r>
      <w:r w:rsidR="00DB1FE5" w:rsidRPr="002865A7">
        <w:rPr>
          <w:rFonts w:asciiTheme="majorHAnsi" w:hAnsiTheme="majorHAnsi"/>
          <w:noProof/>
          <w:sz w:val="20"/>
          <w:szCs w:val="20"/>
          <w:lang w:val="es-ES_tradnl"/>
        </w:rPr>
        <w:t>,</w:t>
      </w:r>
      <w:r w:rsidR="00C9433B" w:rsidRPr="002865A7">
        <w:rPr>
          <w:rFonts w:asciiTheme="majorHAnsi" w:hAnsiTheme="majorHAnsi"/>
          <w:noProof/>
          <w:sz w:val="20"/>
          <w:szCs w:val="20"/>
          <w:lang w:val="es-ES_tradnl"/>
        </w:rPr>
        <w:t xml:space="preserve"> a los postulados Leonardo Sánchez Barbosa y Salvatore Mancuso.</w:t>
      </w:r>
    </w:p>
    <w:p w14:paraId="07DE4757" w14:textId="4E4842DA" w:rsidR="00071633" w:rsidRPr="002865A7" w:rsidRDefault="00C9433B" w:rsidP="002D3B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ES_tradnl"/>
        </w:rPr>
      </w:pPr>
      <w:r w:rsidRPr="002865A7">
        <w:rPr>
          <w:rFonts w:asciiTheme="majorHAnsi" w:hAnsiTheme="majorHAnsi"/>
          <w:noProof/>
          <w:sz w:val="20"/>
          <w:szCs w:val="20"/>
          <w:lang w:val="es-ES_tradnl"/>
        </w:rPr>
        <w:t xml:space="preserve"> </w:t>
      </w:r>
      <w:r w:rsidR="001C1413" w:rsidRPr="002865A7">
        <w:rPr>
          <w:rFonts w:asciiTheme="majorHAnsi" w:hAnsiTheme="majorHAnsi"/>
          <w:noProof/>
          <w:sz w:val="20"/>
          <w:szCs w:val="20"/>
          <w:lang w:val="es-ES_tradnl"/>
        </w:rPr>
        <w:t>4</w:t>
      </w:r>
      <w:r w:rsidR="00071633" w:rsidRPr="002865A7">
        <w:rPr>
          <w:rFonts w:asciiTheme="majorHAnsi" w:hAnsiTheme="majorHAnsi"/>
          <w:noProof/>
          <w:sz w:val="20"/>
          <w:szCs w:val="20"/>
          <w:lang w:val="es-ES_tradnl"/>
        </w:rPr>
        <w:t>.</w:t>
      </w:r>
      <w:r w:rsidR="00071633" w:rsidRPr="002865A7">
        <w:rPr>
          <w:rFonts w:asciiTheme="majorHAnsi" w:hAnsiTheme="majorHAnsi"/>
          <w:noProof/>
          <w:sz w:val="20"/>
          <w:szCs w:val="20"/>
          <w:lang w:val="es-ES_tradnl"/>
        </w:rPr>
        <w:tab/>
      </w:r>
      <w:r w:rsidRPr="002865A7">
        <w:rPr>
          <w:rFonts w:asciiTheme="majorHAnsi" w:hAnsiTheme="majorHAnsi"/>
          <w:noProof/>
          <w:sz w:val="20"/>
          <w:szCs w:val="20"/>
          <w:lang w:val="es-ES_tradnl"/>
        </w:rPr>
        <w:t>Destaca en relación con la reparación administrativa</w:t>
      </w:r>
      <w:r w:rsidR="00071633" w:rsidRPr="002865A7">
        <w:rPr>
          <w:rFonts w:asciiTheme="majorHAnsi" w:hAnsiTheme="majorHAnsi"/>
          <w:noProof/>
          <w:sz w:val="20"/>
          <w:szCs w:val="20"/>
          <w:lang w:val="es-ES_tradnl"/>
        </w:rPr>
        <w:t xml:space="preserve">, </w:t>
      </w:r>
      <w:r w:rsidR="00683F9D" w:rsidRPr="002865A7">
        <w:rPr>
          <w:rFonts w:asciiTheme="majorHAnsi" w:hAnsiTheme="majorHAnsi"/>
          <w:noProof/>
          <w:sz w:val="20"/>
          <w:szCs w:val="20"/>
          <w:lang w:val="es-ES_tradnl"/>
        </w:rPr>
        <w:t xml:space="preserve">que </w:t>
      </w:r>
      <w:r w:rsidR="00A00039" w:rsidRPr="002865A7">
        <w:rPr>
          <w:rFonts w:asciiTheme="majorHAnsi" w:hAnsiTheme="majorHAnsi"/>
          <w:noProof/>
          <w:sz w:val="20"/>
          <w:szCs w:val="20"/>
          <w:lang w:val="es-ES_tradnl"/>
        </w:rPr>
        <w:t>en el marco de la Ley 975 de 2005 las víctimas pueden participar en el incidente de reparación integral</w:t>
      </w:r>
      <w:r w:rsidR="003F21C4" w:rsidRPr="002865A7">
        <w:rPr>
          <w:rFonts w:asciiTheme="majorHAnsi" w:hAnsiTheme="majorHAnsi"/>
          <w:noProof/>
          <w:sz w:val="20"/>
          <w:szCs w:val="20"/>
          <w:lang w:val="es-ES_tradnl"/>
        </w:rPr>
        <w:t>,</w:t>
      </w:r>
      <w:r w:rsidR="00A00039" w:rsidRPr="002865A7">
        <w:rPr>
          <w:rFonts w:asciiTheme="majorHAnsi" w:hAnsiTheme="majorHAnsi"/>
          <w:noProof/>
          <w:sz w:val="20"/>
          <w:szCs w:val="20"/>
          <w:lang w:val="es-ES_tradnl"/>
        </w:rPr>
        <w:t xml:space="preserve"> </w:t>
      </w:r>
      <w:r w:rsidR="003F21C4" w:rsidRPr="002865A7">
        <w:rPr>
          <w:rFonts w:asciiTheme="majorHAnsi" w:hAnsiTheme="majorHAnsi"/>
          <w:noProof/>
          <w:sz w:val="20"/>
          <w:szCs w:val="20"/>
          <w:lang w:val="es-ES_tradnl"/>
        </w:rPr>
        <w:t xml:space="preserve">y </w:t>
      </w:r>
      <w:r w:rsidR="00071633" w:rsidRPr="002865A7">
        <w:rPr>
          <w:rFonts w:asciiTheme="majorHAnsi" w:hAnsiTheme="majorHAnsi"/>
          <w:noProof/>
          <w:sz w:val="20"/>
          <w:szCs w:val="20"/>
          <w:lang w:val="es-ES_tradnl"/>
        </w:rPr>
        <w:t xml:space="preserve">podrán solicitar las estimaciones en relación con los perjucios y daños causados para que estos sean determinados </w:t>
      </w:r>
      <w:r w:rsidR="006159C6" w:rsidRPr="002865A7">
        <w:rPr>
          <w:rFonts w:asciiTheme="majorHAnsi" w:hAnsiTheme="majorHAnsi"/>
          <w:noProof/>
          <w:sz w:val="20"/>
          <w:szCs w:val="20"/>
          <w:lang w:val="es-ES_tradnl"/>
        </w:rPr>
        <w:t>en sentencia.</w:t>
      </w:r>
      <w:r w:rsidR="00036F5A" w:rsidRPr="002865A7">
        <w:rPr>
          <w:rFonts w:asciiTheme="majorHAnsi" w:hAnsiTheme="majorHAnsi"/>
          <w:noProof/>
          <w:sz w:val="20"/>
          <w:szCs w:val="20"/>
          <w:lang w:val="es-ES_tradnl"/>
        </w:rPr>
        <w:t xml:space="preserve"> </w:t>
      </w:r>
      <w:r w:rsidR="00965DC2" w:rsidRPr="002865A7">
        <w:rPr>
          <w:rFonts w:asciiTheme="majorHAnsi" w:hAnsiTheme="majorHAnsi"/>
          <w:noProof/>
          <w:sz w:val="20"/>
          <w:szCs w:val="20"/>
          <w:lang w:val="es-ES_tradnl"/>
        </w:rPr>
        <w:t>En suma</w:t>
      </w:r>
      <w:r w:rsidR="003F21C4" w:rsidRPr="002865A7">
        <w:rPr>
          <w:rFonts w:asciiTheme="majorHAnsi" w:hAnsiTheme="majorHAnsi"/>
          <w:noProof/>
          <w:sz w:val="20"/>
          <w:szCs w:val="20"/>
          <w:lang w:val="es-ES_tradnl"/>
        </w:rPr>
        <w:t>,</w:t>
      </w:r>
      <w:r w:rsidR="00965DC2" w:rsidRPr="002865A7">
        <w:rPr>
          <w:rFonts w:asciiTheme="majorHAnsi" w:hAnsiTheme="majorHAnsi"/>
          <w:noProof/>
          <w:sz w:val="20"/>
          <w:szCs w:val="20"/>
          <w:lang w:val="es-ES_tradnl"/>
        </w:rPr>
        <w:t xml:space="preserve"> indica que las víctimas pueden acceder y adelantar </w:t>
      </w:r>
      <w:r w:rsidR="009D410B" w:rsidRPr="002865A7">
        <w:rPr>
          <w:rFonts w:asciiTheme="majorHAnsi" w:hAnsiTheme="majorHAnsi"/>
          <w:noProof/>
          <w:sz w:val="20"/>
          <w:szCs w:val="20"/>
          <w:lang w:val="es-ES_tradnl"/>
        </w:rPr>
        <w:t xml:space="preserve">los procedimientos </w:t>
      </w:r>
      <w:r w:rsidR="00965DC2" w:rsidRPr="002865A7">
        <w:rPr>
          <w:rFonts w:asciiTheme="majorHAnsi" w:hAnsiTheme="majorHAnsi"/>
          <w:noProof/>
          <w:sz w:val="20"/>
          <w:szCs w:val="20"/>
          <w:lang w:val="es-ES_tradnl"/>
        </w:rPr>
        <w:t xml:space="preserve">ante la la Unidad para la Atención y Reparación Integral a las Víctimas para obtener </w:t>
      </w:r>
      <w:r w:rsidR="009D410B" w:rsidRPr="002865A7">
        <w:rPr>
          <w:rFonts w:asciiTheme="majorHAnsi" w:hAnsiTheme="majorHAnsi"/>
          <w:noProof/>
          <w:sz w:val="20"/>
          <w:szCs w:val="20"/>
          <w:lang w:val="es-ES_tradnl"/>
        </w:rPr>
        <w:t xml:space="preserve">la </w:t>
      </w:r>
      <w:r w:rsidR="00965DC2" w:rsidRPr="002865A7">
        <w:rPr>
          <w:rFonts w:asciiTheme="majorHAnsi" w:hAnsiTheme="majorHAnsi"/>
          <w:noProof/>
          <w:sz w:val="20"/>
          <w:szCs w:val="20"/>
          <w:lang w:val="es-ES_tradnl"/>
        </w:rPr>
        <w:t>reparación por vía administrativa</w:t>
      </w:r>
      <w:r w:rsidR="009D410B" w:rsidRPr="002865A7">
        <w:rPr>
          <w:rFonts w:asciiTheme="majorHAnsi" w:hAnsiTheme="majorHAnsi"/>
          <w:noProof/>
          <w:sz w:val="20"/>
          <w:szCs w:val="20"/>
          <w:lang w:val="es-ES_tradnl"/>
        </w:rPr>
        <w:t xml:space="preserve"> y ser incluidos en el Registro Único de Víctimas. Una vez inscritas las víctimas</w:t>
      </w:r>
      <w:r w:rsidR="00085F5C" w:rsidRPr="002865A7">
        <w:rPr>
          <w:rFonts w:asciiTheme="majorHAnsi" w:hAnsiTheme="majorHAnsi"/>
          <w:noProof/>
          <w:sz w:val="20"/>
          <w:szCs w:val="20"/>
          <w:lang w:val="es-ES_tradnl"/>
        </w:rPr>
        <w:t>, estas</w:t>
      </w:r>
      <w:r w:rsidR="009D410B" w:rsidRPr="002865A7">
        <w:rPr>
          <w:rFonts w:asciiTheme="majorHAnsi" w:hAnsiTheme="majorHAnsi"/>
          <w:noProof/>
          <w:sz w:val="20"/>
          <w:szCs w:val="20"/>
          <w:lang w:val="es-ES_tradnl"/>
        </w:rPr>
        <w:t xml:space="preserve"> puede</w:t>
      </w:r>
      <w:r w:rsidR="003F21C4" w:rsidRPr="002865A7">
        <w:rPr>
          <w:rFonts w:asciiTheme="majorHAnsi" w:hAnsiTheme="majorHAnsi"/>
          <w:noProof/>
          <w:sz w:val="20"/>
          <w:szCs w:val="20"/>
          <w:lang w:val="es-ES_tradnl"/>
        </w:rPr>
        <w:t>n</w:t>
      </w:r>
      <w:r w:rsidR="009D410B" w:rsidRPr="002865A7">
        <w:rPr>
          <w:rFonts w:asciiTheme="majorHAnsi" w:hAnsiTheme="majorHAnsi"/>
          <w:noProof/>
          <w:sz w:val="20"/>
          <w:szCs w:val="20"/>
          <w:lang w:val="es-ES_tradnl"/>
        </w:rPr>
        <w:t xml:space="preserve"> acceder a las medidas contempladas en la Ley 1448 de 2011 que son la son restitución, indemnización, rehabilitación y garantías de no repetición. </w:t>
      </w:r>
      <w:r w:rsidR="00C9486F" w:rsidRPr="002865A7">
        <w:rPr>
          <w:rFonts w:asciiTheme="majorHAnsi" w:hAnsiTheme="majorHAnsi"/>
          <w:noProof/>
          <w:sz w:val="20"/>
          <w:szCs w:val="20"/>
          <w:lang w:val="es-ES_tradnl"/>
        </w:rPr>
        <w:t>El Estado indica que el peticionario y los familaires del Sr. Rodríguez Redondo fueron incluidos en el Registro Único de Víctimas, este programa del Estado tiene una naturaleza especial y extraordiaria, donde no se verifica la responsabildad del Estado en los hechos.</w:t>
      </w:r>
    </w:p>
    <w:p w14:paraId="3B509B66" w14:textId="09D3265C" w:rsidR="00680EC4" w:rsidRPr="002865A7" w:rsidRDefault="001C1413" w:rsidP="007E29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ES_tradnl"/>
        </w:rPr>
      </w:pPr>
      <w:r w:rsidRPr="002865A7">
        <w:rPr>
          <w:rFonts w:asciiTheme="majorHAnsi" w:hAnsiTheme="majorHAnsi"/>
          <w:noProof/>
          <w:sz w:val="20"/>
          <w:szCs w:val="20"/>
          <w:lang w:val="es-ES_tradnl"/>
        </w:rPr>
        <w:t>5</w:t>
      </w:r>
      <w:r w:rsidR="00C666AC" w:rsidRPr="002865A7">
        <w:rPr>
          <w:rFonts w:asciiTheme="majorHAnsi" w:hAnsiTheme="majorHAnsi"/>
          <w:noProof/>
          <w:sz w:val="20"/>
          <w:szCs w:val="20"/>
          <w:lang w:val="es-ES_tradnl"/>
        </w:rPr>
        <w:t>.</w:t>
      </w:r>
      <w:r w:rsidR="00C666AC" w:rsidRPr="002865A7">
        <w:rPr>
          <w:rFonts w:asciiTheme="majorHAnsi" w:hAnsiTheme="majorHAnsi"/>
          <w:noProof/>
          <w:sz w:val="20"/>
          <w:szCs w:val="20"/>
          <w:lang w:val="es-ES_tradnl"/>
        </w:rPr>
        <w:tab/>
      </w:r>
      <w:r w:rsidR="00D5109E" w:rsidRPr="002865A7">
        <w:rPr>
          <w:rFonts w:asciiTheme="majorHAnsi" w:hAnsiTheme="majorHAnsi"/>
          <w:noProof/>
          <w:sz w:val="20"/>
          <w:szCs w:val="20"/>
          <w:lang w:val="es-ES_tradnl"/>
        </w:rPr>
        <w:t xml:space="preserve">Alega </w:t>
      </w:r>
      <w:r w:rsidR="00C666AC" w:rsidRPr="002865A7">
        <w:rPr>
          <w:rFonts w:asciiTheme="majorHAnsi" w:hAnsiTheme="majorHAnsi"/>
          <w:noProof/>
          <w:sz w:val="20"/>
          <w:szCs w:val="20"/>
          <w:lang w:val="es-ES_tradnl"/>
        </w:rPr>
        <w:t xml:space="preserve">que la petición es inadmisible </w:t>
      </w:r>
      <w:r w:rsidR="00D5109E" w:rsidRPr="002865A7">
        <w:rPr>
          <w:rFonts w:asciiTheme="majorHAnsi" w:hAnsiTheme="majorHAnsi"/>
          <w:noProof/>
          <w:sz w:val="20"/>
          <w:szCs w:val="20"/>
          <w:lang w:val="es-ES_tradnl"/>
        </w:rPr>
        <w:t>por dos razones</w:t>
      </w:r>
      <w:r w:rsidR="00C666AC" w:rsidRPr="002865A7">
        <w:rPr>
          <w:rFonts w:asciiTheme="majorHAnsi" w:hAnsiTheme="majorHAnsi"/>
          <w:noProof/>
          <w:sz w:val="20"/>
          <w:szCs w:val="20"/>
          <w:lang w:val="es-ES_tradnl"/>
        </w:rPr>
        <w:t>: i</w:t>
      </w:r>
      <w:r w:rsidR="002C12A5" w:rsidRPr="002865A7">
        <w:rPr>
          <w:rFonts w:asciiTheme="majorHAnsi" w:hAnsiTheme="majorHAnsi"/>
          <w:noProof/>
          <w:sz w:val="20"/>
          <w:szCs w:val="20"/>
          <w:lang w:val="es-ES_tradnl"/>
        </w:rPr>
        <w:t xml:space="preserve">) </w:t>
      </w:r>
      <w:r w:rsidR="00897ADF" w:rsidRPr="002865A7">
        <w:rPr>
          <w:rFonts w:asciiTheme="majorHAnsi" w:hAnsiTheme="majorHAnsi"/>
          <w:noProof/>
          <w:sz w:val="20"/>
          <w:szCs w:val="20"/>
          <w:lang w:val="es-ES_tradnl"/>
        </w:rPr>
        <w:t>es manifiestamente infundada conforme a</w:t>
      </w:r>
      <w:r w:rsidR="002C12A5" w:rsidRPr="002865A7">
        <w:rPr>
          <w:rFonts w:asciiTheme="majorHAnsi" w:hAnsiTheme="majorHAnsi"/>
          <w:noProof/>
          <w:sz w:val="20"/>
          <w:szCs w:val="20"/>
          <w:lang w:val="es-ES_tradnl"/>
        </w:rPr>
        <w:t>l artículo 47.</w:t>
      </w:r>
      <w:r w:rsidR="00897ADF" w:rsidRPr="002865A7">
        <w:rPr>
          <w:rFonts w:asciiTheme="majorHAnsi" w:hAnsiTheme="majorHAnsi"/>
          <w:noProof/>
          <w:sz w:val="20"/>
          <w:szCs w:val="20"/>
          <w:lang w:val="es-ES_tradnl"/>
        </w:rPr>
        <w:t xml:space="preserve">c) de la Convención; y ii) </w:t>
      </w:r>
      <w:r w:rsidR="00D5109E" w:rsidRPr="002865A7">
        <w:rPr>
          <w:rFonts w:asciiTheme="majorHAnsi" w:hAnsiTheme="majorHAnsi"/>
          <w:noProof/>
          <w:sz w:val="20"/>
          <w:szCs w:val="20"/>
          <w:lang w:val="es-ES_tradnl"/>
        </w:rPr>
        <w:t xml:space="preserve">porque </w:t>
      </w:r>
      <w:r w:rsidR="00897ADF" w:rsidRPr="002865A7">
        <w:rPr>
          <w:rFonts w:asciiTheme="majorHAnsi" w:hAnsiTheme="majorHAnsi"/>
          <w:noProof/>
          <w:sz w:val="20"/>
          <w:szCs w:val="20"/>
          <w:lang w:val="es-ES_tradnl"/>
        </w:rPr>
        <w:t xml:space="preserve">no se agotaron los recursos internos. </w:t>
      </w:r>
      <w:r w:rsidR="00EC4F1B" w:rsidRPr="002865A7">
        <w:rPr>
          <w:rFonts w:asciiTheme="majorHAnsi" w:hAnsiTheme="majorHAnsi"/>
          <w:noProof/>
          <w:sz w:val="20"/>
          <w:szCs w:val="20"/>
          <w:lang w:val="es-ES_tradnl"/>
        </w:rPr>
        <w:t xml:space="preserve"> </w:t>
      </w:r>
      <w:r w:rsidR="007871D7" w:rsidRPr="002865A7">
        <w:rPr>
          <w:rFonts w:asciiTheme="majorHAnsi" w:hAnsiTheme="majorHAnsi"/>
          <w:noProof/>
          <w:sz w:val="20"/>
          <w:szCs w:val="20"/>
          <w:lang w:val="es-ES_tradnl"/>
        </w:rPr>
        <w:t xml:space="preserve">En primer lugar, </w:t>
      </w:r>
      <w:r w:rsidR="00EC4F1B" w:rsidRPr="002865A7">
        <w:rPr>
          <w:rFonts w:asciiTheme="majorHAnsi" w:hAnsiTheme="majorHAnsi"/>
          <w:noProof/>
          <w:sz w:val="20"/>
          <w:szCs w:val="20"/>
          <w:lang w:val="es-ES_tradnl"/>
        </w:rPr>
        <w:t xml:space="preserve">sostiene que frente a las alegaciones sobre </w:t>
      </w:r>
      <w:r w:rsidR="0000244F" w:rsidRPr="002865A7">
        <w:rPr>
          <w:rFonts w:asciiTheme="majorHAnsi" w:hAnsiTheme="majorHAnsi"/>
          <w:noProof/>
          <w:sz w:val="20"/>
          <w:szCs w:val="20"/>
          <w:lang w:val="es-ES_tradnl"/>
        </w:rPr>
        <w:t>la supuesta negligencia del Estado por no prestar seguridad a la ciudadanía en general</w:t>
      </w:r>
      <w:r w:rsidR="007871D7" w:rsidRPr="002865A7">
        <w:rPr>
          <w:rFonts w:asciiTheme="majorHAnsi" w:hAnsiTheme="majorHAnsi"/>
          <w:noProof/>
          <w:sz w:val="20"/>
          <w:szCs w:val="20"/>
          <w:lang w:val="es-ES_tradnl"/>
        </w:rPr>
        <w:t>,</w:t>
      </w:r>
      <w:r w:rsidR="0000244F" w:rsidRPr="002865A7">
        <w:rPr>
          <w:rFonts w:asciiTheme="majorHAnsi" w:hAnsiTheme="majorHAnsi"/>
          <w:noProof/>
          <w:sz w:val="20"/>
          <w:szCs w:val="20"/>
          <w:lang w:val="es-ES_tradnl"/>
        </w:rPr>
        <w:t xml:space="preserve"> </w:t>
      </w:r>
      <w:r w:rsidR="00D536C8" w:rsidRPr="002865A7">
        <w:rPr>
          <w:rFonts w:asciiTheme="majorHAnsi" w:hAnsiTheme="majorHAnsi"/>
          <w:noProof/>
          <w:sz w:val="20"/>
          <w:szCs w:val="20"/>
          <w:lang w:val="es-ES_tradnl"/>
        </w:rPr>
        <w:t xml:space="preserve">no hay prueba en el expediente que acredite de manera sumaria </w:t>
      </w:r>
      <w:r w:rsidR="000E53DC" w:rsidRPr="002865A7">
        <w:rPr>
          <w:rFonts w:asciiTheme="majorHAnsi" w:hAnsiTheme="majorHAnsi"/>
          <w:noProof/>
          <w:sz w:val="20"/>
          <w:szCs w:val="20"/>
          <w:lang w:val="es-ES_tradnl"/>
        </w:rPr>
        <w:t xml:space="preserve">la atribución al Estado del homicidio de la presunta víctima. </w:t>
      </w:r>
      <w:r w:rsidR="007871D7" w:rsidRPr="002865A7">
        <w:rPr>
          <w:rFonts w:asciiTheme="majorHAnsi" w:hAnsiTheme="majorHAnsi"/>
          <w:noProof/>
          <w:sz w:val="20"/>
          <w:szCs w:val="20"/>
          <w:lang w:val="es-ES_tradnl"/>
        </w:rPr>
        <w:t xml:space="preserve">Indica que </w:t>
      </w:r>
      <w:r w:rsidR="003F21C4" w:rsidRPr="002865A7">
        <w:rPr>
          <w:rFonts w:asciiTheme="majorHAnsi" w:hAnsiTheme="majorHAnsi"/>
          <w:noProof/>
          <w:sz w:val="20"/>
          <w:szCs w:val="20"/>
          <w:lang w:val="es-ES_tradnl"/>
        </w:rPr>
        <w:t>l</w:t>
      </w:r>
      <w:r w:rsidR="007871D7" w:rsidRPr="002865A7">
        <w:rPr>
          <w:rFonts w:asciiTheme="majorHAnsi" w:hAnsiTheme="majorHAnsi"/>
          <w:noProof/>
          <w:sz w:val="20"/>
          <w:szCs w:val="20"/>
          <w:lang w:val="es-ES_tradnl"/>
        </w:rPr>
        <w:t xml:space="preserve">a conducta </w:t>
      </w:r>
      <w:r w:rsidR="00504B96" w:rsidRPr="002865A7">
        <w:rPr>
          <w:rFonts w:asciiTheme="majorHAnsi" w:hAnsiTheme="majorHAnsi"/>
          <w:noProof/>
          <w:sz w:val="20"/>
          <w:szCs w:val="20"/>
          <w:lang w:val="es-ES_tradnl"/>
        </w:rPr>
        <w:t xml:space="preserve">es atribuible a un Estado si: a) fue llevada a cabo por alguno de sus órganos o de sus agentes; b) fue realizada por un particular que actuó con su aquiescencia; o </w:t>
      </w:r>
      <w:r w:rsidR="00C719BB" w:rsidRPr="002865A7">
        <w:rPr>
          <w:rFonts w:asciiTheme="majorHAnsi" w:hAnsiTheme="majorHAnsi"/>
          <w:noProof/>
          <w:sz w:val="20"/>
          <w:szCs w:val="20"/>
          <w:lang w:val="es-ES_tradnl"/>
        </w:rPr>
        <w:t xml:space="preserve">c) el Estado incurrió en una falta de diligencia para prevenir el acto de un particular. </w:t>
      </w:r>
      <w:r w:rsidR="009D45FF" w:rsidRPr="002865A7">
        <w:rPr>
          <w:rFonts w:asciiTheme="majorHAnsi" w:hAnsiTheme="majorHAnsi"/>
          <w:noProof/>
          <w:sz w:val="20"/>
          <w:szCs w:val="20"/>
          <w:lang w:val="es-ES_tradnl"/>
        </w:rPr>
        <w:t xml:space="preserve">Concluye que el </w:t>
      </w:r>
      <w:r w:rsidR="00EB456B" w:rsidRPr="002865A7">
        <w:rPr>
          <w:rFonts w:asciiTheme="majorHAnsi" w:hAnsiTheme="majorHAnsi"/>
          <w:noProof/>
          <w:sz w:val="20"/>
          <w:szCs w:val="20"/>
          <w:lang w:val="es-ES_tradnl"/>
        </w:rPr>
        <w:t xml:space="preserve">presente </w:t>
      </w:r>
      <w:r w:rsidR="009D45FF" w:rsidRPr="002865A7">
        <w:rPr>
          <w:rFonts w:asciiTheme="majorHAnsi" w:hAnsiTheme="majorHAnsi"/>
          <w:noProof/>
          <w:sz w:val="20"/>
          <w:szCs w:val="20"/>
          <w:lang w:val="es-ES_tradnl"/>
        </w:rPr>
        <w:t>caso</w:t>
      </w:r>
      <w:r w:rsidR="00EB456B" w:rsidRPr="002865A7">
        <w:rPr>
          <w:rFonts w:asciiTheme="majorHAnsi" w:hAnsiTheme="majorHAnsi"/>
          <w:noProof/>
          <w:sz w:val="20"/>
          <w:szCs w:val="20"/>
          <w:lang w:val="es-ES_tradnl"/>
        </w:rPr>
        <w:t xml:space="preserve"> </w:t>
      </w:r>
      <w:r w:rsidR="009D45FF" w:rsidRPr="002865A7">
        <w:rPr>
          <w:rFonts w:asciiTheme="majorHAnsi" w:hAnsiTheme="majorHAnsi"/>
          <w:noProof/>
          <w:sz w:val="20"/>
          <w:szCs w:val="20"/>
          <w:lang w:val="es-ES_tradnl"/>
        </w:rPr>
        <w:t>no se enmarca en ninguna de las tres hipótesis en cuestión</w:t>
      </w:r>
      <w:r w:rsidR="00EB456B" w:rsidRPr="002865A7">
        <w:rPr>
          <w:rFonts w:asciiTheme="majorHAnsi" w:hAnsiTheme="majorHAnsi"/>
          <w:noProof/>
          <w:sz w:val="20"/>
          <w:szCs w:val="20"/>
          <w:lang w:val="es-ES_tradnl"/>
        </w:rPr>
        <w:t>,</w:t>
      </w:r>
      <w:r w:rsidR="009D45FF" w:rsidRPr="002865A7">
        <w:rPr>
          <w:rFonts w:asciiTheme="majorHAnsi" w:hAnsiTheme="majorHAnsi"/>
          <w:noProof/>
          <w:sz w:val="20"/>
          <w:szCs w:val="20"/>
          <w:lang w:val="es-ES_tradnl"/>
        </w:rPr>
        <w:t xml:space="preserve"> por lo tanto</w:t>
      </w:r>
      <w:r w:rsidR="004A2DC3" w:rsidRPr="002865A7">
        <w:rPr>
          <w:rFonts w:asciiTheme="majorHAnsi" w:hAnsiTheme="majorHAnsi"/>
          <w:noProof/>
          <w:sz w:val="20"/>
          <w:szCs w:val="20"/>
          <w:lang w:val="es-ES_tradnl"/>
        </w:rPr>
        <w:t>,</w:t>
      </w:r>
      <w:r w:rsidR="009D45FF" w:rsidRPr="002865A7">
        <w:rPr>
          <w:rFonts w:asciiTheme="majorHAnsi" w:hAnsiTheme="majorHAnsi"/>
          <w:noProof/>
          <w:sz w:val="20"/>
          <w:szCs w:val="20"/>
          <w:lang w:val="es-ES_tradnl"/>
        </w:rPr>
        <w:t xml:space="preserve"> las alegaciones por las que se pretende atribuir responsabilidad al Estado por dichos hec</w:t>
      </w:r>
      <w:r w:rsidR="00F76056" w:rsidRPr="002865A7">
        <w:rPr>
          <w:rFonts w:asciiTheme="majorHAnsi" w:hAnsiTheme="majorHAnsi"/>
          <w:noProof/>
          <w:sz w:val="20"/>
          <w:szCs w:val="20"/>
          <w:lang w:val="es-ES_tradnl"/>
        </w:rPr>
        <w:t>h</w:t>
      </w:r>
      <w:r w:rsidR="009D45FF" w:rsidRPr="002865A7">
        <w:rPr>
          <w:rFonts w:asciiTheme="majorHAnsi" w:hAnsiTheme="majorHAnsi"/>
          <w:noProof/>
          <w:sz w:val="20"/>
          <w:szCs w:val="20"/>
          <w:lang w:val="es-ES_tradnl"/>
        </w:rPr>
        <w:t xml:space="preserve">os </w:t>
      </w:r>
      <w:r w:rsidR="00D0268C" w:rsidRPr="002865A7">
        <w:rPr>
          <w:rFonts w:asciiTheme="majorHAnsi" w:hAnsiTheme="majorHAnsi"/>
          <w:noProof/>
          <w:sz w:val="20"/>
          <w:szCs w:val="20"/>
          <w:lang w:val="es-ES_tradnl"/>
        </w:rPr>
        <w:t>resultan manifiestamente infundad</w:t>
      </w:r>
      <w:r w:rsidR="00415041" w:rsidRPr="002865A7">
        <w:rPr>
          <w:rFonts w:asciiTheme="majorHAnsi" w:hAnsiTheme="majorHAnsi"/>
          <w:noProof/>
          <w:sz w:val="20"/>
          <w:szCs w:val="20"/>
          <w:lang w:val="es-ES_tradnl"/>
        </w:rPr>
        <w:t>a</w:t>
      </w:r>
      <w:r w:rsidR="00D0268C" w:rsidRPr="002865A7">
        <w:rPr>
          <w:rFonts w:asciiTheme="majorHAnsi" w:hAnsiTheme="majorHAnsi"/>
          <w:noProof/>
          <w:sz w:val="20"/>
          <w:szCs w:val="20"/>
          <w:lang w:val="es-ES_tradnl"/>
        </w:rPr>
        <w:t>s</w:t>
      </w:r>
      <w:r w:rsidR="00F76056" w:rsidRPr="002865A7">
        <w:rPr>
          <w:rFonts w:asciiTheme="majorHAnsi" w:hAnsiTheme="majorHAnsi"/>
          <w:noProof/>
          <w:sz w:val="20"/>
          <w:szCs w:val="20"/>
          <w:lang w:val="es-ES_tradnl"/>
        </w:rPr>
        <w:t xml:space="preserve"> de conformidad con el artículo 47.c) de la Convención.</w:t>
      </w:r>
      <w:r w:rsidR="007E297A" w:rsidRPr="002865A7">
        <w:rPr>
          <w:rFonts w:asciiTheme="majorHAnsi" w:hAnsiTheme="majorHAnsi"/>
          <w:noProof/>
          <w:sz w:val="20"/>
          <w:szCs w:val="20"/>
          <w:lang w:val="es-ES_tradnl"/>
        </w:rPr>
        <w:t xml:space="preserve"> </w:t>
      </w:r>
    </w:p>
    <w:p w14:paraId="2C17B12B" w14:textId="7781C179" w:rsidR="000E53DC" w:rsidRPr="002865A7" w:rsidRDefault="001C1413" w:rsidP="000735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ES_tradnl"/>
        </w:rPr>
      </w:pPr>
      <w:r w:rsidRPr="002865A7">
        <w:rPr>
          <w:rFonts w:asciiTheme="majorHAnsi" w:hAnsiTheme="majorHAnsi"/>
          <w:noProof/>
          <w:sz w:val="20"/>
          <w:szCs w:val="20"/>
          <w:lang w:val="es-ES_tradnl"/>
        </w:rPr>
        <w:t>6</w:t>
      </w:r>
      <w:r w:rsidR="00126FF0" w:rsidRPr="002865A7">
        <w:rPr>
          <w:rFonts w:asciiTheme="majorHAnsi" w:hAnsiTheme="majorHAnsi"/>
          <w:noProof/>
          <w:sz w:val="20"/>
          <w:szCs w:val="20"/>
          <w:lang w:val="es-ES_tradnl"/>
        </w:rPr>
        <w:t>.</w:t>
      </w:r>
      <w:r w:rsidR="00126FF0" w:rsidRPr="002865A7">
        <w:rPr>
          <w:rFonts w:asciiTheme="majorHAnsi" w:hAnsiTheme="majorHAnsi"/>
          <w:noProof/>
          <w:sz w:val="20"/>
          <w:szCs w:val="20"/>
          <w:lang w:val="es-ES_tradnl"/>
        </w:rPr>
        <w:tab/>
      </w:r>
      <w:r w:rsidR="00085F5C" w:rsidRPr="002865A7">
        <w:rPr>
          <w:rFonts w:asciiTheme="majorHAnsi" w:hAnsiTheme="majorHAnsi"/>
          <w:noProof/>
          <w:sz w:val="20"/>
          <w:szCs w:val="20"/>
          <w:lang w:val="es-ES_tradnl"/>
        </w:rPr>
        <w:t xml:space="preserve">Colombia argumenta además que </w:t>
      </w:r>
      <w:r w:rsidR="000B36EF" w:rsidRPr="002865A7">
        <w:rPr>
          <w:rFonts w:asciiTheme="majorHAnsi" w:hAnsiTheme="majorHAnsi"/>
          <w:noProof/>
          <w:sz w:val="20"/>
          <w:szCs w:val="20"/>
          <w:lang w:val="es-ES_tradnl"/>
        </w:rPr>
        <w:t>el peticionario no acudió a la jurisdicción contencioso administrativa para hacer efectiva la acción de reparación directa que constituye uno de los principales elementos de la reparación integral en la Constitución Politica colombiana.</w:t>
      </w:r>
      <w:r w:rsidR="004B7E31" w:rsidRPr="002865A7">
        <w:rPr>
          <w:rFonts w:asciiTheme="majorHAnsi" w:hAnsiTheme="majorHAnsi"/>
          <w:noProof/>
          <w:sz w:val="20"/>
          <w:szCs w:val="20"/>
          <w:lang w:val="es-ES_tradnl"/>
        </w:rPr>
        <w:t xml:space="preserve"> Alega que el petionario (hermano de la presunta víctima) no </w:t>
      </w:r>
      <w:r w:rsidR="00E24D27" w:rsidRPr="002865A7">
        <w:rPr>
          <w:rFonts w:asciiTheme="majorHAnsi" w:hAnsiTheme="majorHAnsi"/>
          <w:noProof/>
          <w:sz w:val="20"/>
          <w:szCs w:val="20"/>
          <w:lang w:val="es-ES_tradnl"/>
        </w:rPr>
        <w:t xml:space="preserve">alegó su condición de víctima razón por la cual no se configura ninguna de las causales establecidad en el artículo 46.2 de la Convención. </w:t>
      </w:r>
      <w:r w:rsidR="00085F5C" w:rsidRPr="002865A7">
        <w:rPr>
          <w:rFonts w:asciiTheme="majorHAnsi" w:hAnsiTheme="majorHAnsi"/>
          <w:noProof/>
          <w:sz w:val="20"/>
          <w:szCs w:val="20"/>
          <w:lang w:val="es-ES_tradnl"/>
        </w:rPr>
        <w:t xml:space="preserve">Con relación a la investigación penal, </w:t>
      </w:r>
      <w:r w:rsidR="00E24D27" w:rsidRPr="002865A7">
        <w:rPr>
          <w:rFonts w:asciiTheme="majorHAnsi" w:hAnsiTheme="majorHAnsi"/>
          <w:noProof/>
          <w:sz w:val="20"/>
          <w:szCs w:val="20"/>
          <w:lang w:val="es-ES_tradnl"/>
        </w:rPr>
        <w:t xml:space="preserve">señala que </w:t>
      </w:r>
      <w:r w:rsidR="00DF2E53" w:rsidRPr="002865A7">
        <w:rPr>
          <w:rFonts w:asciiTheme="majorHAnsi" w:hAnsiTheme="majorHAnsi"/>
          <w:noProof/>
          <w:sz w:val="20"/>
          <w:szCs w:val="20"/>
          <w:lang w:val="es-ES_tradnl"/>
        </w:rPr>
        <w:t xml:space="preserve">aunque </w:t>
      </w:r>
      <w:r w:rsidR="00A30F29" w:rsidRPr="002865A7">
        <w:rPr>
          <w:rFonts w:asciiTheme="majorHAnsi" w:hAnsiTheme="majorHAnsi"/>
          <w:noProof/>
          <w:sz w:val="20"/>
          <w:szCs w:val="20"/>
          <w:lang w:val="es-ES_tradnl"/>
        </w:rPr>
        <w:t xml:space="preserve">en el marco de la investigación penal no se han sancionado a los responsables, la </w:t>
      </w:r>
      <w:r w:rsidR="00E24D27" w:rsidRPr="002865A7">
        <w:rPr>
          <w:rFonts w:asciiTheme="majorHAnsi" w:hAnsiTheme="majorHAnsi"/>
          <w:noProof/>
          <w:sz w:val="20"/>
          <w:szCs w:val="20"/>
          <w:lang w:val="es-ES_tradnl"/>
        </w:rPr>
        <w:t xml:space="preserve">FGN </w:t>
      </w:r>
      <w:r w:rsidR="00A30F29" w:rsidRPr="002865A7">
        <w:rPr>
          <w:rFonts w:asciiTheme="majorHAnsi" w:hAnsiTheme="majorHAnsi"/>
          <w:noProof/>
          <w:sz w:val="20"/>
          <w:szCs w:val="20"/>
          <w:lang w:val="es-ES_tradnl"/>
        </w:rPr>
        <w:t>ha actuado</w:t>
      </w:r>
      <w:r w:rsidR="007B276D" w:rsidRPr="002865A7">
        <w:rPr>
          <w:rFonts w:asciiTheme="majorHAnsi" w:hAnsiTheme="majorHAnsi"/>
          <w:noProof/>
          <w:sz w:val="20"/>
          <w:szCs w:val="20"/>
          <w:lang w:val="es-ES_tradnl"/>
        </w:rPr>
        <w:t xml:space="preserve"> de manera diligente</w:t>
      </w:r>
      <w:r w:rsidR="005056BF" w:rsidRPr="002865A7">
        <w:rPr>
          <w:rFonts w:asciiTheme="majorHAnsi" w:hAnsiTheme="majorHAnsi"/>
          <w:noProof/>
          <w:sz w:val="20"/>
          <w:szCs w:val="20"/>
          <w:lang w:val="es-ES_tradnl"/>
        </w:rPr>
        <w:t xml:space="preserve">, y </w:t>
      </w:r>
      <w:r w:rsidR="007B276D" w:rsidRPr="002865A7">
        <w:rPr>
          <w:rFonts w:asciiTheme="majorHAnsi" w:hAnsiTheme="majorHAnsi"/>
          <w:noProof/>
          <w:sz w:val="20"/>
          <w:szCs w:val="20"/>
          <w:lang w:val="es-ES_tradnl"/>
        </w:rPr>
        <w:t>las dificultades en la sanción de los responsables obedecen a factores externos y ajenos a</w:t>
      </w:r>
      <w:r w:rsidR="005F546B" w:rsidRPr="002865A7">
        <w:rPr>
          <w:rFonts w:asciiTheme="majorHAnsi" w:hAnsiTheme="majorHAnsi"/>
          <w:noProof/>
          <w:sz w:val="20"/>
          <w:szCs w:val="20"/>
          <w:lang w:val="es-ES_tradnl"/>
        </w:rPr>
        <w:t xml:space="preserve"> é</w:t>
      </w:r>
      <w:r w:rsidR="009B09E5" w:rsidRPr="002865A7">
        <w:rPr>
          <w:rFonts w:asciiTheme="majorHAnsi" w:hAnsiTheme="majorHAnsi"/>
          <w:noProof/>
          <w:sz w:val="20"/>
          <w:szCs w:val="20"/>
          <w:lang w:val="es-ES_tradnl"/>
        </w:rPr>
        <w:t>sta</w:t>
      </w:r>
      <w:r w:rsidR="005056BF" w:rsidRPr="002865A7">
        <w:rPr>
          <w:rFonts w:asciiTheme="majorHAnsi" w:hAnsiTheme="majorHAnsi"/>
          <w:noProof/>
          <w:sz w:val="20"/>
          <w:szCs w:val="20"/>
          <w:lang w:val="es-ES_tradnl"/>
        </w:rPr>
        <w:t xml:space="preserve">. Aduce </w:t>
      </w:r>
      <w:r w:rsidR="009B09E5" w:rsidRPr="002865A7">
        <w:rPr>
          <w:rFonts w:asciiTheme="majorHAnsi" w:hAnsiTheme="majorHAnsi"/>
          <w:noProof/>
          <w:sz w:val="20"/>
          <w:szCs w:val="20"/>
          <w:lang w:val="es-ES_tradnl"/>
        </w:rPr>
        <w:t xml:space="preserve">que el presente asunto es complejo porque: i) </w:t>
      </w:r>
      <w:r w:rsidR="005056BF" w:rsidRPr="002865A7">
        <w:rPr>
          <w:rFonts w:asciiTheme="majorHAnsi" w:hAnsiTheme="majorHAnsi"/>
          <w:noProof/>
          <w:sz w:val="20"/>
          <w:szCs w:val="20"/>
          <w:lang w:val="es-ES_tradnl"/>
        </w:rPr>
        <w:t xml:space="preserve">es </w:t>
      </w:r>
      <w:r w:rsidR="009B09E5" w:rsidRPr="002865A7">
        <w:rPr>
          <w:rFonts w:asciiTheme="majorHAnsi" w:hAnsiTheme="majorHAnsi"/>
          <w:noProof/>
          <w:sz w:val="20"/>
          <w:szCs w:val="20"/>
          <w:lang w:val="es-ES_tradnl"/>
        </w:rPr>
        <w:t xml:space="preserve">un homicidio múltiple; y ii) las investigaciones y </w:t>
      </w:r>
      <w:r w:rsidR="009B09E5" w:rsidRPr="002865A7">
        <w:rPr>
          <w:rFonts w:asciiTheme="majorHAnsi" w:hAnsiTheme="majorHAnsi"/>
          <w:noProof/>
          <w:sz w:val="20"/>
          <w:szCs w:val="20"/>
          <w:lang w:val="es-ES_tradnl"/>
        </w:rPr>
        <w:lastRenderedPageBreak/>
        <w:t xml:space="preserve">decisiones adoptadas en </w:t>
      </w:r>
      <w:r w:rsidR="002C1920" w:rsidRPr="002865A7">
        <w:rPr>
          <w:rFonts w:asciiTheme="majorHAnsi" w:hAnsiTheme="majorHAnsi"/>
          <w:noProof/>
          <w:sz w:val="20"/>
          <w:szCs w:val="20"/>
          <w:lang w:val="es-ES_tradnl"/>
        </w:rPr>
        <w:t xml:space="preserve">la jurisdicción </w:t>
      </w:r>
      <w:r w:rsidR="009B09E5" w:rsidRPr="002865A7">
        <w:rPr>
          <w:rFonts w:asciiTheme="majorHAnsi" w:hAnsiTheme="majorHAnsi"/>
          <w:noProof/>
          <w:sz w:val="20"/>
          <w:szCs w:val="20"/>
          <w:lang w:val="es-ES_tradnl"/>
        </w:rPr>
        <w:t xml:space="preserve">de Justicia y Paz </w:t>
      </w:r>
      <w:r w:rsidR="002C1920" w:rsidRPr="002865A7">
        <w:rPr>
          <w:rFonts w:asciiTheme="majorHAnsi" w:hAnsiTheme="majorHAnsi"/>
          <w:noProof/>
          <w:sz w:val="20"/>
          <w:szCs w:val="20"/>
          <w:lang w:val="es-ES_tradnl"/>
        </w:rPr>
        <w:t xml:space="preserve">tienen como objetivo </w:t>
      </w:r>
      <w:r w:rsidR="009B09E5" w:rsidRPr="002865A7">
        <w:rPr>
          <w:rFonts w:asciiTheme="majorHAnsi" w:hAnsiTheme="majorHAnsi"/>
          <w:noProof/>
          <w:sz w:val="20"/>
          <w:szCs w:val="20"/>
          <w:lang w:val="es-ES_tradnl"/>
        </w:rPr>
        <w:t>investigar, juzgar y sancionar a los responsables de violaciones de derechos humanos que tuvieron lugar en macrocontextos.</w:t>
      </w:r>
      <w:r w:rsidR="00C93359" w:rsidRPr="002865A7">
        <w:rPr>
          <w:rFonts w:asciiTheme="majorHAnsi" w:hAnsiTheme="majorHAnsi"/>
          <w:noProof/>
          <w:sz w:val="20"/>
          <w:szCs w:val="20"/>
          <w:lang w:val="es-ES_tradnl"/>
        </w:rPr>
        <w:t xml:space="preserve"> </w:t>
      </w:r>
      <w:r w:rsidR="00C93BEA" w:rsidRPr="002865A7">
        <w:rPr>
          <w:rFonts w:asciiTheme="majorHAnsi" w:hAnsiTheme="majorHAnsi"/>
          <w:noProof/>
          <w:sz w:val="20"/>
          <w:szCs w:val="20"/>
          <w:lang w:val="es-ES_tradnl"/>
        </w:rPr>
        <w:t xml:space="preserve">Por lo </w:t>
      </w:r>
      <w:r w:rsidR="005F546B" w:rsidRPr="002865A7">
        <w:rPr>
          <w:rFonts w:asciiTheme="majorHAnsi" w:hAnsiTheme="majorHAnsi"/>
          <w:noProof/>
          <w:sz w:val="20"/>
          <w:szCs w:val="20"/>
          <w:lang w:val="es-ES_tradnl"/>
        </w:rPr>
        <w:t>tanto,</w:t>
      </w:r>
      <w:r w:rsidR="00C93BEA" w:rsidRPr="002865A7">
        <w:rPr>
          <w:rFonts w:asciiTheme="majorHAnsi" w:hAnsiTheme="majorHAnsi"/>
          <w:noProof/>
          <w:sz w:val="20"/>
          <w:szCs w:val="20"/>
          <w:lang w:val="es-ES_tradnl"/>
        </w:rPr>
        <w:t xml:space="preserve"> la inve</w:t>
      </w:r>
      <w:r w:rsidR="002C1920" w:rsidRPr="002865A7">
        <w:rPr>
          <w:rFonts w:asciiTheme="majorHAnsi" w:hAnsiTheme="majorHAnsi"/>
          <w:noProof/>
          <w:sz w:val="20"/>
          <w:szCs w:val="20"/>
          <w:lang w:val="es-ES_tradnl"/>
        </w:rPr>
        <w:t>s</w:t>
      </w:r>
      <w:r w:rsidR="00C93BEA" w:rsidRPr="002865A7">
        <w:rPr>
          <w:rFonts w:asciiTheme="majorHAnsi" w:hAnsiTheme="majorHAnsi"/>
          <w:noProof/>
          <w:sz w:val="20"/>
          <w:szCs w:val="20"/>
          <w:lang w:val="es-ES_tradnl"/>
        </w:rPr>
        <w:t xml:space="preserve">tigación, </w:t>
      </w:r>
      <w:r w:rsidR="005F546B" w:rsidRPr="002865A7">
        <w:rPr>
          <w:rFonts w:asciiTheme="majorHAnsi" w:hAnsiTheme="majorHAnsi"/>
          <w:noProof/>
          <w:sz w:val="20"/>
          <w:szCs w:val="20"/>
          <w:lang w:val="es-ES_tradnl"/>
        </w:rPr>
        <w:t xml:space="preserve">el </w:t>
      </w:r>
      <w:r w:rsidR="00C93BEA" w:rsidRPr="002865A7">
        <w:rPr>
          <w:rFonts w:asciiTheme="majorHAnsi" w:hAnsiTheme="majorHAnsi"/>
          <w:noProof/>
          <w:sz w:val="20"/>
          <w:szCs w:val="20"/>
          <w:lang w:val="es-ES_tradnl"/>
        </w:rPr>
        <w:t xml:space="preserve">juzgamiento y </w:t>
      </w:r>
      <w:r w:rsidR="005F546B" w:rsidRPr="002865A7">
        <w:rPr>
          <w:rFonts w:asciiTheme="majorHAnsi" w:hAnsiTheme="majorHAnsi"/>
          <w:noProof/>
          <w:sz w:val="20"/>
          <w:szCs w:val="20"/>
          <w:lang w:val="es-ES_tradnl"/>
        </w:rPr>
        <w:t xml:space="preserve">la </w:t>
      </w:r>
      <w:r w:rsidR="00C93BEA" w:rsidRPr="002865A7">
        <w:rPr>
          <w:rFonts w:asciiTheme="majorHAnsi" w:hAnsiTheme="majorHAnsi"/>
          <w:noProof/>
          <w:sz w:val="20"/>
          <w:szCs w:val="20"/>
          <w:lang w:val="es-ES_tradnl"/>
        </w:rPr>
        <w:t>sanción se refiere</w:t>
      </w:r>
      <w:r w:rsidR="005F546B" w:rsidRPr="002865A7">
        <w:rPr>
          <w:rFonts w:asciiTheme="majorHAnsi" w:hAnsiTheme="majorHAnsi"/>
          <w:noProof/>
          <w:sz w:val="20"/>
          <w:szCs w:val="20"/>
          <w:lang w:val="es-ES_tradnl"/>
        </w:rPr>
        <w:t>n</w:t>
      </w:r>
      <w:r w:rsidR="00C93BEA" w:rsidRPr="002865A7">
        <w:rPr>
          <w:rFonts w:asciiTheme="majorHAnsi" w:hAnsiTheme="majorHAnsi"/>
          <w:noProof/>
          <w:sz w:val="20"/>
          <w:szCs w:val="20"/>
          <w:lang w:val="es-ES_tradnl"/>
        </w:rPr>
        <w:t xml:space="preserve"> a todos los hechos cometidos durante un per</w:t>
      </w:r>
      <w:r w:rsidR="00C93359" w:rsidRPr="002865A7">
        <w:rPr>
          <w:rFonts w:asciiTheme="majorHAnsi" w:hAnsiTheme="majorHAnsi"/>
          <w:noProof/>
          <w:sz w:val="20"/>
          <w:szCs w:val="20"/>
          <w:lang w:val="es-ES_tradnl"/>
        </w:rPr>
        <w:t>í</w:t>
      </w:r>
      <w:r w:rsidR="00C93BEA" w:rsidRPr="002865A7">
        <w:rPr>
          <w:rFonts w:asciiTheme="majorHAnsi" w:hAnsiTheme="majorHAnsi"/>
          <w:noProof/>
          <w:sz w:val="20"/>
          <w:szCs w:val="20"/>
          <w:lang w:val="es-ES_tradnl"/>
        </w:rPr>
        <w:t>odo de tiempo por las personas</w:t>
      </w:r>
      <w:r w:rsidR="00770D1D" w:rsidRPr="002865A7">
        <w:rPr>
          <w:rFonts w:asciiTheme="majorHAnsi" w:hAnsiTheme="majorHAnsi"/>
          <w:noProof/>
          <w:sz w:val="20"/>
          <w:szCs w:val="20"/>
          <w:lang w:val="es-ES_tradnl"/>
        </w:rPr>
        <w:t xml:space="preserve"> que pertenecieron a grupos de autodefensa, lo que se deriva en que las labores que adelantan las autoridades encargadas sean mán complejas, y tomen mayor tiempo</w:t>
      </w:r>
      <w:r w:rsidR="000F088E" w:rsidRPr="002865A7">
        <w:rPr>
          <w:rStyle w:val="FootnoteReference"/>
          <w:rFonts w:asciiTheme="majorHAnsi" w:hAnsiTheme="majorHAnsi"/>
          <w:noProof/>
          <w:sz w:val="20"/>
          <w:szCs w:val="20"/>
          <w:lang w:val="es-ES_tradnl"/>
        </w:rPr>
        <w:footnoteReference w:id="5"/>
      </w:r>
      <w:r w:rsidR="00770D1D" w:rsidRPr="002865A7">
        <w:rPr>
          <w:rFonts w:asciiTheme="majorHAnsi" w:hAnsiTheme="majorHAnsi"/>
          <w:noProof/>
          <w:sz w:val="20"/>
          <w:szCs w:val="20"/>
          <w:lang w:val="es-ES_tradnl"/>
        </w:rPr>
        <w:t xml:space="preserve">. Concluye que los homicidios ordenados por el Frente de Mártires del César de las autodefensas, </w:t>
      </w:r>
      <w:r w:rsidR="00561A7B" w:rsidRPr="002865A7">
        <w:rPr>
          <w:rFonts w:asciiTheme="majorHAnsi" w:hAnsiTheme="majorHAnsi"/>
          <w:noProof/>
          <w:sz w:val="20"/>
          <w:szCs w:val="20"/>
          <w:lang w:val="es-ES_tradnl"/>
        </w:rPr>
        <w:t>debe ser considerado como un asunto complejo de investigar que requiere que el plazo empleado por las autoridades sea considerado razonable.</w:t>
      </w:r>
      <w:r w:rsidR="00A50223" w:rsidRPr="002865A7">
        <w:rPr>
          <w:rFonts w:asciiTheme="majorHAnsi" w:hAnsiTheme="majorHAnsi"/>
          <w:noProof/>
          <w:sz w:val="20"/>
          <w:szCs w:val="20"/>
          <w:lang w:val="es-ES_tradnl"/>
        </w:rPr>
        <w:t xml:space="preserve"> </w:t>
      </w:r>
      <w:r w:rsidR="00126FF0" w:rsidRPr="002865A7">
        <w:rPr>
          <w:rFonts w:asciiTheme="majorHAnsi" w:hAnsiTheme="majorHAnsi"/>
          <w:noProof/>
          <w:sz w:val="20"/>
          <w:szCs w:val="20"/>
          <w:lang w:val="es-ES_tradnl"/>
        </w:rPr>
        <w:t>Finalmente, destaca que el contexto en el cual se presenta una presunta violación de derechos humanos tiene un papel limitado en un litigio internacional, y por lo tanto de su valoración individual y exclusiva no es posible derivar la responsabilidad estatal y rechaza el marco contextual.</w:t>
      </w:r>
    </w:p>
    <w:p w14:paraId="56C8AD8C" w14:textId="2528C35A" w:rsidR="003239B8" w:rsidRPr="002865A7" w:rsidRDefault="003239B8" w:rsidP="003239B8">
      <w:pPr>
        <w:spacing w:before="240" w:after="240"/>
        <w:ind w:firstLine="720"/>
        <w:jc w:val="both"/>
        <w:rPr>
          <w:rFonts w:asciiTheme="majorHAnsi" w:eastAsia="Cambria" w:hAnsiTheme="majorHAnsi" w:cs="Cambria"/>
          <w:noProof/>
          <w:color w:val="000000"/>
          <w:sz w:val="20"/>
          <w:szCs w:val="20"/>
          <w:u w:color="000000"/>
          <w:lang w:val="es-ES_tradnl" w:eastAsia="es-ES"/>
        </w:rPr>
      </w:pPr>
      <w:r w:rsidRPr="002865A7">
        <w:rPr>
          <w:rFonts w:asciiTheme="majorHAnsi" w:eastAsia="Cambria" w:hAnsiTheme="majorHAnsi" w:cs="Cambria"/>
          <w:b/>
          <w:bCs/>
          <w:noProof/>
          <w:color w:val="000000"/>
          <w:sz w:val="20"/>
          <w:szCs w:val="20"/>
          <w:u w:color="000000"/>
          <w:lang w:val="es-ES_tradnl" w:eastAsia="es-ES"/>
        </w:rPr>
        <w:t>VI.</w:t>
      </w:r>
      <w:r w:rsidRPr="002865A7">
        <w:rPr>
          <w:rFonts w:asciiTheme="majorHAnsi" w:eastAsia="Cambria" w:hAnsiTheme="majorHAnsi" w:cs="Cambria"/>
          <w:b/>
          <w:bCs/>
          <w:noProof/>
          <w:color w:val="000000"/>
          <w:sz w:val="20"/>
          <w:szCs w:val="20"/>
          <w:u w:color="000000"/>
          <w:lang w:val="es-ES_tradnl" w:eastAsia="es-ES"/>
        </w:rPr>
        <w:tab/>
      </w:r>
      <w:r w:rsidR="004A6A54" w:rsidRPr="002865A7">
        <w:rPr>
          <w:rFonts w:asciiTheme="majorHAnsi" w:hAnsiTheme="majorHAnsi"/>
          <w:b/>
          <w:bCs/>
          <w:noProof/>
          <w:sz w:val="20"/>
          <w:szCs w:val="20"/>
          <w:lang w:val="es-ES_tradnl"/>
        </w:rPr>
        <w:t xml:space="preserve">ANÁLISIS DE </w:t>
      </w:r>
      <w:r w:rsidR="00C21FEF" w:rsidRPr="002865A7">
        <w:rPr>
          <w:rFonts w:asciiTheme="majorHAnsi" w:hAnsiTheme="majorHAnsi"/>
          <w:b/>
          <w:noProof/>
          <w:sz w:val="20"/>
          <w:szCs w:val="20"/>
          <w:lang w:val="es-ES_tradnl"/>
        </w:rPr>
        <w:t>AGOTAMIENTO DE LOS RECURSOS INTERNOS Y PLAZO DE PRESENTACIÓN</w:t>
      </w:r>
      <w:r w:rsidR="00C21FEF" w:rsidRPr="002865A7">
        <w:rPr>
          <w:rFonts w:asciiTheme="majorHAnsi" w:eastAsia="Cambria" w:hAnsiTheme="majorHAnsi" w:cs="Cambria"/>
          <w:b/>
          <w:bCs/>
          <w:noProof/>
          <w:color w:val="000000"/>
          <w:sz w:val="20"/>
          <w:szCs w:val="20"/>
          <w:u w:color="000000"/>
          <w:lang w:val="es-ES_tradnl" w:eastAsia="es-ES"/>
        </w:rPr>
        <w:t xml:space="preserve"> </w:t>
      </w:r>
    </w:p>
    <w:p w14:paraId="766C17DE" w14:textId="18E84114" w:rsidR="00DC0D0F" w:rsidRPr="002865A7" w:rsidRDefault="001C1413" w:rsidP="007935A4">
      <w:pPr>
        <w:spacing w:before="240" w:after="240"/>
        <w:ind w:firstLine="720"/>
        <w:jc w:val="both"/>
        <w:rPr>
          <w:rFonts w:asciiTheme="majorHAnsi" w:eastAsia="Cambria" w:hAnsiTheme="majorHAnsi" w:cs="Cambria"/>
          <w:noProof/>
          <w:color w:val="000000"/>
          <w:sz w:val="20"/>
          <w:szCs w:val="20"/>
          <w:u w:color="000000"/>
          <w:lang w:val="es-ES_tradnl" w:eastAsia="es-ES"/>
        </w:rPr>
      </w:pPr>
      <w:r w:rsidRPr="002865A7">
        <w:rPr>
          <w:rFonts w:asciiTheme="majorHAnsi" w:eastAsia="Cambria" w:hAnsiTheme="majorHAnsi" w:cs="Cambria"/>
          <w:noProof/>
          <w:color w:val="000000"/>
          <w:sz w:val="20"/>
          <w:szCs w:val="20"/>
          <w:u w:color="000000"/>
          <w:lang w:val="es-ES_tradnl" w:eastAsia="es-ES"/>
        </w:rPr>
        <w:t>7</w:t>
      </w:r>
      <w:r w:rsidR="00DC0D0F" w:rsidRPr="002865A7">
        <w:rPr>
          <w:rFonts w:asciiTheme="majorHAnsi" w:eastAsia="Cambria" w:hAnsiTheme="majorHAnsi" w:cs="Cambria"/>
          <w:noProof/>
          <w:color w:val="000000"/>
          <w:sz w:val="20"/>
          <w:szCs w:val="20"/>
          <w:u w:color="000000"/>
          <w:lang w:val="es-ES_tradnl" w:eastAsia="es-ES"/>
        </w:rPr>
        <w:t>.</w:t>
      </w:r>
      <w:r w:rsidR="00DC0D0F" w:rsidRPr="002865A7">
        <w:rPr>
          <w:rFonts w:asciiTheme="majorHAnsi" w:eastAsia="Cambria" w:hAnsiTheme="majorHAnsi" w:cs="Cambria"/>
          <w:noProof/>
          <w:color w:val="000000"/>
          <w:sz w:val="20"/>
          <w:szCs w:val="20"/>
          <w:u w:color="000000"/>
          <w:lang w:val="es-ES_tradnl" w:eastAsia="es-ES"/>
        </w:rPr>
        <w:tab/>
        <w:t xml:space="preserve">El peticionario sostiene </w:t>
      </w:r>
      <w:r w:rsidR="00AE039B" w:rsidRPr="002865A7">
        <w:rPr>
          <w:rFonts w:asciiTheme="majorHAnsi" w:eastAsia="Cambria" w:hAnsiTheme="majorHAnsi" w:cs="Cambria"/>
          <w:noProof/>
          <w:color w:val="000000"/>
          <w:sz w:val="20"/>
          <w:szCs w:val="20"/>
          <w:u w:color="000000"/>
          <w:lang w:val="es-ES_tradnl" w:eastAsia="es-ES"/>
        </w:rPr>
        <w:t xml:space="preserve">que </w:t>
      </w:r>
      <w:r w:rsidR="00DC0D0F" w:rsidRPr="002865A7">
        <w:rPr>
          <w:rFonts w:asciiTheme="majorHAnsi" w:eastAsia="Cambria" w:hAnsiTheme="majorHAnsi" w:cs="Cambria"/>
          <w:noProof/>
          <w:color w:val="000000"/>
          <w:sz w:val="20"/>
          <w:szCs w:val="20"/>
          <w:u w:color="000000"/>
          <w:lang w:val="es-ES_tradnl" w:eastAsia="es-ES"/>
        </w:rPr>
        <w:t xml:space="preserve">nunca se activó la noticia criminal y por lo tanto la FGN no inició la investigación penal </w:t>
      </w:r>
      <w:r w:rsidR="00891652" w:rsidRPr="002865A7">
        <w:rPr>
          <w:rFonts w:asciiTheme="majorHAnsi" w:eastAsia="Cambria" w:hAnsiTheme="majorHAnsi" w:cs="Cambria"/>
          <w:noProof/>
          <w:color w:val="000000"/>
          <w:sz w:val="20"/>
          <w:szCs w:val="20"/>
          <w:u w:color="000000"/>
          <w:lang w:val="es-ES_tradnl" w:eastAsia="es-ES"/>
        </w:rPr>
        <w:t xml:space="preserve">e indica que presentó su caso ante la jurisdicción de </w:t>
      </w:r>
      <w:r w:rsidR="000F088E" w:rsidRPr="002865A7">
        <w:rPr>
          <w:rFonts w:asciiTheme="majorHAnsi" w:eastAsia="Cambria" w:hAnsiTheme="majorHAnsi" w:cs="Cambria"/>
          <w:noProof/>
          <w:color w:val="000000"/>
          <w:sz w:val="20"/>
          <w:szCs w:val="20"/>
          <w:u w:color="000000"/>
          <w:lang w:val="es-ES_tradnl" w:eastAsia="es-ES"/>
        </w:rPr>
        <w:t>J</w:t>
      </w:r>
      <w:r w:rsidR="00891652" w:rsidRPr="002865A7">
        <w:rPr>
          <w:rFonts w:asciiTheme="majorHAnsi" w:eastAsia="Cambria" w:hAnsiTheme="majorHAnsi" w:cs="Cambria"/>
          <w:noProof/>
          <w:color w:val="000000"/>
          <w:sz w:val="20"/>
          <w:szCs w:val="20"/>
          <w:u w:color="000000"/>
          <w:lang w:val="es-ES_tradnl" w:eastAsia="es-ES"/>
        </w:rPr>
        <w:t xml:space="preserve">usticia y </w:t>
      </w:r>
      <w:r w:rsidR="000F088E" w:rsidRPr="002865A7">
        <w:rPr>
          <w:rFonts w:asciiTheme="majorHAnsi" w:eastAsia="Cambria" w:hAnsiTheme="majorHAnsi" w:cs="Cambria"/>
          <w:noProof/>
          <w:color w:val="000000"/>
          <w:sz w:val="20"/>
          <w:szCs w:val="20"/>
          <w:u w:color="000000"/>
          <w:lang w:val="es-ES_tradnl" w:eastAsia="es-ES"/>
        </w:rPr>
        <w:t>P</w:t>
      </w:r>
      <w:r w:rsidR="00891652" w:rsidRPr="002865A7">
        <w:rPr>
          <w:rFonts w:asciiTheme="majorHAnsi" w:eastAsia="Cambria" w:hAnsiTheme="majorHAnsi" w:cs="Cambria"/>
          <w:noProof/>
          <w:color w:val="000000"/>
          <w:sz w:val="20"/>
          <w:szCs w:val="20"/>
          <w:u w:color="000000"/>
          <w:lang w:val="es-ES_tradnl" w:eastAsia="es-ES"/>
        </w:rPr>
        <w:t xml:space="preserve">az y que no fue favorable. Por su parte, el Estado </w:t>
      </w:r>
      <w:r w:rsidR="007935A4" w:rsidRPr="002865A7">
        <w:rPr>
          <w:rFonts w:asciiTheme="majorHAnsi" w:eastAsia="Cambria" w:hAnsiTheme="majorHAnsi" w:cs="Cambria"/>
          <w:noProof/>
          <w:color w:val="000000"/>
          <w:sz w:val="20"/>
          <w:szCs w:val="20"/>
          <w:u w:color="000000"/>
          <w:lang w:val="es-ES_tradnl" w:eastAsia="es-ES"/>
        </w:rPr>
        <w:t>desmiente que esto haya sido así; aporta información detalla del proceso penalseguido por este hecho, desde las primeras etapas de la investigación; y alega que se trata de un asunto complejo que se encuentra en la jurisdicción de Justicia y Paz, razón por cual se debe considerar la aplicación de un plazo razonable durante la investigación y sanción de los responsables, por lo tanto concluye que no se cumple con los requisitos establecidos en el artículo 46.1.a) de la Convención. Por otro lado, indica que los peticionarios no presentaron</w:t>
      </w:r>
      <w:r w:rsidR="00073505" w:rsidRPr="002865A7">
        <w:rPr>
          <w:rFonts w:asciiTheme="majorHAnsi" w:eastAsia="Cambria" w:hAnsiTheme="majorHAnsi" w:cs="Cambria"/>
          <w:noProof/>
          <w:color w:val="000000"/>
          <w:sz w:val="20"/>
          <w:szCs w:val="20"/>
          <w:u w:color="000000"/>
          <w:lang w:val="es-ES_tradnl" w:eastAsia="es-ES"/>
        </w:rPr>
        <w:t xml:space="preserve"> una acción de reparación directa en la jurisdicción contencioso administrativa</w:t>
      </w:r>
      <w:r w:rsidR="00F81CCE" w:rsidRPr="002865A7">
        <w:rPr>
          <w:rFonts w:asciiTheme="majorHAnsi" w:eastAsia="Cambria" w:hAnsiTheme="majorHAnsi" w:cs="Cambria"/>
          <w:noProof/>
          <w:color w:val="000000"/>
          <w:sz w:val="20"/>
          <w:szCs w:val="20"/>
          <w:u w:color="000000"/>
          <w:lang w:val="es-ES_tradnl" w:eastAsia="es-ES"/>
        </w:rPr>
        <w:t>.</w:t>
      </w:r>
      <w:r w:rsidR="003B33FC" w:rsidRPr="002865A7">
        <w:rPr>
          <w:rFonts w:asciiTheme="majorHAnsi" w:eastAsia="Cambria" w:hAnsiTheme="majorHAnsi" w:cs="Cambria"/>
          <w:noProof/>
          <w:color w:val="000000"/>
          <w:sz w:val="20"/>
          <w:szCs w:val="20"/>
          <w:u w:color="000000"/>
          <w:lang w:val="es-ES_tradnl" w:eastAsia="es-ES"/>
        </w:rPr>
        <w:t xml:space="preserve"> </w:t>
      </w:r>
    </w:p>
    <w:p w14:paraId="77C5FBDC" w14:textId="502DBC2A" w:rsidR="00F81CCE" w:rsidRPr="002865A7" w:rsidRDefault="00025C3C" w:rsidP="00F27272">
      <w:pPr>
        <w:spacing w:before="240" w:after="240"/>
        <w:ind w:firstLine="720"/>
        <w:jc w:val="both"/>
        <w:rPr>
          <w:rFonts w:asciiTheme="majorHAnsi" w:eastAsia="Cambria" w:hAnsiTheme="majorHAnsi" w:cs="Cambria"/>
          <w:noProof/>
          <w:color w:val="000000"/>
          <w:sz w:val="20"/>
          <w:szCs w:val="20"/>
          <w:u w:color="000000"/>
          <w:lang w:val="es-ES_tradnl" w:eastAsia="es-ES"/>
        </w:rPr>
      </w:pPr>
      <w:r w:rsidRPr="002865A7">
        <w:rPr>
          <w:rFonts w:asciiTheme="majorHAnsi" w:eastAsia="Cambria" w:hAnsiTheme="majorHAnsi" w:cs="Cambria"/>
          <w:noProof/>
          <w:color w:val="000000"/>
          <w:sz w:val="20"/>
          <w:szCs w:val="20"/>
          <w:u w:color="000000"/>
          <w:lang w:val="es-ES_tradnl" w:eastAsia="es-ES"/>
        </w:rPr>
        <w:t>8.</w:t>
      </w:r>
      <w:r w:rsidRPr="002865A7">
        <w:rPr>
          <w:rFonts w:asciiTheme="majorHAnsi" w:eastAsia="Cambria" w:hAnsiTheme="majorHAnsi" w:cs="Cambria"/>
          <w:noProof/>
          <w:color w:val="000000"/>
          <w:sz w:val="20"/>
          <w:szCs w:val="20"/>
          <w:u w:color="000000"/>
          <w:lang w:val="es-ES_tradnl" w:eastAsia="es-ES"/>
        </w:rPr>
        <w:tab/>
      </w:r>
      <w:r w:rsidR="00E62F9E" w:rsidRPr="002865A7">
        <w:rPr>
          <w:rFonts w:asciiTheme="majorHAnsi" w:eastAsia="Cambria" w:hAnsiTheme="majorHAnsi" w:cs="Cambria"/>
          <w:noProof/>
          <w:color w:val="000000"/>
          <w:sz w:val="20"/>
          <w:szCs w:val="20"/>
          <w:u w:color="000000"/>
          <w:lang w:val="es-ES_tradnl" w:eastAsia="es-ES"/>
        </w:rPr>
        <w:t xml:space="preserve">A este respecto, en un caso como el presente en el que la situación de fondo planteada tiene que ver </w:t>
      </w:r>
      <w:r w:rsidR="00347ECF" w:rsidRPr="002865A7">
        <w:rPr>
          <w:rFonts w:asciiTheme="majorHAnsi" w:eastAsia="Cambria" w:hAnsiTheme="majorHAnsi" w:cs="Cambria"/>
          <w:noProof/>
          <w:color w:val="000000"/>
          <w:sz w:val="20"/>
          <w:szCs w:val="20"/>
          <w:u w:color="000000"/>
          <w:lang w:val="es-ES_tradnl" w:eastAsia="es-ES"/>
        </w:rPr>
        <w:t>un</w:t>
      </w:r>
      <w:r w:rsidR="00422324">
        <w:rPr>
          <w:rFonts w:asciiTheme="majorHAnsi" w:eastAsia="Cambria" w:hAnsiTheme="majorHAnsi" w:cs="Cambria"/>
          <w:noProof/>
          <w:color w:val="000000"/>
          <w:sz w:val="20"/>
          <w:szCs w:val="20"/>
          <w:u w:color="000000"/>
          <w:lang w:val="es-ES_tradnl" w:eastAsia="es-ES"/>
        </w:rPr>
        <w:t>a</w:t>
      </w:r>
      <w:r w:rsidR="00347ECF" w:rsidRPr="002865A7">
        <w:rPr>
          <w:rFonts w:asciiTheme="majorHAnsi" w:eastAsia="Cambria" w:hAnsiTheme="majorHAnsi" w:cs="Cambria"/>
          <w:noProof/>
          <w:color w:val="000000"/>
          <w:sz w:val="20"/>
          <w:szCs w:val="20"/>
          <w:u w:color="000000"/>
          <w:lang w:val="es-ES_tradnl" w:eastAsia="es-ES"/>
        </w:rPr>
        <w:t xml:space="preserve"> alegada violación del derecho a la vida </w:t>
      </w:r>
      <w:r w:rsidR="00347ECF" w:rsidRPr="002865A7">
        <w:rPr>
          <w:rFonts w:asciiTheme="majorHAnsi" w:hAnsiTheme="majorHAnsi"/>
          <w:sz w:val="20"/>
          <w:szCs w:val="20"/>
          <w:lang w:val="es-ES_tradnl"/>
        </w:rPr>
        <w:t>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347ECF" w:rsidRPr="002865A7">
        <w:rPr>
          <w:rStyle w:val="FootnoteReference"/>
          <w:rFonts w:asciiTheme="majorHAnsi" w:hAnsiTheme="majorHAnsi"/>
          <w:sz w:val="20"/>
          <w:szCs w:val="20"/>
          <w:lang w:val="es-ES_tradnl"/>
        </w:rPr>
        <w:footnoteReference w:id="6"/>
      </w:r>
      <w:r w:rsidR="00347ECF" w:rsidRPr="002865A7">
        <w:rPr>
          <w:rFonts w:asciiTheme="majorHAnsi" w:hAnsiTheme="majorHAnsi"/>
          <w:sz w:val="20"/>
          <w:szCs w:val="20"/>
          <w:lang w:val="es-ES_tradnl"/>
        </w:rPr>
        <w:t>. Asimismo, la Comisión ha establecido que cuando el Estado cumple con su deber de plantear cuáles son los recursos idóneos que debieron agotarse y aporta información concreta a este respecto, corresponde a la parte peticionaria mostrar que agotó tales recursos o que cabe la aplicación de alguna de las excepciones contempladas en las normas correspondientes.</w:t>
      </w:r>
    </w:p>
    <w:p w14:paraId="79649965" w14:textId="0C79B431" w:rsidR="00347ECF" w:rsidRPr="002865A7" w:rsidRDefault="00347ECF" w:rsidP="00F27272">
      <w:pPr>
        <w:spacing w:before="240" w:after="240"/>
        <w:ind w:firstLine="720"/>
        <w:jc w:val="both"/>
        <w:rPr>
          <w:rFonts w:asciiTheme="majorHAnsi" w:eastAsia="Cambria" w:hAnsiTheme="majorHAnsi" w:cs="Cambria"/>
          <w:noProof/>
          <w:color w:val="000000"/>
          <w:sz w:val="20"/>
          <w:szCs w:val="20"/>
          <w:u w:color="000000"/>
          <w:lang w:val="es-ES_tradnl" w:eastAsia="es-ES"/>
        </w:rPr>
      </w:pPr>
      <w:r w:rsidRPr="002865A7">
        <w:rPr>
          <w:rFonts w:asciiTheme="majorHAnsi" w:eastAsia="Cambria" w:hAnsiTheme="majorHAnsi" w:cs="Cambria"/>
          <w:noProof/>
          <w:color w:val="000000"/>
          <w:sz w:val="20"/>
          <w:szCs w:val="20"/>
          <w:u w:color="000000"/>
          <w:lang w:val="es-ES_tradnl" w:eastAsia="es-ES"/>
        </w:rPr>
        <w:t>9.</w:t>
      </w:r>
      <w:r w:rsidRPr="002865A7">
        <w:rPr>
          <w:rFonts w:asciiTheme="majorHAnsi" w:eastAsia="Cambria" w:hAnsiTheme="majorHAnsi" w:cs="Cambria"/>
          <w:noProof/>
          <w:color w:val="000000"/>
          <w:sz w:val="20"/>
          <w:szCs w:val="20"/>
          <w:u w:color="000000"/>
          <w:lang w:val="es-ES_tradnl" w:eastAsia="es-ES"/>
        </w:rPr>
        <w:tab/>
        <w:t xml:space="preserve">En el presente caso, la Comisión reconoce que la parte peticionaria alega la muerte de una persona a manos de grupos armados </w:t>
      </w:r>
      <w:r w:rsidR="00F1216D" w:rsidRPr="002865A7">
        <w:rPr>
          <w:rFonts w:asciiTheme="majorHAnsi" w:eastAsia="Cambria" w:hAnsiTheme="majorHAnsi" w:cs="Cambria"/>
          <w:noProof/>
          <w:color w:val="000000"/>
          <w:sz w:val="20"/>
          <w:szCs w:val="20"/>
          <w:u w:color="000000"/>
          <w:lang w:val="es-ES_tradnl" w:eastAsia="es-ES"/>
        </w:rPr>
        <w:t xml:space="preserve">al margen de la ley, y se limita a afirmar que el Estado no ha adelantado ningún tipo de investigación al respecto. </w:t>
      </w:r>
      <w:r w:rsidR="002865A7" w:rsidRPr="002865A7">
        <w:rPr>
          <w:rFonts w:asciiTheme="majorHAnsi" w:eastAsia="Cambria" w:hAnsiTheme="majorHAnsi" w:cs="Cambria"/>
          <w:noProof/>
          <w:color w:val="000000"/>
          <w:sz w:val="20"/>
          <w:szCs w:val="20"/>
          <w:u w:color="000000"/>
          <w:lang w:val="es-ES_tradnl" w:eastAsia="es-ES"/>
        </w:rPr>
        <w:t>E</w:t>
      </w:r>
      <w:r w:rsidR="00F1216D" w:rsidRPr="002865A7">
        <w:rPr>
          <w:rFonts w:asciiTheme="majorHAnsi" w:eastAsia="Cambria" w:hAnsiTheme="majorHAnsi" w:cs="Cambria"/>
          <w:noProof/>
          <w:color w:val="000000"/>
          <w:sz w:val="20"/>
          <w:szCs w:val="20"/>
          <w:u w:color="000000"/>
          <w:lang w:val="es-ES_tradnl" w:eastAsia="es-ES"/>
        </w:rPr>
        <w:t>l Estado desmiente esta aseveración y aporta información detallada de las diligencias y procesos que se han seguido desde que ocurrieron los hechos hasta el presente</w:t>
      </w:r>
      <w:r w:rsidR="002865A7" w:rsidRPr="002865A7">
        <w:rPr>
          <w:rFonts w:asciiTheme="majorHAnsi" w:eastAsia="Cambria" w:hAnsiTheme="majorHAnsi" w:cs="Cambria"/>
          <w:noProof/>
          <w:color w:val="000000"/>
          <w:sz w:val="20"/>
          <w:szCs w:val="20"/>
          <w:u w:color="000000"/>
          <w:lang w:val="es-ES_tradnl" w:eastAsia="es-ES"/>
        </w:rPr>
        <w:t xml:space="preserve">; proceso en el que, en efecto, se han verificado avances concreto e incluso la individualización de algunos de los responsables. Sin embargo, el peticionario no aporta ningún tipo de información adicional o alegatos respecto al agotamiento de los recursos internos, ni sobre la procedencia de una excepción. En este caso conreto, y sin entrar a efectuar valoraciones ni siquiera </w:t>
      </w:r>
      <w:r w:rsidR="002865A7" w:rsidRPr="002865A7">
        <w:rPr>
          <w:rFonts w:asciiTheme="majorHAnsi" w:eastAsia="Cambria" w:hAnsiTheme="majorHAnsi" w:cs="Cambria"/>
          <w:i/>
          <w:iCs/>
          <w:noProof/>
          <w:color w:val="000000"/>
          <w:sz w:val="20"/>
          <w:szCs w:val="20"/>
          <w:u w:color="000000"/>
          <w:lang w:val="es-ES_tradnl" w:eastAsia="es-ES"/>
        </w:rPr>
        <w:t>prima facie</w:t>
      </w:r>
      <w:r w:rsidR="002865A7" w:rsidRPr="002865A7">
        <w:rPr>
          <w:rFonts w:asciiTheme="majorHAnsi" w:eastAsia="Cambria" w:hAnsiTheme="majorHAnsi" w:cs="Cambria"/>
          <w:noProof/>
          <w:color w:val="000000"/>
          <w:sz w:val="20"/>
          <w:szCs w:val="20"/>
          <w:u w:color="000000"/>
          <w:lang w:val="es-ES_tradnl" w:eastAsia="es-ES"/>
        </w:rPr>
        <w:t xml:space="preserve"> respecto de los hechos alegados, la Comisión considera que de la información que aportada por el peticionario no se puede sustentar el cumplimiento del requisito establecido en el artículo 46.1.a) de la Convención Americana. Esto es así respecto del hecho principal alegado, como del reclao genérico formulado por el peticionario relativo a una alegada falta de compensación económica en la esfera administrativa, respecto de la cual tampoco aporta información concreta sobre agotamiento de los recursos internos.  </w:t>
      </w:r>
    </w:p>
    <w:p w14:paraId="166DFD5A" w14:textId="77777777" w:rsidR="007932A8" w:rsidRDefault="007932A8" w:rsidP="00F81CCE">
      <w:pPr>
        <w:spacing w:before="240" w:after="240"/>
        <w:ind w:firstLine="720"/>
        <w:jc w:val="both"/>
        <w:rPr>
          <w:rFonts w:asciiTheme="majorHAnsi" w:hAnsiTheme="majorHAnsi"/>
          <w:b/>
          <w:bCs/>
          <w:noProof/>
          <w:sz w:val="20"/>
          <w:szCs w:val="20"/>
          <w:lang w:val="es-ES_tradnl"/>
        </w:rPr>
      </w:pPr>
    </w:p>
    <w:p w14:paraId="7F041AF6" w14:textId="0F4CF55F" w:rsidR="003239B8" w:rsidRPr="002865A7" w:rsidRDefault="003239B8" w:rsidP="00F81CCE">
      <w:pPr>
        <w:spacing w:before="240" w:after="240"/>
        <w:ind w:firstLine="720"/>
        <w:jc w:val="both"/>
        <w:rPr>
          <w:rFonts w:asciiTheme="majorHAnsi" w:hAnsiTheme="majorHAnsi"/>
          <w:b/>
          <w:bCs/>
          <w:noProof/>
          <w:sz w:val="20"/>
          <w:szCs w:val="20"/>
          <w:lang w:val="es-ES_tradnl"/>
        </w:rPr>
      </w:pPr>
      <w:r w:rsidRPr="002865A7">
        <w:rPr>
          <w:rFonts w:asciiTheme="majorHAnsi" w:hAnsiTheme="majorHAnsi"/>
          <w:b/>
          <w:bCs/>
          <w:noProof/>
          <w:sz w:val="20"/>
          <w:szCs w:val="20"/>
          <w:lang w:val="es-ES_tradnl"/>
        </w:rPr>
        <w:lastRenderedPageBreak/>
        <w:t xml:space="preserve">VIII. </w:t>
      </w:r>
      <w:r w:rsidRPr="002865A7">
        <w:rPr>
          <w:rFonts w:asciiTheme="majorHAnsi" w:hAnsiTheme="majorHAnsi"/>
          <w:b/>
          <w:bCs/>
          <w:noProof/>
          <w:sz w:val="20"/>
          <w:szCs w:val="20"/>
          <w:lang w:val="es-ES_tradnl"/>
        </w:rPr>
        <w:tab/>
        <w:t>DECISIÓN</w:t>
      </w:r>
    </w:p>
    <w:p w14:paraId="7ACE3751" w14:textId="3828F96F" w:rsidR="000419AD" w:rsidRPr="002865A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sz w:val="20"/>
          <w:szCs w:val="20"/>
          <w:lang w:val="es-ES_tradnl"/>
        </w:rPr>
      </w:pPr>
      <w:r w:rsidRPr="002865A7">
        <w:rPr>
          <w:rFonts w:asciiTheme="majorHAnsi" w:hAnsiTheme="majorHAnsi"/>
          <w:noProof/>
          <w:sz w:val="20"/>
          <w:szCs w:val="20"/>
          <w:lang w:val="es-ES_tradnl"/>
        </w:rPr>
        <w:t xml:space="preserve">Declarar </w:t>
      </w:r>
      <w:r w:rsidR="00F81CCE" w:rsidRPr="002865A7">
        <w:rPr>
          <w:rFonts w:asciiTheme="majorHAnsi" w:hAnsiTheme="majorHAnsi"/>
          <w:noProof/>
          <w:sz w:val="20"/>
          <w:szCs w:val="20"/>
          <w:lang w:val="es-ES_tradnl"/>
        </w:rPr>
        <w:t>in</w:t>
      </w:r>
      <w:r w:rsidRPr="002865A7">
        <w:rPr>
          <w:rFonts w:asciiTheme="majorHAnsi" w:hAnsiTheme="majorHAnsi"/>
          <w:noProof/>
          <w:sz w:val="20"/>
          <w:szCs w:val="20"/>
          <w:lang w:val="es-ES_tradnl"/>
        </w:rPr>
        <w:t>admisible la presente petición</w:t>
      </w:r>
      <w:r w:rsidR="00B32C2D">
        <w:rPr>
          <w:rFonts w:asciiTheme="majorHAnsi" w:hAnsiTheme="majorHAnsi"/>
          <w:noProof/>
          <w:sz w:val="20"/>
          <w:szCs w:val="20"/>
          <w:lang w:val="es-ES_tradnl"/>
        </w:rPr>
        <w:t>; y</w:t>
      </w:r>
    </w:p>
    <w:p w14:paraId="542D22F9" w14:textId="796E7CC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sz w:val="20"/>
          <w:szCs w:val="20"/>
          <w:lang w:val="es-ES_tradnl"/>
        </w:rPr>
      </w:pPr>
      <w:r w:rsidRPr="002865A7">
        <w:rPr>
          <w:rFonts w:asciiTheme="majorHAnsi" w:hAnsiTheme="majorHAnsi"/>
          <w:noProof/>
          <w:sz w:val="20"/>
          <w:szCs w:val="20"/>
          <w:lang w:val="es-ES_tradnl"/>
        </w:rPr>
        <w:t>Notificar a las partes la presente decisión; y publicar esta decisión e incluirla en su Informe Anual a la Asamblea General de la Organización de los Estados Americanos.</w:t>
      </w:r>
    </w:p>
    <w:p w14:paraId="762AD433" w14:textId="77777777" w:rsidR="00DB2A71" w:rsidRDefault="00DB2A71" w:rsidP="00DB2A71">
      <w:pPr>
        <w:ind w:firstLine="720"/>
        <w:jc w:val="both"/>
        <w:rPr>
          <w:rFonts w:asciiTheme="majorHAnsi" w:hAnsiTheme="majorHAnsi"/>
          <w:sz w:val="20"/>
          <w:szCs w:val="20"/>
          <w:lang w:val="es-ES_tradn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a los 9 días del mes de febrero de 2022.  </w:t>
      </w:r>
      <w:bookmarkEnd w:id="1"/>
      <w:r>
        <w:rPr>
          <w:rFonts w:asciiTheme="majorHAnsi" w:hAnsiTheme="majorHAnsi" w:cs="Arial"/>
          <w:noProof/>
          <w:spacing w:val="-2"/>
          <w:sz w:val="20"/>
          <w:szCs w:val="20"/>
          <w:lang w:val="es-CL"/>
        </w:rPr>
        <w:t>(Firmado): Julissa Mantilla Falcón, Presidenta; Stuardo Ralón Orellana, Primer Vicepresidente; Esmeralda E. Arosemena Bernal de Troitiño y Joel Hernández, Miembros de la Comisión.</w:t>
      </w:r>
      <w:r>
        <w:rPr>
          <w:rFonts w:asciiTheme="majorHAnsi" w:hAnsiTheme="majorHAnsi" w:cs="Arial"/>
          <w:noProof/>
          <w:sz w:val="20"/>
          <w:szCs w:val="20"/>
          <w:lang w:val="es-CL"/>
        </w:rPr>
        <w:t xml:space="preserve"> </w:t>
      </w:r>
    </w:p>
    <w:bookmarkEnd w:id="2"/>
    <w:p w14:paraId="62A390BB" w14:textId="0CB48388" w:rsidR="00722C9F" w:rsidRPr="002865A7" w:rsidRDefault="00722C9F" w:rsidP="00BD0FF5">
      <w:pPr>
        <w:jc w:val="both"/>
        <w:rPr>
          <w:rFonts w:asciiTheme="majorHAnsi" w:hAnsiTheme="majorHAnsi" w:cs="Calibri"/>
          <w:noProof/>
          <w:sz w:val="20"/>
          <w:szCs w:val="20"/>
          <w:lang w:val="es-ES_tradnl"/>
        </w:rPr>
      </w:pPr>
    </w:p>
    <w:sectPr w:rsidR="00722C9F" w:rsidRPr="002865A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5971" w14:textId="77777777" w:rsidR="00551D60" w:rsidRDefault="00551D60">
      <w:r>
        <w:separator/>
      </w:r>
    </w:p>
  </w:endnote>
  <w:endnote w:type="continuationSeparator" w:id="0">
    <w:p w14:paraId="4D7E4020" w14:textId="77777777" w:rsidR="00551D60" w:rsidRDefault="0055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9AF2" w14:textId="77777777" w:rsidR="00551D60" w:rsidRPr="000F35ED" w:rsidRDefault="00551D6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C03807" w14:textId="77777777" w:rsidR="00551D60" w:rsidRPr="000F35ED" w:rsidRDefault="00551D60" w:rsidP="000F35ED">
      <w:pPr>
        <w:rPr>
          <w:rFonts w:asciiTheme="majorHAnsi" w:hAnsiTheme="majorHAnsi"/>
          <w:sz w:val="16"/>
          <w:szCs w:val="16"/>
        </w:rPr>
      </w:pPr>
      <w:r w:rsidRPr="000F35ED">
        <w:rPr>
          <w:rFonts w:asciiTheme="majorHAnsi" w:hAnsiTheme="majorHAnsi"/>
          <w:sz w:val="16"/>
          <w:szCs w:val="16"/>
        </w:rPr>
        <w:separator/>
      </w:r>
    </w:p>
    <w:p w14:paraId="4B323E88" w14:textId="77777777" w:rsidR="00551D60" w:rsidRPr="000F35ED" w:rsidRDefault="00551D6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A00B59A" w14:textId="77777777" w:rsidR="00551D60" w:rsidRPr="000F35ED" w:rsidRDefault="00551D6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74895D" w14:textId="06164F55" w:rsidR="001E70AB" w:rsidRPr="001E70AB" w:rsidRDefault="001E70AB" w:rsidP="008177C3">
      <w:pPr>
        <w:pStyle w:val="FootnoteText"/>
        <w:ind w:firstLine="720"/>
        <w:jc w:val="both"/>
        <w:rPr>
          <w:rFonts w:asciiTheme="majorHAnsi" w:hAnsiTheme="majorHAnsi"/>
          <w:sz w:val="16"/>
          <w:szCs w:val="16"/>
          <w:lang w:val="es-US"/>
        </w:rPr>
      </w:pPr>
      <w:r w:rsidRPr="008177C3">
        <w:rPr>
          <w:rStyle w:val="FootnoteReference"/>
          <w:rFonts w:asciiTheme="majorHAnsi" w:hAnsiTheme="majorHAnsi"/>
          <w:sz w:val="16"/>
          <w:szCs w:val="16"/>
        </w:rPr>
        <w:footnoteRef/>
      </w:r>
      <w:r w:rsidRPr="008177C3">
        <w:rPr>
          <w:rFonts w:asciiTheme="majorHAnsi" w:hAnsiTheme="majorHAnsi"/>
          <w:sz w:val="16"/>
          <w:szCs w:val="16"/>
          <w:lang w:val="es-US"/>
        </w:rPr>
        <w:t xml:space="preserve"> Conforme a lo dispuesto en el artículo 17.2.a del Reglamento de la Comisión, el Comisionado Carlos Bernal Pulido, de nacionalidad colombiana, no participó en el debate ni en la decisión del presente asunto.</w:t>
      </w:r>
      <w:r w:rsidRPr="001E70AB">
        <w:rPr>
          <w:rFonts w:asciiTheme="majorHAnsi" w:hAnsiTheme="majorHAnsi"/>
          <w:sz w:val="16"/>
          <w:szCs w:val="16"/>
          <w:lang w:val="es-US"/>
        </w:rPr>
        <w:t xml:space="preserve"> </w:t>
      </w:r>
    </w:p>
  </w:footnote>
  <w:footnote w:id="3">
    <w:p w14:paraId="65AEBF3A" w14:textId="74CABABA" w:rsidR="00A70CEE" w:rsidRPr="00A70CEE" w:rsidRDefault="00A70CEE" w:rsidP="008177C3">
      <w:pPr>
        <w:pStyle w:val="FootnoteText"/>
        <w:ind w:firstLine="720"/>
        <w:jc w:val="both"/>
        <w:rPr>
          <w:rFonts w:asciiTheme="majorHAnsi" w:hAnsiTheme="majorHAnsi"/>
          <w:sz w:val="16"/>
          <w:szCs w:val="16"/>
          <w:lang w:val="es-ES"/>
        </w:rPr>
      </w:pPr>
      <w:r w:rsidRPr="00A70CEE">
        <w:rPr>
          <w:rStyle w:val="FootnoteReference"/>
          <w:rFonts w:asciiTheme="majorHAnsi" w:hAnsiTheme="majorHAnsi"/>
          <w:sz w:val="16"/>
          <w:szCs w:val="16"/>
        </w:rPr>
        <w:footnoteRef/>
      </w:r>
      <w:r w:rsidR="00C27E74">
        <w:rPr>
          <w:rFonts w:asciiTheme="majorHAnsi" w:hAnsiTheme="majorHAnsi"/>
          <w:sz w:val="16"/>
          <w:szCs w:val="16"/>
          <w:lang w:val="es-ES"/>
        </w:rPr>
        <w:t xml:space="preserve"> </w:t>
      </w:r>
      <w:r w:rsidRPr="00A70CEE">
        <w:rPr>
          <w:rFonts w:asciiTheme="majorHAnsi" w:hAnsiTheme="majorHAnsi"/>
          <w:sz w:val="16"/>
          <w:szCs w:val="16"/>
          <w:lang w:val="es-ES"/>
        </w:rPr>
        <w:t xml:space="preserve">En adelante “la Convención Americana” o “la Convención”. </w:t>
      </w:r>
    </w:p>
  </w:footnote>
  <w:footnote w:id="4">
    <w:p w14:paraId="4DB1BB11" w14:textId="77777777" w:rsidR="008E3BFE" w:rsidRPr="00306F33" w:rsidRDefault="008E3BFE" w:rsidP="008177C3">
      <w:pPr>
        <w:pStyle w:val="FootnoteText"/>
        <w:ind w:firstLine="720"/>
        <w:jc w:val="both"/>
        <w:rPr>
          <w:rFonts w:asciiTheme="majorHAnsi" w:hAnsiTheme="majorHAnsi"/>
          <w:sz w:val="16"/>
          <w:szCs w:val="16"/>
          <w:lang w:val="es-ES"/>
        </w:rPr>
      </w:pPr>
      <w:r w:rsidRPr="00A70CEE">
        <w:rPr>
          <w:rStyle w:val="FootnoteReference"/>
          <w:rFonts w:asciiTheme="majorHAnsi" w:hAnsiTheme="majorHAnsi"/>
          <w:sz w:val="16"/>
          <w:szCs w:val="16"/>
        </w:rPr>
        <w:footnoteRef/>
      </w:r>
      <w:r w:rsidRPr="00A70CEE">
        <w:rPr>
          <w:rFonts w:asciiTheme="majorHAnsi" w:hAnsiTheme="majorHAnsi"/>
          <w:sz w:val="16"/>
          <w:szCs w:val="16"/>
          <w:lang w:val="es-ES"/>
        </w:rPr>
        <w:t xml:space="preserve"> Las observaciones de cada parte fueron debidamente trasladadas a la parte contraria.</w:t>
      </w:r>
    </w:p>
  </w:footnote>
  <w:footnote w:id="5">
    <w:p w14:paraId="23A836F4" w14:textId="59402267" w:rsidR="000F088E" w:rsidRPr="00DC2A73" w:rsidRDefault="000F088E" w:rsidP="008177C3">
      <w:pPr>
        <w:pStyle w:val="FootnoteText"/>
        <w:ind w:firstLine="720"/>
        <w:jc w:val="both"/>
        <w:rPr>
          <w:rFonts w:asciiTheme="majorHAnsi" w:hAnsiTheme="majorHAnsi"/>
          <w:sz w:val="16"/>
          <w:szCs w:val="16"/>
          <w:lang w:val="es-ES"/>
        </w:rPr>
      </w:pPr>
      <w:r w:rsidRPr="00DC2A73">
        <w:rPr>
          <w:rStyle w:val="FootnoteReference"/>
          <w:rFonts w:asciiTheme="majorHAnsi" w:hAnsiTheme="majorHAnsi"/>
          <w:sz w:val="16"/>
          <w:szCs w:val="16"/>
        </w:rPr>
        <w:footnoteRef/>
      </w:r>
      <w:r w:rsidR="00AE039B">
        <w:rPr>
          <w:rFonts w:asciiTheme="majorHAnsi" w:hAnsiTheme="majorHAnsi"/>
          <w:sz w:val="16"/>
          <w:szCs w:val="16"/>
          <w:lang w:val="es-ES"/>
        </w:rPr>
        <w:t xml:space="preserve"> </w:t>
      </w:r>
      <w:r w:rsidR="00C93685" w:rsidRPr="00DC2A73">
        <w:rPr>
          <w:rFonts w:asciiTheme="majorHAnsi" w:hAnsiTheme="majorHAnsi"/>
          <w:sz w:val="16"/>
          <w:szCs w:val="16"/>
          <w:lang w:val="es-ES"/>
        </w:rPr>
        <w:t xml:space="preserve">República de Colombia. </w:t>
      </w:r>
      <w:r w:rsidRPr="00DC2A73">
        <w:rPr>
          <w:rFonts w:asciiTheme="majorHAnsi" w:hAnsiTheme="majorHAnsi"/>
          <w:sz w:val="16"/>
          <w:szCs w:val="16"/>
          <w:lang w:val="es-ES"/>
        </w:rPr>
        <w:t xml:space="preserve">Ley 975 </w:t>
      </w:r>
      <w:r w:rsidR="00C93685" w:rsidRPr="00DC2A73">
        <w:rPr>
          <w:rFonts w:asciiTheme="majorHAnsi" w:hAnsiTheme="majorHAnsi"/>
          <w:sz w:val="16"/>
          <w:szCs w:val="16"/>
          <w:lang w:val="es-ES"/>
        </w:rPr>
        <w:t>de 2005. “</w:t>
      </w:r>
      <w:r w:rsidRPr="00DC2A73">
        <w:rPr>
          <w:rFonts w:asciiTheme="majorHAnsi" w:hAnsiTheme="majorHAnsi"/>
          <w:sz w:val="16"/>
          <w:szCs w:val="16"/>
          <w:lang w:val="es-ES"/>
        </w:rPr>
        <w:t>Por la cual se dictan disposiciones para la reincorporación de miembros de grupos armados organizados al margen de la ley, que contribuyan de manera efectiva a la consecución de la paz nacional y se dictan otras disposiciones para acuerdos humanitarios.</w:t>
      </w:r>
      <w:r w:rsidR="00C93685" w:rsidRPr="00DC2A73">
        <w:rPr>
          <w:rFonts w:asciiTheme="majorHAnsi" w:hAnsiTheme="majorHAnsi"/>
          <w:sz w:val="16"/>
          <w:szCs w:val="16"/>
          <w:lang w:val="es-ES"/>
        </w:rPr>
        <w:t xml:space="preserve"> http://www.secretariasenado.gov.co/senado/basedoc/ley_0975_2005.html</w:t>
      </w:r>
    </w:p>
  </w:footnote>
  <w:footnote w:id="6">
    <w:p w14:paraId="1B8825FD" w14:textId="77777777" w:rsidR="00347ECF" w:rsidRPr="002774D2" w:rsidRDefault="00347ECF" w:rsidP="00347ECF">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551D60" w:rsidP="00A50FCF">
    <w:pPr>
      <w:pStyle w:val="Header"/>
      <w:tabs>
        <w:tab w:val="clear" w:pos="4320"/>
        <w:tab w:val="clear" w:pos="8640"/>
      </w:tabs>
      <w:jc w:val="center"/>
      <w:rPr>
        <w:sz w:val="22"/>
        <w:szCs w:val="22"/>
      </w:rPr>
    </w:pPr>
    <w:r>
      <w:rPr>
        <w:noProof/>
        <w:sz w:val="22"/>
        <w:szCs w:val="22"/>
        <w:bdr w:val="nil"/>
      </w:rPr>
      <w:pict w14:anchorId="0FF0639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73546262">
    <w:abstractNumId w:val="3"/>
  </w:num>
  <w:num w:numId="2" w16cid:durableId="1667633810">
    <w:abstractNumId w:val="4"/>
  </w:num>
  <w:num w:numId="3" w16cid:durableId="2014257323">
    <w:abstractNumId w:val="52"/>
  </w:num>
  <w:num w:numId="4" w16cid:durableId="1314601906">
    <w:abstractNumId w:val="19"/>
  </w:num>
  <w:num w:numId="5" w16cid:durableId="967204678">
    <w:abstractNumId w:val="46"/>
  </w:num>
  <w:num w:numId="6" w16cid:durableId="917055173">
    <w:abstractNumId w:val="26"/>
  </w:num>
  <w:num w:numId="7" w16cid:durableId="1456757004">
    <w:abstractNumId w:val="5"/>
  </w:num>
  <w:num w:numId="8" w16cid:durableId="1971551898">
    <w:abstractNumId w:val="15"/>
  </w:num>
  <w:num w:numId="9" w16cid:durableId="404107599">
    <w:abstractNumId w:val="41"/>
  </w:num>
  <w:num w:numId="10" w16cid:durableId="216402778">
    <w:abstractNumId w:val="0"/>
  </w:num>
  <w:num w:numId="11" w16cid:durableId="1361276477">
    <w:abstractNumId w:val="36"/>
  </w:num>
  <w:num w:numId="12" w16cid:durableId="826821015">
    <w:abstractNumId w:val="37"/>
  </w:num>
  <w:num w:numId="13" w16cid:durableId="761341405">
    <w:abstractNumId w:val="43"/>
  </w:num>
  <w:num w:numId="14" w16cid:durableId="2128742638">
    <w:abstractNumId w:val="1"/>
  </w:num>
  <w:num w:numId="15" w16cid:durableId="575434570">
    <w:abstractNumId w:val="2"/>
  </w:num>
  <w:num w:numId="16" w16cid:durableId="1438646584">
    <w:abstractNumId w:val="6"/>
  </w:num>
  <w:num w:numId="17" w16cid:durableId="1161849542">
    <w:abstractNumId w:val="7"/>
  </w:num>
  <w:num w:numId="18" w16cid:durableId="748043409">
    <w:abstractNumId w:val="8"/>
  </w:num>
  <w:num w:numId="19" w16cid:durableId="701053151">
    <w:abstractNumId w:val="9"/>
  </w:num>
  <w:num w:numId="20" w16cid:durableId="1355225190">
    <w:abstractNumId w:val="10"/>
  </w:num>
  <w:num w:numId="21" w16cid:durableId="264119462">
    <w:abstractNumId w:val="11"/>
  </w:num>
  <w:num w:numId="22" w16cid:durableId="58987164">
    <w:abstractNumId w:val="12"/>
  </w:num>
  <w:num w:numId="23" w16cid:durableId="1958097202">
    <w:abstractNumId w:val="13"/>
  </w:num>
  <w:num w:numId="24" w16cid:durableId="2006586546">
    <w:abstractNumId w:val="14"/>
  </w:num>
  <w:num w:numId="25" w16cid:durableId="867836165">
    <w:abstractNumId w:val="16"/>
  </w:num>
  <w:num w:numId="26" w16cid:durableId="675153820">
    <w:abstractNumId w:val="17"/>
  </w:num>
  <w:num w:numId="27" w16cid:durableId="2053069028">
    <w:abstractNumId w:val="20"/>
  </w:num>
  <w:num w:numId="28" w16cid:durableId="1584606020">
    <w:abstractNumId w:val="21"/>
  </w:num>
  <w:num w:numId="29" w16cid:durableId="1010062094">
    <w:abstractNumId w:val="22"/>
  </w:num>
  <w:num w:numId="30" w16cid:durableId="1206915260">
    <w:abstractNumId w:val="24"/>
  </w:num>
  <w:num w:numId="31" w16cid:durableId="1607730394">
    <w:abstractNumId w:val="27"/>
  </w:num>
  <w:num w:numId="32" w16cid:durableId="74208461">
    <w:abstractNumId w:val="28"/>
  </w:num>
  <w:num w:numId="33" w16cid:durableId="1029263596">
    <w:abstractNumId w:val="29"/>
  </w:num>
  <w:num w:numId="34" w16cid:durableId="302582220">
    <w:abstractNumId w:val="30"/>
  </w:num>
  <w:num w:numId="35" w16cid:durableId="1261141522">
    <w:abstractNumId w:val="31"/>
  </w:num>
  <w:num w:numId="36" w16cid:durableId="1542784542">
    <w:abstractNumId w:val="32"/>
  </w:num>
  <w:num w:numId="37" w16cid:durableId="1583491913">
    <w:abstractNumId w:val="33"/>
  </w:num>
  <w:num w:numId="38" w16cid:durableId="1829898361">
    <w:abstractNumId w:val="34"/>
  </w:num>
  <w:num w:numId="39" w16cid:durableId="924999288">
    <w:abstractNumId w:val="38"/>
  </w:num>
  <w:num w:numId="40" w16cid:durableId="879198077">
    <w:abstractNumId w:val="39"/>
  </w:num>
  <w:num w:numId="41" w16cid:durableId="1430194740">
    <w:abstractNumId w:val="45"/>
  </w:num>
  <w:num w:numId="42" w16cid:durableId="439304252">
    <w:abstractNumId w:val="47"/>
  </w:num>
  <w:num w:numId="43" w16cid:durableId="879244022">
    <w:abstractNumId w:val="48"/>
  </w:num>
  <w:num w:numId="44" w16cid:durableId="190732720">
    <w:abstractNumId w:val="50"/>
  </w:num>
  <w:num w:numId="45" w16cid:durableId="1244149761">
    <w:abstractNumId w:val="51"/>
  </w:num>
  <w:num w:numId="46" w16cid:durableId="1779063672">
    <w:abstractNumId w:val="53"/>
  </w:num>
  <w:num w:numId="47" w16cid:durableId="2100443798">
    <w:abstractNumId w:val="54"/>
  </w:num>
  <w:num w:numId="48" w16cid:durableId="1497306830">
    <w:abstractNumId w:val="55"/>
  </w:num>
  <w:num w:numId="49" w16cid:durableId="720250960">
    <w:abstractNumId w:val="56"/>
  </w:num>
  <w:num w:numId="50" w16cid:durableId="1553033316">
    <w:abstractNumId w:val="57"/>
  </w:num>
  <w:num w:numId="51" w16cid:durableId="236860903">
    <w:abstractNumId w:val="18"/>
  </w:num>
  <w:num w:numId="52" w16cid:durableId="1482770212">
    <w:abstractNumId w:val="40"/>
  </w:num>
  <w:num w:numId="53" w16cid:durableId="1648242265">
    <w:abstractNumId w:val="49"/>
  </w:num>
  <w:num w:numId="54" w16cid:durableId="1420250435">
    <w:abstractNumId w:val="44"/>
  </w:num>
  <w:num w:numId="55" w16cid:durableId="252277416">
    <w:abstractNumId w:val="42"/>
  </w:num>
  <w:num w:numId="56" w16cid:durableId="79060335">
    <w:abstractNumId w:val="25"/>
  </w:num>
  <w:num w:numId="57" w16cid:durableId="784083389">
    <w:abstractNumId w:val="23"/>
  </w:num>
  <w:num w:numId="58" w16cid:durableId="2594606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44F"/>
    <w:rsid w:val="00006E1F"/>
    <w:rsid w:val="000070D7"/>
    <w:rsid w:val="000144FA"/>
    <w:rsid w:val="0001788C"/>
    <w:rsid w:val="00024894"/>
    <w:rsid w:val="00025C3C"/>
    <w:rsid w:val="0003209C"/>
    <w:rsid w:val="000337EF"/>
    <w:rsid w:val="00036F5A"/>
    <w:rsid w:val="00040C3A"/>
    <w:rsid w:val="000419AD"/>
    <w:rsid w:val="000433C9"/>
    <w:rsid w:val="00071174"/>
    <w:rsid w:val="00071633"/>
    <w:rsid w:val="000716C5"/>
    <w:rsid w:val="00073505"/>
    <w:rsid w:val="00075E23"/>
    <w:rsid w:val="00077586"/>
    <w:rsid w:val="00085F5C"/>
    <w:rsid w:val="0009344A"/>
    <w:rsid w:val="000A392E"/>
    <w:rsid w:val="000A4A18"/>
    <w:rsid w:val="000A4D90"/>
    <w:rsid w:val="000A575F"/>
    <w:rsid w:val="000A7145"/>
    <w:rsid w:val="000B36EF"/>
    <w:rsid w:val="000D05CB"/>
    <w:rsid w:val="000D10DB"/>
    <w:rsid w:val="000E53DC"/>
    <w:rsid w:val="000E5EB5"/>
    <w:rsid w:val="000F088E"/>
    <w:rsid w:val="000F35ED"/>
    <w:rsid w:val="000F6A27"/>
    <w:rsid w:val="00107131"/>
    <w:rsid w:val="0010736F"/>
    <w:rsid w:val="00113F73"/>
    <w:rsid w:val="00121CC2"/>
    <w:rsid w:val="00126FF0"/>
    <w:rsid w:val="00131425"/>
    <w:rsid w:val="00133EE5"/>
    <w:rsid w:val="00135D8F"/>
    <w:rsid w:val="00140299"/>
    <w:rsid w:val="00167A34"/>
    <w:rsid w:val="00176A70"/>
    <w:rsid w:val="001935F6"/>
    <w:rsid w:val="001A38DC"/>
    <w:rsid w:val="001A520D"/>
    <w:rsid w:val="001A7870"/>
    <w:rsid w:val="001B3A00"/>
    <w:rsid w:val="001B452A"/>
    <w:rsid w:val="001C1413"/>
    <w:rsid w:val="001C1B41"/>
    <w:rsid w:val="001D4ACA"/>
    <w:rsid w:val="001D65EF"/>
    <w:rsid w:val="001E49E7"/>
    <w:rsid w:val="001E70AB"/>
    <w:rsid w:val="001E725C"/>
    <w:rsid w:val="001F7201"/>
    <w:rsid w:val="00211029"/>
    <w:rsid w:val="00223A29"/>
    <w:rsid w:val="002250A3"/>
    <w:rsid w:val="00235217"/>
    <w:rsid w:val="00246D1F"/>
    <w:rsid w:val="00247403"/>
    <w:rsid w:val="00247542"/>
    <w:rsid w:val="002501FC"/>
    <w:rsid w:val="00250C5B"/>
    <w:rsid w:val="00256337"/>
    <w:rsid w:val="00266B61"/>
    <w:rsid w:val="0026712A"/>
    <w:rsid w:val="002704DB"/>
    <w:rsid w:val="002865A7"/>
    <w:rsid w:val="00295313"/>
    <w:rsid w:val="002A0AAE"/>
    <w:rsid w:val="002A5820"/>
    <w:rsid w:val="002B0DB0"/>
    <w:rsid w:val="002B17FE"/>
    <w:rsid w:val="002C12A5"/>
    <w:rsid w:val="002C1920"/>
    <w:rsid w:val="002D0DED"/>
    <w:rsid w:val="002D2B26"/>
    <w:rsid w:val="002D3BEB"/>
    <w:rsid w:val="002D7EA2"/>
    <w:rsid w:val="002E0305"/>
    <w:rsid w:val="002E0FD0"/>
    <w:rsid w:val="002E187C"/>
    <w:rsid w:val="002E5C0A"/>
    <w:rsid w:val="002E7515"/>
    <w:rsid w:val="002F2296"/>
    <w:rsid w:val="00302733"/>
    <w:rsid w:val="00305835"/>
    <w:rsid w:val="00306F33"/>
    <w:rsid w:val="0031235C"/>
    <w:rsid w:val="00314078"/>
    <w:rsid w:val="0031535D"/>
    <w:rsid w:val="0031548A"/>
    <w:rsid w:val="003239B8"/>
    <w:rsid w:val="0033169F"/>
    <w:rsid w:val="00344977"/>
    <w:rsid w:val="00346C95"/>
    <w:rsid w:val="00347ECF"/>
    <w:rsid w:val="003504BD"/>
    <w:rsid w:val="00356185"/>
    <w:rsid w:val="00360380"/>
    <w:rsid w:val="0037519E"/>
    <w:rsid w:val="00386091"/>
    <w:rsid w:val="00386CF0"/>
    <w:rsid w:val="00397DD5"/>
    <w:rsid w:val="003A7143"/>
    <w:rsid w:val="003B33FC"/>
    <w:rsid w:val="003B4B3B"/>
    <w:rsid w:val="003B70FB"/>
    <w:rsid w:val="003C1D7F"/>
    <w:rsid w:val="003C676B"/>
    <w:rsid w:val="003D3BC2"/>
    <w:rsid w:val="003E195B"/>
    <w:rsid w:val="003E6CA1"/>
    <w:rsid w:val="003F21C4"/>
    <w:rsid w:val="003F5154"/>
    <w:rsid w:val="003F5945"/>
    <w:rsid w:val="00405F9C"/>
    <w:rsid w:val="004065A8"/>
    <w:rsid w:val="00415041"/>
    <w:rsid w:val="004165C2"/>
    <w:rsid w:val="00422324"/>
    <w:rsid w:val="00426924"/>
    <w:rsid w:val="00427B9F"/>
    <w:rsid w:val="00441ECB"/>
    <w:rsid w:val="00445193"/>
    <w:rsid w:val="00462C1B"/>
    <w:rsid w:val="00467B7E"/>
    <w:rsid w:val="00473BB4"/>
    <w:rsid w:val="00477592"/>
    <w:rsid w:val="00486F1C"/>
    <w:rsid w:val="0049419D"/>
    <w:rsid w:val="004A2DC3"/>
    <w:rsid w:val="004A6A54"/>
    <w:rsid w:val="004B421C"/>
    <w:rsid w:val="004B7E31"/>
    <w:rsid w:val="004C1F19"/>
    <w:rsid w:val="004C20D2"/>
    <w:rsid w:val="004C2312"/>
    <w:rsid w:val="004C4B62"/>
    <w:rsid w:val="004C54C9"/>
    <w:rsid w:val="004D4ABA"/>
    <w:rsid w:val="004D6025"/>
    <w:rsid w:val="004E2649"/>
    <w:rsid w:val="004F626F"/>
    <w:rsid w:val="004F64FA"/>
    <w:rsid w:val="00501399"/>
    <w:rsid w:val="00501611"/>
    <w:rsid w:val="005047ED"/>
    <w:rsid w:val="00504B96"/>
    <w:rsid w:val="005056BF"/>
    <w:rsid w:val="0050633D"/>
    <w:rsid w:val="00507BC4"/>
    <w:rsid w:val="005128E4"/>
    <w:rsid w:val="005133DB"/>
    <w:rsid w:val="00514504"/>
    <w:rsid w:val="00521E1F"/>
    <w:rsid w:val="00525560"/>
    <w:rsid w:val="0054219C"/>
    <w:rsid w:val="00544C49"/>
    <w:rsid w:val="005516A1"/>
    <w:rsid w:val="00551D60"/>
    <w:rsid w:val="005559EF"/>
    <w:rsid w:val="00561A7B"/>
    <w:rsid w:val="00563557"/>
    <w:rsid w:val="0057402A"/>
    <w:rsid w:val="005771D0"/>
    <w:rsid w:val="005802F4"/>
    <w:rsid w:val="0059191A"/>
    <w:rsid w:val="005921FF"/>
    <w:rsid w:val="0059640D"/>
    <w:rsid w:val="005A1188"/>
    <w:rsid w:val="005A24ED"/>
    <w:rsid w:val="005A6D0E"/>
    <w:rsid w:val="005B52B0"/>
    <w:rsid w:val="005B6806"/>
    <w:rsid w:val="005C3234"/>
    <w:rsid w:val="005C4225"/>
    <w:rsid w:val="005D2355"/>
    <w:rsid w:val="005F0DAD"/>
    <w:rsid w:val="005F0F33"/>
    <w:rsid w:val="005F546B"/>
    <w:rsid w:val="00600DEB"/>
    <w:rsid w:val="006159C6"/>
    <w:rsid w:val="006276E5"/>
    <w:rsid w:val="00627C9F"/>
    <w:rsid w:val="006311E9"/>
    <w:rsid w:val="00632354"/>
    <w:rsid w:val="00635421"/>
    <w:rsid w:val="006426A4"/>
    <w:rsid w:val="00642810"/>
    <w:rsid w:val="0065215C"/>
    <w:rsid w:val="00652333"/>
    <w:rsid w:val="00660B02"/>
    <w:rsid w:val="00662158"/>
    <w:rsid w:val="0068009E"/>
    <w:rsid w:val="00680EC4"/>
    <w:rsid w:val="00683F9D"/>
    <w:rsid w:val="00692219"/>
    <w:rsid w:val="006A17D2"/>
    <w:rsid w:val="006A2DF6"/>
    <w:rsid w:val="006A73E6"/>
    <w:rsid w:val="006B2D5C"/>
    <w:rsid w:val="006B4D68"/>
    <w:rsid w:val="006C0ECF"/>
    <w:rsid w:val="006C4EB1"/>
    <w:rsid w:val="006D34D8"/>
    <w:rsid w:val="006D6702"/>
    <w:rsid w:val="006E0166"/>
    <w:rsid w:val="006E2FFB"/>
    <w:rsid w:val="006E7528"/>
    <w:rsid w:val="006E7B34"/>
    <w:rsid w:val="006F66D9"/>
    <w:rsid w:val="0070697F"/>
    <w:rsid w:val="007103C4"/>
    <w:rsid w:val="0071451F"/>
    <w:rsid w:val="0072199C"/>
    <w:rsid w:val="00722C9F"/>
    <w:rsid w:val="00722E65"/>
    <w:rsid w:val="007253B8"/>
    <w:rsid w:val="0073741F"/>
    <w:rsid w:val="0076643F"/>
    <w:rsid w:val="00770D1D"/>
    <w:rsid w:val="00770FD0"/>
    <w:rsid w:val="00777F63"/>
    <w:rsid w:val="00780C06"/>
    <w:rsid w:val="00784F0C"/>
    <w:rsid w:val="007871D7"/>
    <w:rsid w:val="007932A8"/>
    <w:rsid w:val="007935A4"/>
    <w:rsid w:val="007A0BA7"/>
    <w:rsid w:val="007A5817"/>
    <w:rsid w:val="007B05C4"/>
    <w:rsid w:val="007B276D"/>
    <w:rsid w:val="007B3CF6"/>
    <w:rsid w:val="007B60E9"/>
    <w:rsid w:val="007B6CC3"/>
    <w:rsid w:val="007B76D3"/>
    <w:rsid w:val="007C0161"/>
    <w:rsid w:val="007C24F0"/>
    <w:rsid w:val="007C3334"/>
    <w:rsid w:val="007D2B98"/>
    <w:rsid w:val="007D443C"/>
    <w:rsid w:val="007E21BC"/>
    <w:rsid w:val="007E297A"/>
    <w:rsid w:val="007E7C82"/>
    <w:rsid w:val="007F2AA1"/>
    <w:rsid w:val="007F5823"/>
    <w:rsid w:val="007F588D"/>
    <w:rsid w:val="00803F1C"/>
    <w:rsid w:val="0080600E"/>
    <w:rsid w:val="00812E39"/>
    <w:rsid w:val="0081432C"/>
    <w:rsid w:val="00814688"/>
    <w:rsid w:val="00817612"/>
    <w:rsid w:val="008177C3"/>
    <w:rsid w:val="00820A21"/>
    <w:rsid w:val="00826030"/>
    <w:rsid w:val="008338A4"/>
    <w:rsid w:val="00834D49"/>
    <w:rsid w:val="00837C45"/>
    <w:rsid w:val="00844730"/>
    <w:rsid w:val="008457C2"/>
    <w:rsid w:val="00857A82"/>
    <w:rsid w:val="00862F3E"/>
    <w:rsid w:val="00873836"/>
    <w:rsid w:val="00880703"/>
    <w:rsid w:val="00885737"/>
    <w:rsid w:val="00890650"/>
    <w:rsid w:val="00891652"/>
    <w:rsid w:val="0089178A"/>
    <w:rsid w:val="00893C28"/>
    <w:rsid w:val="008944DC"/>
    <w:rsid w:val="008953C3"/>
    <w:rsid w:val="00897ADF"/>
    <w:rsid w:val="00897E12"/>
    <w:rsid w:val="008A1F71"/>
    <w:rsid w:val="008A288E"/>
    <w:rsid w:val="008A6A21"/>
    <w:rsid w:val="008A7DB8"/>
    <w:rsid w:val="008A7E0F"/>
    <w:rsid w:val="008B02E5"/>
    <w:rsid w:val="008B12F5"/>
    <w:rsid w:val="008C4333"/>
    <w:rsid w:val="008C5E2D"/>
    <w:rsid w:val="008C61EA"/>
    <w:rsid w:val="008D768D"/>
    <w:rsid w:val="008E3759"/>
    <w:rsid w:val="008E3BFE"/>
    <w:rsid w:val="008F1912"/>
    <w:rsid w:val="008F67E1"/>
    <w:rsid w:val="00901A5A"/>
    <w:rsid w:val="0090270B"/>
    <w:rsid w:val="00903716"/>
    <w:rsid w:val="009041DC"/>
    <w:rsid w:val="00917B5A"/>
    <w:rsid w:val="00920A58"/>
    <w:rsid w:val="00920A8C"/>
    <w:rsid w:val="00924E2A"/>
    <w:rsid w:val="00934A2C"/>
    <w:rsid w:val="00953F30"/>
    <w:rsid w:val="00955371"/>
    <w:rsid w:val="00965DC2"/>
    <w:rsid w:val="0096706E"/>
    <w:rsid w:val="00970664"/>
    <w:rsid w:val="00971826"/>
    <w:rsid w:val="00971B86"/>
    <w:rsid w:val="00971CB5"/>
    <w:rsid w:val="009728AB"/>
    <w:rsid w:val="00974491"/>
    <w:rsid w:val="0097551C"/>
    <w:rsid w:val="00975A50"/>
    <w:rsid w:val="00975C4E"/>
    <w:rsid w:val="00981FBA"/>
    <w:rsid w:val="00987BA9"/>
    <w:rsid w:val="00990B35"/>
    <w:rsid w:val="0099165D"/>
    <w:rsid w:val="00997BC5"/>
    <w:rsid w:val="009A01AB"/>
    <w:rsid w:val="009A4F41"/>
    <w:rsid w:val="009B09E5"/>
    <w:rsid w:val="009B201C"/>
    <w:rsid w:val="009B381B"/>
    <w:rsid w:val="009B4188"/>
    <w:rsid w:val="009D1753"/>
    <w:rsid w:val="009D410B"/>
    <w:rsid w:val="009D45FF"/>
    <w:rsid w:val="009D54E6"/>
    <w:rsid w:val="009D7611"/>
    <w:rsid w:val="009E0B61"/>
    <w:rsid w:val="009E0D7B"/>
    <w:rsid w:val="009E53DE"/>
    <w:rsid w:val="009F563C"/>
    <w:rsid w:val="00A00039"/>
    <w:rsid w:val="00A11212"/>
    <w:rsid w:val="00A11E44"/>
    <w:rsid w:val="00A30100"/>
    <w:rsid w:val="00A30F29"/>
    <w:rsid w:val="00A328B3"/>
    <w:rsid w:val="00A35ACC"/>
    <w:rsid w:val="00A50223"/>
    <w:rsid w:val="00A50FCF"/>
    <w:rsid w:val="00A528D1"/>
    <w:rsid w:val="00A56764"/>
    <w:rsid w:val="00A576CB"/>
    <w:rsid w:val="00A610CD"/>
    <w:rsid w:val="00A612CC"/>
    <w:rsid w:val="00A70CEE"/>
    <w:rsid w:val="00A758AA"/>
    <w:rsid w:val="00A83375"/>
    <w:rsid w:val="00A96503"/>
    <w:rsid w:val="00AA09A2"/>
    <w:rsid w:val="00AA1E36"/>
    <w:rsid w:val="00AA3C62"/>
    <w:rsid w:val="00AA7996"/>
    <w:rsid w:val="00AC19CB"/>
    <w:rsid w:val="00AC4D41"/>
    <w:rsid w:val="00AE039B"/>
    <w:rsid w:val="00AE5488"/>
    <w:rsid w:val="00AE6EEF"/>
    <w:rsid w:val="00AE6F91"/>
    <w:rsid w:val="00AF5571"/>
    <w:rsid w:val="00B03D79"/>
    <w:rsid w:val="00B07341"/>
    <w:rsid w:val="00B230E6"/>
    <w:rsid w:val="00B30539"/>
    <w:rsid w:val="00B3149C"/>
    <w:rsid w:val="00B314DB"/>
    <w:rsid w:val="00B32C2D"/>
    <w:rsid w:val="00B361F2"/>
    <w:rsid w:val="00B3718B"/>
    <w:rsid w:val="00B3745F"/>
    <w:rsid w:val="00B4632A"/>
    <w:rsid w:val="00B46C11"/>
    <w:rsid w:val="00B4718A"/>
    <w:rsid w:val="00B530F1"/>
    <w:rsid w:val="00B73F53"/>
    <w:rsid w:val="00B93D7F"/>
    <w:rsid w:val="00B94CFC"/>
    <w:rsid w:val="00BA276C"/>
    <w:rsid w:val="00BB019D"/>
    <w:rsid w:val="00BB306F"/>
    <w:rsid w:val="00BD0FF5"/>
    <w:rsid w:val="00BD4B89"/>
    <w:rsid w:val="00BD5922"/>
    <w:rsid w:val="00BE0069"/>
    <w:rsid w:val="00BF02CB"/>
    <w:rsid w:val="00BF6FD8"/>
    <w:rsid w:val="00C01C9D"/>
    <w:rsid w:val="00C03680"/>
    <w:rsid w:val="00C054DF"/>
    <w:rsid w:val="00C05ED7"/>
    <w:rsid w:val="00C21762"/>
    <w:rsid w:val="00C21FEF"/>
    <w:rsid w:val="00C23BA4"/>
    <w:rsid w:val="00C24543"/>
    <w:rsid w:val="00C256A2"/>
    <w:rsid w:val="00C25ADB"/>
    <w:rsid w:val="00C27E74"/>
    <w:rsid w:val="00C329DD"/>
    <w:rsid w:val="00C432BA"/>
    <w:rsid w:val="00C51515"/>
    <w:rsid w:val="00C5660B"/>
    <w:rsid w:val="00C666AC"/>
    <w:rsid w:val="00C66B72"/>
    <w:rsid w:val="00C719BB"/>
    <w:rsid w:val="00C77963"/>
    <w:rsid w:val="00C821C3"/>
    <w:rsid w:val="00C856B6"/>
    <w:rsid w:val="00C87AC4"/>
    <w:rsid w:val="00C93359"/>
    <w:rsid w:val="00C93685"/>
    <w:rsid w:val="00C93BEA"/>
    <w:rsid w:val="00C9433B"/>
    <w:rsid w:val="00C9486F"/>
    <w:rsid w:val="00C9567A"/>
    <w:rsid w:val="00C977DB"/>
    <w:rsid w:val="00CA7B40"/>
    <w:rsid w:val="00CB212D"/>
    <w:rsid w:val="00CB2660"/>
    <w:rsid w:val="00CC5E90"/>
    <w:rsid w:val="00CC77F0"/>
    <w:rsid w:val="00CD046C"/>
    <w:rsid w:val="00CD5055"/>
    <w:rsid w:val="00CE076C"/>
    <w:rsid w:val="00CE1426"/>
    <w:rsid w:val="00CE5199"/>
    <w:rsid w:val="00CE66D5"/>
    <w:rsid w:val="00CF637A"/>
    <w:rsid w:val="00D0268C"/>
    <w:rsid w:val="00D0540B"/>
    <w:rsid w:val="00D059DE"/>
    <w:rsid w:val="00D05ABD"/>
    <w:rsid w:val="00D13FCE"/>
    <w:rsid w:val="00D306D1"/>
    <w:rsid w:val="00D30800"/>
    <w:rsid w:val="00D34786"/>
    <w:rsid w:val="00D37BFC"/>
    <w:rsid w:val="00D41617"/>
    <w:rsid w:val="00D47A8E"/>
    <w:rsid w:val="00D5109E"/>
    <w:rsid w:val="00D51DC7"/>
    <w:rsid w:val="00D52D14"/>
    <w:rsid w:val="00D536C8"/>
    <w:rsid w:val="00D57B6A"/>
    <w:rsid w:val="00D712D3"/>
    <w:rsid w:val="00D71422"/>
    <w:rsid w:val="00D72DC6"/>
    <w:rsid w:val="00D7558D"/>
    <w:rsid w:val="00D81D92"/>
    <w:rsid w:val="00D84E49"/>
    <w:rsid w:val="00D876F9"/>
    <w:rsid w:val="00D93848"/>
    <w:rsid w:val="00D95A0E"/>
    <w:rsid w:val="00DA7B5F"/>
    <w:rsid w:val="00DB1FE5"/>
    <w:rsid w:val="00DB2A71"/>
    <w:rsid w:val="00DC0D0F"/>
    <w:rsid w:val="00DC11E7"/>
    <w:rsid w:val="00DC24E3"/>
    <w:rsid w:val="00DC28EF"/>
    <w:rsid w:val="00DC2A73"/>
    <w:rsid w:val="00DC7023"/>
    <w:rsid w:val="00DC769A"/>
    <w:rsid w:val="00DD3D86"/>
    <w:rsid w:val="00DD4AD2"/>
    <w:rsid w:val="00DE2862"/>
    <w:rsid w:val="00DF07A6"/>
    <w:rsid w:val="00DF123E"/>
    <w:rsid w:val="00DF1EC4"/>
    <w:rsid w:val="00DF2E53"/>
    <w:rsid w:val="00E0340B"/>
    <w:rsid w:val="00E04A90"/>
    <w:rsid w:val="00E0551F"/>
    <w:rsid w:val="00E07195"/>
    <w:rsid w:val="00E219C7"/>
    <w:rsid w:val="00E24D27"/>
    <w:rsid w:val="00E4118C"/>
    <w:rsid w:val="00E43157"/>
    <w:rsid w:val="00E439BE"/>
    <w:rsid w:val="00E461CE"/>
    <w:rsid w:val="00E573E4"/>
    <w:rsid w:val="00E62F9E"/>
    <w:rsid w:val="00E63017"/>
    <w:rsid w:val="00E64C3D"/>
    <w:rsid w:val="00E65150"/>
    <w:rsid w:val="00E65AC7"/>
    <w:rsid w:val="00E677DA"/>
    <w:rsid w:val="00E720CA"/>
    <w:rsid w:val="00E8167D"/>
    <w:rsid w:val="00E84EB5"/>
    <w:rsid w:val="00E85662"/>
    <w:rsid w:val="00E8789F"/>
    <w:rsid w:val="00E933AA"/>
    <w:rsid w:val="00E97B71"/>
    <w:rsid w:val="00EA3D34"/>
    <w:rsid w:val="00EA5E65"/>
    <w:rsid w:val="00EA674D"/>
    <w:rsid w:val="00EB454D"/>
    <w:rsid w:val="00EB456B"/>
    <w:rsid w:val="00EC1FB6"/>
    <w:rsid w:val="00EC4F1B"/>
    <w:rsid w:val="00ED49EE"/>
    <w:rsid w:val="00ED549D"/>
    <w:rsid w:val="00ED5E10"/>
    <w:rsid w:val="00ED76BE"/>
    <w:rsid w:val="00EE00E9"/>
    <w:rsid w:val="00EE1A0A"/>
    <w:rsid w:val="00EE65F8"/>
    <w:rsid w:val="00EF1AAA"/>
    <w:rsid w:val="00EF34EF"/>
    <w:rsid w:val="00EF3504"/>
    <w:rsid w:val="00EF619B"/>
    <w:rsid w:val="00F00B55"/>
    <w:rsid w:val="00F02AD1"/>
    <w:rsid w:val="00F05508"/>
    <w:rsid w:val="00F11F52"/>
    <w:rsid w:val="00F1216D"/>
    <w:rsid w:val="00F131DF"/>
    <w:rsid w:val="00F211BF"/>
    <w:rsid w:val="00F253CC"/>
    <w:rsid w:val="00F254AE"/>
    <w:rsid w:val="00F27272"/>
    <w:rsid w:val="00F37106"/>
    <w:rsid w:val="00F4158B"/>
    <w:rsid w:val="00F44E25"/>
    <w:rsid w:val="00F462F4"/>
    <w:rsid w:val="00F46E94"/>
    <w:rsid w:val="00F5143E"/>
    <w:rsid w:val="00F519CF"/>
    <w:rsid w:val="00F56BA5"/>
    <w:rsid w:val="00F60E22"/>
    <w:rsid w:val="00F71378"/>
    <w:rsid w:val="00F76056"/>
    <w:rsid w:val="00F77BCB"/>
    <w:rsid w:val="00F81395"/>
    <w:rsid w:val="00F81AB0"/>
    <w:rsid w:val="00F81BB8"/>
    <w:rsid w:val="00F81CCE"/>
    <w:rsid w:val="00F86287"/>
    <w:rsid w:val="00F90C64"/>
    <w:rsid w:val="00F917D1"/>
    <w:rsid w:val="00F9653B"/>
    <w:rsid w:val="00FB62CF"/>
    <w:rsid w:val="00FC2EF3"/>
    <w:rsid w:val="00FD3C3B"/>
    <w:rsid w:val="00FE07DD"/>
    <w:rsid w:val="00FE1CEA"/>
    <w:rsid w:val="00FE6B45"/>
    <w:rsid w:val="00FF01A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7E1"/>
    <w:rPr>
      <w:sz w:val="16"/>
      <w:szCs w:val="16"/>
    </w:rPr>
  </w:style>
  <w:style w:type="paragraph" w:styleId="CommentText">
    <w:name w:val="annotation text"/>
    <w:basedOn w:val="Normal"/>
    <w:link w:val="CommentTextChar"/>
    <w:uiPriority w:val="99"/>
    <w:semiHidden/>
    <w:unhideWhenUsed/>
    <w:rsid w:val="008F67E1"/>
    <w:rPr>
      <w:sz w:val="20"/>
      <w:szCs w:val="20"/>
    </w:rPr>
  </w:style>
  <w:style w:type="character" w:customStyle="1" w:styleId="CommentTextChar">
    <w:name w:val="Comment Text Char"/>
    <w:basedOn w:val="DefaultParagraphFont"/>
    <w:link w:val="CommentText"/>
    <w:uiPriority w:val="99"/>
    <w:semiHidden/>
    <w:rsid w:val="008F67E1"/>
    <w:rPr>
      <w:lang w:val="en-US" w:eastAsia="en-US"/>
    </w:rPr>
  </w:style>
  <w:style w:type="paragraph" w:styleId="CommentSubject">
    <w:name w:val="annotation subject"/>
    <w:basedOn w:val="CommentText"/>
    <w:next w:val="CommentText"/>
    <w:link w:val="CommentSubjectChar"/>
    <w:uiPriority w:val="99"/>
    <w:semiHidden/>
    <w:unhideWhenUsed/>
    <w:rsid w:val="008F67E1"/>
    <w:rPr>
      <w:b/>
      <w:bCs/>
    </w:rPr>
  </w:style>
  <w:style w:type="character" w:customStyle="1" w:styleId="CommentSubjectChar">
    <w:name w:val="Comment Subject Char"/>
    <w:basedOn w:val="CommentTextChar"/>
    <w:link w:val="CommentSubject"/>
    <w:uiPriority w:val="99"/>
    <w:semiHidden/>
    <w:rsid w:val="008F67E1"/>
    <w:rPr>
      <w:b/>
      <w:bCs/>
      <w:lang w:val="en-US" w:eastAsia="en-US"/>
    </w:rPr>
  </w:style>
  <w:style w:type="paragraph" w:customStyle="1" w:styleId="Char2">
    <w:name w:val="Char2"/>
    <w:basedOn w:val="Normal"/>
    <w:link w:val="FootnoteReference"/>
    <w:uiPriority w:val="99"/>
    <w:rsid w:val="00347EC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5619">
      <w:bodyDiv w:val="1"/>
      <w:marLeft w:val="0"/>
      <w:marRight w:val="0"/>
      <w:marTop w:val="0"/>
      <w:marBottom w:val="0"/>
      <w:divBdr>
        <w:top w:val="none" w:sz="0" w:space="0" w:color="auto"/>
        <w:left w:val="none" w:sz="0" w:space="0" w:color="auto"/>
        <w:bottom w:val="none" w:sz="0" w:space="0" w:color="auto"/>
        <w:right w:val="none" w:sz="0" w:space="0" w:color="auto"/>
      </w:divBdr>
    </w:div>
    <w:div w:id="105519836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786547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945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3868"/>
    <w:rsid w:val="00040317"/>
    <w:rsid w:val="001D4C0E"/>
    <w:rsid w:val="00200821"/>
    <w:rsid w:val="0025245B"/>
    <w:rsid w:val="002A3923"/>
    <w:rsid w:val="002E1EB2"/>
    <w:rsid w:val="002F7227"/>
    <w:rsid w:val="00331E9F"/>
    <w:rsid w:val="00394049"/>
    <w:rsid w:val="003B0C71"/>
    <w:rsid w:val="003C4D0F"/>
    <w:rsid w:val="00454893"/>
    <w:rsid w:val="004B5BBB"/>
    <w:rsid w:val="004F2DF8"/>
    <w:rsid w:val="00517E2A"/>
    <w:rsid w:val="006F24A1"/>
    <w:rsid w:val="0084399E"/>
    <w:rsid w:val="008710A3"/>
    <w:rsid w:val="00986858"/>
    <w:rsid w:val="009A261B"/>
    <w:rsid w:val="00AA2E17"/>
    <w:rsid w:val="00AC15A4"/>
    <w:rsid w:val="00B0336C"/>
    <w:rsid w:val="00B57AA1"/>
    <w:rsid w:val="00CB4F2C"/>
    <w:rsid w:val="00D241E9"/>
    <w:rsid w:val="00D7750D"/>
    <w:rsid w:val="00D92FCB"/>
    <w:rsid w:val="00E709F5"/>
    <w:rsid w:val="00ED4A14"/>
    <w:rsid w:val="00EF7FC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9/22</dc:title>
  <dc:creator/>
  <cp:lastModifiedBy/>
  <cp:revision>1</cp:revision>
  <dcterms:created xsi:type="dcterms:W3CDTF">2022-04-13T17:23:00Z</dcterms:created>
  <dcterms:modified xsi:type="dcterms:W3CDTF">2022-04-13T17:23:00Z</dcterms:modified>
</cp:coreProperties>
</file>