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A969DC" w:rsidRDefault="00D306D1" w:rsidP="00627C9F">
      <w:pPr>
        <w:jc w:val="both"/>
        <w:rPr>
          <w:rFonts w:asciiTheme="majorHAnsi" w:hAnsiTheme="majorHAnsi" w:cs="Univers"/>
          <w:b/>
          <w:bCs/>
          <w:sz w:val="22"/>
          <w:szCs w:val="22"/>
          <w:lang w:val="es-ES"/>
        </w:rPr>
      </w:pPr>
      <w:r w:rsidRPr="00A969DC">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B7D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969DC">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A969DC">
        <w:rPr>
          <w:rFonts w:asciiTheme="majorHAnsi" w:hAnsiTheme="majorHAnsi" w:cs="Univers"/>
          <w:b/>
          <w:bCs/>
          <w:sz w:val="22"/>
          <w:szCs w:val="22"/>
          <w:lang w:val="es-ES"/>
        </w:rPr>
        <w:t xml:space="preserve"> </w:t>
      </w:r>
    </w:p>
    <w:p w14:paraId="751BC92D" w14:textId="77777777" w:rsidR="00040C3A" w:rsidRPr="00A969DC"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A969DC"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A969DC" w:rsidRDefault="005128E4" w:rsidP="00040C3A">
      <w:pPr>
        <w:tabs>
          <w:tab w:val="center" w:pos="5400"/>
        </w:tabs>
        <w:suppressAutoHyphens/>
        <w:rPr>
          <w:rFonts w:asciiTheme="majorHAnsi" w:hAnsiTheme="majorHAnsi"/>
          <w:sz w:val="22"/>
          <w:szCs w:val="22"/>
          <w:lang w:val="es-ES"/>
        </w:rPr>
      </w:pPr>
    </w:p>
    <w:p w14:paraId="7F51F08B" w14:textId="77777777" w:rsidR="005128E4" w:rsidRPr="00A969DC" w:rsidRDefault="005128E4" w:rsidP="00040C3A">
      <w:pPr>
        <w:tabs>
          <w:tab w:val="center" w:pos="5400"/>
        </w:tabs>
        <w:suppressAutoHyphens/>
        <w:rPr>
          <w:rFonts w:asciiTheme="majorHAnsi" w:hAnsiTheme="majorHAnsi"/>
          <w:sz w:val="22"/>
          <w:szCs w:val="22"/>
          <w:lang w:val="es-ES"/>
        </w:rPr>
      </w:pPr>
    </w:p>
    <w:p w14:paraId="058606A7" w14:textId="77777777" w:rsidR="005128E4" w:rsidRPr="00A969DC" w:rsidRDefault="005128E4" w:rsidP="00040C3A">
      <w:pPr>
        <w:tabs>
          <w:tab w:val="center" w:pos="5400"/>
        </w:tabs>
        <w:suppressAutoHyphens/>
        <w:rPr>
          <w:rFonts w:asciiTheme="majorHAnsi" w:hAnsiTheme="majorHAnsi"/>
          <w:sz w:val="22"/>
          <w:szCs w:val="22"/>
          <w:lang w:val="es-ES"/>
        </w:rPr>
      </w:pPr>
    </w:p>
    <w:p w14:paraId="01B9D56A" w14:textId="77777777" w:rsidR="00040C3A" w:rsidRPr="00A969DC"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A969DC"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A969DC"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A969DC"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A969DC"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A969DC" w:rsidRDefault="003D3BC2" w:rsidP="00040C3A">
      <w:pPr>
        <w:tabs>
          <w:tab w:val="center" w:pos="5400"/>
        </w:tabs>
        <w:suppressAutoHyphens/>
        <w:jc w:val="center"/>
        <w:rPr>
          <w:rFonts w:asciiTheme="majorHAnsi" w:hAnsiTheme="majorHAnsi"/>
          <w:sz w:val="22"/>
          <w:szCs w:val="22"/>
          <w:lang w:val="es-ES"/>
        </w:rPr>
      </w:pPr>
      <w:r w:rsidRPr="00A969DC">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D2CD4C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37567">
                              <w:rPr>
                                <w:rFonts w:asciiTheme="majorHAnsi" w:hAnsiTheme="majorHAnsi" w:cs="Arial"/>
                                <w:b/>
                                <w:bCs/>
                                <w:color w:val="0D0D0D" w:themeColor="text1" w:themeTint="F2"/>
                                <w:sz w:val="36"/>
                                <w:szCs w:val="22"/>
                                <w:lang w:val="es-ES_tradnl"/>
                              </w:rPr>
                              <w:t>324</w:t>
                            </w:r>
                            <w:r w:rsidR="007B05C4">
                              <w:rPr>
                                <w:rFonts w:asciiTheme="majorHAnsi" w:hAnsiTheme="majorHAnsi" w:cs="Arial"/>
                                <w:b/>
                                <w:bCs/>
                                <w:color w:val="0D0D0D" w:themeColor="text1" w:themeTint="F2"/>
                                <w:sz w:val="36"/>
                                <w:szCs w:val="22"/>
                                <w:lang w:val="es-ES_tradnl"/>
                              </w:rPr>
                              <w:t>/</w:t>
                            </w:r>
                            <w:r w:rsidR="00093AAA">
                              <w:rPr>
                                <w:rFonts w:asciiTheme="majorHAnsi" w:hAnsiTheme="majorHAnsi" w:cs="Arial"/>
                                <w:b/>
                                <w:bCs/>
                                <w:color w:val="0D0D0D" w:themeColor="text1" w:themeTint="F2"/>
                                <w:sz w:val="36"/>
                                <w:szCs w:val="22"/>
                                <w:lang w:val="es-ES_tradnl"/>
                              </w:rPr>
                              <w:t>22</w:t>
                            </w:r>
                          </w:p>
                          <w:p w14:paraId="45F30ECA" w14:textId="78369E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3908">
                              <w:rPr>
                                <w:rFonts w:asciiTheme="majorHAnsi" w:hAnsiTheme="majorHAnsi" w:cs="Arial"/>
                                <w:b/>
                                <w:color w:val="0D0D0D" w:themeColor="text1" w:themeTint="F2"/>
                                <w:sz w:val="36"/>
                                <w:szCs w:val="22"/>
                                <w:lang w:val="es-ES_tradnl"/>
                              </w:rPr>
                              <w:t>828-13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3B1AD66D" w:rsidR="00B72EE8" w:rsidRDefault="006929E0" w:rsidP="00F56ECB">
                            <w:pPr>
                              <w:spacing w:line="276" w:lineRule="auto"/>
                              <w:rPr>
                                <w:rFonts w:asciiTheme="majorHAnsi" w:hAnsiTheme="majorHAnsi" w:cs="Arial"/>
                                <w:bCs/>
                                <w:color w:val="0D0D0D" w:themeColor="text1" w:themeTint="F2"/>
                                <w:szCs w:val="22"/>
                                <w:lang w:val="es-ES"/>
                              </w:rPr>
                            </w:pPr>
                            <w:r w:rsidRPr="006325FF">
                              <w:rPr>
                                <w:rFonts w:asciiTheme="majorHAnsi" w:hAnsiTheme="majorHAnsi" w:cs="Arial"/>
                                <w:bCs/>
                                <w:color w:val="0D0D0D" w:themeColor="text1" w:themeTint="F2"/>
                                <w:szCs w:val="22"/>
                                <w:lang w:val="es-ES"/>
                              </w:rPr>
                              <w:t>ALFREDO LÓPEZ GALLEGO</w:t>
                            </w:r>
                            <w:r>
                              <w:rPr>
                                <w:rFonts w:asciiTheme="majorHAnsi" w:hAnsiTheme="majorHAnsi" w:cs="Arial"/>
                                <w:bCs/>
                                <w:color w:val="0D0D0D" w:themeColor="text1" w:themeTint="F2"/>
                                <w:szCs w:val="22"/>
                                <w:lang w:val="es-ES"/>
                              </w:rPr>
                              <w:t xml:space="preserve"> Y 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D2CD4C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37567">
                        <w:rPr>
                          <w:rFonts w:asciiTheme="majorHAnsi" w:hAnsiTheme="majorHAnsi" w:cs="Arial"/>
                          <w:b/>
                          <w:bCs/>
                          <w:color w:val="0D0D0D" w:themeColor="text1" w:themeTint="F2"/>
                          <w:sz w:val="36"/>
                          <w:szCs w:val="22"/>
                          <w:lang w:val="es-ES_tradnl"/>
                        </w:rPr>
                        <w:t>324</w:t>
                      </w:r>
                      <w:r w:rsidR="007B05C4">
                        <w:rPr>
                          <w:rFonts w:asciiTheme="majorHAnsi" w:hAnsiTheme="majorHAnsi" w:cs="Arial"/>
                          <w:b/>
                          <w:bCs/>
                          <w:color w:val="0D0D0D" w:themeColor="text1" w:themeTint="F2"/>
                          <w:sz w:val="36"/>
                          <w:szCs w:val="22"/>
                          <w:lang w:val="es-ES_tradnl"/>
                        </w:rPr>
                        <w:t>/</w:t>
                      </w:r>
                      <w:r w:rsidR="00093AAA">
                        <w:rPr>
                          <w:rFonts w:asciiTheme="majorHAnsi" w:hAnsiTheme="majorHAnsi" w:cs="Arial"/>
                          <w:b/>
                          <w:bCs/>
                          <w:color w:val="0D0D0D" w:themeColor="text1" w:themeTint="F2"/>
                          <w:sz w:val="36"/>
                          <w:szCs w:val="22"/>
                          <w:lang w:val="es-ES_tradnl"/>
                        </w:rPr>
                        <w:t>22</w:t>
                      </w:r>
                    </w:p>
                    <w:p w14:paraId="45F30ECA" w14:textId="78369E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3908">
                        <w:rPr>
                          <w:rFonts w:asciiTheme="majorHAnsi" w:hAnsiTheme="majorHAnsi" w:cs="Arial"/>
                          <w:b/>
                          <w:color w:val="0D0D0D" w:themeColor="text1" w:themeTint="F2"/>
                          <w:sz w:val="36"/>
                          <w:szCs w:val="22"/>
                          <w:lang w:val="es-ES_tradnl"/>
                        </w:rPr>
                        <w:t>828-13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3B1AD66D" w:rsidR="00B72EE8" w:rsidRDefault="006929E0" w:rsidP="00F56ECB">
                      <w:pPr>
                        <w:spacing w:line="276" w:lineRule="auto"/>
                        <w:rPr>
                          <w:rFonts w:asciiTheme="majorHAnsi" w:hAnsiTheme="majorHAnsi" w:cs="Arial"/>
                          <w:bCs/>
                          <w:color w:val="0D0D0D" w:themeColor="text1" w:themeTint="F2"/>
                          <w:szCs w:val="22"/>
                          <w:lang w:val="es-ES"/>
                        </w:rPr>
                      </w:pPr>
                      <w:r w:rsidRPr="006325FF">
                        <w:rPr>
                          <w:rFonts w:asciiTheme="majorHAnsi" w:hAnsiTheme="majorHAnsi" w:cs="Arial"/>
                          <w:bCs/>
                          <w:color w:val="0D0D0D" w:themeColor="text1" w:themeTint="F2"/>
                          <w:szCs w:val="22"/>
                          <w:lang w:val="es-ES"/>
                        </w:rPr>
                        <w:t>ALFREDO LÓPEZ GALLEGO</w:t>
                      </w:r>
                      <w:r>
                        <w:rPr>
                          <w:rFonts w:asciiTheme="majorHAnsi" w:hAnsiTheme="majorHAnsi" w:cs="Arial"/>
                          <w:bCs/>
                          <w:color w:val="0D0D0D" w:themeColor="text1" w:themeTint="F2"/>
                          <w:szCs w:val="22"/>
                          <w:lang w:val="es-ES"/>
                        </w:rPr>
                        <w:t xml:space="preserve"> Y 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A969DC">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BEAF6AE" w:rsidR="00627C9F" w:rsidRPr="008900DB" w:rsidRDefault="00834D49" w:rsidP="007A5817">
                            <w:pPr>
                              <w:spacing w:line="276" w:lineRule="auto"/>
                              <w:jc w:val="right"/>
                              <w:rPr>
                                <w:rFonts w:asciiTheme="minorHAnsi" w:hAnsiTheme="minorHAnsi"/>
                                <w:color w:val="FFFFFF" w:themeColor="background1"/>
                                <w:sz w:val="22"/>
                                <w:lang w:val="es-AR"/>
                              </w:rPr>
                            </w:pPr>
                            <w:r w:rsidRPr="008900DB">
                              <w:rPr>
                                <w:rFonts w:asciiTheme="minorHAnsi" w:hAnsiTheme="minorHAnsi"/>
                                <w:color w:val="FFFFFF" w:themeColor="background1"/>
                                <w:sz w:val="22"/>
                                <w:lang w:val="es-AR"/>
                              </w:rPr>
                              <w:t>OEA/Ser.L/V/II</w:t>
                            </w:r>
                          </w:p>
                          <w:p w14:paraId="71D2D5D2" w14:textId="15B253A8" w:rsidR="00627C9F" w:rsidRPr="008900DB" w:rsidRDefault="00627C9F" w:rsidP="007A5817">
                            <w:pPr>
                              <w:spacing w:line="276" w:lineRule="auto"/>
                              <w:jc w:val="right"/>
                              <w:rPr>
                                <w:rFonts w:asciiTheme="minorHAnsi" w:hAnsiTheme="minorHAnsi"/>
                                <w:color w:val="FFFFFF" w:themeColor="background1"/>
                                <w:sz w:val="22"/>
                                <w:lang w:val="es-AR"/>
                              </w:rPr>
                            </w:pPr>
                            <w:r w:rsidRPr="008900DB">
                              <w:rPr>
                                <w:rFonts w:asciiTheme="minorHAnsi" w:hAnsiTheme="minorHAnsi"/>
                                <w:color w:val="FFFFFF" w:themeColor="background1"/>
                                <w:sz w:val="22"/>
                                <w:lang w:val="es-AR"/>
                              </w:rPr>
                              <w:t xml:space="preserve">Doc. </w:t>
                            </w:r>
                            <w:r w:rsidR="00837567" w:rsidRPr="008900DB">
                              <w:rPr>
                                <w:rFonts w:asciiTheme="minorHAnsi" w:hAnsiTheme="minorHAnsi"/>
                                <w:color w:val="FFFFFF" w:themeColor="background1"/>
                                <w:sz w:val="22"/>
                                <w:lang w:val="es-AR"/>
                              </w:rPr>
                              <w:t>331</w:t>
                            </w:r>
                          </w:p>
                          <w:p w14:paraId="4061DBBD" w14:textId="3C257536" w:rsidR="00627C9F" w:rsidRPr="00C25ADB" w:rsidRDefault="0083756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7B05C4" w:rsidRPr="000035FD">
                              <w:rPr>
                                <w:rFonts w:asciiTheme="minorHAnsi" w:hAnsiTheme="minorHAnsi"/>
                                <w:color w:val="FFFFFF" w:themeColor="background1"/>
                                <w:sz w:val="22"/>
                                <w:lang w:val="es-PA"/>
                              </w:rPr>
                              <w:t xml:space="preserve"> </w:t>
                            </w:r>
                            <w:r w:rsidR="00627C9F" w:rsidRPr="000035FD">
                              <w:rPr>
                                <w:rFonts w:asciiTheme="minorHAnsi" w:hAnsiTheme="minorHAnsi"/>
                                <w:color w:val="FFFFFF" w:themeColor="background1"/>
                                <w:sz w:val="22"/>
                                <w:lang w:val="es-PA"/>
                              </w:rPr>
                              <w:t>20</w:t>
                            </w:r>
                            <w:r w:rsidR="00C23BA4" w:rsidRPr="000035FD">
                              <w:rPr>
                                <w:rFonts w:asciiTheme="minorHAnsi" w:hAnsiTheme="minorHAnsi"/>
                                <w:color w:val="FFFFFF" w:themeColor="background1"/>
                                <w:sz w:val="22"/>
                                <w:lang w:val="es-PA"/>
                              </w:rPr>
                              <w:t>2</w:t>
                            </w:r>
                            <w:r w:rsidR="00867B7C" w:rsidRPr="000035FD">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BEAF6AE" w:rsidR="00627C9F" w:rsidRPr="008900DB" w:rsidRDefault="00834D49" w:rsidP="007A5817">
                      <w:pPr>
                        <w:spacing w:line="276" w:lineRule="auto"/>
                        <w:jc w:val="right"/>
                        <w:rPr>
                          <w:rFonts w:asciiTheme="minorHAnsi" w:hAnsiTheme="minorHAnsi"/>
                          <w:color w:val="FFFFFF" w:themeColor="background1"/>
                          <w:sz w:val="22"/>
                          <w:lang w:val="es-AR"/>
                        </w:rPr>
                      </w:pPr>
                      <w:r w:rsidRPr="008900DB">
                        <w:rPr>
                          <w:rFonts w:asciiTheme="minorHAnsi" w:hAnsiTheme="minorHAnsi"/>
                          <w:color w:val="FFFFFF" w:themeColor="background1"/>
                          <w:sz w:val="22"/>
                          <w:lang w:val="es-AR"/>
                        </w:rPr>
                        <w:t>OEA/Ser.L/V/II</w:t>
                      </w:r>
                    </w:p>
                    <w:p w14:paraId="71D2D5D2" w14:textId="15B253A8" w:rsidR="00627C9F" w:rsidRPr="008900DB" w:rsidRDefault="00627C9F" w:rsidP="007A5817">
                      <w:pPr>
                        <w:spacing w:line="276" w:lineRule="auto"/>
                        <w:jc w:val="right"/>
                        <w:rPr>
                          <w:rFonts w:asciiTheme="minorHAnsi" w:hAnsiTheme="minorHAnsi"/>
                          <w:color w:val="FFFFFF" w:themeColor="background1"/>
                          <w:sz w:val="22"/>
                          <w:lang w:val="es-AR"/>
                        </w:rPr>
                      </w:pPr>
                      <w:r w:rsidRPr="008900DB">
                        <w:rPr>
                          <w:rFonts w:asciiTheme="minorHAnsi" w:hAnsiTheme="minorHAnsi"/>
                          <w:color w:val="FFFFFF" w:themeColor="background1"/>
                          <w:sz w:val="22"/>
                          <w:lang w:val="es-AR"/>
                        </w:rPr>
                        <w:t xml:space="preserve">Doc. </w:t>
                      </w:r>
                      <w:r w:rsidR="00837567" w:rsidRPr="008900DB">
                        <w:rPr>
                          <w:rFonts w:asciiTheme="minorHAnsi" w:hAnsiTheme="minorHAnsi"/>
                          <w:color w:val="FFFFFF" w:themeColor="background1"/>
                          <w:sz w:val="22"/>
                          <w:lang w:val="es-AR"/>
                        </w:rPr>
                        <w:t>331</w:t>
                      </w:r>
                    </w:p>
                    <w:p w14:paraId="4061DBBD" w14:textId="3C257536" w:rsidR="00627C9F" w:rsidRPr="00C25ADB" w:rsidRDefault="0083756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7B05C4" w:rsidRPr="000035FD">
                        <w:rPr>
                          <w:rFonts w:asciiTheme="minorHAnsi" w:hAnsiTheme="minorHAnsi"/>
                          <w:color w:val="FFFFFF" w:themeColor="background1"/>
                          <w:sz w:val="22"/>
                          <w:lang w:val="es-PA"/>
                        </w:rPr>
                        <w:t xml:space="preserve"> </w:t>
                      </w:r>
                      <w:r w:rsidR="00627C9F" w:rsidRPr="000035FD">
                        <w:rPr>
                          <w:rFonts w:asciiTheme="minorHAnsi" w:hAnsiTheme="minorHAnsi"/>
                          <w:color w:val="FFFFFF" w:themeColor="background1"/>
                          <w:sz w:val="22"/>
                          <w:lang w:val="es-PA"/>
                        </w:rPr>
                        <w:t>20</w:t>
                      </w:r>
                      <w:r w:rsidR="00C23BA4" w:rsidRPr="000035FD">
                        <w:rPr>
                          <w:rFonts w:asciiTheme="minorHAnsi" w:hAnsiTheme="minorHAnsi"/>
                          <w:color w:val="FFFFFF" w:themeColor="background1"/>
                          <w:sz w:val="22"/>
                          <w:lang w:val="es-PA"/>
                        </w:rPr>
                        <w:t>2</w:t>
                      </w:r>
                      <w:r w:rsidR="00867B7C" w:rsidRPr="000035FD">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A969DC"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A969DC"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A969DC"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A969DC"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A969DC"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A969DC"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A969DC" w:rsidRDefault="0090270B" w:rsidP="00040C3A">
      <w:pPr>
        <w:tabs>
          <w:tab w:val="center" w:pos="5400"/>
        </w:tabs>
        <w:suppressAutoHyphens/>
        <w:jc w:val="center"/>
        <w:rPr>
          <w:rFonts w:asciiTheme="majorHAnsi" w:hAnsiTheme="majorHAnsi"/>
          <w:sz w:val="18"/>
          <w:szCs w:val="22"/>
          <w:lang w:val="es-ES"/>
        </w:rPr>
      </w:pPr>
      <w:r w:rsidRPr="00A969DC">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8BDD215"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DE52C0">
                              <w:rPr>
                                <w:rFonts w:asciiTheme="majorHAnsi" w:hAnsiTheme="majorHAnsi"/>
                                <w:color w:val="0D0D0D" w:themeColor="text1" w:themeTint="F2"/>
                                <w:sz w:val="18"/>
                                <w:szCs w:val="22"/>
                                <w:lang w:val="es-ES"/>
                              </w:rPr>
                              <w:t>29</w:t>
                            </w:r>
                            <w:r w:rsidRPr="00663F10">
                              <w:rPr>
                                <w:rFonts w:asciiTheme="majorHAnsi" w:hAnsiTheme="majorHAnsi"/>
                                <w:color w:val="0D0D0D" w:themeColor="text1" w:themeTint="F2"/>
                                <w:sz w:val="18"/>
                                <w:szCs w:val="22"/>
                                <w:lang w:val="es-ES"/>
                              </w:rPr>
                              <w:t xml:space="preserve"> de </w:t>
                            </w:r>
                            <w:r w:rsidR="00DE52C0">
                              <w:rPr>
                                <w:rFonts w:asciiTheme="majorHAnsi" w:hAnsiTheme="majorHAnsi"/>
                                <w:color w:val="0D0D0D" w:themeColor="text1" w:themeTint="F2"/>
                                <w:sz w:val="18"/>
                                <w:szCs w:val="22"/>
                                <w:lang w:val="es-ES"/>
                              </w:rPr>
                              <w:t>noviembre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30729D">
                              <w:rPr>
                                <w:rFonts w:asciiTheme="majorHAnsi" w:hAnsiTheme="majorHAnsi"/>
                                <w:color w:val="0D0D0D" w:themeColor="text1" w:themeTint="F2"/>
                                <w:sz w:val="18"/>
                                <w:szCs w:val="22"/>
                                <w:lang w:val="es-ES"/>
                              </w:rPr>
                              <w:t>2</w:t>
                            </w:r>
                            <w:r w:rsidR="000035F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8BDD215"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DE52C0">
                        <w:rPr>
                          <w:rFonts w:asciiTheme="majorHAnsi" w:hAnsiTheme="majorHAnsi"/>
                          <w:color w:val="0D0D0D" w:themeColor="text1" w:themeTint="F2"/>
                          <w:sz w:val="18"/>
                          <w:szCs w:val="22"/>
                          <w:lang w:val="es-ES"/>
                        </w:rPr>
                        <w:t>29</w:t>
                      </w:r>
                      <w:r w:rsidRPr="00663F10">
                        <w:rPr>
                          <w:rFonts w:asciiTheme="majorHAnsi" w:hAnsiTheme="majorHAnsi"/>
                          <w:color w:val="0D0D0D" w:themeColor="text1" w:themeTint="F2"/>
                          <w:sz w:val="18"/>
                          <w:szCs w:val="22"/>
                          <w:lang w:val="es-ES"/>
                        </w:rPr>
                        <w:t xml:space="preserve"> de </w:t>
                      </w:r>
                      <w:r w:rsidR="00DE52C0">
                        <w:rPr>
                          <w:rFonts w:asciiTheme="majorHAnsi" w:hAnsiTheme="majorHAnsi"/>
                          <w:color w:val="0D0D0D" w:themeColor="text1" w:themeTint="F2"/>
                          <w:sz w:val="18"/>
                          <w:szCs w:val="22"/>
                          <w:lang w:val="es-ES"/>
                        </w:rPr>
                        <w:t>noviembre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30729D">
                        <w:rPr>
                          <w:rFonts w:asciiTheme="majorHAnsi" w:hAnsiTheme="majorHAnsi"/>
                          <w:color w:val="0D0D0D" w:themeColor="text1" w:themeTint="F2"/>
                          <w:sz w:val="18"/>
                          <w:szCs w:val="22"/>
                          <w:lang w:val="es-ES"/>
                        </w:rPr>
                        <w:t>2</w:t>
                      </w:r>
                      <w:r w:rsidR="000035F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A969DC" w:rsidRDefault="0030729D" w:rsidP="00040C3A">
      <w:pPr>
        <w:tabs>
          <w:tab w:val="center" w:pos="5400"/>
        </w:tabs>
        <w:suppressAutoHyphens/>
        <w:jc w:val="center"/>
        <w:rPr>
          <w:rFonts w:asciiTheme="majorHAnsi" w:hAnsiTheme="majorHAnsi"/>
          <w:sz w:val="18"/>
          <w:szCs w:val="22"/>
          <w:lang w:val="es-ES"/>
        </w:rPr>
      </w:pPr>
      <w:r w:rsidRPr="00A969DC">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1B4D4" w14:textId="77777777" w:rsidR="00DE52C0" w:rsidRDefault="00113F73" w:rsidP="00113F73">
                            <w:pPr>
                              <w:spacing w:line="276" w:lineRule="auto"/>
                              <w:rPr>
                                <w:rFonts w:asciiTheme="majorHAnsi" w:hAnsiTheme="majorHAnsi"/>
                                <w:bCs/>
                                <w:color w:val="595959" w:themeColor="text1" w:themeTint="A6"/>
                                <w:sz w:val="18"/>
                                <w:szCs w:val="18"/>
                                <w:lang w:val="es-US"/>
                              </w:rPr>
                            </w:pPr>
                            <w:r w:rsidRPr="00890650">
                              <w:rPr>
                                <w:rFonts w:asciiTheme="majorHAnsi" w:hAnsiTheme="majorHAnsi"/>
                                <w:b/>
                                <w:color w:val="595959" w:themeColor="text1" w:themeTint="A6"/>
                                <w:sz w:val="18"/>
                                <w:szCs w:val="18"/>
                                <w:lang w:val="pt-BR"/>
                              </w:rPr>
                              <w:t>Citar como:</w:t>
                            </w:r>
                            <w:r w:rsidR="00BD01F7" w:rsidRPr="00BD01F7">
                              <w:rPr>
                                <w:rFonts w:asciiTheme="majorHAnsi" w:hAnsiTheme="majorHAnsi"/>
                                <w:b/>
                                <w:color w:val="595959" w:themeColor="text1" w:themeTint="A6"/>
                                <w:sz w:val="18"/>
                                <w:szCs w:val="18"/>
                                <w:lang w:val="pt-BR"/>
                              </w:rPr>
                              <w:t xml:space="preserve"> </w:t>
                            </w:r>
                            <w:r w:rsidR="00BD01F7" w:rsidRPr="00BD01F7">
                              <w:rPr>
                                <w:rFonts w:asciiTheme="majorHAnsi" w:hAnsiTheme="majorHAnsi"/>
                                <w:bCs/>
                                <w:color w:val="595959" w:themeColor="text1" w:themeTint="A6"/>
                                <w:sz w:val="18"/>
                                <w:szCs w:val="18"/>
                                <w:lang w:val="pt-BR"/>
                              </w:rPr>
                              <w:t xml:space="preserve">CIDH, Informe No. </w:t>
                            </w:r>
                            <w:r w:rsidR="00DE52C0" w:rsidRPr="00DE52C0">
                              <w:rPr>
                                <w:rFonts w:asciiTheme="majorHAnsi" w:hAnsiTheme="majorHAnsi"/>
                                <w:bCs/>
                                <w:color w:val="595959" w:themeColor="text1" w:themeTint="A6"/>
                                <w:sz w:val="18"/>
                                <w:szCs w:val="18"/>
                                <w:lang w:val="pt-BR"/>
                              </w:rPr>
                              <w:t>324</w:t>
                            </w:r>
                            <w:r w:rsidR="00BD01F7" w:rsidRPr="00DE52C0">
                              <w:rPr>
                                <w:rFonts w:asciiTheme="majorHAnsi" w:hAnsiTheme="majorHAnsi"/>
                                <w:bCs/>
                                <w:color w:val="595959" w:themeColor="text1" w:themeTint="A6"/>
                                <w:sz w:val="18"/>
                                <w:szCs w:val="18"/>
                                <w:lang w:val="pt-BR"/>
                              </w:rPr>
                              <w:t xml:space="preserve">/22. </w:t>
                            </w:r>
                            <w:r w:rsidR="00BD01F7" w:rsidRPr="00BD01F7">
                              <w:rPr>
                                <w:rFonts w:asciiTheme="majorHAnsi" w:hAnsiTheme="majorHAnsi"/>
                                <w:bCs/>
                                <w:color w:val="595959" w:themeColor="text1" w:themeTint="A6"/>
                                <w:sz w:val="18"/>
                                <w:szCs w:val="18"/>
                                <w:lang w:val="es-US"/>
                              </w:rPr>
                              <w:t xml:space="preserve">Petición 828-13. Admisibilidad. </w:t>
                            </w:r>
                          </w:p>
                          <w:p w14:paraId="7FD77785" w14:textId="5385183A" w:rsidR="00113F73" w:rsidRPr="00BD01F7" w:rsidRDefault="00BD01F7" w:rsidP="00113F73">
                            <w:pPr>
                              <w:spacing w:line="276" w:lineRule="auto"/>
                              <w:rPr>
                                <w:rFonts w:asciiTheme="majorHAnsi" w:hAnsiTheme="majorHAnsi"/>
                                <w:bCs/>
                                <w:color w:val="595959" w:themeColor="text1" w:themeTint="A6"/>
                                <w:sz w:val="18"/>
                                <w:szCs w:val="18"/>
                                <w:lang w:val="es-ES"/>
                              </w:rPr>
                            </w:pPr>
                            <w:r w:rsidRPr="00BD01F7">
                              <w:rPr>
                                <w:rFonts w:asciiTheme="majorHAnsi" w:hAnsiTheme="majorHAnsi"/>
                                <w:bCs/>
                                <w:color w:val="595959" w:themeColor="text1" w:themeTint="A6"/>
                                <w:sz w:val="18"/>
                                <w:szCs w:val="18"/>
                                <w:lang w:val="es-US"/>
                              </w:rPr>
                              <w:t xml:space="preserve">Alfredo López Gallego y otros. Colombia. </w:t>
                            </w:r>
                            <w:r w:rsidR="00DE52C0">
                              <w:rPr>
                                <w:rFonts w:asciiTheme="majorHAnsi" w:hAnsiTheme="majorHAnsi"/>
                                <w:bCs/>
                                <w:color w:val="595959" w:themeColor="text1" w:themeTint="A6"/>
                                <w:sz w:val="18"/>
                                <w:szCs w:val="18"/>
                                <w:lang w:val="es-US"/>
                              </w:rPr>
                              <w:t>29 de noviembre de 2022</w:t>
                            </w:r>
                            <w:r w:rsidRPr="00BD01F7">
                              <w:rPr>
                                <w:rFonts w:asciiTheme="majorHAnsi" w:hAnsiTheme="majorHAnsi"/>
                                <w:bCs/>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49E1B4D4" w14:textId="77777777" w:rsidR="00DE52C0" w:rsidRDefault="00113F73" w:rsidP="00113F73">
                      <w:pPr>
                        <w:spacing w:line="276" w:lineRule="auto"/>
                        <w:rPr>
                          <w:rFonts w:asciiTheme="majorHAnsi" w:hAnsiTheme="majorHAnsi"/>
                          <w:bCs/>
                          <w:color w:val="595959" w:themeColor="text1" w:themeTint="A6"/>
                          <w:sz w:val="18"/>
                          <w:szCs w:val="18"/>
                          <w:lang w:val="es-US"/>
                        </w:rPr>
                      </w:pPr>
                      <w:r w:rsidRPr="00890650">
                        <w:rPr>
                          <w:rFonts w:asciiTheme="majorHAnsi" w:hAnsiTheme="majorHAnsi"/>
                          <w:b/>
                          <w:color w:val="595959" w:themeColor="text1" w:themeTint="A6"/>
                          <w:sz w:val="18"/>
                          <w:szCs w:val="18"/>
                          <w:lang w:val="pt-BR"/>
                        </w:rPr>
                        <w:t>Citar como:</w:t>
                      </w:r>
                      <w:r w:rsidR="00BD01F7" w:rsidRPr="00BD01F7">
                        <w:rPr>
                          <w:rFonts w:asciiTheme="majorHAnsi" w:hAnsiTheme="majorHAnsi"/>
                          <w:b/>
                          <w:color w:val="595959" w:themeColor="text1" w:themeTint="A6"/>
                          <w:sz w:val="18"/>
                          <w:szCs w:val="18"/>
                          <w:lang w:val="pt-BR"/>
                        </w:rPr>
                        <w:t xml:space="preserve"> </w:t>
                      </w:r>
                      <w:r w:rsidR="00BD01F7" w:rsidRPr="00BD01F7">
                        <w:rPr>
                          <w:rFonts w:asciiTheme="majorHAnsi" w:hAnsiTheme="majorHAnsi"/>
                          <w:bCs/>
                          <w:color w:val="595959" w:themeColor="text1" w:themeTint="A6"/>
                          <w:sz w:val="18"/>
                          <w:szCs w:val="18"/>
                          <w:lang w:val="pt-BR"/>
                        </w:rPr>
                        <w:t xml:space="preserve">CIDH, Informe No. </w:t>
                      </w:r>
                      <w:r w:rsidR="00DE52C0" w:rsidRPr="00DE52C0">
                        <w:rPr>
                          <w:rFonts w:asciiTheme="majorHAnsi" w:hAnsiTheme="majorHAnsi"/>
                          <w:bCs/>
                          <w:color w:val="595959" w:themeColor="text1" w:themeTint="A6"/>
                          <w:sz w:val="18"/>
                          <w:szCs w:val="18"/>
                          <w:lang w:val="pt-BR"/>
                        </w:rPr>
                        <w:t>324</w:t>
                      </w:r>
                      <w:r w:rsidR="00BD01F7" w:rsidRPr="00DE52C0">
                        <w:rPr>
                          <w:rFonts w:asciiTheme="majorHAnsi" w:hAnsiTheme="majorHAnsi"/>
                          <w:bCs/>
                          <w:color w:val="595959" w:themeColor="text1" w:themeTint="A6"/>
                          <w:sz w:val="18"/>
                          <w:szCs w:val="18"/>
                          <w:lang w:val="pt-BR"/>
                        </w:rPr>
                        <w:t xml:space="preserve">/22. </w:t>
                      </w:r>
                      <w:r w:rsidR="00BD01F7" w:rsidRPr="00BD01F7">
                        <w:rPr>
                          <w:rFonts w:asciiTheme="majorHAnsi" w:hAnsiTheme="majorHAnsi"/>
                          <w:bCs/>
                          <w:color w:val="595959" w:themeColor="text1" w:themeTint="A6"/>
                          <w:sz w:val="18"/>
                          <w:szCs w:val="18"/>
                          <w:lang w:val="es-US"/>
                        </w:rPr>
                        <w:t xml:space="preserve">Petición 828-13. Admisibilidad. </w:t>
                      </w:r>
                    </w:p>
                    <w:p w14:paraId="7FD77785" w14:textId="5385183A" w:rsidR="00113F73" w:rsidRPr="00BD01F7" w:rsidRDefault="00BD01F7" w:rsidP="00113F73">
                      <w:pPr>
                        <w:spacing w:line="276" w:lineRule="auto"/>
                        <w:rPr>
                          <w:rFonts w:asciiTheme="majorHAnsi" w:hAnsiTheme="majorHAnsi"/>
                          <w:bCs/>
                          <w:color w:val="595959" w:themeColor="text1" w:themeTint="A6"/>
                          <w:sz w:val="18"/>
                          <w:szCs w:val="18"/>
                          <w:lang w:val="es-ES"/>
                        </w:rPr>
                      </w:pPr>
                      <w:r w:rsidRPr="00BD01F7">
                        <w:rPr>
                          <w:rFonts w:asciiTheme="majorHAnsi" w:hAnsiTheme="majorHAnsi"/>
                          <w:bCs/>
                          <w:color w:val="595959" w:themeColor="text1" w:themeTint="A6"/>
                          <w:sz w:val="18"/>
                          <w:szCs w:val="18"/>
                          <w:lang w:val="es-US"/>
                        </w:rPr>
                        <w:t xml:space="preserve">Alfredo López Gallego y otros. Colombia. </w:t>
                      </w:r>
                      <w:r w:rsidR="00DE52C0">
                        <w:rPr>
                          <w:rFonts w:asciiTheme="majorHAnsi" w:hAnsiTheme="majorHAnsi"/>
                          <w:bCs/>
                          <w:color w:val="595959" w:themeColor="text1" w:themeTint="A6"/>
                          <w:sz w:val="18"/>
                          <w:szCs w:val="18"/>
                          <w:lang w:val="es-US"/>
                        </w:rPr>
                        <w:t>29 de noviembre de 2022</w:t>
                      </w:r>
                      <w:r w:rsidRPr="00BD01F7">
                        <w:rPr>
                          <w:rFonts w:asciiTheme="majorHAnsi" w:hAnsiTheme="majorHAnsi"/>
                          <w:bCs/>
                          <w:color w:val="595959" w:themeColor="text1" w:themeTint="A6"/>
                          <w:sz w:val="18"/>
                          <w:szCs w:val="18"/>
                          <w:lang w:val="es-US"/>
                        </w:rPr>
                        <w:t>.</w:t>
                      </w:r>
                    </w:p>
                  </w:txbxContent>
                </v:textbox>
              </v:shape>
            </w:pict>
          </mc:Fallback>
        </mc:AlternateContent>
      </w:r>
    </w:p>
    <w:p w14:paraId="4730F205" w14:textId="43AE2643" w:rsidR="00A50FCF" w:rsidRPr="00A969DC"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A969DC" w:rsidRDefault="00A50FCF" w:rsidP="00040C3A">
      <w:pPr>
        <w:tabs>
          <w:tab w:val="center" w:pos="5400"/>
        </w:tabs>
        <w:suppressAutoHyphens/>
        <w:jc w:val="center"/>
        <w:rPr>
          <w:rFonts w:asciiTheme="majorHAnsi" w:hAnsiTheme="majorHAnsi"/>
          <w:sz w:val="18"/>
          <w:szCs w:val="22"/>
          <w:lang w:val="es-ES"/>
        </w:rPr>
      </w:pPr>
    </w:p>
    <w:p w14:paraId="0C9396CC" w14:textId="51FEF18C" w:rsidR="0090270B" w:rsidRPr="00A969DC" w:rsidRDefault="00D306D1" w:rsidP="005516A1">
      <w:pPr>
        <w:tabs>
          <w:tab w:val="center" w:pos="5400"/>
        </w:tabs>
        <w:suppressAutoHyphens/>
        <w:jc w:val="center"/>
        <w:rPr>
          <w:rFonts w:asciiTheme="majorHAnsi" w:hAnsiTheme="majorHAnsi"/>
          <w:b/>
          <w:sz w:val="20"/>
          <w:lang w:val="es-ES"/>
        </w:rPr>
      </w:pPr>
      <w:r w:rsidRPr="00A969DC">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67D335B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3C857B2D" w:rsidR="0070697F" w:rsidRPr="00A969DC" w:rsidRDefault="00F03491" w:rsidP="005516A1">
      <w:pPr>
        <w:tabs>
          <w:tab w:val="center" w:pos="5400"/>
        </w:tabs>
        <w:suppressAutoHyphens/>
        <w:jc w:val="center"/>
        <w:rPr>
          <w:rFonts w:asciiTheme="majorHAnsi" w:hAnsiTheme="majorHAnsi"/>
          <w:b/>
          <w:sz w:val="20"/>
          <w:lang w:val="es-ES"/>
        </w:rPr>
        <w:sectPr w:rsidR="0070697F" w:rsidRPr="00A969DC"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A969DC">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23F212E2">
                <wp:simplePos x="0" y="0"/>
                <wp:positionH relativeFrom="column">
                  <wp:posOffset>1301115</wp:posOffset>
                </wp:positionH>
                <wp:positionV relativeFrom="paragraph">
                  <wp:posOffset>555625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K53W7e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A969DC">
        <w:rPr>
          <w:rFonts w:asciiTheme="majorHAnsi" w:hAnsiTheme="majorHAnsi"/>
          <w:b/>
          <w:sz w:val="20"/>
          <w:lang w:val="es-ES"/>
        </w:rPr>
        <w:tab/>
      </w:r>
    </w:p>
    <w:p w14:paraId="2786EE58" w14:textId="77777777" w:rsidR="003239B8" w:rsidRPr="00093AAA" w:rsidRDefault="003239B8" w:rsidP="004A6A54">
      <w:pPr>
        <w:spacing w:after="240"/>
        <w:ind w:firstLine="720"/>
        <w:jc w:val="both"/>
        <w:rPr>
          <w:rFonts w:asciiTheme="majorHAnsi" w:hAnsiTheme="majorHAnsi"/>
          <w:b/>
          <w:bCs/>
          <w:sz w:val="20"/>
          <w:szCs w:val="20"/>
          <w:lang w:val="es-ES"/>
        </w:rPr>
      </w:pPr>
      <w:r w:rsidRPr="00A969DC">
        <w:rPr>
          <w:rFonts w:asciiTheme="majorHAnsi" w:hAnsiTheme="majorHAnsi"/>
          <w:b/>
          <w:bCs/>
          <w:sz w:val="20"/>
          <w:szCs w:val="20"/>
          <w:lang w:val="es-ES"/>
        </w:rPr>
        <w:lastRenderedPageBreak/>
        <w:t>I.</w:t>
      </w:r>
      <w:r w:rsidRPr="00A969DC">
        <w:rPr>
          <w:rFonts w:asciiTheme="majorHAnsi" w:hAnsiTheme="majorHAnsi"/>
          <w:b/>
          <w:bCs/>
          <w:sz w:val="20"/>
          <w:szCs w:val="20"/>
          <w:lang w:val="es-ES"/>
        </w:rPr>
        <w:tab/>
      </w:r>
      <w:r w:rsidRPr="00093AAA">
        <w:rPr>
          <w:rFonts w:asciiTheme="majorHAnsi" w:hAnsiTheme="majorHAnsi"/>
          <w:b/>
          <w:bCs/>
          <w:sz w:val="20"/>
          <w:szCs w:val="20"/>
          <w:lang w:val="es-ES"/>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900DB"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93AAA" w:rsidRDefault="003239B8" w:rsidP="008D2290">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Parte peticionaria:</w:t>
            </w:r>
          </w:p>
        </w:tc>
        <w:tc>
          <w:tcPr>
            <w:tcW w:w="5647" w:type="dxa"/>
            <w:vAlign w:val="center"/>
          </w:tcPr>
          <w:p w14:paraId="07DAAE2E" w14:textId="4C35CE1E" w:rsidR="003239B8" w:rsidRPr="00093AAA" w:rsidRDefault="00263908" w:rsidP="002F7768">
            <w:pPr>
              <w:jc w:val="both"/>
              <w:rPr>
                <w:rFonts w:asciiTheme="majorHAnsi" w:hAnsiTheme="majorHAnsi"/>
                <w:bCs/>
                <w:sz w:val="20"/>
                <w:szCs w:val="20"/>
                <w:lang w:val="es-ES"/>
              </w:rPr>
            </w:pPr>
            <w:r w:rsidRPr="00093AAA">
              <w:rPr>
                <w:rFonts w:asciiTheme="majorHAnsi" w:hAnsiTheme="majorHAnsi"/>
                <w:bCs/>
                <w:sz w:val="20"/>
                <w:szCs w:val="20"/>
                <w:lang w:val="es-ES"/>
              </w:rPr>
              <w:t>Carlos Juli</w:t>
            </w:r>
            <w:r w:rsidR="002F7768" w:rsidRPr="00093AAA">
              <w:rPr>
                <w:rFonts w:asciiTheme="majorHAnsi" w:hAnsiTheme="majorHAnsi"/>
                <w:bCs/>
                <w:sz w:val="20"/>
                <w:szCs w:val="20"/>
                <w:lang w:val="es-ES"/>
              </w:rPr>
              <w:t>á</w:t>
            </w:r>
            <w:r w:rsidRPr="00093AAA">
              <w:rPr>
                <w:rFonts w:asciiTheme="majorHAnsi" w:hAnsiTheme="majorHAnsi"/>
                <w:bCs/>
                <w:sz w:val="20"/>
                <w:szCs w:val="20"/>
                <w:lang w:val="es-ES"/>
              </w:rPr>
              <w:t>n Bermeo Casas</w:t>
            </w:r>
            <w:r w:rsidR="00A96519" w:rsidRPr="00093AAA">
              <w:rPr>
                <w:rFonts w:asciiTheme="majorHAnsi" w:hAnsiTheme="majorHAnsi"/>
                <w:bCs/>
                <w:sz w:val="20"/>
                <w:szCs w:val="20"/>
                <w:lang w:val="es-ES"/>
              </w:rPr>
              <w:t xml:space="preserve"> y</w:t>
            </w:r>
            <w:r w:rsidRPr="00093AAA">
              <w:rPr>
                <w:rFonts w:asciiTheme="majorHAnsi" w:hAnsiTheme="majorHAnsi"/>
                <w:bCs/>
                <w:sz w:val="20"/>
                <w:szCs w:val="20"/>
                <w:lang w:val="es-ES"/>
              </w:rPr>
              <w:t xml:space="preserve"> Aura Lucía Muñoz Bermeo</w:t>
            </w:r>
          </w:p>
        </w:tc>
      </w:tr>
      <w:tr w:rsidR="003239B8" w:rsidRPr="008900DB"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93AAA" w:rsidRDefault="00311E56" w:rsidP="008D2290">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93AAA">
                  <w:rPr>
                    <w:rFonts w:asciiTheme="majorHAnsi" w:hAnsiTheme="majorHAnsi"/>
                    <w:b/>
                    <w:bCs/>
                    <w:color w:val="FFFFFF" w:themeColor="background1"/>
                    <w:sz w:val="20"/>
                    <w:szCs w:val="20"/>
                    <w:lang w:val="es-ES"/>
                  </w:rPr>
                  <w:t>Presunta víctima</w:t>
                </w:r>
              </w:sdtContent>
            </w:sdt>
            <w:r w:rsidR="003239B8" w:rsidRPr="00093AAA">
              <w:rPr>
                <w:rFonts w:asciiTheme="majorHAnsi" w:hAnsiTheme="majorHAnsi"/>
                <w:b/>
                <w:bCs/>
                <w:color w:val="FFFFFF" w:themeColor="background1"/>
                <w:sz w:val="20"/>
                <w:szCs w:val="20"/>
                <w:lang w:val="es-ES"/>
              </w:rPr>
              <w:t>:</w:t>
            </w:r>
          </w:p>
        </w:tc>
        <w:tc>
          <w:tcPr>
            <w:tcW w:w="5647" w:type="dxa"/>
            <w:vAlign w:val="center"/>
          </w:tcPr>
          <w:p w14:paraId="143D44A8" w14:textId="6F3928E4" w:rsidR="003239B8" w:rsidRPr="00093AAA" w:rsidRDefault="00263908" w:rsidP="008D2290">
            <w:pPr>
              <w:jc w:val="both"/>
              <w:rPr>
                <w:rFonts w:asciiTheme="majorHAnsi" w:hAnsiTheme="majorHAnsi"/>
                <w:bCs/>
                <w:sz w:val="20"/>
                <w:szCs w:val="20"/>
                <w:lang w:val="es-ES"/>
              </w:rPr>
            </w:pPr>
            <w:r w:rsidRPr="00093AAA">
              <w:rPr>
                <w:rFonts w:asciiTheme="majorHAnsi" w:hAnsiTheme="majorHAnsi"/>
                <w:bCs/>
                <w:sz w:val="20"/>
                <w:szCs w:val="20"/>
                <w:lang w:val="es-ES"/>
              </w:rPr>
              <w:t>Alfredo López Gallego</w:t>
            </w:r>
            <w:r w:rsidR="00011113" w:rsidRPr="00093AAA">
              <w:rPr>
                <w:rFonts w:asciiTheme="majorHAnsi" w:hAnsiTheme="majorHAnsi"/>
                <w:bCs/>
                <w:sz w:val="20"/>
                <w:szCs w:val="20"/>
                <w:lang w:val="es-ES"/>
              </w:rPr>
              <w:t xml:space="preserve"> y </w:t>
            </w:r>
            <w:r w:rsidR="00B92CCF" w:rsidRPr="00093AAA">
              <w:rPr>
                <w:rFonts w:asciiTheme="majorHAnsi" w:hAnsiTheme="majorHAnsi"/>
                <w:bCs/>
                <w:sz w:val="20"/>
                <w:szCs w:val="20"/>
                <w:lang w:val="es-ES"/>
              </w:rPr>
              <w:t>otros</w:t>
            </w:r>
            <w:r w:rsidR="00011113" w:rsidRPr="00093AAA">
              <w:rPr>
                <w:rStyle w:val="FootnoteReference"/>
                <w:rFonts w:asciiTheme="majorHAnsi" w:hAnsiTheme="majorHAnsi"/>
                <w:bCs/>
                <w:sz w:val="20"/>
                <w:szCs w:val="20"/>
                <w:lang w:val="es-ES"/>
              </w:rPr>
              <w:footnoteReference w:id="2"/>
            </w:r>
          </w:p>
        </w:tc>
      </w:tr>
      <w:tr w:rsidR="003239B8" w:rsidRPr="00093AAA"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93AAA" w:rsidRDefault="003239B8" w:rsidP="008D2290">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Estado denunciado:</w:t>
            </w:r>
          </w:p>
        </w:tc>
        <w:tc>
          <w:tcPr>
            <w:tcW w:w="5647" w:type="dxa"/>
            <w:vAlign w:val="center"/>
          </w:tcPr>
          <w:p w14:paraId="5D0EC05D" w14:textId="074B658E" w:rsidR="003239B8" w:rsidRPr="00093AAA" w:rsidRDefault="00263908" w:rsidP="008D2290">
            <w:pPr>
              <w:jc w:val="both"/>
              <w:rPr>
                <w:rFonts w:asciiTheme="majorHAnsi" w:hAnsiTheme="majorHAnsi"/>
                <w:bCs/>
                <w:sz w:val="20"/>
                <w:szCs w:val="20"/>
                <w:lang w:val="es-ES"/>
              </w:rPr>
            </w:pPr>
            <w:r w:rsidRPr="00093AAA">
              <w:rPr>
                <w:rFonts w:asciiTheme="majorHAnsi" w:hAnsiTheme="majorHAnsi"/>
                <w:bCs/>
                <w:sz w:val="20"/>
                <w:szCs w:val="20"/>
                <w:lang w:val="es-ES"/>
              </w:rPr>
              <w:t>Colombia</w:t>
            </w:r>
            <w:r w:rsidR="00130DC3" w:rsidRPr="00093AAA">
              <w:rPr>
                <w:rStyle w:val="FootnoteReference"/>
                <w:rFonts w:asciiTheme="majorHAnsi" w:hAnsiTheme="majorHAnsi"/>
                <w:bCs/>
                <w:sz w:val="20"/>
                <w:szCs w:val="20"/>
                <w:lang w:val="es-ES"/>
              </w:rPr>
              <w:footnoteReference w:id="3"/>
            </w:r>
          </w:p>
        </w:tc>
      </w:tr>
      <w:tr w:rsidR="00223A29" w:rsidRPr="008900DB"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93AAA" w:rsidRDefault="001B3A00" w:rsidP="00E4118C">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 xml:space="preserve">Derechos </w:t>
            </w:r>
            <w:r w:rsidR="00E4118C" w:rsidRPr="00093AAA">
              <w:rPr>
                <w:rFonts w:asciiTheme="majorHAnsi" w:hAnsiTheme="majorHAnsi"/>
                <w:b/>
                <w:bCs/>
                <w:color w:val="FFFFFF" w:themeColor="background1"/>
                <w:sz w:val="20"/>
                <w:szCs w:val="20"/>
                <w:lang w:val="es-ES"/>
              </w:rPr>
              <w:t>invocados</w:t>
            </w:r>
            <w:r w:rsidRPr="00093AAA">
              <w:rPr>
                <w:rFonts w:asciiTheme="majorHAnsi" w:hAnsiTheme="majorHAnsi"/>
                <w:b/>
                <w:bCs/>
                <w:color w:val="FFFFFF" w:themeColor="background1"/>
                <w:sz w:val="20"/>
                <w:szCs w:val="20"/>
                <w:lang w:val="es-ES"/>
              </w:rPr>
              <w:t>:</w:t>
            </w:r>
          </w:p>
        </w:tc>
        <w:tc>
          <w:tcPr>
            <w:tcW w:w="5647" w:type="dxa"/>
            <w:vAlign w:val="center"/>
          </w:tcPr>
          <w:p w14:paraId="52B28392" w14:textId="071B53AC" w:rsidR="00223A29" w:rsidRPr="00093AAA" w:rsidRDefault="0020303F" w:rsidP="008D2290">
            <w:pPr>
              <w:jc w:val="both"/>
              <w:rPr>
                <w:rFonts w:asciiTheme="majorHAnsi" w:hAnsiTheme="majorHAnsi"/>
                <w:bCs/>
                <w:sz w:val="20"/>
                <w:szCs w:val="20"/>
                <w:lang w:val="es-ES"/>
              </w:rPr>
            </w:pPr>
            <w:r w:rsidRPr="00093AAA">
              <w:rPr>
                <w:rFonts w:asciiTheme="majorHAnsi" w:hAnsiTheme="majorHAnsi"/>
                <w:bCs/>
                <w:sz w:val="20"/>
                <w:szCs w:val="20"/>
                <w:lang w:val="es-ES"/>
              </w:rPr>
              <w:t xml:space="preserve">Artículos </w:t>
            </w:r>
            <w:r w:rsidR="00B02E2B" w:rsidRPr="00093AAA">
              <w:rPr>
                <w:rFonts w:asciiTheme="majorHAnsi" w:hAnsiTheme="majorHAnsi"/>
                <w:bCs/>
                <w:sz w:val="20"/>
                <w:szCs w:val="20"/>
                <w:lang w:val="es-ES"/>
              </w:rPr>
              <w:t>4 (vida</w:t>
            </w:r>
            <w:r w:rsidR="003747E4" w:rsidRPr="00093AAA">
              <w:rPr>
                <w:rFonts w:asciiTheme="majorHAnsi" w:hAnsiTheme="majorHAnsi"/>
                <w:bCs/>
                <w:sz w:val="20"/>
                <w:szCs w:val="20"/>
                <w:lang w:val="es-ES"/>
              </w:rPr>
              <w:t>)</w:t>
            </w:r>
            <w:r w:rsidRPr="00093AAA">
              <w:rPr>
                <w:rFonts w:asciiTheme="majorHAnsi" w:hAnsiTheme="majorHAnsi"/>
                <w:bCs/>
                <w:sz w:val="20"/>
                <w:szCs w:val="20"/>
                <w:lang w:val="es-ES"/>
              </w:rPr>
              <w:t>,</w:t>
            </w:r>
            <w:r w:rsidR="00B02E2B" w:rsidRPr="00093AAA">
              <w:rPr>
                <w:rFonts w:asciiTheme="majorHAnsi" w:hAnsiTheme="majorHAnsi"/>
                <w:bCs/>
                <w:sz w:val="20"/>
                <w:szCs w:val="20"/>
                <w:lang w:val="es-ES"/>
              </w:rPr>
              <w:t xml:space="preserve"> 5</w:t>
            </w:r>
            <w:r w:rsidR="00F90C13" w:rsidRPr="00093AAA">
              <w:rPr>
                <w:rFonts w:asciiTheme="majorHAnsi" w:hAnsiTheme="majorHAnsi"/>
                <w:bCs/>
                <w:sz w:val="20"/>
                <w:szCs w:val="20"/>
                <w:lang w:val="es-ES"/>
              </w:rPr>
              <w:t xml:space="preserve"> </w:t>
            </w:r>
            <w:r w:rsidR="00B02E2B" w:rsidRPr="00093AAA">
              <w:rPr>
                <w:rFonts w:asciiTheme="majorHAnsi" w:hAnsiTheme="majorHAnsi"/>
                <w:bCs/>
                <w:sz w:val="20"/>
                <w:szCs w:val="20"/>
                <w:lang w:val="es-ES"/>
              </w:rPr>
              <w:t>(integridad personal),</w:t>
            </w:r>
            <w:r w:rsidRPr="00093AAA">
              <w:rPr>
                <w:rFonts w:asciiTheme="majorHAnsi" w:hAnsiTheme="majorHAnsi"/>
                <w:bCs/>
                <w:sz w:val="20"/>
                <w:szCs w:val="20"/>
                <w:lang w:val="es-ES"/>
              </w:rPr>
              <w:t xml:space="preserve"> </w:t>
            </w:r>
            <w:r w:rsidR="00B02E2B" w:rsidRPr="00093AAA">
              <w:rPr>
                <w:rFonts w:asciiTheme="majorHAnsi" w:hAnsiTheme="majorHAnsi"/>
                <w:bCs/>
                <w:sz w:val="20"/>
                <w:szCs w:val="20"/>
                <w:lang w:val="es-ES"/>
              </w:rPr>
              <w:t>7</w:t>
            </w:r>
            <w:r w:rsidR="003747E4" w:rsidRPr="00093AAA">
              <w:rPr>
                <w:rFonts w:asciiTheme="majorHAnsi" w:hAnsiTheme="majorHAnsi"/>
                <w:bCs/>
                <w:sz w:val="20"/>
                <w:szCs w:val="20"/>
                <w:lang w:val="es-ES"/>
              </w:rPr>
              <w:t xml:space="preserve"> (</w:t>
            </w:r>
            <w:r w:rsidR="00F90C13" w:rsidRPr="00093AAA">
              <w:rPr>
                <w:rFonts w:asciiTheme="majorHAnsi" w:hAnsiTheme="majorHAnsi"/>
                <w:bCs/>
                <w:sz w:val="20"/>
                <w:szCs w:val="20"/>
                <w:lang w:val="es-ES"/>
              </w:rPr>
              <w:t>l</w:t>
            </w:r>
            <w:r w:rsidR="003747E4" w:rsidRPr="00093AAA">
              <w:rPr>
                <w:rFonts w:asciiTheme="majorHAnsi" w:hAnsiTheme="majorHAnsi"/>
                <w:bCs/>
                <w:sz w:val="20"/>
                <w:szCs w:val="20"/>
                <w:lang w:val="es-ES"/>
              </w:rPr>
              <w:t>ibertad personal)</w:t>
            </w:r>
            <w:r w:rsidRPr="00093AAA">
              <w:rPr>
                <w:rFonts w:asciiTheme="majorHAnsi" w:hAnsiTheme="majorHAnsi"/>
                <w:bCs/>
                <w:sz w:val="20"/>
                <w:szCs w:val="20"/>
                <w:lang w:val="es-ES"/>
              </w:rPr>
              <w:t xml:space="preserve">, </w:t>
            </w:r>
            <w:r w:rsidR="00B02E2B" w:rsidRPr="00093AAA">
              <w:rPr>
                <w:rFonts w:asciiTheme="majorHAnsi" w:hAnsiTheme="majorHAnsi"/>
                <w:bCs/>
                <w:sz w:val="20"/>
                <w:szCs w:val="20"/>
                <w:lang w:val="es-ES"/>
              </w:rPr>
              <w:t>8</w:t>
            </w:r>
            <w:r w:rsidR="003747E4" w:rsidRPr="00093AAA">
              <w:rPr>
                <w:rFonts w:asciiTheme="majorHAnsi" w:hAnsiTheme="majorHAnsi"/>
                <w:bCs/>
                <w:sz w:val="20"/>
                <w:szCs w:val="20"/>
                <w:lang w:val="es-ES"/>
              </w:rPr>
              <w:t xml:space="preserve"> (garantías judiciales)</w:t>
            </w:r>
            <w:r w:rsidRPr="00093AAA">
              <w:rPr>
                <w:rFonts w:asciiTheme="majorHAnsi" w:hAnsiTheme="majorHAnsi"/>
                <w:bCs/>
                <w:sz w:val="20"/>
                <w:szCs w:val="20"/>
                <w:lang w:val="es-ES"/>
              </w:rPr>
              <w:t xml:space="preserve">, </w:t>
            </w:r>
            <w:r w:rsidR="00B02E2B" w:rsidRPr="00093AAA">
              <w:rPr>
                <w:rFonts w:asciiTheme="majorHAnsi" w:hAnsiTheme="majorHAnsi"/>
                <w:bCs/>
                <w:sz w:val="20"/>
                <w:szCs w:val="20"/>
                <w:lang w:val="es-ES"/>
              </w:rPr>
              <w:t>9 (</w:t>
            </w:r>
            <w:r w:rsidR="00F90C13" w:rsidRPr="00093AAA">
              <w:rPr>
                <w:rFonts w:asciiTheme="majorHAnsi" w:hAnsiTheme="majorHAnsi"/>
                <w:bCs/>
                <w:sz w:val="20"/>
                <w:szCs w:val="20"/>
                <w:lang w:val="es-ES"/>
              </w:rPr>
              <w:t>p</w:t>
            </w:r>
            <w:r w:rsidR="00B02E2B" w:rsidRPr="00093AAA">
              <w:rPr>
                <w:rFonts w:asciiTheme="majorHAnsi" w:hAnsiTheme="majorHAnsi"/>
                <w:bCs/>
                <w:sz w:val="20"/>
                <w:szCs w:val="20"/>
                <w:lang w:val="es-ES"/>
              </w:rPr>
              <w:t>rincipio de legalidad</w:t>
            </w:r>
            <w:r w:rsidR="00F90C13" w:rsidRPr="00093AAA">
              <w:rPr>
                <w:rFonts w:asciiTheme="majorHAnsi" w:hAnsiTheme="majorHAnsi"/>
                <w:bCs/>
                <w:sz w:val="20"/>
                <w:szCs w:val="20"/>
                <w:lang w:val="es-ES"/>
              </w:rPr>
              <w:t xml:space="preserve"> y retroactividad</w:t>
            </w:r>
            <w:r w:rsidR="00B02E2B" w:rsidRPr="00093AAA">
              <w:rPr>
                <w:rFonts w:asciiTheme="majorHAnsi" w:hAnsiTheme="majorHAnsi"/>
                <w:bCs/>
                <w:sz w:val="20"/>
                <w:szCs w:val="20"/>
                <w:lang w:val="es-ES"/>
              </w:rPr>
              <w:t xml:space="preserve">), 10 (indemnización), 11 (honra y </w:t>
            </w:r>
            <w:r w:rsidR="00DB2575" w:rsidRPr="00093AAA">
              <w:rPr>
                <w:rFonts w:asciiTheme="majorHAnsi" w:hAnsiTheme="majorHAnsi"/>
                <w:bCs/>
                <w:sz w:val="20"/>
                <w:szCs w:val="20"/>
                <w:lang w:val="es-ES"/>
              </w:rPr>
              <w:t>d</w:t>
            </w:r>
            <w:r w:rsidR="00B02E2B" w:rsidRPr="00093AAA">
              <w:rPr>
                <w:rFonts w:asciiTheme="majorHAnsi" w:hAnsiTheme="majorHAnsi"/>
                <w:bCs/>
                <w:sz w:val="20"/>
                <w:szCs w:val="20"/>
                <w:lang w:val="es-ES"/>
              </w:rPr>
              <w:t>ignidad), 1</w:t>
            </w:r>
            <w:r w:rsidR="008F1981" w:rsidRPr="00093AAA">
              <w:rPr>
                <w:rFonts w:asciiTheme="majorHAnsi" w:hAnsiTheme="majorHAnsi"/>
                <w:bCs/>
                <w:sz w:val="20"/>
                <w:szCs w:val="20"/>
                <w:lang w:val="es-ES"/>
              </w:rPr>
              <w:t>7</w:t>
            </w:r>
            <w:r w:rsidR="00B02E2B" w:rsidRPr="00093AAA">
              <w:rPr>
                <w:rFonts w:asciiTheme="majorHAnsi" w:hAnsiTheme="majorHAnsi"/>
                <w:bCs/>
                <w:sz w:val="20"/>
                <w:szCs w:val="20"/>
                <w:lang w:val="es-ES"/>
              </w:rPr>
              <w:t xml:space="preserve"> (</w:t>
            </w:r>
            <w:r w:rsidR="00DB2575" w:rsidRPr="00093AAA">
              <w:rPr>
                <w:rFonts w:asciiTheme="majorHAnsi" w:hAnsiTheme="majorHAnsi"/>
                <w:bCs/>
                <w:sz w:val="20"/>
                <w:szCs w:val="20"/>
                <w:lang w:val="es-ES"/>
              </w:rPr>
              <w:t>p</w:t>
            </w:r>
            <w:r w:rsidR="00B02E2B" w:rsidRPr="00093AAA">
              <w:rPr>
                <w:rFonts w:asciiTheme="majorHAnsi" w:hAnsiTheme="majorHAnsi"/>
                <w:bCs/>
                <w:sz w:val="20"/>
                <w:szCs w:val="20"/>
                <w:lang w:val="es-ES"/>
              </w:rPr>
              <w:t xml:space="preserve">rotección a la </w:t>
            </w:r>
            <w:r w:rsidR="00DB2575" w:rsidRPr="00093AAA">
              <w:rPr>
                <w:rFonts w:asciiTheme="majorHAnsi" w:hAnsiTheme="majorHAnsi"/>
                <w:bCs/>
                <w:sz w:val="20"/>
                <w:szCs w:val="20"/>
                <w:lang w:val="es-ES"/>
              </w:rPr>
              <w:t>f</w:t>
            </w:r>
            <w:r w:rsidR="00B02E2B" w:rsidRPr="00093AAA">
              <w:rPr>
                <w:rFonts w:asciiTheme="majorHAnsi" w:hAnsiTheme="majorHAnsi"/>
                <w:bCs/>
                <w:sz w:val="20"/>
                <w:szCs w:val="20"/>
                <w:lang w:val="es-ES"/>
              </w:rPr>
              <w:t>amilia), 1</w:t>
            </w:r>
            <w:r w:rsidR="008F1981" w:rsidRPr="00093AAA">
              <w:rPr>
                <w:rFonts w:asciiTheme="majorHAnsi" w:hAnsiTheme="majorHAnsi"/>
                <w:bCs/>
                <w:sz w:val="20"/>
                <w:szCs w:val="20"/>
                <w:lang w:val="es-ES"/>
              </w:rPr>
              <w:t>9</w:t>
            </w:r>
            <w:r w:rsidR="00B02E2B" w:rsidRPr="00093AAA">
              <w:rPr>
                <w:rFonts w:asciiTheme="majorHAnsi" w:hAnsiTheme="majorHAnsi"/>
                <w:bCs/>
                <w:sz w:val="20"/>
                <w:szCs w:val="20"/>
                <w:lang w:val="es-ES"/>
              </w:rPr>
              <w:t xml:space="preserve"> (</w:t>
            </w:r>
            <w:r w:rsidR="00DB2575" w:rsidRPr="00093AAA">
              <w:rPr>
                <w:rFonts w:asciiTheme="majorHAnsi" w:hAnsiTheme="majorHAnsi"/>
                <w:bCs/>
                <w:sz w:val="20"/>
                <w:szCs w:val="20"/>
                <w:lang w:val="es-ES"/>
              </w:rPr>
              <w:t>d</w:t>
            </w:r>
            <w:r w:rsidR="00B02E2B" w:rsidRPr="00093AAA">
              <w:rPr>
                <w:rFonts w:asciiTheme="majorHAnsi" w:hAnsiTheme="majorHAnsi"/>
                <w:bCs/>
                <w:sz w:val="20"/>
                <w:szCs w:val="20"/>
                <w:lang w:val="es-ES"/>
              </w:rPr>
              <w:t xml:space="preserve">erechos del </w:t>
            </w:r>
            <w:r w:rsidR="00DB2575" w:rsidRPr="00093AAA">
              <w:rPr>
                <w:rFonts w:asciiTheme="majorHAnsi" w:hAnsiTheme="majorHAnsi"/>
                <w:bCs/>
                <w:sz w:val="20"/>
                <w:szCs w:val="20"/>
                <w:lang w:val="es-ES"/>
              </w:rPr>
              <w:t>n</w:t>
            </w:r>
            <w:r w:rsidR="00B02E2B" w:rsidRPr="00093AAA">
              <w:rPr>
                <w:rFonts w:asciiTheme="majorHAnsi" w:hAnsiTheme="majorHAnsi"/>
                <w:bCs/>
                <w:sz w:val="20"/>
                <w:szCs w:val="20"/>
                <w:lang w:val="es-ES"/>
              </w:rPr>
              <w:t>iño)</w:t>
            </w:r>
            <w:r w:rsidR="008F1981" w:rsidRPr="00093AAA">
              <w:rPr>
                <w:rFonts w:asciiTheme="majorHAnsi" w:hAnsiTheme="majorHAnsi"/>
                <w:bCs/>
                <w:sz w:val="20"/>
                <w:szCs w:val="20"/>
                <w:lang w:val="es-ES"/>
              </w:rPr>
              <w:t>, 21</w:t>
            </w:r>
            <w:r w:rsidR="00B02E2B" w:rsidRPr="00093AAA">
              <w:rPr>
                <w:rFonts w:asciiTheme="majorHAnsi" w:hAnsiTheme="majorHAnsi"/>
                <w:bCs/>
                <w:sz w:val="20"/>
                <w:szCs w:val="20"/>
                <w:lang w:val="es-ES"/>
              </w:rPr>
              <w:t xml:space="preserve"> (</w:t>
            </w:r>
            <w:r w:rsidR="00771DB2" w:rsidRPr="00093AAA">
              <w:rPr>
                <w:rFonts w:asciiTheme="majorHAnsi" w:hAnsiTheme="majorHAnsi"/>
                <w:bCs/>
                <w:sz w:val="20"/>
                <w:szCs w:val="20"/>
                <w:lang w:val="es-ES"/>
              </w:rPr>
              <w:t>p</w:t>
            </w:r>
            <w:r w:rsidR="00B02E2B" w:rsidRPr="00093AAA">
              <w:rPr>
                <w:rFonts w:asciiTheme="majorHAnsi" w:hAnsiTheme="majorHAnsi"/>
                <w:bCs/>
                <w:sz w:val="20"/>
                <w:szCs w:val="20"/>
                <w:lang w:val="es-ES"/>
              </w:rPr>
              <w:t xml:space="preserve">ropiedad </w:t>
            </w:r>
            <w:r w:rsidR="00093AAA" w:rsidRPr="00093AAA">
              <w:rPr>
                <w:rFonts w:asciiTheme="majorHAnsi" w:hAnsiTheme="majorHAnsi"/>
                <w:bCs/>
                <w:sz w:val="20"/>
                <w:szCs w:val="20"/>
                <w:lang w:val="es-ES"/>
              </w:rPr>
              <w:t>p</w:t>
            </w:r>
            <w:r w:rsidR="00B02E2B" w:rsidRPr="00093AAA">
              <w:rPr>
                <w:rFonts w:asciiTheme="majorHAnsi" w:hAnsiTheme="majorHAnsi"/>
                <w:bCs/>
                <w:sz w:val="20"/>
                <w:szCs w:val="20"/>
                <w:lang w:val="es-ES"/>
              </w:rPr>
              <w:t>rivada), 2</w:t>
            </w:r>
            <w:r w:rsidR="008F1981" w:rsidRPr="00093AAA">
              <w:rPr>
                <w:rFonts w:asciiTheme="majorHAnsi" w:hAnsiTheme="majorHAnsi"/>
                <w:bCs/>
                <w:sz w:val="20"/>
                <w:szCs w:val="20"/>
                <w:lang w:val="es-ES"/>
              </w:rPr>
              <w:t>2</w:t>
            </w:r>
            <w:r w:rsidR="00B02E2B" w:rsidRPr="00093AAA">
              <w:rPr>
                <w:rFonts w:asciiTheme="majorHAnsi" w:hAnsiTheme="majorHAnsi"/>
                <w:bCs/>
                <w:sz w:val="20"/>
                <w:szCs w:val="20"/>
                <w:lang w:val="es-ES"/>
              </w:rPr>
              <w:t xml:space="preserve"> (</w:t>
            </w:r>
            <w:r w:rsidR="00771DB2" w:rsidRPr="00093AAA">
              <w:rPr>
                <w:rFonts w:asciiTheme="majorHAnsi" w:hAnsiTheme="majorHAnsi"/>
                <w:bCs/>
                <w:sz w:val="20"/>
                <w:szCs w:val="20"/>
                <w:lang w:val="es-ES"/>
              </w:rPr>
              <w:t>c</w:t>
            </w:r>
            <w:r w:rsidR="00B02E2B" w:rsidRPr="00093AAA">
              <w:rPr>
                <w:rFonts w:asciiTheme="majorHAnsi" w:hAnsiTheme="majorHAnsi"/>
                <w:bCs/>
                <w:sz w:val="20"/>
                <w:szCs w:val="20"/>
                <w:lang w:val="es-ES"/>
              </w:rPr>
              <w:t xml:space="preserve">irculación y </w:t>
            </w:r>
            <w:r w:rsidR="00771DB2" w:rsidRPr="00093AAA">
              <w:rPr>
                <w:rFonts w:asciiTheme="majorHAnsi" w:hAnsiTheme="majorHAnsi"/>
                <w:bCs/>
                <w:sz w:val="20"/>
                <w:szCs w:val="20"/>
                <w:lang w:val="es-ES"/>
              </w:rPr>
              <w:t>r</w:t>
            </w:r>
            <w:r w:rsidR="00B02E2B" w:rsidRPr="00093AAA">
              <w:rPr>
                <w:rFonts w:asciiTheme="majorHAnsi" w:hAnsiTheme="majorHAnsi"/>
                <w:bCs/>
                <w:sz w:val="20"/>
                <w:szCs w:val="20"/>
                <w:lang w:val="es-ES"/>
              </w:rPr>
              <w:t>esidencia), 2</w:t>
            </w:r>
            <w:r w:rsidR="008F1981" w:rsidRPr="00093AAA">
              <w:rPr>
                <w:rFonts w:asciiTheme="majorHAnsi" w:hAnsiTheme="majorHAnsi"/>
                <w:bCs/>
                <w:sz w:val="20"/>
                <w:szCs w:val="20"/>
                <w:lang w:val="es-ES"/>
              </w:rPr>
              <w:t>4</w:t>
            </w:r>
            <w:r w:rsidR="00B02E2B" w:rsidRPr="00093AAA">
              <w:rPr>
                <w:rFonts w:asciiTheme="majorHAnsi" w:hAnsiTheme="majorHAnsi"/>
                <w:bCs/>
                <w:sz w:val="20"/>
                <w:szCs w:val="20"/>
                <w:lang w:val="es-ES"/>
              </w:rPr>
              <w:t xml:space="preserve"> (</w:t>
            </w:r>
            <w:r w:rsidR="00771DB2" w:rsidRPr="00093AAA">
              <w:rPr>
                <w:rFonts w:asciiTheme="majorHAnsi" w:hAnsiTheme="majorHAnsi"/>
                <w:bCs/>
                <w:sz w:val="20"/>
                <w:szCs w:val="20"/>
                <w:lang w:val="es-ES"/>
              </w:rPr>
              <w:t>i</w:t>
            </w:r>
            <w:r w:rsidR="00B02E2B" w:rsidRPr="00093AAA">
              <w:rPr>
                <w:rFonts w:asciiTheme="majorHAnsi" w:hAnsiTheme="majorHAnsi"/>
                <w:bCs/>
                <w:sz w:val="20"/>
                <w:szCs w:val="20"/>
                <w:lang w:val="es-ES"/>
              </w:rPr>
              <w:t xml:space="preserve">gualdad ante la </w:t>
            </w:r>
            <w:r w:rsidR="00771DB2" w:rsidRPr="00093AAA">
              <w:rPr>
                <w:rFonts w:asciiTheme="majorHAnsi" w:hAnsiTheme="majorHAnsi"/>
                <w:bCs/>
                <w:sz w:val="20"/>
                <w:szCs w:val="20"/>
                <w:lang w:val="es-ES"/>
              </w:rPr>
              <w:t>l</w:t>
            </w:r>
            <w:r w:rsidR="00B02E2B" w:rsidRPr="00093AAA">
              <w:rPr>
                <w:rFonts w:asciiTheme="majorHAnsi" w:hAnsiTheme="majorHAnsi"/>
                <w:bCs/>
                <w:sz w:val="20"/>
                <w:szCs w:val="20"/>
                <w:lang w:val="es-ES"/>
              </w:rPr>
              <w:t xml:space="preserve">ey) </w:t>
            </w:r>
            <w:r w:rsidR="008F1981" w:rsidRPr="00093AAA">
              <w:rPr>
                <w:rFonts w:asciiTheme="majorHAnsi" w:hAnsiTheme="majorHAnsi"/>
                <w:bCs/>
                <w:sz w:val="20"/>
                <w:szCs w:val="20"/>
                <w:lang w:val="es-ES"/>
              </w:rPr>
              <w:t xml:space="preserve">y </w:t>
            </w:r>
            <w:r w:rsidRPr="00093AAA">
              <w:rPr>
                <w:rFonts w:asciiTheme="majorHAnsi" w:hAnsiTheme="majorHAnsi"/>
                <w:bCs/>
                <w:sz w:val="20"/>
                <w:szCs w:val="20"/>
                <w:lang w:val="es-ES"/>
              </w:rPr>
              <w:t>25</w:t>
            </w:r>
            <w:r w:rsidR="003747E4" w:rsidRPr="00093AAA">
              <w:rPr>
                <w:rFonts w:asciiTheme="majorHAnsi" w:hAnsiTheme="majorHAnsi"/>
                <w:bCs/>
                <w:sz w:val="20"/>
                <w:szCs w:val="20"/>
                <w:lang w:val="es-ES"/>
              </w:rPr>
              <w:t xml:space="preserve"> (protección judicial)</w:t>
            </w:r>
            <w:r w:rsidR="008F1981" w:rsidRPr="00093AAA">
              <w:rPr>
                <w:rFonts w:asciiTheme="majorHAnsi" w:hAnsiTheme="majorHAnsi"/>
                <w:bCs/>
                <w:sz w:val="20"/>
                <w:szCs w:val="20"/>
                <w:lang w:val="es-ES"/>
              </w:rPr>
              <w:t xml:space="preserve"> </w:t>
            </w:r>
            <w:r w:rsidRPr="00093AAA">
              <w:rPr>
                <w:rFonts w:asciiTheme="majorHAnsi" w:hAnsiTheme="majorHAnsi"/>
                <w:bCs/>
                <w:sz w:val="20"/>
                <w:szCs w:val="20"/>
                <w:lang w:val="es-ES"/>
              </w:rPr>
              <w:t>de la Convención Americana sobre Derechos Humanos</w:t>
            </w:r>
            <w:r w:rsidR="002B29A4" w:rsidRPr="00093AAA">
              <w:rPr>
                <w:rFonts w:asciiTheme="majorHAnsi" w:hAnsiTheme="majorHAnsi"/>
                <w:sz w:val="20"/>
                <w:szCs w:val="20"/>
                <w:vertAlign w:val="superscript"/>
                <w:lang w:val="es-ES"/>
              </w:rPr>
              <w:footnoteReference w:id="4"/>
            </w:r>
            <w:r w:rsidRPr="00093AAA">
              <w:rPr>
                <w:rFonts w:asciiTheme="majorHAnsi" w:hAnsiTheme="majorHAnsi"/>
                <w:bCs/>
                <w:sz w:val="20"/>
                <w:szCs w:val="20"/>
                <w:lang w:val="es-ES"/>
              </w:rPr>
              <w:t xml:space="preserve"> </w:t>
            </w:r>
          </w:p>
        </w:tc>
      </w:tr>
    </w:tbl>
    <w:p w14:paraId="176FB213" w14:textId="77777777" w:rsidR="003239B8" w:rsidRPr="00093AAA" w:rsidRDefault="003239B8" w:rsidP="003239B8">
      <w:pPr>
        <w:spacing w:before="240" w:after="240"/>
        <w:ind w:firstLine="720"/>
        <w:jc w:val="both"/>
        <w:rPr>
          <w:rFonts w:asciiTheme="majorHAnsi" w:hAnsiTheme="majorHAnsi"/>
          <w:b/>
          <w:bCs/>
          <w:sz w:val="20"/>
          <w:szCs w:val="20"/>
          <w:lang w:val="es-ES"/>
        </w:rPr>
      </w:pPr>
      <w:r w:rsidRPr="00093AAA">
        <w:rPr>
          <w:rFonts w:asciiTheme="majorHAnsi" w:hAnsiTheme="majorHAnsi"/>
          <w:b/>
          <w:bCs/>
          <w:sz w:val="20"/>
          <w:szCs w:val="20"/>
          <w:lang w:val="es-ES"/>
        </w:rPr>
        <w:t>II.</w:t>
      </w:r>
      <w:r w:rsidRPr="00093AAA">
        <w:rPr>
          <w:rFonts w:asciiTheme="majorHAnsi" w:hAnsiTheme="majorHAnsi"/>
          <w:b/>
          <w:bCs/>
          <w:sz w:val="20"/>
          <w:szCs w:val="20"/>
          <w:lang w:val="es-ES"/>
        </w:rPr>
        <w:tab/>
        <w:t>TRÁMITE ANTE LA CIDH</w:t>
      </w:r>
      <w:r w:rsidR="008E3BFE" w:rsidRPr="00093AAA">
        <w:rPr>
          <w:rStyle w:val="FootnoteReference"/>
          <w:rFonts w:asciiTheme="majorHAnsi" w:hAnsiTheme="majorHAnsi"/>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093AAA"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093AAA" w:rsidRDefault="004A6A54" w:rsidP="004A6A54">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P</w:t>
            </w:r>
            <w:r w:rsidR="004C2312" w:rsidRPr="00093AAA">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56DAF3D8" w:rsidR="004C2312" w:rsidRPr="00093AAA" w:rsidRDefault="008F1981" w:rsidP="002625EA">
            <w:pPr>
              <w:jc w:val="both"/>
              <w:rPr>
                <w:rFonts w:asciiTheme="majorHAnsi" w:hAnsiTheme="majorHAnsi"/>
                <w:bCs/>
                <w:sz w:val="20"/>
                <w:szCs w:val="20"/>
                <w:lang w:val="es-ES"/>
              </w:rPr>
            </w:pPr>
            <w:r w:rsidRPr="00093AAA">
              <w:rPr>
                <w:rFonts w:asciiTheme="majorHAnsi" w:hAnsiTheme="majorHAnsi"/>
                <w:bCs/>
                <w:sz w:val="20"/>
                <w:szCs w:val="20"/>
                <w:lang w:val="es-ES"/>
              </w:rPr>
              <w:t>17 de mayo de 2013</w:t>
            </w:r>
          </w:p>
        </w:tc>
      </w:tr>
      <w:tr w:rsidR="004C2312" w:rsidRPr="00093AAA"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093AAA" w:rsidRDefault="004A6A54" w:rsidP="004A6A54">
            <w:pPr>
              <w:jc w:val="center"/>
              <w:rPr>
                <w:rFonts w:asciiTheme="majorHAnsi" w:hAnsiTheme="majorHAnsi"/>
                <w:b/>
                <w:bCs/>
                <w:color w:val="FFFFFF" w:themeColor="background1"/>
                <w:sz w:val="20"/>
                <w:szCs w:val="20"/>
                <w:lang w:val="es-ES"/>
              </w:rPr>
            </w:pPr>
            <w:r w:rsidRPr="00093AAA">
              <w:rPr>
                <w:rFonts w:asciiTheme="majorHAnsi" w:hAnsiTheme="majorHAnsi"/>
                <w:b/>
                <w:color w:val="FFFFFF" w:themeColor="background1"/>
                <w:sz w:val="20"/>
                <w:szCs w:val="20"/>
                <w:lang w:val="es-ES"/>
              </w:rPr>
              <w:t>N</w:t>
            </w:r>
            <w:r w:rsidR="004C2312" w:rsidRPr="00093AAA">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4B03161F" w:rsidR="004C2312" w:rsidRPr="00093AAA" w:rsidRDefault="00022A5E" w:rsidP="008D2290">
            <w:pPr>
              <w:jc w:val="both"/>
              <w:rPr>
                <w:rFonts w:asciiTheme="majorHAnsi" w:hAnsiTheme="majorHAnsi"/>
                <w:bCs/>
                <w:sz w:val="20"/>
                <w:szCs w:val="20"/>
                <w:lang w:val="es-ES"/>
              </w:rPr>
            </w:pPr>
            <w:r w:rsidRPr="00093AAA">
              <w:rPr>
                <w:rFonts w:asciiTheme="majorHAnsi" w:hAnsiTheme="majorHAnsi"/>
                <w:bCs/>
                <w:sz w:val="20"/>
                <w:szCs w:val="20"/>
                <w:lang w:val="es-ES"/>
              </w:rPr>
              <w:t>8 de diciembre de 2021</w:t>
            </w:r>
          </w:p>
        </w:tc>
      </w:tr>
      <w:tr w:rsidR="004C2312" w:rsidRPr="00093AAA"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093AAA" w:rsidRDefault="004A6A54" w:rsidP="004A6A54">
            <w:pPr>
              <w:jc w:val="center"/>
              <w:rPr>
                <w:rFonts w:asciiTheme="majorHAnsi" w:hAnsiTheme="majorHAnsi"/>
                <w:b/>
                <w:bCs/>
                <w:color w:val="FFFFFF" w:themeColor="background1"/>
                <w:sz w:val="20"/>
                <w:szCs w:val="20"/>
                <w:lang w:val="es-ES"/>
              </w:rPr>
            </w:pPr>
            <w:r w:rsidRPr="00093AAA">
              <w:rPr>
                <w:rFonts w:asciiTheme="majorHAnsi" w:hAnsiTheme="majorHAnsi"/>
                <w:b/>
                <w:color w:val="FFFFFF" w:themeColor="background1"/>
                <w:sz w:val="20"/>
                <w:szCs w:val="20"/>
                <w:lang w:val="es-ES"/>
              </w:rPr>
              <w:t>P</w:t>
            </w:r>
            <w:r w:rsidR="004C2312" w:rsidRPr="00093AAA">
              <w:rPr>
                <w:rFonts w:asciiTheme="majorHAnsi" w:hAnsiTheme="majorHAnsi"/>
                <w:b/>
                <w:color w:val="FFFFFF" w:themeColor="background1"/>
                <w:sz w:val="20"/>
                <w:szCs w:val="20"/>
                <w:lang w:val="es-ES"/>
              </w:rPr>
              <w:t>rimera respuesta del Estado:</w:t>
            </w:r>
          </w:p>
        </w:tc>
        <w:tc>
          <w:tcPr>
            <w:tcW w:w="5647" w:type="dxa"/>
            <w:vAlign w:val="center"/>
          </w:tcPr>
          <w:p w14:paraId="6B47064C" w14:textId="0257482A" w:rsidR="004C2312" w:rsidRPr="00093AAA" w:rsidRDefault="00664F56" w:rsidP="008D2290">
            <w:pPr>
              <w:jc w:val="both"/>
              <w:rPr>
                <w:rFonts w:asciiTheme="majorHAnsi" w:hAnsiTheme="majorHAnsi"/>
                <w:bCs/>
                <w:sz w:val="20"/>
                <w:szCs w:val="20"/>
                <w:lang w:val="es-ES"/>
              </w:rPr>
            </w:pPr>
            <w:r w:rsidRPr="00093AAA">
              <w:rPr>
                <w:rFonts w:asciiTheme="majorHAnsi" w:hAnsiTheme="majorHAnsi"/>
                <w:bCs/>
                <w:sz w:val="20"/>
                <w:szCs w:val="20"/>
                <w:lang w:val="es-ES"/>
              </w:rPr>
              <w:t>7 de junio de 2022</w:t>
            </w:r>
          </w:p>
        </w:tc>
      </w:tr>
      <w:tr w:rsidR="001E49E7" w:rsidRPr="00093AAA"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093AAA" w:rsidRDefault="004A6A54" w:rsidP="00DD4AD2">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A</w:t>
            </w:r>
            <w:r w:rsidR="001E49E7" w:rsidRPr="00093AAA">
              <w:rPr>
                <w:rFonts w:asciiTheme="majorHAnsi" w:hAnsiTheme="majorHAnsi"/>
                <w:b/>
                <w:bCs/>
                <w:color w:val="FFFFFF" w:themeColor="background1"/>
                <w:sz w:val="20"/>
                <w:szCs w:val="20"/>
                <w:lang w:val="es-ES"/>
              </w:rPr>
              <w:t>dvertencia sobre posible archivo:</w:t>
            </w:r>
          </w:p>
        </w:tc>
        <w:tc>
          <w:tcPr>
            <w:tcW w:w="5647" w:type="dxa"/>
            <w:vAlign w:val="center"/>
          </w:tcPr>
          <w:p w14:paraId="48CA2CFB" w14:textId="59E772A0" w:rsidR="001E49E7" w:rsidRPr="00093AAA" w:rsidRDefault="00AD2F06" w:rsidP="002625EA">
            <w:pPr>
              <w:jc w:val="both"/>
              <w:rPr>
                <w:rFonts w:asciiTheme="majorHAnsi" w:hAnsiTheme="majorHAnsi"/>
                <w:bCs/>
                <w:sz w:val="20"/>
                <w:szCs w:val="20"/>
                <w:lang w:val="es-ES"/>
              </w:rPr>
            </w:pPr>
            <w:r w:rsidRPr="00093AAA">
              <w:rPr>
                <w:rFonts w:asciiTheme="majorHAnsi" w:hAnsiTheme="majorHAnsi"/>
                <w:bCs/>
                <w:sz w:val="20"/>
                <w:szCs w:val="20"/>
                <w:lang w:val="es-ES"/>
              </w:rPr>
              <w:t>15 de septiembre de 2020</w:t>
            </w:r>
          </w:p>
        </w:tc>
      </w:tr>
      <w:tr w:rsidR="001E49E7" w:rsidRPr="00093AAA"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093AAA" w:rsidRDefault="004A6A54" w:rsidP="004A6A54">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R</w:t>
            </w:r>
            <w:r w:rsidR="001E49E7" w:rsidRPr="00093AAA">
              <w:rPr>
                <w:rFonts w:asciiTheme="majorHAnsi" w:hAnsiTheme="majorHAnsi"/>
                <w:b/>
                <w:bCs/>
                <w:color w:val="FFFFFF" w:themeColor="background1"/>
                <w:sz w:val="20"/>
                <w:szCs w:val="20"/>
                <w:lang w:val="es-ES"/>
              </w:rPr>
              <w:t xml:space="preserve">espuesta de la parte peticionaria ante advertencia </w:t>
            </w:r>
            <w:r w:rsidR="00DD4AD2" w:rsidRPr="00093AAA">
              <w:rPr>
                <w:rFonts w:asciiTheme="majorHAnsi" w:hAnsiTheme="majorHAnsi"/>
                <w:b/>
                <w:bCs/>
                <w:color w:val="FFFFFF" w:themeColor="background1"/>
                <w:sz w:val="20"/>
                <w:szCs w:val="20"/>
                <w:lang w:val="es-ES"/>
              </w:rPr>
              <w:t xml:space="preserve">de </w:t>
            </w:r>
            <w:r w:rsidR="001E49E7" w:rsidRPr="00093AAA">
              <w:rPr>
                <w:rFonts w:asciiTheme="majorHAnsi" w:hAnsiTheme="majorHAnsi"/>
                <w:b/>
                <w:bCs/>
                <w:color w:val="FFFFFF" w:themeColor="background1"/>
                <w:sz w:val="20"/>
                <w:szCs w:val="20"/>
                <w:lang w:val="es-ES"/>
              </w:rPr>
              <w:t>posible archivo:</w:t>
            </w:r>
          </w:p>
        </w:tc>
        <w:tc>
          <w:tcPr>
            <w:tcW w:w="5647" w:type="dxa"/>
            <w:vAlign w:val="center"/>
          </w:tcPr>
          <w:p w14:paraId="6E85D194" w14:textId="30A2B413" w:rsidR="001E49E7" w:rsidRPr="00093AAA" w:rsidRDefault="00AD2F06" w:rsidP="002625EA">
            <w:pPr>
              <w:jc w:val="both"/>
              <w:rPr>
                <w:rFonts w:asciiTheme="majorHAnsi" w:hAnsiTheme="majorHAnsi"/>
                <w:bCs/>
                <w:sz w:val="20"/>
                <w:szCs w:val="20"/>
                <w:lang w:val="es-ES"/>
              </w:rPr>
            </w:pPr>
            <w:r w:rsidRPr="00093AAA">
              <w:rPr>
                <w:rFonts w:asciiTheme="majorHAnsi" w:hAnsiTheme="majorHAnsi"/>
                <w:bCs/>
                <w:sz w:val="20"/>
                <w:szCs w:val="20"/>
                <w:lang w:val="es-ES"/>
              </w:rPr>
              <w:t>16 de octubre de 2020</w:t>
            </w:r>
          </w:p>
        </w:tc>
      </w:tr>
    </w:tbl>
    <w:p w14:paraId="0FC6E9E8" w14:textId="77777777" w:rsidR="003239B8" w:rsidRPr="00093AAA" w:rsidRDefault="003239B8" w:rsidP="003239B8">
      <w:pPr>
        <w:spacing w:before="240" w:after="240"/>
        <w:ind w:firstLine="720"/>
        <w:jc w:val="both"/>
        <w:rPr>
          <w:rFonts w:asciiTheme="majorHAnsi" w:hAnsiTheme="majorHAnsi"/>
          <w:b/>
          <w:bCs/>
          <w:sz w:val="20"/>
          <w:szCs w:val="20"/>
          <w:lang w:val="es-ES"/>
        </w:rPr>
      </w:pPr>
      <w:r w:rsidRPr="00093AAA">
        <w:rPr>
          <w:rFonts w:asciiTheme="majorHAnsi" w:hAnsiTheme="majorHAnsi"/>
          <w:b/>
          <w:bCs/>
          <w:sz w:val="20"/>
          <w:szCs w:val="20"/>
          <w:lang w:val="es-ES"/>
        </w:rPr>
        <w:t xml:space="preserve">III. </w:t>
      </w:r>
      <w:r w:rsidRPr="00093AAA">
        <w:rPr>
          <w:rFonts w:asciiTheme="majorHAnsi" w:hAnsiTheme="majorHAnsi"/>
          <w:b/>
          <w:bCs/>
          <w:sz w:val="20"/>
          <w:szCs w:val="20"/>
          <w:lang w:val="es-ES"/>
        </w:rPr>
        <w:tab/>
        <w:t>COMPETENCIA</w:t>
      </w:r>
      <w:r w:rsidR="00EE00E9" w:rsidRPr="00093AA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93AAA"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093AAA" w:rsidRDefault="003239B8" w:rsidP="008D2290">
            <w:pPr>
              <w:jc w:val="center"/>
              <w:rPr>
                <w:rFonts w:asciiTheme="majorHAnsi" w:hAnsiTheme="majorHAnsi"/>
                <w:b/>
                <w:bCs/>
                <w:i/>
                <w:color w:val="FFFFFF" w:themeColor="background1"/>
                <w:sz w:val="20"/>
                <w:szCs w:val="20"/>
                <w:lang w:val="es-ES"/>
              </w:rPr>
            </w:pPr>
            <w:r w:rsidRPr="00093AAA">
              <w:rPr>
                <w:rFonts w:asciiTheme="majorHAnsi" w:hAnsiTheme="majorHAnsi"/>
                <w:b/>
                <w:bCs/>
                <w:color w:val="FFFFFF" w:themeColor="background1"/>
                <w:sz w:val="20"/>
                <w:szCs w:val="20"/>
                <w:lang w:val="es-ES"/>
              </w:rPr>
              <w:t>Competencia</w:t>
            </w:r>
            <w:r w:rsidRPr="00093AAA">
              <w:rPr>
                <w:rFonts w:asciiTheme="majorHAnsi" w:hAnsiTheme="majorHAnsi"/>
                <w:b/>
                <w:bCs/>
                <w:i/>
                <w:color w:val="FFFFFF" w:themeColor="background1"/>
                <w:sz w:val="20"/>
                <w:szCs w:val="20"/>
                <w:lang w:val="es-ES"/>
              </w:rPr>
              <w:t xml:space="preserve"> Ratione personae:</w:t>
            </w:r>
          </w:p>
        </w:tc>
        <w:tc>
          <w:tcPr>
            <w:tcW w:w="5760" w:type="dxa"/>
            <w:vAlign w:val="center"/>
          </w:tcPr>
          <w:p w14:paraId="1E494D5D" w14:textId="58526B09" w:rsidR="003239B8" w:rsidRPr="00093AAA" w:rsidRDefault="003F7558" w:rsidP="008D2290">
            <w:pPr>
              <w:rPr>
                <w:rFonts w:asciiTheme="majorHAnsi" w:hAnsiTheme="majorHAnsi"/>
                <w:bCs/>
                <w:sz w:val="20"/>
                <w:szCs w:val="20"/>
                <w:lang w:val="es-ES"/>
              </w:rPr>
            </w:pPr>
            <w:r w:rsidRPr="00093AAA">
              <w:rPr>
                <w:rFonts w:asciiTheme="majorHAnsi" w:hAnsiTheme="majorHAnsi"/>
                <w:bCs/>
                <w:sz w:val="20"/>
                <w:szCs w:val="20"/>
                <w:lang w:val="es-ES"/>
              </w:rPr>
              <w:t>S</w:t>
            </w:r>
            <w:r w:rsidR="003A5C21" w:rsidRPr="00093AAA">
              <w:rPr>
                <w:rFonts w:asciiTheme="majorHAnsi" w:hAnsiTheme="majorHAnsi"/>
                <w:bCs/>
                <w:sz w:val="20"/>
                <w:szCs w:val="20"/>
                <w:lang w:val="es-ES"/>
              </w:rPr>
              <w:t>í</w:t>
            </w:r>
          </w:p>
        </w:tc>
      </w:tr>
      <w:tr w:rsidR="003239B8" w:rsidRPr="00093AAA"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093AAA" w:rsidRDefault="003239B8" w:rsidP="008D2290">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Competencia</w:t>
            </w:r>
            <w:r w:rsidRPr="00093AAA">
              <w:rPr>
                <w:rFonts w:asciiTheme="majorHAnsi" w:hAnsiTheme="majorHAnsi"/>
                <w:b/>
                <w:bCs/>
                <w:i/>
                <w:color w:val="FFFFFF" w:themeColor="background1"/>
                <w:sz w:val="20"/>
                <w:szCs w:val="20"/>
                <w:lang w:val="es-ES"/>
              </w:rPr>
              <w:t xml:space="preserve"> Ratione loci</w:t>
            </w:r>
            <w:r w:rsidRPr="00093AAA">
              <w:rPr>
                <w:rFonts w:asciiTheme="majorHAnsi" w:hAnsiTheme="majorHAnsi"/>
                <w:b/>
                <w:bCs/>
                <w:color w:val="FFFFFF" w:themeColor="background1"/>
                <w:sz w:val="20"/>
                <w:szCs w:val="20"/>
                <w:lang w:val="es-ES"/>
              </w:rPr>
              <w:t>:</w:t>
            </w:r>
          </w:p>
        </w:tc>
        <w:tc>
          <w:tcPr>
            <w:tcW w:w="5760" w:type="dxa"/>
            <w:vAlign w:val="center"/>
          </w:tcPr>
          <w:p w14:paraId="77C8256A" w14:textId="1C5BA74B" w:rsidR="003239B8" w:rsidRPr="00093AAA" w:rsidRDefault="003F7558" w:rsidP="008D2290">
            <w:pPr>
              <w:rPr>
                <w:rFonts w:asciiTheme="majorHAnsi" w:hAnsiTheme="majorHAnsi"/>
                <w:bCs/>
                <w:sz w:val="20"/>
                <w:szCs w:val="20"/>
                <w:lang w:val="es-ES"/>
              </w:rPr>
            </w:pPr>
            <w:r w:rsidRPr="00093AAA">
              <w:rPr>
                <w:rFonts w:asciiTheme="majorHAnsi" w:hAnsiTheme="majorHAnsi"/>
                <w:bCs/>
                <w:sz w:val="20"/>
                <w:szCs w:val="20"/>
                <w:lang w:val="es-ES"/>
              </w:rPr>
              <w:t>Sí</w:t>
            </w:r>
          </w:p>
        </w:tc>
      </w:tr>
      <w:tr w:rsidR="003239B8" w:rsidRPr="00093AAA"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093AAA" w:rsidRDefault="003239B8" w:rsidP="008D2290">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Competencia</w:t>
            </w:r>
            <w:r w:rsidRPr="00093AAA">
              <w:rPr>
                <w:rFonts w:asciiTheme="majorHAnsi" w:hAnsiTheme="majorHAnsi"/>
                <w:b/>
                <w:bCs/>
                <w:i/>
                <w:color w:val="FFFFFF" w:themeColor="background1"/>
                <w:sz w:val="20"/>
                <w:szCs w:val="20"/>
                <w:lang w:val="es-ES"/>
              </w:rPr>
              <w:t xml:space="preserve"> Ratione temporis</w:t>
            </w:r>
            <w:r w:rsidRPr="00093AAA">
              <w:rPr>
                <w:rFonts w:asciiTheme="majorHAnsi" w:hAnsiTheme="majorHAnsi"/>
                <w:b/>
                <w:bCs/>
                <w:color w:val="FFFFFF" w:themeColor="background1"/>
                <w:sz w:val="20"/>
                <w:szCs w:val="20"/>
                <w:lang w:val="es-ES"/>
              </w:rPr>
              <w:t>:</w:t>
            </w:r>
          </w:p>
        </w:tc>
        <w:tc>
          <w:tcPr>
            <w:tcW w:w="5760" w:type="dxa"/>
            <w:vAlign w:val="center"/>
          </w:tcPr>
          <w:p w14:paraId="523F6BD6" w14:textId="07E41812" w:rsidR="003239B8" w:rsidRPr="00093AAA" w:rsidRDefault="003F7558" w:rsidP="008D2290">
            <w:pPr>
              <w:rPr>
                <w:rFonts w:asciiTheme="majorHAnsi" w:hAnsiTheme="majorHAnsi"/>
                <w:bCs/>
                <w:sz w:val="20"/>
                <w:szCs w:val="20"/>
                <w:lang w:val="es-ES"/>
              </w:rPr>
            </w:pPr>
            <w:r w:rsidRPr="00093AAA">
              <w:rPr>
                <w:rFonts w:asciiTheme="majorHAnsi" w:hAnsiTheme="majorHAnsi"/>
                <w:bCs/>
                <w:sz w:val="20"/>
                <w:szCs w:val="20"/>
                <w:lang w:val="es-ES"/>
              </w:rPr>
              <w:t>Sí</w:t>
            </w:r>
          </w:p>
        </w:tc>
      </w:tr>
      <w:tr w:rsidR="003239B8" w:rsidRPr="008900DB"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093AAA" w:rsidRDefault="003239B8" w:rsidP="008D2290">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Competencia</w:t>
            </w:r>
            <w:r w:rsidRPr="00093AAA">
              <w:rPr>
                <w:rFonts w:asciiTheme="majorHAnsi" w:hAnsiTheme="majorHAnsi"/>
                <w:b/>
                <w:bCs/>
                <w:i/>
                <w:color w:val="FFFFFF" w:themeColor="background1"/>
                <w:sz w:val="20"/>
                <w:szCs w:val="20"/>
                <w:lang w:val="es-ES"/>
              </w:rPr>
              <w:t xml:space="preserve"> Ratione materia</w:t>
            </w:r>
            <w:r w:rsidR="00EE00E9" w:rsidRPr="00093AAA">
              <w:rPr>
                <w:rFonts w:asciiTheme="majorHAnsi" w:hAnsiTheme="majorHAnsi"/>
                <w:b/>
                <w:bCs/>
                <w:i/>
                <w:color w:val="FFFFFF" w:themeColor="background1"/>
                <w:sz w:val="20"/>
                <w:szCs w:val="20"/>
                <w:lang w:val="es-ES"/>
              </w:rPr>
              <w:t>e</w:t>
            </w:r>
            <w:r w:rsidRPr="00093AAA">
              <w:rPr>
                <w:rFonts w:asciiTheme="majorHAnsi" w:hAnsiTheme="majorHAnsi"/>
                <w:b/>
                <w:bCs/>
                <w:color w:val="FFFFFF" w:themeColor="background1"/>
                <w:sz w:val="20"/>
                <w:szCs w:val="20"/>
                <w:lang w:val="es-ES"/>
              </w:rPr>
              <w:t>:</w:t>
            </w:r>
          </w:p>
        </w:tc>
        <w:tc>
          <w:tcPr>
            <w:tcW w:w="5760" w:type="dxa"/>
            <w:vAlign w:val="center"/>
          </w:tcPr>
          <w:p w14:paraId="257C8337" w14:textId="25CFF89E" w:rsidR="003239B8" w:rsidRPr="00093AAA" w:rsidRDefault="003F7558" w:rsidP="008D2290">
            <w:pPr>
              <w:jc w:val="both"/>
              <w:rPr>
                <w:rFonts w:asciiTheme="majorHAnsi" w:hAnsiTheme="majorHAnsi"/>
                <w:bCs/>
                <w:sz w:val="20"/>
                <w:szCs w:val="20"/>
                <w:lang w:val="es-ES"/>
              </w:rPr>
            </w:pPr>
            <w:r w:rsidRPr="00093AAA">
              <w:rPr>
                <w:rFonts w:asciiTheme="majorHAnsi" w:hAnsiTheme="majorHAnsi"/>
                <w:bCs/>
                <w:sz w:val="20"/>
                <w:szCs w:val="20"/>
                <w:lang w:val="es-ES"/>
              </w:rPr>
              <w:t>Sí (Convención Americana, depósito del instrumento de ratificación el 31 de julio de 1973)</w:t>
            </w:r>
          </w:p>
        </w:tc>
      </w:tr>
    </w:tbl>
    <w:p w14:paraId="299A3868" w14:textId="77777777" w:rsidR="003239B8" w:rsidRPr="00093AAA" w:rsidRDefault="003239B8" w:rsidP="003239B8">
      <w:pPr>
        <w:spacing w:before="240" w:after="240"/>
        <w:ind w:firstLine="720"/>
        <w:jc w:val="both"/>
        <w:rPr>
          <w:rFonts w:asciiTheme="majorHAnsi" w:hAnsiTheme="majorHAnsi"/>
          <w:b/>
          <w:bCs/>
          <w:sz w:val="20"/>
          <w:szCs w:val="20"/>
          <w:lang w:val="es-ES"/>
        </w:rPr>
      </w:pPr>
      <w:r w:rsidRPr="00093AAA">
        <w:rPr>
          <w:rFonts w:asciiTheme="majorHAnsi" w:hAnsiTheme="majorHAnsi"/>
          <w:b/>
          <w:bCs/>
          <w:sz w:val="20"/>
          <w:szCs w:val="20"/>
          <w:lang w:val="es-ES"/>
        </w:rPr>
        <w:t xml:space="preserve">IV. </w:t>
      </w:r>
      <w:r w:rsidRPr="00093AAA">
        <w:rPr>
          <w:rFonts w:asciiTheme="majorHAnsi" w:hAnsiTheme="majorHAnsi"/>
          <w:b/>
          <w:bCs/>
          <w:sz w:val="20"/>
          <w:szCs w:val="20"/>
          <w:lang w:val="es-ES"/>
        </w:rPr>
        <w:tab/>
      </w:r>
      <w:r w:rsidR="00EE00E9" w:rsidRPr="00093AAA">
        <w:rPr>
          <w:rFonts w:asciiTheme="majorHAnsi" w:hAnsiTheme="majorHAnsi"/>
          <w:b/>
          <w:bCs/>
          <w:sz w:val="20"/>
          <w:szCs w:val="20"/>
          <w:lang w:val="es-ES"/>
        </w:rPr>
        <w:t>DUPLICACIÓN</w:t>
      </w:r>
      <w:r w:rsidR="00EE00E9" w:rsidRPr="00093AAA">
        <w:rPr>
          <w:rFonts w:asciiTheme="majorHAnsi" w:hAnsiTheme="majorHAnsi"/>
          <w:b/>
          <w:bCs/>
          <w:color w:val="FFFFFF" w:themeColor="background1"/>
          <w:sz w:val="20"/>
          <w:szCs w:val="20"/>
          <w:lang w:val="es-ES"/>
        </w:rPr>
        <w:t xml:space="preserve"> </w:t>
      </w:r>
      <w:r w:rsidR="00EE00E9" w:rsidRPr="00093AAA">
        <w:rPr>
          <w:rFonts w:asciiTheme="majorHAnsi" w:hAnsiTheme="majorHAnsi"/>
          <w:b/>
          <w:bCs/>
          <w:sz w:val="20"/>
          <w:szCs w:val="20"/>
          <w:lang w:val="es-ES"/>
        </w:rPr>
        <w:t>DE PROCEDIMIENTOS Y COSA JUZGADA</w:t>
      </w:r>
      <w:r w:rsidR="00EE00E9" w:rsidRPr="00093AAA">
        <w:rPr>
          <w:rFonts w:asciiTheme="majorHAnsi" w:hAnsiTheme="majorHAnsi"/>
          <w:b/>
          <w:bCs/>
          <w:i/>
          <w:sz w:val="20"/>
          <w:szCs w:val="20"/>
          <w:lang w:val="es-ES"/>
        </w:rPr>
        <w:t xml:space="preserve"> </w:t>
      </w:r>
      <w:r w:rsidR="00EE00E9" w:rsidRPr="00093AAA">
        <w:rPr>
          <w:rFonts w:asciiTheme="majorHAnsi" w:hAnsiTheme="majorHAnsi"/>
          <w:b/>
          <w:bCs/>
          <w:sz w:val="20"/>
          <w:szCs w:val="20"/>
          <w:lang w:val="es-ES"/>
        </w:rPr>
        <w:t xml:space="preserve">INTERNACIONAL, </w:t>
      </w:r>
      <w:r w:rsidRPr="00093AAA">
        <w:rPr>
          <w:rFonts w:asciiTheme="majorHAnsi" w:hAnsiTheme="majorHAnsi"/>
          <w:b/>
          <w:bCs/>
          <w:sz w:val="20"/>
          <w:szCs w:val="20"/>
          <w:lang w:val="es-ES"/>
        </w:rPr>
        <w:t xml:space="preserve"> CARACTERIZACIÓN, </w:t>
      </w:r>
      <w:r w:rsidRPr="00093AA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93AAA"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093AAA" w:rsidRDefault="00EE00E9" w:rsidP="008D2290">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093AAA" w:rsidRDefault="003A5C21" w:rsidP="008D2290">
            <w:pPr>
              <w:jc w:val="both"/>
              <w:rPr>
                <w:rFonts w:asciiTheme="majorHAnsi" w:hAnsiTheme="majorHAnsi"/>
                <w:bCs/>
                <w:sz w:val="20"/>
                <w:szCs w:val="20"/>
                <w:lang w:val="es-ES"/>
              </w:rPr>
            </w:pPr>
            <w:r w:rsidRPr="00093AAA">
              <w:rPr>
                <w:rFonts w:asciiTheme="majorHAnsi" w:hAnsiTheme="majorHAnsi"/>
                <w:bCs/>
                <w:sz w:val="20"/>
                <w:szCs w:val="20"/>
                <w:lang w:val="es-ES"/>
              </w:rPr>
              <w:t>No</w:t>
            </w:r>
          </w:p>
        </w:tc>
      </w:tr>
      <w:tr w:rsidR="003239B8" w:rsidRPr="008900DB"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093AAA" w:rsidRDefault="003239B8" w:rsidP="008D2290">
            <w:pPr>
              <w:jc w:val="center"/>
              <w:rPr>
                <w:rFonts w:asciiTheme="majorHAnsi" w:hAnsiTheme="majorHAnsi"/>
                <w:b/>
                <w:bCs/>
                <w:i/>
                <w:color w:val="FFFFFF" w:themeColor="background1"/>
                <w:sz w:val="20"/>
                <w:szCs w:val="20"/>
                <w:lang w:val="es-ES"/>
              </w:rPr>
            </w:pPr>
            <w:r w:rsidRPr="00093AAA">
              <w:rPr>
                <w:rFonts w:asciiTheme="majorHAnsi" w:hAnsiTheme="majorHAnsi"/>
                <w:b/>
                <w:bCs/>
                <w:color w:val="FFFFFF" w:themeColor="background1"/>
                <w:sz w:val="20"/>
                <w:szCs w:val="20"/>
                <w:lang w:val="es-ES"/>
              </w:rPr>
              <w:t>Derechos declarados admisibles</w:t>
            </w:r>
            <w:r w:rsidRPr="00093AAA">
              <w:rPr>
                <w:rFonts w:asciiTheme="majorHAnsi" w:hAnsiTheme="majorHAnsi"/>
                <w:b/>
                <w:bCs/>
                <w:i/>
                <w:color w:val="FFFFFF" w:themeColor="background1"/>
                <w:sz w:val="20"/>
                <w:szCs w:val="20"/>
                <w:lang w:val="es-ES"/>
              </w:rPr>
              <w:t>:</w:t>
            </w:r>
          </w:p>
        </w:tc>
        <w:tc>
          <w:tcPr>
            <w:tcW w:w="5760" w:type="dxa"/>
            <w:vAlign w:val="center"/>
          </w:tcPr>
          <w:p w14:paraId="4DAE9D4D" w14:textId="542B7BA8" w:rsidR="003239B8" w:rsidRPr="00093AAA" w:rsidRDefault="0016740F" w:rsidP="008D2290">
            <w:pPr>
              <w:jc w:val="both"/>
              <w:rPr>
                <w:rFonts w:asciiTheme="majorHAnsi" w:hAnsiTheme="majorHAnsi"/>
                <w:bCs/>
                <w:color w:val="000000" w:themeColor="text1"/>
                <w:sz w:val="20"/>
                <w:szCs w:val="20"/>
                <w:lang w:val="es-ES"/>
              </w:rPr>
            </w:pPr>
            <w:r w:rsidRPr="00093AAA">
              <w:rPr>
                <w:rFonts w:asciiTheme="majorHAnsi" w:hAnsiTheme="majorHAnsi"/>
                <w:bCs/>
                <w:sz w:val="20"/>
                <w:szCs w:val="20"/>
                <w:lang w:val="es-ES"/>
              </w:rPr>
              <w:t xml:space="preserve">Artículos </w:t>
            </w:r>
            <w:r w:rsidR="00C7664C" w:rsidRPr="00093AAA">
              <w:rPr>
                <w:rFonts w:asciiTheme="majorHAnsi" w:hAnsiTheme="majorHAnsi"/>
                <w:bCs/>
                <w:sz w:val="20"/>
                <w:szCs w:val="20"/>
                <w:lang w:val="es-ES"/>
              </w:rPr>
              <w:t xml:space="preserve">5 (integridad personal), </w:t>
            </w:r>
            <w:r w:rsidR="00D02EA7" w:rsidRPr="00093AAA">
              <w:rPr>
                <w:rFonts w:asciiTheme="majorHAnsi" w:hAnsiTheme="majorHAnsi"/>
                <w:bCs/>
                <w:color w:val="000000" w:themeColor="text1"/>
                <w:sz w:val="20"/>
                <w:szCs w:val="20"/>
                <w:lang w:val="es-ES"/>
              </w:rPr>
              <w:t xml:space="preserve">8 (garantías judiciales), 11 (honra y a dignidad), </w:t>
            </w:r>
            <w:r w:rsidR="00D02EA7" w:rsidRPr="00093AAA">
              <w:rPr>
                <w:rFonts w:asciiTheme="majorHAnsi" w:hAnsiTheme="majorHAnsi"/>
                <w:bCs/>
                <w:sz w:val="20"/>
                <w:szCs w:val="20"/>
                <w:lang w:val="es-ES"/>
              </w:rPr>
              <w:t xml:space="preserve">17 (protección a la familia), </w:t>
            </w:r>
            <w:r w:rsidR="00D02EA7" w:rsidRPr="00093AAA">
              <w:rPr>
                <w:rFonts w:asciiTheme="majorHAnsi" w:hAnsiTheme="majorHAnsi"/>
                <w:bCs/>
                <w:color w:val="000000" w:themeColor="text1"/>
                <w:sz w:val="20"/>
                <w:szCs w:val="20"/>
                <w:lang w:val="es-ES"/>
              </w:rPr>
              <w:t>19 (derechos del niño), 21 (propiedad privada)</w:t>
            </w:r>
            <w:r w:rsidR="00C7664C" w:rsidRPr="00093AAA">
              <w:rPr>
                <w:rFonts w:asciiTheme="majorHAnsi" w:hAnsiTheme="majorHAnsi"/>
                <w:bCs/>
                <w:color w:val="000000" w:themeColor="text1"/>
                <w:sz w:val="20"/>
                <w:szCs w:val="20"/>
                <w:lang w:val="es-ES"/>
              </w:rPr>
              <w:t>, 22 (circulación y residencia),</w:t>
            </w:r>
            <w:r w:rsidR="00D02EA7" w:rsidRPr="00093AAA">
              <w:rPr>
                <w:rFonts w:asciiTheme="majorHAnsi" w:hAnsiTheme="majorHAnsi"/>
                <w:bCs/>
                <w:color w:val="000000" w:themeColor="text1"/>
                <w:sz w:val="20"/>
                <w:szCs w:val="20"/>
                <w:lang w:val="es-ES"/>
              </w:rPr>
              <w:t xml:space="preserve"> 25 (protección judicial)</w:t>
            </w:r>
            <w:r w:rsidR="00C7664C" w:rsidRPr="00093AAA">
              <w:rPr>
                <w:rFonts w:asciiTheme="majorHAnsi" w:hAnsiTheme="majorHAnsi"/>
                <w:bCs/>
                <w:color w:val="000000" w:themeColor="text1"/>
                <w:sz w:val="20"/>
                <w:szCs w:val="20"/>
                <w:lang w:val="es-ES"/>
              </w:rPr>
              <w:t xml:space="preserve"> y 26 (desarrollo progresivo)</w:t>
            </w:r>
            <w:r w:rsidR="00D02EA7" w:rsidRPr="00093AAA">
              <w:rPr>
                <w:rFonts w:asciiTheme="majorHAnsi" w:hAnsiTheme="majorHAnsi"/>
                <w:bCs/>
                <w:color w:val="000000" w:themeColor="text1"/>
                <w:sz w:val="20"/>
                <w:szCs w:val="20"/>
                <w:lang w:val="es-ES"/>
              </w:rPr>
              <w:t xml:space="preserve"> de la Convención Americana</w:t>
            </w:r>
            <w:r w:rsidR="00093AAA">
              <w:rPr>
                <w:rFonts w:asciiTheme="majorHAnsi" w:hAnsiTheme="majorHAnsi"/>
                <w:bCs/>
                <w:color w:val="000000" w:themeColor="text1"/>
                <w:sz w:val="20"/>
                <w:szCs w:val="20"/>
                <w:lang w:val="es-ES"/>
              </w:rPr>
              <w:t>,</w:t>
            </w:r>
            <w:r w:rsidR="00D02EA7" w:rsidRPr="00093AAA">
              <w:rPr>
                <w:rFonts w:asciiTheme="majorHAnsi" w:hAnsiTheme="majorHAnsi"/>
                <w:bCs/>
                <w:color w:val="000000" w:themeColor="text1"/>
                <w:sz w:val="20"/>
                <w:szCs w:val="20"/>
                <w:lang w:val="es-ES"/>
              </w:rPr>
              <w:t xml:space="preserve"> en relación con su artículo 1.1 (obligación de respetar los derechos)</w:t>
            </w:r>
          </w:p>
        </w:tc>
      </w:tr>
      <w:tr w:rsidR="003239B8" w:rsidRPr="008900DB"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093AAA" w:rsidRDefault="003239B8" w:rsidP="008D2290">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Agotamiento de recursos internos</w:t>
            </w:r>
            <w:r w:rsidR="00EE00E9" w:rsidRPr="00093AAA">
              <w:rPr>
                <w:rFonts w:asciiTheme="majorHAnsi" w:hAnsiTheme="majorHAnsi"/>
                <w:b/>
                <w:bCs/>
                <w:color w:val="FFFFFF" w:themeColor="background1"/>
                <w:sz w:val="20"/>
                <w:szCs w:val="20"/>
                <w:lang w:val="es-ES"/>
              </w:rPr>
              <w:t xml:space="preserve"> o procedencia de una excepción</w:t>
            </w:r>
            <w:r w:rsidRPr="00093AAA">
              <w:rPr>
                <w:rFonts w:asciiTheme="majorHAnsi" w:hAnsiTheme="majorHAnsi"/>
                <w:b/>
                <w:bCs/>
                <w:color w:val="FFFFFF" w:themeColor="background1"/>
                <w:sz w:val="20"/>
                <w:szCs w:val="20"/>
                <w:lang w:val="es-ES"/>
              </w:rPr>
              <w:t>:</w:t>
            </w:r>
          </w:p>
        </w:tc>
        <w:tc>
          <w:tcPr>
            <w:tcW w:w="5760" w:type="dxa"/>
            <w:vAlign w:val="center"/>
          </w:tcPr>
          <w:p w14:paraId="7F7C1A19" w14:textId="75C43262" w:rsidR="003239B8" w:rsidRPr="00093AAA" w:rsidRDefault="003A5C21" w:rsidP="008D2290">
            <w:pPr>
              <w:rPr>
                <w:rFonts w:asciiTheme="majorHAnsi" w:hAnsiTheme="majorHAnsi"/>
                <w:bCs/>
                <w:sz w:val="20"/>
                <w:szCs w:val="20"/>
                <w:lang w:val="es-ES"/>
              </w:rPr>
            </w:pPr>
            <w:r w:rsidRPr="00093AAA">
              <w:rPr>
                <w:rFonts w:asciiTheme="majorHAnsi" w:hAnsiTheme="majorHAnsi"/>
                <w:bCs/>
                <w:sz w:val="20"/>
                <w:szCs w:val="20"/>
                <w:lang w:val="es-ES"/>
              </w:rPr>
              <w:t>Sí</w:t>
            </w:r>
            <w:r w:rsidR="00BB3291" w:rsidRPr="00093AAA">
              <w:rPr>
                <w:rFonts w:asciiTheme="majorHAnsi" w:hAnsiTheme="majorHAnsi"/>
                <w:bCs/>
                <w:sz w:val="20"/>
                <w:szCs w:val="20"/>
                <w:lang w:val="es-ES"/>
              </w:rPr>
              <w:t>, aplica la excepción establecida en el artículo 46.2.c) de la Convención Americana</w:t>
            </w:r>
          </w:p>
        </w:tc>
      </w:tr>
      <w:tr w:rsidR="003239B8" w:rsidRPr="008900DB"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093AAA" w:rsidRDefault="003239B8" w:rsidP="008D2290">
            <w:pPr>
              <w:jc w:val="center"/>
              <w:rPr>
                <w:rFonts w:asciiTheme="majorHAnsi" w:hAnsiTheme="majorHAnsi"/>
                <w:b/>
                <w:bCs/>
                <w:color w:val="FFFFFF" w:themeColor="background1"/>
                <w:sz w:val="20"/>
                <w:szCs w:val="20"/>
                <w:lang w:val="es-ES"/>
              </w:rPr>
            </w:pPr>
            <w:r w:rsidRPr="00093AAA">
              <w:rPr>
                <w:rFonts w:asciiTheme="majorHAnsi" w:hAnsiTheme="majorHAnsi"/>
                <w:b/>
                <w:bCs/>
                <w:color w:val="FFFFFF" w:themeColor="background1"/>
                <w:sz w:val="20"/>
                <w:szCs w:val="20"/>
                <w:lang w:val="es-ES"/>
              </w:rPr>
              <w:t>Presentación dentro de plazo:</w:t>
            </w:r>
          </w:p>
        </w:tc>
        <w:tc>
          <w:tcPr>
            <w:tcW w:w="5760" w:type="dxa"/>
            <w:vAlign w:val="center"/>
          </w:tcPr>
          <w:p w14:paraId="2AF0FC69" w14:textId="69BAEF92" w:rsidR="003239B8" w:rsidRPr="00093AAA" w:rsidRDefault="00C92EB0" w:rsidP="008D2290">
            <w:pPr>
              <w:rPr>
                <w:rFonts w:asciiTheme="majorHAnsi" w:hAnsiTheme="majorHAnsi"/>
                <w:bCs/>
                <w:sz w:val="20"/>
                <w:szCs w:val="20"/>
                <w:lang w:val="es-ES"/>
              </w:rPr>
            </w:pPr>
            <w:r w:rsidRPr="00093AAA">
              <w:rPr>
                <w:rFonts w:asciiTheme="majorHAnsi" w:hAnsiTheme="majorHAnsi"/>
                <w:bCs/>
                <w:sz w:val="20"/>
                <w:szCs w:val="20"/>
                <w:lang w:val="es-ES"/>
              </w:rPr>
              <w:t>Sí</w:t>
            </w:r>
            <w:r w:rsidR="00BB3291" w:rsidRPr="00093AAA">
              <w:rPr>
                <w:rFonts w:asciiTheme="majorHAnsi" w:hAnsiTheme="majorHAnsi"/>
                <w:bCs/>
                <w:sz w:val="20"/>
                <w:szCs w:val="20"/>
                <w:lang w:val="es-ES"/>
              </w:rPr>
              <w:t>, en los términos de la sección VI</w:t>
            </w:r>
          </w:p>
        </w:tc>
      </w:tr>
    </w:tbl>
    <w:p w14:paraId="4A80A008" w14:textId="31AFC045" w:rsidR="009F3EDF" w:rsidRPr="001C541B" w:rsidRDefault="00223A29" w:rsidP="00093AAA">
      <w:pPr>
        <w:spacing w:before="240" w:after="240"/>
        <w:ind w:firstLine="709"/>
        <w:jc w:val="both"/>
        <w:rPr>
          <w:rFonts w:asciiTheme="majorHAnsi" w:hAnsiTheme="majorHAnsi"/>
          <w:b/>
          <w:sz w:val="20"/>
          <w:szCs w:val="20"/>
          <w:lang w:val="es-ES_tradnl"/>
        </w:rPr>
      </w:pPr>
      <w:r w:rsidRPr="001C541B">
        <w:rPr>
          <w:rFonts w:asciiTheme="majorHAnsi" w:hAnsiTheme="majorHAnsi"/>
          <w:b/>
          <w:sz w:val="20"/>
          <w:szCs w:val="20"/>
          <w:lang w:val="es-ES_tradnl"/>
        </w:rPr>
        <w:lastRenderedPageBreak/>
        <w:t xml:space="preserve">V. </w:t>
      </w:r>
      <w:r w:rsidRPr="001C541B">
        <w:rPr>
          <w:rFonts w:asciiTheme="majorHAnsi" w:hAnsiTheme="majorHAnsi"/>
          <w:b/>
          <w:sz w:val="20"/>
          <w:szCs w:val="20"/>
          <w:lang w:val="es-ES_tradnl"/>
        </w:rPr>
        <w:tab/>
      </w:r>
      <w:r w:rsidR="004241A0" w:rsidRPr="001C541B">
        <w:rPr>
          <w:rFonts w:asciiTheme="majorHAnsi" w:hAnsiTheme="majorHAnsi"/>
          <w:b/>
          <w:sz w:val="20"/>
          <w:szCs w:val="20"/>
          <w:lang w:val="es-ES_tradnl"/>
        </w:rPr>
        <w:t>POSICIÓN DE LAS PARTES</w:t>
      </w:r>
      <w:r w:rsidR="003239B8" w:rsidRPr="001C541B">
        <w:rPr>
          <w:rFonts w:asciiTheme="majorHAnsi" w:hAnsiTheme="majorHAnsi"/>
          <w:b/>
          <w:sz w:val="20"/>
          <w:szCs w:val="20"/>
          <w:lang w:val="es-ES_tradnl"/>
        </w:rPr>
        <w:t xml:space="preserve"> </w:t>
      </w:r>
    </w:p>
    <w:p w14:paraId="21CA2A7A" w14:textId="382F6F1E" w:rsidR="00BF3684" w:rsidRPr="001C541B" w:rsidRDefault="00BF3684" w:rsidP="00DC79A8">
      <w:pPr>
        <w:pStyle w:val="ListParagraph"/>
        <w:numPr>
          <w:ilvl w:val="0"/>
          <w:numId w:val="59"/>
        </w:numPr>
        <w:spacing w:before="240" w:after="240"/>
        <w:ind w:left="0" w:firstLine="709"/>
        <w:jc w:val="both"/>
        <w:rPr>
          <w:rFonts w:asciiTheme="majorHAnsi" w:eastAsia="Arial Unicode MS" w:hAnsiTheme="majorHAnsi"/>
          <w:sz w:val="20"/>
          <w:szCs w:val="20"/>
          <w:lang w:val="es-ES_tradnl"/>
        </w:rPr>
      </w:pPr>
      <w:r w:rsidRPr="001C541B">
        <w:rPr>
          <w:rFonts w:eastAsia="Arial Unicode MS"/>
          <w:sz w:val="20"/>
          <w:szCs w:val="20"/>
          <w:lang w:val="es-ES_tradnl"/>
        </w:rPr>
        <w:t xml:space="preserve">La parte peticionaria alega la responsabilidad internacional del Estado colombiano por el desplazamiento forzado sufrido por las presuntas </w:t>
      </w:r>
      <w:r w:rsidR="00006DB3" w:rsidRPr="001C541B">
        <w:rPr>
          <w:rFonts w:eastAsia="Arial Unicode MS"/>
          <w:sz w:val="20"/>
          <w:szCs w:val="20"/>
          <w:lang w:val="es-ES_tradnl"/>
        </w:rPr>
        <w:t>víctimas</w:t>
      </w:r>
      <w:r w:rsidRPr="001C541B">
        <w:rPr>
          <w:rFonts w:eastAsia="Arial Unicode MS"/>
          <w:sz w:val="20"/>
          <w:szCs w:val="20"/>
          <w:lang w:val="es-ES_tradnl"/>
        </w:rPr>
        <w:t xml:space="preserve"> en el marco de </w:t>
      </w:r>
      <w:r w:rsidR="00EF4A16" w:rsidRPr="001C541B">
        <w:rPr>
          <w:rFonts w:eastAsia="Arial Unicode MS"/>
          <w:sz w:val="20"/>
          <w:szCs w:val="20"/>
          <w:lang w:val="es-ES_tradnl"/>
        </w:rPr>
        <w:t xml:space="preserve">alegadas </w:t>
      </w:r>
      <w:r w:rsidRPr="001C541B">
        <w:rPr>
          <w:rFonts w:eastAsia="Arial Unicode MS"/>
          <w:sz w:val="20"/>
          <w:szCs w:val="20"/>
          <w:lang w:val="es-ES_tradnl"/>
        </w:rPr>
        <w:t>violaciones a derechos humanos perpetrad</w:t>
      </w:r>
      <w:r w:rsidR="00C903DD" w:rsidRPr="001C541B">
        <w:rPr>
          <w:rFonts w:eastAsia="Arial Unicode MS"/>
          <w:sz w:val="20"/>
          <w:szCs w:val="20"/>
          <w:lang w:val="es-ES_tradnl"/>
        </w:rPr>
        <w:t>a</w:t>
      </w:r>
      <w:r w:rsidRPr="001C541B">
        <w:rPr>
          <w:rFonts w:eastAsia="Arial Unicode MS"/>
          <w:sz w:val="20"/>
          <w:szCs w:val="20"/>
          <w:lang w:val="es-ES_tradnl"/>
        </w:rPr>
        <w:t xml:space="preserve">s por </w:t>
      </w:r>
      <w:r w:rsidR="00AD625F" w:rsidRPr="001C541B">
        <w:rPr>
          <w:rFonts w:eastAsia="Arial Unicode MS"/>
          <w:sz w:val="20"/>
          <w:szCs w:val="20"/>
          <w:lang w:val="es-ES_tradnl"/>
        </w:rPr>
        <w:t>el Ejército</w:t>
      </w:r>
      <w:r w:rsidR="00732A07" w:rsidRPr="001C541B">
        <w:rPr>
          <w:rFonts w:eastAsia="Arial Unicode MS"/>
          <w:sz w:val="20"/>
          <w:szCs w:val="20"/>
          <w:lang w:val="es-ES_tradnl"/>
        </w:rPr>
        <w:t>;</w:t>
      </w:r>
      <w:r w:rsidR="001B20D1" w:rsidRPr="001C541B">
        <w:rPr>
          <w:rFonts w:eastAsia="Arial Unicode MS"/>
          <w:sz w:val="20"/>
          <w:szCs w:val="20"/>
          <w:lang w:val="es-ES_tradnl"/>
        </w:rPr>
        <w:t xml:space="preserve"> </w:t>
      </w:r>
      <w:r w:rsidR="00932E06" w:rsidRPr="001C541B">
        <w:rPr>
          <w:rFonts w:eastAsia="Arial Unicode MS"/>
          <w:sz w:val="20"/>
          <w:szCs w:val="20"/>
          <w:lang w:val="es-ES_tradnl"/>
        </w:rPr>
        <w:t xml:space="preserve">así como </w:t>
      </w:r>
      <w:r w:rsidR="00732A07" w:rsidRPr="001C541B">
        <w:rPr>
          <w:rFonts w:eastAsia="Arial Unicode MS"/>
          <w:sz w:val="20"/>
          <w:szCs w:val="20"/>
          <w:lang w:val="es-ES_tradnl"/>
        </w:rPr>
        <w:t xml:space="preserve">por </w:t>
      </w:r>
      <w:r w:rsidR="00932E06" w:rsidRPr="001C541B">
        <w:rPr>
          <w:rFonts w:eastAsia="Arial Unicode MS"/>
          <w:sz w:val="20"/>
          <w:szCs w:val="20"/>
          <w:lang w:val="es-ES_tradnl"/>
        </w:rPr>
        <w:t>la subsecuente</w:t>
      </w:r>
      <w:r w:rsidRPr="001C541B">
        <w:rPr>
          <w:rFonts w:eastAsia="Arial Unicode MS"/>
          <w:sz w:val="20"/>
          <w:szCs w:val="20"/>
          <w:lang w:val="es-ES_tradnl"/>
        </w:rPr>
        <w:t xml:space="preserve"> falta de protección estatal </w:t>
      </w:r>
      <w:r w:rsidR="00B471FD" w:rsidRPr="001C541B">
        <w:rPr>
          <w:rFonts w:eastAsia="Arial Unicode MS"/>
          <w:sz w:val="20"/>
          <w:szCs w:val="20"/>
          <w:lang w:val="es-ES_tradnl"/>
        </w:rPr>
        <w:t>e</w:t>
      </w:r>
      <w:r w:rsidRPr="001C541B">
        <w:rPr>
          <w:rFonts w:eastAsia="Arial Unicode MS"/>
          <w:sz w:val="20"/>
          <w:szCs w:val="20"/>
          <w:lang w:val="es-ES_tradnl"/>
        </w:rPr>
        <w:t xml:space="preserve"> indemnización por los daños ocasionados en su contra. </w:t>
      </w:r>
    </w:p>
    <w:p w14:paraId="555D0727" w14:textId="0EC6909E" w:rsidR="00496692" w:rsidRPr="001C541B" w:rsidRDefault="00CD2417" w:rsidP="00496692">
      <w:pPr>
        <w:pStyle w:val="ListParagraph"/>
        <w:numPr>
          <w:ilvl w:val="0"/>
          <w:numId w:val="59"/>
        </w:numPr>
        <w:spacing w:before="240" w:after="240"/>
        <w:ind w:left="0" w:firstLine="709"/>
        <w:jc w:val="both"/>
        <w:rPr>
          <w:rFonts w:asciiTheme="majorHAnsi" w:hAnsiTheme="majorHAnsi"/>
          <w:bCs/>
          <w:sz w:val="20"/>
          <w:szCs w:val="20"/>
          <w:lang w:val="es-ES_tradnl"/>
        </w:rPr>
      </w:pPr>
      <w:r w:rsidRPr="001C541B">
        <w:rPr>
          <w:rFonts w:asciiTheme="majorHAnsi" w:hAnsiTheme="majorHAnsi"/>
          <w:bCs/>
          <w:sz w:val="20"/>
          <w:szCs w:val="20"/>
          <w:lang w:val="es-ES_tradnl"/>
        </w:rPr>
        <w:t>Los peticionarios</w:t>
      </w:r>
      <w:r w:rsidR="003747E4" w:rsidRPr="001C541B">
        <w:rPr>
          <w:rFonts w:asciiTheme="majorHAnsi" w:hAnsiTheme="majorHAnsi"/>
          <w:bCs/>
          <w:sz w:val="20"/>
          <w:szCs w:val="20"/>
          <w:lang w:val="es-ES_tradnl"/>
        </w:rPr>
        <w:t xml:space="preserve"> </w:t>
      </w:r>
      <w:r w:rsidR="00242609" w:rsidRPr="001C541B">
        <w:rPr>
          <w:rFonts w:asciiTheme="majorHAnsi" w:hAnsiTheme="majorHAnsi"/>
          <w:bCs/>
          <w:sz w:val="20"/>
          <w:szCs w:val="20"/>
          <w:lang w:val="es-ES_tradnl"/>
        </w:rPr>
        <w:t>refieren</w:t>
      </w:r>
      <w:r w:rsidR="00A70ECE" w:rsidRPr="001C541B">
        <w:rPr>
          <w:rFonts w:asciiTheme="majorHAnsi" w:hAnsiTheme="majorHAnsi"/>
          <w:bCs/>
          <w:sz w:val="20"/>
          <w:szCs w:val="20"/>
          <w:lang w:val="es-ES_tradnl"/>
        </w:rPr>
        <w:t xml:space="preserve"> a manera de contexto </w:t>
      </w:r>
      <w:r w:rsidR="00242609" w:rsidRPr="001C541B">
        <w:rPr>
          <w:rFonts w:asciiTheme="majorHAnsi" w:hAnsiTheme="majorHAnsi"/>
          <w:bCs/>
          <w:sz w:val="20"/>
          <w:szCs w:val="20"/>
          <w:lang w:val="es-ES_tradnl"/>
        </w:rPr>
        <w:t xml:space="preserve">que </w:t>
      </w:r>
      <w:r w:rsidR="00100F9E" w:rsidRPr="001C541B">
        <w:rPr>
          <w:rFonts w:asciiTheme="majorHAnsi" w:hAnsiTheme="majorHAnsi"/>
          <w:bCs/>
          <w:sz w:val="20"/>
          <w:szCs w:val="20"/>
          <w:lang w:val="es-ES_tradnl"/>
        </w:rPr>
        <w:t>en el año 2000 el</w:t>
      </w:r>
      <w:r w:rsidR="00242609" w:rsidRPr="001C541B">
        <w:rPr>
          <w:rFonts w:asciiTheme="majorHAnsi" w:hAnsiTheme="majorHAnsi"/>
          <w:bCs/>
          <w:sz w:val="20"/>
          <w:szCs w:val="20"/>
          <w:lang w:val="es-ES_tradnl"/>
        </w:rPr>
        <w:t xml:space="preserve"> señor Alfredo López Gallego era el representante legal de la Fundación Maran</w:t>
      </w:r>
      <w:r w:rsidR="00006DB3" w:rsidRPr="001C541B">
        <w:rPr>
          <w:rFonts w:asciiTheme="majorHAnsi" w:hAnsiTheme="majorHAnsi"/>
          <w:bCs/>
          <w:sz w:val="20"/>
          <w:szCs w:val="20"/>
          <w:lang w:val="es-ES_tradnl"/>
        </w:rPr>
        <w:t>a</w:t>
      </w:r>
      <w:r w:rsidR="00242609" w:rsidRPr="001C541B">
        <w:rPr>
          <w:rFonts w:asciiTheme="majorHAnsi" w:hAnsiTheme="majorHAnsi"/>
          <w:bCs/>
          <w:sz w:val="20"/>
          <w:szCs w:val="20"/>
          <w:lang w:val="es-ES_tradnl"/>
        </w:rPr>
        <w:t>tha</w:t>
      </w:r>
      <w:r w:rsidR="009B0362" w:rsidRPr="001C541B">
        <w:rPr>
          <w:rFonts w:asciiTheme="majorHAnsi" w:hAnsiTheme="majorHAnsi"/>
          <w:bCs/>
          <w:sz w:val="20"/>
          <w:szCs w:val="20"/>
          <w:lang w:val="es-ES_tradnl"/>
        </w:rPr>
        <w:t xml:space="preserve"> (en adelante la “</w:t>
      </w:r>
      <w:r w:rsidR="00054B7C" w:rsidRPr="001C541B">
        <w:rPr>
          <w:rFonts w:asciiTheme="majorHAnsi" w:hAnsiTheme="majorHAnsi"/>
          <w:bCs/>
          <w:sz w:val="20"/>
          <w:szCs w:val="20"/>
          <w:lang w:val="es-ES_tradnl"/>
        </w:rPr>
        <w:t>F</w:t>
      </w:r>
      <w:r w:rsidR="009B0362" w:rsidRPr="001C541B">
        <w:rPr>
          <w:rFonts w:asciiTheme="majorHAnsi" w:hAnsiTheme="majorHAnsi"/>
          <w:bCs/>
          <w:sz w:val="20"/>
          <w:szCs w:val="20"/>
          <w:lang w:val="es-ES_tradnl"/>
        </w:rPr>
        <w:t>undación”)</w:t>
      </w:r>
      <w:r w:rsidR="00EF4A16" w:rsidRPr="001C541B">
        <w:rPr>
          <w:rFonts w:asciiTheme="majorHAnsi" w:hAnsiTheme="majorHAnsi"/>
          <w:bCs/>
          <w:sz w:val="20"/>
          <w:szCs w:val="20"/>
          <w:lang w:val="es-ES_tradnl"/>
        </w:rPr>
        <w:t>,</w:t>
      </w:r>
      <w:r w:rsidR="00242609" w:rsidRPr="001C541B">
        <w:rPr>
          <w:rFonts w:asciiTheme="majorHAnsi" w:hAnsiTheme="majorHAnsi"/>
          <w:bCs/>
          <w:sz w:val="20"/>
          <w:szCs w:val="20"/>
          <w:lang w:val="es-ES_tradnl"/>
        </w:rPr>
        <w:t xml:space="preserve"> ubicada en el </w:t>
      </w:r>
      <w:r w:rsidR="00705088" w:rsidRPr="001C541B">
        <w:rPr>
          <w:rFonts w:asciiTheme="majorHAnsi" w:hAnsiTheme="majorHAnsi"/>
          <w:bCs/>
          <w:sz w:val="20"/>
          <w:szCs w:val="20"/>
          <w:lang w:val="es-ES_tradnl"/>
        </w:rPr>
        <w:t>municipio</w:t>
      </w:r>
      <w:r w:rsidR="00242609" w:rsidRPr="001C541B">
        <w:rPr>
          <w:rFonts w:asciiTheme="majorHAnsi" w:hAnsiTheme="majorHAnsi"/>
          <w:bCs/>
          <w:sz w:val="20"/>
          <w:szCs w:val="20"/>
          <w:lang w:val="es-ES_tradnl"/>
        </w:rPr>
        <w:t xml:space="preserve"> de Popayán, departamento de</w:t>
      </w:r>
      <w:r w:rsidR="005D2254" w:rsidRPr="001C541B">
        <w:rPr>
          <w:rFonts w:asciiTheme="majorHAnsi" w:hAnsiTheme="majorHAnsi"/>
          <w:bCs/>
          <w:sz w:val="20"/>
          <w:szCs w:val="20"/>
          <w:lang w:val="es-ES_tradnl"/>
        </w:rPr>
        <w:t>l</w:t>
      </w:r>
      <w:r w:rsidR="00242609" w:rsidRPr="001C541B">
        <w:rPr>
          <w:rFonts w:asciiTheme="majorHAnsi" w:hAnsiTheme="majorHAnsi"/>
          <w:bCs/>
          <w:sz w:val="20"/>
          <w:szCs w:val="20"/>
          <w:lang w:val="es-ES_tradnl"/>
        </w:rPr>
        <w:t xml:space="preserve"> </w:t>
      </w:r>
      <w:r w:rsidR="005D2254" w:rsidRPr="001C541B">
        <w:rPr>
          <w:rFonts w:asciiTheme="majorHAnsi" w:hAnsiTheme="majorHAnsi"/>
          <w:bCs/>
          <w:sz w:val="20"/>
          <w:szCs w:val="20"/>
          <w:lang w:val="es-ES_tradnl"/>
        </w:rPr>
        <w:t>Cauca</w:t>
      </w:r>
      <w:r w:rsidR="00A70ECE" w:rsidRPr="001C541B">
        <w:rPr>
          <w:rFonts w:asciiTheme="majorHAnsi" w:hAnsiTheme="majorHAnsi"/>
          <w:bCs/>
          <w:sz w:val="20"/>
          <w:szCs w:val="20"/>
          <w:lang w:val="es-ES_tradnl"/>
        </w:rPr>
        <w:t xml:space="preserve">, </w:t>
      </w:r>
      <w:r w:rsidR="00F6479C" w:rsidRPr="001C541B">
        <w:rPr>
          <w:rFonts w:asciiTheme="majorHAnsi" w:hAnsiTheme="majorHAnsi"/>
          <w:bCs/>
          <w:sz w:val="20"/>
          <w:szCs w:val="20"/>
          <w:lang w:val="es-ES_tradnl"/>
        </w:rPr>
        <w:t>la cual</w:t>
      </w:r>
      <w:r w:rsidR="00A70ECE" w:rsidRPr="001C541B">
        <w:rPr>
          <w:rFonts w:asciiTheme="majorHAnsi" w:hAnsiTheme="majorHAnsi"/>
          <w:bCs/>
          <w:sz w:val="20"/>
          <w:szCs w:val="20"/>
          <w:lang w:val="es-ES_tradnl"/>
        </w:rPr>
        <w:t xml:space="preserve"> fungía como un centro de rehabilitación de adicciones</w:t>
      </w:r>
      <w:r w:rsidR="00740618" w:rsidRPr="001C541B">
        <w:rPr>
          <w:rFonts w:asciiTheme="majorHAnsi" w:hAnsiTheme="majorHAnsi"/>
          <w:bCs/>
          <w:sz w:val="20"/>
          <w:szCs w:val="20"/>
          <w:lang w:val="es-ES_tradnl"/>
        </w:rPr>
        <w:t>,</w:t>
      </w:r>
      <w:r w:rsidR="00A54D6F" w:rsidRPr="001C541B">
        <w:rPr>
          <w:rFonts w:asciiTheme="majorHAnsi" w:hAnsiTheme="majorHAnsi"/>
          <w:bCs/>
          <w:sz w:val="20"/>
          <w:szCs w:val="20"/>
          <w:lang w:val="es-ES_tradnl"/>
        </w:rPr>
        <w:t xml:space="preserve"> y que </w:t>
      </w:r>
      <w:r w:rsidR="009B0362" w:rsidRPr="001C541B">
        <w:rPr>
          <w:rFonts w:asciiTheme="majorHAnsi" w:hAnsiTheme="majorHAnsi"/>
          <w:bCs/>
          <w:sz w:val="20"/>
          <w:szCs w:val="20"/>
          <w:lang w:val="es-ES_tradnl"/>
        </w:rPr>
        <w:t xml:space="preserve">las presuntas víctimas residían </w:t>
      </w:r>
      <w:r w:rsidR="00063FD8" w:rsidRPr="001C541B">
        <w:rPr>
          <w:rFonts w:asciiTheme="majorHAnsi" w:hAnsiTheme="majorHAnsi"/>
          <w:bCs/>
          <w:sz w:val="20"/>
          <w:szCs w:val="20"/>
          <w:lang w:val="es-ES_tradnl"/>
        </w:rPr>
        <w:t xml:space="preserve">en unos ranchos ubicados </w:t>
      </w:r>
      <w:r w:rsidR="009B0362" w:rsidRPr="001C541B">
        <w:rPr>
          <w:rFonts w:asciiTheme="majorHAnsi" w:hAnsiTheme="majorHAnsi"/>
          <w:bCs/>
          <w:sz w:val="20"/>
          <w:szCs w:val="20"/>
          <w:lang w:val="es-ES_tradnl"/>
        </w:rPr>
        <w:t xml:space="preserve">a trescientos metros de la </w:t>
      </w:r>
      <w:r w:rsidR="00451025" w:rsidRPr="001C541B">
        <w:rPr>
          <w:rFonts w:asciiTheme="majorHAnsi" w:hAnsiTheme="majorHAnsi"/>
          <w:bCs/>
          <w:sz w:val="20"/>
          <w:szCs w:val="20"/>
          <w:lang w:val="es-ES_tradnl"/>
        </w:rPr>
        <w:t>F</w:t>
      </w:r>
      <w:r w:rsidR="00063FD8" w:rsidRPr="001C541B">
        <w:rPr>
          <w:rFonts w:asciiTheme="majorHAnsi" w:hAnsiTheme="majorHAnsi"/>
          <w:bCs/>
          <w:sz w:val="20"/>
          <w:szCs w:val="20"/>
          <w:lang w:val="es-ES_tradnl"/>
        </w:rPr>
        <w:t xml:space="preserve">undación. </w:t>
      </w:r>
      <w:r w:rsidR="00A70ECE" w:rsidRPr="001C541B">
        <w:rPr>
          <w:rFonts w:asciiTheme="majorHAnsi" w:hAnsiTheme="majorHAnsi"/>
          <w:bCs/>
          <w:sz w:val="20"/>
          <w:szCs w:val="20"/>
          <w:lang w:val="es-ES_tradnl"/>
        </w:rPr>
        <w:t>R</w:t>
      </w:r>
      <w:r w:rsidR="003747E4" w:rsidRPr="001C541B">
        <w:rPr>
          <w:rFonts w:asciiTheme="majorHAnsi" w:hAnsiTheme="majorHAnsi"/>
          <w:bCs/>
          <w:sz w:val="20"/>
          <w:szCs w:val="20"/>
          <w:lang w:val="es-ES_tradnl"/>
        </w:rPr>
        <w:t>elata</w:t>
      </w:r>
      <w:r w:rsidRPr="001C541B">
        <w:rPr>
          <w:rFonts w:asciiTheme="majorHAnsi" w:hAnsiTheme="majorHAnsi"/>
          <w:bCs/>
          <w:sz w:val="20"/>
          <w:szCs w:val="20"/>
          <w:lang w:val="es-ES_tradnl"/>
        </w:rPr>
        <w:t>n</w:t>
      </w:r>
      <w:r w:rsidR="003747E4" w:rsidRPr="001C541B">
        <w:rPr>
          <w:rFonts w:asciiTheme="majorHAnsi" w:hAnsiTheme="majorHAnsi"/>
          <w:bCs/>
          <w:sz w:val="20"/>
          <w:szCs w:val="20"/>
          <w:lang w:val="es-ES_tradnl"/>
        </w:rPr>
        <w:t xml:space="preserve"> que</w:t>
      </w:r>
      <w:r w:rsidR="003C2195" w:rsidRPr="001C541B">
        <w:rPr>
          <w:rFonts w:asciiTheme="majorHAnsi" w:hAnsiTheme="majorHAnsi"/>
          <w:bCs/>
          <w:sz w:val="20"/>
          <w:szCs w:val="20"/>
          <w:lang w:val="es-ES_tradnl"/>
        </w:rPr>
        <w:t xml:space="preserve"> el </w:t>
      </w:r>
      <w:r w:rsidRPr="001C541B">
        <w:rPr>
          <w:rFonts w:asciiTheme="majorHAnsi" w:hAnsiTheme="majorHAnsi"/>
          <w:bCs/>
          <w:sz w:val="20"/>
          <w:szCs w:val="20"/>
          <w:lang w:val="es-ES_tradnl"/>
        </w:rPr>
        <w:t>12 de marzo de 2000</w:t>
      </w:r>
      <w:r w:rsidR="003C2195" w:rsidRPr="001C541B">
        <w:rPr>
          <w:rFonts w:asciiTheme="majorHAnsi" w:hAnsiTheme="majorHAnsi"/>
          <w:bCs/>
          <w:sz w:val="20"/>
          <w:szCs w:val="20"/>
          <w:lang w:val="es-ES_tradnl"/>
        </w:rPr>
        <w:t xml:space="preserve"> </w:t>
      </w:r>
      <w:r w:rsidRPr="001C541B">
        <w:rPr>
          <w:rFonts w:asciiTheme="majorHAnsi" w:hAnsiTheme="majorHAnsi"/>
          <w:bCs/>
          <w:sz w:val="20"/>
          <w:szCs w:val="20"/>
          <w:lang w:val="es-ES_tradnl"/>
        </w:rPr>
        <w:t xml:space="preserve">individuos encapuchados y con armamento de uso </w:t>
      </w:r>
      <w:r w:rsidRPr="001C541B">
        <w:rPr>
          <w:rFonts w:eastAsia="Times New Roman"/>
          <w:bCs/>
          <w:sz w:val="20"/>
          <w:szCs w:val="20"/>
          <w:bdr w:val="none" w:sz="0" w:space="0" w:color="auto"/>
          <w:lang w:val="es-ES_tradnl"/>
        </w:rPr>
        <w:t>exclusivo</w:t>
      </w:r>
      <w:r w:rsidRPr="001C541B">
        <w:rPr>
          <w:rFonts w:asciiTheme="majorHAnsi" w:hAnsiTheme="majorHAnsi"/>
          <w:bCs/>
          <w:sz w:val="20"/>
          <w:szCs w:val="20"/>
          <w:lang w:val="es-ES_tradnl"/>
        </w:rPr>
        <w:t xml:space="preserve"> del Ejército Nacional </w:t>
      </w:r>
      <w:r w:rsidR="00D83A29" w:rsidRPr="001C541B">
        <w:rPr>
          <w:rFonts w:asciiTheme="majorHAnsi" w:hAnsiTheme="majorHAnsi"/>
          <w:bCs/>
          <w:sz w:val="20"/>
          <w:szCs w:val="20"/>
          <w:lang w:val="es-ES_tradnl"/>
        </w:rPr>
        <w:t xml:space="preserve">llegaron </w:t>
      </w:r>
      <w:r w:rsidRPr="001C541B">
        <w:rPr>
          <w:rFonts w:asciiTheme="majorHAnsi" w:hAnsiTheme="majorHAnsi"/>
          <w:bCs/>
          <w:sz w:val="20"/>
          <w:szCs w:val="20"/>
          <w:lang w:val="es-ES_tradnl"/>
        </w:rPr>
        <w:t>a la parte norte</w:t>
      </w:r>
      <w:r w:rsidR="00EF03E1" w:rsidRPr="001C541B">
        <w:rPr>
          <w:rFonts w:asciiTheme="majorHAnsi" w:hAnsiTheme="majorHAnsi"/>
          <w:bCs/>
          <w:sz w:val="20"/>
          <w:szCs w:val="20"/>
          <w:lang w:val="es-ES_tradnl"/>
        </w:rPr>
        <w:t xml:space="preserve"> municipio de Popayán</w:t>
      </w:r>
      <w:r w:rsidR="0085346B" w:rsidRPr="001C541B">
        <w:rPr>
          <w:rFonts w:asciiTheme="majorHAnsi" w:hAnsiTheme="majorHAnsi"/>
          <w:bCs/>
          <w:sz w:val="20"/>
          <w:szCs w:val="20"/>
          <w:lang w:val="es-ES_tradnl"/>
        </w:rPr>
        <w:t>, específicamente al sitio denominado</w:t>
      </w:r>
      <w:r w:rsidRPr="001C541B">
        <w:rPr>
          <w:rFonts w:asciiTheme="majorHAnsi" w:hAnsiTheme="majorHAnsi"/>
          <w:bCs/>
          <w:sz w:val="20"/>
          <w:szCs w:val="20"/>
          <w:lang w:val="es-ES_tradnl"/>
        </w:rPr>
        <w:t xml:space="preserve"> “El Cofre”</w:t>
      </w:r>
      <w:r w:rsidR="007313FF" w:rsidRPr="001C541B">
        <w:rPr>
          <w:rFonts w:asciiTheme="majorHAnsi" w:hAnsiTheme="majorHAnsi"/>
          <w:bCs/>
          <w:sz w:val="20"/>
          <w:szCs w:val="20"/>
          <w:lang w:val="es-ES_tradnl"/>
        </w:rPr>
        <w:t xml:space="preserve">. Sostienen que dichos individuos atacaron y destruyeron </w:t>
      </w:r>
      <w:r w:rsidR="00DB310F" w:rsidRPr="001C541B">
        <w:rPr>
          <w:rFonts w:asciiTheme="majorHAnsi" w:hAnsiTheme="majorHAnsi"/>
          <w:bCs/>
          <w:sz w:val="20"/>
          <w:szCs w:val="20"/>
          <w:lang w:val="es-ES_tradnl"/>
        </w:rPr>
        <w:t>los</w:t>
      </w:r>
      <w:r w:rsidRPr="001C541B">
        <w:rPr>
          <w:rFonts w:asciiTheme="majorHAnsi" w:hAnsiTheme="majorHAnsi"/>
          <w:bCs/>
          <w:sz w:val="20"/>
          <w:szCs w:val="20"/>
          <w:lang w:val="es-ES_tradnl"/>
        </w:rPr>
        <w:t xml:space="preserve"> ranchos </w:t>
      </w:r>
      <w:r w:rsidR="00DB310F" w:rsidRPr="001C541B">
        <w:rPr>
          <w:rFonts w:asciiTheme="majorHAnsi" w:hAnsiTheme="majorHAnsi"/>
          <w:bCs/>
          <w:sz w:val="20"/>
          <w:szCs w:val="20"/>
          <w:lang w:val="es-ES_tradnl"/>
        </w:rPr>
        <w:t>donde</w:t>
      </w:r>
      <w:r w:rsidRPr="001C541B">
        <w:rPr>
          <w:rFonts w:asciiTheme="majorHAnsi" w:hAnsiTheme="majorHAnsi"/>
          <w:bCs/>
          <w:sz w:val="20"/>
          <w:szCs w:val="20"/>
          <w:lang w:val="es-ES_tradnl"/>
        </w:rPr>
        <w:t xml:space="preserve"> habitaban las </w:t>
      </w:r>
      <w:r w:rsidR="00EF03E1" w:rsidRPr="001C541B">
        <w:rPr>
          <w:rFonts w:asciiTheme="majorHAnsi" w:hAnsiTheme="majorHAnsi"/>
          <w:bCs/>
          <w:sz w:val="20"/>
          <w:szCs w:val="20"/>
          <w:lang w:val="es-ES_tradnl"/>
        </w:rPr>
        <w:t>presuntas víctima</w:t>
      </w:r>
      <w:r w:rsidR="00F54B3F" w:rsidRPr="001C541B">
        <w:rPr>
          <w:rFonts w:asciiTheme="majorHAnsi" w:hAnsiTheme="majorHAnsi"/>
          <w:bCs/>
          <w:sz w:val="20"/>
          <w:szCs w:val="20"/>
          <w:lang w:val="es-ES_tradnl"/>
        </w:rPr>
        <w:t>s</w:t>
      </w:r>
      <w:r w:rsidR="003015D5" w:rsidRPr="001C541B">
        <w:rPr>
          <w:rFonts w:asciiTheme="majorHAnsi" w:hAnsiTheme="majorHAnsi"/>
          <w:bCs/>
          <w:sz w:val="20"/>
          <w:szCs w:val="20"/>
          <w:lang w:val="es-ES_tradnl"/>
        </w:rPr>
        <w:t xml:space="preserve">, </w:t>
      </w:r>
      <w:r w:rsidR="003A6EFB" w:rsidRPr="001C541B">
        <w:rPr>
          <w:rFonts w:asciiTheme="majorHAnsi" w:hAnsiTheme="majorHAnsi"/>
          <w:bCs/>
          <w:sz w:val="20"/>
          <w:szCs w:val="20"/>
          <w:lang w:val="es-ES_tradnl"/>
        </w:rPr>
        <w:t>quienes fueron</w:t>
      </w:r>
      <w:r w:rsidR="003015D5" w:rsidRPr="001C541B">
        <w:rPr>
          <w:rFonts w:asciiTheme="majorHAnsi" w:hAnsiTheme="majorHAnsi"/>
          <w:bCs/>
          <w:sz w:val="20"/>
          <w:szCs w:val="20"/>
          <w:lang w:val="es-ES_tradnl"/>
        </w:rPr>
        <w:t xml:space="preserve"> </w:t>
      </w:r>
      <w:r w:rsidRPr="001C541B">
        <w:rPr>
          <w:rFonts w:asciiTheme="majorHAnsi" w:hAnsiTheme="majorHAnsi"/>
          <w:bCs/>
          <w:sz w:val="20"/>
          <w:szCs w:val="20"/>
          <w:lang w:val="es-ES_tradnl"/>
        </w:rPr>
        <w:t>amenazad</w:t>
      </w:r>
      <w:r w:rsidR="003015D5" w:rsidRPr="001C541B">
        <w:rPr>
          <w:rFonts w:asciiTheme="majorHAnsi" w:hAnsiTheme="majorHAnsi"/>
          <w:bCs/>
          <w:sz w:val="20"/>
          <w:szCs w:val="20"/>
          <w:lang w:val="es-ES_tradnl"/>
        </w:rPr>
        <w:t>a</w:t>
      </w:r>
      <w:r w:rsidRPr="001C541B">
        <w:rPr>
          <w:rFonts w:asciiTheme="majorHAnsi" w:hAnsiTheme="majorHAnsi"/>
          <w:bCs/>
          <w:sz w:val="20"/>
          <w:szCs w:val="20"/>
          <w:lang w:val="es-ES_tradnl"/>
        </w:rPr>
        <w:t>s</w:t>
      </w:r>
      <w:r w:rsidR="00F812BE" w:rsidRPr="001C541B">
        <w:rPr>
          <w:rFonts w:asciiTheme="majorHAnsi" w:hAnsiTheme="majorHAnsi"/>
          <w:bCs/>
          <w:sz w:val="20"/>
          <w:szCs w:val="20"/>
          <w:lang w:val="es-ES_tradnl"/>
        </w:rPr>
        <w:t xml:space="preserve"> de muerte</w:t>
      </w:r>
      <w:r w:rsidRPr="001C541B">
        <w:rPr>
          <w:rFonts w:asciiTheme="majorHAnsi" w:hAnsiTheme="majorHAnsi"/>
          <w:bCs/>
          <w:sz w:val="20"/>
          <w:szCs w:val="20"/>
          <w:lang w:val="es-ES_tradnl"/>
        </w:rPr>
        <w:t xml:space="preserve"> </w:t>
      </w:r>
      <w:r w:rsidR="003A6EFB" w:rsidRPr="001C541B">
        <w:rPr>
          <w:rFonts w:asciiTheme="majorHAnsi" w:hAnsiTheme="majorHAnsi"/>
          <w:bCs/>
          <w:sz w:val="20"/>
          <w:szCs w:val="20"/>
          <w:lang w:val="es-ES_tradnl"/>
        </w:rPr>
        <w:t>en caso de no</w:t>
      </w:r>
      <w:r w:rsidRPr="001C541B">
        <w:rPr>
          <w:rFonts w:asciiTheme="majorHAnsi" w:hAnsiTheme="majorHAnsi"/>
          <w:bCs/>
          <w:sz w:val="20"/>
          <w:szCs w:val="20"/>
          <w:lang w:val="es-ES_tradnl"/>
        </w:rPr>
        <w:t xml:space="preserve"> abandonar </w:t>
      </w:r>
      <w:r w:rsidR="00F812BE" w:rsidRPr="001C541B">
        <w:rPr>
          <w:rFonts w:asciiTheme="majorHAnsi" w:hAnsiTheme="majorHAnsi"/>
          <w:bCs/>
          <w:sz w:val="20"/>
          <w:szCs w:val="20"/>
          <w:lang w:val="es-ES_tradnl"/>
        </w:rPr>
        <w:t>la zona</w:t>
      </w:r>
      <w:r w:rsidR="00E24A35" w:rsidRPr="001C541B">
        <w:rPr>
          <w:rFonts w:asciiTheme="majorHAnsi" w:hAnsiTheme="majorHAnsi"/>
          <w:bCs/>
          <w:sz w:val="20"/>
          <w:szCs w:val="20"/>
          <w:lang w:val="es-ES_tradnl"/>
        </w:rPr>
        <w:t xml:space="preserve">. </w:t>
      </w:r>
      <w:r w:rsidR="00782F79" w:rsidRPr="001C541B">
        <w:rPr>
          <w:rFonts w:asciiTheme="majorHAnsi" w:hAnsiTheme="majorHAnsi"/>
          <w:bCs/>
          <w:sz w:val="20"/>
          <w:szCs w:val="20"/>
          <w:lang w:val="es-ES_tradnl"/>
        </w:rPr>
        <w:t>Además, expresan</w:t>
      </w:r>
      <w:r w:rsidR="00995C62" w:rsidRPr="001C541B">
        <w:rPr>
          <w:rFonts w:asciiTheme="majorHAnsi" w:hAnsiTheme="majorHAnsi"/>
          <w:bCs/>
          <w:sz w:val="20"/>
          <w:szCs w:val="20"/>
          <w:lang w:val="es-ES_tradnl"/>
        </w:rPr>
        <w:t xml:space="preserve"> que el</w:t>
      </w:r>
      <w:r w:rsidRPr="001C541B">
        <w:rPr>
          <w:rFonts w:asciiTheme="majorHAnsi" w:hAnsiTheme="majorHAnsi"/>
          <w:bCs/>
          <w:sz w:val="20"/>
          <w:szCs w:val="20"/>
          <w:lang w:val="es-ES_tradnl"/>
        </w:rPr>
        <w:t xml:space="preserve"> 14 de marzo de 2000</w:t>
      </w:r>
      <w:r w:rsidR="00267F0F" w:rsidRPr="001C541B">
        <w:rPr>
          <w:rFonts w:asciiTheme="majorHAnsi" w:hAnsiTheme="majorHAnsi"/>
          <w:bCs/>
          <w:sz w:val="20"/>
          <w:szCs w:val="20"/>
          <w:lang w:val="es-ES_tradnl"/>
        </w:rPr>
        <w:t xml:space="preserve"> lo</w:t>
      </w:r>
      <w:r w:rsidR="00995C62" w:rsidRPr="001C541B">
        <w:rPr>
          <w:rFonts w:asciiTheme="majorHAnsi" w:hAnsiTheme="majorHAnsi"/>
          <w:bCs/>
          <w:sz w:val="20"/>
          <w:szCs w:val="20"/>
          <w:lang w:val="es-ES_tradnl"/>
        </w:rPr>
        <w:t>s referidos sujetos</w:t>
      </w:r>
      <w:r w:rsidRPr="001C541B">
        <w:rPr>
          <w:rFonts w:asciiTheme="majorHAnsi" w:hAnsiTheme="majorHAnsi"/>
          <w:bCs/>
          <w:sz w:val="20"/>
          <w:szCs w:val="20"/>
          <w:lang w:val="es-ES_tradnl"/>
        </w:rPr>
        <w:t xml:space="preserve"> </w:t>
      </w:r>
      <w:r w:rsidR="007A4CC3" w:rsidRPr="001C541B">
        <w:rPr>
          <w:rFonts w:asciiTheme="majorHAnsi" w:hAnsiTheme="majorHAnsi"/>
          <w:bCs/>
          <w:sz w:val="20"/>
          <w:szCs w:val="20"/>
          <w:lang w:val="es-ES_tradnl"/>
        </w:rPr>
        <w:t xml:space="preserve">destruyeron e </w:t>
      </w:r>
      <w:r w:rsidRPr="001C541B">
        <w:rPr>
          <w:rFonts w:asciiTheme="majorHAnsi" w:hAnsiTheme="majorHAnsi"/>
          <w:bCs/>
          <w:sz w:val="20"/>
          <w:szCs w:val="20"/>
          <w:lang w:val="es-ES_tradnl"/>
        </w:rPr>
        <w:t xml:space="preserve">incendiaron </w:t>
      </w:r>
      <w:r w:rsidR="007A4CC3" w:rsidRPr="001C541B">
        <w:rPr>
          <w:rFonts w:asciiTheme="majorHAnsi" w:hAnsiTheme="majorHAnsi"/>
          <w:bCs/>
          <w:sz w:val="20"/>
          <w:szCs w:val="20"/>
          <w:lang w:val="es-ES_tradnl"/>
        </w:rPr>
        <w:t xml:space="preserve">en su totalidad </w:t>
      </w:r>
      <w:r w:rsidRPr="001C541B">
        <w:rPr>
          <w:rFonts w:asciiTheme="majorHAnsi" w:hAnsiTheme="majorHAnsi"/>
          <w:bCs/>
          <w:sz w:val="20"/>
          <w:szCs w:val="20"/>
          <w:lang w:val="es-ES_tradnl"/>
        </w:rPr>
        <w:t xml:space="preserve">las instalaciones de la </w:t>
      </w:r>
      <w:r w:rsidR="00054B7C" w:rsidRPr="001C541B">
        <w:rPr>
          <w:rFonts w:asciiTheme="majorHAnsi" w:hAnsiTheme="majorHAnsi"/>
          <w:bCs/>
          <w:sz w:val="20"/>
          <w:szCs w:val="20"/>
          <w:lang w:val="es-ES_tradnl"/>
        </w:rPr>
        <w:t>F</w:t>
      </w:r>
      <w:r w:rsidR="007A4CC3" w:rsidRPr="001C541B">
        <w:rPr>
          <w:rFonts w:asciiTheme="majorHAnsi" w:hAnsiTheme="majorHAnsi"/>
          <w:bCs/>
          <w:sz w:val="20"/>
          <w:szCs w:val="20"/>
          <w:lang w:val="es-ES_tradnl"/>
        </w:rPr>
        <w:t>undación.</w:t>
      </w:r>
      <w:r w:rsidR="003856F3" w:rsidRPr="001C541B">
        <w:rPr>
          <w:rFonts w:asciiTheme="majorHAnsi" w:hAnsiTheme="majorHAnsi"/>
          <w:bCs/>
          <w:sz w:val="20"/>
          <w:szCs w:val="20"/>
          <w:lang w:val="es-ES_tradnl"/>
        </w:rPr>
        <w:t xml:space="preserve"> </w:t>
      </w:r>
    </w:p>
    <w:p w14:paraId="23D84EA5" w14:textId="1A578BDD" w:rsidR="00496692" w:rsidRPr="001C541B" w:rsidRDefault="00684669" w:rsidP="00496692">
      <w:pPr>
        <w:spacing w:before="240" w:after="240"/>
        <w:ind w:firstLine="709"/>
        <w:jc w:val="both"/>
        <w:rPr>
          <w:rFonts w:asciiTheme="majorHAnsi" w:hAnsiTheme="majorHAnsi"/>
          <w:bCs/>
          <w:i/>
          <w:iCs/>
          <w:sz w:val="20"/>
          <w:szCs w:val="20"/>
          <w:lang w:val="es-ES_tradnl"/>
        </w:rPr>
      </w:pPr>
      <w:r w:rsidRPr="001C541B">
        <w:rPr>
          <w:rFonts w:asciiTheme="majorHAnsi" w:hAnsiTheme="majorHAnsi"/>
          <w:bCs/>
          <w:i/>
          <w:iCs/>
          <w:sz w:val="20"/>
          <w:szCs w:val="20"/>
          <w:lang w:val="es-ES_tradnl"/>
        </w:rPr>
        <w:t>Proceso</w:t>
      </w:r>
      <w:r w:rsidR="00162F0B" w:rsidRPr="001C541B">
        <w:rPr>
          <w:rFonts w:asciiTheme="majorHAnsi" w:hAnsiTheme="majorHAnsi"/>
          <w:bCs/>
          <w:i/>
          <w:iCs/>
          <w:sz w:val="20"/>
          <w:szCs w:val="20"/>
          <w:lang w:val="es-ES_tradnl"/>
        </w:rPr>
        <w:t xml:space="preserve"> penal</w:t>
      </w:r>
    </w:p>
    <w:p w14:paraId="4757D8DE" w14:textId="4E51E34B" w:rsidR="007F2977" w:rsidRPr="001C541B" w:rsidRDefault="00970310" w:rsidP="00FD5618">
      <w:pPr>
        <w:pStyle w:val="ListParagraph"/>
        <w:numPr>
          <w:ilvl w:val="0"/>
          <w:numId w:val="59"/>
        </w:numPr>
        <w:spacing w:before="240" w:after="240"/>
        <w:ind w:left="0" w:firstLine="709"/>
        <w:jc w:val="both"/>
        <w:rPr>
          <w:rFonts w:asciiTheme="majorHAnsi" w:hAnsiTheme="majorHAnsi"/>
          <w:bCs/>
          <w:sz w:val="20"/>
          <w:szCs w:val="20"/>
          <w:lang w:val="es-ES_tradnl"/>
        </w:rPr>
      </w:pPr>
      <w:r w:rsidRPr="001C541B">
        <w:rPr>
          <w:rFonts w:asciiTheme="majorHAnsi" w:hAnsiTheme="majorHAnsi"/>
          <w:bCs/>
          <w:sz w:val="20"/>
          <w:szCs w:val="20"/>
          <w:lang w:val="es-ES_tradnl"/>
        </w:rPr>
        <w:t>El</w:t>
      </w:r>
      <w:r w:rsidR="00D929C4" w:rsidRPr="001C541B">
        <w:rPr>
          <w:rFonts w:asciiTheme="majorHAnsi" w:hAnsiTheme="majorHAnsi"/>
          <w:bCs/>
          <w:sz w:val="20"/>
          <w:szCs w:val="20"/>
          <w:lang w:val="es-ES_tradnl"/>
        </w:rPr>
        <w:t xml:space="preserve"> 15 de marzo </w:t>
      </w:r>
      <w:r w:rsidR="00DE5921" w:rsidRPr="001C541B">
        <w:rPr>
          <w:rFonts w:asciiTheme="majorHAnsi" w:hAnsiTheme="majorHAnsi"/>
          <w:bCs/>
          <w:sz w:val="20"/>
          <w:szCs w:val="20"/>
          <w:lang w:val="es-ES_tradnl"/>
        </w:rPr>
        <w:t xml:space="preserve">de 2000 </w:t>
      </w:r>
      <w:r w:rsidR="00D929C4" w:rsidRPr="001C541B">
        <w:rPr>
          <w:rFonts w:asciiTheme="majorHAnsi" w:hAnsiTheme="majorHAnsi"/>
          <w:bCs/>
          <w:sz w:val="20"/>
          <w:szCs w:val="20"/>
          <w:lang w:val="es-ES_tradnl"/>
        </w:rPr>
        <w:t>el señor López Gallego</w:t>
      </w:r>
      <w:r w:rsidR="00804A5B" w:rsidRPr="001C541B">
        <w:rPr>
          <w:rFonts w:asciiTheme="majorHAnsi" w:hAnsiTheme="majorHAnsi"/>
          <w:bCs/>
          <w:sz w:val="20"/>
          <w:szCs w:val="20"/>
          <w:lang w:val="es-ES_tradnl"/>
        </w:rPr>
        <w:t xml:space="preserve"> </w:t>
      </w:r>
      <w:r w:rsidR="00DE5921" w:rsidRPr="001C541B">
        <w:rPr>
          <w:rFonts w:asciiTheme="majorHAnsi" w:hAnsiTheme="majorHAnsi"/>
          <w:bCs/>
          <w:sz w:val="20"/>
          <w:szCs w:val="20"/>
          <w:lang w:val="es-ES_tradnl"/>
        </w:rPr>
        <w:t>y</w:t>
      </w:r>
      <w:r w:rsidR="008D1B7E" w:rsidRPr="001C541B">
        <w:rPr>
          <w:rFonts w:asciiTheme="majorHAnsi" w:hAnsiTheme="majorHAnsi"/>
          <w:bCs/>
          <w:sz w:val="20"/>
          <w:szCs w:val="20"/>
          <w:lang w:val="es-ES_tradnl"/>
        </w:rPr>
        <w:t xml:space="preserve"> otras personas que </w:t>
      </w:r>
      <w:r w:rsidR="001128AE" w:rsidRPr="001C541B">
        <w:rPr>
          <w:rFonts w:asciiTheme="majorHAnsi" w:hAnsiTheme="majorHAnsi"/>
          <w:bCs/>
          <w:sz w:val="20"/>
          <w:szCs w:val="20"/>
          <w:lang w:val="es-ES_tradnl"/>
        </w:rPr>
        <w:t>recibían</w:t>
      </w:r>
      <w:r w:rsidR="008D1B7E" w:rsidRPr="001C541B">
        <w:rPr>
          <w:rFonts w:asciiTheme="majorHAnsi" w:hAnsiTheme="majorHAnsi"/>
          <w:bCs/>
          <w:sz w:val="20"/>
          <w:szCs w:val="20"/>
          <w:lang w:val="es-ES_tradnl"/>
        </w:rPr>
        <w:t xml:space="preserve"> tratamiento en las </w:t>
      </w:r>
      <w:r w:rsidR="001128AE" w:rsidRPr="001C541B">
        <w:rPr>
          <w:rFonts w:asciiTheme="majorHAnsi" w:hAnsiTheme="majorHAnsi"/>
          <w:bCs/>
          <w:sz w:val="20"/>
          <w:szCs w:val="20"/>
          <w:lang w:val="es-ES_tradnl"/>
        </w:rPr>
        <w:t>instalaciones</w:t>
      </w:r>
      <w:r w:rsidR="008D1B7E" w:rsidRPr="001C541B">
        <w:rPr>
          <w:rFonts w:asciiTheme="majorHAnsi" w:hAnsiTheme="majorHAnsi"/>
          <w:bCs/>
          <w:sz w:val="20"/>
          <w:szCs w:val="20"/>
          <w:lang w:val="es-ES_tradnl"/>
        </w:rPr>
        <w:t xml:space="preserve"> de la Fundación</w:t>
      </w:r>
      <w:r w:rsidR="00D929C4" w:rsidRPr="001C541B">
        <w:rPr>
          <w:rFonts w:asciiTheme="majorHAnsi" w:hAnsiTheme="majorHAnsi"/>
          <w:bCs/>
          <w:sz w:val="20"/>
          <w:szCs w:val="20"/>
          <w:lang w:val="es-ES_tradnl"/>
        </w:rPr>
        <w:t xml:space="preserve"> </w:t>
      </w:r>
      <w:r w:rsidR="008D1B7E" w:rsidRPr="001C541B">
        <w:rPr>
          <w:rFonts w:asciiTheme="majorHAnsi" w:hAnsiTheme="majorHAnsi"/>
          <w:bCs/>
          <w:sz w:val="20"/>
          <w:szCs w:val="20"/>
          <w:lang w:val="es-ES_tradnl"/>
        </w:rPr>
        <w:t>denunciaron</w:t>
      </w:r>
      <w:r w:rsidR="001F34DF" w:rsidRPr="001C541B">
        <w:rPr>
          <w:rFonts w:asciiTheme="majorHAnsi" w:hAnsiTheme="majorHAnsi"/>
          <w:bCs/>
          <w:sz w:val="20"/>
          <w:szCs w:val="20"/>
          <w:lang w:val="es-ES_tradnl"/>
        </w:rPr>
        <w:t xml:space="preserve"> los hechos</w:t>
      </w:r>
      <w:r w:rsidR="00D929C4" w:rsidRPr="001C541B">
        <w:rPr>
          <w:rFonts w:asciiTheme="majorHAnsi" w:hAnsiTheme="majorHAnsi"/>
          <w:bCs/>
          <w:sz w:val="20"/>
          <w:szCs w:val="20"/>
          <w:lang w:val="es-ES_tradnl"/>
        </w:rPr>
        <w:t xml:space="preserve"> ante las autoridades policiales</w:t>
      </w:r>
      <w:r w:rsidR="003856F3" w:rsidRPr="001C541B">
        <w:rPr>
          <w:rFonts w:asciiTheme="majorHAnsi" w:hAnsiTheme="majorHAnsi"/>
          <w:bCs/>
          <w:sz w:val="20"/>
          <w:szCs w:val="20"/>
          <w:lang w:val="es-ES_tradnl"/>
        </w:rPr>
        <w:t xml:space="preserve"> del departamento del Cauca</w:t>
      </w:r>
      <w:r w:rsidR="00542214" w:rsidRPr="001C541B">
        <w:rPr>
          <w:rFonts w:asciiTheme="majorHAnsi" w:hAnsiTheme="majorHAnsi"/>
          <w:bCs/>
          <w:sz w:val="20"/>
          <w:szCs w:val="20"/>
          <w:lang w:val="es-ES_tradnl"/>
        </w:rPr>
        <w:t xml:space="preserve">. Los peticionarios aducen que los sujetos que destruyeron los hogares de las presuntas víctimas, las instalaciones de la Fundación y que amenazaron de muerte </w:t>
      </w:r>
      <w:r w:rsidR="00364DA1" w:rsidRPr="001C541B">
        <w:rPr>
          <w:rFonts w:asciiTheme="majorHAnsi" w:hAnsiTheme="majorHAnsi"/>
          <w:bCs/>
          <w:sz w:val="20"/>
          <w:szCs w:val="20"/>
          <w:lang w:val="es-ES_tradnl"/>
        </w:rPr>
        <w:t>a las presuntas víctimas</w:t>
      </w:r>
      <w:r w:rsidR="00542214" w:rsidRPr="001C541B">
        <w:rPr>
          <w:rFonts w:asciiTheme="majorHAnsi" w:hAnsiTheme="majorHAnsi"/>
          <w:bCs/>
          <w:sz w:val="20"/>
          <w:szCs w:val="20"/>
          <w:lang w:val="es-ES_tradnl"/>
        </w:rPr>
        <w:t xml:space="preserve"> </w:t>
      </w:r>
      <w:r w:rsidR="00BE34A1" w:rsidRPr="001C541B">
        <w:rPr>
          <w:rFonts w:asciiTheme="majorHAnsi" w:hAnsiTheme="majorHAnsi"/>
          <w:bCs/>
          <w:sz w:val="20"/>
          <w:szCs w:val="20"/>
          <w:lang w:val="es-ES_tradnl"/>
        </w:rPr>
        <w:t>eran</w:t>
      </w:r>
      <w:r w:rsidR="00542214" w:rsidRPr="001C541B">
        <w:rPr>
          <w:rFonts w:asciiTheme="majorHAnsi" w:hAnsiTheme="majorHAnsi"/>
          <w:bCs/>
          <w:sz w:val="20"/>
          <w:szCs w:val="20"/>
          <w:lang w:val="es-ES_tradnl"/>
        </w:rPr>
        <w:t xml:space="preserve"> integrantes activos del Ejército Nacional Colombiano, </w:t>
      </w:r>
      <w:r w:rsidR="001128AE" w:rsidRPr="001C541B">
        <w:rPr>
          <w:rFonts w:asciiTheme="majorHAnsi" w:hAnsiTheme="majorHAnsi"/>
          <w:bCs/>
          <w:sz w:val="20"/>
          <w:szCs w:val="20"/>
          <w:lang w:val="es-ES_tradnl"/>
        </w:rPr>
        <w:t>pertenecientes</w:t>
      </w:r>
      <w:r w:rsidR="00542214" w:rsidRPr="001C541B">
        <w:rPr>
          <w:rFonts w:asciiTheme="majorHAnsi" w:hAnsiTheme="majorHAnsi"/>
          <w:bCs/>
          <w:sz w:val="20"/>
          <w:szCs w:val="20"/>
          <w:lang w:val="es-ES_tradnl"/>
        </w:rPr>
        <w:t xml:space="preserve"> al </w:t>
      </w:r>
      <w:r w:rsidR="00A9473E" w:rsidRPr="001C541B">
        <w:rPr>
          <w:rFonts w:asciiTheme="majorHAnsi" w:hAnsiTheme="majorHAnsi"/>
          <w:bCs/>
          <w:sz w:val="20"/>
          <w:szCs w:val="20"/>
          <w:lang w:val="es-ES_tradnl"/>
        </w:rPr>
        <w:t>Batallón de Infantería José Hilario López</w:t>
      </w:r>
      <w:r w:rsidR="00542214" w:rsidRPr="001C541B">
        <w:rPr>
          <w:rFonts w:asciiTheme="majorHAnsi" w:hAnsiTheme="majorHAnsi"/>
          <w:bCs/>
          <w:sz w:val="20"/>
          <w:szCs w:val="20"/>
          <w:lang w:val="es-ES_tradnl"/>
        </w:rPr>
        <w:t xml:space="preserve">. </w:t>
      </w:r>
      <w:r w:rsidR="00FD5618" w:rsidRPr="001C541B">
        <w:rPr>
          <w:rFonts w:asciiTheme="majorHAnsi" w:hAnsiTheme="majorHAnsi"/>
          <w:bCs/>
          <w:sz w:val="20"/>
          <w:szCs w:val="20"/>
          <w:lang w:val="es-ES_tradnl"/>
        </w:rPr>
        <w:t>I</w:t>
      </w:r>
      <w:r w:rsidR="001128AE" w:rsidRPr="001C541B">
        <w:rPr>
          <w:rFonts w:asciiTheme="majorHAnsi" w:hAnsiTheme="majorHAnsi"/>
          <w:bCs/>
          <w:sz w:val="20"/>
          <w:szCs w:val="20"/>
          <w:lang w:val="es-ES_tradnl"/>
        </w:rPr>
        <w:t xml:space="preserve">ndican que, a consecuencia de las amenazas y los hechos de violencia, las presuntas víctimas se vieron obligadas a internarse en </w:t>
      </w:r>
      <w:r w:rsidR="00EF4A16" w:rsidRPr="001C541B">
        <w:rPr>
          <w:rFonts w:asciiTheme="majorHAnsi" w:hAnsiTheme="majorHAnsi"/>
          <w:bCs/>
          <w:sz w:val="20"/>
          <w:szCs w:val="20"/>
          <w:lang w:val="es-ES_tradnl"/>
        </w:rPr>
        <w:t>una</w:t>
      </w:r>
      <w:r w:rsidR="001128AE" w:rsidRPr="001C541B">
        <w:rPr>
          <w:rFonts w:asciiTheme="majorHAnsi" w:hAnsiTheme="majorHAnsi"/>
          <w:bCs/>
          <w:sz w:val="20"/>
          <w:szCs w:val="20"/>
          <w:lang w:val="es-ES_tradnl"/>
        </w:rPr>
        <w:t xml:space="preserve"> montaña contigua al lugar de los hechos, siendo perseguidos durante tres días</w:t>
      </w:r>
      <w:r w:rsidR="00620953" w:rsidRPr="001C541B">
        <w:rPr>
          <w:rFonts w:asciiTheme="majorHAnsi" w:hAnsiTheme="majorHAnsi"/>
          <w:bCs/>
          <w:sz w:val="20"/>
          <w:szCs w:val="20"/>
          <w:lang w:val="es-ES_tradnl"/>
        </w:rPr>
        <w:t xml:space="preserve"> hasta que civiles les ofrecieron </w:t>
      </w:r>
      <w:r w:rsidR="007F2977" w:rsidRPr="001C541B">
        <w:rPr>
          <w:rFonts w:asciiTheme="majorHAnsi" w:hAnsiTheme="majorHAnsi"/>
          <w:bCs/>
          <w:sz w:val="20"/>
          <w:szCs w:val="20"/>
          <w:lang w:val="es-ES_tradnl"/>
        </w:rPr>
        <w:t>refugio</w:t>
      </w:r>
      <w:r w:rsidR="001128AE" w:rsidRPr="001C541B">
        <w:rPr>
          <w:rFonts w:asciiTheme="majorHAnsi" w:hAnsiTheme="majorHAnsi"/>
          <w:bCs/>
          <w:sz w:val="20"/>
          <w:szCs w:val="20"/>
          <w:lang w:val="es-ES_tradnl"/>
        </w:rPr>
        <w:t xml:space="preserve">. </w:t>
      </w:r>
      <w:r w:rsidR="00A9473E" w:rsidRPr="001C541B">
        <w:rPr>
          <w:rFonts w:asciiTheme="majorHAnsi" w:hAnsiTheme="majorHAnsi"/>
          <w:bCs/>
          <w:sz w:val="20"/>
          <w:szCs w:val="20"/>
          <w:lang w:val="es-ES_tradnl"/>
        </w:rPr>
        <w:t xml:space="preserve">Ante esta situación, </w:t>
      </w:r>
      <w:r w:rsidR="003F5306" w:rsidRPr="001C541B">
        <w:rPr>
          <w:rFonts w:asciiTheme="majorHAnsi" w:hAnsiTheme="majorHAnsi"/>
          <w:bCs/>
          <w:sz w:val="20"/>
          <w:szCs w:val="20"/>
          <w:lang w:val="es-ES_tradnl"/>
        </w:rPr>
        <w:t xml:space="preserve">el 16 de mayo de 2000 </w:t>
      </w:r>
      <w:r w:rsidR="00A9473E" w:rsidRPr="001C541B">
        <w:rPr>
          <w:rFonts w:asciiTheme="majorHAnsi" w:hAnsiTheme="majorHAnsi"/>
          <w:bCs/>
          <w:sz w:val="20"/>
          <w:szCs w:val="20"/>
          <w:lang w:val="es-ES_tradnl"/>
        </w:rPr>
        <w:t xml:space="preserve">las </w:t>
      </w:r>
      <w:r w:rsidR="001128AE" w:rsidRPr="001C541B">
        <w:rPr>
          <w:rFonts w:asciiTheme="majorHAnsi" w:hAnsiTheme="majorHAnsi"/>
          <w:bCs/>
          <w:sz w:val="20"/>
          <w:szCs w:val="20"/>
          <w:lang w:val="es-ES_tradnl"/>
        </w:rPr>
        <w:t xml:space="preserve">presuntas </w:t>
      </w:r>
      <w:r w:rsidR="00A9473E" w:rsidRPr="001C541B">
        <w:rPr>
          <w:rFonts w:asciiTheme="majorHAnsi" w:hAnsiTheme="majorHAnsi"/>
          <w:bCs/>
          <w:sz w:val="20"/>
          <w:szCs w:val="20"/>
          <w:lang w:val="es-ES_tradnl"/>
        </w:rPr>
        <w:t xml:space="preserve">víctimas </w:t>
      </w:r>
      <w:r w:rsidR="00FF2BC0" w:rsidRPr="001C541B">
        <w:rPr>
          <w:rFonts w:asciiTheme="majorHAnsi" w:hAnsiTheme="majorHAnsi"/>
          <w:bCs/>
          <w:sz w:val="20"/>
          <w:szCs w:val="20"/>
          <w:lang w:val="es-ES_tradnl"/>
        </w:rPr>
        <w:t>interpusieron una denuncia por los delitos de lesiones y amenazas</w:t>
      </w:r>
      <w:r w:rsidR="00784903" w:rsidRPr="001C541B">
        <w:rPr>
          <w:rFonts w:asciiTheme="majorHAnsi" w:hAnsiTheme="majorHAnsi"/>
          <w:bCs/>
          <w:sz w:val="20"/>
          <w:szCs w:val="20"/>
          <w:lang w:val="es-ES_tradnl"/>
        </w:rPr>
        <w:t xml:space="preserve"> </w:t>
      </w:r>
      <w:r w:rsidR="003F5306" w:rsidRPr="001C541B">
        <w:rPr>
          <w:rFonts w:asciiTheme="majorHAnsi" w:hAnsiTheme="majorHAnsi"/>
          <w:bCs/>
          <w:sz w:val="20"/>
          <w:szCs w:val="20"/>
          <w:lang w:val="es-ES_tradnl"/>
        </w:rPr>
        <w:t xml:space="preserve">ante la Fiscalía Seccional </w:t>
      </w:r>
      <w:r w:rsidR="00353236" w:rsidRPr="001C541B">
        <w:rPr>
          <w:rFonts w:asciiTheme="majorHAnsi" w:hAnsiTheme="majorHAnsi"/>
          <w:bCs/>
          <w:sz w:val="20"/>
          <w:szCs w:val="20"/>
          <w:lang w:val="es-ES_tradnl"/>
        </w:rPr>
        <w:t>de Popayán</w:t>
      </w:r>
      <w:r w:rsidR="003F5306" w:rsidRPr="001C541B">
        <w:rPr>
          <w:rFonts w:asciiTheme="majorHAnsi" w:hAnsiTheme="majorHAnsi"/>
          <w:bCs/>
          <w:sz w:val="20"/>
          <w:szCs w:val="20"/>
          <w:lang w:val="es-ES_tradnl"/>
        </w:rPr>
        <w:t xml:space="preserve">, </w:t>
      </w:r>
      <w:r w:rsidR="003A54DD" w:rsidRPr="001C541B">
        <w:rPr>
          <w:rFonts w:asciiTheme="majorHAnsi" w:hAnsiTheme="majorHAnsi"/>
          <w:bCs/>
          <w:sz w:val="20"/>
          <w:szCs w:val="20"/>
          <w:lang w:val="es-ES_tradnl"/>
        </w:rPr>
        <w:t xml:space="preserve">misma que fue </w:t>
      </w:r>
      <w:r w:rsidR="00FF2BC0" w:rsidRPr="001C541B">
        <w:rPr>
          <w:rFonts w:asciiTheme="majorHAnsi" w:hAnsiTheme="majorHAnsi"/>
          <w:bCs/>
          <w:sz w:val="20"/>
          <w:szCs w:val="20"/>
          <w:lang w:val="es-ES_tradnl"/>
        </w:rPr>
        <w:t>registrada bajo el número de investigación</w:t>
      </w:r>
      <w:r w:rsidR="003F5306" w:rsidRPr="001C541B">
        <w:rPr>
          <w:rFonts w:asciiTheme="majorHAnsi" w:hAnsiTheme="majorHAnsi"/>
          <w:bCs/>
          <w:sz w:val="20"/>
          <w:szCs w:val="20"/>
          <w:lang w:val="es-ES_tradnl"/>
        </w:rPr>
        <w:t xml:space="preserve"> 18193</w:t>
      </w:r>
      <w:r w:rsidR="00BC4A15" w:rsidRPr="001C541B">
        <w:rPr>
          <w:rFonts w:asciiTheme="majorHAnsi" w:hAnsiTheme="majorHAnsi"/>
          <w:bCs/>
          <w:sz w:val="20"/>
          <w:szCs w:val="20"/>
          <w:lang w:val="es-ES_tradnl"/>
        </w:rPr>
        <w:t>.</w:t>
      </w:r>
      <w:r w:rsidR="003F5306" w:rsidRPr="001C541B">
        <w:rPr>
          <w:rFonts w:asciiTheme="majorHAnsi" w:hAnsiTheme="majorHAnsi"/>
          <w:bCs/>
          <w:sz w:val="20"/>
          <w:szCs w:val="20"/>
          <w:lang w:val="es-ES_tradnl"/>
        </w:rPr>
        <w:t xml:space="preserve"> </w:t>
      </w:r>
    </w:p>
    <w:p w14:paraId="55582E99" w14:textId="78AE44A3" w:rsidR="003747E4" w:rsidRPr="001C541B" w:rsidRDefault="00F07197" w:rsidP="00B640F2">
      <w:pPr>
        <w:pStyle w:val="ListParagraph"/>
        <w:numPr>
          <w:ilvl w:val="0"/>
          <w:numId w:val="59"/>
        </w:numPr>
        <w:spacing w:before="240" w:after="240"/>
        <w:ind w:left="0" w:firstLine="709"/>
        <w:jc w:val="both"/>
        <w:rPr>
          <w:rFonts w:asciiTheme="majorHAnsi" w:hAnsiTheme="majorHAnsi"/>
          <w:bCs/>
          <w:sz w:val="20"/>
          <w:szCs w:val="20"/>
          <w:lang w:val="es-ES_tradnl"/>
        </w:rPr>
      </w:pPr>
      <w:r w:rsidRPr="001C541B">
        <w:rPr>
          <w:rFonts w:asciiTheme="majorHAnsi" w:hAnsiTheme="majorHAnsi"/>
          <w:bCs/>
          <w:sz w:val="20"/>
          <w:szCs w:val="20"/>
          <w:lang w:val="es-ES_tradnl"/>
        </w:rPr>
        <w:t>Los peticionarios señalan que las presuntas víctimas fueron</w:t>
      </w:r>
      <w:r w:rsidR="00273566" w:rsidRPr="001C541B">
        <w:rPr>
          <w:rFonts w:asciiTheme="majorHAnsi" w:hAnsiTheme="majorHAnsi"/>
          <w:bCs/>
          <w:sz w:val="20"/>
          <w:szCs w:val="20"/>
          <w:lang w:val="es-ES_tradnl"/>
        </w:rPr>
        <w:t xml:space="preserve"> </w:t>
      </w:r>
      <w:r w:rsidRPr="001C541B">
        <w:rPr>
          <w:rFonts w:asciiTheme="majorHAnsi" w:hAnsiTheme="majorHAnsi"/>
          <w:bCs/>
          <w:sz w:val="20"/>
          <w:szCs w:val="20"/>
          <w:lang w:val="es-ES_tradnl"/>
        </w:rPr>
        <w:t>acogidas</w:t>
      </w:r>
      <w:r w:rsidR="00273566" w:rsidRPr="001C541B">
        <w:rPr>
          <w:rFonts w:asciiTheme="majorHAnsi" w:hAnsiTheme="majorHAnsi"/>
          <w:bCs/>
          <w:sz w:val="20"/>
          <w:szCs w:val="20"/>
          <w:lang w:val="es-ES_tradnl"/>
        </w:rPr>
        <w:t xml:space="preserve"> bajo </w:t>
      </w:r>
      <w:r w:rsidR="005A48F1" w:rsidRPr="001C541B">
        <w:rPr>
          <w:rFonts w:asciiTheme="majorHAnsi" w:hAnsiTheme="majorHAnsi"/>
          <w:bCs/>
          <w:sz w:val="20"/>
          <w:szCs w:val="20"/>
          <w:lang w:val="es-ES_tradnl"/>
        </w:rPr>
        <w:t xml:space="preserve">el </w:t>
      </w:r>
      <w:r w:rsidR="003F5306" w:rsidRPr="001C541B">
        <w:rPr>
          <w:rFonts w:asciiTheme="majorHAnsi" w:hAnsiTheme="majorHAnsi"/>
          <w:bCs/>
          <w:sz w:val="20"/>
          <w:szCs w:val="20"/>
          <w:lang w:val="es-ES_tradnl"/>
        </w:rPr>
        <w:t>programa de protección</w:t>
      </w:r>
      <w:r w:rsidR="00D47DF9" w:rsidRPr="001C541B">
        <w:rPr>
          <w:rFonts w:asciiTheme="majorHAnsi" w:hAnsiTheme="majorHAnsi"/>
          <w:bCs/>
          <w:sz w:val="20"/>
          <w:szCs w:val="20"/>
          <w:lang w:val="es-ES_tradnl"/>
        </w:rPr>
        <w:t xml:space="preserve"> a testigos</w:t>
      </w:r>
      <w:r w:rsidR="003F5306" w:rsidRPr="001C541B">
        <w:rPr>
          <w:rFonts w:asciiTheme="majorHAnsi" w:hAnsiTheme="majorHAnsi"/>
          <w:bCs/>
          <w:sz w:val="20"/>
          <w:szCs w:val="20"/>
          <w:lang w:val="es-ES_tradnl"/>
        </w:rPr>
        <w:t xml:space="preserve"> de la Fiscalía General de la Nación</w:t>
      </w:r>
      <w:r w:rsidR="00B640F2" w:rsidRPr="001C541B">
        <w:rPr>
          <w:rFonts w:asciiTheme="majorHAnsi" w:hAnsiTheme="majorHAnsi"/>
          <w:bCs/>
          <w:sz w:val="20"/>
          <w:szCs w:val="20"/>
          <w:lang w:val="es-ES_tradnl"/>
        </w:rPr>
        <w:t>, siendo trasladados a la ciudad de Medellín</w:t>
      </w:r>
      <w:r w:rsidR="003F5306" w:rsidRPr="001C541B">
        <w:rPr>
          <w:rFonts w:asciiTheme="majorHAnsi" w:hAnsiTheme="majorHAnsi"/>
          <w:bCs/>
          <w:sz w:val="20"/>
          <w:szCs w:val="20"/>
          <w:lang w:val="es-ES_tradnl"/>
        </w:rPr>
        <w:t xml:space="preserve">. </w:t>
      </w:r>
      <w:r w:rsidR="00B640F2" w:rsidRPr="001C541B">
        <w:rPr>
          <w:rFonts w:asciiTheme="majorHAnsi" w:hAnsiTheme="majorHAnsi"/>
          <w:bCs/>
          <w:sz w:val="20"/>
          <w:szCs w:val="20"/>
          <w:lang w:val="es-ES_tradnl"/>
        </w:rPr>
        <w:t>No obstante, después de dos meses de haber sido acogid</w:t>
      </w:r>
      <w:r w:rsidR="00FD5618" w:rsidRPr="001C541B">
        <w:rPr>
          <w:rFonts w:asciiTheme="majorHAnsi" w:hAnsiTheme="majorHAnsi"/>
          <w:bCs/>
          <w:sz w:val="20"/>
          <w:szCs w:val="20"/>
          <w:lang w:val="es-ES_tradnl"/>
        </w:rPr>
        <w:t>a</w:t>
      </w:r>
      <w:r w:rsidR="00B640F2" w:rsidRPr="001C541B">
        <w:rPr>
          <w:rFonts w:asciiTheme="majorHAnsi" w:hAnsiTheme="majorHAnsi"/>
          <w:bCs/>
          <w:sz w:val="20"/>
          <w:szCs w:val="20"/>
          <w:lang w:val="es-ES_tradnl"/>
        </w:rPr>
        <w:t>s bajo el programa de protección</w:t>
      </w:r>
      <w:r w:rsidR="00FD5618" w:rsidRPr="001C541B">
        <w:rPr>
          <w:rFonts w:asciiTheme="majorHAnsi" w:hAnsiTheme="majorHAnsi"/>
          <w:bCs/>
          <w:sz w:val="20"/>
          <w:szCs w:val="20"/>
          <w:lang w:val="es-ES_tradnl"/>
        </w:rPr>
        <w:t xml:space="preserve">, </w:t>
      </w:r>
      <w:r w:rsidR="00B640F2" w:rsidRPr="001C541B">
        <w:rPr>
          <w:rFonts w:asciiTheme="majorHAnsi" w:hAnsiTheme="majorHAnsi"/>
          <w:bCs/>
          <w:sz w:val="20"/>
          <w:szCs w:val="20"/>
          <w:lang w:val="es-ES_tradnl"/>
        </w:rPr>
        <w:t>fueron requeridas por las autoridades municipales de Popayán, siendo trasladadas al lugar donde ocurrieron los hechos, en donde nuevamente fueron víctimas de intento de homicidio y de amen</w:t>
      </w:r>
      <w:r w:rsidR="00770215" w:rsidRPr="001C541B">
        <w:rPr>
          <w:rFonts w:asciiTheme="majorHAnsi" w:hAnsiTheme="majorHAnsi"/>
          <w:bCs/>
          <w:sz w:val="20"/>
          <w:szCs w:val="20"/>
          <w:lang w:val="es-ES_tradnl"/>
        </w:rPr>
        <w:t>a</w:t>
      </w:r>
      <w:r w:rsidR="00B640F2" w:rsidRPr="001C541B">
        <w:rPr>
          <w:rFonts w:asciiTheme="majorHAnsi" w:hAnsiTheme="majorHAnsi"/>
          <w:bCs/>
          <w:sz w:val="20"/>
          <w:szCs w:val="20"/>
          <w:lang w:val="es-ES_tradnl"/>
        </w:rPr>
        <w:t xml:space="preserve">zas de muerte. </w:t>
      </w:r>
      <w:r w:rsidR="00EF4A16" w:rsidRPr="001C541B">
        <w:rPr>
          <w:rFonts w:asciiTheme="majorHAnsi" w:hAnsiTheme="majorHAnsi"/>
          <w:bCs/>
          <w:sz w:val="20"/>
          <w:szCs w:val="20"/>
          <w:lang w:val="es-ES_tradnl"/>
        </w:rPr>
        <w:t>Luego de</w:t>
      </w:r>
      <w:r w:rsidR="00705088" w:rsidRPr="001C541B">
        <w:rPr>
          <w:rFonts w:asciiTheme="majorHAnsi" w:hAnsiTheme="majorHAnsi"/>
          <w:bCs/>
          <w:sz w:val="20"/>
          <w:szCs w:val="20"/>
          <w:lang w:val="es-ES_tradnl"/>
        </w:rPr>
        <w:t xml:space="preserve"> estos hechos las presuntas víctimas se vieron obligadas a desplazarse a España</w:t>
      </w:r>
      <w:r w:rsidR="00F40928" w:rsidRPr="001C541B">
        <w:rPr>
          <w:rFonts w:asciiTheme="majorHAnsi" w:hAnsiTheme="majorHAnsi"/>
          <w:bCs/>
          <w:sz w:val="20"/>
          <w:szCs w:val="20"/>
          <w:lang w:val="es-ES_tradnl"/>
        </w:rPr>
        <w:t xml:space="preserve"> y Panamá, donde actualmente residen</w:t>
      </w:r>
      <w:r w:rsidR="00AE3F82" w:rsidRPr="001C541B">
        <w:rPr>
          <w:rFonts w:asciiTheme="majorHAnsi" w:hAnsiTheme="majorHAnsi"/>
          <w:bCs/>
          <w:sz w:val="20"/>
          <w:szCs w:val="20"/>
          <w:lang w:val="es-ES_tradnl"/>
        </w:rPr>
        <w:t>.</w:t>
      </w:r>
    </w:p>
    <w:p w14:paraId="686C3887" w14:textId="2D871F58" w:rsidR="00F07197" w:rsidRPr="001C541B" w:rsidRDefault="00F07197" w:rsidP="00F07197">
      <w:pPr>
        <w:pStyle w:val="ListParagraph"/>
        <w:numPr>
          <w:ilvl w:val="0"/>
          <w:numId w:val="59"/>
        </w:numPr>
        <w:spacing w:before="240" w:after="240"/>
        <w:ind w:left="0" w:firstLine="709"/>
        <w:jc w:val="both"/>
        <w:rPr>
          <w:rFonts w:asciiTheme="majorHAnsi" w:hAnsiTheme="majorHAnsi"/>
          <w:bCs/>
          <w:sz w:val="20"/>
          <w:szCs w:val="20"/>
          <w:lang w:val="es-ES_tradnl"/>
        </w:rPr>
      </w:pPr>
      <w:r w:rsidRPr="001C541B">
        <w:rPr>
          <w:rFonts w:asciiTheme="majorHAnsi" w:hAnsiTheme="majorHAnsi"/>
          <w:bCs/>
          <w:sz w:val="20"/>
          <w:szCs w:val="20"/>
          <w:lang w:val="es-ES_tradnl"/>
        </w:rPr>
        <w:t>De la información contenida en el expediente, se desprende que se inició una investigación penal en contra de dos sujetos por la destrucción de las instalaciones de la Fundación. Respecto al primer individuo</w:t>
      </w:r>
      <w:r w:rsidR="00D557E7" w:rsidRPr="001C541B">
        <w:rPr>
          <w:rFonts w:asciiTheme="majorHAnsi" w:hAnsiTheme="majorHAnsi"/>
          <w:bCs/>
          <w:sz w:val="20"/>
          <w:szCs w:val="20"/>
          <w:lang w:val="es-ES_tradnl"/>
        </w:rPr>
        <w:t xml:space="preserve">, a quien se le identificó como un </w:t>
      </w:r>
      <w:r w:rsidRPr="001C541B">
        <w:rPr>
          <w:rFonts w:asciiTheme="majorHAnsi" w:hAnsiTheme="majorHAnsi"/>
          <w:bCs/>
          <w:sz w:val="20"/>
          <w:szCs w:val="20"/>
          <w:lang w:val="es-ES_tradnl"/>
        </w:rPr>
        <w:t xml:space="preserve">informante de la Policía Nacional y del Ejército colombiano, el 24 de octubre de 2003 el Juzgado Penal del Circuito Especializado de Popayán lo sentenció a once años de prisión por los delitos de terrorismo, distribución de armas y municiones de uso exclusivo de las fuerzas armadas; no obstante, el 17 de agosto de 2007 el Juzgado Primero de Ejecución de Penas y Medidas de Seguridad de Popayán determinó su libertad condicional. Respecto al segundo individuo, </w:t>
      </w:r>
      <w:r w:rsidR="004A6585" w:rsidRPr="001C541B">
        <w:rPr>
          <w:rFonts w:asciiTheme="majorHAnsi" w:hAnsiTheme="majorHAnsi"/>
          <w:bCs/>
          <w:sz w:val="20"/>
          <w:szCs w:val="20"/>
          <w:lang w:val="es-ES_tradnl"/>
        </w:rPr>
        <w:t>identificado como miembro acti</w:t>
      </w:r>
      <w:r w:rsidR="00AB41AB" w:rsidRPr="001C541B">
        <w:rPr>
          <w:rFonts w:asciiTheme="majorHAnsi" w:hAnsiTheme="majorHAnsi"/>
          <w:bCs/>
          <w:sz w:val="20"/>
          <w:szCs w:val="20"/>
          <w:lang w:val="es-ES_tradnl"/>
        </w:rPr>
        <w:t>v</w:t>
      </w:r>
      <w:r w:rsidR="004A6585" w:rsidRPr="001C541B">
        <w:rPr>
          <w:rFonts w:asciiTheme="majorHAnsi" w:hAnsiTheme="majorHAnsi"/>
          <w:bCs/>
          <w:sz w:val="20"/>
          <w:szCs w:val="20"/>
          <w:lang w:val="es-ES_tradnl"/>
        </w:rPr>
        <w:t xml:space="preserve">o del Ejército Nacional, </w:t>
      </w:r>
      <w:r w:rsidRPr="001C541B">
        <w:rPr>
          <w:rFonts w:asciiTheme="majorHAnsi" w:hAnsiTheme="majorHAnsi"/>
          <w:bCs/>
          <w:sz w:val="20"/>
          <w:szCs w:val="20"/>
          <w:lang w:val="es-ES_tradnl"/>
        </w:rPr>
        <w:t xml:space="preserve">el 30 de abril de 2004 el Juzgado Penal del Circuito Especializado de Popayán lo sentenció a doce años y seis meses de prisión </w:t>
      </w:r>
      <w:r w:rsidR="00C17F0A" w:rsidRPr="001C541B">
        <w:rPr>
          <w:rFonts w:asciiTheme="majorHAnsi" w:hAnsiTheme="majorHAnsi"/>
          <w:bCs/>
          <w:sz w:val="20"/>
          <w:szCs w:val="20"/>
          <w:lang w:val="es-ES_tradnl"/>
        </w:rPr>
        <w:t xml:space="preserve">por </w:t>
      </w:r>
      <w:r w:rsidRPr="001C541B">
        <w:rPr>
          <w:rFonts w:asciiTheme="majorHAnsi" w:hAnsiTheme="majorHAnsi"/>
          <w:bCs/>
          <w:sz w:val="20"/>
          <w:szCs w:val="20"/>
          <w:lang w:val="es-ES_tradnl"/>
        </w:rPr>
        <w:t xml:space="preserve">los mismos delitos antes referidos. </w:t>
      </w:r>
    </w:p>
    <w:p w14:paraId="3D2AF5F4" w14:textId="47ED27ED" w:rsidR="007F06DB" w:rsidRPr="001C541B" w:rsidRDefault="007F06DB" w:rsidP="007F06DB">
      <w:pPr>
        <w:pStyle w:val="ListParagraph"/>
        <w:spacing w:before="240" w:after="240"/>
        <w:ind w:left="709"/>
        <w:rPr>
          <w:rFonts w:asciiTheme="majorHAnsi" w:hAnsiTheme="majorHAnsi"/>
          <w:bCs/>
          <w:i/>
          <w:iCs/>
          <w:sz w:val="20"/>
          <w:szCs w:val="20"/>
          <w:lang w:val="es-ES_tradnl"/>
        </w:rPr>
      </w:pPr>
      <w:r w:rsidRPr="001C541B">
        <w:rPr>
          <w:rFonts w:asciiTheme="majorHAnsi" w:hAnsiTheme="majorHAnsi"/>
          <w:bCs/>
          <w:i/>
          <w:iCs/>
          <w:sz w:val="20"/>
          <w:szCs w:val="20"/>
          <w:lang w:val="es-ES_tradnl"/>
        </w:rPr>
        <w:t xml:space="preserve">Procesos </w:t>
      </w:r>
      <w:r w:rsidR="00BF73E4" w:rsidRPr="001C541B">
        <w:rPr>
          <w:rFonts w:asciiTheme="majorHAnsi" w:hAnsiTheme="majorHAnsi"/>
          <w:bCs/>
          <w:i/>
          <w:iCs/>
          <w:sz w:val="20"/>
          <w:szCs w:val="20"/>
          <w:lang w:val="es-ES_tradnl"/>
        </w:rPr>
        <w:t>iniciados</w:t>
      </w:r>
      <w:r w:rsidRPr="001C541B">
        <w:rPr>
          <w:rFonts w:asciiTheme="majorHAnsi" w:hAnsiTheme="majorHAnsi"/>
          <w:bCs/>
          <w:i/>
          <w:iCs/>
          <w:sz w:val="20"/>
          <w:szCs w:val="20"/>
          <w:lang w:val="es-ES_tradnl"/>
        </w:rPr>
        <w:t xml:space="preserve"> en la vía contencioso-administrativa</w:t>
      </w:r>
    </w:p>
    <w:p w14:paraId="52D12260" w14:textId="2BBD870D" w:rsidR="00BF73E4" w:rsidRPr="001C541B" w:rsidRDefault="00BF73E4" w:rsidP="009F3EDF">
      <w:pPr>
        <w:pStyle w:val="ListParagraph"/>
        <w:numPr>
          <w:ilvl w:val="0"/>
          <w:numId w:val="59"/>
        </w:numPr>
        <w:spacing w:before="240" w:after="240"/>
        <w:ind w:left="0" w:firstLine="709"/>
        <w:jc w:val="both"/>
        <w:rPr>
          <w:rFonts w:asciiTheme="majorHAnsi" w:hAnsiTheme="majorHAnsi"/>
          <w:bCs/>
          <w:sz w:val="20"/>
          <w:szCs w:val="20"/>
          <w:lang w:val="es-ES_tradnl"/>
        </w:rPr>
      </w:pPr>
      <w:r w:rsidRPr="001C541B">
        <w:rPr>
          <w:rFonts w:asciiTheme="majorHAnsi" w:hAnsiTheme="majorHAnsi"/>
          <w:bCs/>
          <w:sz w:val="20"/>
          <w:szCs w:val="20"/>
          <w:lang w:val="es-ES_tradnl"/>
        </w:rPr>
        <w:t xml:space="preserve">La parte peticionaria expresa que </w:t>
      </w:r>
      <w:r w:rsidR="008F31A3" w:rsidRPr="001C541B">
        <w:rPr>
          <w:rFonts w:asciiTheme="majorHAnsi" w:hAnsiTheme="majorHAnsi"/>
          <w:bCs/>
          <w:sz w:val="20"/>
          <w:szCs w:val="20"/>
          <w:lang w:val="es-ES_tradnl"/>
        </w:rPr>
        <w:t>en 2002</w:t>
      </w:r>
      <w:r w:rsidR="005D5EE9" w:rsidRPr="001C541B">
        <w:rPr>
          <w:rFonts w:asciiTheme="majorHAnsi" w:hAnsiTheme="majorHAnsi"/>
          <w:bCs/>
          <w:sz w:val="20"/>
          <w:szCs w:val="20"/>
          <w:lang w:val="es-ES_tradnl"/>
        </w:rPr>
        <w:t xml:space="preserve"> </w:t>
      </w:r>
      <w:r w:rsidRPr="001C541B">
        <w:rPr>
          <w:rFonts w:asciiTheme="majorHAnsi" w:hAnsiTheme="majorHAnsi"/>
          <w:bCs/>
          <w:sz w:val="20"/>
          <w:szCs w:val="20"/>
          <w:lang w:val="es-ES_tradnl"/>
        </w:rPr>
        <w:t xml:space="preserve">se iniciaron </w:t>
      </w:r>
      <w:r w:rsidR="00D51AE8" w:rsidRPr="001C541B">
        <w:rPr>
          <w:rFonts w:asciiTheme="majorHAnsi" w:hAnsiTheme="majorHAnsi"/>
          <w:bCs/>
          <w:sz w:val="20"/>
          <w:szCs w:val="20"/>
          <w:lang w:val="es-ES_tradnl"/>
        </w:rPr>
        <w:t>diversos</w:t>
      </w:r>
      <w:r w:rsidRPr="001C541B">
        <w:rPr>
          <w:rFonts w:asciiTheme="majorHAnsi" w:hAnsiTheme="majorHAnsi"/>
          <w:bCs/>
          <w:sz w:val="20"/>
          <w:szCs w:val="20"/>
          <w:lang w:val="es-ES_tradnl"/>
        </w:rPr>
        <w:t xml:space="preserve"> procesos </w:t>
      </w:r>
      <w:r w:rsidR="0090647F" w:rsidRPr="001C541B">
        <w:rPr>
          <w:rFonts w:asciiTheme="majorHAnsi" w:hAnsiTheme="majorHAnsi"/>
          <w:bCs/>
          <w:sz w:val="20"/>
          <w:szCs w:val="20"/>
          <w:lang w:val="es-ES_tradnl"/>
        </w:rPr>
        <w:t xml:space="preserve">de reparación directa en la vía </w:t>
      </w:r>
      <w:r w:rsidRPr="001C541B">
        <w:rPr>
          <w:rFonts w:asciiTheme="majorHAnsi" w:hAnsiTheme="majorHAnsi"/>
          <w:bCs/>
          <w:sz w:val="20"/>
          <w:szCs w:val="20"/>
          <w:lang w:val="es-ES_tradnl"/>
        </w:rPr>
        <w:t>contencioso-administrativ</w:t>
      </w:r>
      <w:r w:rsidR="0090647F" w:rsidRPr="001C541B">
        <w:rPr>
          <w:rFonts w:asciiTheme="majorHAnsi" w:hAnsiTheme="majorHAnsi"/>
          <w:bCs/>
          <w:sz w:val="20"/>
          <w:szCs w:val="20"/>
          <w:lang w:val="es-ES_tradnl"/>
        </w:rPr>
        <w:t>a</w:t>
      </w:r>
      <w:r w:rsidR="00D51AE8" w:rsidRPr="001C541B">
        <w:rPr>
          <w:rFonts w:asciiTheme="majorHAnsi" w:hAnsiTheme="majorHAnsi"/>
          <w:bCs/>
          <w:sz w:val="20"/>
          <w:szCs w:val="20"/>
          <w:lang w:val="es-ES_tradnl"/>
        </w:rPr>
        <w:t xml:space="preserve"> en contra del Ministerio de Defensa Nacional, </w:t>
      </w:r>
      <w:r w:rsidR="00583078" w:rsidRPr="001C541B">
        <w:rPr>
          <w:rFonts w:asciiTheme="majorHAnsi" w:hAnsiTheme="majorHAnsi"/>
          <w:bCs/>
          <w:sz w:val="20"/>
          <w:szCs w:val="20"/>
          <w:lang w:val="es-ES_tradnl"/>
        </w:rPr>
        <w:t xml:space="preserve">la </w:t>
      </w:r>
      <w:r w:rsidR="00D51AE8" w:rsidRPr="001C541B">
        <w:rPr>
          <w:rFonts w:asciiTheme="majorHAnsi" w:hAnsiTheme="majorHAnsi"/>
          <w:bCs/>
          <w:sz w:val="20"/>
          <w:szCs w:val="20"/>
          <w:lang w:val="es-ES_tradnl"/>
        </w:rPr>
        <w:t xml:space="preserve">Policía </w:t>
      </w:r>
      <w:r w:rsidR="00D30FFE" w:rsidRPr="001C541B">
        <w:rPr>
          <w:rFonts w:asciiTheme="majorHAnsi" w:hAnsiTheme="majorHAnsi"/>
          <w:bCs/>
          <w:sz w:val="20"/>
          <w:szCs w:val="20"/>
          <w:lang w:val="es-ES_tradnl"/>
        </w:rPr>
        <w:t>Nacional</w:t>
      </w:r>
      <w:r w:rsidR="00D51AE8" w:rsidRPr="001C541B">
        <w:rPr>
          <w:rFonts w:asciiTheme="majorHAnsi" w:hAnsiTheme="majorHAnsi"/>
          <w:bCs/>
          <w:sz w:val="20"/>
          <w:szCs w:val="20"/>
          <w:lang w:val="es-ES_tradnl"/>
        </w:rPr>
        <w:t xml:space="preserve"> y el Ejército Nacional</w:t>
      </w:r>
      <w:r w:rsidR="00F40928" w:rsidRPr="001C541B">
        <w:rPr>
          <w:rFonts w:asciiTheme="majorHAnsi" w:hAnsiTheme="majorHAnsi"/>
          <w:bCs/>
          <w:sz w:val="20"/>
          <w:szCs w:val="20"/>
          <w:lang w:val="es-ES_tradnl"/>
        </w:rPr>
        <w:t xml:space="preserve">, conforme a lo siguiente: </w:t>
      </w:r>
    </w:p>
    <w:p w14:paraId="64FB2DEB" w14:textId="2E584112" w:rsidR="00A0157A" w:rsidRPr="001C541B" w:rsidRDefault="00A0157A" w:rsidP="00A0157A">
      <w:pPr>
        <w:pStyle w:val="ListParagraph"/>
        <w:numPr>
          <w:ilvl w:val="0"/>
          <w:numId w:val="61"/>
        </w:numPr>
        <w:spacing w:before="240" w:after="240"/>
        <w:ind w:left="142" w:firstLine="567"/>
        <w:jc w:val="both"/>
        <w:rPr>
          <w:rFonts w:asciiTheme="majorHAnsi" w:hAnsiTheme="majorHAnsi"/>
          <w:bCs/>
          <w:sz w:val="20"/>
          <w:szCs w:val="20"/>
          <w:lang w:val="es-ES_tradnl"/>
        </w:rPr>
      </w:pPr>
      <w:r w:rsidRPr="001C541B">
        <w:rPr>
          <w:rFonts w:asciiTheme="majorHAnsi" w:hAnsiTheme="majorHAnsi"/>
          <w:bCs/>
          <w:sz w:val="20"/>
          <w:szCs w:val="20"/>
          <w:lang w:val="es-ES_tradnl"/>
        </w:rPr>
        <w:t xml:space="preserve">El señor López Gallego, </w:t>
      </w:r>
      <w:r w:rsidR="00771790" w:rsidRPr="001C541B">
        <w:rPr>
          <w:rFonts w:asciiTheme="majorHAnsi" w:hAnsiTheme="majorHAnsi"/>
          <w:bCs/>
          <w:sz w:val="20"/>
          <w:szCs w:val="20"/>
          <w:lang w:val="es-ES_tradnl"/>
        </w:rPr>
        <w:t xml:space="preserve">en representación de la Fundación, </w:t>
      </w:r>
      <w:r w:rsidRPr="001C541B">
        <w:rPr>
          <w:rFonts w:asciiTheme="majorHAnsi" w:hAnsiTheme="majorHAnsi"/>
          <w:bCs/>
          <w:sz w:val="20"/>
          <w:szCs w:val="20"/>
          <w:lang w:val="es-ES_tradnl"/>
        </w:rPr>
        <w:t xml:space="preserve">interpuso </w:t>
      </w:r>
      <w:r w:rsidR="00771790" w:rsidRPr="001C541B">
        <w:rPr>
          <w:rFonts w:asciiTheme="majorHAnsi" w:hAnsiTheme="majorHAnsi"/>
          <w:bCs/>
          <w:sz w:val="20"/>
          <w:szCs w:val="20"/>
          <w:lang w:val="es-ES_tradnl"/>
        </w:rPr>
        <w:t>una</w:t>
      </w:r>
      <w:r w:rsidRPr="001C541B">
        <w:rPr>
          <w:rFonts w:asciiTheme="majorHAnsi" w:hAnsiTheme="majorHAnsi"/>
          <w:bCs/>
          <w:sz w:val="20"/>
          <w:szCs w:val="20"/>
          <w:lang w:val="es-ES_tradnl"/>
        </w:rPr>
        <w:t xml:space="preserve"> acción de reparación directa. El 30 de enero de 2007 el Tribunal Administrativo de Cauca negó la demanda considerando </w:t>
      </w:r>
      <w:r w:rsidRPr="001C541B">
        <w:rPr>
          <w:rFonts w:asciiTheme="majorHAnsi" w:hAnsiTheme="majorHAnsi"/>
          <w:bCs/>
          <w:sz w:val="20"/>
          <w:szCs w:val="20"/>
          <w:lang w:val="es-ES_tradnl"/>
        </w:rPr>
        <w:lastRenderedPageBreak/>
        <w:t>principalmente</w:t>
      </w:r>
      <w:r w:rsidR="005E152A" w:rsidRPr="001C541B">
        <w:rPr>
          <w:rFonts w:asciiTheme="majorHAnsi" w:hAnsiTheme="majorHAnsi"/>
          <w:bCs/>
          <w:sz w:val="20"/>
          <w:szCs w:val="20"/>
          <w:lang w:val="es-ES_tradnl"/>
        </w:rPr>
        <w:t>,</w:t>
      </w:r>
      <w:r w:rsidRPr="001C541B">
        <w:rPr>
          <w:rFonts w:asciiTheme="majorHAnsi" w:hAnsiTheme="majorHAnsi"/>
          <w:bCs/>
          <w:sz w:val="20"/>
          <w:szCs w:val="20"/>
          <w:lang w:val="es-ES_tradnl"/>
        </w:rPr>
        <w:t xml:space="preserve"> lo siguiente: “</w:t>
      </w:r>
      <w:r w:rsidR="00397131" w:rsidRPr="001C541B">
        <w:rPr>
          <w:rFonts w:asciiTheme="majorHAnsi" w:hAnsiTheme="majorHAnsi"/>
          <w:bCs/>
          <w:i/>
          <w:iCs/>
          <w:sz w:val="20"/>
          <w:szCs w:val="20"/>
          <w:lang w:val="es-ES_tradnl"/>
        </w:rPr>
        <w:t>Así las cosas, la Sala Concluye que no se ha demostrado la actuación de la Policía y el Ejército Nacional en los hechos objetos de la demanda, ni tampoco, la omisión de un deber legal que haya ocasionado la producción de daño causado a la parte demandante, pues como se indicó, no existe ninguna prueba que así lo acredite y por tanto, en esas condiciones los daños ocasionados a los actores constituyen el hecho exclusivo de un tercero, lo que libera de responsabilidad patrimonial a los entes públicos demandados</w:t>
      </w:r>
      <w:r w:rsidR="00397131" w:rsidRPr="001C541B">
        <w:rPr>
          <w:rFonts w:asciiTheme="majorHAnsi" w:hAnsiTheme="majorHAnsi"/>
          <w:bCs/>
          <w:sz w:val="20"/>
          <w:szCs w:val="20"/>
          <w:lang w:val="es-ES_tradnl"/>
        </w:rPr>
        <w:t>”</w:t>
      </w:r>
      <w:r w:rsidR="001244A6" w:rsidRPr="001C541B">
        <w:rPr>
          <w:rFonts w:asciiTheme="majorHAnsi" w:hAnsiTheme="majorHAnsi"/>
          <w:bCs/>
          <w:sz w:val="20"/>
          <w:szCs w:val="20"/>
          <w:lang w:val="es-ES_tradnl"/>
        </w:rPr>
        <w:t>.</w:t>
      </w:r>
    </w:p>
    <w:p w14:paraId="2FA764EE" w14:textId="081FB066" w:rsidR="00AD68F2" w:rsidRPr="001C541B" w:rsidRDefault="00026B18" w:rsidP="00AD68F2">
      <w:pPr>
        <w:pStyle w:val="ListParagraph"/>
        <w:numPr>
          <w:ilvl w:val="0"/>
          <w:numId w:val="61"/>
        </w:numPr>
        <w:spacing w:before="240" w:after="240"/>
        <w:ind w:left="0" w:firstLine="709"/>
        <w:jc w:val="both"/>
        <w:rPr>
          <w:rFonts w:asciiTheme="majorHAnsi" w:hAnsiTheme="majorHAnsi"/>
          <w:bCs/>
          <w:sz w:val="20"/>
          <w:szCs w:val="20"/>
          <w:lang w:val="es-ES_tradnl"/>
        </w:rPr>
      </w:pPr>
      <w:r w:rsidRPr="001C541B">
        <w:rPr>
          <w:rFonts w:asciiTheme="majorHAnsi" w:hAnsiTheme="majorHAnsi"/>
          <w:bCs/>
          <w:sz w:val="20"/>
          <w:szCs w:val="20"/>
          <w:lang w:val="es-ES_tradnl"/>
        </w:rPr>
        <w:t xml:space="preserve">Por otro lado, la señora Luz Marina Nieto Osorio, en nombre propio y </w:t>
      </w:r>
      <w:r w:rsidR="00083FA3" w:rsidRPr="001C541B">
        <w:rPr>
          <w:rFonts w:asciiTheme="majorHAnsi" w:hAnsiTheme="majorHAnsi"/>
          <w:bCs/>
          <w:sz w:val="20"/>
          <w:szCs w:val="20"/>
          <w:lang w:val="es-ES_tradnl"/>
        </w:rPr>
        <w:t xml:space="preserve">en representación de </w:t>
      </w:r>
      <w:r w:rsidR="004A3A0B" w:rsidRPr="001C541B">
        <w:rPr>
          <w:rFonts w:asciiTheme="majorHAnsi" w:hAnsiTheme="majorHAnsi"/>
          <w:bCs/>
          <w:sz w:val="20"/>
          <w:szCs w:val="20"/>
          <w:lang w:val="es-ES_tradnl"/>
        </w:rPr>
        <w:t>Luz Marina Nieto Osorio, Diana María López Nieto, Viviana Carolina López Nieto, Dahiana Danelly López Nieto, Marisa Johana López Nieto y Juan Carlos López Martínez</w:t>
      </w:r>
      <w:r w:rsidR="001244A6" w:rsidRPr="001C541B">
        <w:rPr>
          <w:rFonts w:asciiTheme="majorHAnsi" w:hAnsiTheme="majorHAnsi"/>
          <w:bCs/>
          <w:sz w:val="20"/>
          <w:szCs w:val="20"/>
          <w:lang w:val="es-ES_tradnl"/>
        </w:rPr>
        <w:t>,</w:t>
      </w:r>
      <w:r w:rsidR="004A3A0B" w:rsidRPr="001C541B">
        <w:rPr>
          <w:rFonts w:asciiTheme="majorHAnsi" w:hAnsiTheme="majorHAnsi"/>
          <w:bCs/>
          <w:sz w:val="20"/>
          <w:szCs w:val="20"/>
          <w:lang w:val="es-ES_tradnl"/>
        </w:rPr>
        <w:t xml:space="preserve"> todos ellos</w:t>
      </w:r>
      <w:r w:rsidR="00E826C3" w:rsidRPr="001C541B">
        <w:rPr>
          <w:rFonts w:asciiTheme="majorHAnsi" w:hAnsiTheme="majorHAnsi"/>
          <w:bCs/>
          <w:sz w:val="20"/>
          <w:szCs w:val="20"/>
          <w:lang w:val="es-ES_tradnl"/>
        </w:rPr>
        <w:t xml:space="preserve"> </w:t>
      </w:r>
      <w:r w:rsidR="004A3A0B" w:rsidRPr="001C541B">
        <w:rPr>
          <w:rFonts w:asciiTheme="majorHAnsi" w:hAnsiTheme="majorHAnsi"/>
          <w:bCs/>
          <w:sz w:val="20"/>
          <w:szCs w:val="20"/>
          <w:lang w:val="es-ES_tradnl"/>
        </w:rPr>
        <w:t>presuntas víctimas de la presente petición</w:t>
      </w:r>
      <w:r w:rsidR="009A32DF" w:rsidRPr="001C541B">
        <w:rPr>
          <w:rFonts w:asciiTheme="majorHAnsi" w:hAnsiTheme="majorHAnsi"/>
          <w:bCs/>
          <w:sz w:val="20"/>
          <w:szCs w:val="20"/>
          <w:lang w:val="es-ES_tradnl"/>
        </w:rPr>
        <w:t>,</w:t>
      </w:r>
      <w:r w:rsidR="00DB66B7" w:rsidRPr="001C541B">
        <w:rPr>
          <w:rFonts w:asciiTheme="majorHAnsi" w:hAnsiTheme="majorHAnsi"/>
          <w:bCs/>
          <w:sz w:val="20"/>
          <w:szCs w:val="20"/>
          <w:lang w:val="es-ES_tradnl"/>
        </w:rPr>
        <w:t xml:space="preserve"> interpuso una demanda de reparación directa. En sentencia de </w:t>
      </w:r>
      <w:r w:rsidR="006F7C49" w:rsidRPr="001C541B">
        <w:rPr>
          <w:rFonts w:asciiTheme="majorHAnsi" w:hAnsiTheme="majorHAnsi"/>
          <w:bCs/>
          <w:sz w:val="20"/>
          <w:szCs w:val="20"/>
          <w:lang w:val="es-ES_tradnl"/>
        </w:rPr>
        <w:t xml:space="preserve">13 de febrero de 2007 el Tribunal Contencioso del Cauca negó la demanda al considerar principalmente que: </w:t>
      </w:r>
      <w:r w:rsidR="006F7C49" w:rsidRPr="001C541B">
        <w:rPr>
          <w:rFonts w:asciiTheme="majorHAnsi" w:hAnsiTheme="majorHAnsi"/>
          <w:bCs/>
          <w:i/>
          <w:iCs/>
          <w:sz w:val="20"/>
          <w:szCs w:val="20"/>
          <w:lang w:val="es-ES_tradnl"/>
        </w:rPr>
        <w:t>“Así las cosas, la Sala concluye que no se ha demostrado la actuación de la Policía y el Ejército Nacional en los hechos objetos de la demanda, ni tampoco, la omisión de un deber legal que haya ocasionado el daño a la parte demandante, ni mucho menos el daño y el perjuicio alegado pues como se indicó, no existe ninguna prueba que así lo acredite y por tanto, en esas condiciones, no es dable atribuir responsabilidad patrimonial a los entes públicos demandados”</w:t>
      </w:r>
      <w:r w:rsidR="001244A6" w:rsidRPr="001C541B">
        <w:rPr>
          <w:rFonts w:asciiTheme="majorHAnsi" w:hAnsiTheme="majorHAnsi"/>
          <w:bCs/>
          <w:i/>
          <w:iCs/>
          <w:sz w:val="20"/>
          <w:szCs w:val="20"/>
          <w:lang w:val="es-ES_tradnl"/>
        </w:rPr>
        <w:t>.</w:t>
      </w:r>
      <w:r w:rsidR="00F00D28" w:rsidRPr="001C541B">
        <w:rPr>
          <w:rFonts w:asciiTheme="majorHAnsi" w:hAnsiTheme="majorHAnsi"/>
          <w:bCs/>
          <w:sz w:val="20"/>
          <w:szCs w:val="20"/>
          <w:lang w:val="es-ES_tradnl"/>
        </w:rPr>
        <w:t xml:space="preserve"> Es decir, estableciendo lo mismo que en la resolución de la acción de reparación directa interpuesta por la Fundación.</w:t>
      </w:r>
    </w:p>
    <w:p w14:paraId="5BE85EBB" w14:textId="0256CA23" w:rsidR="00AD68F2" w:rsidRPr="001C541B" w:rsidRDefault="009577E6" w:rsidP="00AD68F2">
      <w:pPr>
        <w:pStyle w:val="ListParagraph"/>
        <w:numPr>
          <w:ilvl w:val="0"/>
          <w:numId w:val="61"/>
        </w:numPr>
        <w:spacing w:before="240" w:after="240"/>
        <w:ind w:left="0" w:firstLine="709"/>
        <w:jc w:val="both"/>
        <w:rPr>
          <w:rFonts w:asciiTheme="majorHAnsi" w:hAnsiTheme="majorHAnsi"/>
          <w:bCs/>
          <w:sz w:val="20"/>
          <w:szCs w:val="20"/>
          <w:lang w:val="es-ES_tradnl"/>
        </w:rPr>
      </w:pPr>
      <w:r w:rsidRPr="001C541B">
        <w:rPr>
          <w:sz w:val="20"/>
          <w:szCs w:val="20"/>
          <w:lang w:val="es-ES_tradnl"/>
        </w:rPr>
        <w:t>Respecto a la conclusión de los procesos iniciados en la vía contencioso-administrativa, los peticionarios afirman que las presuntas víctimas se abstuvieron de presentar recursos de apelación</w:t>
      </w:r>
      <w:r w:rsidR="00907BFF" w:rsidRPr="001C541B">
        <w:rPr>
          <w:sz w:val="20"/>
          <w:szCs w:val="20"/>
          <w:lang w:val="es-ES_tradnl"/>
        </w:rPr>
        <w:t xml:space="preserve"> e impulsarlos</w:t>
      </w:r>
      <w:r w:rsidRPr="001C541B">
        <w:rPr>
          <w:sz w:val="20"/>
          <w:szCs w:val="20"/>
          <w:lang w:val="es-ES_tradnl"/>
        </w:rPr>
        <w:t xml:space="preserve"> debido a las constantes amenazas recibidas por la interposición </w:t>
      </w:r>
      <w:r w:rsidR="00D60AFB" w:rsidRPr="001C541B">
        <w:rPr>
          <w:sz w:val="20"/>
          <w:szCs w:val="20"/>
          <w:lang w:val="es-ES_tradnl"/>
        </w:rPr>
        <w:t>de estos</w:t>
      </w:r>
      <w:r w:rsidRPr="001C541B">
        <w:rPr>
          <w:sz w:val="20"/>
          <w:szCs w:val="20"/>
          <w:lang w:val="es-ES_tradnl"/>
        </w:rPr>
        <w:t xml:space="preserve">; </w:t>
      </w:r>
      <w:r w:rsidRPr="001C541B">
        <w:rPr>
          <w:rFonts w:asciiTheme="majorHAnsi" w:hAnsiTheme="majorHAnsi"/>
          <w:bCs/>
          <w:sz w:val="20"/>
          <w:szCs w:val="20"/>
          <w:lang w:val="es-ES_tradnl"/>
        </w:rPr>
        <w:t>que</w:t>
      </w:r>
      <w:r w:rsidRPr="001C541B">
        <w:rPr>
          <w:sz w:val="20"/>
          <w:szCs w:val="20"/>
          <w:lang w:val="es-ES_tradnl"/>
        </w:rPr>
        <w:t xml:space="preserve"> los testigos señalados dentro de los procesos no rindieron sus declaraciones igualmente por amenazas perpetradas por parte de agentes estatales; y que el </w:t>
      </w:r>
      <w:r w:rsidRPr="001C541B">
        <w:rPr>
          <w:rFonts w:asciiTheme="majorHAnsi" w:hAnsiTheme="majorHAnsi"/>
          <w:bCs/>
          <w:sz w:val="20"/>
          <w:szCs w:val="20"/>
          <w:lang w:val="es-ES_tradnl"/>
        </w:rPr>
        <w:t>Tribunal Contencioso del Cauca no consideró</w:t>
      </w:r>
      <w:r w:rsidRPr="001C541B">
        <w:rPr>
          <w:sz w:val="20"/>
          <w:szCs w:val="20"/>
          <w:lang w:val="es-ES_tradnl"/>
        </w:rPr>
        <w:t xml:space="preserve"> el proceso penal iniciado por los hechos ocurridos en marzo de 2000, al considerar que el mismo </w:t>
      </w:r>
      <w:r w:rsidR="00907BFF" w:rsidRPr="001C541B">
        <w:rPr>
          <w:sz w:val="20"/>
          <w:szCs w:val="20"/>
          <w:lang w:val="es-ES_tradnl"/>
        </w:rPr>
        <w:t xml:space="preserve">no </w:t>
      </w:r>
      <w:r w:rsidRPr="001C541B">
        <w:rPr>
          <w:sz w:val="20"/>
          <w:szCs w:val="20"/>
          <w:lang w:val="es-ES_tradnl"/>
        </w:rPr>
        <w:t xml:space="preserve">se vinculaba de manera directa con las acciones interpuestas en contra de las autoridades demandadas. </w:t>
      </w:r>
    </w:p>
    <w:p w14:paraId="30491827" w14:textId="42BEDB99" w:rsidR="00807953" w:rsidRPr="001C541B" w:rsidRDefault="00AD68F2" w:rsidP="00807953">
      <w:pPr>
        <w:pStyle w:val="ListParagraph"/>
        <w:numPr>
          <w:ilvl w:val="0"/>
          <w:numId w:val="59"/>
        </w:numPr>
        <w:spacing w:before="240" w:after="240"/>
        <w:ind w:left="0" w:firstLine="709"/>
        <w:jc w:val="both"/>
        <w:rPr>
          <w:sz w:val="20"/>
          <w:szCs w:val="20"/>
          <w:lang w:val="es-ES_tradnl"/>
        </w:rPr>
      </w:pPr>
      <w:r w:rsidRPr="001C541B">
        <w:rPr>
          <w:rFonts w:asciiTheme="majorHAnsi" w:hAnsiTheme="majorHAnsi"/>
          <w:bCs/>
          <w:sz w:val="20"/>
          <w:szCs w:val="20"/>
          <w:lang w:val="es-ES_tradnl"/>
        </w:rPr>
        <w:t>En suma, la pa</w:t>
      </w:r>
      <w:r w:rsidR="00807953" w:rsidRPr="001C541B">
        <w:rPr>
          <w:rFonts w:asciiTheme="majorHAnsi" w:hAnsiTheme="majorHAnsi"/>
          <w:bCs/>
          <w:sz w:val="20"/>
          <w:szCs w:val="20"/>
          <w:lang w:val="es-ES_tradnl"/>
        </w:rPr>
        <w:t xml:space="preserve">rte peticionaria alega la falta de protección del Estado por el desplazamiento forzado de las presuntas víctimas, así como por el daño moral y material causado en su perjuicio por los hechos de violencia perpetrados por agentes estatales, principalmente, pertenecientes al </w:t>
      </w:r>
      <w:r w:rsidR="00907BFF" w:rsidRPr="001C541B">
        <w:rPr>
          <w:rFonts w:asciiTheme="majorHAnsi" w:hAnsiTheme="majorHAnsi"/>
          <w:bCs/>
          <w:sz w:val="20"/>
          <w:szCs w:val="20"/>
          <w:lang w:val="es-ES_tradnl"/>
        </w:rPr>
        <w:t>E</w:t>
      </w:r>
      <w:r w:rsidR="00807953" w:rsidRPr="001C541B">
        <w:rPr>
          <w:rFonts w:asciiTheme="majorHAnsi" w:hAnsiTheme="majorHAnsi"/>
          <w:bCs/>
          <w:sz w:val="20"/>
          <w:szCs w:val="20"/>
          <w:lang w:val="es-ES_tradnl"/>
        </w:rPr>
        <w:t>jército</w:t>
      </w:r>
      <w:r w:rsidR="00907BFF" w:rsidRPr="001C541B">
        <w:rPr>
          <w:rFonts w:asciiTheme="majorHAnsi" w:hAnsiTheme="majorHAnsi"/>
          <w:bCs/>
          <w:sz w:val="20"/>
          <w:szCs w:val="20"/>
          <w:lang w:val="es-ES_tradnl"/>
        </w:rPr>
        <w:t xml:space="preserve"> Nacional</w:t>
      </w:r>
      <w:r w:rsidR="00807953" w:rsidRPr="001C541B">
        <w:rPr>
          <w:rFonts w:asciiTheme="majorHAnsi" w:hAnsiTheme="majorHAnsi"/>
          <w:bCs/>
          <w:sz w:val="20"/>
          <w:szCs w:val="20"/>
          <w:lang w:val="es-ES_tradnl"/>
        </w:rPr>
        <w:t>. Hechos que no fueron debidamente investigados ni sancionados por las autoridades ministeriales</w:t>
      </w:r>
      <w:r w:rsidR="00E56F3C" w:rsidRPr="001C541B">
        <w:rPr>
          <w:rFonts w:asciiTheme="majorHAnsi" w:hAnsiTheme="majorHAnsi"/>
          <w:bCs/>
          <w:sz w:val="20"/>
          <w:szCs w:val="20"/>
          <w:lang w:val="es-ES_tradnl"/>
        </w:rPr>
        <w:t>.</w:t>
      </w:r>
      <w:r w:rsidR="00807953" w:rsidRPr="001C541B">
        <w:rPr>
          <w:rFonts w:asciiTheme="majorHAnsi" w:hAnsiTheme="majorHAnsi"/>
          <w:bCs/>
          <w:sz w:val="20"/>
          <w:szCs w:val="20"/>
          <w:lang w:val="es-ES_tradnl"/>
        </w:rPr>
        <w:t xml:space="preserve"> </w:t>
      </w:r>
    </w:p>
    <w:p w14:paraId="3B54DDF3" w14:textId="20A85088" w:rsidR="001D47EE" w:rsidRPr="001C541B" w:rsidRDefault="001D47EE" w:rsidP="001D47EE">
      <w:pPr>
        <w:pStyle w:val="ListParagraph"/>
        <w:spacing w:before="240" w:after="240"/>
        <w:ind w:left="709"/>
        <w:jc w:val="both"/>
        <w:rPr>
          <w:i/>
          <w:iCs/>
          <w:sz w:val="20"/>
          <w:szCs w:val="20"/>
          <w:lang w:val="es-ES_tradnl"/>
        </w:rPr>
      </w:pPr>
      <w:r w:rsidRPr="001C541B">
        <w:rPr>
          <w:i/>
          <w:iCs/>
          <w:sz w:val="20"/>
          <w:szCs w:val="20"/>
          <w:lang w:val="es-ES_tradnl"/>
        </w:rPr>
        <w:t>Posicionamiento del Estado</w:t>
      </w:r>
      <w:r w:rsidR="004B1CC5" w:rsidRPr="001C541B">
        <w:rPr>
          <w:i/>
          <w:iCs/>
          <w:sz w:val="20"/>
          <w:szCs w:val="20"/>
          <w:lang w:val="es-ES_tradnl"/>
        </w:rPr>
        <w:t xml:space="preserve"> colombiano</w:t>
      </w:r>
    </w:p>
    <w:p w14:paraId="525171E4" w14:textId="0DA36998" w:rsidR="004C3564" w:rsidRPr="001C541B" w:rsidRDefault="00E75985" w:rsidP="00807953">
      <w:pPr>
        <w:pStyle w:val="ListParagraph"/>
        <w:numPr>
          <w:ilvl w:val="0"/>
          <w:numId w:val="59"/>
        </w:numPr>
        <w:spacing w:before="240" w:after="240"/>
        <w:ind w:left="0" w:firstLine="709"/>
        <w:jc w:val="both"/>
        <w:rPr>
          <w:sz w:val="20"/>
          <w:szCs w:val="20"/>
          <w:lang w:val="es-ES_tradnl"/>
        </w:rPr>
      </w:pPr>
      <w:r w:rsidRPr="001C541B">
        <w:rPr>
          <w:sz w:val="20"/>
          <w:szCs w:val="20"/>
          <w:lang w:val="es-ES_tradnl"/>
        </w:rPr>
        <w:t xml:space="preserve">El Estado en su contestación pide que la petición sea declarada inadmisible </w:t>
      </w:r>
      <w:r w:rsidR="004C3564" w:rsidRPr="001C541B">
        <w:rPr>
          <w:sz w:val="20"/>
          <w:szCs w:val="20"/>
          <w:lang w:val="es-ES_tradnl"/>
        </w:rPr>
        <w:t>debido a que</w:t>
      </w:r>
      <w:r w:rsidR="004B1CC5" w:rsidRPr="001C541B">
        <w:rPr>
          <w:sz w:val="20"/>
          <w:szCs w:val="20"/>
          <w:lang w:val="es-ES_tradnl"/>
        </w:rPr>
        <w:t>, a su juicio</w:t>
      </w:r>
      <w:r w:rsidRPr="001C541B">
        <w:rPr>
          <w:sz w:val="20"/>
          <w:szCs w:val="20"/>
          <w:lang w:val="es-ES_tradnl"/>
        </w:rPr>
        <w:t xml:space="preserve">: </w:t>
      </w:r>
      <w:r w:rsidR="004C3564" w:rsidRPr="001C541B">
        <w:rPr>
          <w:sz w:val="20"/>
          <w:szCs w:val="20"/>
          <w:lang w:val="es-ES_tradnl"/>
        </w:rPr>
        <w:t xml:space="preserve">(a) </w:t>
      </w:r>
      <w:r w:rsidR="00CC5B59" w:rsidRPr="001C541B">
        <w:rPr>
          <w:sz w:val="20"/>
          <w:szCs w:val="20"/>
          <w:lang w:val="es-ES_tradnl"/>
        </w:rPr>
        <w:t>esta</w:t>
      </w:r>
      <w:r w:rsidR="002710D2" w:rsidRPr="001C541B">
        <w:rPr>
          <w:sz w:val="20"/>
          <w:szCs w:val="20"/>
          <w:lang w:val="es-ES_tradnl"/>
        </w:rPr>
        <w:t xml:space="preserve"> </w:t>
      </w:r>
      <w:r w:rsidR="004C3564" w:rsidRPr="001C541B">
        <w:rPr>
          <w:sz w:val="20"/>
          <w:szCs w:val="20"/>
          <w:lang w:val="es-ES_tradnl"/>
        </w:rPr>
        <w:t xml:space="preserve">configura lo que denomina </w:t>
      </w:r>
      <w:r w:rsidR="004B1CC5" w:rsidRPr="001C541B">
        <w:rPr>
          <w:sz w:val="20"/>
          <w:szCs w:val="20"/>
          <w:lang w:val="es-ES_tradnl"/>
        </w:rPr>
        <w:t xml:space="preserve">o da en llamar </w:t>
      </w:r>
      <w:r w:rsidR="004C3564" w:rsidRPr="001C541B">
        <w:rPr>
          <w:sz w:val="20"/>
          <w:szCs w:val="20"/>
          <w:lang w:val="es-ES_tradnl"/>
        </w:rPr>
        <w:t>como una “</w:t>
      </w:r>
      <w:r w:rsidR="004C3564" w:rsidRPr="001C541B">
        <w:rPr>
          <w:i/>
          <w:iCs/>
          <w:sz w:val="20"/>
          <w:szCs w:val="20"/>
          <w:lang w:val="es-ES_tradnl"/>
        </w:rPr>
        <w:t>fórmula de cuarta instancia internacional</w:t>
      </w:r>
      <w:r w:rsidR="004C3564" w:rsidRPr="001C541B">
        <w:rPr>
          <w:sz w:val="20"/>
          <w:szCs w:val="20"/>
          <w:lang w:val="es-ES_tradnl"/>
        </w:rPr>
        <w:t xml:space="preserve">”; y (b) por el incumplimiento del plazo de seis meses previsto en el artículo 46.1.b) de la Convención Americana, determinando su manifiesta extemporaneidad. </w:t>
      </w:r>
    </w:p>
    <w:p w14:paraId="46CF34CB" w14:textId="754B7B8E" w:rsidR="00575FDB" w:rsidRPr="001C541B" w:rsidRDefault="004C3564" w:rsidP="00DE7E59">
      <w:pPr>
        <w:pStyle w:val="ListParagraph"/>
        <w:numPr>
          <w:ilvl w:val="0"/>
          <w:numId w:val="59"/>
        </w:numPr>
        <w:spacing w:before="240" w:after="240"/>
        <w:ind w:left="0" w:firstLine="709"/>
        <w:jc w:val="both"/>
        <w:rPr>
          <w:i/>
          <w:iCs/>
          <w:sz w:val="20"/>
          <w:szCs w:val="20"/>
          <w:lang w:val="es-ES_tradnl"/>
        </w:rPr>
      </w:pPr>
      <w:r w:rsidRPr="001C541B">
        <w:rPr>
          <w:sz w:val="20"/>
          <w:szCs w:val="20"/>
          <w:lang w:val="es-ES_tradnl"/>
        </w:rPr>
        <w:t>Sobre la supuesta configuración</w:t>
      </w:r>
      <w:r w:rsidR="000D29DC" w:rsidRPr="001C541B">
        <w:rPr>
          <w:sz w:val="20"/>
          <w:szCs w:val="20"/>
          <w:lang w:val="es-ES_tradnl"/>
        </w:rPr>
        <w:t>,</w:t>
      </w:r>
      <w:r w:rsidRPr="001C541B">
        <w:rPr>
          <w:sz w:val="20"/>
          <w:szCs w:val="20"/>
          <w:lang w:val="es-ES_tradnl"/>
        </w:rPr>
        <w:t xml:space="preserve"> en el caso bajo examen</w:t>
      </w:r>
      <w:r w:rsidR="000D29DC" w:rsidRPr="001C541B">
        <w:rPr>
          <w:sz w:val="20"/>
          <w:szCs w:val="20"/>
          <w:lang w:val="es-ES_tradnl"/>
        </w:rPr>
        <w:t>,</w:t>
      </w:r>
      <w:r w:rsidRPr="001C541B">
        <w:rPr>
          <w:sz w:val="20"/>
          <w:szCs w:val="20"/>
          <w:lang w:val="es-ES_tradnl"/>
        </w:rPr>
        <w:t xml:space="preserve"> </w:t>
      </w:r>
      <w:r w:rsidR="00575FDB" w:rsidRPr="001C541B">
        <w:rPr>
          <w:sz w:val="20"/>
          <w:szCs w:val="20"/>
          <w:lang w:val="es-ES_tradnl"/>
        </w:rPr>
        <w:t>en lo que</w:t>
      </w:r>
      <w:r w:rsidR="00F231C6" w:rsidRPr="001C541B">
        <w:rPr>
          <w:sz w:val="20"/>
          <w:szCs w:val="20"/>
          <w:lang w:val="es-ES_tradnl"/>
        </w:rPr>
        <w:t xml:space="preserve"> </w:t>
      </w:r>
      <w:r w:rsidR="00AE15D4" w:rsidRPr="001C541B">
        <w:rPr>
          <w:sz w:val="20"/>
          <w:szCs w:val="20"/>
          <w:lang w:val="es-ES_tradnl"/>
        </w:rPr>
        <w:t xml:space="preserve">el </w:t>
      </w:r>
      <w:r w:rsidR="00F231C6" w:rsidRPr="001C541B">
        <w:rPr>
          <w:sz w:val="20"/>
          <w:szCs w:val="20"/>
          <w:lang w:val="es-ES_tradnl"/>
        </w:rPr>
        <w:t xml:space="preserve">Estado </w:t>
      </w:r>
      <w:r w:rsidR="00AE15D4" w:rsidRPr="001C541B">
        <w:rPr>
          <w:sz w:val="20"/>
          <w:szCs w:val="20"/>
          <w:lang w:val="es-ES_tradnl"/>
        </w:rPr>
        <w:t>considera</w:t>
      </w:r>
      <w:r w:rsidR="00F231C6" w:rsidRPr="001C541B">
        <w:rPr>
          <w:sz w:val="20"/>
          <w:szCs w:val="20"/>
          <w:lang w:val="es-ES_tradnl"/>
        </w:rPr>
        <w:t xml:space="preserve"> como una</w:t>
      </w:r>
      <w:r w:rsidRPr="001C541B">
        <w:rPr>
          <w:sz w:val="20"/>
          <w:szCs w:val="20"/>
          <w:lang w:val="es-ES_tradnl"/>
        </w:rPr>
        <w:t xml:space="preserve"> “fórmula de cuarta instancia internacional”, afirma que </w:t>
      </w:r>
      <w:r w:rsidR="002B1C3C" w:rsidRPr="001C541B">
        <w:rPr>
          <w:sz w:val="20"/>
          <w:szCs w:val="20"/>
          <w:lang w:val="es-ES_tradnl"/>
        </w:rPr>
        <w:t>los</w:t>
      </w:r>
      <w:r w:rsidRPr="001C541B">
        <w:rPr>
          <w:sz w:val="20"/>
          <w:szCs w:val="20"/>
          <w:lang w:val="es-ES_tradnl"/>
        </w:rPr>
        <w:t xml:space="preserve"> peticionario</w:t>
      </w:r>
      <w:r w:rsidR="002B1C3C" w:rsidRPr="001C541B">
        <w:rPr>
          <w:sz w:val="20"/>
          <w:szCs w:val="20"/>
          <w:lang w:val="es-ES_tradnl"/>
        </w:rPr>
        <w:t>s</w:t>
      </w:r>
      <w:r w:rsidRPr="001C541B">
        <w:rPr>
          <w:sz w:val="20"/>
          <w:szCs w:val="20"/>
          <w:lang w:val="es-ES_tradnl"/>
        </w:rPr>
        <w:t xml:space="preserve"> pretende</w:t>
      </w:r>
      <w:r w:rsidR="002B1C3C" w:rsidRPr="001C541B">
        <w:rPr>
          <w:sz w:val="20"/>
          <w:szCs w:val="20"/>
          <w:lang w:val="es-ES_tradnl"/>
        </w:rPr>
        <w:t>n</w:t>
      </w:r>
      <w:r w:rsidRPr="001C541B">
        <w:rPr>
          <w:sz w:val="20"/>
          <w:szCs w:val="20"/>
          <w:lang w:val="es-ES_tradnl"/>
        </w:rPr>
        <w:t xml:space="preserve"> que la CIDH revise </w:t>
      </w:r>
      <w:r w:rsidR="00575FDB" w:rsidRPr="001C541B">
        <w:rPr>
          <w:sz w:val="20"/>
          <w:szCs w:val="20"/>
          <w:lang w:val="es-ES_tradnl"/>
        </w:rPr>
        <w:t xml:space="preserve">las </w:t>
      </w:r>
      <w:r w:rsidR="00006DB3" w:rsidRPr="001C541B">
        <w:rPr>
          <w:sz w:val="20"/>
          <w:szCs w:val="20"/>
          <w:lang w:val="es-ES_tradnl"/>
        </w:rPr>
        <w:t xml:space="preserve">decisiones emitidas en los procesos de reparación directa ante la jurisdicción contencioso-administrativa. Por un lado, establece que la acción de reparación directa interpuesta por la Fundación de Rehabilitación Maranatha fue desestimada a nivel interno debido a que el </w:t>
      </w:r>
      <w:r w:rsidR="00DE7E59" w:rsidRPr="001C541B">
        <w:rPr>
          <w:sz w:val="20"/>
          <w:szCs w:val="20"/>
          <w:lang w:val="es-ES_tradnl"/>
        </w:rPr>
        <w:t xml:space="preserve">Tribunal Contencioso del Cauca </w:t>
      </w:r>
      <w:r w:rsidR="00006DB3" w:rsidRPr="001C541B">
        <w:rPr>
          <w:sz w:val="20"/>
          <w:szCs w:val="20"/>
          <w:lang w:val="es-ES_tradnl"/>
        </w:rPr>
        <w:t xml:space="preserve">determinó la falta de material probatorio que involucrara a miembros de la fuerza pública en los hechos ocurridos en marzo de 2000. Por otra parte, respecto a la acción de reparación directa interpuesta por las presuntas víctimas, </w:t>
      </w:r>
      <w:r w:rsidR="000D29DC" w:rsidRPr="001C541B">
        <w:rPr>
          <w:sz w:val="20"/>
          <w:szCs w:val="20"/>
          <w:lang w:val="es-ES_tradnl"/>
        </w:rPr>
        <w:t xml:space="preserve">sostiene </w:t>
      </w:r>
      <w:r w:rsidR="00006DB3" w:rsidRPr="001C541B">
        <w:rPr>
          <w:sz w:val="20"/>
          <w:szCs w:val="20"/>
          <w:lang w:val="es-ES_tradnl"/>
        </w:rPr>
        <w:t xml:space="preserve">que </w:t>
      </w:r>
      <w:r w:rsidR="00DE7E59" w:rsidRPr="001C541B">
        <w:rPr>
          <w:sz w:val="20"/>
          <w:szCs w:val="20"/>
          <w:lang w:val="es-ES_tradnl"/>
        </w:rPr>
        <w:t>el referido tribunal desestimó la demanda bajo el mismo razonamiento establecido en la acción de reparación interpuesta por la Fundación. Por lo tanto, aduce que los peticionarios pretenden que la CIDH: “</w:t>
      </w:r>
      <w:r w:rsidR="00112CB4" w:rsidRPr="001C541B">
        <w:rPr>
          <w:sz w:val="20"/>
          <w:szCs w:val="20"/>
          <w:lang w:val="es-ES_tradnl"/>
        </w:rPr>
        <w:t xml:space="preserve"> […] </w:t>
      </w:r>
      <w:r w:rsidR="00DE7E59" w:rsidRPr="001C541B">
        <w:rPr>
          <w:i/>
          <w:iCs/>
          <w:sz w:val="20"/>
          <w:szCs w:val="20"/>
          <w:lang w:val="es-ES_tradnl"/>
        </w:rPr>
        <w:t>(i) sustituya la valoración de la prueba realizada por las distintas autoridades judiciales a nivel interno; y (ii) analice cuestiones que ya han sido resueltas a nivel interno”</w:t>
      </w:r>
      <w:r w:rsidR="00EC4F5C" w:rsidRPr="001C541B">
        <w:rPr>
          <w:i/>
          <w:iCs/>
          <w:sz w:val="20"/>
          <w:szCs w:val="20"/>
          <w:lang w:val="es-ES_tradnl"/>
        </w:rPr>
        <w:t>.</w:t>
      </w:r>
      <w:r w:rsidR="00DE7E59" w:rsidRPr="001C541B">
        <w:rPr>
          <w:i/>
          <w:iCs/>
          <w:sz w:val="20"/>
          <w:szCs w:val="20"/>
          <w:lang w:val="es-ES_tradnl"/>
        </w:rPr>
        <w:t xml:space="preserve"> </w:t>
      </w:r>
    </w:p>
    <w:p w14:paraId="4FD77EDA" w14:textId="247DAA81" w:rsidR="00DD08C5" w:rsidRPr="001C541B" w:rsidRDefault="00DD08C5" w:rsidP="00DD08C5">
      <w:pPr>
        <w:pStyle w:val="ListParagraph"/>
        <w:numPr>
          <w:ilvl w:val="0"/>
          <w:numId w:val="59"/>
        </w:numPr>
        <w:spacing w:before="240" w:after="240"/>
        <w:ind w:left="0" w:firstLine="709"/>
        <w:jc w:val="both"/>
        <w:rPr>
          <w:sz w:val="20"/>
          <w:szCs w:val="20"/>
          <w:lang w:val="es-ES_tradnl"/>
        </w:rPr>
      </w:pPr>
      <w:r w:rsidRPr="001C541B">
        <w:rPr>
          <w:sz w:val="20"/>
          <w:szCs w:val="20"/>
          <w:lang w:val="es-ES_tradnl"/>
        </w:rPr>
        <w:t>En lo referente a la extemporaneidad de la petición, el Estado argumenta que el Tribunal Administrativo de Cauca resolvió negar</w:t>
      </w:r>
      <w:r w:rsidR="00B83D37" w:rsidRPr="001C541B">
        <w:rPr>
          <w:sz w:val="20"/>
          <w:szCs w:val="20"/>
          <w:lang w:val="es-ES_tradnl"/>
        </w:rPr>
        <w:t>;</w:t>
      </w:r>
      <w:r w:rsidRPr="001C541B">
        <w:rPr>
          <w:sz w:val="20"/>
          <w:szCs w:val="20"/>
          <w:lang w:val="es-ES_tradnl"/>
        </w:rPr>
        <w:t xml:space="preserve"> por un lado, la acción de reparación directa interpuesta por el representante legal de la Fundación</w:t>
      </w:r>
      <w:r w:rsidR="00D44A23" w:rsidRPr="001C541B">
        <w:rPr>
          <w:sz w:val="20"/>
          <w:szCs w:val="20"/>
          <w:lang w:val="es-ES_tradnl"/>
        </w:rPr>
        <w:t xml:space="preserve"> </w:t>
      </w:r>
      <w:r w:rsidRPr="001C541B">
        <w:rPr>
          <w:sz w:val="20"/>
          <w:szCs w:val="20"/>
          <w:lang w:val="es-ES_tradnl"/>
        </w:rPr>
        <w:t>el señor López Gallego</w:t>
      </w:r>
      <w:r w:rsidR="00D44A23" w:rsidRPr="001C541B">
        <w:rPr>
          <w:sz w:val="20"/>
          <w:szCs w:val="20"/>
          <w:lang w:val="es-ES_tradnl"/>
        </w:rPr>
        <w:t xml:space="preserve">; </w:t>
      </w:r>
      <w:r w:rsidRPr="001C541B">
        <w:rPr>
          <w:sz w:val="20"/>
          <w:szCs w:val="20"/>
          <w:lang w:val="es-ES_tradnl"/>
        </w:rPr>
        <w:t>y por otro lado, la acción de reparación directa interpuesta por las presuntas víctimas el 30 de enero y el 13 de febrero de 2007, respectivamente</w:t>
      </w:r>
      <w:r w:rsidR="00EC4F5C" w:rsidRPr="001C541B">
        <w:rPr>
          <w:sz w:val="20"/>
          <w:szCs w:val="20"/>
          <w:lang w:val="es-ES_tradnl"/>
        </w:rPr>
        <w:t>;</w:t>
      </w:r>
      <w:r w:rsidRPr="001C541B">
        <w:rPr>
          <w:sz w:val="20"/>
          <w:szCs w:val="20"/>
          <w:lang w:val="es-ES_tradnl"/>
        </w:rPr>
        <w:t xml:space="preserve"> y la denuncia ante la CIDH fue presentada</w:t>
      </w:r>
      <w:r w:rsidR="00940B34" w:rsidRPr="001C541B">
        <w:rPr>
          <w:sz w:val="20"/>
          <w:szCs w:val="20"/>
          <w:lang w:val="es-ES_tradnl"/>
        </w:rPr>
        <w:t xml:space="preserve"> en mayo de 2013,</w:t>
      </w:r>
      <w:r w:rsidRPr="001C541B">
        <w:rPr>
          <w:sz w:val="20"/>
          <w:szCs w:val="20"/>
          <w:lang w:val="es-ES_tradnl"/>
        </w:rPr>
        <w:t xml:space="preserve"> más de</w:t>
      </w:r>
      <w:r w:rsidR="00D44A23" w:rsidRPr="001C541B">
        <w:rPr>
          <w:sz w:val="20"/>
          <w:szCs w:val="20"/>
          <w:lang w:val="es-ES_tradnl"/>
        </w:rPr>
        <w:t xml:space="preserve"> cinco</w:t>
      </w:r>
      <w:r w:rsidRPr="001C541B">
        <w:rPr>
          <w:sz w:val="20"/>
          <w:szCs w:val="20"/>
          <w:lang w:val="es-ES_tradnl"/>
        </w:rPr>
        <w:t xml:space="preserve"> </w:t>
      </w:r>
      <w:r w:rsidR="004E43C4" w:rsidRPr="001C541B">
        <w:rPr>
          <w:sz w:val="20"/>
          <w:szCs w:val="20"/>
          <w:lang w:val="es-ES_tradnl"/>
        </w:rPr>
        <w:t xml:space="preserve">años </w:t>
      </w:r>
      <w:r w:rsidRPr="001C541B">
        <w:rPr>
          <w:sz w:val="20"/>
          <w:szCs w:val="20"/>
          <w:lang w:val="es-ES_tradnl"/>
        </w:rPr>
        <w:t>después</w:t>
      </w:r>
      <w:r w:rsidR="00940B34" w:rsidRPr="001C541B">
        <w:rPr>
          <w:sz w:val="20"/>
          <w:szCs w:val="20"/>
          <w:lang w:val="es-ES_tradnl"/>
        </w:rPr>
        <w:t>,</w:t>
      </w:r>
      <w:r w:rsidRPr="001C541B">
        <w:rPr>
          <w:sz w:val="20"/>
          <w:szCs w:val="20"/>
          <w:lang w:val="es-ES_tradnl"/>
        </w:rPr>
        <w:t xml:space="preserve"> </w:t>
      </w:r>
      <w:r w:rsidR="002C6BD4" w:rsidRPr="001C541B">
        <w:rPr>
          <w:sz w:val="20"/>
          <w:szCs w:val="20"/>
          <w:lang w:val="es-ES_tradnl"/>
        </w:rPr>
        <w:t xml:space="preserve">incumpliendo con </w:t>
      </w:r>
      <w:r w:rsidR="00940B34" w:rsidRPr="001C541B">
        <w:rPr>
          <w:sz w:val="20"/>
          <w:szCs w:val="20"/>
          <w:lang w:val="es-ES_tradnl"/>
        </w:rPr>
        <w:t xml:space="preserve">ello </w:t>
      </w:r>
      <w:r w:rsidR="002C6BD4" w:rsidRPr="001C541B">
        <w:rPr>
          <w:sz w:val="20"/>
          <w:szCs w:val="20"/>
          <w:lang w:val="es-ES_tradnl"/>
        </w:rPr>
        <w:t xml:space="preserve">el plazo </w:t>
      </w:r>
      <w:r w:rsidRPr="001C541B">
        <w:rPr>
          <w:sz w:val="20"/>
          <w:szCs w:val="20"/>
          <w:lang w:val="es-ES_tradnl"/>
        </w:rPr>
        <w:t xml:space="preserve">de </w:t>
      </w:r>
      <w:r w:rsidRPr="001C541B">
        <w:rPr>
          <w:sz w:val="20"/>
          <w:szCs w:val="20"/>
          <w:lang w:val="es-ES_tradnl"/>
        </w:rPr>
        <w:lastRenderedPageBreak/>
        <w:t xml:space="preserve">seis meses </w:t>
      </w:r>
      <w:r w:rsidR="002C6BD4" w:rsidRPr="001C541B">
        <w:rPr>
          <w:sz w:val="20"/>
          <w:szCs w:val="20"/>
          <w:lang w:val="es-ES_tradnl"/>
        </w:rPr>
        <w:t>previsto</w:t>
      </w:r>
      <w:r w:rsidRPr="001C541B">
        <w:rPr>
          <w:sz w:val="20"/>
          <w:szCs w:val="20"/>
          <w:lang w:val="es-ES_tradnl"/>
        </w:rPr>
        <w:t xml:space="preserve"> en el </w:t>
      </w:r>
      <w:r w:rsidR="00DC2460" w:rsidRPr="001C541B">
        <w:rPr>
          <w:sz w:val="20"/>
          <w:szCs w:val="20"/>
          <w:lang w:val="es-ES_tradnl"/>
        </w:rPr>
        <w:t>a</w:t>
      </w:r>
      <w:r w:rsidRPr="001C541B">
        <w:rPr>
          <w:sz w:val="20"/>
          <w:szCs w:val="20"/>
          <w:lang w:val="es-ES_tradnl"/>
        </w:rPr>
        <w:t xml:space="preserve">rtículo 46.1.b) de la Convención </w:t>
      </w:r>
      <w:r w:rsidR="00834C32" w:rsidRPr="001C541B">
        <w:rPr>
          <w:sz w:val="20"/>
          <w:szCs w:val="20"/>
          <w:lang w:val="es-ES_tradnl"/>
        </w:rPr>
        <w:t xml:space="preserve">Americana, </w:t>
      </w:r>
      <w:r w:rsidRPr="001C541B">
        <w:rPr>
          <w:sz w:val="20"/>
          <w:szCs w:val="20"/>
          <w:lang w:val="es-ES_tradnl"/>
        </w:rPr>
        <w:t>para la presentación de peticiones ante la Comisión</w:t>
      </w:r>
      <w:r w:rsidR="00F12646" w:rsidRPr="001C541B">
        <w:rPr>
          <w:sz w:val="20"/>
          <w:szCs w:val="20"/>
          <w:lang w:val="es-ES_tradnl"/>
        </w:rPr>
        <w:t xml:space="preserve"> Interamerican</w:t>
      </w:r>
      <w:r w:rsidR="000E58D6" w:rsidRPr="001C541B">
        <w:rPr>
          <w:sz w:val="20"/>
          <w:szCs w:val="20"/>
          <w:lang w:val="es-ES_tradnl"/>
        </w:rPr>
        <w:t>a</w:t>
      </w:r>
      <w:r w:rsidRPr="001C541B">
        <w:rPr>
          <w:sz w:val="20"/>
          <w:szCs w:val="20"/>
          <w:lang w:val="es-ES_tradnl"/>
        </w:rPr>
        <w:t xml:space="preserve">. </w:t>
      </w:r>
    </w:p>
    <w:p w14:paraId="51F68C92" w14:textId="77777777" w:rsidR="003239B8" w:rsidRPr="001C541B" w:rsidRDefault="003239B8" w:rsidP="003239B8">
      <w:pPr>
        <w:spacing w:before="240" w:after="240"/>
        <w:ind w:firstLine="720"/>
        <w:jc w:val="both"/>
        <w:rPr>
          <w:rFonts w:ascii="Cambria" w:hAnsi="Cambria"/>
          <w:sz w:val="20"/>
          <w:szCs w:val="20"/>
          <w:lang w:val="es-ES_tradnl"/>
        </w:rPr>
      </w:pPr>
      <w:r w:rsidRPr="001C541B">
        <w:rPr>
          <w:rFonts w:asciiTheme="majorHAnsi" w:eastAsia="Cambria" w:hAnsiTheme="majorHAnsi" w:cs="Cambria"/>
          <w:b/>
          <w:bCs/>
          <w:color w:val="000000"/>
          <w:sz w:val="20"/>
          <w:szCs w:val="20"/>
          <w:u w:color="000000"/>
          <w:lang w:val="es-ES_tradnl" w:eastAsia="es-ES"/>
        </w:rPr>
        <w:t>VI.</w:t>
      </w:r>
      <w:r w:rsidRPr="001C541B">
        <w:rPr>
          <w:rFonts w:asciiTheme="majorHAnsi" w:eastAsia="Cambria" w:hAnsiTheme="majorHAnsi" w:cs="Cambria"/>
          <w:b/>
          <w:bCs/>
          <w:color w:val="000000"/>
          <w:sz w:val="20"/>
          <w:szCs w:val="20"/>
          <w:u w:color="000000"/>
          <w:lang w:val="es-ES_tradnl" w:eastAsia="es-ES"/>
        </w:rPr>
        <w:tab/>
      </w:r>
      <w:r w:rsidR="004A6A54" w:rsidRPr="001C541B">
        <w:rPr>
          <w:rFonts w:asciiTheme="majorHAnsi" w:hAnsiTheme="majorHAnsi"/>
          <w:b/>
          <w:bCs/>
          <w:sz w:val="20"/>
          <w:szCs w:val="20"/>
          <w:lang w:val="es-ES_tradnl"/>
        </w:rPr>
        <w:t xml:space="preserve">ANÁLISIS DE </w:t>
      </w:r>
      <w:r w:rsidR="00C21FEF" w:rsidRPr="001C541B">
        <w:rPr>
          <w:rFonts w:asciiTheme="majorHAnsi" w:hAnsiTheme="majorHAnsi"/>
          <w:b/>
          <w:sz w:val="20"/>
          <w:szCs w:val="20"/>
          <w:lang w:val="es-ES_tradnl"/>
        </w:rPr>
        <w:t>AGOTAMIENTO DE LOS RECURSOS INTERNOS Y PLAZO DE PRESENTACIÓN</w:t>
      </w:r>
      <w:r w:rsidR="00C21FEF" w:rsidRPr="001C541B">
        <w:rPr>
          <w:rFonts w:asciiTheme="majorHAnsi" w:eastAsia="Cambria" w:hAnsiTheme="majorHAnsi" w:cs="Cambria"/>
          <w:b/>
          <w:bCs/>
          <w:color w:val="000000"/>
          <w:sz w:val="20"/>
          <w:szCs w:val="20"/>
          <w:u w:color="000000"/>
          <w:lang w:val="es-ES_tradnl" w:eastAsia="es-ES"/>
        </w:rPr>
        <w:t xml:space="preserve"> </w:t>
      </w:r>
    </w:p>
    <w:p w14:paraId="5A14DF4C" w14:textId="1819DC62" w:rsidR="00171812" w:rsidRPr="001C541B" w:rsidRDefault="004D2B48" w:rsidP="004D2B48">
      <w:pPr>
        <w:pStyle w:val="ListParagraph"/>
        <w:numPr>
          <w:ilvl w:val="0"/>
          <w:numId w:val="59"/>
        </w:numPr>
        <w:spacing w:before="240" w:after="240"/>
        <w:ind w:left="0" w:firstLine="709"/>
        <w:jc w:val="both"/>
        <w:rPr>
          <w:sz w:val="20"/>
          <w:szCs w:val="20"/>
          <w:lang w:val="es-ES_tradnl"/>
        </w:rPr>
      </w:pPr>
      <w:r w:rsidRPr="001C541B">
        <w:rPr>
          <w:sz w:val="20"/>
          <w:szCs w:val="20"/>
          <w:lang w:val="es-ES_tradnl"/>
        </w:rPr>
        <w:t xml:space="preserve">Los peticionarios sostienen que en el año 2000 las presuntas víctimas interpusieron una denuncia ante la </w:t>
      </w:r>
      <w:r w:rsidR="00D02EA7" w:rsidRPr="001C541B">
        <w:rPr>
          <w:sz w:val="20"/>
          <w:szCs w:val="20"/>
          <w:lang w:val="es-ES_tradnl"/>
        </w:rPr>
        <w:t>F</w:t>
      </w:r>
      <w:r w:rsidRPr="001C541B">
        <w:rPr>
          <w:sz w:val="20"/>
          <w:szCs w:val="20"/>
          <w:lang w:val="es-ES_tradnl"/>
        </w:rPr>
        <w:t xml:space="preserve">iscalía </w:t>
      </w:r>
      <w:r w:rsidR="00D02EA7" w:rsidRPr="001C541B">
        <w:rPr>
          <w:sz w:val="20"/>
          <w:szCs w:val="20"/>
          <w:lang w:val="es-ES_tradnl"/>
        </w:rPr>
        <w:t xml:space="preserve">Seccional </w:t>
      </w:r>
      <w:r w:rsidRPr="001C541B">
        <w:rPr>
          <w:sz w:val="20"/>
          <w:szCs w:val="20"/>
          <w:lang w:val="es-ES_tradnl"/>
        </w:rPr>
        <w:t xml:space="preserve">de Popayán, pero nunca recibieron una respuesta o avance en la investigación de los hechos que conllevaron a su desplazamiento forzado. Asimismo, </w:t>
      </w:r>
      <w:r w:rsidR="00F20B2D" w:rsidRPr="001C541B">
        <w:rPr>
          <w:sz w:val="20"/>
          <w:szCs w:val="20"/>
          <w:lang w:val="es-ES_tradnl"/>
        </w:rPr>
        <w:t>alega</w:t>
      </w:r>
      <w:r w:rsidRPr="001C541B">
        <w:rPr>
          <w:sz w:val="20"/>
          <w:szCs w:val="20"/>
          <w:lang w:val="es-ES_tradnl"/>
        </w:rPr>
        <w:t>n</w:t>
      </w:r>
      <w:r w:rsidR="00F20B2D" w:rsidRPr="001C541B">
        <w:rPr>
          <w:sz w:val="20"/>
          <w:szCs w:val="20"/>
          <w:lang w:val="es-ES_tradnl"/>
        </w:rPr>
        <w:t xml:space="preserve"> </w:t>
      </w:r>
      <w:r w:rsidR="00171812" w:rsidRPr="001C541B">
        <w:rPr>
          <w:sz w:val="20"/>
          <w:szCs w:val="20"/>
          <w:lang w:val="es-ES_tradnl"/>
        </w:rPr>
        <w:t xml:space="preserve">que los hechos fueron cometidos por </w:t>
      </w:r>
      <w:r w:rsidR="0039114A" w:rsidRPr="001C541B">
        <w:rPr>
          <w:sz w:val="20"/>
          <w:szCs w:val="20"/>
          <w:lang w:val="es-ES_tradnl"/>
        </w:rPr>
        <w:t>diversos</w:t>
      </w:r>
      <w:r w:rsidR="00FA5AF6" w:rsidRPr="001C541B">
        <w:rPr>
          <w:sz w:val="20"/>
          <w:szCs w:val="20"/>
          <w:lang w:val="es-ES_tradnl"/>
        </w:rPr>
        <w:t xml:space="preserve"> elementos del Ejército Nacional</w:t>
      </w:r>
      <w:r w:rsidR="00171812" w:rsidRPr="001C541B">
        <w:rPr>
          <w:sz w:val="20"/>
          <w:szCs w:val="20"/>
          <w:lang w:val="es-ES_tradnl"/>
        </w:rPr>
        <w:t xml:space="preserve">, pero solamente </w:t>
      </w:r>
      <w:r w:rsidR="0039114A" w:rsidRPr="001C541B">
        <w:rPr>
          <w:sz w:val="20"/>
          <w:szCs w:val="20"/>
          <w:lang w:val="es-ES_tradnl"/>
        </w:rPr>
        <w:t>dos</w:t>
      </w:r>
      <w:r w:rsidR="00171812" w:rsidRPr="001C541B">
        <w:rPr>
          <w:sz w:val="20"/>
          <w:szCs w:val="20"/>
          <w:lang w:val="es-ES_tradnl"/>
        </w:rPr>
        <w:t xml:space="preserve"> </w:t>
      </w:r>
      <w:r w:rsidR="0039114A" w:rsidRPr="001C541B">
        <w:rPr>
          <w:sz w:val="20"/>
          <w:szCs w:val="20"/>
          <w:lang w:val="es-ES_tradnl"/>
        </w:rPr>
        <w:t xml:space="preserve">fueron </w:t>
      </w:r>
      <w:r w:rsidR="00171812" w:rsidRPr="001C541B">
        <w:rPr>
          <w:sz w:val="20"/>
          <w:szCs w:val="20"/>
          <w:lang w:val="es-ES_tradnl"/>
        </w:rPr>
        <w:t>capturado</w:t>
      </w:r>
      <w:r w:rsidR="0039114A" w:rsidRPr="001C541B">
        <w:rPr>
          <w:sz w:val="20"/>
          <w:szCs w:val="20"/>
          <w:lang w:val="es-ES_tradnl"/>
        </w:rPr>
        <w:t>s</w:t>
      </w:r>
      <w:r w:rsidR="00171812" w:rsidRPr="001C541B">
        <w:rPr>
          <w:sz w:val="20"/>
          <w:szCs w:val="20"/>
          <w:lang w:val="es-ES_tradnl"/>
        </w:rPr>
        <w:t xml:space="preserve"> </w:t>
      </w:r>
      <w:r w:rsidR="0039114A" w:rsidRPr="001C541B">
        <w:rPr>
          <w:sz w:val="20"/>
          <w:szCs w:val="20"/>
          <w:lang w:val="es-ES_tradnl"/>
        </w:rPr>
        <w:t>y</w:t>
      </w:r>
      <w:r w:rsidR="00171812" w:rsidRPr="001C541B">
        <w:rPr>
          <w:sz w:val="20"/>
          <w:szCs w:val="20"/>
          <w:lang w:val="es-ES_tradnl"/>
        </w:rPr>
        <w:t xml:space="preserve"> condenad</w:t>
      </w:r>
      <w:r w:rsidR="0039114A" w:rsidRPr="001C541B">
        <w:rPr>
          <w:sz w:val="20"/>
          <w:szCs w:val="20"/>
          <w:lang w:val="es-ES_tradnl"/>
        </w:rPr>
        <w:t>os</w:t>
      </w:r>
      <w:r w:rsidR="00171812" w:rsidRPr="001C541B">
        <w:rPr>
          <w:sz w:val="20"/>
          <w:szCs w:val="20"/>
          <w:lang w:val="es-ES_tradnl"/>
        </w:rPr>
        <w:t xml:space="preserve"> por la justicia ordinaria. Sostiene</w:t>
      </w:r>
      <w:r w:rsidR="00B30F7A" w:rsidRPr="001C541B">
        <w:rPr>
          <w:sz w:val="20"/>
          <w:szCs w:val="20"/>
          <w:lang w:val="es-ES_tradnl"/>
        </w:rPr>
        <w:t>n</w:t>
      </w:r>
      <w:r w:rsidR="00171812" w:rsidRPr="001C541B">
        <w:rPr>
          <w:sz w:val="20"/>
          <w:szCs w:val="20"/>
          <w:lang w:val="es-ES_tradnl"/>
        </w:rPr>
        <w:t xml:space="preserve"> que la Fiscalía</w:t>
      </w:r>
      <w:r w:rsidR="00D02EA7" w:rsidRPr="001C541B">
        <w:rPr>
          <w:sz w:val="20"/>
          <w:szCs w:val="20"/>
          <w:lang w:val="es-ES_tradnl"/>
        </w:rPr>
        <w:t xml:space="preserve"> </w:t>
      </w:r>
      <w:r w:rsidR="00171812" w:rsidRPr="001C541B">
        <w:rPr>
          <w:sz w:val="20"/>
          <w:szCs w:val="20"/>
          <w:lang w:val="es-ES_tradnl"/>
        </w:rPr>
        <w:t>no investigó los hechos de desplazamiento forzado, destrucción de bienes</w:t>
      </w:r>
      <w:r w:rsidR="00252E12" w:rsidRPr="001C541B">
        <w:rPr>
          <w:sz w:val="20"/>
          <w:szCs w:val="20"/>
          <w:lang w:val="es-ES_tradnl"/>
        </w:rPr>
        <w:t xml:space="preserve"> y amen</w:t>
      </w:r>
      <w:r w:rsidR="009D646F" w:rsidRPr="001C541B">
        <w:rPr>
          <w:sz w:val="20"/>
          <w:szCs w:val="20"/>
          <w:lang w:val="es-ES_tradnl"/>
        </w:rPr>
        <w:t>a</w:t>
      </w:r>
      <w:r w:rsidR="00252E12" w:rsidRPr="001C541B">
        <w:rPr>
          <w:sz w:val="20"/>
          <w:szCs w:val="20"/>
          <w:lang w:val="es-ES_tradnl"/>
        </w:rPr>
        <w:t>zas</w:t>
      </w:r>
      <w:r w:rsidR="00171812" w:rsidRPr="001C541B">
        <w:rPr>
          <w:sz w:val="20"/>
          <w:szCs w:val="20"/>
          <w:lang w:val="es-ES_tradnl"/>
        </w:rPr>
        <w:t xml:space="preserve">. Además, afirma que tampoco se </w:t>
      </w:r>
      <w:r w:rsidR="00524923" w:rsidRPr="001C541B">
        <w:rPr>
          <w:sz w:val="20"/>
          <w:szCs w:val="20"/>
          <w:lang w:val="es-ES_tradnl"/>
        </w:rPr>
        <w:t>investigó</w:t>
      </w:r>
      <w:r w:rsidR="00171812" w:rsidRPr="001C541B">
        <w:rPr>
          <w:sz w:val="20"/>
          <w:szCs w:val="20"/>
          <w:lang w:val="es-ES_tradnl"/>
        </w:rPr>
        <w:t xml:space="preserve"> a los militares que permitieron y facilitaron los hechos.</w:t>
      </w:r>
      <w:r w:rsidR="002B2814" w:rsidRPr="001C541B">
        <w:rPr>
          <w:sz w:val="20"/>
          <w:szCs w:val="20"/>
          <w:lang w:val="es-ES_tradnl"/>
        </w:rPr>
        <w:t xml:space="preserve"> Además, respecto a las acciones de reparación directa, los peticionarios sostienen que una vez desestimadas las demandas interpuestas</w:t>
      </w:r>
      <w:r w:rsidR="007E3764" w:rsidRPr="001C541B">
        <w:rPr>
          <w:sz w:val="20"/>
          <w:szCs w:val="20"/>
          <w:lang w:val="es-ES_tradnl"/>
        </w:rPr>
        <w:t xml:space="preserve"> en la vía contencioso-</w:t>
      </w:r>
      <w:r w:rsidR="002571C3" w:rsidRPr="001C541B">
        <w:rPr>
          <w:sz w:val="20"/>
          <w:szCs w:val="20"/>
          <w:lang w:val="es-ES_tradnl"/>
        </w:rPr>
        <w:t>administrativa</w:t>
      </w:r>
      <w:r w:rsidR="002B2814" w:rsidRPr="001C541B">
        <w:rPr>
          <w:sz w:val="20"/>
          <w:szCs w:val="20"/>
          <w:lang w:val="es-ES_tradnl"/>
        </w:rPr>
        <w:t>, estas no fueron apeladas por las amenazas sufridas en contra de las presuntas víctimas</w:t>
      </w:r>
      <w:r w:rsidR="002571C3" w:rsidRPr="001C541B">
        <w:rPr>
          <w:sz w:val="20"/>
          <w:szCs w:val="20"/>
          <w:lang w:val="es-ES_tradnl"/>
        </w:rPr>
        <w:t xml:space="preserve">, por el </w:t>
      </w:r>
      <w:r w:rsidR="000462A6" w:rsidRPr="001C541B">
        <w:rPr>
          <w:sz w:val="20"/>
          <w:szCs w:val="20"/>
          <w:lang w:val="es-ES_tradnl"/>
        </w:rPr>
        <w:t>hecho de haber iniciado estos procesos</w:t>
      </w:r>
      <w:r w:rsidR="002B2814" w:rsidRPr="001C541B">
        <w:rPr>
          <w:sz w:val="20"/>
          <w:szCs w:val="20"/>
          <w:lang w:val="es-ES_tradnl"/>
        </w:rPr>
        <w:t xml:space="preserve">. </w:t>
      </w:r>
      <w:r w:rsidR="0035492D" w:rsidRPr="001C541B">
        <w:rPr>
          <w:sz w:val="20"/>
          <w:szCs w:val="20"/>
          <w:lang w:val="es-ES_tradnl"/>
        </w:rPr>
        <w:t xml:space="preserve">Por su parte, el Estado si bien alega la extemporaneidad de la petición, no se pronuncia respecto al </w:t>
      </w:r>
      <w:r w:rsidR="00524923" w:rsidRPr="001C541B">
        <w:rPr>
          <w:sz w:val="20"/>
          <w:szCs w:val="20"/>
          <w:lang w:val="es-ES_tradnl"/>
        </w:rPr>
        <w:t xml:space="preserve">requisito del </w:t>
      </w:r>
      <w:r w:rsidR="0035492D" w:rsidRPr="001C541B">
        <w:rPr>
          <w:sz w:val="20"/>
          <w:szCs w:val="20"/>
          <w:lang w:val="es-ES_tradnl"/>
        </w:rPr>
        <w:t xml:space="preserve">agotamiento de los recursos internos. </w:t>
      </w:r>
    </w:p>
    <w:p w14:paraId="7FFEC171" w14:textId="0BD2740A" w:rsidR="006A708C" w:rsidRPr="001C541B" w:rsidRDefault="006A708C" w:rsidP="006A708C">
      <w:pPr>
        <w:pStyle w:val="ListParagraph"/>
        <w:numPr>
          <w:ilvl w:val="0"/>
          <w:numId w:val="59"/>
        </w:numPr>
        <w:spacing w:before="240" w:after="240"/>
        <w:ind w:left="0" w:firstLine="709"/>
        <w:jc w:val="both"/>
        <w:rPr>
          <w:sz w:val="20"/>
          <w:szCs w:val="20"/>
          <w:bdr w:val="none" w:sz="0" w:space="0" w:color="auto"/>
          <w:lang w:val="es-ES_tradnl"/>
        </w:rPr>
      </w:pPr>
      <w:r w:rsidRPr="001C541B">
        <w:rPr>
          <w:sz w:val="20"/>
          <w:szCs w:val="20"/>
          <w:lang w:val="es-ES_tradnl"/>
        </w:rPr>
        <w:t>La Comisión Interamericana ha establecido que toda vez que se cometan hechos que impliquen la violación del derecho a la vida y</w:t>
      </w:r>
      <w:r w:rsidR="00E43AEF" w:rsidRPr="001C541B">
        <w:rPr>
          <w:sz w:val="20"/>
          <w:szCs w:val="20"/>
          <w:lang w:val="es-ES_tradnl"/>
        </w:rPr>
        <w:t xml:space="preserve"> a</w:t>
      </w:r>
      <w:r w:rsidRPr="001C541B">
        <w:rPr>
          <w:sz w:val="20"/>
          <w:szCs w:val="20"/>
          <w:lang w:val="es-ES_tradnl"/>
        </w:rPr>
        <w:t xml:space="preserve"> la integridad personal, el Estado tiene la obligación de promover e impulsar el proceso penal ordinario como la vía idónea para esclarecer los hechos y establecer las sanciones penales correspondientes, además de posibilitar otros modos de reparación de tipo pecuniario</w:t>
      </w:r>
      <w:r w:rsidRPr="001C541B">
        <w:rPr>
          <w:rStyle w:val="FootnoteReference"/>
          <w:rFonts w:cs="Calibri"/>
          <w:sz w:val="20"/>
          <w:szCs w:val="20"/>
          <w:lang w:val="es-ES_tradnl"/>
        </w:rPr>
        <w:footnoteReference w:id="6"/>
      </w:r>
      <w:r w:rsidRPr="001C541B">
        <w:rPr>
          <w:sz w:val="20"/>
          <w:szCs w:val="20"/>
          <w:lang w:val="es-ES_tradnl"/>
        </w:rPr>
        <w:t>. Asimismo, cuando se aduce un retardo injustificado, la CIDH debe evaluar las circunstancias y realizar un análisis caso por caso para llegar a la respectiva determinación. La Comisión Interamericana ha determinado que, como regla general, una investigación penal debe realizarse prontamente para proteger los intereses de las víctimas, preservar la prueba e incluso salvaguardar los derechos de toda persona que sea considerada sospechosa</w:t>
      </w:r>
      <w:r w:rsidRPr="001C541B">
        <w:rPr>
          <w:rStyle w:val="FootnoteReference"/>
          <w:rFonts w:cs="Calibri"/>
          <w:sz w:val="20"/>
          <w:szCs w:val="20"/>
          <w:lang w:val="es-ES_tradnl"/>
        </w:rPr>
        <w:footnoteReference w:id="7"/>
      </w:r>
      <w:r w:rsidRPr="001C541B">
        <w:rPr>
          <w:sz w:val="20"/>
          <w:szCs w:val="20"/>
          <w:lang w:val="es-ES_tradnl"/>
        </w:rPr>
        <w:t xml:space="preserve">. Para establecer si una investigación ha sido realizada con prontitud, la CIDH considera una serie de factores tales como el tiempo transcurrido desde que se cometió el delito; si la investigación ha pasado de la etapa preliminar; las medidas que han adoptado las autoridades; y la complejidad del caso. </w:t>
      </w:r>
    </w:p>
    <w:p w14:paraId="65EB4A52" w14:textId="338BFE0C" w:rsidR="006A708C" w:rsidRPr="001C541B" w:rsidRDefault="00340B9A" w:rsidP="003679AE">
      <w:pPr>
        <w:pStyle w:val="ListParagraph"/>
        <w:numPr>
          <w:ilvl w:val="0"/>
          <w:numId w:val="59"/>
        </w:numPr>
        <w:spacing w:before="240" w:after="240"/>
        <w:ind w:left="0" w:firstLine="709"/>
        <w:jc w:val="both"/>
        <w:rPr>
          <w:sz w:val="20"/>
          <w:szCs w:val="20"/>
          <w:lang w:val="es-ES_tradnl"/>
        </w:rPr>
      </w:pPr>
      <w:r w:rsidRPr="001C541B">
        <w:rPr>
          <w:sz w:val="20"/>
          <w:szCs w:val="20"/>
          <w:lang w:val="es-ES_tradnl"/>
        </w:rPr>
        <w:t>Respecto</w:t>
      </w:r>
      <w:r w:rsidR="00171812" w:rsidRPr="001C541B">
        <w:rPr>
          <w:sz w:val="20"/>
          <w:szCs w:val="20"/>
          <w:lang w:val="es-ES_tradnl"/>
        </w:rPr>
        <w:t xml:space="preserve"> a los hechos de desplazamiento forzados, la CIDH toma nota de que los hechos </w:t>
      </w:r>
      <w:r w:rsidR="00A50AFA" w:rsidRPr="001C541B">
        <w:rPr>
          <w:sz w:val="20"/>
          <w:szCs w:val="20"/>
          <w:lang w:val="es-ES_tradnl"/>
        </w:rPr>
        <w:t>ocurrieron</w:t>
      </w:r>
      <w:r w:rsidR="00171812" w:rsidRPr="001C541B">
        <w:rPr>
          <w:sz w:val="20"/>
          <w:szCs w:val="20"/>
          <w:lang w:val="es-ES_tradnl"/>
        </w:rPr>
        <w:t xml:space="preserve"> </w:t>
      </w:r>
      <w:r w:rsidR="003C1265" w:rsidRPr="001C541B">
        <w:rPr>
          <w:sz w:val="20"/>
          <w:szCs w:val="20"/>
          <w:lang w:val="es-ES_tradnl"/>
        </w:rPr>
        <w:t>en marzo de</w:t>
      </w:r>
      <w:r w:rsidR="00171812" w:rsidRPr="001C541B">
        <w:rPr>
          <w:sz w:val="20"/>
          <w:szCs w:val="20"/>
          <w:lang w:val="es-ES_tradnl"/>
        </w:rPr>
        <w:t xml:space="preserve"> 2000 y que el Estado tenía el deber de iniciar una investigación sobre ese delito</w:t>
      </w:r>
      <w:r w:rsidR="004222BB" w:rsidRPr="001C541B">
        <w:rPr>
          <w:sz w:val="20"/>
          <w:szCs w:val="20"/>
          <w:lang w:val="es-ES_tradnl"/>
        </w:rPr>
        <w:t>. En ese sentido</w:t>
      </w:r>
      <w:r w:rsidR="000A650B" w:rsidRPr="001C541B">
        <w:rPr>
          <w:sz w:val="20"/>
          <w:szCs w:val="20"/>
          <w:lang w:val="es-ES_tradnl"/>
        </w:rPr>
        <w:t xml:space="preserve">, </w:t>
      </w:r>
      <w:r w:rsidR="000A650B" w:rsidRPr="001C541B">
        <w:rPr>
          <w:rFonts w:eastAsia="Times New Roman" w:cs="Calibri"/>
          <w:color w:val="auto"/>
          <w:sz w:val="20"/>
          <w:szCs w:val="20"/>
          <w:bdr w:val="none" w:sz="0" w:space="0" w:color="auto"/>
          <w:lang w:val="es-ES_tradnl" w:eastAsia="en-US"/>
        </w:rPr>
        <w:t xml:space="preserve">la </w:t>
      </w:r>
      <w:r w:rsidR="000A650B" w:rsidRPr="001C541B">
        <w:rPr>
          <w:rFonts w:cs="Calibri"/>
          <w:color w:val="auto"/>
          <w:sz w:val="20"/>
          <w:szCs w:val="20"/>
          <w:lang w:val="es-ES_tradnl"/>
        </w:rPr>
        <w:t>Comisión Interamericana ha expresado anteriormente que el desplazamiento forzado constituye un delito y por lo tanto el recurso que se debe interponer es la acción penal</w:t>
      </w:r>
      <w:r w:rsidR="000A650B" w:rsidRPr="001C541B">
        <w:rPr>
          <w:rFonts w:cs="Calibri"/>
          <w:color w:val="auto"/>
          <w:sz w:val="20"/>
          <w:szCs w:val="20"/>
          <w:vertAlign w:val="superscript"/>
          <w:lang w:val="es-ES_tradnl"/>
        </w:rPr>
        <w:footnoteReference w:id="8"/>
      </w:r>
      <w:r w:rsidR="000A650B" w:rsidRPr="001C541B">
        <w:rPr>
          <w:rFonts w:cs="Calibri"/>
          <w:color w:val="auto"/>
          <w:sz w:val="20"/>
          <w:szCs w:val="20"/>
          <w:lang w:val="es-ES_tradnl"/>
        </w:rPr>
        <w:t xml:space="preserve">; en el presente asunto se </w:t>
      </w:r>
      <w:r w:rsidR="00F06A3B" w:rsidRPr="001C541B">
        <w:rPr>
          <w:rFonts w:cs="Calibri"/>
          <w:color w:val="auto"/>
          <w:sz w:val="20"/>
          <w:szCs w:val="20"/>
          <w:lang w:val="es-ES_tradnl"/>
        </w:rPr>
        <w:t xml:space="preserve">interpuso una demanda por </w:t>
      </w:r>
      <w:r w:rsidR="000A650B" w:rsidRPr="001C541B">
        <w:rPr>
          <w:rFonts w:cs="Calibri"/>
          <w:color w:val="auto"/>
          <w:sz w:val="20"/>
          <w:szCs w:val="20"/>
          <w:lang w:val="es-ES_tradnl"/>
        </w:rPr>
        <w:t xml:space="preserve">el desplazamiento </w:t>
      </w:r>
      <w:r w:rsidR="000A650B" w:rsidRPr="001C541B">
        <w:rPr>
          <w:rFonts w:cs="Calibri"/>
          <w:sz w:val="20"/>
          <w:szCs w:val="20"/>
          <w:lang w:val="es-ES_tradnl"/>
        </w:rPr>
        <w:t xml:space="preserve">forzado de </w:t>
      </w:r>
      <w:r w:rsidR="004222BB" w:rsidRPr="001C541B">
        <w:rPr>
          <w:rFonts w:cs="Calibri"/>
          <w:sz w:val="20"/>
          <w:szCs w:val="20"/>
          <w:lang w:val="es-ES_tradnl"/>
        </w:rPr>
        <w:t>las presuntas víctimas</w:t>
      </w:r>
      <w:r w:rsidR="000A650B" w:rsidRPr="001C541B">
        <w:rPr>
          <w:rFonts w:cs="Calibri"/>
          <w:sz w:val="20"/>
          <w:szCs w:val="20"/>
          <w:lang w:val="es-ES_tradnl"/>
        </w:rPr>
        <w:t xml:space="preserve">. Sin embargo, no consta en el expediente información sobre diligencias específicamente relacionadas con </w:t>
      </w:r>
      <w:r w:rsidR="00CD4387" w:rsidRPr="001C541B">
        <w:rPr>
          <w:rFonts w:cs="Calibri"/>
          <w:sz w:val="20"/>
          <w:szCs w:val="20"/>
          <w:lang w:val="es-ES_tradnl"/>
        </w:rPr>
        <w:t>ese delito</w:t>
      </w:r>
      <w:r w:rsidR="000A650B" w:rsidRPr="001C541B">
        <w:rPr>
          <w:rFonts w:cs="Calibri"/>
          <w:sz w:val="20"/>
          <w:szCs w:val="20"/>
          <w:lang w:val="es-ES_tradnl"/>
        </w:rPr>
        <w:t>.</w:t>
      </w:r>
      <w:r w:rsidR="00E43AEF" w:rsidRPr="001C541B">
        <w:rPr>
          <w:rFonts w:cs="Calibri"/>
          <w:sz w:val="20"/>
          <w:szCs w:val="20"/>
          <w:lang w:val="es-ES_tradnl"/>
        </w:rPr>
        <w:t xml:space="preserve"> Precisamente, cuando quien estaba en condiciones de aportar pruebas de estas diligencias y del avance del proceso era el propio Estado.</w:t>
      </w:r>
    </w:p>
    <w:p w14:paraId="7012BE21" w14:textId="129219A3" w:rsidR="00171812" w:rsidRPr="001C541B" w:rsidRDefault="00884846" w:rsidP="00171812">
      <w:pPr>
        <w:pStyle w:val="ListParagraph"/>
        <w:numPr>
          <w:ilvl w:val="0"/>
          <w:numId w:val="59"/>
        </w:numPr>
        <w:spacing w:before="240" w:after="240"/>
        <w:ind w:left="0" w:firstLine="709"/>
        <w:jc w:val="both"/>
        <w:rPr>
          <w:sz w:val="20"/>
          <w:szCs w:val="20"/>
          <w:lang w:val="es-ES_tradnl"/>
        </w:rPr>
      </w:pPr>
      <w:r w:rsidRPr="001C541B">
        <w:rPr>
          <w:sz w:val="20"/>
          <w:szCs w:val="20"/>
          <w:lang w:val="es-ES_tradnl"/>
        </w:rPr>
        <w:t>En cuanto</w:t>
      </w:r>
      <w:r w:rsidR="00171812" w:rsidRPr="001C541B">
        <w:rPr>
          <w:sz w:val="20"/>
          <w:szCs w:val="20"/>
          <w:lang w:val="es-ES_tradnl"/>
        </w:rPr>
        <w:t xml:space="preserve"> a la acción de reparación directa, la Comisión afirma que en casos de desplazamiento forzado, ese remedio no respondería al alegato principal que se presenta en esta petición, concerniente a la falta de debida diligencia en la investigación, persecución y castigo de los responsables</w:t>
      </w:r>
      <w:r w:rsidR="004447EA" w:rsidRPr="001C541B">
        <w:rPr>
          <w:rStyle w:val="FootnoteReference"/>
          <w:sz w:val="20"/>
          <w:szCs w:val="20"/>
          <w:lang w:val="es-ES_tradnl"/>
        </w:rPr>
        <w:footnoteReference w:id="9"/>
      </w:r>
      <w:r w:rsidR="00171812" w:rsidRPr="001C541B">
        <w:rPr>
          <w:sz w:val="20"/>
          <w:szCs w:val="20"/>
          <w:lang w:val="es-ES_tradnl"/>
        </w:rPr>
        <w:t xml:space="preserve">. </w:t>
      </w:r>
      <w:r w:rsidR="00B72558" w:rsidRPr="001C541B">
        <w:rPr>
          <w:sz w:val="20"/>
          <w:szCs w:val="20"/>
          <w:lang w:val="es-ES_tradnl"/>
        </w:rPr>
        <w:t>E</w:t>
      </w:r>
      <w:r w:rsidR="00CD262B" w:rsidRPr="001C541B">
        <w:rPr>
          <w:rFonts w:cs="Calibri"/>
          <w:color w:val="auto"/>
          <w:sz w:val="20"/>
          <w:szCs w:val="20"/>
          <w:lang w:val="es-ES_tradnl"/>
        </w:rPr>
        <w:t>l agotamiento o consideración de esta vía, no es un requisito para la admisibilidad de la petición en cuanto a su objeto central que consiste en las alegadas agresiones sufridas por las presuntas víctimas y el alegado desplazamiento forzado del que fueron objeto</w:t>
      </w:r>
      <w:r w:rsidR="00B72558" w:rsidRPr="001C541B">
        <w:rPr>
          <w:rStyle w:val="FootnoteReference"/>
          <w:rFonts w:cs="Calibri"/>
          <w:color w:val="auto"/>
          <w:sz w:val="20"/>
          <w:szCs w:val="20"/>
          <w:lang w:val="es-ES_tradnl"/>
        </w:rPr>
        <w:footnoteReference w:id="10"/>
      </w:r>
      <w:r w:rsidR="00CD262B" w:rsidRPr="001C541B">
        <w:rPr>
          <w:rFonts w:cs="Calibri"/>
          <w:color w:val="auto"/>
          <w:sz w:val="20"/>
          <w:szCs w:val="20"/>
          <w:lang w:val="es-ES_tradnl"/>
        </w:rPr>
        <w:t xml:space="preserve">. Sin embargo, como observa el Estado estos procesos de reparación directa finalizaron cinco años antes de la presentación de la presentación de la presente petición, lo que implica que lo actuado por las autoridades judiciales en estos procesos queda excluido el marco fáctico del análisis de fondo del presente asunto, en función del artículo 46.1.b) de la Convención Americana. </w:t>
      </w:r>
    </w:p>
    <w:p w14:paraId="26211BED" w14:textId="4558105B" w:rsidR="009A6BBF" w:rsidRPr="001C541B" w:rsidRDefault="009A6BBF" w:rsidP="009A6BBF">
      <w:pPr>
        <w:pStyle w:val="ListParagraph"/>
        <w:numPr>
          <w:ilvl w:val="0"/>
          <w:numId w:val="59"/>
        </w:numPr>
        <w:spacing w:before="240" w:after="240"/>
        <w:ind w:left="0" w:firstLine="709"/>
        <w:jc w:val="both"/>
        <w:rPr>
          <w:sz w:val="20"/>
          <w:szCs w:val="20"/>
          <w:lang w:val="es-ES_tradnl"/>
        </w:rPr>
      </w:pPr>
      <w:r w:rsidRPr="001C541B">
        <w:rPr>
          <w:sz w:val="20"/>
          <w:szCs w:val="20"/>
          <w:lang w:val="es-ES_tradnl"/>
        </w:rPr>
        <w:lastRenderedPageBreak/>
        <w:t xml:space="preserve">En atención </w:t>
      </w:r>
      <w:r w:rsidR="00A624CB" w:rsidRPr="001C541B">
        <w:rPr>
          <w:sz w:val="20"/>
          <w:szCs w:val="20"/>
          <w:lang w:val="es-ES_tradnl"/>
        </w:rPr>
        <w:t>a</w:t>
      </w:r>
      <w:r w:rsidRPr="001C541B">
        <w:rPr>
          <w:sz w:val="20"/>
          <w:szCs w:val="20"/>
          <w:lang w:val="es-ES_tradnl"/>
        </w:rPr>
        <w:t xml:space="preserve"> lo anterior, y dadas las características del presente asunto, la CIDH aplica la excepción al agotamiento de los recursos internos prevista en el artículo 46.2.c) de la Convención Americana. Las causas y efectos que impidieron el cumplimiento de dicho requisito serán analizados en la etapa de fondo, a fin de constatar si configuran violaciones a la Convención Americana.</w:t>
      </w:r>
    </w:p>
    <w:p w14:paraId="3C61B484" w14:textId="3884EC83" w:rsidR="009A6BBF" w:rsidRPr="001C541B" w:rsidRDefault="00A624CB" w:rsidP="009A6BBF">
      <w:pPr>
        <w:pStyle w:val="ListParagraph"/>
        <w:numPr>
          <w:ilvl w:val="0"/>
          <w:numId w:val="59"/>
        </w:numPr>
        <w:spacing w:before="240" w:after="240"/>
        <w:ind w:left="0" w:firstLine="709"/>
        <w:jc w:val="both"/>
        <w:rPr>
          <w:sz w:val="20"/>
          <w:szCs w:val="20"/>
          <w:lang w:val="es-ES_tradnl"/>
        </w:rPr>
      </w:pPr>
      <w:r w:rsidRPr="001C541B">
        <w:rPr>
          <w:rFonts w:cs="Calibri"/>
          <w:color w:val="auto"/>
          <w:sz w:val="20"/>
          <w:szCs w:val="20"/>
          <w:lang w:val="es-ES_tradnl"/>
        </w:rPr>
        <w:t>Respecto al plazo de presentación de la petición,</w:t>
      </w:r>
      <w:r w:rsidR="009A6BBF" w:rsidRPr="001C541B">
        <w:rPr>
          <w:color w:val="auto"/>
          <w:lang w:val="es-ES_tradnl" w:eastAsia="es-419"/>
        </w:rPr>
        <w:t xml:space="preserve"> </w:t>
      </w:r>
      <w:r w:rsidRPr="001C541B">
        <w:rPr>
          <w:color w:val="auto"/>
          <w:sz w:val="20"/>
          <w:szCs w:val="20"/>
          <w:lang w:val="es-ES_tradnl" w:eastAsia="es-419"/>
        </w:rPr>
        <w:t>la Comisión observa</w:t>
      </w:r>
      <w:r w:rsidR="009A6BBF" w:rsidRPr="001C541B">
        <w:rPr>
          <w:color w:val="auto"/>
          <w:sz w:val="20"/>
          <w:szCs w:val="20"/>
          <w:lang w:val="es-ES_tradnl"/>
        </w:rPr>
        <w:t xml:space="preserve"> </w:t>
      </w:r>
      <w:r w:rsidRPr="001C541B">
        <w:rPr>
          <w:color w:val="auto"/>
          <w:sz w:val="20"/>
          <w:szCs w:val="20"/>
          <w:lang w:val="es-ES_tradnl"/>
        </w:rPr>
        <w:t xml:space="preserve">que </w:t>
      </w:r>
      <w:r w:rsidR="00FD1BCE" w:rsidRPr="001C541B">
        <w:rPr>
          <w:color w:val="auto"/>
          <w:sz w:val="20"/>
          <w:szCs w:val="20"/>
          <w:lang w:val="es-ES_tradnl"/>
        </w:rPr>
        <w:t>los hechos fueron denunciados en marzo de 2000</w:t>
      </w:r>
      <w:r w:rsidR="00CD262B" w:rsidRPr="001C541B">
        <w:rPr>
          <w:color w:val="auto"/>
          <w:sz w:val="20"/>
          <w:szCs w:val="20"/>
          <w:lang w:val="es-ES_tradnl"/>
        </w:rPr>
        <w:t>,</w:t>
      </w:r>
      <w:r w:rsidR="00FD1BCE" w:rsidRPr="001C541B">
        <w:rPr>
          <w:color w:val="auto"/>
          <w:sz w:val="20"/>
          <w:szCs w:val="20"/>
          <w:lang w:val="es-ES_tradnl"/>
        </w:rPr>
        <w:t xml:space="preserve"> por la vía penal, que la petición fue</w:t>
      </w:r>
      <w:r w:rsidR="009A6BBF" w:rsidRPr="001C541B">
        <w:rPr>
          <w:color w:val="auto"/>
          <w:sz w:val="20"/>
          <w:szCs w:val="20"/>
          <w:lang w:val="es-ES_tradnl"/>
        </w:rPr>
        <w:t xml:space="preserve"> recibida el </w:t>
      </w:r>
      <w:r w:rsidR="008536C4" w:rsidRPr="001C541B">
        <w:rPr>
          <w:color w:val="auto"/>
          <w:sz w:val="20"/>
          <w:szCs w:val="20"/>
          <w:lang w:val="es-ES_tradnl"/>
        </w:rPr>
        <w:t>17</w:t>
      </w:r>
      <w:r w:rsidR="009A6BBF" w:rsidRPr="001C541B">
        <w:rPr>
          <w:color w:val="auto"/>
          <w:sz w:val="20"/>
          <w:szCs w:val="20"/>
          <w:lang w:val="es-ES_tradnl"/>
        </w:rPr>
        <w:t xml:space="preserve"> de </w:t>
      </w:r>
      <w:r w:rsidR="008536C4" w:rsidRPr="001C541B">
        <w:rPr>
          <w:color w:val="auto"/>
          <w:sz w:val="20"/>
          <w:szCs w:val="20"/>
          <w:lang w:val="es-ES_tradnl"/>
        </w:rPr>
        <w:t>mayo</w:t>
      </w:r>
      <w:r w:rsidR="009A6BBF" w:rsidRPr="001C541B">
        <w:rPr>
          <w:color w:val="auto"/>
          <w:sz w:val="20"/>
          <w:szCs w:val="20"/>
          <w:lang w:val="es-ES_tradnl"/>
        </w:rPr>
        <w:t xml:space="preserve"> de </w:t>
      </w:r>
      <w:r w:rsidR="008536C4" w:rsidRPr="001C541B">
        <w:rPr>
          <w:color w:val="auto"/>
          <w:sz w:val="20"/>
          <w:szCs w:val="20"/>
          <w:lang w:val="es-ES_tradnl"/>
        </w:rPr>
        <w:t>2013</w:t>
      </w:r>
      <w:r w:rsidR="00CD262B" w:rsidRPr="001C541B">
        <w:rPr>
          <w:color w:val="auto"/>
          <w:sz w:val="20"/>
          <w:szCs w:val="20"/>
          <w:lang w:val="es-ES_tradnl"/>
        </w:rPr>
        <w:t>;</w:t>
      </w:r>
      <w:r w:rsidR="00074985" w:rsidRPr="001C541B">
        <w:rPr>
          <w:color w:val="auto"/>
          <w:sz w:val="20"/>
          <w:szCs w:val="20"/>
          <w:lang w:val="es-ES_tradnl"/>
        </w:rPr>
        <w:t xml:space="preserve"> y los efectos de </w:t>
      </w:r>
      <w:r w:rsidR="00CD262B" w:rsidRPr="001C541B">
        <w:rPr>
          <w:color w:val="auto"/>
          <w:sz w:val="20"/>
          <w:szCs w:val="20"/>
          <w:lang w:val="es-ES_tradnl"/>
        </w:rPr>
        <w:t>las violaciones denunciadas</w:t>
      </w:r>
      <w:r w:rsidR="00074985" w:rsidRPr="001C541B">
        <w:rPr>
          <w:color w:val="auto"/>
          <w:sz w:val="20"/>
          <w:szCs w:val="20"/>
          <w:lang w:val="es-ES_tradnl"/>
        </w:rPr>
        <w:t xml:space="preserve"> se </w:t>
      </w:r>
      <w:r w:rsidRPr="001C541B">
        <w:rPr>
          <w:color w:val="auto"/>
          <w:sz w:val="20"/>
          <w:szCs w:val="20"/>
          <w:lang w:val="es-ES_tradnl"/>
        </w:rPr>
        <w:t>extienden</w:t>
      </w:r>
      <w:r w:rsidR="00074985" w:rsidRPr="001C541B">
        <w:rPr>
          <w:color w:val="auto"/>
          <w:sz w:val="20"/>
          <w:szCs w:val="20"/>
          <w:lang w:val="es-ES_tradnl"/>
        </w:rPr>
        <w:t xml:space="preserve"> hasta el present</w:t>
      </w:r>
      <w:r w:rsidRPr="001C541B">
        <w:rPr>
          <w:color w:val="auto"/>
          <w:sz w:val="20"/>
          <w:szCs w:val="20"/>
          <w:lang w:val="es-ES_tradnl"/>
        </w:rPr>
        <w:t>e</w:t>
      </w:r>
      <w:r w:rsidR="00074985" w:rsidRPr="001C541B">
        <w:rPr>
          <w:color w:val="auto"/>
          <w:sz w:val="20"/>
          <w:szCs w:val="20"/>
          <w:lang w:val="es-ES_tradnl"/>
        </w:rPr>
        <w:t xml:space="preserve">; por </w:t>
      </w:r>
      <w:r w:rsidR="00CA2456" w:rsidRPr="001C541B">
        <w:rPr>
          <w:color w:val="auto"/>
          <w:sz w:val="20"/>
          <w:szCs w:val="20"/>
          <w:lang w:val="es-ES_tradnl"/>
        </w:rPr>
        <w:t>ende</w:t>
      </w:r>
      <w:r w:rsidR="00074985" w:rsidRPr="001C541B">
        <w:rPr>
          <w:color w:val="auto"/>
          <w:sz w:val="20"/>
          <w:szCs w:val="20"/>
          <w:lang w:val="es-ES_tradnl"/>
        </w:rPr>
        <w:t>,</w:t>
      </w:r>
      <w:r w:rsidR="009A6BBF" w:rsidRPr="001C541B">
        <w:rPr>
          <w:color w:val="auto"/>
          <w:sz w:val="20"/>
          <w:szCs w:val="20"/>
          <w:lang w:val="es-ES_tradnl"/>
        </w:rPr>
        <w:t xml:space="preserve"> la CIDH considera un plazo razonable en vista del contexto y de las características del presente asunto. Por lo tanto, la Comisión Interamericana considera satisfecho el requisito referente al plazo de presentación</w:t>
      </w:r>
      <w:r w:rsidR="005A5A2A" w:rsidRPr="001C541B">
        <w:rPr>
          <w:color w:val="auto"/>
          <w:sz w:val="20"/>
          <w:szCs w:val="20"/>
          <w:lang w:val="es-ES_tradnl"/>
        </w:rPr>
        <w:t>.</w:t>
      </w:r>
    </w:p>
    <w:p w14:paraId="673598AF" w14:textId="7E8F22BA" w:rsidR="003239B8" w:rsidRPr="001C541B" w:rsidRDefault="003239B8" w:rsidP="00F20B2D">
      <w:pPr>
        <w:spacing w:before="240" w:after="240"/>
        <w:ind w:firstLine="720"/>
        <w:jc w:val="both"/>
        <w:rPr>
          <w:rFonts w:asciiTheme="majorHAnsi" w:hAnsiTheme="majorHAnsi"/>
          <w:b/>
          <w:sz w:val="20"/>
          <w:szCs w:val="20"/>
          <w:lang w:val="es-ES_tradnl"/>
        </w:rPr>
      </w:pPr>
      <w:r w:rsidRPr="001C541B">
        <w:rPr>
          <w:rFonts w:asciiTheme="majorHAnsi" w:hAnsiTheme="majorHAnsi"/>
          <w:b/>
          <w:bCs/>
          <w:sz w:val="20"/>
          <w:szCs w:val="20"/>
          <w:lang w:val="es-ES_tradnl"/>
        </w:rPr>
        <w:t>VII.</w:t>
      </w:r>
      <w:r w:rsidRPr="001C541B">
        <w:rPr>
          <w:rFonts w:asciiTheme="majorHAnsi" w:hAnsiTheme="majorHAnsi"/>
          <w:b/>
          <w:bCs/>
          <w:sz w:val="20"/>
          <w:szCs w:val="20"/>
          <w:lang w:val="es-ES_tradnl"/>
        </w:rPr>
        <w:tab/>
      </w:r>
      <w:r w:rsidR="004A6A54" w:rsidRPr="001C541B">
        <w:rPr>
          <w:rFonts w:asciiTheme="majorHAnsi" w:hAnsiTheme="majorHAnsi"/>
          <w:b/>
          <w:bCs/>
          <w:sz w:val="20"/>
          <w:szCs w:val="20"/>
          <w:lang w:val="es-ES_tradnl"/>
        </w:rPr>
        <w:t xml:space="preserve">ANÁLISIS DE </w:t>
      </w:r>
      <w:r w:rsidR="00C21FEF" w:rsidRPr="001C541B">
        <w:rPr>
          <w:rFonts w:asciiTheme="majorHAnsi" w:hAnsiTheme="majorHAnsi"/>
          <w:b/>
          <w:bCs/>
          <w:sz w:val="20"/>
          <w:szCs w:val="20"/>
          <w:lang w:val="es-ES_tradnl"/>
        </w:rPr>
        <w:t>CARACTERIZACIÓN DE LOS HECHOS ALEGADOS</w:t>
      </w:r>
    </w:p>
    <w:p w14:paraId="696C465C" w14:textId="5E58143C" w:rsidR="0016740F" w:rsidRPr="001C541B" w:rsidRDefault="0016740F" w:rsidP="0016740F">
      <w:pPr>
        <w:pStyle w:val="ListParagraph"/>
        <w:numPr>
          <w:ilvl w:val="0"/>
          <w:numId w:val="59"/>
        </w:numPr>
        <w:spacing w:before="240" w:after="240"/>
        <w:ind w:left="0" w:firstLine="709"/>
        <w:jc w:val="both"/>
        <w:rPr>
          <w:color w:val="000000" w:themeColor="text1"/>
          <w:sz w:val="20"/>
          <w:szCs w:val="20"/>
          <w:lang w:val="es-ES_tradnl"/>
        </w:rPr>
      </w:pPr>
      <w:r w:rsidRPr="001C541B">
        <w:rPr>
          <w:color w:val="000000" w:themeColor="text1"/>
          <w:sz w:val="20"/>
          <w:szCs w:val="20"/>
          <w:lang w:val="es-ES_tradnl"/>
        </w:rPr>
        <w:t xml:space="preserve">La Comisión observa que la presente petición incluye alegaciones sobre la aquiescencia y tolerancia de </w:t>
      </w:r>
      <w:r w:rsidRPr="001C541B">
        <w:rPr>
          <w:sz w:val="20"/>
          <w:szCs w:val="20"/>
          <w:lang w:val="es-ES_tradnl"/>
        </w:rPr>
        <w:t>los</w:t>
      </w:r>
      <w:r w:rsidRPr="001C541B">
        <w:rPr>
          <w:color w:val="000000" w:themeColor="text1"/>
          <w:sz w:val="20"/>
          <w:szCs w:val="20"/>
          <w:lang w:val="es-ES_tradnl"/>
        </w:rPr>
        <w:t xml:space="preserve"> agentes estatales </w:t>
      </w:r>
      <w:r w:rsidR="00F50642" w:rsidRPr="001C541B">
        <w:rPr>
          <w:color w:val="000000" w:themeColor="text1"/>
          <w:sz w:val="20"/>
          <w:szCs w:val="20"/>
          <w:lang w:val="es-ES_tradnl"/>
        </w:rPr>
        <w:t xml:space="preserve">en los hechos de violencia ocurridos en marzo de 2000 en las instalaciones de la Fundación y sus alrededores, incluyendo las viviendas de las presuntas víctimas. </w:t>
      </w:r>
      <w:r w:rsidRPr="001C541B">
        <w:rPr>
          <w:color w:val="000000" w:themeColor="text1"/>
          <w:sz w:val="20"/>
          <w:szCs w:val="20"/>
          <w:lang w:val="es-ES_tradnl"/>
        </w:rPr>
        <w:t xml:space="preserve">Tal situación generó la perdida de bienes de las presuntas víctimas, y acarreó </w:t>
      </w:r>
      <w:r w:rsidR="00F50642" w:rsidRPr="001C541B">
        <w:rPr>
          <w:color w:val="000000" w:themeColor="text1"/>
          <w:sz w:val="20"/>
          <w:szCs w:val="20"/>
          <w:lang w:val="es-ES_tradnl"/>
        </w:rPr>
        <w:t>su</w:t>
      </w:r>
      <w:r w:rsidRPr="001C541B">
        <w:rPr>
          <w:color w:val="000000" w:themeColor="text1"/>
          <w:sz w:val="20"/>
          <w:szCs w:val="20"/>
          <w:lang w:val="es-ES_tradnl"/>
        </w:rPr>
        <w:t xml:space="preserve"> posterior desplazamiento forzado</w:t>
      </w:r>
      <w:r w:rsidR="001D348F" w:rsidRPr="001C541B">
        <w:rPr>
          <w:color w:val="000000" w:themeColor="text1"/>
          <w:sz w:val="20"/>
          <w:szCs w:val="20"/>
          <w:lang w:val="es-ES_tradnl"/>
        </w:rPr>
        <w:t>.</w:t>
      </w:r>
      <w:r w:rsidRPr="001C541B">
        <w:rPr>
          <w:color w:val="000000" w:themeColor="text1"/>
          <w:sz w:val="20"/>
          <w:szCs w:val="20"/>
          <w:lang w:val="es-ES_tradnl"/>
        </w:rPr>
        <w:t xml:space="preserve"> Asimismo, la Comisión considera que dicha petición incluye alegaciones en cuanto a la falta de protección del Estado frente a amenazas recibidas, la alegada falta de protección de parte del Estado de Colombia por el desplazamiento; y la falta de investigación y sanción de todos los responsables. Además, la petición presenta alegatos cuanto a la afectación del desplazamiento </w:t>
      </w:r>
      <w:r w:rsidR="00F50642" w:rsidRPr="001C541B">
        <w:rPr>
          <w:color w:val="000000" w:themeColor="text1"/>
          <w:sz w:val="20"/>
          <w:szCs w:val="20"/>
          <w:lang w:val="es-ES_tradnl"/>
        </w:rPr>
        <w:t>de</w:t>
      </w:r>
      <w:r w:rsidRPr="001C541B">
        <w:rPr>
          <w:color w:val="000000" w:themeColor="text1"/>
          <w:sz w:val="20"/>
          <w:szCs w:val="20"/>
          <w:lang w:val="es-ES_tradnl"/>
        </w:rPr>
        <w:t xml:space="preserve"> niñ</w:t>
      </w:r>
      <w:r w:rsidR="00F50642" w:rsidRPr="001C541B">
        <w:rPr>
          <w:color w:val="000000" w:themeColor="text1"/>
          <w:sz w:val="20"/>
          <w:szCs w:val="20"/>
          <w:lang w:val="es-ES_tradnl"/>
        </w:rPr>
        <w:t>a</w:t>
      </w:r>
      <w:r w:rsidRPr="001C541B">
        <w:rPr>
          <w:color w:val="000000" w:themeColor="text1"/>
          <w:sz w:val="20"/>
          <w:szCs w:val="20"/>
          <w:lang w:val="es-ES_tradnl"/>
        </w:rPr>
        <w:t xml:space="preserve">s </w:t>
      </w:r>
      <w:r w:rsidR="00F50642" w:rsidRPr="001C541B">
        <w:rPr>
          <w:color w:val="000000" w:themeColor="text1"/>
          <w:sz w:val="20"/>
          <w:szCs w:val="20"/>
          <w:lang w:val="es-ES_tradnl"/>
        </w:rPr>
        <w:t>que forman parte de la presente petición</w:t>
      </w:r>
      <w:r w:rsidRPr="001C541B">
        <w:rPr>
          <w:color w:val="000000" w:themeColor="text1"/>
          <w:sz w:val="20"/>
          <w:szCs w:val="20"/>
          <w:lang w:val="es-ES_tradnl"/>
        </w:rPr>
        <w:t>.</w:t>
      </w:r>
      <w:r w:rsidRPr="001C541B">
        <w:rPr>
          <w:lang w:val="es-ES_tradnl"/>
        </w:rPr>
        <w:t xml:space="preserve"> </w:t>
      </w:r>
    </w:p>
    <w:p w14:paraId="79D437EC" w14:textId="2B89E8DC" w:rsidR="0016740F" w:rsidRPr="001C541B" w:rsidRDefault="0016740F" w:rsidP="00B72558">
      <w:pPr>
        <w:pStyle w:val="ListParagraph"/>
        <w:numPr>
          <w:ilvl w:val="0"/>
          <w:numId w:val="59"/>
        </w:numPr>
        <w:spacing w:before="240" w:after="240"/>
        <w:ind w:left="0" w:firstLine="709"/>
        <w:jc w:val="both"/>
        <w:rPr>
          <w:color w:val="000000" w:themeColor="text1"/>
          <w:sz w:val="20"/>
          <w:szCs w:val="20"/>
          <w:lang w:val="es-ES_tradnl"/>
        </w:rPr>
      </w:pPr>
      <w:r w:rsidRPr="001C541B">
        <w:rPr>
          <w:color w:val="000000" w:themeColor="text1"/>
          <w:sz w:val="20"/>
          <w:szCs w:val="20"/>
          <w:lang w:val="es-ES_tradnl"/>
        </w:rPr>
        <w:t xml:space="preserve">En atención a estas consideraciones y tras examinar los elementos de hecho y de derecho expuestos por las </w:t>
      </w:r>
      <w:r w:rsidRPr="001C541B">
        <w:rPr>
          <w:sz w:val="20"/>
          <w:szCs w:val="20"/>
          <w:lang w:val="es-ES_tradnl"/>
        </w:rPr>
        <w:t>partes</w:t>
      </w:r>
      <w:r w:rsidRPr="001C541B">
        <w:rPr>
          <w:color w:val="000000" w:themeColor="text1"/>
          <w:sz w:val="20"/>
          <w:szCs w:val="20"/>
          <w:lang w:val="es-ES_tradnl"/>
        </w:rPr>
        <w:t xml:space="preserve"> la Comisión estima que las alegaciones de la parte peticionaria no resultan manifiestamente infundadas y requieren un estudio de fondo</w:t>
      </w:r>
      <w:r w:rsidR="00B72558" w:rsidRPr="001C541B">
        <w:rPr>
          <w:color w:val="000000" w:themeColor="text1"/>
          <w:sz w:val="20"/>
          <w:szCs w:val="20"/>
          <w:lang w:val="es-ES_tradnl"/>
        </w:rPr>
        <w:t xml:space="preserve">, </w:t>
      </w:r>
      <w:r w:rsidRPr="001C541B">
        <w:rPr>
          <w:color w:val="000000" w:themeColor="text1"/>
          <w:sz w:val="20"/>
          <w:szCs w:val="20"/>
          <w:lang w:val="es-ES_tradnl"/>
        </w:rPr>
        <w:t xml:space="preserve">hechos alegados de corroborarse como ciertos podrían caracterizar </w:t>
      </w:r>
      <w:r w:rsidR="00C7395F" w:rsidRPr="001C541B">
        <w:rPr>
          <w:rFonts w:cs="Calibri"/>
          <w:i/>
          <w:sz w:val="20"/>
          <w:szCs w:val="20"/>
          <w:lang w:val="es-ES_tradnl"/>
        </w:rPr>
        <w:t>prima facie</w:t>
      </w:r>
      <w:r w:rsidR="00C7395F" w:rsidRPr="001C541B">
        <w:rPr>
          <w:color w:val="000000" w:themeColor="text1"/>
          <w:sz w:val="20"/>
          <w:szCs w:val="20"/>
          <w:lang w:val="es-ES_tradnl"/>
        </w:rPr>
        <w:t xml:space="preserve"> </w:t>
      </w:r>
      <w:r w:rsidRPr="001C541B">
        <w:rPr>
          <w:color w:val="000000" w:themeColor="text1"/>
          <w:sz w:val="20"/>
          <w:szCs w:val="20"/>
          <w:lang w:val="es-ES_tradnl"/>
        </w:rPr>
        <w:t xml:space="preserve">violaciones a los </w:t>
      </w:r>
      <w:r w:rsidR="00B72558" w:rsidRPr="001C541B">
        <w:rPr>
          <w:color w:val="000000" w:themeColor="text1"/>
          <w:sz w:val="20"/>
          <w:szCs w:val="20"/>
          <w:lang w:val="es-ES_tradnl"/>
        </w:rPr>
        <w:t xml:space="preserve">derechos establecidos en los </w:t>
      </w:r>
      <w:r w:rsidRPr="001C541B">
        <w:rPr>
          <w:color w:val="000000" w:themeColor="text1"/>
          <w:sz w:val="20"/>
          <w:szCs w:val="20"/>
          <w:lang w:val="es-ES_tradnl"/>
        </w:rPr>
        <w:t>artículos</w:t>
      </w:r>
      <w:r w:rsidRPr="001C541B">
        <w:rPr>
          <w:bCs/>
          <w:color w:val="000000" w:themeColor="text1"/>
          <w:sz w:val="20"/>
          <w:szCs w:val="20"/>
          <w:lang w:val="es-ES_tradnl"/>
        </w:rPr>
        <w:t xml:space="preserve"> </w:t>
      </w:r>
      <w:r w:rsidR="00B72558" w:rsidRPr="001C541B">
        <w:rPr>
          <w:sz w:val="20"/>
          <w:szCs w:val="20"/>
          <w:lang w:val="es-ES_tradnl"/>
        </w:rPr>
        <w:t xml:space="preserve">5 (integridad personal), </w:t>
      </w:r>
      <w:r w:rsidRPr="001C541B">
        <w:rPr>
          <w:bCs/>
          <w:color w:val="000000" w:themeColor="text1"/>
          <w:sz w:val="20"/>
          <w:szCs w:val="20"/>
          <w:lang w:val="es-ES_tradnl"/>
        </w:rPr>
        <w:t xml:space="preserve">8 (garantías judiciales), 11 (protección de la honra y de la dignidad), </w:t>
      </w:r>
      <w:r w:rsidRPr="001C541B">
        <w:rPr>
          <w:bCs/>
          <w:sz w:val="20"/>
          <w:szCs w:val="20"/>
          <w:lang w:val="es-ES_tradnl"/>
        </w:rPr>
        <w:t xml:space="preserve">17 (protección a la familia), </w:t>
      </w:r>
      <w:r w:rsidRPr="001C541B">
        <w:rPr>
          <w:bCs/>
          <w:color w:val="000000" w:themeColor="text1"/>
          <w:sz w:val="20"/>
          <w:szCs w:val="20"/>
          <w:lang w:val="es-ES_tradnl"/>
        </w:rPr>
        <w:t>19 (derechos del niño), 21 (propiedad privada)</w:t>
      </w:r>
      <w:r w:rsidR="00B72558" w:rsidRPr="001C541B">
        <w:rPr>
          <w:bCs/>
          <w:color w:val="000000" w:themeColor="text1"/>
          <w:sz w:val="20"/>
          <w:szCs w:val="20"/>
          <w:lang w:val="es-ES_tradnl"/>
        </w:rPr>
        <w:t xml:space="preserve">, </w:t>
      </w:r>
      <w:r w:rsidR="00B72558" w:rsidRPr="001C541B">
        <w:rPr>
          <w:sz w:val="20"/>
          <w:szCs w:val="20"/>
          <w:lang w:val="es-ES_tradnl"/>
        </w:rPr>
        <w:t>22 (circulación y residencia),</w:t>
      </w:r>
      <w:r w:rsidRPr="001C541B">
        <w:rPr>
          <w:bCs/>
          <w:color w:val="000000" w:themeColor="text1"/>
          <w:sz w:val="20"/>
          <w:szCs w:val="20"/>
          <w:lang w:val="es-ES_tradnl"/>
        </w:rPr>
        <w:t xml:space="preserve"> 25 (protección judicial)</w:t>
      </w:r>
      <w:r w:rsidR="00B72558" w:rsidRPr="001C541B">
        <w:rPr>
          <w:bCs/>
          <w:color w:val="000000" w:themeColor="text1"/>
          <w:sz w:val="20"/>
          <w:szCs w:val="20"/>
          <w:lang w:val="es-ES_tradnl"/>
        </w:rPr>
        <w:t xml:space="preserve"> </w:t>
      </w:r>
      <w:r w:rsidR="00B72558" w:rsidRPr="001C541B">
        <w:rPr>
          <w:sz w:val="20"/>
          <w:szCs w:val="20"/>
          <w:lang w:val="es-ES_tradnl"/>
        </w:rPr>
        <w:t>y 26 (derechos económicos, sociales y culturales)</w:t>
      </w:r>
      <w:r w:rsidRPr="001C541B">
        <w:rPr>
          <w:bCs/>
          <w:color w:val="000000" w:themeColor="text1"/>
          <w:sz w:val="20"/>
          <w:szCs w:val="20"/>
          <w:lang w:val="es-ES_tradnl"/>
        </w:rPr>
        <w:t xml:space="preserve"> de la Convención Americana</w:t>
      </w:r>
      <w:r w:rsidR="00B72558" w:rsidRPr="001C541B">
        <w:rPr>
          <w:bCs/>
          <w:color w:val="000000" w:themeColor="text1"/>
          <w:sz w:val="20"/>
          <w:szCs w:val="20"/>
          <w:lang w:val="es-ES_tradnl"/>
        </w:rPr>
        <w:t>,</w:t>
      </w:r>
      <w:r w:rsidRPr="001C541B">
        <w:rPr>
          <w:bCs/>
          <w:color w:val="000000" w:themeColor="text1"/>
          <w:sz w:val="20"/>
          <w:szCs w:val="20"/>
          <w:lang w:val="es-ES_tradnl"/>
        </w:rPr>
        <w:t xml:space="preserve"> en relación con su artículo 1.1 (obligación de respetar los derechos)</w:t>
      </w:r>
      <w:r w:rsidR="00075E70" w:rsidRPr="001C541B">
        <w:rPr>
          <w:bCs/>
          <w:color w:val="000000" w:themeColor="text1"/>
          <w:sz w:val="20"/>
          <w:szCs w:val="20"/>
          <w:lang w:val="es-ES_tradnl"/>
        </w:rPr>
        <w:t>, en perjuicio de las presuntas víctimas</w:t>
      </w:r>
      <w:r w:rsidR="00B72558" w:rsidRPr="001C541B">
        <w:rPr>
          <w:bCs/>
          <w:color w:val="000000" w:themeColor="text1"/>
          <w:sz w:val="20"/>
          <w:szCs w:val="20"/>
          <w:lang w:val="es-ES_tradnl"/>
        </w:rPr>
        <w:t xml:space="preserve"> individualizadas en el presente informe</w:t>
      </w:r>
      <w:r w:rsidR="00075E70" w:rsidRPr="001C541B">
        <w:rPr>
          <w:bCs/>
          <w:color w:val="000000" w:themeColor="text1"/>
          <w:sz w:val="20"/>
          <w:szCs w:val="20"/>
          <w:lang w:val="es-ES_tradnl"/>
        </w:rPr>
        <w:t xml:space="preserve">. </w:t>
      </w:r>
      <w:r w:rsidR="00B72558" w:rsidRPr="001C541B">
        <w:rPr>
          <w:sz w:val="20"/>
          <w:szCs w:val="20"/>
          <w:lang w:val="es-ES_tradnl"/>
        </w:rPr>
        <w:t>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w:t>
      </w:r>
    </w:p>
    <w:p w14:paraId="74F801DC" w14:textId="1A8A084F" w:rsidR="0016740F" w:rsidRPr="001C541B" w:rsidRDefault="0016740F" w:rsidP="00616B85">
      <w:pPr>
        <w:pStyle w:val="ListParagraph"/>
        <w:numPr>
          <w:ilvl w:val="0"/>
          <w:numId w:val="59"/>
        </w:numPr>
        <w:spacing w:before="240" w:after="240"/>
        <w:ind w:left="0" w:firstLine="709"/>
        <w:jc w:val="both"/>
        <w:rPr>
          <w:color w:val="000000" w:themeColor="text1"/>
          <w:sz w:val="20"/>
          <w:szCs w:val="20"/>
          <w:lang w:val="es-ES_tradnl"/>
        </w:rPr>
      </w:pPr>
      <w:r w:rsidRPr="001C541B">
        <w:rPr>
          <w:bCs/>
          <w:color w:val="000000" w:themeColor="text1"/>
          <w:sz w:val="20"/>
          <w:szCs w:val="20"/>
          <w:lang w:val="es-ES_tradnl"/>
        </w:rPr>
        <w:t xml:space="preserve">Sin embargo, respecto </w:t>
      </w:r>
      <w:r w:rsidR="00BD475F" w:rsidRPr="001C541B">
        <w:rPr>
          <w:bCs/>
          <w:color w:val="000000" w:themeColor="text1"/>
          <w:sz w:val="20"/>
          <w:szCs w:val="20"/>
          <w:lang w:val="es-ES_tradnl"/>
        </w:rPr>
        <w:t xml:space="preserve">a los alegatos relativos a los artículos 4 (derecho a la vida), 7 (libertad personal), </w:t>
      </w:r>
      <w:r w:rsidR="006553E2" w:rsidRPr="001C541B">
        <w:rPr>
          <w:bCs/>
          <w:color w:val="000000" w:themeColor="text1"/>
          <w:sz w:val="20"/>
          <w:szCs w:val="20"/>
          <w:lang w:val="es-ES_tradnl"/>
        </w:rPr>
        <w:t>9 (principio de legalidad y de retroactividad)</w:t>
      </w:r>
      <w:r w:rsidR="00F55BE3" w:rsidRPr="001C541B">
        <w:rPr>
          <w:bCs/>
          <w:color w:val="000000" w:themeColor="text1"/>
          <w:sz w:val="20"/>
          <w:szCs w:val="20"/>
          <w:lang w:val="es-ES_tradnl"/>
        </w:rPr>
        <w:t>,</w:t>
      </w:r>
      <w:r w:rsidR="006553E2" w:rsidRPr="001C541B">
        <w:rPr>
          <w:bCs/>
          <w:color w:val="000000" w:themeColor="text1"/>
          <w:sz w:val="20"/>
          <w:szCs w:val="20"/>
          <w:lang w:val="es-ES_tradnl"/>
        </w:rPr>
        <w:t xml:space="preserve"> </w:t>
      </w:r>
      <w:r w:rsidR="00BD475F" w:rsidRPr="001C541B">
        <w:rPr>
          <w:bCs/>
          <w:color w:val="000000" w:themeColor="text1"/>
          <w:sz w:val="20"/>
          <w:szCs w:val="20"/>
          <w:lang w:val="es-ES_tradnl"/>
        </w:rPr>
        <w:t>10 (indemnización)</w:t>
      </w:r>
      <w:r w:rsidR="00F55BE3" w:rsidRPr="001C541B">
        <w:rPr>
          <w:bCs/>
          <w:color w:val="000000" w:themeColor="text1"/>
          <w:sz w:val="20"/>
          <w:szCs w:val="20"/>
          <w:lang w:val="es-ES_tradnl"/>
        </w:rPr>
        <w:t xml:space="preserve"> y 24 (igualdad ante la ley)</w:t>
      </w:r>
      <w:r w:rsidRPr="001C541B">
        <w:rPr>
          <w:rFonts w:cs="Calibri"/>
          <w:sz w:val="20"/>
          <w:szCs w:val="20"/>
          <w:lang w:val="es-ES_tradnl"/>
        </w:rPr>
        <w:t xml:space="preserve">, la Comisión no identifica, </w:t>
      </w:r>
      <w:r w:rsidRPr="001C541B">
        <w:rPr>
          <w:rFonts w:cs="Calibri"/>
          <w:i/>
          <w:sz w:val="20"/>
          <w:szCs w:val="20"/>
          <w:lang w:val="es-ES_tradnl"/>
        </w:rPr>
        <w:t>prima facie</w:t>
      </w:r>
      <w:r w:rsidRPr="001C541B">
        <w:rPr>
          <w:rFonts w:cs="Calibri"/>
          <w:sz w:val="20"/>
          <w:szCs w:val="20"/>
          <w:lang w:val="es-ES_tradnl"/>
        </w:rPr>
        <w:t>, la caracterización de posibles violaciones a la Convención Americana</w:t>
      </w:r>
      <w:r w:rsidRPr="001C541B">
        <w:rPr>
          <w:rStyle w:val="FootnoteReference"/>
          <w:rFonts w:cs="Calibri"/>
          <w:sz w:val="20"/>
          <w:szCs w:val="20"/>
          <w:lang w:val="es-ES_tradnl"/>
        </w:rPr>
        <w:footnoteReference w:id="11"/>
      </w:r>
      <w:r w:rsidRPr="001C541B">
        <w:rPr>
          <w:rFonts w:cs="Calibri"/>
          <w:sz w:val="20"/>
          <w:szCs w:val="20"/>
          <w:lang w:val="es-ES_tradnl"/>
        </w:rPr>
        <w:t>.</w:t>
      </w:r>
    </w:p>
    <w:p w14:paraId="445BF42E" w14:textId="44FDD6B5" w:rsidR="003239B8" w:rsidRPr="001C541B"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1C541B">
        <w:rPr>
          <w:rFonts w:asciiTheme="majorHAnsi" w:hAnsiTheme="majorHAnsi"/>
          <w:b/>
          <w:bCs/>
          <w:sz w:val="20"/>
          <w:szCs w:val="20"/>
          <w:lang w:val="es-ES_tradnl"/>
        </w:rPr>
        <w:t xml:space="preserve">VIII. </w:t>
      </w:r>
      <w:r w:rsidRPr="001C541B">
        <w:rPr>
          <w:rFonts w:asciiTheme="majorHAnsi" w:hAnsiTheme="majorHAnsi"/>
          <w:b/>
          <w:bCs/>
          <w:sz w:val="20"/>
          <w:szCs w:val="20"/>
          <w:lang w:val="es-ES_tradnl"/>
        </w:rPr>
        <w:tab/>
        <w:t>DECISIÓN</w:t>
      </w:r>
    </w:p>
    <w:p w14:paraId="4800E0CF" w14:textId="19D92137" w:rsidR="00F20B2D" w:rsidRPr="001C541B"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541B">
        <w:rPr>
          <w:rFonts w:asciiTheme="majorHAnsi" w:hAnsiTheme="majorHAnsi"/>
          <w:sz w:val="20"/>
          <w:szCs w:val="20"/>
          <w:lang w:val="es-ES_tradnl"/>
        </w:rPr>
        <w:t>Declarar admisible la presente petición en relación con los artículos 5, 8</w:t>
      </w:r>
      <w:r w:rsidR="001902C7" w:rsidRPr="001C541B">
        <w:rPr>
          <w:rFonts w:asciiTheme="majorHAnsi" w:hAnsiTheme="majorHAnsi"/>
          <w:sz w:val="20"/>
          <w:szCs w:val="20"/>
          <w:lang w:val="es-ES_tradnl"/>
        </w:rPr>
        <w:t>, 11, 17, 19, 21, 22</w:t>
      </w:r>
      <w:r w:rsidR="004C3A9E" w:rsidRPr="001C541B">
        <w:rPr>
          <w:rFonts w:asciiTheme="majorHAnsi" w:hAnsiTheme="majorHAnsi"/>
          <w:sz w:val="20"/>
          <w:szCs w:val="20"/>
          <w:lang w:val="es-ES_tradnl"/>
        </w:rPr>
        <w:t>, 25</w:t>
      </w:r>
      <w:r w:rsidRPr="001C541B">
        <w:rPr>
          <w:rFonts w:asciiTheme="majorHAnsi" w:hAnsiTheme="majorHAnsi"/>
          <w:sz w:val="20"/>
          <w:szCs w:val="20"/>
          <w:lang w:val="es-ES_tradnl"/>
        </w:rPr>
        <w:t xml:space="preserve"> y </w:t>
      </w:r>
      <w:r w:rsidR="004C3A9E" w:rsidRPr="001C541B">
        <w:rPr>
          <w:rFonts w:asciiTheme="majorHAnsi" w:hAnsiTheme="majorHAnsi"/>
          <w:sz w:val="20"/>
          <w:szCs w:val="20"/>
          <w:lang w:val="es-ES_tradnl"/>
        </w:rPr>
        <w:t>26</w:t>
      </w:r>
      <w:r w:rsidRPr="001C541B">
        <w:rPr>
          <w:rFonts w:asciiTheme="majorHAnsi" w:hAnsiTheme="majorHAnsi"/>
          <w:sz w:val="20"/>
          <w:szCs w:val="20"/>
          <w:lang w:val="es-ES_tradnl"/>
        </w:rPr>
        <w:t xml:space="preserve"> de la Convención Americana, en concordancia con su artículo 1.1; </w:t>
      </w:r>
    </w:p>
    <w:p w14:paraId="64BD3419" w14:textId="7DDC3CC3" w:rsidR="00F20B2D" w:rsidRPr="001C541B"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541B">
        <w:rPr>
          <w:rFonts w:asciiTheme="majorHAnsi" w:hAnsiTheme="majorHAnsi"/>
          <w:sz w:val="20"/>
          <w:szCs w:val="20"/>
          <w:lang w:val="es-ES_tradnl"/>
        </w:rPr>
        <w:t xml:space="preserve">Declarar inadmisible la presente petición en relación con los artículos </w:t>
      </w:r>
      <w:r w:rsidR="00D35941" w:rsidRPr="001C541B">
        <w:rPr>
          <w:rFonts w:asciiTheme="majorHAnsi" w:hAnsiTheme="majorHAnsi"/>
          <w:sz w:val="20"/>
          <w:szCs w:val="20"/>
          <w:lang w:val="es-ES_tradnl"/>
        </w:rPr>
        <w:t>4, 7, 9, 10 y</w:t>
      </w:r>
      <w:r w:rsidRPr="001C541B">
        <w:rPr>
          <w:rFonts w:asciiTheme="majorHAnsi" w:hAnsiTheme="majorHAnsi"/>
          <w:sz w:val="20"/>
          <w:szCs w:val="20"/>
          <w:lang w:val="es-ES_tradnl"/>
        </w:rPr>
        <w:t xml:space="preserve"> 24 de la Convención Americana, y;</w:t>
      </w:r>
    </w:p>
    <w:p w14:paraId="19367980" w14:textId="49CAFF97" w:rsidR="00556FF7" w:rsidRPr="008900DB" w:rsidRDefault="00F20B2D" w:rsidP="008900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normaltextrun"/>
          <w:rFonts w:asciiTheme="majorHAnsi" w:hAnsiTheme="majorHAnsi"/>
          <w:sz w:val="20"/>
          <w:szCs w:val="20"/>
          <w:lang w:val="es-ES_tradnl"/>
        </w:rPr>
      </w:pPr>
      <w:r w:rsidRPr="001C541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765B736" w14:textId="25310D26" w:rsidR="00556FF7" w:rsidRPr="008900DB" w:rsidRDefault="00556FF7" w:rsidP="008900D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29 días del mes de noviembre de 2022.  (Firmado): Julissa Mantilla Falcón, Presidenta; Stuardo Ralón Orellana, Primer Vicepresidente; Esmeralda E. Arosemena Bernal de Troitiño y Joel Hernández, </w:t>
      </w:r>
      <w:r w:rsidR="008900D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40E15D2F" w14:textId="77777777" w:rsidR="009B5318" w:rsidRPr="001C541B" w:rsidRDefault="009B5318" w:rsidP="009B53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sectPr w:rsidR="009B5318" w:rsidRPr="001C541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EB4" w14:textId="77777777" w:rsidR="00842A94" w:rsidRDefault="00842A94">
      <w:r>
        <w:separator/>
      </w:r>
    </w:p>
  </w:endnote>
  <w:endnote w:type="continuationSeparator" w:id="0">
    <w:p w14:paraId="6F1C04A0" w14:textId="77777777" w:rsidR="00842A94" w:rsidRDefault="0084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11F8" w14:textId="77777777" w:rsidR="00842A94" w:rsidRPr="000F35ED" w:rsidRDefault="00842A9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BCC6CD" w14:textId="77777777" w:rsidR="00842A94" w:rsidRPr="000F35ED" w:rsidRDefault="00842A94" w:rsidP="000F35ED">
      <w:pPr>
        <w:rPr>
          <w:rFonts w:asciiTheme="majorHAnsi" w:hAnsiTheme="majorHAnsi"/>
          <w:sz w:val="16"/>
          <w:szCs w:val="16"/>
        </w:rPr>
      </w:pPr>
      <w:r w:rsidRPr="000F35ED">
        <w:rPr>
          <w:rFonts w:asciiTheme="majorHAnsi" w:hAnsiTheme="majorHAnsi"/>
          <w:sz w:val="16"/>
          <w:szCs w:val="16"/>
        </w:rPr>
        <w:separator/>
      </w:r>
    </w:p>
    <w:p w14:paraId="62237AC4" w14:textId="77777777" w:rsidR="00842A94" w:rsidRPr="000F35ED" w:rsidRDefault="00842A9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4C4BFC8" w14:textId="77777777" w:rsidR="00842A94" w:rsidRPr="000F35ED" w:rsidRDefault="00842A9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E3A971" w14:textId="3B4ADB72" w:rsidR="00011113" w:rsidRPr="00E21A9D" w:rsidRDefault="00011113" w:rsidP="00011113">
      <w:pPr>
        <w:pStyle w:val="FootnoteText"/>
        <w:ind w:firstLine="720"/>
        <w:jc w:val="both"/>
        <w:rPr>
          <w:rFonts w:asciiTheme="majorHAnsi" w:hAnsiTheme="majorHAnsi"/>
          <w:sz w:val="16"/>
          <w:szCs w:val="16"/>
          <w:lang w:val="es-ES"/>
        </w:rPr>
      </w:pPr>
      <w:r w:rsidRPr="00E21A9D">
        <w:rPr>
          <w:rFonts w:asciiTheme="majorHAnsi" w:hAnsiTheme="majorHAnsi"/>
          <w:sz w:val="16"/>
          <w:szCs w:val="16"/>
          <w:vertAlign w:val="superscript"/>
          <w:lang w:val="es-ES"/>
        </w:rPr>
        <w:footnoteRef/>
      </w:r>
      <w:r w:rsidRPr="00E21A9D">
        <w:rPr>
          <w:rFonts w:asciiTheme="majorHAnsi" w:hAnsiTheme="majorHAnsi"/>
          <w:sz w:val="16"/>
          <w:szCs w:val="16"/>
          <w:lang w:val="es-ES"/>
        </w:rPr>
        <w:t xml:space="preserve"> </w:t>
      </w:r>
      <w:r w:rsidR="00A3050F" w:rsidRPr="00E21A9D">
        <w:rPr>
          <w:rFonts w:asciiTheme="majorHAnsi" w:hAnsiTheme="majorHAnsi"/>
          <w:sz w:val="16"/>
          <w:szCs w:val="16"/>
          <w:lang w:val="es-ES"/>
        </w:rPr>
        <w:t xml:space="preserve">En la petición se enlistan once presuntas víctimas: </w:t>
      </w:r>
      <w:r w:rsidR="00416564" w:rsidRPr="00E21A9D">
        <w:rPr>
          <w:rFonts w:asciiTheme="majorHAnsi" w:hAnsiTheme="majorHAnsi"/>
          <w:sz w:val="16"/>
          <w:szCs w:val="16"/>
          <w:lang w:val="es-ES"/>
        </w:rPr>
        <w:t xml:space="preserve">1. </w:t>
      </w:r>
      <w:r w:rsidR="00416564" w:rsidRPr="00E21A9D">
        <w:rPr>
          <w:rFonts w:asciiTheme="majorHAnsi" w:hAnsiTheme="majorHAnsi"/>
          <w:bCs/>
          <w:sz w:val="16"/>
          <w:szCs w:val="16"/>
          <w:lang w:val="es-ES"/>
        </w:rPr>
        <w:t>Alfredo López Gallego</w:t>
      </w:r>
      <w:r w:rsidR="00746443" w:rsidRPr="00E21A9D">
        <w:rPr>
          <w:rFonts w:asciiTheme="majorHAnsi" w:hAnsiTheme="majorHAnsi"/>
          <w:bCs/>
          <w:sz w:val="16"/>
          <w:szCs w:val="16"/>
          <w:lang w:val="es-ES"/>
        </w:rPr>
        <w:t xml:space="preserve">; 2. </w:t>
      </w:r>
      <w:r w:rsidRPr="00E21A9D">
        <w:rPr>
          <w:rFonts w:asciiTheme="majorHAnsi" w:hAnsiTheme="majorHAnsi"/>
          <w:sz w:val="16"/>
          <w:szCs w:val="16"/>
          <w:lang w:val="es-ES"/>
        </w:rPr>
        <w:t xml:space="preserve">Luz Marina Nieto Osorio, </w:t>
      </w:r>
      <w:r w:rsidR="00230CB4" w:rsidRPr="00E21A9D">
        <w:rPr>
          <w:rFonts w:asciiTheme="majorHAnsi" w:hAnsiTheme="majorHAnsi"/>
          <w:sz w:val="16"/>
          <w:szCs w:val="16"/>
          <w:lang w:val="es-ES"/>
        </w:rPr>
        <w:t>3</w:t>
      </w:r>
      <w:r w:rsidR="00416564" w:rsidRPr="00E21A9D">
        <w:rPr>
          <w:rFonts w:asciiTheme="majorHAnsi" w:hAnsiTheme="majorHAnsi"/>
          <w:sz w:val="16"/>
          <w:szCs w:val="16"/>
          <w:lang w:val="es-ES"/>
        </w:rPr>
        <w:t xml:space="preserve">. </w:t>
      </w:r>
      <w:r w:rsidRPr="00E21A9D">
        <w:rPr>
          <w:rFonts w:asciiTheme="majorHAnsi" w:hAnsiTheme="majorHAnsi"/>
          <w:sz w:val="16"/>
          <w:szCs w:val="16"/>
          <w:lang w:val="es-ES"/>
        </w:rPr>
        <w:t xml:space="preserve">Jhon Alexander López Nieto, </w:t>
      </w:r>
      <w:r w:rsidR="00230CB4" w:rsidRPr="00E21A9D">
        <w:rPr>
          <w:rFonts w:asciiTheme="majorHAnsi" w:hAnsiTheme="majorHAnsi"/>
          <w:sz w:val="16"/>
          <w:szCs w:val="16"/>
          <w:lang w:val="es-ES"/>
        </w:rPr>
        <w:t>4</w:t>
      </w:r>
      <w:r w:rsidR="00416564" w:rsidRPr="00E21A9D">
        <w:rPr>
          <w:rFonts w:asciiTheme="majorHAnsi" w:hAnsiTheme="majorHAnsi"/>
          <w:sz w:val="16"/>
          <w:szCs w:val="16"/>
          <w:lang w:val="es-ES"/>
        </w:rPr>
        <w:t xml:space="preserve">. </w:t>
      </w:r>
      <w:r w:rsidRPr="00E21A9D">
        <w:rPr>
          <w:rFonts w:asciiTheme="majorHAnsi" w:hAnsiTheme="majorHAnsi"/>
          <w:sz w:val="16"/>
          <w:szCs w:val="16"/>
          <w:lang w:val="es-ES"/>
        </w:rPr>
        <w:t>Yenifer Natalia López Imbachi</w:t>
      </w:r>
      <w:r w:rsidR="003D6023" w:rsidRPr="00E21A9D">
        <w:rPr>
          <w:rFonts w:asciiTheme="majorHAnsi" w:hAnsiTheme="majorHAnsi"/>
          <w:sz w:val="16"/>
          <w:szCs w:val="16"/>
          <w:lang w:val="es-ES"/>
        </w:rPr>
        <w:t xml:space="preserve"> (</w:t>
      </w:r>
      <w:r w:rsidR="00093AAA" w:rsidRPr="00E21A9D">
        <w:rPr>
          <w:rFonts w:asciiTheme="majorHAnsi" w:hAnsiTheme="majorHAnsi"/>
          <w:sz w:val="16"/>
          <w:szCs w:val="16"/>
          <w:lang w:val="es-ES"/>
        </w:rPr>
        <w:t>niña</w:t>
      </w:r>
      <w:r w:rsidR="003D6023" w:rsidRPr="00E21A9D">
        <w:rPr>
          <w:rFonts w:asciiTheme="majorHAnsi" w:hAnsiTheme="majorHAnsi"/>
          <w:sz w:val="16"/>
          <w:szCs w:val="16"/>
          <w:lang w:val="es-ES"/>
        </w:rPr>
        <w:t>)</w:t>
      </w:r>
      <w:r w:rsidR="00104758" w:rsidRPr="00E21A9D">
        <w:rPr>
          <w:rFonts w:asciiTheme="majorHAnsi" w:hAnsiTheme="majorHAnsi"/>
          <w:sz w:val="16"/>
          <w:szCs w:val="16"/>
          <w:lang w:val="es-ES"/>
        </w:rPr>
        <w:t>,</w:t>
      </w:r>
      <w:r w:rsidRPr="00E21A9D">
        <w:rPr>
          <w:rFonts w:asciiTheme="majorHAnsi" w:hAnsiTheme="majorHAnsi"/>
          <w:sz w:val="16"/>
          <w:szCs w:val="16"/>
          <w:lang w:val="es-ES"/>
        </w:rPr>
        <w:t xml:space="preserve"> </w:t>
      </w:r>
      <w:r w:rsidR="00230CB4" w:rsidRPr="00E21A9D">
        <w:rPr>
          <w:rFonts w:asciiTheme="majorHAnsi" w:hAnsiTheme="majorHAnsi"/>
          <w:sz w:val="16"/>
          <w:szCs w:val="16"/>
          <w:lang w:val="es-ES"/>
        </w:rPr>
        <w:t>5</w:t>
      </w:r>
      <w:r w:rsidR="00416564" w:rsidRPr="00E21A9D">
        <w:rPr>
          <w:rFonts w:asciiTheme="majorHAnsi" w:hAnsiTheme="majorHAnsi"/>
          <w:sz w:val="16"/>
          <w:szCs w:val="16"/>
          <w:lang w:val="es-ES"/>
        </w:rPr>
        <w:t xml:space="preserve">. </w:t>
      </w:r>
      <w:r w:rsidRPr="00E21A9D">
        <w:rPr>
          <w:rFonts w:asciiTheme="majorHAnsi" w:hAnsiTheme="majorHAnsi"/>
          <w:sz w:val="16"/>
          <w:szCs w:val="16"/>
          <w:lang w:val="es-ES"/>
        </w:rPr>
        <w:t>Diana Mar</w:t>
      </w:r>
      <w:r w:rsidR="008F4B31" w:rsidRPr="00E21A9D">
        <w:rPr>
          <w:rFonts w:asciiTheme="majorHAnsi" w:hAnsiTheme="majorHAnsi"/>
          <w:sz w:val="16"/>
          <w:szCs w:val="16"/>
          <w:lang w:val="es-ES"/>
        </w:rPr>
        <w:t>í</w:t>
      </w:r>
      <w:r w:rsidRPr="00E21A9D">
        <w:rPr>
          <w:rFonts w:asciiTheme="majorHAnsi" w:hAnsiTheme="majorHAnsi"/>
          <w:sz w:val="16"/>
          <w:szCs w:val="16"/>
          <w:lang w:val="es-ES"/>
        </w:rPr>
        <w:t xml:space="preserve">a López Nieto, </w:t>
      </w:r>
      <w:r w:rsidR="00230CB4" w:rsidRPr="00E21A9D">
        <w:rPr>
          <w:rFonts w:asciiTheme="majorHAnsi" w:hAnsiTheme="majorHAnsi"/>
          <w:sz w:val="16"/>
          <w:szCs w:val="16"/>
          <w:lang w:val="es-ES"/>
        </w:rPr>
        <w:t>6</w:t>
      </w:r>
      <w:r w:rsidR="00416564" w:rsidRPr="00E21A9D">
        <w:rPr>
          <w:rFonts w:asciiTheme="majorHAnsi" w:hAnsiTheme="majorHAnsi"/>
          <w:sz w:val="16"/>
          <w:szCs w:val="16"/>
          <w:lang w:val="es-ES"/>
        </w:rPr>
        <w:t xml:space="preserve">. Viviana Carolina López Nieto, 7. </w:t>
      </w:r>
      <w:r w:rsidRPr="00E21A9D">
        <w:rPr>
          <w:rFonts w:asciiTheme="majorHAnsi" w:hAnsiTheme="majorHAnsi"/>
          <w:sz w:val="16"/>
          <w:szCs w:val="16"/>
          <w:lang w:val="es-ES"/>
        </w:rPr>
        <w:t>Dahiana Danelly López Nieto</w:t>
      </w:r>
      <w:r w:rsidR="00F13662" w:rsidRPr="00E21A9D">
        <w:rPr>
          <w:rFonts w:asciiTheme="majorHAnsi" w:hAnsiTheme="majorHAnsi"/>
          <w:sz w:val="16"/>
          <w:szCs w:val="16"/>
          <w:lang w:val="es-ES"/>
        </w:rPr>
        <w:t xml:space="preserve"> (</w:t>
      </w:r>
      <w:r w:rsidR="00093AAA" w:rsidRPr="00E21A9D">
        <w:rPr>
          <w:rFonts w:asciiTheme="majorHAnsi" w:hAnsiTheme="majorHAnsi"/>
          <w:sz w:val="16"/>
          <w:szCs w:val="16"/>
          <w:lang w:val="es-ES"/>
        </w:rPr>
        <w:t>niña</w:t>
      </w:r>
      <w:r w:rsidR="00F13662" w:rsidRPr="00E21A9D">
        <w:rPr>
          <w:rFonts w:asciiTheme="majorHAnsi" w:hAnsiTheme="majorHAnsi"/>
          <w:sz w:val="16"/>
          <w:szCs w:val="16"/>
          <w:lang w:val="es-ES"/>
        </w:rPr>
        <w:t>)</w:t>
      </w:r>
      <w:r w:rsidRPr="00E21A9D">
        <w:rPr>
          <w:rFonts w:asciiTheme="majorHAnsi" w:hAnsiTheme="majorHAnsi"/>
          <w:sz w:val="16"/>
          <w:szCs w:val="16"/>
          <w:lang w:val="es-ES"/>
        </w:rPr>
        <w:t xml:space="preserve">, </w:t>
      </w:r>
      <w:r w:rsidR="00BE4993" w:rsidRPr="00E21A9D">
        <w:rPr>
          <w:rFonts w:asciiTheme="majorHAnsi" w:hAnsiTheme="majorHAnsi"/>
          <w:sz w:val="16"/>
          <w:szCs w:val="16"/>
          <w:lang w:val="es-ES"/>
        </w:rPr>
        <w:t xml:space="preserve">8. </w:t>
      </w:r>
      <w:r w:rsidRPr="00E21A9D">
        <w:rPr>
          <w:rFonts w:asciiTheme="majorHAnsi" w:hAnsiTheme="majorHAnsi"/>
          <w:sz w:val="16"/>
          <w:szCs w:val="16"/>
          <w:lang w:val="es-ES"/>
        </w:rPr>
        <w:t xml:space="preserve">Marisa Johana López Nieto, </w:t>
      </w:r>
      <w:r w:rsidR="000A4E1A" w:rsidRPr="00E21A9D">
        <w:rPr>
          <w:rFonts w:asciiTheme="majorHAnsi" w:hAnsiTheme="majorHAnsi"/>
          <w:sz w:val="16"/>
          <w:szCs w:val="16"/>
          <w:lang w:val="es-ES"/>
        </w:rPr>
        <w:t xml:space="preserve">9. Juan Carlos López Martínez, 10. </w:t>
      </w:r>
      <w:r w:rsidRPr="00E21A9D">
        <w:rPr>
          <w:rFonts w:asciiTheme="majorHAnsi" w:hAnsiTheme="majorHAnsi"/>
          <w:sz w:val="16"/>
          <w:szCs w:val="16"/>
          <w:lang w:val="es-ES"/>
        </w:rPr>
        <w:t xml:space="preserve">Maribel Sánchez Vásquez y </w:t>
      </w:r>
      <w:r w:rsidR="000A4E1A" w:rsidRPr="00E21A9D">
        <w:rPr>
          <w:rFonts w:asciiTheme="majorHAnsi" w:hAnsiTheme="majorHAnsi"/>
          <w:sz w:val="16"/>
          <w:szCs w:val="16"/>
          <w:lang w:val="es-ES"/>
        </w:rPr>
        <w:t xml:space="preserve">11. </w:t>
      </w:r>
      <w:r w:rsidRPr="00E21A9D">
        <w:rPr>
          <w:rFonts w:asciiTheme="majorHAnsi" w:hAnsiTheme="majorHAnsi"/>
          <w:sz w:val="16"/>
          <w:szCs w:val="16"/>
          <w:lang w:val="es-ES"/>
        </w:rPr>
        <w:t>Angie Paola López Sánchez</w:t>
      </w:r>
      <w:r w:rsidR="00F13662" w:rsidRPr="00E21A9D">
        <w:rPr>
          <w:rFonts w:asciiTheme="majorHAnsi" w:hAnsiTheme="majorHAnsi"/>
          <w:sz w:val="16"/>
          <w:szCs w:val="16"/>
          <w:lang w:val="es-ES"/>
        </w:rPr>
        <w:t xml:space="preserve"> (</w:t>
      </w:r>
      <w:r w:rsidR="00093AAA" w:rsidRPr="00E21A9D">
        <w:rPr>
          <w:rFonts w:asciiTheme="majorHAnsi" w:hAnsiTheme="majorHAnsi"/>
          <w:sz w:val="16"/>
          <w:szCs w:val="16"/>
          <w:lang w:val="es-ES"/>
        </w:rPr>
        <w:t>niño</w:t>
      </w:r>
      <w:r w:rsidR="00F13662" w:rsidRPr="00E21A9D">
        <w:rPr>
          <w:rFonts w:asciiTheme="majorHAnsi" w:hAnsiTheme="majorHAnsi"/>
          <w:sz w:val="16"/>
          <w:szCs w:val="16"/>
          <w:lang w:val="es-ES"/>
        </w:rPr>
        <w:t xml:space="preserve">). </w:t>
      </w:r>
    </w:p>
  </w:footnote>
  <w:footnote w:id="3">
    <w:p w14:paraId="7283A9A9" w14:textId="36E05B79" w:rsidR="00130DC3" w:rsidRPr="00E21A9D" w:rsidRDefault="00130DC3" w:rsidP="00130DC3">
      <w:pPr>
        <w:pStyle w:val="FootnoteText"/>
        <w:ind w:firstLine="720"/>
        <w:jc w:val="both"/>
        <w:rPr>
          <w:rFonts w:asciiTheme="majorHAnsi" w:hAnsiTheme="majorHAnsi"/>
          <w:sz w:val="16"/>
          <w:szCs w:val="16"/>
          <w:lang w:val="es-419"/>
        </w:rPr>
      </w:pPr>
      <w:r w:rsidRPr="00E21A9D">
        <w:rPr>
          <w:rStyle w:val="FootnoteReference"/>
          <w:rFonts w:asciiTheme="majorHAnsi" w:hAnsiTheme="majorHAnsi"/>
          <w:sz w:val="16"/>
          <w:szCs w:val="16"/>
        </w:rPr>
        <w:footnoteRef/>
      </w:r>
      <w:r w:rsidRPr="00E21A9D">
        <w:rPr>
          <w:rFonts w:asciiTheme="majorHAnsi" w:hAnsiTheme="majorHAnsi"/>
          <w:sz w:val="16"/>
          <w:szCs w:val="16"/>
          <w:lang w:val="es-419"/>
        </w:rPr>
        <w:t xml:space="preserve"> </w:t>
      </w:r>
      <w:r w:rsidRPr="00E21A9D">
        <w:rPr>
          <w:rFonts w:asciiTheme="majorHAnsi" w:hAnsiTheme="majorHAnsi"/>
          <w:sz w:val="16"/>
          <w:szCs w:val="16"/>
          <w:lang w:val="es-ES"/>
        </w:rPr>
        <w:t>Conforme a lo dispuesto en el artículo 17.2.a del Reglamento de la Comisión, el Comisionado Carlos Bernal Pulido, de nacionalidad colombiana, no participó en el debate ni en la decisión del presente asunto.</w:t>
      </w:r>
    </w:p>
  </w:footnote>
  <w:footnote w:id="4">
    <w:p w14:paraId="5307B3FF" w14:textId="77777777" w:rsidR="002B29A4" w:rsidRPr="00E21A9D" w:rsidRDefault="002B29A4" w:rsidP="002B29A4">
      <w:pPr>
        <w:pStyle w:val="FootnoteText"/>
        <w:ind w:firstLine="720"/>
        <w:jc w:val="both"/>
        <w:rPr>
          <w:rFonts w:asciiTheme="majorHAnsi" w:hAnsiTheme="majorHAnsi"/>
          <w:sz w:val="16"/>
          <w:szCs w:val="16"/>
          <w:lang w:val="es-ES"/>
        </w:rPr>
      </w:pPr>
      <w:r w:rsidRPr="00E21A9D">
        <w:rPr>
          <w:rFonts w:asciiTheme="majorHAnsi" w:hAnsiTheme="majorHAnsi"/>
          <w:sz w:val="16"/>
          <w:szCs w:val="16"/>
          <w:vertAlign w:val="superscript"/>
          <w:lang w:val="es-ES"/>
        </w:rPr>
        <w:footnoteRef/>
      </w:r>
      <w:r w:rsidRPr="00E21A9D">
        <w:rPr>
          <w:rFonts w:asciiTheme="majorHAnsi" w:hAnsiTheme="majorHAnsi"/>
          <w:sz w:val="16"/>
          <w:szCs w:val="16"/>
          <w:lang w:val="es-ES"/>
        </w:rPr>
        <w:t xml:space="preserve"> En adelante, la “Convención Americana” o la “Convención”.</w:t>
      </w:r>
    </w:p>
  </w:footnote>
  <w:footnote w:id="5">
    <w:p w14:paraId="1AFEF3B0" w14:textId="2D558229" w:rsidR="008E3BFE" w:rsidRPr="00E21A9D" w:rsidRDefault="008E3BFE" w:rsidP="00306F33">
      <w:pPr>
        <w:pStyle w:val="FootnoteText"/>
        <w:ind w:firstLine="720"/>
        <w:jc w:val="both"/>
        <w:rPr>
          <w:rFonts w:asciiTheme="majorHAnsi" w:hAnsiTheme="majorHAnsi"/>
          <w:sz w:val="16"/>
          <w:szCs w:val="16"/>
          <w:lang w:val="es-ES"/>
        </w:rPr>
      </w:pPr>
      <w:r w:rsidRPr="00E21A9D">
        <w:rPr>
          <w:rStyle w:val="FootnoteReference"/>
          <w:rFonts w:asciiTheme="majorHAnsi" w:hAnsiTheme="majorHAnsi"/>
          <w:sz w:val="16"/>
          <w:szCs w:val="16"/>
        </w:rPr>
        <w:footnoteRef/>
      </w:r>
      <w:r w:rsidRPr="00E21A9D">
        <w:rPr>
          <w:rFonts w:asciiTheme="majorHAnsi" w:hAnsiTheme="majorHAnsi"/>
          <w:sz w:val="16"/>
          <w:szCs w:val="16"/>
          <w:lang w:val="es-ES"/>
        </w:rPr>
        <w:t xml:space="preserve"> Las observaciones de cada parte fueron debidamente trasladadas a la parte contraria</w:t>
      </w:r>
      <w:r w:rsidR="00B02C3B" w:rsidRPr="00E21A9D">
        <w:rPr>
          <w:rFonts w:asciiTheme="majorHAnsi" w:hAnsiTheme="majorHAnsi"/>
          <w:sz w:val="16"/>
          <w:szCs w:val="16"/>
          <w:lang w:val="es-ES"/>
        </w:rPr>
        <w:t>.</w:t>
      </w:r>
    </w:p>
  </w:footnote>
  <w:footnote w:id="6">
    <w:p w14:paraId="78E48C14" w14:textId="77777777" w:rsidR="006A708C" w:rsidRPr="00E21A9D" w:rsidRDefault="006A708C" w:rsidP="006A708C">
      <w:pPr>
        <w:pStyle w:val="FootnoteText"/>
        <w:ind w:firstLine="720"/>
        <w:jc w:val="both"/>
        <w:rPr>
          <w:rFonts w:asciiTheme="majorHAnsi" w:hAnsiTheme="majorHAnsi"/>
          <w:sz w:val="16"/>
          <w:szCs w:val="16"/>
          <w:lang w:val="es-ES_tradnl"/>
        </w:rPr>
      </w:pPr>
      <w:r w:rsidRPr="00E21A9D">
        <w:rPr>
          <w:rStyle w:val="FootnoteReference"/>
          <w:rFonts w:asciiTheme="majorHAnsi" w:hAnsiTheme="majorHAnsi"/>
          <w:sz w:val="16"/>
          <w:szCs w:val="16"/>
        </w:rPr>
        <w:footnoteRef/>
      </w:r>
      <w:r w:rsidRPr="00E21A9D">
        <w:rPr>
          <w:rFonts w:asciiTheme="majorHAnsi" w:hAnsiTheme="majorHAnsi"/>
          <w:sz w:val="16"/>
          <w:szCs w:val="16"/>
          <w:lang w:val="es-ES"/>
        </w:rPr>
        <w:t xml:space="preserve"> CIDH, Informe No. 78/16, Petición 1170-09. Admisibilidad. </w:t>
      </w:r>
      <w:r w:rsidRPr="00E21A9D">
        <w:rPr>
          <w:rFonts w:asciiTheme="majorHAnsi" w:hAnsiTheme="majorHAnsi"/>
          <w:sz w:val="16"/>
          <w:szCs w:val="16"/>
          <w:lang w:val="pt-BR"/>
        </w:rPr>
        <w:t xml:space="preserve">Almir Muniz Da Silva. Brasil. </w:t>
      </w:r>
      <w:r w:rsidRPr="00E21A9D">
        <w:rPr>
          <w:rFonts w:asciiTheme="majorHAnsi" w:hAnsiTheme="majorHAnsi"/>
          <w:sz w:val="16"/>
          <w:szCs w:val="16"/>
          <w:lang w:val="es-ES"/>
        </w:rPr>
        <w:t>30 de diciembre de 2016, párr. 31.</w:t>
      </w:r>
    </w:p>
  </w:footnote>
  <w:footnote w:id="7">
    <w:p w14:paraId="72DED745" w14:textId="5355D8A9" w:rsidR="006A708C" w:rsidRPr="00E21A9D" w:rsidRDefault="006A708C" w:rsidP="00381BDB">
      <w:pPr>
        <w:pStyle w:val="FootnoteText"/>
        <w:ind w:firstLine="720"/>
        <w:jc w:val="both"/>
        <w:rPr>
          <w:rFonts w:asciiTheme="majorHAnsi" w:hAnsiTheme="majorHAnsi"/>
          <w:sz w:val="16"/>
          <w:szCs w:val="16"/>
          <w:lang w:val="es-ES"/>
        </w:rPr>
      </w:pPr>
      <w:r w:rsidRPr="00E21A9D">
        <w:rPr>
          <w:rStyle w:val="FootnoteReference"/>
          <w:rFonts w:asciiTheme="majorHAnsi" w:hAnsiTheme="majorHAnsi"/>
          <w:sz w:val="16"/>
          <w:szCs w:val="16"/>
        </w:rPr>
        <w:footnoteRef/>
      </w:r>
      <w:r w:rsidRPr="00E21A9D">
        <w:rPr>
          <w:rFonts w:asciiTheme="majorHAnsi" w:hAnsiTheme="majorHAnsi"/>
          <w:sz w:val="16"/>
          <w:szCs w:val="16"/>
          <w:lang w:val="es-ES"/>
        </w:rPr>
        <w:t xml:space="preserve"> CIDH, Informe No. 44/18, Petición 840-07. Admisibilidad. Masacre de Pijiguay. Colombia. 4 de mayo de 2018, párr. 11.</w:t>
      </w:r>
    </w:p>
  </w:footnote>
  <w:footnote w:id="8">
    <w:p w14:paraId="37491B7C" w14:textId="0942E6F0" w:rsidR="000A650B" w:rsidRPr="00E21A9D" w:rsidRDefault="000A650B" w:rsidP="00381BDB">
      <w:pPr>
        <w:pStyle w:val="FootnoteText"/>
        <w:ind w:firstLine="720"/>
        <w:jc w:val="both"/>
        <w:rPr>
          <w:rFonts w:asciiTheme="majorHAnsi" w:hAnsiTheme="majorHAnsi"/>
          <w:sz w:val="16"/>
          <w:szCs w:val="16"/>
          <w:lang w:val="es-PY"/>
        </w:rPr>
      </w:pPr>
      <w:r w:rsidRPr="00E21A9D">
        <w:rPr>
          <w:rFonts w:asciiTheme="majorHAnsi" w:hAnsiTheme="majorHAnsi"/>
          <w:sz w:val="16"/>
          <w:szCs w:val="16"/>
          <w:vertAlign w:val="superscript"/>
        </w:rPr>
        <w:footnoteRef/>
      </w:r>
      <w:r w:rsidRPr="00E21A9D">
        <w:rPr>
          <w:rFonts w:asciiTheme="majorHAnsi" w:hAnsiTheme="majorHAnsi"/>
          <w:sz w:val="16"/>
          <w:szCs w:val="16"/>
          <w:lang w:val="es-ES"/>
        </w:rPr>
        <w:t xml:space="preserve"> CIDH, Informe No 27/17, Petición 1653-07. Admisibilidad. Desplazamiento Forzado en Nueva Venecia, Caño El Clarín y Buena Vista. Colombia. 18 de marzo de 2017, párr.</w:t>
      </w:r>
      <w:r w:rsidR="00F46697" w:rsidRPr="00E21A9D">
        <w:rPr>
          <w:rFonts w:asciiTheme="majorHAnsi" w:hAnsiTheme="majorHAnsi"/>
          <w:sz w:val="16"/>
          <w:szCs w:val="16"/>
          <w:lang w:val="es-ES"/>
        </w:rPr>
        <w:t xml:space="preserve"> </w:t>
      </w:r>
      <w:r w:rsidRPr="00E21A9D">
        <w:rPr>
          <w:rFonts w:asciiTheme="majorHAnsi" w:hAnsiTheme="majorHAnsi"/>
          <w:sz w:val="16"/>
          <w:szCs w:val="16"/>
          <w:lang w:val="es-ES"/>
        </w:rPr>
        <w:t>10</w:t>
      </w:r>
    </w:p>
  </w:footnote>
  <w:footnote w:id="9">
    <w:p w14:paraId="47AF0E76" w14:textId="79CCBBF3" w:rsidR="004447EA" w:rsidRPr="00E21A9D" w:rsidRDefault="004447EA" w:rsidP="008B3437">
      <w:pPr>
        <w:pStyle w:val="FootnoteText"/>
        <w:ind w:firstLine="720"/>
        <w:jc w:val="both"/>
        <w:rPr>
          <w:rFonts w:asciiTheme="majorHAnsi" w:hAnsiTheme="majorHAnsi"/>
          <w:sz w:val="16"/>
          <w:szCs w:val="16"/>
          <w:lang w:val="es-ES"/>
        </w:rPr>
      </w:pPr>
      <w:r w:rsidRPr="00E21A9D">
        <w:rPr>
          <w:rFonts w:asciiTheme="majorHAnsi" w:hAnsiTheme="majorHAnsi"/>
          <w:sz w:val="16"/>
          <w:szCs w:val="16"/>
          <w:vertAlign w:val="superscript"/>
          <w:lang w:val="es-ES"/>
        </w:rPr>
        <w:footnoteRef/>
      </w:r>
      <w:r w:rsidRPr="00E21A9D">
        <w:rPr>
          <w:rFonts w:asciiTheme="majorHAnsi" w:hAnsiTheme="majorHAnsi"/>
          <w:sz w:val="16"/>
          <w:szCs w:val="16"/>
          <w:lang w:val="es-ES"/>
        </w:rPr>
        <w:t xml:space="preserve"> CIDH, Informe No. 361/20. Petición 24-11. Admisibilidad. Familiares de las víctimas de desplazamiento colectivo del corregimiento de Santa Cecilia y veredas alrededor en enero de 2000. Colombia. 12 de diciembre de 2020, párr</w:t>
      </w:r>
      <w:r w:rsidR="00F46697" w:rsidRPr="00E21A9D">
        <w:rPr>
          <w:rFonts w:asciiTheme="majorHAnsi" w:hAnsiTheme="majorHAnsi"/>
          <w:sz w:val="16"/>
          <w:szCs w:val="16"/>
          <w:lang w:val="es-ES"/>
        </w:rPr>
        <w:t>.</w:t>
      </w:r>
      <w:r w:rsidRPr="00E21A9D">
        <w:rPr>
          <w:rFonts w:asciiTheme="majorHAnsi" w:hAnsiTheme="majorHAnsi"/>
          <w:sz w:val="16"/>
          <w:szCs w:val="16"/>
          <w:lang w:val="es-ES"/>
        </w:rPr>
        <w:t xml:space="preserve"> 26.</w:t>
      </w:r>
    </w:p>
  </w:footnote>
  <w:footnote w:id="10">
    <w:p w14:paraId="09EE408F" w14:textId="77777777" w:rsidR="00B72558" w:rsidRPr="00E21A9D" w:rsidRDefault="00B72558" w:rsidP="00B72558">
      <w:pPr>
        <w:pStyle w:val="FootnoteText"/>
        <w:ind w:firstLine="720"/>
        <w:jc w:val="both"/>
        <w:rPr>
          <w:rFonts w:asciiTheme="majorHAnsi" w:hAnsiTheme="majorHAnsi"/>
          <w:sz w:val="16"/>
          <w:szCs w:val="16"/>
          <w:lang w:val="es-ES"/>
        </w:rPr>
      </w:pPr>
      <w:r w:rsidRPr="00E21A9D">
        <w:rPr>
          <w:rStyle w:val="FootnoteReference"/>
          <w:rFonts w:asciiTheme="majorHAnsi" w:hAnsiTheme="majorHAnsi"/>
          <w:sz w:val="16"/>
          <w:szCs w:val="16"/>
        </w:rPr>
        <w:footnoteRef/>
      </w:r>
      <w:r w:rsidRPr="00E21A9D">
        <w:rPr>
          <w:rFonts w:asciiTheme="majorHAnsi" w:hAnsiTheme="majorHAnsi"/>
          <w:sz w:val="16"/>
          <w:szCs w:val="16"/>
          <w:lang w:val="es-ES"/>
        </w:rPr>
        <w:t xml:space="preserve"> CIDH, Informe No. 71/17, Petición 271-07. Admisibilidad. Jorge Luis de la Rosa Mejía y otros. Colombia. 29 de junio de 2017, párr. 49. CIDH, Informe No. 40/18, Petición 607-07. Admisibilidad. Nelson Enrique Giraldo Ramírez y familia. Colombia. 4 de mayo de 2018, párr. 15.</w:t>
      </w:r>
    </w:p>
  </w:footnote>
  <w:footnote w:id="11">
    <w:p w14:paraId="169EA02A" w14:textId="69B1EE6F" w:rsidR="0016740F" w:rsidRPr="00E21A9D" w:rsidRDefault="0016740F" w:rsidP="00A624CB">
      <w:pPr>
        <w:pStyle w:val="FootnoteText"/>
        <w:ind w:firstLine="720"/>
        <w:jc w:val="both"/>
        <w:rPr>
          <w:rFonts w:asciiTheme="majorHAnsi" w:hAnsiTheme="majorHAnsi"/>
          <w:sz w:val="16"/>
          <w:szCs w:val="16"/>
          <w:lang w:val="es-ES"/>
        </w:rPr>
      </w:pPr>
      <w:r w:rsidRPr="00E21A9D">
        <w:rPr>
          <w:rStyle w:val="FootnoteReference"/>
          <w:rFonts w:asciiTheme="majorHAnsi" w:hAnsiTheme="majorHAnsi"/>
          <w:sz w:val="16"/>
          <w:szCs w:val="16"/>
        </w:rPr>
        <w:footnoteRef/>
      </w:r>
      <w:r w:rsidRPr="00E21A9D">
        <w:rPr>
          <w:rFonts w:asciiTheme="majorHAnsi" w:hAnsiTheme="majorHAnsi"/>
          <w:sz w:val="16"/>
          <w:szCs w:val="16"/>
          <w:lang w:val="es-ES"/>
        </w:rPr>
        <w:t xml:space="preserve"> CIDH, Informe No. 14/18, Petición 1057-07. Admisibilidad. Thelmo Reyes Palacios. México. 24 de febrero de 2018,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11E56" w:rsidP="00A50FCF">
    <w:pPr>
      <w:pStyle w:val="Header"/>
      <w:tabs>
        <w:tab w:val="clear" w:pos="4320"/>
        <w:tab w:val="clear" w:pos="8640"/>
      </w:tabs>
      <w:jc w:val="center"/>
      <w:rPr>
        <w:sz w:val="22"/>
        <w:szCs w:val="22"/>
      </w:rPr>
    </w:pPr>
    <w:r>
      <w:rPr>
        <w:noProof/>
        <w:sz w:val="22"/>
        <w:szCs w:val="22"/>
        <w:bdr w:val="nil"/>
      </w:rPr>
      <w:pict w14:anchorId="4AAC7D1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ED80090"/>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5AC81E7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3372CA"/>
    <w:multiLevelType w:val="hybridMultilevel"/>
    <w:tmpl w:val="9C02A96E"/>
    <w:lvl w:ilvl="0" w:tplc="7818CA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15420024">
    <w:abstractNumId w:val="3"/>
  </w:num>
  <w:num w:numId="2" w16cid:durableId="1251744097">
    <w:abstractNumId w:val="5"/>
  </w:num>
  <w:num w:numId="3" w16cid:durableId="2006545111">
    <w:abstractNumId w:val="57"/>
  </w:num>
  <w:num w:numId="4" w16cid:durableId="254678299">
    <w:abstractNumId w:val="21"/>
  </w:num>
  <w:num w:numId="5" w16cid:durableId="874780009">
    <w:abstractNumId w:val="51"/>
  </w:num>
  <w:num w:numId="6" w16cid:durableId="1173883181">
    <w:abstractNumId w:val="28"/>
  </w:num>
  <w:num w:numId="7" w16cid:durableId="1847477476">
    <w:abstractNumId w:val="6"/>
  </w:num>
  <w:num w:numId="8" w16cid:durableId="502282806">
    <w:abstractNumId w:val="17"/>
  </w:num>
  <w:num w:numId="9" w16cid:durableId="1749229644">
    <w:abstractNumId w:val="45"/>
  </w:num>
  <w:num w:numId="10" w16cid:durableId="1166822495">
    <w:abstractNumId w:val="0"/>
  </w:num>
  <w:num w:numId="11" w16cid:durableId="947351090">
    <w:abstractNumId w:val="40"/>
  </w:num>
  <w:num w:numId="12" w16cid:durableId="1481311547">
    <w:abstractNumId w:val="41"/>
  </w:num>
  <w:num w:numId="13" w16cid:durableId="334580439">
    <w:abstractNumId w:val="47"/>
  </w:num>
  <w:num w:numId="14" w16cid:durableId="581990250">
    <w:abstractNumId w:val="1"/>
  </w:num>
  <w:num w:numId="15" w16cid:durableId="490219530">
    <w:abstractNumId w:val="2"/>
  </w:num>
  <w:num w:numId="16" w16cid:durableId="1492716194">
    <w:abstractNumId w:val="7"/>
  </w:num>
  <w:num w:numId="17" w16cid:durableId="318584339">
    <w:abstractNumId w:val="8"/>
  </w:num>
  <w:num w:numId="18" w16cid:durableId="980575072">
    <w:abstractNumId w:val="9"/>
  </w:num>
  <w:num w:numId="19" w16cid:durableId="950823303">
    <w:abstractNumId w:val="10"/>
  </w:num>
  <w:num w:numId="20" w16cid:durableId="1691905617">
    <w:abstractNumId w:val="11"/>
  </w:num>
  <w:num w:numId="21" w16cid:durableId="561064331">
    <w:abstractNumId w:val="13"/>
  </w:num>
  <w:num w:numId="22" w16cid:durableId="1651135908">
    <w:abstractNumId w:val="14"/>
  </w:num>
  <w:num w:numId="23" w16cid:durableId="742261906">
    <w:abstractNumId w:val="15"/>
  </w:num>
  <w:num w:numId="24" w16cid:durableId="1404908501">
    <w:abstractNumId w:val="16"/>
  </w:num>
  <w:num w:numId="25" w16cid:durableId="2138529208">
    <w:abstractNumId w:val="18"/>
  </w:num>
  <w:num w:numId="26" w16cid:durableId="133451635">
    <w:abstractNumId w:val="19"/>
  </w:num>
  <w:num w:numId="27" w16cid:durableId="1127042316">
    <w:abstractNumId w:val="22"/>
  </w:num>
  <w:num w:numId="28" w16cid:durableId="1209729067">
    <w:abstractNumId w:val="23"/>
  </w:num>
  <w:num w:numId="29" w16cid:durableId="1786922597">
    <w:abstractNumId w:val="24"/>
  </w:num>
  <w:num w:numId="30" w16cid:durableId="2122919543">
    <w:abstractNumId w:val="26"/>
  </w:num>
  <w:num w:numId="31" w16cid:durableId="1782994029">
    <w:abstractNumId w:val="29"/>
  </w:num>
  <w:num w:numId="32" w16cid:durableId="895122366">
    <w:abstractNumId w:val="30"/>
  </w:num>
  <w:num w:numId="33" w16cid:durableId="240650940">
    <w:abstractNumId w:val="32"/>
  </w:num>
  <w:num w:numId="34" w16cid:durableId="1405759530">
    <w:abstractNumId w:val="33"/>
  </w:num>
  <w:num w:numId="35" w16cid:durableId="1470325550">
    <w:abstractNumId w:val="35"/>
  </w:num>
  <w:num w:numId="36" w16cid:durableId="1693334864">
    <w:abstractNumId w:val="36"/>
  </w:num>
  <w:num w:numId="37" w16cid:durableId="313293348">
    <w:abstractNumId w:val="37"/>
  </w:num>
  <w:num w:numId="38" w16cid:durableId="1937788523">
    <w:abstractNumId w:val="38"/>
  </w:num>
  <w:num w:numId="39" w16cid:durableId="544635913">
    <w:abstractNumId w:val="42"/>
  </w:num>
  <w:num w:numId="40" w16cid:durableId="1075399216">
    <w:abstractNumId w:val="43"/>
  </w:num>
  <w:num w:numId="41" w16cid:durableId="201788493">
    <w:abstractNumId w:val="50"/>
  </w:num>
  <w:num w:numId="42" w16cid:durableId="317542528">
    <w:abstractNumId w:val="52"/>
  </w:num>
  <w:num w:numId="43" w16cid:durableId="1818456082">
    <w:abstractNumId w:val="53"/>
  </w:num>
  <w:num w:numId="44" w16cid:durableId="25109811">
    <w:abstractNumId w:val="55"/>
  </w:num>
  <w:num w:numId="45" w16cid:durableId="1644191043">
    <w:abstractNumId w:val="56"/>
  </w:num>
  <w:num w:numId="46" w16cid:durableId="1866823030">
    <w:abstractNumId w:val="58"/>
  </w:num>
  <w:num w:numId="47" w16cid:durableId="1784302611">
    <w:abstractNumId w:val="59"/>
  </w:num>
  <w:num w:numId="48" w16cid:durableId="2124301247">
    <w:abstractNumId w:val="60"/>
  </w:num>
  <w:num w:numId="49" w16cid:durableId="1253121338">
    <w:abstractNumId w:val="61"/>
  </w:num>
  <w:num w:numId="50" w16cid:durableId="2111242735">
    <w:abstractNumId w:val="62"/>
  </w:num>
  <w:num w:numId="51" w16cid:durableId="24525101">
    <w:abstractNumId w:val="20"/>
  </w:num>
  <w:num w:numId="52" w16cid:durableId="55012935">
    <w:abstractNumId w:val="44"/>
  </w:num>
  <w:num w:numId="53" w16cid:durableId="472865716">
    <w:abstractNumId w:val="54"/>
  </w:num>
  <w:num w:numId="54" w16cid:durableId="1544636091">
    <w:abstractNumId w:val="49"/>
  </w:num>
  <w:num w:numId="55" w16cid:durableId="563296752">
    <w:abstractNumId w:val="46"/>
  </w:num>
  <w:num w:numId="56" w16cid:durableId="918757275">
    <w:abstractNumId w:val="27"/>
  </w:num>
  <w:num w:numId="57" w16cid:durableId="1992052545">
    <w:abstractNumId w:val="25"/>
  </w:num>
  <w:num w:numId="58" w16cid:durableId="1205680012">
    <w:abstractNumId w:val="39"/>
  </w:num>
  <w:num w:numId="59" w16cid:durableId="678967057">
    <w:abstractNumId w:val="34"/>
  </w:num>
  <w:num w:numId="60" w16cid:durableId="1278023973">
    <w:abstractNumId w:val="12"/>
  </w:num>
  <w:num w:numId="61" w16cid:durableId="525749765">
    <w:abstractNumId w:val="31"/>
  </w:num>
  <w:num w:numId="62" w16cid:durableId="1167404313">
    <w:abstractNumId w:val="4"/>
  </w:num>
  <w:num w:numId="63" w16cid:durableId="1724329229">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5FD"/>
    <w:rsid w:val="00003A40"/>
    <w:rsid w:val="0000539E"/>
    <w:rsid w:val="00006DB3"/>
    <w:rsid w:val="00006E1F"/>
    <w:rsid w:val="000070D7"/>
    <w:rsid w:val="00011113"/>
    <w:rsid w:val="0001788C"/>
    <w:rsid w:val="00022A5E"/>
    <w:rsid w:val="00026B18"/>
    <w:rsid w:val="000337EF"/>
    <w:rsid w:val="00040C3A"/>
    <w:rsid w:val="000419AD"/>
    <w:rsid w:val="00042CBD"/>
    <w:rsid w:val="000433C9"/>
    <w:rsid w:val="000462A6"/>
    <w:rsid w:val="00047212"/>
    <w:rsid w:val="00050D61"/>
    <w:rsid w:val="00054B7C"/>
    <w:rsid w:val="00056B15"/>
    <w:rsid w:val="00063260"/>
    <w:rsid w:val="00063FD8"/>
    <w:rsid w:val="00071174"/>
    <w:rsid w:val="000716C5"/>
    <w:rsid w:val="00074985"/>
    <w:rsid w:val="00075BD2"/>
    <w:rsid w:val="00075E23"/>
    <w:rsid w:val="00075E70"/>
    <w:rsid w:val="00082000"/>
    <w:rsid w:val="00083FA3"/>
    <w:rsid w:val="0009344A"/>
    <w:rsid w:val="00093AAA"/>
    <w:rsid w:val="000A20B0"/>
    <w:rsid w:val="000A392E"/>
    <w:rsid w:val="000A4E1A"/>
    <w:rsid w:val="000A575F"/>
    <w:rsid w:val="000A650B"/>
    <w:rsid w:val="000A7AB6"/>
    <w:rsid w:val="000B356D"/>
    <w:rsid w:val="000B3A6E"/>
    <w:rsid w:val="000B72DE"/>
    <w:rsid w:val="000D05CB"/>
    <w:rsid w:val="000D10DB"/>
    <w:rsid w:val="000D161C"/>
    <w:rsid w:val="000D29DC"/>
    <w:rsid w:val="000E33A1"/>
    <w:rsid w:val="000E352D"/>
    <w:rsid w:val="000E58D6"/>
    <w:rsid w:val="000E5EB5"/>
    <w:rsid w:val="000E60CC"/>
    <w:rsid w:val="000F35ED"/>
    <w:rsid w:val="001004FE"/>
    <w:rsid w:val="00100F9E"/>
    <w:rsid w:val="00102B87"/>
    <w:rsid w:val="00104758"/>
    <w:rsid w:val="00107131"/>
    <w:rsid w:val="0010736F"/>
    <w:rsid w:val="001128AE"/>
    <w:rsid w:val="00112CB4"/>
    <w:rsid w:val="00113F73"/>
    <w:rsid w:val="00116C40"/>
    <w:rsid w:val="001175B7"/>
    <w:rsid w:val="00121CC2"/>
    <w:rsid w:val="00123566"/>
    <w:rsid w:val="001244A6"/>
    <w:rsid w:val="00124C61"/>
    <w:rsid w:val="00130DC3"/>
    <w:rsid w:val="00131425"/>
    <w:rsid w:val="00133EE5"/>
    <w:rsid w:val="001418EE"/>
    <w:rsid w:val="00152CBE"/>
    <w:rsid w:val="001616AA"/>
    <w:rsid w:val="00162F0B"/>
    <w:rsid w:val="0016740F"/>
    <w:rsid w:val="00167A34"/>
    <w:rsid w:val="00171812"/>
    <w:rsid w:val="001902C7"/>
    <w:rsid w:val="001A520D"/>
    <w:rsid w:val="001A7870"/>
    <w:rsid w:val="001B20D1"/>
    <w:rsid w:val="001B3A00"/>
    <w:rsid w:val="001B478B"/>
    <w:rsid w:val="001C12E0"/>
    <w:rsid w:val="001C1B41"/>
    <w:rsid w:val="001C541B"/>
    <w:rsid w:val="001D348F"/>
    <w:rsid w:val="001D47EE"/>
    <w:rsid w:val="001D65EF"/>
    <w:rsid w:val="001D6B01"/>
    <w:rsid w:val="001D7F96"/>
    <w:rsid w:val="001E49E7"/>
    <w:rsid w:val="001F1EDF"/>
    <w:rsid w:val="001F34DF"/>
    <w:rsid w:val="001F7201"/>
    <w:rsid w:val="0020160B"/>
    <w:rsid w:val="0020303F"/>
    <w:rsid w:val="00220521"/>
    <w:rsid w:val="002227F5"/>
    <w:rsid w:val="00223A29"/>
    <w:rsid w:val="002250A3"/>
    <w:rsid w:val="00230CB4"/>
    <w:rsid w:val="002318DE"/>
    <w:rsid w:val="002327D0"/>
    <w:rsid w:val="00235217"/>
    <w:rsid w:val="00236609"/>
    <w:rsid w:val="00240C24"/>
    <w:rsid w:val="00242609"/>
    <w:rsid w:val="00246D1F"/>
    <w:rsid w:val="00247403"/>
    <w:rsid w:val="00247542"/>
    <w:rsid w:val="00252E12"/>
    <w:rsid w:val="00254C69"/>
    <w:rsid w:val="002571C3"/>
    <w:rsid w:val="00260601"/>
    <w:rsid w:val="00263908"/>
    <w:rsid w:val="00266B61"/>
    <w:rsid w:val="0026712A"/>
    <w:rsid w:val="00267F0F"/>
    <w:rsid w:val="002704DB"/>
    <w:rsid w:val="00270613"/>
    <w:rsid w:val="00270946"/>
    <w:rsid w:val="002710D2"/>
    <w:rsid w:val="00273566"/>
    <w:rsid w:val="00275DC8"/>
    <w:rsid w:val="002965C1"/>
    <w:rsid w:val="002A0AAE"/>
    <w:rsid w:val="002A5820"/>
    <w:rsid w:val="002A61AD"/>
    <w:rsid w:val="002B1C3C"/>
    <w:rsid w:val="002B2814"/>
    <w:rsid w:val="002B29A4"/>
    <w:rsid w:val="002C6BD4"/>
    <w:rsid w:val="002D2B26"/>
    <w:rsid w:val="002D7EA2"/>
    <w:rsid w:val="002E05B6"/>
    <w:rsid w:val="002E187C"/>
    <w:rsid w:val="002F7768"/>
    <w:rsid w:val="003015D5"/>
    <w:rsid w:val="00302733"/>
    <w:rsid w:val="00305835"/>
    <w:rsid w:val="00306F33"/>
    <w:rsid w:val="0030729D"/>
    <w:rsid w:val="00311E56"/>
    <w:rsid w:val="00314078"/>
    <w:rsid w:val="0031535D"/>
    <w:rsid w:val="00321EFD"/>
    <w:rsid w:val="003239B8"/>
    <w:rsid w:val="003264F8"/>
    <w:rsid w:val="0033169F"/>
    <w:rsid w:val="00340B9A"/>
    <w:rsid w:val="00341DE1"/>
    <w:rsid w:val="00344977"/>
    <w:rsid w:val="00346C95"/>
    <w:rsid w:val="003504FF"/>
    <w:rsid w:val="00353236"/>
    <w:rsid w:val="0035492D"/>
    <w:rsid w:val="00354D6B"/>
    <w:rsid w:val="00356185"/>
    <w:rsid w:val="00360380"/>
    <w:rsid w:val="00364DA1"/>
    <w:rsid w:val="003679AE"/>
    <w:rsid w:val="003747E4"/>
    <w:rsid w:val="0037519E"/>
    <w:rsid w:val="00381BDB"/>
    <w:rsid w:val="003856F3"/>
    <w:rsid w:val="00385FA4"/>
    <w:rsid w:val="00386CF0"/>
    <w:rsid w:val="0039114A"/>
    <w:rsid w:val="003914D3"/>
    <w:rsid w:val="00394073"/>
    <w:rsid w:val="00397131"/>
    <w:rsid w:val="003A41F0"/>
    <w:rsid w:val="003A54DD"/>
    <w:rsid w:val="003A5C21"/>
    <w:rsid w:val="003A6EFB"/>
    <w:rsid w:val="003B70FB"/>
    <w:rsid w:val="003C0CC3"/>
    <w:rsid w:val="003C1265"/>
    <w:rsid w:val="003C2195"/>
    <w:rsid w:val="003C676B"/>
    <w:rsid w:val="003D3BC2"/>
    <w:rsid w:val="003D6023"/>
    <w:rsid w:val="003E6CA1"/>
    <w:rsid w:val="003F5154"/>
    <w:rsid w:val="003F5306"/>
    <w:rsid w:val="003F7558"/>
    <w:rsid w:val="00402966"/>
    <w:rsid w:val="00405F9C"/>
    <w:rsid w:val="004065A8"/>
    <w:rsid w:val="00414B71"/>
    <w:rsid w:val="00416564"/>
    <w:rsid w:val="004165C2"/>
    <w:rsid w:val="004222BB"/>
    <w:rsid w:val="004241A0"/>
    <w:rsid w:val="00441ECB"/>
    <w:rsid w:val="004447EA"/>
    <w:rsid w:val="00445193"/>
    <w:rsid w:val="0044670F"/>
    <w:rsid w:val="004505D4"/>
    <w:rsid w:val="00451025"/>
    <w:rsid w:val="004556C9"/>
    <w:rsid w:val="00461FDF"/>
    <w:rsid w:val="00462C1B"/>
    <w:rsid w:val="00467989"/>
    <w:rsid w:val="00467B7E"/>
    <w:rsid w:val="00473BB4"/>
    <w:rsid w:val="00477592"/>
    <w:rsid w:val="00486F1C"/>
    <w:rsid w:val="0049419D"/>
    <w:rsid w:val="00496692"/>
    <w:rsid w:val="004A057B"/>
    <w:rsid w:val="004A1AB5"/>
    <w:rsid w:val="004A3A0B"/>
    <w:rsid w:val="004A6585"/>
    <w:rsid w:val="004A6A54"/>
    <w:rsid w:val="004B1CC5"/>
    <w:rsid w:val="004B421C"/>
    <w:rsid w:val="004C13CE"/>
    <w:rsid w:val="004C20D2"/>
    <w:rsid w:val="004C2312"/>
    <w:rsid w:val="004C3564"/>
    <w:rsid w:val="004C3A9E"/>
    <w:rsid w:val="004C4B62"/>
    <w:rsid w:val="004C54C9"/>
    <w:rsid w:val="004D2B48"/>
    <w:rsid w:val="004D4ABA"/>
    <w:rsid w:val="004D6025"/>
    <w:rsid w:val="004E2649"/>
    <w:rsid w:val="004E43C4"/>
    <w:rsid w:val="004E4C99"/>
    <w:rsid w:val="004F626F"/>
    <w:rsid w:val="00501399"/>
    <w:rsid w:val="005047ED"/>
    <w:rsid w:val="0050633D"/>
    <w:rsid w:val="00507BC4"/>
    <w:rsid w:val="005118D3"/>
    <w:rsid w:val="005128E4"/>
    <w:rsid w:val="005133DB"/>
    <w:rsid w:val="00514504"/>
    <w:rsid w:val="00521E1F"/>
    <w:rsid w:val="00524923"/>
    <w:rsid w:val="00525560"/>
    <w:rsid w:val="00542214"/>
    <w:rsid w:val="00544C49"/>
    <w:rsid w:val="005516A1"/>
    <w:rsid w:val="00553E0C"/>
    <w:rsid w:val="005559EF"/>
    <w:rsid w:val="00556FF7"/>
    <w:rsid w:val="005618BF"/>
    <w:rsid w:val="00562ACB"/>
    <w:rsid w:val="00563557"/>
    <w:rsid w:val="00565D76"/>
    <w:rsid w:val="00570074"/>
    <w:rsid w:val="0057402A"/>
    <w:rsid w:val="00575FDB"/>
    <w:rsid w:val="005771D0"/>
    <w:rsid w:val="00582FA3"/>
    <w:rsid w:val="00583078"/>
    <w:rsid w:val="00584261"/>
    <w:rsid w:val="005864B1"/>
    <w:rsid w:val="0059191A"/>
    <w:rsid w:val="005921FF"/>
    <w:rsid w:val="00594A46"/>
    <w:rsid w:val="005A24ED"/>
    <w:rsid w:val="005A3FE8"/>
    <w:rsid w:val="005A48F1"/>
    <w:rsid w:val="005A5A2A"/>
    <w:rsid w:val="005A6D0E"/>
    <w:rsid w:val="005B52B0"/>
    <w:rsid w:val="005B5B52"/>
    <w:rsid w:val="005B6806"/>
    <w:rsid w:val="005C4225"/>
    <w:rsid w:val="005C6828"/>
    <w:rsid w:val="005D2254"/>
    <w:rsid w:val="005D5EE9"/>
    <w:rsid w:val="005D6218"/>
    <w:rsid w:val="005E152A"/>
    <w:rsid w:val="005F0DAD"/>
    <w:rsid w:val="005F0F33"/>
    <w:rsid w:val="005F4B2A"/>
    <w:rsid w:val="00600DEB"/>
    <w:rsid w:val="00602F31"/>
    <w:rsid w:val="00610BBF"/>
    <w:rsid w:val="00616B85"/>
    <w:rsid w:val="00620953"/>
    <w:rsid w:val="00624A9A"/>
    <w:rsid w:val="00627C9F"/>
    <w:rsid w:val="006311E9"/>
    <w:rsid w:val="00632354"/>
    <w:rsid w:val="006325FF"/>
    <w:rsid w:val="00635421"/>
    <w:rsid w:val="00642810"/>
    <w:rsid w:val="00647BBC"/>
    <w:rsid w:val="00652333"/>
    <w:rsid w:val="006553E2"/>
    <w:rsid w:val="0066106F"/>
    <w:rsid w:val="00663F10"/>
    <w:rsid w:val="00664F56"/>
    <w:rsid w:val="00671EDD"/>
    <w:rsid w:val="0068009E"/>
    <w:rsid w:val="00684515"/>
    <w:rsid w:val="00684669"/>
    <w:rsid w:val="00692219"/>
    <w:rsid w:val="006929E0"/>
    <w:rsid w:val="006A046E"/>
    <w:rsid w:val="006A17D2"/>
    <w:rsid w:val="006A708C"/>
    <w:rsid w:val="006A71E0"/>
    <w:rsid w:val="006A73E6"/>
    <w:rsid w:val="006B2D5C"/>
    <w:rsid w:val="006C0ECF"/>
    <w:rsid w:val="006C4C9E"/>
    <w:rsid w:val="006C4EB1"/>
    <w:rsid w:val="006E0166"/>
    <w:rsid w:val="006E0BF7"/>
    <w:rsid w:val="006E2BA5"/>
    <w:rsid w:val="006E2FFB"/>
    <w:rsid w:val="006E4C5A"/>
    <w:rsid w:val="006E7B34"/>
    <w:rsid w:val="006F18A4"/>
    <w:rsid w:val="006F7C49"/>
    <w:rsid w:val="00705088"/>
    <w:rsid w:val="0070697F"/>
    <w:rsid w:val="00707E45"/>
    <w:rsid w:val="007103C4"/>
    <w:rsid w:val="0072199C"/>
    <w:rsid w:val="00722C9F"/>
    <w:rsid w:val="007253B8"/>
    <w:rsid w:val="00725A87"/>
    <w:rsid w:val="007313FF"/>
    <w:rsid w:val="00732A07"/>
    <w:rsid w:val="00736104"/>
    <w:rsid w:val="0073741F"/>
    <w:rsid w:val="00740618"/>
    <w:rsid w:val="00746443"/>
    <w:rsid w:val="007552D0"/>
    <w:rsid w:val="00763106"/>
    <w:rsid w:val="0076643F"/>
    <w:rsid w:val="00770215"/>
    <w:rsid w:val="00771790"/>
    <w:rsid w:val="00771DB2"/>
    <w:rsid w:val="007756E2"/>
    <w:rsid w:val="00777F63"/>
    <w:rsid w:val="00782F79"/>
    <w:rsid w:val="00784903"/>
    <w:rsid w:val="007A4CC3"/>
    <w:rsid w:val="007A5817"/>
    <w:rsid w:val="007A5D13"/>
    <w:rsid w:val="007B05C4"/>
    <w:rsid w:val="007B60E9"/>
    <w:rsid w:val="007B6CC3"/>
    <w:rsid w:val="007B7205"/>
    <w:rsid w:val="007B76D3"/>
    <w:rsid w:val="007C3334"/>
    <w:rsid w:val="007D2B98"/>
    <w:rsid w:val="007D6843"/>
    <w:rsid w:val="007E21BC"/>
    <w:rsid w:val="007E3764"/>
    <w:rsid w:val="007E7C82"/>
    <w:rsid w:val="007F06DB"/>
    <w:rsid w:val="007F2977"/>
    <w:rsid w:val="007F2AA1"/>
    <w:rsid w:val="007F4E87"/>
    <w:rsid w:val="007F588D"/>
    <w:rsid w:val="007F7493"/>
    <w:rsid w:val="008035F3"/>
    <w:rsid w:val="00803F1C"/>
    <w:rsid w:val="00804A5B"/>
    <w:rsid w:val="0080600E"/>
    <w:rsid w:val="008071C0"/>
    <w:rsid w:val="00807953"/>
    <w:rsid w:val="008138D8"/>
    <w:rsid w:val="00814688"/>
    <w:rsid w:val="00817612"/>
    <w:rsid w:val="00832655"/>
    <w:rsid w:val="008338A4"/>
    <w:rsid w:val="00834C32"/>
    <w:rsid w:val="00834D49"/>
    <w:rsid w:val="00837567"/>
    <w:rsid w:val="00837C45"/>
    <w:rsid w:val="00842A94"/>
    <w:rsid w:val="00844730"/>
    <w:rsid w:val="008457C2"/>
    <w:rsid w:val="008479B8"/>
    <w:rsid w:val="00850BF4"/>
    <w:rsid w:val="00852A68"/>
    <w:rsid w:val="0085346B"/>
    <w:rsid w:val="008536C4"/>
    <w:rsid w:val="00853A12"/>
    <w:rsid w:val="00857A82"/>
    <w:rsid w:val="00865FF4"/>
    <w:rsid w:val="00867B7C"/>
    <w:rsid w:val="00873836"/>
    <w:rsid w:val="00877C41"/>
    <w:rsid w:val="00884846"/>
    <w:rsid w:val="00885737"/>
    <w:rsid w:val="00887DB6"/>
    <w:rsid w:val="00887EA7"/>
    <w:rsid w:val="008900DB"/>
    <w:rsid w:val="00890650"/>
    <w:rsid w:val="00893F81"/>
    <w:rsid w:val="008944DC"/>
    <w:rsid w:val="00897E12"/>
    <w:rsid w:val="008A7E0F"/>
    <w:rsid w:val="008B12F5"/>
    <w:rsid w:val="008B3437"/>
    <w:rsid w:val="008C5E2D"/>
    <w:rsid w:val="008D1B7E"/>
    <w:rsid w:val="008D768D"/>
    <w:rsid w:val="008E3759"/>
    <w:rsid w:val="008E3BFE"/>
    <w:rsid w:val="008F1912"/>
    <w:rsid w:val="008F1981"/>
    <w:rsid w:val="008F31A3"/>
    <w:rsid w:val="008F4B31"/>
    <w:rsid w:val="008F6E98"/>
    <w:rsid w:val="009014B4"/>
    <w:rsid w:val="0090155B"/>
    <w:rsid w:val="0090270B"/>
    <w:rsid w:val="009031E9"/>
    <w:rsid w:val="009041DC"/>
    <w:rsid w:val="0090647F"/>
    <w:rsid w:val="00907BFF"/>
    <w:rsid w:val="00917B5A"/>
    <w:rsid w:val="00920A58"/>
    <w:rsid w:val="00920A8C"/>
    <w:rsid w:val="00932E06"/>
    <w:rsid w:val="00934A2C"/>
    <w:rsid w:val="00940B34"/>
    <w:rsid w:val="00941BD1"/>
    <w:rsid w:val="009530F6"/>
    <w:rsid w:val="009577E6"/>
    <w:rsid w:val="009600FC"/>
    <w:rsid w:val="00964D2E"/>
    <w:rsid w:val="0096706E"/>
    <w:rsid w:val="0096715B"/>
    <w:rsid w:val="00970310"/>
    <w:rsid w:val="00974491"/>
    <w:rsid w:val="00975C4E"/>
    <w:rsid w:val="00981FBA"/>
    <w:rsid w:val="00987DEC"/>
    <w:rsid w:val="00995C62"/>
    <w:rsid w:val="00997BC5"/>
    <w:rsid w:val="009A07E8"/>
    <w:rsid w:val="009A32DF"/>
    <w:rsid w:val="009A3FFA"/>
    <w:rsid w:val="009A4F41"/>
    <w:rsid w:val="009A56CE"/>
    <w:rsid w:val="009A6BBF"/>
    <w:rsid w:val="009B0362"/>
    <w:rsid w:val="009B2166"/>
    <w:rsid w:val="009B3737"/>
    <w:rsid w:val="009B381B"/>
    <w:rsid w:val="009B5318"/>
    <w:rsid w:val="009B72FB"/>
    <w:rsid w:val="009C081E"/>
    <w:rsid w:val="009D1753"/>
    <w:rsid w:val="009D646F"/>
    <w:rsid w:val="009D6B5B"/>
    <w:rsid w:val="009D7611"/>
    <w:rsid w:val="009E0B61"/>
    <w:rsid w:val="009E53DE"/>
    <w:rsid w:val="009F3EDF"/>
    <w:rsid w:val="009F5450"/>
    <w:rsid w:val="00A0157A"/>
    <w:rsid w:val="00A068B3"/>
    <w:rsid w:val="00A11212"/>
    <w:rsid w:val="00A11E44"/>
    <w:rsid w:val="00A145CB"/>
    <w:rsid w:val="00A15562"/>
    <w:rsid w:val="00A25895"/>
    <w:rsid w:val="00A30100"/>
    <w:rsid w:val="00A3050F"/>
    <w:rsid w:val="00A328B3"/>
    <w:rsid w:val="00A36879"/>
    <w:rsid w:val="00A41321"/>
    <w:rsid w:val="00A4474E"/>
    <w:rsid w:val="00A50AFA"/>
    <w:rsid w:val="00A50FCF"/>
    <w:rsid w:val="00A528D1"/>
    <w:rsid w:val="00A54D6F"/>
    <w:rsid w:val="00A610CD"/>
    <w:rsid w:val="00A624CB"/>
    <w:rsid w:val="00A70B3C"/>
    <w:rsid w:val="00A70ECE"/>
    <w:rsid w:val="00A758AA"/>
    <w:rsid w:val="00A85D33"/>
    <w:rsid w:val="00A9473E"/>
    <w:rsid w:val="00A96519"/>
    <w:rsid w:val="00A969DC"/>
    <w:rsid w:val="00AA09A2"/>
    <w:rsid w:val="00AA7996"/>
    <w:rsid w:val="00AB41AB"/>
    <w:rsid w:val="00AC1091"/>
    <w:rsid w:val="00AC19CB"/>
    <w:rsid w:val="00AD2F06"/>
    <w:rsid w:val="00AD42BE"/>
    <w:rsid w:val="00AD625F"/>
    <w:rsid w:val="00AD68F2"/>
    <w:rsid w:val="00AE15D4"/>
    <w:rsid w:val="00AE3F82"/>
    <w:rsid w:val="00AE5488"/>
    <w:rsid w:val="00AE6F91"/>
    <w:rsid w:val="00AF0FD8"/>
    <w:rsid w:val="00AF2342"/>
    <w:rsid w:val="00AF5571"/>
    <w:rsid w:val="00B02C3B"/>
    <w:rsid w:val="00B02D0A"/>
    <w:rsid w:val="00B02E2B"/>
    <w:rsid w:val="00B04818"/>
    <w:rsid w:val="00B07341"/>
    <w:rsid w:val="00B232AB"/>
    <w:rsid w:val="00B30539"/>
    <w:rsid w:val="00B30F7A"/>
    <w:rsid w:val="00B314DB"/>
    <w:rsid w:val="00B361F2"/>
    <w:rsid w:val="00B36916"/>
    <w:rsid w:val="00B3718B"/>
    <w:rsid w:val="00B3745F"/>
    <w:rsid w:val="00B4632A"/>
    <w:rsid w:val="00B471FD"/>
    <w:rsid w:val="00B530F1"/>
    <w:rsid w:val="00B640F2"/>
    <w:rsid w:val="00B72558"/>
    <w:rsid w:val="00B72EE8"/>
    <w:rsid w:val="00B72F79"/>
    <w:rsid w:val="00B83D37"/>
    <w:rsid w:val="00B8472B"/>
    <w:rsid w:val="00B92CCF"/>
    <w:rsid w:val="00B93D7F"/>
    <w:rsid w:val="00BA085C"/>
    <w:rsid w:val="00BA2705"/>
    <w:rsid w:val="00BA276C"/>
    <w:rsid w:val="00BB019D"/>
    <w:rsid w:val="00BB306F"/>
    <w:rsid w:val="00BB3291"/>
    <w:rsid w:val="00BC4A15"/>
    <w:rsid w:val="00BD01F7"/>
    <w:rsid w:val="00BD0FF5"/>
    <w:rsid w:val="00BD475F"/>
    <w:rsid w:val="00BD4B89"/>
    <w:rsid w:val="00BD5922"/>
    <w:rsid w:val="00BE34A1"/>
    <w:rsid w:val="00BE4993"/>
    <w:rsid w:val="00BF02CB"/>
    <w:rsid w:val="00BF3684"/>
    <w:rsid w:val="00BF6FD8"/>
    <w:rsid w:val="00BF73E4"/>
    <w:rsid w:val="00C03680"/>
    <w:rsid w:val="00C054DF"/>
    <w:rsid w:val="00C05E7D"/>
    <w:rsid w:val="00C17F0A"/>
    <w:rsid w:val="00C21762"/>
    <w:rsid w:val="00C21AE1"/>
    <w:rsid w:val="00C21FEF"/>
    <w:rsid w:val="00C23BA4"/>
    <w:rsid w:val="00C24543"/>
    <w:rsid w:val="00C256A2"/>
    <w:rsid w:val="00C25ADB"/>
    <w:rsid w:val="00C403FE"/>
    <w:rsid w:val="00C51515"/>
    <w:rsid w:val="00C52C80"/>
    <w:rsid w:val="00C5660B"/>
    <w:rsid w:val="00C61C41"/>
    <w:rsid w:val="00C66B72"/>
    <w:rsid w:val="00C7395F"/>
    <w:rsid w:val="00C7664C"/>
    <w:rsid w:val="00C87AC4"/>
    <w:rsid w:val="00C903DD"/>
    <w:rsid w:val="00C918E0"/>
    <w:rsid w:val="00C92EB0"/>
    <w:rsid w:val="00C9567A"/>
    <w:rsid w:val="00CA2456"/>
    <w:rsid w:val="00CA4129"/>
    <w:rsid w:val="00CB212D"/>
    <w:rsid w:val="00CB2660"/>
    <w:rsid w:val="00CC1949"/>
    <w:rsid w:val="00CC5B59"/>
    <w:rsid w:val="00CC5E90"/>
    <w:rsid w:val="00CD046C"/>
    <w:rsid w:val="00CD10C9"/>
    <w:rsid w:val="00CD2417"/>
    <w:rsid w:val="00CD262B"/>
    <w:rsid w:val="00CD4387"/>
    <w:rsid w:val="00CE076C"/>
    <w:rsid w:val="00CE1950"/>
    <w:rsid w:val="00CE5199"/>
    <w:rsid w:val="00CE66D5"/>
    <w:rsid w:val="00CF637A"/>
    <w:rsid w:val="00D02EA7"/>
    <w:rsid w:val="00D059DE"/>
    <w:rsid w:val="00D05ABD"/>
    <w:rsid w:val="00D05B1B"/>
    <w:rsid w:val="00D11EEB"/>
    <w:rsid w:val="00D13FCE"/>
    <w:rsid w:val="00D16ED2"/>
    <w:rsid w:val="00D306D1"/>
    <w:rsid w:val="00D30800"/>
    <w:rsid w:val="00D30FFE"/>
    <w:rsid w:val="00D34786"/>
    <w:rsid w:val="00D35941"/>
    <w:rsid w:val="00D37BFC"/>
    <w:rsid w:val="00D37D81"/>
    <w:rsid w:val="00D44A23"/>
    <w:rsid w:val="00D47A8E"/>
    <w:rsid w:val="00D47DF9"/>
    <w:rsid w:val="00D5069F"/>
    <w:rsid w:val="00D50F27"/>
    <w:rsid w:val="00D51AE8"/>
    <w:rsid w:val="00D52D14"/>
    <w:rsid w:val="00D557E7"/>
    <w:rsid w:val="00D60252"/>
    <w:rsid w:val="00D60AFB"/>
    <w:rsid w:val="00D66EB4"/>
    <w:rsid w:val="00D712D3"/>
    <w:rsid w:val="00D71422"/>
    <w:rsid w:val="00D72DC6"/>
    <w:rsid w:val="00D7378D"/>
    <w:rsid w:val="00D7558D"/>
    <w:rsid w:val="00D81D92"/>
    <w:rsid w:val="00D829FF"/>
    <w:rsid w:val="00D83A29"/>
    <w:rsid w:val="00D84F01"/>
    <w:rsid w:val="00D876F9"/>
    <w:rsid w:val="00D929C4"/>
    <w:rsid w:val="00DA3DB2"/>
    <w:rsid w:val="00DA7B5F"/>
    <w:rsid w:val="00DA7F2F"/>
    <w:rsid w:val="00DB2575"/>
    <w:rsid w:val="00DB310F"/>
    <w:rsid w:val="00DB66B7"/>
    <w:rsid w:val="00DC11E7"/>
    <w:rsid w:val="00DC2460"/>
    <w:rsid w:val="00DC24E3"/>
    <w:rsid w:val="00DC7023"/>
    <w:rsid w:val="00DC769A"/>
    <w:rsid w:val="00DC79A8"/>
    <w:rsid w:val="00DD08C5"/>
    <w:rsid w:val="00DD3D86"/>
    <w:rsid w:val="00DD4AD2"/>
    <w:rsid w:val="00DD50D5"/>
    <w:rsid w:val="00DE2862"/>
    <w:rsid w:val="00DE2C91"/>
    <w:rsid w:val="00DE3572"/>
    <w:rsid w:val="00DE52C0"/>
    <w:rsid w:val="00DE5921"/>
    <w:rsid w:val="00DE7E59"/>
    <w:rsid w:val="00DF1EC4"/>
    <w:rsid w:val="00E0340B"/>
    <w:rsid w:val="00E04A90"/>
    <w:rsid w:val="00E0551F"/>
    <w:rsid w:val="00E219C7"/>
    <w:rsid w:val="00E21A9D"/>
    <w:rsid w:val="00E24A35"/>
    <w:rsid w:val="00E27DE0"/>
    <w:rsid w:val="00E32493"/>
    <w:rsid w:val="00E33E6E"/>
    <w:rsid w:val="00E3551A"/>
    <w:rsid w:val="00E40299"/>
    <w:rsid w:val="00E4118C"/>
    <w:rsid w:val="00E43157"/>
    <w:rsid w:val="00E43AEF"/>
    <w:rsid w:val="00E43E0A"/>
    <w:rsid w:val="00E461CE"/>
    <w:rsid w:val="00E56F3C"/>
    <w:rsid w:val="00E573E4"/>
    <w:rsid w:val="00E64C3D"/>
    <w:rsid w:val="00E720CA"/>
    <w:rsid w:val="00E75985"/>
    <w:rsid w:val="00E826C3"/>
    <w:rsid w:val="00E84EB5"/>
    <w:rsid w:val="00E85662"/>
    <w:rsid w:val="00E8789F"/>
    <w:rsid w:val="00E94906"/>
    <w:rsid w:val="00E97B71"/>
    <w:rsid w:val="00EA3D34"/>
    <w:rsid w:val="00EA7436"/>
    <w:rsid w:val="00EB454D"/>
    <w:rsid w:val="00EB483C"/>
    <w:rsid w:val="00EC4F5C"/>
    <w:rsid w:val="00ED549D"/>
    <w:rsid w:val="00ED5E10"/>
    <w:rsid w:val="00ED76BE"/>
    <w:rsid w:val="00EE00E9"/>
    <w:rsid w:val="00EE1851"/>
    <w:rsid w:val="00EE34FD"/>
    <w:rsid w:val="00EF03E1"/>
    <w:rsid w:val="00EF0464"/>
    <w:rsid w:val="00EF1AAA"/>
    <w:rsid w:val="00EF4A16"/>
    <w:rsid w:val="00EF619B"/>
    <w:rsid w:val="00F00B55"/>
    <w:rsid w:val="00F00D28"/>
    <w:rsid w:val="00F02AD1"/>
    <w:rsid w:val="00F03491"/>
    <w:rsid w:val="00F06A3B"/>
    <w:rsid w:val="00F07197"/>
    <w:rsid w:val="00F12646"/>
    <w:rsid w:val="00F13662"/>
    <w:rsid w:val="00F17A18"/>
    <w:rsid w:val="00F20B2D"/>
    <w:rsid w:val="00F231C6"/>
    <w:rsid w:val="00F253CC"/>
    <w:rsid w:val="00F37106"/>
    <w:rsid w:val="00F40928"/>
    <w:rsid w:val="00F44E25"/>
    <w:rsid w:val="00F453DB"/>
    <w:rsid w:val="00F46697"/>
    <w:rsid w:val="00F50642"/>
    <w:rsid w:val="00F519CF"/>
    <w:rsid w:val="00F54B3F"/>
    <w:rsid w:val="00F557B7"/>
    <w:rsid w:val="00F55BE3"/>
    <w:rsid w:val="00F56036"/>
    <w:rsid w:val="00F56BA5"/>
    <w:rsid w:val="00F56ECB"/>
    <w:rsid w:val="00F60E22"/>
    <w:rsid w:val="00F6479C"/>
    <w:rsid w:val="00F72033"/>
    <w:rsid w:val="00F80E7F"/>
    <w:rsid w:val="00F8110C"/>
    <w:rsid w:val="00F812BE"/>
    <w:rsid w:val="00F81395"/>
    <w:rsid w:val="00F81BB8"/>
    <w:rsid w:val="00F827B1"/>
    <w:rsid w:val="00F90C13"/>
    <w:rsid w:val="00F90C64"/>
    <w:rsid w:val="00F917D1"/>
    <w:rsid w:val="00F9653B"/>
    <w:rsid w:val="00FA5AF6"/>
    <w:rsid w:val="00FB62CF"/>
    <w:rsid w:val="00FC2038"/>
    <w:rsid w:val="00FC73C0"/>
    <w:rsid w:val="00FD1BCE"/>
    <w:rsid w:val="00FD2601"/>
    <w:rsid w:val="00FD3C3B"/>
    <w:rsid w:val="00FD5618"/>
    <w:rsid w:val="00FE07DD"/>
    <w:rsid w:val="00FE5EB6"/>
    <w:rsid w:val="00FE6B45"/>
    <w:rsid w:val="00FF2BC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556F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56FF7"/>
  </w:style>
  <w:style w:type="character" w:customStyle="1" w:styleId="eop">
    <w:name w:val="eop"/>
    <w:basedOn w:val="DefaultParagraphFont"/>
    <w:rsid w:val="0055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C179A"/>
    <w:rsid w:val="00104FDC"/>
    <w:rsid w:val="00200821"/>
    <w:rsid w:val="00236BF4"/>
    <w:rsid w:val="0025245B"/>
    <w:rsid w:val="00256D42"/>
    <w:rsid w:val="002A3923"/>
    <w:rsid w:val="002E25EA"/>
    <w:rsid w:val="003901A1"/>
    <w:rsid w:val="00394049"/>
    <w:rsid w:val="003A746D"/>
    <w:rsid w:val="003B0C71"/>
    <w:rsid w:val="003C7D44"/>
    <w:rsid w:val="00472A37"/>
    <w:rsid w:val="004B5BBB"/>
    <w:rsid w:val="004F2DF8"/>
    <w:rsid w:val="005028F9"/>
    <w:rsid w:val="00517E2A"/>
    <w:rsid w:val="006D3128"/>
    <w:rsid w:val="006D5731"/>
    <w:rsid w:val="006F24A1"/>
    <w:rsid w:val="00875B8A"/>
    <w:rsid w:val="008953BC"/>
    <w:rsid w:val="008D2A7A"/>
    <w:rsid w:val="008D502C"/>
    <w:rsid w:val="008F3733"/>
    <w:rsid w:val="00956DA1"/>
    <w:rsid w:val="009A261B"/>
    <w:rsid w:val="00AA2E17"/>
    <w:rsid w:val="00AC15A4"/>
    <w:rsid w:val="00B0336C"/>
    <w:rsid w:val="00CA4FD4"/>
    <w:rsid w:val="00D241E9"/>
    <w:rsid w:val="00D7750D"/>
    <w:rsid w:val="00DE3DD5"/>
    <w:rsid w:val="00F00D2F"/>
    <w:rsid w:val="00F128DF"/>
    <w:rsid w:val="00F2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2895</Words>
  <Characters>16507</Characters>
  <Application>Microsoft Office Word</Application>
  <DocSecurity>0</DocSecurity>
  <Lines>137</Lines>
  <Paragraphs>38</Paragraphs>
  <ScaleCrop>false</ScaleCrop>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2023-01-25T16:58:00Z</dcterms:created>
  <dcterms:modified xsi:type="dcterms:W3CDTF">2023-01-25T16:58:00Z</dcterms:modified>
</cp:coreProperties>
</file>